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FC7841" w:rsidP="00BF557C">
            <w:pPr>
              <w:pStyle w:val="00bDBInfo"/>
              <w:rPr>
                <w:rFonts w:cs="Arial"/>
              </w:rPr>
            </w:pPr>
            <w:r>
              <w:rPr>
                <w:rFonts w:cs="Arial"/>
              </w:rPr>
              <w:t>23</w:t>
            </w:r>
            <w:r w:rsidR="003A5DAC">
              <w:rPr>
                <w:rFonts w:cs="Arial"/>
              </w:rPr>
              <w:t xml:space="preserve"> </w:t>
            </w:r>
            <w:r w:rsidR="00BF557C">
              <w:rPr>
                <w:rFonts w:cs="Arial"/>
              </w:rPr>
              <w:t>June</w:t>
            </w:r>
            <w:r w:rsidR="006F4B04" w:rsidRPr="004E49B0">
              <w:rPr>
                <w:rFonts w:cs="Arial"/>
              </w:rPr>
              <w:t>20</w:t>
            </w:r>
            <w:r w:rsidR="003A5DAC">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rsidR="00791EB4" w:rsidRPr="00616B9B" w:rsidRDefault="00BF557C" w:rsidP="00BF557C">
            <w:pPr>
              <w:pStyle w:val="01aDBTitle"/>
              <w:rPr>
                <w:rFonts w:cs="Arial"/>
              </w:rPr>
            </w:pPr>
            <w:r w:rsidRPr="00BF557C">
              <w:rPr>
                <w:rFonts w:cs="Arial"/>
              </w:rPr>
              <w:t>Technical Discussion Paper</w:t>
            </w:r>
            <w:r>
              <w:rPr>
                <w:rFonts w:cs="Arial"/>
              </w:rPr>
              <w:t xml:space="preserve"> on </w:t>
            </w:r>
            <w:r>
              <w:t xml:space="preserve"> </w:t>
            </w:r>
            <w:r w:rsidRPr="00BF557C">
              <w:rPr>
                <w:rFonts w:cs="Arial"/>
              </w:rPr>
              <w:t>PRIIPs</w:t>
            </w: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BF557C">
            <w:pPr>
              <w:pStyle w:val="02Date"/>
              <w:rPr>
                <w:rFonts w:cs="Arial"/>
              </w:rPr>
            </w:pPr>
            <w:r w:rsidRPr="004E49B0">
              <w:rPr>
                <w:rFonts w:cs="Arial"/>
              </w:rPr>
              <w:lastRenderedPageBreak/>
              <w:t xml:space="preserve">Date: </w:t>
            </w:r>
            <w:r w:rsidR="00FC7841">
              <w:rPr>
                <w:rFonts w:cs="Arial"/>
              </w:rPr>
              <w:t>23</w:t>
            </w:r>
            <w:r w:rsidR="004E49B0" w:rsidRPr="004E49B0">
              <w:rPr>
                <w:rFonts w:cs="Arial"/>
              </w:rPr>
              <w:t xml:space="preserve"> </w:t>
            </w:r>
            <w:r w:rsidR="00BF557C">
              <w:rPr>
                <w:rFonts w:cs="Arial"/>
              </w:rPr>
              <w:t>June</w:t>
            </w:r>
            <w:r w:rsidR="004E49B0" w:rsidRPr="004E49B0">
              <w:rPr>
                <w:rFonts w:cs="Arial"/>
              </w:rPr>
              <w:t xml:space="preserve"> 201</w:t>
            </w:r>
            <w:r w:rsidR="003A5DAC">
              <w:rPr>
                <w:rFonts w:cs="Arial"/>
              </w:rPr>
              <w:t>5</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7E2302" w:rsidRDefault="007E2302" w:rsidP="007E2302">
      <w:pPr>
        <w:jc w:val="both"/>
      </w:pPr>
      <w:r w:rsidRPr="00F520E3">
        <w:t>EBA, EIOPA and ESMA (the ESAs) welcome comments on this Technical Discussion Paper on Risk, Performance Scenarios and Cost Disclosures in Key Information Documents for Packaged Retail and Insurance-based Investment Products (PRIIPs).</w:t>
      </w:r>
    </w:p>
    <w:p w:rsidR="007E2302" w:rsidRPr="00F520E3" w:rsidRDefault="007E2302" w:rsidP="007E2302">
      <w:pPr>
        <w:jc w:val="both"/>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so as to allow </w:t>
      </w:r>
      <w:r w:rsidR="007E2302">
        <w:rPr>
          <w:rFonts w:cs="Arial"/>
        </w:rPr>
        <w:t xml:space="preserve">them to be </w:t>
      </w:r>
      <w:r w:rsidRPr="00EF0769">
        <w:rPr>
          <w:rFonts w:cs="Arial"/>
        </w:rPr>
        <w:t>process</w:t>
      </w:r>
      <w:r w:rsidR="007E2302">
        <w:rPr>
          <w:rFonts w:cs="Arial"/>
        </w:rPr>
        <w:t>ed more efficiently</w:t>
      </w:r>
      <w:r w:rsidRPr="00EF0769">
        <w:rPr>
          <w:rFonts w:cs="Arial"/>
        </w:rPr>
        <w:t xml:space="preserve">. Therefore, </w:t>
      </w:r>
      <w:r w:rsidR="007E2302">
        <w:rPr>
          <w:rFonts w:cs="Arial"/>
        </w:rPr>
        <w:t xml:space="preserve">the ESAs </w:t>
      </w:r>
      <w:r w:rsidR="00332304">
        <w:rPr>
          <w:rFonts w:cs="Arial"/>
        </w:rPr>
        <w:t xml:space="preserve">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except for annexes);</w:t>
      </w:r>
    </w:p>
    <w:p w:rsidR="00F574D0" w:rsidRPr="00EF0769" w:rsidRDefault="00D75FEE" w:rsidP="00BF557C">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BF557C" w:rsidRPr="00BF557C">
        <w:t xml:space="preserve"> </w:t>
      </w:r>
      <w:r w:rsidR="00BF557C" w:rsidRPr="00BF557C">
        <w:rPr>
          <w:rFonts w:cs="Arial"/>
        </w:rPr>
        <w:t>ESMA_QUESTION_PRIIPs</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 xml:space="preserve">describe any alternatives that </w:t>
      </w:r>
      <w:r w:rsidR="007E2302">
        <w:rPr>
          <w:rFonts w:cs="Arial"/>
        </w:rPr>
        <w:t>the ESAs</w:t>
      </w:r>
      <w:r w:rsidRPr="00EF0769">
        <w:rPr>
          <w:rFonts w:cs="Arial"/>
        </w:rPr>
        <w:t xml:space="preserve">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rsidR="000D17AA" w:rsidRPr="00EF0769" w:rsidRDefault="00021E83" w:rsidP="000D17AA">
      <w:pPr>
        <w:pStyle w:val="04BodyText"/>
        <w:spacing w:before="120" w:after="120"/>
        <w:jc w:val="left"/>
        <w:rPr>
          <w:rFonts w:cs="Arial"/>
        </w:rPr>
      </w:pPr>
      <w:r w:rsidRPr="00EF0769">
        <w:rPr>
          <w:rFonts w:cs="Arial"/>
        </w:rPr>
        <w:t>ESA_</w:t>
      </w:r>
      <w:r w:rsidR="00BF557C">
        <w:t>TDP_</w:t>
      </w:r>
      <w:r w:rsidR="00BF557C">
        <w:rPr>
          <w:rFonts w:cs="Arial"/>
        </w:rPr>
        <w:t>PRIIPs</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rsidR="00021E83" w:rsidRPr="00EF0769" w:rsidRDefault="00BF557C" w:rsidP="000D17AA">
      <w:pPr>
        <w:pStyle w:val="04BodyText"/>
        <w:spacing w:before="120" w:after="120"/>
        <w:jc w:val="left"/>
        <w:rPr>
          <w:rFonts w:cs="Arial"/>
        </w:rPr>
      </w:pPr>
      <w:bookmarkStart w:id="1" w:name="_GoBack"/>
      <w:r w:rsidRPr="00EF0769">
        <w:rPr>
          <w:rFonts w:cs="Arial"/>
        </w:rPr>
        <w:t>ESA_</w:t>
      </w:r>
      <w:r>
        <w:t>TDP_</w:t>
      </w:r>
      <w:r>
        <w:rPr>
          <w:rFonts w:cs="Arial"/>
        </w:rPr>
        <w:t>PRIIPs</w:t>
      </w:r>
      <w:r w:rsidR="00332304">
        <w:rPr>
          <w:rFonts w:cs="Arial"/>
        </w:rPr>
        <w:t>_</w:t>
      </w:r>
      <w:r>
        <w:rPr>
          <w:rFonts w:cs="Arial"/>
        </w:rPr>
        <w:t>XXXX</w:t>
      </w:r>
      <w:r w:rsidR="00021E83" w:rsidRPr="00EF0769">
        <w:rPr>
          <w:rFonts w:cs="Arial"/>
        </w:rPr>
        <w:t xml:space="preserve">_REPLYFORM </w:t>
      </w:r>
      <w:bookmarkEnd w:id="1"/>
      <w:r w:rsidR="00021E83" w:rsidRPr="00EF0769">
        <w:rPr>
          <w:rFonts w:cs="Arial"/>
        </w:rPr>
        <w:t xml:space="preserve">or </w:t>
      </w:r>
    </w:p>
    <w:p w:rsidR="000D17AA" w:rsidRPr="00EF0769" w:rsidRDefault="00BF557C" w:rsidP="000D17AA">
      <w:pPr>
        <w:pStyle w:val="04BodyText"/>
        <w:spacing w:before="120" w:after="120"/>
        <w:jc w:val="left"/>
        <w:rPr>
          <w:rFonts w:cs="Arial"/>
        </w:rPr>
      </w:pPr>
      <w:r w:rsidRPr="00EF0769">
        <w:rPr>
          <w:rFonts w:cs="Arial"/>
        </w:rPr>
        <w:t>ESA_</w:t>
      </w:r>
      <w:r>
        <w:t>TDP_</w:t>
      </w:r>
      <w:r>
        <w:rPr>
          <w:rFonts w:cs="Arial"/>
        </w:rPr>
        <w:t>PRIIPs_XXXX</w:t>
      </w:r>
      <w:r w:rsidR="00021E83" w:rsidRPr="00EF0769">
        <w:rPr>
          <w:rFonts w:cs="Arial"/>
        </w:rPr>
        <w:t>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7E2302">
        <w:rPr>
          <w:rFonts w:cs="Arial"/>
          <w:b/>
        </w:rPr>
        <w:t>17 August</w:t>
      </w:r>
      <w:r w:rsidR="00021E83" w:rsidRPr="00EF0769">
        <w:rPr>
          <w:rFonts w:cs="Arial"/>
          <w:b/>
        </w:rPr>
        <w:t xml:space="preserve"> 2015.</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2" w:history="1">
        <w:r w:rsidRPr="00EF0769">
          <w:rPr>
            <w:rStyle w:val="Hyperlink"/>
            <w:rFonts w:cs="Arial"/>
          </w:rPr>
          <w:t>www.esma.europa.eu</w:t>
        </w:r>
      </w:hyperlink>
      <w:r w:rsidRPr="00EF0769">
        <w:rPr>
          <w:rFonts w:cs="Arial"/>
        </w:rPr>
        <w:t xml:space="preserve"> under the heading ‘Your input/Consultations’.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2"/>
    </w:p>
    <w:p w:rsidR="007E2302" w:rsidRPr="00F520E3" w:rsidRDefault="007E2302" w:rsidP="007E2302">
      <w:pPr>
        <w:jc w:val="both"/>
      </w:pPr>
      <w:bookmarkStart w:id="3" w:name="_Toc335141335"/>
      <w:r w:rsidRPr="00F520E3">
        <w:t>All contributions received will be published following the close of the consultation, unless you request otherwise. A standard confidentiality statement in an email message will not be treated as a request for non-disclosure. A confidential response may be requested from us in accordance with the ESAs’ rules on public access to documents.</w:t>
      </w:r>
      <w:r w:rsidRPr="00F520E3">
        <w:rPr>
          <w:rStyle w:val="FootnoteReference"/>
        </w:rPr>
        <w:footnoteReference w:id="2"/>
      </w:r>
      <w:r w:rsidRPr="00F520E3">
        <w:t xml:space="preserve"> We may consult you if we receive such a request. Any decision we make not to disclose the response is reviewable by the Board of Appeal of the ESAs and the European Ombudsman.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3"/>
    </w:p>
    <w:p w:rsidR="007E2302" w:rsidRPr="00F520E3" w:rsidRDefault="007E2302" w:rsidP="007E2302">
      <w:pPr>
        <w:jc w:val="both"/>
      </w:pPr>
      <w:r w:rsidRPr="00F520E3">
        <w:t xml:space="preserve">Information on data protection can be found </w:t>
      </w:r>
      <w:r>
        <w:t>on</w:t>
      </w:r>
      <w:r w:rsidRPr="00F520E3">
        <w:t xml:space="preserve"> the different ESAs’ websites under the heading ‘Legal notice’.</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Pr="00AB6D88" w:rsidRDefault="00D34282" w:rsidP="00D34282">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D34282" w:rsidRPr="00AB6D88" w:rsidTr="0004031C">
        <w:tc>
          <w:tcPr>
            <w:tcW w:w="3929" w:type="dxa"/>
            <w:shd w:val="clear" w:color="auto" w:fill="auto"/>
          </w:tcPr>
          <w:p w:rsidR="00D34282" w:rsidRPr="00AB6D88" w:rsidRDefault="00D34282" w:rsidP="0004031C">
            <w:pPr>
              <w:rPr>
                <w:rFonts w:cs="Arial"/>
              </w:rPr>
            </w:pPr>
            <w:permStart w:id="803347068" w:edGrp="everyone" w:colFirst="1" w:colLast="1"/>
            <w:r w:rsidRPr="00AB6D88">
              <w:rPr>
                <w:rFonts w:cs="Arial"/>
              </w:rPr>
              <w:t>Name of the company / organisation</w:t>
            </w:r>
          </w:p>
        </w:tc>
        <w:sdt>
          <w:sdtPr>
            <w:rPr>
              <w:rStyle w:val="PlaceholderText"/>
              <w:rFonts w:cs="Arial"/>
            </w:rPr>
            <w:id w:val="-1905066999"/>
            <w:text/>
          </w:sdtPr>
          <w:sdtContent>
            <w:permStart w:id="423849654" w:edGrp="everyone" w:displacedByCustomXml="prev"/>
            <w:tc>
              <w:tcPr>
                <w:tcW w:w="5595" w:type="dxa"/>
                <w:shd w:val="clear" w:color="auto" w:fill="auto"/>
              </w:tcPr>
              <w:p w:rsidR="00D34282" w:rsidRPr="00AB6D88" w:rsidRDefault="0004031C" w:rsidP="0004031C">
                <w:pPr>
                  <w:rPr>
                    <w:rStyle w:val="PlaceholderText"/>
                    <w:rFonts w:cs="Arial"/>
                  </w:rPr>
                </w:pPr>
                <w:r>
                  <w:rPr>
                    <w:rStyle w:val="PlaceholderText"/>
                    <w:rFonts w:cs="Arial"/>
                  </w:rPr>
                  <w:t>European Savings and Retail Banking Group</w:t>
                </w:r>
              </w:p>
            </w:tc>
            <w:permEnd w:id="423849654" w:displacedByCustomXml="next"/>
          </w:sdtContent>
        </w:sdt>
      </w:tr>
      <w:tr w:rsidR="00D34282" w:rsidRPr="00AB6D88" w:rsidTr="0004031C">
        <w:tc>
          <w:tcPr>
            <w:tcW w:w="3929" w:type="dxa"/>
            <w:shd w:val="clear" w:color="auto" w:fill="auto"/>
          </w:tcPr>
          <w:p w:rsidR="00D34282" w:rsidRPr="00AB6D88" w:rsidRDefault="00D34282" w:rsidP="0004031C">
            <w:pPr>
              <w:rPr>
                <w:rFonts w:cs="Arial"/>
              </w:rPr>
            </w:pPr>
            <w:permStart w:id="465644266" w:edGrp="everyone" w:colFirst="1" w:colLast="1"/>
            <w:permEnd w:id="803347068"/>
            <w:r w:rsidRPr="00AB6D88">
              <w:rPr>
                <w:rFonts w:cs="Arial"/>
              </w:rPr>
              <w:t>Activity</w:t>
            </w:r>
          </w:p>
        </w:tc>
        <w:tc>
          <w:tcPr>
            <w:tcW w:w="5595" w:type="dxa"/>
            <w:shd w:val="clear" w:color="auto" w:fill="auto"/>
          </w:tcPr>
          <w:p w:rsidR="00D34282" w:rsidRPr="00AB6D88" w:rsidRDefault="0004031C" w:rsidP="0004031C">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permStart w:id="583082740" w:edGrp="everyone"/>
                <w:r>
                  <w:rPr>
                    <w:rFonts w:cs="Arial"/>
                  </w:rPr>
                  <w:t>Banking sector</w:t>
                </w:r>
                <w:permEnd w:id="583082740"/>
              </w:sdtContent>
            </w:sdt>
          </w:p>
        </w:tc>
      </w:tr>
      <w:tr w:rsidR="00D34282" w:rsidRPr="00AB6D88" w:rsidTr="0004031C">
        <w:tc>
          <w:tcPr>
            <w:tcW w:w="3929" w:type="dxa"/>
            <w:shd w:val="clear" w:color="auto" w:fill="auto"/>
          </w:tcPr>
          <w:p w:rsidR="00D34282" w:rsidRPr="00AB6D88" w:rsidRDefault="00D34282" w:rsidP="0004031C">
            <w:pPr>
              <w:rPr>
                <w:rFonts w:cs="Arial"/>
              </w:rPr>
            </w:pPr>
            <w:permStart w:id="1618574163" w:edGrp="everyone" w:colFirst="1" w:colLast="1"/>
            <w:permEnd w:id="465644266"/>
            <w:r w:rsidRPr="00AB6D88">
              <w:rPr>
                <w:rFonts w:cs="Arial"/>
              </w:rPr>
              <w:t>Are you representing an association?</w:t>
            </w:r>
          </w:p>
        </w:tc>
        <w:sdt>
          <w:sdtPr>
            <w:rPr>
              <w:rFonts w:cs="Arial"/>
            </w:rPr>
            <w:id w:val="-242871467"/>
            <w14:checkbox>
              <w14:checked w14:val="1"/>
              <w14:checkedState w14:val="2612" w14:font="MS Gothic"/>
              <w14:uncheckedState w14:val="2610" w14:font="MS Gothic"/>
            </w14:checkbox>
          </w:sdtPr>
          <w:sdtContent>
            <w:tc>
              <w:tcPr>
                <w:tcW w:w="5595" w:type="dxa"/>
                <w:shd w:val="clear" w:color="auto" w:fill="auto"/>
              </w:tcPr>
              <w:p w:rsidR="00D34282" w:rsidRPr="00AB6D88" w:rsidRDefault="0004031C" w:rsidP="0004031C">
                <w:pPr>
                  <w:rPr>
                    <w:rFonts w:cs="Arial"/>
                  </w:rPr>
                </w:pPr>
                <w:r>
                  <w:rPr>
                    <w:rFonts w:ascii="MS Gothic" w:eastAsia="MS Gothic" w:hAnsi="MS Gothic" w:cs="Arial" w:hint="eastAsia"/>
                  </w:rPr>
                  <w:t>☒</w:t>
                </w:r>
              </w:p>
            </w:tc>
          </w:sdtContent>
        </w:sdt>
      </w:tr>
      <w:tr w:rsidR="00D34282" w:rsidRPr="00AB6D88" w:rsidTr="0004031C">
        <w:tc>
          <w:tcPr>
            <w:tcW w:w="3929" w:type="dxa"/>
            <w:shd w:val="clear" w:color="auto" w:fill="auto"/>
          </w:tcPr>
          <w:p w:rsidR="00D34282" w:rsidRPr="00AB6D88" w:rsidRDefault="00D34282" w:rsidP="0004031C">
            <w:pPr>
              <w:rPr>
                <w:rFonts w:cs="Arial"/>
              </w:rPr>
            </w:pPr>
            <w:permStart w:id="283983482" w:edGrp="everyone" w:colFirst="1" w:colLast="1"/>
            <w:permEnd w:id="1618574163"/>
            <w:r w:rsidRPr="00AB6D88">
              <w:rPr>
                <w:rFonts w:cs="Arial"/>
              </w:rPr>
              <w:t>Country/Region</w:t>
            </w:r>
          </w:p>
        </w:tc>
        <w:permStart w:id="173149981" w:edGrp="everyone" w:displacedByCustomXml="next"/>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406001598" w:edGrp="everyone" w:displacedByCustomXml="prev"/>
            <w:tc>
              <w:tcPr>
                <w:tcW w:w="5595" w:type="dxa"/>
                <w:shd w:val="clear" w:color="auto" w:fill="auto"/>
              </w:tcPr>
              <w:p w:rsidR="00D34282" w:rsidRPr="00AB6D88" w:rsidRDefault="0004031C" w:rsidP="0004031C">
                <w:pPr>
                  <w:rPr>
                    <w:rFonts w:cs="Arial"/>
                  </w:rPr>
                </w:pPr>
                <w:r>
                  <w:rPr>
                    <w:rFonts w:cs="Arial"/>
                  </w:rPr>
                  <w:t>Europe</w:t>
                </w:r>
              </w:p>
            </w:tc>
            <w:permEnd w:id="406001598" w:displacedByCustomXml="next"/>
          </w:sdtContent>
        </w:sdt>
        <w:permEnd w:id="173149981" w:displacedByCustomXml="prev"/>
      </w:tr>
      <w:permEnd w:id="283983482"/>
    </w:tbl>
    <w:p w:rsidR="00D34282" w:rsidRDefault="00D34282" w:rsidP="00D34282">
      <w:pPr>
        <w:spacing w:after="120" w:line="264" w:lineRule="auto"/>
      </w:pPr>
    </w:p>
    <w:p w:rsidR="00D34282" w:rsidRDefault="00D34282" w:rsidP="00D34282">
      <w:pPr>
        <w:spacing w:after="120" w:line="264" w:lineRule="auto"/>
      </w:pPr>
    </w:p>
    <w:p w:rsidR="00D34282" w:rsidRDefault="00D34282" w:rsidP="00D34282">
      <w:pPr>
        <w:pStyle w:val="Heading1"/>
        <w:numPr>
          <w:ilvl w:val="0"/>
          <w:numId w:val="0"/>
        </w:numPr>
        <w:ind w:left="431" w:hanging="431"/>
      </w:pPr>
      <w:r>
        <w:t>Introduction</w:t>
      </w:r>
    </w:p>
    <w:p w:rsidR="00D34282" w:rsidRPr="001D47A5" w:rsidRDefault="00D34282" w:rsidP="00D34282">
      <w:pPr>
        <w:rPr>
          <w:rStyle w:val="IntenseEmphasis"/>
        </w:rPr>
      </w:pPr>
      <w:r w:rsidRPr="001D47A5">
        <w:rPr>
          <w:rStyle w:val="IntenseEmphasis"/>
        </w:rPr>
        <w:t>Please make your introductory comments below, if any:</w:t>
      </w:r>
    </w:p>
    <w:p w:rsidR="00D34282" w:rsidRPr="00C25863" w:rsidRDefault="00D34282" w:rsidP="00D34282">
      <w:r w:rsidRPr="00C25863">
        <w:t>&lt;</w:t>
      </w:r>
      <w:r w:rsidRPr="00D74C9D">
        <w:t xml:space="preserve"> </w:t>
      </w:r>
      <w:r>
        <w:t>ESMA_</w:t>
      </w:r>
      <w:r w:rsidR="00F31E57" w:rsidRPr="00F31E57">
        <w:t>COMMENT_PRIIPs</w:t>
      </w:r>
      <w:r w:rsidRPr="00C25863">
        <w:t>_1&gt;</w:t>
      </w:r>
    </w:p>
    <w:p w:rsidR="0004031C" w:rsidRPr="002F09EC" w:rsidRDefault="0004031C" w:rsidP="0004031C">
      <w:pPr>
        <w:suppressAutoHyphens/>
        <w:jc w:val="both"/>
        <w:rPr>
          <w:rFonts w:ascii="Garamond" w:hAnsi="Garamond"/>
          <w:sz w:val="24"/>
        </w:rPr>
      </w:pPr>
      <w:permStart w:id="1516700296" w:edGrp="everyone"/>
      <w:r w:rsidRPr="002F09EC">
        <w:rPr>
          <w:rFonts w:ascii="Garamond" w:hAnsi="Garamond"/>
          <w:sz w:val="24"/>
        </w:rPr>
        <w:t>We believe that the theoretical benefits in term of investor protection and their practicality are not always balanced. At various points the ESAs themselves point the disadvantages of certain approaches.</w:t>
      </w:r>
    </w:p>
    <w:p w:rsidR="0004031C" w:rsidRPr="002F09EC" w:rsidRDefault="0004031C" w:rsidP="0004031C">
      <w:pPr>
        <w:suppressAutoHyphens/>
        <w:jc w:val="both"/>
        <w:rPr>
          <w:rFonts w:ascii="Garamond" w:hAnsi="Garamond"/>
          <w:sz w:val="24"/>
        </w:rPr>
      </w:pPr>
    </w:p>
    <w:p w:rsidR="0004031C" w:rsidRPr="00D1218E" w:rsidRDefault="0004031C" w:rsidP="0004031C">
      <w:pPr>
        <w:pStyle w:val="ESBG"/>
      </w:pPr>
      <w:r w:rsidRPr="00D1218E">
        <w:t xml:space="preserve">In their Technical Discussion Paper (TDP), ESAs have discussed the various calculation methods for risks, performance scenarios and costs, in a very detailed and comprehensive manner. Whilst we generally welcome a differentiated presentation within the scope of a discussion paper, we believe that, in the context of protecting retail investors and considering practical issues, the theoretical possibilities are not always in line with the potential benefits. In particular, we object to a probability-based presentation of </w:t>
      </w:r>
      <w:r>
        <w:t>performance</w:t>
      </w:r>
      <w:r w:rsidRPr="00D1218E">
        <w:t xml:space="preserve"> scenarios; we also generally advocate applying less complexity in the graphical display of the chosen approaches.</w:t>
      </w:r>
    </w:p>
    <w:p w:rsidR="0004031C" w:rsidRDefault="0004031C" w:rsidP="0004031C">
      <w:pPr>
        <w:pStyle w:val="ESBG"/>
        <w:rPr>
          <w:sz w:val="18"/>
          <w:lang w:val="en-US"/>
        </w:rPr>
      </w:pPr>
    </w:p>
    <w:p w:rsidR="0004031C" w:rsidRPr="00C07081" w:rsidRDefault="0004031C" w:rsidP="0004031C">
      <w:pPr>
        <w:pStyle w:val="ESBG"/>
        <w:rPr>
          <w:rFonts w:cs="Calibri"/>
          <w:color w:val="000000"/>
        </w:rPr>
      </w:pPr>
      <w:r>
        <w:t>Furthermore we want to state, that the</w:t>
      </w:r>
      <w:r w:rsidRPr="00C07081">
        <w:t xml:space="preserve"> </w:t>
      </w:r>
      <w:r>
        <w:t xml:space="preserve">information, which gets provided by the </w:t>
      </w:r>
      <w:r w:rsidRPr="00C07081">
        <w:t>KID should be easy to</w:t>
      </w:r>
      <w:r w:rsidRPr="00C07081">
        <w:rPr>
          <w:rFonts w:cs="Calibri"/>
          <w:color w:val="000000"/>
        </w:rPr>
        <w:t xml:space="preserve"> understand </w:t>
      </w:r>
      <w:r>
        <w:t xml:space="preserve">for retail investor. </w:t>
      </w:r>
    </w:p>
    <w:p w:rsidR="0004031C" w:rsidRPr="00C07081" w:rsidRDefault="0004031C" w:rsidP="0004031C">
      <w:pPr>
        <w:suppressAutoHyphens/>
        <w:snapToGrid w:val="0"/>
        <w:jc w:val="both"/>
        <w:rPr>
          <w:rFonts w:ascii="Garamond" w:hAnsi="Garamond" w:cs="Calibri"/>
          <w:color w:val="000000"/>
          <w:sz w:val="24"/>
        </w:rPr>
      </w:pPr>
    </w:p>
    <w:p w:rsidR="0004031C" w:rsidRDefault="0004031C" w:rsidP="0004031C">
      <w:pPr>
        <w:suppressAutoHyphens/>
        <w:jc w:val="both"/>
        <w:rPr>
          <w:rFonts w:ascii="Garamond" w:hAnsi="Garamond"/>
          <w:sz w:val="24"/>
        </w:rPr>
      </w:pPr>
      <w:r w:rsidRPr="00D1218E">
        <w:rPr>
          <w:rFonts w:ascii="Garamond" w:hAnsi="Garamond"/>
          <w:sz w:val="24"/>
        </w:rPr>
        <w:t>With regard to the presentation of costs, we would like to reiterate that even though calculations need to consider all costs, being able to reconcile all cost types in detail is not important for retail investors: in this context, disclosure of issuer costs needs to be in line with MiFID requirements</w:t>
      </w:r>
      <w:r>
        <w:rPr>
          <w:rFonts w:ascii="Garamond" w:hAnsi="Garamond"/>
          <w:sz w:val="24"/>
        </w:rPr>
        <w:t xml:space="preserve"> </w:t>
      </w:r>
      <w:r w:rsidRPr="00C80B32">
        <w:rPr>
          <w:rFonts w:ascii="Garamond" w:hAnsi="Garamond"/>
          <w:sz w:val="24"/>
        </w:rPr>
        <w:t>(Final Report Annex 2. 14.1 table 2)</w:t>
      </w:r>
      <w:r w:rsidRPr="00D1218E">
        <w:rPr>
          <w:rFonts w:ascii="Garamond" w:hAnsi="Garamond"/>
          <w:sz w:val="24"/>
        </w:rPr>
        <w:t>.</w:t>
      </w:r>
    </w:p>
    <w:p w:rsidR="0004031C" w:rsidRPr="00C80B32" w:rsidRDefault="0004031C" w:rsidP="0004031C">
      <w:pPr>
        <w:suppressAutoHyphens/>
        <w:jc w:val="both"/>
        <w:rPr>
          <w:rFonts w:ascii="Garamond" w:hAnsi="Garamond"/>
          <w:sz w:val="24"/>
        </w:rPr>
      </w:pPr>
    </w:p>
    <w:p w:rsidR="0004031C" w:rsidRPr="002F09EC" w:rsidRDefault="0004031C" w:rsidP="0004031C">
      <w:pPr>
        <w:suppressAutoHyphens/>
        <w:jc w:val="both"/>
        <w:rPr>
          <w:rFonts w:ascii="Garamond" w:hAnsi="Garamond"/>
          <w:sz w:val="24"/>
        </w:rPr>
      </w:pPr>
      <w:r w:rsidRPr="002F09EC">
        <w:rPr>
          <w:rFonts w:ascii="Garamond" w:hAnsi="Garamond"/>
          <w:sz w:val="24"/>
        </w:rPr>
        <w:t>Furthermore, the TDP clearly shows that the suggested approaches are not very suitable overlooking OTC derivatives. We emphasize that we believe that OTC derivative transactions do not fall within the scope of PRIIPs.</w:t>
      </w:r>
    </w:p>
    <w:p w:rsidR="0004031C" w:rsidRPr="002F09EC" w:rsidRDefault="0004031C" w:rsidP="0004031C">
      <w:pPr>
        <w:suppressAutoHyphens/>
        <w:jc w:val="both"/>
        <w:rPr>
          <w:rFonts w:ascii="Garamond" w:hAnsi="Garamond"/>
          <w:sz w:val="24"/>
        </w:rPr>
      </w:pPr>
    </w:p>
    <w:p w:rsidR="0004031C" w:rsidRDefault="0004031C" w:rsidP="0004031C">
      <w:pPr>
        <w:suppressAutoHyphens/>
        <w:snapToGrid w:val="0"/>
        <w:jc w:val="both"/>
        <w:rPr>
          <w:rFonts w:ascii="Garamond" w:hAnsi="Garamond"/>
          <w:sz w:val="24"/>
        </w:rPr>
      </w:pPr>
      <w:r w:rsidRPr="002F09EC">
        <w:rPr>
          <w:rFonts w:ascii="Garamond" w:hAnsi="Garamond"/>
          <w:sz w:val="24"/>
        </w:rPr>
        <w:t>But if the ESAs should come to the conclusion that even OTC derivatives fall within the scope of PRIIPs, we consider that the ESAs need to work on even more specific arrangements for OTC derivatives, which should be consulted independently. The approach proposed in the present TDP disregard the peculiarities of OTC Derivat</w:t>
      </w:r>
      <w:r>
        <w:rPr>
          <w:rFonts w:ascii="Garamond" w:hAnsi="Garamond"/>
          <w:sz w:val="24"/>
        </w:rPr>
        <w:t>i</w:t>
      </w:r>
      <w:r w:rsidRPr="002F09EC">
        <w:rPr>
          <w:rFonts w:ascii="Garamond" w:hAnsi="Garamond"/>
          <w:sz w:val="24"/>
        </w:rPr>
        <w:t>ves and cannot and must not be simply extended to OTC derivat</w:t>
      </w:r>
      <w:r>
        <w:rPr>
          <w:rFonts w:ascii="Garamond" w:hAnsi="Garamond"/>
          <w:sz w:val="24"/>
        </w:rPr>
        <w:t>i</w:t>
      </w:r>
      <w:r w:rsidRPr="002F09EC">
        <w:rPr>
          <w:rFonts w:ascii="Garamond" w:hAnsi="Garamond"/>
          <w:sz w:val="24"/>
        </w:rPr>
        <w:t>ves in any case.</w:t>
      </w:r>
    </w:p>
    <w:p w:rsidR="0004031C" w:rsidRDefault="0004031C" w:rsidP="0004031C">
      <w:pPr>
        <w:suppressAutoHyphens/>
        <w:snapToGrid w:val="0"/>
        <w:jc w:val="both"/>
        <w:rPr>
          <w:rFonts w:ascii="Garamond" w:hAnsi="Garamond"/>
          <w:sz w:val="24"/>
        </w:rPr>
      </w:pPr>
    </w:p>
    <w:p w:rsidR="0004031C" w:rsidRDefault="0004031C" w:rsidP="0004031C">
      <w:pPr>
        <w:suppressAutoHyphens/>
        <w:snapToGrid w:val="0"/>
        <w:jc w:val="both"/>
        <w:rPr>
          <w:rFonts w:ascii="Garamond" w:hAnsi="Garamond" w:cs="Calibri"/>
          <w:color w:val="000000"/>
          <w:sz w:val="24"/>
        </w:rPr>
      </w:pPr>
      <w:r>
        <w:rPr>
          <w:rFonts w:ascii="Garamond" w:hAnsi="Garamond"/>
          <w:sz w:val="24"/>
        </w:rPr>
        <w:t xml:space="preserve">In addition, the ESBG would like to kindly request to publish the results, or at least a summary of them, of the consumer testing conducted by the European Commission. We believe that transparency of the consumer testing would increase the quality of what retail investors expect from the KID. </w:t>
      </w:r>
    </w:p>
    <w:p w:rsidR="0004031C" w:rsidRDefault="0004031C" w:rsidP="0004031C">
      <w:pPr>
        <w:suppressAutoHyphens/>
        <w:snapToGrid w:val="0"/>
        <w:jc w:val="both"/>
        <w:rPr>
          <w:rFonts w:ascii="Garamond" w:hAnsi="Garamond" w:cs="Calibri"/>
          <w:color w:val="000000"/>
          <w:sz w:val="24"/>
        </w:rPr>
      </w:pPr>
    </w:p>
    <w:p w:rsidR="0004031C" w:rsidRPr="008A3B1D" w:rsidRDefault="0004031C" w:rsidP="0004031C">
      <w:pPr>
        <w:autoSpaceDE w:val="0"/>
        <w:autoSpaceDN w:val="0"/>
        <w:adjustRightInd w:val="0"/>
        <w:snapToGrid w:val="0"/>
        <w:jc w:val="both"/>
        <w:rPr>
          <w:rFonts w:ascii="Garamond" w:hAnsi="Garamond" w:cs="Garamond"/>
          <w:color w:val="000000"/>
          <w:sz w:val="24"/>
          <w:lang w:eastAsia="en-US"/>
        </w:rPr>
      </w:pPr>
      <w:r>
        <w:rPr>
          <w:rFonts w:ascii="Garamond" w:hAnsi="Garamond" w:cs="Calibri"/>
          <w:color w:val="000000"/>
          <w:sz w:val="24"/>
        </w:rPr>
        <w:t xml:space="preserve">Finally, </w:t>
      </w:r>
      <w:r>
        <w:rPr>
          <w:rFonts w:ascii="Garamond" w:hAnsi="Garamond" w:cs="Garamond"/>
          <w:color w:val="000000"/>
          <w:sz w:val="24"/>
          <w:lang w:eastAsia="en-US"/>
        </w:rPr>
        <w:t xml:space="preserve">ESBG considers that it is </w:t>
      </w:r>
      <w:r w:rsidRPr="008A3B1D">
        <w:rPr>
          <w:rFonts w:ascii="Garamond" w:hAnsi="Garamond" w:cs="Garamond"/>
          <w:color w:val="000000"/>
          <w:sz w:val="24"/>
          <w:lang w:eastAsia="en-US"/>
        </w:rPr>
        <w:t xml:space="preserve">very important </w:t>
      </w:r>
      <w:r>
        <w:rPr>
          <w:rFonts w:ascii="Garamond" w:hAnsi="Garamond" w:cs="Garamond"/>
          <w:color w:val="000000"/>
          <w:sz w:val="24"/>
          <w:lang w:eastAsia="en-US"/>
        </w:rPr>
        <w:t>that the development of the PRIIPs regulation is</w:t>
      </w:r>
      <w:r w:rsidRPr="008A3B1D">
        <w:rPr>
          <w:rFonts w:ascii="Garamond" w:hAnsi="Garamond" w:cs="Garamond"/>
          <w:color w:val="000000"/>
          <w:sz w:val="24"/>
          <w:lang w:eastAsia="en-US"/>
        </w:rPr>
        <w:t xml:space="preserve"> </w:t>
      </w:r>
      <w:r>
        <w:rPr>
          <w:rFonts w:ascii="Garamond" w:hAnsi="Garamond" w:cs="Garamond"/>
          <w:color w:val="000000"/>
          <w:sz w:val="24"/>
          <w:lang w:eastAsia="en-US"/>
        </w:rPr>
        <w:t>consistent with MiFID II</w:t>
      </w:r>
      <w:r w:rsidRPr="008A3B1D">
        <w:rPr>
          <w:rFonts w:ascii="Garamond" w:hAnsi="Garamond" w:cs="Garamond"/>
          <w:color w:val="000000"/>
          <w:sz w:val="24"/>
          <w:lang w:eastAsia="en-US"/>
        </w:rPr>
        <w:t xml:space="preserve"> </w:t>
      </w:r>
      <w:r>
        <w:rPr>
          <w:rFonts w:ascii="Garamond" w:hAnsi="Garamond" w:cs="Garamond"/>
          <w:color w:val="000000"/>
          <w:sz w:val="24"/>
          <w:lang w:eastAsia="en-US"/>
        </w:rPr>
        <w:t xml:space="preserve">and avoids duplication or inconsistencies of pre-contractual information to the retail client. </w:t>
      </w:r>
    </w:p>
    <w:permEnd w:id="1516700296"/>
    <w:p w:rsidR="00D34282" w:rsidRDefault="00D34282" w:rsidP="00D34282">
      <w:r w:rsidRPr="00C25863">
        <w:lastRenderedPageBreak/>
        <w:t>&lt;</w:t>
      </w:r>
      <w:r w:rsidRPr="00D74C9D">
        <w:t xml:space="preserve"> </w:t>
      </w:r>
      <w:r>
        <w:t>ESMA_</w:t>
      </w:r>
      <w:r w:rsidR="00F31E57" w:rsidRPr="00F31E57">
        <w:t>COMMENT_PRIIPs</w:t>
      </w:r>
      <w:r w:rsidRPr="00C25863">
        <w:t>_1&gt;</w:t>
      </w:r>
    </w:p>
    <w:p w:rsidR="00F31E57" w:rsidRDefault="00F31E57" w:rsidP="00D34282"/>
    <w:p w:rsidR="00F31E57" w:rsidRDefault="00F31E57">
      <w:r>
        <w:br w:type="page"/>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lastRenderedPageBreak/>
        <w:t>Please state your preference on the general approach how a distribution of returns should be established for the risk indic</w:t>
      </w:r>
      <w:r w:rsidR="001A5E5C">
        <w:t xml:space="preserve">ator and performance scenarios’ </w:t>
      </w:r>
      <w:r>
        <w:t xml:space="preserve">purposes. Include your considerations and caveats. </w:t>
      </w:r>
    </w:p>
    <w:p w:rsidR="00F31E57" w:rsidRDefault="00F31E57" w:rsidP="00F31E57"/>
    <w:p w:rsidR="00F31E57" w:rsidRDefault="00F31E57" w:rsidP="00F31E57">
      <w:r>
        <w:t>&lt;ESMA_QUESTION_PRIIPs_1&gt;</w:t>
      </w:r>
    </w:p>
    <w:p w:rsidR="00F31E57" w:rsidRDefault="00F31E57" w:rsidP="00F31E57">
      <w:permStart w:id="342847619" w:edGrp="everyone"/>
      <w:r>
        <w:t>TYPE YOUR TEXT HERE</w:t>
      </w:r>
    </w:p>
    <w:permEnd w:id="342847619"/>
    <w:p w:rsidR="00F31E57" w:rsidRDefault="00F31E57" w:rsidP="00F31E57">
      <w:r>
        <w:t>&lt;ESMA_QUESTION_PRIIPs_1&gt;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How should the regulatory technical standards define a model and the method of choosing the model parameters for the purposes of calculating a risk measure and determining performance under a variety of scenarios?</w:t>
      </w:r>
    </w:p>
    <w:p w:rsidR="00F31E57" w:rsidRDefault="00F31E57" w:rsidP="00F31E57"/>
    <w:p w:rsidR="00F31E57" w:rsidRDefault="00F31E57" w:rsidP="00F31E57">
      <w:r>
        <w:t>&lt;ESMA_QUESTION_PRIIPs_2&gt;</w:t>
      </w:r>
    </w:p>
    <w:p w:rsidR="0004031C" w:rsidRPr="002F09EC" w:rsidRDefault="0004031C" w:rsidP="0004031C">
      <w:pPr>
        <w:pStyle w:val="ESBG"/>
        <w:rPr>
          <w:u w:val="single"/>
        </w:rPr>
      </w:pPr>
      <w:permStart w:id="1176118999" w:edGrp="everyone"/>
      <w:r w:rsidRPr="002F09EC">
        <w:rPr>
          <w:u w:val="single"/>
        </w:rPr>
        <w:t>Risk factor:</w:t>
      </w:r>
    </w:p>
    <w:p w:rsidR="0004031C" w:rsidRPr="002F09EC" w:rsidRDefault="0004031C" w:rsidP="0004031C">
      <w:pPr>
        <w:pStyle w:val="ESBG"/>
      </w:pPr>
      <w:r w:rsidRPr="002F09EC">
        <w:t xml:space="preserve">The scope of the parameters to be considered should be specified by the RTS as far as possible to ensure a comparability between the products and sufficient degree of legal certainty. </w:t>
      </w:r>
      <w:r>
        <w:t>Therefore we plead for detailed regulatory specifications.</w:t>
      </w:r>
    </w:p>
    <w:p w:rsidR="0004031C" w:rsidRPr="002F09EC" w:rsidRDefault="0004031C" w:rsidP="0004031C">
      <w:pPr>
        <w:pStyle w:val="ESBG"/>
      </w:pPr>
      <w:r w:rsidRPr="002F09EC">
        <w:tab/>
      </w:r>
    </w:p>
    <w:p w:rsidR="0004031C" w:rsidRPr="002F09EC" w:rsidRDefault="0004031C" w:rsidP="0004031C">
      <w:pPr>
        <w:pStyle w:val="ESBG"/>
        <w:rPr>
          <w:u w:val="single"/>
        </w:rPr>
      </w:pPr>
      <w:r w:rsidRPr="002F09EC">
        <w:rPr>
          <w:u w:val="single"/>
        </w:rPr>
        <w:t>Scenarios:</w:t>
      </w:r>
    </w:p>
    <w:p w:rsidR="0004031C" w:rsidRPr="002F09EC" w:rsidRDefault="0004031C" w:rsidP="0004031C">
      <w:pPr>
        <w:pStyle w:val="ESBG"/>
      </w:pPr>
      <w:r w:rsidRPr="002F09EC">
        <w:t>Scenarios should not in principle be based on models, but follow a neutral representation. It would be conceivable to have a narrative representation (in a table) of three performance scenarios (positive, neutral, negative) in order to be as simple as possible. The additional narrative presentation of performance scenarios (in tabular form) has the advantage that the product mechanics are well illustrated</w:t>
      </w:r>
      <w:r w:rsidRPr="00852B4D">
        <w:t>.</w:t>
      </w:r>
    </w:p>
    <w:permEnd w:id="1176118999"/>
    <w:p w:rsidR="00F31E57" w:rsidRDefault="00F31E57" w:rsidP="00F31E57">
      <w:r>
        <w:t>&lt;ESMA_QUESTION_PRIIPs_2&gt;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 on what benchmark should be used and why. Are there specific products or underlying investments for which a specific growth rate would be more or less applicable?</w:t>
      </w:r>
    </w:p>
    <w:p w:rsidR="00F31E57" w:rsidRDefault="00F31E57" w:rsidP="00F31E57"/>
    <w:p w:rsidR="00F31E57" w:rsidRDefault="00F31E57" w:rsidP="00F31E57">
      <w:r>
        <w:t>&lt;ESMA_QUESTION_PRIIPs_3&gt;</w:t>
      </w:r>
    </w:p>
    <w:p w:rsidR="0004031C" w:rsidRPr="00852B4D" w:rsidRDefault="0004031C" w:rsidP="0004031C">
      <w:pPr>
        <w:pStyle w:val="ESBG"/>
      </w:pPr>
      <w:permStart w:id="1654725565" w:edGrp="everyone"/>
      <w:r w:rsidRPr="00852B4D">
        <w:t>With regards to the level against which performance is measured, we support the option where the amount invested is considered without any adjustment (option a).</w:t>
      </w:r>
      <w:r w:rsidRPr="002F09EC">
        <w:rPr>
          <w:lang w:val="en-US"/>
        </w:rPr>
        <w:t xml:space="preserve"> </w:t>
      </w:r>
      <w:r w:rsidRPr="009F5C55">
        <w:rPr>
          <w:lang w:val="en-US"/>
        </w:rPr>
        <w:t>Working with growth rates is too complex and will only lead to variable results because it is necessary to work with assumptions.</w:t>
      </w:r>
    </w:p>
    <w:permEnd w:id="1654725565"/>
    <w:p w:rsidR="00F31E57" w:rsidRDefault="00F31E57" w:rsidP="00F31E57">
      <w:r>
        <w:t>&lt;ESMA_QUESTION_PRIIPs_3&gt;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What would be the most reasonable approach to specify the growth rates? Would any of these approaches not work for a specific type of product or underlying investment? </w:t>
      </w:r>
    </w:p>
    <w:p w:rsidR="00F31E57" w:rsidRDefault="00F31E57" w:rsidP="00F31E57"/>
    <w:p w:rsidR="00F31E57" w:rsidRDefault="00F31E57" w:rsidP="00F31E57">
      <w:r>
        <w:t>&lt;ESMA_QUESTION_PRIIPs_4&gt;</w:t>
      </w:r>
    </w:p>
    <w:p w:rsidR="00F31E57" w:rsidRDefault="00F31E57" w:rsidP="00F31E57">
      <w:permStart w:id="782371931" w:edGrp="everyone"/>
      <w:r>
        <w:t>TYPE YOUR TEXT HERE</w:t>
      </w:r>
    </w:p>
    <w:permEnd w:id="782371931"/>
    <w:p w:rsidR="00F31E57" w:rsidRDefault="00F31E57" w:rsidP="00F31E57">
      <w:r>
        <w:t>&lt;ESMA_QUESTION_PRIIPs_4&gt;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 on what time frame or frames should the Risk Indicator and Performance Scenarios be based</w:t>
      </w:r>
    </w:p>
    <w:p w:rsidR="00F31E57" w:rsidRDefault="00F31E57" w:rsidP="00F31E57"/>
    <w:p w:rsidR="00F31E57" w:rsidRDefault="00F31E57" w:rsidP="00F31E57">
      <w:r>
        <w:t>&lt;ESMA_QUESTION_PRIIPs_5&gt;</w:t>
      </w:r>
    </w:p>
    <w:p w:rsidR="0004031C" w:rsidRPr="002F09EC" w:rsidRDefault="0004031C" w:rsidP="0004031C">
      <w:pPr>
        <w:pStyle w:val="ESBG"/>
      </w:pPr>
      <w:permStart w:id="1532636388" w:edGrp="everyone"/>
      <w:r w:rsidRPr="002F09EC">
        <w:t xml:space="preserve">In general, the time frame should correspond to the maturity of the product. A shorter tenor would be an incorrect description of the potential outcomes of the product. If there is no fixed maturity </w:t>
      </w:r>
      <w:r w:rsidRPr="002F09EC">
        <w:lastRenderedPageBreak/>
        <w:t xml:space="preserve">date, the recommended holding period could be appropriate. Therefore, a standardised holding period assumption would be required for open ended products. </w:t>
      </w:r>
    </w:p>
    <w:p w:rsidR="0004031C" w:rsidRPr="002F09EC" w:rsidRDefault="0004031C" w:rsidP="0004031C">
      <w:pPr>
        <w:pStyle w:val="ESBG"/>
      </w:pPr>
    </w:p>
    <w:p w:rsidR="0004031C" w:rsidRDefault="0004031C" w:rsidP="0004031C">
      <w:pPr>
        <w:pStyle w:val="ESBG"/>
      </w:pPr>
      <w:r w:rsidRPr="002F09EC">
        <w:t>In order to achieve comparability, annual values may be specified</w:t>
      </w:r>
    </w:p>
    <w:permEnd w:id="1532636388"/>
    <w:p w:rsidR="00F31E57" w:rsidRDefault="00F31E57" w:rsidP="00F31E57">
      <w:r>
        <w:t>&lt;ESMA_QUESTION_PRIIPs_5&gt;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lang w:eastAsia="zh-CN"/>
        </w:rPr>
      </w:pPr>
      <w:r>
        <w:rPr>
          <w:rFonts w:eastAsia="Times New Roman"/>
          <w:lang w:eastAsia="zh-CN"/>
        </w:rPr>
        <w:t>Do you have any views on these considerations on the assessment of credit risk, and in particular regarding the use of credit ratings?</w:t>
      </w:r>
    </w:p>
    <w:p w:rsidR="00F31E57" w:rsidRDefault="00F31E57" w:rsidP="00F31E57">
      <w:pPr>
        <w:rPr>
          <w:rFonts w:eastAsiaTheme="minorHAnsi"/>
          <w:lang w:eastAsia="en-US"/>
        </w:rPr>
      </w:pPr>
    </w:p>
    <w:p w:rsidR="00F31E57" w:rsidRDefault="00F31E57" w:rsidP="00F31E57">
      <w:r>
        <w:t>&lt;ESMA_QUESTION_PRIIPs_6&gt;</w:t>
      </w:r>
    </w:p>
    <w:p w:rsidR="00F31E57" w:rsidRDefault="00F31E57" w:rsidP="00F31E57">
      <w:permStart w:id="88364170" w:edGrp="everyone"/>
      <w:r>
        <w:t>TYPE YOUR TEXT HERE</w:t>
      </w:r>
    </w:p>
    <w:permEnd w:id="88364170"/>
    <w:p w:rsidR="00F31E57" w:rsidRDefault="00F31E57" w:rsidP="00F31E57">
      <w:r>
        <w:t>&lt;ESMA_QUESTION_PRIIPs_6&gt;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Do you agree that liquidity issues should be reflected in the risk section, in addition to clarifications provided in other section of the KID? </w:t>
      </w:r>
    </w:p>
    <w:p w:rsidR="00F31E57" w:rsidRDefault="00F31E57" w:rsidP="00F31E57"/>
    <w:p w:rsidR="00F31E57" w:rsidRDefault="00F31E57" w:rsidP="00F31E57">
      <w:r>
        <w:t>&lt;ESMA_QUESTION_PRIIPs_7&gt;</w:t>
      </w:r>
    </w:p>
    <w:p w:rsidR="0004031C" w:rsidRDefault="0004031C" w:rsidP="0004031C">
      <w:pPr>
        <w:pStyle w:val="ESBG"/>
      </w:pPr>
      <w:permStart w:id="2052141005" w:edGrp="everyone"/>
      <w:r w:rsidRPr="00852B4D">
        <w:t>While we agree that the liquidity issue should be reflected in the risk section, we request that the liquidity risk should not be included in a summary risk indicator. Additionally, it should be explained in a qualitative and narrative way.</w:t>
      </w:r>
    </w:p>
    <w:p w:rsidR="0004031C" w:rsidRDefault="0004031C" w:rsidP="0004031C">
      <w:pPr>
        <w:pStyle w:val="ESBG"/>
      </w:pPr>
    </w:p>
    <w:p w:rsidR="0004031C" w:rsidRPr="00852B4D" w:rsidRDefault="0004031C" w:rsidP="0004031C">
      <w:pPr>
        <w:pStyle w:val="ESBG"/>
      </w:pPr>
      <w:r w:rsidRPr="00852B4D">
        <w:t>We prefer an approach with a descriptive presentation of the tradability of the financial instrument as well as the factors determining market prices. This would roughly correspond to the ESAs’ "Liquidity Profiles".</w:t>
      </w:r>
    </w:p>
    <w:p w:rsidR="0004031C" w:rsidRPr="00852B4D" w:rsidRDefault="0004031C" w:rsidP="0004031C">
      <w:pPr>
        <w:pStyle w:val="ESBG"/>
      </w:pPr>
    </w:p>
    <w:p w:rsidR="0004031C" w:rsidRDefault="0004031C" w:rsidP="0004031C">
      <w:pPr>
        <w:pStyle w:val="ESBG"/>
      </w:pPr>
      <w:r w:rsidRPr="00852B4D">
        <w:t>Then in the "risk" section of the product there should be a heading "price risk" giving an indication that the retail investor bears the risk that may lead to fluctuations in value during the term of the product.</w:t>
      </w:r>
    </w:p>
    <w:p w:rsidR="0004031C" w:rsidRDefault="0004031C" w:rsidP="0004031C">
      <w:pPr>
        <w:pStyle w:val="ESBG"/>
      </w:pPr>
    </w:p>
    <w:p w:rsidR="0004031C" w:rsidRDefault="0004031C" w:rsidP="0004031C">
      <w:pPr>
        <w:pStyle w:val="ESBG"/>
      </w:pPr>
      <w:r w:rsidRPr="00852B4D">
        <w:t>There should be then a section on "availability" which help</w:t>
      </w:r>
      <w:r>
        <w:t>s</w:t>
      </w:r>
      <w:r w:rsidRPr="00852B4D">
        <w:t xml:space="preserve"> retail investor's assessment of price change risks, i.e. the risks arising from the liquidity profile of the financial instrument. </w:t>
      </w:r>
      <w:r>
        <w:t>T</w:t>
      </w:r>
      <w:r w:rsidRPr="00852B4D">
        <w:t>itling it "liquidity risk" would however be inaccurate and possibly even misleading.</w:t>
      </w:r>
    </w:p>
    <w:permEnd w:id="2052141005"/>
    <w:p w:rsidR="00F31E57" w:rsidRDefault="00F31E57" w:rsidP="00F31E57">
      <w:r>
        <w:t>&lt;ESMA_QUESTION_PRIIPs_7&gt;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consider that qualitative measures such as the ones proposed are appropriate or that they need to be supplemented with some quantitative measure to some extent?</w:t>
      </w:r>
    </w:p>
    <w:p w:rsidR="00F31E57" w:rsidRDefault="00F31E57" w:rsidP="00F31E57"/>
    <w:p w:rsidR="00F31E57" w:rsidRDefault="00F31E57" w:rsidP="00F31E57">
      <w:r>
        <w:t>&lt;ESMA_QUESTION_PRIIPs_8&gt;</w:t>
      </w:r>
    </w:p>
    <w:p w:rsidR="0004031C" w:rsidRPr="0021585C" w:rsidRDefault="0004031C" w:rsidP="0004031C">
      <w:pPr>
        <w:rPr>
          <w:lang w:val="en-US"/>
        </w:rPr>
      </w:pPr>
      <w:permStart w:id="403067989" w:edGrp="everyone"/>
      <w:r w:rsidRPr="00665BE2">
        <w:rPr>
          <w:rStyle w:val="ESBGChar"/>
        </w:rPr>
        <w:t xml:space="preserve">As responded in Q7, a precise narrative of </w:t>
      </w:r>
      <w:r>
        <w:rPr>
          <w:rStyle w:val="ESBGChar"/>
        </w:rPr>
        <w:t>price- and availability</w:t>
      </w:r>
      <w:r w:rsidRPr="00665BE2">
        <w:rPr>
          <w:rStyle w:val="ESBGChar"/>
        </w:rPr>
        <w:t xml:space="preserve"> risks seems more accurate. Furthermore, a statement whether the product is liquid or not in our view should not be made.</w:t>
      </w:r>
    </w:p>
    <w:permEnd w:id="403067989"/>
    <w:p w:rsidR="00F31E57" w:rsidRDefault="00F31E57" w:rsidP="00F31E57">
      <w:r>
        <w:t>&lt;ESMA_QUESTION_PRIIPs_8&gt;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most appropriate criteria and risk levels´ definition in case this approach was selected. </w:t>
      </w:r>
    </w:p>
    <w:p w:rsidR="00F31E57" w:rsidRDefault="00F31E57" w:rsidP="00F31E57"/>
    <w:p w:rsidR="00F31E57" w:rsidRDefault="00F31E57" w:rsidP="00F31E57">
      <w:r>
        <w:t>&lt;ESMA_QUESTION_PRIIPs_9&gt;</w:t>
      </w:r>
    </w:p>
    <w:p w:rsidR="00F31E57" w:rsidRDefault="00F31E57" w:rsidP="00F31E57">
      <w:permStart w:id="938428511" w:edGrp="everyone"/>
      <w:r>
        <w:t>TYPE YOUR TEXT HERE</w:t>
      </w:r>
    </w:p>
    <w:permEnd w:id="938428511"/>
    <w:p w:rsidR="00F31E57" w:rsidRDefault="00F31E57" w:rsidP="00F31E57">
      <w:r>
        <w:t>&lt;ESMA_QUESTION_PRIIPs_9&gt;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lastRenderedPageBreak/>
        <w:t>Please state your views on the required parameters and possible amendments to this indicator.</w:t>
      </w:r>
    </w:p>
    <w:p w:rsidR="00F31E57" w:rsidRDefault="00F31E57" w:rsidP="00F31E57"/>
    <w:p w:rsidR="00F31E57" w:rsidRDefault="00F31E57" w:rsidP="00F31E57">
      <w:r>
        <w:t>&lt;ESMA_QUESTION_PRIIPs_10&gt;</w:t>
      </w:r>
    </w:p>
    <w:p w:rsidR="00F31E57" w:rsidRDefault="00F31E57" w:rsidP="00F31E57">
      <w:permStart w:id="804654334" w:edGrp="everyone"/>
      <w:r>
        <w:t>TYPE YOUR TEXT HERE</w:t>
      </w:r>
    </w:p>
    <w:permEnd w:id="804654334"/>
    <w:p w:rsidR="00F31E57" w:rsidRDefault="00F31E57" w:rsidP="00F31E57">
      <w:r>
        <w:t>&lt;ESMA_QUESTION_PRIIPs_10&gt;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appropriate details to regulate this approach, should it be selected. </w:t>
      </w:r>
    </w:p>
    <w:p w:rsidR="00F31E57" w:rsidRDefault="00F31E57" w:rsidP="00F31E57"/>
    <w:p w:rsidR="00F31E57" w:rsidRDefault="00F31E57" w:rsidP="00F31E57">
      <w:r>
        <w:t>&lt;ESMA_QUESTION_PRIIPs_11&gt;</w:t>
      </w:r>
    </w:p>
    <w:p w:rsidR="00F31E57" w:rsidRDefault="00F31E57" w:rsidP="00F31E57">
      <w:permStart w:id="1711814508" w:edGrp="everyone"/>
      <w:r>
        <w:t>TYPE YOUR TEXT HERE</w:t>
      </w:r>
    </w:p>
    <w:permEnd w:id="1711814508"/>
    <w:p w:rsidR="00F31E57" w:rsidRDefault="00F31E57" w:rsidP="00F31E57">
      <w:r>
        <w:t>&lt;ESMA_QUESTION_PRIIPs_11&gt;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general principles of this approach, should it be selected. How would you like to see the risk measure and parameters, why? </w:t>
      </w:r>
    </w:p>
    <w:p w:rsidR="00F31E57" w:rsidRDefault="00F31E57" w:rsidP="00F31E57"/>
    <w:p w:rsidR="00F31E57" w:rsidRDefault="00F31E57" w:rsidP="00F31E57">
      <w:r>
        <w:t>&lt;ESMA_QUESTION_PRIIPs_12&gt;</w:t>
      </w:r>
    </w:p>
    <w:p w:rsidR="00F31E57" w:rsidRDefault="00F31E57" w:rsidP="00F31E57">
      <w:permStart w:id="1633028381" w:edGrp="everyone"/>
      <w:r>
        <w:t>TYPE YOUR TEXT HERE</w:t>
      </w:r>
    </w:p>
    <w:permEnd w:id="1633028381"/>
    <w:p w:rsidR="00F31E57" w:rsidRDefault="00F31E57" w:rsidP="00F31E57">
      <w:r>
        <w:t>&lt;ESMA_QUESTION_PRIIPs_12&gt;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potential use of a two-level indicator. What kind of differentiators should be set both for the first level and the second level of such an indicator? </w:t>
      </w:r>
    </w:p>
    <w:p w:rsidR="00F31E57" w:rsidRDefault="00F31E57" w:rsidP="00F31E57"/>
    <w:p w:rsidR="00F31E57" w:rsidRDefault="00F31E57" w:rsidP="00F31E57">
      <w:r>
        <w:t>&lt;ESMA_QUESTION_PRIIPs_13&gt;</w:t>
      </w:r>
    </w:p>
    <w:p w:rsidR="0004031C" w:rsidRDefault="0004031C" w:rsidP="0004031C">
      <w:pPr>
        <w:pStyle w:val="ESBG"/>
      </w:pPr>
      <w:permStart w:id="1668706543" w:edGrp="everyone"/>
      <w:r>
        <w:t>ESBG does not see this option as appropriate for the PRIIPs’ risk indicator.</w:t>
      </w:r>
    </w:p>
    <w:permEnd w:id="1668706543"/>
    <w:p w:rsidR="00F31E57" w:rsidRDefault="00F31E57" w:rsidP="00F31E57">
      <w:r>
        <w:t>&lt;ESMA_QUESTION_PRIIPs_13&gt;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have suggestions or concrete proposals on which risk scale to use and where or how the cut-off points should be determined?</w:t>
      </w:r>
    </w:p>
    <w:p w:rsidR="00F31E57" w:rsidRDefault="00F31E57" w:rsidP="00F31E57"/>
    <w:p w:rsidR="00F31E57" w:rsidRDefault="00F31E57" w:rsidP="00F31E57">
      <w:r>
        <w:t>&lt;ESMA_QUESTION_PRIIPs_14&gt;</w:t>
      </w:r>
    </w:p>
    <w:p w:rsidR="0004031C" w:rsidRDefault="0004031C" w:rsidP="0004031C">
      <w:pPr>
        <w:pStyle w:val="ESBG"/>
        <w:rPr>
          <w:lang w:val="en-US"/>
        </w:rPr>
      </w:pPr>
      <w:permStart w:id="754606954" w:edGrp="everyone"/>
      <w:r w:rsidRPr="004E101B">
        <w:rPr>
          <w:lang w:val="en-US"/>
        </w:rPr>
        <w:t>We believe that what is important is that the risk scale has sufficient granularity to differentiate properly the different PRIIPs.</w:t>
      </w:r>
      <w:r>
        <w:rPr>
          <w:lang w:val="en-US"/>
        </w:rPr>
        <w:t xml:space="preserve"> </w:t>
      </w:r>
      <w:r w:rsidRPr="004E101B">
        <w:rPr>
          <w:lang w:val="en-US"/>
        </w:rPr>
        <w:t>Both a scale ranging from 1 to 5 or from 1 to 7 would thus seem appropriate.</w:t>
      </w:r>
    </w:p>
    <w:permEnd w:id="754606954"/>
    <w:p w:rsidR="00F31E57" w:rsidRDefault="00F31E57" w:rsidP="00F31E57">
      <w:r>
        <w:t>&lt;ESMA_QUESTION_PRIIPs_14&gt;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express your views on the assessment described above and the relative relevance of the different criteria that may be considered.</w:t>
      </w:r>
    </w:p>
    <w:p w:rsidR="00F31E57" w:rsidRDefault="00F31E57" w:rsidP="00F31E57"/>
    <w:p w:rsidR="00F31E57" w:rsidRDefault="00F31E57" w:rsidP="00F31E57">
      <w:r>
        <w:t>&lt;ESMA_QUESTION_PRIIPs_15&gt;</w:t>
      </w:r>
    </w:p>
    <w:p w:rsidR="0004031C" w:rsidRDefault="0004031C" w:rsidP="0004031C">
      <w:pPr>
        <w:pStyle w:val="ESBG"/>
        <w:rPr>
          <w:rFonts w:cs="Calibri"/>
          <w:color w:val="000000"/>
        </w:rPr>
      </w:pPr>
      <w:permStart w:id="1461993501" w:edGrp="everyone"/>
      <w:r w:rsidRPr="00852B4D">
        <w:t>We prefer scenarios showing the development of the product in the market according to the maturity of the product wi</w:t>
      </w:r>
      <w:r>
        <w:t xml:space="preserve">thout recourse to probabilities, and more precisely </w:t>
      </w:r>
      <w:r>
        <w:rPr>
          <w:rFonts w:cs="Calibri"/>
          <w:color w:val="000000"/>
        </w:rPr>
        <w:t>w</w:t>
      </w:r>
      <w:r w:rsidRPr="00852B4D">
        <w:rPr>
          <w:rFonts w:cs="Calibri"/>
          <w:color w:val="000000"/>
        </w:rPr>
        <w:t>e favour a mix of option one and option two where the manufacturer is allowed to decide on the different scenarios according to the different kind of pay offs while defining a standardization of t</w:t>
      </w:r>
      <w:r>
        <w:rPr>
          <w:rFonts w:cs="Calibri"/>
          <w:color w:val="000000"/>
        </w:rPr>
        <w:t>he movements of the underlying.</w:t>
      </w:r>
    </w:p>
    <w:p w:rsidR="0004031C" w:rsidRDefault="0004031C" w:rsidP="0004031C">
      <w:pPr>
        <w:pStyle w:val="ESBG"/>
        <w:rPr>
          <w:rFonts w:cs="Calibri"/>
          <w:color w:val="000000"/>
        </w:rPr>
      </w:pPr>
    </w:p>
    <w:p w:rsidR="0004031C" w:rsidRPr="00852B4D" w:rsidRDefault="0004031C" w:rsidP="0004031C">
      <w:pPr>
        <w:pStyle w:val="ESBG"/>
        <w:rPr>
          <w:rFonts w:cs="Calibri"/>
          <w:color w:val="000000"/>
        </w:rPr>
      </w:pPr>
      <w:r w:rsidRPr="00852B4D">
        <w:rPr>
          <w:rFonts w:cs="Calibri"/>
          <w:color w:val="000000"/>
        </w:rPr>
        <w:t>The scenarios should not include probabilities of occurrences for the reasons presented below:</w:t>
      </w:r>
    </w:p>
    <w:p w:rsidR="0004031C" w:rsidRPr="00852B4D" w:rsidRDefault="0004031C" w:rsidP="0004031C">
      <w:pPr>
        <w:pStyle w:val="ESBG"/>
        <w:numPr>
          <w:ilvl w:val="0"/>
          <w:numId w:val="51"/>
        </w:numPr>
        <w:ind w:left="426" w:hanging="357"/>
        <w:rPr>
          <w:rFonts w:cs="Calibri"/>
          <w:color w:val="000000"/>
        </w:rPr>
      </w:pPr>
      <w:r w:rsidRPr="00852B4D">
        <w:rPr>
          <w:rFonts w:cs="Calibri"/>
          <w:color w:val="000000"/>
        </w:rPr>
        <w:t xml:space="preserve">The computation of probabilities of the performance scenarios implies the use of assumptions and models, which increases the risk of errors. The calculation on the basis of probabilities by </w:t>
      </w:r>
      <w:r w:rsidRPr="00852B4D">
        <w:rPr>
          <w:rFonts w:cs="Calibri"/>
          <w:color w:val="000000"/>
        </w:rPr>
        <w:lastRenderedPageBreak/>
        <w:t>means of historical data (back-testing) or market price models (simulations) is difficult to understand and partly not comprehensible for consumers.</w:t>
      </w:r>
    </w:p>
    <w:p w:rsidR="0004031C" w:rsidRPr="00852B4D" w:rsidRDefault="0004031C" w:rsidP="0004031C">
      <w:pPr>
        <w:pStyle w:val="ESBG"/>
        <w:numPr>
          <w:ilvl w:val="0"/>
          <w:numId w:val="51"/>
        </w:numPr>
        <w:ind w:left="426" w:hanging="357"/>
        <w:rPr>
          <w:rFonts w:cs="Calibri"/>
          <w:color w:val="000000"/>
        </w:rPr>
      </w:pPr>
      <w:r w:rsidRPr="00852B4D">
        <w:rPr>
          <w:rFonts w:cs="Calibri"/>
          <w:color w:val="000000"/>
        </w:rPr>
        <w:t>Investors might misinterpret the figures displayed in the probabilities, focusing only on the probability of favourable scenarios or taking them as a guarantee for future performance.</w:t>
      </w:r>
    </w:p>
    <w:p w:rsidR="0004031C" w:rsidRPr="00852B4D" w:rsidRDefault="0004031C" w:rsidP="0004031C">
      <w:pPr>
        <w:pStyle w:val="ESBG"/>
        <w:numPr>
          <w:ilvl w:val="0"/>
          <w:numId w:val="51"/>
        </w:numPr>
        <w:ind w:left="426" w:hanging="357"/>
        <w:rPr>
          <w:rFonts w:cs="Calibri"/>
          <w:color w:val="000000"/>
        </w:rPr>
      </w:pPr>
      <w:r w:rsidRPr="00852B4D">
        <w:rPr>
          <w:rFonts w:cs="Calibri"/>
          <w:color w:val="000000"/>
        </w:rPr>
        <w:t>Different probabilistic models could give different results for the same product which will reduce the comparability of the products and confuse retail investors, this would require that sufficient data exists and uniform methods are applied.</w:t>
      </w:r>
    </w:p>
    <w:p w:rsidR="0004031C" w:rsidRPr="00852B4D" w:rsidRDefault="0004031C" w:rsidP="0004031C">
      <w:pPr>
        <w:pStyle w:val="ESBG"/>
        <w:numPr>
          <w:ilvl w:val="0"/>
          <w:numId w:val="51"/>
        </w:numPr>
        <w:ind w:left="426" w:hanging="357"/>
      </w:pPr>
      <w:r w:rsidRPr="00852B4D">
        <w:rPr>
          <w:rFonts w:cs="Calibri"/>
          <w:color w:val="000000"/>
        </w:rPr>
        <w:t>Regarding the time horizon, it should differentiate between these two patterns: (</w:t>
      </w:r>
      <w:proofErr w:type="spellStart"/>
      <w:r w:rsidRPr="00852B4D">
        <w:rPr>
          <w:rFonts w:cs="Calibri"/>
          <w:color w:val="000000"/>
        </w:rPr>
        <w:t>i</w:t>
      </w:r>
      <w:proofErr w:type="spellEnd"/>
      <w:r w:rsidRPr="00852B4D">
        <w:rPr>
          <w:rFonts w:cs="Calibri"/>
          <w:color w:val="000000"/>
        </w:rPr>
        <w:t>) one for fixed term products, where a scenario before maturity should be considered and another scenario at maturity, and (ii) one for non-fixed term products where standards scenarios could be introduced.</w:t>
      </w:r>
    </w:p>
    <w:permEnd w:id="1461993501"/>
    <w:p w:rsidR="00F31E57" w:rsidRDefault="00F31E57" w:rsidP="00F31E57">
      <w:r>
        <w:t>&lt;ESMA_QUESTION_PRIIPs_15&gt;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these principles are sufficient to avoid the risks of manufacturers presenting a non-realistic performance picture of the product? Do you think that they should be reinforced?</w:t>
      </w:r>
    </w:p>
    <w:p w:rsidR="00F31E57" w:rsidRDefault="00F31E57" w:rsidP="00F31E57"/>
    <w:p w:rsidR="00F31E57" w:rsidRDefault="00F31E57" w:rsidP="00F31E57">
      <w:r>
        <w:t>&lt;ESMA_QUESTION_PRIIPs_16&gt;</w:t>
      </w:r>
    </w:p>
    <w:p w:rsidR="0004031C" w:rsidRPr="00852B4D" w:rsidRDefault="0004031C" w:rsidP="0004031C">
      <w:pPr>
        <w:pStyle w:val="ESBG"/>
      </w:pPr>
      <w:permStart w:id="48256282" w:edGrp="everyone"/>
      <w:r w:rsidRPr="00852B4D">
        <w:t>In our view, it is built on scenario probabilities which is subject to certain assumptions that cannot be understood by a retail client.</w:t>
      </w:r>
    </w:p>
    <w:p w:rsidR="0004031C" w:rsidRPr="00852B4D" w:rsidRDefault="0004031C" w:rsidP="0004031C">
      <w:pPr>
        <w:pStyle w:val="ESBG"/>
      </w:pPr>
    </w:p>
    <w:p w:rsidR="0004031C" w:rsidRDefault="0004031C" w:rsidP="0004031C">
      <w:pPr>
        <w:pStyle w:val="ESBG"/>
      </w:pPr>
      <w:r w:rsidRPr="00852B4D">
        <w:t>In any case the regulator should publish guidelines for performance scenario.</w:t>
      </w:r>
      <w:r>
        <w:t xml:space="preserve"> </w:t>
      </w:r>
      <w:r w:rsidRPr="00852B4D">
        <w:t>These should be similar to those for structured UCTIS (CESR-1-1318).</w:t>
      </w:r>
    </w:p>
    <w:permEnd w:id="48256282"/>
    <w:p w:rsidR="00F31E57" w:rsidRDefault="00F31E57" w:rsidP="00F31E57">
      <w:r>
        <w:t>&lt;ESMA_QUESTION_PRIIPs_16&gt;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the options presented would represent appropriate performance scenarios? What other standardized scenarios may be fixed?</w:t>
      </w:r>
    </w:p>
    <w:p w:rsidR="00F31E57" w:rsidRDefault="00F31E57" w:rsidP="00F31E57"/>
    <w:p w:rsidR="00F31E57" w:rsidRDefault="00F31E57" w:rsidP="00F31E57">
      <w:r>
        <w:t>&lt;ESMA_QUESTION_PRIIPs_17&gt;</w:t>
      </w:r>
    </w:p>
    <w:p w:rsidR="0004031C" w:rsidRPr="00852B4D" w:rsidRDefault="0004031C" w:rsidP="0004031C">
      <w:pPr>
        <w:pStyle w:val="ESBG"/>
      </w:pPr>
      <w:permStart w:id="1980399103" w:edGrp="everyone"/>
      <w:r w:rsidRPr="00852B4D">
        <w:t xml:space="preserve">Regarding prescriptions, we prefer an approach similar to the UCITS structured funds where general guidelines are given. The manufacturers than should compile these guidelines to suitable performance scenarios on a per structure level.  </w:t>
      </w:r>
    </w:p>
    <w:p w:rsidR="0004031C" w:rsidRPr="00852B4D" w:rsidRDefault="0004031C" w:rsidP="0004031C">
      <w:pPr>
        <w:pStyle w:val="ESBG"/>
      </w:pPr>
    </w:p>
    <w:p w:rsidR="0004031C" w:rsidRPr="00852B4D" w:rsidRDefault="0004031C" w:rsidP="0004031C">
      <w:pPr>
        <w:pStyle w:val="ESBG"/>
      </w:pPr>
      <w:r w:rsidRPr="00852B4D">
        <w:t xml:space="preserve">To a): </w:t>
      </w:r>
      <w:proofErr w:type="spellStart"/>
      <w:r w:rsidRPr="00852B4D">
        <w:t>backtests</w:t>
      </w:r>
      <w:proofErr w:type="spellEnd"/>
      <w:r w:rsidRPr="00852B4D">
        <w:t xml:space="preserve"> are not possible for all products and should not be </w:t>
      </w:r>
      <w:r>
        <w:t>considered for all cases</w:t>
      </w:r>
      <w:r w:rsidRPr="00852B4D">
        <w:t>.</w:t>
      </w:r>
    </w:p>
    <w:p w:rsidR="0004031C" w:rsidRDefault="0004031C" w:rsidP="0004031C">
      <w:pPr>
        <w:pStyle w:val="ESBG"/>
      </w:pPr>
      <w:r w:rsidRPr="00852B4D">
        <w:t>To b): This approach is not appropriate in many situation</w:t>
      </w:r>
      <w:r>
        <w:t>s</w:t>
      </w:r>
      <w:r w:rsidRPr="00852B4D">
        <w:t>. For example, for a certificate with a barrier at 80%</w:t>
      </w:r>
      <w:r>
        <w:t xml:space="preserve"> of the base amount, a 10% drop</w:t>
      </w:r>
      <w:r w:rsidRPr="00852B4D">
        <w:t xml:space="preserve"> of value would never represent the negative example of the barrier breaking</w:t>
      </w:r>
      <w:r>
        <w:t>. The -10%, 0% and +10% scenarios would all present positive outcomes. T</w:t>
      </w:r>
      <w:r w:rsidRPr="00DC6DEC">
        <w:t>he investor could make the false interpretation that the repayment</w:t>
      </w:r>
      <w:r>
        <w:t xml:space="preserve"> of the same amount</w:t>
      </w:r>
      <w:r w:rsidRPr="00DC6DEC">
        <w:t xml:space="preserve"> is always performed regard</w:t>
      </w:r>
      <w:r>
        <w:t>less of the performance of the u</w:t>
      </w:r>
      <w:r w:rsidRPr="00DC6DEC">
        <w:t>nderlying.</w:t>
      </w:r>
    </w:p>
    <w:permEnd w:id="1980399103"/>
    <w:p w:rsidR="00F31E57" w:rsidRDefault="00F31E57" w:rsidP="00F31E57">
      <w:r>
        <w:t>&lt;ESMA_QUESTION_PRIIPs_17&gt;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Which percentiles do you think should be set? </w:t>
      </w:r>
    </w:p>
    <w:p w:rsidR="00F31E57" w:rsidRDefault="00F31E57" w:rsidP="00F31E57"/>
    <w:p w:rsidR="00F31E57" w:rsidRDefault="00F31E57" w:rsidP="00F31E57">
      <w:r>
        <w:t>&lt;ESMA_QUESTION_PRIIPs_18&gt;</w:t>
      </w:r>
    </w:p>
    <w:p w:rsidR="0004031C" w:rsidRPr="00852B4D" w:rsidRDefault="0004031C" w:rsidP="0004031C">
      <w:pPr>
        <w:pStyle w:val="ESBG"/>
      </w:pPr>
      <w:permStart w:id="821698676" w:edGrp="everyone"/>
      <w:r w:rsidRPr="00852B4D">
        <w:t xml:space="preserve">None at all, because </w:t>
      </w:r>
      <w:r>
        <w:t>there</w:t>
      </w:r>
      <w:r w:rsidRPr="00852B4D">
        <w:t xml:space="preserve"> will always </w:t>
      </w:r>
      <w:r>
        <w:t>be</w:t>
      </w:r>
      <w:r w:rsidRPr="00852B4D">
        <w:t xml:space="preserve"> products for which they are not appropriate.</w:t>
      </w:r>
    </w:p>
    <w:permEnd w:id="821698676"/>
    <w:p w:rsidR="00F31E57" w:rsidRDefault="00F31E57" w:rsidP="00F31E57">
      <w:r>
        <w:t>&lt;ESMA_QUESTION_PRIIPs_18&gt;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have any views on possible combinations?</w:t>
      </w:r>
    </w:p>
    <w:p w:rsidR="00F31E57" w:rsidRDefault="00F31E57" w:rsidP="00F31E57"/>
    <w:p w:rsidR="00F31E57" w:rsidRDefault="00F31E57" w:rsidP="00F31E57">
      <w:r>
        <w:lastRenderedPageBreak/>
        <w:t>&lt;ESMA_QUESTION_PRIIPs_19&gt;</w:t>
      </w:r>
    </w:p>
    <w:p w:rsidR="0004031C" w:rsidRPr="00852B4D" w:rsidRDefault="0004031C" w:rsidP="0004031C">
      <w:pPr>
        <w:pStyle w:val="ESBG"/>
      </w:pPr>
      <w:permStart w:id="230241847" w:edGrp="everyone"/>
      <w:r>
        <w:rPr>
          <w:rFonts w:cs="Arial"/>
          <w:iCs/>
        </w:rPr>
        <w:t>We have a strong preference for the What-If perspective and see no need for combinations with a probability perspective.</w:t>
      </w:r>
    </w:p>
    <w:permEnd w:id="230241847"/>
    <w:p w:rsidR="00F31E57" w:rsidRDefault="00F31E57" w:rsidP="00F31E57">
      <w:r>
        <w:t>&lt;ESMA_QUESTION_PRIIPs_19&gt;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credit events should be considered in the performance scenarios?</w:t>
      </w:r>
    </w:p>
    <w:p w:rsidR="00F31E57" w:rsidRDefault="00F31E57" w:rsidP="00F31E57"/>
    <w:p w:rsidR="00F31E57" w:rsidRDefault="00F31E57" w:rsidP="00F31E57">
      <w:r>
        <w:t>&lt;ESMA_QUESTION_PRIIPs_20&gt;</w:t>
      </w:r>
    </w:p>
    <w:p w:rsidR="0004031C" w:rsidRDefault="0004031C" w:rsidP="0004031C">
      <w:pPr>
        <w:pStyle w:val="ESBG"/>
      </w:pPr>
      <w:permStart w:id="82123730" w:edGrp="everyone"/>
      <w:r w:rsidRPr="00852B4D">
        <w:t>No, unless the product is based on a credit linked note.</w:t>
      </w:r>
      <w:r>
        <w:t xml:space="preserve"> </w:t>
      </w:r>
      <w:r w:rsidRPr="00DC6DEC">
        <w:t xml:space="preserve">The scenario observation should serve to improve the understanding of the product structure. The involvement of the issuer risk in the scenario </w:t>
      </w:r>
      <w:r>
        <w:t>has no benefits</w:t>
      </w:r>
      <w:r w:rsidRPr="00DC6DEC">
        <w:t xml:space="preserve"> but leads to a more complex representation.</w:t>
      </w:r>
    </w:p>
    <w:p w:rsidR="0004031C" w:rsidRDefault="0004031C" w:rsidP="0004031C">
      <w:pPr>
        <w:pStyle w:val="ESBG"/>
      </w:pPr>
    </w:p>
    <w:p w:rsidR="0004031C" w:rsidRDefault="0004031C" w:rsidP="0004031C">
      <w:pPr>
        <w:pStyle w:val="ESBG"/>
      </w:pPr>
      <w:r w:rsidRPr="00852B4D">
        <w:rPr>
          <w:rFonts w:cs="Calibri"/>
          <w:color w:val="000000"/>
        </w:rPr>
        <w:t xml:space="preserve">Instead of introducing in the KID specific scenarios for credit events, which </w:t>
      </w:r>
      <w:r>
        <w:rPr>
          <w:rFonts w:cs="Calibri"/>
          <w:color w:val="000000"/>
        </w:rPr>
        <w:t>would</w:t>
      </w:r>
      <w:r w:rsidRPr="00852B4D">
        <w:rPr>
          <w:rFonts w:cs="Calibri"/>
          <w:color w:val="000000"/>
        </w:rPr>
        <w:t xml:space="preserve"> result in increased complexity that could lead to the retail client not correctly interpreting the scenarios, we think it would be more appropriate to explain the credit event in the qualitative explanation of credit risk.</w:t>
      </w:r>
    </w:p>
    <w:permEnd w:id="82123730"/>
    <w:p w:rsidR="00F31E57" w:rsidRDefault="00F31E57" w:rsidP="00F31E57">
      <w:r>
        <w:t>&lt;ESMA_QUESTION_PRIIPs_20&gt;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such redemption events should be considered in the performance scenarios?</w:t>
      </w:r>
    </w:p>
    <w:p w:rsidR="00F31E57" w:rsidRDefault="00F31E57" w:rsidP="00F31E57"/>
    <w:p w:rsidR="00F31E57" w:rsidRDefault="00F31E57" w:rsidP="00F31E57">
      <w:r>
        <w:t>&lt;ESMA_QUESTION_PRIIPs_21&gt;</w:t>
      </w:r>
    </w:p>
    <w:p w:rsidR="0004031C" w:rsidRPr="004E101B" w:rsidRDefault="0004031C" w:rsidP="0004031C">
      <w:pPr>
        <w:pStyle w:val="ESBG"/>
        <w:rPr>
          <w:lang w:val="en-US"/>
        </w:rPr>
      </w:pPr>
      <w:permStart w:id="1227255923" w:edGrp="everyone"/>
      <w:r w:rsidRPr="004E101B">
        <w:rPr>
          <w:lang w:val="en-US"/>
        </w:rPr>
        <w:t>Redemption events should be considered</w:t>
      </w:r>
      <w:r>
        <w:rPr>
          <w:lang w:val="en-US"/>
        </w:rPr>
        <w:t xml:space="preserve"> </w:t>
      </w:r>
      <w:r w:rsidRPr="00852B4D">
        <w:rPr>
          <w:rFonts w:cs="Calibri"/>
          <w:color w:val="000000"/>
        </w:rPr>
        <w:t>for fixed term products</w:t>
      </w:r>
      <w:r w:rsidRPr="004E101B">
        <w:rPr>
          <w:lang w:val="en-US"/>
        </w:rPr>
        <w:t xml:space="preserve"> in the performance scenarios, to represent the specificity of the products. However, the consideration should always be on the maturity date and not to different holding periods.</w:t>
      </w:r>
    </w:p>
    <w:p w:rsidR="0004031C" w:rsidRPr="004E101B" w:rsidRDefault="0004031C" w:rsidP="0004031C">
      <w:pPr>
        <w:pStyle w:val="ESBG"/>
        <w:rPr>
          <w:lang w:val="en-US"/>
        </w:rPr>
      </w:pPr>
    </w:p>
    <w:p w:rsidR="0004031C" w:rsidRPr="004E101B" w:rsidRDefault="0004031C" w:rsidP="0004031C">
      <w:pPr>
        <w:pStyle w:val="ESBG"/>
        <w:rPr>
          <w:lang w:val="en-US"/>
        </w:rPr>
      </w:pPr>
      <w:r w:rsidRPr="004E101B">
        <w:rPr>
          <w:lang w:val="en-US"/>
        </w:rPr>
        <w:t>But only automatic early redemption, or Holder “put-ability” for a given value on fixed dates should be explained.</w:t>
      </w:r>
    </w:p>
    <w:p w:rsidR="0004031C" w:rsidRPr="004E101B" w:rsidRDefault="0004031C" w:rsidP="0004031C">
      <w:pPr>
        <w:pStyle w:val="ESBG"/>
        <w:rPr>
          <w:lang w:val="en-US"/>
        </w:rPr>
      </w:pPr>
    </w:p>
    <w:p w:rsidR="0004031C" w:rsidRDefault="0004031C" w:rsidP="0004031C">
      <w:pPr>
        <w:pStyle w:val="ESBG"/>
        <w:rPr>
          <w:lang w:val="en-US"/>
        </w:rPr>
      </w:pPr>
      <w:r w:rsidRPr="004E101B">
        <w:rPr>
          <w:lang w:val="en-US"/>
        </w:rPr>
        <w:t>Voluntary redemption as selling the product back in the secondary market should not be considered in the scenarios. It should rather be treated in the section entitled "How long should I hold it and can I take my money out early?”</w:t>
      </w:r>
    </w:p>
    <w:permEnd w:id="1227255923"/>
    <w:p w:rsidR="00F31E57" w:rsidRDefault="00F31E57" w:rsidP="00F31E57">
      <w:r>
        <w:t>&lt;ESMA_QUESTION_PRIIPs_21&gt;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performance in the case of exit before the recommended holding period should be shown? Do you think that fair value should be the figure shown in the case of structured products, other bonds or AIFs? Do you see any other methodological issues in computing performance in several holding periods?</w:t>
      </w:r>
    </w:p>
    <w:p w:rsidR="00F31E57" w:rsidRDefault="00F31E57" w:rsidP="00F31E57"/>
    <w:p w:rsidR="00F31E57" w:rsidRDefault="00F31E57" w:rsidP="00F31E57">
      <w:r>
        <w:t>&lt;ESMA_QUESTION_PRIIPs_22&gt;</w:t>
      </w:r>
    </w:p>
    <w:p w:rsidR="0004031C" w:rsidRDefault="0004031C" w:rsidP="0004031C">
      <w:pPr>
        <w:pStyle w:val="ESBG"/>
        <w:rPr>
          <w:rFonts w:cs="Calibri"/>
          <w:color w:val="000000"/>
        </w:rPr>
      </w:pPr>
      <w:permStart w:id="1198488582" w:edGrp="everyone"/>
      <w:r w:rsidRPr="00852B4D">
        <w:rPr>
          <w:rFonts w:cs="Calibri"/>
          <w:color w:val="000000"/>
        </w:rPr>
        <w:t>We believe that the scenarios should minimize the risk of using model</w:t>
      </w:r>
      <w:r>
        <w:rPr>
          <w:rFonts w:cs="Calibri"/>
          <w:color w:val="000000"/>
        </w:rPr>
        <w:t>s,</w:t>
      </w:r>
      <w:r w:rsidRPr="00852B4D">
        <w:rPr>
          <w:rFonts w:cs="Calibri"/>
          <w:color w:val="000000"/>
        </w:rPr>
        <w:t xml:space="preserve"> and we would prefer to use a narrative</w:t>
      </w:r>
      <w:r>
        <w:rPr>
          <w:rFonts w:cs="Calibri"/>
          <w:color w:val="000000"/>
        </w:rPr>
        <w:t xml:space="preserve">. </w:t>
      </w:r>
      <w:r w:rsidRPr="004E101B">
        <w:rPr>
          <w:lang w:val="en-US"/>
        </w:rPr>
        <w:t>For future periods, the very starting point of the scenario is uncertain and the retail client is likely to misinterpret the conditional expectation of the shown intermediate performance. We believe it will be misinterpreted, and we do not see the benefit for retail investors.</w:t>
      </w:r>
    </w:p>
    <w:p w:rsidR="0004031C" w:rsidRDefault="0004031C" w:rsidP="0004031C">
      <w:pPr>
        <w:pStyle w:val="ESBG"/>
        <w:rPr>
          <w:rFonts w:cs="Calibri"/>
          <w:color w:val="000000"/>
        </w:rPr>
      </w:pPr>
    </w:p>
    <w:p w:rsidR="0004031C" w:rsidRDefault="0004031C" w:rsidP="0004031C">
      <w:pPr>
        <w:pStyle w:val="ESBG"/>
        <w:rPr>
          <w:lang w:val="en-US"/>
        </w:rPr>
      </w:pPr>
      <w:r>
        <w:rPr>
          <w:lang w:val="en-US"/>
        </w:rPr>
        <w:t>In addition, t</w:t>
      </w:r>
      <w:r w:rsidRPr="004E101B">
        <w:rPr>
          <w:lang w:val="en-US"/>
        </w:rPr>
        <w:t xml:space="preserve">he presentation of scenarios for different holding periods is not appropriate as it is too complex and confusing. The scenarios should be placed on the final </w:t>
      </w:r>
      <w:r>
        <w:rPr>
          <w:lang w:val="en-US"/>
        </w:rPr>
        <w:t>maturity.</w:t>
      </w:r>
    </w:p>
    <w:p w:rsidR="0004031C" w:rsidRDefault="0004031C" w:rsidP="0004031C">
      <w:pPr>
        <w:pStyle w:val="ESBG"/>
        <w:rPr>
          <w:lang w:val="en-US"/>
        </w:rPr>
      </w:pPr>
    </w:p>
    <w:p w:rsidR="0004031C" w:rsidRPr="00A96C8C" w:rsidRDefault="0004031C" w:rsidP="0004031C">
      <w:pPr>
        <w:pStyle w:val="ESBG"/>
      </w:pPr>
      <w:r w:rsidRPr="00A96C8C">
        <w:t xml:space="preserve">Additionally, we would strongly recommend ensuring that the cost disclosure requirements are aligned with those cost disclosure requirements under MiFID II, and that the ESAs mention this </w:t>
      </w:r>
      <w:r w:rsidRPr="00A96C8C">
        <w:lastRenderedPageBreak/>
        <w:t>explicitly. If there would be no alignment, the burden for the industry would be unnecessarily high, and even unintended by the legislator.</w:t>
      </w:r>
    </w:p>
    <w:permEnd w:id="1198488582"/>
    <w:p w:rsidR="00F31E57" w:rsidRDefault="00F31E57" w:rsidP="00F31E57">
      <w:r>
        <w:t>&lt;ESMA_QUESTION_PRIIPs_22&gt;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Are the two types of entry costs listed here clear enough? Should the list be further detailed or completed (notably in the case of acquisition costs)? </w:t>
      </w:r>
      <w:r>
        <w:rPr>
          <w:rFonts w:eastAsia="Times New Roman" w:cs="Arial"/>
          <w:lang w:eastAsia="zh-TW"/>
        </w:rPr>
        <w:t xml:space="preserve">Should some of these costs included in the on-going charges? </w:t>
      </w:r>
    </w:p>
    <w:p w:rsidR="00F31E57" w:rsidRDefault="00F31E57" w:rsidP="00F31E57">
      <w:pPr>
        <w:rPr>
          <w:rFonts w:cstheme="minorBidi"/>
        </w:rPr>
      </w:pPr>
    </w:p>
    <w:p w:rsidR="00F31E57" w:rsidRDefault="00F31E57" w:rsidP="00F31E57">
      <w:r>
        <w:t>&lt;ESMA_QUESTION_PRIIPs_23&gt;</w:t>
      </w:r>
    </w:p>
    <w:p w:rsidR="0004031C" w:rsidRDefault="0004031C" w:rsidP="0004031C">
      <w:pPr>
        <w:pStyle w:val="ESBG"/>
      </w:pPr>
      <w:permStart w:id="413938564" w:edGrp="everyone"/>
      <w:r w:rsidRPr="00852B4D">
        <w:t xml:space="preserve">No, we would welcome further clarity on the entry cost and exit cost as we do not believe that distribution fees, marketing costs etc. should be considered </w:t>
      </w:r>
      <w:r>
        <w:t xml:space="preserve">as </w:t>
      </w:r>
      <w:r w:rsidRPr="00852B4D">
        <w:t xml:space="preserve">entry costs. </w:t>
      </w:r>
    </w:p>
    <w:p w:rsidR="0004031C" w:rsidRPr="00852B4D" w:rsidRDefault="0004031C" w:rsidP="0004031C">
      <w:pPr>
        <w:pStyle w:val="ESBG"/>
      </w:pPr>
    </w:p>
    <w:p w:rsidR="0004031C" w:rsidRDefault="0004031C" w:rsidP="0004031C">
      <w:pPr>
        <w:pStyle w:val="ESBG"/>
      </w:pPr>
      <w:r w:rsidRPr="00852B4D">
        <w:t xml:space="preserve">The distribution fees and marketing costs are currently being taken into account under the “management fee” and are ongoing charges.  The management fee is always disclosed to the client. The entry cost borne by the retail investor should only be the “subscription fee”. </w:t>
      </w:r>
      <w:r>
        <w:t xml:space="preserve"> </w:t>
      </w:r>
      <w:r w:rsidRPr="00852B4D">
        <w:t>Moreover, an exit fee is not always charged, but in products where a fee is charged for early redemption, it should be disclosed.</w:t>
      </w:r>
    </w:p>
    <w:permEnd w:id="413938564"/>
    <w:p w:rsidR="00F31E57" w:rsidRDefault="00F31E57" w:rsidP="00F31E57">
      <w:r>
        <w:t>&lt;ESMA_QUESTION_PRIIPs_23&gt;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should the list be completed? Do you think this list should explicitly mention carried interest in the case of private equity funds?</w:t>
      </w:r>
    </w:p>
    <w:p w:rsidR="00F31E57" w:rsidRDefault="00F31E57" w:rsidP="00F31E57">
      <w:pPr>
        <w:rPr>
          <w:rFonts w:cstheme="minorBidi"/>
        </w:rPr>
      </w:pPr>
    </w:p>
    <w:p w:rsidR="00F31E57" w:rsidRDefault="00F31E57" w:rsidP="00F31E57">
      <w:r>
        <w:t>&lt;ESMA_QUESTION_PRIIPs_24&gt;</w:t>
      </w:r>
    </w:p>
    <w:p w:rsidR="0004031C" w:rsidRDefault="0004031C" w:rsidP="0004031C">
      <w:pPr>
        <w:pStyle w:val="ESBG"/>
      </w:pPr>
      <w:permStart w:id="2140811610" w:edGrp="everyone"/>
      <w:r>
        <w:t>The list is clear enough, but there must be a differentiation between the costs of the purchase of the product and the regular costs of the product itself. Only the regular costs of the product can be part of the ongoing charges. Initial upfront fees, such as constitution costs, should not form part of entry fees as they are caused by the product itself and not the investment into the product. As these appear only at launch, these costs should not be part of the ongoing charges.</w:t>
      </w:r>
    </w:p>
    <w:p w:rsidR="0004031C" w:rsidRDefault="0004031C" w:rsidP="0004031C">
      <w:pPr>
        <w:pStyle w:val="ESBG"/>
      </w:pPr>
    </w:p>
    <w:p w:rsidR="0004031C" w:rsidRDefault="0004031C" w:rsidP="0004031C">
      <w:pPr>
        <w:pStyle w:val="ESBG"/>
      </w:pPr>
      <w:r>
        <w:t xml:space="preserve">In addition, entry costs should not be included in the ongoing charges. The entry fee can be different for each single investor (e.g. rebate on subscription fee or charged over a longer period), so an ongoing charge that is identical to every investor is very unlikely. </w:t>
      </w:r>
    </w:p>
    <w:p w:rsidR="0004031C" w:rsidRDefault="0004031C" w:rsidP="0004031C">
      <w:pPr>
        <w:pStyle w:val="ESBG"/>
      </w:pPr>
    </w:p>
    <w:p w:rsidR="0004031C" w:rsidRDefault="0004031C" w:rsidP="0004031C">
      <w:pPr>
        <w:pStyle w:val="ESBG"/>
      </w:pPr>
      <w:r>
        <w:t>Carried interest should not be mentioned explicitly, as this would only raise the question if “performance fee” should not be included in the list as well, especially if it is paid to the manager.</w:t>
      </w:r>
    </w:p>
    <w:permEnd w:id="2140811610"/>
    <w:p w:rsidR="00F31E57" w:rsidRDefault="00F31E57" w:rsidP="00F31E57">
      <w:r>
        <w:t>&lt;ESMA_QUESTION_PRIIPs_24&gt;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Should these fees be further specified? </w:t>
      </w:r>
    </w:p>
    <w:p w:rsidR="00F31E57" w:rsidRDefault="00F31E57" w:rsidP="00F31E57">
      <w:pPr>
        <w:rPr>
          <w:rFonts w:cstheme="minorBidi"/>
        </w:rPr>
      </w:pPr>
    </w:p>
    <w:p w:rsidR="00F31E57" w:rsidRDefault="00F31E57" w:rsidP="00F31E57">
      <w:r>
        <w:t>&lt;ESMA_QUESTION_PRIIPs_25&gt;</w:t>
      </w:r>
    </w:p>
    <w:p w:rsidR="0004031C" w:rsidRPr="00B24EE4" w:rsidRDefault="0004031C" w:rsidP="0004031C">
      <w:pPr>
        <w:pStyle w:val="ESBG"/>
      </w:pPr>
      <w:permStart w:id="1391531404" w:edGrp="everyone"/>
      <w:r w:rsidRPr="00B24EE4">
        <w:t>Yes. Furthermore, it must be clear that the list is not exhaustive.</w:t>
      </w:r>
    </w:p>
    <w:permEnd w:id="1391531404"/>
    <w:p w:rsidR="00F31E57" w:rsidRDefault="00F31E57" w:rsidP="00F31E57">
      <w:r>
        <w:t>&lt;ESMA_QUESTION_PRIIPs_25&gt;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these fees be further specified? The “recovering fees” cover the following situation: when an investor receives income from foreign investments, the third-country government may heavily tax it. Investors may be entitled to reclaim the difference but they will still lose money in the recovering process (fee to be paid).</w:t>
      </w:r>
    </w:p>
    <w:p w:rsidR="00F31E57" w:rsidRDefault="00F31E57" w:rsidP="00F31E57">
      <w:pPr>
        <w:rPr>
          <w:rFonts w:cstheme="minorBidi"/>
        </w:rPr>
      </w:pPr>
    </w:p>
    <w:p w:rsidR="00F31E57" w:rsidRDefault="00F31E57" w:rsidP="00F31E57">
      <w:r>
        <w:t>&lt;ESMA_QUESTION_PRIIPs_26&gt;</w:t>
      </w:r>
    </w:p>
    <w:p w:rsidR="0004031C" w:rsidRPr="00B24EE4" w:rsidRDefault="0004031C" w:rsidP="0004031C">
      <w:pPr>
        <w:pStyle w:val="ESBG"/>
      </w:pPr>
      <w:permStart w:id="1352610100" w:edGrp="everyone"/>
      <w:r w:rsidRPr="00B24EE4">
        <w:t>All fees should be clearly specified, to avoid any misunderstandings and misinterpretations.</w:t>
      </w:r>
    </w:p>
    <w:permEnd w:id="1352610100"/>
    <w:p w:rsidR="00F31E57" w:rsidRDefault="00F31E57" w:rsidP="00F31E57">
      <w:r>
        <w:lastRenderedPageBreak/>
        <w:t>&lt;ESMA_QUESTION_PRIIPs_26&gt;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these fees be further specified? The “recovering fees” cover the following situation: when an investor receives income from foreign investments, the third-country government may heavily tax it. Investors may be entitled to reclaim the difference but they will still lose money in the recovering process (fee to be paid).</w:t>
      </w:r>
    </w:p>
    <w:p w:rsidR="00F31E57" w:rsidRDefault="00F31E57" w:rsidP="00F31E57">
      <w:pPr>
        <w:rPr>
          <w:rFonts w:cstheme="minorBidi"/>
        </w:rPr>
      </w:pPr>
    </w:p>
    <w:p w:rsidR="00F31E57" w:rsidRDefault="00F31E57" w:rsidP="00F31E57">
      <w:r>
        <w:t>&lt;ESMA_QUESTION_PRIIPs_27&gt;</w:t>
      </w:r>
    </w:p>
    <w:p w:rsidR="0004031C" w:rsidRDefault="0004031C" w:rsidP="0004031C">
      <w:pPr>
        <w:pStyle w:val="ESBG"/>
      </w:pPr>
      <w:permStart w:id="167255211" w:edGrp="everyone"/>
      <w:r>
        <w:t>This situation seems to be too specific for being part of PRIIPs cost disclosure. In addition, we would not recommend inclusion of recovering fees, as these might differ between the investors because of different tax statuses.</w:t>
      </w:r>
    </w:p>
    <w:permEnd w:id="167255211"/>
    <w:p w:rsidR="00F31E57" w:rsidRDefault="00F31E57" w:rsidP="00F31E57">
      <w:r>
        <w:t>&lt;ESMA_QUESTION_PRIIPs_27&gt;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This list is taken from the CESR guidelines on cost disclosure for UCITS. What is missing in the case of retail AIFs (real estate funds, private equity funds)? </w:t>
      </w:r>
    </w:p>
    <w:p w:rsidR="00F31E57" w:rsidRDefault="00F31E57" w:rsidP="00F31E57">
      <w:pPr>
        <w:rPr>
          <w:rFonts w:cstheme="minorBidi"/>
        </w:rPr>
      </w:pPr>
    </w:p>
    <w:p w:rsidR="00F31E57" w:rsidRDefault="00F31E57" w:rsidP="00F31E57">
      <w:r>
        <w:t>&lt;ESMA_QUESTION_PRIIPs_28&gt;</w:t>
      </w:r>
    </w:p>
    <w:p w:rsidR="0004031C" w:rsidRDefault="0004031C" w:rsidP="0004031C">
      <w:pPr>
        <w:pStyle w:val="ESBG"/>
      </w:pPr>
      <w:permStart w:id="1107436210" w:edGrp="everyone"/>
      <w:r>
        <w:t>We do not think that anything is missing, since this list is not exhaustive and further costs can be added.</w:t>
      </w:r>
    </w:p>
    <w:p w:rsidR="0004031C" w:rsidRDefault="0004031C" w:rsidP="0004031C">
      <w:pPr>
        <w:pStyle w:val="ESBG"/>
      </w:pPr>
    </w:p>
    <w:p w:rsidR="0004031C" w:rsidRPr="000C2787" w:rsidRDefault="0004031C" w:rsidP="0004031C">
      <w:pPr>
        <w:pStyle w:val="ESBG"/>
        <w:rPr>
          <w:lang w:val="en-US"/>
        </w:rPr>
      </w:pPr>
      <w:r>
        <w:t>In addition we would like to insist that i</w:t>
      </w:r>
      <w:r w:rsidRPr="004461F3">
        <w:t xml:space="preserve">t is essential that the costs </w:t>
      </w:r>
      <w:r>
        <w:t>disclosure requirements of</w:t>
      </w:r>
      <w:r w:rsidRPr="004461F3">
        <w:t xml:space="preserve"> MiFID II and </w:t>
      </w:r>
      <w:r>
        <w:t>of</w:t>
      </w:r>
      <w:r w:rsidRPr="004461F3">
        <w:t xml:space="preserve"> PRIIPs</w:t>
      </w:r>
      <w:r>
        <w:t xml:space="preserve"> </w:t>
      </w:r>
      <w:r w:rsidRPr="004461F3">
        <w:t>are as identical as possible in order to avoid retail investors</w:t>
      </w:r>
      <w:r>
        <w:t>’</w:t>
      </w:r>
      <w:r w:rsidRPr="004461F3">
        <w:t xml:space="preserve"> misunderstandings and </w:t>
      </w:r>
      <w:r>
        <w:t xml:space="preserve">unnecessary </w:t>
      </w:r>
      <w:r w:rsidRPr="004461F3">
        <w:t>implementation</w:t>
      </w:r>
      <w:r>
        <w:t xml:space="preserve"> costs</w:t>
      </w:r>
      <w:r w:rsidRPr="004461F3">
        <w:t xml:space="preserve">. Meaningful and understandable information on the major cost </w:t>
      </w:r>
      <w:r>
        <w:t>such as</w:t>
      </w:r>
      <w:r w:rsidRPr="004461F3">
        <w:t xml:space="preserve"> emission, distribution and custody during the product term are only possible if all service providers in the chain have the same understanding </w:t>
      </w:r>
      <w:r>
        <w:t>of</w:t>
      </w:r>
      <w:r w:rsidRPr="004461F3">
        <w:t xml:space="preserve"> costs to </w:t>
      </w:r>
      <w:r>
        <w:t>efficiently share costs</w:t>
      </w:r>
      <w:r w:rsidRPr="004461F3">
        <w:t xml:space="preserve"> information </w:t>
      </w:r>
      <w:r>
        <w:t>between</w:t>
      </w:r>
      <w:r w:rsidRPr="004461F3">
        <w:t xml:space="preserve"> each other.</w:t>
      </w:r>
      <w:r>
        <w:t xml:space="preserve"> </w:t>
      </w:r>
      <w:r>
        <w:rPr>
          <w:lang w:val="en-US"/>
        </w:rPr>
        <w:t>A possible solution for the particular case, would be, that the product manufacturer, who is aware of costs, would be allowed to add in the KID the distribution costs. This avoids to depict these distributions costs in the KID and then an additional document under MiFID II. In this particular case, the manufacturer should be in a rather conformable position to disclose the distribution costs.  The Level 2 texts of MiFID II or PRIIPs could take into account this situation and allow the product manufacturer to add in the KID the distribution costs so as to avoid giving two documents to retail investors.</w:t>
      </w:r>
    </w:p>
    <w:permEnd w:id="1107436210"/>
    <w:p w:rsidR="00F31E57" w:rsidRDefault="00F31E57" w:rsidP="00F31E57">
      <w:r>
        <w:t>&lt;ESMA_QUESTION_PRIIPs_28&gt;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Which are the specific issues in relation to this type of costs? </w:t>
      </w:r>
    </w:p>
    <w:p w:rsidR="00F31E57" w:rsidRDefault="00F31E57" w:rsidP="00F31E57">
      <w:pPr>
        <w:rPr>
          <w:rFonts w:cstheme="minorBidi"/>
        </w:rPr>
      </w:pPr>
    </w:p>
    <w:p w:rsidR="00F31E57" w:rsidRDefault="00F31E57" w:rsidP="00F31E57">
      <w:r>
        <w:t>&lt;ESMA_QUESTION_PRIIPs_29&gt;</w:t>
      </w:r>
    </w:p>
    <w:p w:rsidR="00F31E57" w:rsidRDefault="00F31E57" w:rsidP="00F31E57">
      <w:permStart w:id="1214453669" w:edGrp="everyone"/>
      <w:r>
        <w:t>TYPE YOUR TEXT HERE</w:t>
      </w:r>
    </w:p>
    <w:permEnd w:id="1214453669"/>
    <w:p w:rsidR="00F31E57" w:rsidRDefault="00F31E57" w:rsidP="00F31E57">
      <w:r>
        <w:t>&lt;ESMA_QUESTION_PRIIPs_29&gt;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Is it relevant to include this type of costs in the costs to be disclosed in the on-going charges? Which are the specific issues in relation to this type of costs? Which definition of Costs for capital guarantee or capital protection would you suggest? (Contribution for deposit insurance or cost of external guarantor?)</w:t>
      </w:r>
    </w:p>
    <w:p w:rsidR="00F31E57" w:rsidRDefault="00F31E57" w:rsidP="00F31E57">
      <w:pPr>
        <w:rPr>
          <w:rFonts w:cstheme="minorBidi"/>
        </w:rPr>
      </w:pPr>
    </w:p>
    <w:p w:rsidR="00F31E57" w:rsidRDefault="00F31E57" w:rsidP="00F31E57">
      <w:r>
        <w:t>&lt;ESMA_QUESTION_PRIIPs_30&gt;</w:t>
      </w:r>
    </w:p>
    <w:p w:rsidR="00F31E57" w:rsidRDefault="00F31E57" w:rsidP="00F31E57">
      <w:permStart w:id="547503131" w:edGrp="everyone"/>
      <w:r>
        <w:t>TYPE YOUR TEXT HERE</w:t>
      </w:r>
    </w:p>
    <w:permEnd w:id="547503131"/>
    <w:p w:rsidR="00F31E57" w:rsidRDefault="00F31E57" w:rsidP="00F31E57">
      <w:r>
        <w:t>&lt;ESMA_QUESTION_PRIIPs_30&gt;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lastRenderedPageBreak/>
        <w:t xml:space="preserve">Which are the specific issues in relation to this type of costs? Should the scope of these costs be narrowed to administrative costs in connection with investments in derivative instruments? In that respect, it could be argued that margin calls itself should not be considered as costs. The possible rationale behind this reasoning would be that margin calls may result in missed revenues, since no return is realized on the cash amount that is deposited, and that: </w:t>
      </w:r>
    </w:p>
    <w:p w:rsidR="00F31E57" w:rsidRDefault="00F31E57" w:rsidP="00F31E57">
      <w:pPr>
        <w:rPr>
          <w:rFonts w:cstheme="minorBidi"/>
        </w:rPr>
      </w:pPr>
    </w:p>
    <w:p w:rsidR="00F31E57" w:rsidRDefault="00F31E57" w:rsidP="00F31E57">
      <w:r>
        <w:t>&lt;ESMA_QUESTION_PRIIPs_31&gt;</w:t>
      </w:r>
    </w:p>
    <w:p w:rsidR="0004031C" w:rsidRPr="00852B4D" w:rsidRDefault="0004031C" w:rsidP="0004031C">
      <w:pPr>
        <w:pStyle w:val="ESBG"/>
      </w:pPr>
      <w:permStart w:id="1805129594" w:edGrp="everyone"/>
      <w:r w:rsidRPr="00852B4D">
        <w:t>We do not support that margin costs should be considered as costs. Margin calls are an essential and necessary requirement when investing in derivatives so as to mitigate counterparty risk. From a theoretical point of view, it could indeed</w:t>
      </w:r>
      <w:r>
        <w:t xml:space="preserve"> be seen as an opportunity cost</w:t>
      </w:r>
      <w:r w:rsidRPr="00852B4D">
        <w:t xml:space="preserve"> because of the retention of a resource that could be invested somewhere else. However, this analysis will erroneously lead to </w:t>
      </w:r>
      <w:r>
        <w:t>the inclusion of</w:t>
      </w:r>
      <w:r w:rsidRPr="00852B4D">
        <w:t xml:space="preserve"> all opportunity costs in the KID which is practically impossible.  All investments involve an opportunity cost of not investing in other assets.</w:t>
      </w:r>
    </w:p>
    <w:permEnd w:id="1805129594"/>
    <w:p w:rsidR="00F31E57" w:rsidRDefault="00F31E57" w:rsidP="00F31E57">
      <w:r>
        <w:t>&lt;ESMA_QUESTION_PRIIPs_31&gt;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rPr>
          <w:rFonts w:cs="Arial"/>
        </w:rPr>
        <w:t xml:space="preserve">Which are the specific issues in relation to this type of costs? Should this type of costs be further detailed/ defined? </w:t>
      </w:r>
    </w:p>
    <w:p w:rsidR="00F31E57" w:rsidRDefault="00F31E57" w:rsidP="00F31E57"/>
    <w:p w:rsidR="00F31E57" w:rsidRDefault="00F31E57" w:rsidP="00F31E57">
      <w:r>
        <w:t>&lt;ESMA_QUESTION_PRIIPs_32&gt;</w:t>
      </w:r>
    </w:p>
    <w:p w:rsidR="0004031C" w:rsidRDefault="0004031C" w:rsidP="0004031C">
      <w:pPr>
        <w:pStyle w:val="ESBG"/>
      </w:pPr>
      <w:permStart w:id="1128690280" w:edGrp="everyone"/>
      <w:r>
        <w:t>It should only be ensured that there will be no difference to MiFID 2.</w:t>
      </w:r>
    </w:p>
    <w:permEnd w:id="1128690280"/>
    <w:p w:rsidR="00F31E57" w:rsidRDefault="00F31E57" w:rsidP="00F31E57">
      <w:r>
        <w:t>&lt;ESMA_QUESTION_PRIIPs_32&gt;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to deal with the uncertainty if, how and when the dividend will be paid out to the investors? Do you agree that dividends can be measured ex-post and estimated ex-ante and that estimation of future dividends for main indices are normally available?</w:t>
      </w:r>
    </w:p>
    <w:p w:rsidR="00F31E57" w:rsidRDefault="00F31E57" w:rsidP="00F31E57">
      <w:pPr>
        <w:rPr>
          <w:rFonts w:cstheme="minorBidi"/>
        </w:rPr>
      </w:pPr>
    </w:p>
    <w:p w:rsidR="00F31E57" w:rsidRDefault="00F31E57" w:rsidP="00F31E57">
      <w:r>
        <w:t>&lt;ESMA_QUESTION_PRIIPs_33&gt;</w:t>
      </w:r>
    </w:p>
    <w:p w:rsidR="0004031C" w:rsidRDefault="0004031C" w:rsidP="0004031C">
      <w:pPr>
        <w:pStyle w:val="ESBG"/>
      </w:pPr>
      <w:permStart w:id="1844971369" w:edGrp="everyone"/>
      <w:r w:rsidRPr="00A96C8C">
        <w:t>The estimation of future dividends is only available for short time period. For longer time periods there are no reliable estimates.</w:t>
      </w:r>
    </w:p>
    <w:p w:rsidR="0004031C" w:rsidRPr="00A96C8C" w:rsidRDefault="0004031C" w:rsidP="0004031C">
      <w:pPr>
        <w:pStyle w:val="ESBG"/>
      </w:pPr>
    </w:p>
    <w:p w:rsidR="0004031C" w:rsidRDefault="0004031C" w:rsidP="0004031C">
      <w:pPr>
        <w:pStyle w:val="ESBG"/>
      </w:pPr>
      <w:r w:rsidRPr="00A96C8C">
        <w:t>Nevertheless, the non-accrual of dividends can only be regarded as costs if the investment management company has an influence on the accrual of the dividends. In case of tax (no repayment, governmental action) or any other conditions which cannot be influenced by the investment management company, the non-accrual cannot be regarded as costs.</w:t>
      </w:r>
    </w:p>
    <w:permEnd w:id="1844971369"/>
    <w:p w:rsidR="00F31E57" w:rsidRDefault="00F31E57" w:rsidP="00F31E57">
      <w:r>
        <w:t>&lt;ESMA_QUESTION_PRIIPs_33&gt;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en-GB"/>
        </w:rPr>
      </w:pPr>
      <w:r>
        <w:rPr>
          <w:rFonts w:eastAsia="Times New Roman" w:cs="Arial"/>
          <w:lang w:eastAsia="en-GB"/>
        </w:rPr>
        <w:t xml:space="preserve">Is this description comprehensive? </w:t>
      </w:r>
    </w:p>
    <w:p w:rsidR="00F31E57" w:rsidRDefault="00F31E57" w:rsidP="00F31E57">
      <w:pPr>
        <w:rPr>
          <w:rFonts w:eastAsiaTheme="minorHAnsi" w:cstheme="minorBidi"/>
          <w:lang w:eastAsia="en-US"/>
        </w:rPr>
      </w:pPr>
    </w:p>
    <w:p w:rsidR="00F31E57" w:rsidRDefault="00F31E57" w:rsidP="00F31E57">
      <w:r>
        <w:t>&lt;ESMA_QUESTION_PRIIPs_34&gt;</w:t>
      </w:r>
    </w:p>
    <w:p w:rsidR="00F31E57" w:rsidRDefault="00F31E57" w:rsidP="00F31E57">
      <w:permStart w:id="1044384182" w:edGrp="everyone"/>
      <w:r>
        <w:t>TYPE YOUR TEXT HERE</w:t>
      </w:r>
    </w:p>
    <w:permEnd w:id="1044384182"/>
    <w:p w:rsidR="00F31E57" w:rsidRDefault="00F31E57" w:rsidP="00F31E57">
      <w:r>
        <w:t>&lt;ESMA_QUESTION_PRIIPs_34&gt;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Can you identify any difficulties with calculating and presenting explicit broker commissions? How can explicit broker commissions best be calculated ex-ante?</w:t>
      </w:r>
    </w:p>
    <w:p w:rsidR="00F31E57" w:rsidRDefault="00F31E57" w:rsidP="00F31E57">
      <w:pPr>
        <w:rPr>
          <w:rFonts w:cstheme="minorBidi"/>
        </w:rPr>
      </w:pPr>
    </w:p>
    <w:p w:rsidR="00F31E57" w:rsidRDefault="00F31E57" w:rsidP="00F31E57">
      <w:r>
        <w:t>&lt;ESMA_QUESTION_PRIIPs_35&gt;</w:t>
      </w:r>
    </w:p>
    <w:p w:rsidR="0004031C" w:rsidRPr="00852B4D" w:rsidRDefault="0004031C" w:rsidP="0004031C">
      <w:pPr>
        <w:pStyle w:val="ESBG"/>
      </w:pPr>
      <w:permStart w:id="1810715959" w:edGrp="everyone"/>
      <w:r w:rsidRPr="006C7BF4">
        <w:t xml:space="preserve">Calculating on ex-ante basis the amount of broker commissions when they are implicit in the bid-ask spread is very complicated and estimations should be done which may not lead to reliable information for the retail investor.  Ideally, if the entire market switches to gross market, the exact </w:t>
      </w:r>
      <w:r w:rsidRPr="006C7BF4">
        <w:lastRenderedPageBreak/>
        <w:t>broker fee could be known ex-post and then, based on this information, do an ex-ante estimation.  Nevertheless, this solution is not realistic neither in the short nor medium term, and, in any case, it will not be possible</w:t>
      </w:r>
      <w:r w:rsidRPr="00852B4D">
        <w:t xml:space="preserve"> by December 2016 when the regulation will be implemented.</w:t>
      </w:r>
    </w:p>
    <w:permEnd w:id="1810715959"/>
    <w:p w:rsidR="00F31E57" w:rsidRDefault="00F31E57" w:rsidP="00F31E57">
      <w:r>
        <w:t>&lt;ESMA_QUESTION_PRIIPs_35&gt;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can the total of costs related to transaction taxes best be calculated? How should this be done to give the best estimate ex-ante? Are there other explicit costs relating to transactions that should be identified?</w:t>
      </w:r>
      <w:r>
        <w:rPr>
          <w:rFonts w:eastAsia="Times New Roman" w:cs="Arial"/>
          <w:lang w:eastAsia="en-GB"/>
        </w:rPr>
        <w:t xml:space="preserve"> Do you think that ticket fees (booking fees paid to custody banks that are billed separately from the annual custodian fee paid for depositing the securities) should be added to this list?</w:t>
      </w:r>
    </w:p>
    <w:p w:rsidR="00F31E57" w:rsidRDefault="00F31E57" w:rsidP="00F31E57">
      <w:pPr>
        <w:rPr>
          <w:rFonts w:cstheme="minorBidi"/>
        </w:rPr>
      </w:pPr>
    </w:p>
    <w:p w:rsidR="00F31E57" w:rsidRDefault="00F31E57" w:rsidP="00F31E57">
      <w:r>
        <w:t>&lt;ESMA_QUESTION_PRIIPs_36&gt;</w:t>
      </w:r>
    </w:p>
    <w:p w:rsidR="00F31E57" w:rsidRDefault="00F31E57" w:rsidP="00F31E57">
      <w:permStart w:id="1401692584" w:edGrp="everyone"/>
      <w:r>
        <w:t>TYPE YOUR TEXT HERE</w:t>
      </w:r>
    </w:p>
    <w:permEnd w:id="1401692584"/>
    <w:p w:rsidR="00F31E57" w:rsidRDefault="00F31E57" w:rsidP="00F31E57">
      <w:r>
        <w:t>&lt;ESMA_QUESTION_PRIIPs_36&gt;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zh-TW"/>
        </w:rPr>
      </w:pPr>
      <w:r>
        <w:rPr>
          <w:rFonts w:eastAsia="Times New Roman" w:cs="Arial"/>
          <w:lang w:eastAsia="zh-TW"/>
        </w:rPr>
        <w:t xml:space="preserve">As regards the abovementioned estimate, </w:t>
      </w:r>
      <w:r>
        <w:rPr>
          <w:rFonts w:cs="Arial"/>
        </w:rPr>
        <w:t>can the fair value approach be used?</w:t>
      </w:r>
      <w:r>
        <w:rPr>
          <w:rStyle w:val="FootnoteReference"/>
          <w:rFonts w:cs="Arial"/>
        </w:rPr>
        <w:footnoteReference w:id="3"/>
      </w:r>
      <w:r>
        <w:rPr>
          <w:rFonts w:cs="Arial"/>
        </w:rPr>
        <w:t xml:space="preserve"> </w:t>
      </w:r>
    </w:p>
    <w:p w:rsidR="00F31E57" w:rsidRDefault="00F31E57" w:rsidP="00F31E57">
      <w:pPr>
        <w:rPr>
          <w:rFonts w:eastAsiaTheme="minorHAnsi" w:cstheme="minorBidi"/>
          <w:lang w:eastAsia="en-US"/>
        </w:rPr>
      </w:pPr>
    </w:p>
    <w:p w:rsidR="00F31E57" w:rsidRDefault="00F31E57" w:rsidP="00F31E57">
      <w:r>
        <w:t>&lt;ESMA_QUESTION_PRIIPs_37&gt;</w:t>
      </w:r>
    </w:p>
    <w:p w:rsidR="0004031C" w:rsidRDefault="0004031C" w:rsidP="0004031C">
      <w:pPr>
        <w:pStyle w:val="ESBG"/>
      </w:pPr>
      <w:permStart w:id="813325112" w:edGrp="everyone"/>
      <w:r>
        <w:t>What is the fair value approach in this context? Forcing the entire market to switch to gross pricing might not be feasible.</w:t>
      </w:r>
    </w:p>
    <w:p w:rsidR="0004031C" w:rsidRDefault="0004031C" w:rsidP="0004031C">
      <w:pPr>
        <w:pStyle w:val="ESBG"/>
      </w:pPr>
    </w:p>
    <w:p w:rsidR="0004031C" w:rsidRDefault="0004031C" w:rsidP="0004031C">
      <w:pPr>
        <w:pStyle w:val="ESBG"/>
      </w:pPr>
      <w:r>
        <w:t>Capturing all bid-ask spreads and possibly independent "fair value" mid-price on all transactions for this reporting purpose might cause significant implementation efforts. Furthermore in the bid-ask spread there might be a component for providing liquidity, which is not really a type of cost but a payment for the risk taken by the broker.</w:t>
      </w:r>
    </w:p>
    <w:permEnd w:id="813325112"/>
    <w:p w:rsidR="00F31E57" w:rsidRDefault="00F31E57" w:rsidP="00F31E57">
      <w:r>
        <w:t>&lt;ESMA_QUESTION_PRIIPs_37&gt;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Can you identify any other difficulties with calculating and presenting the bid-ask spread? Do you believe broker commissions included in the spread should be disclosed? If so, which of the above mentioned approaches do you think would be more suitable for ex-ante calculations or are there alternative methods not explored above? </w:t>
      </w:r>
    </w:p>
    <w:p w:rsidR="00F31E57" w:rsidRDefault="00F31E57" w:rsidP="00F31E57">
      <w:pPr>
        <w:rPr>
          <w:rFonts w:cstheme="minorBidi"/>
        </w:rPr>
      </w:pPr>
    </w:p>
    <w:p w:rsidR="00F31E57" w:rsidRDefault="00F31E57" w:rsidP="00F31E57">
      <w:r>
        <w:t>&lt;ESMA_QUESTION_PRIIPs_38&gt;</w:t>
      </w:r>
    </w:p>
    <w:p w:rsidR="0004031C" w:rsidRDefault="0004031C" w:rsidP="0004031C">
      <w:pPr>
        <w:pStyle w:val="ESBG"/>
      </w:pPr>
      <w:permStart w:id="532246138" w:edGrp="everyone"/>
      <w:r w:rsidRPr="00852B4D">
        <w:t>See response to Q.35</w:t>
      </w:r>
      <w:r>
        <w:t xml:space="preserve"> and Q. 37. In addition, we doubt that it will be </w:t>
      </w:r>
      <w:r w:rsidRPr="00DC332B">
        <w:t>possible to separate broke</w:t>
      </w:r>
      <w:r>
        <w:t>r commission from brokerage fee.</w:t>
      </w:r>
    </w:p>
    <w:permEnd w:id="532246138"/>
    <w:p w:rsidR="00F31E57" w:rsidRDefault="00F31E57" w:rsidP="00F31E57">
      <w:r>
        <w:t>&lt;ESMA_QUESTION_PRIIPs_38&gt;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 xml:space="preserve">Do you believe that </w:t>
      </w:r>
      <w:r>
        <w:rPr>
          <w:rFonts w:cs="Arial"/>
        </w:rPr>
        <w:t>market impact costs should be part of the costs presented under the PRIIPs regulation? If so, how can the market impact costs best be calculated? How should this be done to give the best estimate ex-ante?</w:t>
      </w:r>
    </w:p>
    <w:p w:rsidR="00F31E57" w:rsidRDefault="00F31E57" w:rsidP="00F31E57">
      <w:pPr>
        <w:rPr>
          <w:rFonts w:cstheme="minorBidi"/>
        </w:rPr>
      </w:pPr>
    </w:p>
    <w:p w:rsidR="00F31E57" w:rsidRDefault="00F31E57" w:rsidP="00F31E57">
      <w:r>
        <w:t>&lt;ESMA_QUESTION_PRIIPs_39&gt;</w:t>
      </w:r>
    </w:p>
    <w:p w:rsidR="0004031C" w:rsidRPr="00852B4D" w:rsidRDefault="0004031C" w:rsidP="0004031C">
      <w:pPr>
        <w:pStyle w:val="ESBG"/>
      </w:pPr>
      <w:permStart w:id="599474951" w:edGrp="everyone"/>
      <w:r w:rsidRPr="00852B4D">
        <w:t xml:space="preserve">No, we do not believe market impact costs should be presented in the KID given the complexity of their control and quantification.  The market impact should be considered within Standards of Conduct provided by applicable law such as UCITS or MiFID which should ban/restrict the </w:t>
      </w:r>
      <w:r w:rsidRPr="00852B4D">
        <w:lastRenderedPageBreak/>
        <w:t>practices that result in a proliferation of fees for excess operations performed. In any case, best execution applies to these transactions in order to guarantee the best result for the client.</w:t>
      </w:r>
    </w:p>
    <w:permEnd w:id="599474951"/>
    <w:p w:rsidR="00F31E57" w:rsidRDefault="00F31E57" w:rsidP="00F31E57">
      <w:r>
        <w:t>&lt;ESMA_QUESTION_PRIIPs_39&gt;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should entry- and exit charges be calculated considering the different ways of charging these charges? How should this be done to give the best estimate ex-ante? Can you identify any other problems related to calculating and presenting entry- and exit fees?</w:t>
      </w:r>
    </w:p>
    <w:p w:rsidR="00F31E57" w:rsidRDefault="00F31E57" w:rsidP="00F31E57">
      <w:pPr>
        <w:rPr>
          <w:rFonts w:cstheme="minorBidi"/>
        </w:rPr>
      </w:pPr>
    </w:p>
    <w:p w:rsidR="00F31E57" w:rsidRDefault="00F31E57" w:rsidP="00F31E57">
      <w:r>
        <w:t>&lt;ESMA_QUESTION_PRIIPs_40&gt;</w:t>
      </w:r>
    </w:p>
    <w:p w:rsidR="0004031C" w:rsidRPr="00DC332B" w:rsidRDefault="0004031C" w:rsidP="0004031C">
      <w:pPr>
        <w:pStyle w:val="ESBG"/>
      </w:pPr>
      <w:permStart w:id="487130279" w:edGrp="everyone"/>
      <w:r>
        <w:t>D</w:t>
      </w:r>
      <w:r w:rsidRPr="00DC332B">
        <w:t>ifferent calculation methodologies can lead to fundamental different cost levels.</w:t>
      </w:r>
      <w:r>
        <w:t xml:space="preserve"> Even distributing entry and exit fees over the recommended holding period could be difficult as it might incentivise manufacturers to extend the recommended holding period.</w:t>
      </w:r>
    </w:p>
    <w:permEnd w:id="487130279"/>
    <w:p w:rsidR="00F31E57" w:rsidRDefault="00F31E57" w:rsidP="00F31E57">
      <w:r>
        <w:t>&lt;ESMA_QUESTION_PRIIPs_40&gt;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Which other technical specifications would you suggest adding to the abovementioned methodology</w:t>
      </w:r>
      <w:r>
        <w:rPr>
          <w:rFonts w:cs="Arial"/>
        </w:rPr>
        <w:t>? Which other technical issues do you identify as regards the implementation of the methodology?</w:t>
      </w:r>
    </w:p>
    <w:p w:rsidR="00F31E57" w:rsidRDefault="00F31E57" w:rsidP="00F31E57">
      <w:pPr>
        <w:rPr>
          <w:rFonts w:cstheme="minorBidi"/>
        </w:rPr>
      </w:pPr>
    </w:p>
    <w:p w:rsidR="00F31E57" w:rsidRDefault="00F31E57" w:rsidP="00F31E57">
      <w:r>
        <w:t>&lt;ESMA_QUESTION_PRIIPs_41&gt;</w:t>
      </w:r>
    </w:p>
    <w:p w:rsidR="00F31E57" w:rsidRDefault="00F31E57" w:rsidP="00F31E57">
      <w:permStart w:id="1381042164" w:edGrp="everyone"/>
      <w:r>
        <w:t>TYPE YOUR TEXT HERE</w:t>
      </w:r>
    </w:p>
    <w:permEnd w:id="1381042164"/>
    <w:p w:rsidR="00F31E57" w:rsidRDefault="00F31E57" w:rsidP="00F31E57">
      <w:r>
        <w:t>&lt;ESMA_QUESTION_PRIIPs_41&gt;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Do you think that an explicit definition of performance fees should be included</w:t>
      </w:r>
      <w:r>
        <w:rPr>
          <w:rFonts w:cs="Arial"/>
        </w:rPr>
        <w:t>? Do you think the definition by IOSCO is relevant in the specific context of the cost disclosure of the PRIIPs Regulation?</w:t>
      </w:r>
    </w:p>
    <w:p w:rsidR="00F31E57" w:rsidRDefault="00F31E57" w:rsidP="00F31E57">
      <w:pPr>
        <w:rPr>
          <w:rFonts w:cstheme="minorBidi"/>
        </w:rPr>
      </w:pPr>
    </w:p>
    <w:p w:rsidR="00F31E57" w:rsidRDefault="00F31E57" w:rsidP="00F31E57">
      <w:r>
        <w:t>&lt;ESMA_QUESTION_PRIIPs_42&gt;</w:t>
      </w:r>
    </w:p>
    <w:p w:rsidR="00F31E57" w:rsidRDefault="00F31E57" w:rsidP="00F31E57">
      <w:permStart w:id="791225276" w:edGrp="everyone"/>
      <w:r>
        <w:t>TYPE YOUR TEXT HERE</w:t>
      </w:r>
    </w:p>
    <w:permEnd w:id="791225276"/>
    <w:p w:rsidR="00F31E57" w:rsidRDefault="00F31E57" w:rsidP="00F31E57">
      <w:r>
        <w:t>&lt;ESMA_QUESTION_PRIIPs_42&gt;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the appropriate assumption for the rate of returns, in general and in the specific case of the calculation of performance fees?</w:t>
      </w:r>
    </w:p>
    <w:p w:rsidR="00F31E57" w:rsidRDefault="00F31E57" w:rsidP="00F31E57">
      <w:pPr>
        <w:rPr>
          <w:rFonts w:cstheme="minorBidi"/>
        </w:rPr>
      </w:pPr>
    </w:p>
    <w:p w:rsidR="00F31E57" w:rsidRDefault="00F31E57" w:rsidP="00F31E57">
      <w:r>
        <w:t>&lt;ESMA_QUESTION_PRIIPs_43&gt;</w:t>
      </w:r>
    </w:p>
    <w:p w:rsidR="00F31E57" w:rsidRDefault="00F31E57" w:rsidP="00F31E57">
      <w:permStart w:id="893676722" w:edGrp="everyone"/>
      <w:r>
        <w:t>TYPE YOUR TEXT HERE</w:t>
      </w:r>
    </w:p>
    <w:permEnd w:id="893676722"/>
    <w:p w:rsidR="00F31E57" w:rsidRDefault="00F31E57" w:rsidP="00F31E57">
      <w:r>
        <w:t>&lt;ESMA_QUESTION_PRIIPs_43&gt;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Which option do you favor</w:t>
      </w:r>
      <w:r>
        <w:rPr>
          <w:rFonts w:cs="Arial"/>
        </w:rPr>
        <w:t>? Do you identify another possible approach to the disclosure and calculation of performance fees in the context of the KID?</w:t>
      </w:r>
    </w:p>
    <w:p w:rsidR="00F31E57" w:rsidRDefault="00F31E57" w:rsidP="00F31E57">
      <w:pPr>
        <w:rPr>
          <w:rFonts w:cstheme="minorBidi"/>
        </w:rPr>
      </w:pPr>
    </w:p>
    <w:p w:rsidR="00F31E57" w:rsidRDefault="00F31E57" w:rsidP="00F31E57">
      <w:r>
        <w:t>&lt;ESMA_QUESTION_PRIIPs_44&gt;</w:t>
      </w:r>
    </w:p>
    <w:p w:rsidR="00F31E57" w:rsidRDefault="00F31E57" w:rsidP="00F31E57">
      <w:permStart w:id="1278878880" w:edGrp="everyone"/>
      <w:r>
        <w:t>TYPE YOUR TEXT HERE</w:t>
      </w:r>
    </w:p>
    <w:permEnd w:id="1278878880"/>
    <w:p w:rsidR="00F31E57" w:rsidRDefault="00F31E57" w:rsidP="00F31E57">
      <w:r>
        <w:t>&lt;ESMA_QUESTION_PRIIPs_44&gt;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hu-HU"/>
        </w:rPr>
      </w:pPr>
      <w:r>
        <w:rPr>
          <w:rFonts w:eastAsia="Times New Roman" w:cs="Arial"/>
          <w:lang w:eastAsia="hu-HU"/>
        </w:rPr>
        <w:t xml:space="preserve">Which of the above mentioned options 1 and 2 for the calculation of aggregate costs would you prefer? Do you agree with above mentioned assumptions on the specificities of the costs of life-insurance products? How should the breakdown of costs showing costs specific to the insurance cover be specified? Do you think that risk-type riders (e.g. term or disability or accident insurances) have to be disregarded in </w:t>
      </w:r>
      <w:r>
        <w:rPr>
          <w:rFonts w:eastAsia="Times New Roman" w:cs="Arial"/>
          <w:lang w:eastAsia="hu-HU"/>
        </w:rPr>
        <w:lastRenderedPageBreak/>
        <w:t xml:space="preserve">the calculation of the aggregated cost indicator? How shall risk-type rider be defined in this context? (one possible approach might be: A risk-type rider in this context is an additional insurance cover without a savings element, which has separate contractual terms and separate premiums and that the customer is not obliged to buy as a compulsory part of the product). </w:t>
      </w:r>
    </w:p>
    <w:p w:rsidR="00F31E57" w:rsidRDefault="00F31E57" w:rsidP="00F31E57">
      <w:pPr>
        <w:rPr>
          <w:rFonts w:eastAsiaTheme="minorHAnsi" w:cstheme="minorBidi"/>
          <w:lang w:eastAsia="en-US"/>
        </w:rPr>
      </w:pPr>
    </w:p>
    <w:p w:rsidR="00F31E57" w:rsidRDefault="00F31E57" w:rsidP="00F31E57">
      <w:r>
        <w:t>&lt;ESMA_QUESTION_PRIIPs_45&gt;</w:t>
      </w:r>
    </w:p>
    <w:p w:rsidR="0004031C" w:rsidRPr="00852B4D" w:rsidRDefault="0004031C" w:rsidP="0004031C">
      <w:pPr>
        <w:pStyle w:val="ESBG"/>
      </w:pPr>
      <w:permStart w:id="1968115111" w:edGrp="everyone"/>
      <w:r w:rsidRPr="00852B4D">
        <w:t>We favour option 1 where the biometric risk premium is not included as a cost in relation to the aggregated cost indicator but it is shown separately.</w:t>
      </w:r>
    </w:p>
    <w:permEnd w:id="1968115111"/>
    <w:p w:rsidR="00F31E57" w:rsidRDefault="00F31E57" w:rsidP="00F31E57">
      <w:r>
        <w:t>&lt;ESMA_QUESTION_PRIIPs_45&gt;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hu-HU"/>
        </w:rPr>
      </w:pPr>
      <w:r>
        <w:rPr>
          <w:rFonts w:eastAsia="Times New Roman" w:cs="Arial"/>
          <w:lang w:eastAsia="hu-HU"/>
        </w:rPr>
        <w:t xml:space="preserve">Do you think this list is comprehensive? Should these different types of costs be further defined? </w:t>
      </w:r>
    </w:p>
    <w:p w:rsidR="00F31E57" w:rsidRDefault="00F31E57" w:rsidP="00F31E57">
      <w:pPr>
        <w:rPr>
          <w:rFonts w:eastAsiaTheme="minorHAnsi" w:cstheme="minorBidi"/>
          <w:lang w:eastAsia="en-US"/>
        </w:rPr>
      </w:pPr>
    </w:p>
    <w:p w:rsidR="00F31E57" w:rsidRDefault="00F31E57" w:rsidP="00F31E57">
      <w:r>
        <w:t>&lt;ESMA_QUESTION_PRIIPs_46&gt;</w:t>
      </w:r>
    </w:p>
    <w:p w:rsidR="0004031C" w:rsidRDefault="0004031C" w:rsidP="0004031C">
      <w:pPr>
        <w:pStyle w:val="ESBG"/>
      </w:pPr>
      <w:permStart w:id="61940928" w:edGrp="everyone"/>
      <w:r>
        <w:t xml:space="preserve">In some national law, </w:t>
      </w:r>
      <w:r w:rsidRPr="00E50D61">
        <w:t>costs of embedded options</w:t>
      </w:r>
      <w:r>
        <w:t xml:space="preserve"> might not exist - although the insurance product contains and even markets the inherent guarantee feature. The reason for this is that the manufacturer is not allowed to collect any fees for statutory guarantees. A product might contain an option to guarantee a minimum price or return, but the manufacturer would not be allowed to demand the premium or to include this in the price of the product.</w:t>
      </w:r>
    </w:p>
    <w:p w:rsidR="0004031C" w:rsidRPr="00A96C8C" w:rsidRDefault="0004031C" w:rsidP="0004031C">
      <w:pPr>
        <w:pStyle w:val="ESBG"/>
      </w:pPr>
    </w:p>
    <w:p w:rsidR="0004031C" w:rsidRDefault="0004031C" w:rsidP="0004031C">
      <w:pPr>
        <w:pStyle w:val="ESBG"/>
      </w:pPr>
      <w:r>
        <w:t>Nevertheless, in general, guarantees reduce the performance of the respective products. This fact has to be properly disclosed in the PRIIPs-KID. Especially as high guarantees will result in limited performance. This correlation should also be disclosed properly.</w:t>
      </w:r>
    </w:p>
    <w:p w:rsidR="0004031C" w:rsidRPr="003A0CF4" w:rsidRDefault="0004031C" w:rsidP="0004031C">
      <w:pPr>
        <w:pStyle w:val="ESBG"/>
      </w:pPr>
    </w:p>
    <w:p w:rsidR="0004031C" w:rsidRDefault="0004031C" w:rsidP="0004031C">
      <w:pPr>
        <w:pStyle w:val="ESBG"/>
      </w:pPr>
      <w:r>
        <w:t>The exit costs should be added to the list. Any costs in case of (early) termination and/or redemption may depend on the term of contract. Any penalty fees/fines in case of premium exemptions or change of provider should also be disclosed.</w:t>
      </w:r>
    </w:p>
    <w:p w:rsidR="0004031C" w:rsidRDefault="0004031C" w:rsidP="0004031C">
      <w:pPr>
        <w:pStyle w:val="ESBG"/>
      </w:pPr>
    </w:p>
    <w:p w:rsidR="0004031C" w:rsidRDefault="0004031C" w:rsidP="0004031C">
      <w:pPr>
        <w:pStyle w:val="ESBG"/>
      </w:pPr>
      <w:r w:rsidRPr="002D2462">
        <w:t>Some insurer</w:t>
      </w:r>
      <w:r>
        <w:t>s</w:t>
      </w:r>
      <w:r w:rsidRPr="002D2462">
        <w:t xml:space="preserve"> demand</w:t>
      </w:r>
      <w:r>
        <w:t xml:space="preserve"> additional</w:t>
      </w:r>
      <w:r w:rsidRPr="002D2462">
        <w:t xml:space="preserve"> fees in special </w:t>
      </w:r>
      <w:r>
        <w:t>events/</w:t>
      </w:r>
      <w:r w:rsidRPr="002D2462">
        <w:t xml:space="preserve">cases. </w:t>
      </w:r>
      <w:r>
        <w:t>This could be a direct debit return, issuing a substitute policy, several cases of contract amendments, divorce, termination, written information/ disclosures, etc. These fees can be a fixed amount, a (capped) percentage of the investment amount, a percentage of the premium, etc. As these events are not predictable, the investor cannot calculate the relevant costs of the product.</w:t>
      </w:r>
    </w:p>
    <w:permEnd w:id="61940928"/>
    <w:p w:rsidR="00F31E57" w:rsidRDefault="00F31E57" w:rsidP="00F31E57">
      <w:r>
        <w:t>&lt;ESMA_QUESTION_PRIIPs_46&gt;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Times New Roman"/>
        </w:rPr>
      </w:pPr>
      <w:r>
        <w:rPr>
          <w:rFonts w:cs="Arial"/>
        </w:rPr>
        <w:t>Do you agree that guaranteed interest rate and surrender options should be handled in the above mentioned way? Do you know other contractual options, which have to be considered? If yes how?</w:t>
      </w:r>
    </w:p>
    <w:p w:rsidR="00F31E57" w:rsidRDefault="00F31E57" w:rsidP="00F31E57">
      <w:pPr>
        <w:rPr>
          <w:rFonts w:cstheme="minorBidi"/>
        </w:rPr>
      </w:pPr>
    </w:p>
    <w:p w:rsidR="00F31E57" w:rsidRDefault="00F31E57" w:rsidP="00F31E57">
      <w:r>
        <w:t>&lt;ESMA_QUESTION_PRIIPs_47&gt;</w:t>
      </w:r>
    </w:p>
    <w:p w:rsidR="0004031C" w:rsidRDefault="0004031C" w:rsidP="0004031C">
      <w:permStart w:id="1892040740" w:edGrp="everyone"/>
      <w:r>
        <w:t>TYPE YOUR TEXT HERE</w:t>
      </w:r>
    </w:p>
    <w:permEnd w:id="1892040740"/>
    <w:p w:rsidR="00F31E57" w:rsidRDefault="00F31E57" w:rsidP="00F31E57">
      <w:r>
        <w:t>&lt;ESMA_QUESTION_PRIIPs_47&gt;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&lt;ESMA_QUESTION_PRIIPs_48&gt;</w:t>
      </w:r>
    </w:p>
    <w:p w:rsidR="00F31E57" w:rsidRDefault="00F31E57" w:rsidP="00F31E57">
      <w:permStart w:id="78715408" w:edGrp="everyone"/>
      <w:r>
        <w:t>TYPE YOUR TEXT HERE</w:t>
      </w:r>
    </w:p>
    <w:permEnd w:id="78715408"/>
    <w:p w:rsidR="00F31E57" w:rsidRDefault="00F31E57" w:rsidP="00F31E57">
      <w:r>
        <w:t>&lt;ESMA_QUESTION_PRIIPs_48&gt;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lastRenderedPageBreak/>
        <w:t xml:space="preserve">Do you think this list and breakdown is comprehensive? </w:t>
      </w:r>
    </w:p>
    <w:p w:rsidR="00F31E57" w:rsidRDefault="00F31E57" w:rsidP="00F31E57">
      <w:pPr>
        <w:rPr>
          <w:rFonts w:cstheme="minorBidi"/>
        </w:rPr>
      </w:pPr>
    </w:p>
    <w:p w:rsidR="00F31E57" w:rsidRDefault="00F31E57" w:rsidP="00F31E57">
      <w:r>
        <w:t>&lt;ESMA_QUESTION_PRIIPs_49&gt;</w:t>
      </w:r>
    </w:p>
    <w:p w:rsidR="00F31E57" w:rsidRDefault="00F31E57" w:rsidP="00F31E57">
      <w:permStart w:id="545991005" w:edGrp="everyone"/>
      <w:r>
        <w:t>TYPE YOUR TEXT HERE</w:t>
      </w:r>
    </w:p>
    <w:permEnd w:id="545991005"/>
    <w:p w:rsidR="00F31E57" w:rsidRDefault="00F31E57" w:rsidP="00F31E57">
      <w:r>
        <w:t>&lt;ESMA_QUESTION_PRIIPs_49&gt;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 methodology for the calculation of these costs be further specified? How?</w:t>
      </w:r>
    </w:p>
    <w:p w:rsidR="00F31E57" w:rsidRDefault="00F31E57" w:rsidP="00F31E57">
      <w:pPr>
        <w:rPr>
          <w:rFonts w:cstheme="minorBidi"/>
        </w:rPr>
      </w:pPr>
    </w:p>
    <w:p w:rsidR="00F31E57" w:rsidRDefault="00F31E57" w:rsidP="00F31E57">
      <w:r>
        <w:t>&lt;ESMA_QUESTION_PRIIPs_50&gt;</w:t>
      </w:r>
    </w:p>
    <w:p w:rsidR="00F31E57" w:rsidRDefault="00F31E57" w:rsidP="00F31E57">
      <w:permStart w:id="1227894061" w:edGrp="everyone"/>
      <w:r>
        <w:t>TYPE YOUR TEXT HERE</w:t>
      </w:r>
    </w:p>
    <w:permEnd w:id="1227894061"/>
    <w:p w:rsidR="00F31E57" w:rsidRDefault="00F31E57" w:rsidP="00F31E57">
      <w:r>
        <w:t>&lt;ESMA_QUESTION_PRIIPs_50&gt;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 methodology for the calculation of these costs be further specified? How?</w:t>
      </w:r>
    </w:p>
    <w:p w:rsidR="00F31E57" w:rsidRDefault="00F31E57" w:rsidP="00F31E57">
      <w:pPr>
        <w:rPr>
          <w:rFonts w:cstheme="minorBidi"/>
        </w:rPr>
      </w:pPr>
    </w:p>
    <w:p w:rsidR="00F31E57" w:rsidRDefault="00F31E57" w:rsidP="00F31E57">
      <w:r>
        <w:t>&lt;ESMA_QUESTION_PRIIPs_51&gt;</w:t>
      </w:r>
    </w:p>
    <w:p w:rsidR="00F31E57" w:rsidRDefault="00F31E57" w:rsidP="00F31E57">
      <w:permStart w:id="920453861" w:edGrp="everyone"/>
      <w:r>
        <w:t>TYPE YOUR TEXT HERE</w:t>
      </w:r>
    </w:p>
    <w:permEnd w:id="920453861"/>
    <w:p w:rsidR="00F31E57" w:rsidRDefault="00F31E57" w:rsidP="00F31E57">
      <w:r>
        <w:t>&lt;ESMA_QUESTION_PRIIPs_51&gt;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&lt;ESMA_QUESTION_PRIIPs_52&gt;</w:t>
      </w:r>
    </w:p>
    <w:p w:rsidR="00F31E57" w:rsidRDefault="00F31E57" w:rsidP="00F31E57">
      <w:permStart w:id="1971940965" w:edGrp="everyone"/>
      <w:r>
        <w:t>TYPE YOUR TEXT HERE</w:t>
      </w:r>
    </w:p>
    <w:permEnd w:id="1971940965"/>
    <w:p w:rsidR="00F31E57" w:rsidRDefault="00F31E57" w:rsidP="00F31E57">
      <w:r>
        <w:t>&lt;ESMA_QUESTION_PRIIPs_52&gt;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Should the methodology for the calculation of these costs be further specified? How? Do fund related costs also exist for with profit life insurance products?</w:t>
      </w:r>
    </w:p>
    <w:p w:rsidR="00F31E57" w:rsidRDefault="00F31E57" w:rsidP="00F31E57">
      <w:pPr>
        <w:rPr>
          <w:rFonts w:eastAsiaTheme="minorHAnsi" w:cstheme="minorBidi"/>
        </w:rPr>
      </w:pPr>
    </w:p>
    <w:p w:rsidR="00F31E57" w:rsidRDefault="00F31E57" w:rsidP="00F31E57">
      <w:r>
        <w:t>&lt;ESMA_QUESTION_PRIIPs_53&gt;</w:t>
      </w:r>
    </w:p>
    <w:p w:rsidR="00F31E57" w:rsidRDefault="00F31E57" w:rsidP="00F31E57">
      <w:permStart w:id="1527991489" w:edGrp="everyone"/>
      <w:r>
        <w:t>TYPE YOUR TEXT HERE</w:t>
      </w:r>
    </w:p>
    <w:permEnd w:id="1527991489"/>
    <w:p w:rsidR="00F31E57" w:rsidRDefault="00F31E57" w:rsidP="00F31E57">
      <w:r>
        <w:t>&lt;ESMA_QUESTION_PRIIPs_53&gt;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bCs/>
        </w:rPr>
      </w:pPr>
      <w:r>
        <w:rPr>
          <w:rFonts w:cs="Arial"/>
        </w:rPr>
        <w:t>How to ensure that the look-through approach is consistent with what is applied in the case of funds of funds?</w:t>
      </w:r>
    </w:p>
    <w:p w:rsidR="00F31E57" w:rsidRDefault="00F31E57" w:rsidP="00F31E57">
      <w:pPr>
        <w:rPr>
          <w:rFonts w:cstheme="minorBidi"/>
        </w:rPr>
      </w:pPr>
    </w:p>
    <w:p w:rsidR="00F31E57" w:rsidRDefault="00F31E57" w:rsidP="00F31E57">
      <w:r>
        <w:t>&lt;ESMA_QUESTION_PRIIPs_54&gt;</w:t>
      </w:r>
    </w:p>
    <w:p w:rsidR="00F31E57" w:rsidRDefault="00F31E57" w:rsidP="00F31E57">
      <w:permStart w:id="751379762" w:edGrp="everyone"/>
      <w:r>
        <w:t>TYPE YOUR TEXT HERE</w:t>
      </w:r>
    </w:p>
    <w:permEnd w:id="751379762"/>
    <w:p w:rsidR="00F31E57" w:rsidRDefault="00F31E57" w:rsidP="00F31E57">
      <w:r>
        <w:t>&lt;ESMA_QUESTION_PRIIPs_54&gt;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&lt;ESMA_QUESTION_PRIIPs_55&gt;</w:t>
      </w:r>
    </w:p>
    <w:p w:rsidR="00F31E57" w:rsidRDefault="00F31E57" w:rsidP="00F31E57">
      <w:permStart w:id="12406111" w:edGrp="everyone"/>
      <w:r>
        <w:t>TYPE YOUR TEXT HERE</w:t>
      </w:r>
    </w:p>
    <w:permEnd w:id="12406111"/>
    <w:p w:rsidR="00F31E57" w:rsidRDefault="00F31E57" w:rsidP="00F31E57">
      <w:r>
        <w:t>&lt;ESMA_QUESTION_PRIIPs_55&gt;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above mentioned or further options do you support, and why? More generally, how to measure costs that are passed to policy holders via profit participation mechanisms? Would you say that they are known to the insurance company? Do you think an estimate based on the previous historical data is the most appropriate methodology for the calculation of these costs?</w:t>
      </w:r>
    </w:p>
    <w:p w:rsidR="00F31E57" w:rsidRDefault="00F31E57" w:rsidP="00F31E57">
      <w:pPr>
        <w:rPr>
          <w:rFonts w:cstheme="minorBidi"/>
        </w:rPr>
      </w:pPr>
    </w:p>
    <w:p w:rsidR="00F31E57" w:rsidRDefault="00F31E57" w:rsidP="00F31E57">
      <w:r>
        <w:t>&lt;ESMA_QUESTION_PRIIPs_56&gt;</w:t>
      </w:r>
    </w:p>
    <w:p w:rsidR="00F31E57" w:rsidRDefault="00F31E57" w:rsidP="00F31E57">
      <w:permStart w:id="680097694" w:edGrp="everyone"/>
      <w:r>
        <w:t>TYPE YOUR TEXT HERE</w:t>
      </w:r>
    </w:p>
    <w:permEnd w:id="680097694"/>
    <w:p w:rsidR="00F31E57" w:rsidRDefault="00F31E57" w:rsidP="00F31E57">
      <w:r>
        <w:lastRenderedPageBreak/>
        <w:t>&lt;ESMA_QUESTION_PRIIPs_56&gt;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Is this type of costs really specific to with-profit life-insurance products? Do you agree that these costs should be accounted for as on-going costs?</w:t>
      </w:r>
    </w:p>
    <w:p w:rsidR="00F31E57" w:rsidRDefault="00F31E57" w:rsidP="00F31E57">
      <w:pPr>
        <w:rPr>
          <w:rFonts w:cstheme="minorBidi"/>
        </w:rPr>
      </w:pPr>
    </w:p>
    <w:p w:rsidR="00F31E57" w:rsidRDefault="00F31E57" w:rsidP="00F31E57">
      <w:r>
        <w:t>&lt;ESMA_QUESTION_PRIIPs_57&gt;</w:t>
      </w:r>
    </w:p>
    <w:p w:rsidR="00F31E57" w:rsidRDefault="00F31E57" w:rsidP="00F31E57">
      <w:permStart w:id="1089556243" w:edGrp="everyone"/>
      <w:r>
        <w:t>TYPE YOUR TEXT HERE</w:t>
      </w:r>
    </w:p>
    <w:permEnd w:id="1089556243"/>
    <w:p w:rsidR="00F31E57" w:rsidRDefault="00F31E57" w:rsidP="00F31E57">
      <w:r>
        <w:t>&lt;ESMA_QUESTION_PRIIPs_57&gt;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the list of costs of life-insurance products presented above is comprehensive? Which types of costs should be added? </w:t>
      </w:r>
    </w:p>
    <w:p w:rsidR="00F31E57" w:rsidRDefault="00F31E57" w:rsidP="00F31E57">
      <w:pPr>
        <w:rPr>
          <w:rFonts w:cstheme="minorBidi"/>
        </w:rPr>
      </w:pPr>
    </w:p>
    <w:p w:rsidR="00F31E57" w:rsidRDefault="00F31E57" w:rsidP="00F31E57">
      <w:r>
        <w:t>&lt;ESMA_QUESTION_PRIIPs_58&gt;</w:t>
      </w:r>
    </w:p>
    <w:p w:rsidR="00F31E57" w:rsidRDefault="00F31E57" w:rsidP="00F31E57">
      <w:permStart w:id="2126716475" w:edGrp="everyone"/>
      <w:r>
        <w:t>TYPE YOUR TEXT HERE</w:t>
      </w:r>
    </w:p>
    <w:permEnd w:id="2126716475"/>
    <w:p w:rsidR="00F31E57" w:rsidRDefault="00F31E57" w:rsidP="00F31E57">
      <w:r>
        <w:t>&lt;ESMA_QUESTION_PRIIPs_58&gt;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are those two approaches similar and should lead to the same results?</w:t>
      </w:r>
    </w:p>
    <w:p w:rsidR="00F31E57" w:rsidRDefault="00F31E57" w:rsidP="00F31E57">
      <w:pPr>
        <w:rPr>
          <w:rFonts w:cstheme="minorBidi"/>
        </w:rPr>
      </w:pPr>
    </w:p>
    <w:p w:rsidR="00F31E57" w:rsidRDefault="00F31E57" w:rsidP="00F31E57">
      <w:r>
        <w:t>&lt;ESMA_QUESTION_PRIIPs_59&gt;</w:t>
      </w:r>
    </w:p>
    <w:p w:rsidR="0004031C" w:rsidRPr="007A7322" w:rsidRDefault="0004031C" w:rsidP="0004031C">
      <w:pPr>
        <w:pStyle w:val="ESBG"/>
      </w:pPr>
      <w:permStart w:id="1116035155" w:edGrp="everyone"/>
      <w:r w:rsidRPr="007A7322">
        <w:t>The two approaches should lead to the same results as long as costs are consistently considered. Issuer Estimated Value is already well established in some Member States, based upon fair value, and allows disclosure of costs for the investor, including commissions, inducements and expected issuer margin.</w:t>
      </w:r>
    </w:p>
    <w:p w:rsidR="0004031C" w:rsidRPr="007A7322" w:rsidRDefault="0004031C" w:rsidP="0004031C">
      <w:pPr>
        <w:pStyle w:val="ESBG"/>
      </w:pPr>
    </w:p>
    <w:p w:rsidR="0004031C" w:rsidRPr="007A7322" w:rsidRDefault="0004031C" w:rsidP="0004031C">
      <w:pPr>
        <w:pStyle w:val="ESBG"/>
      </w:pPr>
      <w:r w:rsidRPr="007A7322">
        <w:t>Nevertheless it has to be noted that the "fair value" is a theoretical value. It is a model price and should not be confused with an actual tradable price.</w:t>
      </w:r>
    </w:p>
    <w:permEnd w:id="1116035155"/>
    <w:p w:rsidR="00F31E57" w:rsidRDefault="00F31E57" w:rsidP="00F31E57">
      <w:r>
        <w:t>&lt;ESMA_QUESTION_PRIIPs_59&gt;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rPr>
        <w:t xml:space="preserve">In comparison to structured products, </w:t>
      </w:r>
      <w:r>
        <w:rPr>
          <w:rFonts w:cs="Arial"/>
          <w:color w:val="000000"/>
          <w:lang w:eastAsia="it-IT"/>
        </w:rPr>
        <w:t>do you see any specificity of costs of structured deposits? Do you think that the potential external guarantees of structured deposits might just have to be taken into account in the estimation of the fair value of these products?</w:t>
      </w:r>
    </w:p>
    <w:p w:rsidR="00F31E57" w:rsidRDefault="00F31E57" w:rsidP="00F31E57">
      <w:pPr>
        <w:rPr>
          <w:rFonts w:cstheme="minorBidi"/>
          <w:lang w:eastAsia="en-US"/>
        </w:rPr>
      </w:pPr>
    </w:p>
    <w:p w:rsidR="00F31E57" w:rsidRDefault="00F31E57" w:rsidP="00F31E57">
      <w:r>
        <w:t>&lt;ESMA_QUESTION_PRIIPs_60&gt;</w:t>
      </w:r>
    </w:p>
    <w:p w:rsidR="00F31E57" w:rsidRPr="0004031C" w:rsidRDefault="0004031C" w:rsidP="0004031C">
      <w:pPr>
        <w:pStyle w:val="ESBG"/>
        <w:rPr>
          <w:lang w:val="en-US"/>
        </w:rPr>
      </w:pPr>
      <w:permStart w:id="775499950" w:edGrp="everyone"/>
      <w:r>
        <w:rPr>
          <w:lang w:val="en-US"/>
        </w:rPr>
        <w:t>No.</w:t>
      </w:r>
    </w:p>
    <w:permEnd w:id="775499950"/>
    <w:p w:rsidR="00F31E57" w:rsidRDefault="00F31E57" w:rsidP="00F31E57">
      <w:r>
        <w:t>&lt;ESMA_QUESTION_PRIIPs_60&gt;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 mentioned list of entry costs? Which of these costs are embedded in the price? Should we differentiate between “delta 1” and “option based” structured products? In which cases do you think that some of these costs might not be known to the manufacturer? Which of these types of costs should be further defined?</w:t>
      </w:r>
    </w:p>
    <w:p w:rsidR="00F31E57" w:rsidRDefault="00F31E57" w:rsidP="00F31E57">
      <w:pPr>
        <w:rPr>
          <w:rFonts w:cstheme="minorBidi"/>
        </w:rPr>
      </w:pPr>
    </w:p>
    <w:p w:rsidR="00F31E57" w:rsidRDefault="00F31E57" w:rsidP="00F31E57">
      <w:r>
        <w:t>&lt;ESMA_QUESTION_PRIIPs_61&gt;</w:t>
      </w:r>
    </w:p>
    <w:p w:rsidR="0004031C" w:rsidRDefault="0004031C" w:rsidP="0004031C">
      <w:pPr>
        <w:pStyle w:val="ESBG"/>
      </w:pPr>
      <w:permStart w:id="1773104624" w:edGrp="everyone"/>
      <w:r w:rsidRPr="00852B4D">
        <w:t>We believe that only the total costs should be shown in the KID and not be detailed individually. For the investor it is the only information that is relevant</w:t>
      </w:r>
      <w:r>
        <w:t>, how the costs are then split is secondary. Furthermore, a</w:t>
      </w:r>
      <w:r w:rsidRPr="004562A4">
        <w:t>ll costs that are known by the manufacturer are embedded in the price</w:t>
      </w:r>
      <w:r>
        <w:t>.</w:t>
      </w:r>
    </w:p>
    <w:permEnd w:id="1773104624"/>
    <w:p w:rsidR="00F31E57" w:rsidRDefault="00F31E57" w:rsidP="00F31E57">
      <w:r>
        <w:t>&lt;ESMA_QUESTION_PRIIPs_61&gt;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lastRenderedPageBreak/>
        <w:t xml:space="preserve">To what extent do you think these types of costs should be further defined and detailed? </w:t>
      </w:r>
    </w:p>
    <w:p w:rsidR="00F31E57" w:rsidRDefault="00F31E57" w:rsidP="00F31E57">
      <w:pPr>
        <w:rPr>
          <w:rFonts w:cstheme="minorBidi"/>
        </w:rPr>
      </w:pPr>
    </w:p>
    <w:p w:rsidR="00F31E57" w:rsidRDefault="00F31E57" w:rsidP="00F31E57">
      <w:r>
        <w:t>&lt;ESMA_QUESTION_PRIIPs_62&gt;</w:t>
      </w:r>
    </w:p>
    <w:p w:rsidR="0004031C" w:rsidRPr="00C80B32" w:rsidRDefault="0004031C" w:rsidP="0004031C">
      <w:pPr>
        <w:pStyle w:val="ESBG"/>
        <w:rPr>
          <w:lang w:val="en-US"/>
        </w:rPr>
      </w:pPr>
      <w:permStart w:id="1388583936" w:edGrp="everyone"/>
      <w:r w:rsidRPr="00C80B32">
        <w:rPr>
          <w:lang w:val="en-US"/>
        </w:rPr>
        <w:t>Regarding entry costs, this is not required. Please refer to our response to question 61.</w:t>
      </w:r>
    </w:p>
    <w:p w:rsidR="0004031C" w:rsidRPr="00756C76" w:rsidRDefault="0004031C" w:rsidP="0004031C">
      <w:pPr>
        <w:pStyle w:val="ESBG"/>
        <w:rPr>
          <w:lang w:val="en-US"/>
        </w:rPr>
      </w:pPr>
    </w:p>
    <w:p w:rsidR="0004031C" w:rsidRPr="00C80B32" w:rsidRDefault="0004031C" w:rsidP="0004031C">
      <w:pPr>
        <w:pStyle w:val="ESBG"/>
        <w:rPr>
          <w:lang w:val="en-US"/>
        </w:rPr>
      </w:pPr>
      <w:r w:rsidRPr="00C80B32">
        <w:rPr>
          <w:lang w:val="en-US"/>
        </w:rPr>
        <w:t>However regarding ongoing costs, there are certain ongoing costs not listed which may be disclosed or published as ongoing costs. Specifically, some structured products contain a license or management fee which is continuously calculated on the basis of underlying index levels and has the effect of reducing the PRIIP performance in comparison to the underlying/index. Otherwise, costs relating to coupon payments and costs of the underlying may also be difficult to express, since they are (as above) normally incurred at an aggregate and not product-by-product level. They may also be already embedded in the entry costs.</w:t>
      </w:r>
    </w:p>
    <w:p w:rsidR="0004031C" w:rsidRPr="00C80B32" w:rsidRDefault="0004031C" w:rsidP="0004031C">
      <w:pPr>
        <w:pStyle w:val="ESBG"/>
        <w:rPr>
          <w:lang w:val="en-US"/>
        </w:rPr>
      </w:pPr>
    </w:p>
    <w:p w:rsidR="0004031C" w:rsidRPr="00C80B32" w:rsidRDefault="0004031C" w:rsidP="0004031C">
      <w:pPr>
        <w:pStyle w:val="ESBG"/>
        <w:rPr>
          <w:lang w:val="en-US"/>
        </w:rPr>
      </w:pPr>
      <w:r w:rsidRPr="00C80B32">
        <w:rPr>
          <w:lang w:val="en-US"/>
        </w:rPr>
        <w:t>Nevertheless these on-going costs are already disclosed today.</w:t>
      </w:r>
    </w:p>
    <w:permEnd w:id="1388583936"/>
    <w:p w:rsidR="00F31E57" w:rsidRDefault="00F31E57" w:rsidP="00F31E57">
      <w:r>
        <w:t>&lt;ESMA_QUESTION_PRIIPs_62&gt;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would you estimate ex ante the spread referred to above in (b), in the case the product is listed as in the case it is not? Should maximum spreads, when available, be considered? Should the term “proportional fees” be further defined? Which definition would you suggest?</w:t>
      </w:r>
    </w:p>
    <w:p w:rsidR="00F31E57" w:rsidRDefault="00F31E57" w:rsidP="00F31E57">
      <w:pPr>
        <w:rPr>
          <w:rFonts w:cstheme="minorBidi"/>
        </w:rPr>
      </w:pPr>
    </w:p>
    <w:p w:rsidR="00F31E57" w:rsidRDefault="00F31E57" w:rsidP="00F31E57">
      <w:r>
        <w:t>&lt;ESMA_QUESTION_PRIIPs_63&gt;</w:t>
      </w:r>
    </w:p>
    <w:p w:rsidR="0004031C" w:rsidRDefault="0004031C" w:rsidP="0004031C">
      <w:pPr>
        <w:pStyle w:val="ESBG"/>
        <w:rPr>
          <w:lang w:val="en-US"/>
        </w:rPr>
      </w:pPr>
      <w:permStart w:id="181429241" w:edGrp="everyone"/>
      <w:r w:rsidRPr="00AE2371">
        <w:rPr>
          <w:lang w:val="en-US"/>
        </w:rPr>
        <w:t>The pricing</w:t>
      </w:r>
      <w:r>
        <w:rPr>
          <w:lang w:val="en-US"/>
        </w:rPr>
        <w:t xml:space="preserve"> - incl. bid-mid spread - </w:t>
      </w:r>
      <w:r w:rsidRPr="00AE2371">
        <w:rPr>
          <w:lang w:val="en-US"/>
        </w:rPr>
        <w:t>is a matter of liquidity and not cost.</w:t>
      </w:r>
    </w:p>
    <w:p w:rsidR="0004031C" w:rsidRDefault="0004031C" w:rsidP="0004031C">
      <w:pPr>
        <w:pStyle w:val="ESBG"/>
        <w:rPr>
          <w:lang w:val="en-US"/>
        </w:rPr>
      </w:pPr>
    </w:p>
    <w:p w:rsidR="0004031C" w:rsidRDefault="0004031C" w:rsidP="0004031C">
      <w:pPr>
        <w:pStyle w:val="ESBG"/>
        <w:rPr>
          <w:lang w:val="en-US"/>
        </w:rPr>
      </w:pPr>
      <w:r>
        <w:rPr>
          <w:lang w:val="en-US"/>
        </w:rPr>
        <w:t xml:space="preserve">Proportional fees should be defined further. One interpretation could be: </w:t>
      </w:r>
      <w:r w:rsidRPr="00123E3E">
        <w:rPr>
          <w:lang w:val="en-US"/>
        </w:rPr>
        <w:t>penalties for early exit expressed in % of Notional (e.g. for a product which has exit penalties such as 1% in year 1, 0.5% year 2, 0.25% in year 3 and nothing from and i</w:t>
      </w:r>
      <w:r>
        <w:rPr>
          <w:lang w:val="en-US"/>
        </w:rPr>
        <w:t>ncluding year 4 until maturity).</w:t>
      </w:r>
    </w:p>
    <w:p w:rsidR="0004031C" w:rsidRDefault="0004031C" w:rsidP="0004031C">
      <w:pPr>
        <w:pStyle w:val="ESBG"/>
        <w:rPr>
          <w:lang w:val="en-US"/>
        </w:rPr>
      </w:pPr>
    </w:p>
    <w:p w:rsidR="0004031C" w:rsidRDefault="0004031C" w:rsidP="0004031C">
      <w:pPr>
        <w:pStyle w:val="ESBG"/>
        <w:rPr>
          <w:lang w:val="en-US"/>
        </w:rPr>
      </w:pPr>
      <w:r w:rsidRPr="007A7322">
        <w:rPr>
          <w:lang w:val="en-US"/>
        </w:rPr>
        <w:t>In case MiFID II requires ex-ante cost disclosure regarding spreads, this very component should be part of the PRIIPs KID as well.</w:t>
      </w:r>
    </w:p>
    <w:permEnd w:id="181429241"/>
    <w:p w:rsidR="00F31E57" w:rsidRDefault="00F31E57" w:rsidP="00F31E57">
      <w:r>
        <w:t>&lt;ESMA_QUESTION_PRIIPs_63&gt;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 xml:space="preserve">Do you agree with the list of costs outlined above? </w:t>
      </w:r>
      <w:r>
        <w:rPr>
          <w:rFonts w:cs="Arial"/>
        </w:rPr>
        <w:t>Which types of costs would require more precise definitions? To what extent should the methodology be prescriptive in the definition and calculation methodologies of the different types of costs?</w:t>
      </w:r>
    </w:p>
    <w:p w:rsidR="00F31E57" w:rsidRDefault="00F31E57" w:rsidP="00F31E57">
      <w:pPr>
        <w:rPr>
          <w:rFonts w:cstheme="minorBidi"/>
        </w:rPr>
      </w:pPr>
    </w:p>
    <w:p w:rsidR="00F31E57" w:rsidRDefault="00F31E57" w:rsidP="00F31E57">
      <w:r>
        <w:t>&lt;ESMA_QUESTION_PRIIPs_64&gt;</w:t>
      </w:r>
    </w:p>
    <w:p w:rsidR="0004031C" w:rsidRDefault="0004031C" w:rsidP="0004031C">
      <w:pPr>
        <w:pStyle w:val="ESBG"/>
        <w:rPr>
          <w:lang w:val="en-US"/>
        </w:rPr>
      </w:pPr>
      <w:permStart w:id="865013177" w:edGrp="everyone"/>
      <w:r w:rsidRPr="00123E3E">
        <w:rPr>
          <w:lang w:val="en-US"/>
        </w:rPr>
        <w:t>Yes, we agree with the list of exit costs described.</w:t>
      </w:r>
    </w:p>
    <w:p w:rsidR="0004031C" w:rsidRDefault="0004031C" w:rsidP="0004031C">
      <w:pPr>
        <w:pStyle w:val="ESBG"/>
        <w:rPr>
          <w:lang w:val="en-US"/>
        </w:rPr>
      </w:pPr>
    </w:p>
    <w:p w:rsidR="0004031C" w:rsidRDefault="0004031C" w:rsidP="0004031C">
      <w:pPr>
        <w:pStyle w:val="ESBG"/>
      </w:pPr>
      <w:r>
        <w:t>Guidelines on the definition and calculation of costs should be sufficiently precise to ensure standardisation, but also flexible enough to accommodate the different pricing models and approaches of manufacturers - and across different product types.</w:t>
      </w:r>
    </w:p>
    <w:p w:rsidR="0004031C" w:rsidRDefault="0004031C" w:rsidP="0004031C">
      <w:pPr>
        <w:pStyle w:val="ESBG"/>
      </w:pPr>
    </w:p>
    <w:p w:rsidR="0004031C" w:rsidRDefault="0004031C" w:rsidP="0004031C">
      <w:pPr>
        <w:pStyle w:val="ESBG"/>
      </w:pPr>
      <w:r>
        <w:t>Regarding early redemption costs: although early redemption may happen when retail investors no longer require (or need to liquidate) this undesired outcome is not to be counted as a cost (opportunity costs is too broad a concept to be included here) unless there is a real fee part of this transaction.</w:t>
      </w:r>
    </w:p>
    <w:p w:rsidR="0004031C" w:rsidRDefault="0004031C" w:rsidP="0004031C">
      <w:pPr>
        <w:pStyle w:val="ESBG"/>
      </w:pPr>
    </w:p>
    <w:p w:rsidR="0004031C" w:rsidRPr="007A7322" w:rsidRDefault="0004031C" w:rsidP="0004031C">
      <w:pPr>
        <w:pStyle w:val="ESBG"/>
      </w:pPr>
      <w:r>
        <w:lastRenderedPageBreak/>
        <w:t>The same applies for the loss of interest, which is an opportunity cost. However, it should be mentioned in the narrative that the product does not pay interest.</w:t>
      </w:r>
    </w:p>
    <w:permEnd w:id="865013177"/>
    <w:p w:rsidR="00F31E57" w:rsidRDefault="00F31E57" w:rsidP="00F31E57">
      <w:r>
        <w:t>&lt;ESMA_QUESTION_PRIIPs_64&gt;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Would you include other cost components? </w:t>
      </w:r>
    </w:p>
    <w:p w:rsidR="00F31E57" w:rsidRDefault="00F31E57" w:rsidP="00F31E57">
      <w:pPr>
        <w:rPr>
          <w:rFonts w:cstheme="minorBidi"/>
          <w:lang w:eastAsia="en-US"/>
        </w:rPr>
      </w:pPr>
    </w:p>
    <w:p w:rsidR="00F31E57" w:rsidRDefault="00F31E57" w:rsidP="00F31E57">
      <w:r>
        <w:t>&lt;ESMA_QUESTION_PRIIPs_65&gt;</w:t>
      </w:r>
    </w:p>
    <w:p w:rsidR="0004031C" w:rsidRDefault="0004031C" w:rsidP="0004031C">
      <w:pPr>
        <w:rPr>
          <w:rFonts w:ascii="Garamond" w:hAnsi="Garamond"/>
          <w:sz w:val="24"/>
        </w:rPr>
      </w:pPr>
      <w:permStart w:id="380842964" w:edGrp="everyone"/>
      <w:r w:rsidRPr="007A7322">
        <w:rPr>
          <w:rFonts w:ascii="Garamond" w:hAnsi="Garamond"/>
          <w:sz w:val="24"/>
        </w:rPr>
        <w:t>It depends whether this is consistent with MiFID II. If so, this should be sufficient.</w:t>
      </w:r>
    </w:p>
    <w:permEnd w:id="380842964"/>
    <w:p w:rsidR="00F31E57" w:rsidRDefault="00F31E57" w:rsidP="00F31E57">
      <w:r>
        <w:t>&lt;ESMA_QUESTION_PRIIPs_65&gt;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Under which hypothesis should the costs of the underlying be included?</w:t>
      </w:r>
    </w:p>
    <w:p w:rsidR="00F31E57" w:rsidRDefault="00F31E57" w:rsidP="00F31E57">
      <w:pPr>
        <w:rPr>
          <w:rFonts w:cstheme="minorBidi"/>
          <w:lang w:eastAsia="en-US"/>
        </w:rPr>
      </w:pPr>
    </w:p>
    <w:p w:rsidR="00F31E57" w:rsidRDefault="00F31E57" w:rsidP="00F31E57">
      <w:r>
        <w:t>&lt;ESMA_QUESTION_PRIIPs_66&gt;</w:t>
      </w:r>
    </w:p>
    <w:p w:rsidR="0004031C" w:rsidRPr="00AE2371" w:rsidRDefault="0004031C" w:rsidP="0004031C">
      <w:pPr>
        <w:pStyle w:val="ESBG"/>
        <w:rPr>
          <w:lang w:val="en-US"/>
        </w:rPr>
      </w:pPr>
      <w:permStart w:id="1785494288" w:edGrp="everyone"/>
      <w:r w:rsidRPr="00123E3E">
        <w:rPr>
          <w:lang w:val="en-US"/>
        </w:rPr>
        <w:t>Cost of the underlying (e.g. index license cost) is a cost borne by the manufacturer, implicitly included in the Direct Costs and p</w:t>
      </w:r>
      <w:r w:rsidRPr="00EB18BC">
        <w:t>r</w:t>
      </w:r>
      <w:r w:rsidRPr="00123E3E">
        <w:rPr>
          <w:lang w:val="en-US"/>
        </w:rPr>
        <w:t>iced upfront.</w:t>
      </w:r>
      <w:r>
        <w:rPr>
          <w:lang w:val="en-US"/>
        </w:rPr>
        <w:t xml:space="preserve"> </w:t>
      </w:r>
      <w:r w:rsidRPr="00123E3E">
        <w:rPr>
          <w:lang w:val="en-US"/>
        </w:rPr>
        <w:t>It should not be included in on-going costs.</w:t>
      </w:r>
    </w:p>
    <w:permEnd w:id="1785494288"/>
    <w:p w:rsidR="00F31E57" w:rsidRDefault="00F31E57" w:rsidP="00F31E57">
      <w:r>
        <w:t>&lt;ESMA_QUESTION_PRIIPs_66&gt;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How would you deal with the issue of the amortization of the entry costs during the life of the product? </w:t>
      </w:r>
      <w:r>
        <w:rPr>
          <w:rFonts w:cs="Arial"/>
        </w:rPr>
        <w:t>For derivatives it will be notably important to define what the invested capital is, in order to calculate percentages. The possibilities include: the amount paid (i.e. option premium price or initial margin/collateral) or the exposure (to be defined for optional derivatives). Do you see other possible approaches on this specific point?</w:t>
      </w:r>
    </w:p>
    <w:p w:rsidR="00F31E57" w:rsidRDefault="00F31E57" w:rsidP="00F31E57">
      <w:pPr>
        <w:rPr>
          <w:rFonts w:cstheme="minorBidi"/>
          <w:lang w:eastAsia="en-US"/>
        </w:rPr>
      </w:pPr>
    </w:p>
    <w:p w:rsidR="00F31E57" w:rsidRDefault="00F31E57" w:rsidP="00F31E57">
      <w:r>
        <w:t>&lt;ESMA_QUESTION_PRIIPs_67&gt;</w:t>
      </w:r>
    </w:p>
    <w:p w:rsidR="0004031C" w:rsidRPr="00852B4D" w:rsidRDefault="0004031C" w:rsidP="0004031C">
      <w:pPr>
        <w:pStyle w:val="ESBG"/>
      </w:pPr>
      <w:permStart w:id="234555425" w:edGrp="everyone"/>
      <w:r w:rsidRPr="00852B4D">
        <w:t xml:space="preserve">For certificates, </w:t>
      </w:r>
      <w:r>
        <w:t xml:space="preserve">the costs as a rule are calculated at the purchase at fair value and </w:t>
      </w:r>
      <w:r w:rsidRPr="00852B4D">
        <w:t>are fully deducted from the issue price.</w:t>
      </w:r>
    </w:p>
    <w:p w:rsidR="0004031C" w:rsidRDefault="0004031C" w:rsidP="0004031C">
      <w:pPr>
        <w:pStyle w:val="ESBG"/>
      </w:pPr>
    </w:p>
    <w:p w:rsidR="0004031C" w:rsidRDefault="0004031C" w:rsidP="0004031C">
      <w:pPr>
        <w:pStyle w:val="ESBG"/>
      </w:pPr>
      <w:r w:rsidRPr="004461F3">
        <w:t xml:space="preserve">It is essential, moreover, that the costs </w:t>
      </w:r>
      <w:r>
        <w:t>disclosure requirements of</w:t>
      </w:r>
      <w:r w:rsidRPr="004461F3">
        <w:t xml:space="preserve"> MiFID II and </w:t>
      </w:r>
      <w:r>
        <w:t>of</w:t>
      </w:r>
      <w:r w:rsidRPr="004461F3">
        <w:t xml:space="preserve"> PRIIPs</w:t>
      </w:r>
      <w:r>
        <w:t xml:space="preserve"> </w:t>
      </w:r>
      <w:r w:rsidRPr="004461F3">
        <w:t>are as identical as possible in order to avoid retail investors</w:t>
      </w:r>
      <w:r>
        <w:t>’</w:t>
      </w:r>
      <w:r w:rsidRPr="004461F3">
        <w:t xml:space="preserve"> misunderstandings and </w:t>
      </w:r>
      <w:r>
        <w:t xml:space="preserve">unnecessary </w:t>
      </w:r>
      <w:r w:rsidRPr="004461F3">
        <w:t>implementation</w:t>
      </w:r>
      <w:r>
        <w:t xml:space="preserve"> costs</w:t>
      </w:r>
      <w:r w:rsidRPr="004461F3">
        <w:t xml:space="preserve">. Meaningful and understandable information on the major cost </w:t>
      </w:r>
      <w:r>
        <w:t>such as</w:t>
      </w:r>
      <w:r w:rsidRPr="004461F3">
        <w:t xml:space="preserve"> emission, distribution and custody during the product term are only possible if all service providers in the chain have the same understanding </w:t>
      </w:r>
      <w:r>
        <w:t>of</w:t>
      </w:r>
      <w:r w:rsidRPr="004461F3">
        <w:t xml:space="preserve"> costs to </w:t>
      </w:r>
      <w:r>
        <w:t>efficiently share costs</w:t>
      </w:r>
      <w:r w:rsidRPr="004461F3">
        <w:t xml:space="preserve"> information </w:t>
      </w:r>
      <w:r>
        <w:t>between</w:t>
      </w:r>
      <w:r w:rsidRPr="004461F3">
        <w:t xml:space="preserve"> each other.</w:t>
      </w:r>
      <w:r>
        <w:t xml:space="preserve"> </w:t>
      </w:r>
      <w:r>
        <w:rPr>
          <w:lang w:val="en-US"/>
        </w:rPr>
        <w:t>A possible solution for the particular case, would be, that the product manufacturer, who is aware of costs, would be allowed to add in the KID the distribution costs. This avoids to depict these distributions costs in the KID and then an additional document under MiFID II. In this particular case, the manufacturer should be in a rather conformable position to disclose the distribution costs.  The Level 2 texts of MiFID II or PRIIPs could take into account this situation and allow the product manufacturer to add in the KID the distribution costs so as to avoid giving two documents to retail investors.</w:t>
      </w:r>
    </w:p>
    <w:p w:rsidR="0004031C" w:rsidRDefault="0004031C" w:rsidP="0004031C">
      <w:pPr>
        <w:pStyle w:val="ESBG"/>
      </w:pPr>
    </w:p>
    <w:p w:rsidR="0004031C" w:rsidRDefault="0004031C" w:rsidP="0004031C">
      <w:pPr>
        <w:pStyle w:val="ESBG"/>
        <w:rPr>
          <w:lang w:val="en-US"/>
        </w:rPr>
      </w:pPr>
      <w:r w:rsidRPr="00AE2371">
        <w:rPr>
          <w:lang w:val="en-US"/>
        </w:rPr>
        <w:t>For most OTC derivatives there is no separate option premium, hence the negative market value is disclosed in the KID. This includes acquisition costs (such as credit default costs, capital costs, distribution costs, hedging costs) as well as some a margin of the issuer.</w:t>
      </w:r>
    </w:p>
    <w:p w:rsidR="0004031C" w:rsidRDefault="0004031C" w:rsidP="0004031C">
      <w:pPr>
        <w:pStyle w:val="ESBG"/>
        <w:rPr>
          <w:lang w:val="en-US"/>
        </w:rPr>
      </w:pPr>
    </w:p>
    <w:p w:rsidR="0004031C" w:rsidRDefault="0004031C" w:rsidP="0004031C">
      <w:pPr>
        <w:pStyle w:val="ESBG"/>
      </w:pPr>
      <w:r w:rsidRPr="004461F3">
        <w:t xml:space="preserve">The specific features of OTC derivatives should </w:t>
      </w:r>
      <w:r>
        <w:t>anyway be</w:t>
      </w:r>
      <w:r w:rsidRPr="004461F3">
        <w:t xml:space="preserve"> discussed within the framework of </w:t>
      </w:r>
      <w:r>
        <w:t xml:space="preserve">a </w:t>
      </w:r>
      <w:r w:rsidRPr="004461F3">
        <w:t>special consultations, which we called for in the introduction ("General Comment").</w:t>
      </w:r>
    </w:p>
    <w:permEnd w:id="234555425"/>
    <w:p w:rsidR="00F31E57" w:rsidRDefault="00F31E57" w:rsidP="00F31E57">
      <w:r>
        <w:t>&lt;ESMA_QUESTION_PRIIPs_67&gt;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lastRenderedPageBreak/>
        <w:t xml:space="preserve">Do you think that there are products with ongoing hedging costs (to ensure that the manufacturer is able to replicate the performance of the derivative component of the structured product)? </w:t>
      </w:r>
    </w:p>
    <w:p w:rsidR="00F31E57" w:rsidRDefault="00F31E57" w:rsidP="00F31E57">
      <w:pPr>
        <w:rPr>
          <w:rFonts w:cstheme="minorBidi"/>
        </w:rPr>
      </w:pPr>
    </w:p>
    <w:p w:rsidR="00F31E57" w:rsidRDefault="00F31E57" w:rsidP="00F31E57">
      <w:r>
        <w:t>&lt;ESMA_QUESTION_PRIIPs_68&gt;</w:t>
      </w:r>
    </w:p>
    <w:p w:rsidR="0004031C" w:rsidRPr="0004031C" w:rsidRDefault="0004031C" w:rsidP="0004031C">
      <w:pPr>
        <w:pStyle w:val="ESBG"/>
        <w:rPr>
          <w:lang w:val="en-US"/>
        </w:rPr>
      </w:pPr>
      <w:permStart w:id="30833288" w:edGrp="everyone"/>
      <w:r w:rsidRPr="00AE2371">
        <w:rPr>
          <w:lang w:val="en-US"/>
        </w:rPr>
        <w:t>These costs are not incurred by the investor as it is the risk of the issuer alone</w:t>
      </w:r>
      <w:r>
        <w:rPr>
          <w:lang w:val="en-US"/>
        </w:rPr>
        <w:t>.</w:t>
      </w:r>
      <w:r w:rsidRPr="0004031C">
        <w:rPr>
          <w:lang w:val="en-US"/>
        </w:rPr>
        <w:t xml:space="preserve"> </w:t>
      </w:r>
    </w:p>
    <w:permEnd w:id="30833288"/>
    <w:p w:rsidR="00F31E57" w:rsidRDefault="00F31E57" w:rsidP="00F31E57">
      <w:r>
        <w:t>&lt;ESMA_QUESTION_PRIIPs_68&gt;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Do you agree with the general framework outlined above? </w:t>
      </w:r>
    </w:p>
    <w:p w:rsidR="00F31E57" w:rsidRDefault="00F31E57" w:rsidP="00F31E57">
      <w:pPr>
        <w:rPr>
          <w:rFonts w:cstheme="minorBidi"/>
          <w:lang w:eastAsia="en-US"/>
        </w:rPr>
      </w:pPr>
    </w:p>
    <w:p w:rsidR="00F31E57" w:rsidRDefault="00F31E57" w:rsidP="00F31E57">
      <w:r>
        <w:t>&lt;ESMA_QUESTION_PRIIPs_69&gt;</w:t>
      </w:r>
    </w:p>
    <w:p w:rsidR="0004031C" w:rsidRDefault="0004031C" w:rsidP="0004031C">
      <w:pPr>
        <w:pStyle w:val="ESBG"/>
      </w:pPr>
      <w:permStart w:id="1235161290" w:edGrp="everyone"/>
      <w:r w:rsidRPr="00852B4D">
        <w:t xml:space="preserve">No, we do not think that the Fair value should be used to valuate OTC derivatives because it hardly will lead to similar valuations given that the inputs used in the valuation are not objective data which will lead to having different outputs for </w:t>
      </w:r>
      <w:r>
        <w:t xml:space="preserve">the </w:t>
      </w:r>
      <w:r w:rsidRPr="00852B4D">
        <w:t>same derivatives.</w:t>
      </w:r>
    </w:p>
    <w:p w:rsidR="0004031C" w:rsidRDefault="0004031C" w:rsidP="0004031C">
      <w:pPr>
        <w:pStyle w:val="ESBG"/>
      </w:pPr>
    </w:p>
    <w:p w:rsidR="0004031C" w:rsidRDefault="0004031C" w:rsidP="0004031C">
      <w:pPr>
        <w:pStyle w:val="ESBG"/>
      </w:pPr>
      <w:r w:rsidRPr="00852B4D">
        <w:t>Specific comments for the parameters page 92:</w:t>
      </w:r>
    </w:p>
    <w:p w:rsidR="0004031C" w:rsidRPr="00852B4D" w:rsidRDefault="0004031C" w:rsidP="0004031C">
      <w:pPr>
        <w:pStyle w:val="ESBG"/>
      </w:pPr>
      <w:proofErr w:type="spellStart"/>
      <w:r w:rsidRPr="00852B4D">
        <w:t>i</w:t>
      </w:r>
      <w:proofErr w:type="spellEnd"/>
      <w:r w:rsidRPr="00852B4D">
        <w:t>.: The risk premium is irrelevant when calculating the fair value.</w:t>
      </w:r>
    </w:p>
    <w:p w:rsidR="0004031C" w:rsidRPr="00852B4D" w:rsidRDefault="0004031C" w:rsidP="0004031C">
      <w:pPr>
        <w:pStyle w:val="ESBG"/>
      </w:pPr>
      <w:proofErr w:type="gramStart"/>
      <w:r w:rsidRPr="00852B4D">
        <w:t>iii.:</w:t>
      </w:r>
      <w:proofErr w:type="gramEnd"/>
      <w:r w:rsidRPr="00852B4D">
        <w:t xml:space="preserve"> Here you may also refer to the Funding curve of the issuer.</w:t>
      </w:r>
    </w:p>
    <w:p w:rsidR="0004031C" w:rsidRPr="00852B4D" w:rsidRDefault="0004031C" w:rsidP="0004031C">
      <w:pPr>
        <w:pStyle w:val="ESBG"/>
      </w:pPr>
    </w:p>
    <w:p w:rsidR="0004031C" w:rsidRDefault="0004031C" w:rsidP="0004031C">
      <w:pPr>
        <w:pStyle w:val="ESBG"/>
      </w:pPr>
      <w:r w:rsidRPr="00852B4D">
        <w:t>Specific comments on page 93: Since hedgin</w:t>
      </w:r>
      <w:r>
        <w:t>g costs are not always Emission</w:t>
      </w:r>
      <w:r w:rsidRPr="00852B4D">
        <w:t xml:space="preserve"> related, </w:t>
      </w:r>
      <w:r w:rsidRPr="00ED5BD9">
        <w:t xml:space="preserve">the specific features of OTC derivatives should be discussed within the framework of </w:t>
      </w:r>
      <w:r>
        <w:t xml:space="preserve">a </w:t>
      </w:r>
      <w:r w:rsidRPr="00ED5BD9">
        <w:t>special consultations, which we called for in the introduction ("General Comment").</w:t>
      </w:r>
    </w:p>
    <w:permEnd w:id="1235161290"/>
    <w:p w:rsidR="00F31E57" w:rsidRDefault="00F31E57" w:rsidP="00F31E57">
      <w:r>
        <w:t>&lt;ESMA_QUESTION_PRIIPs_69&gt;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criteria should be chosen to update the values in the KID when input data change significantly?</w:t>
      </w:r>
    </w:p>
    <w:p w:rsidR="00F31E57" w:rsidRDefault="00F31E57" w:rsidP="00F31E57">
      <w:pPr>
        <w:rPr>
          <w:rFonts w:cstheme="minorBidi"/>
        </w:rPr>
      </w:pPr>
    </w:p>
    <w:p w:rsidR="00F31E57" w:rsidRDefault="00F31E57" w:rsidP="00F31E57">
      <w:r>
        <w:t>&lt;ESMA_QUESTION_PRIIPs_70&gt;</w:t>
      </w:r>
    </w:p>
    <w:p w:rsidR="0004031C" w:rsidRDefault="0004031C" w:rsidP="0004031C">
      <w:pPr>
        <w:pStyle w:val="ESBG"/>
      </w:pPr>
      <w:permStart w:id="389812098" w:edGrp="everyone"/>
      <w:r w:rsidRPr="00163451">
        <w:rPr>
          <w:lang w:val="en-US"/>
        </w:rPr>
        <w:t>As costs are specifically concerned, we do not believe that there should be a need for an update.</w:t>
      </w:r>
    </w:p>
    <w:p w:rsidR="0004031C" w:rsidRDefault="0004031C" w:rsidP="0004031C">
      <w:pPr>
        <w:pStyle w:val="ESBG"/>
      </w:pPr>
    </w:p>
    <w:p w:rsidR="0004031C" w:rsidRDefault="0004031C" w:rsidP="0004031C">
      <w:pPr>
        <w:pStyle w:val="ESBG"/>
      </w:pPr>
      <w:r>
        <w:t>As a more general comment, i</w:t>
      </w:r>
      <w:r w:rsidRPr="00ED5BD9">
        <w:t>n our opinion the discussion about update cycles has to consider two aspects. On the one hand</w:t>
      </w:r>
      <w:r>
        <w:t>,</w:t>
      </w:r>
      <w:r w:rsidRPr="00ED5BD9">
        <w:t xml:space="preserve"> KID values like the risk indicator should be as up-to-date as possible in order to account for the current market developments. On the other hand</w:t>
      </w:r>
      <w:r>
        <w:t>,</w:t>
      </w:r>
      <w:r w:rsidRPr="00ED5BD9">
        <w:t xml:space="preserve"> the values should be as stable as possible since it will in general be a huge challenge for advisers to operate on a near-time updateable KID in daily business.  From our point of view a regular update is a reasonable trade-off between being up-to-date and stability. </w:t>
      </w:r>
    </w:p>
    <w:permEnd w:id="389812098"/>
    <w:p w:rsidR="00F31E57" w:rsidRDefault="00F31E57" w:rsidP="00F31E57">
      <w:r>
        <w:t>&lt;ESMA_QUESTION_PRIIPs_70&gt;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As the evolution of underlying asset/s should be taken into account, are there specific issues to be tackled with in relation to specific types of underlying? To what extent should the RTS be prescriptive on the risk premium?</w:t>
      </w:r>
    </w:p>
    <w:p w:rsidR="00F31E57" w:rsidRDefault="00F31E57" w:rsidP="00F31E57">
      <w:pPr>
        <w:rPr>
          <w:rFonts w:cstheme="minorBidi"/>
          <w:lang w:eastAsia="en-US"/>
        </w:rPr>
      </w:pPr>
    </w:p>
    <w:p w:rsidR="00F31E57" w:rsidRDefault="00F31E57" w:rsidP="00F31E57">
      <w:r>
        <w:t>&lt;ESMA_QUESTION_PRIIPs_71&gt;</w:t>
      </w:r>
    </w:p>
    <w:p w:rsidR="0004031C" w:rsidRDefault="0004031C" w:rsidP="0004031C">
      <w:pPr>
        <w:pStyle w:val="ESBG"/>
        <w:rPr>
          <w:lang w:val="en-US"/>
        </w:rPr>
      </w:pPr>
      <w:permStart w:id="1607797008" w:edGrp="everyone"/>
      <w:r w:rsidRPr="00AE2371">
        <w:rPr>
          <w:lang w:val="en-US"/>
        </w:rPr>
        <w:t>The risk premium does not matter at fair value for certificates.</w:t>
      </w:r>
      <w:r>
        <w:rPr>
          <w:lang w:val="en-US"/>
        </w:rPr>
        <w:t xml:space="preserve"> T</w:t>
      </w:r>
      <w:r w:rsidRPr="00163451">
        <w:rPr>
          <w:lang w:val="en-US"/>
        </w:rPr>
        <w:t>here is no need for a prescriptive approach.</w:t>
      </w:r>
    </w:p>
    <w:permEnd w:id="1607797008"/>
    <w:p w:rsidR="00F31E57" w:rsidRDefault="00F31E57" w:rsidP="00F31E57">
      <w:r>
        <w:t>&lt;ESMA_QUESTION_PRIIPs_71&gt;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Are you aware of any other assumptions to be set?</w:t>
      </w:r>
    </w:p>
    <w:p w:rsidR="00F31E57" w:rsidRDefault="00F31E57" w:rsidP="00F31E57">
      <w:pPr>
        <w:rPr>
          <w:rFonts w:cstheme="minorBidi"/>
          <w:lang w:eastAsia="en-US"/>
        </w:rPr>
      </w:pPr>
    </w:p>
    <w:p w:rsidR="00F31E57" w:rsidRDefault="00F31E57" w:rsidP="00F31E57">
      <w:r>
        <w:t>&lt;ESMA_QUESTION_PRIIPs_72&gt;</w:t>
      </w:r>
    </w:p>
    <w:p w:rsidR="0004031C" w:rsidRDefault="0004031C" w:rsidP="0004031C">
      <w:pPr>
        <w:rPr>
          <w:lang w:val="en-US"/>
        </w:rPr>
      </w:pPr>
      <w:permStart w:id="1799501576" w:edGrp="everyone"/>
      <w:r w:rsidRPr="00EB18BC">
        <w:rPr>
          <w:rStyle w:val="ESBGChar"/>
        </w:rPr>
        <w:lastRenderedPageBreak/>
        <w:t>The internal funding curve of the issuer</w:t>
      </w:r>
      <w:r w:rsidRPr="00AE2371">
        <w:rPr>
          <w:lang w:val="en-US"/>
        </w:rPr>
        <w:t>.</w:t>
      </w:r>
    </w:p>
    <w:permEnd w:id="1799501576"/>
    <w:p w:rsidR="00F31E57" w:rsidRDefault="00F31E57" w:rsidP="00F31E57">
      <w:r>
        <w:t>&lt;ESMA_QUESTION_PRIIPs_72&gt;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eastAsia="Arial Unicode MS" w:cs="Arial"/>
          <w:lang w:eastAsia="it-IT"/>
        </w:rPr>
        <w:t xml:space="preserve">Having in mind that </w:t>
      </w:r>
      <w:r>
        <w:rPr>
          <w:rFonts w:cs="Arial"/>
        </w:rPr>
        <w:t>most of the applied models in banking are forward looking (e.g. using implied volatility instead of historical volatility)</w:t>
      </w:r>
      <w:r>
        <w:rPr>
          <w:rFonts w:eastAsia="Arial Unicode MS" w:cs="Arial"/>
          <w:lang w:eastAsia="it-IT"/>
        </w:rPr>
        <w:t xml:space="preserve"> which are the pros and cons of backward looking approach and forward looking approach? </w:t>
      </w:r>
    </w:p>
    <w:p w:rsidR="00F31E57" w:rsidRDefault="00F31E57" w:rsidP="00F31E57">
      <w:pPr>
        <w:rPr>
          <w:rFonts w:eastAsiaTheme="minorHAnsi" w:cstheme="minorBidi"/>
          <w:lang w:eastAsia="en-US"/>
        </w:rPr>
      </w:pPr>
    </w:p>
    <w:p w:rsidR="00F31E57" w:rsidRDefault="00F31E57" w:rsidP="00F31E57">
      <w:r>
        <w:t>&lt;ESMA_QUESTION_PRIIPs_73&gt;</w:t>
      </w:r>
    </w:p>
    <w:p w:rsidR="00F31E57" w:rsidRDefault="00F31E57" w:rsidP="00F31E57">
      <w:permStart w:id="1355811612" w:edGrp="everyone"/>
      <w:r>
        <w:t>TYPE YOUR TEXT HERE</w:t>
      </w:r>
    </w:p>
    <w:permEnd w:id="1355811612"/>
    <w:p w:rsidR="00F31E57" w:rsidRDefault="00F31E57" w:rsidP="00F31E57">
      <w:r>
        <w:t>&lt;ESMA_QUESTION_PRIIPs_73&gt;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eastAsia="Arial Unicode MS" w:cs="Arial"/>
          <w:lang w:eastAsia="it-IT"/>
        </w:rPr>
        <w:t>Do you think that there are other risk free curves that could be considered?</w:t>
      </w:r>
    </w:p>
    <w:p w:rsidR="00F31E57" w:rsidRDefault="00F31E57" w:rsidP="00F31E57">
      <w:pPr>
        <w:rPr>
          <w:rFonts w:eastAsiaTheme="minorHAnsi" w:cstheme="minorBidi"/>
          <w:lang w:eastAsia="en-US"/>
        </w:rPr>
      </w:pPr>
    </w:p>
    <w:p w:rsidR="00F31E57" w:rsidRDefault="00F31E57" w:rsidP="00F31E57">
      <w:r>
        <w:t>&lt;ESMA_QUESTION_PRIIPs_74&gt;</w:t>
      </w:r>
    </w:p>
    <w:p w:rsidR="0004031C" w:rsidRPr="00451C6C" w:rsidRDefault="0004031C" w:rsidP="0004031C">
      <w:pPr>
        <w:pStyle w:val="ESBG"/>
        <w:rPr>
          <w:lang w:val="es-ES"/>
        </w:rPr>
      </w:pPr>
      <w:permStart w:id="186349072" w:edGrp="everyone"/>
      <w:r w:rsidRPr="00451C6C">
        <w:rPr>
          <w:lang w:val="es-ES"/>
        </w:rPr>
        <w:t>No.</w:t>
      </w:r>
    </w:p>
    <w:permEnd w:id="186349072"/>
    <w:p w:rsidR="00F31E57" w:rsidRDefault="00F31E57" w:rsidP="00F31E57">
      <w:r>
        <w:t>&lt;ESMA_QUESTION_PRIIPs_74&gt;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 xml:space="preserve">Do you think that there are other market data that could be used to determine the credit risk? Do you think that </w:t>
      </w:r>
      <w:r>
        <w:rPr>
          <w:rFonts w:cs="Arial"/>
        </w:rPr>
        <w:t>implied credit spreads from other issuer bonds (other than structured products) could be used?</w:t>
      </w:r>
    </w:p>
    <w:p w:rsidR="00F31E57" w:rsidRDefault="00F31E57" w:rsidP="00F31E57">
      <w:pPr>
        <w:rPr>
          <w:rFonts w:cstheme="minorBidi"/>
        </w:rPr>
      </w:pPr>
    </w:p>
    <w:p w:rsidR="00F31E57" w:rsidRDefault="00F31E57" w:rsidP="00F31E57">
      <w:r>
        <w:t>&lt;ESMA_QUESTION_PRIIPs_75&gt;</w:t>
      </w:r>
    </w:p>
    <w:p w:rsidR="0004031C" w:rsidRDefault="0004031C" w:rsidP="0004031C">
      <w:pPr>
        <w:pStyle w:val="ESBG"/>
      </w:pPr>
      <w:permStart w:id="1264988107" w:edGrp="everyone"/>
      <w:r>
        <w:t xml:space="preserve">Deriving credit spreads from other issuer bonds is a valid alternative for getting up-to-date spread information especially for issuers with illiquid CDS-contracts. Besides we even have the internal funding curves of the manufacturer. </w:t>
      </w:r>
    </w:p>
    <w:p w:rsidR="0004031C" w:rsidRDefault="0004031C" w:rsidP="0004031C">
      <w:pPr>
        <w:pStyle w:val="ESBG"/>
      </w:pPr>
    </w:p>
    <w:p w:rsidR="0004031C" w:rsidRPr="007A7322" w:rsidRDefault="0004031C" w:rsidP="0004031C">
      <w:pPr>
        <w:pStyle w:val="ESBG"/>
        <w:rPr>
          <w:lang w:val="en-US"/>
        </w:rPr>
      </w:pPr>
      <w:r>
        <w:rPr>
          <w:lang w:val="en-US"/>
        </w:rPr>
        <w:t>It should be noted in addition that R</w:t>
      </w:r>
      <w:r w:rsidRPr="007A7322">
        <w:rPr>
          <w:lang w:val="en-US"/>
        </w:rPr>
        <w:t>atings and Credit spreads - while not perfect - are the only available measures.</w:t>
      </w:r>
    </w:p>
    <w:permEnd w:id="1264988107"/>
    <w:p w:rsidR="00F31E57" w:rsidRDefault="00F31E57" w:rsidP="00F31E57">
      <w:r>
        <w:t>&lt;ESMA_QUESTION_PRIIPs_75&gt;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How would you determine the credit risk in the absence of market data and which are the criteria to identify the comparable?</w:t>
      </w:r>
    </w:p>
    <w:p w:rsidR="00F31E57" w:rsidRDefault="00F31E57" w:rsidP="00F31E57">
      <w:pPr>
        <w:rPr>
          <w:rFonts w:cstheme="minorBidi"/>
          <w:lang w:eastAsia="en-US"/>
        </w:rPr>
      </w:pPr>
    </w:p>
    <w:p w:rsidR="00F31E57" w:rsidRDefault="00F31E57" w:rsidP="00F31E57">
      <w:r>
        <w:t>&lt;ESMA_QUESTION_PRIIPs_76&gt;</w:t>
      </w:r>
    </w:p>
    <w:p w:rsidR="0004031C" w:rsidRDefault="0004031C" w:rsidP="0004031C">
      <w:pPr>
        <w:pStyle w:val="ESBG"/>
        <w:rPr>
          <w:lang w:val="en-US"/>
        </w:rPr>
      </w:pPr>
      <w:permStart w:id="44587460" w:edGrp="everyone"/>
      <w:r w:rsidRPr="00EA1B04">
        <w:rPr>
          <w:lang w:val="en-US"/>
        </w:rPr>
        <w:t>In the absence of market data</w:t>
      </w:r>
      <w:r>
        <w:rPr>
          <w:lang w:val="en-US"/>
        </w:rPr>
        <w:t>,</w:t>
      </w:r>
      <w:r w:rsidRPr="00EA1B04">
        <w:rPr>
          <w:lang w:val="en-US"/>
        </w:rPr>
        <w:t xml:space="preserve"> appropriate peers have to be defined in order to determine the credit risk. In case peers are not available, fixed values</w:t>
      </w:r>
      <w:r>
        <w:rPr>
          <w:lang w:val="en-US"/>
        </w:rPr>
        <w:t xml:space="preserve"> </w:t>
      </w:r>
      <w:r w:rsidRPr="00255C1A">
        <w:rPr>
          <w:lang w:val="en-US"/>
        </w:rPr>
        <w:t xml:space="preserve">(worst-case) </w:t>
      </w:r>
      <w:r w:rsidRPr="00EA1B04">
        <w:rPr>
          <w:lang w:val="en-US"/>
        </w:rPr>
        <w:t>for credit risk can be determined</w:t>
      </w:r>
      <w:r>
        <w:rPr>
          <w:lang w:val="en-US"/>
        </w:rPr>
        <w:t xml:space="preserve"> (for instance the </w:t>
      </w:r>
      <w:r>
        <w:rPr>
          <w:rFonts w:cs="Arial"/>
          <w:iCs/>
        </w:rPr>
        <w:t>internal funding curves of the manufacturer</w:t>
      </w:r>
      <w:r>
        <w:rPr>
          <w:lang w:val="en-US"/>
        </w:rPr>
        <w:t>)</w:t>
      </w:r>
      <w:r w:rsidRPr="00EA1B04">
        <w:rPr>
          <w:lang w:val="en-US"/>
        </w:rPr>
        <w:t>.</w:t>
      </w:r>
    </w:p>
    <w:p w:rsidR="0004031C" w:rsidRDefault="0004031C" w:rsidP="0004031C">
      <w:pPr>
        <w:pStyle w:val="ESBG"/>
        <w:rPr>
          <w:lang w:val="en-US"/>
        </w:rPr>
      </w:pPr>
    </w:p>
    <w:p w:rsidR="0004031C" w:rsidRDefault="0004031C" w:rsidP="0004031C">
      <w:pPr>
        <w:pStyle w:val="ESBG"/>
        <w:rPr>
          <w:lang w:val="en-US"/>
        </w:rPr>
      </w:pPr>
      <w:r>
        <w:rPr>
          <w:lang w:val="en-US"/>
        </w:rPr>
        <w:t>A</w:t>
      </w:r>
      <w:r w:rsidRPr="00163451">
        <w:rPr>
          <w:lang w:val="en-US"/>
        </w:rPr>
        <w:t>s long as the funding spread is known</w:t>
      </w:r>
      <w:r>
        <w:rPr>
          <w:lang w:val="en-US"/>
        </w:rPr>
        <w:t>,</w:t>
      </w:r>
      <w:r w:rsidRPr="00163451">
        <w:rPr>
          <w:lang w:val="en-US"/>
        </w:rPr>
        <w:t xml:space="preserve"> </w:t>
      </w:r>
      <w:r>
        <w:rPr>
          <w:lang w:val="en-US"/>
        </w:rPr>
        <w:t>t</w:t>
      </w:r>
      <w:r w:rsidRPr="00163451">
        <w:rPr>
          <w:lang w:val="en-US"/>
        </w:rPr>
        <w:t>he absence of observable market data does not prevent the manufacturer from valuating a product (the credit risk is impl</w:t>
      </w:r>
      <w:r>
        <w:rPr>
          <w:lang w:val="en-US"/>
        </w:rPr>
        <w:t>icitly included in the funding curve</w:t>
      </w:r>
      <w:r w:rsidRPr="00163451">
        <w:rPr>
          <w:lang w:val="en-US"/>
        </w:rPr>
        <w:t>).</w:t>
      </w:r>
    </w:p>
    <w:permEnd w:id="44587460"/>
    <w:p w:rsidR="00F31E57" w:rsidRDefault="00F31E57" w:rsidP="00F31E57">
      <w:r>
        <w:t>&lt;ESMA_QUESTION_PRIIPs_76&gt;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cs="Arial"/>
          <w:color w:val="000000"/>
          <w:lang w:eastAsia="it-IT"/>
        </w:rPr>
        <w:t>How would</w:t>
      </w:r>
      <w:r>
        <w:rPr>
          <w:rFonts w:eastAsia="Arial Unicode MS" w:cs="Arial"/>
          <w:lang w:eastAsia="it-IT"/>
        </w:rPr>
        <w:t xml:space="preserve"> you include the counterparty risk in the valuation? Would you include specific models to include counterparty risk in valuation (CVA models)? How would you consider the counterparty risk for pure derivatives?</w:t>
      </w:r>
    </w:p>
    <w:p w:rsidR="00F31E57" w:rsidRDefault="00F31E57" w:rsidP="00F31E57">
      <w:pPr>
        <w:rPr>
          <w:rFonts w:eastAsiaTheme="minorHAnsi" w:cstheme="minorBidi"/>
          <w:lang w:eastAsia="en-US"/>
        </w:rPr>
      </w:pPr>
    </w:p>
    <w:p w:rsidR="00F31E57" w:rsidRDefault="00F31E57" w:rsidP="00F31E57">
      <w:r>
        <w:t>&lt;ESMA_QUESTION_PRIIPs_77&gt;</w:t>
      </w:r>
    </w:p>
    <w:p w:rsidR="0004031C" w:rsidRPr="00852B4D" w:rsidRDefault="0004031C" w:rsidP="0004031C">
      <w:pPr>
        <w:pStyle w:val="ESBG"/>
      </w:pPr>
      <w:permStart w:id="1771377473" w:edGrp="everyone"/>
      <w:r w:rsidRPr="00852B4D">
        <w:t>"Counterparty Risk" of the</w:t>
      </w:r>
      <w:r>
        <w:t xml:space="preserve"> retail</w:t>
      </w:r>
      <w:r w:rsidRPr="00852B4D">
        <w:t xml:space="preserve"> investor is not relevant for certificates because the issuer and not the</w:t>
      </w:r>
      <w:r>
        <w:t xml:space="preserve"> retail</w:t>
      </w:r>
      <w:r w:rsidRPr="00852B4D">
        <w:t xml:space="preserve"> investor bears this risk.</w:t>
      </w:r>
    </w:p>
    <w:p w:rsidR="0004031C" w:rsidRPr="00852B4D" w:rsidRDefault="0004031C" w:rsidP="0004031C">
      <w:pPr>
        <w:pStyle w:val="ESBG"/>
      </w:pPr>
    </w:p>
    <w:p w:rsidR="0004031C" w:rsidRDefault="0004031C" w:rsidP="0004031C">
      <w:pPr>
        <w:pStyle w:val="ESBG"/>
      </w:pPr>
      <w:r w:rsidRPr="00852B4D">
        <w:lastRenderedPageBreak/>
        <w:t>For OTC derivatives, CVA should be included.</w:t>
      </w:r>
    </w:p>
    <w:permEnd w:id="1771377473"/>
    <w:p w:rsidR="00F31E57" w:rsidRDefault="00F31E57" w:rsidP="00F31E57">
      <w:r>
        <w:t>&lt;ESMA_QUESTION_PRIIPs_77&gt;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rPr>
        <w:t xml:space="preserve">In which circumstances do you think parameters cannot be computed/estimated using market data? What would you suggest to deal with this issue? </w:t>
      </w:r>
    </w:p>
    <w:p w:rsidR="00F31E57" w:rsidRDefault="00F31E57" w:rsidP="00F31E57">
      <w:pPr>
        <w:rPr>
          <w:rFonts w:cstheme="minorBidi"/>
          <w:lang w:eastAsia="en-US"/>
        </w:rPr>
      </w:pPr>
    </w:p>
    <w:p w:rsidR="00F31E57" w:rsidRDefault="00F31E57" w:rsidP="00F31E57">
      <w:r>
        <w:t>&lt;ESMA_QUESTION_PRIIPs_78&gt;</w:t>
      </w:r>
    </w:p>
    <w:p w:rsidR="0004031C" w:rsidRPr="002D343E" w:rsidRDefault="0004031C" w:rsidP="0004031C">
      <w:pPr>
        <w:pStyle w:val="ESBG"/>
      </w:pPr>
      <w:permStart w:id="249576088" w:edGrp="everyone"/>
      <w:r w:rsidRPr="00147335">
        <w:t xml:space="preserve">In many circumstances, if </w:t>
      </w:r>
      <w:r>
        <w:t>insufficient</w:t>
      </w:r>
      <w:r w:rsidRPr="00147335">
        <w:t xml:space="preserve"> data is available for counterparties (</w:t>
      </w:r>
      <w:r w:rsidRPr="007A7322">
        <w:rPr>
          <w:i/>
        </w:rPr>
        <w:t>i.e.</w:t>
      </w:r>
      <w:r w:rsidRPr="00147335">
        <w:t xml:space="preserve"> no rated entities) or even for standard parameters in times of extrem</w:t>
      </w:r>
      <w:r>
        <w:t>e unc</w:t>
      </w:r>
      <w:r w:rsidRPr="00147335">
        <w:t>ertainty</w:t>
      </w:r>
      <w:r>
        <w:t>,</w:t>
      </w:r>
      <w:r w:rsidRPr="00147335">
        <w:t xml:space="preserve"> </w:t>
      </w:r>
      <w:r>
        <w:t>such as</w:t>
      </w:r>
      <w:r w:rsidRPr="00147335">
        <w:t xml:space="preserve"> political or extrem</w:t>
      </w:r>
      <w:r>
        <w:t>e economic</w:t>
      </w:r>
      <w:r w:rsidRPr="00147335">
        <w:t xml:space="preserve"> events</w:t>
      </w:r>
      <w:r>
        <w:t>.</w:t>
      </w:r>
    </w:p>
    <w:p w:rsidR="0004031C" w:rsidRDefault="0004031C" w:rsidP="0004031C">
      <w:pPr>
        <w:pStyle w:val="ESBG"/>
      </w:pPr>
    </w:p>
    <w:p w:rsidR="0004031C" w:rsidRDefault="0004031C" w:rsidP="0004031C">
      <w:pPr>
        <w:pStyle w:val="ESBG"/>
      </w:pPr>
      <w:r>
        <w:t>Fully or partially</w:t>
      </w:r>
      <w:r w:rsidRPr="00ED5BD9">
        <w:t xml:space="preserve"> unobservable market data is not a rarity in financial modelling, e.g. for exotic underlying or options observable market data is often missing. In these cases valid assumptions or approximations in-line with industry as well as theoretical standards have to be applied. As these approximations will be reflected in the purchase price of a PRIIP and therefore in the corresponding cost disclosures in the KID, it will be transparent to investors that potentially higher costs will occur in such a PRIIP.</w:t>
      </w:r>
    </w:p>
    <w:permEnd w:id="249576088"/>
    <w:p w:rsidR="00F31E57" w:rsidRDefault="00F31E57" w:rsidP="00F31E57">
      <w:r>
        <w:t>&lt;ESMA_QUESTION_PRIIPs_78&gt;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Would it be meaningful to prescribe specific pricing models for structured products, derivatives and CFDs? If yes which are the pros and cons of parametric and non-parametric models?</w:t>
      </w:r>
    </w:p>
    <w:p w:rsidR="00F31E57" w:rsidRDefault="00F31E57" w:rsidP="00F31E57">
      <w:pPr>
        <w:rPr>
          <w:rFonts w:cstheme="minorBidi"/>
        </w:rPr>
      </w:pPr>
    </w:p>
    <w:p w:rsidR="00F31E57" w:rsidRDefault="00F31E57" w:rsidP="00F31E57">
      <w:r>
        <w:t>&lt;ESMA_QUESTION_PRIIPs_79&gt;</w:t>
      </w:r>
    </w:p>
    <w:p w:rsidR="0004031C" w:rsidRDefault="0004031C" w:rsidP="0004031C">
      <w:pPr>
        <w:pStyle w:val="ESBG"/>
        <w:rPr>
          <w:lang w:val="en-US"/>
        </w:rPr>
      </w:pPr>
      <w:permStart w:id="1692167354" w:edGrp="everyone"/>
      <w:r w:rsidRPr="00AE2371">
        <w:rPr>
          <w:lang w:val="en-US"/>
        </w:rPr>
        <w:t>No, only the models that reproduce well the market prices should be required.</w:t>
      </w:r>
    </w:p>
    <w:p w:rsidR="0004031C" w:rsidRDefault="0004031C" w:rsidP="0004031C">
      <w:pPr>
        <w:pStyle w:val="ESBG"/>
        <w:rPr>
          <w:lang w:val="en-US"/>
        </w:rPr>
      </w:pPr>
    </w:p>
    <w:p w:rsidR="0004031C" w:rsidRDefault="0004031C" w:rsidP="0004031C">
      <w:pPr>
        <w:pStyle w:val="ESBG"/>
        <w:rPr>
          <w:lang w:val="en-US"/>
        </w:rPr>
      </w:pPr>
      <w:r w:rsidRPr="008D0C55">
        <w:rPr>
          <w:lang w:val="en-US"/>
        </w:rPr>
        <w:t xml:space="preserve">It is not possible to prescribe a model that would give reliable prices for a decent proportion of structured products. Instead it is much </w:t>
      </w:r>
      <w:r>
        <w:rPr>
          <w:lang w:val="en-US"/>
        </w:rPr>
        <w:t xml:space="preserve">more </w:t>
      </w:r>
      <w:r w:rsidRPr="008D0C55">
        <w:rPr>
          <w:lang w:val="en-US"/>
        </w:rPr>
        <w:t>effective to rely on internal models, which are audited by prudential regulators</w:t>
      </w:r>
      <w:r>
        <w:rPr>
          <w:lang w:val="en-US"/>
        </w:rPr>
        <w:t>.</w:t>
      </w:r>
    </w:p>
    <w:permEnd w:id="1692167354"/>
    <w:p w:rsidR="00F31E57" w:rsidRDefault="00F31E57" w:rsidP="00F31E57">
      <w:r>
        <w:t>&lt;ESMA_QUESTION_PRIIPs_79&gt;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What should be the value of x? (in the case of UCITS, x=5, but the extent to which this is appropriate for other types of PRIIPs, notably life-insurance products, is unclear). </w:t>
      </w:r>
    </w:p>
    <w:p w:rsidR="00F31E57" w:rsidRDefault="00F31E57" w:rsidP="00F31E57">
      <w:pPr>
        <w:rPr>
          <w:rFonts w:cstheme="minorBidi"/>
        </w:rPr>
      </w:pPr>
    </w:p>
    <w:p w:rsidR="00F31E57" w:rsidRDefault="00F31E57" w:rsidP="00F31E57">
      <w:r>
        <w:t>&lt;ESMA_QUESTION_PRIIPs_80&gt;</w:t>
      </w:r>
    </w:p>
    <w:p w:rsidR="0004031C" w:rsidRDefault="0004031C" w:rsidP="0004031C">
      <w:pPr>
        <w:pStyle w:val="ESBG"/>
      </w:pPr>
      <w:permStart w:id="862463105" w:edGrp="everyone"/>
      <w:r>
        <w:t>One year.</w:t>
      </w:r>
    </w:p>
    <w:permEnd w:id="862463105"/>
    <w:p w:rsidR="00F31E57" w:rsidRDefault="00F31E57" w:rsidP="00F31E57">
      <w:r>
        <w:t>&lt;ESMA_QUESTION_PRIIPs_80&gt;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Should this principle be further explained / detailed? Should the terms “rank pari passu” be adapted to fit the different types of PRIIPs? </w:t>
      </w:r>
    </w:p>
    <w:p w:rsidR="00F31E57" w:rsidRDefault="00F31E57" w:rsidP="00F31E57">
      <w:pPr>
        <w:rPr>
          <w:rFonts w:cstheme="minorBidi"/>
        </w:rPr>
      </w:pPr>
    </w:p>
    <w:p w:rsidR="00F31E57" w:rsidRDefault="00F31E57" w:rsidP="00F31E57">
      <w:r>
        <w:t>&lt;ESMA_QUESTION_PRIIPs_81&gt;</w:t>
      </w:r>
    </w:p>
    <w:p w:rsidR="0004031C" w:rsidRDefault="0004031C" w:rsidP="0004031C">
      <w:pPr>
        <w:pStyle w:val="ESBG"/>
        <w:rPr>
          <w:lang w:val="en-US"/>
        </w:rPr>
      </w:pPr>
      <w:permStart w:id="592798193" w:edGrp="everyone"/>
      <w:r w:rsidRPr="00AE2371">
        <w:rPr>
          <w:lang w:val="en-US"/>
        </w:rPr>
        <w:t>We expect that this issue only affects investment funds.</w:t>
      </w:r>
      <w:r>
        <w:rPr>
          <w:lang w:val="en-US"/>
        </w:rPr>
        <w:t xml:space="preserve"> It</w:t>
      </w:r>
      <w:r w:rsidRPr="008D0C55">
        <w:rPr>
          <w:lang w:val="en-US"/>
        </w:rPr>
        <w:t xml:space="preserve"> </w:t>
      </w:r>
      <w:r>
        <w:rPr>
          <w:lang w:val="en-US"/>
        </w:rPr>
        <w:t>d</w:t>
      </w:r>
      <w:r w:rsidRPr="008D0C55">
        <w:rPr>
          <w:lang w:val="en-US"/>
        </w:rPr>
        <w:t>oes not seem to be relevant for structured products.</w:t>
      </w:r>
    </w:p>
    <w:permEnd w:id="592798193"/>
    <w:p w:rsidR="00F31E57" w:rsidRDefault="00F31E57" w:rsidP="00F31E57">
      <w:r>
        <w:t>&lt;ESMA_QUESTION_PRIIPs_81&gt;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bCs/>
          <w:iCs/>
          <w:noProof/>
        </w:rPr>
        <w:t xml:space="preserve">What should be the relevant figure for the initial invested amount to be taken into account for the calculation of cost figures? Should a higher initial investment amount be taken into account not to overestimate the impact of fixed costs? How should the situation of products with regular payments be taken into account for that specific </w:t>
      </w:r>
      <w:r>
        <w:rPr>
          <w:rFonts w:cs="Arial"/>
          <w:bCs/>
          <w:iCs/>
          <w:noProof/>
        </w:rPr>
        <w:lastRenderedPageBreak/>
        <w:t xml:space="preserve">purpose? (Would an invested amount of 1 000 euros per period of time be a relevant figure?) </w:t>
      </w:r>
    </w:p>
    <w:p w:rsidR="00F31E57" w:rsidRDefault="00F31E57" w:rsidP="00F31E57">
      <w:pPr>
        <w:rPr>
          <w:rFonts w:cstheme="minorBidi"/>
        </w:rPr>
      </w:pPr>
    </w:p>
    <w:p w:rsidR="00F31E57" w:rsidRDefault="00F31E57" w:rsidP="00F31E57">
      <w:r>
        <w:t>&lt;ESMA_QUESTION_PRIIPs_82&gt;</w:t>
      </w:r>
    </w:p>
    <w:p w:rsidR="0004031C" w:rsidRDefault="0004031C" w:rsidP="0004031C">
      <w:pPr>
        <w:pStyle w:val="ESBG"/>
      </w:pPr>
      <w:permStart w:id="1444488452" w:edGrp="everyone"/>
      <w:r w:rsidRPr="00AE2371">
        <w:rPr>
          <w:lang w:val="en-US"/>
        </w:rPr>
        <w:t>Basically, the average amount invested depends on the PRIIP.</w:t>
      </w:r>
      <w:r>
        <w:rPr>
          <w:lang w:val="en-US"/>
        </w:rPr>
        <w:t xml:space="preserve"> </w:t>
      </w:r>
      <w:r>
        <w:t>It is difficult to set assumptions on the exact monetary amount that would work for all products all over the European Union.</w:t>
      </w:r>
    </w:p>
    <w:p w:rsidR="0004031C" w:rsidRDefault="0004031C" w:rsidP="0004031C">
      <w:pPr>
        <w:pStyle w:val="ESBG"/>
        <w:rPr>
          <w:lang w:val="en-US"/>
        </w:rPr>
      </w:pPr>
    </w:p>
    <w:p w:rsidR="0004031C" w:rsidRDefault="0004031C" w:rsidP="0004031C">
      <w:pPr>
        <w:pStyle w:val="ESBG"/>
        <w:rPr>
          <w:lang w:val="en-US"/>
        </w:rPr>
      </w:pPr>
      <w:r w:rsidRPr="008D0C55">
        <w:rPr>
          <w:lang w:val="en-US"/>
        </w:rPr>
        <w:t xml:space="preserve">For securities settled in units, this initial investment </w:t>
      </w:r>
      <w:r>
        <w:rPr>
          <w:lang w:val="en-US"/>
        </w:rPr>
        <w:t>might</w:t>
      </w:r>
      <w:r w:rsidRPr="008D0C55">
        <w:rPr>
          <w:lang w:val="en-US"/>
        </w:rPr>
        <w:t xml:space="preserve"> be u</w:t>
      </w:r>
      <w:r>
        <w:rPr>
          <w:lang w:val="en-US"/>
        </w:rPr>
        <w:t>n</w:t>
      </w:r>
      <w:r w:rsidRPr="008D0C55">
        <w:rPr>
          <w:lang w:val="en-US"/>
        </w:rPr>
        <w:t>derstood as being the strike (or initial spot p</w:t>
      </w:r>
      <w:r>
        <w:rPr>
          <w:lang w:val="en-US"/>
        </w:rPr>
        <w:t>rice)</w:t>
      </w:r>
      <w:r w:rsidRPr="008D0C55">
        <w:rPr>
          <w:lang w:val="en-US"/>
        </w:rPr>
        <w:t>.</w:t>
      </w:r>
    </w:p>
    <w:p w:rsidR="0004031C" w:rsidRDefault="0004031C" w:rsidP="0004031C">
      <w:pPr>
        <w:pStyle w:val="ESBG"/>
        <w:rPr>
          <w:lang w:val="en-US"/>
        </w:rPr>
      </w:pPr>
    </w:p>
    <w:p w:rsidR="0004031C" w:rsidRDefault="0004031C" w:rsidP="0004031C">
      <w:pPr>
        <w:pStyle w:val="ESBG"/>
      </w:pPr>
      <w:r w:rsidRPr="00ED5BD9">
        <w:t>The specific features of OTC derivatives should be discussed within the framework of special consultations, which we called for in the in</w:t>
      </w:r>
      <w:r>
        <w:t>troduction ("General Comment").</w:t>
      </w:r>
    </w:p>
    <w:p w:rsidR="0004031C" w:rsidRPr="00852B4D" w:rsidRDefault="0004031C" w:rsidP="0004031C">
      <w:pPr>
        <w:pStyle w:val="ESBG"/>
      </w:pPr>
    </w:p>
    <w:p w:rsidR="0004031C" w:rsidRDefault="0004031C" w:rsidP="0004031C">
      <w:pPr>
        <w:pStyle w:val="ESBG"/>
      </w:pPr>
      <w:r w:rsidRPr="00852B4D">
        <w:t xml:space="preserve">In this regard it shall be noted that the PRIIP manufacturer cannot be aware of the amount to be invested when drafting the KID. The only possible solutions would be a kind of "Fill in the Blank" or a kind of pattern with fictitious / assumed values </w:t>
      </w:r>
      <w:r w:rsidRPr="00852B4D">
        <w:rPr>
          <w:rFonts w:ascii="Times New Roman" w:hAnsi="Times New Roman"/>
        </w:rPr>
        <w:t>​​</w:t>
      </w:r>
      <w:r w:rsidRPr="00852B4D">
        <w:t>(including the notional amount).</w:t>
      </w:r>
    </w:p>
    <w:permEnd w:id="1444488452"/>
    <w:p w:rsidR="00F31E57" w:rsidRDefault="00F31E57" w:rsidP="00F31E57">
      <w:r>
        <w:t>&lt;ESMA_QUESTION_PRIIPs_82&gt;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bCs/>
          <w:iCs/>
          <w:noProof/>
        </w:rPr>
      </w:pPr>
      <w:r>
        <w:rPr>
          <w:rFonts w:cs="Arial"/>
          <w:bCs/>
          <w:iCs/>
          <w:noProof/>
        </w:rPr>
        <w:t>For some life-insurance products, the costs will differ on the age of the customer and other parameters. How to take into account this specific type of PRIIPs for the purpose of aggregating the costs? Should several KIDs for several ages be considered?</w:t>
      </w:r>
    </w:p>
    <w:p w:rsidR="00F31E57" w:rsidRDefault="00F31E57" w:rsidP="00F31E57">
      <w:pPr>
        <w:rPr>
          <w:rFonts w:cstheme="minorBidi"/>
        </w:rPr>
      </w:pPr>
    </w:p>
    <w:p w:rsidR="00F31E57" w:rsidRDefault="00F31E57" w:rsidP="00F31E57">
      <w:r>
        <w:t>&lt;ESMA_QUESTION_PRIIPs_83&gt;</w:t>
      </w:r>
    </w:p>
    <w:p w:rsidR="0004031C" w:rsidRPr="006E6BB4" w:rsidRDefault="0004031C" w:rsidP="0004031C">
      <w:pPr>
        <w:pStyle w:val="ESBG"/>
      </w:pPr>
      <w:permStart w:id="208230242" w:edGrp="everyone"/>
      <w:r w:rsidRPr="00532A30">
        <w:t>KIDs for several ages</w:t>
      </w:r>
      <w:r>
        <w:t xml:space="preserve"> could </w:t>
      </w:r>
      <w:r w:rsidRPr="00532A30">
        <w:t>make i</w:t>
      </w:r>
      <w:r>
        <w:t>t</w:t>
      </w:r>
      <w:r w:rsidRPr="00532A30">
        <w:t xml:space="preserve"> more difficult for investors to compare the products. It might be sensible to agree on a standard (</w:t>
      </w:r>
      <w:r>
        <w:t xml:space="preserve">for example, </w:t>
      </w:r>
      <w:r w:rsidRPr="00532A30">
        <w:t>average 20 years until maturity)</w:t>
      </w:r>
      <w:r>
        <w:t>.</w:t>
      </w:r>
      <w:r w:rsidRPr="00532A30">
        <w:t xml:space="preserve"> </w:t>
      </w:r>
      <w:r>
        <w:t xml:space="preserve">For </w:t>
      </w:r>
      <w:r w:rsidRPr="00532A30">
        <w:t xml:space="preserve">any costs </w:t>
      </w:r>
      <w:r>
        <w:t>that</w:t>
      </w:r>
      <w:r w:rsidRPr="00532A30">
        <w:t xml:space="preserve"> might be lower</w:t>
      </w:r>
      <w:r>
        <w:t>,</w:t>
      </w:r>
      <w:r w:rsidRPr="00532A30">
        <w:t xml:space="preserve"> the insurance </w:t>
      </w:r>
      <w:r>
        <w:t xml:space="preserve">company </w:t>
      </w:r>
      <w:r w:rsidRPr="00532A30">
        <w:t>is free to disclose it separately.</w:t>
      </w:r>
    </w:p>
    <w:permEnd w:id="208230242"/>
    <w:p w:rsidR="00F31E57" w:rsidRDefault="00F31E57" w:rsidP="00F31E57">
      <w:r>
        <w:t>&lt;ESMA_QUESTION_PRIIPs_83&gt;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abovementioned considerations? Which difficulties do you identify in the annualisation of costs?</w:t>
      </w:r>
    </w:p>
    <w:p w:rsidR="00F31E57" w:rsidRDefault="00F31E57" w:rsidP="00F31E57">
      <w:pPr>
        <w:rPr>
          <w:rFonts w:cstheme="minorBidi"/>
        </w:rPr>
      </w:pPr>
    </w:p>
    <w:p w:rsidR="00F31E57" w:rsidRDefault="00F31E57" w:rsidP="00F31E57">
      <w:r>
        <w:t>&lt;ESMA_QUESTION_PRIIPs_84&gt;</w:t>
      </w:r>
    </w:p>
    <w:p w:rsidR="0004031C" w:rsidRDefault="0004031C" w:rsidP="0004031C">
      <w:pPr>
        <w:pStyle w:val="ESBG"/>
      </w:pPr>
      <w:permStart w:id="2018721488" w:edGrp="everyone"/>
      <w:r w:rsidRPr="00852B4D">
        <w:t>Yes</w:t>
      </w:r>
      <w:r>
        <w:t xml:space="preserve">, </w:t>
      </w:r>
      <w:r w:rsidRPr="00ED5BD9">
        <w:t xml:space="preserve">although an </w:t>
      </w:r>
      <w:proofErr w:type="spellStart"/>
      <w:r w:rsidRPr="00ED5BD9">
        <w:t>annualisation</w:t>
      </w:r>
      <w:proofErr w:type="spellEnd"/>
      <w:r w:rsidRPr="00ED5BD9">
        <w:t xml:space="preserve"> of costs has its difficulties especially for products expiring within 1 year, annualized values are well-known by investors due to the similarities to interest rates.</w:t>
      </w:r>
    </w:p>
    <w:permEnd w:id="2018721488"/>
    <w:p w:rsidR="00F31E57" w:rsidRDefault="00F31E57" w:rsidP="00F31E57">
      <w:r>
        <w:t>&lt;ESMA_QUESTION_PRIIPs_84&gt;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other assumptions would be needed there? In the case of life-insurance products, to what extent should the amortization methodology related to the amortization methodology of the premium calculation? To what extent should the chosen holding period be related to the recommended holding period?</w:t>
      </w:r>
    </w:p>
    <w:p w:rsidR="00F31E57" w:rsidRDefault="00F31E57" w:rsidP="00F31E57">
      <w:pPr>
        <w:rPr>
          <w:rFonts w:cstheme="minorBidi"/>
        </w:rPr>
      </w:pPr>
    </w:p>
    <w:p w:rsidR="00F31E57" w:rsidRDefault="00F31E57" w:rsidP="00F31E57">
      <w:r>
        <w:t>&lt;ESMA_QUESTION_PRIIPs_85&gt;</w:t>
      </w:r>
    </w:p>
    <w:p w:rsidR="0004031C" w:rsidRDefault="0004031C" w:rsidP="0004031C">
      <w:pPr>
        <w:pStyle w:val="ESBG"/>
      </w:pPr>
      <w:permStart w:id="1773423346" w:edGrp="everyone"/>
      <w:r>
        <w:t>Variations of the invested amount should not be part of the TCR calculation, since additional assumptions would have to be imposed by the regulator and explained to the retail investor - while the explanation of the TCR concept is complicated enough for the average retail investor.</w:t>
      </w:r>
    </w:p>
    <w:p w:rsidR="0004031C" w:rsidRDefault="0004031C" w:rsidP="0004031C">
      <w:pPr>
        <w:pStyle w:val="ESBG"/>
      </w:pPr>
    </w:p>
    <w:p w:rsidR="0004031C" w:rsidRDefault="0004031C" w:rsidP="0004031C">
      <w:pPr>
        <w:pStyle w:val="ESBG"/>
      </w:pPr>
      <w:r>
        <w:t>Also, performance fee, if applicable should be added only through a narrative, but not included in the TCR calculation.</w:t>
      </w:r>
    </w:p>
    <w:p w:rsidR="0004031C" w:rsidRDefault="0004031C" w:rsidP="0004031C">
      <w:pPr>
        <w:pStyle w:val="ESBG"/>
      </w:pPr>
    </w:p>
    <w:p w:rsidR="0004031C" w:rsidRDefault="0004031C" w:rsidP="0004031C">
      <w:pPr>
        <w:pStyle w:val="ESBG"/>
      </w:pPr>
      <w:r>
        <w:t>The basis of the calculation should be for the whole period considered by the calculation, and for the nominal amount without any variations in its value.</w:t>
      </w:r>
    </w:p>
    <w:p w:rsidR="0004031C" w:rsidRDefault="0004031C" w:rsidP="0004031C">
      <w:pPr>
        <w:pStyle w:val="ESBG"/>
      </w:pPr>
    </w:p>
    <w:p w:rsidR="0004031C" w:rsidRDefault="0004031C" w:rsidP="0004031C">
      <w:pPr>
        <w:pStyle w:val="ESBG"/>
      </w:pPr>
      <w:r>
        <w:t>The chosen holding period should be the same as reflected in the target market definition (please compare with MiFID II and the recommended holding period laid down in the prospectus and other official product documentation).</w:t>
      </w:r>
    </w:p>
    <w:permEnd w:id="1773423346"/>
    <w:p w:rsidR="00F31E57" w:rsidRDefault="00F31E57" w:rsidP="00F31E57">
      <w:r>
        <w:t>&lt;ESMA_QUESTION_PRIIPs_85&gt;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This definition of the ratio is taken from the CESR guidelines on cost disclosure for UCITS. Is it appropriate also in the case of retail AIFs? Should it be amended? Another approach to calculate these costs is to calculate the ratio of the total of these amortized costs to the invested amount in the fund. However in that case the question remains as to how to aggregate this ratio with the on-going charges ratio. Another possible approach could be to use the ratio between the total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w:t>
      </w:r>
    </w:p>
    <w:p w:rsidR="00F31E57" w:rsidRDefault="00F31E57" w:rsidP="00F31E57">
      <w:pPr>
        <w:rPr>
          <w:rFonts w:cstheme="minorBidi"/>
        </w:rPr>
      </w:pPr>
    </w:p>
    <w:p w:rsidR="00F31E57" w:rsidRDefault="00F31E57" w:rsidP="00F31E57">
      <w:r>
        <w:t>&lt;ESMA_QUESTION_PRIIPs_86&gt;</w:t>
      </w:r>
    </w:p>
    <w:p w:rsidR="0004031C" w:rsidRDefault="0004031C" w:rsidP="0004031C">
      <w:pPr>
        <w:pStyle w:val="ESBG"/>
      </w:pPr>
      <w:permStart w:id="926776502" w:edGrp="everyone"/>
      <w:r w:rsidRPr="001C3B44">
        <w:t>We believe that the second approach (calculating the ratio of the total of these amortised costs to the invested amount in the fund) is more meaningful when investment funds are compared with other PRIIPs.</w:t>
      </w:r>
    </w:p>
    <w:permEnd w:id="926776502"/>
    <w:p w:rsidR="00F31E57" w:rsidRDefault="00F31E57" w:rsidP="00F31E57">
      <w:r>
        <w:t>&lt;ESMA_QUESTION_PRIIPs_86&gt;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What would be other options to define the TCR ratio in the case of life-insurance products? What about the case of regular payments or regular increasing? Which definition would you favour? How to ensure a level playing field and a common definition with the other types of PRIIPs in this regard? Another possible approach could be to use the ratio between the total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 To what extent do these possible calculation methodologies fit the case of insurance products with regular payments? </w:t>
      </w:r>
    </w:p>
    <w:p w:rsidR="00F31E57" w:rsidRDefault="00F31E57" w:rsidP="00F31E57">
      <w:pPr>
        <w:rPr>
          <w:rFonts w:cstheme="minorBidi"/>
        </w:rPr>
      </w:pPr>
    </w:p>
    <w:p w:rsidR="00F31E57" w:rsidRDefault="00F31E57" w:rsidP="00F31E57">
      <w:r>
        <w:t>&lt;ESMA_QUESTION_PRIIPs_87&gt;</w:t>
      </w:r>
    </w:p>
    <w:p w:rsidR="0004031C" w:rsidRDefault="0004031C" w:rsidP="0004031C">
      <w:pPr>
        <w:pStyle w:val="ESBG"/>
      </w:pPr>
      <w:permStart w:id="368733104" w:edGrp="everyone"/>
      <w:r w:rsidRPr="001C3B44">
        <w:t>We believe that the second approach (calculating the ratio of the total of these amortised costs to the invested amount in the fund) is more meaningful when investment funds are compared with other PRIIPs.</w:t>
      </w:r>
    </w:p>
    <w:permEnd w:id="368733104"/>
    <w:p w:rsidR="00F31E57" w:rsidRDefault="00F31E57" w:rsidP="00F31E57">
      <w:r>
        <w:t>&lt;ESMA_QUESTION_PRIIPs_87&gt;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What would be other options to define the TCR ratio in the case of structured products? Do you identify other specific issues in relation to the TCR if applied to structured products? Another possible approach could be to use the ratio between the total amount of costs over the holding period and the average net investment (assumed during the whole period, in order to take into account future additional investments, </w:t>
      </w:r>
      <w:r>
        <w:rPr>
          <w:rFonts w:cs="Arial"/>
        </w:rPr>
        <w:lastRenderedPageBreak/>
        <w:t>partial withdrawals, payments (i.e. programmed investments or disinvestments)). Do you think this approach would be appropriate? For derivatives, it might be the case that it is necessary to further define the concept of investment to be used as denominator of the ratio. Possibilities include the use of the actual sums paid and received (i.e. initial margins, variation margins, collateral postings, various payoffs, etc.) or the use of the exposure (i.e. market value of the derivative underlying). Do you think these approaches would be appropriate?</w:t>
      </w:r>
    </w:p>
    <w:p w:rsidR="00F31E57" w:rsidRDefault="00F31E57" w:rsidP="00F31E57">
      <w:pPr>
        <w:rPr>
          <w:rFonts w:cstheme="minorBidi"/>
        </w:rPr>
      </w:pPr>
    </w:p>
    <w:p w:rsidR="00F31E57" w:rsidRDefault="00F31E57" w:rsidP="00F31E57">
      <w:r>
        <w:t>&lt;ESMA_QUESTION_PRIIPs_88&gt;</w:t>
      </w:r>
    </w:p>
    <w:p w:rsidR="0004031C" w:rsidRPr="00852B4D" w:rsidRDefault="0004031C" w:rsidP="0004031C">
      <w:pPr>
        <w:pStyle w:val="ESBG"/>
      </w:pPr>
      <w:permStart w:id="406144104" w:edGrp="everyone"/>
      <w:r w:rsidRPr="00852B4D">
        <w:t>We prefer the RIY for certificates.</w:t>
      </w:r>
    </w:p>
    <w:p w:rsidR="0004031C" w:rsidRPr="00852B4D" w:rsidRDefault="0004031C" w:rsidP="0004031C">
      <w:pPr>
        <w:pStyle w:val="ESBG"/>
      </w:pPr>
    </w:p>
    <w:p w:rsidR="0004031C" w:rsidRPr="001C3B44" w:rsidRDefault="0004031C" w:rsidP="0004031C">
      <w:pPr>
        <w:pStyle w:val="ESBG"/>
      </w:pPr>
      <w:r w:rsidRPr="003E4CBB">
        <w:t xml:space="preserve">For OTC derivatives, this approach of including actual sums paid and received (i.e. initial/variation margin, collateral posted, various payoffs, etc.) is too complex. In principle, OTC derivatives are always entered into in connection with an underlying transaction (i.e. a variable-rate loan or foreign exchange exposure). In the vast majority of cases (&gt;75%), interest rate hedges are unwound when the loan is redeemed, or held to final maturity. Additional information such </w:t>
      </w:r>
      <w:r>
        <w:t xml:space="preserve">as outlined in question </w:t>
      </w:r>
      <w:r w:rsidRPr="003E4CBB">
        <w:t>88 will only trigger complex control processes, yet offer benefits that cannot even be measured. We already discuss costs during the advisory process, through the disclosure of negative market value.</w:t>
      </w:r>
    </w:p>
    <w:p w:rsidR="0004031C" w:rsidRPr="001C3B44" w:rsidRDefault="0004031C" w:rsidP="0004031C">
      <w:pPr>
        <w:pStyle w:val="ESBG"/>
      </w:pPr>
    </w:p>
    <w:p w:rsidR="0004031C" w:rsidRDefault="0004031C" w:rsidP="0004031C">
      <w:pPr>
        <w:pStyle w:val="ESBG"/>
      </w:pPr>
      <w:r>
        <w:t>Variations of the invested amount should not be part of the TCR calculation, since additional assumptions would have to be imposed by the regulator and explained to the retail investor - while the explanation of the TCR concept is complicated enough for the average retail investor.</w:t>
      </w:r>
    </w:p>
    <w:p w:rsidR="0004031C" w:rsidRPr="004F5A28" w:rsidRDefault="0004031C" w:rsidP="0004031C">
      <w:pPr>
        <w:pStyle w:val="ESBG"/>
      </w:pPr>
    </w:p>
    <w:p w:rsidR="0004031C" w:rsidRPr="002D343E" w:rsidRDefault="0004031C" w:rsidP="0004031C">
      <w:pPr>
        <w:pStyle w:val="ESBG"/>
      </w:pPr>
      <w:r w:rsidRPr="004F5A28">
        <w:t>In case of derivatives</w:t>
      </w:r>
      <w:r>
        <w:t>,</w:t>
      </w:r>
      <w:r w:rsidRPr="004F5A28">
        <w:t xml:space="preserve"> e.g. swaps</w:t>
      </w:r>
      <w:r>
        <w:t>,</w:t>
      </w:r>
      <w:r w:rsidRPr="004F5A28">
        <w:t xml:space="preserve"> the amount of capital which, in the contract, is reference for the cash flows should be used as denominator of the TCR.</w:t>
      </w:r>
      <w:r>
        <w:t xml:space="preserve"> </w:t>
      </w:r>
      <w:r w:rsidRPr="00DF7238">
        <w:t>Total costs should be cal</w:t>
      </w:r>
      <w:r>
        <w:t>c</w:t>
      </w:r>
      <w:r w:rsidRPr="00DF7238">
        <w:t xml:space="preserve">ulated as described in previous sections and amortised linearly over the tenor of the product (no compounding), using </w:t>
      </w:r>
      <w:r>
        <w:t xml:space="preserve">a fixed notional investment of EUR </w:t>
      </w:r>
      <w:r w:rsidRPr="00DF7238">
        <w:t>1</w:t>
      </w:r>
      <w:r>
        <w:t>0.</w:t>
      </w:r>
      <w:r w:rsidRPr="00DF7238">
        <w:t>000.  Anything else is too complicated and non-intuitive.</w:t>
      </w:r>
    </w:p>
    <w:permEnd w:id="406144104"/>
    <w:p w:rsidR="00F31E57" w:rsidRDefault="00F31E57" w:rsidP="00F31E57">
      <w:r>
        <w:t>&lt;ESMA_QUESTION_PRIIPs_88&gt;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This definition of the ratio is taken from the CESR guidelines on cost disclosure for UCITS. Is it appropriate also in the case of retail AIFs? Should it be amended? Another possible approach could be to use the ratio between the total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w:t>
      </w:r>
    </w:p>
    <w:p w:rsidR="00F31E57" w:rsidRDefault="00F31E57" w:rsidP="00F31E57">
      <w:pPr>
        <w:rPr>
          <w:rFonts w:cstheme="minorBidi"/>
        </w:rPr>
      </w:pPr>
    </w:p>
    <w:p w:rsidR="00F31E57" w:rsidRDefault="00F31E57" w:rsidP="00F31E57">
      <w:r>
        <w:t>&lt;ESMA_QUESTION_PRIIPs_89&gt;</w:t>
      </w:r>
    </w:p>
    <w:p w:rsidR="0004031C" w:rsidRDefault="0004031C" w:rsidP="0004031C">
      <w:pPr>
        <w:pStyle w:val="ESBG"/>
      </w:pPr>
      <w:permStart w:id="930767696" w:edGrp="everyone"/>
      <w:r w:rsidRPr="001C3B44">
        <w:t>We would recommend the second approach.</w:t>
      </w:r>
    </w:p>
    <w:permEnd w:id="930767696"/>
    <w:p w:rsidR="00F31E57" w:rsidRDefault="00F31E57" w:rsidP="00F31E57">
      <w:r>
        <w:t>&lt;ESMA_QUESTION_PRIIPs_89&gt;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These different aforementioned principles are taken from the CESR guidelines on cost disclosure for UCITS. Is it also appropriate in the PRIIPs context?</w:t>
      </w:r>
    </w:p>
    <w:p w:rsidR="00F31E57" w:rsidRDefault="00F31E57" w:rsidP="00F31E57">
      <w:pPr>
        <w:rPr>
          <w:rFonts w:cstheme="minorBidi"/>
        </w:rPr>
      </w:pPr>
    </w:p>
    <w:p w:rsidR="00F31E57" w:rsidRDefault="00F31E57" w:rsidP="00F31E57">
      <w:r>
        <w:t>&lt;ESMA_QUESTION_PRIIPs_90&gt;</w:t>
      </w:r>
    </w:p>
    <w:p w:rsidR="0004031C" w:rsidRPr="001C3B44" w:rsidRDefault="0004031C" w:rsidP="0004031C">
      <w:pPr>
        <w:pStyle w:val="ESBG"/>
      </w:pPr>
      <w:permStart w:id="1630931049" w:edGrp="everyone"/>
      <w:r>
        <w:t>We think that the principles are appropriate.</w:t>
      </w:r>
    </w:p>
    <w:permEnd w:id="1630931049"/>
    <w:p w:rsidR="00F31E57" w:rsidRDefault="00F31E57" w:rsidP="00F31E57">
      <w:r>
        <w:t>&lt;ESMA_QUESTION_PRIIPs_90&gt;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lastRenderedPageBreak/>
        <w:t>To what extent do the principles and methodologies presented for funds in the case of on-going charges apply to life-insurance products?</w:t>
      </w:r>
    </w:p>
    <w:p w:rsidR="00F31E57" w:rsidRDefault="00F31E57" w:rsidP="00F31E57">
      <w:pPr>
        <w:rPr>
          <w:rFonts w:cstheme="minorBidi"/>
        </w:rPr>
      </w:pPr>
    </w:p>
    <w:p w:rsidR="00F31E57" w:rsidRDefault="00F31E57" w:rsidP="00F31E57">
      <w:r>
        <w:t>&lt;ESMA_QUESTION_PRIIPs_91&gt;</w:t>
      </w:r>
    </w:p>
    <w:p w:rsidR="0004031C" w:rsidRDefault="0004031C" w:rsidP="0004031C">
      <w:pPr>
        <w:pStyle w:val="ESBG"/>
      </w:pPr>
      <w:permStart w:id="689574653" w:edGrp="everyone"/>
      <w:r>
        <w:t>In a case where the on</w:t>
      </w:r>
      <w:r w:rsidRPr="00DC332B">
        <w:t>going costs are based on the NAV or redemption price</w:t>
      </w:r>
      <w:r>
        <w:t>, they</w:t>
      </w:r>
      <w:r w:rsidRPr="00DC332B">
        <w:t xml:space="preserve"> should be considered.</w:t>
      </w:r>
    </w:p>
    <w:permEnd w:id="689574653"/>
    <w:p w:rsidR="00F31E57" w:rsidRDefault="00F31E57" w:rsidP="00F31E57">
      <w:r>
        <w:t>&lt;ESMA_QUESTION_PRIIPs_91&gt;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i/>
        </w:rPr>
      </w:pPr>
      <w:r>
        <w:rPr>
          <w:rFonts w:cs="Arial"/>
        </w:rPr>
        <w:t xml:space="preserve">Do you think this methodology should be further detailed? To what extent do you think this methodology is appropriate and feasible (notably in terms of calibration of the model)? It might indeed be considered that valuation models for Solvency II usually are not likely to be designed for per contract calculations. Life insurers may restrict the calculation of technical provisions in the Solvency II-Balance-Sheet to homogenous risk groups. Furthermore they are allowed to use simplified calculation methods if the error is immaterial at the portfolio level. As profit sharing mechanisms in many countries are applied on the company level and not on a per contract level, projected cash flows from future discretionary benefits will not easily be broken down on a per product or even a per contract basis with the existing Solvency II-Valuation-Models. </w:t>
      </w:r>
    </w:p>
    <w:p w:rsidR="00F31E57" w:rsidRDefault="00F31E57" w:rsidP="00F31E57">
      <w:pPr>
        <w:rPr>
          <w:rFonts w:cstheme="minorBidi"/>
        </w:rPr>
      </w:pPr>
    </w:p>
    <w:p w:rsidR="00F31E57" w:rsidRDefault="00F31E57" w:rsidP="00F31E57">
      <w:r>
        <w:t>&lt;ESMA_QUESTION_PRIIPs_92&gt;</w:t>
      </w:r>
    </w:p>
    <w:p w:rsidR="00F31E57" w:rsidRDefault="00F31E57" w:rsidP="00F31E57">
      <w:permStart w:id="188547525" w:edGrp="everyone"/>
      <w:r>
        <w:t>TYPE YOUR TEXT HERE</w:t>
      </w:r>
    </w:p>
    <w:permEnd w:id="188547525"/>
    <w:p w:rsidR="00F31E57" w:rsidRDefault="00F31E57" w:rsidP="00F31E57">
      <w:r>
        <w:t>&lt;ESMA_QUESTION_PRIIPs_92&gt;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identify any specific issue in relation to the implementation of the RIY approach to funds?</w:t>
      </w:r>
    </w:p>
    <w:p w:rsidR="00F31E57" w:rsidRDefault="00F31E57" w:rsidP="00F31E57">
      <w:pPr>
        <w:rPr>
          <w:rFonts w:cstheme="minorBidi"/>
        </w:rPr>
      </w:pPr>
    </w:p>
    <w:p w:rsidR="00F31E57" w:rsidRDefault="00F31E57" w:rsidP="00F31E57">
      <w:r>
        <w:t>&lt;ESMA_QUESTION_PRIIPs_93&gt;</w:t>
      </w:r>
    </w:p>
    <w:p w:rsidR="00F31E57" w:rsidRDefault="00F31E57" w:rsidP="00F31E57">
      <w:permStart w:id="1745705682" w:edGrp="everyone"/>
      <w:r>
        <w:t>TYPE YOUR TEXT HERE</w:t>
      </w:r>
    </w:p>
    <w:permEnd w:id="1745705682"/>
    <w:p w:rsidR="00F31E57" w:rsidRDefault="00F31E57" w:rsidP="00F31E57">
      <w:r>
        <w:t>&lt;ESMA_QUESTION_PRIIPs_93&gt;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In addition to the abovementioned issues and the issues raised in relation to TCR when applied to structured products, do you identify any other specific issue in relation to the implementation of the RIY approach to structured products?</w:t>
      </w:r>
    </w:p>
    <w:p w:rsidR="00F31E57" w:rsidRDefault="00F31E57" w:rsidP="00F31E57">
      <w:pPr>
        <w:rPr>
          <w:rFonts w:cstheme="minorBidi"/>
        </w:rPr>
      </w:pPr>
    </w:p>
    <w:p w:rsidR="00F31E57" w:rsidRDefault="00F31E57" w:rsidP="00F31E57">
      <w:r>
        <w:t>&lt;ESMA_QUESTION_PRIIPs_94&gt;</w:t>
      </w:r>
    </w:p>
    <w:p w:rsidR="0004031C" w:rsidRDefault="0004031C" w:rsidP="0004031C">
      <w:pPr>
        <w:pStyle w:val="ESBG"/>
      </w:pPr>
      <w:permStart w:id="1877017562" w:edGrp="everyone"/>
      <w:r w:rsidRPr="00852B4D">
        <w:t>No, we do not have additional comments. However, we would like to express our support for using the TCR instead of the RIY approach when calculatin</w:t>
      </w:r>
      <w:r>
        <w:t>g the aggregated cost indicator for products which are not certificates.</w:t>
      </w:r>
    </w:p>
    <w:permEnd w:id="1877017562"/>
    <w:p w:rsidR="00F31E57" w:rsidRDefault="00F31E57" w:rsidP="00F31E57">
      <w:r>
        <w:t>&lt;ESMA_QUESTION_PRIIPs_94&gt;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above-mentioned assessment? Should the calculation basis for returns be the net investment amount (i.e. costs deducted)? Do you identify specific issues in relation to the calculation per se of the cumulative effect of costs?</w:t>
      </w:r>
    </w:p>
    <w:p w:rsidR="00F31E57" w:rsidRDefault="00F31E57" w:rsidP="00F31E57">
      <w:pPr>
        <w:rPr>
          <w:rFonts w:cstheme="minorBidi"/>
        </w:rPr>
      </w:pPr>
    </w:p>
    <w:p w:rsidR="00F31E57" w:rsidRDefault="00F31E57" w:rsidP="00F31E57">
      <w:r>
        <w:t>&lt;ESMA_QUESTION_PRIIPs_95&gt;</w:t>
      </w:r>
    </w:p>
    <w:p w:rsidR="0004031C" w:rsidRDefault="0004031C" w:rsidP="0004031C">
      <w:pPr>
        <w:pStyle w:val="ESBG"/>
      </w:pPr>
      <w:permStart w:id="532111763" w:edGrp="everyone"/>
      <w:r w:rsidRPr="00852B4D">
        <w:t>We agree with the comments and are for a specified net.</w:t>
      </w:r>
    </w:p>
    <w:p w:rsidR="0004031C" w:rsidRDefault="0004031C" w:rsidP="0004031C">
      <w:pPr>
        <w:pStyle w:val="ESBG"/>
      </w:pPr>
    </w:p>
    <w:p w:rsidR="0004031C" w:rsidRDefault="0004031C" w:rsidP="0004031C">
      <w:pPr>
        <w:pStyle w:val="ESBG"/>
      </w:pPr>
      <w:r w:rsidRPr="00DC332B">
        <w:lastRenderedPageBreak/>
        <w:t>Yes, it is certainly a critical issue to come up with reasonable grow</w:t>
      </w:r>
      <w:r>
        <w:t>th</w:t>
      </w:r>
      <w:r w:rsidRPr="00DC332B">
        <w:t xml:space="preserve"> rates for the product.</w:t>
      </w:r>
      <w:r>
        <w:t xml:space="preserve"> </w:t>
      </w:r>
      <w:r w:rsidRPr="00DC332B">
        <w:t>The calculation basis for return should be without deducti</w:t>
      </w:r>
      <w:r>
        <w:t>o</w:t>
      </w:r>
      <w:r w:rsidRPr="00DC332B">
        <w:t>n</w:t>
      </w:r>
      <w:r>
        <w:t>s for</w:t>
      </w:r>
      <w:r w:rsidRPr="00DC332B">
        <w:t xml:space="preserve"> costs.</w:t>
      </w:r>
      <w:r>
        <w:t xml:space="preserve"> </w:t>
      </w:r>
      <w:r w:rsidRPr="00DC332B">
        <w:t>As already mentioned</w:t>
      </w:r>
      <w:r>
        <w:t>,</w:t>
      </w:r>
      <w:r w:rsidRPr="00DC332B">
        <w:t xml:space="preserve"> the cumulative effect on costs is a function of the assumed growth rates.</w:t>
      </w:r>
    </w:p>
    <w:p w:rsidR="0004031C" w:rsidRDefault="0004031C" w:rsidP="0004031C">
      <w:pPr>
        <w:pStyle w:val="ESBG"/>
      </w:pPr>
    </w:p>
    <w:p w:rsidR="0004031C" w:rsidRDefault="0004031C" w:rsidP="0004031C">
      <w:pPr>
        <w:pStyle w:val="ESBG"/>
      </w:pPr>
      <w:r>
        <w:t xml:space="preserve">It is important to bear in mind that through MiFID II, retail investors will get an ex-ante cost disclosure which will consider at least the cost components reflected in the PRIIPs KID. Having different approaches among PRIIPs and MiFID II would be difficult to understand from a retail investor perspective. The starting point for all considerations should be how retail investors look at the issue. In case of the impact of costs on the potential return, they would not assume a hypothetical growth rate (they know very well that such estimates are not helpful) but would try to understand how much of every 1% of performance will be used to cover costs. Having this information, it is easy to calculate different scenarios or understanding the current development of the product (the product did 15% during the last 8 month: how much in costs did I pay?) </w:t>
      </w:r>
    </w:p>
    <w:permEnd w:id="532111763"/>
    <w:p w:rsidR="00F31E57" w:rsidRDefault="00F31E57" w:rsidP="00F31E57">
      <w:r>
        <w:t>&lt;ESMA_QUESTION_PRIIPs_95&gt;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Is this the structure of a typical transaction? What costs impact the return available to purchasers of the product?</w:t>
      </w:r>
    </w:p>
    <w:p w:rsidR="00F31E57" w:rsidRDefault="00F31E57" w:rsidP="00F31E57">
      <w:pPr>
        <w:rPr>
          <w:rFonts w:cstheme="minorBidi"/>
        </w:rPr>
      </w:pPr>
    </w:p>
    <w:p w:rsidR="00F31E57" w:rsidRDefault="00F31E57" w:rsidP="00F31E57">
      <w:r>
        <w:t>&lt;ESMA_QUESTION_PRIIPs_96&gt;</w:t>
      </w:r>
    </w:p>
    <w:p w:rsidR="0004031C" w:rsidRPr="002D343E" w:rsidRDefault="0004031C" w:rsidP="0004031C">
      <w:pPr>
        <w:pStyle w:val="ESBG"/>
      </w:pPr>
      <w:permStart w:id="1728538329" w:edGrp="everyone"/>
      <w:r w:rsidRPr="00DF7238">
        <w:t>Yes - this represents typical SPV structures. Costs involved include (</w:t>
      </w:r>
      <w:proofErr w:type="spellStart"/>
      <w:r w:rsidRPr="00DF7238">
        <w:t>i</w:t>
      </w:r>
      <w:proofErr w:type="spellEnd"/>
      <w:r w:rsidRPr="00DF7238">
        <w:t>) those related to establishment of the SPV (or compartment itself) such as annual audit fees, legal costs, directors</w:t>
      </w:r>
      <w:r>
        <w:t>’</w:t>
      </w:r>
      <w:r w:rsidRPr="00DF7238">
        <w:t xml:space="preserve"> annual fees, determination/paying/admin</w:t>
      </w:r>
      <w:r>
        <w:t>i</w:t>
      </w:r>
      <w:r w:rsidRPr="00DF7238">
        <w:t>stration agency) (ii) those related to the specifics of each issued note</w:t>
      </w:r>
      <w:r>
        <w:t>,</w:t>
      </w:r>
      <w:r w:rsidRPr="00DF7238">
        <w:t xml:space="preserve"> such as asset custodian fees, swap or </w:t>
      </w:r>
      <w:proofErr w:type="spellStart"/>
      <w:r w:rsidRPr="00DF7238">
        <w:t>Inv.Management</w:t>
      </w:r>
      <w:proofErr w:type="spellEnd"/>
      <w:r w:rsidRPr="00DF7238">
        <w:t xml:space="preserve"> fees, collateral or principal costs.  All costs are normally relatively straightforward to identify - given that the exposure/return to the investor is equal to the return generated by the investments less all costs and retained margins.  As no specific value is actually retained in the SPV itself</w:t>
      </w:r>
      <w:r>
        <w:t>,</w:t>
      </w:r>
      <w:r w:rsidRPr="00DF7238">
        <w:t xml:space="preserve"> and most servic</w:t>
      </w:r>
      <w:r>
        <w:t xml:space="preserve">e providers are treated at arms’ </w:t>
      </w:r>
      <w:r w:rsidRPr="00DF7238">
        <w:t>length, the overall cost and margin profiles of SPV structures are normally very well understood by the arrangers.  As a result, they should be fairly straightforward to list and disclose.</w:t>
      </w:r>
    </w:p>
    <w:permEnd w:id="1728538329"/>
    <w:p w:rsidR="00F31E57" w:rsidRDefault="00F31E57" w:rsidP="00F31E57">
      <w:r>
        <w:t>&lt;ESMA_QUESTION_PRIIPs_96&gt;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costs impact the return paid on the products?</w:t>
      </w:r>
    </w:p>
    <w:p w:rsidR="00F31E57" w:rsidRDefault="00F31E57" w:rsidP="00F31E57">
      <w:pPr>
        <w:rPr>
          <w:rFonts w:cstheme="minorBidi"/>
        </w:rPr>
      </w:pPr>
    </w:p>
    <w:p w:rsidR="00F31E57" w:rsidRDefault="00F31E57" w:rsidP="00F31E57">
      <w:r>
        <w:t>&lt;ESMA_QUESTION_PRIIPs_97&gt;</w:t>
      </w:r>
    </w:p>
    <w:p w:rsidR="0004031C" w:rsidRPr="002D343E" w:rsidRDefault="0004031C" w:rsidP="0004031C">
      <w:pPr>
        <w:pStyle w:val="ESBG"/>
      </w:pPr>
      <w:permStart w:id="152783186" w:edGrp="everyone"/>
      <w:r w:rsidRPr="00DF7238">
        <w:t>Costs involved include (</w:t>
      </w:r>
      <w:proofErr w:type="spellStart"/>
      <w:r w:rsidRPr="00DF7238">
        <w:t>i</w:t>
      </w:r>
      <w:proofErr w:type="spellEnd"/>
      <w:r w:rsidRPr="00DF7238">
        <w:t>) those related to establishment of the SPV (or compartment itself) such as annual audit fees, legal costs, directors</w:t>
      </w:r>
      <w:r>
        <w:t>’</w:t>
      </w:r>
      <w:r w:rsidRPr="00DF7238">
        <w:t xml:space="preserve"> annual fees, determination/paying/admin</w:t>
      </w:r>
      <w:r>
        <w:t>i</w:t>
      </w:r>
      <w:r w:rsidRPr="00DF7238">
        <w:t>stration agency) (ii) those related to the specifics of each issued note</w:t>
      </w:r>
      <w:r>
        <w:t>,</w:t>
      </w:r>
      <w:r w:rsidRPr="00DF7238">
        <w:t xml:space="preserve"> such as asset custodian fees, swap or </w:t>
      </w:r>
      <w:proofErr w:type="spellStart"/>
      <w:r w:rsidRPr="00DF7238">
        <w:t>Inv.Management</w:t>
      </w:r>
      <w:proofErr w:type="spellEnd"/>
      <w:r w:rsidRPr="00DF7238">
        <w:t xml:space="preserve"> fees, collateral or principal costs.  All costs are normally relatively straightforward to identify - given that the exposure/return to the investor is equal to the return generated by the investments less all costs and retained margins.  As no specific value is actually retained in the SPV itself</w:t>
      </w:r>
      <w:r>
        <w:t>,</w:t>
      </w:r>
      <w:r w:rsidRPr="00DF7238">
        <w:t xml:space="preserve"> and most servic</w:t>
      </w:r>
      <w:r>
        <w:t xml:space="preserve">e providers are treated at arms’ </w:t>
      </w:r>
      <w:r w:rsidRPr="00DF7238">
        <w:t>length, the overall cost and margin profiles of SPV structures are normally very well understood by the arrangers.  As a result, they should be fairly straightforward to list and disclose.</w:t>
      </w:r>
    </w:p>
    <w:permEnd w:id="152783186"/>
    <w:p w:rsidR="00F31E57" w:rsidRDefault="00F31E57" w:rsidP="00F31E57">
      <w:r>
        <w:t>&lt;ESMA_QUESTION_PRIIPs_97&gt;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are the potential difficulties in calculating costs of an SPV investment using a TCR approach?</w:t>
      </w:r>
    </w:p>
    <w:p w:rsidR="00F31E57" w:rsidRDefault="00F31E57" w:rsidP="00F31E57">
      <w:pPr>
        <w:rPr>
          <w:rFonts w:cstheme="minorBidi"/>
        </w:rPr>
      </w:pPr>
    </w:p>
    <w:p w:rsidR="00F31E57" w:rsidRDefault="00F31E57" w:rsidP="00F31E57">
      <w:r>
        <w:t>&lt;ESMA_QUESTION_PRIIPs_98&gt;</w:t>
      </w:r>
    </w:p>
    <w:p w:rsidR="00F31E57" w:rsidRDefault="00F31E57" w:rsidP="00F31E57">
      <w:permStart w:id="1840582112" w:edGrp="everyone"/>
      <w:r>
        <w:t>TYPE YOUR TEXT HERE</w:t>
      </w:r>
    </w:p>
    <w:permEnd w:id="1840582112"/>
    <w:p w:rsidR="00F31E57" w:rsidRDefault="00F31E57" w:rsidP="00F31E57">
      <w:r>
        <w:t>&lt;ESMA_QUESTION_PRIIPs_98&gt;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lastRenderedPageBreak/>
        <w:t>What are the potential difficulties in calculating costs of an SPV investment using a RIY approach?</w:t>
      </w:r>
    </w:p>
    <w:p w:rsidR="00F31E57" w:rsidRDefault="00F31E57" w:rsidP="00F31E57">
      <w:pPr>
        <w:rPr>
          <w:rFonts w:cstheme="minorBidi"/>
        </w:rPr>
      </w:pPr>
    </w:p>
    <w:p w:rsidR="00F31E57" w:rsidRDefault="00F31E57" w:rsidP="00F31E57">
      <w:r>
        <w:t>&lt;ESMA_QUESTION_PRIIPs_99&gt;</w:t>
      </w:r>
    </w:p>
    <w:p w:rsidR="00AD6AC0" w:rsidRDefault="00AD6AC0" w:rsidP="00AD6AC0">
      <w:pPr>
        <w:pStyle w:val="ESBG"/>
      </w:pPr>
      <w:permStart w:id="725907007" w:edGrp="everyone"/>
      <w:r>
        <w:t>An RIY approach is u</w:t>
      </w:r>
      <w:r w:rsidRPr="00DF7238">
        <w:t>nnecessarily complex</w:t>
      </w:r>
      <w:r>
        <w:t>,</w:t>
      </w:r>
      <w:r w:rsidRPr="00DF7238">
        <w:t xml:space="preserve"> and actually brings less transparency rather than more, when compared to a simpler TCR calculation as described above.</w:t>
      </w:r>
    </w:p>
    <w:permEnd w:id="725907007"/>
    <w:p w:rsidR="00F31E57" w:rsidRDefault="00F31E57" w:rsidP="00F31E57">
      <w:r>
        <w:t>&lt;ESMA_QUESTION_PRIIPs_99&gt;</w:t>
      </w:r>
    </w:p>
    <w:p w:rsidR="00F31E57" w:rsidRDefault="00F31E57" w:rsidP="00F31E57"/>
    <w:p w:rsidR="00F32462" w:rsidRDefault="00F32462" w:rsidP="00F31E57">
      <w:pPr>
        <w:pStyle w:val="CPQuestions"/>
        <w:numPr>
          <w:ilvl w:val="0"/>
          <w:numId w:val="0"/>
        </w:numPr>
        <w:rPr>
          <w:rFonts w:cs="Arial"/>
          <w:b w:val="0"/>
          <w:szCs w:val="22"/>
        </w:rPr>
      </w:pPr>
    </w:p>
    <w:sectPr w:rsidR="00F32462" w:rsidSect="00A8728B">
      <w:headerReference w:type="even" r:id="rId13"/>
      <w:headerReference w:type="first" r:id="rId14"/>
      <w:footerReference w:type="first" r:id="rId15"/>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E15" w:rsidRDefault="00E87E15">
      <w:r>
        <w:separator/>
      </w:r>
    </w:p>
    <w:p w:rsidR="00E87E15" w:rsidRDefault="00E87E15"/>
  </w:endnote>
  <w:endnote w:type="continuationSeparator" w:id="0">
    <w:p w:rsidR="00E87E15" w:rsidRDefault="00E87E15">
      <w:r>
        <w:continuationSeparator/>
      </w:r>
    </w:p>
    <w:p w:rsidR="00E87E15" w:rsidRDefault="00E87E15"/>
  </w:endnote>
  <w:endnote w:type="continuationNotice" w:id="1">
    <w:p w:rsidR="00E87E15" w:rsidRDefault="00E87E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04031C" w:rsidRPr="00616B9B" w:rsidTr="00315E96">
      <w:trPr>
        <w:trHeight w:val="284"/>
      </w:trPr>
      <w:tc>
        <w:tcPr>
          <w:tcW w:w="8460" w:type="dxa"/>
        </w:tcPr>
        <w:p w:rsidR="0004031C" w:rsidRPr="00315E96" w:rsidRDefault="0004031C" w:rsidP="00315E96">
          <w:pPr>
            <w:pStyle w:val="00Footer"/>
            <w:rPr>
              <w:lang w:val="fr-FR"/>
            </w:rPr>
          </w:pPr>
        </w:p>
      </w:tc>
      <w:tc>
        <w:tcPr>
          <w:tcW w:w="952" w:type="dxa"/>
        </w:tcPr>
        <w:p w:rsidR="0004031C" w:rsidRPr="00616B9B" w:rsidRDefault="0004031C"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AD6AC0">
            <w:rPr>
              <w:rFonts w:cs="Arial"/>
              <w:noProof/>
              <w:sz w:val="22"/>
              <w:szCs w:val="22"/>
            </w:rPr>
            <w:t>3</w:t>
          </w:r>
          <w:r w:rsidRPr="00616B9B">
            <w:rPr>
              <w:rFonts w:cs="Arial"/>
              <w:noProof/>
              <w:sz w:val="22"/>
              <w:szCs w:val="22"/>
            </w:rPr>
            <w:fldChar w:fldCharType="end"/>
          </w:r>
        </w:p>
      </w:tc>
    </w:tr>
  </w:tbl>
  <w:p w:rsidR="0004031C" w:rsidRDefault="000403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31C" w:rsidRDefault="000403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E15" w:rsidRDefault="00E87E15">
      <w:r>
        <w:separator/>
      </w:r>
    </w:p>
    <w:p w:rsidR="00E87E15" w:rsidRDefault="00E87E15"/>
  </w:footnote>
  <w:footnote w:type="continuationSeparator" w:id="0">
    <w:p w:rsidR="00E87E15" w:rsidRDefault="00E87E15">
      <w:r>
        <w:continuationSeparator/>
      </w:r>
    </w:p>
    <w:p w:rsidR="00E87E15" w:rsidRDefault="00E87E15"/>
  </w:footnote>
  <w:footnote w:type="continuationNotice" w:id="1">
    <w:p w:rsidR="00E87E15" w:rsidRDefault="00E87E15"/>
  </w:footnote>
  <w:footnote w:id="2">
    <w:p w:rsidR="0004031C" w:rsidRPr="00554E48" w:rsidRDefault="0004031C" w:rsidP="007E2302">
      <w:pPr>
        <w:pStyle w:val="FootnoteText"/>
        <w:rPr>
          <w:szCs w:val="16"/>
        </w:rPr>
      </w:pPr>
      <w:r w:rsidRPr="00554E48">
        <w:rPr>
          <w:rStyle w:val="FootnoteReference"/>
          <w:szCs w:val="16"/>
        </w:rPr>
        <w:footnoteRef/>
      </w:r>
      <w:r w:rsidRPr="00554E48">
        <w:rPr>
          <w:szCs w:val="16"/>
        </w:rPr>
        <w:t xml:space="preserve"> See </w:t>
      </w:r>
      <w:hyperlink r:id="rId1" w:history="1">
        <w:r w:rsidRPr="00554E48">
          <w:rPr>
            <w:rStyle w:val="Hyperlink"/>
            <w:szCs w:val="16"/>
          </w:rPr>
          <w:t>https://eiopa.europa.eu/about-eiopa/legal-framework/public-access-to-documents/index.html</w:t>
        </w:r>
      </w:hyperlink>
      <w:r w:rsidRPr="00554E48">
        <w:rPr>
          <w:szCs w:val="16"/>
        </w:rPr>
        <w:t xml:space="preserve">. </w:t>
      </w:r>
    </w:p>
  </w:footnote>
  <w:footnote w:id="3">
    <w:p w:rsidR="0004031C" w:rsidRDefault="0004031C" w:rsidP="00F31E57">
      <w:pPr>
        <w:pStyle w:val="FootnoteText"/>
        <w:rPr>
          <w:szCs w:val="16"/>
        </w:rPr>
      </w:pPr>
      <w:r>
        <w:rPr>
          <w:rStyle w:val="FootnoteReference"/>
          <w:szCs w:val="16"/>
        </w:rPr>
        <w:footnoteRef/>
      </w:r>
      <w:r>
        <w:rPr>
          <w:szCs w:val="16"/>
        </w:rPr>
        <w:t xml:space="preserve"> </w:t>
      </w:r>
      <w:r>
        <w:rPr>
          <w:rFonts w:cs="Arial"/>
          <w:szCs w:val="16"/>
          <w:lang w:eastAsia="zh-TW"/>
        </w:rPr>
        <w:t xml:space="preserve">One could also argue that </w:t>
      </w:r>
      <w:r>
        <w:rPr>
          <w:rFonts w:cs="Arial"/>
          <w:szCs w:val="16"/>
        </w:rPr>
        <w:t>all fund managers either have their own dealing desk or sub-contract this to other dealing desks. Since the principle of Best Execution is paramount, the dealers should know the typical spread in the securities with which they deal.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31C" w:rsidRDefault="0004031C">
    <w:pPr>
      <w:pStyle w:val="Header"/>
    </w:pPr>
    <w:r>
      <w:rPr>
        <w:noProof/>
        <w:lang w:val="fr-BE" w:eastAsia="fr-BE"/>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BE" w:eastAsia="fr-BE"/>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F70287"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31C" w:rsidRDefault="0004031C" w:rsidP="00013CCE">
    <w:pPr>
      <w:pStyle w:val="Header"/>
      <w:jc w:val="right"/>
    </w:pPr>
    <w:r>
      <w:rPr>
        <w:noProof/>
        <w:lang w:val="fr-BE" w:eastAsia="fr-BE"/>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BE" w:eastAsia="fr-BE"/>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31C" w:rsidRDefault="0004031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04031C" w:rsidRPr="002F4496" w:rsidTr="000C06C9">
      <w:trPr>
        <w:trHeight w:val="284"/>
      </w:trPr>
      <w:tc>
        <w:tcPr>
          <w:tcW w:w="8460" w:type="dxa"/>
        </w:tcPr>
        <w:p w:rsidR="0004031C" w:rsidRPr="000C3B6D" w:rsidRDefault="0004031C" w:rsidP="000C06C9">
          <w:pPr>
            <w:pStyle w:val="00Footer"/>
            <w:rPr>
              <w:lang w:val="fr-FR"/>
            </w:rPr>
          </w:pPr>
        </w:p>
      </w:tc>
      <w:tc>
        <w:tcPr>
          <w:tcW w:w="952" w:type="dxa"/>
        </w:tcPr>
        <w:p w:rsidR="0004031C" w:rsidRPr="00146B34" w:rsidRDefault="0004031C" w:rsidP="000C06C9">
          <w:pPr>
            <w:pStyle w:val="00aPagenumber"/>
            <w:rPr>
              <w:lang w:val="fr-FR"/>
            </w:rPr>
          </w:pPr>
        </w:p>
      </w:tc>
    </w:tr>
  </w:tbl>
  <w:p w:rsidR="0004031C" w:rsidRPr="00DB46C3" w:rsidRDefault="0004031C">
    <w:pPr>
      <w:rPr>
        <w:lang w:val="fr-FR"/>
      </w:rPr>
    </w:pPr>
  </w:p>
  <w:p w:rsidR="0004031C" w:rsidRPr="002F4496" w:rsidRDefault="0004031C">
    <w:pPr>
      <w:pStyle w:val="Header"/>
      <w:rPr>
        <w:lang w:val="fr-FR"/>
      </w:rPr>
    </w:pPr>
  </w:p>
  <w:p w:rsidR="0004031C" w:rsidRPr="002F4496" w:rsidRDefault="0004031C" w:rsidP="000C06C9">
    <w:pPr>
      <w:pStyle w:val="Header"/>
      <w:tabs>
        <w:tab w:val="clear" w:pos="4536"/>
        <w:tab w:val="clear" w:pos="9072"/>
        <w:tab w:val="left" w:pos="8227"/>
      </w:tabs>
      <w:rPr>
        <w:lang w:val="fr-FR"/>
      </w:rPr>
    </w:pPr>
  </w:p>
  <w:p w:rsidR="0004031C" w:rsidRPr="002F4496" w:rsidRDefault="0004031C" w:rsidP="000C06C9">
    <w:pPr>
      <w:pStyle w:val="Header"/>
      <w:tabs>
        <w:tab w:val="clear" w:pos="4536"/>
        <w:tab w:val="clear" w:pos="9072"/>
        <w:tab w:val="left" w:pos="8227"/>
      </w:tabs>
      <w:rPr>
        <w:lang w:val="fr-FR"/>
      </w:rPr>
    </w:pPr>
  </w:p>
  <w:p w:rsidR="0004031C" w:rsidRPr="002F4496" w:rsidRDefault="0004031C">
    <w:pPr>
      <w:pStyle w:val="Header"/>
      <w:rPr>
        <w:lang w:val="fr-FR"/>
      </w:rPr>
    </w:pPr>
  </w:p>
  <w:p w:rsidR="0004031C" w:rsidRPr="002F4496" w:rsidRDefault="0004031C">
    <w:pPr>
      <w:pStyle w:val="Header"/>
      <w:rPr>
        <w:lang w:val="fr-FR"/>
      </w:rPr>
    </w:pPr>
  </w:p>
  <w:p w:rsidR="0004031C" w:rsidRPr="002F4496" w:rsidRDefault="0004031C">
    <w:pPr>
      <w:pStyle w:val="Header"/>
      <w:rPr>
        <w:lang w:val="fr-FR"/>
      </w:rPr>
    </w:pPr>
  </w:p>
  <w:p w:rsidR="0004031C" w:rsidRPr="002F4496" w:rsidRDefault="0004031C">
    <w:pPr>
      <w:pStyle w:val="Header"/>
      <w:rPr>
        <w:lang w:val="fr-FR"/>
      </w:rPr>
    </w:pPr>
  </w:p>
  <w:p w:rsidR="0004031C" w:rsidRPr="002F4496" w:rsidRDefault="0004031C">
    <w:pPr>
      <w:pStyle w:val="Header"/>
      <w:rPr>
        <w:highlight w:val="yellow"/>
        <w:lang w:val="fr-FR"/>
      </w:rPr>
    </w:pPr>
  </w:p>
  <w:p w:rsidR="0004031C" w:rsidRDefault="0004031C">
    <w:pPr>
      <w:pStyle w:val="Header"/>
    </w:pPr>
    <w:r>
      <w:rPr>
        <w:noProof/>
        <w:lang w:val="fr-BE" w:eastAsia="fr-BE"/>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E6380"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fr-BE" w:eastAsia="fr-BE"/>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9672C"/>
    <w:multiLevelType w:val="hybridMultilevel"/>
    <w:tmpl w:val="BE8213BE"/>
    <w:lvl w:ilvl="0" w:tplc="5C3E43AE">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8"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15:restartNumberingAfterBreak="0">
    <w:nsid w:val="58E8083C"/>
    <w:multiLevelType w:val="multilevel"/>
    <w:tmpl w:val="8E5A7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3"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5"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8"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2"/>
  </w:num>
  <w:num w:numId="4">
    <w:abstractNumId w:val="23"/>
  </w:num>
  <w:num w:numId="5">
    <w:abstractNumId w:val="25"/>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31"/>
  </w:num>
  <w:num w:numId="14">
    <w:abstractNumId w:val="22"/>
  </w:num>
  <w:num w:numId="15">
    <w:abstractNumId w:val="11"/>
  </w:num>
  <w:num w:numId="16">
    <w:abstractNumId w:val="1"/>
  </w:num>
  <w:num w:numId="17">
    <w:abstractNumId w:val="14"/>
  </w:num>
  <w:num w:numId="18">
    <w:abstractNumId w:val="15"/>
  </w:num>
  <w:num w:numId="19">
    <w:abstractNumId w:val="17"/>
  </w:num>
  <w:num w:numId="20">
    <w:abstractNumId w:val="26"/>
  </w:num>
  <w:num w:numId="21">
    <w:abstractNumId w:val="36"/>
  </w:num>
  <w:num w:numId="22">
    <w:abstractNumId w:val="24"/>
  </w:num>
  <w:num w:numId="23">
    <w:abstractNumId w:val="10"/>
  </w:num>
  <w:num w:numId="24">
    <w:abstractNumId w:val="30"/>
  </w:num>
  <w:num w:numId="25">
    <w:abstractNumId w:val="29"/>
  </w:num>
  <w:num w:numId="26">
    <w:abstractNumId w:val="19"/>
  </w:num>
  <w:num w:numId="27">
    <w:abstractNumId w:val="33"/>
  </w:num>
  <w:num w:numId="28">
    <w:abstractNumId w:val="38"/>
  </w:num>
  <w:num w:numId="29">
    <w:abstractNumId w:val="8"/>
  </w:num>
  <w:num w:numId="30">
    <w:abstractNumId w:val="3"/>
  </w:num>
  <w:num w:numId="31">
    <w:abstractNumId w:val="21"/>
  </w:num>
  <w:num w:numId="32">
    <w:abstractNumId w:val="2"/>
  </w:num>
  <w:num w:numId="33">
    <w:abstractNumId w:val="6"/>
  </w:num>
  <w:num w:numId="34">
    <w:abstractNumId w:val="20"/>
  </w:num>
  <w:num w:numId="35">
    <w:abstractNumId w:val="35"/>
  </w:num>
  <w:num w:numId="36">
    <w:abstractNumId w:val="35"/>
    <w:lvlOverride w:ilvl="0">
      <w:startOverride w:val="1"/>
    </w:lvlOverride>
  </w:num>
  <w:num w:numId="37">
    <w:abstractNumId w:val="35"/>
    <w:lvlOverride w:ilvl="0">
      <w:startOverride w:val="1"/>
    </w:lvlOverride>
  </w:num>
  <w:num w:numId="38">
    <w:abstractNumId w:val="35"/>
    <w:lvlOverride w:ilvl="0">
      <w:startOverride w:val="1"/>
    </w:lvlOverride>
  </w:num>
  <w:num w:numId="39">
    <w:abstractNumId w:val="35"/>
    <w:lvlOverride w:ilvl="0">
      <w:startOverride w:val="1"/>
    </w:lvlOverride>
  </w:num>
  <w:num w:numId="40">
    <w:abstractNumId w:val="35"/>
    <w:lvlOverride w:ilvl="0">
      <w:startOverride w:val="1"/>
    </w:lvlOverride>
  </w:num>
  <w:num w:numId="41">
    <w:abstractNumId w:val="35"/>
  </w:num>
  <w:num w:numId="42">
    <w:abstractNumId w:val="35"/>
    <w:lvlOverride w:ilvl="0">
      <w:startOverride w:val="1"/>
    </w:lvlOverride>
  </w:num>
  <w:num w:numId="43">
    <w:abstractNumId w:val="35"/>
    <w:lvlOverride w:ilvl="0">
      <w:startOverride w:val="1"/>
    </w:lvlOverride>
  </w:num>
  <w:num w:numId="44">
    <w:abstractNumId w:val="35"/>
    <w:lvlOverride w:ilvl="0">
      <w:startOverride w:val="1"/>
    </w:lvlOverride>
  </w:num>
  <w:num w:numId="45">
    <w:abstractNumId w:val="35"/>
    <w:lvlOverride w:ilvl="0">
      <w:startOverride w:val="1"/>
    </w:lvlOverride>
  </w:num>
  <w:num w:numId="46">
    <w:abstractNumId w:val="35"/>
    <w:lvlOverride w:ilvl="0">
      <w:startOverride w:val="1"/>
    </w:lvlOverride>
  </w:num>
  <w:num w:numId="47">
    <w:abstractNumId w:val="34"/>
  </w:num>
  <w:num w:numId="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lvlOverride w:ilvl="0">
      <w:startOverride w:val="1"/>
    </w:lvlOverride>
  </w:num>
  <w:num w:numId="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AKlUNSdqt1qdSJ/bXvACRVUEOFU=" w:salt="Sb/ILq8wkCk/surSLIht4A=="/>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031C"/>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48E"/>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302"/>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75"/>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77D"/>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AC0"/>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557C"/>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87E15"/>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841"/>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5:docId w15:val="{BD0A9082-3E88-414C-87BF-102B80F79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ESBG">
    <w:name w:val="ESBG"/>
    <w:basedOn w:val="Normal"/>
    <w:link w:val="ESBGChar"/>
    <w:qFormat/>
    <w:rsid w:val="0004031C"/>
    <w:pPr>
      <w:suppressAutoHyphens/>
      <w:jc w:val="both"/>
    </w:pPr>
    <w:rPr>
      <w:rFonts w:ascii="Garamond" w:hAnsi="Garamond"/>
      <w:sz w:val="24"/>
    </w:rPr>
  </w:style>
  <w:style w:type="character" w:customStyle="1" w:styleId="ESBGChar">
    <w:name w:val="ESBG Char"/>
    <w:basedOn w:val="DefaultParagraphFont"/>
    <w:link w:val="ESBG"/>
    <w:rsid w:val="0004031C"/>
    <w:rPr>
      <w:rFonts w:ascii="Garamond" w:hAnsi="Garamond"/>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eiopa.europa.eu/about-eiopa/legal-framework/public-access-to-documents/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D8CDF-E315-447B-825F-9D649C01B897}">
  <ds:schemaRefs>
    <ds:schemaRef ds:uri="http://schemas.openxmlformats.org/officeDocument/2006/bibliography"/>
  </ds:schemaRefs>
</ds:datastoreItem>
</file>

<file path=customXml/itemProps2.xml><?xml version="1.0" encoding="utf-8"?>
<ds:datastoreItem xmlns:ds="http://schemas.openxmlformats.org/officeDocument/2006/customXml" ds:itemID="{EBC43F79-7E86-4608-BA94-01842AE6B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9704</Words>
  <Characters>53376</Characters>
  <Application>Microsoft Office Word</Application>
  <DocSecurity>8</DocSecurity>
  <Lines>444</Lines>
  <Paragraphs>125</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62955</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Moura Rémy</cp:lastModifiedBy>
  <cp:revision>2</cp:revision>
  <cp:lastPrinted>2015-02-18T11:01:00Z</cp:lastPrinted>
  <dcterms:created xsi:type="dcterms:W3CDTF">2015-08-14T12:41:00Z</dcterms:created>
  <dcterms:modified xsi:type="dcterms:W3CDTF">2015-08-14T12:41:00Z</dcterms:modified>
</cp:coreProperties>
</file>