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576A1D">
        <w:tc>
          <w:tcPr>
            <w:tcW w:w="3929" w:type="dxa"/>
            <w:shd w:val="clear" w:color="auto" w:fill="auto"/>
          </w:tcPr>
          <w:p w:rsidR="00D34282" w:rsidRPr="00AB6D88" w:rsidRDefault="00D34282" w:rsidP="00576A1D">
            <w:pPr>
              <w:rPr>
                <w:rFonts w:cs="Arial"/>
              </w:rPr>
            </w:pPr>
            <w:permStart w:id="1332241523" w:edGrp="everyone" w:colFirst="1" w:colLast="1"/>
            <w:r w:rsidRPr="00AB6D88">
              <w:rPr>
                <w:rFonts w:cs="Arial"/>
              </w:rPr>
              <w:t>Name of the company / organisation</w:t>
            </w:r>
          </w:p>
        </w:tc>
        <w:sdt>
          <w:sdtPr>
            <w:rPr>
              <w:rStyle w:val="PlaceholderText"/>
              <w:rFonts w:cs="Arial"/>
            </w:rPr>
            <w:id w:val="-1905066999"/>
            <w:text/>
          </w:sdtPr>
          <w:sdtContent>
            <w:permStart w:id="649868872" w:edGrp="everyone" w:displacedByCustomXml="prev"/>
            <w:tc>
              <w:tcPr>
                <w:tcW w:w="5595" w:type="dxa"/>
                <w:shd w:val="clear" w:color="auto" w:fill="auto"/>
              </w:tcPr>
              <w:p w:rsidR="00D34282" w:rsidRPr="00AB6D88" w:rsidRDefault="00A94229" w:rsidP="00A94229">
                <w:pPr>
                  <w:rPr>
                    <w:rStyle w:val="PlaceholderText"/>
                    <w:rFonts w:cs="Arial"/>
                  </w:rPr>
                </w:pPr>
                <w:r>
                  <w:rPr>
                    <w:rStyle w:val="PlaceholderText"/>
                    <w:rFonts w:cs="Arial"/>
                  </w:rPr>
                  <w:t>EFAMA</w:t>
                </w:r>
              </w:p>
            </w:tc>
            <w:permEnd w:id="649868872" w:displacedByCustomXml="next"/>
          </w:sdtContent>
        </w:sdt>
      </w:tr>
      <w:tr w:rsidR="00D34282" w:rsidRPr="00AB6D88" w:rsidTr="00576A1D">
        <w:tc>
          <w:tcPr>
            <w:tcW w:w="3929" w:type="dxa"/>
            <w:shd w:val="clear" w:color="auto" w:fill="auto"/>
          </w:tcPr>
          <w:p w:rsidR="00D34282" w:rsidRPr="00AB6D88" w:rsidRDefault="00D34282" w:rsidP="00576A1D">
            <w:pPr>
              <w:rPr>
                <w:rFonts w:cs="Arial"/>
              </w:rPr>
            </w:pPr>
            <w:permStart w:id="1934295365" w:edGrp="everyone" w:colFirst="1" w:colLast="1"/>
            <w:permEnd w:id="1332241523"/>
            <w:r w:rsidRPr="00AB6D88">
              <w:rPr>
                <w:rFonts w:cs="Arial"/>
              </w:rPr>
              <w:t>Activity</w:t>
            </w:r>
          </w:p>
        </w:tc>
        <w:tc>
          <w:tcPr>
            <w:tcW w:w="5595" w:type="dxa"/>
            <w:shd w:val="clear" w:color="auto" w:fill="auto"/>
          </w:tcPr>
          <w:p w:rsidR="00D34282" w:rsidRPr="00AB6D88" w:rsidRDefault="005A75DE" w:rsidP="00576A1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961570803" w:edGrp="everyone"/>
                <w:r>
                  <w:rPr>
                    <w:rFonts w:cs="Arial"/>
                  </w:rPr>
                  <w:t>Investment Services</w:t>
                </w:r>
                <w:permEnd w:id="1961570803"/>
              </w:sdtContent>
            </w:sdt>
          </w:p>
        </w:tc>
      </w:tr>
      <w:tr w:rsidR="00D34282" w:rsidRPr="00AB6D88" w:rsidTr="00576A1D">
        <w:tc>
          <w:tcPr>
            <w:tcW w:w="3929" w:type="dxa"/>
            <w:shd w:val="clear" w:color="auto" w:fill="auto"/>
          </w:tcPr>
          <w:p w:rsidR="00D34282" w:rsidRPr="00AB6D88" w:rsidRDefault="00D34282" w:rsidP="00576A1D">
            <w:pPr>
              <w:rPr>
                <w:rFonts w:cs="Arial"/>
              </w:rPr>
            </w:pPr>
            <w:permStart w:id="1862428564" w:edGrp="everyone" w:colFirst="1" w:colLast="1"/>
            <w:permEnd w:id="1934295365"/>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5A75DE" w:rsidP="00576A1D">
                <w:pPr>
                  <w:rPr>
                    <w:rFonts w:cs="Arial"/>
                  </w:rPr>
                </w:pPr>
                <w:r>
                  <w:rPr>
                    <w:rFonts w:ascii="MS Gothic" w:eastAsia="MS Gothic" w:hAnsi="MS Gothic" w:cs="Arial" w:hint="eastAsia"/>
                  </w:rPr>
                  <w:t>☒</w:t>
                </w:r>
              </w:p>
            </w:tc>
          </w:sdtContent>
        </w:sdt>
      </w:tr>
      <w:tr w:rsidR="00D34282" w:rsidRPr="00AB6D88" w:rsidTr="00576A1D">
        <w:tc>
          <w:tcPr>
            <w:tcW w:w="3929" w:type="dxa"/>
            <w:shd w:val="clear" w:color="auto" w:fill="auto"/>
          </w:tcPr>
          <w:p w:rsidR="00D34282" w:rsidRPr="00AB6D88" w:rsidRDefault="00D34282" w:rsidP="00576A1D">
            <w:pPr>
              <w:rPr>
                <w:rFonts w:cs="Arial"/>
              </w:rPr>
            </w:pPr>
            <w:permStart w:id="1465933405" w:edGrp="everyone" w:colFirst="1" w:colLast="1"/>
            <w:permEnd w:id="1862428564"/>
            <w:r w:rsidRPr="00AB6D88">
              <w:rPr>
                <w:rFonts w:cs="Arial"/>
              </w:rPr>
              <w:t>Country/Region</w:t>
            </w:r>
          </w:p>
        </w:tc>
        <w:permStart w:id="1082422357"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347180491" w:edGrp="everyone" w:displacedByCustomXml="prev"/>
            <w:tc>
              <w:tcPr>
                <w:tcW w:w="5595" w:type="dxa"/>
                <w:shd w:val="clear" w:color="auto" w:fill="auto"/>
              </w:tcPr>
              <w:p w:rsidR="00D34282" w:rsidRPr="00AB6D88" w:rsidRDefault="005A75DE" w:rsidP="00576A1D">
                <w:pPr>
                  <w:rPr>
                    <w:rFonts w:cs="Arial"/>
                  </w:rPr>
                </w:pPr>
                <w:r>
                  <w:rPr>
                    <w:rFonts w:cs="Arial"/>
                  </w:rPr>
                  <w:t>Europe</w:t>
                </w:r>
              </w:p>
            </w:tc>
            <w:permEnd w:id="1347180491" w:displacedByCustomXml="next"/>
          </w:sdtContent>
        </w:sdt>
        <w:permEnd w:id="1082422357" w:displacedByCustomXml="prev"/>
      </w:tr>
      <w:permEnd w:id="1465933405"/>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A94229" w:rsidRPr="008A1FA3" w:rsidRDefault="00A94229" w:rsidP="00A94229">
      <w:pPr>
        <w:jc w:val="both"/>
      </w:pPr>
      <w:permStart w:id="477049672" w:edGrp="everyone"/>
      <w:r w:rsidRPr="008A1FA3">
        <w:rPr>
          <w:color w:val="000000" w:themeColor="text1"/>
        </w:rPr>
        <w:t xml:space="preserve">EFAMA appreciates the efforts </w:t>
      </w:r>
      <w:r>
        <w:rPr>
          <w:color w:val="000000" w:themeColor="text1"/>
        </w:rPr>
        <w:t xml:space="preserve">jointly deployed </w:t>
      </w:r>
      <w:r w:rsidRPr="008A1FA3">
        <w:rPr>
          <w:color w:val="000000" w:themeColor="text1"/>
        </w:rPr>
        <w:t xml:space="preserve">by the ESAs in trying to find the most suitable parameters for the PRIIP KID’s prescribed content. Unfortunately, both the timing </w:t>
      </w:r>
      <w:r>
        <w:rPr>
          <w:color w:val="000000" w:themeColor="text1"/>
        </w:rPr>
        <w:t xml:space="preserve">(summer period) </w:t>
      </w:r>
      <w:r w:rsidRPr="008A1FA3">
        <w:rPr>
          <w:color w:val="000000" w:themeColor="text1"/>
        </w:rPr>
        <w:t xml:space="preserve">and short deadline </w:t>
      </w:r>
      <w:r>
        <w:rPr>
          <w:color w:val="000000" w:themeColor="text1"/>
        </w:rPr>
        <w:t>of</w:t>
      </w:r>
      <w:r w:rsidRPr="008A1FA3">
        <w:rPr>
          <w:color w:val="000000" w:themeColor="text1"/>
        </w:rPr>
        <w:t xml:space="preserve"> this Technical Discussion Paper make it difficult for EFAMA and its members to provide the ESAs with the in-depth and </w:t>
      </w:r>
      <w:r>
        <w:rPr>
          <w:color w:val="000000" w:themeColor="text1"/>
        </w:rPr>
        <w:t>comprehensive</w:t>
      </w:r>
      <w:r w:rsidRPr="008A1FA3">
        <w:rPr>
          <w:color w:val="000000" w:themeColor="text1"/>
        </w:rPr>
        <w:t xml:space="preserve"> feedback that this subject requires. </w:t>
      </w:r>
      <w:r w:rsidRPr="008A1FA3">
        <w:t xml:space="preserve">We fully understand the timing constraints placed on the ESAs by the Level-1 Regulation, but </w:t>
      </w:r>
      <w:r>
        <w:t>consider it essential</w:t>
      </w:r>
      <w:r w:rsidRPr="008A1FA3">
        <w:t xml:space="preserve"> that the remaining consultation papers (in particular the one on the PRIIP KID’s content) provide stakeholders with more time to provide useful analysis and comments to the ESAs on this important topic.</w:t>
      </w:r>
    </w:p>
    <w:p w:rsidR="00A94229" w:rsidRPr="008A1FA3" w:rsidRDefault="00A94229" w:rsidP="00A94229">
      <w:pPr>
        <w:jc w:val="both"/>
      </w:pPr>
    </w:p>
    <w:p w:rsidR="00A94229" w:rsidRPr="008A1FA3" w:rsidRDefault="00A94229" w:rsidP="00A94229">
      <w:pPr>
        <w:jc w:val="both"/>
        <w:rPr>
          <w:color w:val="000000" w:themeColor="text1"/>
        </w:rPr>
      </w:pPr>
      <w:r w:rsidRPr="008A1FA3">
        <w:t>When designing the PRIIP KID, the European co-legislators’ intention was focused on creating a document that is meant, first,</w:t>
      </w:r>
      <w:r w:rsidRPr="008A1FA3">
        <w:rPr>
          <w:color w:val="000000" w:themeColor="text1"/>
        </w:rPr>
        <w:t xml:space="preserve"> </w:t>
      </w:r>
      <w:r w:rsidRPr="00924174">
        <w:rPr>
          <w:b/>
          <w:color w:val="000000" w:themeColor="text1"/>
        </w:rPr>
        <w:t>to enhance retail investors’ understanding</w:t>
      </w:r>
      <w:r w:rsidRPr="008A1FA3">
        <w:rPr>
          <w:color w:val="000000" w:themeColor="text1"/>
        </w:rPr>
        <w:t xml:space="preserve"> of a particular product and, second, </w:t>
      </w:r>
      <w:r w:rsidRPr="00924174">
        <w:rPr>
          <w:b/>
          <w:color w:val="000000" w:themeColor="text1"/>
        </w:rPr>
        <w:t>to allow investors to compare</w:t>
      </w:r>
      <w:r w:rsidRPr="008A1FA3">
        <w:rPr>
          <w:color w:val="000000" w:themeColor="text1"/>
        </w:rPr>
        <w:t xml:space="preserve"> different products and different types of products.</w:t>
      </w:r>
    </w:p>
    <w:p w:rsidR="00A94229" w:rsidRPr="008A1FA3" w:rsidRDefault="00A94229" w:rsidP="00A94229">
      <w:pPr>
        <w:jc w:val="both"/>
        <w:rPr>
          <w:color w:val="000000" w:themeColor="text1"/>
        </w:rPr>
      </w:pPr>
    </w:p>
    <w:p w:rsidR="00A94229" w:rsidRPr="008A1FA3" w:rsidRDefault="00A94229" w:rsidP="00A94229">
      <w:pPr>
        <w:jc w:val="both"/>
        <w:rPr>
          <w:color w:val="000000" w:themeColor="text1"/>
        </w:rPr>
      </w:pPr>
      <w:r w:rsidRPr="008A1FA3">
        <w:rPr>
          <w:color w:val="000000" w:themeColor="text1"/>
        </w:rPr>
        <w:t>We highlight this essential underlying motive of the PRIIP KID Regulation, as the very methodologies, presentations and principles discussed here establish its technical foundations. The parameters, methodologies, calculations and presentations should not advantage or disadvantage certain products, and their implementation costs should be reasonable, for the financial industry at large and for the European and national regulators that must monitor and enforce compliance with the rules.</w:t>
      </w:r>
    </w:p>
    <w:p w:rsidR="00A94229" w:rsidRPr="008A1FA3" w:rsidRDefault="00A94229" w:rsidP="00A94229">
      <w:pPr>
        <w:jc w:val="center"/>
        <w:rPr>
          <w:color w:val="000000" w:themeColor="text1"/>
        </w:rPr>
      </w:pPr>
    </w:p>
    <w:p w:rsidR="00A94229" w:rsidRPr="008A1FA3" w:rsidRDefault="00A94229" w:rsidP="00A94229">
      <w:pPr>
        <w:jc w:val="both"/>
      </w:pPr>
      <w:r w:rsidRPr="008A1FA3">
        <w:t>We would also highlight the importance of the consumer testing that is accompanying these discussion papers and consultations. We regret the lack of transparency surrounding this consumer testing and have difficulties understanding why no information whatsoever has been published, not even on what is being tested. Whatever the results of that testing, it is important that any conclusions are carefully drawn. Consumers’ responses will be conditioned by the current economic environment and their current knowledge levels.  However, the PRIIP KID must be future-proofed for different market conditions and is intended, in part, to be a tool to further investors’ understanding and to promote investor education.  The tests (which are not publicly available) might, for example, show that the most simplistic options are preferred, but it is important not to oversimplify the KID.  Investment decisions should not be oversimplified.</w:t>
      </w:r>
    </w:p>
    <w:p w:rsidR="00A94229" w:rsidRPr="008A1FA3" w:rsidRDefault="00A94229" w:rsidP="00A94229">
      <w:pPr>
        <w:jc w:val="both"/>
      </w:pPr>
    </w:p>
    <w:p w:rsidR="00A94229" w:rsidRPr="008A1FA3" w:rsidRDefault="00A94229" w:rsidP="00A94229">
      <w:pPr>
        <w:jc w:val="both"/>
      </w:pPr>
      <w:r w:rsidRPr="008A1FA3">
        <w:t xml:space="preserve">When answering the discussion paper, we are also acutely aware that the overall discussions on risks, performance and costs seem to focus solely on equity and bonds, mostly overlooking other asset types </w:t>
      </w:r>
      <w:proofErr w:type="gramStart"/>
      <w:r w:rsidRPr="008A1FA3">
        <w:t>such</w:t>
      </w:r>
      <w:proofErr w:type="gramEnd"/>
      <w:r w:rsidRPr="008A1FA3">
        <w:t xml:space="preserve"> as derivatives, money market instruments, real estate and private equity, let alone ELTIFs, </w:t>
      </w:r>
      <w:proofErr w:type="spellStart"/>
      <w:r w:rsidRPr="008A1FA3">
        <w:t>EuSEFs</w:t>
      </w:r>
      <w:proofErr w:type="spellEnd"/>
      <w:r w:rsidRPr="008A1FA3">
        <w:t xml:space="preserve"> and </w:t>
      </w:r>
      <w:proofErr w:type="spellStart"/>
      <w:r w:rsidRPr="008A1FA3">
        <w:t>EuVECAs</w:t>
      </w:r>
      <w:proofErr w:type="spellEnd"/>
      <w:r w:rsidRPr="008A1FA3">
        <w:t>. We urge the ESAs to undertake additional considerations of the particularities of these asset classes before drawing up the draft RTS.</w:t>
      </w:r>
    </w:p>
    <w:p w:rsidR="00A94229" w:rsidRPr="008A1FA3" w:rsidRDefault="00A94229" w:rsidP="00A94229">
      <w:pPr>
        <w:jc w:val="both"/>
      </w:pPr>
    </w:p>
    <w:p w:rsidR="00D34282" w:rsidRPr="00A94229" w:rsidRDefault="00A94229" w:rsidP="00A94229">
      <w:pPr>
        <w:jc w:val="both"/>
        <w:rPr>
          <w:lang w:val="en-US"/>
        </w:rPr>
      </w:pPr>
      <w:r w:rsidRPr="00725AE7">
        <w:t>Lastly, c</w:t>
      </w:r>
      <w:r w:rsidRPr="00924174">
        <w:t>oncerning the proposed approaches to cost calculation, we deem it of utmost importance that they are fully consistent with the disclosure requirements under MiFID II. Obviously, firms distributing investment products will need to rely on the disclosure of product costs provided in the PRIIPs KID for the purpose of computing the aggregated cost figure comprising charges of both, product and service. Therefore, it is essential that the basis for calculation of product costs is congruent under those two EU frameworks, especially since both are based on the principle of comprehensive transparency of costs. This aspect is of specific relevance for the treatment of costs resulting from the market impact of transactions which shall be disregarded for the purpose of MiFID II disclosure</w:t>
      </w:r>
      <w:r w:rsidRPr="00924174">
        <w:rPr>
          <w:lang w:val="en-US"/>
        </w:rPr>
        <w:t>.</w:t>
      </w:r>
    </w:p>
    <w:permEnd w:id="477049672"/>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A94229" w:rsidRPr="008A1FA3" w:rsidRDefault="00A94229" w:rsidP="00A94229">
      <w:pPr>
        <w:jc w:val="both"/>
      </w:pPr>
      <w:permStart w:id="1426158598" w:edGrp="everyone"/>
      <w:r w:rsidRPr="008A1FA3">
        <w:t xml:space="preserve">Our response to this question hinges somewhat on whether any period of past performance can be shown. Experience with the UCITS KIID shows that investors wish to see the product’s history of returns (where there is one). We believe that both the performance history and possible future performance scenarios can and should be shown in the one graphical presentation. </w:t>
      </w:r>
      <w:r>
        <w:t>They have the benefit of being based on facts, and give a useful indication of the way in which a fund is run. They also allow for comparison between funds.</w:t>
      </w:r>
    </w:p>
    <w:p w:rsidR="00A94229" w:rsidRPr="008A1FA3" w:rsidRDefault="00A94229" w:rsidP="00A94229">
      <w:pPr>
        <w:jc w:val="both"/>
      </w:pPr>
    </w:p>
    <w:p w:rsidR="00A94229" w:rsidRPr="008A1FA3" w:rsidRDefault="00A94229" w:rsidP="00A94229">
      <w:pPr>
        <w:jc w:val="both"/>
      </w:pPr>
      <w:r w:rsidRPr="008A1FA3">
        <w:t xml:space="preserve">We </w:t>
      </w:r>
      <w:r>
        <w:t xml:space="preserve">strongly </w:t>
      </w:r>
      <w:r w:rsidRPr="008A1FA3">
        <w:t xml:space="preserve">favour option (a) for the estimation of the distribution of future returns. At the time of the development of the UCITS KIID, independent academic research showed that past volatility was as good a guide to future performance as any other more complicated (and costly) methodology, especially as the resulting figure is to be compressed into a seven or five figure scale. Furthermore, this approach is simple and could be applied also to PRIIPs that are not investment funds. </w:t>
      </w:r>
      <w:r>
        <w:t>We also believe that it is important not to give an impression of spurious accuracy in terms of what returns might be, thus potentially misleading investors as to the possible value of their investment.</w:t>
      </w:r>
    </w:p>
    <w:p w:rsidR="00A94229" w:rsidRPr="008A1FA3" w:rsidRDefault="00A94229" w:rsidP="00A94229">
      <w:pPr>
        <w:jc w:val="both"/>
      </w:pPr>
    </w:p>
    <w:p w:rsidR="00F31E57" w:rsidRDefault="00A94229" w:rsidP="00A94229">
      <w:pPr>
        <w:jc w:val="both"/>
      </w:pPr>
      <w:r w:rsidRPr="008A1FA3">
        <w:t xml:space="preserve">Use of distribution of return data would also align with the principles already applicable for the UCITS KIID. Where historical data is not available for the PRIIP, the use of proxy or benchmark data, along the lines of the existing UCITS SRRI methodology, is the most suitable alternative. However, the underlying principles for these simulations will have to be </w:t>
      </w:r>
      <w:r>
        <w:t>prescrib</w:t>
      </w:r>
      <w:r w:rsidRPr="008A1FA3">
        <w:t>ed by supervisory authorities in terms of modelling and choice of parameters, in order to ensure comparability and to guard against cherry-picking by individual product providers.</w:t>
      </w:r>
    </w:p>
    <w:permEnd w:id="1426158598"/>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F31E57" w:rsidRDefault="00A94229" w:rsidP="00F31E57">
      <w:permStart w:id="1801016147" w:edGrp="everyone"/>
      <w:r w:rsidRPr="008A1FA3">
        <w:t>As we have made clear our strong preference for option (a), we would caution against a too flexible use of methods allowing the product manufacturer to choose model parameters. If the ESAs still opt for such an approach, we would caution that too much choice for the manufacturer will leave room for manipulation and dampen comparability. Thus, the preconditions for any flexibility must be that the rules to select the input variables in terms of risk variables should be standardised and consistent across all available models. The ESAs or the national regulators should therefore prescribe the relevant input parameters, which also should not be too complex to ease implementation and supervision.</w:t>
      </w:r>
    </w:p>
    <w:permEnd w:id="1801016147"/>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A94229" w:rsidRPr="008A1FA3" w:rsidRDefault="00A94229" w:rsidP="00A94229">
      <w:pPr>
        <w:jc w:val="both"/>
      </w:pPr>
      <w:permStart w:id="294454358" w:edGrp="everyone"/>
      <w:r w:rsidRPr="008A1FA3">
        <w:t xml:space="preserve">We consider option (a) (“the amount invested without any adjustment”) to be the option most likely to create a fair and level playing field, and to aid comparability across different PRIIP types. </w:t>
      </w:r>
    </w:p>
    <w:p w:rsidR="00A94229" w:rsidRPr="008A1FA3" w:rsidRDefault="00A94229" w:rsidP="00A94229">
      <w:pPr>
        <w:jc w:val="both"/>
      </w:pPr>
    </w:p>
    <w:p w:rsidR="00A94229" w:rsidRPr="008A1FA3" w:rsidRDefault="00A94229" w:rsidP="00A94229">
      <w:pPr>
        <w:jc w:val="both"/>
      </w:pPr>
      <w:r w:rsidRPr="008A1FA3">
        <w:t xml:space="preserve">While the time value of money is an important </w:t>
      </w:r>
      <w:r>
        <w:t>factor</w:t>
      </w:r>
      <w:r w:rsidRPr="008A1FA3">
        <w:t xml:space="preserve"> when investing into any type of product (and even more important for investment products with long recommended holding periods), we believe the other options - to use either a risk-free rate or a rate of inflation - are unfeasible in the absence of a common understanding of how those rates are best calculated.  However, if such an approach were followed by the ESAs, the </w:t>
      </w:r>
      <w:r w:rsidRPr="008A1FA3">
        <w:lastRenderedPageBreak/>
        <w:t>calculation of the rates would need to be centralised and prescribed by the supervisory authorities. Allowing manufacturers complete freedom to decide on the growth rates to be used would result in widely varying future performances among not only different PRIIP types, but also between similar PRIIPs of different manufacturers, and would undermine any chance of comparability.</w:t>
      </w:r>
    </w:p>
    <w:p w:rsidR="00A94229" w:rsidRPr="008A1FA3" w:rsidRDefault="00A94229" w:rsidP="00A94229">
      <w:pPr>
        <w:jc w:val="both"/>
      </w:pPr>
    </w:p>
    <w:p w:rsidR="00F31E57" w:rsidRDefault="00A94229" w:rsidP="00A94229">
      <w:pPr>
        <w:jc w:val="both"/>
      </w:pPr>
      <w:r w:rsidRPr="008A1FA3">
        <w:t xml:space="preserve">If a longer term holding period is recommended, the benchmark could be supplemented with narrative disclaimers noting the longer term effect of inflation. </w:t>
      </w:r>
    </w:p>
    <w:permEnd w:id="294454358"/>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A94229" w:rsidP="00A94229">
      <w:pPr>
        <w:jc w:val="both"/>
      </w:pPr>
      <w:permStart w:id="2075985115" w:edGrp="everyone"/>
      <w:r w:rsidRPr="008A1FA3">
        <w:t>EFAMA members are against option C.  The majority of our members support option B under the condition that the “asset specific risk premiums” are determined by the regulators and are not left to the discretion of the PRIIP manufacturer. Also, they should be based on historical returns of each asset class and type in order to minimise possible distortion effects among different types of PRIIPs and should assume that investors demand a risk premium to hold risky assets, such as shares or long-term bonds (so-called “real-world” probabilities). As these risk premiums may change over time, regular evaluation by the ESAs would be necessary.</w:t>
      </w:r>
    </w:p>
    <w:permEnd w:id="2075985115"/>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A94229" w:rsidRPr="008A1FA3" w:rsidRDefault="00A94229" w:rsidP="00A94229">
      <w:pPr>
        <w:jc w:val="both"/>
      </w:pPr>
      <w:permStart w:id="2095142603" w:edGrp="everyone"/>
      <w:r w:rsidRPr="008A1FA3">
        <w:t>The considerations for the Risk Indicator and for Performance Scenarios are different and need to be looked at separately.</w:t>
      </w:r>
    </w:p>
    <w:p w:rsidR="00A94229" w:rsidRPr="008A1FA3" w:rsidRDefault="00A94229" w:rsidP="00A94229">
      <w:pPr>
        <w:jc w:val="both"/>
      </w:pPr>
    </w:p>
    <w:p w:rsidR="00A94229" w:rsidRPr="008A1FA3" w:rsidRDefault="00A94229" w:rsidP="00A94229">
      <w:pPr>
        <w:jc w:val="both"/>
      </w:pPr>
      <w:r w:rsidRPr="008A1FA3">
        <w:t xml:space="preserve">For the risk indicator, </w:t>
      </w:r>
      <w:r>
        <w:t xml:space="preserve">whilst </w:t>
      </w:r>
      <w:r w:rsidRPr="008A1FA3">
        <w:t>option A is a more rigorous approach</w:t>
      </w:r>
      <w:r>
        <w:t xml:space="preserve"> from a theoretical viewpoint</w:t>
      </w:r>
      <w:r w:rsidRPr="008A1FA3">
        <w:t xml:space="preserve">, </w:t>
      </w:r>
      <w:r>
        <w:t>we</w:t>
      </w:r>
      <w:r w:rsidRPr="008A1FA3">
        <w:t xml:space="preserve"> are concerned that</w:t>
      </w:r>
      <w:r>
        <w:t>, in practice,</w:t>
      </w:r>
      <w:r w:rsidRPr="008A1FA3">
        <w:t xml:space="preserve"> it is too complicated and will most likely confuse retail investors. Therefore, option C is the most pragmatic approach among the options presented, provided that there is a narrative warning that the risk level may be higher or lower, depending on how long the investor retains the product relative to the recommended holding period.</w:t>
      </w:r>
    </w:p>
    <w:p w:rsidR="00A94229" w:rsidRPr="008A1FA3" w:rsidRDefault="00A94229" w:rsidP="00A94229">
      <w:pPr>
        <w:jc w:val="both"/>
      </w:pPr>
    </w:p>
    <w:p w:rsidR="00F31E57" w:rsidRDefault="00A94229" w:rsidP="00A94229">
      <w:pPr>
        <w:jc w:val="both"/>
      </w:pPr>
      <w:r w:rsidRPr="008A1FA3">
        <w:t>For performance scenarios, multiple time frames need to be used (in line with our comments below), as early redemption may have an impact on the performance, especially for PRIIPs with relative high exit costs.</w:t>
      </w:r>
    </w:p>
    <w:permEnd w:id="2095142603"/>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A94229" w:rsidRPr="008A1FA3" w:rsidRDefault="00A94229" w:rsidP="00A94229">
      <w:pPr>
        <w:jc w:val="both"/>
        <w:rPr>
          <w:bCs/>
          <w:iCs/>
        </w:rPr>
      </w:pPr>
      <w:permStart w:id="1205867555" w:edGrp="everyone"/>
      <w:r w:rsidRPr="008A1FA3">
        <w:rPr>
          <w:iCs/>
        </w:rPr>
        <w:t xml:space="preserve">In principle, we share the ESA's considerations on credit risk. </w:t>
      </w:r>
      <w:r w:rsidRPr="008A1FA3">
        <w:t>When reviewing credit risk it is important to distinguish between the credit risk of the overall PRIIP and the credit risk of its underlying investments, which are typically subsumed into the consideration of market risk.</w:t>
      </w:r>
    </w:p>
    <w:p w:rsidR="00A94229" w:rsidRPr="008A1FA3" w:rsidRDefault="00A94229" w:rsidP="00A94229">
      <w:pPr>
        <w:jc w:val="both"/>
        <w:rPr>
          <w:bCs/>
          <w:iCs/>
        </w:rPr>
      </w:pPr>
    </w:p>
    <w:p w:rsidR="00A94229" w:rsidRPr="008A1FA3" w:rsidRDefault="00A94229" w:rsidP="00A94229">
      <w:pPr>
        <w:jc w:val="both"/>
        <w:rPr>
          <w:iCs/>
        </w:rPr>
      </w:pPr>
      <w:r w:rsidRPr="008A1FA3">
        <w:rPr>
          <w:bCs/>
          <w:iCs/>
        </w:rPr>
        <w:t xml:space="preserve">For </w:t>
      </w:r>
      <w:r w:rsidRPr="008A1FA3">
        <w:rPr>
          <w:iCs/>
        </w:rPr>
        <w:t xml:space="preserve">investment funds (UCITS or AIFs), there is no credit exposure to the product manufacturer because the invested money is separated from the own funds of the investment management company. In other words, unlike banks or insurance undertakings, investment management companies do not take risks onto their own balance sheet. Therefore, </w:t>
      </w:r>
      <w:r>
        <w:rPr>
          <w:iCs/>
        </w:rPr>
        <w:t xml:space="preserve">credit risk is of little relevance for </w:t>
      </w:r>
      <w:r w:rsidRPr="008A1FA3">
        <w:rPr>
          <w:iCs/>
        </w:rPr>
        <w:t xml:space="preserve">investment funds </w:t>
      </w:r>
      <w:r>
        <w:rPr>
          <w:iCs/>
        </w:rPr>
        <w:t xml:space="preserve">and they </w:t>
      </w:r>
      <w:r w:rsidRPr="008A1FA3">
        <w:rPr>
          <w:iCs/>
        </w:rPr>
        <w:t>should in general be classified as a product with the lowest credit risk category.</w:t>
      </w:r>
    </w:p>
    <w:p w:rsidR="00A94229" w:rsidRPr="008A1FA3" w:rsidRDefault="00A94229" w:rsidP="00A94229">
      <w:pPr>
        <w:jc w:val="both"/>
        <w:rPr>
          <w:iCs/>
        </w:rPr>
      </w:pPr>
    </w:p>
    <w:p w:rsidR="00A94229" w:rsidRPr="008A1FA3" w:rsidRDefault="00A94229" w:rsidP="00A94229">
      <w:pPr>
        <w:jc w:val="both"/>
      </w:pPr>
      <w:r w:rsidRPr="008A1FA3">
        <w:rPr>
          <w:iCs/>
        </w:rPr>
        <w:lastRenderedPageBreak/>
        <w:t xml:space="preserve">Moreover, </w:t>
      </w:r>
      <w:r w:rsidRPr="008A1FA3">
        <w:t xml:space="preserve">assessment of the creditworthiness of financial instruments or entities within the fund’s portfolio is part of a regulated risk-management process. Credit risks arise in funds only as part of market risk – the risk of loss for the investment fund results from an issuer’s (lack of) credit worthiness. </w:t>
      </w:r>
    </w:p>
    <w:p w:rsidR="00A94229" w:rsidRPr="008A1FA3" w:rsidRDefault="00A94229" w:rsidP="00A94229">
      <w:pPr>
        <w:jc w:val="both"/>
      </w:pPr>
    </w:p>
    <w:p w:rsidR="00A94229" w:rsidRPr="008A1FA3" w:rsidRDefault="00A94229" w:rsidP="00A94229">
      <w:pPr>
        <w:jc w:val="both"/>
      </w:pPr>
      <w:r>
        <w:t>In addition to that, w</w:t>
      </w:r>
      <w:r w:rsidRPr="008A1FA3">
        <w:t xml:space="preserve">e disagree with footnote 8 with regards to an investment fund that makes use of efficient portfolio </w:t>
      </w:r>
      <w:r>
        <w:t xml:space="preserve">management </w:t>
      </w:r>
      <w:r w:rsidRPr="008A1FA3">
        <w:t xml:space="preserve">techniques or financial derivative contracts. It is required by law (such as under the UCITS Directive) and common practice (in the area of alternative investment funds) that the use of financial derivative contracts is part of the assessment of the fund’s market risk. Moreover, for those investment funds making use of efficient portfolio </w:t>
      </w:r>
      <w:r>
        <w:t xml:space="preserve">management </w:t>
      </w:r>
      <w:r w:rsidRPr="008A1FA3">
        <w:t>techniques (such as securit</w:t>
      </w:r>
      <w:r>
        <w:t>ies</w:t>
      </w:r>
      <w:r w:rsidRPr="008A1FA3">
        <w:t xml:space="preserve"> lending) or financial derivative contracts, robust and resilient requirements for proper collateralisation already exist</w:t>
      </w:r>
      <w:r w:rsidRPr="008A1FA3">
        <w:rPr>
          <w:rStyle w:val="FootnoteReference"/>
        </w:rPr>
        <w:footnoteReference w:id="3"/>
      </w:r>
      <w:r w:rsidRPr="008A1FA3">
        <w:t>.</w:t>
      </w:r>
    </w:p>
    <w:p w:rsidR="00A94229" w:rsidRPr="008A1FA3" w:rsidRDefault="00A94229" w:rsidP="00A94229">
      <w:pPr>
        <w:jc w:val="both"/>
      </w:pPr>
    </w:p>
    <w:p w:rsidR="00A94229" w:rsidRPr="008A1FA3" w:rsidRDefault="00A94229" w:rsidP="00A94229">
      <w:pPr>
        <w:jc w:val="both"/>
      </w:pPr>
      <w:r w:rsidRPr="008A1FA3">
        <w:t>Where the PRIIP is an insurance or bank product (and thus resides on the institution’s balance-sheet and the investor is not the beneficial owner), we agree that consumers need to be made aware of this fact.</w:t>
      </w:r>
    </w:p>
    <w:p w:rsidR="00A94229" w:rsidRPr="008A1FA3" w:rsidRDefault="00A94229" w:rsidP="00A94229">
      <w:pPr>
        <w:jc w:val="both"/>
      </w:pPr>
    </w:p>
    <w:p w:rsidR="00A94229" w:rsidRPr="008A1FA3" w:rsidRDefault="00A94229" w:rsidP="00A94229">
      <w:pPr>
        <w:jc w:val="both"/>
        <w:rPr>
          <w:iCs/>
        </w:rPr>
      </w:pPr>
      <w:r w:rsidRPr="008A1FA3">
        <w:t>In terms of determining credit risk, we recommend using third party credit ratings rather than credit spreads.</w:t>
      </w:r>
      <w:r w:rsidRPr="008A1FA3">
        <w:rPr>
          <w:iCs/>
        </w:rPr>
        <w:t xml:space="preserve"> Such credit ratings, if available, constitute an objective and accessible measure of credit risk that has been both applied by market participants and supervised by regulators. </w:t>
      </w:r>
      <w:r w:rsidRPr="008A1FA3">
        <w:t xml:space="preserve">The use of credit rating for the issuer can be considered in the construction of the indicator, as external ratings allow for independent comparability. Of course, the prescribed use of credit ratings could be seen as a challenge regarding the struggle against mechanistic reliance on external credit ratings. However, the objective here is to prevent overreliance, which does not mean </w:t>
      </w:r>
      <w:r>
        <w:t>of course</w:t>
      </w:r>
      <w:r w:rsidR="00585CD8">
        <w:t xml:space="preserve"> </w:t>
      </w:r>
      <w:r>
        <w:t>that any reliance on external credit ratings should be banned altogether</w:t>
      </w:r>
      <w:r w:rsidRPr="008A1FA3">
        <w:t>. If the use of external ratings is prescribed by regulation, there should be no licence costs related to the retrieval of necessary data from the rating agencies.</w:t>
      </w:r>
    </w:p>
    <w:p w:rsidR="00A94229" w:rsidRPr="008A1FA3" w:rsidRDefault="00A94229" w:rsidP="00A94229">
      <w:pPr>
        <w:jc w:val="both"/>
        <w:rPr>
          <w:iCs/>
        </w:rPr>
      </w:pPr>
    </w:p>
    <w:p w:rsidR="00F31E57" w:rsidRDefault="00A94229" w:rsidP="00A94229">
      <w:pPr>
        <w:jc w:val="both"/>
      </w:pPr>
      <w:r w:rsidRPr="008A1FA3">
        <w:rPr>
          <w:iCs/>
        </w:rPr>
        <w:t>In addition, we would underscore the importance of comparability and consistency of credit ratings (and the calculation of credit risk) with reference to the CRR Regulation and the Solvency II Directive. This is of crucial practical importance since it ensures the proper assignments of the various ratings to different credit quality steps</w:t>
      </w:r>
      <w:r w:rsidRPr="008A1FA3">
        <w:rPr>
          <w:rStyle w:val="FootnoteReference"/>
          <w:iCs/>
        </w:rPr>
        <w:footnoteReference w:id="4"/>
      </w:r>
      <w:r w:rsidRPr="008A1FA3">
        <w:rPr>
          <w:iCs/>
        </w:rPr>
        <w:t xml:space="preserve">. </w:t>
      </w:r>
      <w:r w:rsidRPr="008A1FA3">
        <w:t xml:space="preserve">For manufacturers or obligors for which credit ratings or the other mitigating factors are not available, then credit risk could be assessed on the basis of an analysis of credit ratings of comparable obligors. </w:t>
      </w:r>
      <w:r w:rsidRPr="007575C0">
        <w:t xml:space="preserve">However, this should apply only to products subject to the issuer’s credit risk. In case of investment funds, </w:t>
      </w:r>
      <w:r w:rsidRPr="007575C0">
        <w:rPr>
          <w:bCs/>
          <w:iCs/>
        </w:rPr>
        <w:t>it should be clarified that there is no need to assess the credit risk of an investment management company under the rating-based approach of the CRR or Solvency II Directive.</w:t>
      </w:r>
    </w:p>
    <w:permEnd w:id="1205867555"/>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585CD8" w:rsidRPr="008A1FA3" w:rsidRDefault="00585CD8" w:rsidP="00585CD8">
      <w:pPr>
        <w:jc w:val="both"/>
      </w:pPr>
      <w:permStart w:id="1613311518" w:edGrp="everyone"/>
      <w:r w:rsidRPr="008A1FA3">
        <w:t xml:space="preserve">We agree that it is important to distinguish between liquidity risk of the underlying assets and the liquidity profile of a PRIIP itself. Generally speaking, liquidity risks of the underlying assets are part of market risk. However, it is important that the KID </w:t>
      </w:r>
      <w:r>
        <w:t>provides a clear description of</w:t>
      </w:r>
      <w:r w:rsidRPr="008A1FA3">
        <w:t xml:space="preserve"> the liquidity </w:t>
      </w:r>
      <w:r>
        <w:t>profile</w:t>
      </w:r>
      <w:r w:rsidRPr="008A1FA3">
        <w:t xml:space="preserve"> of the PRIIP itself, which we agree most naturally sits in the section describing the PRIIP’s features.</w:t>
      </w:r>
    </w:p>
    <w:p w:rsidR="00585CD8" w:rsidRPr="008A1FA3" w:rsidRDefault="00585CD8" w:rsidP="00585CD8">
      <w:pPr>
        <w:jc w:val="both"/>
      </w:pPr>
    </w:p>
    <w:p w:rsidR="00585CD8" w:rsidRPr="008A1FA3" w:rsidRDefault="00585CD8" w:rsidP="00585CD8">
      <w:pPr>
        <w:jc w:val="both"/>
      </w:pPr>
      <w:r w:rsidRPr="00725AE7">
        <w:t xml:space="preserve">Moreover, </w:t>
      </w:r>
      <w:r w:rsidRPr="00924174">
        <w:t>a large majority of our members</w:t>
      </w:r>
      <w:r w:rsidRPr="00725AE7">
        <w:t xml:space="preserve"> are concerned that a mere narrative description might be overlooked by retail investors. Therefore, </w:t>
      </w:r>
      <w:r w:rsidRPr="00924174">
        <w:t>they</w:t>
      </w:r>
      <w:r w:rsidRPr="00725AE7">
        <w:t xml:space="preserve"> strongly recommend that the disclosure take the form of a seven-point scale, indicating the timeframe to receive the proceeds of a PRIIP’s sale (not of its underlying assets). </w:t>
      </w:r>
      <w:r w:rsidRPr="00725AE7">
        <w:lastRenderedPageBreak/>
        <w:t>For example, Annex IV of the AIFMD Level-2 Regulation already contains a reporting template for alternative investment funds, including information on the investor liquidity profile. The PRIIP KID scale might be:</w:t>
      </w:r>
    </w:p>
    <w:p w:rsidR="00585CD8" w:rsidRPr="008A1FA3" w:rsidRDefault="00585CD8" w:rsidP="00585CD8">
      <w:pPr>
        <w:jc w:val="both"/>
      </w:pPr>
    </w:p>
    <w:tbl>
      <w:tblPr>
        <w:tblStyle w:val="TableGrid"/>
        <w:tblW w:w="0" w:type="auto"/>
        <w:jc w:val="center"/>
        <w:shd w:val="clear" w:color="auto" w:fill="D9D9D9" w:themeFill="background1" w:themeFillShade="D9"/>
        <w:tblLook w:val="04A0" w:firstRow="1" w:lastRow="0" w:firstColumn="1" w:lastColumn="0" w:noHBand="0" w:noVBand="1"/>
      </w:tblPr>
      <w:tblGrid>
        <w:gridCol w:w="1194"/>
        <w:gridCol w:w="1194"/>
        <w:gridCol w:w="1194"/>
        <w:gridCol w:w="1194"/>
        <w:gridCol w:w="1194"/>
        <w:gridCol w:w="1194"/>
        <w:gridCol w:w="1195"/>
      </w:tblGrid>
      <w:tr w:rsidR="00585CD8" w:rsidRPr="008A1FA3" w:rsidTr="00576A1D">
        <w:trPr>
          <w:jc w:val="center"/>
        </w:trPr>
        <w:tc>
          <w:tcPr>
            <w:tcW w:w="1194" w:type="dxa"/>
            <w:shd w:val="clear" w:color="auto" w:fill="D9D9D9" w:themeFill="background1" w:themeFillShade="D9"/>
            <w:vAlign w:val="center"/>
          </w:tcPr>
          <w:p w:rsidR="00585CD8" w:rsidRPr="008A1FA3" w:rsidRDefault="00585CD8" w:rsidP="00576A1D">
            <w:pPr>
              <w:spacing w:line="259" w:lineRule="auto"/>
              <w:jc w:val="center"/>
              <w:rPr>
                <w:b/>
                <w:i/>
              </w:rPr>
            </w:pPr>
            <w:r w:rsidRPr="008A1FA3">
              <w:rPr>
                <w:b/>
                <w:i/>
              </w:rPr>
              <w:t>1 day or less</w:t>
            </w:r>
          </w:p>
        </w:tc>
        <w:tc>
          <w:tcPr>
            <w:tcW w:w="1194" w:type="dxa"/>
            <w:shd w:val="clear" w:color="auto" w:fill="D9D9D9" w:themeFill="background1" w:themeFillShade="D9"/>
            <w:vAlign w:val="center"/>
          </w:tcPr>
          <w:p w:rsidR="00585CD8" w:rsidRPr="008A1FA3" w:rsidRDefault="00585CD8" w:rsidP="00576A1D">
            <w:pPr>
              <w:spacing w:line="259" w:lineRule="auto"/>
              <w:jc w:val="center"/>
              <w:rPr>
                <w:b/>
                <w:i/>
              </w:rPr>
            </w:pPr>
            <w:r w:rsidRPr="008A1FA3">
              <w:rPr>
                <w:b/>
                <w:i/>
              </w:rPr>
              <w:t>2-7 days</w:t>
            </w:r>
          </w:p>
        </w:tc>
        <w:tc>
          <w:tcPr>
            <w:tcW w:w="1194" w:type="dxa"/>
            <w:shd w:val="clear" w:color="auto" w:fill="D9D9D9" w:themeFill="background1" w:themeFillShade="D9"/>
            <w:vAlign w:val="center"/>
          </w:tcPr>
          <w:p w:rsidR="00585CD8" w:rsidRPr="008A1FA3" w:rsidRDefault="00585CD8" w:rsidP="00576A1D">
            <w:pPr>
              <w:spacing w:line="259" w:lineRule="auto"/>
              <w:jc w:val="center"/>
              <w:rPr>
                <w:b/>
                <w:i/>
              </w:rPr>
            </w:pPr>
            <w:r w:rsidRPr="008A1FA3">
              <w:rPr>
                <w:b/>
                <w:i/>
              </w:rPr>
              <w:t>8-30 days</w:t>
            </w:r>
          </w:p>
        </w:tc>
        <w:tc>
          <w:tcPr>
            <w:tcW w:w="1194" w:type="dxa"/>
            <w:shd w:val="clear" w:color="auto" w:fill="D9D9D9" w:themeFill="background1" w:themeFillShade="D9"/>
            <w:vAlign w:val="center"/>
          </w:tcPr>
          <w:p w:rsidR="00585CD8" w:rsidRPr="008A1FA3" w:rsidRDefault="00585CD8" w:rsidP="00576A1D">
            <w:pPr>
              <w:spacing w:line="259" w:lineRule="auto"/>
              <w:jc w:val="center"/>
              <w:rPr>
                <w:b/>
                <w:i/>
              </w:rPr>
            </w:pPr>
            <w:r w:rsidRPr="008A1FA3">
              <w:rPr>
                <w:b/>
                <w:i/>
              </w:rPr>
              <w:t>31-90 days</w:t>
            </w:r>
          </w:p>
        </w:tc>
        <w:tc>
          <w:tcPr>
            <w:tcW w:w="1194" w:type="dxa"/>
            <w:shd w:val="clear" w:color="auto" w:fill="D9D9D9" w:themeFill="background1" w:themeFillShade="D9"/>
            <w:vAlign w:val="center"/>
          </w:tcPr>
          <w:p w:rsidR="00585CD8" w:rsidRPr="008A1FA3" w:rsidRDefault="00585CD8" w:rsidP="00576A1D">
            <w:pPr>
              <w:spacing w:line="259" w:lineRule="auto"/>
              <w:jc w:val="center"/>
              <w:rPr>
                <w:b/>
                <w:i/>
              </w:rPr>
            </w:pPr>
            <w:r w:rsidRPr="008A1FA3">
              <w:rPr>
                <w:b/>
                <w:i/>
              </w:rPr>
              <w:t>91-180 days</w:t>
            </w:r>
          </w:p>
        </w:tc>
        <w:tc>
          <w:tcPr>
            <w:tcW w:w="1194" w:type="dxa"/>
            <w:shd w:val="clear" w:color="auto" w:fill="D9D9D9" w:themeFill="background1" w:themeFillShade="D9"/>
            <w:vAlign w:val="center"/>
          </w:tcPr>
          <w:p w:rsidR="00585CD8" w:rsidRPr="008A1FA3" w:rsidRDefault="00585CD8" w:rsidP="00576A1D">
            <w:pPr>
              <w:spacing w:line="259" w:lineRule="auto"/>
              <w:jc w:val="center"/>
              <w:rPr>
                <w:b/>
                <w:i/>
              </w:rPr>
            </w:pPr>
            <w:r w:rsidRPr="008A1FA3">
              <w:rPr>
                <w:b/>
                <w:i/>
              </w:rPr>
              <w:t>181-365 days</w:t>
            </w:r>
          </w:p>
        </w:tc>
        <w:tc>
          <w:tcPr>
            <w:tcW w:w="1195" w:type="dxa"/>
            <w:shd w:val="clear" w:color="auto" w:fill="D9D9D9" w:themeFill="background1" w:themeFillShade="D9"/>
            <w:vAlign w:val="center"/>
          </w:tcPr>
          <w:p w:rsidR="00585CD8" w:rsidRPr="008A1FA3" w:rsidRDefault="00585CD8" w:rsidP="00576A1D">
            <w:pPr>
              <w:spacing w:line="259" w:lineRule="auto"/>
              <w:jc w:val="center"/>
              <w:rPr>
                <w:b/>
                <w:i/>
              </w:rPr>
            </w:pPr>
            <w:r w:rsidRPr="008A1FA3">
              <w:rPr>
                <w:b/>
                <w:i/>
              </w:rPr>
              <w:t>more than 365 days</w:t>
            </w:r>
          </w:p>
        </w:tc>
      </w:tr>
    </w:tbl>
    <w:p w:rsidR="00585CD8" w:rsidRPr="008A1FA3" w:rsidRDefault="00585CD8" w:rsidP="00585CD8">
      <w:pPr>
        <w:jc w:val="both"/>
      </w:pPr>
    </w:p>
    <w:p w:rsidR="00F31E57" w:rsidRDefault="00585CD8" w:rsidP="00585CD8">
      <w:pPr>
        <w:jc w:val="both"/>
      </w:pPr>
      <w:r w:rsidRPr="008A1FA3">
        <w:t>If a scale is not used, then it is important that there be a common series of narrative options from which the PRIIP manufacturer must choose, along the lines of the time buckets shown in the above scale.</w:t>
      </w:r>
    </w:p>
    <w:permEnd w:id="1613311518"/>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E70C01" w:rsidRPr="008A1FA3" w:rsidRDefault="00E70C01" w:rsidP="00E70C01">
      <w:pPr>
        <w:jc w:val="both"/>
      </w:pPr>
      <w:permStart w:id="1642091431" w:edGrp="everyone"/>
      <w:r w:rsidRPr="008A1FA3">
        <w:t>We agree that liquidity could be assumed (</w:t>
      </w:r>
      <w:proofErr w:type="spellStart"/>
      <w:r w:rsidRPr="008A1FA3">
        <w:t>i</w:t>
      </w:r>
      <w:proofErr w:type="spellEnd"/>
      <w:r w:rsidRPr="008A1FA3">
        <w:t>) if a product is traded or will be traded on a regulated market or MTF, (ii) if a liquidity provider exists (either manufacturer or other parties), (iii) if market rules ensure liquidity under normal conditions and/or (iv) when regular redemption dates are offered throughout the life of the product under normal market conditions.</w:t>
      </w:r>
    </w:p>
    <w:p w:rsidR="00E70C01" w:rsidRPr="008A1FA3" w:rsidRDefault="00E70C01" w:rsidP="00E70C01">
      <w:pPr>
        <w:jc w:val="both"/>
      </w:pPr>
    </w:p>
    <w:p w:rsidR="00E70C01" w:rsidRPr="008A1FA3" w:rsidRDefault="00E70C01" w:rsidP="00E70C01">
      <w:pPr>
        <w:jc w:val="both"/>
      </w:pPr>
      <w:r w:rsidRPr="008A1FA3">
        <w:t xml:space="preserve">We further believe that cost and exit penalties for early redemptions, together with the time taken to receive monies from redeemed investments, </w:t>
      </w:r>
      <w:r w:rsidRPr="00725AE7">
        <w:t xml:space="preserve">should be considered as </w:t>
      </w:r>
      <w:r w:rsidRPr="002F49CA">
        <w:t xml:space="preserve">a component of liquidity risk </w:t>
      </w:r>
      <w:r w:rsidRPr="008A1FA3">
        <w:t>and, hence, be highlighted in the description of a PRIIP’s liquidity risk (see also our answer to Q7).</w:t>
      </w:r>
    </w:p>
    <w:p w:rsidR="00E70C01" w:rsidRPr="008A1FA3" w:rsidRDefault="00E70C01" w:rsidP="00E70C01">
      <w:pPr>
        <w:jc w:val="both"/>
      </w:pPr>
    </w:p>
    <w:p w:rsidR="00E70C01" w:rsidRPr="008A1FA3" w:rsidRDefault="00E70C01" w:rsidP="00E70C01">
      <w:pPr>
        <w:jc w:val="both"/>
      </w:pPr>
      <w:r w:rsidRPr="008A1FA3">
        <w:t xml:space="preserve">With regards to the underlying instruments of a PRIIPs, we do not </w:t>
      </w:r>
      <w:r>
        <w:t>consider</w:t>
      </w:r>
      <w:r w:rsidRPr="008A1FA3">
        <w:t xml:space="preserve"> it possible to present an adequate quantitative indicator for liquidity and recommend using a qualitative approach instead, especially since the different quantitative measures of liquidity suggested (i.e. bid-offer spreads, average trading volume, and number of market makers excluding the manufacturer) often seem to be unsuitable for the products in scope and a secondary market is usually not existing. Even though the proposed quantitative measures could be applied to the underlying instruments (at least for a portion of the PRIIPS), we think that the (qualitative) redemption conditions are the key driver to determine the liquidity risk and liquidity profile of the instrument.</w:t>
      </w:r>
    </w:p>
    <w:p w:rsidR="00E70C01" w:rsidRPr="008A1FA3" w:rsidRDefault="00E70C01" w:rsidP="00E70C01">
      <w:pPr>
        <w:jc w:val="both"/>
      </w:pPr>
    </w:p>
    <w:p w:rsidR="00F31E57" w:rsidRDefault="00E70C01" w:rsidP="00E70C01">
      <w:pPr>
        <w:jc w:val="both"/>
      </w:pPr>
      <w:r w:rsidRPr="008A1FA3">
        <w:t>Furthermore we presume that “exit costs” will be properly analysed in a subsequent section of the KID under Art 8(3) (g) (i.e. “How long should I hold it and can I take money out early?”).</w:t>
      </w:r>
    </w:p>
    <w:permEnd w:id="1642091431"/>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E70C01" w:rsidRPr="008A1FA3" w:rsidRDefault="00E70C01" w:rsidP="00E70C01">
      <w:pPr>
        <w:jc w:val="both"/>
      </w:pPr>
      <w:permStart w:id="232201584" w:edGrp="everyone"/>
      <w:r w:rsidRPr="008A1FA3">
        <w:t xml:space="preserve">It is important to break down the risks into market, credit and liquidity risk to ensure comparability between different PRIIPs. Aggregating the measures would be wrong in concept and would not be beneficial or meaningful for investors.  We are sceptical about the supposed added value </w:t>
      </w:r>
      <w:r>
        <w:t xml:space="preserve">of such aggregation </w:t>
      </w:r>
      <w:r w:rsidRPr="008A1FA3">
        <w:t xml:space="preserve">(if any) to investors. </w:t>
      </w:r>
    </w:p>
    <w:p w:rsidR="00E70C01" w:rsidRPr="008A1FA3" w:rsidRDefault="00E70C01" w:rsidP="00E70C01">
      <w:pPr>
        <w:jc w:val="both"/>
      </w:pPr>
    </w:p>
    <w:p w:rsidR="00E70C01" w:rsidRPr="008A1FA3" w:rsidRDefault="00E70C01" w:rsidP="00E70C01">
      <w:pPr>
        <w:jc w:val="both"/>
      </w:pPr>
      <w:r w:rsidRPr="008A1FA3">
        <w:t xml:space="preserve">We therefore are in favour of Option 2 among the options presented by the ESAs (for further </w:t>
      </w:r>
      <w:r>
        <w:t>details</w:t>
      </w:r>
      <w:r w:rsidRPr="008A1FA3">
        <w:t xml:space="preserve"> see our answer </w:t>
      </w:r>
      <w:r>
        <w:t xml:space="preserve">to Question 10 </w:t>
      </w:r>
      <w:r w:rsidRPr="008A1FA3">
        <w:t>below).</w:t>
      </w:r>
    </w:p>
    <w:p w:rsidR="00E70C01" w:rsidRPr="008A1FA3" w:rsidRDefault="00E70C01" w:rsidP="00E70C01">
      <w:pPr>
        <w:jc w:val="both"/>
      </w:pPr>
    </w:p>
    <w:p w:rsidR="00F31E57" w:rsidRDefault="00E70C01" w:rsidP="00E70C01">
      <w:pPr>
        <w:jc w:val="both"/>
      </w:pPr>
      <w:r w:rsidRPr="008A1FA3">
        <w:t xml:space="preserve">If Option 1, as currently presented, were selected, insurance PRIIPs would always end up being classified in the lowest risk category due to their wrapper. Given that the ESAs are also suggesting that these insurance wrappers should not be regarded as a cost element and therefore not disclosed to the retail investor (see Q45), these types of products would be portrayed as less risky and cheaper than comparable products.  </w:t>
      </w:r>
      <w:r w:rsidRPr="008A1FA3">
        <w:lastRenderedPageBreak/>
        <w:t xml:space="preserve">Clearly, this is not always the case.  An </w:t>
      </w:r>
      <w:proofErr w:type="spellStart"/>
      <w:r w:rsidRPr="008A1FA3">
        <w:t>unlevel</w:t>
      </w:r>
      <w:proofErr w:type="spellEnd"/>
      <w:r w:rsidRPr="008A1FA3">
        <w:t xml:space="preserve"> playing field between different types of PRIIPs would therefore be created.</w:t>
      </w:r>
    </w:p>
    <w:permEnd w:id="232201584"/>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E70C01" w:rsidRPr="008A1FA3" w:rsidRDefault="00E70C01" w:rsidP="00E70C01">
      <w:pPr>
        <w:jc w:val="both"/>
      </w:pPr>
      <w:permStart w:id="2144669899" w:edGrp="everyone"/>
      <w:r w:rsidRPr="008A1FA3">
        <w:t>We favour using Option 2 (“Indicator separating assessment of market risk - quantitative measure based on volatility - and credit risk - qualitative measure, external credit ratings”), as this is the only option assessing market and credit risks separately, which is of paramount importance for distinguishing between different types of PRIIPs and to allow investors to understand whether the PRIIP is an “on-balance sheet” or “off-balance sheet” product. To allow this comparison, market risk and credit risk should be displayed as separate risk indicators each along seven-bucket scale (see answer to Q14).</w:t>
      </w:r>
    </w:p>
    <w:p w:rsidR="00E70C01" w:rsidRPr="008A1FA3" w:rsidRDefault="00E70C01" w:rsidP="00E70C01">
      <w:pPr>
        <w:jc w:val="both"/>
      </w:pPr>
    </w:p>
    <w:p w:rsidR="00E70C01" w:rsidRPr="008A1FA3" w:rsidRDefault="00E70C01" w:rsidP="00E70C01">
      <w:pPr>
        <w:jc w:val="both"/>
      </w:pPr>
      <w:r w:rsidRPr="008A1FA3">
        <w:t xml:space="preserve">Also, Option 2 is the closest approximation in terms of risk indicators to the existing UCITS SRRI, which has been consumer tested, is fit for purpose and has been successfully implemented in the UCITS KIID. We are </w:t>
      </w:r>
      <w:r>
        <w:t>concerned</w:t>
      </w:r>
      <w:r w:rsidRPr="008A1FA3">
        <w:t>,</w:t>
      </w:r>
      <w:r>
        <w:t xml:space="preserve"> however,</w:t>
      </w:r>
      <w:r w:rsidRPr="008A1FA3">
        <w:t xml:space="preserve"> that there has not yet been any information </w:t>
      </w:r>
      <w:r>
        <w:t xml:space="preserve">made available </w:t>
      </w:r>
      <w:r w:rsidRPr="008A1FA3">
        <w:t xml:space="preserve">on what precisely the ongoing consumer testing for the PRIIP KID is testing. </w:t>
      </w:r>
    </w:p>
    <w:p w:rsidR="00E70C01" w:rsidRPr="008A1FA3" w:rsidRDefault="00E70C01" w:rsidP="00E70C01">
      <w:pPr>
        <w:jc w:val="both"/>
      </w:pPr>
    </w:p>
    <w:p w:rsidR="00F31E57" w:rsidRDefault="00E70C01" w:rsidP="00E70C01">
      <w:pPr>
        <w:jc w:val="both"/>
      </w:pPr>
      <w:r w:rsidRPr="008A1FA3">
        <w:t>It is difficult to provide more detailed feedback without further clarification from the ESAs. With regards to the “delta” methodology proposed for structured products/funds, we consider that its main disadvantage is that it is represented through a short term risk measure and thus is not suitable for non-linear products. Instead of using “delta”, EFAMA suggests use of a long-term risk measure over the recommended holding period, such as a 50% expected shortfall. The distribution of returns used for this measure could be simulated past performances (like in the current UCITS method for structured funds) or, for example, Monte Carlo simulations based on a log-normal standard model using the effective volatility (and other parameters) observed over the last 5 years. A key issue is that it is necessary to have a standardised, yet easy to compute (and to supervise), methodology.</w:t>
      </w:r>
    </w:p>
    <w:permEnd w:id="2144669899"/>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6F7528" w:rsidRPr="008A1FA3" w:rsidRDefault="006F7528" w:rsidP="006F7528">
      <w:pPr>
        <w:jc w:val="both"/>
      </w:pPr>
      <w:permStart w:id="1523211919" w:edGrp="everyone"/>
      <w:r w:rsidRPr="008A1FA3">
        <w:t xml:space="preserve">Forward-looking simulation models should be avoided as they are likely to vary significantly from manufacturer to manufacturer, to increase complexity and to decrease comparability. Even if consensus could be reached on a model, the calibrations could still differ because of differing business models between manufacturers and different modelling capacities, leading to different outcomes. </w:t>
      </w:r>
    </w:p>
    <w:p w:rsidR="006F7528" w:rsidRPr="008A1FA3" w:rsidRDefault="006F7528" w:rsidP="006F7528">
      <w:pPr>
        <w:jc w:val="both"/>
      </w:pPr>
    </w:p>
    <w:p w:rsidR="006F7528" w:rsidRPr="008A1FA3" w:rsidRDefault="006F7528" w:rsidP="006F7528">
      <w:pPr>
        <w:jc w:val="both"/>
      </w:pPr>
      <w:r w:rsidRPr="008A1FA3">
        <w:t xml:space="preserve">Such types of modelling, in the several alternatives proposed, will require significant costs of implementation (both in time and money) for manufacturers, which would be very disproportionate for relatively smaller entities and might lead players to adopt different (more sophisticated) models for the Risk Indicator calculation compared to the internal risk model used. This latter consideration leads to the third shortcoming of this approach, which is the creation of a misalignment between the risk management model and the “distribution model”. </w:t>
      </w:r>
    </w:p>
    <w:p w:rsidR="006F7528" w:rsidRPr="008A1FA3" w:rsidRDefault="006F7528" w:rsidP="006F7528">
      <w:pPr>
        <w:jc w:val="both"/>
      </w:pPr>
    </w:p>
    <w:p w:rsidR="006F7528" w:rsidRDefault="006F7528" w:rsidP="006F7528">
      <w:pPr>
        <w:jc w:val="both"/>
      </w:pPr>
      <w:r w:rsidRPr="008A1FA3">
        <w:t xml:space="preserve">As regards option 3, the first alternative (short-term 10-day </w:t>
      </w:r>
      <w:proofErr w:type="spellStart"/>
      <w:r w:rsidRPr="008A1FA3">
        <w:t>VaR</w:t>
      </w:r>
      <w:proofErr w:type="spellEnd"/>
      <w:r w:rsidRPr="008A1FA3">
        <w:t xml:space="preserve">) has several major technical disadvantages: </w:t>
      </w:r>
    </w:p>
    <w:p w:rsidR="006F7528" w:rsidRPr="008A1FA3" w:rsidRDefault="006F7528" w:rsidP="006F7528">
      <w:pPr>
        <w:jc w:val="both"/>
      </w:pPr>
    </w:p>
    <w:p w:rsidR="006F7528" w:rsidRPr="008A1FA3" w:rsidRDefault="006F7528" w:rsidP="006F7528">
      <w:pPr>
        <w:pStyle w:val="ListParagraph"/>
        <w:numPr>
          <w:ilvl w:val="0"/>
          <w:numId w:val="51"/>
        </w:numPr>
        <w:spacing w:line="259" w:lineRule="auto"/>
        <w:jc w:val="both"/>
      </w:pPr>
      <w:r w:rsidRPr="008A1FA3">
        <w:t>it is not appropriate for non-linear structured products (because the non-linearity is mainly over the entire life of the product)</w:t>
      </w:r>
    </w:p>
    <w:p w:rsidR="006F7528" w:rsidRPr="008A1FA3" w:rsidRDefault="006F7528" w:rsidP="006F7528">
      <w:pPr>
        <w:pStyle w:val="ListParagraph"/>
        <w:numPr>
          <w:ilvl w:val="0"/>
          <w:numId w:val="51"/>
        </w:numPr>
        <w:spacing w:line="259" w:lineRule="auto"/>
        <w:jc w:val="both"/>
      </w:pPr>
      <w:r w:rsidRPr="008A1FA3">
        <w:t>it is very complicated and work-intensive to implement for structured products (because it needs full repricing of the product for all Monte Carlo scenarios)</w:t>
      </w:r>
    </w:p>
    <w:p w:rsidR="006F7528" w:rsidRPr="008A1FA3" w:rsidRDefault="006F7528" w:rsidP="006F7528">
      <w:pPr>
        <w:pStyle w:val="ListParagraph"/>
        <w:numPr>
          <w:ilvl w:val="0"/>
          <w:numId w:val="51"/>
        </w:numPr>
        <w:spacing w:line="259" w:lineRule="auto"/>
        <w:jc w:val="both"/>
      </w:pPr>
      <w:r w:rsidRPr="008A1FA3">
        <w:lastRenderedPageBreak/>
        <w:t>as a result it carries a strong model risk depending on the valuation of the product at a 10-day horizon under various scenarios</w:t>
      </w:r>
    </w:p>
    <w:p w:rsidR="006F7528" w:rsidRPr="008A1FA3" w:rsidRDefault="006F7528" w:rsidP="006F7528">
      <w:pPr>
        <w:pStyle w:val="ListParagraph"/>
        <w:numPr>
          <w:ilvl w:val="0"/>
          <w:numId w:val="51"/>
        </w:numPr>
        <w:spacing w:line="259" w:lineRule="auto"/>
        <w:jc w:val="both"/>
      </w:pPr>
      <w:r w:rsidRPr="008A1FA3">
        <w:t>it is unable to take into account the default risk</w:t>
      </w:r>
    </w:p>
    <w:p w:rsidR="006F7528" w:rsidRPr="008A1FA3" w:rsidRDefault="006F7528" w:rsidP="006F7528">
      <w:pPr>
        <w:pStyle w:val="ListParagraph"/>
        <w:numPr>
          <w:ilvl w:val="0"/>
          <w:numId w:val="51"/>
        </w:numPr>
        <w:spacing w:line="259" w:lineRule="auto"/>
        <w:jc w:val="both"/>
      </w:pPr>
      <w:r w:rsidRPr="008A1FA3">
        <w:t>it is less applicable to real estate or private equity assets</w:t>
      </w:r>
    </w:p>
    <w:p w:rsidR="006F7528" w:rsidRPr="008A1FA3" w:rsidRDefault="006F7528" w:rsidP="006F7528">
      <w:pPr>
        <w:jc w:val="both"/>
      </w:pPr>
    </w:p>
    <w:p w:rsidR="00F31E57" w:rsidRDefault="006F7528" w:rsidP="006F7528">
      <w:pPr>
        <w:jc w:val="both"/>
      </w:pPr>
      <w:r w:rsidRPr="008A1FA3">
        <w:t xml:space="preserve">As a consequence, should option 3 nonetheless be selected, EFAMA strongly recommends using the second alternative, i.e. a long term risk measure over the recommended holding period, using simulated pay-outs at maturity of the product for structured products/funds. </w:t>
      </w:r>
    </w:p>
    <w:permEnd w:id="1523211919"/>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F31E57" w:rsidRDefault="006F7528" w:rsidP="006F7528">
      <w:pPr>
        <w:jc w:val="both"/>
      </w:pPr>
      <w:permStart w:id="1926646835" w:edGrp="everyone"/>
      <w:r w:rsidRPr="008A1FA3">
        <w:t>With regards to the proposed “extensions” of this approach, proportionality should be applied, as Option 3 would already</w:t>
      </w:r>
      <w:r w:rsidRPr="008A1FA3">
        <w:rPr>
          <w:b/>
        </w:rPr>
        <w:t xml:space="preserve"> </w:t>
      </w:r>
      <w:r w:rsidRPr="008A1FA3">
        <w:t>be very difficult to implement. The proposed “extensions” of this approach would further increase the costs of implementation, in what could be considered an excessive manner, especially as the resulting figure will be presented in a simple and short linear scale.</w:t>
      </w:r>
    </w:p>
    <w:permEnd w:id="1926646835"/>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F31E57" w:rsidRDefault="006F7528" w:rsidP="006F7528">
      <w:pPr>
        <w:jc w:val="both"/>
      </w:pPr>
      <w:permStart w:id="994001862" w:edGrp="everyone"/>
      <w:r w:rsidRPr="008A1FA3">
        <w:t>A two-level indicator would be too difficult for many consumers to understand. Additional information can be signposted for those few consumers who wish to consider it. Furthermore, this option seems to suggest that the determination of such a risk measure is left completely to the product manufacturer, which would inhibit any comparison between products of different manufacturers, let alone between different types of PRIIPs. This proposal would therefore deliver even less clarity for the end-investor and should be rejected.</w:t>
      </w:r>
    </w:p>
    <w:permEnd w:id="994001862"/>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6F7528" w:rsidRPr="006F7528" w:rsidRDefault="006F7528" w:rsidP="006F7528">
      <w:pPr>
        <w:jc w:val="both"/>
        <w:rPr>
          <w:rFonts w:cs="Arial"/>
          <w:color w:val="000000"/>
          <w:szCs w:val="20"/>
          <w:lang w:eastAsia="en-GB"/>
        </w:rPr>
      </w:pPr>
      <w:permStart w:id="1256463096" w:edGrp="everyone"/>
      <w:r w:rsidRPr="006F7528">
        <w:rPr>
          <w:rFonts w:cs="Arial"/>
          <w:color w:val="000000"/>
          <w:szCs w:val="20"/>
          <w:lang w:eastAsia="en-GB"/>
        </w:rPr>
        <w:t xml:space="preserve">We believe the definition of the scale of the risk indicator should remain consistent with the existing UCITS approach, which, as a result of consumer testing, uses a scale of 1 to 7. Using a narrower scale would not allow sufficient differentiation between various types of PRIIPs. </w:t>
      </w:r>
    </w:p>
    <w:p w:rsidR="006F7528" w:rsidRPr="006F7528" w:rsidRDefault="006F7528" w:rsidP="006F7528">
      <w:pPr>
        <w:jc w:val="both"/>
        <w:rPr>
          <w:rFonts w:cs="Arial"/>
          <w:color w:val="000000"/>
          <w:szCs w:val="20"/>
          <w:lang w:eastAsia="en-GB"/>
        </w:rPr>
      </w:pPr>
    </w:p>
    <w:p w:rsidR="006F7528" w:rsidRPr="006F7528" w:rsidRDefault="006F7528" w:rsidP="006F7528">
      <w:pPr>
        <w:jc w:val="both"/>
        <w:rPr>
          <w:rFonts w:cs="Arial"/>
          <w:color w:val="000000"/>
          <w:szCs w:val="20"/>
          <w:lang w:eastAsia="en-GB"/>
        </w:rPr>
      </w:pPr>
      <w:r w:rsidRPr="006F7528">
        <w:rPr>
          <w:rFonts w:cs="Arial"/>
          <w:color w:val="000000"/>
          <w:szCs w:val="20"/>
          <w:lang w:eastAsia="en-GB"/>
        </w:rPr>
        <w:t xml:space="preserve">Additionally, we believe that the risk scale has to be the same for both market and credit risk. </w:t>
      </w:r>
    </w:p>
    <w:p w:rsidR="006F7528" w:rsidRPr="006F7528" w:rsidRDefault="006F7528" w:rsidP="006F7528">
      <w:pPr>
        <w:jc w:val="both"/>
        <w:rPr>
          <w:rFonts w:cs="Arial"/>
          <w:color w:val="000000"/>
          <w:szCs w:val="20"/>
          <w:lang w:eastAsia="en-GB"/>
        </w:rPr>
      </w:pPr>
    </w:p>
    <w:p w:rsidR="00F31E57" w:rsidRPr="006F7528" w:rsidRDefault="006F7528" w:rsidP="006F7528">
      <w:pPr>
        <w:jc w:val="both"/>
        <w:rPr>
          <w:rFonts w:cs="Arial"/>
          <w:szCs w:val="20"/>
        </w:rPr>
      </w:pPr>
      <w:r w:rsidRPr="006F7528">
        <w:rPr>
          <w:rFonts w:cs="Arial"/>
          <w:color w:val="000000"/>
          <w:szCs w:val="20"/>
          <w:lang w:eastAsia="en-GB"/>
        </w:rPr>
        <w:t>Finally, with regards to the correct display of “liabilities in addition to the capital invested in the PRIIP”</w:t>
      </w:r>
      <w:r w:rsidRPr="006F7528">
        <w:rPr>
          <w:rStyle w:val="FootnoteReference"/>
          <w:rFonts w:cs="Arial"/>
          <w:color w:val="000000"/>
          <w:szCs w:val="20"/>
          <w:lang w:eastAsia="en-GB"/>
        </w:rPr>
        <w:footnoteReference w:id="5"/>
      </w:r>
      <w:r w:rsidRPr="006F7528">
        <w:rPr>
          <w:rFonts w:cs="Arial"/>
          <w:color w:val="000000"/>
          <w:szCs w:val="20"/>
          <w:lang w:eastAsia="en-GB"/>
        </w:rPr>
        <w:t xml:space="preserve">, we recommend a specific disclaimer under the risk indicator alerting consumers of this additional risk, as it </w:t>
      </w:r>
      <w:r w:rsidRPr="006F7528">
        <w:rPr>
          <w:rFonts w:cs="Arial"/>
          <w:szCs w:val="20"/>
        </w:rPr>
        <w:t>cannot be adequately captured by the summary risk indicator alone.</w:t>
      </w:r>
    </w:p>
    <w:permEnd w:id="1256463096"/>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6F7528" w:rsidRPr="008A1FA3" w:rsidRDefault="006F7528" w:rsidP="006F7528">
      <w:pPr>
        <w:jc w:val="both"/>
      </w:pPr>
      <w:permStart w:id="1021854275" w:edGrp="everyone"/>
      <w:r w:rsidRPr="008A1FA3">
        <w:lastRenderedPageBreak/>
        <w:t>Experience shows that investors wish to know the historic performance of a product, where it is available. Therefore, we believe it is very important for a PRIIP to be able to show performance histories, where available, in the same graphical presentation as the future performance scenarios. We appreciate that Article 8 para. 3 (d) (iii) refers specifically to performance scenarios, but Recital 15 contains a general reference to “relevant performance information”, thus clearly allowing past performance to be shown where available.</w:t>
      </w:r>
    </w:p>
    <w:p w:rsidR="006F7528" w:rsidRPr="008A1FA3" w:rsidRDefault="006F7528" w:rsidP="006F7528">
      <w:pPr>
        <w:jc w:val="both"/>
      </w:pPr>
    </w:p>
    <w:p w:rsidR="006F7528" w:rsidRPr="008A1FA3" w:rsidRDefault="006F7528" w:rsidP="006F7528">
      <w:pPr>
        <w:jc w:val="both"/>
      </w:pPr>
      <w:r w:rsidRPr="008A1FA3">
        <w:t xml:space="preserve">Moreover, allowing past performance net of costs to be shown will help investors understand that products with higher costs are not necessarily less desirable products than those with lower costs. </w:t>
      </w:r>
      <w:r w:rsidRPr="00725AE7">
        <w:t>For example, the costs of securities lending activities are usually outweighed by additional performance yields attributed to the overall product. Hence, if the PRIIP KID requires disclosure of securities lending costs as part of the aggregated cost figure, it should also allow for disclosure of securities lending benefits in terms of relevant performance histories (please also consider our answer to Q33 below).</w:t>
      </w:r>
    </w:p>
    <w:p w:rsidR="006F7528" w:rsidRPr="008A1FA3" w:rsidRDefault="006F7528" w:rsidP="006F7528">
      <w:pPr>
        <w:jc w:val="both"/>
      </w:pPr>
    </w:p>
    <w:p w:rsidR="006F7528" w:rsidRPr="008A1FA3" w:rsidRDefault="006F7528" w:rsidP="006F7528">
      <w:pPr>
        <w:jc w:val="both"/>
      </w:pPr>
      <w:r w:rsidRPr="008A1FA3">
        <w:t xml:space="preserve">As regards performance scenarios, the UCITS KIID provides additional information to be shown for structured funds, using “what-if” scenarios. The industry has not experienced particular issues with investors’ lack of understanding of such scenarios. However, it is not clear that “what-if” scenarios are the most useful presentation for non-structured funds or any other types of non-structured PRIIPs. </w:t>
      </w:r>
      <w:r w:rsidRPr="00924174">
        <w:t>A</w:t>
      </w:r>
      <w:r w:rsidRPr="00725AE7">
        <w:t xml:space="preserve"> large majority of EFAMA members</w:t>
      </w:r>
      <w:r w:rsidRPr="008A1FA3">
        <w:t xml:space="preserve"> therefore propose</w:t>
      </w:r>
      <w:r>
        <w:t>s</w:t>
      </w:r>
      <w:r w:rsidRPr="008A1FA3">
        <w:t xml:space="preserve"> that manufacturers should be able to choose the most suitable methodology from two options:</w:t>
      </w:r>
    </w:p>
    <w:p w:rsidR="006F7528" w:rsidRPr="008A1FA3" w:rsidRDefault="006F7528" w:rsidP="006F7528">
      <w:pPr>
        <w:jc w:val="both"/>
      </w:pPr>
    </w:p>
    <w:p w:rsidR="006F7528" w:rsidRPr="008A1FA3" w:rsidRDefault="006F7528" w:rsidP="006F7528">
      <w:pPr>
        <w:pStyle w:val="ListParagraph"/>
        <w:numPr>
          <w:ilvl w:val="0"/>
          <w:numId w:val="52"/>
        </w:numPr>
        <w:spacing w:line="259" w:lineRule="auto"/>
        <w:jc w:val="both"/>
      </w:pPr>
      <w:r w:rsidRPr="008A1FA3">
        <w:t>PRIIPs with any form of structuring of returns (e.g. structured funds) would use prescribed “what-if” scenarios.</w:t>
      </w:r>
    </w:p>
    <w:p w:rsidR="00F31E57" w:rsidRDefault="006F7528" w:rsidP="00F31E57">
      <w:pPr>
        <w:pStyle w:val="ListParagraph"/>
        <w:numPr>
          <w:ilvl w:val="0"/>
          <w:numId w:val="52"/>
        </w:numPr>
        <w:spacing w:line="259" w:lineRule="auto"/>
        <w:jc w:val="both"/>
      </w:pPr>
      <w:r w:rsidRPr="008A1FA3">
        <w:t>All other types of PRIIPs (e.g. plain-vanilla funds) could use a probabilistic approach, but with prescribed input parameters to aid comparability.</w:t>
      </w:r>
    </w:p>
    <w:permEnd w:id="1021854275"/>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6F7528" w:rsidRPr="008A1FA3" w:rsidRDefault="006F7528" w:rsidP="006F7528">
      <w:pPr>
        <w:jc w:val="both"/>
      </w:pPr>
      <w:permStart w:id="1719159178" w:edGrp="everyone"/>
      <w:r w:rsidRPr="008A1FA3">
        <w:t xml:space="preserve">UCITS manufacturers have little experience in this area as the UCITS KIID requires only past performance data to be shown.  </w:t>
      </w:r>
    </w:p>
    <w:p w:rsidR="006F7528" w:rsidRPr="008A1FA3" w:rsidRDefault="006F7528" w:rsidP="006F7528">
      <w:pPr>
        <w:jc w:val="both"/>
      </w:pPr>
    </w:p>
    <w:p w:rsidR="00F31E57" w:rsidRDefault="006F7528" w:rsidP="006F7528">
      <w:pPr>
        <w:jc w:val="both"/>
      </w:pPr>
      <w:r w:rsidRPr="008A1FA3">
        <w:t>EFAMA recommends that supervisory authorities should supervise performance scenarios closely in the early days of the KID to ensure that those principles are not used to present overly positive scenarios</w:t>
      </w:r>
      <w:r>
        <w:t>.</w:t>
      </w:r>
    </w:p>
    <w:permEnd w:id="1719159178"/>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F31E57" w:rsidRDefault="00576A1D" w:rsidP="00576A1D">
      <w:pPr>
        <w:jc w:val="both"/>
      </w:pPr>
      <w:permStart w:id="2066566118" w:edGrp="everyone"/>
      <w:r w:rsidRPr="008A1FA3">
        <w:t xml:space="preserve">Where a “what-if” approach is used, a historical scenario (option a) over the recommended holding period is the preferred solution, if possible extended over multiple periods in the past. Since validated past performance figures represent the most reliable source of performance-related information, they should be used as a basis for the purpose of simulating possible future performance outcomes. Setting a single growth rate/performance for all types of underlying investments is inappropriate. </w:t>
      </w:r>
    </w:p>
    <w:permEnd w:id="2066566118"/>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576A1D" w:rsidP="00576A1D">
      <w:pPr>
        <w:jc w:val="both"/>
      </w:pPr>
      <w:permStart w:id="1957643624" w:edGrp="everyone"/>
      <w:r w:rsidRPr="008A1FA3">
        <w:t>We support the three scenarios suggested: a pessimistic scenario as the 10th percentile of the distribution, a neutral scenario as the 50th percentile and an optimistic scenario as the 90th percentile.</w:t>
      </w:r>
    </w:p>
    <w:permEnd w:id="1957643624"/>
    <w:p w:rsidR="00F31E57" w:rsidRDefault="00F31E57" w:rsidP="00F31E57">
      <w:r>
        <w:lastRenderedPageBreak/>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576A1D" w:rsidP="00576A1D">
      <w:pPr>
        <w:jc w:val="both"/>
      </w:pPr>
      <w:permStart w:id="1817919437" w:edGrp="everyone"/>
      <w:r w:rsidRPr="008A1FA3">
        <w:t>Combining different scenarios will significantly increase the complexity of the KID and the results would probably be difficult to understand for investors. However, given experience of investors wanting to see how a product has actually performed, we are in favour of offering a scenario that also showcases a historical scenario, as suggested under option a.</w:t>
      </w:r>
    </w:p>
    <w:permEnd w:id="1817919437"/>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576A1D" w:rsidRPr="008A1FA3" w:rsidRDefault="00576A1D" w:rsidP="00576A1D">
      <w:pPr>
        <w:jc w:val="both"/>
      </w:pPr>
      <w:permStart w:id="1805332979" w:edGrp="everyone"/>
      <w:r w:rsidRPr="008A1FA3">
        <w:t>If a separate risk indicator for credit risk is provided in the SRI, as suggested in Option 2 on page 37, this information should sufficiently highlight eventual credit risk and accompanying credit events for the investor. Again, this is important in order to help investors understand the different risk profiles of different PRIIP types (i.e. off- and on-balance sheet PRIIPs).</w:t>
      </w:r>
    </w:p>
    <w:p w:rsidR="00576A1D" w:rsidRPr="008A1FA3" w:rsidRDefault="00576A1D" w:rsidP="00576A1D">
      <w:pPr>
        <w:jc w:val="both"/>
      </w:pPr>
    </w:p>
    <w:p w:rsidR="00F31E57" w:rsidRDefault="00576A1D" w:rsidP="00576A1D">
      <w:pPr>
        <w:jc w:val="both"/>
      </w:pPr>
      <w:r w:rsidRPr="008A1FA3">
        <w:t>If Option 2 is not chosen to represent risk, then credit events would clearly need to be considered in the performance scenarios, thus making these already complicated assumptions even more intricate. Furthermore, additional information should be provided under a subsequent section of the KID (i.e. “What if (the manufacturer) is unable to pay out?”).</w:t>
      </w:r>
    </w:p>
    <w:permEnd w:id="1805332979"/>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Default="00576A1D" w:rsidP="00576A1D">
      <w:pPr>
        <w:jc w:val="both"/>
      </w:pPr>
      <w:permStart w:id="1459449298" w:edGrp="everyone"/>
      <w:r w:rsidRPr="008A1FA3">
        <w:t>The performance simulations should include the impact of a trigger redemption (e.g. for auto-callable structures).</w:t>
      </w:r>
    </w:p>
    <w:permEnd w:id="1459449298"/>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F63357" w:rsidRPr="008A1FA3" w:rsidRDefault="00F63357" w:rsidP="00F63357">
      <w:pPr>
        <w:jc w:val="both"/>
      </w:pPr>
      <w:permStart w:id="1516922515" w:edGrp="everyone"/>
      <w:r w:rsidRPr="00725AE7">
        <w:t>Voluntary redemptions should be part of the performance simulations if they regularly occur in a certain product category and thus should be illustrated to an average investor. However</w:t>
      </w:r>
      <w:r w:rsidRPr="008A1FA3">
        <w:t xml:space="preserve">, we deem it </w:t>
      </w:r>
      <w:r>
        <w:t>equally</w:t>
      </w:r>
      <w:r w:rsidRPr="008A1FA3">
        <w:t xml:space="preserve"> important to illustrate the impact of these in the cost section by computing the aggregated cost indicator with reference to different investment periods and supplementing it by information on the cumulative impact of costs on performance (e.g. by including a column on “what might you get back” as suggested with respect to the RIY presentation on page 106 of the Technical Discussion Paper).</w:t>
      </w:r>
    </w:p>
    <w:p w:rsidR="00F63357" w:rsidRPr="008A1FA3" w:rsidRDefault="00F63357" w:rsidP="00F63357">
      <w:pPr>
        <w:jc w:val="both"/>
      </w:pPr>
    </w:p>
    <w:p w:rsidR="00F31E57" w:rsidRDefault="00F63357" w:rsidP="00F63357">
      <w:pPr>
        <w:jc w:val="both"/>
      </w:pPr>
      <w:r w:rsidRPr="008A1FA3">
        <w:t>From a fund perspective, the scenarios envisaged do not appear to be applicable to open-ended funds, such as many retail AIFs that offer regular ongoing redemptions, or closed-ended retail funds (such as listed investment companies e.g. in the UK) where investors dispose of their interests on the secondary mark</w:t>
      </w:r>
      <w:r>
        <w:t>et.</w:t>
      </w:r>
    </w:p>
    <w:permEnd w:id="1516922515"/>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63357" w:rsidRPr="008A1FA3" w:rsidRDefault="00F63357" w:rsidP="00F63357">
      <w:pPr>
        <w:jc w:val="both"/>
      </w:pPr>
      <w:permStart w:id="739069754" w:edGrp="everyone"/>
      <w:r w:rsidRPr="008A1FA3">
        <w:t xml:space="preserve">First of all, we recommend that the list of entry and exit costs to be accounted for in the cost disclosure be exhaustive. An exhaustive list would be in line with the general nature of the PRIIP KID as a fully standardised document and would provide the appropriate legal certainty for product manufacturers. More generally, such an all-encompassing approach should be preferred for all disclosures in the PRIIP KID. </w:t>
      </w:r>
    </w:p>
    <w:p w:rsidR="00F63357" w:rsidRPr="008A1FA3" w:rsidRDefault="00F63357" w:rsidP="00F63357">
      <w:pPr>
        <w:jc w:val="both"/>
      </w:pPr>
    </w:p>
    <w:p w:rsidR="00F63357" w:rsidRPr="008A1FA3" w:rsidRDefault="00F63357" w:rsidP="00F63357">
      <w:pPr>
        <w:jc w:val="both"/>
      </w:pPr>
      <w:r w:rsidRPr="008A1FA3">
        <w:rPr>
          <w:color w:val="000000" w:themeColor="text1"/>
        </w:rPr>
        <w:t>Also, all deductions from the initial investment amount/premium payment that are not invested on investor’s behalf or not reflected in the fair value of a product should be deemed entry costs and thus included in the cost disclosure.</w:t>
      </w:r>
    </w:p>
    <w:p w:rsidR="00F63357" w:rsidRPr="008A1FA3" w:rsidRDefault="00F63357" w:rsidP="00F63357">
      <w:pPr>
        <w:jc w:val="both"/>
      </w:pPr>
    </w:p>
    <w:p w:rsidR="00F63357" w:rsidRPr="008A1FA3" w:rsidRDefault="00F63357" w:rsidP="00F63357">
      <w:pPr>
        <w:jc w:val="both"/>
      </w:pPr>
      <w:r w:rsidRPr="008A1FA3">
        <w:t>We are uncertain what is supposed to be disclosed as acquisition costs. We understand that this term does not refer to the acquisition costs of the fund’s underlying assets in the case of issuance of new fund units. Otherwise, such costs can be relevant only in funds that pass the costs of portfolio adjustments to new investors. However, even in these cases, acquisition costs (and, for that matter, also disposal costs) may be very difficult to establish, e.g. in the case of swing pricing when partial swinging is applied</w:t>
      </w:r>
      <w:r w:rsidRPr="00FA4AEE">
        <w:t xml:space="preserve">. </w:t>
      </w:r>
    </w:p>
    <w:p w:rsidR="00F63357" w:rsidRPr="008A1FA3" w:rsidRDefault="00F63357" w:rsidP="00F63357">
      <w:pPr>
        <w:jc w:val="both"/>
      </w:pPr>
    </w:p>
    <w:p w:rsidR="00F63357" w:rsidRPr="008A1FA3" w:rsidRDefault="00F63357" w:rsidP="00F63357">
      <w:pPr>
        <w:jc w:val="both"/>
      </w:pPr>
      <w:r w:rsidRPr="008A1FA3">
        <w:t xml:space="preserve">Also, footnote 17 is unclear since there is no natural link between real estate AIFs and a commercial register. The commercial register is relevant for all funds with a company structure. This may or may not be real estate AIFs depending on their legal structure. With respect to the underlying assets of real estate AIFs, the land register would be relevant. </w:t>
      </w:r>
    </w:p>
    <w:p w:rsidR="00F63357" w:rsidRPr="008A1FA3" w:rsidRDefault="00F63357" w:rsidP="00F63357">
      <w:pPr>
        <w:jc w:val="both"/>
      </w:pPr>
    </w:p>
    <w:p w:rsidR="00F63357" w:rsidRPr="008A1FA3" w:rsidRDefault="00F63357" w:rsidP="00F63357">
      <w:pPr>
        <w:jc w:val="both"/>
      </w:pPr>
      <w:r w:rsidRPr="008A1FA3">
        <w:t xml:space="preserve">Moreover, it is unclear what is meant by “marketing costs” or “constitution costs” to be included in the up-front initial cost calculation. We assume that for most open-ended investment funds, such costs will not flow into the initial charge to investors, but will be treated as administrative expenses and, hence, will be reflected in the ongoing charges figure for the relevant year. This applies also to the fees for supervisory authorisation, which are generally charged after a fund’s launch. </w:t>
      </w:r>
    </w:p>
    <w:p w:rsidR="00F63357" w:rsidRPr="008A1FA3" w:rsidRDefault="00F63357" w:rsidP="00F63357">
      <w:pPr>
        <w:jc w:val="both"/>
      </w:pPr>
    </w:p>
    <w:p w:rsidR="00F63357" w:rsidRPr="008A1FA3" w:rsidRDefault="00F63357" w:rsidP="00F63357">
      <w:pPr>
        <w:jc w:val="both"/>
      </w:pPr>
      <w:r w:rsidRPr="008A1FA3">
        <w:t>Therefore, for most open-ended investment funds, the entry costs should be limited to the up-front subscription fee where such fee is charged by the product provider and agreed with investors as part of the investment contract. Otherwise, if the front-load fee is charged directly by the distributor, it should not form part of the product information, but be disclosed by the distributor at the point of sale (as required under MiFID II).</w:t>
      </w:r>
    </w:p>
    <w:p w:rsidR="00F63357" w:rsidRPr="008A1FA3" w:rsidRDefault="00F63357" w:rsidP="00F63357">
      <w:pPr>
        <w:jc w:val="both"/>
      </w:pPr>
    </w:p>
    <w:p w:rsidR="00F31E57" w:rsidRDefault="00F63357" w:rsidP="00F63357">
      <w:pPr>
        <w:jc w:val="both"/>
      </w:pPr>
      <w:r w:rsidRPr="008A1FA3">
        <w:t>With respect to closed-ended funds, costs like constitution or marketing costs may initially be incurred. A clear distinction between initial costs and ongoing charges is therefore decisive. Based on the experience with costs and charges of closed-ended funds, a clear distinction may be drawn with the issuance of the marketing notification that is required for all AIFs according to the AIFMD, hence also for all closed-ended funds. Costs that are incurred before this notification are upfront initial costs paid directly or deducted from a payment received by the investor, such as costs for the conception and set-up of the fund structure or for the placement guarantees issued by distributors.</w:t>
      </w:r>
    </w:p>
    <w:permEnd w:id="739069754"/>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305813" w:rsidRPr="008A1FA3" w:rsidRDefault="00305813" w:rsidP="00305813">
      <w:pPr>
        <w:jc w:val="both"/>
      </w:pPr>
      <w:permStart w:id="1384850566" w:edGrp="everyone"/>
      <w:r w:rsidRPr="008A1FA3">
        <w:t xml:space="preserve">Generally speaking, the list of cost items to be included in the calculation of ongoing charges should be exhaustive, not indicative, in order to ensure full comparability of cost disclosure and sufficient legal certainty for product providers (cf. our response to Q23 above). </w:t>
      </w:r>
    </w:p>
    <w:p w:rsidR="00305813" w:rsidRPr="008A1FA3" w:rsidRDefault="00305813" w:rsidP="00305813">
      <w:pPr>
        <w:jc w:val="both"/>
      </w:pPr>
    </w:p>
    <w:p w:rsidR="00305813" w:rsidRPr="008A1FA3" w:rsidRDefault="00305813" w:rsidP="00305813">
      <w:pPr>
        <w:jc w:val="both"/>
      </w:pPr>
      <w:r w:rsidRPr="008A1FA3">
        <w:lastRenderedPageBreak/>
        <w:t>Specifically, we agree with the list of payments provided in subsection (a) since these payments are already taken into account in the CESR Guidelines in the calculation of the ongoing charges figure in the UCITS KIID.</w:t>
      </w:r>
    </w:p>
    <w:p w:rsidR="00305813" w:rsidRPr="008A1FA3" w:rsidRDefault="00305813" w:rsidP="00305813">
      <w:pPr>
        <w:jc w:val="both"/>
      </w:pPr>
    </w:p>
    <w:p w:rsidR="00F31E57" w:rsidRDefault="00305813" w:rsidP="00305813">
      <w:pPr>
        <w:jc w:val="both"/>
      </w:pPr>
      <w:r w:rsidRPr="008A1FA3">
        <w:t>In view of remuneration structures prevailing in the private equity sector, we deem it reasonable that carried interest be explicitly mentioned in the list of relevant payments, but should not be included in the on-going charges. The reason is that carried interest is charged only when the fund is closed, and on the condition that there is a capital gain and that this capital gain has reached a predefined level.</w:t>
      </w:r>
    </w:p>
    <w:permEnd w:id="1384850566"/>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305813" w:rsidP="00305813">
      <w:pPr>
        <w:jc w:val="both"/>
      </w:pPr>
      <w:permStart w:id="1814255974" w:edGrp="everyone"/>
      <w:r w:rsidRPr="008A1FA3">
        <w:t>We do not see a need further to specify these fees, but suggest that payments to securities lending agents be included in the list of relevant payments. Securities lending agents can act as “in-</w:t>
      </w:r>
      <w:proofErr w:type="spellStart"/>
      <w:r w:rsidRPr="008A1FA3">
        <w:t>sourcers</w:t>
      </w:r>
      <w:proofErr w:type="spellEnd"/>
      <w:r w:rsidRPr="008A1FA3">
        <w:t xml:space="preserve">” of portfolio management functions in the case of funds engaging in effective portfolio management techniques. </w:t>
      </w:r>
    </w:p>
    <w:permEnd w:id="1814255974"/>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7D2EBC" w:rsidRPr="008A1FA3" w:rsidRDefault="007D2EBC" w:rsidP="007D2EBC">
      <w:pPr>
        <w:spacing w:line="276" w:lineRule="auto"/>
        <w:jc w:val="both"/>
        <w:rPr>
          <w:rFonts w:cs="Arial"/>
        </w:rPr>
      </w:pPr>
      <w:permStart w:id="2002410201" w:edGrp="everyone"/>
      <w:r w:rsidRPr="008A1FA3">
        <w:t xml:space="preserve">Our response </w:t>
      </w:r>
      <w:r w:rsidRPr="008A1FA3">
        <w:rPr>
          <w:rFonts w:cs="Arial"/>
        </w:rPr>
        <w:t xml:space="preserve">covers (c) “registration fees, regulatory fees and similar charges, including </w:t>
      </w:r>
      <w:proofErr w:type="spellStart"/>
      <w:r w:rsidRPr="008A1FA3">
        <w:rPr>
          <w:rFonts w:cs="Arial"/>
        </w:rPr>
        <w:t>passporting</w:t>
      </w:r>
      <w:proofErr w:type="spellEnd"/>
      <w:r w:rsidRPr="008A1FA3">
        <w:rPr>
          <w:rFonts w:cs="Arial"/>
        </w:rPr>
        <w:t xml:space="preserve"> fees”.</w:t>
      </w:r>
    </w:p>
    <w:p w:rsidR="007D2EBC" w:rsidRPr="008A1FA3" w:rsidRDefault="007D2EBC" w:rsidP="007D2EBC">
      <w:pPr>
        <w:spacing w:line="276" w:lineRule="auto"/>
        <w:jc w:val="both"/>
      </w:pPr>
    </w:p>
    <w:p w:rsidR="00F31E57" w:rsidRDefault="007D2EBC" w:rsidP="007D2EBC">
      <w:pPr>
        <w:spacing w:line="276" w:lineRule="auto"/>
        <w:jc w:val="both"/>
      </w:pPr>
      <w:r w:rsidRPr="008A1FA3">
        <w:t>The charges listed hereunder would typically be included in the on-going charges figure in the UCITS KIID. They do not need to be separately disclosed and care must be taken to avoid double counting. In this regard, we would deem fees for listing on stock exchanges incurred, e.g. by ETFs, to be covered by the term “similar charges”.</w:t>
      </w:r>
    </w:p>
    <w:permEnd w:id="2002410201"/>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7D2EBC" w:rsidRPr="008A1FA3" w:rsidRDefault="007D2EBC" w:rsidP="007D2EBC">
      <w:pPr>
        <w:jc w:val="both"/>
      </w:pPr>
      <w:permStart w:id="1878594550" w:edGrp="everyone"/>
      <w:r w:rsidRPr="008A1FA3">
        <w:t xml:space="preserve">It is neither feasible nor appropriate to account for “recovering fees for specific treatment of gains and losses” in the calculation of the ongoing charges figure. Recovering fees as described by the ESAs would be incurred in the tax recovery process initiated by the individual investor. Hence, such fees do not apply at the level of the fund and thus cannot be ascertained by the product manufacturer. Moreover, the amount of fees might considerably vary depending on the fund investor’s domicile, the foreign tax rules and the specificities of the recovery procedure applicable in the relevant third country. In the end, such fees might even not be applicable at all if the investor fails to initiate the recovery process. </w:t>
      </w:r>
    </w:p>
    <w:p w:rsidR="007D2EBC" w:rsidRPr="008A1FA3" w:rsidRDefault="007D2EBC" w:rsidP="007D2EBC">
      <w:pPr>
        <w:jc w:val="both"/>
      </w:pPr>
    </w:p>
    <w:p w:rsidR="00F31E57" w:rsidRDefault="007D2EBC" w:rsidP="007D2EBC">
      <w:pPr>
        <w:jc w:val="both"/>
      </w:pPr>
      <w:r w:rsidRPr="008A1FA3">
        <w:t xml:space="preserve">For these reasons, subparagraph (d) should be deleted from the list of ongoing charges. </w:t>
      </w:r>
    </w:p>
    <w:permEnd w:id="1878594550"/>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lastRenderedPageBreak/>
        <w:t>&lt;ESMA_QUESTION_PRIIPs_28&gt;</w:t>
      </w:r>
    </w:p>
    <w:p w:rsidR="007D2EBC" w:rsidRPr="008A1FA3" w:rsidRDefault="007D2EBC" w:rsidP="007D2EBC">
      <w:pPr>
        <w:jc w:val="both"/>
      </w:pPr>
      <w:permStart w:id="357201948" w:edGrp="everyone"/>
      <w:r w:rsidRPr="008A1FA3">
        <w:t>We are somewhat puzzled by subparagraph (g), which refers to costs of distribution “to the extent that these payments are known to the PRIIP manufacturer”. Clearly, any distribution costs agreed directly between the distributor and the investor should not be reflected in the ongoing charges of a product, even if such payments are known to the product provider. Hence, the list should comprise only costs of distribution paid by the PRIIP’s manufacturer. Such costs can encompass e.g. retrocession payments to third party distributors where such payments are legitimate under applicable regulation.</w:t>
      </w:r>
    </w:p>
    <w:p w:rsidR="007D2EBC" w:rsidRPr="008A1FA3" w:rsidRDefault="007D2EBC" w:rsidP="007D2EBC">
      <w:pPr>
        <w:jc w:val="both"/>
      </w:pPr>
    </w:p>
    <w:p w:rsidR="007D2EBC" w:rsidRPr="008A1FA3" w:rsidRDefault="007D2EBC" w:rsidP="007D2EBC">
      <w:pPr>
        <w:jc w:val="both"/>
      </w:pPr>
      <w:r w:rsidRPr="008A1FA3">
        <w:t xml:space="preserve">In this regard, however, it is important to note that retrocessions are generally not debited to the fund on a separate basis, but are paid out of the management fee charged by the product manufacturer. In this case, it should be clear that such payments should not be accounted for twice and that inclusion of the management fee in the ongoing charges is sufficient. </w:t>
      </w:r>
    </w:p>
    <w:p w:rsidR="007D2EBC" w:rsidRPr="008A1FA3" w:rsidRDefault="007D2EBC" w:rsidP="007D2EBC">
      <w:pPr>
        <w:jc w:val="both"/>
      </w:pPr>
    </w:p>
    <w:p w:rsidR="00F31E57" w:rsidRDefault="007D2EBC" w:rsidP="007D2EBC">
      <w:pPr>
        <w:jc w:val="both"/>
      </w:pPr>
      <w:r w:rsidRPr="008A1FA3">
        <w:t>The issue of double counting is pertinent also in relation to other cost items. Thus, we urge the ESAs to clarify in the general provisions concerning the cost section that, as a matter of principle, cost items should be included in the calculation only if they are effectively charged to the fund and are not covered by other cost positions.</w:t>
      </w:r>
    </w:p>
    <w:permEnd w:id="357201948"/>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137186" w:rsidRPr="008A1FA3" w:rsidRDefault="00137186" w:rsidP="00137186">
      <w:pPr>
        <w:jc w:val="both"/>
      </w:pPr>
      <w:permStart w:id="241592316" w:edGrp="everyone"/>
      <w:r w:rsidRPr="008A1FA3">
        <w:t>As regards performance-related fees, the application and amount of such fees is dependent on the future return of the fund.  Therefore, ex-ante disclosure of the amount of performance fees is most likely to be misleading. We thus believe that such incidental costs should be excluded from the on-going charges figures and rather be disclosed separately due to their incidental nature. Please also consider our answer to Q44 below.</w:t>
      </w:r>
    </w:p>
    <w:p w:rsidR="00137186" w:rsidRPr="008A1FA3" w:rsidRDefault="00137186" w:rsidP="00137186">
      <w:pPr>
        <w:jc w:val="both"/>
      </w:pPr>
    </w:p>
    <w:p w:rsidR="00137186" w:rsidRDefault="00137186" w:rsidP="00137186">
      <w:pPr>
        <w:jc w:val="both"/>
      </w:pPr>
      <w:r w:rsidRPr="008A1FA3">
        <w:t>Furthermore, we are of the view that financing costs should be limited to direct costs such as lending commissions, but should not include interest on borrowing. Borrowing and the related interest payments are part of the fund’s investment strategy and are used as means of maximizing returns.</w:t>
      </w:r>
      <w:r w:rsidRPr="0004574D">
        <w:rPr>
          <w:rFonts w:cs="Arial"/>
          <w:lang w:val="en-US"/>
        </w:rPr>
        <w:t xml:space="preserve"> </w:t>
      </w:r>
      <w:r w:rsidRPr="00725AE7">
        <w:rPr>
          <w:lang w:val="en-US"/>
        </w:rPr>
        <w:t>For this reason, interest on borrowing has been explicitly excluded from the payments accounted for in the UCITS cost calculations according to the CESR’s guidelines</w:t>
      </w:r>
      <w:r w:rsidRPr="00725AE7">
        <w:rPr>
          <w:vertAlign w:val="superscript"/>
          <w:lang w:val="en-US"/>
        </w:rPr>
        <w:footnoteReference w:id="6"/>
      </w:r>
      <w:r w:rsidRPr="00725AE7">
        <w:rPr>
          <w:lang w:val="en-US"/>
        </w:rPr>
        <w:t>.</w:t>
      </w:r>
      <w:r w:rsidRPr="008A1FA3">
        <w:t xml:space="preserve"> </w:t>
      </w:r>
    </w:p>
    <w:p w:rsidR="00137186" w:rsidRDefault="00137186" w:rsidP="00137186">
      <w:pPr>
        <w:jc w:val="both"/>
      </w:pPr>
    </w:p>
    <w:p w:rsidR="00F31E57" w:rsidRDefault="00137186" w:rsidP="00137186">
      <w:pPr>
        <w:jc w:val="both"/>
      </w:pPr>
      <w:r w:rsidRPr="008A1FA3">
        <w:t>At the very least, the additional performance gains generated by investing the borrowed amount should be offset against the amount of the interest payment. The same logic should also be applicable to efficient portfolio management techniques (for further explanation, please see our answer to Q33).</w:t>
      </w:r>
    </w:p>
    <w:permEnd w:id="241592316"/>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921AD9" w:rsidP="00921AD9">
      <w:pPr>
        <w:jc w:val="both"/>
      </w:pPr>
      <w:permStart w:id="1717206794" w:edGrp="everyone"/>
      <w:r w:rsidRPr="008A1FA3">
        <w:t>This type of cost should encompass only explicit costs of guarantees/capital protection such as the purchase of third-party guarantees.  With regards to the example in footnote 19, the cost of the guarantee should thus be the total amount of premium paid.</w:t>
      </w:r>
    </w:p>
    <w:permEnd w:id="1717206794"/>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921AD9" w:rsidRPr="008A1FA3" w:rsidRDefault="00921AD9" w:rsidP="00921AD9">
      <w:pPr>
        <w:jc w:val="both"/>
      </w:pPr>
      <w:permStart w:id="849437480" w:edGrp="everyone"/>
      <w:r w:rsidRPr="008A1FA3">
        <w:t xml:space="preserve">We fully agree that margin calls in relation to derivative transactions should not be considered costs. The amount deposited with a clearing member/counterparty following a margin call represents collateral and will be returned to the fund if and when the value of the derivative position recovers accordingly. Treating margin calls as costs would mean that the fund manager would need to estimate the actual missed revenue, which is a nearly impossible exercise for an actively managed fund. Therefore, it is appropriate to limit the consideration of payments incurred in the </w:t>
      </w:r>
      <w:r>
        <w:t xml:space="preserve">context </w:t>
      </w:r>
      <w:r w:rsidRPr="008A1FA3">
        <w:t>of holding of derivative instruments to administrative costs.</w:t>
      </w:r>
    </w:p>
    <w:p w:rsidR="00921AD9" w:rsidRPr="008A1FA3" w:rsidRDefault="00921AD9" w:rsidP="00921AD9">
      <w:pPr>
        <w:jc w:val="both"/>
      </w:pPr>
    </w:p>
    <w:p w:rsidR="00F31E57" w:rsidRDefault="00921AD9" w:rsidP="00921AD9">
      <w:pPr>
        <w:jc w:val="both"/>
      </w:pPr>
      <w:r w:rsidRPr="008A1FA3">
        <w:t>For our detailed comments on the treatment of “implicit costs”, please refer to our answers in the section on transaction costs.</w:t>
      </w:r>
    </w:p>
    <w:permEnd w:id="849437480"/>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921AD9" w:rsidRPr="008A1FA3" w:rsidRDefault="00921AD9" w:rsidP="00921AD9">
      <w:pPr>
        <w:jc w:val="both"/>
      </w:pPr>
      <w:permStart w:id="457053158" w:edGrp="everyone"/>
      <w:r w:rsidRPr="008A1FA3">
        <w:t>With regards to the value of goods or services received in exchange for placing of dealing orders, we would like to point out that in the current market environment, such goods or services, above all research, are generally remunerated by means of broker commissions or by implicit transaction costs in the case of fixed-income transactions. MiFID II will prompt modifications of the current market practices, but its implications for the execution of orders for investment funds cannot yet be fully assessed. First, management of investment funds is formally not a MiFID activity and, hence, will not be directly impacted by the new unbundling standards to be introduced under MiFID II. Second, the issue of bundled payments will remain relevant in relation to transactions executed by third country brokers, which cannot be expected voluntarily to submit to the new MiFID II requirements given that diverging approaches exist in their home countries. Finally, those assumptions are misleading and lead to double counting when following the ESAs’ suggested approach to use a centrally designed bonds’ “spread table” as suggested on page 62.</w:t>
      </w:r>
    </w:p>
    <w:p w:rsidR="00921AD9" w:rsidRPr="008A1FA3" w:rsidRDefault="00921AD9" w:rsidP="00921AD9">
      <w:pPr>
        <w:jc w:val="both"/>
      </w:pPr>
    </w:p>
    <w:p w:rsidR="00F31E57" w:rsidRDefault="00921AD9" w:rsidP="00921AD9">
      <w:pPr>
        <w:jc w:val="both"/>
      </w:pPr>
      <w:r w:rsidRPr="008A1FA3">
        <w:t xml:space="preserve">Thus, we ask the ESAs to clarify that research costs and the value of other goods and services should not be accounted for on separate terms, if they are already included in </w:t>
      </w:r>
      <w:r>
        <w:t>the relevant transaction costs.</w:t>
      </w:r>
    </w:p>
    <w:permEnd w:id="457053158"/>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E40130" w:rsidRPr="008A1FA3" w:rsidRDefault="00E40130" w:rsidP="00E40130">
      <w:pPr>
        <w:jc w:val="both"/>
      </w:pPr>
      <w:permStart w:id="2023570859" w:edGrp="everyone"/>
      <w:r w:rsidRPr="008A1FA3">
        <w:t>Before commenting on the issue of dividends, we bring to the ESA’s attention a number of issues in relation to the cost items listed in the preceding subparagraphs:</w:t>
      </w:r>
    </w:p>
    <w:p w:rsidR="00E40130" w:rsidRPr="008A1FA3" w:rsidRDefault="00E40130" w:rsidP="00E40130">
      <w:pPr>
        <w:jc w:val="both"/>
      </w:pPr>
    </w:p>
    <w:p w:rsidR="00E40130" w:rsidRPr="008A1FA3" w:rsidRDefault="00E40130" w:rsidP="00E40130">
      <w:pPr>
        <w:jc w:val="both"/>
        <w:rPr>
          <w:i/>
          <w:u w:val="single"/>
        </w:rPr>
      </w:pPr>
      <w:r w:rsidRPr="008A1FA3">
        <w:rPr>
          <w:i/>
          <w:u w:val="single"/>
        </w:rPr>
        <w:t>“Costs of acquiring or disposing” of certain investments – subparagraphs (n) to (p)</w:t>
      </w:r>
    </w:p>
    <w:p w:rsidR="00E40130" w:rsidRPr="008A1FA3" w:rsidRDefault="00E40130" w:rsidP="00E40130">
      <w:pPr>
        <w:jc w:val="both"/>
      </w:pPr>
      <w:r w:rsidRPr="008A1FA3">
        <w:t xml:space="preserve">The wording of subparagraphs (n) to (p) seems erroneous, since it refers to “costs of acquiring or disposing” of certain investments, whereas the explanatory text implies that the costs of holding those investments shall be taken into account. Specifically, in the case of target fund investments (subparagraph (n)), the total expense ratio or RIY figure of the underlying fund shall be included in the ongoing cost calculation. The costs of acquiring or disposing of assets on the other hand are attributable to transaction costs and are </w:t>
      </w:r>
      <w:r w:rsidRPr="008A1FA3">
        <w:lastRenderedPageBreak/>
        <w:t>specifically discussed below. Hence, we believe that the wording of subparagraphs (n) to (p) should be amended in order to avoid confusion.</w:t>
      </w:r>
    </w:p>
    <w:p w:rsidR="00E40130" w:rsidRPr="008A1FA3" w:rsidRDefault="00E40130" w:rsidP="00E40130">
      <w:pPr>
        <w:jc w:val="both"/>
      </w:pPr>
    </w:p>
    <w:p w:rsidR="00E40130" w:rsidRPr="008A1FA3" w:rsidRDefault="00E40130" w:rsidP="00E40130">
      <w:pPr>
        <w:jc w:val="both"/>
        <w:rPr>
          <w:i/>
          <w:u w:val="single"/>
        </w:rPr>
      </w:pPr>
      <w:r w:rsidRPr="008A1FA3">
        <w:rPr>
          <w:i/>
          <w:u w:val="single"/>
        </w:rPr>
        <w:t>Investment of substantial portion of assets – subparagraph (n)</w:t>
      </w:r>
    </w:p>
    <w:p w:rsidR="00E40130" w:rsidRPr="008A1FA3" w:rsidRDefault="00E40130" w:rsidP="00E40130">
      <w:pPr>
        <w:jc w:val="both"/>
      </w:pPr>
      <w:r w:rsidRPr="008A1FA3">
        <w:t xml:space="preserve">We welcome the general approach to use as a starting point the existing CESR Guidelines for calculation of the ongoing charges figure for UCITS. However, the lack of a common understanding under the CESR Guidelines as to when a UCITS invests a “substantial proportion” in other funds has led to diverging interpretations by the national authorities, which in turn has hampered the comparability of the ongoing charges figures displayed in the UCITS KIID. In order to avoid similar problems for the PRIIP KID, we suggest that “substantial proportion” of fund investments be further defined. In our view, only funds investing more than 20% of their assets in units or shares of other funds should be deemed to have invested a “substantial proportion” that merits the inclusion of target funds’ costs in the ongoing cost calculation. </w:t>
      </w:r>
    </w:p>
    <w:p w:rsidR="00E40130" w:rsidRPr="008A1FA3" w:rsidRDefault="00E40130" w:rsidP="00E40130">
      <w:pPr>
        <w:jc w:val="both"/>
      </w:pPr>
    </w:p>
    <w:p w:rsidR="00E40130" w:rsidRPr="00924174" w:rsidRDefault="00E40130" w:rsidP="00E40130">
      <w:pPr>
        <w:jc w:val="both"/>
        <w:rPr>
          <w:i/>
          <w:u w:val="single"/>
          <w:lang w:val="fr-BE"/>
        </w:rPr>
      </w:pPr>
      <w:r w:rsidRPr="00924174">
        <w:rPr>
          <w:i/>
          <w:u w:val="single"/>
          <w:lang w:val="fr-BE"/>
        </w:rPr>
        <w:t xml:space="preserve">Efficient portfolio techniques – </w:t>
      </w:r>
      <w:proofErr w:type="spellStart"/>
      <w:r w:rsidRPr="00924174">
        <w:rPr>
          <w:i/>
          <w:u w:val="single"/>
          <w:lang w:val="fr-BE"/>
        </w:rPr>
        <w:t>subparagraph</w:t>
      </w:r>
      <w:proofErr w:type="spellEnd"/>
      <w:r w:rsidRPr="00924174">
        <w:rPr>
          <w:i/>
          <w:u w:val="single"/>
          <w:lang w:val="fr-BE"/>
        </w:rPr>
        <w:t xml:space="preserve"> (r)</w:t>
      </w:r>
    </w:p>
    <w:p w:rsidR="00E40130" w:rsidRPr="008A1FA3" w:rsidRDefault="00E40130" w:rsidP="00E40130">
      <w:pPr>
        <w:jc w:val="both"/>
      </w:pPr>
      <w:r w:rsidRPr="008A1FA3">
        <w:t>While we understand that securities lending costs incurred in a product will need to be accounted for as part of the aggregated cost figure under MiFID II</w:t>
      </w:r>
      <w:r w:rsidRPr="008A1FA3">
        <w:rPr>
          <w:rStyle w:val="FootnoteReference"/>
        </w:rPr>
        <w:footnoteReference w:id="7"/>
      </w:r>
      <w:r w:rsidRPr="008A1FA3">
        <w:t>, we have some difficulties in treating such earnings retained by the fund manager/lending agent solely as costs. We consider that such disclosure to investors highlights only the potential costs, but does not highlight additional revenues accrued to the fund (and therefore the investor) as a result of efficient portfolio techniques</w:t>
      </w:r>
      <w:r w:rsidRPr="008A1FA3">
        <w:rPr>
          <w:rStyle w:val="FootnoteReference"/>
        </w:rPr>
        <w:footnoteReference w:id="8"/>
      </w:r>
      <w:r w:rsidRPr="008A1FA3">
        <w:t>.</w:t>
      </w:r>
    </w:p>
    <w:p w:rsidR="00E40130" w:rsidRPr="008A1FA3" w:rsidRDefault="00E40130" w:rsidP="00E40130">
      <w:pPr>
        <w:jc w:val="both"/>
      </w:pPr>
    </w:p>
    <w:p w:rsidR="00E40130" w:rsidRPr="008A1FA3" w:rsidRDefault="00E40130" w:rsidP="00E40130">
      <w:pPr>
        <w:jc w:val="both"/>
      </w:pPr>
      <w:r w:rsidRPr="008A1FA3">
        <w:t>In any event, the ESAs should acknowledge that the proposed treatment of efficient portfolio techniques alongside the recommended inclusion of transaction costs will lead to a situation where actively managed funds will potentially have to disclose significantly higher costs as compared to passive products. In our view, this competitive disadvantage should be able to be compensated by a more realistic presentation of performance in the respective KID section. In particular, funds using efficient portfolio techniques should be able to account for their effects by displaying past performance where available (for more details, cf. our response to Q29 above).</w:t>
      </w:r>
    </w:p>
    <w:p w:rsidR="00E40130" w:rsidRPr="008A1FA3" w:rsidRDefault="00E40130" w:rsidP="00E40130">
      <w:pPr>
        <w:jc w:val="both"/>
      </w:pPr>
    </w:p>
    <w:p w:rsidR="00E40130" w:rsidRPr="008A1FA3" w:rsidRDefault="00E40130" w:rsidP="00E40130">
      <w:pPr>
        <w:jc w:val="both"/>
        <w:rPr>
          <w:i/>
          <w:u w:val="single"/>
        </w:rPr>
      </w:pPr>
      <w:r w:rsidRPr="008A1FA3">
        <w:rPr>
          <w:i/>
          <w:u w:val="single"/>
        </w:rPr>
        <w:t>Proposed exclusion of dividends in the cost calculation of structured products – subparagraph (t)</w:t>
      </w:r>
    </w:p>
    <w:p w:rsidR="00E40130" w:rsidRPr="008A1FA3" w:rsidRDefault="00E40130" w:rsidP="00E40130">
      <w:pPr>
        <w:jc w:val="both"/>
      </w:pPr>
      <w:r w:rsidRPr="008A1FA3">
        <w:t>Coming to the specific question on dividends, we see no issue in ascertaining dividends to be paid out to investors, for any type of structured PRIIPs. For funds, all dividend payments are credited to the fund and thus the investor.</w:t>
      </w:r>
    </w:p>
    <w:p w:rsidR="00E40130" w:rsidRPr="008A1FA3" w:rsidRDefault="00E40130" w:rsidP="00E40130">
      <w:pPr>
        <w:jc w:val="both"/>
      </w:pPr>
    </w:p>
    <w:p w:rsidR="00E40130" w:rsidRPr="008A1FA3" w:rsidRDefault="00E40130" w:rsidP="00E40130">
      <w:pPr>
        <w:jc w:val="both"/>
      </w:pPr>
      <w:r w:rsidRPr="008A1FA3">
        <w:t>We note that the ESAs also comment on the treatment of dividend payments within structured products in this context. We therefore strongly disagree with the proposed exclusion of dividend payment (not forwarded to the investor) in the cost calculation of structured products. Please also consider our comments to Q94 below.</w:t>
      </w:r>
    </w:p>
    <w:p w:rsidR="00E40130" w:rsidRPr="008A1FA3" w:rsidRDefault="00E40130" w:rsidP="00E40130">
      <w:pPr>
        <w:jc w:val="both"/>
      </w:pPr>
    </w:p>
    <w:p w:rsidR="00E40130" w:rsidRPr="008A1FA3" w:rsidRDefault="00E40130" w:rsidP="00E40130">
      <w:pPr>
        <w:jc w:val="both"/>
      </w:pPr>
      <w:r w:rsidRPr="008A1FA3">
        <w:t>The purpose of the PRIIP KID is to achieve comparability between different product wrappers for similar investments. Investors wishing to invest e.g. in an equity index via a fund or via a structured note would be entirely misled and deprived of a sound comparison basis if missing dividends are not accounted for in the cost calculation of the latter.</w:t>
      </w:r>
    </w:p>
    <w:p w:rsidR="00E40130" w:rsidRPr="008A1FA3" w:rsidRDefault="00E40130" w:rsidP="00E40130">
      <w:pPr>
        <w:jc w:val="both"/>
      </w:pPr>
    </w:p>
    <w:p w:rsidR="00F31E57" w:rsidRDefault="00E40130" w:rsidP="00E40130">
      <w:pPr>
        <w:jc w:val="both"/>
      </w:pPr>
      <w:r w:rsidRPr="008A1FA3">
        <w:t xml:space="preserve">Moreover, the discussed formal consideration of products on the basis of beneficial ownership disregards the realities at the point of sale. It is clear that retail investors will generally not be able to assess whether or not they will be legal or beneficial owners of the underlying assets when purchasing an investment product. The PRIIP KID must accommodate these information asymmetries by ensuring a meaningful and comparable disclosure of product costs. In our view, accounting for the missing dividends in the RIY calculation as suggested on pages 107-108 of the Technical Discussion Paper would represent an appropriate solution (cf. our answer to Q94 below). </w:t>
      </w:r>
    </w:p>
    <w:permEnd w:id="2023570859"/>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lastRenderedPageBreak/>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E40130" w:rsidRPr="008A1FA3" w:rsidRDefault="00E40130" w:rsidP="00E40130">
      <w:pPr>
        <w:spacing w:line="276" w:lineRule="auto"/>
        <w:jc w:val="both"/>
        <w:rPr>
          <w:i/>
          <w:u w:val="single"/>
        </w:rPr>
      </w:pPr>
      <w:permStart w:id="904820361" w:edGrp="everyone"/>
      <w:r w:rsidRPr="008A1FA3">
        <w:rPr>
          <w:i/>
          <w:u w:val="single"/>
        </w:rPr>
        <w:t>Introductory comments on proper costs presentation</w:t>
      </w:r>
    </w:p>
    <w:p w:rsidR="00E40130" w:rsidRPr="008A1FA3" w:rsidRDefault="00E40130" w:rsidP="00E40130">
      <w:pPr>
        <w:jc w:val="both"/>
      </w:pPr>
      <w:r w:rsidRPr="008A1FA3">
        <w:t>Before providing an answer on the description of transaction costs, we would like to make some important comments on the accurate presentation of risk and the essential differentiation between costs that are known or not known ex-ante.</w:t>
      </w:r>
    </w:p>
    <w:p w:rsidR="00E40130" w:rsidRPr="008A1FA3" w:rsidRDefault="00E40130" w:rsidP="00E40130">
      <w:pPr>
        <w:jc w:val="both"/>
      </w:pPr>
    </w:p>
    <w:p w:rsidR="00E40130" w:rsidRPr="008A1FA3" w:rsidRDefault="00E40130" w:rsidP="00E40130">
      <w:pPr>
        <w:jc w:val="both"/>
      </w:pPr>
      <w:r w:rsidRPr="008A1FA3">
        <w:t>We recognise that this Technical Discussion Paper deals only with specific technical issues and that the first Discussion Paper gathered</w:t>
      </w:r>
      <w:r w:rsidRPr="008A1FA3" w:rsidDel="00D44B44">
        <w:t xml:space="preserve"> </w:t>
      </w:r>
      <w:r w:rsidRPr="008A1FA3">
        <w:t>views on the presentation of costs. We remind the ESAs of our recommendations in response to the first DP, and in particular our response to Question 26. We recommended that sufficient granularity is maintained within the summary indicators of costs to ensure the financially-aware are not deprived of the information they need in the quest to make the KID too simple. In practice, even advisers need more information than a single figure. This means there would be more summary indicators than currently exist in the UCITS KIID (i.e. transaction costs and performance fees). We strongly believe that this figure should be developed separately and alongside the existing UCITS definition of ongoing charges. Supporting our argumentation, we note that the ESAs acknowledge on page 58 the need to accommodate costs that cannot be accurately forecast.</w:t>
      </w:r>
    </w:p>
    <w:p w:rsidR="00E40130" w:rsidRPr="008A1FA3" w:rsidRDefault="00E40130" w:rsidP="00E40130">
      <w:pPr>
        <w:jc w:val="both"/>
      </w:pPr>
    </w:p>
    <w:p w:rsidR="00E40130" w:rsidRPr="008A1FA3" w:rsidRDefault="00E40130" w:rsidP="00E40130">
      <w:pPr>
        <w:jc w:val="both"/>
      </w:pPr>
      <w:r w:rsidRPr="008A1FA3">
        <w:t>In particular, as regards transaction costs, we are concerned that failing to disclose ongoing charges and transaction costs as separate indicators will mislead investors. It is essential to recognise that higher transaction costs do not make a fund more expensive, they simply reflect a different investment strategy. Without transactions, an investment strategy cannot be executed, but an undue focus on transaction costs might contaminate the strategy and create undesirable incentives not to trade. If the investment decisions are good, higher transaction costs will deliver better net returns to the investor. However, ongoing charges will always erode those returns</w:t>
      </w:r>
      <w:r w:rsidRPr="008A1FA3">
        <w:rPr>
          <w:rStyle w:val="FootnoteReference"/>
        </w:rPr>
        <w:footnoteReference w:id="9"/>
      </w:r>
      <w:r w:rsidRPr="008A1FA3">
        <w:t xml:space="preserve">. </w:t>
      </w:r>
    </w:p>
    <w:p w:rsidR="00E40130" w:rsidRPr="008A1FA3" w:rsidRDefault="00E40130" w:rsidP="00E40130">
      <w:pPr>
        <w:spacing w:line="276" w:lineRule="auto"/>
        <w:jc w:val="both"/>
        <w:rPr>
          <w:i/>
          <w:u w:val="single"/>
        </w:rPr>
      </w:pPr>
    </w:p>
    <w:p w:rsidR="00E40130" w:rsidRPr="008A1FA3" w:rsidRDefault="00E40130" w:rsidP="00E40130">
      <w:pPr>
        <w:spacing w:line="276" w:lineRule="auto"/>
        <w:jc w:val="both"/>
        <w:rPr>
          <w:i/>
          <w:u w:val="single"/>
        </w:rPr>
      </w:pPr>
      <w:r w:rsidRPr="008A1FA3">
        <w:rPr>
          <w:i/>
          <w:u w:val="single"/>
        </w:rPr>
        <w:t>Description of transaction costs</w:t>
      </w:r>
    </w:p>
    <w:p w:rsidR="00E40130" w:rsidRPr="008A1FA3" w:rsidRDefault="00E40130" w:rsidP="00E40130">
      <w:pPr>
        <w:jc w:val="both"/>
      </w:pPr>
      <w:r w:rsidRPr="008A1FA3">
        <w:t>Coming back to the description of transaction costs, we do not think the list is comprehensive of transaction costs. The detailed definition used in international accounting standards is more comprehensive:</w:t>
      </w:r>
    </w:p>
    <w:p w:rsidR="00E40130" w:rsidRPr="008A1FA3" w:rsidRDefault="00E40130" w:rsidP="00E40130">
      <w:pPr>
        <w:jc w:val="both"/>
      </w:pPr>
    </w:p>
    <w:p w:rsidR="00E40130" w:rsidRPr="008A1FA3" w:rsidRDefault="00E40130" w:rsidP="00E40130">
      <w:pPr>
        <w:ind w:left="708"/>
        <w:jc w:val="both"/>
      </w:pPr>
      <w:r w:rsidRPr="008A1FA3">
        <w:rPr>
          <w:i/>
        </w:rPr>
        <w:t>“Transaction costs include fees and commission paid to agents (including employees acting as selling agents), advisers, brokers and dealers, levies by regulatory agencies and security exchanges, and transfer taxes and duties. Transaction costs do not include debt premiums or discounts, financing costs or internal administrative or holding costs.”</w:t>
      </w:r>
      <w:r w:rsidRPr="008A1FA3">
        <w:t xml:space="preserve"> (IFRS 9 B5.4.8).</w:t>
      </w:r>
    </w:p>
    <w:p w:rsidR="00E40130" w:rsidRPr="008A1FA3" w:rsidRDefault="00E40130" w:rsidP="00E40130">
      <w:pPr>
        <w:ind w:left="708"/>
        <w:jc w:val="both"/>
      </w:pPr>
    </w:p>
    <w:p w:rsidR="00E40130" w:rsidRPr="008A1FA3" w:rsidRDefault="00E40130" w:rsidP="00E40130">
      <w:pPr>
        <w:jc w:val="both"/>
      </w:pPr>
    </w:p>
    <w:p w:rsidR="00F31E57" w:rsidRDefault="00E40130" w:rsidP="00E40130">
      <w:pPr>
        <w:jc w:val="both"/>
      </w:pPr>
      <w:r w:rsidRPr="008A1FA3">
        <w:t>In our answer to Q39 below we explain why market impact is caused by the behaviour of the market.</w:t>
      </w:r>
    </w:p>
    <w:permEnd w:id="904820361"/>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E40130" w:rsidP="00E40130">
      <w:pPr>
        <w:jc w:val="both"/>
      </w:pPr>
      <w:permStart w:id="673264740" w:edGrp="everyone"/>
      <w:r w:rsidRPr="008A1FA3">
        <w:t>We do not foresee difficulties calculating explicit broker commissions. There are a number of options for calculating broker commissions on an ex-ante basis. It could be based on an appropriately blended average of the commission rates most recently agreed with brokers or based on the actual rates apparent from commissions paid. We do not think it will be appropriate to present explicit broker commissions separately to other transaction costs, and we discuss presentation issues in detail in our answer to Q41.</w:t>
      </w:r>
    </w:p>
    <w:permEnd w:id="673264740"/>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912364" w:rsidRPr="008A1FA3" w:rsidRDefault="00912364" w:rsidP="00912364">
      <w:pPr>
        <w:jc w:val="both"/>
      </w:pPr>
      <w:permStart w:id="1458973066" w:edGrp="everyone"/>
      <w:r w:rsidRPr="008A1FA3">
        <w:t>We think the best approach to calculating transaction taxes (such as stamp duty and financial transaction tax) on an ex-ante basis is a weighted average of the transaction tax rates applicable in each country in which the portfolio is invested at the end of the financial year. An alternative approach might be to use the actual rates apparent from transaction taxes paid, but geographical shifts in the portfolio over the year make this approach less likely to represent the future shape of the portfolio.</w:t>
      </w:r>
    </w:p>
    <w:p w:rsidR="00912364" w:rsidRPr="008A1FA3" w:rsidRDefault="00912364" w:rsidP="00912364">
      <w:pPr>
        <w:jc w:val="both"/>
      </w:pPr>
    </w:p>
    <w:p w:rsidR="00912364" w:rsidRPr="008A1FA3" w:rsidRDefault="00912364" w:rsidP="00912364">
      <w:pPr>
        <w:jc w:val="both"/>
      </w:pPr>
      <w:r w:rsidRPr="008A1FA3">
        <w:t>Unlike other transaction costs, transaction taxes may be asymmetrical. For example, in the UK, stamp duty is applied to purchases but not to sales. Therefore shifting a portfolio from US to UK equities would incur very different costs to shifting from UK to US equities.</w:t>
      </w:r>
    </w:p>
    <w:p w:rsidR="00912364" w:rsidRPr="008A1FA3" w:rsidRDefault="00912364" w:rsidP="00912364">
      <w:pPr>
        <w:jc w:val="both"/>
      </w:pPr>
    </w:p>
    <w:p w:rsidR="00912364" w:rsidRPr="008A1FA3" w:rsidRDefault="00912364" w:rsidP="00912364">
      <w:pPr>
        <w:jc w:val="both"/>
      </w:pPr>
      <w:r w:rsidRPr="008A1FA3">
        <w:t>It is perverse to include transaction taxes in costs disclosure as the only way of managing such costs is to trade less, because fund managers cannot negotiate lower transaction tax rates with governments. Therefore there is a risk that this disclosure will create a fiscal incentive not to trade when trading might be in clients’ best interests. In the absence of a clear link between transaction costs and performance, it also creates an inequality by making active management appear to be more expensive than passive management simply because the active manager seeks to add value by trading in countries with transaction taxes.</w:t>
      </w:r>
    </w:p>
    <w:p w:rsidR="00912364" w:rsidRPr="008A1FA3" w:rsidRDefault="00912364" w:rsidP="00912364">
      <w:pPr>
        <w:jc w:val="both"/>
      </w:pPr>
    </w:p>
    <w:p w:rsidR="00912364" w:rsidRPr="008A1FA3" w:rsidRDefault="00912364" w:rsidP="00912364">
      <w:pPr>
        <w:jc w:val="both"/>
      </w:pPr>
      <w:r w:rsidRPr="008A1FA3">
        <w:t>We think non-recoverable withholding taxes on dividends should be identified. Some Member States have identified such taxes as transaction costs. Transaction costs and withholding taxes on dividends are both costs of investing and it would be unfair to include one type of cost of investing but exclude another.</w:t>
      </w:r>
    </w:p>
    <w:p w:rsidR="00912364" w:rsidRPr="008A1FA3" w:rsidRDefault="00912364" w:rsidP="00912364">
      <w:pPr>
        <w:jc w:val="both"/>
      </w:pPr>
    </w:p>
    <w:p w:rsidR="00912364" w:rsidRPr="008A1FA3" w:rsidRDefault="00912364" w:rsidP="00912364">
      <w:pPr>
        <w:jc w:val="both"/>
      </w:pPr>
      <w:r w:rsidRPr="008A1FA3">
        <w:t>Some types of PRIIP are less tax-efficient and incur tax charges within the PRIIP that cannot be recovered by, or on behalf of, the investor. Where the PRIIP itself incurs a tax charge, this should be included in the disclosure of costs (although perhaps not as a transaction cost).</w:t>
      </w:r>
    </w:p>
    <w:p w:rsidR="00912364" w:rsidRPr="008A1FA3" w:rsidRDefault="00912364" w:rsidP="00912364">
      <w:pPr>
        <w:jc w:val="both"/>
      </w:pPr>
    </w:p>
    <w:p w:rsidR="00F31E57" w:rsidRDefault="00912364" w:rsidP="00912364">
      <w:pPr>
        <w:jc w:val="both"/>
      </w:pPr>
      <w:r w:rsidRPr="008A1FA3">
        <w:t>We do not think that ticket fees should be added to the list because they are already included in paragraph (a) on page 54. This requires all payments made to custodians to be included in the amount disclosed as ongoing charges, regardless of the basis on which they are calculated.</w:t>
      </w:r>
    </w:p>
    <w:permEnd w:id="1458973066"/>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10"/>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912364" w:rsidRPr="008A1FA3" w:rsidRDefault="00912364" w:rsidP="00912364">
      <w:pPr>
        <w:jc w:val="both"/>
      </w:pPr>
      <w:permStart w:id="1186358924" w:edGrp="everyone"/>
      <w:r w:rsidRPr="008A1FA3">
        <w:lastRenderedPageBreak/>
        <w:t>It is not clear how the fair value approach could be used to estimate the commission-equivalent element in the spread. We understand fair value in the accounting context to be the price that would be received when selling an asset (i.e. the bid price) and the transaction price is the price paid to buy an asset (i.e. the ask price). An estimate of spread for a particular asset could be made by deducting the fair value from the transaction price, provided that the fair value is determined on a bid basis at a time reasonably close to the time of the trade (for example, at the next market close or at the next calculation of a fund’s net asset value). However, this approach does not facilitate an estimation of the commission-equivalent element of the spread.</w:t>
      </w:r>
    </w:p>
    <w:p w:rsidR="00912364" w:rsidRPr="008A1FA3" w:rsidRDefault="00912364" w:rsidP="00912364">
      <w:pPr>
        <w:jc w:val="both"/>
      </w:pPr>
    </w:p>
    <w:p w:rsidR="00F31E57" w:rsidRDefault="00912364" w:rsidP="00912364">
      <w:pPr>
        <w:jc w:val="both"/>
      </w:pPr>
      <w:r w:rsidRPr="008A1FA3">
        <w:t>In relation to this question we also do not agree with the assertion made in footnote 23, which suggests that dealers should know the spread of a security in order to fulfil their best execution obligations. According to MiFID II, best execution is about ensuring dealers secure “the best possible result for their clients taking into account price, costs, speed, likelihood of execution and settlement, size, nature or any other consideration relevant to the execution of the order.” If the objective is to purchase a bond, best execution is about ensuring it is done at the lowest possible ask price within a reasonable timeframe. The lowest ask price could be associated with a wider spread than the spread on a higher ask price. The bid price at the time, and hence the spread, is entirely irrelevant in relation to the discussion on costs and should thus not be simply equated with the latter.</w:t>
      </w:r>
    </w:p>
    <w:permEnd w:id="1186358924"/>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912364" w:rsidRPr="008A1FA3" w:rsidRDefault="00912364" w:rsidP="00912364">
      <w:pPr>
        <w:jc w:val="both"/>
      </w:pPr>
      <w:permStart w:id="1098645855" w:edGrp="everyone"/>
      <w:r w:rsidRPr="008A1FA3">
        <w:t>We discuss the issues to do with the bid-ask spread in our answer to Q41, but note here that the two considerations in the analysis of bid-ask spreads on pages 60 to 62 are confusing. The first consideration is about calculating the precise spread cost at any point in time and the second is about how to disclose the different elements of the spread. If the intention is to require that the entire bid-ask spread is regarded as a transaction cost, then there is no purpose in further dissecting it to identify a part of the spread that is equivalent to a broker’s commission. Conversely, if the intention is to identify and disclose the element equivalent to a broker’s commission, there is no need to discover the entire spread, only a formulation of the commission-equivalent element is required. Indeed, both approaches are suggested as potential solutions on page 61.</w:t>
      </w:r>
    </w:p>
    <w:p w:rsidR="00912364" w:rsidRPr="008A1FA3" w:rsidRDefault="00912364" w:rsidP="00912364">
      <w:pPr>
        <w:jc w:val="both"/>
      </w:pPr>
    </w:p>
    <w:p w:rsidR="00912364" w:rsidRPr="008A1FA3" w:rsidRDefault="00912364" w:rsidP="00912364">
      <w:pPr>
        <w:jc w:val="both"/>
      </w:pPr>
      <w:r w:rsidRPr="008A1FA3">
        <w:t>We believe that the amount equivalent to a broker’s commission should be disclosed. It follows that disclosing such an amount as a transaction cost means that the bid-ask spread will not be disclosed as a transaction cost. We think this approach is appropriate because the spread is a function of the liquidity of a stock and, as such, is caused by the occurrence of underlying market risk. The market price of a stock fluctuates according to the abundance or otherwise of willing buyers or sellers in the market – in other words, the market price is influenced by the stock’s liquidity. In the extreme, if there is no one willing to buy an asset, it is worthless. In order to be consistent with the requirements of MiFID II, the liquidity spread should be excluded from the costs disclosed in the KID because it is caused by the occurrence of underlying market risk.</w:t>
      </w:r>
    </w:p>
    <w:p w:rsidR="00912364" w:rsidRPr="008A1FA3" w:rsidRDefault="00912364" w:rsidP="00912364">
      <w:pPr>
        <w:jc w:val="both"/>
      </w:pPr>
    </w:p>
    <w:p w:rsidR="00912364" w:rsidRPr="008A1FA3" w:rsidRDefault="00912364" w:rsidP="00912364">
      <w:pPr>
        <w:jc w:val="both"/>
      </w:pPr>
      <w:r w:rsidRPr="008A1FA3">
        <w:t>This approach is also consistent with international accounting standards (IAS), in which the definition of transaction costs does not include the bid-ask spread (IFRS 9 B5.4.8). Moreover, IAS requires that, when an asset is purchased, the difference between the transaction price (which is the actual ask price for the transaction) and the fair value (which is the bid price of the asset purchased) is recognised as a gain or loss (IFRS 9 B5.1.2A). In other words, the difference between the ask price and the bid price will be recorded in the profit and loss account as a loss on the investment.</w:t>
      </w:r>
    </w:p>
    <w:p w:rsidR="00912364" w:rsidRPr="008A1FA3" w:rsidRDefault="00912364" w:rsidP="00912364">
      <w:pPr>
        <w:jc w:val="both"/>
      </w:pPr>
    </w:p>
    <w:p w:rsidR="00912364" w:rsidRPr="008A1FA3" w:rsidRDefault="00912364" w:rsidP="00912364">
      <w:pPr>
        <w:jc w:val="both"/>
      </w:pPr>
      <w:r w:rsidRPr="008A1FA3">
        <w:t>However, if the ESAs decide to require the entire bid-ask spread to be disclosed as a transaction cost, there would be no purpose in calculating the amount equivalent to a broker’s commission.</w:t>
      </w:r>
    </w:p>
    <w:p w:rsidR="00912364" w:rsidRPr="008A1FA3" w:rsidRDefault="00912364" w:rsidP="00912364">
      <w:pPr>
        <w:jc w:val="both"/>
      </w:pPr>
    </w:p>
    <w:p w:rsidR="00912364" w:rsidRPr="008A1FA3" w:rsidRDefault="00912364" w:rsidP="00912364">
      <w:pPr>
        <w:jc w:val="both"/>
      </w:pPr>
      <w:r w:rsidRPr="008A1FA3">
        <w:lastRenderedPageBreak/>
        <w:t>For the reasons discussed in our answer to Q41, we prefer a standardised approach where indicative figures are provided in a centralised table. This is similar to option (iii) on page 61, but we do not agree with the use of the criteria used, such as a proportion (for example, 50%) of the spread being designated as equivalent to a broker’s commission.  The spread should, rather, be defined as basis points per transaction.</w:t>
      </w:r>
      <w:r w:rsidRPr="008A1FA3">
        <w:rPr>
          <w:rStyle w:val="FootnoteReference"/>
        </w:rPr>
        <w:footnoteReference w:id="11"/>
      </w:r>
      <w:r w:rsidRPr="008A1FA3">
        <w:t xml:space="preserve"> </w:t>
      </w:r>
    </w:p>
    <w:p w:rsidR="00912364" w:rsidRPr="008A1FA3" w:rsidRDefault="00912364" w:rsidP="00912364">
      <w:pPr>
        <w:jc w:val="both"/>
      </w:pPr>
    </w:p>
    <w:p w:rsidR="00912364" w:rsidRPr="008A1FA3" w:rsidRDefault="00912364" w:rsidP="00912364">
      <w:pPr>
        <w:spacing w:line="276" w:lineRule="auto"/>
        <w:jc w:val="both"/>
      </w:pPr>
      <w:r w:rsidRPr="008A1FA3">
        <w:t>If such an approach is chosen, it will be pivotal to calibrate this table and its data correctly, as a wrong (i.e. too high) calibration of this table would make fund products seem more expensive than they effectively are and put them at a competitive disadvantage in comparison to other types of PRIIPs. This table should therefore be provided by the ESAs (with ESMA being in the lead) and should be regularly updated (presumably once a year to reflect the manufacturer’s revision of their KIDs). The ESAs could, for example, draw on the transaction reporting required through MiFID II.</w:t>
      </w:r>
    </w:p>
    <w:p w:rsidR="00912364" w:rsidRPr="008A1FA3" w:rsidRDefault="00912364" w:rsidP="00912364">
      <w:pPr>
        <w:spacing w:line="276" w:lineRule="auto"/>
        <w:jc w:val="both"/>
      </w:pPr>
    </w:p>
    <w:p w:rsidR="00F31E57" w:rsidRDefault="00912364" w:rsidP="00912364">
      <w:pPr>
        <w:jc w:val="both"/>
      </w:pPr>
      <w:r w:rsidRPr="008A1FA3">
        <w:t>Of the other options on page 61, we consider option (</w:t>
      </w:r>
      <w:proofErr w:type="spellStart"/>
      <w:r w:rsidRPr="008A1FA3">
        <w:t>i</w:t>
      </w:r>
      <w:proofErr w:type="spellEnd"/>
      <w:r w:rsidRPr="008A1FA3">
        <w:t>) to be inappropriate because the KID is intended to require disclosures, not to restructure the way the market operates. It is also likely to be impractical, especially in respect of third country markets, which might simply refuse to provide gross pricing on top of possible incorporation local taxes. We also think that option (ii) will require considerable cost for competent authorities to build the supervision mechanisms that would be necessary to ensure realistic estimates are used. Such costs might be difficult to justify because, as observed on page 66, the approach would create disclosure information with dubious levels of accuracy.</w:t>
      </w:r>
    </w:p>
    <w:permEnd w:id="1098645855"/>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912364" w:rsidRPr="008A1FA3" w:rsidRDefault="00912364" w:rsidP="00912364">
      <w:pPr>
        <w:jc w:val="both"/>
      </w:pPr>
      <w:permStart w:id="93151691" w:edGrp="everyone"/>
      <w:r w:rsidRPr="008A1FA3">
        <w:t>No, market impact should not be presented as a cost of a PRIIP because it is caused by the occurrence of underlying market risk. MiFID II clearly exempts market impact from the costs and charges of a financial product. Thus, the MiFID II-compliant PRIIP KID should be in line with its calculation methodology in order to arrive at the same overall cost levels.</w:t>
      </w:r>
    </w:p>
    <w:p w:rsidR="00912364" w:rsidRPr="008A1FA3" w:rsidRDefault="00912364" w:rsidP="00912364">
      <w:pPr>
        <w:jc w:val="both"/>
      </w:pPr>
    </w:p>
    <w:p w:rsidR="00912364" w:rsidRPr="008A1FA3" w:rsidRDefault="00912364" w:rsidP="00912364">
      <w:pPr>
        <w:jc w:val="both"/>
      </w:pPr>
      <w:r w:rsidRPr="008A1FA3">
        <w:t>Academically speaking, market impact can be described a measure of the market movement due to information leakage. It is the impact on the market price of presenting information to the market about trading interest. Knowledge of unfilled trading interest is a valuable commodity and information revealing increased demand allows other market participants to infer a trader’s market intelligence. Therefore, when a trader presents a large order to the market, the market responds by moving against the trader. This movement is market impact and, as it is a change in market price in response to a shift in the balance of market-wide supply and demand, it is a result of underlying market risk.</w:t>
      </w:r>
    </w:p>
    <w:p w:rsidR="00912364" w:rsidRPr="008A1FA3" w:rsidRDefault="00912364" w:rsidP="00912364">
      <w:pPr>
        <w:jc w:val="both"/>
      </w:pPr>
    </w:p>
    <w:p w:rsidR="00912364" w:rsidRPr="008A1FA3" w:rsidRDefault="00912364" w:rsidP="00912364">
      <w:pPr>
        <w:jc w:val="both"/>
      </w:pPr>
      <w:r w:rsidRPr="008A1FA3">
        <w:t>Part of the analysis on page 66 notes that costs such as market impact might, by chance, sometimes be negative, such as when a small seller trades while there is a large buyer in the market. The fact that market impact arises as a feature of the condition of the market rather than the trade demonstrates that market impact is a result of underlying market risk.</w:t>
      </w:r>
    </w:p>
    <w:p w:rsidR="00912364" w:rsidRPr="008A1FA3" w:rsidRDefault="00912364" w:rsidP="00912364">
      <w:pPr>
        <w:jc w:val="both"/>
      </w:pPr>
    </w:p>
    <w:p w:rsidR="00912364" w:rsidRPr="008A1FA3" w:rsidRDefault="00912364" w:rsidP="00912364">
      <w:pPr>
        <w:jc w:val="both"/>
      </w:pPr>
      <w:r w:rsidRPr="008A1FA3">
        <w:lastRenderedPageBreak/>
        <w:t>Market impact can be mitigated by carefully working an order in the market. Breaking up an order into smaller tranches and placing them with a number of brokers makes the order fragmented and less informative. However, this delays the completion of the order and may result in failure to fill the entire order. Delay costs (the market moves against the unfilled position) and missed trade opportunity costs (the intended transaction is only partially completed) are the price of reducing market impact. A trader’s skill in balancing the interactions between market impact, delay costs and missed trade opportunity costs will contribute significantly to the value of their clients’ investments.</w:t>
      </w:r>
    </w:p>
    <w:p w:rsidR="00912364" w:rsidRPr="008A1FA3" w:rsidRDefault="00912364" w:rsidP="00912364">
      <w:pPr>
        <w:jc w:val="both"/>
      </w:pPr>
    </w:p>
    <w:p w:rsidR="00F31E57" w:rsidRDefault="00912364" w:rsidP="00912364">
      <w:pPr>
        <w:jc w:val="both"/>
      </w:pPr>
      <w:r w:rsidRPr="008A1FA3">
        <w:t>Contrary to the conclusion expressed on page 63, it is the disclosure of market impact as a transaction cost that would incentivise traders to break up orders and to accept disproportionate delay costs and missed trade opportunity costs in order to minimise market impact. In reality, traders should be free to balance the costs of transacting against the costs of not transacting in the best interests of their clients and should not be constrained by the disproportionate emphasis caused by disclosing only half the equation.</w:t>
      </w:r>
    </w:p>
    <w:permEnd w:id="93151691"/>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912364" w:rsidRPr="008A1FA3" w:rsidRDefault="00912364" w:rsidP="00912364">
      <w:pPr>
        <w:jc w:val="both"/>
      </w:pPr>
      <w:permStart w:id="2085032476" w:edGrp="everyone"/>
      <w:r w:rsidRPr="008A1FA3">
        <w:t>These charges are impossible to predict. One approach would be to assume there will be no inflows or outflows in the underlying funds held by the fund of funds. Although this probably will not be the case, it is impossible to know whether the fund will experience net inflows or net outflows, let alone quantify those flows. Therefore, it is not an unreasonable assumption and, if accepted, it means there will be no entry or exit charges in the ex-ante disclosure.</w:t>
      </w:r>
    </w:p>
    <w:p w:rsidR="00912364" w:rsidRPr="008A1FA3" w:rsidRDefault="00912364" w:rsidP="00912364">
      <w:pPr>
        <w:jc w:val="both"/>
      </w:pPr>
    </w:p>
    <w:p w:rsidR="00912364" w:rsidRPr="008A1FA3" w:rsidRDefault="00912364" w:rsidP="00912364">
      <w:pPr>
        <w:jc w:val="both"/>
      </w:pPr>
      <w:r w:rsidRPr="008A1FA3">
        <w:t>The purpose of these entry and exit charges is to protect the underlying funds’ existing investors from the dilutive effects of other investors entering or exiting the fund. If the ex-ante disclosure were to include the entry and exit charges built into the pricing mechanism then, in principle, there should be an offset for the positive effect of other investors in the underlying funds paying entry and exit charges.</w:t>
      </w:r>
    </w:p>
    <w:p w:rsidR="00912364" w:rsidRPr="008A1FA3" w:rsidRDefault="00912364" w:rsidP="00912364">
      <w:pPr>
        <w:jc w:val="both"/>
      </w:pPr>
    </w:p>
    <w:p w:rsidR="00F31E57" w:rsidRDefault="00912364" w:rsidP="00912364">
      <w:pPr>
        <w:jc w:val="both"/>
      </w:pPr>
      <w:r w:rsidRPr="008A1FA3">
        <w:t>Moreover, if the methodology for calculating transaction costs suggested on page 67 is used, the effect of the lack of predictability of the portfolio turnover rate (we discuss this further in our answer to Q41) is likely to be far more significant than the spurious accuracy achieved by attempting to take account of entry and exit charges within the underlying funds pricing mechanisms.</w:t>
      </w:r>
    </w:p>
    <w:permEnd w:id="2085032476"/>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912364" w:rsidRPr="008A1FA3" w:rsidRDefault="00912364" w:rsidP="00912364">
      <w:pPr>
        <w:jc w:val="both"/>
      </w:pPr>
      <w:permStart w:id="425751213" w:edGrp="everyone"/>
      <w:r w:rsidRPr="008A1FA3">
        <w:t>We are in favour of the hybrid approach as put forward on page 66, using a mixture of known costs (i.e. explicit brokerage costs) and unknown costs (along the lines of the proposed standardised table for bonds on page 62) as a calculation base for the transaction costs.</w:t>
      </w:r>
    </w:p>
    <w:p w:rsidR="00912364" w:rsidRPr="008A1FA3" w:rsidRDefault="00912364" w:rsidP="00912364">
      <w:pPr>
        <w:jc w:val="both"/>
      </w:pPr>
    </w:p>
    <w:p w:rsidR="00F31E57" w:rsidRDefault="00912364" w:rsidP="00912364">
      <w:pPr>
        <w:jc w:val="both"/>
      </w:pPr>
      <w:r w:rsidRPr="008A1FA3">
        <w:t xml:space="preserve">Regarding the actual calculation methodology, we generally agree with the approach to estimate transaction costs by multiplying a portfolio turnover rate by average transaction costs. We strongly believe that the detailed definition and computation of “portfolio turnover rate” and “average transaction costs” is too technical to be included in the Level-2 RTS and should, thus, be further discussed and elaborated in the necessary </w:t>
      </w:r>
      <w:r>
        <w:t>Level-3 Guidelines.</w:t>
      </w:r>
    </w:p>
    <w:permEnd w:id="425751213"/>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lastRenderedPageBreak/>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912364" w:rsidRPr="008A1FA3" w:rsidRDefault="00912364" w:rsidP="00912364">
      <w:pPr>
        <w:jc w:val="both"/>
      </w:pPr>
      <w:permStart w:id="2050893222" w:edGrp="everyone"/>
      <w:r w:rsidRPr="008A1FA3">
        <w:t>Since other cost items are also not explicitly defined, we see no need to include an explicit definition of performance fees for the purpose of the KID disclosure. It should be sufficient to describe performance fees in a general manner, e.g. by referring to the first sentence of the cited IOSCO definition:</w:t>
      </w:r>
    </w:p>
    <w:p w:rsidR="00912364" w:rsidRPr="008A1FA3" w:rsidRDefault="00912364" w:rsidP="00912364">
      <w:pPr>
        <w:jc w:val="both"/>
      </w:pPr>
    </w:p>
    <w:p w:rsidR="00912364" w:rsidRPr="008A1FA3" w:rsidRDefault="00912364" w:rsidP="00912364">
      <w:pPr>
        <w:ind w:firstLine="708"/>
        <w:jc w:val="both"/>
      </w:pPr>
      <w:r w:rsidRPr="008A1FA3">
        <w:t>“</w:t>
      </w:r>
      <w:r w:rsidRPr="008A1FA3">
        <w:rPr>
          <w:i/>
        </w:rPr>
        <w:t>A performance fee is a variable fee linked to the performance of a fund</w:t>
      </w:r>
      <w:r w:rsidRPr="008A1FA3">
        <w:t>.”</w:t>
      </w:r>
    </w:p>
    <w:p w:rsidR="00912364" w:rsidRPr="008A1FA3" w:rsidRDefault="00912364" w:rsidP="00912364">
      <w:pPr>
        <w:jc w:val="both"/>
      </w:pPr>
    </w:p>
    <w:p w:rsidR="00F31E57" w:rsidRDefault="00912364" w:rsidP="00912364">
      <w:pPr>
        <w:jc w:val="both"/>
      </w:pPr>
      <w:r w:rsidRPr="008A1FA3">
        <w:t xml:space="preserve">In any case, it should be considered out of scope of the PRIIP Regulation to introduce a definition of performance fees that potentially impacts certain calculation models or favours one model above others as currently envisaged in the IOSCO Consultation Report. The regulatory aim of the PRIIP KID implementing measures is the achievement of comprehensive cost disclosure, not limitation of legitimate fee structures in investment funds. </w:t>
      </w:r>
    </w:p>
    <w:permEnd w:id="2050893222"/>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244355" w:rsidRPr="008A1FA3" w:rsidRDefault="00244355" w:rsidP="00244355">
      <w:pPr>
        <w:jc w:val="both"/>
      </w:pPr>
      <w:permStart w:id="466774310" w:edGrp="everyone"/>
      <w:r w:rsidRPr="008A1FA3">
        <w:t xml:space="preserve">We do not believe that the rate of returns can be reasonably assumed in general terms. Given the diversity of PRIIPs and their underlying investment strategies, an assumed rate of return would at least need to reflect the assumed growth in the underlying assets and potentially be adjusted to the relevant market conditions, which makes the assumption and its updates a very complex exercise (cf. our reply to Q4 above). </w:t>
      </w:r>
    </w:p>
    <w:p w:rsidR="00244355" w:rsidRPr="008A1FA3" w:rsidRDefault="00244355" w:rsidP="00244355">
      <w:pPr>
        <w:jc w:val="both"/>
      </w:pPr>
    </w:p>
    <w:p w:rsidR="00F31E57" w:rsidRDefault="00244355" w:rsidP="00244355">
      <w:pPr>
        <w:jc w:val="both"/>
      </w:pPr>
      <w:r w:rsidRPr="008A1FA3">
        <w:t>In our view, calculation of performance fees should be linked to the section on performance scenarios in order to provide investors with meaningful and consistent information. Specifically, it should be appropriate to base the calculation on performance generated in a historic scenario or on a positive/optimistic scenario, depending on the concept chosen in the risk and reward section. Under this approach, investors could be provided with ex-ante estimates on performance fees while at the same time being able to relate the disclosure to a specific scenario and to evaluate the circumstances in which a performance fee would apply (for further details</w:t>
      </w:r>
      <w:r>
        <w:t>, see our answer to Q44 below).</w:t>
      </w:r>
    </w:p>
    <w:permEnd w:id="466774310"/>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E53D3E" w:rsidRPr="008A1FA3" w:rsidRDefault="00E53D3E" w:rsidP="00E53D3E">
      <w:pPr>
        <w:jc w:val="both"/>
      </w:pPr>
      <w:permStart w:id="1592722343" w:edGrp="everyone"/>
      <w:r w:rsidRPr="008A1FA3">
        <w:t>We have a clear preference for option 3, since this option is best suited to reflect the conditional nature of performance fees and, thus, can provide more accurate information on the fee structures applicable in investment funds. Option 2 treats performance fees only as a calculation item for the summary cost indicator and is not able to transmit any relevant information to investors. As regards option 1, we fear that the exclusion of performance fees from the cost section will not provide MiFID firms distributing PRIIPs with the necessary numbers to facilitate the aggregated disclosure of costs and charges. According to the draft implementing measures under MiFID II, distributors shall be required to include performance fees in the aggregated figure of product and service costs to be disclosed to investors.</w:t>
      </w:r>
      <w:r w:rsidRPr="008A1FA3">
        <w:rPr>
          <w:vertAlign w:val="superscript"/>
        </w:rPr>
        <w:footnoteReference w:id="12"/>
      </w:r>
    </w:p>
    <w:p w:rsidR="00E53D3E" w:rsidRPr="008A1FA3" w:rsidRDefault="00E53D3E" w:rsidP="00E53D3E">
      <w:pPr>
        <w:jc w:val="both"/>
      </w:pPr>
    </w:p>
    <w:p w:rsidR="00E53D3E" w:rsidRPr="008A1FA3" w:rsidRDefault="00E53D3E" w:rsidP="00E53D3E">
      <w:pPr>
        <w:jc w:val="both"/>
      </w:pPr>
      <w:r w:rsidRPr="008A1FA3">
        <w:t xml:space="preserve">In terms of the proposal for concrete computation of performance fees presented on pages 70-71, we would support computation on the basis of historical data provided that a performance scenario based on such </w:t>
      </w:r>
      <w:r w:rsidRPr="008A1FA3">
        <w:lastRenderedPageBreak/>
        <w:t xml:space="preserve">historical data is shown in the risk and reward section. The reference period for such historical calculation should be not less than the last three years. </w:t>
      </w:r>
    </w:p>
    <w:p w:rsidR="00E53D3E" w:rsidRPr="008A1FA3" w:rsidRDefault="00E53D3E" w:rsidP="00E53D3E">
      <w:pPr>
        <w:jc w:val="both"/>
      </w:pPr>
    </w:p>
    <w:p w:rsidR="00E53D3E" w:rsidRPr="008A1FA3" w:rsidRDefault="00E53D3E" w:rsidP="00E53D3E">
      <w:pPr>
        <w:jc w:val="both"/>
      </w:pPr>
      <w:r w:rsidRPr="008A1FA3">
        <w:t xml:space="preserve">Concerning new funds or funds lacking a sufficient performance history, we have significant reservations about using a “comparable fund” or a “peer group” for estimating performance fees. Without further specification, this approach is prone to manipulation and might severely hamper the comparability of the performance fee figures presented in the KID. Instead, we would suggest computing the ex-ante estimates on the basis of the positive or optimistic scenario which would most probably trigger the application of a performance fee. In any case, a proper link to performance scenarios is necessary in order to provide for an adequate illustration of situations in which a performance fee might become relevant. </w:t>
      </w:r>
    </w:p>
    <w:p w:rsidR="00E53D3E" w:rsidRDefault="00E53D3E" w:rsidP="00E53D3E">
      <w:pPr>
        <w:jc w:val="both"/>
      </w:pPr>
    </w:p>
    <w:p w:rsidR="00F31E57" w:rsidRDefault="00E53D3E" w:rsidP="00E53D3E">
      <w:pPr>
        <w:jc w:val="both"/>
      </w:pPr>
      <w:r w:rsidRPr="00725AE7">
        <w:t>Lastly, as in case of transaction costs, the specifics of the methodology for computing the performance fee should be stipulated by supervisory guidelines at Level 3 and not form part of the RTS in order to allow for smooth and prompt adaptations in detail if deemed necessary.</w:t>
      </w:r>
    </w:p>
    <w:permEnd w:id="1592722343"/>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E53D3E" w:rsidRPr="008A1FA3" w:rsidRDefault="00E53D3E" w:rsidP="00E53D3E">
      <w:pPr>
        <w:jc w:val="both"/>
      </w:pPr>
      <w:permStart w:id="1765231273" w:edGrp="everyone"/>
      <w:r w:rsidRPr="008A1FA3">
        <w:t>While we do not comment on any specificities of the calculation of life insurance products, we would highlight that one of the PRIIP KID Regulation’s underlying principles is comparability of similar products. It is important that the final rules should not inadvertently advantage or disadvantage particular types of products. The principle should be that any deductions from the initial investment amount/premium payment which are not invested on investor’s behalf should be deemed as costs and included in the cost disclosure. For this reason we believe that the biometric risk premium of an insurance PRIIP is a cost that needs to be disclosed to the investor.</w:t>
      </w:r>
    </w:p>
    <w:p w:rsidR="00E53D3E" w:rsidRPr="008A1FA3" w:rsidRDefault="00E53D3E" w:rsidP="00E53D3E">
      <w:pPr>
        <w:jc w:val="both"/>
      </w:pPr>
    </w:p>
    <w:p w:rsidR="00E53D3E" w:rsidRPr="008A1FA3" w:rsidRDefault="00E53D3E" w:rsidP="00E53D3E">
      <w:pPr>
        <w:jc w:val="both"/>
      </w:pPr>
      <w:r w:rsidRPr="008A1FA3">
        <w:t xml:space="preserve">We agree that the insurance feature of a PRIIP provides additional benefits to its investors (which is also reflected in the generally lower risk indicators, as hinted by the ESAs). We recognise that biometric risk calculation is based on the individual retail investor, but it is an additional cost that needs to be made transparent to investors using some form of common methodology. </w:t>
      </w:r>
      <w:r w:rsidRPr="00725AE7">
        <w:t>In particular, given that the additional insurance benefits financed by the biometric risk premium will be highlighted in the PRIIPs KID in the section featuring product description</w:t>
      </w:r>
      <w:r w:rsidRPr="00725AE7">
        <w:rPr>
          <w:vertAlign w:val="superscript"/>
        </w:rPr>
        <w:footnoteReference w:id="13"/>
      </w:r>
      <w:r w:rsidRPr="00725AE7">
        <w:t>, it is only consequent to treat the corresponding premium payments as part of the overall product costs.</w:t>
      </w:r>
    </w:p>
    <w:p w:rsidR="00E53D3E" w:rsidRPr="008A1FA3" w:rsidRDefault="00E53D3E" w:rsidP="00E53D3E">
      <w:pPr>
        <w:jc w:val="both"/>
      </w:pPr>
    </w:p>
    <w:p w:rsidR="00F31E57" w:rsidRDefault="00E53D3E" w:rsidP="00E53D3E">
      <w:pPr>
        <w:jc w:val="both"/>
      </w:pPr>
      <w:r w:rsidRPr="008A1FA3">
        <w:t>However, as described in the Technical Discussion Paper, “risk-type riders” could be disregarded in the calculation of the aggregated product costs if the additional insurance cover is based on separate contractual terms, is financed by separate premiums and does not constitute a compulsory element of the product. In this case, the additional insurance benefits purchased on separate terms should also not be reflected in the “What is this product” section in the KID.</w:t>
      </w:r>
    </w:p>
    <w:permEnd w:id="1765231273"/>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lastRenderedPageBreak/>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DA25FD" w:rsidRDefault="005A75DE" w:rsidP="00DA25FD">
      <w:pPr>
        <w:jc w:val="both"/>
      </w:pPr>
      <w:permStart w:id="151138567" w:edGrp="everyone"/>
      <w:r w:rsidRPr="00EF0769">
        <w:rPr>
          <w:rFonts w:cs="Arial"/>
        </w:rPr>
        <w:t>TYPE YOUR TEXT HERE</w:t>
      </w:r>
    </w:p>
    <w:permEnd w:id="151138567"/>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361365" w:rsidRDefault="00361365" w:rsidP="00361365">
      <w:pPr>
        <w:jc w:val="both"/>
      </w:pPr>
      <w:permStart w:id="370422904" w:edGrp="everyone"/>
      <w:r w:rsidRPr="008A1FA3">
        <w:t>We consider that the costs of guaranteed interest rate and surrender options should be included in the PRIIP’s aggregate costs, as well as being shown as a benefit in the product feature’s section. This follows the principle that any deductions from the initial investment amount/premium payment not invested on investor’s behalf should be deemed as a cost and included in the cost disclosure.</w:t>
      </w:r>
    </w:p>
    <w:p w:rsidR="00F31E57" w:rsidRDefault="00361365" w:rsidP="00361365">
      <w:pPr>
        <w:jc w:val="both"/>
      </w:pPr>
      <w:r w:rsidRPr="00725AE7">
        <w:t>Moreover, consistency needs to be ensured as regards treatment of guarantees offered by other PRIIPs such as investment funds and structured products. For these two product types, costs of capital guarantee or capital protection are proposed to be accounted for in the aggregated cost disclosure</w:t>
      </w:r>
      <w:r w:rsidRPr="005A07FD">
        <w:t>.</w:t>
      </w:r>
    </w:p>
    <w:permEnd w:id="370422904"/>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5A75DE" w:rsidP="00F31E57">
      <w:permStart w:id="832192356" w:edGrp="everyone"/>
      <w:r w:rsidRPr="00EF0769">
        <w:rPr>
          <w:rFonts w:cs="Arial"/>
        </w:rPr>
        <w:t>TYPE YOUR TEXT HERE</w:t>
      </w:r>
    </w:p>
    <w:permEnd w:id="832192356"/>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6F209F" w:rsidRDefault="006F209F" w:rsidP="006F209F">
      <w:pPr>
        <w:jc w:val="both"/>
        <w:rPr>
          <w:rFonts w:cs="Arial"/>
          <w:color w:val="000000"/>
        </w:rPr>
      </w:pPr>
      <w:permStart w:id="2065833331" w:edGrp="everyone"/>
      <w:r w:rsidRPr="006F209F">
        <w:rPr>
          <w:rFonts w:cs="Arial"/>
          <w:color w:val="000000"/>
        </w:rPr>
        <w:t>With regards to ongoing costs, we would restate that any type of cost has to be treated similarly with regards to its calculation methodology and disclosure, as the PRIIP KID must allow investors to compare costs and benefits of similar products. In line with this we do believe that potential shared profits should not be allowed to be deducted from the overall costs, if they cannot be reasonably ascertained ex-ante by the product manufacturer. This would, for instance, be the case if the extent to which a policyholders shall be allowed to participate in additional profits is left to a discretionary decision of an insuran</w:t>
      </w:r>
      <w:r>
        <w:rPr>
          <w:rFonts w:cs="Arial"/>
          <w:color w:val="000000"/>
        </w:rPr>
        <w:t xml:space="preserve">ce company, as is generally the </w:t>
      </w:r>
      <w:r w:rsidRPr="006F209F">
        <w:rPr>
          <w:rFonts w:cs="Arial"/>
          <w:color w:val="000000"/>
        </w:rPr>
        <w:t xml:space="preserve">case. </w:t>
      </w:r>
    </w:p>
    <w:p w:rsidR="006F209F" w:rsidRDefault="006F209F" w:rsidP="006F209F">
      <w:pPr>
        <w:jc w:val="both"/>
        <w:rPr>
          <w:rFonts w:cs="Arial"/>
          <w:color w:val="000000"/>
        </w:rPr>
      </w:pPr>
    </w:p>
    <w:p w:rsidR="006F209F" w:rsidRDefault="006F209F" w:rsidP="006F209F">
      <w:pPr>
        <w:jc w:val="both"/>
      </w:pPr>
      <w:r w:rsidRPr="006F209F">
        <w:rPr>
          <w:rFonts w:cs="Arial"/>
          <w:color w:val="000000"/>
        </w:rPr>
        <w:t>In this context, it must also be noted that allowing for deduction of voluntary cost reductions in case of life insurance contract would create an unlevelled playing field with other products. In case of investment funds, for instance, the full amount of a front-load fee would have to be included in the cost calculations even if such fee is regularly reduced or even not charged at the point of sale.</w:t>
      </w:r>
    </w:p>
    <w:permEnd w:id="2065833331"/>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5A75DE" w:rsidP="00F31E57">
      <w:permStart w:id="1062018871" w:edGrp="everyone"/>
      <w:r w:rsidRPr="00EF0769">
        <w:rPr>
          <w:rFonts w:cs="Arial"/>
        </w:rPr>
        <w:t>TYPE YOUR TEXT HERE</w:t>
      </w:r>
    </w:p>
    <w:permEnd w:id="1062018871"/>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5A75DE" w:rsidP="00F31E57">
      <w:permStart w:id="1641624177" w:edGrp="everyone"/>
      <w:r w:rsidRPr="00EF0769">
        <w:rPr>
          <w:rFonts w:cs="Arial"/>
        </w:rPr>
        <w:lastRenderedPageBreak/>
        <w:t>TYPE YOUR TEXT HERE</w:t>
      </w:r>
    </w:p>
    <w:permEnd w:id="1641624177"/>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5A75DE" w:rsidP="00F31E57">
      <w:permStart w:id="114099953" w:edGrp="everyone"/>
      <w:r w:rsidRPr="00EF0769">
        <w:rPr>
          <w:rFonts w:cs="Arial"/>
        </w:rPr>
        <w:t>TYPE YOUR TEXT HERE</w:t>
      </w:r>
    </w:p>
    <w:permEnd w:id="114099953"/>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B73EE9" w:rsidRPr="008A1FA3" w:rsidRDefault="00B73EE9" w:rsidP="00B73EE9">
      <w:pPr>
        <w:jc w:val="both"/>
      </w:pPr>
      <w:permStart w:id="2026507013" w:edGrp="everyone"/>
      <w:r w:rsidRPr="008A1FA3">
        <w:t>It is extremely important, for any relevant PRIIP, to emphasise early or high redemption costs to the investor in order to sensitise them to the costs of a redemption. If the RIY method is chosen (see answer to questions below), it will be possible to show the effects of early redemptions by using different holding periods (other than just the recommended holding period).</w:t>
      </w:r>
    </w:p>
    <w:p w:rsidR="00B73EE9" w:rsidRPr="008A1FA3" w:rsidRDefault="00B73EE9" w:rsidP="00B73EE9">
      <w:pPr>
        <w:jc w:val="both"/>
      </w:pPr>
    </w:p>
    <w:p w:rsidR="00F31E57" w:rsidRDefault="00B73EE9" w:rsidP="00B73EE9">
      <w:pPr>
        <w:jc w:val="both"/>
      </w:pPr>
      <w:r w:rsidRPr="008A1FA3">
        <w:t>With regards to calculating the costs of these eventualities, fund managers already use cost calculations for closed-ended funds with long maturities that might be used as a basis for the calculation of insurance PRIIPs’ early redemption costs.</w:t>
      </w:r>
    </w:p>
    <w:permEnd w:id="2026507013"/>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B73EE9" w:rsidRPr="008A1FA3" w:rsidRDefault="00B73EE9" w:rsidP="00B73EE9">
      <w:pPr>
        <w:spacing w:line="276" w:lineRule="auto"/>
        <w:jc w:val="both"/>
      </w:pPr>
      <w:permStart w:id="1304435955" w:edGrp="everyone"/>
      <w:r w:rsidRPr="008A1FA3">
        <w:t>Full consistency with the approach applied in the case of funds of funds is neither necessary nor appropriate. Funds of funds are actively managed vehicles that hold diversified investments in target funds and make new investments or dispose of their holdings depending on relevant market developments. In the case of unit-linked life insurance products, on the other hand, investors generally decide to invest in one specific fund, or in a limited number of funds, and hold these investments for as long as they wish. Therefore, it should be reasonably expected that a unit-linked life insurance product accounts for all costs of the underlying fund investment, possibly on an illustrative basis, in the aggregated cost disclosure to be provided in the PRIIP KID.</w:t>
      </w:r>
    </w:p>
    <w:permEnd w:id="1304435955"/>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B73EE9" w:rsidRPr="008A1FA3" w:rsidRDefault="00B73EE9" w:rsidP="00B73EE9">
      <w:pPr>
        <w:spacing w:line="276" w:lineRule="auto"/>
        <w:jc w:val="both"/>
      </w:pPr>
      <w:permStart w:id="350815278" w:edGrp="everyone"/>
      <w:r w:rsidRPr="008A1FA3">
        <w:t>We do not understand the statement that “investments in shares of real estate funds may be remunerated as dividends that indirectly include all or part of the cost of the management of these funds” and ask for clarification. Real estate funds are no different to funds invested in any other asset classes. They have ongoing charges and may have entry or exit charges. The costs of maintaining the underlying assets can be regarded in the same light as the costs of holding financial instruments in custody and handling related dividend and tax payments.</w:t>
      </w:r>
    </w:p>
    <w:permEnd w:id="350815278"/>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above mentioned or further options do you support, and why? More generally, how to measure costs that are passed to policy holders via profit participation mechanisms? Would you say that they are known to the insurance company? Do you think </w:t>
      </w:r>
      <w:r>
        <w:rPr>
          <w:rFonts w:cs="Arial"/>
        </w:rPr>
        <w:lastRenderedPageBreak/>
        <w:t>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BE5F6C" w:rsidRPr="008A1FA3" w:rsidRDefault="00BE5F6C" w:rsidP="00BE5F6C">
      <w:pPr>
        <w:jc w:val="both"/>
      </w:pPr>
      <w:permStart w:id="2019519771" w:edGrp="everyone"/>
      <w:r w:rsidRPr="008A1FA3">
        <w:t>Please regard our answer to Q49 above that provides comments on how profit participation mechanism should be presented to the investors.</w:t>
      </w:r>
    </w:p>
    <w:permEnd w:id="2019519771"/>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5A75DE" w:rsidP="00F31E57">
      <w:permStart w:id="32650373" w:edGrp="everyone"/>
      <w:r w:rsidRPr="00EF0769">
        <w:rPr>
          <w:rFonts w:cs="Arial"/>
        </w:rPr>
        <w:t>TYPE YOUR TEXT HERE</w:t>
      </w:r>
    </w:p>
    <w:permEnd w:id="32650373"/>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5A75DE" w:rsidP="00F31E57">
      <w:permStart w:id="618808148" w:edGrp="everyone"/>
      <w:r w:rsidRPr="00EF0769">
        <w:rPr>
          <w:rFonts w:cs="Arial"/>
        </w:rPr>
        <w:t>TYPE YOUR TEXT HERE</w:t>
      </w:r>
    </w:p>
    <w:permEnd w:id="618808148"/>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E507B3" w:rsidRPr="008A1FA3" w:rsidRDefault="00E507B3" w:rsidP="00E507B3">
      <w:pPr>
        <w:jc w:val="both"/>
      </w:pPr>
      <w:permStart w:id="464264934" w:edGrp="everyone"/>
      <w:r w:rsidRPr="008A1FA3">
        <w:t>We do not comment on the specificities of the cost calculation of structure products, but we do want to highlight that one of the PRIIP KID Regulation’s underlying principles is comparability of similar products. It is important that the final rules should not inadvertently advantage or disadvantage particular types of products. Therefore, it is important that a method is prescribed for the disclosure of costs contained within the purchase price of a structured product.</w:t>
      </w:r>
    </w:p>
    <w:permEnd w:id="464264934"/>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E507B3" w:rsidRPr="008A1FA3" w:rsidRDefault="00E507B3" w:rsidP="00E507B3">
      <w:pPr>
        <w:spacing w:line="276" w:lineRule="auto"/>
        <w:jc w:val="both"/>
      </w:pPr>
      <w:permStart w:id="1813270705" w:edGrp="everyone"/>
      <w:r w:rsidRPr="008A1FA3">
        <w:t xml:space="preserve">The difference between deposits and notes is not significant in our opinion. The cost of funding is the key underlying variable to determine the level of the “embedded” cost. </w:t>
      </w:r>
    </w:p>
    <w:p w:rsidR="00E507B3" w:rsidRPr="008A1FA3" w:rsidRDefault="00E507B3" w:rsidP="00E507B3">
      <w:pPr>
        <w:spacing w:line="276" w:lineRule="auto"/>
        <w:jc w:val="both"/>
      </w:pPr>
    </w:p>
    <w:p w:rsidR="00E507B3" w:rsidRPr="008A1FA3" w:rsidRDefault="00E507B3" w:rsidP="00E507B3">
      <w:pPr>
        <w:spacing w:line="276" w:lineRule="auto"/>
        <w:jc w:val="both"/>
      </w:pPr>
      <w:r w:rsidRPr="008A1FA3">
        <w:t>While the existence of a deposit guarantee scheme is a supplementary advantage for depositors, it should not be regarded as the essential feature, as the guarantee applies to the investor’s total deposits and is capped. Thus, it should instead feature in the KID’s credit risk analysis. Also, the level of additional protection will vary among individual investors, as the scheme is capped at EUR 100.000 per bank, thus making the individual’s protection dependent on the total amount of money deposited at a single bank institution or banking group.</w:t>
      </w:r>
    </w:p>
    <w:p w:rsidR="00E507B3" w:rsidRPr="008A1FA3" w:rsidRDefault="00E507B3" w:rsidP="00E507B3">
      <w:pPr>
        <w:spacing w:line="276" w:lineRule="auto"/>
        <w:jc w:val="both"/>
      </w:pPr>
    </w:p>
    <w:p w:rsidR="00E507B3" w:rsidRPr="008A1FA3" w:rsidRDefault="00E507B3" w:rsidP="00E507B3">
      <w:pPr>
        <w:spacing w:line="276" w:lineRule="auto"/>
        <w:jc w:val="both"/>
      </w:pPr>
      <w:r w:rsidRPr="008A1FA3">
        <w:t>Just as a deposit guarantee scheme is important to a structured deposit, for funds the regulated depositary, which provides oversight and safeguarding of the fund’s assets, is a significant positive feature for funds and should be highlighted in the KID (see our answer to Q6).</w:t>
      </w:r>
    </w:p>
    <w:permEnd w:id="1813270705"/>
    <w:p w:rsidR="00F31E57" w:rsidRDefault="00F31E57" w:rsidP="00F31E57">
      <w:r>
        <w:lastRenderedPageBreak/>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F31E57" w:rsidRDefault="005A75DE" w:rsidP="00F31E57">
      <w:permStart w:id="341117242" w:edGrp="everyone"/>
      <w:r w:rsidRPr="00EF0769">
        <w:rPr>
          <w:rFonts w:cs="Arial"/>
        </w:rPr>
        <w:t>TYPE YOUR TEXT HERE</w:t>
      </w:r>
    </w:p>
    <w:permEnd w:id="341117242"/>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E507B3" w:rsidRDefault="005A75DE" w:rsidP="00E507B3">
      <w:permStart w:id="729761033" w:edGrp="everyone"/>
      <w:r w:rsidRPr="00EF0769">
        <w:rPr>
          <w:rFonts w:cs="Arial"/>
        </w:rPr>
        <w:t>TYPE YOUR TEXT HERE</w:t>
      </w:r>
    </w:p>
    <w:permEnd w:id="729761033"/>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E507B3" w:rsidRDefault="005A75DE" w:rsidP="00E507B3">
      <w:permStart w:id="1519149981" w:edGrp="everyone"/>
      <w:r w:rsidRPr="00EF0769">
        <w:rPr>
          <w:rFonts w:cs="Arial"/>
        </w:rPr>
        <w:t>TYPE YOUR TEXT HERE</w:t>
      </w:r>
    </w:p>
    <w:permEnd w:id="1519149981"/>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E507B3" w:rsidRDefault="005A75DE" w:rsidP="00E507B3">
      <w:permStart w:id="266209573" w:edGrp="everyone"/>
      <w:r w:rsidRPr="00EF0769">
        <w:rPr>
          <w:rFonts w:cs="Arial"/>
        </w:rPr>
        <w:t>TYPE YOUR TEXT HERE</w:t>
      </w:r>
    </w:p>
    <w:permEnd w:id="266209573"/>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E507B3" w:rsidRDefault="005A75DE" w:rsidP="00E507B3">
      <w:permStart w:id="622884932" w:edGrp="everyone"/>
      <w:r w:rsidRPr="00EF0769">
        <w:rPr>
          <w:rFonts w:cs="Arial"/>
        </w:rPr>
        <w:t>TYPE YOUR TEXT HERE</w:t>
      </w:r>
    </w:p>
    <w:permEnd w:id="622884932"/>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E507B3" w:rsidRDefault="005A75DE" w:rsidP="00E507B3">
      <w:permStart w:id="1568043161" w:edGrp="everyone"/>
      <w:r w:rsidRPr="00EF0769">
        <w:rPr>
          <w:rFonts w:cs="Arial"/>
        </w:rPr>
        <w:t>TYPE YOUR TEXT HERE</w:t>
      </w:r>
    </w:p>
    <w:permEnd w:id="1568043161"/>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lastRenderedPageBreak/>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E507B3" w:rsidRDefault="005A75DE" w:rsidP="00E507B3">
      <w:permStart w:id="1468158082" w:edGrp="everyone"/>
      <w:r w:rsidRPr="00EF0769">
        <w:rPr>
          <w:rFonts w:cs="Arial"/>
        </w:rPr>
        <w:t>TYPE YOUR TEXT HERE</w:t>
      </w:r>
    </w:p>
    <w:permEnd w:id="1468158082"/>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E507B3" w:rsidRDefault="005A75DE" w:rsidP="00E507B3">
      <w:permStart w:id="1317498825" w:edGrp="everyone"/>
      <w:r w:rsidRPr="00EF0769">
        <w:rPr>
          <w:rFonts w:cs="Arial"/>
        </w:rPr>
        <w:t>TYPE YOUR TEXT HERE</w:t>
      </w:r>
    </w:p>
    <w:permEnd w:id="1317498825"/>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E507B3" w:rsidRDefault="005A75DE" w:rsidP="00E507B3">
      <w:permStart w:id="1390826500" w:edGrp="everyone"/>
      <w:r w:rsidRPr="00EF0769">
        <w:rPr>
          <w:rFonts w:cs="Arial"/>
        </w:rPr>
        <w:t>TYPE YOUR TEXT HERE</w:t>
      </w:r>
    </w:p>
    <w:permEnd w:id="1390826500"/>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E507B3" w:rsidRPr="008A1FA3" w:rsidRDefault="00E507B3" w:rsidP="00E507B3">
      <w:pPr>
        <w:spacing w:line="276" w:lineRule="auto"/>
        <w:jc w:val="both"/>
      </w:pPr>
      <w:permStart w:id="1691880620" w:edGrp="everyone"/>
      <w:r w:rsidRPr="008A1FA3">
        <w:t>We suggest use of the existing UCITS KIID methodology as a basis. Currently, the (at least) annual update is supplemented by a constan</w:t>
      </w:r>
      <w:r w:rsidR="00206CF7">
        <w:t>t monitoring of the UCITS SRRI.</w:t>
      </w:r>
      <w:bookmarkStart w:id="3" w:name="_GoBack"/>
      <w:bookmarkEnd w:id="3"/>
    </w:p>
    <w:permEnd w:id="1691880620"/>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E507B3" w:rsidRDefault="005A75DE" w:rsidP="00E507B3">
      <w:permStart w:id="1751322513" w:edGrp="everyone"/>
      <w:r w:rsidRPr="00EF0769">
        <w:rPr>
          <w:rFonts w:cs="Arial"/>
        </w:rPr>
        <w:t>TYPE YOUR TEXT HERE</w:t>
      </w:r>
    </w:p>
    <w:permEnd w:id="1751322513"/>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E507B3" w:rsidRDefault="005A75DE" w:rsidP="00E507B3">
      <w:permStart w:id="868639144" w:edGrp="everyone"/>
      <w:r w:rsidRPr="00EF0769">
        <w:rPr>
          <w:rFonts w:cs="Arial"/>
        </w:rPr>
        <w:t>TYPE YOUR TEXT HERE</w:t>
      </w:r>
    </w:p>
    <w:permEnd w:id="868639144"/>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E507B3" w:rsidRDefault="005A75DE" w:rsidP="00E507B3">
      <w:permStart w:id="1667986585" w:edGrp="everyone"/>
      <w:r w:rsidRPr="00EF0769">
        <w:rPr>
          <w:rFonts w:cs="Arial"/>
        </w:rPr>
        <w:t>TYPE YOUR TEXT HERE</w:t>
      </w:r>
    </w:p>
    <w:permEnd w:id="1667986585"/>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E507B3" w:rsidRDefault="005A75DE" w:rsidP="00E507B3">
      <w:permStart w:id="1648251611" w:edGrp="everyone"/>
      <w:r w:rsidRPr="00EF0769">
        <w:rPr>
          <w:rFonts w:cs="Arial"/>
        </w:rPr>
        <w:t>TYPE YOUR TEXT HERE</w:t>
      </w:r>
    </w:p>
    <w:permEnd w:id="1648251611"/>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E507B3" w:rsidRDefault="005A75DE" w:rsidP="00E507B3">
      <w:permStart w:id="342239908" w:edGrp="everyone"/>
      <w:r w:rsidRPr="00EF0769">
        <w:rPr>
          <w:rFonts w:cs="Arial"/>
        </w:rPr>
        <w:t>TYPE YOUR TEXT HERE</w:t>
      </w:r>
    </w:p>
    <w:permEnd w:id="342239908"/>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E507B3" w:rsidRDefault="005A75DE" w:rsidP="00E507B3">
      <w:permStart w:id="1494237500" w:edGrp="everyone"/>
      <w:r w:rsidRPr="00EF0769">
        <w:rPr>
          <w:rFonts w:cs="Arial"/>
        </w:rPr>
        <w:t>TYPE YOUR TEXT HERE</w:t>
      </w:r>
    </w:p>
    <w:permEnd w:id="1494237500"/>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E507B3" w:rsidRDefault="005A75DE" w:rsidP="00E507B3">
      <w:permStart w:id="1651508202" w:edGrp="everyone"/>
      <w:r w:rsidRPr="00EF0769">
        <w:rPr>
          <w:rFonts w:cs="Arial"/>
        </w:rPr>
        <w:t>TYPE YOUR TEXT HERE</w:t>
      </w:r>
    </w:p>
    <w:permEnd w:id="1651508202"/>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E507B3" w:rsidRDefault="005A75DE" w:rsidP="00E507B3">
      <w:permStart w:id="439172774" w:edGrp="everyone"/>
      <w:r w:rsidRPr="00EF0769">
        <w:rPr>
          <w:rFonts w:cs="Arial"/>
        </w:rPr>
        <w:t>TYPE YOUR TEXT HERE</w:t>
      </w:r>
    </w:p>
    <w:permEnd w:id="439172774"/>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E507B3" w:rsidRDefault="005A75DE" w:rsidP="00E507B3">
      <w:permStart w:id="742613923" w:edGrp="everyone"/>
      <w:r w:rsidRPr="00EF0769">
        <w:rPr>
          <w:rFonts w:cs="Arial"/>
        </w:rPr>
        <w:t>TYPE YOUR TEXT HERE</w:t>
      </w:r>
    </w:p>
    <w:permEnd w:id="742613923"/>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3C739B" w:rsidP="003C739B">
      <w:pPr>
        <w:jc w:val="both"/>
      </w:pPr>
      <w:permStart w:id="302986753" w:edGrp="everyone"/>
      <w:r w:rsidRPr="008A1FA3">
        <w:t>The record-keeping period of five years is appropriate not only for UCITS, but for all open-ended investment funds and for perpetual closed-ended AIFs. In the case of PRIIPs issued for a fixed term, records should be kept for the entire lifetime of a product, since the reasonability of cost calculations and the underlying assumptions can be properly assessed only after its expiry.</w:t>
      </w:r>
    </w:p>
    <w:permEnd w:id="302986753"/>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3C739B" w:rsidRPr="008A1FA3" w:rsidRDefault="003C739B" w:rsidP="003C739B">
      <w:pPr>
        <w:jc w:val="both"/>
      </w:pPr>
      <w:permStart w:id="577569161" w:edGrp="everyone"/>
      <w:r w:rsidRPr="008A1FA3">
        <w:t>The “</w:t>
      </w:r>
      <w:proofErr w:type="spellStart"/>
      <w:r w:rsidRPr="008A1FA3">
        <w:t>pari</w:t>
      </w:r>
      <w:proofErr w:type="spellEnd"/>
      <w:r w:rsidRPr="008A1FA3">
        <w:t xml:space="preserve"> </w:t>
      </w:r>
      <w:proofErr w:type="spellStart"/>
      <w:r w:rsidRPr="008A1FA3">
        <w:t>passu</w:t>
      </w:r>
      <w:proofErr w:type="spellEnd"/>
      <w:r w:rsidRPr="008A1FA3">
        <w:t xml:space="preserve">” principle is already used in the CESR Guidelines on the methodology for calculation of the ongoing charges figure for UCITS. If its meaning in terms of “the same family” remains unchanged, then we do not see the need for further explanation or adaptation of this principle as regards its application to retail AIFs. </w:t>
      </w:r>
    </w:p>
    <w:permEnd w:id="577569161"/>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3C739B" w:rsidRPr="008A1FA3" w:rsidRDefault="003C739B" w:rsidP="003C739B">
      <w:pPr>
        <w:jc w:val="both"/>
      </w:pPr>
      <w:permStart w:id="44789847" w:edGrp="everyone"/>
      <w:r w:rsidRPr="008A1FA3">
        <w:t>While we can appreciate the benefits of a fixed investment amount in Euros, we believe that it should not be prescribed in the Level-2 RTS, for the following reasons:</w:t>
      </w:r>
    </w:p>
    <w:p w:rsidR="003C739B" w:rsidRPr="008A1FA3" w:rsidRDefault="003C739B" w:rsidP="003C739B">
      <w:pPr>
        <w:jc w:val="both"/>
      </w:pPr>
    </w:p>
    <w:p w:rsidR="003C739B" w:rsidRPr="008A1FA3" w:rsidRDefault="003C739B" w:rsidP="003C739B">
      <w:pPr>
        <w:pStyle w:val="ListParagraph"/>
        <w:numPr>
          <w:ilvl w:val="0"/>
          <w:numId w:val="53"/>
        </w:numPr>
        <w:spacing w:line="259" w:lineRule="auto"/>
        <w:jc w:val="both"/>
      </w:pPr>
      <w:r w:rsidRPr="008A1FA3">
        <w:t>Other currencies beside the Euro exist in the EU and an investment amount “hard-wired” into the legal framework would lead to conversion to local currencies that would leave non-Euro investors with (numerically speaking) arbitrary investment amounts.</w:t>
      </w:r>
    </w:p>
    <w:p w:rsidR="003C739B" w:rsidRPr="008A1FA3" w:rsidRDefault="003C739B" w:rsidP="003C739B">
      <w:pPr>
        <w:pStyle w:val="ListParagraph"/>
        <w:numPr>
          <w:ilvl w:val="0"/>
          <w:numId w:val="53"/>
        </w:numPr>
        <w:spacing w:line="259" w:lineRule="auto"/>
        <w:jc w:val="both"/>
      </w:pPr>
      <w:r w:rsidRPr="008A1FA3">
        <w:t>As investment amount of EUR 1,000 might not always represent the true nature of a PRIIP, which might be designed with higher or lower investment amounts in mind.</w:t>
      </w:r>
    </w:p>
    <w:p w:rsidR="003C739B" w:rsidRPr="008A1FA3" w:rsidRDefault="003C739B" w:rsidP="003C739B">
      <w:pPr>
        <w:pStyle w:val="ListParagraph"/>
        <w:numPr>
          <w:ilvl w:val="0"/>
          <w:numId w:val="53"/>
        </w:numPr>
        <w:spacing w:line="259" w:lineRule="auto"/>
        <w:jc w:val="both"/>
      </w:pPr>
      <w:r w:rsidRPr="008A1FA3">
        <w:t>Some of the charges levied are determined by the distributor and are, thus, outside the scope of the PRIIP’s manufacturer. Overall distribution costs can therefore be highly dependent on the total amount to be invested and might vary significantly.</w:t>
      </w:r>
    </w:p>
    <w:p w:rsidR="003C739B" w:rsidRPr="008A1FA3" w:rsidRDefault="003C739B" w:rsidP="003C739B">
      <w:pPr>
        <w:pStyle w:val="ListParagraph"/>
        <w:numPr>
          <w:ilvl w:val="0"/>
          <w:numId w:val="53"/>
        </w:numPr>
        <w:spacing w:line="259" w:lineRule="auto"/>
        <w:jc w:val="both"/>
      </w:pPr>
      <w:r w:rsidRPr="008A1FA3">
        <w:t>Not all investment products are designed with solely one-off investments in mind. Some products are designed around regular payments that create different performance and cost assumptions (i.e. time value of money).</w:t>
      </w:r>
    </w:p>
    <w:p w:rsidR="003C739B" w:rsidRPr="008A1FA3" w:rsidRDefault="003C739B" w:rsidP="003C739B">
      <w:pPr>
        <w:jc w:val="both"/>
      </w:pPr>
    </w:p>
    <w:p w:rsidR="003C739B" w:rsidRPr="008A1FA3" w:rsidRDefault="003C739B" w:rsidP="003C739B">
      <w:pPr>
        <w:jc w:val="both"/>
      </w:pPr>
      <w:r w:rsidRPr="008A1FA3">
        <w:t>If the ESAs persist with standardised initial investment amounts, we urge they be dealt with through Level-3 guidelines or Level-4 Q&amp;A</w:t>
      </w:r>
      <w:r>
        <w:t>’</w:t>
      </w:r>
      <w:r w:rsidRPr="008A1FA3">
        <w:t xml:space="preserve">s and that they allow for different amounts for different types of PRIIPs. </w:t>
      </w:r>
    </w:p>
    <w:permEnd w:id="44789847"/>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5A75DE" w:rsidP="00F31E57">
      <w:permStart w:id="2129725126" w:edGrp="everyone"/>
      <w:r w:rsidRPr="00EF0769">
        <w:rPr>
          <w:rFonts w:cs="Arial"/>
        </w:rPr>
        <w:t>TYPE YOUR TEXT HERE</w:t>
      </w:r>
    </w:p>
    <w:permEnd w:id="2129725126"/>
    <w:p w:rsidR="00F31E57" w:rsidRDefault="00F31E57" w:rsidP="00F31E57">
      <w:r>
        <w:lastRenderedPageBreak/>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4F1B17" w:rsidRPr="008A1FA3" w:rsidRDefault="004F1B17" w:rsidP="004F1B17">
      <w:pPr>
        <w:jc w:val="both"/>
      </w:pPr>
      <w:permStart w:id="1932929029" w:edGrp="everyone"/>
      <w:r w:rsidRPr="008A1FA3">
        <w:t xml:space="preserve">We agree that the rate of return should be consistent with the scenarios presented in the performance section. The performance scenarios should also help investors understand the effect of costs if they are presented net of costs, as we recommend. </w:t>
      </w:r>
    </w:p>
    <w:p w:rsidR="004F1B17" w:rsidRPr="008A1FA3" w:rsidRDefault="004F1B17" w:rsidP="004F1B17">
      <w:pPr>
        <w:jc w:val="both"/>
      </w:pPr>
    </w:p>
    <w:p w:rsidR="00F31E57" w:rsidRDefault="004F1B17" w:rsidP="004F1B17">
      <w:pPr>
        <w:jc w:val="both"/>
      </w:pPr>
      <w:r w:rsidRPr="008A1FA3">
        <w:t>Even though one aggregated figure might seem the easiest solution, this is not sufficient to illustrate the full story of costs as for certain types of products these vary greatly depending on the time of redemption. Therefore, we favour the inclusion of cost figures for different holding periods as this will enable investors better to assess the liquidity profile of a product. A reduction-in-yield (RIY) approach is more appropriate than a total cost ratio approach to disclose costs to investors.</w:t>
      </w:r>
    </w:p>
    <w:permEnd w:id="1932929029"/>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00318A" w:rsidRPr="008A1FA3" w:rsidRDefault="0000318A" w:rsidP="0000318A">
      <w:pPr>
        <w:jc w:val="both"/>
      </w:pPr>
      <w:permStart w:id="1441804276" w:edGrp="everyone"/>
      <w:r w:rsidRPr="008A1FA3">
        <w:t>The assumed holding period for amortisation of entry or exit costs should obviously match the assumed holding period for the overall cost disclosure. We believe that disclosure of costs in the PRIIP KID should be based on a number of standardised time horizons in order to provide comparable information on product costs relating to short-, medium- and long-term investments. In this regard, investment periods of 1 year, 3 years, 5 years, 10 years and the PRIIP’s lifetime or recommended holding period (if longer) should be covered. If such differentiated information is deemed too complex, cost disclosure could focus on the timespans of 1 year, 5 years and 10 years (or the product lifetime/recommended holding period). Please also see our answer to Q93 for further comments.</w:t>
      </w:r>
    </w:p>
    <w:p w:rsidR="0000318A" w:rsidRPr="008A1FA3" w:rsidRDefault="0000318A" w:rsidP="0000318A">
      <w:pPr>
        <w:jc w:val="both"/>
      </w:pPr>
    </w:p>
    <w:p w:rsidR="0000318A" w:rsidRPr="008A1FA3" w:rsidRDefault="0000318A" w:rsidP="0000318A">
      <w:pPr>
        <w:jc w:val="both"/>
      </w:pPr>
      <w:r w:rsidRPr="008A1FA3">
        <w:t>Concerning the amortisation methodology, a linear methodology would be most appropriate for investment funds.</w:t>
      </w:r>
    </w:p>
    <w:permEnd w:id="1441804276"/>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A42E1F" w:rsidRPr="008A1FA3" w:rsidRDefault="00A42E1F" w:rsidP="00A42E1F">
      <w:pPr>
        <w:jc w:val="both"/>
      </w:pPr>
      <w:permStart w:id="234822390" w:edGrp="everyone"/>
      <w:r w:rsidRPr="008A1FA3">
        <w:t xml:space="preserve">The entry and exit costs are currently usually expressed in the UCITS KIID as maximum percentages, as prescribed in the CESR guidelines for the KIID template. </w:t>
      </w:r>
    </w:p>
    <w:p w:rsidR="00A42E1F" w:rsidRPr="008A1FA3" w:rsidRDefault="00A42E1F" w:rsidP="00A42E1F">
      <w:pPr>
        <w:jc w:val="both"/>
      </w:pPr>
    </w:p>
    <w:p w:rsidR="00A42E1F" w:rsidRPr="008A1FA3" w:rsidRDefault="00A42E1F" w:rsidP="00A42E1F">
      <w:pPr>
        <w:jc w:val="both"/>
      </w:pPr>
      <w:r w:rsidRPr="008A1FA3">
        <w:lastRenderedPageBreak/>
        <w:t>It is impossible to reflect the individual investor’s actual entry/exit costs, as those costs are independent from the product manufacturer and will vary from distributor to distributor and client to client and can thus not be reflected in the KID, which is produced by the manufacturer. The exact charges levied by the distributor (as well as cumulative costs and charges) will have to be provided through the MiFID II and IDD disclosure requirements at the point of sale.</w:t>
      </w:r>
    </w:p>
    <w:p w:rsidR="00A42E1F" w:rsidRPr="008A1FA3" w:rsidRDefault="00A42E1F" w:rsidP="00A42E1F">
      <w:pPr>
        <w:jc w:val="both"/>
      </w:pPr>
    </w:p>
    <w:p w:rsidR="00A42E1F" w:rsidRPr="008A1FA3" w:rsidRDefault="00A42E1F" w:rsidP="00A42E1F">
      <w:pPr>
        <w:jc w:val="both"/>
      </w:pPr>
      <w:r w:rsidRPr="008A1FA3">
        <w:t>Should the ESAs nonetheless decide to include entry/exit costs in the summary cost indicator in the TCR, we would agree to use the definition of the ratio as taken in the CESR guidelines on cost disclosures for UCITS. We also suggest to clarify that the same method should consistently be applied for entry/exit cost, also expressed in monetary terms.</w:t>
      </w:r>
    </w:p>
    <w:p w:rsidR="00A42E1F" w:rsidRPr="008A1FA3" w:rsidRDefault="00A42E1F" w:rsidP="00A42E1F">
      <w:pPr>
        <w:jc w:val="both"/>
      </w:pPr>
    </w:p>
    <w:p w:rsidR="00A42E1F" w:rsidRPr="008A1FA3" w:rsidRDefault="00A42E1F" w:rsidP="00A42E1F">
      <w:pPr>
        <w:jc w:val="both"/>
      </w:pPr>
      <w:r w:rsidRPr="008A1FA3">
        <w:t>For the reasons given in our answer to Q82, it is not appropriate to use the ratio between the total amount of costs over the holding period and the average net investment (assumed during the whole period in order to take future additional investments, partial withdrawals, payments (i.e. programmed investments or disinvestments) into account).</w:t>
      </w:r>
    </w:p>
    <w:permEnd w:id="234822390"/>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A42E1F" w:rsidRPr="008A1FA3" w:rsidRDefault="00A42E1F" w:rsidP="00A42E1F">
      <w:pPr>
        <w:jc w:val="both"/>
      </w:pPr>
      <w:permStart w:id="1587027331" w:edGrp="everyone"/>
      <w:r w:rsidRPr="008A1FA3">
        <w:t>We believe that an actuarial approach (possibly RIY) is an appropriate manner to deal with timely payments.</w:t>
      </w:r>
    </w:p>
    <w:permEnd w:id="1587027331"/>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A42E1F" w:rsidRPr="008A1FA3" w:rsidRDefault="00A42E1F" w:rsidP="00A42E1F">
      <w:pPr>
        <w:spacing w:line="276" w:lineRule="auto"/>
        <w:jc w:val="both"/>
        <w:rPr>
          <w:i/>
          <w:color w:val="FF0000"/>
          <w:u w:val="single"/>
        </w:rPr>
      </w:pPr>
      <w:permStart w:id="1811359415" w:edGrp="everyone"/>
      <w:r w:rsidRPr="008A1FA3">
        <w:t>We believe that the RIY approach is better suited to structured products and would ensure some consistency and therefore comparability between types of PRIIPs.</w:t>
      </w:r>
    </w:p>
    <w:permEnd w:id="1811359415"/>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9541C9" w:rsidRPr="008A1FA3" w:rsidRDefault="009541C9" w:rsidP="005A75DE">
      <w:pPr>
        <w:jc w:val="both"/>
      </w:pPr>
      <w:permStart w:id="844645281" w:edGrp="everyone"/>
      <w:r w:rsidRPr="008A1FA3">
        <w:t>First of all, while the disclosed amounts should be sufficient to comply with all the MiFID II (and IDD) disclosures, the aggregation of contingent costs such as transaction costs or performance fees with costs that are known in advance, such as management fee or audit fees, will lead to the disclosure of misleading information. Therefore, we urge the presentation of two total cost figures: on the one hand, all costs fully know ex-ante; and, on the other hand, all contingent costs that need to be estimated. The latter could then be accompanied by appropriate disclaimers so that clients are informed that this figure is only an estimate.</w:t>
      </w:r>
    </w:p>
    <w:p w:rsidR="009541C9" w:rsidRPr="008A1FA3" w:rsidRDefault="009541C9" w:rsidP="005A75DE">
      <w:pPr>
        <w:jc w:val="both"/>
      </w:pPr>
    </w:p>
    <w:p w:rsidR="009541C9" w:rsidRPr="008A1FA3" w:rsidRDefault="009541C9" w:rsidP="005A75DE">
      <w:pPr>
        <w:jc w:val="both"/>
      </w:pPr>
      <w:r w:rsidRPr="008A1FA3">
        <w:t>After those two amounts of costs are calculated, they can indeed be divided by the average net assets of the costs to produce the TCR (or the RIY), as currently prescribed by the CESR guidelines.</w:t>
      </w:r>
    </w:p>
    <w:p w:rsidR="009541C9" w:rsidRPr="008A1FA3" w:rsidRDefault="009541C9" w:rsidP="005A75DE">
      <w:pPr>
        <w:jc w:val="both"/>
      </w:pPr>
    </w:p>
    <w:p w:rsidR="009541C9" w:rsidRDefault="009541C9" w:rsidP="00F31E57">
      <w:r w:rsidRPr="008A1FA3">
        <w:t xml:space="preserve">In any case, it is unreasonable to reflect some kind of individual investment patterns (e.g. by accounting for hypothetic additional investments or withdrawals in the general information) on the overall product costs to be provided by the PRIIP’s manufacturer. </w:t>
      </w:r>
    </w:p>
    <w:permEnd w:id="844645281"/>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480AC4" w:rsidRPr="008A1FA3" w:rsidRDefault="00480AC4" w:rsidP="00480AC4">
      <w:pPr>
        <w:jc w:val="both"/>
      </w:pPr>
      <w:permStart w:id="1900682421" w:edGrp="everyone"/>
      <w:r w:rsidRPr="008A1FA3">
        <w:t>We consider it appropriate to use principles from the CESR guidelines on cost disclosure for UCITS in the PRIIPs context.</w:t>
      </w:r>
    </w:p>
    <w:permEnd w:id="1900682421"/>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480AC4" w:rsidRPr="008A1FA3" w:rsidRDefault="00480AC4" w:rsidP="00480AC4">
      <w:pPr>
        <w:jc w:val="both"/>
      </w:pPr>
      <w:permStart w:id="922905391" w:edGrp="everyone"/>
      <w:r w:rsidRPr="008A1FA3">
        <w:t>Generally speaking, all costs should be reflected in the same manner for all types of PRIIPs. We therefore believe that the same principles used for the on-going charges should also apply to life insurance products.</w:t>
      </w:r>
    </w:p>
    <w:permEnd w:id="922905391"/>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w:t>
      </w:r>
      <w:r>
        <w:rPr>
          <w:rFonts w:cs="Arial"/>
        </w:rPr>
        <w:lastRenderedPageBreak/>
        <w:t xml:space="preserve">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275465" w:rsidP="00F31E57">
      <w:permStart w:id="979767194" w:edGrp="everyone"/>
      <w:r w:rsidRPr="00EF0769">
        <w:rPr>
          <w:rFonts w:cs="Arial"/>
        </w:rPr>
        <w:t>TYPE YOUR TEXT HERE</w:t>
      </w:r>
    </w:p>
    <w:permEnd w:id="979767194"/>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1237AB" w:rsidRPr="008A1FA3" w:rsidRDefault="001237AB" w:rsidP="001237AB">
      <w:pPr>
        <w:jc w:val="both"/>
      </w:pPr>
      <w:permStart w:id="1734091994" w:edGrp="everyone"/>
      <w:r w:rsidRPr="00644A96">
        <w:t>EFAMA prefer</w:t>
      </w:r>
      <w:r w:rsidRPr="005836A1">
        <w:t>s</w:t>
      </w:r>
      <w:r w:rsidRPr="008A1FA3">
        <w:t xml:space="preserve"> the RIY over the TCR approach and does not see any specific issue in relation to the implementation of the RIY approach to funds. We even consider this approach suited for all types of PRIIPs, as it better reflects the compound effect of costs. Additionally, the RIY approach also clearly distinguishes the cost impact for different time holding periods, thus allowing investors better to grasp the effects of all types of costs (and in particular those of early voluntary redemption for fixed-term PRIIPs). In order to create a natural link with the performance scenarios in the other KID section, the neutral (or most probable scenario) should form the basis for the RIY calculation. A link with the existing performance scenario will also ensure that no unreasonable or unrealistic growth rates are used and will provide for the essential consistency between the different sections of the KID. </w:t>
      </w:r>
    </w:p>
    <w:p w:rsidR="001237AB" w:rsidRPr="008A1FA3" w:rsidRDefault="001237AB" w:rsidP="001237AB">
      <w:pPr>
        <w:jc w:val="both"/>
      </w:pPr>
    </w:p>
    <w:p w:rsidR="001237AB" w:rsidRPr="008A1FA3" w:rsidRDefault="001237AB" w:rsidP="001237AB">
      <w:pPr>
        <w:jc w:val="both"/>
      </w:pPr>
      <w:r w:rsidRPr="008A1FA3">
        <w:t>While tentatively agreeing with the graphical example on page 106, this table must be preceded by the detailed cost disclosure allowing the investor to appreciate that the estimated nature of the overall cost figures is made up of different types of costs, some being ascertainable ex-ante and some not</w:t>
      </w:r>
      <w:r w:rsidRPr="008A1FA3">
        <w:rPr>
          <w:rStyle w:val="FootnoteReference"/>
        </w:rPr>
        <w:footnoteReference w:id="14"/>
      </w:r>
      <w:r w:rsidRPr="008A1FA3">
        <w:t>. In any case, this section should carry appropriate warnings that this is only an estimation.</w:t>
      </w:r>
    </w:p>
    <w:permEnd w:id="1734091994"/>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D16850" w:rsidRPr="008A1FA3" w:rsidRDefault="00D16850" w:rsidP="00D16850">
      <w:pPr>
        <w:jc w:val="both"/>
      </w:pPr>
      <w:permStart w:id="816251094" w:edGrp="everyone"/>
      <w:r w:rsidRPr="008A1FA3">
        <w:t>We fully support the notion of adding “missing” dividends to the original investment value in order to account for the corresponding yield reduction in the RIY calculations. As emphasized in our reply to Q33 above, investors should always be able to evaluate and compare yield prospects for different PRIIPs pursuing similar investment strategies. Otherwise, investors wishing to invest e.g. in an equity index via a fund or a structured note would be entirely misled and deprived of a sound comparison basis for their investment decision, if missing dividends are not accounted for in the cost calculation of the latter.</w:t>
      </w:r>
    </w:p>
    <w:p w:rsidR="00D16850" w:rsidRPr="008A1FA3" w:rsidRDefault="00D16850" w:rsidP="00D16850">
      <w:pPr>
        <w:jc w:val="both"/>
      </w:pPr>
    </w:p>
    <w:p w:rsidR="00D16850" w:rsidRPr="008A1FA3" w:rsidRDefault="00D16850" w:rsidP="00D16850">
      <w:pPr>
        <w:jc w:val="both"/>
      </w:pPr>
      <w:r w:rsidRPr="008A1FA3">
        <w:t xml:space="preserve">Moreover, the discussed formal consideration of products on the basis of beneficial ownership disregards the realities at the point of sale. It is clear that retail investors will generally not be able to assess whether or not he will be a legal or beneficial owner of the underlying assets when purchasing an investment product. Given that the very purpose of the PRIIP KID is to achieve comparability between different investment wrappers, it is compelling that these information asymmetries are accommodated by a meaningful and comparable disclosure of product costs. </w:t>
      </w:r>
    </w:p>
    <w:permEnd w:id="816251094"/>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183CF3" w:rsidRPr="008A1FA3" w:rsidRDefault="00183CF3" w:rsidP="00183CF3">
      <w:pPr>
        <w:jc w:val="both"/>
      </w:pPr>
      <w:permStart w:id="2019441016" w:edGrp="everyone"/>
      <w:r w:rsidRPr="008A1FA3">
        <w:t xml:space="preserve">EFAMA does not favour an assumption of a 0% growth rate as this is not a realistic illustration of how financial products function. Such an assumption would confuse the investor since this might lead them to thinking that they will incur a loss in all cases. Therefore we reiterate that we favour a growth rate originating from the performance scenario section. </w:t>
      </w:r>
    </w:p>
    <w:p w:rsidR="00183CF3" w:rsidRPr="008A1FA3" w:rsidRDefault="00183CF3" w:rsidP="00183CF3">
      <w:pPr>
        <w:jc w:val="both"/>
      </w:pPr>
    </w:p>
    <w:p w:rsidR="00183CF3" w:rsidRPr="008A1FA3" w:rsidRDefault="00183CF3" w:rsidP="00183CF3">
      <w:pPr>
        <w:jc w:val="both"/>
      </w:pPr>
      <w:r w:rsidRPr="008A1FA3">
        <w:t xml:space="preserve">This approach should also solve a problem that is particularly acute for asset management in this whole discussion: it appears to us that a great emphasis is put on the costs and their diminishing effect on the return on the investments. However, when costs are incurred, one also has to look at the benefits received in exchange for those costs. </w:t>
      </w:r>
    </w:p>
    <w:p w:rsidR="00183CF3" w:rsidRPr="008A1FA3" w:rsidRDefault="00183CF3" w:rsidP="00183CF3">
      <w:pPr>
        <w:jc w:val="both"/>
      </w:pPr>
    </w:p>
    <w:p w:rsidR="00183CF3" w:rsidRPr="008A1FA3" w:rsidRDefault="00183CF3" w:rsidP="00183CF3">
      <w:pPr>
        <w:jc w:val="both"/>
      </w:pPr>
      <w:r w:rsidRPr="008A1FA3">
        <w:t>A de-facto bias against active asset management would appear if the final rules do not allow actively managed products to display the benefits via their past performance record. Otherwise, the comparison of KIDs would falsely educate investors that products compete only on costs, to the disadvantage of those products that make use of more expensive strategies to achieve higher returns.</w:t>
      </w:r>
    </w:p>
    <w:permEnd w:id="2019441016"/>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275465" w:rsidP="00F31E57">
      <w:permStart w:id="1266551079" w:edGrp="everyone"/>
      <w:r w:rsidRPr="00EF0769">
        <w:rPr>
          <w:rFonts w:cs="Arial"/>
        </w:rPr>
        <w:t>TYPE YOUR TEXT HERE</w:t>
      </w:r>
    </w:p>
    <w:permEnd w:id="1266551079"/>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183CF3" w:rsidRDefault="00275465" w:rsidP="00183CF3">
      <w:permStart w:id="993025388" w:edGrp="everyone"/>
      <w:r w:rsidRPr="00EF0769">
        <w:rPr>
          <w:rFonts w:cs="Arial"/>
        </w:rPr>
        <w:t>TYPE YOUR TEXT HERE</w:t>
      </w:r>
    </w:p>
    <w:permEnd w:id="993025388"/>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183CF3" w:rsidRDefault="00275465" w:rsidP="00183CF3">
      <w:permStart w:id="818243548" w:edGrp="everyone"/>
      <w:r w:rsidRPr="00EF0769">
        <w:rPr>
          <w:rFonts w:cs="Arial"/>
        </w:rPr>
        <w:t>TYPE YOUR TEXT HERE</w:t>
      </w:r>
    </w:p>
    <w:permEnd w:id="818243548"/>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183CF3" w:rsidRDefault="00275465" w:rsidP="00183CF3">
      <w:permStart w:id="712063907" w:edGrp="everyone"/>
      <w:r w:rsidRPr="00EF0769">
        <w:rPr>
          <w:rFonts w:cs="Arial"/>
        </w:rPr>
        <w:t>TYPE YOUR TEXT HERE</w:t>
      </w:r>
    </w:p>
    <w:permEnd w:id="712063907"/>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8CF" w:rsidRDefault="006358CF">
      <w:r>
        <w:separator/>
      </w:r>
    </w:p>
    <w:p w:rsidR="006358CF" w:rsidRDefault="006358CF"/>
  </w:endnote>
  <w:endnote w:type="continuationSeparator" w:id="0">
    <w:p w:rsidR="006358CF" w:rsidRDefault="006358CF">
      <w:r>
        <w:continuationSeparator/>
      </w:r>
    </w:p>
    <w:p w:rsidR="006358CF" w:rsidRDefault="006358CF"/>
  </w:endnote>
  <w:endnote w:type="continuationNotice" w:id="1">
    <w:p w:rsidR="006358CF" w:rsidRDefault="00635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A75DE" w:rsidRPr="00616B9B" w:rsidTr="00315E96">
      <w:trPr>
        <w:trHeight w:val="284"/>
      </w:trPr>
      <w:tc>
        <w:tcPr>
          <w:tcW w:w="8460" w:type="dxa"/>
        </w:tcPr>
        <w:p w:rsidR="005A75DE" w:rsidRPr="00315E96" w:rsidRDefault="005A75DE" w:rsidP="00315E96">
          <w:pPr>
            <w:pStyle w:val="00Footer"/>
            <w:rPr>
              <w:lang w:val="fr-FR"/>
            </w:rPr>
          </w:pPr>
        </w:p>
      </w:tc>
      <w:tc>
        <w:tcPr>
          <w:tcW w:w="952" w:type="dxa"/>
        </w:tcPr>
        <w:p w:rsidR="005A75DE" w:rsidRPr="00616B9B" w:rsidRDefault="005A75D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06CF7">
            <w:rPr>
              <w:rFonts w:cs="Arial"/>
              <w:noProof/>
              <w:sz w:val="22"/>
              <w:szCs w:val="22"/>
            </w:rPr>
            <w:t>37</w:t>
          </w:r>
          <w:r w:rsidRPr="00616B9B">
            <w:rPr>
              <w:rFonts w:cs="Arial"/>
              <w:noProof/>
              <w:sz w:val="22"/>
              <w:szCs w:val="22"/>
            </w:rPr>
            <w:fldChar w:fldCharType="end"/>
          </w:r>
        </w:p>
      </w:tc>
    </w:tr>
  </w:tbl>
  <w:p w:rsidR="005A75DE" w:rsidRDefault="005A7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DE" w:rsidRDefault="005A7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8CF" w:rsidRDefault="006358CF">
      <w:r>
        <w:separator/>
      </w:r>
    </w:p>
    <w:p w:rsidR="006358CF" w:rsidRDefault="006358CF"/>
  </w:footnote>
  <w:footnote w:type="continuationSeparator" w:id="0">
    <w:p w:rsidR="006358CF" w:rsidRDefault="006358CF">
      <w:r>
        <w:continuationSeparator/>
      </w:r>
    </w:p>
    <w:p w:rsidR="006358CF" w:rsidRDefault="006358CF"/>
  </w:footnote>
  <w:footnote w:type="continuationNotice" w:id="1">
    <w:p w:rsidR="006358CF" w:rsidRDefault="006358CF"/>
  </w:footnote>
  <w:footnote w:id="2">
    <w:p w:rsidR="005A75DE" w:rsidRPr="00554E48" w:rsidRDefault="005A75DE"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5A75DE" w:rsidRPr="00103B2A" w:rsidRDefault="005A75DE" w:rsidP="00A94229">
      <w:pPr>
        <w:pStyle w:val="FootnoteText"/>
      </w:pPr>
      <w:r>
        <w:rPr>
          <w:rStyle w:val="FootnoteReference"/>
        </w:rPr>
        <w:footnoteRef/>
      </w:r>
      <w:r>
        <w:t xml:space="preserve"> </w:t>
      </w:r>
      <w:r w:rsidRPr="00103B2A">
        <w:rPr>
          <w:lang w:val="en-US"/>
        </w:rPr>
        <w:t xml:space="preserve">In particular, EMIR requires stringent bilateral </w:t>
      </w:r>
      <w:proofErr w:type="spellStart"/>
      <w:r w:rsidRPr="00103B2A">
        <w:rPr>
          <w:lang w:val="en-US"/>
        </w:rPr>
        <w:t>collateralisation</w:t>
      </w:r>
      <w:proofErr w:type="spellEnd"/>
      <w:r w:rsidRPr="00103B2A">
        <w:rPr>
          <w:lang w:val="en-US"/>
        </w:rPr>
        <w:t xml:space="preserve"> obligations (ESAs Second Consultation Paper on Draft Regulatory Technical Standards on risk-mitigation techniques for OTC-derivative contracts not cleared by a CCP under Article 11(15) of Regulation (EU) No 648/2012). As a supplemental requirement due diligence obligations in the selection and appointment of counterparties apply (cf. ESMA’s guidelines on ETF and other UCITS issues, Ref.: ESMA/2014/937, Article 20 of the Delegated Regulation (EU) No 231/2013).</w:t>
      </w:r>
    </w:p>
  </w:footnote>
  <w:footnote w:id="4">
    <w:p w:rsidR="005A75DE" w:rsidRPr="00B6712D" w:rsidRDefault="005A75DE" w:rsidP="00A94229">
      <w:pPr>
        <w:pStyle w:val="FootnoteText"/>
      </w:pPr>
      <w:r>
        <w:rPr>
          <w:rStyle w:val="FootnoteReference"/>
        </w:rPr>
        <w:footnoteRef/>
      </w:r>
      <w:r>
        <w:t xml:space="preserve"> </w:t>
      </w:r>
      <w:r w:rsidRPr="00B6712D">
        <w:rPr>
          <w:iCs/>
        </w:rPr>
        <w:t>Consequently, the reference to the consultative paper and the proposed revisions to the standardised approach for credit risks by the Basel Committee on Banking Supervision (</w:t>
      </w:r>
      <w:hyperlink r:id="rId2" w:history="1">
        <w:r w:rsidRPr="00B6712D">
          <w:rPr>
            <w:rStyle w:val="Hyperlink"/>
            <w:iCs/>
          </w:rPr>
          <w:t>www.bis.org/bcbs/publ/d307.pdf</w:t>
        </w:r>
      </w:hyperlink>
      <w:r w:rsidRPr="00B6712D">
        <w:rPr>
          <w:iCs/>
        </w:rPr>
        <w:t>) is accurate since only a proper reflection of the respective work streams and amendments to the various regulatory frameworks for both, securities and banking markets ensures the necessary regulatory comparability and consistency.</w:t>
      </w:r>
    </w:p>
  </w:footnote>
  <w:footnote w:id="5">
    <w:p w:rsidR="005A75DE" w:rsidRPr="00924174" w:rsidRDefault="005A75DE" w:rsidP="006F7528">
      <w:pPr>
        <w:pStyle w:val="FootnoteText"/>
        <w:rPr>
          <w:lang w:val="en-US"/>
        </w:rPr>
      </w:pPr>
      <w:r>
        <w:rPr>
          <w:rStyle w:val="FootnoteReference"/>
        </w:rPr>
        <w:footnoteRef/>
      </w:r>
      <w:r w:rsidRPr="00924174">
        <w:rPr>
          <w:lang w:val="en-US"/>
        </w:rPr>
        <w:t xml:space="preserve"> PRIIPs Regulation, Article 8, para. 3(c)(ii)</w:t>
      </w:r>
    </w:p>
  </w:footnote>
  <w:footnote w:id="6">
    <w:p w:rsidR="005A75DE" w:rsidRPr="00320275" w:rsidRDefault="005A75DE" w:rsidP="00137186">
      <w:pPr>
        <w:pStyle w:val="FootnoteText"/>
        <w:rPr>
          <w:lang w:val="en-US"/>
        </w:rPr>
      </w:pPr>
      <w:r>
        <w:rPr>
          <w:rStyle w:val="FootnoteReference"/>
        </w:rPr>
        <w:footnoteRef/>
      </w:r>
      <w:r>
        <w:t xml:space="preserve"> </w:t>
      </w:r>
      <w:r w:rsidRPr="00320275">
        <w:rPr>
          <w:lang w:val="en-US"/>
        </w:rPr>
        <w:t>Cf. para.</w:t>
      </w:r>
      <w:r>
        <w:rPr>
          <w:lang w:val="en-US"/>
        </w:rPr>
        <w:t xml:space="preserve"> 5(c) of the CESR’s guidelines on the methodology for calculation of the ongoing charges figure in the Key Investor Information Document from 1 July 2010 (CESR/10-674).</w:t>
      </w:r>
      <w:r w:rsidRPr="00320275">
        <w:rPr>
          <w:lang w:val="en-US"/>
        </w:rPr>
        <w:t xml:space="preserve"> </w:t>
      </w:r>
    </w:p>
  </w:footnote>
  <w:footnote w:id="7">
    <w:p w:rsidR="005A75DE" w:rsidRPr="002176BA" w:rsidRDefault="005A75DE" w:rsidP="00E40130">
      <w:pPr>
        <w:pStyle w:val="FootnoteText"/>
        <w:rPr>
          <w:lang w:val="en-US"/>
        </w:rPr>
      </w:pPr>
      <w:r>
        <w:rPr>
          <w:rStyle w:val="FootnoteReference"/>
        </w:rPr>
        <w:footnoteRef/>
      </w:r>
      <w:r w:rsidRPr="00725AE7">
        <w:rPr>
          <w:lang w:val="en-US"/>
        </w:rPr>
        <w:t xml:space="preserve"> Cf. Article 57 para. </w:t>
      </w:r>
      <w:r w:rsidRPr="002176BA">
        <w:rPr>
          <w:lang w:val="en-US"/>
        </w:rPr>
        <w:t>2 in connection with Annex II, table 2 of the MiFID II Level 2 draft dated 13 May 2015.</w:t>
      </w:r>
    </w:p>
  </w:footnote>
  <w:footnote w:id="8">
    <w:p w:rsidR="005A75DE" w:rsidRPr="002176BA" w:rsidRDefault="005A75DE" w:rsidP="00E40130">
      <w:pPr>
        <w:pStyle w:val="FootnoteText"/>
      </w:pPr>
      <w:r>
        <w:rPr>
          <w:rStyle w:val="FootnoteReference"/>
        </w:rPr>
        <w:footnoteRef/>
      </w:r>
      <w:r>
        <w:t xml:space="preserve"> </w:t>
      </w:r>
      <w:r w:rsidRPr="002176BA">
        <w:t>Efficient portfolio management is an add-on activity by an UCITS or AIF, and its impact should thus be considered on a holistic level. For example: If the lending revenue of EUR 100 is split 60/40 in favour of the fund, efforts to reduce the disclosed “cost” from EUR 40 to say EUR 30 can be achieved only by lending less – so the funds revenue would reduce by EUR 15 – in other words the fund would be EUR 5 worse off. So higher costs are directly linked to higher returns.</w:t>
      </w:r>
    </w:p>
  </w:footnote>
  <w:footnote w:id="9">
    <w:p w:rsidR="005A75DE" w:rsidRPr="007E40BA" w:rsidRDefault="005A75DE" w:rsidP="00E40130">
      <w:pPr>
        <w:pStyle w:val="FootnoteText"/>
        <w:spacing w:after="240"/>
      </w:pPr>
      <w:r>
        <w:rPr>
          <w:rStyle w:val="FootnoteReference"/>
        </w:rPr>
        <w:footnoteRef/>
      </w:r>
      <w:r>
        <w:t xml:space="preserve"> </w:t>
      </w:r>
      <w:r w:rsidRPr="007E40BA">
        <w:t>This can be illustrated with an example of an active fund and a passive fund:</w:t>
      </w:r>
      <w:r>
        <w:t xml:space="preserve"> (a) an a</w:t>
      </w:r>
      <w:r w:rsidRPr="007E40BA">
        <w:t xml:space="preserve">ctive </w:t>
      </w:r>
      <w:r>
        <w:t>fund with an</w:t>
      </w:r>
      <w:r w:rsidRPr="007E40BA">
        <w:t xml:space="preserve"> ongoing charges of 0.75%</w:t>
      </w:r>
      <w:r>
        <w:t xml:space="preserve"> and transaction costs of 0.25% or (b) a p</w:t>
      </w:r>
      <w:r w:rsidRPr="007E40BA">
        <w:t xml:space="preserve">assive </w:t>
      </w:r>
      <w:r>
        <w:t>f</w:t>
      </w:r>
      <w:r w:rsidRPr="007E40BA">
        <w:t xml:space="preserve">und </w:t>
      </w:r>
      <w:r>
        <w:t>with an</w:t>
      </w:r>
      <w:r w:rsidRPr="007E40BA">
        <w:t xml:space="preserve"> ongoing charges of 0.5% and negligible transaction costs.</w:t>
      </w:r>
    </w:p>
    <w:p w:rsidR="005A75DE" w:rsidRDefault="005A75DE" w:rsidP="00E40130">
      <w:pPr>
        <w:pStyle w:val="FootnoteText"/>
        <w:spacing w:after="240"/>
      </w:pPr>
      <w:r w:rsidRPr="007E40BA">
        <w:t>The active strategy outperforms the passive strategy by 0.4%. Which fund did better?</w:t>
      </w:r>
      <w:r>
        <w:t xml:space="preserve"> </w:t>
      </w:r>
      <w:r w:rsidRPr="007E40BA">
        <w:t>If ongoing charges are combined into a single figure it would appear that the active strategy would have to deliver more than 0.5% outperformance in order to overcome the cost differential. In the example this would imply that Passive Fund did better by 0.1%. However, this misrepresents the reality.</w:t>
      </w:r>
      <w:r>
        <w:t xml:space="preserve"> </w:t>
      </w:r>
      <w:r w:rsidRPr="007E40BA">
        <w:t>In both cases the performance is determined by the investments held. If different transactions had occurred the investments and the transaction costs would be different; therefore the outperformance would have been different. The transaction costs are an integral part of the strategy and cannot be separated. Therefore the true cost differential is 0.25% and Active Fund did better by 0.15%.</w:t>
      </w:r>
    </w:p>
    <w:p w:rsidR="005A75DE" w:rsidRPr="007E40BA" w:rsidRDefault="005A75DE" w:rsidP="00E40130">
      <w:pPr>
        <w:pStyle w:val="FootnoteText"/>
        <w:spacing w:after="240"/>
      </w:pPr>
      <w:r w:rsidRPr="007E40BA">
        <w:t>This explanation is probably too complex for many retail investors to understand or to engage with. However, it is essential advisers using the KID can understand and are able to explain to their clients the reality of how costs behave. For this sufficient granularity</w:t>
      </w:r>
      <w:r>
        <w:t xml:space="preserve"> is required</w:t>
      </w:r>
      <w:r w:rsidRPr="007E40BA">
        <w:t>.</w:t>
      </w:r>
    </w:p>
    <w:p w:rsidR="005A75DE" w:rsidRPr="007E40BA" w:rsidRDefault="005A75DE" w:rsidP="00E40130">
      <w:pPr>
        <w:pStyle w:val="FootnoteText"/>
      </w:pPr>
    </w:p>
  </w:footnote>
  <w:footnote w:id="10">
    <w:p w:rsidR="005A75DE" w:rsidRDefault="005A75DE"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 w:id="11">
    <w:p w:rsidR="005A75DE" w:rsidRPr="00B56108" w:rsidRDefault="005A75DE" w:rsidP="00912364">
      <w:pPr>
        <w:pStyle w:val="FootnoteText"/>
      </w:pPr>
      <w:r>
        <w:rPr>
          <w:rStyle w:val="FootnoteReference"/>
        </w:rPr>
        <w:footnoteRef/>
      </w:r>
      <w:r>
        <w:t xml:space="preserve"> </w:t>
      </w:r>
      <w:r w:rsidRPr="00B56108">
        <w:t>Suppose, for example, the spread on an equity is 25 basis points and a fund has agreed a commission rate of 15 basis points with a broker. If liquidity in the stock becomes scarce the spread widens, say it doubles to 50 basis points. The broker’s commission remains constant at 15 basis points. If the stock was a bond with a spread of 50 basis points and 50% was estimated to be equivalent to the broker’s commission, a doubling of the spread to 100 basis points would suggest that the commission-equivalent portion had increased from 25 to 50 basis points. This is inconsistent with the equity commission that the approach is attempting to replicate. We suggest that the ESAs develop a central table of commission-equivalent rates. One way to do this might be to observe typical spreads for trading highly liquid bonds in normal market conditions and assuming these carry only a negligible liquidity premium.</w:t>
      </w:r>
    </w:p>
    <w:p w:rsidR="005A75DE" w:rsidRPr="00B56108" w:rsidRDefault="005A75DE" w:rsidP="00912364">
      <w:pPr>
        <w:pStyle w:val="FootnoteText"/>
      </w:pPr>
    </w:p>
  </w:footnote>
  <w:footnote w:id="12">
    <w:p w:rsidR="005A75DE" w:rsidRPr="00876CB0" w:rsidRDefault="005A75DE" w:rsidP="00E53D3E">
      <w:pPr>
        <w:pStyle w:val="FootnoteText"/>
        <w:rPr>
          <w:lang w:val="en-US"/>
        </w:rPr>
      </w:pPr>
      <w:r>
        <w:rPr>
          <w:rStyle w:val="FootnoteReference"/>
        </w:rPr>
        <w:footnoteRef/>
      </w:r>
      <w:r>
        <w:t xml:space="preserve"> </w:t>
      </w:r>
      <w:r w:rsidRPr="00876CB0">
        <w:rPr>
          <w:lang w:val="en-US"/>
        </w:rPr>
        <w:t xml:space="preserve">Cf. Article 56 para. 2 in connection with Annex II table 2 of </w:t>
      </w:r>
      <w:r>
        <w:rPr>
          <w:lang w:val="en-US"/>
        </w:rPr>
        <w:t>MiFID II Level 2 draft dated 13. May 2015.</w:t>
      </w:r>
    </w:p>
  </w:footnote>
  <w:footnote w:id="13">
    <w:p w:rsidR="005A75DE" w:rsidRPr="0003651C" w:rsidRDefault="005A75DE" w:rsidP="00E53D3E">
      <w:pPr>
        <w:pStyle w:val="FootnoteText"/>
      </w:pPr>
      <w:r>
        <w:rPr>
          <w:rStyle w:val="FootnoteReference"/>
        </w:rPr>
        <w:footnoteRef/>
      </w:r>
      <w:r>
        <w:t xml:space="preserve"> Cf. Article 8 para. 3(c</w:t>
      </w:r>
      <w:proofErr w:type="gramStart"/>
      <w:r>
        <w:t>)(</w:t>
      </w:r>
      <w:proofErr w:type="gramEnd"/>
      <w:r>
        <w:t>iv) of the PRIIPs Regulation.</w:t>
      </w:r>
    </w:p>
  </w:footnote>
  <w:footnote w:id="14">
    <w:p w:rsidR="005A75DE" w:rsidRPr="00780BFA" w:rsidRDefault="005A75DE" w:rsidP="001237AB">
      <w:pPr>
        <w:pStyle w:val="FootnoteText"/>
      </w:pPr>
      <w:r>
        <w:rPr>
          <w:rStyle w:val="FootnoteReference"/>
        </w:rPr>
        <w:footnoteRef/>
      </w:r>
      <w:r>
        <w:t xml:space="preserve"> For funds, the different types of costs are (</w:t>
      </w:r>
      <w:proofErr w:type="spellStart"/>
      <w:r>
        <w:t>i</w:t>
      </w:r>
      <w:proofErr w:type="spellEnd"/>
      <w:r>
        <w:t xml:space="preserve">) upfront costs, (ii) ongoing costs, (iii) exit costs and </w:t>
      </w:r>
      <w:proofErr w:type="gramStart"/>
      <w:r>
        <w:t>(iv) incidental</w:t>
      </w:r>
      <w:proofErr w:type="gramEnd"/>
      <w:r>
        <w:t xml:space="preserve"> costs (e.g. performance fees, transaction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DE" w:rsidRDefault="005A75DE">
    <w:pPr>
      <w:pStyle w:val="Header"/>
    </w:pPr>
    <w:r>
      <w:rPr>
        <w:noProof/>
        <w:lang w:val="nl-BE" w:eastAsia="nl-B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4AEB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DE" w:rsidRDefault="005A75DE" w:rsidP="00013CCE">
    <w:pPr>
      <w:pStyle w:val="Header"/>
      <w:jc w:val="right"/>
    </w:pPr>
    <w:r>
      <w:rPr>
        <w:noProof/>
        <w:lang w:val="nl-BE" w:eastAsia="nl-B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DE" w:rsidRDefault="005A75D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A75DE" w:rsidRPr="002F4496" w:rsidTr="000C06C9">
      <w:trPr>
        <w:trHeight w:val="284"/>
      </w:trPr>
      <w:tc>
        <w:tcPr>
          <w:tcW w:w="8460" w:type="dxa"/>
        </w:tcPr>
        <w:p w:rsidR="005A75DE" w:rsidRPr="000C3B6D" w:rsidRDefault="005A75DE" w:rsidP="000C06C9">
          <w:pPr>
            <w:pStyle w:val="00Footer"/>
            <w:rPr>
              <w:lang w:val="fr-FR"/>
            </w:rPr>
          </w:pPr>
        </w:p>
      </w:tc>
      <w:tc>
        <w:tcPr>
          <w:tcW w:w="952" w:type="dxa"/>
        </w:tcPr>
        <w:p w:rsidR="005A75DE" w:rsidRPr="00146B34" w:rsidRDefault="005A75DE" w:rsidP="000C06C9">
          <w:pPr>
            <w:pStyle w:val="00aPagenumber"/>
            <w:rPr>
              <w:lang w:val="fr-FR"/>
            </w:rPr>
          </w:pPr>
        </w:p>
      </w:tc>
    </w:tr>
  </w:tbl>
  <w:p w:rsidR="005A75DE" w:rsidRPr="00DB46C3" w:rsidRDefault="005A75DE">
    <w:pPr>
      <w:rPr>
        <w:lang w:val="fr-FR"/>
      </w:rPr>
    </w:pPr>
  </w:p>
  <w:p w:rsidR="005A75DE" w:rsidRPr="002F4496" w:rsidRDefault="005A75DE">
    <w:pPr>
      <w:pStyle w:val="Header"/>
      <w:rPr>
        <w:lang w:val="fr-FR"/>
      </w:rPr>
    </w:pPr>
  </w:p>
  <w:p w:rsidR="005A75DE" w:rsidRPr="002F4496" w:rsidRDefault="005A75DE" w:rsidP="000C06C9">
    <w:pPr>
      <w:pStyle w:val="Header"/>
      <w:tabs>
        <w:tab w:val="clear" w:pos="4536"/>
        <w:tab w:val="clear" w:pos="9072"/>
        <w:tab w:val="left" w:pos="8227"/>
      </w:tabs>
      <w:rPr>
        <w:lang w:val="fr-FR"/>
      </w:rPr>
    </w:pPr>
  </w:p>
  <w:p w:rsidR="005A75DE" w:rsidRPr="002F4496" w:rsidRDefault="005A75DE" w:rsidP="000C06C9">
    <w:pPr>
      <w:pStyle w:val="Header"/>
      <w:tabs>
        <w:tab w:val="clear" w:pos="4536"/>
        <w:tab w:val="clear" w:pos="9072"/>
        <w:tab w:val="left" w:pos="8227"/>
      </w:tabs>
      <w:rPr>
        <w:lang w:val="fr-FR"/>
      </w:rPr>
    </w:pPr>
  </w:p>
  <w:p w:rsidR="005A75DE" w:rsidRPr="002F4496" w:rsidRDefault="005A75DE">
    <w:pPr>
      <w:pStyle w:val="Header"/>
      <w:rPr>
        <w:lang w:val="fr-FR"/>
      </w:rPr>
    </w:pPr>
  </w:p>
  <w:p w:rsidR="005A75DE" w:rsidRPr="002F4496" w:rsidRDefault="005A75DE">
    <w:pPr>
      <w:pStyle w:val="Header"/>
      <w:rPr>
        <w:lang w:val="fr-FR"/>
      </w:rPr>
    </w:pPr>
  </w:p>
  <w:p w:rsidR="005A75DE" w:rsidRPr="002F4496" w:rsidRDefault="005A75DE">
    <w:pPr>
      <w:pStyle w:val="Header"/>
      <w:rPr>
        <w:lang w:val="fr-FR"/>
      </w:rPr>
    </w:pPr>
  </w:p>
  <w:p w:rsidR="005A75DE" w:rsidRPr="002F4496" w:rsidRDefault="005A75DE">
    <w:pPr>
      <w:pStyle w:val="Header"/>
      <w:rPr>
        <w:lang w:val="fr-FR"/>
      </w:rPr>
    </w:pPr>
  </w:p>
  <w:p w:rsidR="005A75DE" w:rsidRPr="002F4496" w:rsidRDefault="005A75DE">
    <w:pPr>
      <w:pStyle w:val="Header"/>
      <w:rPr>
        <w:highlight w:val="yellow"/>
        <w:lang w:val="fr-FR"/>
      </w:rPr>
    </w:pPr>
  </w:p>
  <w:p w:rsidR="005A75DE" w:rsidRDefault="005A75DE">
    <w:pPr>
      <w:pStyle w:val="Header"/>
    </w:pPr>
    <w:r>
      <w:rPr>
        <w:noProof/>
        <w:lang w:val="nl-BE" w:eastAsia="nl-B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0CF7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nl-BE" w:eastAsia="nl-B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240C75"/>
    <w:multiLevelType w:val="hybridMultilevel"/>
    <w:tmpl w:val="6944ACE0"/>
    <w:lvl w:ilvl="0" w:tplc="8D02F20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47EF7"/>
    <w:multiLevelType w:val="hybridMultilevel"/>
    <w:tmpl w:val="180A774C"/>
    <w:lvl w:ilvl="0" w:tplc="A6DE2C6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94C7F"/>
    <w:multiLevelType w:val="hybridMultilevel"/>
    <w:tmpl w:val="D63AFEBC"/>
    <w:lvl w:ilvl="0" w:tplc="2604C960">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2A369E14">
      <w:numFmt w:val="bullet"/>
      <w:lvlText w:val="•"/>
      <w:lvlJc w:val="left"/>
      <w:pPr>
        <w:ind w:left="2160" w:hanging="360"/>
      </w:pPr>
      <w:rPr>
        <w:rFonts w:ascii="Calibri" w:eastAsiaTheme="minorHAnsi" w:hAnsi="Calibri" w:cstheme="minorBidi"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2"/>
  </w:num>
  <w:num w:numId="16">
    <w:abstractNumId w:val="1"/>
  </w:num>
  <w:num w:numId="17">
    <w:abstractNumId w:val="15"/>
  </w:num>
  <w:num w:numId="18">
    <w:abstractNumId w:val="16"/>
  </w:num>
  <w:num w:numId="19">
    <w:abstractNumId w:val="18"/>
  </w:num>
  <w:num w:numId="20">
    <w:abstractNumId w:val="27"/>
  </w:num>
  <w:num w:numId="21">
    <w:abstractNumId w:val="38"/>
  </w:num>
  <w:num w:numId="22">
    <w:abstractNumId w:val="25"/>
  </w:num>
  <w:num w:numId="23">
    <w:abstractNumId w:val="11"/>
  </w:num>
  <w:num w:numId="24">
    <w:abstractNumId w:val="31"/>
  </w:num>
  <w:num w:numId="25">
    <w:abstractNumId w:val="30"/>
  </w:num>
  <w:num w:numId="26">
    <w:abstractNumId w:val="20"/>
  </w:num>
  <w:num w:numId="27">
    <w:abstractNumId w:val="35"/>
  </w:num>
  <w:num w:numId="28">
    <w:abstractNumId w:val="40"/>
  </w:num>
  <w:num w:numId="29">
    <w:abstractNumId w:val="9"/>
  </w:num>
  <w:num w:numId="30">
    <w:abstractNumId w:val="3"/>
  </w:num>
  <w:num w:numId="31">
    <w:abstractNumId w:val="22"/>
  </w:num>
  <w:num w:numId="32">
    <w:abstractNumId w:val="2"/>
  </w:num>
  <w:num w:numId="33">
    <w:abstractNumId w:val="8"/>
  </w:num>
  <w:num w:numId="34">
    <w:abstractNumId w:val="21"/>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33"/>
  </w:num>
  <w:num w:numId="53">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18A"/>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7AB"/>
    <w:rsid w:val="00123D39"/>
    <w:rsid w:val="001244CD"/>
    <w:rsid w:val="0012566F"/>
    <w:rsid w:val="001262B1"/>
    <w:rsid w:val="00130F41"/>
    <w:rsid w:val="00130FAF"/>
    <w:rsid w:val="00135F2B"/>
    <w:rsid w:val="00137186"/>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3CF3"/>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06CF7"/>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355"/>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65"/>
    <w:rsid w:val="002754B5"/>
    <w:rsid w:val="002764C5"/>
    <w:rsid w:val="002772AE"/>
    <w:rsid w:val="00280613"/>
    <w:rsid w:val="0028274D"/>
    <w:rsid w:val="00282B96"/>
    <w:rsid w:val="002833D6"/>
    <w:rsid w:val="00283F51"/>
    <w:rsid w:val="002849F5"/>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5813"/>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1365"/>
    <w:rsid w:val="0036538D"/>
    <w:rsid w:val="00365D12"/>
    <w:rsid w:val="003661D4"/>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39B"/>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0AC4"/>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1B17"/>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6A1D"/>
    <w:rsid w:val="005778DE"/>
    <w:rsid w:val="00580B3F"/>
    <w:rsid w:val="005825F2"/>
    <w:rsid w:val="00585CD8"/>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5DE"/>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58CF"/>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209F"/>
    <w:rsid w:val="006F3948"/>
    <w:rsid w:val="006F4403"/>
    <w:rsid w:val="006F45EC"/>
    <w:rsid w:val="006F47B8"/>
    <w:rsid w:val="006F47D2"/>
    <w:rsid w:val="006F4B04"/>
    <w:rsid w:val="006F5456"/>
    <w:rsid w:val="006F57F2"/>
    <w:rsid w:val="006F6468"/>
    <w:rsid w:val="006F752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EBC"/>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2364"/>
    <w:rsid w:val="00913401"/>
    <w:rsid w:val="00913567"/>
    <w:rsid w:val="009137B6"/>
    <w:rsid w:val="00915EBA"/>
    <w:rsid w:val="00917093"/>
    <w:rsid w:val="0092030E"/>
    <w:rsid w:val="009217B1"/>
    <w:rsid w:val="00921A42"/>
    <w:rsid w:val="00921AD9"/>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1C9"/>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325"/>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2E1F"/>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4229"/>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3EE9"/>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5F6C"/>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850"/>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5FD"/>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130"/>
    <w:rsid w:val="00E40974"/>
    <w:rsid w:val="00E40AAB"/>
    <w:rsid w:val="00E41205"/>
    <w:rsid w:val="00E41F32"/>
    <w:rsid w:val="00E42608"/>
    <w:rsid w:val="00E43536"/>
    <w:rsid w:val="00E43DA3"/>
    <w:rsid w:val="00E44B80"/>
    <w:rsid w:val="00E47430"/>
    <w:rsid w:val="00E507B3"/>
    <w:rsid w:val="00E50FB7"/>
    <w:rsid w:val="00E5199F"/>
    <w:rsid w:val="00E526DF"/>
    <w:rsid w:val="00E53C15"/>
    <w:rsid w:val="00E53D3E"/>
    <w:rsid w:val="00E54EE6"/>
    <w:rsid w:val="00E56715"/>
    <w:rsid w:val="00E56C2C"/>
    <w:rsid w:val="00E57F8E"/>
    <w:rsid w:val="00E611C8"/>
    <w:rsid w:val="00E6344A"/>
    <w:rsid w:val="00E64E69"/>
    <w:rsid w:val="00E64FB7"/>
    <w:rsid w:val="00E669A1"/>
    <w:rsid w:val="00E679BA"/>
    <w:rsid w:val="00E70243"/>
    <w:rsid w:val="00E70C01"/>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3357"/>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71ED6CFF-003E-41AD-87B4-7E950F89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file:///C:\Temp\notes431877\www.bis.org\bcbs\publ\d307.pdf" TargetMode="External"/><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92CA-4219-45F9-9B40-1B3B98462714}">
  <ds:schemaRefs>
    <ds:schemaRef ds:uri="http://schemas.openxmlformats.org/officeDocument/2006/bibliography"/>
  </ds:schemaRefs>
</ds:datastoreItem>
</file>

<file path=customXml/itemProps2.xml><?xml version="1.0" encoding="utf-8"?>
<ds:datastoreItem xmlns:ds="http://schemas.openxmlformats.org/officeDocument/2006/customXml" ds:itemID="{C218A969-5528-4F0F-AA48-BDFE20FD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16784</Words>
  <Characters>92316</Characters>
  <Application>Microsoft Office Word</Application>
  <DocSecurity>8</DocSecurity>
  <Lines>769</Lines>
  <Paragraphs>217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108883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ESA_TDP_PRIIPs_EFAMA_REPLYFORM </dc:title>
  <dc:creator>ESMA</dc:creator>
  <cp:lastModifiedBy>Peter De Proft</cp:lastModifiedBy>
  <cp:revision>4</cp:revision>
  <cp:lastPrinted>2015-02-18T11:01:00Z</cp:lastPrinted>
  <dcterms:created xsi:type="dcterms:W3CDTF">2015-08-17T07:47:00Z</dcterms:created>
  <dcterms:modified xsi:type="dcterms:W3CDTF">2015-08-17T07:54:00Z</dcterms:modified>
</cp:coreProperties>
</file>