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Collegamentoipertestuale"/>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Rimandonotaapidipagina"/>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5B6EF5">
        <w:tc>
          <w:tcPr>
            <w:tcW w:w="3929" w:type="dxa"/>
            <w:shd w:val="clear" w:color="auto" w:fill="auto"/>
          </w:tcPr>
          <w:p w:rsidR="00D34282" w:rsidRPr="00AB6D88" w:rsidRDefault="00D34282" w:rsidP="005B6EF5">
            <w:pPr>
              <w:rPr>
                <w:rFonts w:cs="Arial"/>
              </w:rPr>
            </w:pPr>
            <w:permStart w:id="1158156723" w:edGrp="everyone" w:colFirst="1" w:colLast="1"/>
            <w:r w:rsidRPr="00AB6D88">
              <w:rPr>
                <w:rFonts w:cs="Arial"/>
              </w:rPr>
              <w:t>Name of the company / organisation</w:t>
            </w:r>
          </w:p>
        </w:tc>
        <w:sdt>
          <w:sdtPr>
            <w:rPr>
              <w:rStyle w:val="Testosegnaposto"/>
              <w:rFonts w:cs="Arial"/>
              <w:lang w:val="it-IT"/>
            </w:rPr>
            <w:id w:val="-1905066999"/>
            <w:text/>
          </w:sdtPr>
          <w:sdtContent>
            <w:permStart w:id="40851531" w:edGrp="everyone" w:displacedByCustomXml="prev"/>
            <w:tc>
              <w:tcPr>
                <w:tcW w:w="5595" w:type="dxa"/>
                <w:shd w:val="clear" w:color="auto" w:fill="auto"/>
              </w:tcPr>
              <w:p w:rsidR="00D34282" w:rsidRPr="00ED4818" w:rsidRDefault="00ED4818" w:rsidP="00ED4818">
                <w:pPr>
                  <w:rPr>
                    <w:rStyle w:val="Testosegnaposto"/>
                    <w:rFonts w:cs="Arial"/>
                    <w:lang w:val="it-IT"/>
                  </w:rPr>
                </w:pPr>
                <w:r w:rsidRPr="00ED4818">
                  <w:rPr>
                    <w:rStyle w:val="Testosegnaposto"/>
                    <w:rFonts w:cs="Arial"/>
                    <w:lang w:val="it-IT"/>
                  </w:rPr>
                  <w:t xml:space="preserve">ANASF - Associazione nazionale promotori </w:t>
                </w:r>
                <w:proofErr w:type="spellStart"/>
                <w:r w:rsidRPr="00ED4818">
                  <w:rPr>
                    <w:rStyle w:val="Testosegnaposto"/>
                    <w:rFonts w:cs="Arial"/>
                    <w:lang w:val="it-IT"/>
                  </w:rPr>
                  <w:t>finanziari</w:t>
                </w:r>
                <w:proofErr w:type="spellEnd"/>
                <w:r w:rsidRPr="00ED4818">
                  <w:rPr>
                    <w:rStyle w:val="Testosegnaposto"/>
                    <w:rFonts w:cs="Arial"/>
                    <w:lang w:val="it-IT"/>
                  </w:rPr>
                  <w:t xml:space="preserve"> </w:t>
                </w:r>
              </w:p>
            </w:tc>
            <w:permEnd w:id="40851531" w:displacedByCustomXml="next"/>
          </w:sdtContent>
        </w:sdt>
      </w:tr>
      <w:tr w:rsidR="00D34282" w:rsidRPr="00AB6D88" w:rsidTr="005B6EF5">
        <w:tc>
          <w:tcPr>
            <w:tcW w:w="3929" w:type="dxa"/>
            <w:shd w:val="clear" w:color="auto" w:fill="auto"/>
          </w:tcPr>
          <w:p w:rsidR="00D34282" w:rsidRPr="00AB6D88" w:rsidRDefault="00D34282" w:rsidP="005B6EF5">
            <w:pPr>
              <w:rPr>
                <w:rFonts w:cs="Arial"/>
              </w:rPr>
            </w:pPr>
            <w:permStart w:id="1991379811" w:edGrp="everyone" w:colFirst="1" w:colLast="1"/>
            <w:permEnd w:id="1158156723"/>
            <w:r w:rsidRPr="00AB6D88">
              <w:rPr>
                <w:rFonts w:cs="Arial"/>
              </w:rPr>
              <w:t>Activity</w:t>
            </w:r>
          </w:p>
        </w:tc>
        <w:tc>
          <w:tcPr>
            <w:tcW w:w="5595" w:type="dxa"/>
            <w:shd w:val="clear" w:color="auto" w:fill="auto"/>
          </w:tcPr>
          <w:p w:rsidR="00D34282" w:rsidRPr="00AB6D88" w:rsidRDefault="005B6EF5" w:rsidP="005B6EF5">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067980532" w:edGrp="everyone"/>
                <w:r w:rsidR="00ED4818">
                  <w:rPr>
                    <w:rFonts w:cs="Arial"/>
                  </w:rPr>
                  <w:t>Investment Services</w:t>
                </w:r>
                <w:permEnd w:id="1067980532"/>
              </w:sdtContent>
            </w:sdt>
          </w:p>
        </w:tc>
      </w:tr>
      <w:tr w:rsidR="00D34282" w:rsidRPr="00AB6D88" w:rsidTr="005B6EF5">
        <w:tc>
          <w:tcPr>
            <w:tcW w:w="3929" w:type="dxa"/>
            <w:shd w:val="clear" w:color="auto" w:fill="auto"/>
          </w:tcPr>
          <w:p w:rsidR="00D34282" w:rsidRPr="00AB6D88" w:rsidRDefault="00D34282" w:rsidP="005B6EF5">
            <w:pPr>
              <w:rPr>
                <w:rFonts w:cs="Arial"/>
              </w:rPr>
            </w:pPr>
            <w:permStart w:id="1037194336" w:edGrp="everyone" w:colFirst="1" w:colLast="1"/>
            <w:permEnd w:id="1991379811"/>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ED4818" w:rsidP="005B6EF5">
                <w:pPr>
                  <w:rPr>
                    <w:rFonts w:cs="Arial"/>
                  </w:rPr>
                </w:pPr>
                <w:r>
                  <w:rPr>
                    <w:rFonts w:ascii="MS Gothic" w:eastAsia="MS Gothic" w:hAnsi="MS Gothic" w:cs="Arial" w:hint="eastAsia"/>
                  </w:rPr>
                  <w:t>☒</w:t>
                </w:r>
              </w:p>
            </w:tc>
          </w:sdtContent>
        </w:sdt>
      </w:tr>
      <w:tr w:rsidR="00D34282" w:rsidRPr="00AB6D88" w:rsidTr="005B6EF5">
        <w:tc>
          <w:tcPr>
            <w:tcW w:w="3929" w:type="dxa"/>
            <w:shd w:val="clear" w:color="auto" w:fill="auto"/>
          </w:tcPr>
          <w:p w:rsidR="00D34282" w:rsidRPr="00AB6D88" w:rsidRDefault="00D34282" w:rsidP="005B6EF5">
            <w:pPr>
              <w:rPr>
                <w:rFonts w:cs="Arial"/>
              </w:rPr>
            </w:pPr>
            <w:permStart w:id="696869845" w:edGrp="everyone" w:colFirst="1" w:colLast="1"/>
            <w:permEnd w:id="1037194336"/>
            <w:r w:rsidRPr="00AB6D88">
              <w:rPr>
                <w:rFonts w:cs="Arial"/>
              </w:rPr>
              <w:t>Country/Region</w:t>
            </w:r>
          </w:p>
        </w:tc>
        <w:permStart w:id="345965381"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2001550382" w:edGrp="everyone" w:displacedByCustomXml="prev"/>
            <w:tc>
              <w:tcPr>
                <w:tcW w:w="5595" w:type="dxa"/>
                <w:shd w:val="clear" w:color="auto" w:fill="auto"/>
              </w:tcPr>
              <w:p w:rsidR="00D34282" w:rsidRPr="00AB6D88" w:rsidRDefault="00ED4818" w:rsidP="005B6EF5">
                <w:pPr>
                  <w:rPr>
                    <w:rFonts w:cs="Arial"/>
                  </w:rPr>
                </w:pPr>
                <w:r>
                  <w:rPr>
                    <w:rFonts w:cs="Arial"/>
                  </w:rPr>
                  <w:t>Italy</w:t>
                </w:r>
              </w:p>
            </w:tc>
            <w:permEnd w:id="2001550382" w:displacedByCustomXml="next"/>
          </w:sdtContent>
        </w:sdt>
        <w:permEnd w:id="345965381" w:displacedByCustomXml="prev"/>
      </w:tr>
      <w:permEnd w:id="696869845"/>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Titolo1"/>
        <w:numPr>
          <w:ilvl w:val="0"/>
          <w:numId w:val="0"/>
        </w:numPr>
        <w:ind w:left="431" w:hanging="431"/>
      </w:pPr>
      <w:r>
        <w:t>Introduction</w:t>
      </w:r>
    </w:p>
    <w:p w:rsidR="00D34282" w:rsidRPr="001D47A5" w:rsidRDefault="00D34282" w:rsidP="00D34282">
      <w:pPr>
        <w:rPr>
          <w:rStyle w:val="Enfasiintensa"/>
        </w:rPr>
      </w:pPr>
      <w:r w:rsidRPr="001D47A5">
        <w:rPr>
          <w:rStyle w:val="Enfasiintensa"/>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FE4728" w:rsidRDefault="00FE4728" w:rsidP="00FE4728">
      <w:pPr>
        <w:jc w:val="both"/>
      </w:pPr>
      <w:permStart w:id="1743132859" w:edGrp="everyone"/>
      <w:r w:rsidRPr="00FE4728">
        <w:t xml:space="preserve">ANASF - </w:t>
      </w:r>
      <w:proofErr w:type="spellStart"/>
      <w:r w:rsidRPr="008F65A3">
        <w:rPr>
          <w:i/>
        </w:rPr>
        <w:t>Associazione</w:t>
      </w:r>
      <w:proofErr w:type="spellEnd"/>
      <w:r w:rsidRPr="008F65A3">
        <w:rPr>
          <w:i/>
        </w:rPr>
        <w:t xml:space="preserve"> </w:t>
      </w:r>
      <w:proofErr w:type="spellStart"/>
      <w:r w:rsidRPr="008F65A3">
        <w:rPr>
          <w:i/>
        </w:rPr>
        <w:t>nazionale</w:t>
      </w:r>
      <w:proofErr w:type="spellEnd"/>
      <w:r w:rsidRPr="008F65A3">
        <w:rPr>
          <w:i/>
        </w:rPr>
        <w:t xml:space="preserve"> </w:t>
      </w:r>
      <w:proofErr w:type="spellStart"/>
      <w:r w:rsidRPr="008F65A3">
        <w:rPr>
          <w:i/>
        </w:rPr>
        <w:t>promotori</w:t>
      </w:r>
      <w:proofErr w:type="spellEnd"/>
      <w:r w:rsidRPr="008F65A3">
        <w:rPr>
          <w:i/>
        </w:rPr>
        <w:t xml:space="preserve"> </w:t>
      </w:r>
      <w:proofErr w:type="spellStart"/>
      <w:r w:rsidRPr="008F65A3">
        <w:rPr>
          <w:i/>
        </w:rPr>
        <w:t>finanziari</w:t>
      </w:r>
      <w:proofErr w:type="spellEnd"/>
      <w:r w:rsidRPr="00FE4728">
        <w:t xml:space="preserve"> welcomes the opportunity to respond to this </w:t>
      </w:r>
      <w:r>
        <w:t>Technical Discussion Paper</w:t>
      </w:r>
      <w:r w:rsidR="00EE7DF8">
        <w:t xml:space="preserve">, in light of the importance of </w:t>
      </w:r>
      <w:r w:rsidR="00E066F9">
        <w:t xml:space="preserve">the </w:t>
      </w:r>
      <w:r w:rsidR="005E1EB3">
        <w:t>KID as a tool to help investors understand the functioning and risks of PRIIPs</w:t>
      </w:r>
      <w:r>
        <w:t xml:space="preserve">. </w:t>
      </w:r>
    </w:p>
    <w:p w:rsidR="00D34282" w:rsidRPr="00FE4728" w:rsidRDefault="00FE4728" w:rsidP="00FE4728">
      <w:pPr>
        <w:jc w:val="both"/>
      </w:pPr>
      <w:r>
        <w:t>ANASF is the only national association represent</w:t>
      </w:r>
      <w:r w:rsidR="00EE7DF8">
        <w:t>ing</w:t>
      </w:r>
      <w:r>
        <w:t xml:space="preserve"> </w:t>
      </w:r>
      <w:r>
        <w:t xml:space="preserve">Italian </w:t>
      </w:r>
      <w:r>
        <w:t>tied agents</w:t>
      </w:r>
      <w:r w:rsidR="00EE7DF8">
        <w:t xml:space="preserve"> (</w:t>
      </w:r>
      <w:proofErr w:type="spellStart"/>
      <w:r w:rsidR="00EE7DF8" w:rsidRPr="00EE7DF8">
        <w:rPr>
          <w:i/>
        </w:rPr>
        <w:t>promotori</w:t>
      </w:r>
      <w:proofErr w:type="spellEnd"/>
      <w:r w:rsidR="00EE7DF8" w:rsidRPr="00EE7DF8">
        <w:rPr>
          <w:i/>
        </w:rPr>
        <w:t xml:space="preserve"> </w:t>
      </w:r>
      <w:proofErr w:type="spellStart"/>
      <w:r w:rsidR="00EE7DF8" w:rsidRPr="00EE7DF8">
        <w:rPr>
          <w:i/>
        </w:rPr>
        <w:t>finanziari</w:t>
      </w:r>
      <w:proofErr w:type="spellEnd"/>
      <w:r w:rsidR="00EE7DF8">
        <w:t>)</w:t>
      </w:r>
      <w:r>
        <w:t xml:space="preserve"> </w:t>
      </w:r>
      <w:r>
        <w:t>registered</w:t>
      </w:r>
      <w:r>
        <w:t xml:space="preserve"> in the </w:t>
      </w:r>
      <w:r>
        <w:t>national</w:t>
      </w:r>
      <w:r>
        <w:t xml:space="preserve"> register. </w:t>
      </w:r>
      <w:r>
        <w:t xml:space="preserve">Our Association </w:t>
      </w:r>
      <w:r>
        <w:t>was founded in 1977</w:t>
      </w:r>
      <w:r w:rsidR="00835166" w:rsidRPr="00835166">
        <w:t xml:space="preserve"> </w:t>
      </w:r>
      <w:r w:rsidR="00835166">
        <w:t xml:space="preserve">and </w:t>
      </w:r>
      <w:r w:rsidR="00835166">
        <w:t>currently has  about 12,000 members</w:t>
      </w:r>
      <w:r>
        <w:t>.</w:t>
      </w:r>
      <w:r w:rsidR="00EE7DF8">
        <w:t xml:space="preserve"> ANASF actively</w:t>
      </w:r>
      <w:r>
        <w:t xml:space="preserve"> support</w:t>
      </w:r>
      <w:r w:rsidR="00EE7DF8">
        <w:t>s</w:t>
      </w:r>
      <w:r>
        <w:t xml:space="preserve"> the professional development of tied agents </w:t>
      </w:r>
      <w:bookmarkStart w:id="3" w:name="_GoBack"/>
      <w:bookmarkEnd w:id="3"/>
      <w:r>
        <w:t xml:space="preserve">and </w:t>
      </w:r>
      <w:r w:rsidR="00835166">
        <w:t>investor protection.</w:t>
      </w:r>
    </w:p>
    <w:permEnd w:id="1743132859"/>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5B6EF5" w:rsidRDefault="005B6EF5" w:rsidP="005B6EF5">
      <w:pPr>
        <w:jc w:val="both"/>
      </w:pPr>
      <w:permStart w:id="902641278" w:edGrp="everyone"/>
      <w:r>
        <w:t xml:space="preserve">We do not agree with approach e), i.e. stochastic modelling based on parameters chosen by the manufacturer, because this approach would be difficult to standardise and supervise: too much discretion would be left to the manufacturer. </w:t>
      </w:r>
    </w:p>
    <w:p w:rsidR="005B6EF5" w:rsidRDefault="005B6EF5" w:rsidP="005B6EF5">
      <w:pPr>
        <w:jc w:val="both"/>
      </w:pPr>
      <w:r>
        <w:t xml:space="preserve">Approach d), i.e. stochastic modelling based on predefined parameters, is impracticable. </w:t>
      </w:r>
    </w:p>
    <w:p w:rsidR="005B6EF5" w:rsidRDefault="005B6EF5" w:rsidP="005B6EF5">
      <w:pPr>
        <w:jc w:val="both"/>
      </w:pPr>
      <w:r>
        <w:t>The most viable solution is option a), i.e. a distribution of returns directly obtained from historical data: this same solution is already provided by CESR’ guidelines on the methodology for the calculation of the synthetic risk and reward indicator in the KIID (CESR/10-673, p. 5, “General methodology”), where returns are gathered from a sample period. As returns should be estimated over different time horizons, we suggest a sample period based on 1, 3, 5 and 10 years of historical rolling data.</w:t>
      </w:r>
    </w:p>
    <w:permEnd w:id="902641278"/>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5B6EF5" w:rsidRDefault="005B6EF5" w:rsidP="00E724C7">
      <w:pPr>
        <w:jc w:val="both"/>
      </w:pPr>
      <w:permStart w:id="852243787" w:edGrp="everyone"/>
      <w:r w:rsidRPr="005B6EF5">
        <w:t>With regard to the two possible choices considered in the Technical Discussion Paper, we believe that competent authorities should prescribe the model to be used and the method of choosing its parameters, in order to achieve greater standardization and product comparability. The alternative approach (i.e. allowing manufacturers to use whichever model they consider the most appropriate) would not ensure the same level of harmonization.</w:t>
      </w:r>
    </w:p>
    <w:permEnd w:id="852243787"/>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E724C7" w:rsidRDefault="00E724C7" w:rsidP="00E724C7">
      <w:pPr>
        <w:jc w:val="both"/>
      </w:pPr>
      <w:permStart w:id="825195572" w:edGrp="everyone"/>
      <w:r w:rsidRPr="00E724C7">
        <w:t>We favour choice a), i.e. measuring performance against the amount invested without any adjustment. The other two options are impracticable: as market conditions continuously vary, it is impossible to define a risk-free growth rate and/or a rate of inflation which can be valid for all national markets and time horizons. Moreover, approaches b) and c) would require a continuous updating of the KID: this solution appears to be unfeasible and costly.</w:t>
      </w:r>
    </w:p>
    <w:permEnd w:id="825195572"/>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E724C7" w:rsidRDefault="00E724C7" w:rsidP="00E724C7">
      <w:pPr>
        <w:jc w:val="both"/>
      </w:pPr>
      <w:permStart w:id="1951928577" w:edGrp="everyone"/>
      <w:r w:rsidRPr="00E724C7">
        <w:t>As a general comment, all the proposed options need further clarification: all the alternatives may suffer from a bias if the notion of “asset growth rates” is intended as a stiff and positive growth of the asset. Conversely, real market trends should be considered: specifically, it is important to take into account negative trends that may stop or reverse growing trends. Option a) may be a viable solution (i.e. the asset grows at the risk free rate) if some clarification is provided relating to the notion of “asset growth”. If the alternative choices are selected (i.e. the risk free rate is adjusted for an asset specific risk premium), relevant information should be integrated with a measure of risk-adjusted performance (for instance, the Sharpe ratio). If current market conditions are also considered for the sake of risk-adjustment, specific attention should be devoted to capture real market trends.</w:t>
      </w:r>
    </w:p>
    <w:permEnd w:id="1951928577"/>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E724C7" w:rsidRDefault="00E724C7" w:rsidP="00E724C7">
      <w:pPr>
        <w:jc w:val="both"/>
      </w:pPr>
      <w:permStart w:id="53487344" w:edGrp="everyone"/>
      <w:r w:rsidRPr="00E724C7">
        <w:t>As a general comment, it seems appropriate to select the same time frame for the calculation of the risk indicator and performance scenarios. Accordingly, Option a) may be the most viable solution: the risk indicator and performance scenarios may be presented for several time horizons (1, 3, 5 and 10 years, as explained in our answer to Question 1).</w:t>
      </w:r>
    </w:p>
    <w:permEnd w:id="53487344"/>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E724C7" w:rsidP="00E724C7">
      <w:pPr>
        <w:jc w:val="both"/>
      </w:pPr>
      <w:permStart w:id="647852931" w:edGrp="everyone"/>
      <w:r w:rsidRPr="00E724C7">
        <w:t>The assessment of credit risk should be performed by automatic data processing systems for the analysis of financial statements and balance sheets, especially with regard to information on capital adequacy and solvency: the output would be similar to the case of lenders’ mortgage loan processing capabilities. The outcome of this analysis may be partly integrated with credit ratings, if available. As a general comment, this proposal would provide an example for the effective implementation of a pan-European firm balance sheet.</w:t>
      </w:r>
    </w:p>
    <w:permEnd w:id="647852931"/>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E724C7" w:rsidRDefault="00E724C7" w:rsidP="00E724C7">
      <w:pPr>
        <w:jc w:val="both"/>
      </w:pPr>
      <w:permStart w:id="1377442685" w:edGrp="everyone"/>
      <w:r>
        <w:t>We believe that the information provided in the risk section should be limited to liquidity risk. The liquidity profile of a product must be distinguished from liquidity risk and limited to the sections “What is this product” and “How long should I hold it and can I take money out early”. Accordingly, cost and exit penalties for early redemptions should not be considered a component of the liquidity risk.</w:t>
      </w:r>
    </w:p>
    <w:p w:rsidR="00E724C7" w:rsidRDefault="00E724C7" w:rsidP="00E724C7">
      <w:pPr>
        <w:jc w:val="both"/>
      </w:pPr>
      <w:r>
        <w:t>Moreover, we believe that liquidity risk should be measured on a scale encompassing low, medium-low, medium, medium-high and high liquidity.</w:t>
      </w:r>
    </w:p>
    <w:permEnd w:id="1377442685"/>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E724C7" w:rsidRDefault="00E724C7" w:rsidP="00E724C7">
      <w:pPr>
        <w:jc w:val="both"/>
      </w:pPr>
      <w:permStart w:id="48563900" w:edGrp="everyone"/>
      <w:r w:rsidRPr="00E724C7">
        <w:t>We think that cost and exit penalties for early redemptions should not be considered a component of the liquidity risk as they pertain to the liquidity profile of the product.</w:t>
      </w:r>
    </w:p>
    <w:permEnd w:id="48563900"/>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E724C7" w:rsidRDefault="00E724C7" w:rsidP="00E724C7">
      <w:pPr>
        <w:jc w:val="both"/>
      </w:pPr>
      <w:permStart w:id="1197162575" w:edGrp="everyone"/>
      <w:r>
        <w:t xml:space="preserve">In case Option 1 is selected (quantitatively based indicator combining credit and market risks, complemented by a quantitative market risk measure), five classes of risk would be viable to capture the client’s risk tolerance (cf. article 25 of directive 2015/64/EU – MiFID II on the assessment of suitability). The sixth class (i.e. risk of losing more than the invested capital) would represent a special case, applicable only to highly leveraged products. Concerning the quantitatively based indicator, we suggest using historical volatility to measure market risk: this measure should be based on the annualised standardised deviation (ASD), calculated using returns from the sample period and rescaling volatility to a yearly basis. </w:t>
      </w:r>
    </w:p>
    <w:p w:rsidR="00F31E57" w:rsidRDefault="00E724C7" w:rsidP="00E724C7">
      <w:pPr>
        <w:jc w:val="both"/>
      </w:pPr>
      <w:r>
        <w:t>Finally, we point out the need to further clarify the combination of quantitative and qualitative features: it is necessary to specify the extent and way in which the output of the qualitative based indicator would impact the outcome of the quantitative market risk measure, thereby upwardly or downwardly modifying the risk class of a product.</w:t>
      </w:r>
    </w:p>
    <w:permEnd w:id="1197162575"/>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E724C7" w:rsidP="00F31E57">
      <w:permStart w:id="461713998" w:edGrp="everyone"/>
      <w:r w:rsidRPr="00E724C7">
        <w:t xml:space="preserve">We agree with the point mentioned at page 37, second paragraph, of the Technical Discussion Paper: the viability of Option 2 (“a two dimensional risk indicator”) is uncertain in legal terms since the level one text refers to a </w:t>
      </w:r>
      <w:r w:rsidRPr="00E724C7">
        <w:rPr>
          <w:i/>
        </w:rPr>
        <w:t>single</w:t>
      </w:r>
      <w:r w:rsidRPr="00E724C7">
        <w:t xml:space="preserve"> summary risk indicator combining different risks. Furthermore, we consider that investors would find it extremely difficult to understand and appreciate a two dimensional risk indicator.</w:t>
      </w:r>
    </w:p>
    <w:permEnd w:id="461713998"/>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E724C7" w:rsidP="00E724C7">
      <w:pPr>
        <w:jc w:val="both"/>
      </w:pPr>
      <w:permStart w:id="1114995678" w:edGrp="everyone"/>
      <w:r w:rsidRPr="00E724C7">
        <w:t>Option 3 (an indicator based on quantitative market and credit risk measures calculated using forward looking simulation models) is hardly feasible and too abstract if we consider that the proposed statistical measures (</w:t>
      </w:r>
      <w:proofErr w:type="spellStart"/>
      <w:r w:rsidRPr="00E724C7">
        <w:t>VaR</w:t>
      </w:r>
      <w:proofErr w:type="spellEnd"/>
      <w:r w:rsidRPr="00E724C7">
        <w:t>, expected shortfall) are too short-sighted.</w:t>
      </w:r>
    </w:p>
    <w:permEnd w:id="1114995678"/>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F31E57" w:rsidRDefault="00F31E57" w:rsidP="00F31E57">
      <w:permStart w:id="404501294" w:edGrp="everyone"/>
      <w:r>
        <w:t>TYPE YOUR TEXT HERE</w:t>
      </w:r>
    </w:p>
    <w:permEnd w:id="404501294"/>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E724C7" w:rsidRDefault="00E724C7" w:rsidP="00F31E57">
      <w:permStart w:id="11933526" w:edGrp="everyone"/>
      <w:r w:rsidRPr="00E724C7">
        <w:t>We think that Option 3 (“Two-level” indicator) needs further clarification and exemplification.</w:t>
      </w:r>
    </w:p>
    <w:permEnd w:id="11933526"/>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4B3FBD" w:rsidRDefault="004B3FBD" w:rsidP="004B3FBD">
      <w:pPr>
        <w:jc w:val="both"/>
      </w:pPr>
      <w:permStart w:id="1702888360" w:edGrp="everyone"/>
      <w:r>
        <w:t>As a general comment, we consider that the definition of the proper scale of the risk indicator (i.e. the number, designation and limits of each risk class) is of paramount importance. The scale should be based on integer numbers according to the product increasing level of risk.</w:t>
      </w:r>
    </w:p>
    <w:p w:rsidR="004B3FBD" w:rsidRDefault="004B3FBD" w:rsidP="004B3FBD">
      <w:pPr>
        <w:jc w:val="both"/>
      </w:pPr>
      <w:r>
        <w:t>Accordingly, we believe that an in-depth analysis is needed. Alternative options may consist of a risk scale:</w:t>
      </w:r>
    </w:p>
    <w:p w:rsidR="004B3FBD" w:rsidRDefault="004B3FBD" w:rsidP="004B3FBD">
      <w:pPr>
        <w:jc w:val="both"/>
      </w:pPr>
      <w:r>
        <w:t>•</w:t>
      </w:r>
      <w:r>
        <w:tab/>
        <w:t>from 0 to 10;</w:t>
      </w:r>
    </w:p>
    <w:p w:rsidR="004B3FBD" w:rsidRDefault="004B3FBD" w:rsidP="004B3FBD">
      <w:pPr>
        <w:ind w:left="705" w:hanging="705"/>
        <w:jc w:val="both"/>
      </w:pPr>
      <w:r>
        <w:t>•</w:t>
      </w:r>
      <w:r>
        <w:tab/>
        <w:t>from 1 to 7 (cf. CESR’s guidelines on the methodology for the calculation of the synthetic risk and reward indicator in the Key Investor Information Document, CESR/10-673, p. 5);</w:t>
      </w:r>
    </w:p>
    <w:p w:rsidR="004B3FBD" w:rsidRDefault="004B3FBD" w:rsidP="004B3FBD">
      <w:pPr>
        <w:ind w:left="705" w:hanging="705"/>
        <w:jc w:val="both"/>
      </w:pPr>
      <w:r>
        <w:t>•</w:t>
      </w:r>
      <w:r>
        <w:tab/>
        <w:t>from 1 to 5, thereby capturing the client’s risk tolerance (cf. article 25 of directive 2015/64/EU, MiFID II, on the assessment of suitability).</w:t>
      </w:r>
    </w:p>
    <w:permEnd w:id="1702888360"/>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F31E57" w:rsidRDefault="004B3FBD" w:rsidP="00F31E57">
      <w:permStart w:id="331759133" w:edGrp="everyone"/>
      <w:r w:rsidRPr="004B3FBD">
        <w:t>We would favour a “What-if-prescribed approach” over a “What-if-manufacturer choice” approach, in order to limit the discretion left to the manufacturer and enhance product comparability.</w:t>
      </w:r>
    </w:p>
    <w:permEnd w:id="331759133"/>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F31E57" w:rsidRDefault="00F31E57" w:rsidP="00F31E57">
      <w:permStart w:id="106580696" w:edGrp="everyone"/>
      <w:r>
        <w:t>TYPE YOUR TEXT HERE</w:t>
      </w:r>
    </w:p>
    <w:permEnd w:id="106580696"/>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4B3FBD" w:rsidRDefault="004B3FBD" w:rsidP="004B3FBD">
      <w:pPr>
        <w:jc w:val="both"/>
      </w:pPr>
      <w:permStart w:id="1024872831" w:edGrp="everyone"/>
      <w:r>
        <w:t>As we explain in our answer to Questions 15 and 18, we would favour a “What-if-prescribed approach” over a “What-if-manufacturer choice”, in order to limit the discretion left to the manufacturer and enhance product comparability. As provided by CESR’s guidelines on the Selection and presentation of performance scenario in the KIID (CESR/10-1318, p. 5), the scenarios should present performance according to an unfavourable/</w:t>
      </w:r>
    </w:p>
    <w:p w:rsidR="004B3FBD" w:rsidRDefault="004B3FBD" w:rsidP="004B3FBD">
      <w:pPr>
        <w:jc w:val="both"/>
      </w:pPr>
      <w:r>
        <w:t>medium/ favourable outcome. Graphs are particularly useful, specific attention is needed to achieve the comprehensibility and the comparability of graphs. The graphical presentation may be integrated by showing the largest peak-to-trough decline in value (maximum drawdown).</w:t>
      </w:r>
    </w:p>
    <w:p w:rsidR="004B3FBD" w:rsidRDefault="004B3FBD" w:rsidP="004B3FBD">
      <w:pPr>
        <w:jc w:val="both"/>
      </w:pPr>
      <w:r>
        <w:t>Specifically, we would favour a graphical presentation based on historical outcomes in different periods (the recommended holding period should be included).</w:t>
      </w:r>
    </w:p>
    <w:permEnd w:id="1024872831"/>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4B3FBD" w:rsidP="004B3FBD">
      <w:pPr>
        <w:jc w:val="both"/>
      </w:pPr>
      <w:permStart w:id="1550329113" w:edGrp="everyone"/>
      <w:r w:rsidRPr="004B3FBD">
        <w:t>In case the probability approach is selected, the percentiles of the return distribution should be the 10th (pessimistic scenario), the 50th (neutral scenario) and the 90th (optimistic scenario). This solution would account for extreme conditions of product performance.</w:t>
      </w:r>
    </w:p>
    <w:permEnd w:id="1550329113"/>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F31E57" w:rsidRDefault="004B3FBD" w:rsidP="00F31E57">
      <w:permStart w:id="1585925033" w:edGrp="everyone"/>
      <w:r w:rsidRPr="004B3FBD">
        <w:t xml:space="preserve">As a general comment, we believe that the examples of combinations of the “what-if” and probability approaches are not clear and would hinder product comprehensibility. However, in case a combined approach is selected, it is appropriate to show a scenario illustrating specific features of the product. </w:t>
      </w:r>
      <w:permEnd w:id="1585925033"/>
      <w:r w:rsidR="00F31E57">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574140" w:rsidRDefault="00574140" w:rsidP="00F31E57">
      <w:permStart w:id="1633890986" w:edGrp="everyone"/>
      <w:r w:rsidRPr="00574140">
        <w:t>Credit events should not be considered in the performance scenarios, as they are already captured by the synthetic risk indicator (the indicator should be calculated as we have explained in our previous answers).</w:t>
      </w:r>
    </w:p>
    <w:permEnd w:id="1633890986"/>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Default="00574140" w:rsidP="00F31E57">
      <w:permStart w:id="516313250" w:edGrp="everyone"/>
      <w:r w:rsidRPr="00574140">
        <w:t>No, we don’t. The inclusion of redemption events in the performance scenarios would complicate the presentation and hinder product comparability.</w:t>
      </w:r>
    </w:p>
    <w:permEnd w:id="516313250"/>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574140" w:rsidRDefault="00574140" w:rsidP="00BF6CE8">
      <w:pPr>
        <w:jc w:val="both"/>
      </w:pPr>
      <w:permStart w:id="1157972730" w:edGrp="everyone"/>
      <w:r>
        <w:t xml:space="preserve">Yes, we do. As explained in our answer to Question 5, performance scenarios should be presented for several time horizons (1, 3, 5 and 10 years). The recommended holding period must be also included. </w:t>
      </w:r>
    </w:p>
    <w:p w:rsidR="00574140" w:rsidRDefault="00574140" w:rsidP="00BF6CE8">
      <w:pPr>
        <w:jc w:val="both"/>
      </w:pPr>
      <w:r>
        <w:t>This information is particularly important if the product entails specific conditions for early exit (this can be the case of insurance products with early redemption costs).</w:t>
      </w:r>
    </w:p>
    <w:permEnd w:id="1157972730"/>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BF6CE8" w:rsidRDefault="00BF6CE8" w:rsidP="00F31E57">
      <w:permStart w:id="949822450" w:edGrp="everyone"/>
      <w:r w:rsidRPr="00BF6CE8">
        <w:t>As a general comment, we believe that it is very difficult to identify and separate the different sub-types of entry costs. Moreover, the Technical Discussion Paper does not provide any viable definition of “acquisition costs”.</w:t>
      </w:r>
    </w:p>
    <w:permEnd w:id="949822450"/>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142744881" w:edGrp="everyone"/>
      <w:r>
        <w:t>TYPE YOUR TEXT HERE</w:t>
      </w:r>
    </w:p>
    <w:permEnd w:id="142744881"/>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1923813979" w:edGrp="everyone"/>
      <w:r>
        <w:t>TYPE YOUR TEXT HERE</w:t>
      </w:r>
    </w:p>
    <w:permEnd w:id="1923813979"/>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971991922" w:edGrp="everyone"/>
      <w:r>
        <w:t>TYPE YOUR TEXT HERE</w:t>
      </w:r>
    </w:p>
    <w:permEnd w:id="971991922"/>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1399207384" w:edGrp="everyone"/>
      <w:r>
        <w:t>TYPE YOUR TEXT HERE</w:t>
      </w:r>
    </w:p>
    <w:permEnd w:id="1399207384"/>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1978149820" w:edGrp="everyone"/>
      <w:r>
        <w:t>TYPE YOUR TEXT HERE</w:t>
      </w:r>
    </w:p>
    <w:permEnd w:id="1978149820"/>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1740112838" w:edGrp="everyone"/>
      <w:r>
        <w:t>TYPE YOUR TEXT HERE</w:t>
      </w:r>
    </w:p>
    <w:permEnd w:id="1740112838"/>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812795819" w:edGrp="everyone"/>
      <w:r>
        <w:t>TYPE YOUR TEXT HERE</w:t>
      </w:r>
    </w:p>
    <w:permEnd w:id="812795819"/>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1092042220" w:edGrp="everyone"/>
      <w:r>
        <w:t>TYPE YOUR TEXT HERE</w:t>
      </w:r>
    </w:p>
    <w:permEnd w:id="1092042220"/>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741891619" w:edGrp="everyone"/>
      <w:r>
        <w:t>TYPE YOUR TEXT HERE</w:t>
      </w:r>
    </w:p>
    <w:permEnd w:id="741891619"/>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793582904" w:edGrp="everyone"/>
      <w:r>
        <w:t>TYPE YOUR TEXT HERE</w:t>
      </w:r>
    </w:p>
    <w:permEnd w:id="793582904"/>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BF6CE8" w:rsidRDefault="00BF6CE8" w:rsidP="00F31E57">
      <w:permStart w:id="1379817573" w:edGrp="everyone"/>
      <w:r w:rsidRPr="00BF6CE8">
        <w:t>Yes, the description of transaction costs is comprehensive.</w:t>
      </w:r>
    </w:p>
    <w:permEnd w:id="1379817573"/>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BF6CE8" w:rsidRDefault="00BF6CE8" w:rsidP="00F31E57">
      <w:permStart w:id="519002882" w:edGrp="everyone"/>
      <w:r w:rsidRPr="00BF6CE8">
        <w:lastRenderedPageBreak/>
        <w:t xml:space="preserve">Yes, difficulties may be identified: as explicit broker commissions are the fees paid to brokers to execute a trade in a financial instrument, these commissions are exactly known only on an ex-post basis. Ex-ante calculations should be based on historical average values. </w:t>
      </w:r>
    </w:p>
    <w:permEnd w:id="519002882"/>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1678204643" w:edGrp="everyone"/>
      <w:r>
        <w:t>TYPE YOUR TEXT HERE</w:t>
      </w:r>
    </w:p>
    <w:permEnd w:id="1678204643"/>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Rimandonotaapidipagina"/>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1219573758" w:edGrp="everyone"/>
      <w:r>
        <w:t>TYPE YOUR TEXT HERE</w:t>
      </w:r>
    </w:p>
    <w:permEnd w:id="1219573758"/>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1484747679" w:edGrp="everyone"/>
      <w:r>
        <w:t>TYPE YOUR TEXT HERE</w:t>
      </w:r>
    </w:p>
    <w:permEnd w:id="1484747679"/>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425478279" w:edGrp="everyone"/>
      <w:r>
        <w:t>TYPE YOUR TEXT HERE</w:t>
      </w:r>
    </w:p>
    <w:permEnd w:id="425478279"/>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122555642" w:edGrp="everyone"/>
      <w:r>
        <w:t>TYPE YOUR TEXT HERE</w:t>
      </w:r>
    </w:p>
    <w:permEnd w:id="122555642"/>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lastRenderedPageBreak/>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333404472" w:edGrp="everyone"/>
      <w:r>
        <w:t>TYPE YOUR TEXT HERE</w:t>
      </w:r>
    </w:p>
    <w:permEnd w:id="333404472"/>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AD1BFC" w:rsidRDefault="00AD1BFC" w:rsidP="00AD1BFC">
      <w:pPr>
        <w:jc w:val="both"/>
      </w:pPr>
      <w:permStart w:id="1758791268" w:edGrp="everyone"/>
      <w:r>
        <w:t>No, an explicit definition of performance fees is not necessary. On the one hand, we believe that it is important for the investor to understand the meaning of performance fees. On the other hand, it is important to consider that, from the investor’s point of view, the most relevant information pertains to the aggregation of costs and their cumulative effect on returns. That is to say, investors are particularly sensitive to the quality of their investments, i.e. the ability to achieve good performance against costs.</w:t>
      </w:r>
    </w:p>
    <w:p w:rsidR="00AD1BFC" w:rsidRDefault="00AD1BFC" w:rsidP="00AD1BFC">
      <w:pPr>
        <w:jc w:val="both"/>
      </w:pPr>
      <w:r>
        <w:t>With regard to possible methods for the calculation of performance fees, we consider that the absolute model (“high water mark”) is not particularly viable, as it is used for hedge funds as an alternative way to define performance fees.</w:t>
      </w:r>
    </w:p>
    <w:permEnd w:id="1758791268"/>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AD1BFC" w:rsidRDefault="00AD1BFC" w:rsidP="00F31E57">
      <w:permStart w:id="1145966147" w:edGrp="everyone"/>
      <w:r w:rsidRPr="00AD1BFC">
        <w:t xml:space="preserve">We believe that the rate of returns for the calculation of performance fees should be consistent with the assumptions relating to performance scenarios. </w:t>
      </w:r>
    </w:p>
    <w:permEnd w:id="1145966147"/>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AD1BFC" w:rsidRDefault="00AD1BFC" w:rsidP="00AD1BFC">
      <w:pPr>
        <w:jc w:val="both"/>
      </w:pPr>
      <w:permStart w:id="701446108" w:edGrp="everyone"/>
      <w:r w:rsidRPr="00AD1BFC">
        <w:t xml:space="preserve">We believe the most appropriate approach is Option 1, i.e. performance fees shown in performance scenarios: this Option would enable the investor to appreciate the impact of this type of fees. Accordingly, the narrative should make it clear that performance fees are integrated in performance scenarios and are based on an estimate. </w:t>
      </w:r>
    </w:p>
    <w:permEnd w:id="701446108"/>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AD1BFC" w:rsidRDefault="00AD1BFC" w:rsidP="00AD1BFC">
      <w:pPr>
        <w:jc w:val="both"/>
      </w:pPr>
      <w:permStart w:id="842150198" w:edGrp="everyone"/>
      <w:r w:rsidRPr="00AD1BFC">
        <w:t>With regard to risk-type riders, we basically agree with the proposed approach: the risk-type rider should be considered as an additional insurance cover, without a savings element, that should be distinguished from the financial component of the product (specifically, this could be the case of unit-linked policies).</w:t>
      </w:r>
    </w:p>
    <w:permEnd w:id="842150198"/>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945E4D" w:rsidRDefault="00945E4D" w:rsidP="00F31E57">
      <w:permStart w:id="1648194229" w:edGrp="everyone"/>
      <w:r w:rsidRPr="00945E4D">
        <w:t>Yes, the list is comprehensive.</w:t>
      </w:r>
    </w:p>
    <w:permEnd w:id="1648194229"/>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898762536" w:edGrp="everyone"/>
      <w:r>
        <w:t>TYPE YOUR TEXT HERE</w:t>
      </w:r>
    </w:p>
    <w:permEnd w:id="898762536"/>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1002138315" w:edGrp="everyone"/>
      <w:r>
        <w:t>TYPE YOUR TEXT HERE</w:t>
      </w:r>
    </w:p>
    <w:permEnd w:id="1002138315"/>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1615808175" w:edGrp="everyone"/>
      <w:r>
        <w:t>TYPE YOUR TEXT HERE</w:t>
      </w:r>
    </w:p>
    <w:permEnd w:id="1615808175"/>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307002990" w:edGrp="everyone"/>
      <w:r>
        <w:t>TYPE YOUR TEXT HERE</w:t>
      </w:r>
    </w:p>
    <w:permEnd w:id="307002990"/>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521351221" w:edGrp="everyone"/>
      <w:r>
        <w:t>TYPE YOUR TEXT HERE</w:t>
      </w:r>
    </w:p>
    <w:permEnd w:id="521351221"/>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2071022820" w:edGrp="everyone"/>
      <w:r>
        <w:t>TYPE YOUR TEXT HERE</w:t>
      </w:r>
    </w:p>
    <w:permEnd w:id="2071022820"/>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945E4D" w:rsidRDefault="00945E4D" w:rsidP="00945E4D">
      <w:pPr>
        <w:jc w:val="both"/>
      </w:pPr>
      <w:permStart w:id="1957196677" w:edGrp="everyone"/>
      <w:r>
        <w:t xml:space="preserve">As a general comment, we agree that unit-linked and hybrid life insurance products entail some specific on-going costs (particularly, fund related costs and costs on underlying funds reallocation) that are not found in other life insurance products. As explained in our answer to Question 42, we emphasize the need to consider the investor’s point of view: investors are particularly sensitive to the quality of their investments (i.e. the ability to achieve good performance against costs); accordingly, the most relevant information pertains to the aggregation of costs and their cumulative effect on returns. </w:t>
      </w:r>
    </w:p>
    <w:p w:rsidR="00F31E57" w:rsidRDefault="00945E4D" w:rsidP="00945E4D">
      <w:pPr>
        <w:jc w:val="both"/>
      </w:pPr>
      <w:r>
        <w:t>With regard to the methodology for the calculation of these costs, in our answer to Question 86 we consider that for UCITS an appropriate approach is the calculation of the ratio of the total amortized costs to the average net assets: for the sake of consistency, we believe that, also for unit-linked and hybrid life insurance policies, fund related costs should be calculated in a similar way.</w:t>
      </w:r>
    </w:p>
    <w:permEnd w:id="1957196677"/>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945E4D" w:rsidRDefault="00945E4D" w:rsidP="00945E4D">
      <w:pPr>
        <w:jc w:val="both"/>
      </w:pPr>
      <w:permStart w:id="1120611859" w:edGrp="everyone"/>
      <w:r w:rsidRPr="00945E4D">
        <w:t>For funds of funds, pages 56-57 of the Technical Discussion Paper provide guidance on the calculation of the costs of acquiring or disposing of units in UCITS or AIFs. For the sake of consistency and comparability, this guidance should be considered also for unit-linked and hybrid life insurance policies.</w:t>
      </w:r>
    </w:p>
    <w:permEnd w:id="1120611859"/>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720704807" w:edGrp="everyone"/>
      <w:r>
        <w:t>TYPE YOUR TEXT HERE</w:t>
      </w:r>
    </w:p>
    <w:permEnd w:id="720704807"/>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530131270" w:edGrp="everyone"/>
      <w:r>
        <w:t>TYPE YOUR TEXT HERE</w:t>
      </w:r>
    </w:p>
    <w:permEnd w:id="530131270"/>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359304938" w:edGrp="everyone"/>
      <w:r>
        <w:t>TYPE YOUR TEXT HERE</w:t>
      </w:r>
    </w:p>
    <w:permEnd w:id="1359304938"/>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953458108" w:edGrp="everyone"/>
      <w:r>
        <w:t>TYPE YOUR TEXT HERE</w:t>
      </w:r>
    </w:p>
    <w:permEnd w:id="1953458108"/>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629544181" w:edGrp="everyone"/>
      <w:r>
        <w:t>TYPE YOUR TEXT HERE</w:t>
      </w:r>
    </w:p>
    <w:permEnd w:id="629544181"/>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2060865947" w:edGrp="everyone"/>
      <w:r>
        <w:t>TYPE YOUR TEXT HERE</w:t>
      </w:r>
    </w:p>
    <w:permEnd w:id="2060865947"/>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agree with the above mentioned list of entry costs? Which of these costs are embedded in the price? Should we differentiate between “delta 1” and “option based” structured products? In which cases do you think that some of these costs might not </w:t>
      </w:r>
      <w:r>
        <w:rPr>
          <w:rFonts w:cs="Arial"/>
        </w:rPr>
        <w:lastRenderedPageBreak/>
        <w:t>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1711351505" w:edGrp="everyone"/>
      <w:r>
        <w:t>TYPE YOUR TEXT HERE</w:t>
      </w:r>
    </w:p>
    <w:permEnd w:id="1711351505"/>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1602881818" w:edGrp="everyone"/>
      <w:r>
        <w:t>TYPE YOUR TEXT HERE</w:t>
      </w:r>
    </w:p>
    <w:permEnd w:id="1602881818"/>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1617130782" w:edGrp="everyone"/>
      <w:r>
        <w:t>TYPE YOUR TEXT HERE</w:t>
      </w:r>
    </w:p>
    <w:permEnd w:id="1617130782"/>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915148965" w:edGrp="everyone"/>
      <w:r>
        <w:t>TYPE YOUR TEXT HERE</w:t>
      </w:r>
    </w:p>
    <w:permEnd w:id="915148965"/>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1893288540" w:edGrp="everyone"/>
      <w:r>
        <w:t>TYPE YOUR TEXT HERE</w:t>
      </w:r>
    </w:p>
    <w:permEnd w:id="1893288540"/>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1229197210" w:edGrp="everyone"/>
      <w:r>
        <w:t>TYPE YOUR TEXT HERE</w:t>
      </w:r>
    </w:p>
    <w:permEnd w:id="1229197210"/>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388957918" w:edGrp="everyone"/>
      <w:r>
        <w:lastRenderedPageBreak/>
        <w:t>TYPE YOUR TEXT HERE</w:t>
      </w:r>
    </w:p>
    <w:permEnd w:id="388957918"/>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238496573" w:edGrp="everyone"/>
      <w:r>
        <w:t>TYPE YOUR TEXT HERE</w:t>
      </w:r>
    </w:p>
    <w:permEnd w:id="238496573"/>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2086829394" w:edGrp="everyone"/>
      <w:r>
        <w:t>TYPE YOUR TEXT HERE</w:t>
      </w:r>
    </w:p>
    <w:permEnd w:id="2086829394"/>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2021527138" w:edGrp="everyone"/>
      <w:r>
        <w:t>TYPE YOUR TEXT HERE</w:t>
      </w:r>
    </w:p>
    <w:permEnd w:id="2021527138"/>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816200645" w:edGrp="everyone"/>
      <w:r>
        <w:t>TYPE YOUR TEXT HERE</w:t>
      </w:r>
    </w:p>
    <w:permEnd w:id="816200645"/>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989549647" w:edGrp="everyone"/>
      <w:r>
        <w:t>TYPE YOUR TEXT HERE</w:t>
      </w:r>
    </w:p>
    <w:permEnd w:id="1989549647"/>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1479486421" w:edGrp="everyone"/>
      <w:r>
        <w:t>TYPE YOUR TEXT HERE</w:t>
      </w:r>
    </w:p>
    <w:permEnd w:id="1479486421"/>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967924723" w:edGrp="everyone"/>
      <w:r>
        <w:t>TYPE YOUR TEXT HERE</w:t>
      </w:r>
    </w:p>
    <w:permEnd w:id="967924723"/>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lastRenderedPageBreak/>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1367868798" w:edGrp="everyone"/>
      <w:r>
        <w:t>TYPE YOUR TEXT HERE</w:t>
      </w:r>
    </w:p>
    <w:permEnd w:id="1367868798"/>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807281500" w:edGrp="everyone"/>
      <w:r>
        <w:t>TYPE YOUR TEXT HERE</w:t>
      </w:r>
    </w:p>
    <w:permEnd w:id="807281500"/>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870062219" w:edGrp="everyone"/>
      <w:r>
        <w:t>TYPE YOUR TEXT HERE</w:t>
      </w:r>
    </w:p>
    <w:permEnd w:id="870062219"/>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503460243" w:edGrp="everyone"/>
      <w:r>
        <w:t>TYPE YOUR TEXT HERE</w:t>
      </w:r>
    </w:p>
    <w:permEnd w:id="503460243"/>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39610327" w:edGrp="everyone"/>
      <w:r>
        <w:t>TYPE YOUR TEXT HERE</w:t>
      </w:r>
    </w:p>
    <w:permEnd w:id="39610327"/>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945E4D" w:rsidRDefault="00945E4D" w:rsidP="00945E4D">
      <w:pPr>
        <w:jc w:val="both"/>
      </w:pPr>
      <w:permStart w:id="1463886204" w:edGrp="everyone"/>
      <w:r w:rsidRPr="00945E4D">
        <w:t xml:space="preserve">The Technical Discussion Paper considers that the PRIIP manufacturer shall keep record of each calculation for a period of x years after the last date on which that version of the KID was available to be issued. We consider that for UCITS a five year period is appropriate. </w:t>
      </w:r>
    </w:p>
    <w:permEnd w:id="1463886204"/>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1409621455" w:edGrp="everyone"/>
      <w:r>
        <w:t>TYPE YOUR TEXT HERE</w:t>
      </w:r>
    </w:p>
    <w:permEnd w:id="1409621455"/>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lastRenderedPageBreak/>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945E4D" w:rsidRDefault="00945E4D" w:rsidP="00945E4D">
      <w:pPr>
        <w:jc w:val="both"/>
      </w:pPr>
      <w:permStart w:id="723129736" w:edGrp="everyone"/>
      <w:r w:rsidRPr="00945E4D">
        <w:t>Yes, we think that a higher initial investment amount (specifically, 10 000 euros) should be taken into account for the calculation of cost figures. For products with regular payments, the solution envisaged in the Technical Discussion Paper (an invested amount of 1 000 euros per period of time) is the appropriate option.</w:t>
      </w:r>
    </w:p>
    <w:permEnd w:id="723129736"/>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487EA4" w:rsidP="00487EA4">
      <w:permStart w:id="511523126" w:edGrp="everyone"/>
      <w:r>
        <w:t>For these life-insurance products, the costs may be calculated on the basis of birth and mortality rates. These rates are provided by national statistical systems (for Italy, cf. ISTAT, life tables of resident population by five-years age class http://www.istat.it/en/archive/114890).</w:t>
      </w:r>
    </w:p>
    <w:permEnd w:id="511523126"/>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487EA4" w:rsidP="00F31E57">
      <w:permStart w:id="1485266872" w:edGrp="everyone"/>
      <w:r>
        <w:t>Yes, we do.</w:t>
      </w:r>
    </w:p>
    <w:permEnd w:id="1485266872"/>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F31E57" w:rsidRDefault="00F31E57" w:rsidP="00F31E57">
      <w:permStart w:id="1504078516" w:edGrp="everyone"/>
      <w:r>
        <w:t>TYPE YOUR TEXT HERE</w:t>
      </w:r>
    </w:p>
    <w:permEnd w:id="1504078516"/>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487EA4" w:rsidRDefault="00487EA4" w:rsidP="00487EA4">
      <w:pPr>
        <w:jc w:val="both"/>
      </w:pPr>
      <w:permStart w:id="1733784282" w:edGrp="everyone"/>
      <w:r>
        <w:t>We consider that the approach already provided for UCITS (CESR’s guidelines on the methodology for the calculation of the ongoing charges figure in the KIID, CESR/10-674) is an appropriate approach (i.e. the ratio of the total amortized costs to the average net assets). With regard to the amortization of entry-exit costs, we believe that these costs should be presented in two forms: in the first one, the entry or exit cost would be presented at the date of its occurrence; in the second one the entry or exit cost would be amortized and included in the total cost ratio.</w:t>
      </w:r>
    </w:p>
    <w:p w:rsidR="00487EA4" w:rsidRDefault="00487EA4" w:rsidP="00487EA4">
      <w:pPr>
        <w:jc w:val="both"/>
      </w:pPr>
      <w:r>
        <w:t xml:space="preserve">On the contrary, we do not agree with the use of the invested amount in the fund. </w:t>
      </w:r>
    </w:p>
    <w:p w:rsidR="00487EA4" w:rsidRDefault="00487EA4" w:rsidP="00487EA4">
      <w:pPr>
        <w:jc w:val="both"/>
      </w:pPr>
      <w:r>
        <w:t>Finally, we consider that the last proposed approach (the ratio between the total amount of costs over the holding period and the average net investment) should not be generalized; conversely, a standardised KID version (in the form of a “variation” of the general KID) may be required for particular products with programmed investments and disinvestments.</w:t>
      </w:r>
    </w:p>
    <w:permEnd w:id="1733784282"/>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487EA4" w:rsidRDefault="00487EA4" w:rsidP="00487EA4">
      <w:pPr>
        <w:jc w:val="both"/>
      </w:pPr>
      <w:permStart w:id="522730136" w:edGrp="everyone"/>
      <w:r w:rsidRPr="00487EA4">
        <w:t>With regard to the definition of the TCR ratio, consistency between funds and life-insurance products should be ensured. For instance, concerning products with programmed investments and disinvestments, in our answer to Question 86 we consider that an appropriate approach should be the use of the ratio between the total amount of costs over the holding period and the average net investment (investors should be presented with a “variation” of the general KID): accordingly, if this approach is selected for UCITS, the same should go for life-insurance products with regular payments or regular increasing.</w:t>
      </w:r>
    </w:p>
    <w:permEnd w:id="522730136"/>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778924390" w:edGrp="everyone"/>
      <w:r>
        <w:t>TYPE YOUR TEXT HERE</w:t>
      </w:r>
    </w:p>
    <w:permEnd w:id="778924390"/>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822101087" w:edGrp="everyone"/>
      <w:r>
        <w:t>TYPE YOUR TEXT HERE</w:t>
      </w:r>
    </w:p>
    <w:permEnd w:id="822101087"/>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487EA4" w:rsidP="00487EA4">
      <w:pPr>
        <w:jc w:val="both"/>
      </w:pPr>
      <w:permStart w:id="803543826" w:edGrp="everyone"/>
      <w:r w:rsidRPr="00487EA4">
        <w:t>For non-UCITS-PRIIPs, a two-fold approach is advisable: on the one hand, consistency with UCITS is needed; on the other hand, investors should be aware that they are not dealing with “typical” UCITS funds.</w:t>
      </w:r>
    </w:p>
    <w:permEnd w:id="803543826"/>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487EA4" w:rsidP="00487EA4">
      <w:pPr>
        <w:jc w:val="both"/>
      </w:pPr>
      <w:permStart w:id="1689263298" w:edGrp="everyone"/>
      <w:r w:rsidRPr="00487EA4">
        <w:t>For the sake of consistency and comparability, we consider that the guidance provided for funds of funds (page 103 of the Technical Discussion Paper) with regard to the costs attributable to underlying UCITS/AIFs should be considered also for unit-linked and hybrid life insurance policies.</w:t>
      </w:r>
    </w:p>
    <w:permEnd w:id="1689263298"/>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563415077" w:edGrp="everyone"/>
      <w:r>
        <w:t>TYPE YOUR TEXT HERE</w:t>
      </w:r>
    </w:p>
    <w:permEnd w:id="563415077"/>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487EA4" w:rsidRDefault="00487EA4" w:rsidP="00ED4818">
      <w:pPr>
        <w:jc w:val="both"/>
      </w:pPr>
      <w:permStart w:id="1958676629" w:edGrp="everyone"/>
      <w:r w:rsidRPr="00487EA4">
        <w:t>Although we consider the importance of expressing the overall impact of costs, we believe that the RIY approach is not viable as the calculation of the two internal rates of return would not be feasible: in light of current market features, product manufacturers would find it extremely difficult to calculate meaningful rates for each product.</w:t>
      </w:r>
    </w:p>
    <w:permEnd w:id="1958676629"/>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449841025" w:edGrp="everyone"/>
      <w:r>
        <w:t>TYPE YOUR TEXT HERE</w:t>
      </w:r>
    </w:p>
    <w:permEnd w:id="449841025"/>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1189240953" w:edGrp="everyone"/>
      <w:r>
        <w:t>TYPE YOUR TEXT HERE</w:t>
      </w:r>
    </w:p>
    <w:permEnd w:id="1189240953"/>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lastRenderedPageBreak/>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62008918" w:edGrp="everyone"/>
      <w:r>
        <w:t>TYPE YOUR TEXT HERE</w:t>
      </w:r>
    </w:p>
    <w:permEnd w:id="162008918"/>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227809705" w:edGrp="everyone"/>
      <w:r>
        <w:t>TYPE YOUR TEXT HERE</w:t>
      </w:r>
    </w:p>
    <w:permEnd w:id="227809705"/>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432803420" w:edGrp="everyone"/>
      <w:r>
        <w:t>TYPE YOUR TEXT HERE</w:t>
      </w:r>
    </w:p>
    <w:permEnd w:id="432803420"/>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807571809" w:edGrp="everyone"/>
      <w:r>
        <w:t>TYPE YOUR TEXT HERE</w:t>
      </w:r>
    </w:p>
    <w:permEnd w:id="1807571809"/>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EF5" w:rsidRDefault="005B6EF5">
      <w:r>
        <w:separator/>
      </w:r>
    </w:p>
    <w:p w:rsidR="005B6EF5" w:rsidRDefault="005B6EF5"/>
  </w:endnote>
  <w:endnote w:type="continuationSeparator" w:id="0">
    <w:p w:rsidR="005B6EF5" w:rsidRDefault="005B6EF5">
      <w:r>
        <w:continuationSeparator/>
      </w:r>
    </w:p>
    <w:p w:rsidR="005B6EF5" w:rsidRDefault="005B6EF5"/>
  </w:endnote>
  <w:endnote w:type="continuationNotice" w:id="1">
    <w:p w:rsidR="005B6EF5" w:rsidRDefault="005B6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6EF5" w:rsidRPr="00616B9B" w:rsidTr="00315E96">
      <w:trPr>
        <w:trHeight w:val="284"/>
      </w:trPr>
      <w:tc>
        <w:tcPr>
          <w:tcW w:w="8460" w:type="dxa"/>
        </w:tcPr>
        <w:p w:rsidR="005B6EF5" w:rsidRPr="00315E96" w:rsidRDefault="005B6EF5" w:rsidP="00315E96">
          <w:pPr>
            <w:pStyle w:val="00Footer"/>
            <w:rPr>
              <w:lang w:val="fr-FR"/>
            </w:rPr>
          </w:pPr>
        </w:p>
      </w:tc>
      <w:tc>
        <w:tcPr>
          <w:tcW w:w="952" w:type="dxa"/>
        </w:tcPr>
        <w:p w:rsidR="005B6EF5" w:rsidRPr="00616B9B" w:rsidRDefault="005B6EF5"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E1073">
            <w:rPr>
              <w:rFonts w:cs="Arial"/>
              <w:noProof/>
              <w:sz w:val="22"/>
              <w:szCs w:val="22"/>
            </w:rPr>
            <w:t>4</w:t>
          </w:r>
          <w:r w:rsidRPr="00616B9B">
            <w:rPr>
              <w:rFonts w:cs="Arial"/>
              <w:noProof/>
              <w:sz w:val="22"/>
              <w:szCs w:val="22"/>
            </w:rPr>
            <w:fldChar w:fldCharType="end"/>
          </w:r>
        </w:p>
      </w:tc>
    </w:tr>
  </w:tbl>
  <w:p w:rsidR="005B6EF5" w:rsidRDefault="005B6EF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F5" w:rsidRDefault="005B6EF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EF5" w:rsidRDefault="005B6EF5">
      <w:r>
        <w:separator/>
      </w:r>
    </w:p>
    <w:p w:rsidR="005B6EF5" w:rsidRDefault="005B6EF5"/>
  </w:footnote>
  <w:footnote w:type="continuationSeparator" w:id="0">
    <w:p w:rsidR="005B6EF5" w:rsidRDefault="005B6EF5">
      <w:r>
        <w:continuationSeparator/>
      </w:r>
    </w:p>
    <w:p w:rsidR="005B6EF5" w:rsidRDefault="005B6EF5"/>
  </w:footnote>
  <w:footnote w:type="continuationNotice" w:id="1">
    <w:p w:rsidR="005B6EF5" w:rsidRDefault="005B6EF5"/>
  </w:footnote>
  <w:footnote w:id="2">
    <w:p w:rsidR="005B6EF5" w:rsidRPr="00554E48" w:rsidRDefault="005B6EF5" w:rsidP="007E2302">
      <w:pPr>
        <w:pStyle w:val="Testonotaapidipagina"/>
        <w:rPr>
          <w:szCs w:val="16"/>
        </w:rPr>
      </w:pPr>
      <w:r w:rsidRPr="00554E48">
        <w:rPr>
          <w:rStyle w:val="Rimandonotaapidipagina"/>
          <w:szCs w:val="16"/>
        </w:rPr>
        <w:footnoteRef/>
      </w:r>
      <w:r w:rsidRPr="00554E48">
        <w:rPr>
          <w:szCs w:val="16"/>
        </w:rPr>
        <w:t xml:space="preserve"> See </w:t>
      </w:r>
      <w:hyperlink r:id="rId1" w:history="1">
        <w:r w:rsidRPr="00554E48">
          <w:rPr>
            <w:rStyle w:val="Collegamentoipertestuale"/>
            <w:szCs w:val="16"/>
          </w:rPr>
          <w:t>https://eiopa.europa.eu/about-eiopa/legal-framework/public-access-to-documents/index.html</w:t>
        </w:r>
      </w:hyperlink>
      <w:r w:rsidRPr="00554E48">
        <w:rPr>
          <w:szCs w:val="16"/>
        </w:rPr>
        <w:t xml:space="preserve">. </w:t>
      </w:r>
    </w:p>
  </w:footnote>
  <w:footnote w:id="3">
    <w:p w:rsidR="005B6EF5" w:rsidRDefault="005B6EF5" w:rsidP="00F31E57">
      <w:pPr>
        <w:pStyle w:val="Testonotaapidipagina"/>
        <w:rPr>
          <w:szCs w:val="16"/>
        </w:rPr>
      </w:pPr>
      <w:r>
        <w:rPr>
          <w:rStyle w:val="Rimandonotaapidipagina"/>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F5" w:rsidRDefault="005B6EF5">
    <w:pPr>
      <w:pStyle w:val="Intestazione"/>
    </w:pPr>
    <w:r>
      <w:rPr>
        <w:noProof/>
        <w:lang w:val="it-IT" w:eastAsia="it-IT"/>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BB0B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F5" w:rsidRDefault="005B6EF5" w:rsidP="00013CCE">
    <w:pPr>
      <w:pStyle w:val="Intestazione"/>
      <w:jc w:val="right"/>
    </w:pPr>
    <w:r>
      <w:rPr>
        <w:noProof/>
        <w:lang w:val="it-IT" w:eastAsia="it-IT"/>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EF5" w:rsidRDefault="005B6EF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B6EF5" w:rsidRPr="002F4496" w:rsidTr="000C06C9">
      <w:trPr>
        <w:trHeight w:val="284"/>
      </w:trPr>
      <w:tc>
        <w:tcPr>
          <w:tcW w:w="8460" w:type="dxa"/>
        </w:tcPr>
        <w:p w:rsidR="005B6EF5" w:rsidRPr="000C3B6D" w:rsidRDefault="005B6EF5" w:rsidP="000C06C9">
          <w:pPr>
            <w:pStyle w:val="00Footer"/>
            <w:rPr>
              <w:lang w:val="fr-FR"/>
            </w:rPr>
          </w:pPr>
        </w:p>
      </w:tc>
      <w:tc>
        <w:tcPr>
          <w:tcW w:w="952" w:type="dxa"/>
        </w:tcPr>
        <w:p w:rsidR="005B6EF5" w:rsidRPr="00146B34" w:rsidRDefault="005B6EF5" w:rsidP="000C06C9">
          <w:pPr>
            <w:pStyle w:val="00aPagenumber"/>
            <w:rPr>
              <w:lang w:val="fr-FR"/>
            </w:rPr>
          </w:pPr>
        </w:p>
      </w:tc>
    </w:tr>
  </w:tbl>
  <w:p w:rsidR="005B6EF5" w:rsidRPr="00DB46C3" w:rsidRDefault="005B6EF5">
    <w:pPr>
      <w:rPr>
        <w:lang w:val="fr-FR"/>
      </w:rPr>
    </w:pPr>
  </w:p>
  <w:p w:rsidR="005B6EF5" w:rsidRPr="002F4496" w:rsidRDefault="005B6EF5">
    <w:pPr>
      <w:pStyle w:val="Intestazione"/>
      <w:rPr>
        <w:lang w:val="fr-FR"/>
      </w:rPr>
    </w:pPr>
  </w:p>
  <w:p w:rsidR="005B6EF5" w:rsidRPr="002F4496" w:rsidRDefault="005B6EF5" w:rsidP="000C06C9">
    <w:pPr>
      <w:pStyle w:val="Intestazione"/>
      <w:tabs>
        <w:tab w:val="clear" w:pos="4536"/>
        <w:tab w:val="clear" w:pos="9072"/>
        <w:tab w:val="left" w:pos="8227"/>
      </w:tabs>
      <w:rPr>
        <w:lang w:val="fr-FR"/>
      </w:rPr>
    </w:pPr>
  </w:p>
  <w:p w:rsidR="005B6EF5" w:rsidRPr="002F4496" w:rsidRDefault="005B6EF5" w:rsidP="000C06C9">
    <w:pPr>
      <w:pStyle w:val="Intestazione"/>
      <w:tabs>
        <w:tab w:val="clear" w:pos="4536"/>
        <w:tab w:val="clear" w:pos="9072"/>
        <w:tab w:val="left" w:pos="8227"/>
      </w:tabs>
      <w:rPr>
        <w:lang w:val="fr-FR"/>
      </w:rPr>
    </w:pPr>
  </w:p>
  <w:p w:rsidR="005B6EF5" w:rsidRPr="002F4496" w:rsidRDefault="005B6EF5">
    <w:pPr>
      <w:pStyle w:val="Intestazione"/>
      <w:rPr>
        <w:lang w:val="fr-FR"/>
      </w:rPr>
    </w:pPr>
  </w:p>
  <w:p w:rsidR="005B6EF5" w:rsidRPr="002F4496" w:rsidRDefault="005B6EF5">
    <w:pPr>
      <w:pStyle w:val="Intestazione"/>
      <w:rPr>
        <w:lang w:val="fr-FR"/>
      </w:rPr>
    </w:pPr>
  </w:p>
  <w:p w:rsidR="005B6EF5" w:rsidRPr="002F4496" w:rsidRDefault="005B6EF5">
    <w:pPr>
      <w:pStyle w:val="Intestazione"/>
      <w:rPr>
        <w:lang w:val="fr-FR"/>
      </w:rPr>
    </w:pPr>
  </w:p>
  <w:p w:rsidR="005B6EF5" w:rsidRPr="002F4496" w:rsidRDefault="005B6EF5">
    <w:pPr>
      <w:pStyle w:val="Intestazione"/>
      <w:rPr>
        <w:lang w:val="fr-FR"/>
      </w:rPr>
    </w:pPr>
  </w:p>
  <w:p w:rsidR="005B6EF5" w:rsidRPr="002F4496" w:rsidRDefault="005B6EF5">
    <w:pPr>
      <w:pStyle w:val="Intestazione"/>
      <w:rPr>
        <w:highlight w:val="yellow"/>
        <w:lang w:val="fr-FR"/>
      </w:rPr>
    </w:pPr>
  </w:p>
  <w:p w:rsidR="005B6EF5" w:rsidRDefault="005B6EF5">
    <w:pPr>
      <w:pStyle w:val="Intestazione"/>
    </w:pPr>
    <w:r>
      <w:rPr>
        <w:noProof/>
        <w:lang w:val="it-IT" w:eastAsia="it-IT"/>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A30B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it-IT" w:eastAsia="it-IT"/>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9"/>
  </w:num>
  <w:num w:numId="25">
    <w:abstractNumId w:val="28"/>
  </w:num>
  <w:num w:numId="26">
    <w:abstractNumId w:val="18"/>
  </w:num>
  <w:num w:numId="27">
    <w:abstractNumId w:val="32"/>
  </w:num>
  <w:num w:numId="28">
    <w:abstractNumId w:val="37"/>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4"/>
  </w:num>
  <w:num w:numId="36">
    <w:abstractNumId w:val="34"/>
    <w:lvlOverride w:ilvl="0">
      <w:startOverride w:val="1"/>
    </w:lvlOverride>
  </w:num>
  <w:num w:numId="37">
    <w:abstractNumId w:val="34"/>
    <w:lvlOverride w:ilvl="0">
      <w:startOverride w:val="1"/>
    </w:lvlOverride>
  </w:num>
  <w:num w:numId="38">
    <w:abstractNumId w:val="34"/>
    <w:lvlOverride w:ilvl="0">
      <w:startOverride w:val="1"/>
    </w:lvlOverride>
  </w:num>
  <w:num w:numId="39">
    <w:abstractNumId w:val="34"/>
    <w:lvlOverride w:ilvl="0">
      <w:startOverride w:val="1"/>
    </w:lvlOverride>
  </w:num>
  <w:num w:numId="40">
    <w:abstractNumId w:val="34"/>
    <w:lvlOverride w:ilvl="0">
      <w:startOverride w:val="1"/>
    </w:lvlOverride>
  </w:num>
  <w:num w:numId="41">
    <w:abstractNumId w:val="34"/>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34"/>
    <w:lvlOverride w:ilvl="0">
      <w:startOverride w:val="1"/>
    </w:lvlOverride>
  </w:num>
  <w:num w:numId="46">
    <w:abstractNumId w:val="34"/>
    <w:lvlOverride w:ilvl="0">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lvlOverride w:ilvl="0">
      <w:startOverride w:val="1"/>
    </w:lvlOverride>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1073"/>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6E81"/>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87EA4"/>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3FBD"/>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140"/>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6EF5"/>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1EB3"/>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166"/>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A3"/>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E4D"/>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2E5"/>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BFC"/>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CE8"/>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52F"/>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AD3"/>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122"/>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066F9"/>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4C7"/>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818"/>
    <w:rsid w:val="00ED4B27"/>
    <w:rsid w:val="00ED543C"/>
    <w:rsid w:val="00ED6BA4"/>
    <w:rsid w:val="00ED7DA7"/>
    <w:rsid w:val="00EE0598"/>
    <w:rsid w:val="00EE311C"/>
    <w:rsid w:val="00EE56FF"/>
    <w:rsid w:val="00EE5886"/>
    <w:rsid w:val="00EE5FBF"/>
    <w:rsid w:val="00EE6472"/>
    <w:rsid w:val="00EE76F2"/>
    <w:rsid w:val="00EE7DF8"/>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E4728"/>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5:docId w15:val="{AB15CAA3-455D-45AC-BF33-8F01EFA6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0769"/>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rsid w:val="005B64CB"/>
    <w:pPr>
      <w:tabs>
        <w:tab w:val="center" w:pos="4536"/>
        <w:tab w:val="right" w:pos="9072"/>
      </w:tabs>
    </w:pPr>
  </w:style>
  <w:style w:type="table" w:styleId="Grigliatabella">
    <w:name w:val="Table Grid"/>
    <w:basedOn w:val="Tabellanorma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uiPriority w:val="99"/>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Georgia" w:hAnsi="Georgia"/>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E0D55-8B7F-4606-B03E-5727D2ED724F}">
  <ds:schemaRefs>
    <ds:schemaRef ds:uri="http://schemas.openxmlformats.org/officeDocument/2006/bibliography"/>
  </ds:schemaRefs>
</ds:datastoreItem>
</file>

<file path=customXml/itemProps2.xml><?xml version="1.0" encoding="utf-8"?>
<ds:datastoreItem xmlns:ds="http://schemas.openxmlformats.org/officeDocument/2006/customXml" ds:itemID="{1BBC9F12-13AC-4908-926D-8FCEDDB9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22</Pages>
  <Words>6941</Words>
  <Characters>39567</Characters>
  <Application>Microsoft Office Word</Application>
  <DocSecurity>8</DocSecurity>
  <Lines>329</Lines>
  <Paragraphs>92</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46416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Mattia Suardi</cp:lastModifiedBy>
  <cp:revision>15</cp:revision>
  <cp:lastPrinted>2015-02-18T11:01:00Z</cp:lastPrinted>
  <dcterms:created xsi:type="dcterms:W3CDTF">2015-06-23T08:48:00Z</dcterms:created>
  <dcterms:modified xsi:type="dcterms:W3CDTF">2015-08-05T15:15:00Z</dcterms:modified>
</cp:coreProperties>
</file>