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Lienhypertexte"/>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7E2302" w:rsidRPr="00F520E3" w:rsidRDefault="007E2302" w:rsidP="007E2302">
      <w:pPr>
        <w:jc w:val="both"/>
      </w:pPr>
      <w:bookmarkStart w:id="2"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Appelnotedebasdep"/>
        </w:rPr>
        <w:footnoteReference w:id="2"/>
      </w:r>
      <w:r w:rsidRPr="00F520E3">
        <w:t xml:space="preserve"> We may consult you if we receive such a request. Any decision we make not to disclose the response is reviewable by the Board of Appeal of the ESAs and the European Ombud</w:t>
      </w:r>
      <w:r w:rsidRPr="00F520E3">
        <w:t>s</w:t>
      </w:r>
      <w:r w:rsidRPr="00F520E3">
        <w:t xml:space="preserve">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Titre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204D56">
        <w:tc>
          <w:tcPr>
            <w:tcW w:w="3929" w:type="dxa"/>
            <w:shd w:val="clear" w:color="auto" w:fill="auto"/>
          </w:tcPr>
          <w:p w:rsidR="00D34282" w:rsidRPr="00AB6D88" w:rsidRDefault="00D34282" w:rsidP="00204D56">
            <w:pPr>
              <w:rPr>
                <w:rFonts w:cs="Arial"/>
              </w:rPr>
            </w:pPr>
            <w:permStart w:id="1893625272" w:edGrp="everyone" w:colFirst="1" w:colLast="1"/>
            <w:r w:rsidRPr="00AB6D88">
              <w:rPr>
                <w:rFonts w:cs="Arial"/>
              </w:rPr>
              <w:t>Name of the company / organisation</w:t>
            </w:r>
          </w:p>
        </w:tc>
        <w:sdt>
          <w:sdtPr>
            <w:rPr>
              <w:rStyle w:val="Textedelespacerserv"/>
              <w:rFonts w:cs="Arial"/>
            </w:rPr>
            <w:id w:val="-1905066999"/>
            <w:text/>
          </w:sdtPr>
          <w:sdtEndPr>
            <w:rPr>
              <w:rStyle w:val="Textedelespacerserv"/>
            </w:rPr>
          </w:sdtEndPr>
          <w:sdtContent>
            <w:permStart w:id="71721429" w:edGrp="everyone" w:displacedByCustomXml="prev"/>
            <w:tc>
              <w:tcPr>
                <w:tcW w:w="5595" w:type="dxa"/>
                <w:shd w:val="clear" w:color="auto" w:fill="auto"/>
              </w:tcPr>
              <w:p w:rsidR="00D34282" w:rsidRPr="00AB6D88" w:rsidRDefault="00204D56" w:rsidP="00204D56">
                <w:pPr>
                  <w:rPr>
                    <w:rStyle w:val="Textedelespacerserv"/>
                    <w:rFonts w:cs="Arial"/>
                  </w:rPr>
                </w:pPr>
                <w:r>
                  <w:rPr>
                    <w:rStyle w:val="Textedelespacerserv"/>
                    <w:rFonts w:cs="Arial"/>
                  </w:rPr>
                  <w:t>AMUNDII</w:t>
                </w:r>
              </w:p>
            </w:tc>
            <w:permEnd w:id="71721429" w:displacedByCustomXml="next"/>
          </w:sdtContent>
        </w:sdt>
      </w:tr>
      <w:tr w:rsidR="00D34282" w:rsidRPr="00AB6D88" w:rsidTr="00204D56">
        <w:tc>
          <w:tcPr>
            <w:tcW w:w="3929" w:type="dxa"/>
            <w:shd w:val="clear" w:color="auto" w:fill="auto"/>
          </w:tcPr>
          <w:p w:rsidR="00D34282" w:rsidRPr="00AB6D88" w:rsidRDefault="00D34282" w:rsidP="00204D56">
            <w:pPr>
              <w:rPr>
                <w:rFonts w:cs="Arial"/>
              </w:rPr>
            </w:pPr>
            <w:permStart w:id="1644968161" w:edGrp="everyone" w:colFirst="1" w:colLast="1"/>
            <w:permEnd w:id="1893625272"/>
            <w:r w:rsidRPr="00AB6D88">
              <w:rPr>
                <w:rFonts w:cs="Arial"/>
              </w:rPr>
              <w:t>Activity</w:t>
            </w:r>
          </w:p>
        </w:tc>
        <w:tc>
          <w:tcPr>
            <w:tcW w:w="5595" w:type="dxa"/>
            <w:shd w:val="clear" w:color="auto" w:fill="auto"/>
          </w:tcPr>
          <w:p w:rsidR="00D34282" w:rsidRPr="00AB6D88" w:rsidRDefault="00F97E34" w:rsidP="00204D56">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556994497" w:edGrp="everyone"/>
                <w:r w:rsidR="00204D56">
                  <w:rPr>
                    <w:rFonts w:cs="Arial"/>
                  </w:rPr>
                  <w:t>Investment Services</w:t>
                </w:r>
                <w:permEnd w:id="556994497"/>
              </w:sdtContent>
            </w:sdt>
          </w:p>
        </w:tc>
      </w:tr>
      <w:tr w:rsidR="00D34282" w:rsidRPr="00AB6D88" w:rsidTr="00204D56">
        <w:tc>
          <w:tcPr>
            <w:tcW w:w="3929" w:type="dxa"/>
            <w:shd w:val="clear" w:color="auto" w:fill="auto"/>
          </w:tcPr>
          <w:p w:rsidR="00D34282" w:rsidRPr="00AB6D88" w:rsidRDefault="00D34282" w:rsidP="00204D56">
            <w:pPr>
              <w:rPr>
                <w:rFonts w:cs="Arial"/>
              </w:rPr>
            </w:pPr>
            <w:permStart w:id="1601585668" w:edGrp="everyone" w:colFirst="1" w:colLast="1"/>
            <w:permEnd w:id="1644968161"/>
            <w:r w:rsidRPr="00AB6D88">
              <w:rPr>
                <w:rFonts w:cs="Arial"/>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rsidR="00D34282" w:rsidRPr="00AB6D88" w:rsidRDefault="00D34282" w:rsidP="00204D56">
                <w:pPr>
                  <w:rPr>
                    <w:rFonts w:cs="Arial"/>
                  </w:rPr>
                </w:pPr>
                <w:r w:rsidRPr="00AB6D88">
                  <w:rPr>
                    <w:rFonts w:ascii="MS Gothic" w:eastAsia="MS Gothic" w:hAnsi="MS Gothic" w:cs="MS Gothic" w:hint="eastAsia"/>
                  </w:rPr>
                  <w:t>☐</w:t>
                </w:r>
              </w:p>
            </w:tc>
          </w:sdtContent>
        </w:sdt>
      </w:tr>
      <w:tr w:rsidR="00D34282" w:rsidRPr="00AB6D88" w:rsidTr="00204D56">
        <w:tc>
          <w:tcPr>
            <w:tcW w:w="3929" w:type="dxa"/>
            <w:shd w:val="clear" w:color="auto" w:fill="auto"/>
          </w:tcPr>
          <w:p w:rsidR="00D34282" w:rsidRPr="00AB6D88" w:rsidRDefault="00D34282" w:rsidP="00204D56">
            <w:pPr>
              <w:rPr>
                <w:rFonts w:cs="Arial"/>
              </w:rPr>
            </w:pPr>
            <w:permStart w:id="45252282" w:edGrp="everyone" w:colFirst="1" w:colLast="1"/>
            <w:permEnd w:id="1601585668"/>
            <w:r w:rsidRPr="00AB6D88">
              <w:rPr>
                <w:rFonts w:cs="Arial"/>
              </w:rPr>
              <w:t>Country/Region</w:t>
            </w:r>
          </w:p>
        </w:tc>
        <w:permStart w:id="979772209"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D34282" w:rsidRPr="00AB6D88" w:rsidRDefault="00204D56" w:rsidP="00204D56">
                <w:pPr>
                  <w:rPr>
                    <w:rFonts w:cs="Arial"/>
                  </w:rPr>
                </w:pPr>
                <w:r>
                  <w:rPr>
                    <w:rFonts w:cs="Arial"/>
                  </w:rPr>
                  <w:t>France</w:t>
                </w:r>
              </w:p>
            </w:tc>
          </w:sdtContent>
        </w:sdt>
        <w:permEnd w:id="979772209" w:displacedByCustomXml="prev"/>
      </w:tr>
      <w:permEnd w:id="45252282"/>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Titre1"/>
        <w:numPr>
          <w:ilvl w:val="0"/>
          <w:numId w:val="0"/>
        </w:numPr>
        <w:ind w:left="431" w:hanging="431"/>
      </w:pPr>
      <w:r>
        <w:t>Introduction</w:t>
      </w:r>
    </w:p>
    <w:p w:rsidR="00D34282" w:rsidRPr="001D47A5" w:rsidRDefault="00D34282" w:rsidP="00D34282">
      <w:pPr>
        <w:rPr>
          <w:rStyle w:val="Emphaseintense"/>
        </w:rPr>
      </w:pPr>
      <w:r w:rsidRPr="001D47A5">
        <w:rPr>
          <w:rStyle w:val="Emphaseintense"/>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204D56" w:rsidRDefault="00204D56" w:rsidP="00204D56">
      <w:pPr>
        <w:spacing w:line="276" w:lineRule="auto"/>
        <w:jc w:val="both"/>
      </w:pPr>
      <w:permStart w:id="1165496088" w:edGrp="everyone"/>
      <w:r w:rsidRPr="00EB10DF">
        <w:t xml:space="preserve">Amundi is the No.1 European Asset Manager and </w:t>
      </w:r>
      <w:r>
        <w:t>ranks with</w:t>
      </w:r>
      <w:r w:rsidRPr="00EB10DF">
        <w:t xml:space="preserve">in the Top 10 worldwide with AUM of more than  €950 billion </w:t>
      </w:r>
      <w:r>
        <w:t>at the end of June 2015</w:t>
      </w:r>
      <w:r w:rsidRPr="00EB10DF">
        <w:t>.</w:t>
      </w:r>
      <w:r>
        <w:t xml:space="preserve"> </w:t>
      </w:r>
      <w:r w:rsidRPr="00EB10DF">
        <w:t xml:space="preserve">Located at the heart of the main investment regions in more than 30 countries, Amundi offers a comprehensive range of products covering all asset classes and major currencies </w:t>
      </w:r>
      <w:r>
        <w:t xml:space="preserve">and </w:t>
      </w:r>
      <w:r w:rsidRPr="00EB10DF">
        <w:t xml:space="preserve">has developed savings solutions to meet the needs of </w:t>
      </w:r>
      <w:r>
        <w:t>no less</w:t>
      </w:r>
      <w:r w:rsidRPr="00EB10DF">
        <w:t xml:space="preserve"> than 100 million retail clients worldwide </w:t>
      </w:r>
      <w:r>
        <w:t xml:space="preserve">in cooperation with various banking networks. Amundi also </w:t>
      </w:r>
      <w:r w:rsidRPr="00EB10DF">
        <w:t>designs innovative, high-performing products for institutional clients which are tailored specifically to their requirements and risk profile.</w:t>
      </w:r>
      <w:r>
        <w:t xml:space="preserve"> </w:t>
      </w:r>
      <w:r w:rsidRPr="00EB10DF">
        <w:t>The Group contributes to funding the economy by orienting savings towards compan</w:t>
      </w:r>
      <w:r>
        <w:t>ies’</w:t>
      </w:r>
      <w:r w:rsidRPr="00EB10DF">
        <w:t xml:space="preserve"> development.</w:t>
      </w:r>
    </w:p>
    <w:p w:rsidR="00204D56" w:rsidRDefault="00204D56" w:rsidP="00204D56">
      <w:pPr>
        <w:spacing w:line="276" w:lineRule="auto"/>
        <w:jc w:val="both"/>
      </w:pPr>
    </w:p>
    <w:p w:rsidR="00204D56" w:rsidRDefault="00204D56" w:rsidP="00204D56">
      <w:pPr>
        <w:spacing w:line="276" w:lineRule="auto"/>
        <w:jc w:val="both"/>
      </w:pPr>
      <w:r>
        <w:t>Based on its large experience with retail clients, Amundi is happy to bring further insight to ESAs in the framework of the implementation of PRIIPs regulation. We first would like to underline a few major points that we summarize as follows:</w:t>
      </w:r>
    </w:p>
    <w:p w:rsidR="00204D56" w:rsidRDefault="00204D56" w:rsidP="000D0E8C">
      <w:pPr>
        <w:pStyle w:val="Paragraphedeliste"/>
        <w:numPr>
          <w:ilvl w:val="0"/>
          <w:numId w:val="38"/>
        </w:numPr>
        <w:spacing w:line="276" w:lineRule="auto"/>
        <w:contextualSpacing w:val="0"/>
        <w:jc w:val="both"/>
      </w:pPr>
      <w:r>
        <w:t xml:space="preserve">Amundi totally supports the initiative of PRIIPs regulation to establish a </w:t>
      </w:r>
      <w:r w:rsidRPr="004573A0">
        <w:rPr>
          <w:b/>
        </w:rPr>
        <w:t>level playing</w:t>
      </w:r>
      <w:r>
        <w:t xml:space="preserve"> among promoters of investment solutions for retail clients; the KID is a major step in that direction;</w:t>
      </w:r>
    </w:p>
    <w:p w:rsidR="00204D56" w:rsidRDefault="00204D56" w:rsidP="000D0E8C">
      <w:pPr>
        <w:pStyle w:val="Paragraphedeliste"/>
        <w:numPr>
          <w:ilvl w:val="0"/>
          <w:numId w:val="38"/>
        </w:numPr>
        <w:spacing w:line="276" w:lineRule="auto"/>
        <w:contextualSpacing w:val="0"/>
        <w:jc w:val="both"/>
      </w:pPr>
      <w:r>
        <w:t xml:space="preserve">We consider that the </w:t>
      </w:r>
      <w:r w:rsidRPr="004573A0">
        <w:rPr>
          <w:b/>
        </w:rPr>
        <w:t>experience of UCITS should be capitalized upon</w:t>
      </w:r>
      <w:r>
        <w:t>; the definition of all the items in the UCITS’ KIID followed a large consultation of stakeholders and its final format has now been experimented for UCITS (and many AIFs in France) for several years;</w:t>
      </w:r>
      <w:r w:rsidRPr="004573A0">
        <w:t xml:space="preserve"> </w:t>
      </w:r>
      <w:r>
        <w:t>the preparatory work undertaken and the implementation cost involved should not be disregarded but considered as in</w:t>
      </w:r>
      <w:r>
        <w:t>i</w:t>
      </w:r>
      <w:r>
        <w:t>tial investment undertaken by asset managers for the common benefit of the financial community;</w:t>
      </w:r>
    </w:p>
    <w:p w:rsidR="00204D56" w:rsidRDefault="00204D56" w:rsidP="000D0E8C">
      <w:pPr>
        <w:pStyle w:val="Paragraphedeliste"/>
        <w:numPr>
          <w:ilvl w:val="0"/>
          <w:numId w:val="38"/>
        </w:numPr>
        <w:spacing w:line="276" w:lineRule="auto"/>
        <w:contextualSpacing w:val="0"/>
        <w:jc w:val="both"/>
      </w:pPr>
      <w:r>
        <w:t xml:space="preserve">Retail investors are those to whom information is directed to; </w:t>
      </w:r>
      <w:r w:rsidRPr="00FD5428">
        <w:rPr>
          <w:b/>
        </w:rPr>
        <w:t>KID must provide relevant info</w:t>
      </w:r>
      <w:r w:rsidRPr="00FD5428">
        <w:rPr>
          <w:b/>
        </w:rPr>
        <w:t>r</w:t>
      </w:r>
      <w:r w:rsidRPr="00FD5428">
        <w:rPr>
          <w:b/>
        </w:rPr>
        <w:t xml:space="preserve">mation, easy to understand </w:t>
      </w:r>
      <w:r>
        <w:t>in order for the investor to reach an informed decision; in that r</w:t>
      </w:r>
      <w:r>
        <w:t>e</w:t>
      </w:r>
      <w:r>
        <w:t>spect, we consider that excessive information, or too technical information , would be counterpr</w:t>
      </w:r>
      <w:r>
        <w:t>o</w:t>
      </w:r>
      <w:r>
        <w:t xml:space="preserve">ductive;   </w:t>
      </w:r>
    </w:p>
    <w:p w:rsidR="00204D56" w:rsidRDefault="00204D56" w:rsidP="000D0E8C">
      <w:pPr>
        <w:pStyle w:val="Paragraphedeliste"/>
        <w:numPr>
          <w:ilvl w:val="0"/>
          <w:numId w:val="38"/>
        </w:numPr>
        <w:spacing w:line="276" w:lineRule="auto"/>
        <w:contextualSpacing w:val="0"/>
        <w:jc w:val="both"/>
      </w:pPr>
      <w:r>
        <w:t>A one-size-fit-all</w:t>
      </w:r>
      <w:r w:rsidRPr="006767EB">
        <w:t xml:space="preserve"> </w:t>
      </w:r>
      <w:r>
        <w:t>approach</w:t>
      </w:r>
      <w:r w:rsidRPr="006767EB">
        <w:t xml:space="preserve"> for so many different products</w:t>
      </w:r>
      <w:r>
        <w:t xml:space="preserve"> as PRIIPs may be irrelevant</w:t>
      </w:r>
      <w:r w:rsidRPr="006767EB">
        <w:t>; if comp</w:t>
      </w:r>
      <w:r w:rsidRPr="006767EB">
        <w:t>a</w:t>
      </w:r>
      <w:r w:rsidRPr="006767EB">
        <w:t xml:space="preserve">rability is important, diversity is a fact and </w:t>
      </w:r>
      <w:r>
        <w:t xml:space="preserve">it is even more important to </w:t>
      </w:r>
      <w:r w:rsidRPr="006767EB">
        <w:t>offer a clear and unde</w:t>
      </w:r>
      <w:r w:rsidRPr="006767EB">
        <w:t>r</w:t>
      </w:r>
      <w:r w:rsidRPr="006767EB">
        <w:t xml:space="preserve">standable presentation of the product ; </w:t>
      </w:r>
      <w:r>
        <w:t>indeed</w:t>
      </w:r>
      <w:r w:rsidRPr="006767EB">
        <w:t xml:space="preserve"> not all items will enable comparison </w:t>
      </w:r>
      <w:r>
        <w:t xml:space="preserve">and </w:t>
      </w:r>
      <w:r w:rsidRPr="000C01B2">
        <w:t>granular information</w:t>
      </w:r>
      <w:r>
        <w:t xml:space="preserve"> is often preferable to too synthetic one that would mislead into erroneous compar</w:t>
      </w:r>
      <w:r>
        <w:t>i</w:t>
      </w:r>
      <w:r>
        <w:t xml:space="preserve">sons; we recommend to have </w:t>
      </w:r>
      <w:r w:rsidRPr="000C01B2">
        <w:rPr>
          <w:b/>
        </w:rPr>
        <w:t>different methodologies</w:t>
      </w:r>
      <w:r>
        <w:t xml:space="preserve"> for different classes of PRIIPs. </w:t>
      </w:r>
    </w:p>
    <w:p w:rsidR="00204D56" w:rsidRPr="004244BD" w:rsidRDefault="00204D56" w:rsidP="000D0E8C">
      <w:pPr>
        <w:pStyle w:val="Paragraphedeliste"/>
        <w:numPr>
          <w:ilvl w:val="0"/>
          <w:numId w:val="38"/>
        </w:numPr>
        <w:spacing w:line="276" w:lineRule="auto"/>
        <w:contextualSpacing w:val="0"/>
        <w:jc w:val="both"/>
      </w:pPr>
      <w:r>
        <w:t xml:space="preserve">Coherent approach between PRIIPS and </w:t>
      </w:r>
      <w:proofErr w:type="spellStart"/>
      <w:r>
        <w:t>MiFID</w:t>
      </w:r>
      <w:proofErr w:type="spellEnd"/>
      <w:r>
        <w:t xml:space="preserve"> is key; in that respect simple solution must be looked for in order not to alter the distribution of products in Europe. We propose in this document (cf. Q 13) a two level approach for the risk indicator which could ease the difficult articulation of tasks between manufacturer and distributors introduced by the topic of “target market”. </w:t>
      </w:r>
    </w:p>
    <w:p w:rsidR="00204D56" w:rsidRPr="004872F0" w:rsidRDefault="00204D56" w:rsidP="000D0E8C">
      <w:pPr>
        <w:pStyle w:val="Paragraphedeliste"/>
        <w:numPr>
          <w:ilvl w:val="0"/>
          <w:numId w:val="38"/>
        </w:numPr>
        <w:spacing w:line="276" w:lineRule="auto"/>
        <w:contextualSpacing w:val="0"/>
        <w:jc w:val="both"/>
      </w:pPr>
      <w:r w:rsidRPr="006767EB">
        <w:t xml:space="preserve">Speaking of </w:t>
      </w:r>
      <w:r w:rsidRPr="006767EB">
        <w:rPr>
          <w:b/>
        </w:rPr>
        <w:t>risk</w:t>
      </w:r>
      <w:r>
        <w:rPr>
          <w:b/>
        </w:rPr>
        <w:t xml:space="preserve"> and performance scenarios</w:t>
      </w:r>
      <w:r w:rsidRPr="006767EB">
        <w:t xml:space="preserve">, Amundi feels that the results of complex </w:t>
      </w:r>
      <w:r>
        <w:t>conce</w:t>
      </w:r>
      <w:r>
        <w:t>p</w:t>
      </w:r>
      <w:r>
        <w:t>tual</w:t>
      </w:r>
      <w:r w:rsidRPr="006767EB">
        <w:t xml:space="preserve"> tools should not be used for publication to retail investors; we consider that probabilistic mo</w:t>
      </w:r>
      <w:r w:rsidRPr="006767EB">
        <w:t>d</w:t>
      </w:r>
      <w:r w:rsidRPr="006767EB">
        <w:t xml:space="preserve">els </w:t>
      </w:r>
      <w:r>
        <w:t xml:space="preserve">often </w:t>
      </w:r>
      <w:r w:rsidRPr="006767EB">
        <w:t>rely on too many hypothes</w:t>
      </w:r>
      <w:r>
        <w:t>e</w:t>
      </w:r>
      <w:r w:rsidRPr="006767EB">
        <w:t xml:space="preserve">s and refer to too complex mathematics and statistics to be communicated upon in an understandable way </w:t>
      </w:r>
      <w:r>
        <w:t xml:space="preserve">without </w:t>
      </w:r>
      <w:r w:rsidRPr="006767EB">
        <w:t>risk</w:t>
      </w:r>
      <w:r>
        <w:t>s</w:t>
      </w:r>
      <w:r w:rsidRPr="006767EB">
        <w:t xml:space="preserve"> of misinterpretation;</w:t>
      </w:r>
      <w:r w:rsidRPr="004872F0">
        <w:t xml:space="preserve"> past perfo</w:t>
      </w:r>
      <w:r w:rsidRPr="004872F0">
        <w:t>r</w:t>
      </w:r>
      <w:r w:rsidRPr="004872F0">
        <w:t>mance (with the current disclaimer) and</w:t>
      </w:r>
      <w:r w:rsidRPr="00EC7415">
        <w:t xml:space="preserve"> “what if” scenarios</w:t>
      </w:r>
      <w:r w:rsidRPr="00D43369">
        <w:t xml:space="preserve"> will</w:t>
      </w:r>
      <w:r>
        <w:t xml:space="preserve"> often be much more appropriate </w:t>
      </w:r>
      <w:r w:rsidRPr="00B83894">
        <w:t xml:space="preserve">as a means to illustrate the comportment of a product in relevant cases; </w:t>
      </w:r>
      <w:r w:rsidRPr="004244BD">
        <w:rPr>
          <w:b/>
        </w:rPr>
        <w:t>let us mention than when neither of both method is relevant, regulators should allow for an exemption;</w:t>
      </w:r>
    </w:p>
    <w:p w:rsidR="00204D56" w:rsidRPr="00B039CA" w:rsidRDefault="00204D56" w:rsidP="000D0E8C">
      <w:pPr>
        <w:pStyle w:val="Paragraphedeliste"/>
        <w:numPr>
          <w:ilvl w:val="0"/>
          <w:numId w:val="38"/>
        </w:numPr>
        <w:spacing w:line="276" w:lineRule="auto"/>
        <w:contextualSpacing w:val="0"/>
        <w:jc w:val="both"/>
        <w:rPr>
          <w:b/>
        </w:rPr>
      </w:pPr>
      <w:r>
        <w:lastRenderedPageBreak/>
        <w:t xml:space="preserve">For what refers to </w:t>
      </w:r>
      <w:r w:rsidRPr="00DA3A3D">
        <w:rPr>
          <w:b/>
        </w:rPr>
        <w:t>costs</w:t>
      </w:r>
      <w:r>
        <w:rPr>
          <w:b/>
        </w:rPr>
        <w:t xml:space="preserve">, </w:t>
      </w:r>
      <w:r>
        <w:t xml:space="preserve"> Regulators should avoid to impose referring to new proprietary data or models. With reference to IOSCO’s </w:t>
      </w:r>
      <w:r>
        <w:rPr>
          <w:i/>
        </w:rPr>
        <w:t>Report on Elements of International Regulatory Standards on Fees and Expenses of Investment Funds</w:t>
      </w:r>
      <w:r>
        <w:t xml:space="preserve"> currently open for consultation, we want to keep a clear differentiation between fees and expenses for operating a CIS (part 2 of the report) and transa</w:t>
      </w:r>
      <w:r>
        <w:t>c</w:t>
      </w:r>
      <w:r>
        <w:t xml:space="preserve">tion-based fees and expenses (Part 4). They are totally different and cannot be aggregated in an “on-going” charge category. </w:t>
      </w:r>
      <w:r w:rsidR="00F97E34">
        <w:rPr>
          <w:b/>
        </w:rPr>
        <w:t>Besides, w</w:t>
      </w:r>
      <w:bookmarkStart w:id="3" w:name="_GoBack"/>
      <w:bookmarkEnd w:id="3"/>
      <w:r w:rsidR="00B039CA" w:rsidRPr="00B039CA">
        <w:rPr>
          <w:b/>
        </w:rPr>
        <w:t>e also urge ESMA to look at our answer to question 94 relating to dividends and total return swaps in the context of structured products.</w:t>
      </w:r>
    </w:p>
    <w:p w:rsidR="00204D56" w:rsidRPr="002D50B3" w:rsidRDefault="00204D56" w:rsidP="00204D56">
      <w:pPr>
        <w:spacing w:line="276" w:lineRule="auto"/>
        <w:ind w:left="360"/>
        <w:jc w:val="both"/>
        <w:rPr>
          <w:b/>
        </w:rPr>
      </w:pPr>
    </w:p>
    <w:p w:rsidR="00204D56" w:rsidRDefault="00204D56" w:rsidP="00204D56">
      <w:pPr>
        <w:spacing w:line="276" w:lineRule="auto"/>
        <w:jc w:val="both"/>
      </w:pPr>
      <w:r>
        <w:t>We now turn to the answer to specific questions. We did not answer to all questions, in particular when they are more specifically addressed to insurers or producers of structured notes or deposits.</w:t>
      </w:r>
    </w:p>
    <w:permEnd w:id="1165496088"/>
    <w:p w:rsidR="00D34282" w:rsidRDefault="00D34282" w:rsidP="00D34282">
      <w:r w:rsidRPr="00C25863">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preference on the general approach how a distribution of returns should be established for the risk indic</w:t>
      </w:r>
      <w:r w:rsidR="001A5E5C">
        <w:t xml:space="preserve">ator and performance scenarios’ </w:t>
      </w:r>
      <w:r>
        <w:t xml:space="preserve">purposes. Include your considerations and caveats. </w:t>
      </w:r>
    </w:p>
    <w:p w:rsidR="00F31E57" w:rsidRDefault="00F31E57" w:rsidP="00F31E57"/>
    <w:p w:rsidR="00F31E57" w:rsidRDefault="00F31E57" w:rsidP="00F31E57">
      <w:r>
        <w:t>&lt;ESMA_QUESTION_PRIIPs_1&gt;</w:t>
      </w:r>
    </w:p>
    <w:p w:rsidR="00204D56" w:rsidRPr="009455A5" w:rsidRDefault="00204D56" w:rsidP="00204D56">
      <w:pPr>
        <w:spacing w:line="276" w:lineRule="auto"/>
        <w:jc w:val="both"/>
        <w:rPr>
          <w:lang w:val="en-US"/>
        </w:rPr>
      </w:pPr>
      <w:permStart w:id="865553430" w:edGrp="everyone"/>
      <w:r>
        <w:rPr>
          <w:lang w:val="en-US"/>
        </w:rPr>
        <w:t>Amundi favors the reference to historical data, the option (a) mentioned in the paper. It is not questionable as it is real and it reduces operational difficulties; for funds it allows true comparisons between similar products showing the performance of each asset manager in a given period and for a similar investment objective. As a general position, Amundi does not support the idea of introducing models (that are useful in terms of risk management where all hypotheses are understood) in the communication aimed as inve</w:t>
      </w:r>
      <w:r>
        <w:rPr>
          <w:lang w:val="en-US"/>
        </w:rPr>
        <w:t>s</w:t>
      </w:r>
      <w:r>
        <w:rPr>
          <w:lang w:val="en-US"/>
        </w:rPr>
        <w:t>tors.</w:t>
      </w:r>
    </w:p>
    <w:permEnd w:id="865553430"/>
    <w:p w:rsidR="00F31E57" w:rsidRDefault="00F31E57" w:rsidP="00F31E57">
      <w:r>
        <w:t>&lt;ESMA_QUESTION_PRIIPs_1&gt;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determining performance under a variety of scenarios?</w:t>
      </w:r>
    </w:p>
    <w:p w:rsidR="00F31E57" w:rsidRDefault="00F31E57" w:rsidP="00F31E57"/>
    <w:p w:rsidR="00F31E57" w:rsidRDefault="00F31E57" w:rsidP="00F31E57">
      <w:r>
        <w:t>&lt;ESMA_QUESTION_PRIIPs_2&gt;</w:t>
      </w:r>
    </w:p>
    <w:p w:rsidR="00204D56" w:rsidRDefault="00204D56" w:rsidP="00204D56">
      <w:pPr>
        <w:spacing w:line="276" w:lineRule="auto"/>
        <w:jc w:val="both"/>
        <w:rPr>
          <w:lang w:val="en-US"/>
        </w:rPr>
      </w:pPr>
      <w:permStart w:id="855857809" w:edGrp="everyone"/>
      <w:r>
        <w:rPr>
          <w:lang w:val="en-US"/>
        </w:rPr>
        <w:t>As mentioned in our answer to question 1, we strongly believe that in most cases models should not be used in the communication to the public. They rely on many hypotheses, are at the hand of the producers or the regulators and cannot give a better indication of the reality than the reality itself, i.e. past perfo</w:t>
      </w:r>
      <w:r>
        <w:rPr>
          <w:lang w:val="en-US"/>
        </w:rPr>
        <w:t>r</w:t>
      </w:r>
      <w:r>
        <w:rPr>
          <w:lang w:val="en-US"/>
        </w:rPr>
        <w:t>mance. The current reference to past performances with a disclaimer on the fact that the future will not be a repetition of the past is now part of the education of retail investors. Any move away from this line would be highly detrimental.</w:t>
      </w:r>
    </w:p>
    <w:p w:rsidR="00204D56" w:rsidRDefault="00204D56" w:rsidP="00204D56">
      <w:pPr>
        <w:spacing w:line="276" w:lineRule="auto"/>
        <w:jc w:val="both"/>
        <w:rPr>
          <w:lang w:val="en-US"/>
        </w:rPr>
      </w:pPr>
      <w:r>
        <w:rPr>
          <w:lang w:val="en-US"/>
        </w:rPr>
        <w:t xml:space="preserve">If models were nevertheless to be recommended they should be consistent for all PRIIPs, strictly defined by European Authorities in order to grant a unique approach that is the only way </w:t>
      </w:r>
      <w:r w:rsidRPr="0030731A">
        <w:rPr>
          <w:lang w:val="en-US"/>
        </w:rPr>
        <w:t>to allow for comparisons.</w:t>
      </w:r>
      <w:r>
        <w:rPr>
          <w:lang w:val="en-US"/>
        </w:rPr>
        <w:t xml:space="preserve"> This would clearly put a heavy responsibility on ESAs to define, monitor and update appropriate models that ensure relevance, absence of deceptiveness, easiness to understand for the public and comparability throughout the EU. The need to define different models for different types of PRIIPs would be unavoidable and, hence, create a further difficulty about the classification of the products. </w:t>
      </w:r>
    </w:p>
    <w:p w:rsidR="00204D56" w:rsidRDefault="00204D56" w:rsidP="00204D56">
      <w:pPr>
        <w:spacing w:line="276" w:lineRule="auto"/>
        <w:jc w:val="both"/>
        <w:rPr>
          <w:lang w:val="en-US"/>
        </w:rPr>
      </w:pPr>
      <w:r>
        <w:rPr>
          <w:lang w:val="en-US"/>
        </w:rPr>
        <w:t xml:space="preserve">Positive effects are not easy to discover to balance these many drawbacks. </w:t>
      </w:r>
    </w:p>
    <w:permEnd w:id="855857809"/>
    <w:p w:rsidR="00F31E57" w:rsidRDefault="00F31E57" w:rsidP="00F31E57">
      <w:r>
        <w:t>&lt;ESMA_QUESTION_PRIIPs_2&gt;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specific products or underlying investments for which a specific growth rate would be more or less applicable?</w:t>
      </w:r>
    </w:p>
    <w:p w:rsidR="00F31E57" w:rsidRDefault="00F31E57" w:rsidP="00F31E57"/>
    <w:p w:rsidR="00F31E57" w:rsidRDefault="00F31E57" w:rsidP="00F31E57">
      <w:r>
        <w:t>&lt;ESMA_QUESTION_PRIIPs_3&gt;</w:t>
      </w:r>
    </w:p>
    <w:p w:rsidR="00204D56" w:rsidRDefault="00204D56" w:rsidP="00204D56">
      <w:pPr>
        <w:pStyle w:val="Default"/>
        <w:spacing w:line="276" w:lineRule="auto"/>
        <w:jc w:val="both"/>
        <w:rPr>
          <w:rFonts w:ascii="Arial" w:hAnsi="Arial" w:cs="Arial"/>
          <w:sz w:val="20"/>
          <w:szCs w:val="20"/>
          <w:lang w:val="en-GB"/>
        </w:rPr>
      </w:pPr>
      <w:permStart w:id="126567081" w:edGrp="everyone"/>
      <w:r w:rsidRPr="000203B0">
        <w:rPr>
          <w:rFonts w:ascii="Arial" w:hAnsi="Arial" w:cs="Arial"/>
          <w:sz w:val="20"/>
          <w:szCs w:val="20"/>
          <w:lang w:val="en-GB"/>
        </w:rPr>
        <w:t>Amundi has a clear preference for the comparison to be made with the amount invested without any adjustment.</w:t>
      </w:r>
      <w:r>
        <w:rPr>
          <w:rFonts w:ascii="Arial" w:hAnsi="Arial" w:cs="Arial"/>
          <w:sz w:val="20"/>
          <w:szCs w:val="20"/>
          <w:lang w:val="en-GB"/>
        </w:rPr>
        <w:t xml:space="preserve"> Gross return is the most effective way to compare different products.</w:t>
      </w:r>
      <w:r w:rsidRPr="000203B0">
        <w:rPr>
          <w:rFonts w:ascii="Arial" w:hAnsi="Arial" w:cs="Arial"/>
          <w:sz w:val="20"/>
          <w:szCs w:val="20"/>
          <w:lang w:val="en-GB"/>
        </w:rPr>
        <w:t xml:space="preserve"> On one hand it is the only way to avoid any discussion on the index that would be chosen for inflation or risk free rate. On the other hand it is the easiest figure for retail investors to</w:t>
      </w:r>
      <w:r>
        <w:rPr>
          <w:rFonts w:ascii="Arial" w:hAnsi="Arial" w:cs="Arial"/>
          <w:sz w:val="20"/>
          <w:szCs w:val="20"/>
          <w:lang w:val="en-GB"/>
        </w:rPr>
        <w:t xml:space="preserve"> understand as it expresses the reality of the cash they have invested. </w:t>
      </w:r>
    </w:p>
    <w:permEnd w:id="126567081"/>
    <w:p w:rsidR="00F31E57" w:rsidRDefault="00F31E57" w:rsidP="00F31E57">
      <w:r>
        <w:t>&lt;ESMA_QUESTION_PRIIPs_3&gt;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What would be the most reasonable approach to specify the growth rates? Would any of these approaches not work for a specific type of product or underlying i</w:t>
      </w:r>
      <w:r>
        <w:t>n</w:t>
      </w:r>
      <w:r>
        <w:t xml:space="preserve">vestment? </w:t>
      </w:r>
    </w:p>
    <w:p w:rsidR="00F31E57" w:rsidRDefault="00F31E57" w:rsidP="00F31E57"/>
    <w:p w:rsidR="00F31E57" w:rsidRDefault="00F31E57" w:rsidP="00F31E57">
      <w:r>
        <w:t>&lt;ESMA_QUESTION_PRIIPs_4&gt;</w:t>
      </w:r>
    </w:p>
    <w:p w:rsidR="00204D56" w:rsidRPr="00295B68" w:rsidRDefault="00204D56" w:rsidP="00204D56">
      <w:pPr>
        <w:pStyle w:val="Paragraphedeliste"/>
        <w:spacing w:line="276" w:lineRule="auto"/>
        <w:ind w:left="0"/>
        <w:jc w:val="both"/>
        <w:rPr>
          <w:rFonts w:cs="Arial"/>
        </w:rPr>
      </w:pPr>
      <w:permStart w:id="874387922" w:edGrp="everyone"/>
      <w:r w:rsidRPr="00295B68">
        <w:rPr>
          <w:rFonts w:cs="Arial"/>
        </w:rPr>
        <w:lastRenderedPageBreak/>
        <w:t xml:space="preserve">We </w:t>
      </w:r>
      <w:r>
        <w:rPr>
          <w:rFonts w:cs="Arial"/>
        </w:rPr>
        <w:t>consider that the introduction of any growth rate in the KID would be counter-productive, as it implies the definition, monitoring and supervision by ESAs of the rates used (since it is in our view obvious that leaving the choice to PRIIPs producer would miss the KID’s key objective of comparability between pro</w:t>
      </w:r>
      <w:r>
        <w:rPr>
          <w:rFonts w:cs="Arial"/>
        </w:rPr>
        <w:t>d</w:t>
      </w:r>
      <w:r>
        <w:rPr>
          <w:rFonts w:cs="Arial"/>
        </w:rPr>
        <w:t>ucts). Furthermore, the KID should deliver reliable not disputable data and not manipulate the judgment of the investor. In that perspective, gross data is the only applicable way to be consistent with the overarc</w:t>
      </w:r>
      <w:r>
        <w:rPr>
          <w:rFonts w:cs="Arial"/>
        </w:rPr>
        <w:t>h</w:t>
      </w:r>
      <w:r>
        <w:rPr>
          <w:rFonts w:cs="Arial"/>
        </w:rPr>
        <w:t xml:space="preserve">ing principles of PRIIPs regulation. </w:t>
      </w:r>
    </w:p>
    <w:permEnd w:id="874387922"/>
    <w:p w:rsidR="00F31E57" w:rsidRDefault="00F31E57" w:rsidP="00F31E57">
      <w:r>
        <w:t>&lt;ESMA_QUESTION_PRIIPs_4&gt;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204D56" w:rsidRPr="009455A5" w:rsidRDefault="00204D56" w:rsidP="00204D56">
      <w:pPr>
        <w:spacing w:line="276" w:lineRule="auto"/>
        <w:jc w:val="both"/>
        <w:rPr>
          <w:lang w:val="en-US"/>
        </w:rPr>
      </w:pPr>
      <w:permStart w:id="930425255" w:edGrp="everyone"/>
      <w:r>
        <w:rPr>
          <w:lang w:val="en-US"/>
        </w:rPr>
        <w:t xml:space="preserve">Clearly, for products that have a termination date investors buy with a view to hold till maturity. They should be encouraged to do so and performance scenarios and risk indicator should be calibrated on that duration. For the sake of consistency, we consider that the most relevant time frame for other PRIIPs is the recommended holding period. It should be the only one to be presented, in order to avoid confusion. The constant education efforts that the industry has developed over the last decades have tended to insist on the trilogy: performance, risk, investment horizon. We should capitalize on those efforts and not forget to add a specific disclaimer on the higher risk in case of early redemption. This is further discussed in a specific section of the KIID (can I take money early?). </w:t>
      </w:r>
    </w:p>
    <w:permEnd w:id="930425255"/>
    <w:p w:rsidR="00F31E57" w:rsidRDefault="00F31E57" w:rsidP="00F31E57">
      <w:r>
        <w:t>&lt;ESMA_QUESTION_PRIIPs_5&gt;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204D56" w:rsidRDefault="00204D56" w:rsidP="00204D56">
      <w:pPr>
        <w:spacing w:line="276" w:lineRule="auto"/>
        <w:jc w:val="both"/>
        <w:rPr>
          <w:lang w:val="en-US"/>
        </w:rPr>
      </w:pPr>
      <w:permStart w:id="1832929564" w:edGrp="everyone"/>
      <w:r>
        <w:rPr>
          <w:lang w:val="en-US"/>
        </w:rPr>
        <w:t xml:space="preserve">The discussion about credit risk leads immediately to the consideration of different types of PRIIPs. Credit risk is split into two parts: the risk of default and the volatility of the spread of an issue or a counterparty. The second part is included in the market risk and contributes to the volatility of the price of financial instruments. </w:t>
      </w:r>
    </w:p>
    <w:p w:rsidR="00204D56" w:rsidRDefault="00204D56" w:rsidP="00204D56">
      <w:pPr>
        <w:spacing w:line="276" w:lineRule="auto"/>
        <w:jc w:val="both"/>
        <w:rPr>
          <w:lang w:val="en-US"/>
        </w:rPr>
      </w:pPr>
      <w:r>
        <w:rPr>
          <w:lang w:val="en-US"/>
        </w:rPr>
        <w:t xml:space="preserve">With respect of risk of default, </w:t>
      </w:r>
      <w:proofErr w:type="spellStart"/>
      <w:r>
        <w:rPr>
          <w:lang w:val="en-US"/>
        </w:rPr>
        <w:t>Amundi’s</w:t>
      </w:r>
      <w:proofErr w:type="spellEnd"/>
      <w:r>
        <w:rPr>
          <w:lang w:val="en-US"/>
        </w:rPr>
        <w:t xml:space="preserve"> opinion is that a clear distinction should be made up-front b</w:t>
      </w:r>
      <w:r>
        <w:rPr>
          <w:lang w:val="en-US"/>
        </w:rPr>
        <w:t>e</w:t>
      </w:r>
      <w:r>
        <w:rPr>
          <w:lang w:val="en-US"/>
        </w:rPr>
        <w:t>tween those PRIIPs where the investor runs a credit risk for the total amount of his investment because they are balance sheet products and those where it is not the case because of highly protective segreg</w:t>
      </w:r>
      <w:r>
        <w:rPr>
          <w:lang w:val="en-US"/>
        </w:rPr>
        <w:t>a</w:t>
      </w:r>
      <w:r>
        <w:rPr>
          <w:lang w:val="en-US"/>
        </w:rPr>
        <w:t>tion mechanisms. For example, funds are not exposed to a 100% credit risk as deposits or notes are. As a matter of fact article 8 (3) (e) of PRIIPs will enable asset managers to explain that “if the PRIIP manufa</w:t>
      </w:r>
      <w:r>
        <w:rPr>
          <w:lang w:val="en-US"/>
        </w:rPr>
        <w:t>c</w:t>
      </w:r>
      <w:r>
        <w:rPr>
          <w:lang w:val="en-US"/>
        </w:rPr>
        <w:t xml:space="preserve">turer is unable to pay out” there is no consequence for the investor in a fund. Nevertheless, we think it should also be apparent at the level of the risk indicator, possibly as a flag on a dual basis: balance sheet product or not. </w:t>
      </w:r>
    </w:p>
    <w:p w:rsidR="00204D56" w:rsidRDefault="00204D56" w:rsidP="00204D56">
      <w:pPr>
        <w:spacing w:line="276" w:lineRule="auto"/>
        <w:jc w:val="both"/>
        <w:rPr>
          <w:lang w:val="en-US"/>
        </w:rPr>
      </w:pPr>
      <w:r>
        <w:rPr>
          <w:lang w:val="en-US"/>
        </w:rPr>
        <w:t>As far as credit risk incurred through the investment and the structure of the PRIIPs, the common la</w:t>
      </w:r>
      <w:r>
        <w:rPr>
          <w:lang w:val="en-US"/>
        </w:rPr>
        <w:t>n</w:t>
      </w:r>
      <w:r>
        <w:rPr>
          <w:lang w:val="en-US"/>
        </w:rPr>
        <w:t xml:space="preserve">guage that investors understand and expect is the CRA’s rating scale. Communicating on that basis does not imply overreliance on external ratings and should not necessitate to invest in rated issues and use rated counterparties only. </w:t>
      </w:r>
    </w:p>
    <w:p w:rsidR="00204D56" w:rsidRPr="005844BD" w:rsidRDefault="00204D56" w:rsidP="00204D56">
      <w:pPr>
        <w:spacing w:line="276" w:lineRule="auto"/>
        <w:jc w:val="both"/>
        <w:rPr>
          <w:lang w:val="en-US"/>
        </w:rPr>
      </w:pPr>
      <w:r>
        <w:rPr>
          <w:lang w:val="en-US"/>
        </w:rPr>
        <w:t>As a general comment, we think that regulators should keep in mind the aim of the KID which is to provide reliable, relevant and understandable information to investors so that they can understand and compare before reaching an informed decision. In that respect it is of paramount importance to refer to the concepts and data the average investor is familiar with. Consequently, the introduction of models and market data that are not easily available to the general public must be avoided.</w:t>
      </w:r>
    </w:p>
    <w:permEnd w:id="1832929564"/>
    <w:p w:rsidR="00F31E57" w:rsidRDefault="00F31E57" w:rsidP="00F31E57">
      <w:r>
        <w:t>&lt;ESMA_QUESTION_PRIIPs_6&gt;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Do you agree that liquidity issues should be reflected in the risk section, in add</w:t>
      </w:r>
      <w:r>
        <w:t>i</w:t>
      </w:r>
      <w:r>
        <w:t xml:space="preserve">tion to clarifications provided in other section of the KID? </w:t>
      </w:r>
    </w:p>
    <w:p w:rsidR="00F31E57" w:rsidRDefault="00F31E57" w:rsidP="00F31E57"/>
    <w:p w:rsidR="00F31E57" w:rsidRDefault="00F31E57" w:rsidP="00F31E57">
      <w:r>
        <w:t>&lt;ESMA_QUESTION_PRIIPs_7&gt;</w:t>
      </w:r>
    </w:p>
    <w:p w:rsidR="00204D56" w:rsidRDefault="00204D56" w:rsidP="00204D56">
      <w:pPr>
        <w:spacing w:line="276" w:lineRule="auto"/>
        <w:jc w:val="both"/>
        <w:rPr>
          <w:lang w:val="en-US"/>
        </w:rPr>
      </w:pPr>
      <w:permStart w:id="1400536154" w:edGrp="everyone"/>
      <w:r>
        <w:rPr>
          <w:lang w:val="en-US"/>
        </w:rPr>
        <w:t xml:space="preserve">Amundi totally agrees with the distinction between liquidity risk and liquidity profile. Liquidity is not a risk </w:t>
      </w:r>
      <w:r w:rsidRPr="008A7406">
        <w:rPr>
          <w:i/>
          <w:lang w:val="en-US"/>
        </w:rPr>
        <w:t>per se</w:t>
      </w:r>
      <w:r>
        <w:rPr>
          <w:lang w:val="en-US"/>
        </w:rPr>
        <w:t xml:space="preserve"> but a characteristic of the product and investors are able to understand it : if they buy real estate through a fund they understand that the life cycle of the product is not the same as a money market fund or a fund invested in blue chips. The risk appears when circumstances reduce the ability to trade as usual; it is a constituent of the market risk and it is de facto included in the SRRI. </w:t>
      </w:r>
    </w:p>
    <w:p w:rsidR="00204D56" w:rsidRPr="009455A5" w:rsidRDefault="00204D56" w:rsidP="00204D56">
      <w:pPr>
        <w:spacing w:line="276" w:lineRule="auto"/>
        <w:jc w:val="both"/>
        <w:rPr>
          <w:lang w:val="en-US"/>
        </w:rPr>
      </w:pPr>
      <w:r>
        <w:rPr>
          <w:lang w:val="en-US"/>
        </w:rPr>
        <w:t>We are of the opinion that the liquidity profile of the PRIIPs (most likely as a qualitative stat</w:t>
      </w:r>
      <w:r>
        <w:rPr>
          <w:lang w:val="en-US"/>
        </w:rPr>
        <w:t>e</w:t>
      </w:r>
      <w:r>
        <w:rPr>
          <w:lang w:val="en-US"/>
        </w:rPr>
        <w:t>ment/disclaimer) would be better placed in the first section of the KID “what is this product” as a key characteristic. For certain types of open ended PRIIPs an additional mention of the usual time required for exiting would also make sense.</w:t>
      </w:r>
    </w:p>
    <w:permEnd w:id="1400536154"/>
    <w:p w:rsidR="00F31E57" w:rsidRDefault="00F31E57" w:rsidP="00F31E57">
      <w:r>
        <w:t>&lt;ESMA_QUESTION_PRIIPs_7&gt;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w:t>
      </w:r>
      <w:r>
        <w:t>o</w:t>
      </w:r>
      <w:r>
        <w:t>priate or that they need to be supplemented with some quantitative measure to some extent?</w:t>
      </w:r>
    </w:p>
    <w:p w:rsidR="00F31E57" w:rsidRDefault="00F31E57" w:rsidP="00F31E57"/>
    <w:p w:rsidR="00F31E57" w:rsidRDefault="00F31E57" w:rsidP="00F31E57">
      <w:r>
        <w:t>&lt;ESMA_QUESTION_PRIIPs_8&gt;</w:t>
      </w:r>
    </w:p>
    <w:p w:rsidR="00204D56" w:rsidRPr="000A10D9" w:rsidRDefault="00204D56" w:rsidP="00204D56">
      <w:pPr>
        <w:pStyle w:val="Paragraphedeliste"/>
        <w:spacing w:line="276" w:lineRule="auto"/>
        <w:ind w:left="0"/>
        <w:jc w:val="both"/>
        <w:rPr>
          <w:rFonts w:cs="Arial"/>
          <w:lang w:val="en-US"/>
        </w:rPr>
      </w:pPr>
      <w:permStart w:id="1593780178" w:edGrp="everyone"/>
      <w:r w:rsidRPr="000A10D9">
        <w:rPr>
          <w:rFonts w:cs="Arial"/>
          <w:lang w:val="en-US"/>
        </w:rPr>
        <w:t xml:space="preserve">We </w:t>
      </w:r>
      <w:r>
        <w:rPr>
          <w:rFonts w:cs="Arial"/>
          <w:lang w:val="en-US"/>
        </w:rPr>
        <w:t>think that qualitative measures as the ones proposed are appropriate and we do not see how they could be easily supplemented with quantitative ones. As for exit costs, they are included in the KID in a specific section under art.8 (3) (g).</w:t>
      </w:r>
    </w:p>
    <w:permEnd w:id="1593780178"/>
    <w:p w:rsidR="00F31E57" w:rsidRDefault="00F31E57" w:rsidP="00F31E57">
      <w:r>
        <w:t>&lt;ESMA_QUESTION_PRIIPs_8&gt;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204D56" w:rsidRDefault="00204D56" w:rsidP="00204D56">
      <w:pPr>
        <w:spacing w:line="276" w:lineRule="auto"/>
        <w:jc w:val="both"/>
        <w:rPr>
          <w:lang w:val="en-US"/>
        </w:rPr>
      </w:pPr>
      <w:permStart w:id="27072733" w:edGrp="everyone"/>
      <w:r>
        <w:rPr>
          <w:lang w:val="en-US"/>
        </w:rPr>
        <w:t>We do not favor the first option which is too qualitative and mixes separate issues to a too high level. We do not read article 8 (3) (d) (</w:t>
      </w:r>
      <w:proofErr w:type="spellStart"/>
      <w:r>
        <w:rPr>
          <w:lang w:val="en-US"/>
        </w:rPr>
        <w:t>i</w:t>
      </w:r>
      <w:proofErr w:type="spellEnd"/>
      <w:r>
        <w:rPr>
          <w:lang w:val="en-US"/>
        </w:rPr>
        <w:t>) as requiring market and credit risks to be combined in a unique indicator, as it mentions explicitly the case of risks not captured in the indicator. In our view, it is important to distinguish market risk and credit risk;  in most cases the risk of the underlying exposure will be included in the market risk while the credit risk will  depend on the structure of the PRIIPs. The list of criteria suggested in the table pages 33/34 does not address this distinction sufficiently and such a table introduces much comple</w:t>
      </w:r>
      <w:r>
        <w:rPr>
          <w:lang w:val="en-US"/>
        </w:rPr>
        <w:t>x</w:t>
      </w:r>
      <w:r>
        <w:rPr>
          <w:lang w:val="en-US"/>
        </w:rPr>
        <w:t xml:space="preserve">ity (see our answer to Q 13 for a simpler approach). </w:t>
      </w:r>
    </w:p>
    <w:permEnd w:id="27072733"/>
    <w:p w:rsidR="00F31E57" w:rsidRDefault="00F31E57" w:rsidP="00F31E57">
      <w:r>
        <w:t>&lt;ESMA_QUESTION_PRIIPs_9&gt;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F31E57" w:rsidRDefault="00F31E57" w:rsidP="00F31E57"/>
    <w:p w:rsidR="00F31E57" w:rsidRDefault="00F31E57" w:rsidP="00F31E57">
      <w:r>
        <w:t>&lt;ESMA_QUESTION_PRIIPs_10&gt;</w:t>
      </w:r>
    </w:p>
    <w:p w:rsidR="00204D56" w:rsidRDefault="00204D56" w:rsidP="00204D56">
      <w:pPr>
        <w:spacing w:line="276" w:lineRule="auto"/>
        <w:rPr>
          <w:lang w:val="en-US"/>
        </w:rPr>
      </w:pPr>
      <w:permStart w:id="428153841" w:edGrp="everyone"/>
      <w:r>
        <w:rPr>
          <w:lang w:val="en-US"/>
        </w:rPr>
        <w:t>Amundi feels much more attracted by option 2 that conveys the main advantages to:</w:t>
      </w:r>
    </w:p>
    <w:p w:rsidR="00204D56" w:rsidRDefault="00204D56" w:rsidP="000D0E8C">
      <w:pPr>
        <w:pStyle w:val="Paragraphedeliste"/>
        <w:numPr>
          <w:ilvl w:val="0"/>
          <w:numId w:val="39"/>
        </w:numPr>
        <w:spacing w:line="276" w:lineRule="auto"/>
        <w:contextualSpacing w:val="0"/>
        <w:rPr>
          <w:lang w:val="en-US"/>
        </w:rPr>
      </w:pPr>
      <w:r>
        <w:rPr>
          <w:lang w:val="en-US"/>
        </w:rPr>
        <w:t xml:space="preserve">Capitalize on the good experience gained from the UCITS regulation with SRRI; </w:t>
      </w:r>
    </w:p>
    <w:p w:rsidR="00204D56" w:rsidRDefault="00204D56" w:rsidP="000D0E8C">
      <w:pPr>
        <w:pStyle w:val="Paragraphedeliste"/>
        <w:numPr>
          <w:ilvl w:val="0"/>
          <w:numId w:val="39"/>
        </w:numPr>
        <w:spacing w:line="276" w:lineRule="auto"/>
        <w:contextualSpacing w:val="0"/>
        <w:jc w:val="both"/>
        <w:rPr>
          <w:lang w:val="en-US"/>
        </w:rPr>
      </w:pPr>
      <w:r>
        <w:rPr>
          <w:lang w:val="en-US"/>
        </w:rPr>
        <w:t xml:space="preserve">Rely on a measure of risk, volatility, that is easy to access (as noted p.38) provided that the link between </w:t>
      </w:r>
      <w:proofErr w:type="spellStart"/>
      <w:r>
        <w:rPr>
          <w:lang w:val="en-US"/>
        </w:rPr>
        <w:t>VaR</w:t>
      </w:r>
      <w:proofErr w:type="spellEnd"/>
      <w:r>
        <w:rPr>
          <w:lang w:val="en-US"/>
        </w:rPr>
        <w:t xml:space="preserve"> and volatility is accepted as a short-cut for non-convex instruments and not too diff</w:t>
      </w:r>
      <w:r>
        <w:rPr>
          <w:lang w:val="en-US"/>
        </w:rPr>
        <w:t>i</w:t>
      </w:r>
      <w:r>
        <w:rPr>
          <w:lang w:val="en-US"/>
        </w:rPr>
        <w:t>cult to interpret (especially when expressed on a limited scale like SRRI);</w:t>
      </w:r>
    </w:p>
    <w:p w:rsidR="00204D56" w:rsidRDefault="00204D56" w:rsidP="000D0E8C">
      <w:pPr>
        <w:pStyle w:val="Paragraphedeliste"/>
        <w:numPr>
          <w:ilvl w:val="0"/>
          <w:numId w:val="39"/>
        </w:numPr>
        <w:spacing w:line="276" w:lineRule="auto"/>
        <w:contextualSpacing w:val="0"/>
        <w:rPr>
          <w:lang w:val="en-US"/>
        </w:rPr>
      </w:pPr>
      <w:r>
        <w:rPr>
          <w:lang w:val="en-US"/>
        </w:rPr>
        <w:t>As said before, separate market risk from credit risk, which helps with the understanding of the measure;</w:t>
      </w:r>
    </w:p>
    <w:p w:rsidR="00204D56" w:rsidRDefault="00204D56" w:rsidP="00204D56">
      <w:pPr>
        <w:spacing w:line="276" w:lineRule="auto"/>
        <w:jc w:val="both"/>
        <w:rPr>
          <w:lang w:val="en-US"/>
        </w:rPr>
      </w:pPr>
    </w:p>
    <w:p w:rsidR="00204D56" w:rsidRDefault="00204D56" w:rsidP="00204D56">
      <w:pPr>
        <w:spacing w:line="276" w:lineRule="auto"/>
        <w:jc w:val="both"/>
      </w:pPr>
      <w:r>
        <w:rPr>
          <w:lang w:val="en-US"/>
        </w:rPr>
        <w:lastRenderedPageBreak/>
        <w:t>We do not agree with the fact that the alleged lack of academic or theoretical support is an impediment, as extensive practice has demonstrated the efficiency of the concept with UCITS. We consider that this approach would be easy for authorities to supervise.</w:t>
      </w:r>
      <w:r w:rsidRPr="005644E4">
        <w:t xml:space="preserve"> </w:t>
      </w:r>
      <w:r>
        <w:t>Concerning  the “delta” methodology that is proposed for structured products/funds, its main disadvantages are the facts that it is a short term risk measure and that it is not totally appropriate for non-linear products. Instead of delta, we suggest to use a long-term risk measure over the recommended holding period, such as a 50% expected shortfall. The distribution of returns that could be used for this measure could be made of simulated past performances (like in the current UCITS method for structured funds), or for example, Monte-Carlo simulations based on a log-normal standard model using the effective volatility (and other parameters) observed over the last 5 years. A key issue being that it is necessary to share a standardized, easy to compute (and to supervise), met</w:t>
      </w:r>
      <w:r>
        <w:t>h</w:t>
      </w:r>
      <w:r>
        <w:t>odology.</w:t>
      </w:r>
    </w:p>
    <w:p w:rsidR="00204D56" w:rsidRPr="00B10DC4" w:rsidRDefault="00204D56" w:rsidP="00204D56">
      <w:pPr>
        <w:spacing w:line="276" w:lineRule="auto"/>
        <w:jc w:val="both"/>
        <w:rPr>
          <w:lang w:val="en-US"/>
        </w:rPr>
      </w:pPr>
      <w:r>
        <w:rPr>
          <w:lang w:val="en-US"/>
        </w:rPr>
        <w:t>We agree that the applicability and relevance of the measure to different types of PRIIPs should be further investigated and we are ready to participate to tests in that field. As mentioned in the answer to the prev</w:t>
      </w:r>
      <w:r>
        <w:rPr>
          <w:lang w:val="en-US"/>
        </w:rPr>
        <w:t>i</w:t>
      </w:r>
      <w:r>
        <w:rPr>
          <w:lang w:val="en-US"/>
        </w:rPr>
        <w:t>ous question we have no doubt on the legal viability of this option</w:t>
      </w:r>
      <w:r w:rsidRPr="005644E4">
        <w:rPr>
          <w:lang w:val="en-US"/>
        </w:rPr>
        <w:t xml:space="preserve"> </w:t>
      </w:r>
      <w:r>
        <w:rPr>
          <w:lang w:val="en-US"/>
        </w:rPr>
        <w:t>: we do not read article 8 (3) (d) (</w:t>
      </w:r>
      <w:proofErr w:type="spellStart"/>
      <w:r>
        <w:rPr>
          <w:lang w:val="en-US"/>
        </w:rPr>
        <w:t>i</w:t>
      </w:r>
      <w:proofErr w:type="spellEnd"/>
      <w:r>
        <w:rPr>
          <w:lang w:val="en-US"/>
        </w:rPr>
        <w:t>) as requiring market and credit risks to be combined in a unique indicator, since it explicitly mentions the case of risks not captured in the indicator.</w:t>
      </w:r>
    </w:p>
    <w:permEnd w:id="428153841"/>
    <w:p w:rsidR="00F31E57" w:rsidRDefault="00F31E57" w:rsidP="00F31E57">
      <w:r>
        <w:t>&lt;ESMA_QUESTION_PRIIPs_10&gt;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204D56" w:rsidRDefault="00204D56" w:rsidP="00204D56">
      <w:pPr>
        <w:spacing w:line="276" w:lineRule="auto"/>
        <w:jc w:val="both"/>
        <w:rPr>
          <w:lang w:val="en-US"/>
        </w:rPr>
      </w:pPr>
      <w:permStart w:id="1307716842" w:edGrp="everyone"/>
      <w:r>
        <w:rPr>
          <w:lang w:val="en-US"/>
        </w:rPr>
        <w:t xml:space="preserve">This third option implies heavy implementation costs and would require regulators to invest a lot in the definition of the parameters used in the simulations of the Monte Carlo method. We feel very strongly that there is a major risk at circulating a risk indicator based on </w:t>
      </w:r>
      <w:proofErr w:type="spellStart"/>
      <w:r>
        <w:rPr>
          <w:lang w:val="en-US"/>
        </w:rPr>
        <w:t>VaR</w:t>
      </w:r>
      <w:proofErr w:type="spellEnd"/>
      <w:r>
        <w:rPr>
          <w:lang w:val="en-US"/>
        </w:rPr>
        <w:t xml:space="preserve">, and especially short term </w:t>
      </w:r>
      <w:proofErr w:type="spellStart"/>
      <w:r>
        <w:rPr>
          <w:lang w:val="en-US"/>
        </w:rPr>
        <w:t>VaR</w:t>
      </w:r>
      <w:proofErr w:type="spellEnd"/>
      <w:r>
        <w:rPr>
          <w:lang w:val="en-US"/>
        </w:rPr>
        <w:t>, that will too often be considered as a maximum loss measure.</w:t>
      </w:r>
    </w:p>
    <w:p w:rsidR="00204D56" w:rsidRPr="008A1F54" w:rsidRDefault="00204D56" w:rsidP="00204D56">
      <w:pPr>
        <w:spacing w:line="276" w:lineRule="auto"/>
        <w:jc w:val="both"/>
        <w:rPr>
          <w:rFonts w:cs="Arial"/>
        </w:rPr>
      </w:pPr>
      <w:r w:rsidRPr="008A1F54">
        <w:rPr>
          <w:rFonts w:cs="Arial"/>
        </w:rPr>
        <w:t xml:space="preserve">In the consultation (page 39), Option 3 is subdivided into 2 very different alternatives : the first one being a short term risk measure (like 10 days </w:t>
      </w:r>
      <w:proofErr w:type="spellStart"/>
      <w:r w:rsidRPr="008A1F54">
        <w:rPr>
          <w:rFonts w:cs="Arial"/>
        </w:rPr>
        <w:t>VaR</w:t>
      </w:r>
      <w:proofErr w:type="spellEnd"/>
      <w:r w:rsidRPr="008A1F54">
        <w:rPr>
          <w:rFonts w:cs="Arial"/>
        </w:rPr>
        <w:t xml:space="preserve"> used in Germany), the second one being a long term risk measure (over the recommended holding period).</w:t>
      </w:r>
    </w:p>
    <w:p w:rsidR="00204D56" w:rsidRPr="008A1F54" w:rsidRDefault="00204D56" w:rsidP="00204D56">
      <w:pPr>
        <w:spacing w:line="276" w:lineRule="auto"/>
        <w:jc w:val="both"/>
        <w:rPr>
          <w:rFonts w:cs="Arial"/>
        </w:rPr>
      </w:pPr>
      <w:r w:rsidRPr="008A1F54">
        <w:rPr>
          <w:rFonts w:cs="Arial"/>
        </w:rPr>
        <w:t xml:space="preserve">The first alternative (short term </w:t>
      </w:r>
      <w:proofErr w:type="spellStart"/>
      <w:r w:rsidRPr="008A1F54">
        <w:rPr>
          <w:rFonts w:cs="Arial"/>
        </w:rPr>
        <w:t>VaR</w:t>
      </w:r>
      <w:proofErr w:type="spellEnd"/>
      <w:r w:rsidRPr="008A1F54">
        <w:rPr>
          <w:rFonts w:cs="Arial"/>
        </w:rPr>
        <w:t xml:space="preserve">) would have several major disadvantages : </w:t>
      </w:r>
    </w:p>
    <w:p w:rsidR="00204D56" w:rsidRPr="008A1F54" w:rsidRDefault="00204D56" w:rsidP="000D0E8C">
      <w:pPr>
        <w:pStyle w:val="Paragraphedeliste"/>
        <w:numPr>
          <w:ilvl w:val="0"/>
          <w:numId w:val="40"/>
        </w:numPr>
        <w:spacing w:line="276" w:lineRule="auto"/>
        <w:contextualSpacing w:val="0"/>
        <w:jc w:val="both"/>
        <w:rPr>
          <w:rFonts w:cs="Arial"/>
        </w:rPr>
      </w:pPr>
      <w:r w:rsidRPr="008A1F54">
        <w:rPr>
          <w:rFonts w:cs="Arial"/>
        </w:rPr>
        <w:t>it is not appropriate for non-linear structured products (because the non-linearity is mainly over the entire life of the product)</w:t>
      </w:r>
      <w:r>
        <w:rPr>
          <w:rFonts w:cs="Arial"/>
        </w:rPr>
        <w:t>,</w:t>
      </w:r>
    </w:p>
    <w:p w:rsidR="00204D56" w:rsidRPr="008A1F54" w:rsidRDefault="00204D56" w:rsidP="000D0E8C">
      <w:pPr>
        <w:pStyle w:val="Paragraphedeliste"/>
        <w:numPr>
          <w:ilvl w:val="0"/>
          <w:numId w:val="40"/>
        </w:numPr>
        <w:spacing w:line="276" w:lineRule="auto"/>
        <w:contextualSpacing w:val="0"/>
        <w:jc w:val="both"/>
        <w:rPr>
          <w:rFonts w:cs="Arial"/>
        </w:rPr>
      </w:pPr>
      <w:r w:rsidRPr="008A1F54">
        <w:rPr>
          <w:rFonts w:cs="Arial"/>
        </w:rPr>
        <w:t xml:space="preserve">it is very heavy to implement for structured products (because it needs full </w:t>
      </w:r>
      <w:proofErr w:type="spellStart"/>
      <w:r w:rsidRPr="008A1F54">
        <w:rPr>
          <w:rFonts w:cs="Arial"/>
        </w:rPr>
        <w:t>repricing</w:t>
      </w:r>
      <w:proofErr w:type="spellEnd"/>
      <w:r w:rsidRPr="008A1F54">
        <w:rPr>
          <w:rFonts w:cs="Arial"/>
        </w:rPr>
        <w:t xml:space="preserve"> of the product for all </w:t>
      </w:r>
      <w:r>
        <w:rPr>
          <w:rFonts w:cs="Arial"/>
        </w:rPr>
        <w:t>Monte-C</w:t>
      </w:r>
      <w:r w:rsidRPr="008A1F54">
        <w:rPr>
          <w:rFonts w:cs="Arial"/>
        </w:rPr>
        <w:t>arlo scenarios)</w:t>
      </w:r>
      <w:r>
        <w:rPr>
          <w:rFonts w:cs="Arial"/>
        </w:rPr>
        <w:t>,</w:t>
      </w:r>
    </w:p>
    <w:p w:rsidR="00204D56" w:rsidRPr="008A1F54" w:rsidRDefault="00204D56" w:rsidP="000D0E8C">
      <w:pPr>
        <w:pStyle w:val="Paragraphedeliste"/>
        <w:numPr>
          <w:ilvl w:val="0"/>
          <w:numId w:val="40"/>
        </w:numPr>
        <w:spacing w:line="276" w:lineRule="auto"/>
        <w:contextualSpacing w:val="0"/>
        <w:jc w:val="both"/>
        <w:rPr>
          <w:rFonts w:cs="Arial"/>
        </w:rPr>
      </w:pPr>
      <w:r w:rsidRPr="008A1F54">
        <w:rPr>
          <w:rFonts w:cs="Arial"/>
        </w:rPr>
        <w:t>it bears a strong model risk as the result depends on the valuation of the product at a 10 day hor</w:t>
      </w:r>
      <w:r w:rsidRPr="008A1F54">
        <w:rPr>
          <w:rFonts w:cs="Arial"/>
        </w:rPr>
        <w:t>i</w:t>
      </w:r>
      <w:r w:rsidRPr="008A1F54">
        <w:rPr>
          <w:rFonts w:cs="Arial"/>
        </w:rPr>
        <w:t>zon under various scenarios</w:t>
      </w:r>
      <w:r>
        <w:rPr>
          <w:rFonts w:cs="Arial"/>
        </w:rPr>
        <w:t>,</w:t>
      </w:r>
    </w:p>
    <w:p w:rsidR="00204D56" w:rsidRPr="008A1F54" w:rsidRDefault="00204D56" w:rsidP="000D0E8C">
      <w:pPr>
        <w:pStyle w:val="Paragraphedeliste"/>
        <w:numPr>
          <w:ilvl w:val="0"/>
          <w:numId w:val="40"/>
        </w:numPr>
        <w:spacing w:line="276" w:lineRule="auto"/>
        <w:contextualSpacing w:val="0"/>
        <w:jc w:val="both"/>
        <w:rPr>
          <w:rFonts w:cs="Arial"/>
        </w:rPr>
      </w:pPr>
      <w:r w:rsidRPr="008A1F54">
        <w:rPr>
          <w:rFonts w:cs="Arial"/>
        </w:rPr>
        <w:t>it is unable to take into account the default risk</w:t>
      </w:r>
      <w:r>
        <w:rPr>
          <w:rFonts w:cs="Arial"/>
        </w:rPr>
        <w:t>,</w:t>
      </w:r>
    </w:p>
    <w:p w:rsidR="00204D56" w:rsidRPr="008A1F54" w:rsidRDefault="00204D56" w:rsidP="000D0E8C">
      <w:pPr>
        <w:pStyle w:val="Paragraphedeliste"/>
        <w:numPr>
          <w:ilvl w:val="0"/>
          <w:numId w:val="40"/>
        </w:numPr>
        <w:spacing w:line="276" w:lineRule="auto"/>
        <w:contextualSpacing w:val="0"/>
        <w:jc w:val="both"/>
        <w:rPr>
          <w:rFonts w:cs="Arial"/>
        </w:rPr>
      </w:pPr>
      <w:r w:rsidRPr="008A1F54">
        <w:rPr>
          <w:rFonts w:cs="Arial"/>
        </w:rPr>
        <w:t>it is less applicable to real estate or private equity</w:t>
      </w:r>
      <w:r>
        <w:rPr>
          <w:rFonts w:cs="Arial"/>
        </w:rPr>
        <w:t xml:space="preserve"> funds.</w:t>
      </w:r>
    </w:p>
    <w:p w:rsidR="00204D56" w:rsidRPr="005472AD" w:rsidRDefault="00204D56" w:rsidP="00204D56">
      <w:pPr>
        <w:spacing w:line="276" w:lineRule="auto"/>
        <w:jc w:val="both"/>
        <w:rPr>
          <w:rFonts w:cs="Arial"/>
        </w:rPr>
      </w:pPr>
      <w:r w:rsidRPr="005472AD">
        <w:rPr>
          <w:rFonts w:cs="Arial"/>
        </w:rPr>
        <w:t xml:space="preserve">As a consequence, should option 3 be selected, </w:t>
      </w:r>
      <w:r>
        <w:rPr>
          <w:rFonts w:cs="Arial"/>
        </w:rPr>
        <w:t>Amundi</w:t>
      </w:r>
      <w:r w:rsidRPr="005472AD">
        <w:rPr>
          <w:rFonts w:cs="Arial"/>
        </w:rPr>
        <w:t xml:space="preserve"> strongly recommend</w:t>
      </w:r>
      <w:r>
        <w:rPr>
          <w:rFonts w:cs="Arial"/>
        </w:rPr>
        <w:t>s</w:t>
      </w:r>
      <w:r w:rsidRPr="005472AD">
        <w:rPr>
          <w:rFonts w:cs="Arial"/>
        </w:rPr>
        <w:t xml:space="preserve"> using the second altern</w:t>
      </w:r>
      <w:r w:rsidRPr="005472AD">
        <w:rPr>
          <w:rFonts w:cs="Arial"/>
        </w:rPr>
        <w:t>a</w:t>
      </w:r>
      <w:r w:rsidRPr="005472AD">
        <w:rPr>
          <w:rFonts w:cs="Arial"/>
        </w:rPr>
        <w:t>tive : a long term risk measure over the recommended holding period, using simulated pay-outs at matur</w:t>
      </w:r>
      <w:r w:rsidRPr="005472AD">
        <w:rPr>
          <w:rFonts w:cs="Arial"/>
        </w:rPr>
        <w:t>i</w:t>
      </w:r>
      <w:r w:rsidRPr="005472AD">
        <w:rPr>
          <w:rFonts w:cs="Arial"/>
        </w:rPr>
        <w:t>ty of the product for structured products/funds.</w:t>
      </w:r>
    </w:p>
    <w:p w:rsidR="00204D56" w:rsidRDefault="00204D56" w:rsidP="00204D56">
      <w:pPr>
        <w:spacing w:line="276" w:lineRule="auto"/>
        <w:jc w:val="both"/>
      </w:pPr>
      <w:r w:rsidRPr="005472AD">
        <w:rPr>
          <w:rFonts w:cs="Arial"/>
        </w:rPr>
        <w:t>For classical market funds, option 3 should produce results</w:t>
      </w:r>
      <w:r w:rsidRPr="00374ED7">
        <w:rPr>
          <w:rFonts w:cs="Arial"/>
        </w:rPr>
        <w:t xml:space="preserve"> </w:t>
      </w:r>
      <w:r w:rsidRPr="005472AD">
        <w:rPr>
          <w:rFonts w:cs="Arial"/>
        </w:rPr>
        <w:t xml:space="preserve">very similar </w:t>
      </w:r>
      <w:r>
        <w:rPr>
          <w:rFonts w:cs="Arial"/>
        </w:rPr>
        <w:t xml:space="preserve">to option 2, but </w:t>
      </w:r>
      <w:r w:rsidRPr="005472AD">
        <w:rPr>
          <w:rFonts w:cs="Arial"/>
        </w:rPr>
        <w:t xml:space="preserve">option 2 </w:t>
      </w:r>
      <w:r>
        <w:rPr>
          <w:rFonts w:cs="Arial"/>
        </w:rPr>
        <w:t>would be</w:t>
      </w:r>
      <w:r w:rsidRPr="005472AD">
        <w:rPr>
          <w:rFonts w:cs="Arial"/>
        </w:rPr>
        <w:t xml:space="preserve"> much easier to implement, in particular for smaller asset managers</w:t>
      </w:r>
      <w:r>
        <w:t>.</w:t>
      </w:r>
    </w:p>
    <w:permEnd w:id="1307716842"/>
    <w:p w:rsidR="00F31E57" w:rsidRDefault="00F31E57" w:rsidP="00F31E57">
      <w:r>
        <w:t>&lt;ESMA_QUESTION_PRIIPs_11&gt;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general principles of this approach, should it be selected. How would you like to see the risk measure and parameters, why? </w:t>
      </w:r>
    </w:p>
    <w:p w:rsidR="00F31E57" w:rsidRDefault="00F31E57" w:rsidP="00F31E57"/>
    <w:p w:rsidR="00F31E57" w:rsidRDefault="00F31E57" w:rsidP="00F31E57">
      <w:r>
        <w:t>&lt;ESMA_QUESTION_PRIIPs_12&gt;</w:t>
      </w:r>
    </w:p>
    <w:p w:rsidR="00204D56" w:rsidRDefault="00204D56" w:rsidP="00204D56">
      <w:pPr>
        <w:spacing w:line="276" w:lineRule="auto"/>
        <w:jc w:val="both"/>
      </w:pPr>
      <w:permStart w:id="12876060" w:edGrp="everyone"/>
      <w:r>
        <w:rPr>
          <w:lang w:val="en-US"/>
        </w:rPr>
        <w:lastRenderedPageBreak/>
        <w:t>This amendment to the previous option answers the first and most important question raised by Option 3: the comparability will be ensured through the reference to a common model and the definition of param</w:t>
      </w:r>
      <w:r>
        <w:rPr>
          <w:lang w:val="en-US"/>
        </w:rPr>
        <w:t>e</w:t>
      </w:r>
      <w:r>
        <w:rPr>
          <w:lang w:val="en-US"/>
        </w:rPr>
        <w:t>ters by regulators.</w:t>
      </w:r>
      <w:r w:rsidRPr="005E248B">
        <w:t xml:space="preserve"> </w:t>
      </w:r>
      <w:r>
        <w:t>However, parameters have not necessarily to be fully prescribed by regulators. Regul</w:t>
      </w:r>
      <w:r>
        <w:t>a</w:t>
      </w:r>
      <w:r>
        <w:t>tors could only prescribe the methodology to determine parameters. For example, referring to volatility, the requirement could be that the value of this parameter is the effective weekly volatility observed over the last 5 years.</w:t>
      </w:r>
    </w:p>
    <w:p w:rsidR="00204D56" w:rsidRDefault="00204D56" w:rsidP="00204D56">
      <w:pPr>
        <w:spacing w:line="276" w:lineRule="auto"/>
        <w:jc w:val="both"/>
        <w:rPr>
          <w:lang w:val="en-US"/>
        </w:rPr>
      </w:pPr>
      <w:r>
        <w:rPr>
          <w:lang w:val="en-US"/>
        </w:rPr>
        <w:t xml:space="preserve"> Another major improvement in the amendment is that it takes the end of maturity as the default holding period which is an important step to keep touch with the reality of the investment. </w:t>
      </w:r>
    </w:p>
    <w:p w:rsidR="00204D56" w:rsidRDefault="00204D56" w:rsidP="00204D56">
      <w:pPr>
        <w:spacing w:line="276" w:lineRule="auto"/>
        <w:jc w:val="both"/>
      </w:pPr>
      <w:r>
        <w:t>As to the proposed “extensions”, we believe that proportionality should apply : option 3 is already very heavy to implement. The proposed “extensions” of this approach would increase again the costs of i</w:t>
      </w:r>
      <w:r>
        <w:t>m</w:t>
      </w:r>
      <w:r>
        <w:t>plementation in an excessive manner.</w:t>
      </w:r>
    </w:p>
    <w:permEnd w:id="12876060"/>
    <w:p w:rsidR="00F31E57" w:rsidRDefault="00F31E57" w:rsidP="00F31E57">
      <w:r>
        <w:t>&lt;ESMA_QUESTION_PRIIPs_12&gt;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potential use of a two-level indicator. What kind of differentiators should be set both for the first level and the second level of such an indicator? </w:t>
      </w:r>
    </w:p>
    <w:p w:rsidR="00F31E57" w:rsidRDefault="00F31E57" w:rsidP="00F31E57"/>
    <w:p w:rsidR="00F31E57" w:rsidRDefault="00F31E57" w:rsidP="00F31E57">
      <w:r>
        <w:t>&lt;ESMA_QUESTION_PRIIPs_13&gt;</w:t>
      </w:r>
    </w:p>
    <w:p w:rsidR="00204D56" w:rsidRPr="008A7406" w:rsidRDefault="00204D56" w:rsidP="00204D56">
      <w:pPr>
        <w:jc w:val="both"/>
        <w:rPr>
          <w:lang w:val="en-US"/>
        </w:rPr>
      </w:pPr>
      <w:permStart w:id="1559367429" w:edGrp="everyone"/>
      <w:r>
        <w:rPr>
          <w:lang w:val="en-US"/>
        </w:rPr>
        <w:t>We think that option 4 with two levels (a global one and the SRRI at second level) could enable a better discrimination among PRIIPs and make it easier for retail investors to choose. The</w:t>
      </w:r>
      <w:r w:rsidRPr="008A7406">
        <w:rPr>
          <w:lang w:val="en-US"/>
        </w:rPr>
        <w:t xml:space="preserve"> global risk indicator (or indication) </w:t>
      </w:r>
      <w:r>
        <w:rPr>
          <w:lang w:val="en-US"/>
        </w:rPr>
        <w:t>could have</w:t>
      </w:r>
      <w:r w:rsidRPr="00361956">
        <w:rPr>
          <w:lang w:val="en-US"/>
        </w:rPr>
        <w:t xml:space="preserve"> only three steps: </w:t>
      </w:r>
      <w:r>
        <w:rPr>
          <w:lang w:val="en-US"/>
        </w:rPr>
        <w:t>low</w:t>
      </w:r>
      <w:r w:rsidRPr="00361956">
        <w:rPr>
          <w:lang w:val="en-US"/>
        </w:rPr>
        <w:t xml:space="preserve"> risk / average risk / </w:t>
      </w:r>
      <w:r>
        <w:rPr>
          <w:lang w:val="en-US"/>
        </w:rPr>
        <w:t>higher</w:t>
      </w:r>
      <w:r w:rsidRPr="00361956">
        <w:rPr>
          <w:lang w:val="en-US"/>
        </w:rPr>
        <w:t xml:space="preserve"> risk</w:t>
      </w:r>
      <w:r w:rsidRPr="008A7406">
        <w:rPr>
          <w:lang w:val="en-US"/>
        </w:rPr>
        <w:t>. Of course, a</w:t>
      </w:r>
      <w:r w:rsidRPr="00C36039">
        <w:rPr>
          <w:lang w:val="en-US"/>
        </w:rPr>
        <w:t xml:space="preserve"> fourth step </w:t>
      </w:r>
      <w:r>
        <w:rPr>
          <w:lang w:val="en-US"/>
        </w:rPr>
        <w:t>sh</w:t>
      </w:r>
      <w:r w:rsidRPr="008A7406">
        <w:rPr>
          <w:lang w:val="en-US"/>
        </w:rPr>
        <w:t xml:space="preserve">ould be compulsory for products in which the investor may lose more than its investment. This very simple approach would permit to differentiate products with a plain guarantee and could </w:t>
      </w:r>
      <w:r>
        <w:rPr>
          <w:lang w:val="en-US"/>
        </w:rPr>
        <w:t xml:space="preserve">also </w:t>
      </w:r>
      <w:r w:rsidRPr="008A7406">
        <w:rPr>
          <w:lang w:val="en-US"/>
        </w:rPr>
        <w:t xml:space="preserve">provide a simple approach to the tricky subject of “target market” introduced by </w:t>
      </w:r>
      <w:proofErr w:type="spellStart"/>
      <w:r w:rsidRPr="008A7406">
        <w:rPr>
          <w:lang w:val="en-US"/>
        </w:rPr>
        <w:t>MiFID</w:t>
      </w:r>
      <w:proofErr w:type="spellEnd"/>
      <w:r w:rsidRPr="008A7406">
        <w:rPr>
          <w:lang w:val="en-US"/>
        </w:rPr>
        <w:t>.</w:t>
      </w:r>
      <w:r w:rsidRPr="00C36039">
        <w:rPr>
          <w:lang w:val="en-US"/>
        </w:rPr>
        <w:t xml:space="preserve"> Th</w:t>
      </w:r>
      <w:r>
        <w:rPr>
          <w:lang w:val="en-US"/>
        </w:rPr>
        <w:t>is</w:t>
      </w:r>
      <w:r w:rsidRPr="008A7406">
        <w:rPr>
          <w:lang w:val="en-US"/>
        </w:rPr>
        <w:t xml:space="preserve"> global </w:t>
      </w:r>
      <w:r>
        <w:rPr>
          <w:lang w:val="en-US"/>
        </w:rPr>
        <w:t>indicator</w:t>
      </w:r>
      <w:r w:rsidRPr="008A7406">
        <w:rPr>
          <w:lang w:val="en-US"/>
        </w:rPr>
        <w:t xml:space="preserve"> would </w:t>
      </w:r>
      <w:r>
        <w:rPr>
          <w:lang w:val="en-US"/>
        </w:rPr>
        <w:t xml:space="preserve">at least </w:t>
      </w:r>
      <w:r w:rsidRPr="008A7406">
        <w:rPr>
          <w:lang w:val="en-US"/>
        </w:rPr>
        <w:t>be complemented by the SRRI</w:t>
      </w:r>
      <w:r>
        <w:rPr>
          <w:lang w:val="en-US"/>
        </w:rPr>
        <w:t xml:space="preserve"> and, when necessary, by a credit rating of the issuer of notes or of the entity delivering the guaranty.</w:t>
      </w:r>
      <w:r w:rsidRPr="008A7406">
        <w:rPr>
          <w:lang w:val="en-US"/>
        </w:rPr>
        <w:t>.</w:t>
      </w:r>
    </w:p>
    <w:p w:rsidR="00204D56" w:rsidRDefault="00204D56" w:rsidP="00204D56">
      <w:pPr>
        <w:spacing w:line="276" w:lineRule="auto"/>
        <w:jc w:val="both"/>
        <w:rPr>
          <w:lang w:val="en-US"/>
        </w:rPr>
      </w:pPr>
    </w:p>
    <w:permEnd w:id="1559367429"/>
    <w:p w:rsidR="00F31E57" w:rsidRDefault="00F31E57" w:rsidP="00F31E57">
      <w:r>
        <w:t>&lt;ESMA_QUESTION_PRIIPs_13&gt;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204D56" w:rsidRPr="009455A5" w:rsidRDefault="00204D56" w:rsidP="00204D56">
      <w:pPr>
        <w:spacing w:line="276" w:lineRule="auto"/>
        <w:jc w:val="both"/>
        <w:rPr>
          <w:lang w:val="en-US"/>
        </w:rPr>
      </w:pPr>
      <w:permStart w:id="1630040827" w:edGrp="everyone"/>
      <w:r>
        <w:rPr>
          <w:lang w:val="en-US"/>
        </w:rPr>
        <w:t>Amundi suggests that legislators and regulators take a transversal view and do not multiply risk classific</w:t>
      </w:r>
      <w:r>
        <w:rPr>
          <w:lang w:val="en-US"/>
        </w:rPr>
        <w:t>a</w:t>
      </w:r>
      <w:r>
        <w:rPr>
          <w:lang w:val="en-US"/>
        </w:rPr>
        <w:t xml:space="preserve">tions. Investors should not be forced to read a user’s guide each time they read a KID or a KIID. The same risk measurement should apply for the same type of risk. Another and totally different scale should be used for additional measures. Thus, we consider that SRRI based on volatility should be considered as an appropriate and already circulated and understood measure of market risk. On top of that, the credit risk attached to the structure of the PRIIP should be considered differently. </w:t>
      </w:r>
    </w:p>
    <w:permEnd w:id="1630040827"/>
    <w:p w:rsidR="00F31E57" w:rsidRDefault="00F31E57" w:rsidP="00F31E57">
      <w:r>
        <w:t>&lt;ESMA_QUESTION_PRIIPs_14&gt;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relevance of the different criteria that may be considered.</w:t>
      </w:r>
    </w:p>
    <w:p w:rsidR="00F31E57" w:rsidRDefault="00F31E57" w:rsidP="00F31E57"/>
    <w:p w:rsidR="00F31E57" w:rsidRDefault="00F31E57" w:rsidP="00F31E57">
      <w:r>
        <w:t>&lt;ESMA_QUESTION_PRIIPs_15&gt;</w:t>
      </w:r>
    </w:p>
    <w:p w:rsidR="00204D56" w:rsidRDefault="00204D56" w:rsidP="00204D56">
      <w:pPr>
        <w:spacing w:line="276" w:lineRule="auto"/>
        <w:jc w:val="both"/>
        <w:rPr>
          <w:lang w:val="en-US"/>
        </w:rPr>
      </w:pPr>
      <w:permStart w:id="2117404281" w:edGrp="everyone"/>
      <w:r>
        <w:rPr>
          <w:lang w:val="en-US"/>
        </w:rPr>
        <w:t xml:space="preserve">We do not share the opinion expressed in the first paragraph of §2.4 that investors’ preference for getting information on expected returns should lead to a publication of possible outcomes of the product in the KID. We think a misleading approach has been introduced: performance scenarios for structured UCITS aim at explaining the formula of funds with an expected return linked to the evolution of some indices or to the combination of index and other hypothesis. Applying this to usual funds or to life insurance products </w:t>
      </w:r>
      <w:r>
        <w:rPr>
          <w:lang w:val="en-US"/>
        </w:rPr>
        <w:lastRenderedPageBreak/>
        <w:t xml:space="preserve">will drive in many cases to irrelevant assumptions i.e. probabilistic scenarios which only provide illusion to investors.  </w:t>
      </w:r>
    </w:p>
    <w:p w:rsidR="00204D56" w:rsidRDefault="00204D56" w:rsidP="00204D56">
      <w:pPr>
        <w:spacing w:line="276" w:lineRule="auto"/>
        <w:jc w:val="both"/>
        <w:rPr>
          <w:lang w:val="en-US"/>
        </w:rPr>
      </w:pPr>
      <w:r>
        <w:rPr>
          <w:lang w:val="en-US"/>
        </w:rPr>
        <w:t xml:space="preserve">We do read level 1 text in article 8 (d) (iii) as allowing for the absence of scenarios in cases </w:t>
      </w:r>
      <w:r w:rsidRPr="008A7406">
        <w:rPr>
          <w:b/>
          <w:lang w:val="en-US"/>
        </w:rPr>
        <w:t>when they would not be appropriate</w:t>
      </w:r>
      <w:r>
        <w:rPr>
          <w:lang w:val="en-US"/>
        </w:rPr>
        <w:t>.  Legislators have understood that point and refer to “appropriate performance scenarios and the assumptions made to produce them”. The term “appropriate” is of paramount i</w:t>
      </w:r>
      <w:r>
        <w:rPr>
          <w:lang w:val="en-US"/>
        </w:rPr>
        <w:t>m</w:t>
      </w:r>
      <w:r>
        <w:rPr>
          <w:lang w:val="en-US"/>
        </w:rPr>
        <w:t xml:space="preserve">portance since it implies to disregard any scenario which is not appropriate. </w:t>
      </w:r>
    </w:p>
    <w:p w:rsidR="00204D56" w:rsidRPr="009455A5" w:rsidRDefault="00204D56" w:rsidP="00204D56">
      <w:pPr>
        <w:spacing w:line="276" w:lineRule="auto"/>
        <w:jc w:val="both"/>
        <w:rPr>
          <w:lang w:val="en-US"/>
        </w:rPr>
      </w:pPr>
      <w:r>
        <w:rPr>
          <w:lang w:val="en-US"/>
        </w:rPr>
        <w:t xml:space="preserve"> Of course the “what if” scenario approach for structured UCITS or structured notes will make sense  to offer an illustration of the mechanism of the formula. The objective is to evidence how the guarantee or the cap will be activated.</w:t>
      </w:r>
      <w:r w:rsidRPr="00264643">
        <w:rPr>
          <w:lang w:val="en-US"/>
        </w:rPr>
        <w:t xml:space="preserve"> </w:t>
      </w:r>
      <w:r>
        <w:rPr>
          <w:lang w:val="en-US"/>
        </w:rPr>
        <w:t>Managed by the producer they are very effective for structured UCITS and should be encouraged. We do not believe that normative scenarios defined by authorities would be appropriate as they may leave out of scope some cases of interest for investors, not to mention the possible “optimiz</w:t>
      </w:r>
      <w:r>
        <w:rPr>
          <w:lang w:val="en-US"/>
        </w:rPr>
        <w:t>a</w:t>
      </w:r>
      <w:r>
        <w:rPr>
          <w:lang w:val="en-US"/>
        </w:rPr>
        <w:t>tion” of the structure of the PRIIPs to evidence a good result in the official scenarios. “What if” scenarios are as well appropriate to differentiate active management from passive index reproduction : an active fund will be able to show a higher return in a positive “what if” scenario when other options might not allow to evidence the chance of over-performance. We further consider that in many cases the most interesting scenario will be “what if the future were equal to the past” which is a way to present past performances to the public. In our view it is the only scenario that could be appropriate for flexible funds and diversified funds that may change exposure rapidly or switch from one market to another very frequently. We consi</w:t>
      </w:r>
      <w:r>
        <w:rPr>
          <w:lang w:val="en-US"/>
        </w:rPr>
        <w:t>d</w:t>
      </w:r>
      <w:r>
        <w:rPr>
          <w:lang w:val="en-US"/>
        </w:rPr>
        <w:t>er it a challenge that cannot be met, to build meaningful scenarios for those types of funds.</w:t>
      </w:r>
    </w:p>
    <w:p w:rsidR="00204D56" w:rsidRDefault="00204D56" w:rsidP="00204D56">
      <w:pPr>
        <w:spacing w:line="276" w:lineRule="auto"/>
        <w:jc w:val="both"/>
        <w:rPr>
          <w:lang w:val="en-US"/>
        </w:rPr>
      </w:pPr>
      <w:r>
        <w:rPr>
          <w:lang w:val="en-US"/>
        </w:rPr>
        <w:t>Otherwise, we fear that the probabilistic approach will lack stability and, hence, open the door to litigation that would hurt regulators which are the only ones to be in a position to impose a necessary norm for scenarios and parameters .</w:t>
      </w:r>
    </w:p>
    <w:permEnd w:id="2117404281"/>
    <w:p w:rsidR="00F31E57" w:rsidRDefault="00F31E57" w:rsidP="00F31E57">
      <w:r>
        <w:t>&lt;ESMA_QUESTION_PRIIPs_15&gt;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204D56" w:rsidRDefault="00204D56" w:rsidP="00204D56">
      <w:pPr>
        <w:spacing w:line="276" w:lineRule="auto"/>
        <w:jc w:val="both"/>
        <w:rPr>
          <w:lang w:val="en-US"/>
        </w:rPr>
      </w:pPr>
      <w:permStart w:id="1184107935" w:edGrp="everyone"/>
      <w:r>
        <w:rPr>
          <w:lang w:val="en-US"/>
        </w:rPr>
        <w:t xml:space="preserve">Amundi has expressed its support of “what if” scenarios created by the manufacturer for </w:t>
      </w:r>
      <w:r w:rsidRPr="00F43D66">
        <w:rPr>
          <w:lang w:val="en-US"/>
        </w:rPr>
        <w:t>structured UCITS</w:t>
      </w:r>
      <w:r>
        <w:rPr>
          <w:lang w:val="en-US"/>
        </w:rPr>
        <w:t>. It does not mean that it should be extended to all types of PRIIPs. It seems appropriate for those where a structure may lead to the exercise of a guarantee, of a digital option or any other discontinuous feature. It is  helpful in order to illustrate the characteristics of the product not to suggest what the future performance will be. We do believe that this specific scenario method for those PRIIPs should be co</w:t>
      </w:r>
      <w:r>
        <w:rPr>
          <w:lang w:val="en-US"/>
        </w:rPr>
        <w:t>n</w:t>
      </w:r>
      <w:r>
        <w:rPr>
          <w:lang w:val="en-US"/>
        </w:rPr>
        <w:t xml:space="preserve">firmed, irrespective of what type of performance presentation is decided for other products. </w:t>
      </w:r>
    </w:p>
    <w:p w:rsidR="00204D56" w:rsidRPr="00F43D66" w:rsidRDefault="00204D56" w:rsidP="00204D56">
      <w:pPr>
        <w:spacing w:line="276" w:lineRule="auto"/>
        <w:jc w:val="both"/>
        <w:rPr>
          <w:u w:val="single"/>
          <w:lang w:val="en-US"/>
        </w:rPr>
      </w:pPr>
      <w:r>
        <w:rPr>
          <w:lang w:val="en-US"/>
        </w:rPr>
        <w:t>It makes in our view sense to have different approaches for different types of PRIIPs in order to avoid hastily comparing non-comparable products and to organize comparability through prescribed standard scenarios for classic funds. We reiterate our view that flexible and diversified funds should present past performance, i.e. ”what if past repeated itself” scenario, as the only appropriate scenario.</w:t>
      </w:r>
    </w:p>
    <w:permEnd w:id="1184107935"/>
    <w:p w:rsidR="00F31E57" w:rsidRDefault="00F31E57" w:rsidP="00F31E57">
      <w:r>
        <w:t>&lt;ESMA_QUESTION_PRIIPs_16&gt;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scenarios? What other standardized scenarios may be fixed?</w:t>
      </w:r>
    </w:p>
    <w:p w:rsidR="00F31E57" w:rsidRDefault="00F31E57" w:rsidP="00F31E57"/>
    <w:p w:rsidR="00F31E57" w:rsidRDefault="00F31E57" w:rsidP="00F31E57">
      <w:r>
        <w:t>&lt;ESMA_QUESTION_PRIIPs_17&gt;</w:t>
      </w:r>
    </w:p>
    <w:p w:rsidR="00204D56" w:rsidRDefault="00204D56" w:rsidP="00204D56">
      <w:pPr>
        <w:spacing w:line="276" w:lineRule="auto"/>
        <w:jc w:val="both"/>
        <w:rPr>
          <w:lang w:val="en-US"/>
        </w:rPr>
      </w:pPr>
      <w:permStart w:id="1669883489" w:edGrp="everyone"/>
      <w:r w:rsidRPr="00F43D66">
        <w:rPr>
          <w:lang w:val="en-US"/>
        </w:rPr>
        <w:t>When possible, we consider that the historical scenario</w:t>
      </w:r>
      <w:r>
        <w:rPr>
          <w:lang w:val="en-US"/>
        </w:rPr>
        <w:t>,</w:t>
      </w:r>
      <w:r w:rsidRPr="00F43D66">
        <w:rPr>
          <w:lang w:val="en-US"/>
        </w:rPr>
        <w:t xml:space="preserve"> as </w:t>
      </w:r>
      <w:r>
        <w:rPr>
          <w:lang w:val="en-US"/>
        </w:rPr>
        <w:t>suggested in the Paper,</w:t>
      </w:r>
      <w:r w:rsidRPr="00F43D66">
        <w:rPr>
          <w:lang w:val="en-US"/>
        </w:rPr>
        <w:t xml:space="preserve"> is very effective to </w:t>
      </w:r>
      <w:r>
        <w:rPr>
          <w:lang w:val="en-US"/>
        </w:rPr>
        <w:t>provide investors with relevant information (based on past data, it is information). We support that sugge</w:t>
      </w:r>
      <w:r>
        <w:rPr>
          <w:lang w:val="en-US"/>
        </w:rPr>
        <w:t>s</w:t>
      </w:r>
      <w:r>
        <w:rPr>
          <w:lang w:val="en-US"/>
        </w:rPr>
        <w:t>tion.</w:t>
      </w:r>
    </w:p>
    <w:p w:rsidR="00204D56" w:rsidRDefault="00204D56" w:rsidP="00204D56">
      <w:pPr>
        <w:spacing w:line="276" w:lineRule="auto"/>
        <w:jc w:val="both"/>
        <w:rPr>
          <w:lang w:val="en-US"/>
        </w:rPr>
      </w:pPr>
      <w:r>
        <w:rPr>
          <w:lang w:val="en-US"/>
        </w:rPr>
        <w:t>As for predefined performance of the underlying investments, we think that it is relevant as a risk ma</w:t>
      </w:r>
      <w:r>
        <w:rPr>
          <w:lang w:val="en-US"/>
        </w:rPr>
        <w:t>n</w:t>
      </w:r>
      <w:r>
        <w:rPr>
          <w:lang w:val="en-US"/>
        </w:rPr>
        <w:t>agement tool and do not believe it should be used in the KID to communicate to investors.</w:t>
      </w:r>
    </w:p>
    <w:permEnd w:id="1669883489"/>
    <w:p w:rsidR="00F31E57" w:rsidRDefault="00F31E57" w:rsidP="00F31E57">
      <w:r>
        <w:lastRenderedPageBreak/>
        <w:t>&lt;ESMA_QUESTION_PRIIPs_17&gt;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204D56" w:rsidRPr="009455A5" w:rsidRDefault="00204D56" w:rsidP="00204D56">
      <w:pPr>
        <w:spacing w:line="276" w:lineRule="auto"/>
        <w:jc w:val="both"/>
        <w:rPr>
          <w:lang w:val="en-US"/>
        </w:rPr>
      </w:pPr>
      <w:permStart w:id="395975645" w:edGrp="everyone"/>
      <w:r>
        <w:rPr>
          <w:lang w:val="en-US"/>
        </w:rPr>
        <w:t>The lack of stability of percentiles’ levels is a key concern and we do not support probabilistic models. If it were selected, we do not like the idea to publish the median 50</w:t>
      </w:r>
      <w:r w:rsidRPr="007A39DB">
        <w:rPr>
          <w:vertAlign w:val="superscript"/>
          <w:lang w:val="en-US"/>
        </w:rPr>
        <w:t>th</w:t>
      </w:r>
      <w:r>
        <w:rPr>
          <w:lang w:val="en-US"/>
        </w:rPr>
        <w:t xml:space="preserve"> percentile as investors may confuse it with an average and eventually a promise. We would consider showing 2 percentiles 30 and 70%.</w:t>
      </w:r>
    </w:p>
    <w:permEnd w:id="395975645"/>
    <w:p w:rsidR="00F31E57" w:rsidRDefault="00F31E57" w:rsidP="00F31E57">
      <w:r>
        <w:t>&lt;ESMA_QUESTION_PRIIPs_18&gt;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204D56" w:rsidRPr="009455A5" w:rsidRDefault="00204D56" w:rsidP="00204D56">
      <w:pPr>
        <w:spacing w:line="276" w:lineRule="auto"/>
        <w:jc w:val="both"/>
        <w:rPr>
          <w:lang w:val="en-US"/>
        </w:rPr>
      </w:pPr>
      <w:permStart w:id="1060116385" w:edGrp="everyone"/>
      <w:r>
        <w:rPr>
          <w:lang w:val="en-US"/>
        </w:rPr>
        <w:t>In any combination we would like to focus on the historical scenario that is the most significant in our opinion. Today, investors are well informed that past performance is not predictive of future return and they understand the limits of back testing. Nevertheless past is, so far, the best proxy that we have for future. To supplement this historical scenario we think that a focus on a predefined stress on a major driver of the performance might be helpful to evidence sensibility to one important factor.</w:t>
      </w:r>
    </w:p>
    <w:permEnd w:id="1060116385"/>
    <w:p w:rsidR="00F31E57" w:rsidRDefault="00F31E57" w:rsidP="00F31E57">
      <w:r>
        <w:t>&lt;ESMA_QUESTION_PRIIPs_19&gt;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w:t>
      </w:r>
      <w:r>
        <w:t>i</w:t>
      </w:r>
      <w:r>
        <w:t>os?</w:t>
      </w:r>
    </w:p>
    <w:p w:rsidR="00F31E57" w:rsidRDefault="00F31E57" w:rsidP="00F31E57"/>
    <w:p w:rsidR="00F31E57" w:rsidRDefault="00F31E57" w:rsidP="00F31E57">
      <w:r>
        <w:t>&lt;ESMA_QUESTION_PRIIPs_20&gt;</w:t>
      </w:r>
    </w:p>
    <w:p w:rsidR="00204D56" w:rsidRPr="009455A5" w:rsidRDefault="00204D56" w:rsidP="00204D56">
      <w:pPr>
        <w:spacing w:line="276" w:lineRule="auto"/>
        <w:jc w:val="both"/>
        <w:rPr>
          <w:lang w:val="en-US"/>
        </w:rPr>
      </w:pPr>
      <w:permStart w:id="1667191645" w:edGrp="everyone"/>
      <w:r>
        <w:rPr>
          <w:lang w:val="en-US"/>
        </w:rPr>
        <w:t>No, we consider that credit default is properly addressed in another question of the KID, “what if XXX is unable to pay out?” as defined in art.8 (3) (e). Consistency in the presentation would clearly be gained with a 2 level risk indicator as proposed in our answer to Q 13.</w:t>
      </w:r>
    </w:p>
    <w:permEnd w:id="1667191645"/>
    <w:p w:rsidR="00F31E57" w:rsidRDefault="00F31E57" w:rsidP="00F31E57">
      <w:r>
        <w:t>&lt;ESMA_QUESTION_PRIIPs_20&gt;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w:t>
      </w:r>
      <w:r>
        <w:t>r</w:t>
      </w:r>
      <w:r>
        <w:t>mance scenarios?</w:t>
      </w:r>
    </w:p>
    <w:p w:rsidR="00F31E57" w:rsidRDefault="00F31E57" w:rsidP="00F31E57"/>
    <w:p w:rsidR="00F31E57" w:rsidRDefault="00F31E57" w:rsidP="00F31E57">
      <w:r>
        <w:t>&lt;ESMA_QUESTION_PRIIPs_21&gt;</w:t>
      </w:r>
    </w:p>
    <w:p w:rsidR="00204D56" w:rsidRPr="009455A5" w:rsidRDefault="00204D56" w:rsidP="00204D56">
      <w:pPr>
        <w:spacing w:line="276" w:lineRule="auto"/>
        <w:jc w:val="both"/>
        <w:rPr>
          <w:lang w:val="en-US"/>
        </w:rPr>
      </w:pPr>
      <w:permStart w:id="323749601" w:edGrp="everyone"/>
      <w:r>
        <w:rPr>
          <w:lang w:val="en-US"/>
        </w:rPr>
        <w:t xml:space="preserve">Calls or puts are among the characteristics of the PRIIP and should be explained through the presentation of appropriate scenarios. Amundi considers that “what if” scenarios at the hand of the manufacturer is the appropriate methodology to evidence the impact of such mechanisms. Conversely, we do not see how probabilistic scenarios will be able to give investors a clear view on the consequences of a triggering event. </w:t>
      </w:r>
    </w:p>
    <w:permEnd w:id="323749601"/>
    <w:p w:rsidR="00F31E57" w:rsidRDefault="00F31E57" w:rsidP="00F31E57">
      <w:r>
        <w:t>&lt;ESMA_QUESTION_PRIIPs_21&gt;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methodological issues in computing performance in several holding periods?</w:t>
      </w:r>
    </w:p>
    <w:p w:rsidR="00F31E57" w:rsidRDefault="00F31E57" w:rsidP="00F31E57"/>
    <w:p w:rsidR="00F31E57" w:rsidRDefault="00F31E57" w:rsidP="00F31E57">
      <w:r>
        <w:t>&lt;ESMA_QUESTION_PRIIPs_22&gt;</w:t>
      </w:r>
    </w:p>
    <w:p w:rsidR="00204D56" w:rsidRDefault="00204D56" w:rsidP="00204D56">
      <w:pPr>
        <w:spacing w:line="276" w:lineRule="auto"/>
        <w:jc w:val="both"/>
        <w:rPr>
          <w:lang w:val="en-US"/>
        </w:rPr>
      </w:pPr>
      <w:permStart w:id="100431896" w:edGrp="everyone"/>
      <w:r>
        <w:rPr>
          <w:lang w:val="en-US"/>
        </w:rPr>
        <w:t>Amundi recommends not to present performances for an investor that would ask for redemption before maturity or the end of the recommended holding period. This case will be covered under the early redem</w:t>
      </w:r>
      <w:r>
        <w:rPr>
          <w:lang w:val="en-US"/>
        </w:rPr>
        <w:t>p</w:t>
      </w:r>
      <w:r>
        <w:rPr>
          <w:lang w:val="en-US"/>
        </w:rPr>
        <w:t>tion section of the KID: “how long should I hold it and can I take money out early?” (article 8 (3) (g)).</w:t>
      </w:r>
    </w:p>
    <w:permEnd w:id="100431896"/>
    <w:p w:rsidR="00F31E57" w:rsidRDefault="00F31E57" w:rsidP="00F31E57">
      <w:r>
        <w:t>&lt;ESMA_QUESTION_PRIIPs_22&gt;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Are the two types of entry costs listed here clear enough? Should the list be fu</w:t>
      </w:r>
      <w:r>
        <w:rPr>
          <w:rFonts w:cs="Arial"/>
        </w:rPr>
        <w:t>r</w:t>
      </w:r>
      <w:r>
        <w:rPr>
          <w:rFonts w:cs="Arial"/>
        </w:rPr>
        <w:t xml:space="preserve">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204D56" w:rsidRDefault="00204D56" w:rsidP="00204D56">
      <w:pPr>
        <w:spacing w:line="276" w:lineRule="auto"/>
        <w:jc w:val="both"/>
        <w:rPr>
          <w:lang w:val="en-US"/>
        </w:rPr>
      </w:pPr>
      <w:permStart w:id="929051962" w:edGrp="everyone"/>
      <w:r>
        <w:rPr>
          <w:lang w:val="en-US"/>
        </w:rPr>
        <w:t>First, we consider that entry/exit costs must be identified and presented individually and not aggregated to other types of costs.</w:t>
      </w:r>
    </w:p>
    <w:p w:rsidR="00204D56" w:rsidRDefault="00204D56" w:rsidP="00204D56">
      <w:pPr>
        <w:spacing w:line="276" w:lineRule="auto"/>
        <w:jc w:val="both"/>
        <w:rPr>
          <w:lang w:val="en-US"/>
        </w:rPr>
      </w:pPr>
      <w:r>
        <w:rPr>
          <w:lang w:val="en-US"/>
        </w:rPr>
        <w:t xml:space="preserve"> Second, we would establish a difference between costs and fees . Fees are directly paid to the promoter, manufacturer or distributor of the PRIIP when costs relate to  operations and supply of services required by the product.  </w:t>
      </w:r>
    </w:p>
    <w:p w:rsidR="00204D56" w:rsidRDefault="00204D56" w:rsidP="00204D56">
      <w:pPr>
        <w:spacing w:line="276" w:lineRule="auto"/>
        <w:jc w:val="both"/>
        <w:rPr>
          <w:lang w:val="en-US"/>
        </w:rPr>
      </w:pPr>
      <w:r>
        <w:rPr>
          <w:lang w:val="en-US"/>
        </w:rPr>
        <w:t>In addition, subscription and redemption fees are traditionally split between those that cannot be negotia</w:t>
      </w:r>
      <w:r>
        <w:rPr>
          <w:lang w:val="en-US"/>
        </w:rPr>
        <w:t>t</w:t>
      </w:r>
      <w:r>
        <w:rPr>
          <w:lang w:val="en-US"/>
        </w:rPr>
        <w:t>ed because paid directly to the fund and those that can be negotiated with the beneficiary, usually the distributor.</w:t>
      </w:r>
    </w:p>
    <w:p w:rsidR="00204D56" w:rsidRDefault="00204D56" w:rsidP="00204D56">
      <w:pPr>
        <w:spacing w:line="276" w:lineRule="auto"/>
        <w:jc w:val="both"/>
        <w:rPr>
          <w:lang w:val="en-US"/>
        </w:rPr>
      </w:pPr>
      <w:r>
        <w:rPr>
          <w:lang w:val="en-US"/>
        </w:rPr>
        <w:t>We also think that  it should be possible to draw a kind of exhaustive list of costs that can be charged to a fund  in order to provide legal certainty. Of course, an “other costs” line should be allowed.</w:t>
      </w:r>
    </w:p>
    <w:permEnd w:id="929051962"/>
    <w:p w:rsidR="00F31E57" w:rsidRDefault="00F31E57" w:rsidP="00F31E57">
      <w:r>
        <w:t>&lt;ESMA_QUESTION_PRIIPs_23&gt;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204D56" w:rsidRDefault="00204D56" w:rsidP="00204D56">
      <w:pPr>
        <w:spacing w:line="276" w:lineRule="auto"/>
        <w:jc w:val="both"/>
        <w:rPr>
          <w:lang w:val="en-US"/>
        </w:rPr>
      </w:pPr>
      <w:permStart w:id="2053450467" w:edGrp="everyone"/>
      <w:r>
        <w:rPr>
          <w:lang w:val="en-US"/>
        </w:rPr>
        <w:t>Amundi would recommend ESMA to refer to IOSCO’s work  on Fees and Expenses of Investment Funds  which is currently in the process of being amended following the Consultation Report CR06/2015 issued last June. In these documents, transaction costs and performance fees are clearly identified as separate issues not included in the chapter relative to the general disclosure of fees and expenses.</w:t>
      </w:r>
    </w:p>
    <w:p w:rsidR="00204D56" w:rsidRDefault="00204D56" w:rsidP="00204D56">
      <w:pPr>
        <w:spacing w:line="276" w:lineRule="auto"/>
        <w:jc w:val="both"/>
        <w:rPr>
          <w:lang w:val="en-US"/>
        </w:rPr>
      </w:pPr>
      <w:r>
        <w:rPr>
          <w:lang w:val="en-US"/>
        </w:rPr>
        <w:t>For UCITS and AIFs that publish KIIDs our experience over the last years is that the split between 4 types of costs is a good way to communicate with clients. We believe it is well adapted and we suggest that it be used as a starting point for all types of funds.</w:t>
      </w:r>
    </w:p>
    <w:p w:rsidR="00204D56" w:rsidRDefault="00204D56" w:rsidP="00204D56">
      <w:pPr>
        <w:spacing w:line="276" w:lineRule="auto"/>
        <w:jc w:val="both"/>
        <w:rPr>
          <w:lang w:val="en-US"/>
        </w:rPr>
      </w:pPr>
      <w:r>
        <w:rPr>
          <w:lang w:val="en-US"/>
        </w:rPr>
        <w:t>Amundi believes that the 5 items list as proposed under § (a) should be reviewed in order to remain c</w:t>
      </w:r>
      <w:r>
        <w:rPr>
          <w:lang w:val="en-US"/>
        </w:rPr>
        <w:t>o</w:t>
      </w:r>
      <w:r>
        <w:rPr>
          <w:lang w:val="en-US"/>
        </w:rPr>
        <w:t xml:space="preserve">herent with the UCITS’ KIID. </w:t>
      </w:r>
    </w:p>
    <w:p w:rsidR="00204D56" w:rsidRPr="009455A5" w:rsidRDefault="00204D56" w:rsidP="00204D56">
      <w:pPr>
        <w:spacing w:line="276" w:lineRule="auto"/>
        <w:jc w:val="both"/>
        <w:rPr>
          <w:lang w:val="en-US"/>
        </w:rPr>
      </w:pPr>
      <w:r>
        <w:rPr>
          <w:lang w:val="en-US"/>
        </w:rPr>
        <w:t>With respect to carried interest we consider they should be out of scope because : (</w:t>
      </w:r>
      <w:proofErr w:type="spellStart"/>
      <w:r>
        <w:rPr>
          <w:lang w:val="en-US"/>
        </w:rPr>
        <w:t>i</w:t>
      </w:r>
      <w:proofErr w:type="spellEnd"/>
      <w:r>
        <w:rPr>
          <w:lang w:val="en-US"/>
        </w:rPr>
        <w:t>) carried interest is paid to different categories of shares or units, (ii) they are part of the structure of the fund and their mec</w:t>
      </w:r>
      <w:r>
        <w:rPr>
          <w:lang w:val="en-US"/>
        </w:rPr>
        <w:t>h</w:t>
      </w:r>
      <w:r>
        <w:rPr>
          <w:lang w:val="en-US"/>
        </w:rPr>
        <w:t>anism is transparent for investors, (iii) their specific remuneration is usually subject to a trigger (a minimum rate of return for other investors), (iv) their holders are co-investors in the fund. Furthermore, we do not see how they could represent an on-going charge.</w:t>
      </w:r>
    </w:p>
    <w:permEnd w:id="2053450467"/>
    <w:p w:rsidR="00F31E57" w:rsidRDefault="00F31E57" w:rsidP="00F31E57">
      <w:r>
        <w:t>&lt;ESMA_QUESTION_PRIIPs_24&gt;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204D56" w:rsidRDefault="00204D56" w:rsidP="00204D56">
      <w:pPr>
        <w:spacing w:line="276" w:lineRule="auto"/>
        <w:jc w:val="both"/>
        <w:rPr>
          <w:lang w:val="en-US"/>
        </w:rPr>
      </w:pPr>
      <w:permStart w:id="366496202" w:edGrp="everyone"/>
      <w:r>
        <w:rPr>
          <w:lang w:val="en-US"/>
        </w:rPr>
        <w:t>We notice uncertainties since (</w:t>
      </w:r>
      <w:proofErr w:type="spellStart"/>
      <w:r>
        <w:rPr>
          <w:lang w:val="en-US"/>
        </w:rPr>
        <w:t>i</w:t>
      </w:r>
      <w:proofErr w:type="spellEnd"/>
      <w:r>
        <w:rPr>
          <w:lang w:val="en-US"/>
        </w:rPr>
        <w:t>) valuation is under UCITS a task of the management company that is usually delegated and should appear under (a), (ii) custody is part of the depositary’s work and should be in (a) even if it is partly delegated, (iii) leverage provided by a Prime broker should be listed under (</w:t>
      </w:r>
      <w:proofErr w:type="spellStart"/>
      <w:r>
        <w:rPr>
          <w:lang w:val="en-US"/>
        </w:rPr>
        <w:t>i</w:t>
      </w:r>
      <w:proofErr w:type="spellEnd"/>
      <w:r>
        <w:rPr>
          <w:lang w:val="en-US"/>
        </w:rPr>
        <w:t>)… As a consequence, we think that (a) and (b) lists (and we would extend that from (a) to (g) and possibly more) should be merged under a general heading “fees and expenses paid for the functioning of the fund” and that the most relevant split should be to identify fees that are finally kept by the management company, paid to the distributor and paid to other operational agents. Further details are irrelevant: for example, a retail client is not accustomed to the specific role of a prime broker or an investment adviser for example. Since their function may largely differ from one contractual agreement to another there will be no possibi</w:t>
      </w:r>
      <w:r>
        <w:rPr>
          <w:lang w:val="en-US"/>
        </w:rPr>
        <w:t>l</w:t>
      </w:r>
      <w:r>
        <w:rPr>
          <w:lang w:val="en-US"/>
        </w:rPr>
        <w:t xml:space="preserve">ity to establish significant comparisons on these individual costs. Conversely, the client investor will better </w:t>
      </w:r>
      <w:r>
        <w:rPr>
          <w:lang w:val="en-US"/>
        </w:rPr>
        <w:lastRenderedPageBreak/>
        <w:t>understand that there are different functions in the process such as investment decision making, admi</w:t>
      </w:r>
      <w:r>
        <w:rPr>
          <w:lang w:val="en-US"/>
        </w:rPr>
        <w:t>n</w:t>
      </w:r>
      <w:r>
        <w:rPr>
          <w:lang w:val="en-US"/>
        </w:rPr>
        <w:t>istration, distribution, control…</w:t>
      </w:r>
    </w:p>
    <w:permEnd w:id="366496202"/>
    <w:p w:rsidR="00F31E57" w:rsidRDefault="00F31E57" w:rsidP="00F31E57">
      <w:r>
        <w:t>&lt;ESMA_QUESTION_PRIIPs_25&gt;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w:t>
      </w:r>
      <w:r>
        <w:rPr>
          <w:rFonts w:cs="Arial"/>
        </w:rPr>
        <w:t>f</w:t>
      </w:r>
      <w:r>
        <w:rPr>
          <w:rFonts w:cs="Arial"/>
        </w:rPr>
        <w:t>ference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204D56" w:rsidRPr="00ED2453" w:rsidRDefault="00204D56" w:rsidP="00204D56">
      <w:pPr>
        <w:spacing w:line="276" w:lineRule="auto"/>
        <w:jc w:val="both"/>
        <w:rPr>
          <w:lang w:val="en-US"/>
        </w:rPr>
      </w:pPr>
      <w:permStart w:id="1671309737" w:edGrp="everyone"/>
      <w:r w:rsidRPr="00ED2453">
        <w:rPr>
          <w:lang w:val="en-US"/>
        </w:rPr>
        <w:t>These belong to administration fees</w:t>
      </w:r>
      <w:r>
        <w:rPr>
          <w:lang w:val="en-US"/>
        </w:rPr>
        <w:t xml:space="preserve">’ category. They will include only the payments charged directly to the fund. For example, fees paid to national authorities or to professional associations may benefit from a rate that marginally decreases with size. It is difficult to decide whether to show the marginal or the average rate. The common practice in France is for those costs to be borne by the management company.   </w:t>
      </w:r>
    </w:p>
    <w:permEnd w:id="1671309737"/>
    <w:p w:rsidR="00F31E57" w:rsidRDefault="00F31E57" w:rsidP="00F31E57">
      <w:r>
        <w:t>&lt;ESMA_QUESTION_PRIIPs_26&gt;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w:t>
      </w:r>
      <w:r>
        <w:rPr>
          <w:rFonts w:cs="Arial"/>
        </w:rPr>
        <w:t>f</w:t>
      </w:r>
      <w:r>
        <w:rPr>
          <w:rFonts w:cs="Arial"/>
        </w:rPr>
        <w:t>ference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921703" w:rsidRPr="00ED2453" w:rsidRDefault="00921703" w:rsidP="00921703">
      <w:pPr>
        <w:spacing w:line="276" w:lineRule="auto"/>
        <w:jc w:val="both"/>
        <w:rPr>
          <w:lang w:val="en-US"/>
        </w:rPr>
      </w:pPr>
      <w:permStart w:id="1194815847" w:edGrp="everyone"/>
      <w:r w:rsidRPr="00ED2453">
        <w:rPr>
          <w:lang w:val="en-US"/>
        </w:rPr>
        <w:t xml:space="preserve">Item (d) </w:t>
      </w:r>
      <w:r>
        <w:rPr>
          <w:lang w:val="en-US"/>
        </w:rPr>
        <w:t>does not differ from (f) if paid to lawyers or (a) if paid to the depositary/ custodian</w:t>
      </w:r>
      <w:r w:rsidRPr="00E670E0">
        <w:rPr>
          <w:lang w:val="en-US"/>
        </w:rPr>
        <w:t xml:space="preserve"> </w:t>
      </w:r>
      <w:r>
        <w:rPr>
          <w:lang w:val="en-US"/>
        </w:rPr>
        <w:t>as other admi</w:t>
      </w:r>
      <w:r>
        <w:rPr>
          <w:lang w:val="en-US"/>
        </w:rPr>
        <w:t>n</w:t>
      </w:r>
      <w:r>
        <w:rPr>
          <w:lang w:val="en-US"/>
        </w:rPr>
        <w:t>istrative charges. They should only include those costs that are directly charged to the fund. We suggest the deletion of item (d).</w:t>
      </w:r>
    </w:p>
    <w:permEnd w:id="1194815847"/>
    <w:p w:rsidR="00F31E57" w:rsidRDefault="00F31E57" w:rsidP="00F31E57">
      <w:r>
        <w:t>&lt;ESMA_QUESTION_PRIIPs_27&gt;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921703" w:rsidRDefault="00921703" w:rsidP="00921703">
      <w:pPr>
        <w:spacing w:line="276" w:lineRule="auto"/>
        <w:jc w:val="both"/>
        <w:rPr>
          <w:lang w:val="en-US"/>
        </w:rPr>
      </w:pPr>
      <w:permStart w:id="1501378962" w:edGrp="everyone"/>
      <w:r>
        <w:rPr>
          <w:lang w:val="en-US"/>
        </w:rPr>
        <w:t>Amundi believes that this list is interesting as a check list, but that the real work should be done on the basis of effective payments charged to the fund. In that first list we do not think that there is room for any soft payment or hidden charge that would need to be published to provide a fair comparison.</w:t>
      </w:r>
    </w:p>
    <w:p w:rsidR="00921703" w:rsidRDefault="00921703" w:rsidP="00921703">
      <w:pPr>
        <w:spacing w:line="276" w:lineRule="auto"/>
        <w:jc w:val="both"/>
        <w:rPr>
          <w:lang w:val="en-US"/>
        </w:rPr>
      </w:pPr>
      <w:r>
        <w:rPr>
          <w:lang w:val="en-US"/>
        </w:rPr>
        <w:t>For private equity funds, we support the idea of showing both sides and not a net figure.</w:t>
      </w:r>
    </w:p>
    <w:p w:rsidR="00921703" w:rsidRPr="009455A5" w:rsidRDefault="00921703" w:rsidP="00921703">
      <w:pPr>
        <w:spacing w:line="276" w:lineRule="auto"/>
        <w:jc w:val="both"/>
        <w:rPr>
          <w:lang w:val="en-US"/>
        </w:rPr>
      </w:pPr>
      <w:r>
        <w:rPr>
          <w:lang w:val="en-US"/>
        </w:rPr>
        <w:t>We think that most costs of distribution are either entry/exit fees or retrocessions on the management fee. Retrocession are usually paid to the distributor from the management fee and not directly debited from the fund. They should not be double-counted.</w:t>
      </w:r>
    </w:p>
    <w:permEnd w:id="1501378962"/>
    <w:p w:rsidR="00F31E57" w:rsidRDefault="00F31E57" w:rsidP="00F31E57">
      <w:r>
        <w:t>&lt;ESMA_QUESTION_PRIIPs_28&gt;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921703" w:rsidRDefault="00921703" w:rsidP="00921703">
      <w:pPr>
        <w:spacing w:line="276" w:lineRule="auto"/>
        <w:jc w:val="both"/>
        <w:rPr>
          <w:lang w:val="en-US"/>
        </w:rPr>
      </w:pPr>
      <w:permStart w:id="109011310" w:edGrp="everyone"/>
      <w:r>
        <w:rPr>
          <w:lang w:val="en-US"/>
        </w:rPr>
        <w:t>There are two different points in discussion under this question.</w:t>
      </w:r>
      <w:r>
        <w:rPr>
          <w:lang w:val="en-US"/>
        </w:rPr>
        <w:br/>
      </w:r>
      <w:r>
        <w:rPr>
          <w:b/>
          <w:lang w:val="en-US"/>
        </w:rPr>
        <w:t>Performance fee</w:t>
      </w:r>
      <w:r>
        <w:rPr>
          <w:lang w:val="en-US"/>
        </w:rPr>
        <w:t xml:space="preserve"> can be calculated in many different ways and paid to the fund with different periodicities. It is not possible to have an ex ante evaluation without simulating scenarios. Amundi clearly considers that performance fees should not be part of on-going charges and supports IOSCO’s view to differentiate them. The only appropriate type of quantitative disclosure for them is an ex post publication of real figures. Conversely, we believe that ex ante a narrative of the existence of a performance fee and the main p</w:t>
      </w:r>
      <w:r>
        <w:rPr>
          <w:lang w:val="en-US"/>
        </w:rPr>
        <w:t>a</w:t>
      </w:r>
      <w:r>
        <w:rPr>
          <w:lang w:val="en-US"/>
        </w:rPr>
        <w:t>rameters of its calculation should be made available to the public.</w:t>
      </w:r>
    </w:p>
    <w:p w:rsidR="00921703" w:rsidRPr="00DC7BC3" w:rsidRDefault="00921703" w:rsidP="00921703">
      <w:pPr>
        <w:spacing w:line="276" w:lineRule="auto"/>
        <w:jc w:val="both"/>
        <w:rPr>
          <w:lang w:val="en-US"/>
        </w:rPr>
      </w:pPr>
      <w:r>
        <w:rPr>
          <w:b/>
          <w:lang w:val="en-US"/>
        </w:rPr>
        <w:lastRenderedPageBreak/>
        <w:t>Financing costs</w:t>
      </w:r>
      <w:r>
        <w:rPr>
          <w:lang w:val="en-US"/>
        </w:rPr>
        <w:t xml:space="preserve"> are incurred by a fund when the investment strategy allows for borrowings. They result from an investment decision and aim at maximizing returns; as such they must be assimilated to (</w:t>
      </w:r>
      <w:proofErr w:type="spellStart"/>
      <w:r>
        <w:rPr>
          <w:lang w:val="en-US"/>
        </w:rPr>
        <w:t>i</w:t>
      </w:r>
      <w:proofErr w:type="spellEnd"/>
      <w:r>
        <w:rPr>
          <w:lang w:val="en-US"/>
        </w:rPr>
        <w:t>) “tran</w:t>
      </w:r>
      <w:r>
        <w:rPr>
          <w:lang w:val="en-US"/>
        </w:rPr>
        <w:t>s</w:t>
      </w:r>
      <w:r>
        <w:rPr>
          <w:lang w:val="en-US"/>
        </w:rPr>
        <w:t>action costs” for lending commissions paid and to (ii) EPM techniques for interests charged and, hence, not considered as a cost. They can in no way constitute an on-going charge.</w:t>
      </w:r>
    </w:p>
    <w:permEnd w:id="109011310"/>
    <w:p w:rsidR="00F31E57" w:rsidRDefault="00F31E57" w:rsidP="00F31E57">
      <w:r>
        <w:t>&lt;ESMA_QUESTION_PRIIPs_29&gt;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definition of Costs for capital guarantee or capital protection would you suggest? (Contribution for deposit insurance or cost of external guarantor?)</w:t>
      </w:r>
    </w:p>
    <w:p w:rsidR="00F31E57" w:rsidRDefault="00F31E57" w:rsidP="00F31E57">
      <w:pPr>
        <w:rPr>
          <w:rFonts w:cstheme="minorBidi"/>
        </w:rPr>
      </w:pPr>
    </w:p>
    <w:p w:rsidR="00F31E57" w:rsidRDefault="00F31E57" w:rsidP="00F31E57">
      <w:r>
        <w:t>&lt;ESMA_QUESTION_PRIIPs_30&gt;</w:t>
      </w:r>
    </w:p>
    <w:p w:rsidR="00921703" w:rsidRDefault="00921703" w:rsidP="00921703">
      <w:pPr>
        <w:spacing w:line="276" w:lineRule="auto"/>
        <w:jc w:val="both"/>
        <w:rPr>
          <w:lang w:val="en-US"/>
        </w:rPr>
      </w:pPr>
      <w:permStart w:id="658465789" w:edGrp="everyone"/>
      <w:r w:rsidRPr="00DC7BC3">
        <w:rPr>
          <w:lang w:val="en-US"/>
        </w:rPr>
        <w:t xml:space="preserve">It is clear that a commission paid by the fund to a bank in order to gain an explicit guarantee </w:t>
      </w:r>
      <w:r>
        <w:rPr>
          <w:lang w:val="en-US"/>
        </w:rPr>
        <w:t>of capital or return that will benefit to the fund holders is easy to identify and to disclose. We support transparency in this case.</w:t>
      </w:r>
    </w:p>
    <w:p w:rsidR="00921703" w:rsidRDefault="00921703" w:rsidP="00921703">
      <w:pPr>
        <w:spacing w:line="276" w:lineRule="auto"/>
        <w:jc w:val="both"/>
        <w:rPr>
          <w:lang w:val="en-US"/>
        </w:rPr>
      </w:pPr>
      <w:r>
        <w:rPr>
          <w:lang w:val="en-US"/>
        </w:rPr>
        <w:t>On the contrary we strongly oppose the idea that optional strategies implemented in a fund could be disclosed as a cost for a guarantee. Amundi believes that foot note 19 mixes totally different things. We want to present the following example to evidence that it is absurd to consider an option premium as a cost.</w:t>
      </w:r>
    </w:p>
    <w:p w:rsidR="00921703" w:rsidRPr="004D7B54" w:rsidRDefault="00921703" w:rsidP="00921703">
      <w:pPr>
        <w:spacing w:line="276" w:lineRule="auto"/>
        <w:jc w:val="both"/>
        <w:rPr>
          <w:i/>
        </w:rPr>
      </w:pPr>
      <w:r w:rsidRPr="004D7B54">
        <w:rPr>
          <w:rFonts w:asciiTheme="minorHAnsi" w:eastAsiaTheme="minorEastAsia" w:hAnsiTheme="minorHAnsi" w:cstheme="minorBidi"/>
          <w:sz w:val="22"/>
          <w:szCs w:val="22"/>
          <w:lang w:eastAsia="zh-TW"/>
        </w:rPr>
        <w:t xml:space="preserve"> </w:t>
      </w:r>
      <w:r w:rsidRPr="004D7B54">
        <w:rPr>
          <w:i/>
        </w:rPr>
        <w:t>Let’s consider a fund having a net asset value of 1000€. Let’s assume the fund buys a XYZ stock at 100€. In doing so, it incurs some transaction costs, for example 0.05€. The fund can subsequently sell the stock at its market price, let’s say 120€, and it will again incur 0.05€ transaction costs. The net profit resulting from these two transactions is 20-0.05-0.05 = 19.9€. The fund’s performance after costs is 1.99% and 2% before costs.</w:t>
      </w:r>
    </w:p>
    <w:p w:rsidR="00921703" w:rsidRPr="004D7B54" w:rsidRDefault="00921703" w:rsidP="00921703">
      <w:pPr>
        <w:spacing w:line="276" w:lineRule="auto"/>
        <w:jc w:val="both"/>
        <w:rPr>
          <w:i/>
        </w:rPr>
      </w:pPr>
      <w:r w:rsidRPr="004D7B54">
        <w:rPr>
          <w:i/>
        </w:rPr>
        <w:t xml:space="preserve">Let’s now assume the fund buys a call option at a price (=premium) of 100€. Let’s say the fund incurs 0.05€ transaction costs. Then the market moves up and the fund can subsequently sell the option at its market price, let’s say 120€ (- 0.05€ transaction costs). Like in the previous example, the profit resulting from these two transactions is 20-0.05-0.05 = 19.9€. </w:t>
      </w:r>
    </w:p>
    <w:p w:rsidR="00921703" w:rsidRPr="004D7B54" w:rsidRDefault="00921703" w:rsidP="00921703">
      <w:pPr>
        <w:spacing w:line="276" w:lineRule="auto"/>
        <w:jc w:val="both"/>
        <w:rPr>
          <w:i/>
        </w:rPr>
      </w:pPr>
      <w:r w:rsidRPr="004D7B54">
        <w:rPr>
          <w:i/>
        </w:rPr>
        <w:t>It would thus be absurd to qualify the 100€ premium as “cost”. Otherwise, the fund’s performance before costs would be +12% ! (=120/1000)</w:t>
      </w:r>
    </w:p>
    <w:p w:rsidR="00921703" w:rsidRPr="00E670E0" w:rsidRDefault="00921703" w:rsidP="00921703">
      <w:pPr>
        <w:spacing w:line="276" w:lineRule="auto"/>
        <w:jc w:val="both"/>
      </w:pPr>
      <w:r w:rsidRPr="00E670E0">
        <w:t>An option is an instrument which has a market value, just like stocks or bonds. The price paid for a stock or a bond is not considered as a cost (only the transaction cost is). In the same way, the price paid for an option cannot be considered as a cost (only the transaction cost can).</w:t>
      </w:r>
    </w:p>
    <w:permEnd w:id="658465789"/>
    <w:p w:rsidR="00F31E57" w:rsidRDefault="00F31E57" w:rsidP="00F31E57">
      <w:r>
        <w:t>&lt;ESMA_QUESTION_PRIIPs_30&gt;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are the specific issues in relation to this type of costs? Should the scope of these costs be narrowed to administrative costs in connection with investments in derivative instruments? In that respect, it could be argued that margin calls itself should not be considered as costs. The possible rationale behind this reasoning would be that margin calls may result in missed revenues, since no return is rea</w:t>
      </w:r>
      <w:r>
        <w:rPr>
          <w:rFonts w:cs="Arial"/>
        </w:rPr>
        <w:t>l</w:t>
      </w:r>
      <w:r>
        <w:rPr>
          <w:rFonts w:cs="Arial"/>
        </w:rPr>
        <w:t xml:space="preserve">ized on the cash amount that is deposited, and that: </w:t>
      </w:r>
    </w:p>
    <w:p w:rsidR="00F31E57" w:rsidRDefault="00F31E57" w:rsidP="00F31E57">
      <w:pPr>
        <w:rPr>
          <w:rFonts w:cstheme="minorBidi"/>
        </w:rPr>
      </w:pPr>
    </w:p>
    <w:p w:rsidR="00F31E57" w:rsidRDefault="00F31E57" w:rsidP="00F31E57">
      <w:r>
        <w:t>&lt;ESMA_QUESTION_PRIIPs_31&gt;</w:t>
      </w:r>
    </w:p>
    <w:p w:rsidR="00921703" w:rsidRPr="003A1172" w:rsidRDefault="00921703" w:rsidP="00921703">
      <w:pPr>
        <w:spacing w:line="276" w:lineRule="auto"/>
        <w:jc w:val="both"/>
        <w:rPr>
          <w:lang w:val="en-US"/>
        </w:rPr>
      </w:pPr>
      <w:permStart w:id="993874376" w:edGrp="everyone"/>
      <w:r w:rsidRPr="003A1172">
        <w:rPr>
          <w:lang w:val="en-US"/>
        </w:rPr>
        <w:t xml:space="preserve">Derivative instruments are usual financial instruments and as any of those their price may go up or down and deliver a profit or a loss to the holder. The day to day mechanism of margin calls is simply a way to clear the position and pay (receive) what is due when there is a loss (profit) after a price movement up </w:t>
      </w:r>
      <w:r>
        <w:rPr>
          <w:lang w:val="en-US"/>
        </w:rPr>
        <w:t xml:space="preserve">or </w:t>
      </w:r>
      <w:r w:rsidRPr="003A1172">
        <w:rPr>
          <w:lang w:val="en-US"/>
        </w:rPr>
        <w:t xml:space="preserve">down. </w:t>
      </w:r>
      <w:r>
        <w:rPr>
          <w:lang w:val="en-US"/>
        </w:rPr>
        <w:t>As such margin calls</w:t>
      </w:r>
      <w:r w:rsidRPr="003A1172">
        <w:rPr>
          <w:lang w:val="en-US"/>
        </w:rPr>
        <w:t xml:space="preserve"> are </w:t>
      </w:r>
      <w:r>
        <w:rPr>
          <w:lang w:val="en-US"/>
        </w:rPr>
        <w:t xml:space="preserve">not </w:t>
      </w:r>
      <w:r w:rsidRPr="003A1172">
        <w:rPr>
          <w:lang w:val="en-US"/>
        </w:rPr>
        <w:t xml:space="preserve">transaction costs </w:t>
      </w:r>
      <w:r>
        <w:rPr>
          <w:lang w:val="en-US"/>
        </w:rPr>
        <w:t>and the impact of missed revenue linked to cash deposited is marginal. A</w:t>
      </w:r>
      <w:r w:rsidRPr="003A1172">
        <w:rPr>
          <w:lang w:val="en-US"/>
        </w:rPr>
        <w:t>dministrative costs with the depositary will be included where they belong.</w:t>
      </w:r>
    </w:p>
    <w:permEnd w:id="993874376"/>
    <w:p w:rsidR="00F31E57" w:rsidRDefault="00F31E57" w:rsidP="00F31E57">
      <w:r>
        <w:t>&lt;ESMA_QUESTION_PRIIPs_31&gt;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lastRenderedPageBreak/>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921703" w:rsidRPr="003A1172" w:rsidRDefault="00921703" w:rsidP="00921703">
      <w:pPr>
        <w:spacing w:line="276" w:lineRule="auto"/>
        <w:rPr>
          <w:lang w:val="en-US"/>
        </w:rPr>
      </w:pPr>
      <w:permStart w:id="776163904" w:edGrp="everyone"/>
      <w:r>
        <w:rPr>
          <w:lang w:val="en-US"/>
        </w:rPr>
        <w:t xml:space="preserve">Item (m) refers to soft commissions linked to transaction fees. On one hand, any such commission is strictly regulated and controlled under MIF. On the other hand, the discussion on them will be better placed when discussing brokerage fees. </w:t>
      </w:r>
      <w:r w:rsidRPr="00C124E4">
        <w:rPr>
          <w:lang w:val="en-US"/>
        </w:rPr>
        <w:t>We suggest to delete item (m).</w:t>
      </w:r>
      <w:r>
        <w:rPr>
          <w:lang w:val="en-US"/>
        </w:rPr>
        <w:t xml:space="preserve"> </w:t>
      </w:r>
    </w:p>
    <w:permEnd w:id="776163904"/>
    <w:p w:rsidR="00F31E57" w:rsidRDefault="00F31E57" w:rsidP="00F31E57">
      <w:r>
        <w:t>&lt;ESMA_QUESTION_PRIIPs_32&gt;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w:t>
      </w:r>
      <w:r>
        <w:rPr>
          <w:rFonts w:cs="Arial"/>
        </w:rPr>
        <w:t>t</w:t>
      </w:r>
      <w:r>
        <w:rPr>
          <w:rFonts w:cs="Arial"/>
        </w:rPr>
        <w: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921703" w:rsidRDefault="00921703" w:rsidP="00921703">
      <w:pPr>
        <w:spacing w:line="276" w:lineRule="auto"/>
        <w:jc w:val="both"/>
        <w:rPr>
          <w:lang w:val="en-US"/>
        </w:rPr>
      </w:pPr>
      <w:permStart w:id="1166345447" w:edGrp="everyone"/>
      <w:r>
        <w:rPr>
          <w:lang w:val="en-US"/>
        </w:rPr>
        <w:t>This question refers to item (t), which we consider as misplaced in the “Funds” section. There is no occ</w:t>
      </w:r>
      <w:r>
        <w:rPr>
          <w:lang w:val="en-US"/>
        </w:rPr>
        <w:t>a</w:t>
      </w:r>
      <w:r>
        <w:rPr>
          <w:lang w:val="en-US"/>
        </w:rPr>
        <w:t>sion for funds, traditional or structured, to have dividends not paid to the fund. Funds are autonomous entities with their own accounts and what is traded by the manager on behalf of the fund appears in the accounts and benefits the fund holders. Dividends cannot be transferred to any outsider. There might be different cases with other PRIIPs which are “balance sheet products”. If subscribers do not benefit from a flow of dividend they should receive as beneficial owner but that is paid to the official owner of an underl</w:t>
      </w:r>
      <w:r>
        <w:rPr>
          <w:lang w:val="en-US"/>
        </w:rPr>
        <w:t>y</w:t>
      </w:r>
      <w:r>
        <w:rPr>
          <w:lang w:val="en-US"/>
        </w:rPr>
        <w:t>ing, it should be considered as a cost for them. To be very specific this is not the case with a total return swap for example. The contract may provide that counterparty A will transfer to counterparty B  the total performance of the portfolio held by A, either with or without dividends and the amount paid by B, under the other leg, will be adjusted and priced differently from the start depending on whether it receives or not dividends on the first leg. Dividends are a parameter of the transaction and not a cost in this instance.</w:t>
      </w:r>
    </w:p>
    <w:p w:rsidR="00921703" w:rsidRPr="009455A5" w:rsidRDefault="00921703" w:rsidP="00921703">
      <w:pPr>
        <w:spacing w:line="276" w:lineRule="auto"/>
        <w:jc w:val="both"/>
        <w:rPr>
          <w:lang w:val="en-US"/>
        </w:rPr>
      </w:pPr>
      <w:r>
        <w:rPr>
          <w:lang w:val="en-US"/>
        </w:rPr>
        <w:t xml:space="preserve">However we feel that the Technical Discussion Paper should have allowed for comments on items (n) to (r). Here are our main comments on those items. In (n) and (o) there is a reference to the total expense ratio, TCR /RIY, of a PRIIP that is acquired by a fund and a proposed </w:t>
      </w:r>
      <w:proofErr w:type="spellStart"/>
      <w:r>
        <w:rPr>
          <w:lang w:val="en-US"/>
        </w:rPr>
        <w:t>prorata</w:t>
      </w:r>
      <w:proofErr w:type="spellEnd"/>
      <w:r>
        <w:rPr>
          <w:lang w:val="en-US"/>
        </w:rPr>
        <w:t xml:space="preserve"> inclusion in the on-going charge of the fund that holds the PRIIP. It shows a confusion between different types of charges and should be corrected to separate on-going charges, entry/exit fees and transaction costs (not to mention performance fees that are not discussed in these items). We reiterate our opposition to including entry/exit fees or transaction costs in on-going charges ratios. In (q) the ultimate reference “to (l) below” is obscure or erroneous. More generally we do not share the view that fee sharing agreements create new costs: they are  a negotiated on basis that must result in creating value both for clients and manufacturers othe</w:t>
      </w:r>
      <w:r>
        <w:rPr>
          <w:lang w:val="en-US"/>
        </w:rPr>
        <w:t>r</w:t>
      </w:r>
      <w:r>
        <w:rPr>
          <w:lang w:val="en-US"/>
        </w:rPr>
        <w:t>wise, as said before, it would be to the detriment of the performance of the product and would lead clients away. We agree with (r) only when there is no profit sharing.</w:t>
      </w:r>
    </w:p>
    <w:permEnd w:id="1166345447"/>
    <w:p w:rsidR="00F31E57" w:rsidRDefault="00F31E57" w:rsidP="00F31E57">
      <w:r>
        <w:t>&lt;ESMA_QUESTION_PRIIPs_33&gt;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921703" w:rsidRPr="00975802" w:rsidRDefault="00921703" w:rsidP="00921703">
      <w:pPr>
        <w:spacing w:line="276" w:lineRule="auto"/>
        <w:jc w:val="both"/>
        <w:rPr>
          <w:lang w:val="en-US"/>
        </w:rPr>
      </w:pPr>
      <w:permStart w:id="1669544755" w:edGrp="everyone"/>
      <w:r w:rsidRPr="00816421">
        <w:rPr>
          <w:lang w:val="en-US"/>
        </w:rPr>
        <w:t>The first consequence of the impossibility to predict transaction costs ex ante is that they should not be considered as on-going charges and</w:t>
      </w:r>
      <w:r>
        <w:rPr>
          <w:lang w:val="en-US"/>
        </w:rPr>
        <w:t xml:space="preserve"> should on the contrary be</w:t>
      </w:r>
      <w:r w:rsidRPr="00816421">
        <w:rPr>
          <w:lang w:val="en-US"/>
        </w:rPr>
        <w:t xml:space="preserve"> disclosed independently. </w:t>
      </w:r>
      <w:r>
        <w:rPr>
          <w:lang w:val="en-US"/>
        </w:rPr>
        <w:t xml:space="preserve">Transaction costs depend on the investment strategy of the fund. </w:t>
      </w:r>
      <w:proofErr w:type="spellStart"/>
      <w:r>
        <w:rPr>
          <w:lang w:val="en-US"/>
        </w:rPr>
        <w:t>Amundi’s</w:t>
      </w:r>
      <w:proofErr w:type="spellEnd"/>
      <w:r>
        <w:rPr>
          <w:lang w:val="en-US"/>
        </w:rPr>
        <w:t xml:space="preserve"> addition to the description is to stress that their disclosure should not result in a negative judgment against active portfolio management. The issue about active management as opposed to passive should be considered. We further note that the list is not comprehensive as it does not allow for specific costs that appear in real estate funds for example. In general, we think that appropriate presentation should be worked upon for specific types of funds with </w:t>
      </w:r>
      <w:r>
        <w:rPr>
          <w:lang w:val="en-US"/>
        </w:rPr>
        <w:lastRenderedPageBreak/>
        <w:t xml:space="preserve">singularities :  acquisition costs as well as administration expenses (that include all the payment/reception of rents) in the case of real estate are not comparable to costs of other funds.   </w:t>
      </w:r>
    </w:p>
    <w:permEnd w:id="1669544755"/>
    <w:p w:rsidR="00F31E57" w:rsidRDefault="00F31E57" w:rsidP="00F31E57">
      <w:r>
        <w:t>&lt;ESMA_QUESTION_PRIIPs_34&gt;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commissions?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921703" w:rsidRDefault="00921703" w:rsidP="00921703">
      <w:pPr>
        <w:spacing w:line="276" w:lineRule="auto"/>
        <w:jc w:val="both"/>
        <w:rPr>
          <w:lang w:val="en-US"/>
        </w:rPr>
      </w:pPr>
      <w:permStart w:id="1300655313" w:edGrp="everyone"/>
      <w:r>
        <w:rPr>
          <w:lang w:val="en-US"/>
        </w:rPr>
        <w:t>A possible difficulty in presenting explicit brokerage fees appears when there is a chain of brokers to execute the order. One must pay attention to properly add all the fees paid and avoid double counting. Tax issues (VAT) may appear down the chain.</w:t>
      </w:r>
    </w:p>
    <w:p w:rsidR="00921703" w:rsidRPr="009455A5" w:rsidRDefault="00921703" w:rsidP="00921703">
      <w:pPr>
        <w:spacing w:line="276" w:lineRule="auto"/>
        <w:jc w:val="both"/>
        <w:rPr>
          <w:lang w:val="en-US"/>
        </w:rPr>
      </w:pPr>
      <w:r>
        <w:rPr>
          <w:lang w:val="en-US"/>
        </w:rPr>
        <w:t>By definition there is no possibility to “calculate ex ante” brokerage fees as they rely on amounts traded on the market that depend from investment decisions taken by the fund manager. It is not advisable to di</w:t>
      </w:r>
      <w:r>
        <w:rPr>
          <w:lang w:val="en-US"/>
        </w:rPr>
        <w:t>s</w:t>
      </w:r>
      <w:r>
        <w:rPr>
          <w:lang w:val="en-US"/>
        </w:rPr>
        <w:t>close any quantitative information on estimates of brokerage fees. Past figures are the only indicator that can be trusted and it provides both a level of fees paid and, if shown on several years, an indication on the volatility of this level. Simulations will only be intellectual speculations and misleading information for clients .</w:t>
      </w:r>
    </w:p>
    <w:permEnd w:id="1300655313"/>
    <w:p w:rsidR="00F31E57" w:rsidRDefault="00F31E57" w:rsidP="00F31E57">
      <w:r>
        <w:t>&lt;ESMA_QUESTION_PRIIPs_35&gt;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(booking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921703" w:rsidRDefault="00921703" w:rsidP="00921703">
      <w:pPr>
        <w:spacing w:line="276" w:lineRule="auto"/>
        <w:jc w:val="both"/>
        <w:rPr>
          <w:lang w:val="en-US"/>
        </w:rPr>
      </w:pPr>
      <w:permStart w:id="33514789" w:edGrp="everyone"/>
      <w:r>
        <w:rPr>
          <w:lang w:val="en-US"/>
        </w:rPr>
        <w:t>Taxes are different from brokerage fees as some include exemptions that are not immediate to identify. For example, intraday trading exemption under the</w:t>
      </w:r>
      <w:r w:rsidRPr="00CA6B6B">
        <w:rPr>
          <w:lang w:val="en-US"/>
        </w:rPr>
        <w:t xml:space="preserve"> French transaction tax</w:t>
      </w:r>
      <w:r>
        <w:rPr>
          <w:lang w:val="en-US"/>
        </w:rPr>
        <w:t xml:space="preserve"> will take some time to be rei</w:t>
      </w:r>
      <w:r>
        <w:rPr>
          <w:lang w:val="en-US"/>
        </w:rPr>
        <w:t>m</w:t>
      </w:r>
      <w:r>
        <w:rPr>
          <w:lang w:val="en-US"/>
        </w:rPr>
        <w:t>bursed especially when the opposite trade has taken place through a different broker. That makes it more difficult to calculate. As mentioned for brokerage fees (see question 35), Amundi considers that it is i</w:t>
      </w:r>
      <w:r>
        <w:rPr>
          <w:lang w:val="en-US"/>
        </w:rPr>
        <w:t>m</w:t>
      </w:r>
      <w:r>
        <w:rPr>
          <w:lang w:val="en-US"/>
        </w:rPr>
        <w:t>possible to provide serious ex ante estimates of transactions costs. In our opinion ticket fees relating to a specific transaction belong to the category of transaction costs and should not be double counted as a fee paid to the custodian.</w:t>
      </w:r>
    </w:p>
    <w:p w:rsidR="00921703" w:rsidRDefault="00921703" w:rsidP="00921703">
      <w:pPr>
        <w:spacing w:line="276" w:lineRule="auto"/>
        <w:jc w:val="both"/>
        <w:rPr>
          <w:lang w:val="en-US"/>
        </w:rPr>
      </w:pPr>
      <w:r>
        <w:rPr>
          <w:lang w:val="en-US"/>
        </w:rPr>
        <w:t>In addition we consider that new administrative costs linked to EMIR requirements and to the use of LEI result in regulatory expenses which should be included.</w:t>
      </w:r>
    </w:p>
    <w:permEnd w:id="33514789"/>
    <w:p w:rsidR="00F31E57" w:rsidRDefault="00F31E57" w:rsidP="00F31E57">
      <w:r>
        <w:t>&lt;ESMA_QUESTION_PRIIPs_36&gt;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Appelnotedebasdep"/>
          <w:rFonts w:cs="Arial"/>
        </w:rPr>
        <w:footnoteReference w:id="3"/>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921703" w:rsidRPr="00767ED8" w:rsidRDefault="00921703" w:rsidP="00921703">
      <w:pPr>
        <w:spacing w:line="276" w:lineRule="auto"/>
        <w:jc w:val="both"/>
        <w:rPr>
          <w:rFonts w:cs="Arial"/>
          <w:lang w:val="en-US" w:eastAsia="zh-TW"/>
        </w:rPr>
      </w:pPr>
      <w:permStart w:id="2032030564" w:edGrp="everyone"/>
      <w:r>
        <w:rPr>
          <w:rFonts w:cs="Arial"/>
          <w:lang w:val="en-US" w:eastAsia="zh-TW"/>
        </w:rPr>
        <w:t>We disagree with footnote 23 when it takes the view that best execution implies the knowledge of spread for all securities. However, we agree that traders are best positioned to estimate the bid/ ask spread. This is true for normal market conditions and liquid issues. The premium for liquidity, either structural for less liquid issues or exceptional in stressed markets, is far more difficult to assess. Any estimate will necessar</w:t>
      </w:r>
      <w:r>
        <w:rPr>
          <w:rFonts w:cs="Arial"/>
          <w:lang w:val="en-US" w:eastAsia="zh-TW"/>
        </w:rPr>
        <w:t>i</w:t>
      </w:r>
      <w:r>
        <w:rPr>
          <w:rFonts w:cs="Arial"/>
          <w:lang w:val="en-US" w:eastAsia="zh-TW"/>
        </w:rPr>
        <w:t>ly be subject to a heavy disclaimer.</w:t>
      </w:r>
    </w:p>
    <w:permEnd w:id="2032030564"/>
    <w:p w:rsidR="00F31E57" w:rsidRDefault="00F31E57" w:rsidP="00F31E57">
      <w:r>
        <w:t>&lt;ESMA_QUESTION_PRIIPs_37&gt;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Can you identify any other difficulties with calculating and presenting the bid-ask spread? Do you believe broker commissions included in the spread should be di</w:t>
      </w:r>
      <w:r>
        <w:rPr>
          <w:rFonts w:cs="Arial"/>
        </w:rPr>
        <w:t>s</w:t>
      </w:r>
      <w:r>
        <w:rPr>
          <w:rFonts w:cs="Arial"/>
        </w:rPr>
        <w:t>closed? If so, which of the above mentioned approaches do you think would be more suitable for ex-ante calculations or are there alternative methods not e</w:t>
      </w:r>
      <w:r>
        <w:rPr>
          <w:rFonts w:cs="Arial"/>
        </w:rPr>
        <w:t>x</w:t>
      </w:r>
      <w:r>
        <w:rPr>
          <w:rFonts w:cs="Arial"/>
        </w:rPr>
        <w:t xml:space="preserve">plored above? </w:t>
      </w:r>
    </w:p>
    <w:p w:rsidR="00F31E57" w:rsidRDefault="00F31E57" w:rsidP="00F31E57">
      <w:pPr>
        <w:rPr>
          <w:rFonts w:cstheme="minorBidi"/>
        </w:rPr>
      </w:pPr>
    </w:p>
    <w:p w:rsidR="00F31E57" w:rsidRDefault="00F31E57" w:rsidP="00F31E57">
      <w:r>
        <w:t>&lt;ESMA_QUESTION_PRIIPs_38&gt;</w:t>
      </w:r>
    </w:p>
    <w:p w:rsidR="00921703" w:rsidRDefault="00921703" w:rsidP="00921703">
      <w:pPr>
        <w:spacing w:line="276" w:lineRule="auto"/>
        <w:jc w:val="both"/>
        <w:rPr>
          <w:rFonts w:cs="Arial"/>
          <w:lang w:val="en-US"/>
        </w:rPr>
      </w:pPr>
      <w:permStart w:id="114184901" w:edGrp="everyone"/>
      <w:r>
        <w:rPr>
          <w:rFonts w:cs="Arial"/>
          <w:lang w:val="en-US"/>
        </w:rPr>
        <w:t>Yes</w:t>
      </w:r>
      <w:r w:rsidRPr="00767ED8">
        <w:rPr>
          <w:rFonts w:cs="Arial"/>
          <w:lang w:val="en-US"/>
        </w:rPr>
        <w:t>, we think</w:t>
      </w:r>
      <w:r>
        <w:rPr>
          <w:rFonts w:cs="Arial"/>
          <w:lang w:val="en-US"/>
        </w:rPr>
        <w:t xml:space="preserve"> that there are</w:t>
      </w:r>
      <w:r w:rsidRPr="00767ED8">
        <w:rPr>
          <w:rFonts w:cs="Arial"/>
          <w:lang w:val="en-US"/>
        </w:rPr>
        <w:t xml:space="preserve"> </w:t>
      </w:r>
      <w:r>
        <w:rPr>
          <w:rFonts w:cs="Arial"/>
          <w:lang w:val="en-US"/>
        </w:rPr>
        <w:t xml:space="preserve">many difficulties and </w:t>
      </w:r>
      <w:r w:rsidRPr="00767ED8">
        <w:rPr>
          <w:rFonts w:cs="Arial"/>
          <w:lang w:val="en-US"/>
        </w:rPr>
        <w:t>that it</w:t>
      </w:r>
      <w:r>
        <w:rPr>
          <w:rFonts w:cs="Arial"/>
          <w:lang w:val="en-US"/>
        </w:rPr>
        <w:t xml:space="preserve"> is</w:t>
      </w:r>
      <w:r w:rsidRPr="00767ED8">
        <w:rPr>
          <w:rFonts w:cs="Arial"/>
          <w:lang w:val="en-US"/>
        </w:rPr>
        <w:t xml:space="preserve"> </w:t>
      </w:r>
      <w:r>
        <w:rPr>
          <w:rFonts w:cs="Arial"/>
          <w:lang w:val="en-US"/>
        </w:rPr>
        <w:t>dangerous to expect anything but a rough and possibly meaningless estimate of the bid-ask spread. Consequently we suggest to abandon the idea of producing figures for implied trading cost on bonds. It is appropriate for instruments traded on a gross basis through an order book and does not work for other instruments. If anything, a normative table pu</w:t>
      </w:r>
      <w:r>
        <w:rPr>
          <w:rFonts w:cs="Arial"/>
          <w:lang w:val="en-US"/>
        </w:rPr>
        <w:t>b</w:t>
      </w:r>
      <w:r>
        <w:rPr>
          <w:rFonts w:cs="Arial"/>
          <w:lang w:val="en-US"/>
        </w:rPr>
        <w:t xml:space="preserve">lished by authorities would be the less unacceptable formula. </w:t>
      </w:r>
    </w:p>
    <w:permEnd w:id="114184901"/>
    <w:p w:rsidR="00F31E57" w:rsidRDefault="00F31E57" w:rsidP="00F31E57">
      <w:r>
        <w:t>&lt;ESMA_QUESTION_PRIIPs_38&gt;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w:t>
      </w:r>
      <w:r>
        <w:rPr>
          <w:rFonts w:cs="Arial"/>
        </w:rPr>
        <w:t>u</w:t>
      </w:r>
      <w:r>
        <w:rPr>
          <w:rFonts w:cs="Arial"/>
        </w:rPr>
        <w:t>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921703" w:rsidRPr="009455A5" w:rsidRDefault="00921703" w:rsidP="00921703">
      <w:pPr>
        <w:spacing w:line="276" w:lineRule="auto"/>
        <w:jc w:val="both"/>
        <w:rPr>
          <w:lang w:val="en-US"/>
        </w:rPr>
      </w:pPr>
      <w:permStart w:id="1679962387" w:edGrp="everyone"/>
      <w:r>
        <w:rPr>
          <w:lang w:val="en-US"/>
        </w:rPr>
        <w:t xml:space="preserve">Amundi strongly opposes the suggestion to include market impact in the trading cost. Market impact is monitored within the framework of the “best execution” justification, and it is a major item there. Market impact also shows directly into the performance and we feel it undue to mention the market impact three times : in the performance, as a criterion for best execution and as an apparent cost to be disclosed. Furthermore, impact cost measure is presently based on proprietary models and we think inappropriate and lacking proportionality the suggestion to impose extra costs to all asset managers.    </w:t>
      </w:r>
    </w:p>
    <w:permEnd w:id="1679962387"/>
    <w:p w:rsidR="00F31E57" w:rsidRDefault="00F31E57" w:rsidP="00F31E57">
      <w:r>
        <w:t>&lt;ESMA_QUESTION_PRIIPs_39&gt;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921703" w:rsidRPr="009455A5" w:rsidRDefault="00921703" w:rsidP="00921703">
      <w:pPr>
        <w:spacing w:line="276" w:lineRule="auto"/>
        <w:jc w:val="both"/>
        <w:rPr>
          <w:lang w:val="en-US"/>
        </w:rPr>
      </w:pPr>
      <w:permStart w:id="1181173072" w:edGrp="everyone"/>
      <w:r>
        <w:rPr>
          <w:lang w:val="en-US"/>
        </w:rPr>
        <w:t xml:space="preserve">We think that these mechanisms (dual price, swing pricing, Dilution Levy) should be considered for what they are, instruments to ensure fairness among holders and subscribers or redeemers. The fact is that </w:t>
      </w:r>
      <w:proofErr w:type="spellStart"/>
      <w:r>
        <w:rPr>
          <w:lang w:val="en-US"/>
        </w:rPr>
        <w:t>mutualisation</w:t>
      </w:r>
      <w:proofErr w:type="spellEnd"/>
      <w:r>
        <w:rPr>
          <w:lang w:val="en-US"/>
        </w:rPr>
        <w:t xml:space="preserve"> (which is the methodology in the absence of mentioned mechanisms) of the cost of investing or divesting following subscriptions or redemptions is not always the best choice and it is necessary for fund managers to have other tools at hand like those mentioned. The 3 tools mentioned are contingent and in as much as they are calibrated to cover transaction costs due to in and out flows in the fund they are legitimate and should not appear as a cost.  </w:t>
      </w:r>
    </w:p>
    <w:permEnd w:id="1181173072"/>
    <w:p w:rsidR="00F31E57" w:rsidRDefault="00F31E57" w:rsidP="00F31E57">
      <w:r>
        <w:t>&lt;ESMA_QUESTION_PRIIPs_40&gt;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regards the implementation of the methodology?</w:t>
      </w:r>
    </w:p>
    <w:p w:rsidR="00F31E57" w:rsidRDefault="00F31E57" w:rsidP="00F31E57">
      <w:pPr>
        <w:rPr>
          <w:rFonts w:cstheme="minorBidi"/>
        </w:rPr>
      </w:pPr>
    </w:p>
    <w:p w:rsidR="00F31E57" w:rsidRDefault="00F31E57" w:rsidP="00F31E57">
      <w:r>
        <w:t>&lt;ESMA_QUESTION_PRIIPs_41&gt;</w:t>
      </w:r>
    </w:p>
    <w:p w:rsidR="00921703" w:rsidRDefault="00921703" w:rsidP="00921703">
      <w:pPr>
        <w:spacing w:line="276" w:lineRule="auto"/>
        <w:jc w:val="both"/>
        <w:rPr>
          <w:lang w:val="en-US"/>
        </w:rPr>
      </w:pPr>
      <w:permStart w:id="1915623898" w:edGrp="everyone"/>
      <w:r>
        <w:rPr>
          <w:lang w:val="en-US"/>
        </w:rPr>
        <w:t>Amundi believes that ESAs go too quickly into technicalities without having at first decided on the appr</w:t>
      </w:r>
      <w:r>
        <w:rPr>
          <w:lang w:val="en-US"/>
        </w:rPr>
        <w:t>o</w:t>
      </w:r>
      <w:r>
        <w:rPr>
          <w:lang w:val="en-US"/>
        </w:rPr>
        <w:t>priate level of disclosure of transaction costs. Amundi thinks that (</w:t>
      </w:r>
      <w:proofErr w:type="spellStart"/>
      <w:r>
        <w:rPr>
          <w:lang w:val="en-US"/>
        </w:rPr>
        <w:t>i</w:t>
      </w:r>
      <w:proofErr w:type="spellEnd"/>
      <w:r>
        <w:rPr>
          <w:lang w:val="en-US"/>
        </w:rPr>
        <w:t>) transaction costs should not be i</w:t>
      </w:r>
      <w:r>
        <w:rPr>
          <w:lang w:val="en-US"/>
        </w:rPr>
        <w:t>n</w:t>
      </w:r>
      <w:r>
        <w:rPr>
          <w:lang w:val="en-US"/>
        </w:rPr>
        <w:lastRenderedPageBreak/>
        <w:t>cluded in the on-going charges but separately, (ii) accuracy of the amount is not, contrary to what is wri</w:t>
      </w:r>
      <w:r>
        <w:rPr>
          <w:lang w:val="en-US"/>
        </w:rPr>
        <w:t>t</w:t>
      </w:r>
      <w:r>
        <w:rPr>
          <w:lang w:val="en-US"/>
        </w:rPr>
        <w:t xml:space="preserve">ten p.64, of value for customers since the level of transaction costs is directly linked to the investment strategy and market opportunities, (iii) quantitative data should be limited to presentation of past amounts, (iv) past amounts should be netted from transactions that result from new subscriptions and redemptions (S/R) in order not to penalize funds with large movements of S/R, (v) indications on the expected future level of transaction costs should only be narrative and refer to the investment strategy of the fund. </w:t>
      </w:r>
    </w:p>
    <w:p w:rsidR="00921703" w:rsidRPr="00A145CA" w:rsidRDefault="00921703" w:rsidP="00921703">
      <w:pPr>
        <w:spacing w:line="276" w:lineRule="auto"/>
        <w:jc w:val="both"/>
        <w:rPr>
          <w:i/>
          <w:lang w:val="en-US"/>
        </w:rPr>
      </w:pPr>
      <w:r>
        <w:rPr>
          <w:lang w:val="en-US"/>
        </w:rPr>
        <w:t>As a consequence, we do not support any of the methodologies presented as they aim at producing ex ante estimates. In our opinion they are of much lesser interest for investors than past cost is hard info</w:t>
      </w:r>
      <w:r>
        <w:rPr>
          <w:lang w:val="en-US"/>
        </w:rPr>
        <w:t>r</w:t>
      </w:r>
      <w:r>
        <w:rPr>
          <w:lang w:val="en-US"/>
        </w:rPr>
        <w:t>mation that should be produced with the necessary adjustment for the portfolio rotation that is due to S/R.</w:t>
      </w:r>
    </w:p>
    <w:permEnd w:id="1915623898"/>
    <w:p w:rsidR="00F31E57" w:rsidRDefault="00F31E57" w:rsidP="00F31E57">
      <w:r>
        <w:t>&lt;ESMA_QUESTION_PRIIPs_41&gt;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disclosure of the PRIIPs Regulation?</w:t>
      </w:r>
    </w:p>
    <w:p w:rsidR="00F31E57" w:rsidRDefault="00F31E57" w:rsidP="00F31E57">
      <w:pPr>
        <w:rPr>
          <w:rFonts w:cstheme="minorBidi"/>
        </w:rPr>
      </w:pPr>
    </w:p>
    <w:p w:rsidR="00F31E57" w:rsidRDefault="00F31E57" w:rsidP="00F31E57">
      <w:r>
        <w:t>&lt;ESMA_QUESTION_PRIIPs_42&gt;</w:t>
      </w:r>
    </w:p>
    <w:p w:rsidR="00921703" w:rsidRDefault="00921703" w:rsidP="00921703">
      <w:pPr>
        <w:spacing w:line="276" w:lineRule="auto"/>
        <w:jc w:val="both"/>
        <w:rPr>
          <w:lang w:val="en-US"/>
        </w:rPr>
      </w:pPr>
      <w:permStart w:id="1693266105" w:edGrp="everyone"/>
      <w:r>
        <w:t>No, w</w:t>
      </w:r>
      <w:proofErr w:type="spellStart"/>
      <w:r>
        <w:rPr>
          <w:lang w:val="en-US"/>
        </w:rPr>
        <w:t>e</w:t>
      </w:r>
      <w:proofErr w:type="spellEnd"/>
      <w:r>
        <w:rPr>
          <w:lang w:val="en-US"/>
        </w:rPr>
        <w:t xml:space="preserve"> have a strong view that performance fees should not be included in the on-going charges amount. They are contingent to the realization of  over-performance and cannot be anticipated. “What if” scenarios is in our view the appropriate way to present their impact to investors. </w:t>
      </w:r>
    </w:p>
    <w:p w:rsidR="00921703" w:rsidRPr="009455A5" w:rsidRDefault="00921703" w:rsidP="00921703">
      <w:pPr>
        <w:spacing w:line="276" w:lineRule="auto"/>
        <w:jc w:val="both"/>
        <w:rPr>
          <w:lang w:val="en-US"/>
        </w:rPr>
      </w:pPr>
      <w:r>
        <w:rPr>
          <w:lang w:val="en-US"/>
        </w:rPr>
        <w:t xml:space="preserve">We think that a description of the key parameters of the calculation of the performance fee would be more didactic than a definition.. </w:t>
      </w:r>
    </w:p>
    <w:permEnd w:id="1693266105"/>
    <w:p w:rsidR="00F31E57" w:rsidRDefault="00F31E57" w:rsidP="00F31E57">
      <w:r>
        <w:t>&lt;ESMA_QUESTION_PRIIPs_42&gt;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921703" w:rsidRPr="009455A5" w:rsidRDefault="00921703" w:rsidP="00921703">
      <w:pPr>
        <w:spacing w:line="276" w:lineRule="auto"/>
        <w:jc w:val="both"/>
        <w:rPr>
          <w:lang w:val="en-US"/>
        </w:rPr>
      </w:pPr>
      <w:permStart w:id="1747918041" w:edGrp="everyone"/>
      <w:r>
        <w:rPr>
          <w:lang w:val="en-US"/>
        </w:rPr>
        <w:t>We oppose introducing in the KID any reference to growth rate which might not be adapted to the obje</w:t>
      </w:r>
      <w:r>
        <w:rPr>
          <w:lang w:val="en-US"/>
        </w:rPr>
        <w:t>c</w:t>
      </w:r>
      <w:r>
        <w:rPr>
          <w:lang w:val="en-US"/>
        </w:rPr>
        <w:t xml:space="preserve">tives of the end client. For performance fees it would also mean adding hypotheses on the growth rate on top of hypotheses on the performance compared to hypotheses on the performance of the reference index. We think it is not an easy task to explain it to the client and fear that it would lead to </w:t>
      </w:r>
      <w:proofErr w:type="spellStart"/>
      <w:r>
        <w:rPr>
          <w:lang w:val="en-US"/>
        </w:rPr>
        <w:t>mis</w:t>
      </w:r>
      <w:proofErr w:type="spellEnd"/>
      <w:r>
        <w:rPr>
          <w:lang w:val="en-US"/>
        </w:rPr>
        <w:t xml:space="preserve">-buying. </w:t>
      </w:r>
    </w:p>
    <w:permEnd w:id="1747918041"/>
    <w:p w:rsidR="00F31E57" w:rsidRDefault="00F31E57" w:rsidP="00F31E57">
      <w:r>
        <w:t>&lt;ESMA_QUESTION_PRIIPs_43&gt;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disclosure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921703" w:rsidRDefault="00921703" w:rsidP="00921703">
      <w:pPr>
        <w:spacing w:line="276" w:lineRule="auto"/>
        <w:jc w:val="both"/>
        <w:rPr>
          <w:rFonts w:cs="Arial"/>
          <w:color w:val="000000"/>
          <w:szCs w:val="22"/>
          <w:lang w:val="en-US" w:eastAsia="zh-TW"/>
        </w:rPr>
      </w:pPr>
      <w:permStart w:id="103687757" w:edGrp="everyone"/>
      <w:r w:rsidRPr="00D77CBA">
        <w:rPr>
          <w:rFonts w:cs="Arial"/>
          <w:color w:val="000000"/>
          <w:szCs w:val="22"/>
          <w:lang w:val="en-US" w:eastAsia="zh-TW"/>
        </w:rPr>
        <w:t>We</w:t>
      </w:r>
      <w:r>
        <w:rPr>
          <w:rFonts w:cs="Arial"/>
          <w:color w:val="000000"/>
          <w:szCs w:val="22"/>
          <w:lang w:val="en-US" w:eastAsia="zh-TW"/>
        </w:rPr>
        <w:t xml:space="preserve"> agree that the impact of performance fee (PF) should not be included in on-going charges or any global cost ratio. PF must be considered as a separate item with a proper narrative that would explain the main parameters and an illustration through past amounts (as a % of AUM)  effectively received by the manager. As for performance scenarios we believe that “what if” scenarios would be helpful to illustrate the impact of PF. Thus, we suggest that at least one performance scenario explicitly present and comment the application of PF. In other words, we suggest mixing the proposed options to show cost independently (option 3) and present “what if” performance scenarios that include effective payment of PF (option 1). We clearly reject option 2 and do not support the idea of referring to peer groups.</w:t>
      </w:r>
    </w:p>
    <w:permEnd w:id="103687757"/>
    <w:p w:rsidR="00F31E57" w:rsidRDefault="00F31E57" w:rsidP="00F31E57">
      <w:r>
        <w:t>&lt;ESMA_QUESTION_PRIIPs_44&gt;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Which of the above mentioned options 1 and 2 for the calculation of aggregate costs would you prefer? Do you agree with above mentioned assumptions on the specificities of the costs of life-insurance products? How should the breakdown of </w:t>
      </w:r>
      <w:r>
        <w:rPr>
          <w:rFonts w:eastAsia="Times New Roman" w:cs="Arial"/>
          <w:lang w:eastAsia="hu-HU"/>
        </w:rPr>
        <w:lastRenderedPageBreak/>
        <w:t>costs showing costs specific to the insurance cover be specified? Do you think that risk-type riders (e.g. term or disability or accident insurances) have to be di</w:t>
      </w:r>
      <w:r>
        <w:rPr>
          <w:rFonts w:eastAsia="Times New Roman" w:cs="Arial"/>
          <w:lang w:eastAsia="hu-HU"/>
        </w:rPr>
        <w:t>s</w:t>
      </w:r>
      <w:r>
        <w:rPr>
          <w:rFonts w:eastAsia="Times New Roman" w:cs="Arial"/>
          <w:lang w:eastAsia="hu-HU"/>
        </w:rPr>
        <w:t xml:space="preserve">regarded in the calculation of the aggregated cost indicator? How shall risk-type rider be defined in this context? (one possible approach might be: A risk-type rider in this context is an additional insurance cover without a savings element, which has separate contractual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F31E57" w:rsidRDefault="00F31E57" w:rsidP="00F31E57">
      <w:permStart w:id="1200042268" w:edGrp="everyone"/>
      <w:r>
        <w:t>TYPE YOUR TEXT HERE</w:t>
      </w:r>
    </w:p>
    <w:permEnd w:id="1200042268"/>
    <w:p w:rsidR="00F31E57" w:rsidRDefault="00F31E57" w:rsidP="00F31E57">
      <w:r>
        <w:t>&lt;ESMA_QUESTION_PRIIPs_45&gt;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F31E57" w:rsidRDefault="00F31E57" w:rsidP="00F31E57">
      <w:permStart w:id="2051164230" w:edGrp="everyone"/>
      <w:r>
        <w:t>TYPE YOUR TEXT HERE</w:t>
      </w:r>
    </w:p>
    <w:permEnd w:id="2051164230"/>
    <w:p w:rsidR="00F31E57" w:rsidRDefault="00F31E57" w:rsidP="00F31E57">
      <w:r>
        <w:t>&lt;ESMA_QUESTION_PRIIPs_46&gt;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w:t>
      </w:r>
      <w:r>
        <w:rPr>
          <w:rFonts w:cs="Arial"/>
        </w:rPr>
        <w:t>n</w:t>
      </w:r>
      <w:r>
        <w:rPr>
          <w:rFonts w:cs="Arial"/>
        </w:rPr>
        <w:t>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F31E57" w:rsidRDefault="00F31E57" w:rsidP="00F31E57">
      <w:permStart w:id="33689733" w:edGrp="everyone"/>
      <w:r>
        <w:t>TYPE YOUR TEXT HERE</w:t>
      </w:r>
    </w:p>
    <w:permEnd w:id="33689733"/>
    <w:p w:rsidR="00F31E57" w:rsidRDefault="00F31E57" w:rsidP="00F31E57">
      <w:r>
        <w:t>&lt;ESMA_QUESTION_PRIIPs_47&gt;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F31E57" w:rsidRDefault="00F31E57" w:rsidP="00F31E57">
      <w:permStart w:id="208025626" w:edGrp="everyone"/>
      <w:r>
        <w:t>TYPE YOUR TEXT HERE</w:t>
      </w:r>
    </w:p>
    <w:permEnd w:id="208025626"/>
    <w:p w:rsidR="00F31E57" w:rsidRDefault="00F31E57" w:rsidP="00F31E57">
      <w:r>
        <w:t>&lt;ESMA_QUESTION_PRIIPs_48&gt;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F31E57" w:rsidRDefault="00F31E57" w:rsidP="00F31E57">
      <w:permStart w:id="1181114445" w:edGrp="everyone"/>
      <w:r>
        <w:t>TYPE YOUR TEXT HERE</w:t>
      </w:r>
    </w:p>
    <w:permEnd w:id="1181114445"/>
    <w:p w:rsidR="00F31E57" w:rsidRDefault="00F31E57" w:rsidP="00F31E57">
      <w:r>
        <w:t>&lt;ESMA_QUESTION_PRIIPs_49&gt;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F31E57" w:rsidRDefault="00F31E57" w:rsidP="00F31E57">
      <w:permStart w:id="1031829800" w:edGrp="everyone"/>
      <w:r>
        <w:t>TYPE YOUR TEXT HERE</w:t>
      </w:r>
    </w:p>
    <w:permEnd w:id="1031829800"/>
    <w:p w:rsidR="00F31E57" w:rsidRDefault="00F31E57" w:rsidP="00F31E57">
      <w:r>
        <w:t>&lt;ESMA_QUESTION_PRIIPs_50&gt;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F31E57" w:rsidRDefault="00F31E57" w:rsidP="00F31E57">
      <w:permStart w:id="1271016242" w:edGrp="everyone"/>
      <w:r>
        <w:t>TYPE YOUR TEXT HERE</w:t>
      </w:r>
    </w:p>
    <w:permEnd w:id="1271016242"/>
    <w:p w:rsidR="00F31E57" w:rsidRDefault="00F31E57" w:rsidP="00F31E57">
      <w:r>
        <w:lastRenderedPageBreak/>
        <w:t>&lt;ESMA_QUESTION_PRIIPs_51&gt;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F31E57" w:rsidRDefault="00F31E57" w:rsidP="00F31E57">
      <w:permStart w:id="2067146997" w:edGrp="everyone"/>
      <w:r>
        <w:t>TYPE YOUR TEXT HERE</w:t>
      </w:r>
    </w:p>
    <w:permEnd w:id="2067146997"/>
    <w:p w:rsidR="00F31E57" w:rsidRDefault="00F31E57" w:rsidP="00F31E57">
      <w:r>
        <w:t>&lt;ESMA_QUESTION_PRIIPs_52&gt;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F31E57" w:rsidRDefault="00F31E57" w:rsidP="00F31E57">
      <w:permStart w:id="65540249" w:edGrp="everyone"/>
      <w:r>
        <w:t>TYPE YOUR TEXT HERE</w:t>
      </w:r>
    </w:p>
    <w:permEnd w:id="65540249"/>
    <w:p w:rsidR="00F31E57" w:rsidRDefault="00F31E57" w:rsidP="00F31E57">
      <w:r>
        <w:t>&lt;ESMA_QUESTION_PRIIPs_53&gt;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F31E57" w:rsidRDefault="00F31E57" w:rsidP="00F31E57">
      <w:permStart w:id="472124353" w:edGrp="everyone"/>
      <w:r>
        <w:t>TYPE YOUR TEXT HERE</w:t>
      </w:r>
    </w:p>
    <w:permEnd w:id="472124353"/>
    <w:p w:rsidR="00F31E57" w:rsidRDefault="00F31E57" w:rsidP="00F31E57">
      <w:r>
        <w:t>&lt;ESMA_QUESTION_PRIIPs_54&gt;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F31E57" w:rsidRDefault="00F31E57" w:rsidP="00F31E57">
      <w:permStart w:id="625621790" w:edGrp="everyone"/>
      <w:r>
        <w:t>TYPE YOUR TEXT HERE</w:t>
      </w:r>
    </w:p>
    <w:permEnd w:id="625621790"/>
    <w:p w:rsidR="00F31E57" w:rsidRDefault="00F31E57" w:rsidP="00F31E57">
      <w:r>
        <w:t>&lt;ESMA_QUESTION_PRIIPs_55&gt;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w:t>
      </w:r>
      <w:r>
        <w:rPr>
          <w:rFonts w:cs="Arial"/>
        </w:rPr>
        <w:t>r</w:t>
      </w:r>
      <w:r>
        <w:rPr>
          <w:rFonts w:cs="Arial"/>
        </w:rPr>
        <w:t>ally, how to measure costs that are passed to policy holders via profit participation mechanisms? Would you say that they are known to the insurance company? Do you think an estimate based on the previous historical data is the most appropriate methodology for the calculation of these costs?</w:t>
      </w:r>
    </w:p>
    <w:p w:rsidR="00F31E57" w:rsidRDefault="00F31E57" w:rsidP="00F31E57">
      <w:pPr>
        <w:rPr>
          <w:rFonts w:cstheme="minorBidi"/>
        </w:rPr>
      </w:pPr>
    </w:p>
    <w:p w:rsidR="00F31E57" w:rsidRDefault="00F31E57" w:rsidP="00F31E57">
      <w:r>
        <w:t>&lt;ESMA_QUESTION_PRIIPs_56&gt;</w:t>
      </w:r>
    </w:p>
    <w:p w:rsidR="00F31E57" w:rsidRDefault="00F31E57" w:rsidP="00F31E57">
      <w:permStart w:id="1297430720" w:edGrp="everyone"/>
      <w:r>
        <w:t>TYPE YOUR TEXT HERE</w:t>
      </w:r>
    </w:p>
    <w:permEnd w:id="1297430720"/>
    <w:p w:rsidR="00F31E57" w:rsidRDefault="00F31E57" w:rsidP="00F31E57">
      <w:r>
        <w:t>&lt;ESMA_QUESTION_PRIIPs_56&gt;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F31E57" w:rsidRDefault="00F31E57" w:rsidP="00F31E57">
      <w:permStart w:id="1558276378" w:edGrp="everyone"/>
      <w:r>
        <w:t>TYPE YOUR TEXT HERE</w:t>
      </w:r>
    </w:p>
    <w:permEnd w:id="1558276378"/>
    <w:p w:rsidR="00F31E57" w:rsidRDefault="00F31E57" w:rsidP="00F31E57">
      <w:r>
        <w:t>&lt;ESMA_QUESTION_PRIIPs_57&gt;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think the list of costs of life-insurance products presented above is co</w:t>
      </w:r>
      <w:r>
        <w:rPr>
          <w:rFonts w:cs="Arial"/>
        </w:rPr>
        <w:t>m</w:t>
      </w:r>
      <w:r>
        <w:rPr>
          <w:rFonts w:cs="Arial"/>
        </w:rPr>
        <w:t xml:space="preserve">prehensive? Which types of costs should be added? </w:t>
      </w:r>
    </w:p>
    <w:p w:rsidR="00F31E57" w:rsidRDefault="00F31E57" w:rsidP="00F31E57">
      <w:pPr>
        <w:rPr>
          <w:rFonts w:cstheme="minorBidi"/>
        </w:rPr>
      </w:pPr>
    </w:p>
    <w:p w:rsidR="00F31E57" w:rsidRDefault="00F31E57" w:rsidP="00F31E57">
      <w:r>
        <w:t>&lt;ESMA_QUESTION_PRIIPs_58&gt;</w:t>
      </w:r>
    </w:p>
    <w:p w:rsidR="00F31E57" w:rsidRDefault="00F31E57" w:rsidP="00F31E57">
      <w:permStart w:id="273180305" w:edGrp="everyone"/>
      <w:r>
        <w:t>TYPE YOUR TEXT HERE</w:t>
      </w:r>
    </w:p>
    <w:permEnd w:id="273180305"/>
    <w:p w:rsidR="00F31E57" w:rsidRDefault="00F31E57" w:rsidP="00F31E57">
      <w:r>
        <w:t>&lt;ESMA_QUESTION_PRIIPs_58&gt;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921703" w:rsidRPr="009455A5" w:rsidRDefault="00921703" w:rsidP="00921703">
      <w:pPr>
        <w:spacing w:line="276" w:lineRule="auto"/>
        <w:jc w:val="both"/>
        <w:rPr>
          <w:lang w:val="en-US"/>
        </w:rPr>
      </w:pPr>
      <w:permStart w:id="159209627" w:edGrp="everyone"/>
      <w:r>
        <w:rPr>
          <w:lang w:val="en-US"/>
        </w:rPr>
        <w:t>We agree that only expenses that reduce the value of the instrument may be called costs. It can be a</w:t>
      </w:r>
      <w:r>
        <w:rPr>
          <w:lang w:val="en-US"/>
        </w:rPr>
        <w:t>s</w:t>
      </w:r>
      <w:r>
        <w:rPr>
          <w:lang w:val="en-US"/>
        </w:rPr>
        <w:t>sessed through the decline of price at t+1, i.e. at first quotation compared to the issue price (option 2) or through the addition of remunerations paid to different parties (option 1). The end result must theoretically be similar.</w:t>
      </w:r>
    </w:p>
    <w:permEnd w:id="159209627"/>
    <w:p w:rsidR="00F31E57" w:rsidRDefault="00F31E57" w:rsidP="00F31E57">
      <w:r>
        <w:t>&lt;ESMA_QUESTION_PRIIPs_59&gt;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w:t>
      </w:r>
      <w:r>
        <w:rPr>
          <w:rFonts w:cs="Arial"/>
          <w:color w:val="000000"/>
          <w:lang w:eastAsia="it-IT"/>
        </w:rPr>
        <w:t>c</w:t>
      </w:r>
      <w:r>
        <w:rPr>
          <w:rFonts w:cs="Arial"/>
          <w:color w:val="000000"/>
          <w:lang w:eastAsia="it-IT"/>
        </w:rPr>
        <w:t>tured deposits? Do you think that the potential external guarantees of structured deposits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0D0E8C" w:rsidRDefault="000D0E8C" w:rsidP="000D0E8C">
      <w:pPr>
        <w:spacing w:line="276" w:lineRule="auto"/>
        <w:jc w:val="both"/>
        <w:rPr>
          <w:lang w:val="en-US"/>
        </w:rPr>
      </w:pPr>
      <w:permStart w:id="200751781" w:edGrp="everyone"/>
      <w:r>
        <w:rPr>
          <w:lang w:val="en-US"/>
        </w:rPr>
        <w:t xml:space="preserve">Amundi feels that transparency is much more easily achieved when marketing funds (both UCITS and AIFs), where the fund manager has a duty to ensure best execution and will challenge the pricing of the structure that he will buy. For structured notes and deposits there is not this dialogue between seasoned professionals about the valuation of the derivatives. An idea would be to require an independent expert to assess the fair value…and some asset managers could be very well positioned to provide that service. </w:t>
      </w:r>
    </w:p>
    <w:p w:rsidR="000D0E8C" w:rsidRDefault="000D0E8C" w:rsidP="000D0E8C">
      <w:pPr>
        <w:spacing w:line="276" w:lineRule="auto"/>
        <w:jc w:val="both"/>
        <w:rPr>
          <w:lang w:val="en-US"/>
        </w:rPr>
      </w:pPr>
      <w:r>
        <w:rPr>
          <w:lang w:val="en-US"/>
        </w:rPr>
        <w:t>The difference between deposits and notes is not significant in our opinion. The cost of funding is the key variable to challenge in order to determine the level of the “embedded” cost. Another suggestion is to ask for disclosure of the funding level that has been taken to price the instrument. The issuer or the bank would simply make it public and the investor should be given means to check the level of premium e</w:t>
      </w:r>
      <w:r>
        <w:rPr>
          <w:lang w:val="en-US"/>
        </w:rPr>
        <w:t>m</w:t>
      </w:r>
      <w:r>
        <w:rPr>
          <w:lang w:val="en-US"/>
        </w:rPr>
        <w:t xml:space="preserve">bedded. Distribution costs are more straight forward in theory. </w:t>
      </w:r>
    </w:p>
    <w:p w:rsidR="000D0E8C" w:rsidRPr="009455A5" w:rsidRDefault="000D0E8C" w:rsidP="000D0E8C">
      <w:pPr>
        <w:spacing w:line="276" w:lineRule="auto"/>
        <w:jc w:val="both"/>
        <w:rPr>
          <w:lang w:val="en-US"/>
        </w:rPr>
      </w:pPr>
      <w:r>
        <w:rPr>
          <w:lang w:val="en-US"/>
        </w:rPr>
        <w:t>The existence of a deposits’ guarantee scheme is a supplementary advantage for depositors but we believe that it is not a determinant one, as the guarantee applies to the total of all deposits of an investor and is capped. It is not an element of the cost in our view, but a factor that is included in the credit risk analysis, if significant. It will not benefit up to the same level to different clients who have different amounts deposited: it is an advantage reduced to nil to someone who has more than 100 000€ deposited in cash and savings accounts with the same bank. The investor has to make his own assessment before choosing between note or deposit. There are other elements that will be included in the comparison such as eve</w:t>
      </w:r>
      <w:r>
        <w:rPr>
          <w:lang w:val="en-US"/>
        </w:rPr>
        <w:t>n</w:t>
      </w:r>
      <w:r>
        <w:rPr>
          <w:lang w:val="en-US"/>
        </w:rPr>
        <w:t>tual custody fees on notes, transaction costs in case of sale of a note or a certificate compared to early redemption penalties for a deposit or a contract…</w:t>
      </w:r>
    </w:p>
    <w:permEnd w:id="200751781"/>
    <w:p w:rsidR="00F31E57" w:rsidRDefault="00F31E57" w:rsidP="00F31E57">
      <w:r>
        <w:t>&lt;ESMA_QUESTION_PRIIPs_60&gt;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defined?</w:t>
      </w:r>
    </w:p>
    <w:p w:rsidR="00F31E57" w:rsidRDefault="00F31E57" w:rsidP="00F31E57">
      <w:pPr>
        <w:rPr>
          <w:rFonts w:cstheme="minorBidi"/>
        </w:rPr>
      </w:pPr>
    </w:p>
    <w:p w:rsidR="00F31E57" w:rsidRDefault="00F31E57" w:rsidP="00F31E57">
      <w:r>
        <w:t>&lt;ESMA_QUESTION_PRIIPs_61&gt;</w:t>
      </w:r>
    </w:p>
    <w:p w:rsidR="000D0E8C" w:rsidRPr="009455A5" w:rsidRDefault="000D0E8C" w:rsidP="000D0E8C">
      <w:pPr>
        <w:spacing w:line="276" w:lineRule="auto"/>
        <w:jc w:val="both"/>
        <w:rPr>
          <w:lang w:val="en-US"/>
        </w:rPr>
      </w:pPr>
      <w:permStart w:id="834880093" w:edGrp="everyone"/>
      <w:r>
        <w:rPr>
          <w:lang w:val="en-US"/>
        </w:rPr>
        <w:t xml:space="preserve">Of course, only payments flagged to the product can be considered as costs. In other words if the internal legal team of a bank works on a notes issue and does not invoice it, there is no reason to include it in costs. The reference to the difference between issue price effectively paid by the investor and the fair value (which should be equivalent to the market price) is the best way to track embedded costs. </w:t>
      </w:r>
    </w:p>
    <w:permEnd w:id="834880093"/>
    <w:p w:rsidR="00F31E57" w:rsidRDefault="00F31E57" w:rsidP="00F31E57">
      <w:r>
        <w:t>&lt;ESMA_QUESTION_PRIIPs_61&gt;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 xml:space="preserve">To what extent do you think these types of costs should be further defined and detailed? </w:t>
      </w:r>
    </w:p>
    <w:p w:rsidR="00F31E57" w:rsidRDefault="00F31E57" w:rsidP="00F31E57">
      <w:pPr>
        <w:rPr>
          <w:rFonts w:cstheme="minorBidi"/>
        </w:rPr>
      </w:pPr>
    </w:p>
    <w:p w:rsidR="00F31E57" w:rsidRDefault="00F31E57" w:rsidP="00F31E57">
      <w:r>
        <w:t>&lt;ESMA_QUESTION_PRIIPs_62&gt;</w:t>
      </w:r>
    </w:p>
    <w:p w:rsidR="000D0E8C" w:rsidRPr="009455A5" w:rsidRDefault="000D0E8C" w:rsidP="000D0E8C">
      <w:pPr>
        <w:spacing w:line="276" w:lineRule="auto"/>
        <w:jc w:val="both"/>
        <w:rPr>
          <w:lang w:val="en-US"/>
        </w:rPr>
      </w:pPr>
      <w:permStart w:id="268912648" w:edGrp="everyone"/>
      <w:r>
        <w:rPr>
          <w:lang w:val="en-US"/>
        </w:rPr>
        <w:t>We understand that costs of rebalancing are included under the heading  “cost of the underlying if any”. The introduction of a last category “other costs” may help to have an exhaustive, if not detailed,  list. We do not immediately think of other costs, however.</w:t>
      </w:r>
    </w:p>
    <w:permEnd w:id="268912648"/>
    <w:p w:rsidR="00F31E57" w:rsidRDefault="00F31E57" w:rsidP="00F31E57">
      <w:r>
        <w:t>&lt;ESMA_QUESTION_PRIIPs_62&gt;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w:t>
      </w:r>
      <w:r>
        <w:rPr>
          <w:rFonts w:cs="Arial"/>
        </w:rPr>
        <w:t>a</w:t>
      </w:r>
      <w:r>
        <w:rPr>
          <w:rFonts w:cs="Arial"/>
        </w:rPr>
        <w:t>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0D0E8C" w:rsidRPr="002E7017" w:rsidRDefault="000D0E8C" w:rsidP="000D0E8C">
      <w:pPr>
        <w:spacing w:line="276" w:lineRule="auto"/>
        <w:jc w:val="both"/>
        <w:rPr>
          <w:lang w:val="en-US"/>
        </w:rPr>
      </w:pPr>
      <w:permStart w:id="1414603129" w:edGrp="everyone"/>
      <w:r w:rsidRPr="002E7017">
        <w:rPr>
          <w:lang w:val="en-US"/>
        </w:rPr>
        <w:t>We believe that exit costs</w:t>
      </w:r>
      <w:r>
        <w:rPr>
          <w:lang w:val="en-US"/>
        </w:rPr>
        <w:t xml:space="preserve"> and limitations</w:t>
      </w:r>
      <w:r w:rsidRPr="002E7017">
        <w:rPr>
          <w:lang w:val="en-US"/>
        </w:rPr>
        <w:t xml:space="preserve"> are </w:t>
      </w:r>
      <w:r>
        <w:rPr>
          <w:lang w:val="en-US"/>
        </w:rPr>
        <w:t xml:space="preserve">adequately </w:t>
      </w:r>
      <w:r w:rsidRPr="002E7017">
        <w:rPr>
          <w:lang w:val="en-US"/>
        </w:rPr>
        <w:t xml:space="preserve">disclosed to investors in the section of the KID that answers the question : </w:t>
      </w:r>
      <w:r>
        <w:rPr>
          <w:lang w:val="en-US"/>
        </w:rPr>
        <w:t>“</w:t>
      </w:r>
      <w:r w:rsidRPr="002E7017">
        <w:rPr>
          <w:lang w:val="en-US"/>
        </w:rPr>
        <w:t>How long should I hold it and can I take money out ?</w:t>
      </w:r>
      <w:r>
        <w:rPr>
          <w:lang w:val="en-US"/>
        </w:rPr>
        <w:t>” A purely quantitative approach under the costs section is not appropriate for the information of the investors. A narrative en</w:t>
      </w:r>
      <w:r>
        <w:rPr>
          <w:lang w:val="en-US"/>
        </w:rPr>
        <w:t>a</w:t>
      </w:r>
      <w:r>
        <w:rPr>
          <w:lang w:val="en-US"/>
        </w:rPr>
        <w:t>bles to give indications on a level and not exact figures.</w:t>
      </w:r>
    </w:p>
    <w:permEnd w:id="1414603129"/>
    <w:p w:rsidR="00F31E57" w:rsidRDefault="00F31E57" w:rsidP="00F31E57">
      <w:r>
        <w:t>&lt;ESMA_QUESTION_PRIIPs_63&gt;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require more precise definitions? To what extent should the methodology be pr</w:t>
      </w:r>
      <w:r>
        <w:rPr>
          <w:rFonts w:cs="Arial"/>
        </w:rPr>
        <w:t>e</w:t>
      </w:r>
      <w:r>
        <w:rPr>
          <w:rFonts w:cs="Arial"/>
        </w:rPr>
        <w:t>scriptive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F31E57" w:rsidRDefault="00F31E57" w:rsidP="00F31E57">
      <w:permStart w:id="666789201" w:edGrp="everyone"/>
      <w:r>
        <w:t>TYPE YOUR TEXT HERE</w:t>
      </w:r>
    </w:p>
    <w:permEnd w:id="666789201"/>
    <w:p w:rsidR="00F31E57" w:rsidRDefault="00F31E57" w:rsidP="00F31E57">
      <w:r>
        <w:t>&lt;ESMA_QUESTION_PRIIPs_64&gt;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F31E57" w:rsidRDefault="00F31E57" w:rsidP="00F31E57">
      <w:permStart w:id="1651659860" w:edGrp="everyone"/>
      <w:r>
        <w:t>TYPE YOUR TEXT HERE</w:t>
      </w:r>
    </w:p>
    <w:permEnd w:id="1651659860"/>
    <w:p w:rsidR="00F31E57" w:rsidRDefault="00F31E57" w:rsidP="00F31E57">
      <w:r>
        <w:t>&lt;ESMA_QUESTION_PRIIPs_65&gt;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F31E57" w:rsidRDefault="00F31E57" w:rsidP="00F31E57">
      <w:permStart w:id="272394810" w:edGrp="everyone"/>
      <w:r>
        <w:t>TYPE YOUR TEXT HERE</w:t>
      </w:r>
    </w:p>
    <w:permEnd w:id="272394810"/>
    <w:p w:rsidR="00F31E57" w:rsidRDefault="00F31E57" w:rsidP="00F31E57">
      <w:r>
        <w:t>&lt;ESMA_QUESTION_PRIIPs_66&gt;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invested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0D0E8C" w:rsidRPr="009455A5" w:rsidRDefault="000D0E8C" w:rsidP="000D0E8C">
      <w:pPr>
        <w:spacing w:line="276" w:lineRule="auto"/>
        <w:jc w:val="both"/>
        <w:rPr>
          <w:lang w:val="en-US"/>
        </w:rPr>
      </w:pPr>
      <w:permStart w:id="1310131078" w:edGrp="everyone"/>
      <w:r>
        <w:rPr>
          <w:lang w:val="en-US"/>
        </w:rPr>
        <w:lastRenderedPageBreak/>
        <w:t xml:space="preserve">Structured products are built to be “buy and hold” products. They have a maturity date. We believe that up-front costs must be amortized on the total life of the PRIIP. We keep in mind the fact that information is aimed at investors and should help them in their investment decision. Thus, we consider that the gross amount paid by the client initially is relevant to express percentages.  </w:t>
      </w:r>
    </w:p>
    <w:permEnd w:id="1310131078"/>
    <w:p w:rsidR="00F31E57" w:rsidRDefault="00F31E57" w:rsidP="00F31E57">
      <w:r>
        <w:t>&lt;ESMA_QUESTION_PRIIPs_67&gt;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F31E57" w:rsidRDefault="00F31E57" w:rsidP="00F31E57">
      <w:permStart w:id="1098716826" w:edGrp="everyone"/>
      <w:r>
        <w:t>TYPE YOUR TEXT HERE</w:t>
      </w:r>
    </w:p>
    <w:permEnd w:id="1098716826"/>
    <w:p w:rsidR="00F31E57" w:rsidRDefault="00F31E57" w:rsidP="00F31E57">
      <w:r>
        <w:t>&lt;ESMA_QUESTION_PRIIPs_68&gt;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0D0E8C" w:rsidRPr="009455A5" w:rsidRDefault="000D0E8C" w:rsidP="000D0E8C">
      <w:pPr>
        <w:spacing w:line="276" w:lineRule="auto"/>
        <w:jc w:val="both"/>
        <w:rPr>
          <w:lang w:val="en-US"/>
        </w:rPr>
      </w:pPr>
      <w:permStart w:id="64825850" w:edGrp="everyone"/>
      <w:r>
        <w:rPr>
          <w:lang w:val="en-US"/>
        </w:rPr>
        <w:t>No we don’t. We are concerned with footnote 47, page 89. We consider that the discussion on the fair value on one side and on risk indicators and performance scenarios on the other hand are independent topics. Of course, there might be some common ground, but consistency should not mean any attempt to push on convergence.</w:t>
      </w:r>
    </w:p>
    <w:permEnd w:id="64825850"/>
    <w:p w:rsidR="00F31E57" w:rsidRDefault="00F31E57" w:rsidP="00F31E57">
      <w:r>
        <w:t>&lt;ESMA_QUESTION_PRIIPs_69&gt;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0D0E8C" w:rsidRPr="009455A5" w:rsidRDefault="000D0E8C" w:rsidP="000D0E8C">
      <w:pPr>
        <w:spacing w:line="276" w:lineRule="auto"/>
        <w:rPr>
          <w:lang w:val="en-US"/>
        </w:rPr>
      </w:pPr>
      <w:permStart w:id="1655922729" w:edGrp="everyone"/>
      <w:r>
        <w:rPr>
          <w:lang w:val="en-US"/>
        </w:rPr>
        <w:t>We suggest to capitalize on the experience of UCITS’ KIID where an annual up-dating is supplemented with a constant monitoring of SRRI. A change of volatility bucket for 4 months implies an amendment.</w:t>
      </w:r>
    </w:p>
    <w:permEnd w:id="1655922729"/>
    <w:p w:rsidR="00F31E57" w:rsidRDefault="00F31E57" w:rsidP="00F31E57">
      <w:r>
        <w:t>&lt;ESMA_QUESTION_PRIIPs_70&gt;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F31E57" w:rsidRDefault="00F31E57" w:rsidP="00F31E57">
      <w:permStart w:id="335432278" w:edGrp="everyone"/>
      <w:r>
        <w:t>TYPE YOUR TEXT HERE</w:t>
      </w:r>
    </w:p>
    <w:permEnd w:id="335432278"/>
    <w:p w:rsidR="00F31E57" w:rsidRDefault="00F31E57" w:rsidP="00F31E57">
      <w:r>
        <w:t>&lt;ESMA_QUESTION_PRIIPs_71&gt;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F31E57" w:rsidRDefault="00F31E57" w:rsidP="00F31E57">
      <w:permStart w:id="1974809122" w:edGrp="everyone"/>
      <w:r>
        <w:t>TYPE YOUR TEXT HERE</w:t>
      </w:r>
    </w:p>
    <w:permEnd w:id="1974809122"/>
    <w:p w:rsidR="00F31E57" w:rsidRDefault="00F31E57" w:rsidP="00F31E57">
      <w:r>
        <w:t>&lt;ESMA_QUESTION_PRIIPs_72&gt;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F31E57" w:rsidRDefault="00F31E57" w:rsidP="00F31E57">
      <w:permStart w:id="1364291619" w:edGrp="everyone"/>
      <w:r>
        <w:t>TYPE YOUR TEXT HERE</w:t>
      </w:r>
    </w:p>
    <w:permEnd w:id="1364291619"/>
    <w:p w:rsidR="00F31E57" w:rsidRDefault="00F31E57" w:rsidP="00F31E57">
      <w:r>
        <w:lastRenderedPageBreak/>
        <w:t>&lt;ESMA_QUESTION_PRIIPs_73&gt;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F31E57" w:rsidRDefault="00F31E57" w:rsidP="00F31E57">
      <w:permStart w:id="1650616629" w:edGrp="everyone"/>
      <w:r>
        <w:t>TYPE YOUR TEXT HERE</w:t>
      </w:r>
    </w:p>
    <w:permEnd w:id="1650616629"/>
    <w:p w:rsidR="00F31E57" w:rsidRDefault="00F31E57" w:rsidP="00F31E57">
      <w:r>
        <w:t>&lt;ESMA_QUESTION_PRIIPs_74&gt;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w:t>
      </w:r>
      <w:r>
        <w:rPr>
          <w:rFonts w:cs="Arial"/>
        </w:rPr>
        <w:t>h</w:t>
      </w:r>
      <w:r>
        <w:rPr>
          <w:rFonts w:cs="Arial"/>
        </w:rPr>
        <w:t>er than structured products) could be used?</w:t>
      </w:r>
    </w:p>
    <w:p w:rsidR="00F31E57" w:rsidRDefault="00F31E57" w:rsidP="00F31E57">
      <w:pPr>
        <w:rPr>
          <w:rFonts w:cstheme="minorBidi"/>
        </w:rPr>
      </w:pPr>
    </w:p>
    <w:p w:rsidR="00F31E57" w:rsidRDefault="00F31E57" w:rsidP="00F31E57">
      <w:r>
        <w:t>&lt;ESMA_QUESTION_PRIIPs_75&gt;</w:t>
      </w:r>
    </w:p>
    <w:p w:rsidR="00F31E57" w:rsidRDefault="00F31E57" w:rsidP="00F31E57">
      <w:permStart w:id="1857297976" w:edGrp="everyone"/>
      <w:r>
        <w:t>TYPE YOUR TEXT HERE</w:t>
      </w:r>
    </w:p>
    <w:permEnd w:id="1857297976"/>
    <w:p w:rsidR="00F31E57" w:rsidRDefault="00F31E57" w:rsidP="00F31E57">
      <w:r>
        <w:t>&lt;ESMA_QUESTION_PRIIPs_75&gt;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F31E57" w:rsidRDefault="00F31E57" w:rsidP="00F31E57">
      <w:permStart w:id="977809131" w:edGrp="everyone"/>
      <w:r>
        <w:t>TYPE YOUR TEXT HERE</w:t>
      </w:r>
    </w:p>
    <w:permEnd w:id="977809131"/>
    <w:p w:rsidR="00F31E57" w:rsidRDefault="00F31E57" w:rsidP="00F31E57">
      <w:r>
        <w:t>&lt;ESMA_QUESTION_PRIIPs_76&gt;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F31E57" w:rsidRDefault="00F31E57" w:rsidP="00F31E57">
      <w:permStart w:id="1517488991" w:edGrp="everyone"/>
      <w:r>
        <w:t>TYPE YOUR TEXT HERE</w:t>
      </w:r>
    </w:p>
    <w:permEnd w:id="1517488991"/>
    <w:p w:rsidR="00F31E57" w:rsidRDefault="00F31E57" w:rsidP="00F31E57">
      <w:r>
        <w:t>&lt;ESMA_QUESTION_PRIIPs_77&gt;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F31E57" w:rsidRDefault="00F31E57" w:rsidP="00F31E57">
      <w:permStart w:id="92750184" w:edGrp="everyone"/>
      <w:r>
        <w:t>TYPE YOUR TEXT HERE</w:t>
      </w:r>
    </w:p>
    <w:permEnd w:id="92750184"/>
    <w:p w:rsidR="00F31E57" w:rsidRDefault="00F31E57" w:rsidP="00F31E57">
      <w:r>
        <w:t>&lt;ESMA_QUESTION_PRIIPs_78&gt;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w:t>
      </w:r>
      <w:r>
        <w:rPr>
          <w:rFonts w:cs="Arial"/>
          <w:color w:val="000000"/>
          <w:lang w:eastAsia="it-IT"/>
        </w:rPr>
        <w:t>d</w:t>
      </w:r>
      <w:r>
        <w:rPr>
          <w:rFonts w:cs="Arial"/>
          <w:color w:val="000000"/>
          <w:lang w:eastAsia="it-IT"/>
        </w:rPr>
        <w:t>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F31E57" w:rsidRDefault="00F31E57" w:rsidP="00F31E57">
      <w:permStart w:id="318844277" w:edGrp="everyone"/>
      <w:r>
        <w:t>TYPE YOUR TEXT HERE</w:t>
      </w:r>
    </w:p>
    <w:permEnd w:id="318844277"/>
    <w:p w:rsidR="00F31E57" w:rsidRDefault="00F31E57" w:rsidP="00F31E57">
      <w:r>
        <w:t>&lt;ESMA_QUESTION_PRIIPs_79&gt;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should be the value of x? (in the case of UCITS, x=5, but the extent to which this is appropriate for other types of PRIIPs, notably life-insurance products, is u</w:t>
      </w:r>
      <w:r>
        <w:rPr>
          <w:rFonts w:cs="Arial"/>
        </w:rPr>
        <w:t>n</w:t>
      </w:r>
      <w:r>
        <w:rPr>
          <w:rFonts w:cs="Arial"/>
        </w:rPr>
        <w:t xml:space="preserve">clear). </w:t>
      </w:r>
    </w:p>
    <w:p w:rsidR="00F31E57" w:rsidRDefault="00F31E57" w:rsidP="00F31E57">
      <w:pPr>
        <w:rPr>
          <w:rFonts w:cstheme="minorBidi"/>
        </w:rPr>
      </w:pPr>
    </w:p>
    <w:p w:rsidR="00F31E57" w:rsidRDefault="00F31E57" w:rsidP="00F31E57">
      <w:r>
        <w:t>&lt;ESMA_QUESTION_PRIIPs_80&gt;</w:t>
      </w:r>
    </w:p>
    <w:p w:rsidR="000D0E8C" w:rsidRPr="009455A5" w:rsidRDefault="000D0E8C" w:rsidP="000D0E8C">
      <w:pPr>
        <w:spacing w:line="276" w:lineRule="auto"/>
        <w:rPr>
          <w:lang w:val="en-US"/>
        </w:rPr>
      </w:pPr>
      <w:permStart w:id="1948668389" w:edGrp="everyone"/>
      <w:r>
        <w:rPr>
          <w:lang w:val="en-US"/>
        </w:rPr>
        <w:lastRenderedPageBreak/>
        <w:t>X= 5. We strongly recommend consistency with the UCITS approach.</w:t>
      </w:r>
    </w:p>
    <w:permEnd w:id="1948668389"/>
    <w:p w:rsidR="00F31E57" w:rsidRDefault="00F31E57" w:rsidP="00F31E57">
      <w:r>
        <w:t>&lt;ESMA_QUESTION_PRIIPs_80&gt;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0D0E8C" w:rsidRPr="009455A5" w:rsidRDefault="000D0E8C" w:rsidP="000D0E8C">
      <w:pPr>
        <w:spacing w:line="276" w:lineRule="auto"/>
        <w:rPr>
          <w:lang w:val="en-US"/>
        </w:rPr>
      </w:pPr>
      <w:permStart w:id="642520229" w:edGrp="everyone"/>
      <w:r>
        <w:rPr>
          <w:lang w:val="en-US"/>
        </w:rPr>
        <w:t>Rank “</w:t>
      </w:r>
      <w:proofErr w:type="spellStart"/>
      <w:r>
        <w:rPr>
          <w:lang w:val="en-US"/>
        </w:rPr>
        <w:t>pari</w:t>
      </w:r>
      <w:proofErr w:type="spellEnd"/>
      <w:r>
        <w:rPr>
          <w:lang w:val="en-US"/>
        </w:rPr>
        <w:t xml:space="preserve"> </w:t>
      </w:r>
      <w:proofErr w:type="spellStart"/>
      <w:r>
        <w:rPr>
          <w:lang w:val="en-US"/>
        </w:rPr>
        <w:t>passu</w:t>
      </w:r>
      <w:proofErr w:type="spellEnd"/>
      <w:r>
        <w:rPr>
          <w:lang w:val="en-US"/>
        </w:rPr>
        <w:t>” sounds very legal oriented, when it is not a legal matter that is under scrutiny. We recommend to refer to units of the “same family”.</w:t>
      </w:r>
    </w:p>
    <w:permEnd w:id="642520229"/>
    <w:p w:rsidR="00F31E57" w:rsidRDefault="00F31E57" w:rsidP="00F31E57">
      <w:r>
        <w:t>&lt;ESMA_QUESTION_PRIIPs_81&gt;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0D0E8C" w:rsidRPr="009455A5" w:rsidRDefault="000D0E8C" w:rsidP="000D0E8C">
      <w:pPr>
        <w:spacing w:line="276" w:lineRule="auto"/>
        <w:jc w:val="both"/>
        <w:rPr>
          <w:lang w:val="en-US"/>
        </w:rPr>
      </w:pPr>
      <w:permStart w:id="908031418" w:edGrp="everyone"/>
      <w:r>
        <w:rPr>
          <w:lang w:val="en-US"/>
        </w:rPr>
        <w:t>1000 € is an appropriate amount. We believe that a specific comment will help explaining the overestima</w:t>
      </w:r>
      <w:r>
        <w:rPr>
          <w:lang w:val="en-US"/>
        </w:rPr>
        <w:t>t</w:t>
      </w:r>
      <w:r>
        <w:rPr>
          <w:lang w:val="en-US"/>
        </w:rPr>
        <w:t>ed impact of fixed costs. For regular payments 1000 € will be appropriate, except for monthly or more frequent payments where 100 € is more consistent with reality.</w:t>
      </w:r>
    </w:p>
    <w:permEnd w:id="908031418"/>
    <w:p w:rsidR="00F31E57" w:rsidRDefault="00F31E57" w:rsidP="00F31E57">
      <w:r>
        <w:t>&lt;ESMA_QUESTION_PRIIPs_82&gt;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0D0E8C" w:rsidRPr="005E57E1" w:rsidRDefault="000D0E8C" w:rsidP="000D0E8C">
      <w:pPr>
        <w:spacing w:line="276" w:lineRule="auto"/>
        <w:jc w:val="both"/>
        <w:rPr>
          <w:lang w:val="en-US"/>
        </w:rPr>
      </w:pPr>
      <w:permStart w:id="216955345" w:edGrp="everyone"/>
      <w:r w:rsidRPr="005E57E1">
        <w:rPr>
          <w:lang w:val="en-US"/>
        </w:rPr>
        <w:t xml:space="preserve">We oppose the idea of publishing several KIDs for one PRIIP. </w:t>
      </w:r>
      <w:r>
        <w:rPr>
          <w:lang w:val="en-US"/>
        </w:rPr>
        <w:t xml:space="preserve">It is in our view contradictory to the aim to standardize information provided to investors and it would create risks of </w:t>
      </w:r>
      <w:proofErr w:type="spellStart"/>
      <w:r>
        <w:rPr>
          <w:lang w:val="en-US"/>
        </w:rPr>
        <w:t>mis</w:t>
      </w:r>
      <w:proofErr w:type="spellEnd"/>
      <w:r>
        <w:rPr>
          <w:lang w:val="en-US"/>
        </w:rPr>
        <w:t>-selling. Conversely, on top of a clear indication of actual costs for different ages (through a table), the publication of an advertisement evidencing the influence of the age parameter and suggesting an advisory contact seems advisable.</w:t>
      </w:r>
    </w:p>
    <w:permEnd w:id="216955345"/>
    <w:p w:rsidR="00F31E57" w:rsidRDefault="00F31E57" w:rsidP="00F31E57">
      <w:r>
        <w:t>&lt;ESMA_QUESTION_PRIIPs_83&gt;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0D0E8C" w:rsidRPr="00B7304F" w:rsidRDefault="000D0E8C" w:rsidP="000D0E8C">
      <w:pPr>
        <w:spacing w:line="276" w:lineRule="auto"/>
        <w:jc w:val="both"/>
        <w:rPr>
          <w:lang w:val="en-US"/>
        </w:rPr>
      </w:pPr>
      <w:permStart w:id="1734949954" w:edGrp="everyone"/>
      <w:r>
        <w:rPr>
          <w:lang w:val="en-US"/>
        </w:rPr>
        <w:t>In most cases it will be possible to present a TCR in a simple way by annualizing upfront costs on the recommended holding period or on the length of closed ended products, excluding entry/exit costs (cf. Q 86). For some other products – certain real estate funds, or private equity funds, or ELTIFs – the effect of costs will be better shown through scenarios.  In such cases we favor scenarios based on the total gross invested amount and on the life of the product, except to illustrate the impact of exit costs.</w:t>
      </w:r>
    </w:p>
    <w:permEnd w:id="1734949954"/>
    <w:p w:rsidR="00F31E57" w:rsidRDefault="00F31E57" w:rsidP="00F31E57">
      <w:r>
        <w:t>&lt;ESMA_QUESTION_PRIIPs_84&gt;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products, to what extent should the amortization methodology related to the amo</w:t>
      </w:r>
      <w:r>
        <w:rPr>
          <w:rFonts w:cs="Arial"/>
        </w:rPr>
        <w:t>r</w:t>
      </w:r>
      <w:r>
        <w:rPr>
          <w:rFonts w:cs="Arial"/>
        </w:rPr>
        <w:lastRenderedPageBreak/>
        <w:t>tization methodology of the premium calculation? To what extent should the ch</w:t>
      </w:r>
      <w:r>
        <w:rPr>
          <w:rFonts w:cs="Arial"/>
        </w:rPr>
        <w:t>o</w:t>
      </w:r>
      <w:r>
        <w:rPr>
          <w:rFonts w:cs="Arial"/>
        </w:rPr>
        <w:t>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F31E57" w:rsidRDefault="00F31E57" w:rsidP="00F31E57">
      <w:permStart w:id="413230714" w:edGrp="everyone"/>
      <w:r>
        <w:t>TYPE YOUR TEXT HERE</w:t>
      </w:r>
    </w:p>
    <w:permEnd w:id="413230714"/>
    <w:p w:rsidR="00F31E57" w:rsidRDefault="00F31E57" w:rsidP="00F31E57">
      <w:r>
        <w:t>&lt;ESMA_QUESTION_PRIIPs_85&gt;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amortized costs to the invested amount in the fund. However in that case the question remains as to how to aggregate this ratio with the on-going charges ratio.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0D0E8C" w:rsidRPr="00FB07CB" w:rsidRDefault="000D0E8C" w:rsidP="000D0E8C">
      <w:pPr>
        <w:spacing w:line="276" w:lineRule="auto"/>
        <w:jc w:val="both"/>
        <w:rPr>
          <w:lang w:val="en-US"/>
        </w:rPr>
      </w:pPr>
      <w:permStart w:id="1263737829" w:edGrp="everyone"/>
      <w:r w:rsidRPr="008A7406">
        <w:rPr>
          <w:lang w:val="en-US"/>
        </w:rPr>
        <w:t>Most</w:t>
      </w:r>
      <w:r>
        <w:rPr>
          <w:lang w:val="en-US"/>
        </w:rPr>
        <w:t xml:space="preserve"> often the % of entry cost mentioned in the KIID is a maximum seldom applied by the distributor who use to be the sole beneficiary of these fees. Therefore it will usually be misleading to include it in the TCR.  </w:t>
      </w:r>
      <w:r w:rsidRPr="00FB07CB">
        <w:rPr>
          <w:lang w:val="en-US"/>
        </w:rPr>
        <w:t xml:space="preserve">We think that  entry costs must be expressed </w:t>
      </w:r>
      <w:r>
        <w:rPr>
          <w:lang w:val="en-US"/>
        </w:rPr>
        <w:t>with reference</w:t>
      </w:r>
      <w:r w:rsidRPr="00FB07CB">
        <w:rPr>
          <w:lang w:val="en-US"/>
        </w:rPr>
        <w:t xml:space="preserve"> to the</w:t>
      </w:r>
      <w:r>
        <w:rPr>
          <w:lang w:val="en-US"/>
        </w:rPr>
        <w:t xml:space="preserve"> real initial cash flow paid by the inve</w:t>
      </w:r>
      <w:r>
        <w:rPr>
          <w:lang w:val="en-US"/>
        </w:rPr>
        <w:t>s</w:t>
      </w:r>
      <w:r>
        <w:rPr>
          <w:lang w:val="en-US"/>
        </w:rPr>
        <w:t xml:space="preserve">tor: gross investment amount. Entry costs relate to one cash flow and should not be added nor included in an annual TCR. A For some products, a better illustration would be obtained with the scenarios approach, where actuarial figures (such as Reduction In Yield) can be shown that take all flows into account at their real date (cf. Q 84). </w:t>
      </w:r>
    </w:p>
    <w:permEnd w:id="1263737829"/>
    <w:p w:rsidR="00F31E57" w:rsidRDefault="00F31E57" w:rsidP="00F31E57">
      <w:r>
        <w:t>&lt;ESMA_QUESTION_PRIIPs_86&gt;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life-insurance products? What about the case of regular payments or regular increasing? Which definition would you favour? How to ensure a level playing field and a common definition with the other types of PRIIPs in this regard? Another possible approach could be to use the ratio between the total amount of costs over the holding period and the average net investment (assumed during the whole period, in order to take into account future additional investments, partial withdrawals, payments (i.e. pr</w:t>
      </w:r>
      <w:r>
        <w:rPr>
          <w:rFonts w:cs="Arial"/>
        </w:rPr>
        <w:t>o</w:t>
      </w:r>
      <w:r>
        <w:rPr>
          <w:rFonts w:cs="Arial"/>
        </w:rPr>
        <w:t xml:space="preserve">grammed investments or disinvestments)). Do you think this approach would be 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F31E57" w:rsidRDefault="00F31E57" w:rsidP="00F31E57">
      <w:permStart w:id="1610637934" w:edGrp="everyone"/>
      <w:r>
        <w:t>TYPE YOUR TEXT HERE</w:t>
      </w:r>
    </w:p>
    <w:permEnd w:id="1610637934"/>
    <w:p w:rsidR="00F31E57" w:rsidRDefault="00F31E57" w:rsidP="00F31E57">
      <w:r>
        <w:t>&lt;ESMA_QUESTION_PRIIPs_87&gt;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would be other options to define the TCR ratio in the case of structured products? Do you identify other specific issues in relation to the TCR if applied to structured products? Another possible approach could be to use the ratio between the total amount of costs over the holding period and the average net investment (assumed during the whole period, in order to take into account future additional </w:t>
      </w:r>
      <w:r>
        <w:rPr>
          <w:rFonts w:cs="Arial"/>
        </w:rPr>
        <w:lastRenderedPageBreak/>
        <w:t>investments, partial withdrawals, payments (i.e. programmed investments or di</w:t>
      </w:r>
      <w:r>
        <w:rPr>
          <w:rFonts w:cs="Arial"/>
        </w:rPr>
        <w:t>s</w:t>
      </w:r>
      <w:r>
        <w:rPr>
          <w:rFonts w:cs="Arial"/>
        </w:rPr>
        <w:t>investments)). Do you think this approach would be appropriate? For derivatives, it might be the case that it is necessary to further define the concept of investment to be used as denominator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0D0E8C" w:rsidRDefault="000D0E8C" w:rsidP="000D0E8C">
      <w:pPr>
        <w:spacing w:line="276" w:lineRule="auto"/>
        <w:jc w:val="both"/>
        <w:rPr>
          <w:lang w:val="en-US"/>
        </w:rPr>
      </w:pPr>
      <w:permStart w:id="966867305" w:edGrp="everyone"/>
      <w:r w:rsidRPr="00BD6347">
        <w:rPr>
          <w:lang w:val="en-US"/>
        </w:rPr>
        <w:t xml:space="preserve">This question refers to structured deposits and SPV but not structured funds in our reading. We think that the level of the refinancing of the bank included in the formula of the structured deposit is comparable to an ongoing charge for the investor. </w:t>
      </w:r>
      <w:r>
        <w:rPr>
          <w:lang w:val="en-US"/>
        </w:rPr>
        <w:t>We recommend that it would be published as such, since it is an advantage from which the issuer benefits year after year and as long as the investor (who pays) holds his position.</w:t>
      </w:r>
    </w:p>
    <w:p w:rsidR="000D0E8C" w:rsidRPr="00BD6347" w:rsidRDefault="000D0E8C" w:rsidP="000D0E8C">
      <w:pPr>
        <w:spacing w:line="276" w:lineRule="auto"/>
        <w:jc w:val="both"/>
        <w:rPr>
          <w:lang w:val="en-US"/>
        </w:rPr>
      </w:pPr>
      <w:r>
        <w:rPr>
          <w:lang w:val="en-US"/>
        </w:rPr>
        <w:t>We fear that the approach about derivatives (with the mention in the question of margins and collateral as part of the flows that must be considered when assessing costs) leaves room for a false interpretation of their real use and mechanism.</w:t>
      </w:r>
    </w:p>
    <w:permEnd w:id="966867305"/>
    <w:p w:rsidR="00F31E57" w:rsidRDefault="00F31E57" w:rsidP="00F31E57">
      <w:r>
        <w:t>&lt;ESMA_QUESTION_PRIIPs_88&gt;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0D0E8C" w:rsidRPr="00546F6E" w:rsidRDefault="000D0E8C" w:rsidP="000D0E8C">
      <w:pPr>
        <w:spacing w:line="276" w:lineRule="auto"/>
        <w:rPr>
          <w:lang w:val="en-US"/>
        </w:rPr>
      </w:pPr>
      <w:permStart w:id="1472864670" w:edGrp="everyone"/>
      <w:r w:rsidRPr="00546F6E">
        <w:rPr>
          <w:lang w:val="en-US"/>
        </w:rPr>
        <w:t xml:space="preserve">We believe that the ratio based on average A.U.M. is applicable both for UCITS and AIFs. </w:t>
      </w:r>
      <w:r>
        <w:rPr>
          <w:lang w:val="en-US"/>
        </w:rPr>
        <w:t>This ratio is expressed as an annual percentage and the actual figure must be published ex post.</w:t>
      </w:r>
    </w:p>
    <w:permEnd w:id="1472864670"/>
    <w:p w:rsidR="00F31E57" w:rsidRDefault="00F31E57" w:rsidP="00F31E57">
      <w:r>
        <w:t>&lt;ESMA_QUESTION_PRIIPs_89&gt;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F31E57" w:rsidRDefault="00F31E57" w:rsidP="00F31E57">
      <w:permStart w:id="1255488013" w:edGrp="everyone"/>
      <w:r>
        <w:t>TYPE YOUR TEXT HERE</w:t>
      </w:r>
    </w:p>
    <w:permEnd w:id="1255488013"/>
    <w:p w:rsidR="00F31E57" w:rsidRDefault="00F31E57" w:rsidP="00F31E57">
      <w:r>
        <w:t>&lt;ESMA_QUESTION_PRIIPs_90&gt;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0D0E8C" w:rsidRPr="009455A5" w:rsidRDefault="000D0E8C" w:rsidP="000D0E8C">
      <w:pPr>
        <w:spacing w:line="276" w:lineRule="auto"/>
        <w:rPr>
          <w:lang w:val="en-US"/>
        </w:rPr>
      </w:pPr>
      <w:permStart w:id="1251478953" w:edGrp="everyone"/>
      <w:r>
        <w:rPr>
          <w:lang w:val="en-US"/>
        </w:rPr>
        <w:t>We support the ideas of level playing field and comparability. In consequence, we hope that insurance specificities will not be a pretext for circumvention.</w:t>
      </w:r>
    </w:p>
    <w:permEnd w:id="1251478953"/>
    <w:p w:rsidR="00F31E57" w:rsidRDefault="00F31E57" w:rsidP="00F31E57">
      <w:r>
        <w:t>&lt;ESMA_QUESTION_PRIIPs_91&gt;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 xml:space="preserve">Do you think this methodology should be further detailed? To what extent do you think this methodology is appropriate and feasible (notably in terms of calibration </w:t>
      </w:r>
      <w:r>
        <w:rPr>
          <w:rFonts w:cs="Arial"/>
        </w:rPr>
        <w:lastRenderedPageBreak/>
        <w:t>of the model)? It might indeed be considered that valuation models for Solvency II usually are not likely to be designed for per contract calculations. Life insurers may restrict the calculation of technical provisions in the Solvency II-Balance-Sheet to homogenous risk groups. Furthermore they are allowed to use simplified calculation methods if the error is immaterial at the portfolio level. As profit sha</w:t>
      </w:r>
      <w:r>
        <w:rPr>
          <w:rFonts w:cs="Arial"/>
        </w:rPr>
        <w:t>r</w:t>
      </w:r>
      <w:r>
        <w:rPr>
          <w:rFonts w:cs="Arial"/>
        </w:rPr>
        <w:t>ing mechanisms in many countries are applied on the company level and not on a per contract level, projected cash flows from future discretionary benefits will not easily be broken down on a per product or even a per contract basis with the exis</w:t>
      </w:r>
      <w:r>
        <w:rPr>
          <w:rFonts w:cs="Arial"/>
        </w:rPr>
        <w:t>t</w:t>
      </w:r>
      <w:r>
        <w:rPr>
          <w:rFonts w:cs="Arial"/>
        </w:rPr>
        <w:t xml:space="preserve">ing Solvency II-Valuation-Models. </w:t>
      </w:r>
    </w:p>
    <w:p w:rsidR="00F31E57" w:rsidRDefault="00F31E57" w:rsidP="00F31E57">
      <w:pPr>
        <w:rPr>
          <w:rFonts w:cstheme="minorBidi"/>
        </w:rPr>
      </w:pPr>
    </w:p>
    <w:p w:rsidR="00F31E57" w:rsidRDefault="00F31E57" w:rsidP="00F31E57">
      <w:r>
        <w:t>&lt;ESMA_QUESTION_PRIIPs_92&gt;</w:t>
      </w:r>
    </w:p>
    <w:p w:rsidR="00F31E57" w:rsidRDefault="00F31E57" w:rsidP="00F31E57">
      <w:permStart w:id="1160148711" w:edGrp="everyone"/>
      <w:r>
        <w:t>TYPE YOUR TEXT HERE</w:t>
      </w:r>
    </w:p>
    <w:permEnd w:id="1160148711"/>
    <w:p w:rsidR="00F31E57" w:rsidRDefault="00F31E57" w:rsidP="00F31E57">
      <w:r>
        <w:t>&lt;ESMA_QUESTION_PRIIPs_92&gt;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approach to funds?</w:t>
      </w:r>
    </w:p>
    <w:p w:rsidR="00F31E57" w:rsidRDefault="00F31E57" w:rsidP="00F31E57">
      <w:pPr>
        <w:rPr>
          <w:rFonts w:cstheme="minorBidi"/>
        </w:rPr>
      </w:pPr>
    </w:p>
    <w:p w:rsidR="00F31E57" w:rsidRDefault="00F31E57" w:rsidP="00F31E57">
      <w:r>
        <w:t>&lt;ESMA_QUESTION_PRIIPs_93&gt;</w:t>
      </w:r>
    </w:p>
    <w:p w:rsidR="000D0E8C" w:rsidRDefault="000D0E8C" w:rsidP="000D0E8C">
      <w:pPr>
        <w:jc w:val="both"/>
        <w:rPr>
          <w:lang w:val="en-US"/>
        </w:rPr>
      </w:pPr>
      <w:permStart w:id="525563925" w:edGrp="everyone"/>
      <w:r w:rsidRPr="008A7406">
        <w:rPr>
          <w:lang w:val="en-US"/>
        </w:rPr>
        <w:t xml:space="preserve">As long as it has no consequences on the use of UCITS’ KIIDs </w:t>
      </w:r>
      <w:r>
        <w:rPr>
          <w:lang w:val="en-US"/>
        </w:rPr>
        <w:t>we</w:t>
      </w:r>
      <w:r w:rsidRPr="008A7406">
        <w:rPr>
          <w:lang w:val="en-US"/>
        </w:rPr>
        <w:t xml:space="preserve"> consider that the RIY could better fit for some PRIIPs. In fact, the RIY approach clearly distinguishes the cost impact for different time holding periods, thus allowing investors better to grasp the effects of all types of costs (and in particular those of early voluntary redemption for fixed-term PRIIPs).</w:t>
      </w:r>
    </w:p>
    <w:permEnd w:id="525563925"/>
    <w:p w:rsidR="00F31E57" w:rsidRDefault="00F31E57" w:rsidP="00F31E57">
      <w:r>
        <w:t>&lt;ESMA_QUESTION_PRIIPs_93&gt;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w:t>
      </w:r>
      <w:r>
        <w:rPr>
          <w:rFonts w:cs="Arial"/>
        </w:rPr>
        <w:t>e</w:t>
      </w:r>
      <w:r>
        <w:rPr>
          <w:rFonts w:cs="Arial"/>
        </w:rPr>
        <w:t>lation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F31E57" w:rsidRDefault="00934516" w:rsidP="00F31E57">
      <w:permStart w:id="1240496247" w:edGrp="everyone"/>
      <w:r>
        <w:t xml:space="preserve">Of course when dividends are unduly kept by the manufacturer </w:t>
      </w:r>
      <w:r w:rsidR="008D55B3">
        <w:t>they must</w:t>
      </w:r>
      <w:r>
        <w:t xml:space="preserve"> be considered as a cost. </w:t>
      </w:r>
      <w:r w:rsidR="008D55B3" w:rsidRPr="008D55B3">
        <w:rPr>
          <w:b/>
        </w:rPr>
        <w:t>But</w:t>
      </w:r>
      <w:r w:rsidRPr="008D55B3">
        <w:rPr>
          <w:b/>
        </w:rPr>
        <w:t xml:space="preserve"> as mentioned in our answer to Q33, </w:t>
      </w:r>
      <w:r w:rsidR="008D55B3" w:rsidRPr="008D55B3">
        <w:rPr>
          <w:b/>
        </w:rPr>
        <w:t>for structured products based on</w:t>
      </w:r>
      <w:r w:rsidRPr="008D55B3">
        <w:rPr>
          <w:b/>
        </w:rPr>
        <w:t xml:space="preserve"> a total return swap for example, div</w:t>
      </w:r>
      <w:r w:rsidRPr="008D55B3">
        <w:rPr>
          <w:b/>
        </w:rPr>
        <w:t>i</w:t>
      </w:r>
      <w:r w:rsidRPr="008D55B3">
        <w:rPr>
          <w:b/>
        </w:rPr>
        <w:t>dends may be excluded from the transaction and such exclusion is reflected in the terms of the swap without any prej</w:t>
      </w:r>
      <w:r w:rsidRPr="008D55B3">
        <w:rPr>
          <w:b/>
        </w:rPr>
        <w:t>u</w:t>
      </w:r>
      <w:r w:rsidRPr="008D55B3">
        <w:rPr>
          <w:b/>
        </w:rPr>
        <w:t xml:space="preserve">dice for the end investor. </w:t>
      </w:r>
      <w:r w:rsidR="008D55B3" w:rsidRPr="008D55B3">
        <w:rPr>
          <w:b/>
        </w:rPr>
        <w:t>Such cases must be taken into consideration in order to avoid a general statement which would clearly be wrong.</w:t>
      </w:r>
    </w:p>
    <w:permEnd w:id="1240496247"/>
    <w:p w:rsidR="00F31E57" w:rsidRDefault="00F31E57" w:rsidP="00F31E57">
      <w:r>
        <w:t>&lt;ESMA_QUESTION_PRIIPs_94&gt;</w:t>
      </w:r>
    </w:p>
    <w:p w:rsid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F31E57" w:rsidRDefault="00F31E57" w:rsidP="00F31E57">
      <w:permStart w:id="31469273" w:edGrp="everyone"/>
      <w:r>
        <w:t>TYPE YOUR TEXT HERE</w:t>
      </w:r>
    </w:p>
    <w:permEnd w:id="31469273"/>
    <w:p w:rsidR="00F31E57" w:rsidRDefault="00F31E57" w:rsidP="00F31E57">
      <w:r>
        <w:t>&lt;ESMA_QUESTION_PRIIPs_95&gt;</w:t>
      </w:r>
    </w:p>
    <w:p w:rsidR="00F31E57" w:rsidRP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w:t>
      </w:r>
      <w:r w:rsidRPr="00F31E57">
        <w:rPr>
          <w:rFonts w:cs="Arial"/>
        </w:rPr>
        <w:t>a</w:t>
      </w:r>
      <w:r w:rsidRPr="00F31E57">
        <w:rPr>
          <w:rFonts w:cs="Arial"/>
        </w:rPr>
        <w:t>ble to purchasers of the product?</w:t>
      </w:r>
    </w:p>
    <w:p w:rsidR="00F31E57" w:rsidRDefault="00F31E57" w:rsidP="00F31E57">
      <w:pPr>
        <w:rPr>
          <w:rFonts w:cstheme="minorBidi"/>
        </w:rPr>
      </w:pPr>
    </w:p>
    <w:p w:rsidR="00F31E57" w:rsidRDefault="00F31E57" w:rsidP="00F31E57">
      <w:r>
        <w:t>&lt;ESMA_QUESTION_PRIIPs_96&gt;</w:t>
      </w:r>
    </w:p>
    <w:p w:rsidR="00F31E57" w:rsidRDefault="00F31E57" w:rsidP="00F31E57">
      <w:permStart w:id="748758262" w:edGrp="everyone"/>
      <w:r>
        <w:t>TYPE YOUR TEXT HERE</w:t>
      </w:r>
    </w:p>
    <w:permEnd w:id="748758262"/>
    <w:p w:rsidR="00F31E57" w:rsidRDefault="00F31E57" w:rsidP="00F31E57">
      <w:r>
        <w:t>&lt;ESMA_QUESTION_PRIIPs_96&gt;</w:t>
      </w:r>
    </w:p>
    <w:p w:rsidR="00F31E57" w:rsidRP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lastRenderedPageBreak/>
        <w:t>What costs impact the return paid on the products?</w:t>
      </w:r>
    </w:p>
    <w:p w:rsidR="00F31E57" w:rsidRDefault="00F31E57" w:rsidP="00F31E57">
      <w:pPr>
        <w:rPr>
          <w:rFonts w:cstheme="minorBidi"/>
        </w:rPr>
      </w:pPr>
    </w:p>
    <w:p w:rsidR="00F31E57" w:rsidRDefault="00F31E57" w:rsidP="00F31E57">
      <w:r>
        <w:t>&lt;ESMA_QUESTION_PRIIPs_97&gt;</w:t>
      </w:r>
    </w:p>
    <w:p w:rsidR="00F31E57" w:rsidRDefault="00F31E57" w:rsidP="00F31E57">
      <w:permStart w:id="957629909" w:edGrp="everyone"/>
      <w:r>
        <w:t>TYPE YOUR TEXT HERE</w:t>
      </w:r>
    </w:p>
    <w:permEnd w:id="957629909"/>
    <w:p w:rsidR="00F31E57" w:rsidRDefault="00F31E57" w:rsidP="00F31E57">
      <w:r>
        <w:t>&lt;ESMA_QUESTION_PRIIPs_97&gt;</w:t>
      </w:r>
    </w:p>
    <w:p w:rsidR="00F31E57" w:rsidRP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F31E57" w:rsidRDefault="00F31E57" w:rsidP="00F31E57">
      <w:permStart w:id="723283525" w:edGrp="everyone"/>
      <w:r>
        <w:t>TYPE YOUR TEXT HERE</w:t>
      </w:r>
    </w:p>
    <w:permEnd w:id="723283525"/>
    <w:p w:rsidR="00F31E57" w:rsidRDefault="00F31E57" w:rsidP="00F31E57">
      <w:r>
        <w:t>&lt;ESMA_QUESTION_PRIIPs_98&gt;</w:t>
      </w:r>
    </w:p>
    <w:p w:rsidR="00F31E57" w:rsidRPr="00F31E57" w:rsidRDefault="00F31E57" w:rsidP="00F31E57">
      <w:pPr>
        <w:pStyle w:val="CPQuestions"/>
        <w:numPr>
          <w:ilvl w:val="0"/>
          <w:numId w:val="4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F31E57" w:rsidRDefault="00F31E57" w:rsidP="00F31E57">
      <w:permStart w:id="1097402002" w:edGrp="everyone"/>
      <w:r>
        <w:t>TYPE YOUR TEXT HERE</w:t>
      </w:r>
    </w:p>
    <w:permEnd w:id="1097402002"/>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D56" w:rsidRDefault="00204D56">
      <w:r>
        <w:separator/>
      </w:r>
    </w:p>
    <w:p w:rsidR="00204D56" w:rsidRDefault="00204D56"/>
  </w:endnote>
  <w:endnote w:type="continuationSeparator" w:id="0">
    <w:p w:rsidR="00204D56" w:rsidRDefault="00204D56">
      <w:r>
        <w:continuationSeparator/>
      </w:r>
    </w:p>
    <w:p w:rsidR="00204D56" w:rsidRDefault="00204D56"/>
  </w:endnote>
  <w:endnote w:type="continuationNotice" w:id="1">
    <w:p w:rsidR="00204D56" w:rsidRDefault="00204D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04D56" w:rsidRPr="00616B9B" w:rsidTr="00315E96">
      <w:trPr>
        <w:trHeight w:val="284"/>
      </w:trPr>
      <w:tc>
        <w:tcPr>
          <w:tcW w:w="8460" w:type="dxa"/>
        </w:tcPr>
        <w:p w:rsidR="00204D56" w:rsidRPr="00315E96" w:rsidRDefault="00204D56" w:rsidP="00315E96">
          <w:pPr>
            <w:pStyle w:val="00Footer"/>
            <w:rPr>
              <w:lang w:val="fr-FR"/>
            </w:rPr>
          </w:pPr>
        </w:p>
      </w:tc>
      <w:tc>
        <w:tcPr>
          <w:tcW w:w="952" w:type="dxa"/>
        </w:tcPr>
        <w:p w:rsidR="00204D56" w:rsidRPr="00616B9B" w:rsidRDefault="00204D56"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F97E34">
            <w:rPr>
              <w:rFonts w:cs="Arial"/>
              <w:noProof/>
              <w:sz w:val="22"/>
              <w:szCs w:val="22"/>
            </w:rPr>
            <w:t>5</w:t>
          </w:r>
          <w:r w:rsidRPr="00616B9B">
            <w:rPr>
              <w:rFonts w:cs="Arial"/>
              <w:noProof/>
              <w:sz w:val="22"/>
              <w:szCs w:val="22"/>
            </w:rPr>
            <w:fldChar w:fldCharType="end"/>
          </w:r>
        </w:p>
      </w:tc>
    </w:tr>
  </w:tbl>
  <w:p w:rsidR="00204D56" w:rsidRDefault="00204D5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D56" w:rsidRDefault="00204D5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D56" w:rsidRDefault="00204D56">
      <w:r>
        <w:separator/>
      </w:r>
    </w:p>
    <w:p w:rsidR="00204D56" w:rsidRDefault="00204D56"/>
  </w:footnote>
  <w:footnote w:type="continuationSeparator" w:id="0">
    <w:p w:rsidR="00204D56" w:rsidRDefault="00204D56">
      <w:r>
        <w:continuationSeparator/>
      </w:r>
    </w:p>
    <w:p w:rsidR="00204D56" w:rsidRDefault="00204D56"/>
  </w:footnote>
  <w:footnote w:type="continuationNotice" w:id="1">
    <w:p w:rsidR="00204D56" w:rsidRDefault="00204D56"/>
  </w:footnote>
  <w:footnote w:id="2">
    <w:p w:rsidR="00204D56" w:rsidRPr="00554E48" w:rsidRDefault="00204D56" w:rsidP="007E2302">
      <w:pPr>
        <w:pStyle w:val="Notedebasdepage"/>
        <w:rPr>
          <w:szCs w:val="16"/>
        </w:rPr>
      </w:pPr>
      <w:r w:rsidRPr="00554E48">
        <w:rPr>
          <w:rStyle w:val="Appelnotedebasdep"/>
          <w:szCs w:val="16"/>
        </w:rPr>
        <w:footnoteRef/>
      </w:r>
      <w:r w:rsidRPr="00554E48">
        <w:rPr>
          <w:szCs w:val="16"/>
        </w:rPr>
        <w:t xml:space="preserve"> See </w:t>
      </w:r>
      <w:hyperlink r:id="rId1" w:history="1">
        <w:r w:rsidRPr="00554E48">
          <w:rPr>
            <w:rStyle w:val="Lienhypertexte"/>
            <w:szCs w:val="16"/>
          </w:rPr>
          <w:t>https://eiopa.europa.eu/about-eiopa/legal-framework/public-access-to-documents/index.html</w:t>
        </w:r>
      </w:hyperlink>
      <w:r w:rsidRPr="00554E48">
        <w:rPr>
          <w:szCs w:val="16"/>
        </w:rPr>
        <w:t xml:space="preserve">. </w:t>
      </w:r>
    </w:p>
  </w:footnote>
  <w:footnote w:id="3">
    <w:p w:rsidR="00204D56" w:rsidRDefault="00204D56" w:rsidP="00F31E57">
      <w:pPr>
        <w:pStyle w:val="Notedebasdepage"/>
        <w:rPr>
          <w:szCs w:val="16"/>
        </w:rPr>
      </w:pPr>
      <w:r>
        <w:rPr>
          <w:rStyle w:val="Appelnotedebasdep"/>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D56" w:rsidRDefault="00204D56">
    <w:pPr>
      <w:pStyle w:val="En-tte"/>
    </w:pPr>
    <w:r>
      <w:rPr>
        <w:noProof/>
        <w:lang w:val="fr-FR" w:eastAsia="fr-FR"/>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D56" w:rsidRDefault="00204D56" w:rsidP="00013CCE">
    <w:pPr>
      <w:pStyle w:val="En-tte"/>
      <w:jc w:val="right"/>
    </w:pPr>
    <w:r>
      <w:rPr>
        <w:noProof/>
        <w:lang w:val="fr-FR" w:eastAsia="fr-FR"/>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D56" w:rsidRDefault="00204D5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04D56" w:rsidRPr="002F4496" w:rsidTr="000C06C9">
      <w:trPr>
        <w:trHeight w:val="284"/>
      </w:trPr>
      <w:tc>
        <w:tcPr>
          <w:tcW w:w="8460" w:type="dxa"/>
        </w:tcPr>
        <w:p w:rsidR="00204D56" w:rsidRPr="000C3B6D" w:rsidRDefault="00204D56" w:rsidP="000C06C9">
          <w:pPr>
            <w:pStyle w:val="00Footer"/>
            <w:rPr>
              <w:lang w:val="fr-FR"/>
            </w:rPr>
          </w:pPr>
        </w:p>
      </w:tc>
      <w:tc>
        <w:tcPr>
          <w:tcW w:w="952" w:type="dxa"/>
        </w:tcPr>
        <w:p w:rsidR="00204D56" w:rsidRPr="00146B34" w:rsidRDefault="00204D56" w:rsidP="000C06C9">
          <w:pPr>
            <w:pStyle w:val="00aPagenumber"/>
            <w:rPr>
              <w:lang w:val="fr-FR"/>
            </w:rPr>
          </w:pPr>
        </w:p>
      </w:tc>
    </w:tr>
  </w:tbl>
  <w:p w:rsidR="00204D56" w:rsidRPr="00DB46C3" w:rsidRDefault="00204D56">
    <w:pPr>
      <w:rPr>
        <w:lang w:val="fr-FR"/>
      </w:rPr>
    </w:pPr>
  </w:p>
  <w:p w:rsidR="00204D56" w:rsidRPr="002F4496" w:rsidRDefault="00204D56">
    <w:pPr>
      <w:pStyle w:val="En-tte"/>
      <w:rPr>
        <w:lang w:val="fr-FR"/>
      </w:rPr>
    </w:pPr>
  </w:p>
  <w:p w:rsidR="00204D56" w:rsidRPr="002F4496" w:rsidRDefault="00204D56" w:rsidP="000C06C9">
    <w:pPr>
      <w:pStyle w:val="En-tte"/>
      <w:tabs>
        <w:tab w:val="clear" w:pos="4536"/>
        <w:tab w:val="clear" w:pos="9072"/>
        <w:tab w:val="left" w:pos="8227"/>
      </w:tabs>
      <w:rPr>
        <w:lang w:val="fr-FR"/>
      </w:rPr>
    </w:pPr>
  </w:p>
  <w:p w:rsidR="00204D56" w:rsidRPr="002F4496" w:rsidRDefault="00204D56" w:rsidP="000C06C9">
    <w:pPr>
      <w:pStyle w:val="En-tte"/>
      <w:tabs>
        <w:tab w:val="clear" w:pos="4536"/>
        <w:tab w:val="clear" w:pos="9072"/>
        <w:tab w:val="left" w:pos="8227"/>
      </w:tabs>
      <w:rPr>
        <w:lang w:val="fr-FR"/>
      </w:rPr>
    </w:pPr>
  </w:p>
  <w:p w:rsidR="00204D56" w:rsidRPr="002F4496" w:rsidRDefault="00204D56">
    <w:pPr>
      <w:pStyle w:val="En-tte"/>
      <w:rPr>
        <w:lang w:val="fr-FR"/>
      </w:rPr>
    </w:pPr>
  </w:p>
  <w:p w:rsidR="00204D56" w:rsidRPr="002F4496" w:rsidRDefault="00204D56">
    <w:pPr>
      <w:pStyle w:val="En-tte"/>
      <w:rPr>
        <w:lang w:val="fr-FR"/>
      </w:rPr>
    </w:pPr>
  </w:p>
  <w:p w:rsidR="00204D56" w:rsidRPr="002F4496" w:rsidRDefault="00204D56">
    <w:pPr>
      <w:pStyle w:val="En-tte"/>
      <w:rPr>
        <w:lang w:val="fr-FR"/>
      </w:rPr>
    </w:pPr>
  </w:p>
  <w:p w:rsidR="00204D56" w:rsidRPr="002F4496" w:rsidRDefault="00204D56">
    <w:pPr>
      <w:pStyle w:val="En-tte"/>
      <w:rPr>
        <w:lang w:val="fr-FR"/>
      </w:rPr>
    </w:pPr>
  </w:p>
  <w:p w:rsidR="00204D56" w:rsidRPr="002F4496" w:rsidRDefault="00204D56">
    <w:pPr>
      <w:pStyle w:val="En-tte"/>
      <w:rPr>
        <w:highlight w:val="yellow"/>
        <w:lang w:val="fr-FR"/>
      </w:rPr>
    </w:pPr>
  </w:p>
  <w:p w:rsidR="00204D56" w:rsidRDefault="00204D56">
    <w:pPr>
      <w:pStyle w:val="En-tte"/>
    </w:pPr>
    <w:r>
      <w:rPr>
        <w:noProof/>
        <w:lang w:val="fr-FR" w:eastAsia="fr-FR"/>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fr-FR" w:eastAsia="fr-FR"/>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691937"/>
    <w:multiLevelType w:val="hybridMultilevel"/>
    <w:tmpl w:val="94620E14"/>
    <w:lvl w:ilvl="0" w:tplc="9BDA7CE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nsid w:val="55957CD0"/>
    <w:multiLevelType w:val="multilevel"/>
    <w:tmpl w:val="2D6257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4">
    <w:nsid w:val="63DE04DE"/>
    <w:multiLevelType w:val="hybridMultilevel"/>
    <w:tmpl w:val="EF088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6B7A76BF"/>
    <w:multiLevelType w:val="hybridMultilevel"/>
    <w:tmpl w:val="E98AF2CA"/>
    <w:lvl w:ilvl="0" w:tplc="8D2429A4">
      <w:numFmt w:val="bullet"/>
      <w:lvlText w:val="-"/>
      <w:lvlJc w:val="left"/>
      <w:pPr>
        <w:ind w:left="720" w:hanging="360"/>
      </w:pPr>
      <w:rPr>
        <w:rFonts w:ascii="Calibri" w:eastAsia="PMingLiU"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3"/>
  </w:num>
  <w:num w:numId="5">
    <w:abstractNumId w:val="26"/>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2"/>
  </w:num>
  <w:num w:numId="15">
    <w:abstractNumId w:val="11"/>
  </w:num>
  <w:num w:numId="16">
    <w:abstractNumId w:val="1"/>
  </w:num>
  <w:num w:numId="17">
    <w:abstractNumId w:val="14"/>
  </w:num>
  <w:num w:numId="18">
    <w:abstractNumId w:val="15"/>
  </w:num>
  <w:num w:numId="19">
    <w:abstractNumId w:val="17"/>
  </w:num>
  <w:num w:numId="20">
    <w:abstractNumId w:val="27"/>
  </w:num>
  <w:num w:numId="21">
    <w:abstractNumId w:val="39"/>
  </w:num>
  <w:num w:numId="22">
    <w:abstractNumId w:val="24"/>
  </w:num>
  <w:num w:numId="23">
    <w:abstractNumId w:val="10"/>
  </w:num>
  <w:num w:numId="24">
    <w:abstractNumId w:val="31"/>
  </w:num>
  <w:num w:numId="25">
    <w:abstractNumId w:val="30"/>
  </w:num>
  <w:num w:numId="26">
    <w:abstractNumId w:val="19"/>
  </w:num>
  <w:num w:numId="27">
    <w:abstractNumId w:val="35"/>
  </w:num>
  <w:num w:numId="28">
    <w:abstractNumId w:val="41"/>
  </w:num>
  <w:num w:numId="29">
    <w:abstractNumId w:val="8"/>
  </w:num>
  <w:num w:numId="30">
    <w:abstractNumId w:val="4"/>
  </w:num>
  <w:num w:numId="31">
    <w:abstractNumId w:val="21"/>
  </w:num>
  <w:num w:numId="32">
    <w:abstractNumId w:val="2"/>
  </w:num>
  <w:num w:numId="33">
    <w:abstractNumId w:val="7"/>
  </w:num>
  <w:num w:numId="34">
    <w:abstractNumId w:val="20"/>
  </w:num>
  <w:num w:numId="35">
    <w:abstractNumId w:val="38"/>
  </w:num>
  <w:num w:numId="36">
    <w:abstractNumId w:val="37"/>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
  </w:num>
  <w:num w:numId="40">
    <w:abstractNumId w:val="36"/>
  </w:num>
  <w:num w:numId="41">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1433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0E8C"/>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4D56"/>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48E"/>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7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55B3"/>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03"/>
    <w:rsid w:val="009217B1"/>
    <w:rsid w:val="00921A42"/>
    <w:rsid w:val="009223BB"/>
    <w:rsid w:val="00922491"/>
    <w:rsid w:val="00923BCF"/>
    <w:rsid w:val="00925AEC"/>
    <w:rsid w:val="0092751A"/>
    <w:rsid w:val="009305C4"/>
    <w:rsid w:val="00931FAF"/>
    <w:rsid w:val="00934516"/>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77D"/>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9CA"/>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D7F37"/>
    <w:rsid w:val="00BE19EF"/>
    <w:rsid w:val="00BE425B"/>
    <w:rsid w:val="00BE51BB"/>
    <w:rsid w:val="00BE7595"/>
    <w:rsid w:val="00BE77D3"/>
    <w:rsid w:val="00BF0138"/>
    <w:rsid w:val="00BF114B"/>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7BE"/>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2DD8"/>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97E34"/>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841"/>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uiPriority w:val="9"/>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uiPriority w:val="99"/>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uiPriority w:val="9"/>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uiPriority w:val="9"/>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uiPriority w:val="99"/>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uiPriority w:val="9"/>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94F39-B779-406C-B2DA-9D02F17D394C}">
  <ds:schemaRefs>
    <ds:schemaRef ds:uri="http://schemas.openxmlformats.org/officeDocument/2006/bibliography"/>
  </ds:schemaRefs>
</ds:datastoreItem>
</file>

<file path=customXml/itemProps2.xml><?xml version="1.0" encoding="utf-8"?>
<ds:datastoreItem xmlns:ds="http://schemas.openxmlformats.org/officeDocument/2006/customXml" ds:itemID="{38ADF54E-70AA-4816-B637-AEF00C8B2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30</Pages>
  <Words>12184</Words>
  <Characters>67017</Characters>
  <Application>Microsoft Office Word</Application>
  <DocSecurity>8</DocSecurity>
  <Lines>558</Lines>
  <Paragraphs>158</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79043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agulhon</cp:lastModifiedBy>
  <cp:revision>11</cp:revision>
  <cp:lastPrinted>2015-02-18T11:01:00Z</cp:lastPrinted>
  <dcterms:created xsi:type="dcterms:W3CDTF">2015-08-13T12:57:00Z</dcterms:created>
  <dcterms:modified xsi:type="dcterms:W3CDTF">2015-08-17T13:02:00Z</dcterms:modified>
</cp:coreProperties>
</file>