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Appelnotedebasdep"/>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024A9E">
        <w:tc>
          <w:tcPr>
            <w:tcW w:w="3929" w:type="dxa"/>
            <w:shd w:val="clear" w:color="auto" w:fill="auto"/>
          </w:tcPr>
          <w:p w:rsidR="00D34282" w:rsidRPr="00AB6D88" w:rsidRDefault="00D34282" w:rsidP="00024A9E">
            <w:pPr>
              <w:rPr>
                <w:rFonts w:cs="Arial"/>
              </w:rPr>
            </w:pPr>
            <w:permStart w:id="0" w:edGrp="everyone" w:colFirst="1" w:colLast="1"/>
            <w:r w:rsidRPr="00AB6D88">
              <w:rPr>
                <w:rFonts w:cs="Arial"/>
              </w:rPr>
              <w:t>Name of the company / organisation</w:t>
            </w:r>
          </w:p>
        </w:tc>
        <w:sdt>
          <w:sdtPr>
            <w:rPr>
              <w:rStyle w:val="Textedelespacerserv"/>
              <w:rFonts w:cs="Arial"/>
              <w:lang w:val="fr-FR"/>
            </w:rPr>
            <w:id w:val="-1905066999"/>
            <w:text/>
          </w:sdtPr>
          <w:sdtContent>
            <w:permStart w:id="1" w:edGrp="everyone" w:displacedByCustomXml="prev"/>
            <w:tc>
              <w:tcPr>
                <w:tcW w:w="5595" w:type="dxa"/>
                <w:shd w:val="clear" w:color="auto" w:fill="auto"/>
              </w:tcPr>
              <w:p w:rsidR="00D34282" w:rsidRPr="00024A9E" w:rsidRDefault="00024A9E" w:rsidP="00024A9E">
                <w:pPr>
                  <w:rPr>
                    <w:rStyle w:val="Textedelespacerserv"/>
                    <w:rFonts w:cs="Arial"/>
                    <w:lang w:val="fr-FR"/>
                  </w:rPr>
                </w:pPr>
                <w:r w:rsidRPr="00024A9E">
                  <w:rPr>
                    <w:rStyle w:val="Textedelespacerserv"/>
                    <w:rFonts w:cs="Arial"/>
                    <w:lang w:val="fr-FR"/>
                  </w:rPr>
                  <w:t>AMAFI – Association française des marchés financiers</w:t>
                </w:r>
              </w:p>
            </w:tc>
            <w:permEnd w:id="1" w:displacedByCustomXml="next"/>
          </w:sdtContent>
        </w:sdt>
      </w:tr>
      <w:tr w:rsidR="00D34282" w:rsidRPr="00AB6D88" w:rsidTr="00024A9E">
        <w:tc>
          <w:tcPr>
            <w:tcW w:w="3929" w:type="dxa"/>
            <w:shd w:val="clear" w:color="auto" w:fill="auto"/>
          </w:tcPr>
          <w:p w:rsidR="00D34282" w:rsidRPr="00AB6D88" w:rsidRDefault="00D34282" w:rsidP="00024A9E">
            <w:pPr>
              <w:rPr>
                <w:rFonts w:cs="Arial"/>
              </w:rPr>
            </w:pPr>
            <w:permStart w:id="2" w:edGrp="everyone" w:colFirst="1" w:colLast="1"/>
            <w:permEnd w:id="0"/>
            <w:r w:rsidRPr="00AB6D88">
              <w:rPr>
                <w:rFonts w:cs="Arial"/>
              </w:rPr>
              <w:t>Activity</w:t>
            </w:r>
          </w:p>
        </w:tc>
        <w:tc>
          <w:tcPr>
            <w:tcW w:w="5595" w:type="dxa"/>
            <w:shd w:val="clear" w:color="auto" w:fill="auto"/>
          </w:tcPr>
          <w:p w:rsidR="00D34282" w:rsidRPr="00AB6D88" w:rsidRDefault="005E046A" w:rsidP="00024A9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 w:edGrp="everyone"/>
                <w:r w:rsidR="00024A9E">
                  <w:rPr>
                    <w:rFonts w:cs="Arial"/>
                  </w:rPr>
                  <w:t>Investment Services</w:t>
                </w:r>
                <w:permEnd w:id="3"/>
              </w:sdtContent>
            </w:sdt>
          </w:p>
        </w:tc>
      </w:tr>
      <w:tr w:rsidR="00D34282" w:rsidRPr="00AB6D88" w:rsidTr="00024A9E">
        <w:tc>
          <w:tcPr>
            <w:tcW w:w="3929" w:type="dxa"/>
            <w:shd w:val="clear" w:color="auto" w:fill="auto"/>
          </w:tcPr>
          <w:p w:rsidR="00D34282" w:rsidRPr="00AB6D88" w:rsidRDefault="00D34282" w:rsidP="00024A9E">
            <w:pPr>
              <w:rPr>
                <w:rFonts w:cs="Arial"/>
              </w:rPr>
            </w:pPr>
            <w:permStart w:id="4" w:edGrp="everyone" w:colFirst="1" w:colLast="1"/>
            <w:permEnd w:id="2"/>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024A9E" w:rsidP="00024A9E">
                <w:pPr>
                  <w:rPr>
                    <w:rFonts w:cs="Arial"/>
                  </w:rPr>
                </w:pPr>
                <w:r>
                  <w:rPr>
                    <w:rFonts w:ascii="MS Gothic" w:eastAsia="MS Gothic" w:hAnsi="MS Gothic" w:cs="MS Gothic"/>
                  </w:rPr>
                  <w:t>x</w:t>
                </w:r>
              </w:p>
            </w:tc>
          </w:sdtContent>
        </w:sdt>
      </w:tr>
      <w:tr w:rsidR="00D34282" w:rsidRPr="00AB6D88" w:rsidTr="00024A9E">
        <w:tc>
          <w:tcPr>
            <w:tcW w:w="3929" w:type="dxa"/>
            <w:shd w:val="clear" w:color="auto" w:fill="auto"/>
          </w:tcPr>
          <w:p w:rsidR="00D34282" w:rsidRPr="00AB6D88" w:rsidRDefault="00D34282" w:rsidP="00024A9E">
            <w:pPr>
              <w:rPr>
                <w:rFonts w:cs="Arial"/>
              </w:rPr>
            </w:pPr>
            <w:permStart w:id="5" w:edGrp="everyone" w:colFirst="1" w:colLast="1"/>
            <w:permEnd w:id="4"/>
            <w:r w:rsidRPr="00AB6D88">
              <w:rPr>
                <w:rFonts w:cs="Arial"/>
              </w:rPr>
              <w:t>Country/Region</w:t>
            </w:r>
          </w:p>
        </w:tc>
        <w:permStart w:id="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7" w:edGrp="everyone" w:displacedByCustomXml="prev"/>
            <w:tc>
              <w:tcPr>
                <w:tcW w:w="5595" w:type="dxa"/>
                <w:shd w:val="clear" w:color="auto" w:fill="auto"/>
              </w:tcPr>
              <w:p w:rsidR="00D34282" w:rsidRPr="00AB6D88" w:rsidRDefault="00024A9E" w:rsidP="00024A9E">
                <w:pPr>
                  <w:rPr>
                    <w:rFonts w:cs="Arial"/>
                  </w:rPr>
                </w:pPr>
                <w:r>
                  <w:rPr>
                    <w:rFonts w:cs="Arial"/>
                  </w:rPr>
                  <w:t>France</w:t>
                </w:r>
              </w:p>
            </w:tc>
            <w:permEnd w:id="7" w:displacedByCustomXml="next"/>
          </w:sdtContent>
        </w:sdt>
        <w:permEnd w:id="6" w:displacedByCustomXml="prev"/>
      </w:tr>
      <w:permEnd w:id="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1557C1" w:rsidRDefault="001557C1" w:rsidP="001557C1">
      <w:pPr>
        <w:shd w:val="clear" w:color="auto" w:fill="FFFFFF" w:themeFill="background1"/>
        <w:spacing w:line="240" w:lineRule="exact"/>
      </w:pPr>
      <w:permStart w:id="8" w:edGrp="everyone"/>
      <w:r w:rsidRPr="006303C4">
        <w:t xml:space="preserve">Association </w:t>
      </w:r>
      <w:proofErr w:type="spellStart"/>
      <w:r w:rsidRPr="006303C4">
        <w:t>française</w:t>
      </w:r>
      <w:proofErr w:type="spellEnd"/>
      <w:r w:rsidRPr="006303C4">
        <w:t xml:space="preserve"> des </w:t>
      </w:r>
      <w:proofErr w:type="spellStart"/>
      <w:r w:rsidRPr="006303C4">
        <w:t>marchés</w:t>
      </w:r>
      <w:proofErr w:type="spellEnd"/>
      <w:r w:rsidRPr="006303C4">
        <w:t xml:space="preserve"> financiers (AMAFI) is the trade organisation working at national, Eur</w:t>
      </w:r>
      <w:r w:rsidRPr="006303C4">
        <w:t>o</w:t>
      </w:r>
      <w:r w:rsidRPr="006303C4">
        <w:t>pean and international levels to represent financial market participants in France. It acts on behalf of credit institutions, investment firms and trading and post-trade infrastructures, regardless of where they operate or where their clients or counterparties are located. AMAFI has more than 120 members operating for their own account or for clients in different segments, particularly organised and over-the-counter markets for equities, fixed-income products and derivatives. Nearly one-third of its members are subsidiaries or bran</w:t>
      </w:r>
      <w:r>
        <w:t>ches of non-French institutions.</w:t>
      </w:r>
    </w:p>
    <w:p w:rsidR="001557C1" w:rsidRDefault="001557C1" w:rsidP="001557C1">
      <w:pPr>
        <w:shd w:val="clear" w:color="auto" w:fill="FFFFFF" w:themeFill="background1"/>
        <w:spacing w:line="240" w:lineRule="exact"/>
      </w:pPr>
    </w:p>
    <w:p w:rsidR="001557C1" w:rsidRDefault="001557C1" w:rsidP="001557C1">
      <w:pPr>
        <w:shd w:val="clear" w:color="auto" w:fill="FFFFFF" w:themeFill="background1"/>
        <w:spacing w:line="240" w:lineRule="exact"/>
      </w:pPr>
      <w:r>
        <w:t>Prior to answering to the specific questions of the technical discussion paper (TDP), AMAFI would like to draw the Joint Committee’s attention on the following issues:</w:t>
      </w:r>
    </w:p>
    <w:p w:rsidR="001557C1" w:rsidRDefault="001557C1" w:rsidP="001557C1">
      <w:pPr>
        <w:shd w:val="clear" w:color="auto" w:fill="FFFFFF" w:themeFill="background1"/>
        <w:spacing w:line="240" w:lineRule="exact"/>
      </w:pPr>
    </w:p>
    <w:p w:rsidR="001557C1" w:rsidRPr="00672F65" w:rsidRDefault="001557C1" w:rsidP="001557C1">
      <w:pPr>
        <w:pStyle w:val="Paragraphedeliste"/>
        <w:numPr>
          <w:ilvl w:val="0"/>
          <w:numId w:val="54"/>
        </w:numPr>
        <w:shd w:val="clear" w:color="auto" w:fill="FFFFFF" w:themeFill="background1"/>
        <w:spacing w:line="240" w:lineRule="exact"/>
        <w:rPr>
          <w:b/>
        </w:rPr>
      </w:pPr>
      <w:r w:rsidRPr="00672F65">
        <w:rPr>
          <w:b/>
        </w:rPr>
        <w:t>Scope of the PRIIPs Regulation</w:t>
      </w:r>
    </w:p>
    <w:p w:rsidR="001557C1" w:rsidRDefault="001557C1" w:rsidP="001557C1">
      <w:pPr>
        <w:shd w:val="clear" w:color="auto" w:fill="FFFFFF" w:themeFill="background1"/>
        <w:spacing w:line="240" w:lineRule="exact"/>
      </w:pPr>
    </w:p>
    <w:p w:rsidR="001557C1" w:rsidRDefault="001557C1" w:rsidP="001557C1">
      <w:pPr>
        <w:shd w:val="clear" w:color="auto" w:fill="FFFFFF" w:themeFill="background1"/>
        <w:spacing w:line="240" w:lineRule="exact"/>
      </w:pPr>
      <w:r>
        <w:t>According to Table 2 of the discussion paper dated 17 November 2014, convertible bonds and any OTC derivatives are included in the scope of the PRIIPs Regulation.</w:t>
      </w:r>
    </w:p>
    <w:p w:rsidR="001557C1" w:rsidRDefault="001557C1" w:rsidP="001557C1">
      <w:pPr>
        <w:shd w:val="clear" w:color="auto" w:fill="FFFFFF" w:themeFill="background1"/>
        <w:spacing w:line="240" w:lineRule="exact"/>
      </w:pPr>
    </w:p>
    <w:p w:rsidR="001557C1" w:rsidRDefault="001557C1" w:rsidP="001557C1">
      <w:pPr>
        <w:shd w:val="clear" w:color="auto" w:fill="FFFFFF" w:themeFill="background1"/>
        <w:spacing w:line="240" w:lineRule="exact"/>
      </w:pPr>
      <w:r>
        <w:t>However, as regards convertible bonds, contrary to the definition of PRIIPs, these products are not d</w:t>
      </w:r>
      <w:r>
        <w:t>e</w:t>
      </w:r>
      <w:r>
        <w:t>signed “</w:t>
      </w:r>
      <w:r w:rsidRPr="00425862">
        <w:rPr>
          <w:i/>
        </w:rPr>
        <w:t>to provide investment opportunities to retail investors</w:t>
      </w:r>
      <w:r>
        <w:t>” (</w:t>
      </w:r>
      <w:r>
        <w:rPr>
          <w:i/>
          <w:u w:val="single"/>
        </w:rPr>
        <w:t>PRIIPs Regulation, Recital 6</w:t>
      </w:r>
      <w:r>
        <w:t>), as their primary purpose is to meet the financing needs of their issuers, not investment needs of retail investors. They are governed by rules applying to financing instruments, so that it is not justified to distinguish them from corporate shares or bonds which are out of the scope of the Regulation. Furthermore, none of the methodological options considered in the TDP are tailored for those products, which makes it unlikely that the final choices will be appropriate for them. For instance, the cost structure of convertible bonds is different from the one of the other PRIIPs and more particularly from the cost structure of “</w:t>
      </w:r>
      <w:r w:rsidRPr="00425862">
        <w:rPr>
          <w:i/>
        </w:rPr>
        <w:t>structured products</w:t>
      </w:r>
      <w:r>
        <w:t>” to which they are wrongly assimilated, since unlike these products they do not include implicit costs paid by the investors. Indeed, investors buy convertible bonds at their market price.</w:t>
      </w:r>
    </w:p>
    <w:p w:rsidR="001557C1" w:rsidRDefault="001557C1" w:rsidP="001557C1">
      <w:pPr>
        <w:shd w:val="clear" w:color="auto" w:fill="FFFFFF" w:themeFill="background1"/>
        <w:spacing w:line="240" w:lineRule="exact"/>
      </w:pPr>
    </w:p>
    <w:p w:rsidR="001557C1" w:rsidRDefault="001557C1" w:rsidP="001557C1">
      <w:pPr>
        <w:shd w:val="clear" w:color="auto" w:fill="FFFFFF" w:themeFill="background1"/>
        <w:spacing w:line="240" w:lineRule="exact"/>
      </w:pPr>
      <w:r>
        <w:t>As regards, OTC derivatives, although AMAFI agrees that those intended for mass distribution like CFDs are within the scope of the Regulation, those contracted with corporate clients classified as retail clients on the contrary are not PRIIPs for the following reasons:</w:t>
      </w:r>
    </w:p>
    <w:p w:rsidR="001557C1" w:rsidRDefault="001557C1" w:rsidP="001557C1">
      <w:pPr>
        <w:shd w:val="clear" w:color="auto" w:fill="FFFFFF" w:themeFill="background1"/>
        <w:spacing w:line="240" w:lineRule="exact"/>
      </w:pPr>
    </w:p>
    <w:p w:rsidR="001557C1" w:rsidRPr="00957208" w:rsidRDefault="001557C1" w:rsidP="001557C1">
      <w:pPr>
        <w:shd w:val="clear" w:color="auto" w:fill="FFFFFF" w:themeFill="background1"/>
        <w:autoSpaceDE w:val="0"/>
        <w:autoSpaceDN w:val="0"/>
        <w:adjustRightInd w:val="0"/>
        <w:spacing w:after="33"/>
        <w:ind w:left="567"/>
        <w:rPr>
          <w:color w:val="000000"/>
          <w:lang w:val="en-US" w:eastAsia="en-GB"/>
        </w:rPr>
      </w:pPr>
      <w:r w:rsidRPr="00957208">
        <w:rPr>
          <w:rFonts w:ascii="Wingdings" w:hAnsi="Wingdings" w:cs="Wingdings"/>
          <w:color w:val="000000"/>
          <w:lang w:val="fr-FR" w:eastAsia="en-GB"/>
        </w:rPr>
        <w:t></w:t>
      </w:r>
      <w:r w:rsidRPr="00957208">
        <w:rPr>
          <w:rFonts w:ascii="Wingdings" w:hAnsi="Wingdings" w:cs="Wingdings"/>
          <w:color w:val="000000"/>
          <w:lang w:val="fr-FR" w:eastAsia="en-GB"/>
        </w:rPr>
        <w:t></w:t>
      </w:r>
      <w:r w:rsidRPr="00957208">
        <w:rPr>
          <w:color w:val="000000"/>
          <w:lang w:val="en-US" w:eastAsia="en-GB"/>
        </w:rPr>
        <w:t>There is no distribution as such to retail investors, only a bilaterally negotiated</w:t>
      </w:r>
      <w:r>
        <w:rPr>
          <w:color w:val="000000"/>
          <w:lang w:val="en-US" w:eastAsia="en-GB"/>
        </w:rPr>
        <w:t xml:space="preserve"> </w:t>
      </w:r>
      <w:r w:rsidRPr="00957208">
        <w:rPr>
          <w:color w:val="000000"/>
          <w:lang w:val="en-US" w:eastAsia="en-GB"/>
        </w:rPr>
        <w:t xml:space="preserve">contract; </w:t>
      </w:r>
    </w:p>
    <w:p w:rsidR="001557C1" w:rsidRPr="00957208" w:rsidRDefault="001557C1" w:rsidP="001557C1">
      <w:pPr>
        <w:shd w:val="clear" w:color="auto" w:fill="FFFFFF" w:themeFill="background1"/>
        <w:autoSpaceDE w:val="0"/>
        <w:autoSpaceDN w:val="0"/>
        <w:adjustRightInd w:val="0"/>
        <w:spacing w:after="33"/>
        <w:ind w:left="567"/>
        <w:rPr>
          <w:color w:val="000000"/>
          <w:lang w:val="en-US" w:eastAsia="en-GB"/>
        </w:rPr>
      </w:pPr>
      <w:r w:rsidRPr="00957208">
        <w:rPr>
          <w:rFonts w:ascii="Wingdings" w:hAnsi="Wingdings" w:cs="Wingdings"/>
          <w:color w:val="000000"/>
          <w:lang w:val="fr-FR" w:eastAsia="en-GB"/>
        </w:rPr>
        <w:t></w:t>
      </w:r>
      <w:r w:rsidRPr="00957208">
        <w:rPr>
          <w:rFonts w:ascii="Wingdings" w:hAnsi="Wingdings" w:cs="Wingdings"/>
          <w:color w:val="000000"/>
          <w:lang w:val="fr-FR" w:eastAsia="en-GB"/>
        </w:rPr>
        <w:t></w:t>
      </w:r>
      <w:r w:rsidRPr="00957208">
        <w:rPr>
          <w:color w:val="000000"/>
          <w:lang w:val="en-US" w:eastAsia="en-GB"/>
        </w:rPr>
        <w:t>There is no repayable amount to the retail investor as stated in the definition of a PRI</w:t>
      </w:r>
      <w:r>
        <w:rPr>
          <w:color w:val="000000"/>
          <w:lang w:val="en-US" w:eastAsia="en-GB"/>
        </w:rPr>
        <w:t>I</w:t>
      </w:r>
      <w:r w:rsidRPr="00957208">
        <w:rPr>
          <w:color w:val="000000"/>
          <w:lang w:val="en-US" w:eastAsia="en-GB"/>
        </w:rPr>
        <w:t xml:space="preserve">P; </w:t>
      </w:r>
      <w:r>
        <w:rPr>
          <w:color w:val="000000"/>
          <w:lang w:val="en-US" w:eastAsia="en-GB"/>
        </w:rPr>
        <w:t>and</w:t>
      </w:r>
    </w:p>
    <w:p w:rsidR="001557C1" w:rsidRDefault="001557C1" w:rsidP="001557C1">
      <w:pPr>
        <w:shd w:val="clear" w:color="auto" w:fill="FFFFFF" w:themeFill="background1"/>
        <w:autoSpaceDE w:val="0"/>
        <w:autoSpaceDN w:val="0"/>
        <w:adjustRightInd w:val="0"/>
        <w:ind w:left="567"/>
        <w:rPr>
          <w:color w:val="000000"/>
          <w:lang w:val="en-US" w:eastAsia="en-GB"/>
        </w:rPr>
      </w:pPr>
      <w:r w:rsidRPr="00957208">
        <w:rPr>
          <w:rFonts w:ascii="Wingdings" w:hAnsi="Wingdings" w:cs="Wingdings"/>
          <w:color w:val="000000"/>
          <w:lang w:val="fr-FR" w:eastAsia="en-GB"/>
        </w:rPr>
        <w:t></w:t>
      </w:r>
      <w:r w:rsidRPr="00957208">
        <w:rPr>
          <w:rFonts w:ascii="Wingdings" w:hAnsi="Wingdings" w:cs="Wingdings"/>
          <w:color w:val="000000"/>
          <w:lang w:val="fr-FR" w:eastAsia="en-GB"/>
        </w:rPr>
        <w:t></w:t>
      </w:r>
      <w:r w:rsidRPr="00957208">
        <w:rPr>
          <w:color w:val="000000"/>
          <w:lang w:val="en-US" w:eastAsia="en-GB"/>
        </w:rPr>
        <w:t>Some derivatives solely exposed to an interest rate are similar to fixed rate or variable rate d</w:t>
      </w:r>
      <w:r w:rsidRPr="00957208">
        <w:rPr>
          <w:color w:val="000000"/>
          <w:lang w:val="en-US" w:eastAsia="en-GB"/>
        </w:rPr>
        <w:t>e</w:t>
      </w:r>
      <w:r w:rsidRPr="00957208">
        <w:rPr>
          <w:color w:val="000000"/>
          <w:lang w:val="en-US" w:eastAsia="en-GB"/>
        </w:rPr>
        <w:t>posits, wh</w:t>
      </w:r>
      <w:r>
        <w:rPr>
          <w:color w:val="000000"/>
          <w:lang w:val="en-US" w:eastAsia="en-GB"/>
        </w:rPr>
        <w:t>ich are out of scope of PRIIPS.</w:t>
      </w:r>
    </w:p>
    <w:p w:rsidR="001557C1" w:rsidRDefault="001557C1" w:rsidP="001557C1">
      <w:pPr>
        <w:shd w:val="clear" w:color="auto" w:fill="FFFFFF" w:themeFill="background1"/>
        <w:autoSpaceDE w:val="0"/>
        <w:autoSpaceDN w:val="0"/>
        <w:adjustRightInd w:val="0"/>
        <w:rPr>
          <w:color w:val="000000"/>
          <w:lang w:val="en-US" w:eastAsia="en-GB"/>
        </w:rPr>
      </w:pPr>
    </w:p>
    <w:p w:rsidR="001557C1" w:rsidRDefault="001557C1" w:rsidP="001557C1">
      <w:pPr>
        <w:shd w:val="clear" w:color="auto" w:fill="FFFFFF" w:themeFill="background1"/>
        <w:rPr>
          <w:color w:val="000000"/>
          <w:lang w:val="en-US" w:eastAsia="en-GB"/>
        </w:rPr>
      </w:pPr>
      <w:r>
        <w:rPr>
          <w:color w:val="000000"/>
          <w:lang w:val="en-US" w:eastAsia="en-GB"/>
        </w:rPr>
        <w:t>In addition, each contract being different from the other, those derivatives are not standard products ready for mass distribution to retail investors. Applying the requirement to produce a KID for these products would in effect mean that any single derivative contract with a client would require a KID, which seems disproportionate considering the lack of value added for the corporate clients concerned.</w:t>
      </w:r>
    </w:p>
    <w:p w:rsidR="001557C1" w:rsidRDefault="001557C1" w:rsidP="001557C1">
      <w:pPr>
        <w:shd w:val="clear" w:color="auto" w:fill="FFFFFF" w:themeFill="background1"/>
        <w:rPr>
          <w:color w:val="000000"/>
          <w:lang w:val="en-US" w:eastAsia="en-GB"/>
        </w:rPr>
      </w:pPr>
    </w:p>
    <w:p w:rsidR="001557C1" w:rsidRDefault="001557C1" w:rsidP="001557C1">
      <w:pPr>
        <w:shd w:val="clear" w:color="auto" w:fill="FFFFFF" w:themeFill="background1"/>
        <w:rPr>
          <w:color w:val="000000"/>
          <w:lang w:val="en-US" w:eastAsia="en-GB"/>
        </w:rPr>
      </w:pPr>
      <w:r>
        <w:rPr>
          <w:color w:val="000000"/>
          <w:lang w:val="en-US" w:eastAsia="en-GB"/>
        </w:rPr>
        <w:lastRenderedPageBreak/>
        <w:t xml:space="preserve">For these reasons, </w:t>
      </w:r>
      <w:r w:rsidRPr="001557C1">
        <w:rPr>
          <w:color w:val="000000"/>
          <w:u w:val="single"/>
          <w:lang w:val="en-US" w:eastAsia="en-GB"/>
        </w:rPr>
        <w:t>AMAFI considers that it should be clearly provided in the level 2 measures related to the PRIIPs Regulation that convertible bonds and OTC derivative contracts are not PRIIPs and that KIDs do not have to be drawn up for such products</w:t>
      </w:r>
      <w:r>
        <w:rPr>
          <w:color w:val="000000"/>
          <w:lang w:val="en-US" w:eastAsia="en-GB"/>
        </w:rPr>
        <w:t>.</w:t>
      </w:r>
    </w:p>
    <w:p w:rsidR="001557C1" w:rsidRDefault="001557C1" w:rsidP="001557C1">
      <w:pPr>
        <w:shd w:val="clear" w:color="auto" w:fill="FFFFFF" w:themeFill="background1"/>
        <w:rPr>
          <w:color w:val="000000"/>
          <w:lang w:val="en-US" w:eastAsia="en-GB"/>
        </w:rPr>
      </w:pPr>
    </w:p>
    <w:p w:rsidR="001557C1" w:rsidRPr="00400B07" w:rsidRDefault="001557C1" w:rsidP="001557C1">
      <w:pPr>
        <w:pStyle w:val="Paragraphedeliste"/>
        <w:numPr>
          <w:ilvl w:val="0"/>
          <w:numId w:val="54"/>
        </w:numPr>
        <w:shd w:val="clear" w:color="auto" w:fill="FFFFFF" w:themeFill="background1"/>
        <w:rPr>
          <w:b/>
          <w:color w:val="000000"/>
          <w:lang w:val="en-US" w:eastAsia="en-GB"/>
        </w:rPr>
      </w:pPr>
      <w:r w:rsidRPr="00400B07">
        <w:rPr>
          <w:b/>
          <w:color w:val="000000"/>
          <w:lang w:val="en-US" w:eastAsia="en-GB"/>
        </w:rPr>
        <w:t>Entry into effect of the RTS</w:t>
      </w:r>
    </w:p>
    <w:p w:rsidR="001557C1" w:rsidRDefault="001557C1" w:rsidP="001557C1">
      <w:pPr>
        <w:shd w:val="clear" w:color="auto" w:fill="FFFFFF" w:themeFill="background1"/>
        <w:rPr>
          <w:color w:val="000000"/>
          <w:lang w:val="en-US" w:eastAsia="en-GB"/>
        </w:rPr>
      </w:pPr>
    </w:p>
    <w:p w:rsidR="001557C1" w:rsidRDefault="001557C1" w:rsidP="001557C1">
      <w:pPr>
        <w:shd w:val="clear" w:color="auto" w:fill="FFFFFF" w:themeFill="background1"/>
        <w:rPr>
          <w:color w:val="000000"/>
          <w:lang w:val="en-US" w:eastAsia="en-GB"/>
        </w:rPr>
      </w:pPr>
      <w:r>
        <w:rPr>
          <w:color w:val="000000"/>
          <w:lang w:val="en-US" w:eastAsia="en-GB"/>
        </w:rPr>
        <w:t xml:space="preserve">The timing of application of the requirement to provide to retail clients a KID which would be compliant with the requirements provided in the draft RTS is a major concern, considering the </w:t>
      </w:r>
      <w:r w:rsidRPr="00FD4636">
        <w:rPr>
          <w:lang w:val="en-US"/>
        </w:rPr>
        <w:t xml:space="preserve">volume of products </w:t>
      </w:r>
      <w:r>
        <w:rPr>
          <w:lang w:val="en-US"/>
        </w:rPr>
        <w:t>in scope and the complexity of the solutions being discussed</w:t>
      </w:r>
      <w:r w:rsidRPr="00FD4636">
        <w:rPr>
          <w:lang w:val="en-US"/>
        </w:rPr>
        <w:t xml:space="preserve">. The draft RTS related to the content of the KID should be submitted by </w:t>
      </w:r>
      <w:r>
        <w:rPr>
          <w:lang w:val="en-US"/>
        </w:rPr>
        <w:t>31 March</w:t>
      </w:r>
      <w:r w:rsidRPr="00FD4636">
        <w:rPr>
          <w:lang w:val="en-US"/>
        </w:rPr>
        <w:t xml:space="preserve"> 2016 </w:t>
      </w:r>
      <w:r>
        <w:rPr>
          <w:lang w:val="en-US"/>
        </w:rPr>
        <w:t xml:space="preserve">to the European Commission </w:t>
      </w:r>
      <w:r w:rsidRPr="00FD4636">
        <w:rPr>
          <w:lang w:val="en-US"/>
        </w:rPr>
        <w:t>wh</w:t>
      </w:r>
      <w:r>
        <w:rPr>
          <w:lang w:val="en-US"/>
        </w:rPr>
        <w:t>ich</w:t>
      </w:r>
      <w:r w:rsidRPr="00FD4636">
        <w:rPr>
          <w:lang w:val="en-US"/>
        </w:rPr>
        <w:t xml:space="preserve"> can take up to three months to </w:t>
      </w:r>
      <w:r>
        <w:rPr>
          <w:lang w:val="en-US"/>
        </w:rPr>
        <w:t>endorse</w:t>
      </w:r>
      <w:r w:rsidRPr="00FD4636">
        <w:rPr>
          <w:lang w:val="en-US"/>
        </w:rPr>
        <w:t xml:space="preserve"> them. This will be followed by a </w:t>
      </w:r>
      <w:r>
        <w:rPr>
          <w:lang w:val="en-US"/>
        </w:rPr>
        <w:t>period</w:t>
      </w:r>
      <w:r w:rsidRPr="00FD4636">
        <w:rPr>
          <w:lang w:val="en-US"/>
        </w:rPr>
        <w:t xml:space="preserve"> </w:t>
      </w:r>
      <w:r>
        <w:rPr>
          <w:lang w:val="en-US"/>
        </w:rPr>
        <w:t>during which</w:t>
      </w:r>
      <w:r w:rsidRPr="00FD4636">
        <w:rPr>
          <w:lang w:val="en-US"/>
        </w:rPr>
        <w:t xml:space="preserve"> the Parliament and the Council </w:t>
      </w:r>
      <w:r>
        <w:rPr>
          <w:lang w:val="en-US"/>
        </w:rPr>
        <w:t>can</w:t>
      </w:r>
      <w:r w:rsidRPr="00FD4636">
        <w:rPr>
          <w:lang w:val="en-US"/>
        </w:rPr>
        <w:t xml:space="preserve"> raise any objection, which can take up to three months. This means that the </w:t>
      </w:r>
      <w:r>
        <w:rPr>
          <w:lang w:val="en-US"/>
        </w:rPr>
        <w:t>final</w:t>
      </w:r>
      <w:r w:rsidRPr="00FD4636">
        <w:rPr>
          <w:lang w:val="en-US"/>
        </w:rPr>
        <w:t xml:space="preserve"> rules </w:t>
      </w:r>
      <w:r>
        <w:rPr>
          <w:lang w:val="en-US"/>
        </w:rPr>
        <w:t xml:space="preserve">concerning the content of the KID will be known </w:t>
      </w:r>
      <w:r w:rsidRPr="00FD4636">
        <w:rPr>
          <w:lang w:val="en-US"/>
        </w:rPr>
        <w:t>around September 2016</w:t>
      </w:r>
      <w:r>
        <w:rPr>
          <w:lang w:val="en-US"/>
        </w:rPr>
        <w:t>, leaving m</w:t>
      </w:r>
      <w:r w:rsidRPr="00FD4636">
        <w:rPr>
          <w:lang w:val="en-US"/>
        </w:rPr>
        <w:t xml:space="preserve">anufacturers </w:t>
      </w:r>
      <w:r>
        <w:rPr>
          <w:lang w:val="en-US"/>
        </w:rPr>
        <w:t>with only 4</w:t>
      </w:r>
      <w:r w:rsidRPr="00FD4636">
        <w:rPr>
          <w:lang w:val="en-US"/>
        </w:rPr>
        <w:t xml:space="preserve"> months </w:t>
      </w:r>
      <w:r>
        <w:rPr>
          <w:lang w:val="en-US"/>
        </w:rPr>
        <w:t>to implement the necessary IT</w:t>
      </w:r>
      <w:r w:rsidRPr="00FD4636">
        <w:rPr>
          <w:lang w:val="en-US"/>
        </w:rPr>
        <w:t xml:space="preserve"> developments</w:t>
      </w:r>
      <w:r>
        <w:rPr>
          <w:lang w:val="en-US"/>
        </w:rPr>
        <w:t xml:space="preserve"> to produce the KID if the date of entry into effect of the RTS were to be 31 December 2016</w:t>
      </w:r>
      <w:r w:rsidRPr="00FD4636">
        <w:rPr>
          <w:lang w:val="en-US"/>
        </w:rPr>
        <w:t>.</w:t>
      </w:r>
    </w:p>
    <w:p w:rsidR="001557C1" w:rsidRDefault="001557C1" w:rsidP="001557C1">
      <w:pPr>
        <w:shd w:val="clear" w:color="auto" w:fill="FFFFFF" w:themeFill="background1"/>
        <w:rPr>
          <w:color w:val="000000"/>
          <w:lang w:val="en-US" w:eastAsia="en-GB"/>
        </w:rPr>
      </w:pPr>
    </w:p>
    <w:p w:rsidR="001557C1" w:rsidRPr="00FD4636" w:rsidRDefault="001557C1" w:rsidP="001557C1">
      <w:pPr>
        <w:shd w:val="clear" w:color="auto" w:fill="FFFFFF" w:themeFill="background1"/>
        <w:tabs>
          <w:tab w:val="left" w:pos="6850"/>
        </w:tabs>
        <w:autoSpaceDE w:val="0"/>
        <w:autoSpaceDN w:val="0"/>
        <w:adjustRightInd w:val="0"/>
        <w:spacing w:line="240" w:lineRule="atLeast"/>
        <w:rPr>
          <w:lang w:val="en-US"/>
        </w:rPr>
      </w:pPr>
      <w:r>
        <w:rPr>
          <w:lang w:val="en-US"/>
        </w:rPr>
        <w:t xml:space="preserve">We are </w:t>
      </w:r>
      <w:r w:rsidRPr="00FD4636">
        <w:rPr>
          <w:lang w:val="en-US"/>
        </w:rPr>
        <w:t xml:space="preserve">very concerned that this </w:t>
      </w:r>
      <w:r>
        <w:rPr>
          <w:lang w:val="en-US"/>
        </w:rPr>
        <w:t xml:space="preserve">timing is too short considering </w:t>
      </w:r>
      <w:r w:rsidRPr="00FD4636">
        <w:rPr>
          <w:lang w:val="en-US"/>
        </w:rPr>
        <w:t>the amount of information in the KID that will require prior data processing and modeling, the number of KIDs which will have to be produced and the absence of any comparable document</w:t>
      </w:r>
      <w:r>
        <w:rPr>
          <w:lang w:val="en-US"/>
        </w:rPr>
        <w:t xml:space="preserve"> used for these products so far</w:t>
      </w:r>
      <w:r w:rsidRPr="00FD4636">
        <w:rPr>
          <w:lang w:val="en-US"/>
        </w:rPr>
        <w:t>.</w:t>
      </w:r>
    </w:p>
    <w:p w:rsidR="001557C1" w:rsidRPr="00FD4636" w:rsidRDefault="001557C1" w:rsidP="001557C1">
      <w:pPr>
        <w:shd w:val="clear" w:color="auto" w:fill="FFFFFF" w:themeFill="background1"/>
        <w:tabs>
          <w:tab w:val="left" w:pos="6850"/>
        </w:tabs>
        <w:autoSpaceDE w:val="0"/>
        <w:autoSpaceDN w:val="0"/>
        <w:adjustRightInd w:val="0"/>
        <w:spacing w:line="240" w:lineRule="atLeast"/>
        <w:rPr>
          <w:lang w:val="en-US"/>
        </w:rPr>
      </w:pPr>
    </w:p>
    <w:p w:rsidR="001557C1" w:rsidRDefault="001557C1" w:rsidP="001557C1">
      <w:pPr>
        <w:shd w:val="clear" w:color="auto" w:fill="FFFFFF" w:themeFill="background1"/>
        <w:tabs>
          <w:tab w:val="left" w:pos="6850"/>
        </w:tabs>
        <w:autoSpaceDE w:val="0"/>
        <w:autoSpaceDN w:val="0"/>
        <w:adjustRightInd w:val="0"/>
        <w:spacing w:line="240" w:lineRule="atLeast"/>
        <w:rPr>
          <w:lang w:val="en-US"/>
        </w:rPr>
      </w:pPr>
      <w:r w:rsidRPr="00FD4636">
        <w:rPr>
          <w:lang w:val="en-US"/>
        </w:rPr>
        <w:t xml:space="preserve">More time is needed </w:t>
      </w:r>
      <w:r>
        <w:rPr>
          <w:lang w:val="en-US"/>
        </w:rPr>
        <w:t xml:space="preserve">for manufacturers to adapt their processes and IT systems in order to comply with the requirements related to the format and content of the KID, and </w:t>
      </w:r>
      <w:r w:rsidRPr="00FD4636">
        <w:rPr>
          <w:lang w:val="en-US"/>
        </w:rPr>
        <w:t>ensure</w:t>
      </w:r>
      <w:r>
        <w:rPr>
          <w:lang w:val="en-US"/>
        </w:rPr>
        <w:t xml:space="preserve"> the</w:t>
      </w:r>
      <w:r w:rsidRPr="00FD4636">
        <w:rPr>
          <w:lang w:val="en-US"/>
        </w:rPr>
        <w:t xml:space="preserve"> </w:t>
      </w:r>
      <w:r>
        <w:rPr>
          <w:lang w:val="en-US"/>
        </w:rPr>
        <w:t>accuracy</w:t>
      </w:r>
      <w:r w:rsidRPr="00FD4636">
        <w:rPr>
          <w:lang w:val="en-US"/>
        </w:rPr>
        <w:t xml:space="preserve"> of KID</w:t>
      </w:r>
      <w:r>
        <w:rPr>
          <w:lang w:val="en-US"/>
        </w:rPr>
        <w:t>s</w:t>
      </w:r>
      <w:r w:rsidRPr="00112B64">
        <w:rPr>
          <w:lang w:val="en-US"/>
        </w:rPr>
        <w:t xml:space="preserve">. </w:t>
      </w:r>
    </w:p>
    <w:p w:rsidR="001557C1" w:rsidRDefault="001557C1" w:rsidP="001557C1">
      <w:pPr>
        <w:shd w:val="clear" w:color="auto" w:fill="FFFFFF" w:themeFill="background1"/>
        <w:tabs>
          <w:tab w:val="left" w:pos="6850"/>
        </w:tabs>
        <w:autoSpaceDE w:val="0"/>
        <w:autoSpaceDN w:val="0"/>
        <w:adjustRightInd w:val="0"/>
        <w:spacing w:line="240" w:lineRule="atLeast"/>
        <w:rPr>
          <w:lang w:val="en-US"/>
        </w:rPr>
      </w:pPr>
    </w:p>
    <w:p w:rsidR="001557C1" w:rsidRPr="00112B64" w:rsidRDefault="001557C1" w:rsidP="001557C1">
      <w:pPr>
        <w:shd w:val="clear" w:color="auto" w:fill="FFFFFF" w:themeFill="background1"/>
        <w:tabs>
          <w:tab w:val="left" w:pos="6850"/>
        </w:tabs>
        <w:autoSpaceDE w:val="0"/>
        <w:autoSpaceDN w:val="0"/>
        <w:adjustRightInd w:val="0"/>
        <w:spacing w:line="240" w:lineRule="atLeast"/>
        <w:rPr>
          <w:lang w:val="en-US"/>
        </w:rPr>
      </w:pPr>
      <w:r w:rsidRPr="00400B07">
        <w:rPr>
          <w:u w:val="single"/>
          <w:lang w:val="en-US"/>
        </w:rPr>
        <w:t>AMAFI therefore suggest that the Joint Committee postpone to one year after the date of entry into force of the regulation endorsing the RTS, the entry into effect of these requirements, and thus of the requir</w:t>
      </w:r>
      <w:r w:rsidRPr="00400B07">
        <w:rPr>
          <w:u w:val="single"/>
          <w:lang w:val="en-US"/>
        </w:rPr>
        <w:t>e</w:t>
      </w:r>
      <w:r w:rsidRPr="00400B07">
        <w:rPr>
          <w:u w:val="single"/>
          <w:lang w:val="en-US"/>
        </w:rPr>
        <w:t>ment for manufacturers to draw up a KID which will be provided to retail clients</w:t>
      </w:r>
      <w:r>
        <w:rPr>
          <w:lang w:val="en-US"/>
        </w:rPr>
        <w:t>.</w:t>
      </w:r>
    </w:p>
    <w:p w:rsidR="001557C1" w:rsidRPr="00FD4636" w:rsidRDefault="001557C1" w:rsidP="001557C1">
      <w:pPr>
        <w:shd w:val="clear" w:color="auto" w:fill="FFFFFF" w:themeFill="background1"/>
        <w:tabs>
          <w:tab w:val="left" w:pos="6850"/>
        </w:tabs>
        <w:autoSpaceDE w:val="0"/>
        <w:autoSpaceDN w:val="0"/>
        <w:adjustRightInd w:val="0"/>
        <w:spacing w:line="240" w:lineRule="atLeast"/>
        <w:rPr>
          <w:lang w:val="en-US"/>
        </w:rPr>
      </w:pPr>
    </w:p>
    <w:p w:rsidR="001557C1" w:rsidRDefault="001557C1" w:rsidP="001557C1">
      <w:pPr>
        <w:shd w:val="clear" w:color="auto" w:fill="FFFFFF" w:themeFill="background1"/>
        <w:tabs>
          <w:tab w:val="left" w:pos="6850"/>
        </w:tabs>
        <w:autoSpaceDE w:val="0"/>
        <w:autoSpaceDN w:val="0"/>
        <w:adjustRightInd w:val="0"/>
        <w:spacing w:line="240" w:lineRule="atLeast"/>
        <w:rPr>
          <w:lang w:val="en-US"/>
        </w:rPr>
      </w:pPr>
      <w:r>
        <w:rPr>
          <w:lang w:val="en-US"/>
        </w:rPr>
        <w:t>The same timing constraints exist as regards outstanding</w:t>
      </w:r>
      <w:r w:rsidRPr="00FD4636">
        <w:rPr>
          <w:lang w:val="en-US"/>
        </w:rPr>
        <w:t xml:space="preserve"> products, wh</w:t>
      </w:r>
      <w:r>
        <w:rPr>
          <w:lang w:val="en-US"/>
        </w:rPr>
        <w:t>ich will be considered as PRIIPs</w:t>
      </w:r>
      <w:r w:rsidRPr="00FD4636">
        <w:rPr>
          <w:lang w:val="en-US"/>
        </w:rPr>
        <w:t xml:space="preserve"> from 31 December 2016</w:t>
      </w:r>
      <w:r w:rsidRPr="00112B64">
        <w:rPr>
          <w:lang w:val="en-US"/>
        </w:rPr>
        <w:t xml:space="preserve">. It should be made clear </w:t>
      </w:r>
      <w:r>
        <w:rPr>
          <w:lang w:val="en-US"/>
        </w:rPr>
        <w:t xml:space="preserve">in the RTS </w:t>
      </w:r>
      <w:r w:rsidRPr="00112B64">
        <w:rPr>
          <w:lang w:val="en-US"/>
        </w:rPr>
        <w:t>that these products, to the extent that they are not actively marketed (</w:t>
      </w:r>
      <w:r w:rsidRPr="00400B07">
        <w:rPr>
          <w:i/>
          <w:u w:val="single"/>
          <w:lang w:val="en-US"/>
        </w:rPr>
        <w:t>Regulation PRIIPs, art. 13</w:t>
      </w:r>
      <w:r w:rsidRPr="00112B64">
        <w:rPr>
          <w:lang w:val="en-US"/>
        </w:rPr>
        <w:t xml:space="preserve">) are not subject to the KID. </w:t>
      </w:r>
      <w:r>
        <w:rPr>
          <w:lang w:val="en-US"/>
        </w:rPr>
        <w:t>Ultimately, a</w:t>
      </w:r>
      <w:r w:rsidRPr="00112B64">
        <w:rPr>
          <w:lang w:val="en-US"/>
        </w:rPr>
        <w:t>s regards products traded on secondary markets, a transitional period of two years should be allowed to accomm</w:t>
      </w:r>
      <w:r w:rsidRPr="00112B64">
        <w:rPr>
          <w:lang w:val="en-US"/>
        </w:rPr>
        <w:t>o</w:t>
      </w:r>
      <w:r w:rsidRPr="00112B64">
        <w:rPr>
          <w:lang w:val="en-US"/>
        </w:rPr>
        <w:t>dat</w:t>
      </w:r>
      <w:r>
        <w:rPr>
          <w:lang w:val="en-US"/>
        </w:rPr>
        <w:t>e</w:t>
      </w:r>
      <w:r w:rsidRPr="00112B64">
        <w:rPr>
          <w:lang w:val="en-US"/>
        </w:rPr>
        <w:t xml:space="preserve"> for the volume of products concerned</w:t>
      </w:r>
      <w:r>
        <w:rPr>
          <w:lang w:val="en-US"/>
        </w:rPr>
        <w:t>, which can be up to a hundred of thousands for a single man</w:t>
      </w:r>
      <w:r>
        <w:rPr>
          <w:lang w:val="en-US"/>
        </w:rPr>
        <w:t>u</w:t>
      </w:r>
      <w:r>
        <w:rPr>
          <w:lang w:val="en-US"/>
        </w:rPr>
        <w:t>facturer.</w:t>
      </w:r>
    </w:p>
    <w:p w:rsidR="001557C1" w:rsidRDefault="001557C1" w:rsidP="001557C1">
      <w:pPr>
        <w:shd w:val="clear" w:color="auto" w:fill="FFFFFF" w:themeFill="background1"/>
        <w:tabs>
          <w:tab w:val="left" w:pos="6850"/>
        </w:tabs>
        <w:autoSpaceDE w:val="0"/>
        <w:autoSpaceDN w:val="0"/>
        <w:adjustRightInd w:val="0"/>
        <w:spacing w:line="240" w:lineRule="atLeast"/>
        <w:rPr>
          <w:lang w:val="en-US"/>
        </w:rPr>
      </w:pPr>
    </w:p>
    <w:p w:rsidR="001557C1" w:rsidRPr="00D42DF1" w:rsidRDefault="001557C1" w:rsidP="001557C1">
      <w:pPr>
        <w:pStyle w:val="Paragraphedeliste"/>
        <w:numPr>
          <w:ilvl w:val="0"/>
          <w:numId w:val="54"/>
        </w:numPr>
        <w:shd w:val="clear" w:color="auto" w:fill="FFFFFF" w:themeFill="background1"/>
        <w:tabs>
          <w:tab w:val="left" w:pos="6850"/>
        </w:tabs>
        <w:autoSpaceDE w:val="0"/>
        <w:autoSpaceDN w:val="0"/>
        <w:adjustRightInd w:val="0"/>
        <w:spacing w:line="240" w:lineRule="atLeast"/>
        <w:rPr>
          <w:b/>
          <w:lang w:val="en-US"/>
        </w:rPr>
      </w:pPr>
      <w:r w:rsidRPr="00D42DF1">
        <w:rPr>
          <w:b/>
          <w:lang w:val="en-US"/>
        </w:rPr>
        <w:t xml:space="preserve">Adoption of a balanced approach </w:t>
      </w:r>
      <w:r>
        <w:rPr>
          <w:b/>
          <w:lang w:val="en-US"/>
        </w:rPr>
        <w:t xml:space="preserve">to define </w:t>
      </w:r>
      <w:r w:rsidRPr="00D42DF1">
        <w:rPr>
          <w:b/>
          <w:lang w:val="en-US"/>
        </w:rPr>
        <w:t>the content of KIDs</w:t>
      </w:r>
    </w:p>
    <w:p w:rsidR="001557C1" w:rsidRDefault="001557C1" w:rsidP="001557C1">
      <w:pPr>
        <w:shd w:val="clear" w:color="auto" w:fill="FFFFFF" w:themeFill="background1"/>
        <w:tabs>
          <w:tab w:val="left" w:pos="6850"/>
        </w:tabs>
        <w:autoSpaceDE w:val="0"/>
        <w:autoSpaceDN w:val="0"/>
        <w:adjustRightInd w:val="0"/>
        <w:spacing w:line="240" w:lineRule="atLeast"/>
        <w:rPr>
          <w:lang w:val="en-US"/>
        </w:rPr>
      </w:pPr>
    </w:p>
    <w:p w:rsidR="001557C1" w:rsidRPr="00FD4636" w:rsidRDefault="001557C1" w:rsidP="001557C1">
      <w:pPr>
        <w:shd w:val="clear" w:color="auto" w:fill="FFFFFF" w:themeFill="background1"/>
        <w:tabs>
          <w:tab w:val="left" w:pos="6850"/>
        </w:tabs>
        <w:autoSpaceDE w:val="0"/>
        <w:autoSpaceDN w:val="0"/>
        <w:adjustRightInd w:val="0"/>
        <w:spacing w:line="240" w:lineRule="atLeast"/>
        <w:rPr>
          <w:bCs/>
        </w:rPr>
      </w:pPr>
      <w:r>
        <w:rPr>
          <w:lang w:val="en-US"/>
        </w:rPr>
        <w:t xml:space="preserve">Finally, AMAFI would like to stress the fact that the sheer volume of products concerned by the PRIIPs Regulation represents a major challenge for manufacturers from an implementation point of </w:t>
      </w:r>
      <w:proofErr w:type="gramStart"/>
      <w:r>
        <w:rPr>
          <w:lang w:val="en-US"/>
        </w:rPr>
        <w:t>view,</w:t>
      </w:r>
      <w:proofErr w:type="gramEnd"/>
      <w:r>
        <w:rPr>
          <w:lang w:val="en-US"/>
        </w:rPr>
        <w:t xml:space="preserve"> all the more that timely availability of the KID is key to certain products, so that it is critical that RTS strive for ease of implementation. </w:t>
      </w:r>
      <w:r>
        <w:rPr>
          <w:bCs/>
        </w:rPr>
        <w:t>While they should obviously result in meaningful and accurate information being delivered to the end investor, the</w:t>
      </w:r>
      <w:r w:rsidRPr="00FD4636">
        <w:rPr>
          <w:bCs/>
        </w:rPr>
        <w:t xml:space="preserve"> RTS should balance the need for exhaustiveness and </w:t>
      </w:r>
      <w:r>
        <w:rPr>
          <w:bCs/>
        </w:rPr>
        <w:t>methodological perfection</w:t>
      </w:r>
      <w:r w:rsidRPr="00FD4636">
        <w:rPr>
          <w:bCs/>
        </w:rPr>
        <w:t xml:space="preserve"> with the need for simplicity both for the sake of clients’ usage of the KID and manufacturers’ ability to</w:t>
      </w:r>
      <w:r>
        <w:rPr>
          <w:bCs/>
        </w:rPr>
        <w:t xml:space="preserve"> compute the relevant figures and</w:t>
      </w:r>
      <w:r w:rsidRPr="00FD4636">
        <w:rPr>
          <w:bCs/>
        </w:rPr>
        <w:t xml:space="preserve"> produce </w:t>
      </w:r>
      <w:r>
        <w:rPr>
          <w:bCs/>
        </w:rPr>
        <w:t>the KID</w:t>
      </w:r>
      <w:r w:rsidRPr="00FD4636">
        <w:rPr>
          <w:bCs/>
        </w:rPr>
        <w:t xml:space="preserve"> in large volumes and timely. </w:t>
      </w:r>
    </w:p>
    <w:p w:rsidR="001557C1" w:rsidRPr="00FD4636" w:rsidRDefault="001557C1" w:rsidP="001557C1">
      <w:pPr>
        <w:shd w:val="clear" w:color="auto" w:fill="FFFFFF" w:themeFill="background1"/>
        <w:tabs>
          <w:tab w:val="left" w:pos="6850"/>
        </w:tabs>
        <w:autoSpaceDE w:val="0"/>
        <w:autoSpaceDN w:val="0"/>
        <w:adjustRightInd w:val="0"/>
        <w:spacing w:line="240" w:lineRule="atLeast"/>
        <w:rPr>
          <w:bCs/>
        </w:rPr>
      </w:pPr>
    </w:p>
    <w:p w:rsidR="001557C1" w:rsidRDefault="001557C1" w:rsidP="001557C1">
      <w:pPr>
        <w:shd w:val="clear" w:color="auto" w:fill="FFFFFF" w:themeFill="background1"/>
        <w:tabs>
          <w:tab w:val="left" w:pos="6850"/>
        </w:tabs>
        <w:autoSpaceDE w:val="0"/>
        <w:autoSpaceDN w:val="0"/>
        <w:adjustRightInd w:val="0"/>
        <w:spacing w:line="240" w:lineRule="atLeast"/>
        <w:rPr>
          <w:bCs/>
        </w:rPr>
      </w:pPr>
      <w:r>
        <w:rPr>
          <w:bCs/>
        </w:rPr>
        <w:t>In this regard, it is a concern to AMAFI</w:t>
      </w:r>
      <w:r w:rsidRPr="007469BA">
        <w:rPr>
          <w:bCs/>
        </w:rPr>
        <w:t xml:space="preserve"> </w:t>
      </w:r>
      <w:r>
        <w:rPr>
          <w:bCs/>
        </w:rPr>
        <w:t>that some of the options set out in the TDP currently under consu</w:t>
      </w:r>
      <w:r>
        <w:rPr>
          <w:bCs/>
        </w:rPr>
        <w:t>l</w:t>
      </w:r>
      <w:r>
        <w:rPr>
          <w:bCs/>
        </w:rPr>
        <w:t>tation are of such a complexity that readability for investors may be harmed and feasibility for manufactu</w:t>
      </w:r>
      <w:r>
        <w:rPr>
          <w:bCs/>
        </w:rPr>
        <w:t>r</w:t>
      </w:r>
      <w:r>
        <w:rPr>
          <w:bCs/>
        </w:rPr>
        <w:t xml:space="preserve">ers is questionable. </w:t>
      </w:r>
    </w:p>
    <w:p w:rsidR="001557C1" w:rsidRDefault="001557C1" w:rsidP="001557C1">
      <w:pPr>
        <w:shd w:val="clear" w:color="auto" w:fill="FFFFFF" w:themeFill="background1"/>
        <w:tabs>
          <w:tab w:val="left" w:pos="6850"/>
        </w:tabs>
        <w:autoSpaceDE w:val="0"/>
        <w:autoSpaceDN w:val="0"/>
        <w:adjustRightInd w:val="0"/>
        <w:spacing w:line="240" w:lineRule="atLeast"/>
        <w:rPr>
          <w:bCs/>
        </w:rPr>
      </w:pPr>
    </w:p>
    <w:p w:rsidR="001557C1" w:rsidRDefault="001557C1" w:rsidP="001557C1">
      <w:pPr>
        <w:shd w:val="clear" w:color="auto" w:fill="FFFFFF" w:themeFill="background1"/>
        <w:tabs>
          <w:tab w:val="left" w:pos="6850"/>
        </w:tabs>
        <w:autoSpaceDE w:val="0"/>
        <w:autoSpaceDN w:val="0"/>
        <w:adjustRightInd w:val="0"/>
        <w:spacing w:line="240" w:lineRule="atLeast"/>
        <w:rPr>
          <w:b/>
          <w:bCs/>
        </w:rPr>
      </w:pPr>
      <w:r>
        <w:rPr>
          <w:bCs/>
        </w:rPr>
        <w:t xml:space="preserve">As a consequence, AMAFI is of the opinion that </w:t>
      </w:r>
      <w:r w:rsidRPr="00D42DF1">
        <w:rPr>
          <w:bCs/>
          <w:u w:val="single"/>
        </w:rPr>
        <w:t xml:space="preserve">a balanced approach </w:t>
      </w:r>
      <w:r>
        <w:rPr>
          <w:bCs/>
          <w:u w:val="single"/>
        </w:rPr>
        <w:t xml:space="preserve">should be adopted by </w:t>
      </w:r>
      <w:r w:rsidRPr="008C7B7B">
        <w:rPr>
          <w:bCs/>
          <w:u w:val="single"/>
        </w:rPr>
        <w:t>the Joint Committee of the ESAs</w:t>
      </w:r>
      <w:r w:rsidRPr="00D42DF1">
        <w:rPr>
          <w:bCs/>
          <w:u w:val="single"/>
        </w:rPr>
        <w:t xml:space="preserve"> to setting the KID’s content</w:t>
      </w:r>
      <w:r>
        <w:rPr>
          <w:bCs/>
        </w:rPr>
        <w:t xml:space="preserve">, </w:t>
      </w:r>
      <w:r w:rsidRPr="00FD4636">
        <w:rPr>
          <w:bCs/>
        </w:rPr>
        <w:t>particularly</w:t>
      </w:r>
      <w:r>
        <w:rPr>
          <w:bCs/>
        </w:rPr>
        <w:t xml:space="preserve"> as regards the </w:t>
      </w:r>
      <w:r w:rsidRPr="00FD4636">
        <w:rPr>
          <w:bCs/>
        </w:rPr>
        <w:t xml:space="preserve">risk indicator, </w:t>
      </w:r>
      <w:r>
        <w:rPr>
          <w:bCs/>
        </w:rPr>
        <w:t xml:space="preserve">the </w:t>
      </w:r>
      <w:r w:rsidRPr="00FD4636">
        <w:rPr>
          <w:bCs/>
        </w:rPr>
        <w:t>perfor</w:t>
      </w:r>
      <w:r w:rsidRPr="00FD4636">
        <w:rPr>
          <w:bCs/>
        </w:rPr>
        <w:t>m</w:t>
      </w:r>
      <w:r w:rsidRPr="00FD4636">
        <w:rPr>
          <w:bCs/>
        </w:rPr>
        <w:t xml:space="preserve">ance scenarios and </w:t>
      </w:r>
      <w:r>
        <w:rPr>
          <w:bCs/>
        </w:rPr>
        <w:t xml:space="preserve">the </w:t>
      </w:r>
      <w:r w:rsidRPr="00FD4636">
        <w:rPr>
          <w:bCs/>
        </w:rPr>
        <w:t>costs disclosure, which need to be scalable</w:t>
      </w:r>
      <w:r>
        <w:rPr>
          <w:bCs/>
        </w:rPr>
        <w:t xml:space="preserve"> and relatively stable </w:t>
      </w:r>
      <w:r w:rsidRPr="00FD4636">
        <w:rPr>
          <w:bCs/>
        </w:rPr>
        <w:t>considering the stock of products concerned</w:t>
      </w:r>
      <w:r>
        <w:rPr>
          <w:bCs/>
        </w:rPr>
        <w:t xml:space="preserve"> on which updates may be needed</w:t>
      </w:r>
      <w:r w:rsidRPr="00FD4636">
        <w:rPr>
          <w:bCs/>
        </w:rPr>
        <w:t>.</w:t>
      </w:r>
    </w:p>
    <w:permEnd w:id="8"/>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6A6867" w:rsidRPr="009509B4" w:rsidRDefault="00024A9E" w:rsidP="006A6867">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ermStart w:id="9" w:edGrp="everyone"/>
      <w:r>
        <w:rPr>
          <w:color w:val="244061" w:themeColor="accent1" w:themeShade="80"/>
        </w:rPr>
        <w:t>O</w:t>
      </w:r>
      <w:r w:rsidRPr="009509B4">
        <w:rPr>
          <w:color w:val="244061" w:themeColor="accent1" w:themeShade="80"/>
        </w:rPr>
        <w:t xml:space="preserve">ption “c) </w:t>
      </w:r>
      <w:r w:rsidRPr="00024A9E">
        <w:rPr>
          <w:i/>
          <w:color w:val="244061" w:themeColor="accent1" w:themeShade="80"/>
        </w:rPr>
        <w:t>Stochastic modelling based on parameters estimated from current market prices of derivatives and other forward looking contracts</w:t>
      </w:r>
      <w:r w:rsidRPr="009509B4">
        <w:rPr>
          <w:color w:val="244061" w:themeColor="accent1" w:themeShade="80"/>
        </w:rPr>
        <w:t xml:space="preserve">” is </w:t>
      </w:r>
      <w:r>
        <w:rPr>
          <w:color w:val="244061" w:themeColor="accent1" w:themeShade="80"/>
        </w:rPr>
        <w:t xml:space="preserve">in our view </w:t>
      </w:r>
      <w:r w:rsidRPr="009509B4">
        <w:rPr>
          <w:color w:val="244061" w:themeColor="accent1" w:themeShade="80"/>
        </w:rPr>
        <w:t>the most accurate methodology to compute risks r</w:t>
      </w:r>
      <w:r w:rsidRPr="009509B4">
        <w:rPr>
          <w:color w:val="244061" w:themeColor="accent1" w:themeShade="80"/>
        </w:rPr>
        <w:t>e</w:t>
      </w:r>
      <w:r w:rsidRPr="009509B4">
        <w:rPr>
          <w:color w:val="244061" w:themeColor="accent1" w:themeShade="80"/>
        </w:rPr>
        <w:t xml:space="preserve">lated to derivative instruments (i.e. the </w:t>
      </w:r>
      <w:r>
        <w:rPr>
          <w:color w:val="244061" w:themeColor="accent1" w:themeShade="80"/>
        </w:rPr>
        <w:t>G</w:t>
      </w:r>
      <w:r w:rsidRPr="009509B4">
        <w:rPr>
          <w:color w:val="244061" w:themeColor="accent1" w:themeShade="80"/>
        </w:rPr>
        <w:t>reeks)</w:t>
      </w:r>
      <w:r>
        <w:rPr>
          <w:color w:val="244061" w:themeColor="accent1" w:themeShade="80"/>
        </w:rPr>
        <w:t xml:space="preserve"> associated with </w:t>
      </w:r>
      <w:r w:rsidRPr="009509B4">
        <w:rPr>
          <w:color w:val="244061" w:themeColor="accent1" w:themeShade="80"/>
        </w:rPr>
        <w:t>structured products</w:t>
      </w:r>
      <w:r>
        <w:rPr>
          <w:color w:val="244061" w:themeColor="accent1" w:themeShade="80"/>
        </w:rPr>
        <w:t xml:space="preserve"> and </w:t>
      </w:r>
      <w:r w:rsidR="006A6867">
        <w:rPr>
          <w:color w:val="244061" w:themeColor="accent1" w:themeShade="80"/>
        </w:rPr>
        <w:t>structured</w:t>
      </w:r>
      <w:r w:rsidRPr="009509B4">
        <w:rPr>
          <w:color w:val="244061" w:themeColor="accent1" w:themeShade="80"/>
        </w:rPr>
        <w:t xml:space="preserve"> UCITs funds. </w:t>
      </w:r>
      <w:r w:rsidR="006A6867">
        <w:rPr>
          <w:color w:val="244061" w:themeColor="accent1" w:themeShade="80"/>
        </w:rPr>
        <w:t>And t</w:t>
      </w:r>
      <w:r w:rsidR="006A6867" w:rsidRPr="009509B4">
        <w:rPr>
          <w:color w:val="244061" w:themeColor="accent1" w:themeShade="80"/>
        </w:rPr>
        <w:t xml:space="preserve">he Greeks (delta, </w:t>
      </w:r>
      <w:proofErr w:type="spellStart"/>
      <w:proofErr w:type="gramStart"/>
      <w:r w:rsidR="006A6867" w:rsidRPr="009509B4">
        <w:rPr>
          <w:color w:val="244061" w:themeColor="accent1" w:themeShade="80"/>
        </w:rPr>
        <w:t>vega</w:t>
      </w:r>
      <w:proofErr w:type="spellEnd"/>
      <w:proofErr w:type="gramEnd"/>
      <w:r w:rsidR="006A6867" w:rsidRPr="009509B4">
        <w:rPr>
          <w:color w:val="244061" w:themeColor="accent1" w:themeShade="80"/>
        </w:rPr>
        <w:t xml:space="preserve">, rho, etc…) should </w:t>
      </w:r>
      <w:r w:rsidR="006A6867">
        <w:rPr>
          <w:color w:val="244061" w:themeColor="accent1" w:themeShade="80"/>
        </w:rPr>
        <w:t xml:space="preserve">definitely </w:t>
      </w:r>
      <w:r w:rsidR="006A6867" w:rsidRPr="009509B4">
        <w:rPr>
          <w:color w:val="244061" w:themeColor="accent1" w:themeShade="80"/>
        </w:rPr>
        <w:t xml:space="preserve">be used to compute the </w:t>
      </w:r>
      <w:r w:rsidR="006A6867">
        <w:rPr>
          <w:color w:val="244061" w:themeColor="accent1" w:themeShade="80"/>
        </w:rPr>
        <w:t>risk i</w:t>
      </w:r>
      <w:r w:rsidR="006A6867" w:rsidRPr="009509B4">
        <w:rPr>
          <w:color w:val="244061" w:themeColor="accent1" w:themeShade="80"/>
        </w:rPr>
        <w:t xml:space="preserve">ndicator of </w:t>
      </w:r>
      <w:r w:rsidR="006A6867">
        <w:rPr>
          <w:color w:val="244061" w:themeColor="accent1" w:themeShade="80"/>
        </w:rPr>
        <w:t xml:space="preserve">PRIIPS </w:t>
      </w:r>
      <w:r w:rsidR="006A6867" w:rsidRPr="009509B4">
        <w:rPr>
          <w:color w:val="244061" w:themeColor="accent1" w:themeShade="80"/>
        </w:rPr>
        <w:t>embedding a derivative element.</w:t>
      </w:r>
      <w:r w:rsidR="006A6867">
        <w:rPr>
          <w:color w:val="244061" w:themeColor="accent1" w:themeShade="80"/>
        </w:rPr>
        <w:t xml:space="preserve"> One of the </w:t>
      </w:r>
      <w:proofErr w:type="gramStart"/>
      <w:r w:rsidR="006A6867">
        <w:rPr>
          <w:color w:val="244061" w:themeColor="accent1" w:themeShade="80"/>
        </w:rPr>
        <w:t>benefit</w:t>
      </w:r>
      <w:proofErr w:type="gramEnd"/>
      <w:r w:rsidR="006A6867">
        <w:rPr>
          <w:color w:val="244061" w:themeColor="accent1" w:themeShade="80"/>
        </w:rPr>
        <w:t xml:space="preserve"> of o</w:t>
      </w:r>
      <w:r w:rsidR="006A6867" w:rsidRPr="009509B4">
        <w:rPr>
          <w:color w:val="244061" w:themeColor="accent1" w:themeShade="80"/>
        </w:rPr>
        <w:t xml:space="preserve">ption c) is </w:t>
      </w:r>
      <w:r w:rsidR="006A6867">
        <w:rPr>
          <w:color w:val="244061" w:themeColor="accent1" w:themeShade="80"/>
        </w:rPr>
        <w:t>that it is based</w:t>
      </w:r>
      <w:r w:rsidR="006A6867" w:rsidRPr="006A6867">
        <w:rPr>
          <w:color w:val="244061" w:themeColor="accent1" w:themeShade="80"/>
        </w:rPr>
        <w:t xml:space="preserve"> </w:t>
      </w:r>
      <w:r w:rsidR="006A6867">
        <w:rPr>
          <w:color w:val="244061" w:themeColor="accent1" w:themeShade="80"/>
        </w:rPr>
        <w:t>on current market prices and not on</w:t>
      </w:r>
      <w:r w:rsidR="006A6867" w:rsidRPr="009509B4">
        <w:rPr>
          <w:color w:val="244061" w:themeColor="accent1" w:themeShade="80"/>
        </w:rPr>
        <w:t xml:space="preserve"> historical parameters </w:t>
      </w:r>
      <w:r w:rsidR="006A6867">
        <w:rPr>
          <w:color w:val="244061" w:themeColor="accent1" w:themeShade="80"/>
        </w:rPr>
        <w:t xml:space="preserve">that </w:t>
      </w:r>
      <w:r w:rsidR="006A6867" w:rsidRPr="009509B4">
        <w:rPr>
          <w:color w:val="244061" w:themeColor="accent1" w:themeShade="80"/>
        </w:rPr>
        <w:t>may not be representative of future out</w:t>
      </w:r>
      <w:r w:rsidR="006A6867">
        <w:rPr>
          <w:color w:val="244061" w:themeColor="accent1" w:themeShade="80"/>
        </w:rPr>
        <w:t>comes.</w:t>
      </w:r>
    </w:p>
    <w:p w:rsidR="00024A9E" w:rsidRDefault="00024A9E" w:rsidP="00024A9E">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
    <w:p w:rsidR="00024A9E" w:rsidRPr="009509B4" w:rsidRDefault="006A6867" w:rsidP="00437FD6">
      <w:pPr>
        <w:pBdr>
          <w:top w:val="single" w:sz="4" w:space="1" w:color="auto"/>
          <w:left w:val="single" w:sz="4" w:space="4" w:color="auto"/>
          <w:bottom w:val="single" w:sz="4" w:space="0" w:color="auto"/>
          <w:right w:val="single" w:sz="4" w:space="4" w:color="auto"/>
        </w:pBdr>
        <w:shd w:val="clear" w:color="auto" w:fill="D9D9D9"/>
        <w:tabs>
          <w:tab w:val="left" w:pos="2430"/>
        </w:tabs>
        <w:rPr>
          <w:color w:val="244061" w:themeColor="accent1" w:themeShade="80"/>
        </w:rPr>
      </w:pPr>
      <w:r>
        <w:rPr>
          <w:color w:val="244061" w:themeColor="accent1" w:themeShade="80"/>
        </w:rPr>
        <w:t>Option a) implies f</w:t>
      </w:r>
      <w:r w:rsidR="00024A9E" w:rsidRPr="009509B4">
        <w:rPr>
          <w:color w:val="244061" w:themeColor="accent1" w:themeShade="80"/>
        </w:rPr>
        <w:t>ull</w:t>
      </w:r>
      <w:r>
        <w:rPr>
          <w:color w:val="244061" w:themeColor="accent1" w:themeShade="80"/>
        </w:rPr>
        <w:t xml:space="preserve"> reliance</w:t>
      </w:r>
      <w:r w:rsidR="00024A9E" w:rsidRPr="009509B4">
        <w:rPr>
          <w:color w:val="244061" w:themeColor="accent1" w:themeShade="80"/>
        </w:rPr>
        <w:t xml:space="preserve"> on </w:t>
      </w:r>
      <w:r>
        <w:rPr>
          <w:color w:val="244061" w:themeColor="accent1" w:themeShade="80"/>
        </w:rPr>
        <w:t xml:space="preserve">historical data, which </w:t>
      </w:r>
      <w:r w:rsidR="00024A9E" w:rsidRPr="009509B4">
        <w:rPr>
          <w:color w:val="244061" w:themeColor="accent1" w:themeShade="80"/>
        </w:rPr>
        <w:t xml:space="preserve">is more prone to manipulation than </w:t>
      </w:r>
      <w:r>
        <w:rPr>
          <w:color w:val="244061" w:themeColor="accent1" w:themeShade="80"/>
        </w:rPr>
        <w:t>reliance on</w:t>
      </w:r>
      <w:r w:rsidR="00024A9E" w:rsidRPr="009509B4">
        <w:rPr>
          <w:color w:val="244061" w:themeColor="accent1" w:themeShade="80"/>
        </w:rPr>
        <w:t xml:space="preserve"> mar</w:t>
      </w:r>
      <w:r>
        <w:rPr>
          <w:color w:val="244061" w:themeColor="accent1" w:themeShade="80"/>
        </w:rPr>
        <w:t xml:space="preserve">ket prices. </w:t>
      </w:r>
    </w:p>
    <w:p w:rsidR="006A6867" w:rsidRDefault="00024A9E" w:rsidP="00024A9E">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sidRPr="009509B4">
        <w:rPr>
          <w:color w:val="244061" w:themeColor="accent1" w:themeShade="80"/>
        </w:rPr>
        <w:t xml:space="preserve">Option b) could be </w:t>
      </w:r>
      <w:proofErr w:type="gramStart"/>
      <w:r w:rsidRPr="009509B4">
        <w:rPr>
          <w:color w:val="244061" w:themeColor="accent1" w:themeShade="80"/>
        </w:rPr>
        <w:t>considered,</w:t>
      </w:r>
      <w:proofErr w:type="gramEnd"/>
      <w:r w:rsidR="006A6867">
        <w:rPr>
          <w:color w:val="244061" w:themeColor="accent1" w:themeShade="80"/>
        </w:rPr>
        <w:t xml:space="preserve"> as </w:t>
      </w:r>
      <w:r w:rsidR="0030250C">
        <w:rPr>
          <w:color w:val="244061" w:themeColor="accent1" w:themeShade="80"/>
        </w:rPr>
        <w:t xml:space="preserve">historical parameters </w:t>
      </w:r>
      <w:r w:rsidR="004C61E7">
        <w:rPr>
          <w:color w:val="244061" w:themeColor="accent1" w:themeShade="80"/>
        </w:rPr>
        <w:t xml:space="preserve">are </w:t>
      </w:r>
      <w:r w:rsidR="0030250C">
        <w:rPr>
          <w:color w:val="244061" w:themeColor="accent1" w:themeShade="80"/>
        </w:rPr>
        <w:t>somehow more observable than implied ones for</w:t>
      </w:r>
      <w:r w:rsidR="004C61E7">
        <w:rPr>
          <w:color w:val="244061" w:themeColor="accent1" w:themeShade="80"/>
        </w:rPr>
        <w:t xml:space="preserve"> </w:t>
      </w:r>
      <w:r w:rsidR="0030250C">
        <w:rPr>
          <w:color w:val="244061" w:themeColor="accent1" w:themeShade="80"/>
        </w:rPr>
        <w:t>illiquid markets (both option</w:t>
      </w:r>
      <w:r w:rsidR="004C61E7">
        <w:rPr>
          <w:color w:val="244061" w:themeColor="accent1" w:themeShade="80"/>
        </w:rPr>
        <w:t>s</w:t>
      </w:r>
      <w:r w:rsidR="0030250C">
        <w:rPr>
          <w:color w:val="244061" w:themeColor="accent1" w:themeShade="80"/>
        </w:rPr>
        <w:t xml:space="preserve"> b and c would be easily </w:t>
      </w:r>
      <w:r w:rsidR="004C61E7">
        <w:rPr>
          <w:color w:val="244061" w:themeColor="accent1" w:themeShade="80"/>
        </w:rPr>
        <w:t>observable</w:t>
      </w:r>
      <w:r w:rsidR="0030250C">
        <w:rPr>
          <w:color w:val="244061" w:themeColor="accent1" w:themeShade="80"/>
        </w:rPr>
        <w:t xml:space="preserve"> for illiquid mar</w:t>
      </w:r>
      <w:r w:rsidR="0076119C">
        <w:rPr>
          <w:color w:val="244061" w:themeColor="accent1" w:themeShade="80"/>
        </w:rPr>
        <w:t xml:space="preserve">kets). However, this option </w:t>
      </w:r>
      <w:r w:rsidR="006A6867">
        <w:rPr>
          <w:color w:val="244061" w:themeColor="accent1" w:themeShade="80"/>
        </w:rPr>
        <w:t xml:space="preserve">is </w:t>
      </w:r>
      <w:r w:rsidRPr="009509B4">
        <w:rPr>
          <w:color w:val="244061" w:themeColor="accent1" w:themeShade="80"/>
        </w:rPr>
        <w:t>less accurate</w:t>
      </w:r>
      <w:r w:rsidR="006A6867">
        <w:rPr>
          <w:color w:val="244061" w:themeColor="accent1" w:themeShade="80"/>
        </w:rPr>
        <w:t xml:space="preserve"> than option c)</w:t>
      </w:r>
      <w:r w:rsidRPr="009509B4">
        <w:rPr>
          <w:color w:val="244061" w:themeColor="accent1" w:themeShade="80"/>
        </w:rPr>
        <w:t xml:space="preserve">, especially if the </w:t>
      </w:r>
      <w:proofErr w:type="spellStart"/>
      <w:r w:rsidRPr="009509B4">
        <w:rPr>
          <w:color w:val="244061" w:themeColor="accent1" w:themeShade="80"/>
        </w:rPr>
        <w:t>VaR</w:t>
      </w:r>
      <w:proofErr w:type="spellEnd"/>
      <w:r w:rsidRPr="009509B4">
        <w:rPr>
          <w:color w:val="244061" w:themeColor="accent1" w:themeShade="80"/>
        </w:rPr>
        <w:t xml:space="preserve"> or Expected shortfall at maturity is </w:t>
      </w:r>
      <w:r w:rsidR="006A6867">
        <w:rPr>
          <w:color w:val="244061" w:themeColor="accent1" w:themeShade="80"/>
        </w:rPr>
        <w:t>chosen to compute the</w:t>
      </w:r>
      <w:r w:rsidRPr="009509B4">
        <w:rPr>
          <w:color w:val="244061" w:themeColor="accent1" w:themeShade="80"/>
        </w:rPr>
        <w:t xml:space="preserve"> risk indicator</w:t>
      </w:r>
      <w:r w:rsidR="00437FD6">
        <w:rPr>
          <w:color w:val="244061" w:themeColor="accent1" w:themeShade="80"/>
        </w:rPr>
        <w:t>.</w:t>
      </w:r>
    </w:p>
    <w:p w:rsidR="00437FD6" w:rsidRDefault="00437FD6" w:rsidP="00024A9E">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 xml:space="preserve">Option d) will be problematic for regulators to ensure it is the right parameters that are used in the right context, especially since the range of PRIIPS is so wide. </w:t>
      </w:r>
    </w:p>
    <w:p w:rsidR="00024A9E" w:rsidRPr="00FB5E62" w:rsidRDefault="005D6FD3" w:rsidP="00024A9E">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sidRPr="00AA7A42">
        <w:rPr>
          <w:color w:val="244061" w:themeColor="accent1" w:themeShade="80"/>
        </w:rPr>
        <w:t>Option e) could be a solution but the existence of conflicts of interest would need to be addressed.</w:t>
      </w:r>
    </w:p>
    <w:permEnd w:id="9"/>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154DC" w:rsidRDefault="00F154DC" w:rsidP="00F154DC">
      <w:permStart w:id="10" w:edGrp="everyone"/>
      <w:r w:rsidRPr="00F154DC">
        <w:t xml:space="preserve">The model and the parameters used to compute risk indicator should </w:t>
      </w:r>
      <w:r w:rsidR="00E736FF">
        <w:t xml:space="preserve">be consistent with the ones used to price and hedge the products, hence should </w:t>
      </w:r>
      <w:r w:rsidRPr="00F154DC">
        <w:t>not be prescri</w:t>
      </w:r>
      <w:r w:rsidR="00E736FF">
        <w:t>bed with the risk otherwise of not being adapted to the products.</w:t>
      </w:r>
    </w:p>
    <w:p w:rsidR="00E736FF" w:rsidRDefault="00E736FF" w:rsidP="00F154DC"/>
    <w:p w:rsidR="00F154DC" w:rsidRPr="00F154DC" w:rsidRDefault="00F154DC" w:rsidP="00F154DC">
      <w:pPr>
        <w:rPr>
          <w:b/>
          <w:i/>
        </w:rPr>
      </w:pPr>
      <w:r w:rsidRPr="00F154DC">
        <w:rPr>
          <w:b/>
          <w:i/>
        </w:rPr>
        <w:t>What should be the criteria used to specify the model? Should the model be prescribed or left to the discretion of the manufacturer?</w:t>
      </w:r>
    </w:p>
    <w:p w:rsidR="00F154DC" w:rsidRDefault="00F154DC" w:rsidP="00F154DC"/>
    <w:p w:rsidR="00F154DC" w:rsidRPr="00F154DC" w:rsidRDefault="00F154DC" w:rsidP="00F154DC">
      <w:r w:rsidRPr="00F154DC">
        <w:t xml:space="preserve">The model should be left to the discretion of </w:t>
      </w:r>
      <w:r>
        <w:t xml:space="preserve">the </w:t>
      </w:r>
      <w:r w:rsidRPr="00F154DC">
        <w:t xml:space="preserve">manufacturer but </w:t>
      </w:r>
      <w:r>
        <w:t>he</w:t>
      </w:r>
      <w:r w:rsidRPr="00F154DC">
        <w:t xml:space="preserve"> should be required to disclose the model name and </w:t>
      </w:r>
      <w:r>
        <w:t>its</w:t>
      </w:r>
      <w:r w:rsidRPr="00F154DC">
        <w:t xml:space="preserve"> assumptions upon request of the ESAs. The advantage of allowing manufacturers to choose the most appropriate model and market parameters is that it will match market practice</w:t>
      </w:r>
      <w:r>
        <w:t>s</w:t>
      </w:r>
      <w:r w:rsidRPr="00F154DC">
        <w:t>.</w:t>
      </w:r>
    </w:p>
    <w:p w:rsidR="00F154DC" w:rsidRDefault="00F154DC" w:rsidP="00F154DC"/>
    <w:p w:rsidR="00F154DC" w:rsidRDefault="00F154DC" w:rsidP="00F154DC">
      <w:pPr>
        <w:rPr>
          <w:b/>
          <w:i/>
        </w:rPr>
      </w:pPr>
      <w:r w:rsidRPr="00F154DC">
        <w:rPr>
          <w:b/>
          <w:i/>
        </w:rPr>
        <w:t>What should be the criteria used to specify the parameters? Should the parameters be left to the discretion of the manufacturer, specified to be in accordance with historical or current market values or set by a supervisory authority?</w:t>
      </w:r>
    </w:p>
    <w:p w:rsidR="00E736FF" w:rsidRPr="00F154DC" w:rsidRDefault="00E736FF" w:rsidP="00F154DC">
      <w:pPr>
        <w:rPr>
          <w:b/>
          <w:i/>
        </w:rPr>
      </w:pPr>
    </w:p>
    <w:p w:rsidR="006C05AC" w:rsidRDefault="00F154DC" w:rsidP="00F31E57">
      <w:r w:rsidRPr="00F154DC">
        <w:t xml:space="preserve">Parameters should be based on current observable market prices. In case of illiquid underlying or </w:t>
      </w:r>
      <w:r w:rsidR="006C05AC">
        <w:t xml:space="preserve">in </w:t>
      </w:r>
      <w:r w:rsidRPr="00F154DC">
        <w:t xml:space="preserve">the absence of </w:t>
      </w:r>
      <w:r w:rsidR="006C05AC">
        <w:t xml:space="preserve">a </w:t>
      </w:r>
      <w:r w:rsidRPr="00F154DC">
        <w:t>market, reasonable as</w:t>
      </w:r>
      <w:r w:rsidR="006C05AC">
        <w:t>sumptions would need to be made and indicated in the K</w:t>
      </w:r>
      <w:r w:rsidRPr="00F154DC">
        <w:t>ID.</w:t>
      </w:r>
    </w:p>
    <w:permEnd w:id="10"/>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w:t>
      </w:r>
      <w:r>
        <w:t>e</w:t>
      </w:r>
      <w:r>
        <w:t>cific products or underlying investments for which a specific growth rate would be more or less applicable?</w:t>
      </w:r>
    </w:p>
    <w:p w:rsidR="00F31E57" w:rsidRDefault="00F31E57" w:rsidP="00F31E57"/>
    <w:p w:rsidR="00F31E57" w:rsidRDefault="00F31E57" w:rsidP="00F31E57">
      <w:r>
        <w:t>&lt;ESMA_QUESTION_PRIIPs_3&gt;</w:t>
      </w:r>
    </w:p>
    <w:p w:rsidR="006C05AC" w:rsidRPr="00E736FF" w:rsidRDefault="00E736FF"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ermStart w:id="11" w:edGrp="everyone"/>
      <w:r>
        <w:rPr>
          <w:color w:val="244061" w:themeColor="accent1" w:themeShade="80"/>
        </w:rPr>
        <w:t>AMAFI</w:t>
      </w:r>
      <w:r w:rsidR="006C05AC" w:rsidRPr="00E736FF">
        <w:rPr>
          <w:color w:val="244061" w:themeColor="accent1" w:themeShade="80"/>
        </w:rPr>
        <w:t xml:space="preserve"> is of the view that manufacturer</w:t>
      </w:r>
      <w:r>
        <w:rPr>
          <w:color w:val="244061" w:themeColor="accent1" w:themeShade="80"/>
        </w:rPr>
        <w:t>s</w:t>
      </w:r>
      <w:r w:rsidR="006C05AC" w:rsidRPr="00E736FF">
        <w:rPr>
          <w:color w:val="244061" w:themeColor="accent1" w:themeShade="80"/>
        </w:rPr>
        <w:t xml:space="preserve"> </w:t>
      </w:r>
      <w:r w:rsidR="006C05AC" w:rsidRPr="00E736FF">
        <w:rPr>
          <w:b/>
          <w:color w:val="244061" w:themeColor="accent1" w:themeShade="80"/>
        </w:rPr>
        <w:t xml:space="preserve">should not be required to </w:t>
      </w:r>
      <w:r>
        <w:rPr>
          <w:b/>
          <w:color w:val="244061" w:themeColor="accent1" w:themeShade="80"/>
        </w:rPr>
        <w:t>systematically</w:t>
      </w:r>
      <w:r w:rsidR="006C05AC" w:rsidRPr="00E736FF">
        <w:rPr>
          <w:b/>
          <w:color w:val="244061" w:themeColor="accent1" w:themeShade="80"/>
        </w:rPr>
        <w:t xml:space="preserve"> display a benc</w:t>
      </w:r>
      <w:r w:rsidR="006C05AC" w:rsidRPr="00E736FF">
        <w:rPr>
          <w:b/>
          <w:color w:val="244061" w:themeColor="accent1" w:themeShade="80"/>
        </w:rPr>
        <w:t>h</w:t>
      </w:r>
      <w:r w:rsidR="006C05AC" w:rsidRPr="00E736FF">
        <w:rPr>
          <w:b/>
          <w:color w:val="244061" w:themeColor="accent1" w:themeShade="80"/>
        </w:rPr>
        <w:t>mark</w:t>
      </w:r>
      <w:r w:rsidR="006C05AC" w:rsidRPr="00E736FF">
        <w:rPr>
          <w:color w:val="244061" w:themeColor="accent1" w:themeShade="80"/>
        </w:rPr>
        <w:t xml:space="preserve"> in performance scenarios, for the following reasons:</w:t>
      </w:r>
    </w:p>
    <w:p w:rsidR="006C05AC" w:rsidRDefault="006C05AC"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sidRPr="00E736FF">
        <w:rPr>
          <w:color w:val="244061" w:themeColor="accent1" w:themeShade="80"/>
        </w:rPr>
        <w:lastRenderedPageBreak/>
        <w:t xml:space="preserve">1) </w:t>
      </w:r>
      <w:proofErr w:type="gramStart"/>
      <w:r w:rsidRPr="00E736FF">
        <w:rPr>
          <w:color w:val="244061" w:themeColor="accent1" w:themeShade="80"/>
        </w:rPr>
        <w:t>a</w:t>
      </w:r>
      <w:proofErr w:type="gramEnd"/>
      <w:r w:rsidRPr="00E736FF">
        <w:rPr>
          <w:color w:val="244061" w:themeColor="accent1" w:themeShade="80"/>
        </w:rPr>
        <w:t xml:space="preserve"> benchmark is relevant only for products </w:t>
      </w:r>
      <w:r w:rsidR="00E736FF">
        <w:rPr>
          <w:color w:val="244061" w:themeColor="accent1" w:themeShade="80"/>
        </w:rPr>
        <w:t>whose</w:t>
      </w:r>
      <w:r w:rsidRPr="00E736FF">
        <w:rPr>
          <w:color w:val="244061" w:themeColor="accent1" w:themeShade="80"/>
        </w:rPr>
        <w:t xml:space="preserve"> investment objective is to track or beat a benchmark. This can be the case for some funds. Yet, many products do not have </w:t>
      </w:r>
      <w:r w:rsidR="00E736FF">
        <w:rPr>
          <w:color w:val="244061" w:themeColor="accent1" w:themeShade="80"/>
        </w:rPr>
        <w:t>such</w:t>
      </w:r>
      <w:r w:rsidRPr="00E736FF">
        <w:rPr>
          <w:color w:val="244061" w:themeColor="accent1" w:themeShade="80"/>
        </w:rPr>
        <w:t xml:space="preserve"> objective such as an auto-callable </w:t>
      </w:r>
      <w:r w:rsidR="00E736FF">
        <w:rPr>
          <w:color w:val="244061" w:themeColor="accent1" w:themeShade="80"/>
        </w:rPr>
        <w:t>PRIIP whose objective is to</w:t>
      </w:r>
      <w:r w:rsidRPr="00E736FF">
        <w:rPr>
          <w:color w:val="244061" w:themeColor="accent1" w:themeShade="80"/>
        </w:rPr>
        <w:t xml:space="preserve"> </w:t>
      </w:r>
      <w:r w:rsidR="00E736FF">
        <w:rPr>
          <w:color w:val="244061" w:themeColor="accent1" w:themeShade="80"/>
        </w:rPr>
        <w:t>provide downside protection and</w:t>
      </w:r>
      <w:r w:rsidRPr="00E736FF">
        <w:rPr>
          <w:color w:val="244061" w:themeColor="accent1" w:themeShade="80"/>
        </w:rPr>
        <w:t xml:space="preserve"> a coupon if the underlying rises moder</w:t>
      </w:r>
      <w:r w:rsidR="00E736FF">
        <w:rPr>
          <w:color w:val="244061" w:themeColor="accent1" w:themeShade="80"/>
        </w:rPr>
        <w:t>ately</w:t>
      </w:r>
      <w:r w:rsidRPr="00E736FF">
        <w:rPr>
          <w:color w:val="244061" w:themeColor="accent1" w:themeShade="80"/>
        </w:rPr>
        <w:t xml:space="preserve"> or a unit-linked insurance policy </w:t>
      </w:r>
      <w:r w:rsidR="00E736FF">
        <w:rPr>
          <w:color w:val="244061" w:themeColor="accent1" w:themeShade="80"/>
        </w:rPr>
        <w:t>whose allocation in funds</w:t>
      </w:r>
      <w:r w:rsidRPr="00E736FF">
        <w:rPr>
          <w:color w:val="244061" w:themeColor="accent1" w:themeShade="80"/>
        </w:rPr>
        <w:t xml:space="preserve"> can be </w:t>
      </w:r>
      <w:r w:rsidR="00E736FF">
        <w:rPr>
          <w:color w:val="244061" w:themeColor="accent1" w:themeShade="80"/>
        </w:rPr>
        <w:t xml:space="preserve">entirely </w:t>
      </w:r>
      <w:r w:rsidRPr="00E736FF">
        <w:rPr>
          <w:color w:val="244061" w:themeColor="accent1" w:themeShade="80"/>
        </w:rPr>
        <w:t>reshuffled</w:t>
      </w:r>
      <w:r w:rsidRPr="009509B4">
        <w:rPr>
          <w:color w:val="244061" w:themeColor="accent1" w:themeShade="80"/>
        </w:rPr>
        <w:t>.</w:t>
      </w:r>
    </w:p>
    <w:p w:rsidR="0030250C" w:rsidRDefault="0030250C"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
    <w:p w:rsidR="0030250C" w:rsidRPr="00E736FF" w:rsidRDefault="00E736FF"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sidRPr="00E736FF">
        <w:rPr>
          <w:color w:val="244061" w:themeColor="accent1" w:themeShade="80"/>
        </w:rPr>
        <w:t xml:space="preserve">To use </w:t>
      </w:r>
      <w:r>
        <w:rPr>
          <w:color w:val="244061" w:themeColor="accent1" w:themeShade="80"/>
        </w:rPr>
        <w:t>the</w:t>
      </w:r>
      <w:r w:rsidRPr="00E736FF">
        <w:rPr>
          <w:color w:val="244061" w:themeColor="accent1" w:themeShade="80"/>
        </w:rPr>
        <w:t xml:space="preserve"> risk free rate or </w:t>
      </w:r>
      <w:r>
        <w:rPr>
          <w:color w:val="244061" w:themeColor="accent1" w:themeShade="80"/>
        </w:rPr>
        <w:t xml:space="preserve">the </w:t>
      </w:r>
      <w:r w:rsidRPr="00E736FF">
        <w:rPr>
          <w:color w:val="244061" w:themeColor="accent1" w:themeShade="80"/>
        </w:rPr>
        <w:t>inflation</w:t>
      </w:r>
      <w:r>
        <w:rPr>
          <w:color w:val="244061" w:themeColor="accent1" w:themeShade="80"/>
        </w:rPr>
        <w:t xml:space="preserve"> rate as a general </w:t>
      </w:r>
      <w:r w:rsidR="0030250C" w:rsidRPr="00E736FF">
        <w:rPr>
          <w:color w:val="244061" w:themeColor="accent1" w:themeShade="80"/>
        </w:rPr>
        <w:t xml:space="preserve">benchmark </w:t>
      </w:r>
      <w:r>
        <w:rPr>
          <w:color w:val="244061" w:themeColor="accent1" w:themeShade="80"/>
        </w:rPr>
        <w:t>is not meaningful for many products</w:t>
      </w:r>
      <w:r w:rsidR="0030250C" w:rsidRPr="00E736FF">
        <w:rPr>
          <w:color w:val="244061" w:themeColor="accent1" w:themeShade="80"/>
        </w:rPr>
        <w:t>.</w:t>
      </w:r>
      <w:r>
        <w:rPr>
          <w:color w:val="244061" w:themeColor="accent1" w:themeShade="80"/>
        </w:rPr>
        <w:t xml:space="preserve"> The benchmark needs to be tailored to the product; it should be set in an appropriate manner as part of the product governance obligation of the manufacturer. </w:t>
      </w:r>
      <w:r w:rsidR="0030250C" w:rsidRPr="00E736FF">
        <w:rPr>
          <w:color w:val="244061" w:themeColor="accent1" w:themeShade="80"/>
        </w:rPr>
        <w:t xml:space="preserve"> </w:t>
      </w:r>
    </w:p>
    <w:p w:rsidR="0030250C" w:rsidRPr="00E736FF" w:rsidRDefault="0030250C"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
    <w:p w:rsidR="00240FD8" w:rsidRDefault="00E736FF"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Generally speaking, t</w:t>
      </w:r>
      <w:r w:rsidR="00240FD8">
        <w:rPr>
          <w:color w:val="244061" w:themeColor="accent1" w:themeShade="80"/>
        </w:rPr>
        <w:t>he use of inflation is in our view inadequate because it is not investable by a r</w:t>
      </w:r>
      <w:r w:rsidR="006C05AC" w:rsidRPr="009509B4">
        <w:rPr>
          <w:color w:val="244061" w:themeColor="accent1" w:themeShade="80"/>
        </w:rPr>
        <w:t xml:space="preserve">etail investor </w:t>
      </w:r>
      <w:r w:rsidR="00240FD8">
        <w:rPr>
          <w:color w:val="244061" w:themeColor="accent1" w:themeShade="80"/>
        </w:rPr>
        <w:t xml:space="preserve">and provides </w:t>
      </w:r>
      <w:r>
        <w:rPr>
          <w:color w:val="244061" w:themeColor="accent1" w:themeShade="80"/>
        </w:rPr>
        <w:t>thus</w:t>
      </w:r>
      <w:r w:rsidR="00240FD8">
        <w:rPr>
          <w:color w:val="244061" w:themeColor="accent1" w:themeShade="80"/>
        </w:rPr>
        <w:t xml:space="preserve"> poor comparability. In addition, inflation rates vary depending on the country of the investor, whereas the manufacturer produces one KID only </w:t>
      </w:r>
      <w:r w:rsidR="00667471">
        <w:rPr>
          <w:color w:val="244061" w:themeColor="accent1" w:themeShade="80"/>
        </w:rPr>
        <w:t xml:space="preserve">per product </w:t>
      </w:r>
      <w:r w:rsidR="00240FD8">
        <w:rPr>
          <w:color w:val="244061" w:themeColor="accent1" w:themeShade="80"/>
        </w:rPr>
        <w:t xml:space="preserve">wherever </w:t>
      </w:r>
      <w:r w:rsidR="00667471">
        <w:rPr>
          <w:color w:val="244061" w:themeColor="accent1" w:themeShade="80"/>
        </w:rPr>
        <w:t xml:space="preserve">it </w:t>
      </w:r>
      <w:r w:rsidR="00240FD8">
        <w:rPr>
          <w:color w:val="244061" w:themeColor="accent1" w:themeShade="80"/>
        </w:rPr>
        <w:t>is distributed –</w:t>
      </w:r>
      <w:r w:rsidR="00206242">
        <w:rPr>
          <w:color w:val="244061" w:themeColor="accent1" w:themeShade="80"/>
        </w:rPr>
        <w:t xml:space="preserve"> </w:t>
      </w:r>
      <w:r w:rsidR="00667471">
        <w:rPr>
          <w:color w:val="244061" w:themeColor="accent1" w:themeShade="80"/>
        </w:rPr>
        <w:t xml:space="preserve">for products distributed in several countries, </w:t>
      </w:r>
      <w:r w:rsidR="00206242">
        <w:rPr>
          <w:color w:val="244061" w:themeColor="accent1" w:themeShade="80"/>
        </w:rPr>
        <w:t>the choice of the rate shown in</w:t>
      </w:r>
      <w:r w:rsidR="00240FD8">
        <w:rPr>
          <w:color w:val="244061" w:themeColor="accent1" w:themeShade="80"/>
        </w:rPr>
        <w:t xml:space="preserve"> the KID is therefore </w:t>
      </w:r>
      <w:r w:rsidR="00206242">
        <w:rPr>
          <w:color w:val="244061" w:themeColor="accent1" w:themeShade="80"/>
        </w:rPr>
        <w:t>un</w:t>
      </w:r>
      <w:r w:rsidR="00240FD8">
        <w:rPr>
          <w:color w:val="244061" w:themeColor="accent1" w:themeShade="80"/>
        </w:rPr>
        <w:t xml:space="preserve">likely to be a true reflection of the actual situation of the end investor. </w:t>
      </w:r>
    </w:p>
    <w:p w:rsidR="00240FD8" w:rsidRDefault="00240FD8"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
    <w:p w:rsidR="006C05AC" w:rsidRPr="009509B4" w:rsidRDefault="00240FD8"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 xml:space="preserve">The risk free rate </w:t>
      </w:r>
      <w:r w:rsidR="00667471">
        <w:rPr>
          <w:color w:val="244061" w:themeColor="accent1" w:themeShade="80"/>
        </w:rPr>
        <w:t>poses</w:t>
      </w:r>
      <w:r>
        <w:rPr>
          <w:color w:val="244061" w:themeColor="accent1" w:themeShade="80"/>
        </w:rPr>
        <w:t xml:space="preserve"> the same </w:t>
      </w:r>
      <w:r w:rsidR="00667471">
        <w:rPr>
          <w:color w:val="244061" w:themeColor="accent1" w:themeShade="80"/>
        </w:rPr>
        <w:t>problem</w:t>
      </w:r>
      <w:r>
        <w:rPr>
          <w:color w:val="244061" w:themeColor="accent1" w:themeShade="80"/>
        </w:rPr>
        <w:t xml:space="preserve">, as each country will have </w:t>
      </w:r>
      <w:r w:rsidR="00206242">
        <w:rPr>
          <w:color w:val="244061" w:themeColor="accent1" w:themeShade="80"/>
        </w:rPr>
        <w:t>its own risk-free rate</w:t>
      </w:r>
      <w:r>
        <w:rPr>
          <w:color w:val="244061" w:themeColor="accent1" w:themeShade="80"/>
        </w:rPr>
        <w:t xml:space="preserve">, sometimes significantly </w:t>
      </w:r>
      <w:r w:rsidR="00206242">
        <w:rPr>
          <w:color w:val="244061" w:themeColor="accent1" w:themeShade="80"/>
        </w:rPr>
        <w:t xml:space="preserve">different from the others as </w:t>
      </w:r>
      <w:r w:rsidR="00E736FF">
        <w:rPr>
          <w:color w:val="244061" w:themeColor="accent1" w:themeShade="80"/>
        </w:rPr>
        <w:t>experienced</w:t>
      </w:r>
      <w:r w:rsidR="00206242">
        <w:rPr>
          <w:color w:val="244061" w:themeColor="accent1" w:themeShade="80"/>
        </w:rPr>
        <w:t xml:space="preserve"> in the </w:t>
      </w:r>
      <w:proofErr w:type="spellStart"/>
      <w:r w:rsidR="00206242">
        <w:rPr>
          <w:color w:val="244061" w:themeColor="accent1" w:themeShade="80"/>
        </w:rPr>
        <w:t>Eurozone</w:t>
      </w:r>
      <w:proofErr w:type="spellEnd"/>
      <w:r w:rsidR="00206242">
        <w:rPr>
          <w:color w:val="244061" w:themeColor="accent1" w:themeShade="80"/>
        </w:rPr>
        <w:t xml:space="preserve">. In addition, the notion of risk-free rate in itself is put into question since the financial crisis. </w:t>
      </w:r>
      <w:r>
        <w:rPr>
          <w:color w:val="244061" w:themeColor="accent1" w:themeShade="80"/>
        </w:rPr>
        <w:t xml:space="preserve"> </w:t>
      </w:r>
    </w:p>
    <w:p w:rsidR="00206242" w:rsidRDefault="00206242"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
    <w:p w:rsidR="006C05AC" w:rsidRDefault="00206242"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T</w:t>
      </w:r>
      <w:r w:rsidR="006C05AC" w:rsidRPr="009509B4">
        <w:rPr>
          <w:color w:val="244061" w:themeColor="accent1" w:themeShade="80"/>
        </w:rPr>
        <w:t xml:space="preserve">he choice of </w:t>
      </w:r>
      <w:r>
        <w:rPr>
          <w:color w:val="244061" w:themeColor="accent1" w:themeShade="80"/>
        </w:rPr>
        <w:t>an</w:t>
      </w:r>
      <w:r w:rsidR="006C05AC" w:rsidRPr="009509B4">
        <w:rPr>
          <w:color w:val="244061" w:themeColor="accent1" w:themeShade="80"/>
        </w:rPr>
        <w:t xml:space="preserve"> appropriate benchmark </w:t>
      </w:r>
      <w:r w:rsidR="00E736FF">
        <w:rPr>
          <w:color w:val="244061" w:themeColor="accent1" w:themeShade="80"/>
        </w:rPr>
        <w:t xml:space="preserve">also </w:t>
      </w:r>
      <w:r w:rsidR="006C05AC" w:rsidRPr="009509B4">
        <w:rPr>
          <w:color w:val="244061" w:themeColor="accent1" w:themeShade="80"/>
        </w:rPr>
        <w:t xml:space="preserve">depends </w:t>
      </w:r>
      <w:r>
        <w:rPr>
          <w:color w:val="244061" w:themeColor="accent1" w:themeShade="80"/>
        </w:rPr>
        <w:t xml:space="preserve">on </w:t>
      </w:r>
      <w:r w:rsidR="006C05AC" w:rsidRPr="009509B4">
        <w:rPr>
          <w:color w:val="244061" w:themeColor="accent1" w:themeShade="80"/>
        </w:rPr>
        <w:t>each investor</w:t>
      </w:r>
      <w:r>
        <w:rPr>
          <w:color w:val="244061" w:themeColor="accent1" w:themeShade="80"/>
        </w:rPr>
        <w:t>’s</w:t>
      </w:r>
      <w:r w:rsidR="006C05AC" w:rsidRPr="009509B4">
        <w:rPr>
          <w:color w:val="244061" w:themeColor="accent1" w:themeShade="80"/>
        </w:rPr>
        <w:t xml:space="preserve"> risk appetite and risk premium.</w:t>
      </w:r>
    </w:p>
    <w:p w:rsidR="00206242" w:rsidRDefault="00206242"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p>
    <w:p w:rsidR="00206242" w:rsidRDefault="006C05AC" w:rsidP="006C05AC">
      <w:pPr>
        <w:pBdr>
          <w:top w:val="single" w:sz="4" w:space="1" w:color="auto"/>
          <w:left w:val="single" w:sz="4" w:space="4" w:color="auto"/>
          <w:bottom w:val="single" w:sz="4" w:space="0" w:color="auto"/>
          <w:right w:val="single" w:sz="4" w:space="4" w:color="auto"/>
        </w:pBdr>
        <w:shd w:val="clear" w:color="auto" w:fill="D9D9D9"/>
        <w:tabs>
          <w:tab w:val="left" w:pos="1739"/>
        </w:tabs>
        <w:rPr>
          <w:rFonts w:ascii="Calibri" w:eastAsia="Calibri" w:hAnsi="Calibri" w:cs="Calibri"/>
          <w:color w:val="244061" w:themeColor="accent1" w:themeShade="80"/>
          <w:sz w:val="22"/>
          <w:szCs w:val="22"/>
          <w:lang w:eastAsia="en-US"/>
        </w:rPr>
      </w:pPr>
      <w:r>
        <w:rPr>
          <w:color w:val="244061" w:themeColor="accent1" w:themeShade="80"/>
        </w:rPr>
        <w:t xml:space="preserve">If a benchmark is deemed </w:t>
      </w:r>
      <w:r w:rsidR="00E736FF">
        <w:rPr>
          <w:color w:val="244061" w:themeColor="accent1" w:themeShade="80"/>
        </w:rPr>
        <w:t>necessary</w:t>
      </w:r>
      <w:r>
        <w:rPr>
          <w:color w:val="244061" w:themeColor="accent1" w:themeShade="80"/>
        </w:rPr>
        <w:t>, we have the following comments on the proposed options:</w:t>
      </w:r>
      <w:r w:rsidRPr="006C05AC">
        <w:rPr>
          <w:rFonts w:ascii="Calibri" w:eastAsia="Calibri" w:hAnsi="Calibri" w:cs="Calibri"/>
          <w:color w:val="244061" w:themeColor="accent1" w:themeShade="80"/>
          <w:sz w:val="22"/>
          <w:szCs w:val="22"/>
          <w:lang w:eastAsia="en-US"/>
        </w:rPr>
        <w:t xml:space="preserve"> </w:t>
      </w:r>
    </w:p>
    <w:p w:rsidR="00E736FF" w:rsidRDefault="00E736FF" w:rsidP="006C05AC">
      <w:pPr>
        <w:pBdr>
          <w:top w:val="single" w:sz="4" w:space="1" w:color="auto"/>
          <w:left w:val="single" w:sz="4" w:space="4" w:color="auto"/>
          <w:bottom w:val="single" w:sz="4" w:space="0" w:color="auto"/>
          <w:right w:val="single" w:sz="4" w:space="4" w:color="auto"/>
        </w:pBdr>
        <w:shd w:val="clear" w:color="auto" w:fill="D9D9D9"/>
        <w:tabs>
          <w:tab w:val="left" w:pos="1739"/>
        </w:tabs>
        <w:rPr>
          <w:rFonts w:ascii="Calibri" w:eastAsia="Calibri" w:hAnsi="Calibri" w:cs="Calibri"/>
          <w:color w:val="244061" w:themeColor="accent1" w:themeShade="80"/>
          <w:sz w:val="22"/>
          <w:szCs w:val="22"/>
          <w:lang w:eastAsia="en-US"/>
        </w:rPr>
      </w:pPr>
    </w:p>
    <w:p w:rsidR="006C05AC" w:rsidRPr="006C05AC" w:rsidRDefault="00206242"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a) T</w:t>
      </w:r>
      <w:r w:rsidR="006C05AC" w:rsidRPr="006C05AC">
        <w:rPr>
          <w:color w:val="244061" w:themeColor="accent1" w:themeShade="80"/>
        </w:rPr>
        <w:t>he amount initially invested is probably a</w:t>
      </w:r>
      <w:r>
        <w:rPr>
          <w:color w:val="244061" w:themeColor="accent1" w:themeShade="80"/>
        </w:rPr>
        <w:t>n option that is</w:t>
      </w:r>
      <w:r w:rsidR="006C05AC" w:rsidRPr="006C05AC">
        <w:rPr>
          <w:color w:val="244061" w:themeColor="accent1" w:themeShade="80"/>
        </w:rPr>
        <w:t xml:space="preserve"> too conservative in a higher rate environment.</w:t>
      </w:r>
    </w:p>
    <w:p w:rsidR="006C05AC" w:rsidRPr="006C05AC" w:rsidRDefault="00206242"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b) T</w:t>
      </w:r>
      <w:r w:rsidR="006C05AC" w:rsidRPr="006C05AC">
        <w:rPr>
          <w:color w:val="244061" w:themeColor="accent1" w:themeShade="80"/>
        </w:rPr>
        <w:t xml:space="preserve">he risk free rate is probably the best among the </w:t>
      </w:r>
      <w:r w:rsidR="00E736FF">
        <w:rPr>
          <w:color w:val="244061" w:themeColor="accent1" w:themeShade="80"/>
        </w:rPr>
        <w:t>three</w:t>
      </w:r>
      <w:r w:rsidR="006C05AC" w:rsidRPr="006C05AC">
        <w:rPr>
          <w:color w:val="244061" w:themeColor="accent1" w:themeShade="80"/>
        </w:rPr>
        <w:t xml:space="preserve"> options</w:t>
      </w:r>
      <w:r>
        <w:rPr>
          <w:color w:val="244061" w:themeColor="accent1" w:themeShade="80"/>
        </w:rPr>
        <w:t>.</w:t>
      </w:r>
      <w:r w:rsidR="006C05AC" w:rsidRPr="006C05AC">
        <w:rPr>
          <w:color w:val="244061" w:themeColor="accent1" w:themeShade="80"/>
        </w:rPr>
        <w:t xml:space="preserve"> Yet the ESA </w:t>
      </w:r>
      <w:r>
        <w:rPr>
          <w:color w:val="244061" w:themeColor="accent1" w:themeShade="80"/>
        </w:rPr>
        <w:t>would have to</w:t>
      </w:r>
      <w:r w:rsidR="006C05AC" w:rsidRPr="006C05AC">
        <w:rPr>
          <w:color w:val="244061" w:themeColor="accent1" w:themeShade="80"/>
        </w:rPr>
        <w:t xml:space="preserve"> prescribe the </w:t>
      </w:r>
      <w:r>
        <w:rPr>
          <w:color w:val="244061" w:themeColor="accent1" w:themeShade="80"/>
        </w:rPr>
        <w:t xml:space="preserve">rate to be used </w:t>
      </w:r>
      <w:r w:rsidR="006C05AC" w:rsidRPr="006C05AC">
        <w:rPr>
          <w:color w:val="244061" w:themeColor="accent1" w:themeShade="80"/>
        </w:rPr>
        <w:t xml:space="preserve">to have consistent results between manufacturers. </w:t>
      </w:r>
      <w:r>
        <w:rPr>
          <w:color w:val="244061" w:themeColor="accent1" w:themeShade="80"/>
        </w:rPr>
        <w:t xml:space="preserve">In this situation, </w:t>
      </w:r>
      <w:r w:rsidRPr="006C05AC">
        <w:rPr>
          <w:color w:val="244061" w:themeColor="accent1" w:themeShade="80"/>
        </w:rPr>
        <w:t>we would reco</w:t>
      </w:r>
      <w:r w:rsidRPr="006C05AC">
        <w:rPr>
          <w:color w:val="244061" w:themeColor="accent1" w:themeShade="80"/>
        </w:rPr>
        <w:t>m</w:t>
      </w:r>
      <w:r w:rsidRPr="006C05AC">
        <w:rPr>
          <w:color w:val="244061" w:themeColor="accent1" w:themeShade="80"/>
        </w:rPr>
        <w:t xml:space="preserve">mend the money market rate for each currency, EUR EONIA, USD </w:t>
      </w:r>
      <w:proofErr w:type="spellStart"/>
      <w:r w:rsidRPr="006C05AC">
        <w:rPr>
          <w:color w:val="244061" w:themeColor="accent1" w:themeShade="80"/>
        </w:rPr>
        <w:t>Fed</w:t>
      </w:r>
      <w:r>
        <w:rPr>
          <w:color w:val="244061" w:themeColor="accent1" w:themeShade="80"/>
        </w:rPr>
        <w:t>Funds</w:t>
      </w:r>
      <w:proofErr w:type="spellEnd"/>
      <w:r>
        <w:rPr>
          <w:color w:val="244061" w:themeColor="accent1" w:themeShade="80"/>
        </w:rPr>
        <w:t>, etc...</w:t>
      </w:r>
    </w:p>
    <w:p w:rsidR="006C05AC" w:rsidRDefault="00206242" w:rsidP="006C05AC">
      <w:pPr>
        <w:pBdr>
          <w:top w:val="single" w:sz="4" w:space="1" w:color="auto"/>
          <w:left w:val="single" w:sz="4" w:space="4" w:color="auto"/>
          <w:bottom w:val="single" w:sz="4" w:space="0" w:color="auto"/>
          <w:right w:val="single" w:sz="4" w:space="4" w:color="auto"/>
        </w:pBdr>
        <w:shd w:val="clear" w:color="auto" w:fill="D9D9D9"/>
        <w:tabs>
          <w:tab w:val="left" w:pos="1739"/>
        </w:tabs>
        <w:rPr>
          <w:color w:val="244061" w:themeColor="accent1" w:themeShade="80"/>
        </w:rPr>
      </w:pPr>
      <w:r>
        <w:rPr>
          <w:color w:val="244061" w:themeColor="accent1" w:themeShade="80"/>
        </w:rPr>
        <w:t xml:space="preserve">c) </w:t>
      </w:r>
      <w:proofErr w:type="gramStart"/>
      <w:r>
        <w:rPr>
          <w:color w:val="244061" w:themeColor="accent1" w:themeShade="80"/>
        </w:rPr>
        <w:t>I</w:t>
      </w:r>
      <w:r w:rsidR="006C05AC" w:rsidRPr="006C05AC">
        <w:rPr>
          <w:color w:val="244061" w:themeColor="accent1" w:themeShade="80"/>
        </w:rPr>
        <w:t>nflation,</w:t>
      </w:r>
      <w:proofErr w:type="gramEnd"/>
      <w:r w:rsidR="006C05AC" w:rsidRPr="006C05AC">
        <w:rPr>
          <w:color w:val="244061" w:themeColor="accent1" w:themeShade="80"/>
        </w:rPr>
        <w:t xml:space="preserve"> is not an investible benchmark, so </w:t>
      </w:r>
      <w:r w:rsidR="00E736FF">
        <w:rPr>
          <w:color w:val="244061" w:themeColor="accent1" w:themeShade="80"/>
        </w:rPr>
        <w:t xml:space="preserve">it is </w:t>
      </w:r>
      <w:r w:rsidR="006C05AC" w:rsidRPr="006C05AC">
        <w:rPr>
          <w:color w:val="244061" w:themeColor="accent1" w:themeShade="80"/>
        </w:rPr>
        <w:t>not directly</w:t>
      </w:r>
      <w:r w:rsidR="0077438E">
        <w:rPr>
          <w:color w:val="244061" w:themeColor="accent1" w:themeShade="80"/>
        </w:rPr>
        <w:t xml:space="preserve"> relevant for a retail investor.</w:t>
      </w:r>
    </w:p>
    <w:permEnd w:id="11"/>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D81F56" w:rsidRPr="00D81F56" w:rsidRDefault="00D81F56" w:rsidP="00D81F56">
      <w:pPr>
        <w:rPr>
          <w:b/>
        </w:rPr>
      </w:pPr>
      <w:permStart w:id="12" w:edGrp="everyone"/>
      <w:r w:rsidRPr="00D81F56">
        <w:rPr>
          <w:b/>
        </w:rPr>
        <w:t>Answer to the first question</w:t>
      </w:r>
    </w:p>
    <w:p w:rsidR="00391D88" w:rsidRDefault="00D81F56" w:rsidP="00D81F56">
      <w:r w:rsidRPr="00D81F56">
        <w:t>For equities and commodities, should performance scenarios be probabilistic, a growth rate set to the risk free rate (option a) would not be satisfactory</w:t>
      </w:r>
      <w:r w:rsidR="00667471">
        <w:t xml:space="preserve"> because a risk premium exists for these products</w:t>
      </w:r>
      <w:r w:rsidRPr="00D81F56">
        <w:t>.</w:t>
      </w:r>
    </w:p>
    <w:p w:rsidR="00391D88" w:rsidRDefault="00667471" w:rsidP="00667471">
      <w:pPr>
        <w:tabs>
          <w:tab w:val="left" w:pos="5200"/>
        </w:tabs>
      </w:pPr>
      <w:r>
        <w:tab/>
      </w:r>
    </w:p>
    <w:p w:rsidR="00712BE3" w:rsidRDefault="00712BE3" w:rsidP="00712BE3">
      <w:r>
        <w:t>AMAFI is in favour of option</w:t>
      </w:r>
      <w:r w:rsidRPr="00D81F56">
        <w:t xml:space="preserve"> b</w:t>
      </w:r>
      <w:r>
        <w:t xml:space="preserve">) whereby </w:t>
      </w:r>
      <w:r w:rsidRPr="00D81F56">
        <w:t>the asset grow</w:t>
      </w:r>
      <w:r>
        <w:t>s</w:t>
      </w:r>
      <w:r w:rsidRPr="00D81F56">
        <w:t xml:space="preserve"> at</w:t>
      </w:r>
      <w:r>
        <w:t xml:space="preserve"> the</w:t>
      </w:r>
      <w:r w:rsidRPr="00D81F56">
        <w:t xml:space="preserve"> risk free rate adjusted by an asset specific risk premium, </w:t>
      </w:r>
      <w:r>
        <w:t xml:space="preserve">constant and explicitly </w:t>
      </w:r>
      <w:r w:rsidRPr="00D81F56">
        <w:t>set by regulators (e.g. for equities the risk premium should probably be between 4% and 7% p.a.). This would ensure all manufacturers</w:t>
      </w:r>
      <w:r>
        <w:t xml:space="preserve"> use the same equity risk premium and would be simple to implement</w:t>
      </w:r>
      <w:r w:rsidRPr="00D81F56">
        <w:t>.</w:t>
      </w:r>
    </w:p>
    <w:p w:rsidR="00712BE3" w:rsidRPr="00D81F56" w:rsidRDefault="00712BE3" w:rsidP="00712BE3"/>
    <w:p w:rsidR="00D72D12" w:rsidRDefault="00D72D12" w:rsidP="00D81F56">
      <w:r>
        <w:t>As for option</w:t>
      </w:r>
      <w:r w:rsidR="00D81F56" w:rsidRPr="00D81F56">
        <w:t xml:space="preserve"> c)</w:t>
      </w:r>
      <w:r w:rsidR="00391D88">
        <w:t xml:space="preserve"> and as regards </w:t>
      </w:r>
      <w:r w:rsidR="00391D88" w:rsidRPr="00D81F56">
        <w:t xml:space="preserve">equities, Bloomberg publishes some expected return levels in EQRP and CRP functions, which may be used for regulatory calculations, as these levels are objective, based on accurate economic models and </w:t>
      </w:r>
      <w:r w:rsidR="00391D88">
        <w:t>independent from</w:t>
      </w:r>
      <w:r w:rsidR="00391D88" w:rsidRPr="00D81F56">
        <w:t xml:space="preserve"> manufacturers. Yet, </w:t>
      </w:r>
      <w:r w:rsidR="00391D88">
        <w:t>they</w:t>
      </w:r>
      <w:r w:rsidR="00391D88" w:rsidRPr="00D81F56">
        <w:t xml:space="preserve"> are subject to changes</w:t>
      </w:r>
      <w:r w:rsidR="00391D88">
        <w:t>, which would be problematic if they are too frequent,</w:t>
      </w:r>
      <w:r w:rsidR="00391D88" w:rsidRPr="00D81F56">
        <w:t xml:space="preserve"> and would </w:t>
      </w:r>
      <w:r w:rsidR="00667471">
        <w:t xml:space="preserve">therefore </w:t>
      </w:r>
      <w:r w:rsidR="00391D88" w:rsidRPr="00D81F56">
        <w:t>be less stable than a prescribed risk premium set by the ESA</w:t>
      </w:r>
      <w:r w:rsidR="00667471">
        <w:t>s</w:t>
      </w:r>
      <w:r w:rsidR="00391D88" w:rsidRPr="00D81F56">
        <w:t>.</w:t>
      </w:r>
      <w:r w:rsidR="00391D88">
        <w:t xml:space="preserve"> </w:t>
      </w:r>
      <w:r w:rsidR="00D81F56" w:rsidRPr="00D81F56">
        <w:t xml:space="preserve"> </w:t>
      </w:r>
    </w:p>
    <w:p w:rsidR="00D72D12" w:rsidRPr="00D81F56" w:rsidRDefault="00D72D12" w:rsidP="00D81F56"/>
    <w:p w:rsidR="00D81F56" w:rsidRPr="00D81F56" w:rsidRDefault="00D81F56" w:rsidP="00D81F56">
      <w:pPr>
        <w:rPr>
          <w:b/>
        </w:rPr>
      </w:pPr>
      <w:r w:rsidRPr="00D81F56">
        <w:rPr>
          <w:b/>
        </w:rPr>
        <w:t>Answer to the second question</w:t>
      </w:r>
    </w:p>
    <w:p w:rsidR="00D81F56" w:rsidRPr="00D81F56" w:rsidRDefault="00391D88" w:rsidP="00D81F56">
      <w:r>
        <w:t>This approach would not work for c</w:t>
      </w:r>
      <w:r w:rsidR="00D81F56" w:rsidRPr="00D81F56">
        <w:t>redit</w:t>
      </w:r>
      <w:r>
        <w:t xml:space="preserve"> and rate</w:t>
      </w:r>
      <w:r w:rsidR="00D81F56" w:rsidRPr="00D81F56">
        <w:t xml:space="preserve"> products </w:t>
      </w:r>
      <w:r>
        <w:t xml:space="preserve">whose </w:t>
      </w:r>
      <w:r w:rsidR="00D81F56" w:rsidRPr="00D81F56">
        <w:t xml:space="preserve">models generally </w:t>
      </w:r>
      <w:r>
        <w:t xml:space="preserve">do </w:t>
      </w:r>
      <w:r w:rsidR="00D81F56" w:rsidRPr="00D81F56">
        <w:t>not incorporate a risk premi</w:t>
      </w:r>
      <w:r>
        <w:t>um.</w:t>
      </w:r>
    </w:p>
    <w:p w:rsidR="00F31E57" w:rsidRDefault="00712BE3" w:rsidP="00F31E57">
      <w:r>
        <w:t>As f</w:t>
      </w:r>
      <w:r w:rsidR="00D81F56" w:rsidRPr="00D81F56">
        <w:t xml:space="preserve">or actively managed UCITS (open ended) we hardly see how </w:t>
      </w:r>
      <w:r>
        <w:t>they</w:t>
      </w:r>
      <w:r w:rsidR="00D81F56" w:rsidRPr="00D81F56">
        <w:t xml:space="preserve"> could simulate the perfor</w:t>
      </w:r>
      <w:r w:rsidR="00DF2052">
        <w:t>m</w:t>
      </w:r>
      <w:r w:rsidR="00D81F56" w:rsidRPr="00D81F56">
        <w:t>ance of their NAV in a forward looking performance scenario other than</w:t>
      </w:r>
      <w:r w:rsidR="00DF2052">
        <w:t xml:space="preserve"> by</w:t>
      </w:r>
      <w:r w:rsidR="00D81F56" w:rsidRPr="00D81F56">
        <w:t xml:space="preserve"> simulating the </w:t>
      </w:r>
      <w:r w:rsidR="00DF2052" w:rsidRPr="00D81F56">
        <w:t>portfolio</w:t>
      </w:r>
      <w:r w:rsidR="00D81F56" w:rsidRPr="00D81F56">
        <w:t xml:space="preserve"> return for a given holding period. Probabilistic perf</w:t>
      </w:r>
      <w:r w:rsidR="00DF2052">
        <w:t>ormance</w:t>
      </w:r>
      <w:r w:rsidR="00D81F56" w:rsidRPr="00D81F56">
        <w:t xml:space="preserve"> scenarios are not well suited for </w:t>
      </w:r>
      <w:r w:rsidR="00DF2052">
        <w:t>f</w:t>
      </w:r>
      <w:r w:rsidR="00D81F56" w:rsidRPr="00D81F56">
        <w:t>unds.</w:t>
      </w:r>
    </w:p>
    <w:permEnd w:id="12"/>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544AB9" w:rsidRDefault="005A39DF" w:rsidP="00544AB9">
      <w:pPr>
        <w:pBdr>
          <w:top w:val="single" w:sz="4" w:space="1" w:color="auto"/>
          <w:left w:val="single" w:sz="4" w:space="4" w:color="auto"/>
          <w:bottom w:val="single" w:sz="4" w:space="4" w:color="auto"/>
          <w:right w:val="single" w:sz="4" w:space="4" w:color="auto"/>
        </w:pBdr>
        <w:shd w:val="clear" w:color="auto" w:fill="D9D9D9"/>
        <w:tabs>
          <w:tab w:val="left" w:pos="1739"/>
        </w:tabs>
        <w:rPr>
          <w:color w:val="244061" w:themeColor="accent1" w:themeShade="80"/>
        </w:rPr>
      </w:pPr>
      <w:permStart w:id="13" w:edGrp="everyone"/>
      <w:r>
        <w:rPr>
          <w:color w:val="244061" w:themeColor="accent1" w:themeShade="80"/>
        </w:rPr>
        <w:t xml:space="preserve">AMAFI is </w:t>
      </w:r>
      <w:r w:rsidR="00667471">
        <w:rPr>
          <w:color w:val="244061" w:themeColor="accent1" w:themeShade="80"/>
        </w:rPr>
        <w:t xml:space="preserve">strongly </w:t>
      </w:r>
      <w:r>
        <w:rPr>
          <w:color w:val="244061" w:themeColor="accent1" w:themeShade="80"/>
        </w:rPr>
        <w:t>in favour of scenario c</w:t>
      </w:r>
      <w:r w:rsidR="00667471">
        <w:rPr>
          <w:color w:val="244061" w:themeColor="accent1" w:themeShade="80"/>
        </w:rPr>
        <w:t>.</w:t>
      </w:r>
      <w:r>
        <w:rPr>
          <w:color w:val="244061" w:themeColor="accent1" w:themeShade="80"/>
        </w:rPr>
        <w:t xml:space="preserve"> whereby the risk indicator would be calculated based on the recommended holding period and a warning would be added explaining the possible variation in risk over time. This approach ensures true comparability between products. </w:t>
      </w:r>
    </w:p>
    <w:p w:rsidR="00544AB9" w:rsidRDefault="00544AB9" w:rsidP="00544AB9">
      <w:pPr>
        <w:pBdr>
          <w:top w:val="single" w:sz="4" w:space="1" w:color="auto"/>
          <w:left w:val="single" w:sz="4" w:space="4" w:color="auto"/>
          <w:bottom w:val="single" w:sz="4" w:space="4" w:color="auto"/>
          <w:right w:val="single" w:sz="4" w:space="4" w:color="auto"/>
        </w:pBdr>
        <w:shd w:val="clear" w:color="auto" w:fill="D9D9D9"/>
        <w:tabs>
          <w:tab w:val="left" w:pos="1739"/>
        </w:tabs>
        <w:rPr>
          <w:color w:val="244061" w:themeColor="accent1" w:themeShade="80"/>
        </w:rPr>
      </w:pPr>
    </w:p>
    <w:p w:rsidR="00544AB9" w:rsidRPr="00544AB9" w:rsidRDefault="005A39DF" w:rsidP="00544AB9">
      <w:pPr>
        <w:pBdr>
          <w:top w:val="single" w:sz="4" w:space="1" w:color="auto"/>
          <w:left w:val="single" w:sz="4" w:space="4" w:color="auto"/>
          <w:bottom w:val="single" w:sz="4" w:space="4" w:color="auto"/>
          <w:right w:val="single" w:sz="4" w:space="4" w:color="auto"/>
        </w:pBdr>
        <w:shd w:val="clear" w:color="auto" w:fill="D9D9D9"/>
        <w:tabs>
          <w:tab w:val="left" w:pos="1739"/>
        </w:tabs>
        <w:rPr>
          <w:color w:val="244061" w:themeColor="accent1" w:themeShade="80"/>
        </w:rPr>
      </w:pPr>
      <w:r>
        <w:rPr>
          <w:color w:val="244061" w:themeColor="accent1" w:themeShade="80"/>
        </w:rPr>
        <w:t>As regards products with a fixed tenor, the recommended holding period would be the whole tenor of the product, which would enable the risk indicator to be a true reflection of the potential outcomes of the product</w:t>
      </w:r>
      <w:r w:rsidR="00E736FF">
        <w:rPr>
          <w:color w:val="244061" w:themeColor="accent1" w:themeShade="80"/>
        </w:rPr>
        <w:t xml:space="preserve"> and the performance scenarios to be descriptive of the entire pay-off.</w:t>
      </w:r>
      <w:r>
        <w:rPr>
          <w:color w:val="244061" w:themeColor="accent1" w:themeShade="80"/>
        </w:rPr>
        <w:t xml:space="preserve"> This would not be the case if the risk indicator had to consider a shorter investment horizon, not at all representative of the product economics. </w:t>
      </w:r>
      <w:r w:rsidR="00E736FF">
        <w:rPr>
          <w:color w:val="244061" w:themeColor="accent1" w:themeShade="80"/>
        </w:rPr>
        <w:t xml:space="preserve">Similarly, </w:t>
      </w:r>
      <w:r w:rsidR="00E736FF" w:rsidRPr="00E736FF">
        <w:rPr>
          <w:color w:val="244061" w:themeColor="accent1" w:themeShade="80"/>
        </w:rPr>
        <w:t xml:space="preserve">any performance scenarios based on a shorter tenor (such as 10 days for a 5 year product) would be an incorrect description of the potential outcomes of the product. </w:t>
      </w:r>
      <w:r w:rsidR="00544AB9" w:rsidRPr="00544AB9">
        <w:rPr>
          <w:color w:val="244061" w:themeColor="accent1" w:themeShade="80"/>
        </w:rPr>
        <w:t>A different approach would be detrimental to comparability between products. Furthermore, overall comparability of the pe</w:t>
      </w:r>
      <w:r w:rsidR="00544AB9" w:rsidRPr="00544AB9">
        <w:rPr>
          <w:color w:val="244061" w:themeColor="accent1" w:themeShade="80"/>
        </w:rPr>
        <w:t>r</w:t>
      </w:r>
      <w:r w:rsidR="00544AB9" w:rsidRPr="00544AB9">
        <w:rPr>
          <w:color w:val="244061" w:themeColor="accent1" w:themeShade="80"/>
        </w:rPr>
        <w:t>formance could be ensured anyhow by annualizing numbers (e.g. internal rate of return, annualized vol</w:t>
      </w:r>
      <w:r w:rsidR="00544AB9" w:rsidRPr="00544AB9">
        <w:rPr>
          <w:color w:val="244061" w:themeColor="accent1" w:themeShade="80"/>
        </w:rPr>
        <w:t>a</w:t>
      </w:r>
      <w:r w:rsidR="00544AB9" w:rsidRPr="00544AB9">
        <w:rPr>
          <w:color w:val="244061" w:themeColor="accent1" w:themeShade="80"/>
        </w:rPr>
        <w:t xml:space="preserve">tility or </w:t>
      </w:r>
      <w:proofErr w:type="spellStart"/>
      <w:r w:rsidR="00544AB9" w:rsidRPr="00544AB9">
        <w:rPr>
          <w:color w:val="244061" w:themeColor="accent1" w:themeShade="80"/>
        </w:rPr>
        <w:t>cVaR</w:t>
      </w:r>
      <w:proofErr w:type="spellEnd"/>
      <w:r w:rsidR="00544AB9" w:rsidRPr="00544AB9">
        <w:rPr>
          <w:color w:val="244061" w:themeColor="accent1" w:themeShade="80"/>
        </w:rPr>
        <w:t xml:space="preserve"> corresponding to the average “annual loss”).</w:t>
      </w:r>
    </w:p>
    <w:p w:rsidR="00544AB9" w:rsidRPr="00544AB9" w:rsidRDefault="00544AB9" w:rsidP="00544AB9">
      <w:pPr>
        <w:pBdr>
          <w:top w:val="single" w:sz="4" w:space="1" w:color="auto"/>
          <w:left w:val="single" w:sz="4" w:space="4" w:color="auto"/>
          <w:bottom w:val="single" w:sz="4" w:space="4" w:color="auto"/>
          <w:right w:val="single" w:sz="4" w:space="4" w:color="auto"/>
        </w:pBdr>
        <w:shd w:val="clear" w:color="auto" w:fill="D9D9D9"/>
        <w:tabs>
          <w:tab w:val="left" w:pos="1739"/>
        </w:tabs>
        <w:rPr>
          <w:color w:val="244061" w:themeColor="accent1" w:themeShade="80"/>
        </w:rPr>
      </w:pPr>
      <w:r w:rsidRPr="00544AB9">
        <w:rPr>
          <w:color w:val="244061" w:themeColor="accent1" w:themeShade="80"/>
        </w:rPr>
        <w:t>AMAFI is therefore in favour of a flexible approach whereby a standardised holding period assumption would be required only for open ended products.</w:t>
      </w:r>
    </w:p>
    <w:p w:rsidR="00E736FF" w:rsidRDefault="00E736FF" w:rsidP="000D38FA">
      <w:pPr>
        <w:pBdr>
          <w:top w:val="single" w:sz="4" w:space="1" w:color="auto"/>
          <w:left w:val="single" w:sz="4" w:space="4" w:color="auto"/>
          <w:bottom w:val="single" w:sz="4" w:space="4" w:color="auto"/>
          <w:right w:val="single" w:sz="4" w:space="4" w:color="auto"/>
        </w:pBdr>
        <w:shd w:val="clear" w:color="auto" w:fill="D9D9D9"/>
        <w:tabs>
          <w:tab w:val="left" w:pos="1739"/>
        </w:tabs>
        <w:rPr>
          <w:color w:val="244061" w:themeColor="accent1" w:themeShade="80"/>
        </w:rPr>
      </w:pPr>
    </w:p>
    <w:p w:rsidR="0030250C" w:rsidRPr="005978A1" w:rsidRDefault="00653351" w:rsidP="000D38FA">
      <w:pPr>
        <w:pBdr>
          <w:top w:val="single" w:sz="4" w:space="1" w:color="auto"/>
          <w:left w:val="single" w:sz="4" w:space="4" w:color="auto"/>
          <w:bottom w:val="single" w:sz="4" w:space="4" w:color="auto"/>
          <w:right w:val="single" w:sz="4" w:space="4" w:color="auto"/>
        </w:pBdr>
        <w:shd w:val="clear" w:color="auto" w:fill="D9D9D9"/>
        <w:tabs>
          <w:tab w:val="left" w:pos="1739"/>
        </w:tabs>
        <w:rPr>
          <w:color w:val="244061" w:themeColor="accent1" w:themeShade="80"/>
        </w:rPr>
      </w:pPr>
      <w:r w:rsidRPr="00E736FF">
        <w:rPr>
          <w:color w:val="244061" w:themeColor="accent1" w:themeShade="80"/>
        </w:rPr>
        <w:t xml:space="preserve">Furthermore, </w:t>
      </w:r>
      <w:r w:rsidR="00AD3B58">
        <w:rPr>
          <w:color w:val="244061" w:themeColor="accent1" w:themeShade="80"/>
        </w:rPr>
        <w:t>scenario c.</w:t>
      </w:r>
      <w:r w:rsidRPr="00E736FF">
        <w:rPr>
          <w:color w:val="244061" w:themeColor="accent1" w:themeShade="80"/>
        </w:rPr>
        <w:t xml:space="preserve"> is the simplest to implement and understand and does not hinge </w:t>
      </w:r>
      <w:r w:rsidR="00AD3B58">
        <w:rPr>
          <w:color w:val="244061" w:themeColor="accent1" w:themeShade="80"/>
        </w:rPr>
        <w:t>on arbitrary choice of intermediate times as option a.</w:t>
      </w:r>
      <w:r w:rsidR="00AD3B58" w:rsidRPr="00E736FF">
        <w:rPr>
          <w:color w:val="244061" w:themeColor="accent1" w:themeShade="80"/>
        </w:rPr>
        <w:t xml:space="preserve"> </w:t>
      </w:r>
      <w:r w:rsidR="00AD3B58">
        <w:rPr>
          <w:color w:val="244061" w:themeColor="accent1" w:themeShade="80"/>
        </w:rPr>
        <w:t>or</w:t>
      </w:r>
      <w:r w:rsidRPr="00E736FF">
        <w:rPr>
          <w:color w:val="244061" w:themeColor="accent1" w:themeShade="80"/>
        </w:rPr>
        <w:t xml:space="preserve"> estima</w:t>
      </w:r>
      <w:r w:rsidR="00DC70CB" w:rsidRPr="00E736FF">
        <w:rPr>
          <w:color w:val="244061" w:themeColor="accent1" w:themeShade="80"/>
        </w:rPr>
        <w:t>tions as optio</w:t>
      </w:r>
      <w:r w:rsidR="00DC70CB">
        <w:rPr>
          <w:color w:val="244061" w:themeColor="accent1" w:themeShade="80"/>
        </w:rPr>
        <w:t>n b.</w:t>
      </w:r>
      <w:r w:rsidR="00AD3B58">
        <w:rPr>
          <w:color w:val="244061" w:themeColor="accent1" w:themeShade="80"/>
        </w:rPr>
        <w:t xml:space="preserve"> </w:t>
      </w:r>
      <w:r w:rsidR="00DC70CB">
        <w:rPr>
          <w:color w:val="244061" w:themeColor="accent1" w:themeShade="80"/>
        </w:rPr>
        <w:t>(with a resulting figure not necessarily relevant for an investor willing to hold the product during the recommended holding period)</w:t>
      </w:r>
      <w:r w:rsidR="00EB3725">
        <w:rPr>
          <w:color w:val="244061" w:themeColor="accent1" w:themeShade="80"/>
        </w:rPr>
        <w:t>.</w:t>
      </w:r>
      <w:r>
        <w:rPr>
          <w:color w:val="244061" w:themeColor="accent1" w:themeShade="80"/>
        </w:rPr>
        <w:t xml:space="preserve"> </w:t>
      </w:r>
      <w:r w:rsidR="00667471">
        <w:rPr>
          <w:color w:val="244061" w:themeColor="accent1" w:themeShade="80"/>
        </w:rPr>
        <w:t>Finally, option a. strikes us as not being compliant with the level 1 requirement to show an aggregated risk indicator, as several figures would have to be displayed.</w:t>
      </w:r>
    </w:p>
    <w:permEnd w:id="13"/>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4A35E0" w:rsidRDefault="00DC70CB"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permStart w:id="14" w:edGrp="everyone"/>
      <w:r>
        <w:rPr>
          <w:color w:val="244061" w:themeColor="accent1" w:themeShade="80"/>
          <w:lang w:eastAsia="zh-CN"/>
        </w:rPr>
        <w:t>AMAFI</w:t>
      </w:r>
      <w:r w:rsidR="00667471" w:rsidRPr="000619D9">
        <w:rPr>
          <w:color w:val="244061" w:themeColor="accent1" w:themeShade="80"/>
          <w:lang w:eastAsia="zh-CN"/>
        </w:rPr>
        <w:t xml:space="preserve"> </w:t>
      </w:r>
      <w:r>
        <w:rPr>
          <w:color w:val="244061" w:themeColor="accent1" w:themeShade="80"/>
          <w:lang w:eastAsia="zh-CN"/>
        </w:rPr>
        <w:t xml:space="preserve">agrees that the credit risk of a PRIIP relates to the risk for the investor that the issuer or obligor fails and that </w:t>
      </w:r>
      <w:r w:rsidR="004A35E0">
        <w:rPr>
          <w:color w:val="244061" w:themeColor="accent1" w:themeShade="80"/>
          <w:lang w:eastAsia="zh-CN"/>
        </w:rPr>
        <w:t xml:space="preserve">it is not dependent on the underlying assets where the PRIIP is invested in, such credit risk being reflected in the PRIIP’s market risk. </w:t>
      </w:r>
    </w:p>
    <w:p w:rsidR="004A35E0" w:rsidRDefault="004A35E0"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p>
    <w:p w:rsidR="00667471" w:rsidRPr="000619D9" w:rsidRDefault="004A35E0"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r>
        <w:rPr>
          <w:color w:val="244061" w:themeColor="accent1" w:themeShade="80"/>
          <w:lang w:eastAsia="zh-CN"/>
        </w:rPr>
        <w:t>AMAFI is</w:t>
      </w:r>
      <w:r w:rsidR="00667471" w:rsidRPr="000619D9">
        <w:rPr>
          <w:color w:val="244061" w:themeColor="accent1" w:themeShade="80"/>
          <w:lang w:eastAsia="zh-CN"/>
        </w:rPr>
        <w:t xml:space="preserve"> not in favour of relying on CDS levels or funding spreads for the following reasons:</w:t>
      </w:r>
    </w:p>
    <w:p w:rsidR="00667471" w:rsidRPr="000619D9" w:rsidRDefault="00667471"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r w:rsidRPr="000619D9">
        <w:rPr>
          <w:color w:val="244061" w:themeColor="accent1" w:themeShade="80"/>
          <w:lang w:eastAsia="zh-CN"/>
        </w:rPr>
        <w:t>-</w:t>
      </w:r>
      <w:r w:rsidR="00DC70CB">
        <w:rPr>
          <w:color w:val="244061" w:themeColor="accent1" w:themeShade="80"/>
          <w:lang w:eastAsia="zh-CN"/>
        </w:rPr>
        <w:t xml:space="preserve"> </w:t>
      </w:r>
      <w:r w:rsidRPr="000619D9">
        <w:rPr>
          <w:color w:val="244061" w:themeColor="accent1" w:themeShade="80"/>
          <w:lang w:eastAsia="zh-CN"/>
        </w:rPr>
        <w:t xml:space="preserve">Some product manufacturers </w:t>
      </w:r>
      <w:r w:rsidR="00DC70CB">
        <w:rPr>
          <w:color w:val="244061" w:themeColor="accent1" w:themeShade="80"/>
          <w:lang w:eastAsia="zh-CN"/>
        </w:rPr>
        <w:t>do</w:t>
      </w:r>
      <w:r w:rsidRPr="000619D9">
        <w:rPr>
          <w:color w:val="244061" w:themeColor="accent1" w:themeShade="80"/>
          <w:lang w:eastAsia="zh-CN"/>
        </w:rPr>
        <w:t xml:space="preserve"> not have CDS traded in the market but only a credit rating </w:t>
      </w:r>
    </w:p>
    <w:p w:rsidR="00667471" w:rsidRDefault="00667471"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r w:rsidRPr="000619D9">
        <w:rPr>
          <w:color w:val="244061" w:themeColor="accent1" w:themeShade="80"/>
          <w:lang w:eastAsia="zh-CN"/>
        </w:rPr>
        <w:t>- CDS or funding spreads are often subject to change</w:t>
      </w:r>
      <w:r w:rsidR="00DC70CB">
        <w:rPr>
          <w:color w:val="244061" w:themeColor="accent1" w:themeShade="80"/>
          <w:lang w:eastAsia="zh-CN"/>
        </w:rPr>
        <w:t xml:space="preserve">s (sometimes volatile changes) </w:t>
      </w:r>
      <w:r w:rsidRPr="000619D9">
        <w:rPr>
          <w:color w:val="244061" w:themeColor="accent1" w:themeShade="80"/>
          <w:lang w:eastAsia="zh-CN"/>
        </w:rPr>
        <w:t>whe</w:t>
      </w:r>
      <w:r w:rsidR="00DC70CB">
        <w:rPr>
          <w:color w:val="244061" w:themeColor="accent1" w:themeShade="80"/>
          <w:lang w:eastAsia="zh-CN"/>
        </w:rPr>
        <w:t>reas</w:t>
      </w:r>
      <w:r w:rsidRPr="000619D9">
        <w:rPr>
          <w:color w:val="244061" w:themeColor="accent1" w:themeShade="80"/>
          <w:lang w:eastAsia="zh-CN"/>
        </w:rPr>
        <w:t xml:space="preserve"> rating agencies classification offers greater s</w:t>
      </w:r>
      <w:r w:rsidR="00DC70CB">
        <w:rPr>
          <w:color w:val="244061" w:themeColor="accent1" w:themeShade="80"/>
          <w:lang w:eastAsia="zh-CN"/>
        </w:rPr>
        <w:t>tability</w:t>
      </w:r>
      <w:r w:rsidRPr="000619D9">
        <w:rPr>
          <w:color w:val="244061" w:themeColor="accent1" w:themeShade="80"/>
          <w:lang w:eastAsia="zh-CN"/>
        </w:rPr>
        <w:t>.</w:t>
      </w:r>
    </w:p>
    <w:p w:rsidR="00DC70CB" w:rsidRPr="000619D9" w:rsidRDefault="00DC70CB"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p>
    <w:p w:rsidR="001E136B" w:rsidRPr="00FB5E62" w:rsidRDefault="00667471" w:rsidP="0066747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lang w:eastAsia="zh-CN"/>
        </w:rPr>
      </w:pPr>
      <w:r w:rsidRPr="000619D9">
        <w:rPr>
          <w:color w:val="244061" w:themeColor="accent1" w:themeShade="80"/>
          <w:lang w:eastAsia="zh-CN"/>
        </w:rPr>
        <w:t xml:space="preserve">In </w:t>
      </w:r>
      <w:r w:rsidR="00DC70CB">
        <w:rPr>
          <w:color w:val="244061" w:themeColor="accent1" w:themeShade="80"/>
          <w:lang w:eastAsia="zh-CN"/>
        </w:rPr>
        <w:t>our</w:t>
      </w:r>
      <w:r w:rsidRPr="000619D9">
        <w:rPr>
          <w:color w:val="244061" w:themeColor="accent1" w:themeShade="80"/>
          <w:lang w:eastAsia="zh-CN"/>
        </w:rPr>
        <w:t xml:space="preserve"> view the best approach to credit risk would be based on one or more of the main rating agencies classification, looking both at short term and long term ratings, because </w:t>
      </w:r>
      <w:r w:rsidR="00DC70CB">
        <w:rPr>
          <w:color w:val="244061" w:themeColor="accent1" w:themeShade="80"/>
          <w:lang w:eastAsia="zh-CN"/>
        </w:rPr>
        <w:t>they are objective and</w:t>
      </w:r>
      <w:r w:rsidRPr="000619D9">
        <w:rPr>
          <w:color w:val="244061" w:themeColor="accent1" w:themeShade="80"/>
          <w:lang w:eastAsia="zh-CN"/>
        </w:rPr>
        <w:t xml:space="preserve"> </w:t>
      </w:r>
      <w:r w:rsidR="00DC70CB">
        <w:rPr>
          <w:color w:val="244061" w:themeColor="accent1" w:themeShade="80"/>
          <w:lang w:eastAsia="zh-CN"/>
        </w:rPr>
        <w:t>under regulatory supervision</w:t>
      </w:r>
      <w:r w:rsidRPr="000619D9">
        <w:rPr>
          <w:color w:val="244061" w:themeColor="accent1" w:themeShade="80"/>
          <w:lang w:eastAsia="zh-CN"/>
        </w:rPr>
        <w:t xml:space="preserve">, </w:t>
      </w:r>
      <w:r w:rsidR="00DC70CB">
        <w:rPr>
          <w:color w:val="244061" w:themeColor="accent1" w:themeShade="80"/>
          <w:lang w:eastAsia="zh-CN"/>
        </w:rPr>
        <w:t>they provide</w:t>
      </w:r>
      <w:r w:rsidRPr="000619D9">
        <w:rPr>
          <w:color w:val="244061" w:themeColor="accent1" w:themeShade="80"/>
          <w:lang w:eastAsia="zh-CN"/>
        </w:rPr>
        <w:t xml:space="preserve"> better stability than a CDS spread, and </w:t>
      </w:r>
      <w:r w:rsidR="00DC70CB">
        <w:rPr>
          <w:color w:val="244061" w:themeColor="accent1" w:themeShade="80"/>
          <w:lang w:eastAsia="zh-CN"/>
        </w:rPr>
        <w:t>are</w:t>
      </w:r>
      <w:r w:rsidRPr="000619D9">
        <w:rPr>
          <w:color w:val="244061" w:themeColor="accent1" w:themeShade="80"/>
          <w:lang w:eastAsia="zh-CN"/>
        </w:rPr>
        <w:t xml:space="preserve"> usually available </w:t>
      </w:r>
      <w:r w:rsidR="00DC70CB">
        <w:rPr>
          <w:color w:val="244061" w:themeColor="accent1" w:themeShade="80"/>
          <w:lang w:eastAsia="zh-CN"/>
        </w:rPr>
        <w:t>for</w:t>
      </w:r>
      <w:r w:rsidRPr="000619D9">
        <w:rPr>
          <w:color w:val="244061" w:themeColor="accent1" w:themeShade="80"/>
          <w:lang w:eastAsia="zh-CN"/>
        </w:rPr>
        <w:t xml:space="preserve"> all manufacturers/obligors. The list of eligible rating agencies registered with ESMA is suffi</w:t>
      </w:r>
      <w:r>
        <w:rPr>
          <w:color w:val="244061" w:themeColor="accent1" w:themeShade="80"/>
          <w:lang w:eastAsia="zh-CN"/>
        </w:rPr>
        <w:t>ciently broad for this purpose.</w:t>
      </w:r>
    </w:p>
    <w:permEnd w:id="14"/>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550B4F" w:rsidRPr="003F519D" w:rsidRDefault="00550B4F" w:rsidP="00550B4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color w:val="244061" w:themeColor="accent1" w:themeShade="80"/>
        </w:rPr>
      </w:pPr>
      <w:permStart w:id="15" w:edGrp="everyone"/>
      <w:r w:rsidRPr="003F519D">
        <w:rPr>
          <w:color w:val="244061" w:themeColor="accent1" w:themeShade="80"/>
        </w:rPr>
        <w:t>Yes. Liquidity should be described by a narrative below the risk indicator</w:t>
      </w:r>
      <w:r>
        <w:rPr>
          <w:color w:val="244061" w:themeColor="accent1" w:themeShade="80"/>
        </w:rPr>
        <w:t xml:space="preserve"> but should not be incorporated as a quantitative component in the risk indicator (inaccurate and confusing for the investor)</w:t>
      </w:r>
      <w:r w:rsidRPr="003F519D">
        <w:rPr>
          <w:color w:val="244061" w:themeColor="accent1" w:themeShade="80"/>
        </w:rPr>
        <w:t xml:space="preserve">. </w:t>
      </w:r>
    </w:p>
    <w:p w:rsidR="00550B4F" w:rsidRPr="00FB5E62" w:rsidRDefault="00550B4F" w:rsidP="00550B4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color w:val="244061" w:themeColor="accent1" w:themeShade="80"/>
        </w:rPr>
      </w:pPr>
      <w:r>
        <w:rPr>
          <w:color w:val="244061" w:themeColor="accent1" w:themeShade="80"/>
        </w:rPr>
        <w:lastRenderedPageBreak/>
        <w:t xml:space="preserve">If this approach were chosen, then redundancy should be avoided with </w:t>
      </w:r>
      <w:r w:rsidRPr="000619D9">
        <w:rPr>
          <w:color w:val="244061" w:themeColor="accent1" w:themeShade="80"/>
        </w:rPr>
        <w:t>the</w:t>
      </w:r>
      <w:r>
        <w:rPr>
          <w:color w:val="244061" w:themeColor="accent1" w:themeShade="80"/>
        </w:rPr>
        <w:t xml:space="preserve"> section “Can I</w:t>
      </w:r>
      <w:r w:rsidRPr="000619D9">
        <w:rPr>
          <w:color w:val="244061" w:themeColor="accent1" w:themeShade="80"/>
        </w:rPr>
        <w:t xml:space="preserve"> take my mone</w:t>
      </w:r>
      <w:r>
        <w:rPr>
          <w:color w:val="244061" w:themeColor="accent1" w:themeShade="80"/>
        </w:rPr>
        <w:t>y out early section” due to the lim</w:t>
      </w:r>
      <w:r w:rsidRPr="000619D9">
        <w:rPr>
          <w:color w:val="244061" w:themeColor="accent1" w:themeShade="80"/>
        </w:rPr>
        <w:t xml:space="preserve">ited </w:t>
      </w:r>
      <w:r>
        <w:rPr>
          <w:color w:val="244061" w:themeColor="accent1" w:themeShade="80"/>
        </w:rPr>
        <w:t>length of</w:t>
      </w:r>
      <w:r w:rsidRPr="000619D9">
        <w:rPr>
          <w:color w:val="244061" w:themeColor="accent1" w:themeShade="80"/>
        </w:rPr>
        <w:t xml:space="preserve"> the KID</w:t>
      </w:r>
      <w:r>
        <w:rPr>
          <w:color w:val="244061" w:themeColor="accent1" w:themeShade="80"/>
        </w:rPr>
        <w:t>.</w:t>
      </w:r>
    </w:p>
    <w:permEnd w:id="15"/>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B22033" w:rsidRPr="00904070"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color w:val="244061" w:themeColor="accent1" w:themeShade="80"/>
        </w:rPr>
      </w:pPr>
      <w:permStart w:id="16" w:edGrp="everyone"/>
      <w:r>
        <w:rPr>
          <w:color w:val="244061" w:themeColor="accent1" w:themeShade="80"/>
        </w:rPr>
        <w:t>AMAFI considers that t</w:t>
      </w:r>
      <w:r w:rsidRPr="00904070">
        <w:rPr>
          <w:color w:val="244061" w:themeColor="accent1" w:themeShade="80"/>
        </w:rPr>
        <w:t xml:space="preserve">he </w:t>
      </w:r>
      <w:r>
        <w:rPr>
          <w:color w:val="244061" w:themeColor="accent1" w:themeShade="80"/>
        </w:rPr>
        <w:t>qualitative measures proposed</w:t>
      </w:r>
      <w:r w:rsidRPr="00904070">
        <w:rPr>
          <w:color w:val="244061" w:themeColor="accent1" w:themeShade="80"/>
        </w:rPr>
        <w:t xml:space="preserve"> by the ESA</w:t>
      </w:r>
      <w:r>
        <w:rPr>
          <w:color w:val="244061" w:themeColor="accent1" w:themeShade="80"/>
        </w:rPr>
        <w:t>s are relevant:</w:t>
      </w:r>
    </w:p>
    <w:p w:rsidR="00B22033"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r w:rsidRPr="00904070">
        <w:rPr>
          <w:color w:val="244061" w:themeColor="accent1" w:themeShade="80"/>
        </w:rPr>
        <w:t>(</w:t>
      </w:r>
      <w:proofErr w:type="spellStart"/>
      <w:r w:rsidRPr="00904070">
        <w:rPr>
          <w:color w:val="244061" w:themeColor="accent1" w:themeShade="80"/>
        </w:rPr>
        <w:t>i</w:t>
      </w:r>
      <w:proofErr w:type="spellEnd"/>
      <w:r w:rsidRPr="00904070">
        <w:rPr>
          <w:color w:val="244061" w:themeColor="accent1" w:themeShade="80"/>
        </w:rPr>
        <w:t>) a product is traded or will be traded on a regulated market or MTF</w:t>
      </w:r>
      <w:r>
        <w:rPr>
          <w:color w:val="244061" w:themeColor="accent1" w:themeShade="80"/>
        </w:rPr>
        <w:br/>
      </w:r>
      <w:r w:rsidRPr="00904070">
        <w:rPr>
          <w:color w:val="244061" w:themeColor="accent1" w:themeShade="80"/>
        </w:rPr>
        <w:t xml:space="preserve">(ii) a liquidity provider exists (either manufacturer or other parties) </w:t>
      </w:r>
      <w:r>
        <w:rPr>
          <w:color w:val="244061" w:themeColor="accent1" w:themeShade="80"/>
        </w:rPr>
        <w:br/>
      </w:r>
      <w:r w:rsidRPr="00904070">
        <w:rPr>
          <w:color w:val="244061" w:themeColor="accent1" w:themeShade="80"/>
        </w:rPr>
        <w:t xml:space="preserve">(iii) market rules ensure liquidity under normal conditions and/or, </w:t>
      </w:r>
      <w:r>
        <w:rPr>
          <w:color w:val="244061" w:themeColor="accent1" w:themeShade="80"/>
        </w:rPr>
        <w:br/>
      </w:r>
      <w:r w:rsidRPr="00904070">
        <w:rPr>
          <w:color w:val="244061" w:themeColor="accent1" w:themeShade="80"/>
        </w:rPr>
        <w:t>(iv) when regular redemption dates are offered throughout the life of the product under normal market conditions.</w:t>
      </w:r>
    </w:p>
    <w:p w:rsidR="00B22033"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p>
    <w:p w:rsidR="00D63D70"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r>
        <w:rPr>
          <w:color w:val="244061" w:themeColor="accent1" w:themeShade="80"/>
        </w:rPr>
        <w:t>AMAFI does not think that quantitative measures are appropriate to measure liquidity risk</w:t>
      </w:r>
      <w:r w:rsidR="00D63D70">
        <w:rPr>
          <w:color w:val="244061" w:themeColor="accent1" w:themeShade="80"/>
        </w:rPr>
        <w:t xml:space="preserve"> as they do not incorporate important qualitative factors</w:t>
      </w:r>
      <w:r>
        <w:rPr>
          <w:color w:val="244061" w:themeColor="accent1" w:themeShade="80"/>
        </w:rPr>
        <w:t>. In its view, all of the measures proposed are imperfect asses</w:t>
      </w:r>
      <w:r>
        <w:rPr>
          <w:color w:val="244061" w:themeColor="accent1" w:themeShade="80"/>
        </w:rPr>
        <w:t>s</w:t>
      </w:r>
      <w:r>
        <w:rPr>
          <w:color w:val="244061" w:themeColor="accent1" w:themeShade="80"/>
        </w:rPr>
        <w:t xml:space="preserve">ments of liquidity risk. </w:t>
      </w:r>
      <w:r w:rsidR="00D63D70">
        <w:rPr>
          <w:color w:val="244061" w:themeColor="accent1" w:themeShade="80"/>
        </w:rPr>
        <w:t>AMAFI</w:t>
      </w:r>
      <w:r>
        <w:rPr>
          <w:color w:val="244061" w:themeColor="accent1" w:themeShade="80"/>
        </w:rPr>
        <w:t xml:space="preserve"> favour</w:t>
      </w:r>
      <w:r w:rsidR="00D63D70">
        <w:rPr>
          <w:color w:val="244061" w:themeColor="accent1" w:themeShade="80"/>
        </w:rPr>
        <w:t>s</w:t>
      </w:r>
      <w:r>
        <w:rPr>
          <w:color w:val="244061" w:themeColor="accent1" w:themeShade="80"/>
        </w:rPr>
        <w:t xml:space="preserve"> </w:t>
      </w:r>
      <w:r w:rsidRPr="00B22033">
        <w:rPr>
          <w:color w:val="244061" w:themeColor="accent1" w:themeShade="80"/>
        </w:rPr>
        <w:t>de</w:t>
      </w:r>
      <w:r>
        <w:rPr>
          <w:color w:val="244061" w:themeColor="accent1" w:themeShade="80"/>
        </w:rPr>
        <w:t>scribing</w:t>
      </w:r>
      <w:r w:rsidRPr="00B22033">
        <w:rPr>
          <w:color w:val="244061" w:themeColor="accent1" w:themeShade="80"/>
        </w:rPr>
        <w:t xml:space="preserve"> liquidity</w:t>
      </w:r>
      <w:r>
        <w:rPr>
          <w:color w:val="244061" w:themeColor="accent1" w:themeShade="80"/>
        </w:rPr>
        <w:t xml:space="preserve"> risk</w:t>
      </w:r>
      <w:r w:rsidRPr="00B22033">
        <w:rPr>
          <w:color w:val="244061" w:themeColor="accent1" w:themeShade="80"/>
        </w:rPr>
        <w:t xml:space="preserve"> in a narrative </w:t>
      </w:r>
      <w:r>
        <w:rPr>
          <w:color w:val="244061" w:themeColor="accent1" w:themeShade="80"/>
        </w:rPr>
        <w:t xml:space="preserve">built on </w:t>
      </w:r>
      <w:r w:rsidR="00D63D70">
        <w:rPr>
          <w:color w:val="244061" w:themeColor="accent1" w:themeShade="80"/>
        </w:rPr>
        <w:t>the</w:t>
      </w:r>
      <w:r>
        <w:rPr>
          <w:color w:val="244061" w:themeColor="accent1" w:themeShade="80"/>
        </w:rPr>
        <w:t xml:space="preserve"> criteria </w:t>
      </w:r>
      <w:r w:rsidR="00D63D70">
        <w:rPr>
          <w:color w:val="244061" w:themeColor="accent1" w:themeShade="80"/>
        </w:rPr>
        <w:t xml:space="preserve">suited to the product </w:t>
      </w:r>
      <w:r>
        <w:rPr>
          <w:color w:val="244061" w:themeColor="accent1" w:themeShade="80"/>
        </w:rPr>
        <w:t>among those suggested</w:t>
      </w:r>
      <w:r w:rsidR="00D63D70">
        <w:rPr>
          <w:color w:val="244061" w:themeColor="accent1" w:themeShade="80"/>
        </w:rPr>
        <w:t xml:space="preserve"> above</w:t>
      </w:r>
      <w:r w:rsidRPr="00B22033">
        <w:rPr>
          <w:color w:val="244061" w:themeColor="accent1" w:themeShade="80"/>
        </w:rPr>
        <w:t xml:space="preserve">. </w:t>
      </w:r>
    </w:p>
    <w:p w:rsidR="00D63D70" w:rsidRDefault="00D63D70"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p>
    <w:p w:rsidR="00B22033"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r w:rsidRPr="00B22033">
        <w:rPr>
          <w:color w:val="244061" w:themeColor="accent1" w:themeShade="80"/>
        </w:rPr>
        <w:t xml:space="preserve">Should </w:t>
      </w:r>
      <w:r w:rsidR="00D63D70">
        <w:rPr>
          <w:color w:val="244061" w:themeColor="accent1" w:themeShade="80"/>
        </w:rPr>
        <w:t>it be</w:t>
      </w:r>
      <w:r w:rsidRPr="00B22033">
        <w:rPr>
          <w:color w:val="244061" w:themeColor="accent1" w:themeShade="80"/>
        </w:rPr>
        <w:t xml:space="preserve"> decide</w:t>
      </w:r>
      <w:r w:rsidR="00D63D70">
        <w:rPr>
          <w:color w:val="244061" w:themeColor="accent1" w:themeShade="80"/>
        </w:rPr>
        <w:t>d</w:t>
      </w:r>
      <w:r w:rsidRPr="00B22033">
        <w:rPr>
          <w:color w:val="244061" w:themeColor="accent1" w:themeShade="80"/>
        </w:rPr>
        <w:t xml:space="preserve"> that a quantitative measure is required, the </w:t>
      </w:r>
      <w:r w:rsidR="00D63D70">
        <w:rPr>
          <w:color w:val="244061" w:themeColor="accent1" w:themeShade="80"/>
        </w:rPr>
        <w:t>most</w:t>
      </w:r>
      <w:r w:rsidRPr="00B22033">
        <w:rPr>
          <w:color w:val="244061" w:themeColor="accent1" w:themeShade="80"/>
        </w:rPr>
        <w:t xml:space="preserve"> reliable </w:t>
      </w:r>
      <w:r w:rsidR="00D63D70">
        <w:rPr>
          <w:color w:val="244061" w:themeColor="accent1" w:themeShade="80"/>
        </w:rPr>
        <w:t xml:space="preserve">measure is in our view the bid/ask spread. </w:t>
      </w:r>
    </w:p>
    <w:p w:rsidR="00B22033" w:rsidRPr="00B22033"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p>
    <w:p w:rsidR="00B22033" w:rsidRPr="00B22033"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b/>
          <w:color w:val="244061" w:themeColor="accent1" w:themeShade="80"/>
        </w:rPr>
      </w:pPr>
      <w:r w:rsidRPr="00B22033">
        <w:rPr>
          <w:b/>
          <w:color w:val="244061" w:themeColor="accent1" w:themeShade="80"/>
        </w:rPr>
        <w:t>Should cost and exit penalties for early redemptions be considered a component of the liquidity risk and hence, be used to define a product as liquid or not for the KID purpose?</w:t>
      </w:r>
    </w:p>
    <w:p w:rsidR="00B22033" w:rsidRDefault="00B22033" w:rsidP="00B22033">
      <w:pPr>
        <w:pBdr>
          <w:top w:val="single" w:sz="4" w:space="1" w:color="auto"/>
          <w:left w:val="single" w:sz="4" w:space="4" w:color="auto"/>
          <w:bottom w:val="single" w:sz="4" w:space="1" w:color="auto"/>
          <w:right w:val="single" w:sz="4" w:space="4" w:color="auto"/>
        </w:pBdr>
        <w:shd w:val="clear" w:color="auto" w:fill="D9D9D9" w:themeFill="background1" w:themeFillShade="D9"/>
        <w:rPr>
          <w:color w:val="244061" w:themeColor="accent1" w:themeShade="80"/>
        </w:rPr>
      </w:pPr>
      <w:r w:rsidRPr="00B22033">
        <w:rPr>
          <w:color w:val="244061" w:themeColor="accent1" w:themeShade="80"/>
        </w:rPr>
        <w:t xml:space="preserve">No. Liquidity is a topic different </w:t>
      </w:r>
      <w:r>
        <w:rPr>
          <w:color w:val="244061" w:themeColor="accent1" w:themeShade="80"/>
        </w:rPr>
        <w:t>from</w:t>
      </w:r>
      <w:r w:rsidRPr="00B22033">
        <w:rPr>
          <w:color w:val="244061" w:themeColor="accent1" w:themeShade="80"/>
        </w:rPr>
        <w:t xml:space="preserve"> exit penalties. </w:t>
      </w:r>
      <w:r w:rsidR="00D63D70">
        <w:rPr>
          <w:color w:val="244061" w:themeColor="accent1" w:themeShade="80"/>
        </w:rPr>
        <w:t>Transparency on e</w:t>
      </w:r>
      <w:r w:rsidRPr="00B22033">
        <w:rPr>
          <w:color w:val="244061" w:themeColor="accent1" w:themeShade="80"/>
        </w:rPr>
        <w:t>xit penalties</w:t>
      </w:r>
      <w:r>
        <w:rPr>
          <w:color w:val="244061" w:themeColor="accent1" w:themeShade="80"/>
        </w:rPr>
        <w:t xml:space="preserve"> and costs</w:t>
      </w:r>
      <w:r w:rsidR="00D63D70" w:rsidRPr="00D63D70">
        <w:rPr>
          <w:color w:val="244061" w:themeColor="accent1" w:themeShade="80"/>
        </w:rPr>
        <w:t xml:space="preserve"> </w:t>
      </w:r>
      <w:r w:rsidR="00D63D70">
        <w:rPr>
          <w:color w:val="244061" w:themeColor="accent1" w:themeShade="80"/>
        </w:rPr>
        <w:t>for early redemptions</w:t>
      </w:r>
      <w:r>
        <w:rPr>
          <w:color w:val="244061" w:themeColor="accent1" w:themeShade="80"/>
        </w:rPr>
        <w:t xml:space="preserve"> </w:t>
      </w:r>
      <w:r w:rsidR="00D63D70">
        <w:rPr>
          <w:color w:val="244061" w:themeColor="accent1" w:themeShade="80"/>
        </w:rPr>
        <w:t>should be provided but</w:t>
      </w:r>
      <w:r w:rsidRPr="00B22033">
        <w:rPr>
          <w:color w:val="244061" w:themeColor="accent1" w:themeShade="80"/>
        </w:rPr>
        <w:t xml:space="preserve"> in the cost section of the KID.</w:t>
      </w:r>
    </w:p>
    <w:permEnd w:id="1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383AD0" w:rsidRPr="0022626B" w:rsidRDefault="003E72EB" w:rsidP="00383AD0">
      <w:pPr>
        <w:pBdr>
          <w:top w:val="single" w:sz="4" w:space="1" w:color="auto"/>
          <w:left w:val="single" w:sz="4" w:space="4" w:color="auto"/>
          <w:bottom w:val="single" w:sz="4" w:space="1" w:color="auto"/>
          <w:right w:val="single" w:sz="4" w:space="4" w:color="auto"/>
        </w:pBdr>
        <w:shd w:val="clear" w:color="auto" w:fill="D9D9D9"/>
        <w:jc w:val="both"/>
        <w:rPr>
          <w:b/>
          <w:color w:val="244061" w:themeColor="accent1" w:themeShade="80"/>
          <w:u w:val="single"/>
        </w:rPr>
      </w:pPr>
      <w:permStart w:id="17" w:edGrp="everyone"/>
      <w:r w:rsidRPr="0022626B">
        <w:rPr>
          <w:b/>
          <w:color w:val="244061" w:themeColor="accent1" w:themeShade="80"/>
          <w:u w:val="single"/>
        </w:rPr>
        <w:t>General issues with t</w:t>
      </w:r>
      <w:r w:rsidR="00383AD0" w:rsidRPr="0022626B">
        <w:rPr>
          <w:b/>
          <w:color w:val="244061" w:themeColor="accent1" w:themeShade="80"/>
          <w:u w:val="single"/>
        </w:rPr>
        <w:t xml:space="preserve">his approach </w:t>
      </w:r>
    </w:p>
    <w:p w:rsidR="00383AD0" w:rsidRDefault="003E72EB"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This approach</w:t>
      </w:r>
      <w:r w:rsidR="000E1ECB">
        <w:rPr>
          <w:color w:val="244061" w:themeColor="accent1" w:themeShade="80"/>
        </w:rPr>
        <w:t xml:space="preserve">, as it is not based on quantitative rationales, </w:t>
      </w:r>
      <w:r w:rsidR="00383AD0" w:rsidRPr="00AE0A76">
        <w:rPr>
          <w:color w:val="244061" w:themeColor="accent1" w:themeShade="80"/>
        </w:rPr>
        <w:t xml:space="preserve">is more a product classification than </w:t>
      </w:r>
      <w:r w:rsidR="000E1ECB">
        <w:rPr>
          <w:color w:val="244061" w:themeColor="accent1" w:themeShade="80"/>
        </w:rPr>
        <w:t>a true</w:t>
      </w:r>
      <w:r w:rsidR="00383AD0" w:rsidRPr="00AE0A76">
        <w:rPr>
          <w:color w:val="244061" w:themeColor="accent1" w:themeShade="80"/>
        </w:rPr>
        <w:t xml:space="preserve"> risk measure.</w:t>
      </w:r>
      <w:r w:rsidR="00383AD0">
        <w:rPr>
          <w:color w:val="244061" w:themeColor="accent1" w:themeShade="80"/>
        </w:rPr>
        <w:t xml:space="preserve"> </w:t>
      </w:r>
      <w:r>
        <w:rPr>
          <w:color w:val="244061" w:themeColor="accent1" w:themeShade="80"/>
        </w:rPr>
        <w:t>Even though it may seem easier to read for an investor, for AMAFI, it is the option with the main drawbacks compared to the other two considered:</w:t>
      </w:r>
    </w:p>
    <w:p w:rsidR="00544AB9" w:rsidRPr="00AE0A76" w:rsidRDefault="00544AB9"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383AD0" w:rsidRDefault="0022626B"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xml:space="preserve">- </w:t>
      </w:r>
      <w:r w:rsidR="00383AD0" w:rsidRPr="00AE0A76">
        <w:rPr>
          <w:color w:val="244061" w:themeColor="accent1" w:themeShade="80"/>
        </w:rPr>
        <w:t xml:space="preserve"> It is not robust</w:t>
      </w:r>
      <w:r w:rsidR="00544AB9">
        <w:rPr>
          <w:color w:val="244061" w:themeColor="accent1" w:themeShade="80"/>
        </w:rPr>
        <w:t xml:space="preserve"> because it creates inconsistencies between products with similar risks, hence </w:t>
      </w:r>
      <w:r w:rsidR="00383AD0" w:rsidRPr="00AE0A76">
        <w:rPr>
          <w:color w:val="244061" w:themeColor="accent1" w:themeShade="80"/>
        </w:rPr>
        <w:t>creat</w:t>
      </w:r>
      <w:r w:rsidR="00544AB9">
        <w:rPr>
          <w:color w:val="244061" w:themeColor="accent1" w:themeShade="80"/>
        </w:rPr>
        <w:t>ing</w:t>
      </w:r>
      <w:r w:rsidR="00383AD0" w:rsidRPr="00AE0A76">
        <w:rPr>
          <w:color w:val="244061" w:themeColor="accent1" w:themeShade="80"/>
        </w:rPr>
        <w:t xml:space="preserve"> an </w:t>
      </w:r>
      <w:r w:rsidR="003E72EB">
        <w:rPr>
          <w:color w:val="244061" w:themeColor="accent1" w:themeShade="80"/>
        </w:rPr>
        <w:t>unlevel</w:t>
      </w:r>
      <w:r w:rsidR="00383AD0" w:rsidRPr="00AE0A76">
        <w:rPr>
          <w:color w:val="244061" w:themeColor="accent1" w:themeShade="80"/>
        </w:rPr>
        <w:t xml:space="preserve"> playing field</w:t>
      </w:r>
      <w:r w:rsidR="00544AB9">
        <w:rPr>
          <w:color w:val="244061" w:themeColor="accent1" w:themeShade="80"/>
        </w:rPr>
        <w:t>, in particular</w:t>
      </w:r>
      <w:r w:rsidR="00383AD0" w:rsidRPr="00AE0A76">
        <w:rPr>
          <w:color w:val="244061" w:themeColor="accent1" w:themeShade="80"/>
        </w:rPr>
        <w:t xml:space="preserve"> betwee</w:t>
      </w:r>
      <w:r w:rsidR="003E72EB">
        <w:rPr>
          <w:color w:val="244061" w:themeColor="accent1" w:themeShade="80"/>
        </w:rPr>
        <w:t>n funds and structured products. For example, a</w:t>
      </w:r>
      <w:r w:rsidR="00383AD0" w:rsidRPr="00AE0A76">
        <w:rPr>
          <w:color w:val="244061" w:themeColor="accent1" w:themeShade="80"/>
        </w:rPr>
        <w:t xml:space="preserve"> bond fund </w:t>
      </w:r>
      <w:r w:rsidR="003E72EB">
        <w:rPr>
          <w:color w:val="244061" w:themeColor="accent1" w:themeShade="80"/>
        </w:rPr>
        <w:t>would have</w:t>
      </w:r>
      <w:r w:rsidR="00383AD0" w:rsidRPr="00AE0A76">
        <w:rPr>
          <w:color w:val="244061" w:themeColor="accent1" w:themeShade="80"/>
        </w:rPr>
        <w:t xml:space="preserve"> a risk class </w:t>
      </w:r>
      <w:r w:rsidR="003E72EB">
        <w:rPr>
          <w:color w:val="244061" w:themeColor="accent1" w:themeShade="80"/>
        </w:rPr>
        <w:t xml:space="preserve">of </w:t>
      </w:r>
      <w:r w:rsidR="00383AD0" w:rsidRPr="00AE0A76">
        <w:rPr>
          <w:color w:val="244061" w:themeColor="accent1" w:themeShade="80"/>
        </w:rPr>
        <w:t xml:space="preserve">2 as </w:t>
      </w:r>
      <w:r w:rsidR="003E72EB">
        <w:rPr>
          <w:color w:val="244061" w:themeColor="accent1" w:themeShade="80"/>
        </w:rPr>
        <w:t xml:space="preserve">a </w:t>
      </w:r>
      <w:r w:rsidR="00383AD0" w:rsidRPr="00AE0A76">
        <w:rPr>
          <w:color w:val="244061" w:themeColor="accent1" w:themeShade="80"/>
        </w:rPr>
        <w:t>non-struct</w:t>
      </w:r>
      <w:r w:rsidR="003E72EB">
        <w:rPr>
          <w:color w:val="244061" w:themeColor="accent1" w:themeShade="80"/>
        </w:rPr>
        <w:t>ured PRIIP, while a 50% capital-</w:t>
      </w:r>
      <w:r w:rsidR="00383AD0" w:rsidRPr="00AE0A76">
        <w:rPr>
          <w:color w:val="244061" w:themeColor="accent1" w:themeShade="80"/>
        </w:rPr>
        <w:t>pro</w:t>
      </w:r>
      <w:r w:rsidR="003E72EB">
        <w:rPr>
          <w:color w:val="244061" w:themeColor="accent1" w:themeShade="80"/>
        </w:rPr>
        <w:t>tected n</w:t>
      </w:r>
      <w:r w:rsidR="00383AD0" w:rsidRPr="00AE0A76">
        <w:rPr>
          <w:color w:val="244061" w:themeColor="accent1" w:themeShade="80"/>
        </w:rPr>
        <w:t xml:space="preserve">ote on the same bond fund (i.e. providing capital protection on the downside and a limited gearing on the upside) would fall into a higher risk class of 4. </w:t>
      </w:r>
      <w:r w:rsidR="003E72EB">
        <w:rPr>
          <w:color w:val="244061" w:themeColor="accent1" w:themeShade="80"/>
        </w:rPr>
        <w:t>Similarly, a</w:t>
      </w:r>
      <w:r w:rsidR="00383AD0" w:rsidRPr="00AE0A76">
        <w:rPr>
          <w:color w:val="244061" w:themeColor="accent1" w:themeShade="80"/>
        </w:rPr>
        <w:t xml:space="preserve"> delta1 </w:t>
      </w:r>
      <w:r w:rsidR="003E72EB">
        <w:rPr>
          <w:color w:val="244061" w:themeColor="accent1" w:themeShade="80"/>
        </w:rPr>
        <w:t>n</w:t>
      </w:r>
      <w:r w:rsidR="00383AD0" w:rsidRPr="00AE0A76">
        <w:rPr>
          <w:color w:val="244061" w:themeColor="accent1" w:themeShade="80"/>
        </w:rPr>
        <w:t>ote collaterali</w:t>
      </w:r>
      <w:r w:rsidR="003E72EB">
        <w:rPr>
          <w:color w:val="244061" w:themeColor="accent1" w:themeShade="80"/>
        </w:rPr>
        <w:t>s</w:t>
      </w:r>
      <w:r w:rsidR="00383AD0" w:rsidRPr="00AE0A76">
        <w:rPr>
          <w:color w:val="244061" w:themeColor="accent1" w:themeShade="80"/>
        </w:rPr>
        <w:t>ed by the bond fund</w:t>
      </w:r>
      <w:r w:rsidR="003E72EB">
        <w:rPr>
          <w:color w:val="244061" w:themeColor="accent1" w:themeShade="80"/>
        </w:rPr>
        <w:t>’s</w:t>
      </w:r>
      <w:r w:rsidR="00383AD0" w:rsidRPr="00AE0A76">
        <w:rPr>
          <w:color w:val="244061" w:themeColor="accent1" w:themeShade="80"/>
        </w:rPr>
        <w:t xml:space="preserve"> shares (</w:t>
      </w:r>
      <w:r w:rsidR="003E72EB">
        <w:rPr>
          <w:color w:val="244061" w:themeColor="accent1" w:themeShade="80"/>
        </w:rPr>
        <w:t>hence free of i</w:t>
      </w:r>
      <w:r w:rsidR="00383AD0" w:rsidRPr="00AE0A76">
        <w:rPr>
          <w:color w:val="244061" w:themeColor="accent1" w:themeShade="80"/>
        </w:rPr>
        <w:t xml:space="preserve">ssuer </w:t>
      </w:r>
      <w:r w:rsidR="003E72EB">
        <w:rPr>
          <w:color w:val="244061" w:themeColor="accent1" w:themeShade="80"/>
        </w:rPr>
        <w:t>r</w:t>
      </w:r>
      <w:r w:rsidR="00383AD0" w:rsidRPr="00AE0A76">
        <w:rPr>
          <w:color w:val="244061" w:themeColor="accent1" w:themeShade="80"/>
        </w:rPr>
        <w:t xml:space="preserve">isk) would receive a risk rating of 5. </w:t>
      </w:r>
      <w:r w:rsidR="00544AB9" w:rsidRPr="00544AB9">
        <w:rPr>
          <w:color w:val="244061" w:themeColor="accent1" w:themeShade="80"/>
        </w:rPr>
        <w:t>This approach hence does not sort products according to the risk of losing capital (see below bullet 3 of our recommendations)</w:t>
      </w:r>
    </w:p>
    <w:p w:rsidR="00544AB9" w:rsidRPr="00AE0A76" w:rsidRDefault="00544AB9"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383AD0" w:rsidRDefault="0022626B"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xml:space="preserve">- </w:t>
      </w:r>
      <w:r w:rsidR="003E72EB">
        <w:rPr>
          <w:color w:val="244061" w:themeColor="accent1" w:themeShade="80"/>
        </w:rPr>
        <w:t xml:space="preserve"> </w:t>
      </w:r>
      <w:r>
        <w:rPr>
          <w:color w:val="244061" w:themeColor="accent1" w:themeShade="80"/>
        </w:rPr>
        <w:t>Because it is not quantitative, i</w:t>
      </w:r>
      <w:r w:rsidR="00383AD0" w:rsidRPr="00AE0A76">
        <w:rPr>
          <w:color w:val="244061" w:themeColor="accent1" w:themeShade="80"/>
        </w:rPr>
        <w:t xml:space="preserve">t </w:t>
      </w:r>
      <w:r w:rsidR="003E72EB">
        <w:rPr>
          <w:color w:val="244061" w:themeColor="accent1" w:themeShade="80"/>
        </w:rPr>
        <w:t>does not provide stable enough ratings</w:t>
      </w:r>
      <w:r w:rsidR="00780653">
        <w:rPr>
          <w:color w:val="244061" w:themeColor="accent1" w:themeShade="80"/>
        </w:rPr>
        <w:t xml:space="preserve"> with respect to products traded on</w:t>
      </w:r>
      <w:r w:rsidR="00383AD0" w:rsidRPr="00AE0A76">
        <w:rPr>
          <w:color w:val="244061" w:themeColor="accent1" w:themeShade="80"/>
        </w:rPr>
        <w:t xml:space="preserve"> the secondary market </w:t>
      </w:r>
      <w:proofErr w:type="gramStart"/>
      <w:r w:rsidR="00780653">
        <w:rPr>
          <w:color w:val="244061" w:themeColor="accent1" w:themeShade="80"/>
        </w:rPr>
        <w:t>whose</w:t>
      </w:r>
      <w:proofErr w:type="gramEnd"/>
      <w:r w:rsidR="00780653">
        <w:rPr>
          <w:color w:val="244061" w:themeColor="accent1" w:themeShade="80"/>
        </w:rPr>
        <w:t xml:space="preserve"> KID</w:t>
      </w:r>
      <w:r>
        <w:rPr>
          <w:color w:val="244061" w:themeColor="accent1" w:themeShade="80"/>
        </w:rPr>
        <w:t>s would</w:t>
      </w:r>
      <w:r w:rsidR="00780653">
        <w:rPr>
          <w:color w:val="244061" w:themeColor="accent1" w:themeShade="80"/>
        </w:rPr>
        <w:t xml:space="preserve"> have to be </w:t>
      </w:r>
      <w:r w:rsidR="00383AD0" w:rsidRPr="00AE0A76">
        <w:rPr>
          <w:color w:val="244061" w:themeColor="accent1" w:themeShade="80"/>
        </w:rPr>
        <w:t>up</w:t>
      </w:r>
      <w:r w:rsidR="00780653">
        <w:rPr>
          <w:color w:val="244061" w:themeColor="accent1" w:themeShade="80"/>
        </w:rPr>
        <w:t>dated</w:t>
      </w:r>
      <w:r>
        <w:rPr>
          <w:color w:val="244061" w:themeColor="accent1" w:themeShade="80"/>
        </w:rPr>
        <w:t xml:space="preserve"> continuously as market prices change</w:t>
      </w:r>
      <w:r w:rsidR="00780653">
        <w:rPr>
          <w:color w:val="244061" w:themeColor="accent1" w:themeShade="80"/>
        </w:rPr>
        <w:t xml:space="preserve">. </w:t>
      </w:r>
      <w:r>
        <w:rPr>
          <w:color w:val="244061" w:themeColor="accent1" w:themeShade="80"/>
        </w:rPr>
        <w:t>For example, a n</w:t>
      </w:r>
      <w:r w:rsidR="00383AD0" w:rsidRPr="00AE0A76">
        <w:rPr>
          <w:color w:val="244061" w:themeColor="accent1" w:themeShade="80"/>
        </w:rPr>
        <w:t>ote protecting 100% of the initially invested principal</w:t>
      </w:r>
      <w:r>
        <w:rPr>
          <w:color w:val="244061" w:themeColor="accent1" w:themeShade="80"/>
        </w:rPr>
        <w:t>,</w:t>
      </w:r>
      <w:r w:rsidR="00383AD0" w:rsidRPr="00AE0A76">
        <w:rPr>
          <w:color w:val="244061" w:themeColor="accent1" w:themeShade="80"/>
        </w:rPr>
        <w:t xml:space="preserve"> issued by a A-issuer</w:t>
      </w:r>
      <w:r>
        <w:rPr>
          <w:color w:val="244061" w:themeColor="accent1" w:themeShade="80"/>
        </w:rPr>
        <w:t>,</w:t>
      </w:r>
      <w:r w:rsidR="00383AD0" w:rsidRPr="00AE0A76">
        <w:rPr>
          <w:color w:val="244061" w:themeColor="accent1" w:themeShade="80"/>
        </w:rPr>
        <w:t xml:space="preserve"> could be purchased at 125% in the secondary market, </w:t>
      </w:r>
      <w:r>
        <w:rPr>
          <w:color w:val="244061" w:themeColor="accent1" w:themeShade="80"/>
        </w:rPr>
        <w:t>meaning that</w:t>
      </w:r>
      <w:r w:rsidR="00383AD0" w:rsidRPr="00AE0A76">
        <w:rPr>
          <w:color w:val="244061" w:themeColor="accent1" w:themeShade="80"/>
        </w:rPr>
        <w:t xml:space="preserve"> only 80% of the </w:t>
      </w:r>
      <w:r>
        <w:rPr>
          <w:color w:val="244061" w:themeColor="accent1" w:themeShade="80"/>
        </w:rPr>
        <w:t>amount invested (125%*80%=100</w:t>
      </w:r>
      <w:r w:rsidR="00383AD0" w:rsidRPr="00AE0A76">
        <w:rPr>
          <w:color w:val="244061" w:themeColor="accent1" w:themeShade="80"/>
        </w:rPr>
        <w:t>%</w:t>
      </w:r>
      <w:r>
        <w:rPr>
          <w:color w:val="244061" w:themeColor="accent1" w:themeShade="80"/>
        </w:rPr>
        <w:t>)</w:t>
      </w:r>
      <w:r w:rsidR="00383AD0" w:rsidRPr="00AE0A76">
        <w:rPr>
          <w:color w:val="244061" w:themeColor="accent1" w:themeShade="80"/>
        </w:rPr>
        <w:t xml:space="preserve"> would be protected at maturity</w:t>
      </w:r>
      <w:r>
        <w:rPr>
          <w:color w:val="244061" w:themeColor="accent1" w:themeShade="80"/>
        </w:rPr>
        <w:t xml:space="preserve">: </w:t>
      </w:r>
      <w:r w:rsidR="00383AD0" w:rsidRPr="00AE0A76">
        <w:rPr>
          <w:color w:val="244061" w:themeColor="accent1" w:themeShade="80"/>
        </w:rPr>
        <w:t>should it</w:t>
      </w:r>
      <w:r>
        <w:rPr>
          <w:color w:val="244061" w:themeColor="accent1" w:themeShade="80"/>
        </w:rPr>
        <w:t>s KID</w:t>
      </w:r>
      <w:r w:rsidR="00383AD0" w:rsidRPr="00AE0A76">
        <w:rPr>
          <w:color w:val="244061" w:themeColor="accent1" w:themeShade="80"/>
        </w:rPr>
        <w:t xml:space="preserve"> be updated </w:t>
      </w:r>
      <w:r>
        <w:rPr>
          <w:color w:val="244061" w:themeColor="accent1" w:themeShade="80"/>
        </w:rPr>
        <w:t>to show a</w:t>
      </w:r>
      <w:r w:rsidR="00383AD0" w:rsidRPr="00AE0A76">
        <w:rPr>
          <w:color w:val="244061" w:themeColor="accent1" w:themeShade="80"/>
        </w:rPr>
        <w:t xml:space="preserve"> risk class</w:t>
      </w:r>
      <w:r>
        <w:rPr>
          <w:color w:val="244061" w:themeColor="accent1" w:themeShade="80"/>
        </w:rPr>
        <w:t xml:space="preserve"> of</w:t>
      </w:r>
      <w:r w:rsidR="00383AD0" w:rsidRPr="00AE0A76">
        <w:rPr>
          <w:color w:val="244061" w:themeColor="accent1" w:themeShade="80"/>
        </w:rPr>
        <w:t xml:space="preserve"> </w:t>
      </w:r>
      <w:r w:rsidR="00544AB9">
        <w:rPr>
          <w:color w:val="244061" w:themeColor="accent1" w:themeShade="80"/>
        </w:rPr>
        <w:t>4</w:t>
      </w:r>
      <w:r w:rsidR="00383AD0" w:rsidRPr="00AE0A76">
        <w:rPr>
          <w:color w:val="244061" w:themeColor="accent1" w:themeShade="80"/>
        </w:rPr>
        <w:t xml:space="preserve"> when </w:t>
      </w:r>
      <w:r w:rsidR="00AA77F0">
        <w:rPr>
          <w:color w:val="244061" w:themeColor="accent1" w:themeShade="80"/>
        </w:rPr>
        <w:t xml:space="preserve">the ratio of the secondary market price divided by the initially invested principal </w:t>
      </w:r>
      <w:r w:rsidR="00383AD0" w:rsidRPr="00AE0A76">
        <w:rPr>
          <w:color w:val="244061" w:themeColor="accent1" w:themeShade="80"/>
        </w:rPr>
        <w:t xml:space="preserve">crosses </w:t>
      </w:r>
      <w:r w:rsidR="00AA77F0">
        <w:rPr>
          <w:color w:val="244061" w:themeColor="accent1" w:themeShade="80"/>
        </w:rPr>
        <w:t xml:space="preserve">the </w:t>
      </w:r>
      <w:r w:rsidR="00544AB9">
        <w:rPr>
          <w:color w:val="244061" w:themeColor="accent1" w:themeShade="80"/>
        </w:rPr>
        <w:t>risk class</w:t>
      </w:r>
      <w:r w:rsidR="00AA77F0">
        <w:rPr>
          <w:color w:val="244061" w:themeColor="accent1" w:themeShade="80"/>
        </w:rPr>
        <w:t xml:space="preserve"> </w:t>
      </w:r>
      <w:r w:rsidR="00383AD0" w:rsidRPr="00AE0A76">
        <w:rPr>
          <w:color w:val="244061" w:themeColor="accent1" w:themeShade="80"/>
        </w:rPr>
        <w:t>threshold</w:t>
      </w:r>
      <w:r w:rsidR="00AA77F0">
        <w:rPr>
          <w:color w:val="244061" w:themeColor="accent1" w:themeShade="80"/>
        </w:rPr>
        <w:t xml:space="preserve"> (100</w:t>
      </w:r>
      <w:r w:rsidR="00544AB9">
        <w:rPr>
          <w:color w:val="244061" w:themeColor="accent1" w:themeShade="80"/>
        </w:rPr>
        <w:t>%</w:t>
      </w:r>
      <w:r w:rsidR="00AA77F0">
        <w:rPr>
          <w:color w:val="244061" w:themeColor="accent1" w:themeShade="80"/>
        </w:rPr>
        <w:t xml:space="preserve"> </w:t>
      </w:r>
      <w:r w:rsidR="00544AB9">
        <w:rPr>
          <w:color w:val="244061" w:themeColor="accent1" w:themeShade="80"/>
        </w:rPr>
        <w:t>–</w:t>
      </w:r>
      <w:r w:rsidR="00AA77F0">
        <w:rPr>
          <w:color w:val="244061" w:themeColor="accent1" w:themeShade="80"/>
        </w:rPr>
        <w:t xml:space="preserve"> </w:t>
      </w:r>
      <w:r w:rsidR="00544AB9">
        <w:rPr>
          <w:color w:val="244061" w:themeColor="accent1" w:themeShade="80"/>
        </w:rPr>
        <w:t xml:space="preserve">risk </w:t>
      </w:r>
      <w:r w:rsidR="00AA77F0">
        <w:rPr>
          <w:color w:val="244061" w:themeColor="accent1" w:themeShade="80"/>
        </w:rPr>
        <w:t>class 1, 90</w:t>
      </w:r>
      <w:r w:rsidR="00544AB9">
        <w:rPr>
          <w:color w:val="244061" w:themeColor="accent1" w:themeShade="80"/>
        </w:rPr>
        <w:t>%</w:t>
      </w:r>
      <w:r w:rsidR="00AA77F0">
        <w:rPr>
          <w:color w:val="244061" w:themeColor="accent1" w:themeShade="80"/>
        </w:rPr>
        <w:t xml:space="preserve"> – </w:t>
      </w:r>
      <w:r w:rsidR="00544AB9">
        <w:rPr>
          <w:color w:val="244061" w:themeColor="accent1" w:themeShade="80"/>
        </w:rPr>
        <w:t xml:space="preserve">risk </w:t>
      </w:r>
      <w:r w:rsidR="00AA77F0">
        <w:rPr>
          <w:color w:val="244061" w:themeColor="accent1" w:themeShade="80"/>
        </w:rPr>
        <w:t xml:space="preserve">class </w:t>
      </w:r>
      <w:r w:rsidR="00544AB9">
        <w:rPr>
          <w:color w:val="244061" w:themeColor="accent1" w:themeShade="80"/>
        </w:rPr>
        <w:t>3</w:t>
      </w:r>
      <w:r w:rsidR="00AA77F0">
        <w:rPr>
          <w:color w:val="244061" w:themeColor="accent1" w:themeShade="80"/>
        </w:rPr>
        <w:t>, 80</w:t>
      </w:r>
      <w:r w:rsidR="00544AB9">
        <w:rPr>
          <w:color w:val="244061" w:themeColor="accent1" w:themeShade="80"/>
        </w:rPr>
        <w:t>%</w:t>
      </w:r>
      <w:r w:rsidR="00AA77F0">
        <w:rPr>
          <w:color w:val="244061" w:themeColor="accent1" w:themeShade="80"/>
        </w:rPr>
        <w:t xml:space="preserve"> – class </w:t>
      </w:r>
      <w:r w:rsidR="00544AB9">
        <w:rPr>
          <w:color w:val="244061" w:themeColor="accent1" w:themeShade="80"/>
        </w:rPr>
        <w:t>4</w:t>
      </w:r>
      <w:r w:rsidR="00AA77F0">
        <w:rPr>
          <w:color w:val="244061" w:themeColor="accent1" w:themeShade="80"/>
        </w:rPr>
        <w:t>)</w:t>
      </w:r>
      <w:r w:rsidR="00383AD0" w:rsidRPr="00AE0A76">
        <w:rPr>
          <w:color w:val="244061" w:themeColor="accent1" w:themeShade="80"/>
        </w:rPr>
        <w:t xml:space="preserve"> </w:t>
      </w:r>
      <w:r w:rsidR="00383AD0">
        <w:rPr>
          <w:color w:val="244061" w:themeColor="accent1" w:themeShade="80"/>
        </w:rPr>
        <w:t xml:space="preserve">? </w:t>
      </w:r>
    </w:p>
    <w:p w:rsidR="00544AB9" w:rsidRDefault="00544AB9"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0E1ECB" w:rsidRPr="00AE0A76" w:rsidRDefault="000E1ECB" w:rsidP="00AA77F0">
      <w:pPr>
        <w:pBdr>
          <w:top w:val="single" w:sz="4" w:space="1" w:color="auto"/>
          <w:left w:val="single" w:sz="4" w:space="4" w:color="auto"/>
          <w:bottom w:val="single" w:sz="4" w:space="1" w:color="auto"/>
          <w:right w:val="single" w:sz="4" w:space="4" w:color="auto"/>
        </w:pBdr>
        <w:shd w:val="clear" w:color="auto" w:fill="D9D9D9"/>
        <w:tabs>
          <w:tab w:val="center" w:pos="4706"/>
        </w:tabs>
        <w:jc w:val="both"/>
        <w:rPr>
          <w:color w:val="244061" w:themeColor="accent1" w:themeShade="80"/>
        </w:rPr>
      </w:pPr>
      <w:r>
        <w:rPr>
          <w:color w:val="244061" w:themeColor="accent1" w:themeShade="80"/>
        </w:rPr>
        <w:lastRenderedPageBreak/>
        <w:t xml:space="preserve">- It does not account for market risk. </w:t>
      </w:r>
      <w:r w:rsidR="00AA77F0">
        <w:rPr>
          <w:color w:val="244061" w:themeColor="accent1" w:themeShade="80"/>
        </w:rPr>
        <w:tab/>
      </w:r>
    </w:p>
    <w:p w:rsidR="0022626B" w:rsidRDefault="0022626B"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u w:val="single"/>
        </w:rPr>
      </w:pPr>
    </w:p>
    <w:p w:rsidR="00383AD0" w:rsidRDefault="00383AD0" w:rsidP="00383AD0">
      <w:pPr>
        <w:pBdr>
          <w:top w:val="single" w:sz="4" w:space="1" w:color="auto"/>
          <w:left w:val="single" w:sz="4" w:space="4" w:color="auto"/>
          <w:bottom w:val="single" w:sz="4" w:space="1" w:color="auto"/>
          <w:right w:val="single" w:sz="4" w:space="4" w:color="auto"/>
        </w:pBdr>
        <w:shd w:val="clear" w:color="auto" w:fill="D9D9D9"/>
        <w:jc w:val="both"/>
        <w:rPr>
          <w:b/>
          <w:color w:val="244061" w:themeColor="accent1" w:themeShade="80"/>
          <w:u w:val="single"/>
        </w:rPr>
      </w:pPr>
      <w:r w:rsidRPr="0022626B">
        <w:rPr>
          <w:b/>
          <w:color w:val="244061" w:themeColor="accent1" w:themeShade="80"/>
          <w:u w:val="single"/>
        </w:rPr>
        <w:t>Recommendations on criteria and risk levels</w:t>
      </w:r>
      <w:r w:rsidR="0022626B" w:rsidRPr="0022626B">
        <w:rPr>
          <w:b/>
          <w:color w:val="244061" w:themeColor="accent1" w:themeShade="80"/>
          <w:u w:val="single"/>
        </w:rPr>
        <w:t>’ definition</w:t>
      </w:r>
      <w:r w:rsidRPr="0022626B">
        <w:rPr>
          <w:b/>
          <w:color w:val="244061" w:themeColor="accent1" w:themeShade="80"/>
          <w:u w:val="single"/>
        </w:rPr>
        <w:t xml:space="preserve"> </w:t>
      </w:r>
    </w:p>
    <w:p w:rsidR="002E104F" w:rsidRPr="0022626B" w:rsidRDefault="002E104F" w:rsidP="00383AD0">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383AD0" w:rsidRPr="0022626B" w:rsidRDefault="00383AD0" w:rsidP="0022626B">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22626B">
        <w:rPr>
          <w:color w:val="244061" w:themeColor="accent1" w:themeShade="80"/>
        </w:rPr>
        <w:t xml:space="preserve">If this indicator </w:t>
      </w:r>
      <w:r w:rsidR="00814EA6">
        <w:rPr>
          <w:color w:val="244061" w:themeColor="accent1" w:themeShade="80"/>
        </w:rPr>
        <w:t>were</w:t>
      </w:r>
      <w:r w:rsidRPr="0022626B">
        <w:rPr>
          <w:color w:val="244061" w:themeColor="accent1" w:themeShade="80"/>
        </w:rPr>
        <w:t xml:space="preserve"> selected, it </w:t>
      </w:r>
      <w:r w:rsidR="00814EA6">
        <w:rPr>
          <w:color w:val="244061" w:themeColor="accent1" w:themeShade="80"/>
        </w:rPr>
        <w:t>should not have to be</w:t>
      </w:r>
      <w:r w:rsidRPr="0022626B">
        <w:rPr>
          <w:color w:val="244061" w:themeColor="accent1" w:themeShade="80"/>
        </w:rPr>
        <w:t xml:space="preserve"> updated </w:t>
      </w:r>
      <w:r w:rsidR="00814EA6">
        <w:rPr>
          <w:color w:val="244061" w:themeColor="accent1" w:themeShade="80"/>
        </w:rPr>
        <w:t>during the life of the product,</w:t>
      </w:r>
      <w:r w:rsidRPr="0022626B">
        <w:rPr>
          <w:color w:val="244061" w:themeColor="accent1" w:themeShade="80"/>
        </w:rPr>
        <w:t xml:space="preserve"> since the capital protection threshold</w:t>
      </w:r>
      <w:r w:rsidR="00A87067">
        <w:rPr>
          <w:color w:val="244061" w:themeColor="accent1" w:themeShade="80"/>
        </w:rPr>
        <w:t>s</w:t>
      </w:r>
      <w:r w:rsidRPr="0022626B">
        <w:rPr>
          <w:color w:val="244061" w:themeColor="accent1" w:themeShade="80"/>
        </w:rPr>
        <w:t xml:space="preserve"> (100% class 1 / 80% class 3 / 50% class 4) are defined based on the in</w:t>
      </w:r>
      <w:r w:rsidRPr="0022626B">
        <w:rPr>
          <w:color w:val="244061" w:themeColor="accent1" w:themeShade="80"/>
        </w:rPr>
        <w:t>i</w:t>
      </w:r>
      <w:r w:rsidRPr="0022626B">
        <w:rPr>
          <w:color w:val="244061" w:themeColor="accent1" w:themeShade="80"/>
        </w:rPr>
        <w:t xml:space="preserve">tial capital invested. A disclaimer that the indicator is static based on the initial capital invested could be added to avoid any </w:t>
      </w:r>
      <w:r w:rsidR="00814EA6">
        <w:rPr>
          <w:color w:val="244061" w:themeColor="accent1" w:themeShade="80"/>
        </w:rPr>
        <w:t>misunderstanding</w:t>
      </w:r>
      <w:r w:rsidRPr="0022626B">
        <w:rPr>
          <w:color w:val="244061" w:themeColor="accent1" w:themeShade="80"/>
        </w:rPr>
        <w:t xml:space="preserve"> for exchange traded product</w:t>
      </w:r>
      <w:r w:rsidR="00814EA6">
        <w:rPr>
          <w:color w:val="244061" w:themeColor="accent1" w:themeShade="80"/>
        </w:rPr>
        <w:t>s</w:t>
      </w:r>
      <w:r w:rsidRPr="0022626B">
        <w:rPr>
          <w:color w:val="244061" w:themeColor="accent1" w:themeShade="80"/>
        </w:rPr>
        <w:t xml:space="preserve"> bought </w:t>
      </w:r>
      <w:r w:rsidR="00814EA6">
        <w:rPr>
          <w:color w:val="244061" w:themeColor="accent1" w:themeShade="80"/>
        </w:rPr>
        <w:t>o</w:t>
      </w:r>
      <w:r w:rsidRPr="0022626B">
        <w:rPr>
          <w:color w:val="244061" w:themeColor="accent1" w:themeShade="80"/>
        </w:rPr>
        <w:t xml:space="preserve">n </w:t>
      </w:r>
      <w:r w:rsidR="00814EA6">
        <w:rPr>
          <w:color w:val="244061" w:themeColor="accent1" w:themeShade="80"/>
        </w:rPr>
        <w:t xml:space="preserve">the </w:t>
      </w:r>
      <w:r w:rsidRPr="0022626B">
        <w:rPr>
          <w:color w:val="244061" w:themeColor="accent1" w:themeShade="80"/>
        </w:rPr>
        <w:t>secondary ma</w:t>
      </w:r>
      <w:r w:rsidRPr="0022626B">
        <w:rPr>
          <w:color w:val="244061" w:themeColor="accent1" w:themeShade="80"/>
        </w:rPr>
        <w:t>r</w:t>
      </w:r>
      <w:r w:rsidRPr="0022626B">
        <w:rPr>
          <w:color w:val="244061" w:themeColor="accent1" w:themeShade="80"/>
        </w:rPr>
        <w:t>ket</w:t>
      </w:r>
      <w:r w:rsidR="00814EA6">
        <w:rPr>
          <w:color w:val="244061" w:themeColor="accent1" w:themeShade="80"/>
        </w:rPr>
        <w:t>.</w:t>
      </w:r>
    </w:p>
    <w:p w:rsidR="00383AD0" w:rsidRPr="0022626B" w:rsidRDefault="00A87067" w:rsidP="0022626B">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A</w:t>
      </w:r>
      <w:r w:rsidR="00383AD0" w:rsidRPr="0022626B">
        <w:rPr>
          <w:color w:val="244061" w:themeColor="accent1" w:themeShade="80"/>
        </w:rPr>
        <w:t xml:space="preserve">ll products with a conditional capital protection </w:t>
      </w:r>
      <w:r>
        <w:rPr>
          <w:color w:val="244061" w:themeColor="accent1" w:themeShade="80"/>
        </w:rPr>
        <w:t xml:space="preserve">would </w:t>
      </w:r>
      <w:r w:rsidR="00383AD0" w:rsidRPr="0022626B">
        <w:rPr>
          <w:color w:val="244061" w:themeColor="accent1" w:themeShade="80"/>
        </w:rPr>
        <w:t xml:space="preserve">fall into </w:t>
      </w:r>
      <w:r>
        <w:rPr>
          <w:color w:val="244061" w:themeColor="accent1" w:themeShade="80"/>
        </w:rPr>
        <w:t xml:space="preserve">risk class </w:t>
      </w:r>
      <w:r w:rsidR="00383AD0" w:rsidRPr="0022626B">
        <w:rPr>
          <w:color w:val="244061" w:themeColor="accent1" w:themeShade="80"/>
        </w:rPr>
        <w:t xml:space="preserve">5 </w:t>
      </w:r>
      <w:r>
        <w:rPr>
          <w:color w:val="244061" w:themeColor="accent1" w:themeShade="80"/>
        </w:rPr>
        <w:t>(</w:t>
      </w:r>
      <w:r w:rsidR="00383AD0" w:rsidRPr="0022626B">
        <w:rPr>
          <w:color w:val="244061" w:themeColor="accent1" w:themeShade="80"/>
        </w:rPr>
        <w:t>out of 6</w:t>
      </w:r>
      <w:r>
        <w:rPr>
          <w:color w:val="244061" w:themeColor="accent1" w:themeShade="80"/>
        </w:rPr>
        <w:t>)</w:t>
      </w:r>
      <w:r w:rsidR="00383AD0" w:rsidRPr="0022626B">
        <w:rPr>
          <w:color w:val="244061" w:themeColor="accent1" w:themeShade="80"/>
        </w:rPr>
        <w:t xml:space="preserve"> regardless of their risk profile. </w:t>
      </w:r>
      <w:r>
        <w:rPr>
          <w:color w:val="244061" w:themeColor="accent1" w:themeShade="80"/>
        </w:rPr>
        <w:t xml:space="preserve">This option should therefore be supplemented with </w:t>
      </w:r>
      <w:r w:rsidRPr="0022626B">
        <w:rPr>
          <w:color w:val="244061" w:themeColor="accent1" w:themeShade="80"/>
        </w:rPr>
        <w:t xml:space="preserve">a quantitative market risk indicator </w:t>
      </w:r>
      <w:r>
        <w:rPr>
          <w:color w:val="244061" w:themeColor="accent1" w:themeShade="80"/>
        </w:rPr>
        <w:t>for p</w:t>
      </w:r>
      <w:r w:rsidR="00383AD0" w:rsidRPr="0022626B">
        <w:rPr>
          <w:color w:val="244061" w:themeColor="accent1" w:themeShade="80"/>
        </w:rPr>
        <w:t>roduct</w:t>
      </w:r>
      <w:r>
        <w:rPr>
          <w:color w:val="244061" w:themeColor="accent1" w:themeShade="80"/>
        </w:rPr>
        <w:t>s</w:t>
      </w:r>
      <w:r w:rsidR="00383AD0" w:rsidRPr="0022626B">
        <w:rPr>
          <w:color w:val="244061" w:themeColor="accent1" w:themeShade="80"/>
        </w:rPr>
        <w:t xml:space="preserve"> </w:t>
      </w:r>
      <w:r>
        <w:rPr>
          <w:color w:val="244061" w:themeColor="accent1" w:themeShade="80"/>
        </w:rPr>
        <w:t>with</w:t>
      </w:r>
      <w:r w:rsidR="00383AD0" w:rsidRPr="0022626B">
        <w:rPr>
          <w:color w:val="244061" w:themeColor="accent1" w:themeShade="80"/>
        </w:rPr>
        <w:t xml:space="preserve"> conditional capital protection (</w:t>
      </w:r>
      <w:r>
        <w:rPr>
          <w:color w:val="244061" w:themeColor="accent1" w:themeShade="80"/>
        </w:rPr>
        <w:t>based on</w:t>
      </w:r>
      <w:r w:rsidR="00383AD0" w:rsidRPr="0022626B">
        <w:rPr>
          <w:color w:val="244061" w:themeColor="accent1" w:themeShade="80"/>
        </w:rPr>
        <w:t xml:space="preserve"> option 2</w:t>
      </w:r>
      <w:r>
        <w:rPr>
          <w:color w:val="244061" w:themeColor="accent1" w:themeShade="80"/>
        </w:rPr>
        <w:t xml:space="preserve"> - volatility based</w:t>
      </w:r>
      <w:r w:rsidR="00383AD0" w:rsidRPr="0022626B">
        <w:rPr>
          <w:color w:val="244061" w:themeColor="accent1" w:themeShade="80"/>
        </w:rPr>
        <w:t xml:space="preserve"> or option 3 </w:t>
      </w:r>
      <w:r>
        <w:rPr>
          <w:color w:val="244061" w:themeColor="accent1" w:themeShade="80"/>
        </w:rPr>
        <w:t xml:space="preserve">- </w:t>
      </w:r>
      <w:proofErr w:type="spellStart"/>
      <w:r w:rsidR="00383AD0" w:rsidRPr="0022626B">
        <w:rPr>
          <w:color w:val="244061" w:themeColor="accent1" w:themeShade="80"/>
        </w:rPr>
        <w:t>VaR</w:t>
      </w:r>
      <w:proofErr w:type="spellEnd"/>
      <w:r w:rsidR="00383AD0" w:rsidRPr="0022626B">
        <w:rPr>
          <w:color w:val="244061" w:themeColor="accent1" w:themeShade="80"/>
        </w:rPr>
        <w:t xml:space="preserve"> or </w:t>
      </w:r>
      <w:proofErr w:type="spellStart"/>
      <w:r w:rsidR="00383AD0" w:rsidRPr="0022626B">
        <w:rPr>
          <w:color w:val="244061" w:themeColor="accent1" w:themeShade="80"/>
        </w:rPr>
        <w:t>cVaR</w:t>
      </w:r>
      <w:proofErr w:type="spellEnd"/>
      <w:r w:rsidR="00383AD0" w:rsidRPr="0022626B">
        <w:rPr>
          <w:color w:val="244061" w:themeColor="accent1" w:themeShade="80"/>
        </w:rPr>
        <w:t>)</w:t>
      </w:r>
      <w:r>
        <w:rPr>
          <w:color w:val="244061" w:themeColor="accent1" w:themeShade="80"/>
        </w:rPr>
        <w:t>.</w:t>
      </w:r>
    </w:p>
    <w:p w:rsidR="00383AD0" w:rsidRPr="0022626B" w:rsidRDefault="00A01A2B" w:rsidP="0022626B">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This indicator</w:t>
      </w:r>
      <w:r w:rsidR="00383AD0" w:rsidRPr="0022626B">
        <w:rPr>
          <w:color w:val="244061" w:themeColor="accent1" w:themeShade="80"/>
        </w:rPr>
        <w:t xml:space="preserve"> also disregards market risk and does not </w:t>
      </w:r>
      <w:r>
        <w:rPr>
          <w:color w:val="244061" w:themeColor="accent1" w:themeShade="80"/>
        </w:rPr>
        <w:t>consider</w:t>
      </w:r>
      <w:r w:rsidR="00383AD0" w:rsidRPr="0022626B">
        <w:rPr>
          <w:color w:val="244061" w:themeColor="accent1" w:themeShade="80"/>
        </w:rPr>
        <w:t xml:space="preserve"> the likelihood of receiving income: two capital guaranteed product</w:t>
      </w:r>
      <w:r>
        <w:rPr>
          <w:color w:val="244061" w:themeColor="accent1" w:themeShade="80"/>
        </w:rPr>
        <w:t>s</w:t>
      </w:r>
      <w:r w:rsidR="00383AD0" w:rsidRPr="0022626B">
        <w:rPr>
          <w:color w:val="244061" w:themeColor="accent1" w:themeShade="80"/>
        </w:rPr>
        <w:t xml:space="preserve"> (one with </w:t>
      </w:r>
      <w:r>
        <w:rPr>
          <w:color w:val="244061" w:themeColor="accent1" w:themeShade="80"/>
        </w:rPr>
        <w:t xml:space="preserve">a </w:t>
      </w:r>
      <w:r w:rsidR="00383AD0" w:rsidRPr="0022626B">
        <w:rPr>
          <w:color w:val="244061" w:themeColor="accent1" w:themeShade="80"/>
        </w:rPr>
        <w:t xml:space="preserve">very high but </w:t>
      </w:r>
      <w:r>
        <w:rPr>
          <w:color w:val="244061" w:themeColor="accent1" w:themeShade="80"/>
        </w:rPr>
        <w:t xml:space="preserve">also </w:t>
      </w:r>
      <w:r w:rsidR="00383AD0" w:rsidRPr="0022626B">
        <w:rPr>
          <w:color w:val="244061" w:themeColor="accent1" w:themeShade="80"/>
        </w:rPr>
        <w:t xml:space="preserve">very unlikely coupon, and one with </w:t>
      </w:r>
      <w:r>
        <w:rPr>
          <w:color w:val="244061" w:themeColor="accent1" w:themeShade="80"/>
        </w:rPr>
        <w:t xml:space="preserve">a </w:t>
      </w:r>
      <w:r w:rsidR="00383AD0" w:rsidRPr="0022626B">
        <w:rPr>
          <w:color w:val="244061" w:themeColor="accent1" w:themeShade="80"/>
        </w:rPr>
        <w:t>guarantee</w:t>
      </w:r>
      <w:r>
        <w:rPr>
          <w:color w:val="244061" w:themeColor="accent1" w:themeShade="80"/>
        </w:rPr>
        <w:t>d</w:t>
      </w:r>
      <w:r w:rsidR="00383AD0" w:rsidRPr="0022626B">
        <w:rPr>
          <w:color w:val="244061" w:themeColor="accent1" w:themeShade="80"/>
        </w:rPr>
        <w:t xml:space="preserve"> coupon) </w:t>
      </w:r>
      <w:r>
        <w:rPr>
          <w:color w:val="244061" w:themeColor="accent1" w:themeShade="80"/>
        </w:rPr>
        <w:t>could</w:t>
      </w:r>
      <w:r w:rsidR="00383AD0" w:rsidRPr="0022626B">
        <w:rPr>
          <w:color w:val="244061" w:themeColor="accent1" w:themeShade="80"/>
        </w:rPr>
        <w:t xml:space="preserve"> have the same rating of 1, while the</w:t>
      </w:r>
      <w:r>
        <w:rPr>
          <w:color w:val="244061" w:themeColor="accent1" w:themeShade="80"/>
        </w:rPr>
        <w:t>ir</w:t>
      </w:r>
      <w:r w:rsidR="00383AD0" w:rsidRPr="0022626B">
        <w:rPr>
          <w:color w:val="244061" w:themeColor="accent1" w:themeShade="80"/>
        </w:rPr>
        <w:t xml:space="preserve"> income profile</w:t>
      </w:r>
      <w:r>
        <w:rPr>
          <w:color w:val="244061" w:themeColor="accent1" w:themeShade="80"/>
        </w:rPr>
        <w:t>s</w:t>
      </w:r>
      <w:r w:rsidR="00383AD0" w:rsidRPr="0022626B">
        <w:rPr>
          <w:color w:val="244061" w:themeColor="accent1" w:themeShade="80"/>
        </w:rPr>
        <w:t xml:space="preserve"> </w:t>
      </w:r>
      <w:r>
        <w:rPr>
          <w:color w:val="244061" w:themeColor="accent1" w:themeShade="80"/>
        </w:rPr>
        <w:t>are</w:t>
      </w:r>
      <w:r w:rsidR="00383AD0" w:rsidRPr="0022626B">
        <w:rPr>
          <w:color w:val="244061" w:themeColor="accent1" w:themeShade="80"/>
        </w:rPr>
        <w:t xml:space="preserve"> fundamentally di</w:t>
      </w:r>
      <w:r w:rsidR="00383AD0" w:rsidRPr="0022626B">
        <w:rPr>
          <w:color w:val="244061" w:themeColor="accent1" w:themeShade="80"/>
        </w:rPr>
        <w:t>f</w:t>
      </w:r>
      <w:r w:rsidR="00383AD0" w:rsidRPr="0022626B">
        <w:rPr>
          <w:color w:val="244061" w:themeColor="accent1" w:themeShade="80"/>
        </w:rPr>
        <w:t>ferent for</w:t>
      </w:r>
      <w:r>
        <w:rPr>
          <w:color w:val="244061" w:themeColor="accent1" w:themeShade="80"/>
        </w:rPr>
        <w:t xml:space="preserve"> the</w:t>
      </w:r>
      <w:r w:rsidR="00383AD0" w:rsidRPr="0022626B">
        <w:rPr>
          <w:color w:val="244061" w:themeColor="accent1" w:themeShade="80"/>
        </w:rPr>
        <w:t xml:space="preserve"> investor. Strike </w:t>
      </w:r>
      <w:r>
        <w:rPr>
          <w:color w:val="244061" w:themeColor="accent1" w:themeShade="80"/>
        </w:rPr>
        <w:t>versus</w:t>
      </w:r>
      <w:r w:rsidR="00383AD0" w:rsidRPr="0022626B">
        <w:rPr>
          <w:color w:val="244061" w:themeColor="accent1" w:themeShade="80"/>
        </w:rPr>
        <w:t xml:space="preserve"> capital guarantee should also be addressed: a</w:t>
      </w:r>
      <w:r>
        <w:rPr>
          <w:color w:val="244061" w:themeColor="accent1" w:themeShade="80"/>
        </w:rPr>
        <w:t xml:space="preserve"> product with a</w:t>
      </w:r>
      <w:r w:rsidR="00383AD0" w:rsidRPr="0022626B">
        <w:rPr>
          <w:color w:val="244061" w:themeColor="accent1" w:themeShade="80"/>
        </w:rPr>
        <w:t xml:space="preserve"> 70% capital guarant</w:t>
      </w:r>
      <w:r>
        <w:rPr>
          <w:color w:val="244061" w:themeColor="accent1" w:themeShade="80"/>
        </w:rPr>
        <w:t xml:space="preserve">y and a </w:t>
      </w:r>
      <w:r w:rsidR="00383AD0" w:rsidRPr="0022626B">
        <w:rPr>
          <w:color w:val="244061" w:themeColor="accent1" w:themeShade="80"/>
        </w:rPr>
        <w:t xml:space="preserve">call strike </w:t>
      </w:r>
      <w:r>
        <w:rPr>
          <w:color w:val="244061" w:themeColor="accent1" w:themeShade="80"/>
        </w:rPr>
        <w:t xml:space="preserve">at </w:t>
      </w:r>
      <w:r w:rsidR="00383AD0" w:rsidRPr="0022626B">
        <w:rPr>
          <w:color w:val="244061" w:themeColor="accent1" w:themeShade="80"/>
        </w:rPr>
        <w:t xml:space="preserve">70% should not have same risk class of 5 as </w:t>
      </w:r>
      <w:r>
        <w:rPr>
          <w:color w:val="244061" w:themeColor="accent1" w:themeShade="80"/>
        </w:rPr>
        <w:t>a product with the same capital guaranty but a ca</w:t>
      </w:r>
      <w:r w:rsidR="00383AD0" w:rsidRPr="0022626B">
        <w:rPr>
          <w:color w:val="244061" w:themeColor="accent1" w:themeShade="80"/>
        </w:rPr>
        <w:t xml:space="preserve">ll strike </w:t>
      </w:r>
      <w:r>
        <w:rPr>
          <w:color w:val="244061" w:themeColor="accent1" w:themeShade="80"/>
        </w:rPr>
        <w:t xml:space="preserve">at </w:t>
      </w:r>
      <w:r w:rsidR="00383AD0" w:rsidRPr="0022626B">
        <w:rPr>
          <w:color w:val="244061" w:themeColor="accent1" w:themeShade="80"/>
        </w:rPr>
        <w:t xml:space="preserve">100% because the first product gives the investor a much higher chance of receiving 100% capital back, while </w:t>
      </w:r>
      <w:r>
        <w:rPr>
          <w:color w:val="244061" w:themeColor="accent1" w:themeShade="80"/>
        </w:rPr>
        <w:t>with</w:t>
      </w:r>
      <w:r w:rsidR="00383AD0" w:rsidRPr="0022626B">
        <w:rPr>
          <w:color w:val="244061" w:themeColor="accent1" w:themeShade="80"/>
        </w:rPr>
        <w:t xml:space="preserve"> the second product, the underlying needs to perform </w:t>
      </w:r>
      <w:r>
        <w:rPr>
          <w:color w:val="244061" w:themeColor="accent1" w:themeShade="80"/>
        </w:rPr>
        <w:t xml:space="preserve">a lot more </w:t>
      </w:r>
      <w:r w:rsidR="00383AD0" w:rsidRPr="0022626B">
        <w:rPr>
          <w:color w:val="244061" w:themeColor="accent1" w:themeShade="80"/>
        </w:rPr>
        <w:t>(call pay-out of at least 30%) for the investor to get his capital back.</w:t>
      </w:r>
    </w:p>
    <w:p w:rsidR="00383AD0" w:rsidRPr="0022626B" w:rsidRDefault="008207E4" w:rsidP="0022626B">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AMAFI</w:t>
      </w:r>
      <w:r w:rsidR="00383AD0" w:rsidRPr="0022626B">
        <w:rPr>
          <w:color w:val="244061" w:themeColor="accent1" w:themeShade="80"/>
        </w:rPr>
        <w:t xml:space="preserve"> would recommend not setting any limits </w:t>
      </w:r>
      <w:r>
        <w:rPr>
          <w:color w:val="244061" w:themeColor="accent1" w:themeShade="80"/>
        </w:rPr>
        <w:t>to</w:t>
      </w:r>
      <w:r w:rsidR="00383AD0" w:rsidRPr="0022626B">
        <w:rPr>
          <w:color w:val="244061" w:themeColor="accent1" w:themeShade="80"/>
        </w:rPr>
        <w:t xml:space="preserve"> tenors since the risk classes </w:t>
      </w:r>
      <w:r>
        <w:rPr>
          <w:color w:val="244061" w:themeColor="accent1" w:themeShade="80"/>
        </w:rPr>
        <w:t>are defined based on</w:t>
      </w:r>
      <w:r w:rsidR="00383AD0" w:rsidRPr="0022626B">
        <w:rPr>
          <w:color w:val="244061" w:themeColor="accent1" w:themeShade="80"/>
        </w:rPr>
        <w:t xml:space="preserve"> the risk of loss "</w:t>
      </w:r>
      <w:r w:rsidR="00383AD0" w:rsidRPr="008207E4">
        <w:rPr>
          <w:i/>
          <w:color w:val="244061" w:themeColor="accent1" w:themeShade="80"/>
        </w:rPr>
        <w:t>at the investment horizon</w:t>
      </w:r>
      <w:r w:rsidR="00383AD0" w:rsidRPr="0022626B">
        <w:rPr>
          <w:color w:val="244061" w:themeColor="accent1" w:themeShade="80"/>
        </w:rPr>
        <w:t>". Yet</w:t>
      </w:r>
      <w:r>
        <w:rPr>
          <w:color w:val="244061" w:themeColor="accent1" w:themeShade="80"/>
        </w:rPr>
        <w:t xml:space="preserve">, </w:t>
      </w:r>
      <w:r w:rsidR="00383AD0" w:rsidRPr="0022626B">
        <w:rPr>
          <w:color w:val="244061" w:themeColor="accent1" w:themeShade="80"/>
        </w:rPr>
        <w:t>should max</w:t>
      </w:r>
      <w:r>
        <w:rPr>
          <w:color w:val="244061" w:themeColor="accent1" w:themeShade="80"/>
        </w:rPr>
        <w:t>imum</w:t>
      </w:r>
      <w:r w:rsidR="00383AD0" w:rsidRPr="0022626B">
        <w:rPr>
          <w:color w:val="244061" w:themeColor="accent1" w:themeShade="80"/>
        </w:rPr>
        <w:t xml:space="preserve"> tenors</w:t>
      </w:r>
      <w:r>
        <w:rPr>
          <w:color w:val="244061" w:themeColor="accent1" w:themeShade="80"/>
        </w:rPr>
        <w:t xml:space="preserve"> be required</w:t>
      </w:r>
      <w:r w:rsidR="00383AD0" w:rsidRPr="0022626B">
        <w:rPr>
          <w:color w:val="244061" w:themeColor="accent1" w:themeShade="80"/>
        </w:rPr>
        <w:t xml:space="preserve">, we </w:t>
      </w:r>
      <w:r>
        <w:rPr>
          <w:color w:val="244061" w:themeColor="accent1" w:themeShade="80"/>
        </w:rPr>
        <w:t xml:space="preserve">suggest </w:t>
      </w:r>
      <w:r w:rsidR="00F50D01">
        <w:rPr>
          <w:color w:val="244061" w:themeColor="accent1" w:themeShade="80"/>
        </w:rPr>
        <w:t>a</w:t>
      </w:r>
      <w:r w:rsidR="00F50D01">
        <w:rPr>
          <w:color w:val="244061" w:themeColor="accent1" w:themeShade="80"/>
        </w:rPr>
        <w:t>l</w:t>
      </w:r>
      <w:r w:rsidR="00F50D01">
        <w:rPr>
          <w:color w:val="244061" w:themeColor="accent1" w:themeShade="80"/>
        </w:rPr>
        <w:t>lowing</w:t>
      </w:r>
      <w:r w:rsidR="00383AD0" w:rsidRPr="0022626B">
        <w:rPr>
          <w:color w:val="244061" w:themeColor="accent1" w:themeShade="80"/>
        </w:rPr>
        <w:t xml:space="preserve"> 10 years for </w:t>
      </w:r>
      <w:r>
        <w:rPr>
          <w:color w:val="244061" w:themeColor="accent1" w:themeShade="80"/>
        </w:rPr>
        <w:t>the risk c</w:t>
      </w:r>
      <w:r w:rsidR="00383AD0" w:rsidRPr="0022626B">
        <w:rPr>
          <w:color w:val="244061" w:themeColor="accent1" w:themeShade="80"/>
        </w:rPr>
        <w:t>lass</w:t>
      </w:r>
      <w:r>
        <w:rPr>
          <w:color w:val="244061" w:themeColor="accent1" w:themeShade="80"/>
        </w:rPr>
        <w:t xml:space="preserve"> 1</w:t>
      </w:r>
      <w:r w:rsidR="00383AD0" w:rsidRPr="0022626B">
        <w:rPr>
          <w:color w:val="244061" w:themeColor="accent1" w:themeShade="80"/>
        </w:rPr>
        <w:t xml:space="preserve"> and 15 years for </w:t>
      </w:r>
      <w:r>
        <w:rPr>
          <w:color w:val="244061" w:themeColor="accent1" w:themeShade="80"/>
        </w:rPr>
        <w:t>the risk class 3</w:t>
      </w:r>
      <w:r w:rsidR="00383AD0" w:rsidRPr="0022626B">
        <w:rPr>
          <w:color w:val="244061" w:themeColor="accent1" w:themeShade="80"/>
        </w:rPr>
        <w:t>.</w:t>
      </w:r>
    </w:p>
    <w:p w:rsidR="00383AD0" w:rsidRPr="0022626B" w:rsidRDefault="002E104F" w:rsidP="0022626B">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E22B3C">
        <w:rPr>
          <w:color w:val="244061" w:themeColor="accent1" w:themeShade="80"/>
        </w:rPr>
        <w:t xml:space="preserve">The criteria defining the risk levels should be consistent </w:t>
      </w:r>
      <w:r w:rsidR="00E22B3C" w:rsidRPr="00E22B3C">
        <w:rPr>
          <w:color w:val="244061" w:themeColor="accent1" w:themeShade="80"/>
        </w:rPr>
        <w:t>across</w:t>
      </w:r>
      <w:r w:rsidRPr="00E22B3C">
        <w:rPr>
          <w:color w:val="244061" w:themeColor="accent1" w:themeShade="80"/>
        </w:rPr>
        <w:t xml:space="preserve"> products, especially structured PRIIPS and non-structure</w:t>
      </w:r>
      <w:r w:rsidR="00E22B3C" w:rsidRPr="00E22B3C">
        <w:rPr>
          <w:color w:val="244061" w:themeColor="accent1" w:themeShade="80"/>
        </w:rPr>
        <w:t>d</w:t>
      </w:r>
      <w:r w:rsidRPr="00E22B3C">
        <w:rPr>
          <w:color w:val="244061" w:themeColor="accent1" w:themeShade="80"/>
        </w:rPr>
        <w:t xml:space="preserve"> PRIIPS</w:t>
      </w:r>
      <w:r w:rsidR="00E22B3C" w:rsidRPr="00E22B3C">
        <w:rPr>
          <w:color w:val="244061" w:themeColor="accent1" w:themeShade="80"/>
        </w:rPr>
        <w:t>.</w:t>
      </w:r>
      <w:r w:rsidR="00E22B3C">
        <w:rPr>
          <w:color w:val="244061" w:themeColor="accent1" w:themeShade="80"/>
        </w:rPr>
        <w:t xml:space="preserve"> </w:t>
      </w:r>
      <w:r w:rsidRPr="00E22B3C">
        <w:rPr>
          <w:color w:val="244061" w:themeColor="accent1" w:themeShade="80"/>
        </w:rPr>
        <w:t xml:space="preserve"> </w:t>
      </w:r>
      <w:r w:rsidR="00E22B3C">
        <w:rPr>
          <w:color w:val="244061" w:themeColor="accent1" w:themeShade="80"/>
        </w:rPr>
        <w:t>For example, r</w:t>
      </w:r>
      <w:r w:rsidR="00383AD0" w:rsidRPr="0022626B">
        <w:rPr>
          <w:color w:val="244061" w:themeColor="accent1" w:themeShade="80"/>
        </w:rPr>
        <w:t>isk class 2 should only include bond funds where all the bond holdings are rated above creditworthy solvency level [e.g. rating BBB-]</w:t>
      </w:r>
      <w:r w:rsidR="00E22B3C">
        <w:rPr>
          <w:color w:val="244061" w:themeColor="accent1" w:themeShade="80"/>
        </w:rPr>
        <w:t>, which is the level</w:t>
      </w:r>
      <w:r w:rsidR="00383AD0" w:rsidRPr="0022626B">
        <w:rPr>
          <w:color w:val="244061" w:themeColor="accent1" w:themeShade="80"/>
        </w:rPr>
        <w:t xml:space="preserve"> r</w:t>
      </w:r>
      <w:r w:rsidR="00383AD0" w:rsidRPr="0022626B">
        <w:rPr>
          <w:color w:val="244061" w:themeColor="accent1" w:themeShade="80"/>
        </w:rPr>
        <w:t>e</w:t>
      </w:r>
      <w:r w:rsidR="00383AD0" w:rsidRPr="0022626B">
        <w:rPr>
          <w:color w:val="244061" w:themeColor="accent1" w:themeShade="80"/>
        </w:rPr>
        <w:t xml:space="preserve">quired for </w:t>
      </w:r>
      <w:r w:rsidR="00E22B3C">
        <w:rPr>
          <w:color w:val="244061" w:themeColor="accent1" w:themeShade="80"/>
        </w:rPr>
        <w:t>s</w:t>
      </w:r>
      <w:r w:rsidR="00383AD0" w:rsidRPr="0022626B">
        <w:rPr>
          <w:color w:val="244061" w:themeColor="accent1" w:themeShade="80"/>
        </w:rPr>
        <w:t>ecurities fal</w:t>
      </w:r>
      <w:r w:rsidR="00E22B3C">
        <w:rPr>
          <w:color w:val="244061" w:themeColor="accent1" w:themeShade="80"/>
        </w:rPr>
        <w:t>ling in risk c</w:t>
      </w:r>
      <w:r w:rsidR="00383AD0" w:rsidRPr="0022626B">
        <w:rPr>
          <w:color w:val="244061" w:themeColor="accent1" w:themeShade="80"/>
        </w:rPr>
        <w:t>lass 2.</w:t>
      </w:r>
    </w:p>
    <w:p w:rsidR="00383AD0" w:rsidRPr="0022626B" w:rsidRDefault="00383AD0" w:rsidP="0022626B">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22626B">
        <w:rPr>
          <w:color w:val="244061" w:themeColor="accent1" w:themeShade="80"/>
        </w:rPr>
        <w:t xml:space="preserve">We </w:t>
      </w:r>
      <w:r w:rsidR="00E22B3C">
        <w:rPr>
          <w:color w:val="244061" w:themeColor="accent1" w:themeShade="80"/>
        </w:rPr>
        <w:t xml:space="preserve">agree that </w:t>
      </w:r>
      <w:r w:rsidRPr="0022626B">
        <w:rPr>
          <w:color w:val="244061" w:themeColor="accent1" w:themeShade="80"/>
        </w:rPr>
        <w:t xml:space="preserve">the </w:t>
      </w:r>
      <w:r w:rsidR="00E22B3C">
        <w:rPr>
          <w:color w:val="244061" w:themeColor="accent1" w:themeShade="80"/>
        </w:rPr>
        <w:t xml:space="preserve">level of the </w:t>
      </w:r>
      <w:r w:rsidRPr="0022626B">
        <w:rPr>
          <w:color w:val="244061" w:themeColor="accent1" w:themeShade="80"/>
        </w:rPr>
        <w:t>partial</w:t>
      </w:r>
      <w:r w:rsidR="000C56F2">
        <w:rPr>
          <w:color w:val="244061" w:themeColor="accent1" w:themeShade="80"/>
        </w:rPr>
        <w:t xml:space="preserve"> guarantee </w:t>
      </w:r>
      <w:r w:rsidR="00E22B3C">
        <w:rPr>
          <w:color w:val="244061" w:themeColor="accent1" w:themeShade="80"/>
        </w:rPr>
        <w:t>corresponding to</w:t>
      </w:r>
      <w:r w:rsidR="000C56F2">
        <w:rPr>
          <w:color w:val="244061" w:themeColor="accent1" w:themeShade="80"/>
        </w:rPr>
        <w:t xml:space="preserve"> class 3 </w:t>
      </w:r>
      <w:r w:rsidR="00E22B3C">
        <w:rPr>
          <w:color w:val="244061" w:themeColor="accent1" w:themeShade="80"/>
        </w:rPr>
        <w:t>could be</w:t>
      </w:r>
      <w:r w:rsidR="000C56F2">
        <w:rPr>
          <w:color w:val="244061" w:themeColor="accent1" w:themeShade="80"/>
        </w:rPr>
        <w:t xml:space="preserve"> 80%, and 50% in c</w:t>
      </w:r>
      <w:r w:rsidRPr="0022626B">
        <w:rPr>
          <w:color w:val="244061" w:themeColor="accent1" w:themeShade="80"/>
        </w:rPr>
        <w:t xml:space="preserve">lass 4, but products with </w:t>
      </w:r>
      <w:r w:rsidR="000C56F2">
        <w:rPr>
          <w:color w:val="244061" w:themeColor="accent1" w:themeShade="80"/>
        </w:rPr>
        <w:t xml:space="preserve">a conditional </w:t>
      </w:r>
      <w:r w:rsidRPr="0022626B">
        <w:rPr>
          <w:color w:val="244061" w:themeColor="accent1" w:themeShade="80"/>
        </w:rPr>
        <w:t>capital protection</w:t>
      </w:r>
      <w:r w:rsidR="000C56F2">
        <w:rPr>
          <w:color w:val="244061" w:themeColor="accent1" w:themeShade="80"/>
        </w:rPr>
        <w:t xml:space="preserve"> (i.e. with barriers) </w:t>
      </w:r>
      <w:r w:rsidRPr="0022626B">
        <w:rPr>
          <w:color w:val="244061" w:themeColor="accent1" w:themeShade="80"/>
        </w:rPr>
        <w:t xml:space="preserve"> should be seen as more defensive </w:t>
      </w:r>
      <w:r w:rsidR="00E22B3C">
        <w:rPr>
          <w:color w:val="244061" w:themeColor="accent1" w:themeShade="80"/>
        </w:rPr>
        <w:t xml:space="preserve">and therefore should be included in </w:t>
      </w:r>
      <w:r w:rsidR="000C56F2">
        <w:rPr>
          <w:color w:val="244061" w:themeColor="accent1" w:themeShade="80"/>
        </w:rPr>
        <w:t xml:space="preserve">class 3 or 4 </w:t>
      </w:r>
      <w:r w:rsidR="00E22B3C">
        <w:rPr>
          <w:color w:val="244061" w:themeColor="accent1" w:themeShade="80"/>
        </w:rPr>
        <w:t>instead of class 5.</w:t>
      </w:r>
    </w:p>
    <w:p w:rsidR="00383AD0" w:rsidRPr="00E22B3C" w:rsidRDefault="00383AD0" w:rsidP="00E22B3C">
      <w:pPr>
        <w:pStyle w:val="Paragraphedeliste"/>
        <w:numPr>
          <w:ilvl w:val="0"/>
          <w:numId w:val="53"/>
        </w:num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22626B">
        <w:rPr>
          <w:color w:val="244061" w:themeColor="accent1" w:themeShade="80"/>
        </w:rPr>
        <w:t xml:space="preserve">To ensure consistency with </w:t>
      </w:r>
      <w:r w:rsidR="00E22B3C">
        <w:rPr>
          <w:color w:val="244061" w:themeColor="accent1" w:themeShade="80"/>
        </w:rPr>
        <w:t xml:space="preserve">the </w:t>
      </w:r>
      <w:r w:rsidRPr="0022626B">
        <w:rPr>
          <w:color w:val="244061" w:themeColor="accent1" w:themeShade="80"/>
        </w:rPr>
        <w:t xml:space="preserve">UCITS </w:t>
      </w:r>
      <w:r w:rsidR="00E22B3C">
        <w:rPr>
          <w:color w:val="244061" w:themeColor="accent1" w:themeShade="80"/>
        </w:rPr>
        <w:t>SRRI</w:t>
      </w:r>
      <w:r w:rsidRPr="0022626B">
        <w:rPr>
          <w:color w:val="244061" w:themeColor="accent1" w:themeShade="80"/>
        </w:rPr>
        <w:t xml:space="preserve">, the scale should be </w:t>
      </w:r>
      <w:r w:rsidR="00E22B3C">
        <w:rPr>
          <w:color w:val="244061" w:themeColor="accent1" w:themeShade="80"/>
        </w:rPr>
        <w:t>composed of</w:t>
      </w:r>
      <w:r w:rsidR="009A566B">
        <w:rPr>
          <w:color w:val="244061" w:themeColor="accent1" w:themeShade="80"/>
        </w:rPr>
        <w:t xml:space="preserve"> 7 levels</w:t>
      </w:r>
      <w:r w:rsidR="000C56F2">
        <w:rPr>
          <w:color w:val="244061" w:themeColor="accent1" w:themeShade="80"/>
        </w:rPr>
        <w:t>.</w:t>
      </w:r>
    </w:p>
    <w:permEnd w:id="17"/>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9C58C7" w:rsidRDefault="009C58C7"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ermStart w:id="18" w:edGrp="everyone"/>
      <w:r>
        <w:rPr>
          <w:color w:val="244061" w:themeColor="accent1" w:themeShade="80"/>
        </w:rPr>
        <w:t xml:space="preserve">AMAFI is in favour of this option because it is easier to implement than option 3, including for smaller manufacturers. From a practical point of view, it produces similar results as a </w:t>
      </w:r>
      <w:proofErr w:type="spellStart"/>
      <w:r>
        <w:rPr>
          <w:color w:val="244061" w:themeColor="accent1" w:themeShade="80"/>
        </w:rPr>
        <w:t>VaR</w:t>
      </w:r>
      <w:proofErr w:type="spellEnd"/>
      <w:r>
        <w:rPr>
          <w:color w:val="244061" w:themeColor="accent1" w:themeShade="80"/>
        </w:rPr>
        <w:t xml:space="preserve"> based methodology with less complexity. This option together with o</w:t>
      </w:r>
      <w:r w:rsidRPr="00AE0A76">
        <w:rPr>
          <w:color w:val="244061" w:themeColor="accent1" w:themeShade="80"/>
        </w:rPr>
        <w:t xml:space="preserve">ption 3 has been tested </w:t>
      </w:r>
      <w:r>
        <w:rPr>
          <w:color w:val="244061" w:themeColor="accent1" w:themeShade="80"/>
        </w:rPr>
        <w:t>on</w:t>
      </w:r>
      <w:r w:rsidRPr="00AE0A76">
        <w:rPr>
          <w:color w:val="244061" w:themeColor="accent1" w:themeShade="80"/>
        </w:rPr>
        <w:t xml:space="preserve"> a sample of more than 140 various structured products</w:t>
      </w:r>
      <w:r>
        <w:rPr>
          <w:color w:val="244061" w:themeColor="accent1" w:themeShade="80"/>
        </w:rPr>
        <w:t xml:space="preserve"> by our members</w:t>
      </w:r>
      <w:r w:rsidRPr="00AE0A76">
        <w:rPr>
          <w:color w:val="244061" w:themeColor="accent1" w:themeShade="80"/>
        </w:rPr>
        <w:t xml:space="preserve">. Both </w:t>
      </w:r>
      <w:r>
        <w:rPr>
          <w:color w:val="244061" w:themeColor="accent1" w:themeShade="80"/>
        </w:rPr>
        <w:t>options</w:t>
      </w:r>
      <w:r w:rsidRPr="00AE0A76">
        <w:rPr>
          <w:color w:val="244061" w:themeColor="accent1" w:themeShade="80"/>
        </w:rPr>
        <w:t xml:space="preserve"> produced similar results</w:t>
      </w:r>
      <w:r>
        <w:rPr>
          <w:color w:val="244061" w:themeColor="accent1" w:themeShade="80"/>
        </w:rPr>
        <w:t xml:space="preserve"> in terms of dispersion of products on the risk scale and applicability to different types of PRIIPs. Another advantage of option 2 is that it is manageable by manufacturers without the need for external resources to run the model and that it is built on the same model as the one used for UCITS hence avoiding significant operational change</w:t>
      </w:r>
      <w:r w:rsidR="00C155ED">
        <w:rPr>
          <w:color w:val="244061" w:themeColor="accent1" w:themeShade="80"/>
        </w:rPr>
        <w:t>s</w:t>
      </w:r>
      <w:r>
        <w:rPr>
          <w:color w:val="244061" w:themeColor="accent1" w:themeShade="80"/>
        </w:rPr>
        <w:t xml:space="preserve"> for asset managers in implementing PRIIPs.</w:t>
      </w:r>
    </w:p>
    <w:p w:rsidR="009C58C7" w:rsidRDefault="009C58C7"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BB7329"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xml:space="preserve">The TDP mentions that </w:t>
      </w:r>
      <w:r w:rsidR="009C58C7">
        <w:rPr>
          <w:color w:val="244061" w:themeColor="accent1" w:themeShade="80"/>
        </w:rPr>
        <w:t>it</w:t>
      </w:r>
      <w:r>
        <w:rPr>
          <w:color w:val="244061" w:themeColor="accent1" w:themeShade="80"/>
        </w:rPr>
        <w:t xml:space="preserve"> may not be compliant with the level one text </w:t>
      </w:r>
      <w:r w:rsidR="009C58C7">
        <w:rPr>
          <w:color w:val="244061" w:themeColor="accent1" w:themeShade="80"/>
        </w:rPr>
        <w:t xml:space="preserve">referring to a summary risk indicator because of the two-dimension indicator it advocates. Although AMAFI considers that the two </w:t>
      </w:r>
      <w:r w:rsidR="0090010B">
        <w:rPr>
          <w:color w:val="244061" w:themeColor="accent1" w:themeShade="80"/>
        </w:rPr>
        <w:t>components of the indicator do</w:t>
      </w:r>
      <w:r w:rsidR="009C58C7">
        <w:rPr>
          <w:color w:val="244061" w:themeColor="accent1" w:themeShade="80"/>
        </w:rPr>
        <w:t xml:space="preserve"> not make the indicator non compliant with level 1 and that it is better to distinguish the two components (credit and market risks) for the sake of investors, merging the two dimensions into one is not an issue from a technical point of view, just a matter of presentation. It could be done by choosing the worst dimension or calculating the average of the two dimensions. </w:t>
      </w:r>
    </w:p>
    <w:p w:rsidR="00BB7329"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F70CE7" w:rsidRDefault="00F93A10"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The TDP also mentions that it is based on volatility calculated for a very short period (5 or 20 days) then scaled to an annual volatility. We would like to highlight that it is not the case: it is based on (</w:t>
      </w:r>
      <w:proofErr w:type="spellStart"/>
      <w:r>
        <w:rPr>
          <w:color w:val="244061" w:themeColor="accent1" w:themeShade="80"/>
        </w:rPr>
        <w:t>i</w:t>
      </w:r>
      <w:proofErr w:type="spellEnd"/>
      <w:r>
        <w:rPr>
          <w:color w:val="244061" w:themeColor="accent1" w:themeShade="80"/>
        </w:rPr>
        <w:t xml:space="preserve">) historical </w:t>
      </w:r>
      <w:r>
        <w:rPr>
          <w:color w:val="244061" w:themeColor="accent1" w:themeShade="80"/>
        </w:rPr>
        <w:lastRenderedPageBreak/>
        <w:t>volatility on a 5 year observation period (based on the current UCITS methodology but it could also easily be extended to the whole maturity of the product) and (ii) the delta which is calculated for the overall maturity of the product.</w:t>
      </w:r>
    </w:p>
    <w:p w:rsidR="00F70CE7" w:rsidRDefault="00F70CE7"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Default="00F70CE7"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847664">
        <w:rPr>
          <w:color w:val="244061" w:themeColor="accent1" w:themeShade="80"/>
          <w:u w:val="single"/>
        </w:rPr>
        <w:t>As regards</w:t>
      </w:r>
      <w:r w:rsidR="00AE5D51" w:rsidRPr="00847664">
        <w:rPr>
          <w:color w:val="244061" w:themeColor="accent1" w:themeShade="80"/>
          <w:u w:val="single"/>
        </w:rPr>
        <w:t xml:space="preserve"> the disadvantages mentioned </w:t>
      </w:r>
      <w:r w:rsidR="00CA299F" w:rsidRPr="00847664">
        <w:rPr>
          <w:color w:val="244061" w:themeColor="accent1" w:themeShade="80"/>
          <w:u w:val="single"/>
        </w:rPr>
        <w:t>p.</w:t>
      </w:r>
      <w:r w:rsidR="007452E6" w:rsidRPr="00847664">
        <w:rPr>
          <w:color w:val="244061" w:themeColor="accent1" w:themeShade="80"/>
          <w:u w:val="single"/>
        </w:rPr>
        <w:t xml:space="preserve"> </w:t>
      </w:r>
      <w:r w:rsidR="00CA299F" w:rsidRPr="00847664">
        <w:rPr>
          <w:color w:val="244061" w:themeColor="accent1" w:themeShade="80"/>
          <w:u w:val="single"/>
        </w:rPr>
        <w:t>38</w:t>
      </w:r>
      <w:r w:rsidR="00CA299F">
        <w:rPr>
          <w:color w:val="244061" w:themeColor="accent1" w:themeShade="80"/>
        </w:rPr>
        <w:t>:</w:t>
      </w:r>
      <w:r w:rsidR="00AE5D51" w:rsidRPr="00AE0A76">
        <w:rPr>
          <w:color w:val="244061" w:themeColor="accent1" w:themeShade="80"/>
        </w:rPr>
        <w:t xml:space="preserve"> </w:t>
      </w:r>
    </w:p>
    <w:p w:rsidR="00E22B3C" w:rsidRPr="00AE0A76"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Default="00CA299F"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xml:space="preserve">- </w:t>
      </w:r>
      <w:r w:rsidR="00AE5D51" w:rsidRPr="00AE0A76">
        <w:rPr>
          <w:color w:val="244061" w:themeColor="accent1" w:themeShade="80"/>
        </w:rPr>
        <w:t xml:space="preserve">Applicability: </w:t>
      </w:r>
      <w:r>
        <w:rPr>
          <w:color w:val="244061" w:themeColor="accent1" w:themeShade="80"/>
        </w:rPr>
        <w:t>w</w:t>
      </w:r>
      <w:r w:rsidR="00AE5D51" w:rsidRPr="00AE0A76">
        <w:rPr>
          <w:color w:val="244061" w:themeColor="accent1" w:themeShade="80"/>
        </w:rPr>
        <w:t>hilst certain product types may require an adjustment of the method in order to take into account their specificities, it has to be noted that (</w:t>
      </w:r>
      <w:proofErr w:type="spellStart"/>
      <w:r w:rsidR="00AE5D51" w:rsidRPr="00AE0A76">
        <w:rPr>
          <w:color w:val="244061" w:themeColor="accent1" w:themeShade="80"/>
        </w:rPr>
        <w:t>i</w:t>
      </w:r>
      <w:proofErr w:type="spellEnd"/>
      <w:r w:rsidR="00AE5D51" w:rsidRPr="00AE0A76">
        <w:rPr>
          <w:color w:val="244061" w:themeColor="accent1" w:themeShade="80"/>
        </w:rPr>
        <w:t xml:space="preserve">) this is the case </w:t>
      </w:r>
      <w:r>
        <w:rPr>
          <w:color w:val="244061" w:themeColor="accent1" w:themeShade="80"/>
        </w:rPr>
        <w:t>of</w:t>
      </w:r>
      <w:r w:rsidR="00AE5D51" w:rsidRPr="00AE0A76">
        <w:rPr>
          <w:color w:val="244061" w:themeColor="accent1" w:themeShade="80"/>
        </w:rPr>
        <w:t xml:space="preserve"> </w:t>
      </w:r>
      <w:r>
        <w:rPr>
          <w:color w:val="244061" w:themeColor="accent1" w:themeShade="80"/>
        </w:rPr>
        <w:t>all methodologies</w:t>
      </w:r>
      <w:r w:rsidR="00AE5D51" w:rsidRPr="00AE0A76">
        <w:rPr>
          <w:color w:val="244061" w:themeColor="accent1" w:themeShade="80"/>
        </w:rPr>
        <w:t xml:space="preserve"> </w:t>
      </w:r>
      <w:r>
        <w:rPr>
          <w:color w:val="244061" w:themeColor="accent1" w:themeShade="80"/>
        </w:rPr>
        <w:t xml:space="preserve">which </w:t>
      </w:r>
      <w:r w:rsidR="00AE5D51" w:rsidRPr="00AE0A76">
        <w:rPr>
          <w:color w:val="244061" w:themeColor="accent1" w:themeShade="80"/>
        </w:rPr>
        <w:t xml:space="preserve">will all </w:t>
      </w:r>
      <w:r>
        <w:rPr>
          <w:color w:val="244061" w:themeColor="accent1" w:themeShade="80"/>
        </w:rPr>
        <w:t>need</w:t>
      </w:r>
      <w:r w:rsidR="00AE5D51" w:rsidRPr="00AE0A76">
        <w:rPr>
          <w:color w:val="244061" w:themeColor="accent1" w:themeShade="80"/>
        </w:rPr>
        <w:t xml:space="preserve"> adjustments for certain products and (ii) in the particular case of insurance products which is mentioned, the risk indicator based on volatility can be easily calculated.</w:t>
      </w:r>
    </w:p>
    <w:p w:rsidR="00E22B3C"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B07151" w:rsidRDefault="00B07151"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Reliability: We do not agree with the statement that the method does not work well for non-linear pro</w:t>
      </w:r>
      <w:r>
        <w:rPr>
          <w:color w:val="244061" w:themeColor="accent1" w:themeShade="80"/>
        </w:rPr>
        <w:t>d</w:t>
      </w:r>
      <w:r>
        <w:rPr>
          <w:color w:val="244061" w:themeColor="accent1" w:themeShade="80"/>
        </w:rPr>
        <w:t xml:space="preserve">ucts because the delta approach can also be applied to those. </w:t>
      </w:r>
    </w:p>
    <w:p w:rsidR="00E22B3C" w:rsidRPr="00AE0A76"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Default="00CA299F"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xml:space="preserve">- </w:t>
      </w:r>
      <w:r w:rsidR="00AE5D51" w:rsidRPr="00AE0A76">
        <w:rPr>
          <w:color w:val="244061" w:themeColor="accent1" w:themeShade="80"/>
        </w:rPr>
        <w:t xml:space="preserve">Lack of </w:t>
      </w:r>
      <w:r>
        <w:rPr>
          <w:color w:val="244061" w:themeColor="accent1" w:themeShade="80"/>
        </w:rPr>
        <w:t xml:space="preserve">academic or theoretical </w:t>
      </w:r>
      <w:r w:rsidR="00AE5D51" w:rsidRPr="00AE0A76">
        <w:rPr>
          <w:color w:val="244061" w:themeColor="accent1" w:themeShade="80"/>
        </w:rPr>
        <w:t xml:space="preserve">support: </w:t>
      </w:r>
      <w:r>
        <w:rPr>
          <w:color w:val="244061" w:themeColor="accent1" w:themeShade="80"/>
        </w:rPr>
        <w:t xml:space="preserve">this has not prevented the choice of such volatility-based model for </w:t>
      </w:r>
      <w:r w:rsidR="00AE5D51" w:rsidRPr="00AE0A76">
        <w:rPr>
          <w:color w:val="244061" w:themeColor="accent1" w:themeShade="80"/>
        </w:rPr>
        <w:t xml:space="preserve">UCITS </w:t>
      </w:r>
      <w:r>
        <w:rPr>
          <w:color w:val="244061" w:themeColor="accent1" w:themeShade="80"/>
        </w:rPr>
        <w:t>(CESR 10-673)</w:t>
      </w:r>
      <w:r w:rsidR="00B07151">
        <w:rPr>
          <w:color w:val="244061" w:themeColor="accent1" w:themeShade="80"/>
        </w:rPr>
        <w:t>. Volatility is concept w</w:t>
      </w:r>
      <w:r w:rsidR="00AE5D51" w:rsidRPr="00AE0A76">
        <w:rPr>
          <w:color w:val="244061" w:themeColor="accent1" w:themeShade="80"/>
        </w:rPr>
        <w:t xml:space="preserve">idely </w:t>
      </w:r>
      <w:r>
        <w:rPr>
          <w:color w:val="244061" w:themeColor="accent1" w:themeShade="80"/>
        </w:rPr>
        <w:t xml:space="preserve">used </w:t>
      </w:r>
      <w:r w:rsidR="00AE5D51" w:rsidRPr="00AE0A76">
        <w:rPr>
          <w:color w:val="244061" w:themeColor="accent1" w:themeShade="80"/>
        </w:rPr>
        <w:t xml:space="preserve">and well-documented </w:t>
      </w:r>
      <w:r w:rsidR="00B07151">
        <w:rPr>
          <w:color w:val="244061" w:themeColor="accent1" w:themeShade="80"/>
        </w:rPr>
        <w:t>in finance</w:t>
      </w:r>
      <w:r w:rsidR="00AE5D51" w:rsidRPr="00AE0A76">
        <w:rPr>
          <w:color w:val="244061" w:themeColor="accent1" w:themeShade="80"/>
        </w:rPr>
        <w:t>.</w:t>
      </w:r>
    </w:p>
    <w:p w:rsidR="00E22B3C" w:rsidRPr="00AE0A76"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Pr="00AE0A76" w:rsidRDefault="00CA299F"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AMAFI does not agree that robustness is a weakness of option</w:t>
      </w:r>
      <w:r w:rsidR="00BB7329">
        <w:rPr>
          <w:color w:val="244061" w:themeColor="accent1" w:themeShade="80"/>
        </w:rPr>
        <w:t xml:space="preserve"> </w:t>
      </w:r>
      <w:r>
        <w:rPr>
          <w:color w:val="244061" w:themeColor="accent1" w:themeShade="80"/>
        </w:rPr>
        <w:t>2. On the contrary, it is one of its adva</w:t>
      </w:r>
      <w:r>
        <w:rPr>
          <w:color w:val="244061" w:themeColor="accent1" w:themeShade="80"/>
        </w:rPr>
        <w:t>n</w:t>
      </w:r>
      <w:r>
        <w:rPr>
          <w:color w:val="244061" w:themeColor="accent1" w:themeShade="80"/>
        </w:rPr>
        <w:t>tages:</w:t>
      </w:r>
      <w:r w:rsidR="00AE5D51" w:rsidRPr="00AE0A76">
        <w:rPr>
          <w:color w:val="244061" w:themeColor="accent1" w:themeShade="80"/>
        </w:rPr>
        <w:t xml:space="preserve"> </w:t>
      </w:r>
    </w:p>
    <w:p w:rsidR="00BB7329"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a. C</w:t>
      </w:r>
      <w:r w:rsidR="00AE5D51" w:rsidRPr="00AE0A76">
        <w:rPr>
          <w:color w:val="244061" w:themeColor="accent1" w:themeShade="80"/>
        </w:rPr>
        <w:t>orrelation is taken into account</w:t>
      </w:r>
      <w:r w:rsidR="00CA299F">
        <w:rPr>
          <w:color w:val="244061" w:themeColor="accent1" w:themeShade="80"/>
        </w:rPr>
        <w:t xml:space="preserve"> by the model</w:t>
      </w:r>
      <w:r w:rsidR="00BB7329">
        <w:rPr>
          <w:color w:val="244061" w:themeColor="accent1" w:themeShade="80"/>
        </w:rPr>
        <w:t xml:space="preserve"> as follows:</w:t>
      </w:r>
    </w:p>
    <w:p w:rsidR="00AE5D51" w:rsidRPr="00AE0A76" w:rsidRDefault="00AE5D51" w:rsidP="00BB7329">
      <w:pPr>
        <w:pBdr>
          <w:top w:val="single" w:sz="4" w:space="1" w:color="auto"/>
          <w:left w:val="single" w:sz="4" w:space="4" w:color="auto"/>
          <w:bottom w:val="single" w:sz="4" w:space="1" w:color="auto"/>
          <w:right w:val="single" w:sz="4" w:space="4" w:color="auto"/>
        </w:pBdr>
        <w:shd w:val="clear" w:color="auto" w:fill="D9D9D9"/>
        <w:ind w:firstLine="709"/>
        <w:jc w:val="both"/>
        <w:rPr>
          <w:color w:val="244061" w:themeColor="accent1" w:themeShade="80"/>
        </w:rPr>
      </w:pPr>
      <w:r w:rsidRPr="00AE0A76">
        <w:rPr>
          <w:color w:val="244061" w:themeColor="accent1" w:themeShade="80"/>
        </w:rPr>
        <w:t>For a single asset_1</w:t>
      </w:r>
      <w:r w:rsidR="00BB7329">
        <w:rPr>
          <w:color w:val="244061" w:themeColor="accent1" w:themeShade="80"/>
        </w:rPr>
        <w:t xml:space="preserve">, </w:t>
      </w:r>
      <w:r w:rsidRPr="00AE0A76">
        <w:rPr>
          <w:color w:val="244061" w:themeColor="accent1" w:themeShade="80"/>
        </w:rPr>
        <w:t xml:space="preserve">Risky Component Risk Contribution = Capital at Risk x </w:t>
      </w:r>
      <w:proofErr w:type="gramStart"/>
      <w:r w:rsidRPr="00AE0A76">
        <w:rPr>
          <w:color w:val="244061" w:themeColor="accent1" w:themeShade="80"/>
        </w:rPr>
        <w:t>Delta(</w:t>
      </w:r>
      <w:proofErr w:type="gramEnd"/>
      <w:r w:rsidRPr="00AE0A76">
        <w:rPr>
          <w:color w:val="244061" w:themeColor="accent1" w:themeShade="80"/>
        </w:rPr>
        <w:t>1) x Volati</w:t>
      </w:r>
      <w:r w:rsidRPr="00AE0A76">
        <w:rPr>
          <w:color w:val="244061" w:themeColor="accent1" w:themeShade="80"/>
        </w:rPr>
        <w:t>l</w:t>
      </w:r>
      <w:r w:rsidRPr="00AE0A76">
        <w:rPr>
          <w:color w:val="244061" w:themeColor="accent1" w:themeShade="80"/>
        </w:rPr>
        <w:t xml:space="preserve">ity(1) </w:t>
      </w:r>
    </w:p>
    <w:p w:rsidR="00BB7329"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Default="00AE5D51" w:rsidP="00BB7329">
      <w:pPr>
        <w:pBdr>
          <w:top w:val="single" w:sz="4" w:space="1" w:color="auto"/>
          <w:left w:val="single" w:sz="4" w:space="4" w:color="auto"/>
          <w:bottom w:val="single" w:sz="4" w:space="1" w:color="auto"/>
          <w:right w:val="single" w:sz="4" w:space="4" w:color="auto"/>
        </w:pBdr>
        <w:shd w:val="clear" w:color="auto" w:fill="D9D9D9"/>
        <w:ind w:firstLine="709"/>
        <w:jc w:val="both"/>
        <w:rPr>
          <w:color w:val="244061" w:themeColor="accent1" w:themeShade="80"/>
        </w:rPr>
      </w:pPr>
      <w:r w:rsidRPr="00AE0A76">
        <w:rPr>
          <w:color w:val="244061" w:themeColor="accent1" w:themeShade="80"/>
        </w:rPr>
        <w:t xml:space="preserve">And for multiple assets, </w:t>
      </w:r>
      <w:r w:rsidRPr="00AE5D51">
        <w:rPr>
          <w:color w:val="244061" w:themeColor="accent1" w:themeShade="80"/>
        </w:rPr>
        <w:t xml:space="preserve">Risky Component Risk Contribution = Capital at Risk x </w:t>
      </w:r>
      <w:proofErr w:type="spellStart"/>
      <w:r w:rsidRPr="00AE5D51">
        <w:rPr>
          <w:color w:val="244061" w:themeColor="accent1" w:themeShade="80"/>
        </w:rPr>
        <w:t>Sqrt</w:t>
      </w:r>
      <w:proofErr w:type="spellEnd"/>
      <w:r w:rsidRPr="00AE5D51">
        <w:rPr>
          <w:color w:val="244061" w:themeColor="accent1" w:themeShade="80"/>
        </w:rPr>
        <w:t xml:space="preserve">[ Sum{ </w:t>
      </w:r>
      <w:proofErr w:type="spellStart"/>
      <w:r w:rsidRPr="00AE5D51">
        <w:rPr>
          <w:color w:val="244061" w:themeColor="accent1" w:themeShade="80"/>
        </w:rPr>
        <w:t>i</w:t>
      </w:r>
      <w:proofErr w:type="spellEnd"/>
      <w:r w:rsidRPr="00AE5D51">
        <w:rPr>
          <w:color w:val="244061" w:themeColor="accent1" w:themeShade="80"/>
        </w:rPr>
        <w:t>=1,...,N,  Sum( j=1,...,N  Delta(</w:t>
      </w:r>
      <w:proofErr w:type="spellStart"/>
      <w:r w:rsidRPr="00AE5D51">
        <w:rPr>
          <w:color w:val="244061" w:themeColor="accent1" w:themeShade="80"/>
        </w:rPr>
        <w:t>i</w:t>
      </w:r>
      <w:proofErr w:type="spellEnd"/>
      <w:r w:rsidRPr="00AE5D51">
        <w:rPr>
          <w:color w:val="244061" w:themeColor="accent1" w:themeShade="80"/>
        </w:rPr>
        <w:t>) x Delta(j) x Covariance(</w:t>
      </w:r>
      <w:proofErr w:type="spellStart"/>
      <w:r w:rsidRPr="00AE5D51">
        <w:rPr>
          <w:color w:val="244061" w:themeColor="accent1" w:themeShade="80"/>
        </w:rPr>
        <w:t>i,j</w:t>
      </w:r>
      <w:proofErr w:type="spellEnd"/>
      <w:r w:rsidRPr="00AE5D51">
        <w:rPr>
          <w:color w:val="244061" w:themeColor="accent1" w:themeShade="80"/>
        </w:rPr>
        <w:t xml:space="preserve">) ) } ] </w:t>
      </w:r>
    </w:p>
    <w:p w:rsidR="00BB7329" w:rsidRPr="00AE5D51" w:rsidRDefault="00BB7329" w:rsidP="00BB7329">
      <w:pPr>
        <w:pBdr>
          <w:top w:val="single" w:sz="4" w:space="1" w:color="auto"/>
          <w:left w:val="single" w:sz="4" w:space="4" w:color="auto"/>
          <w:bottom w:val="single" w:sz="4" w:space="1" w:color="auto"/>
          <w:right w:val="single" w:sz="4" w:space="4" w:color="auto"/>
        </w:pBdr>
        <w:shd w:val="clear" w:color="auto" w:fill="D9D9D9"/>
        <w:ind w:firstLine="709"/>
        <w:jc w:val="both"/>
        <w:rPr>
          <w:color w:val="244061" w:themeColor="accent1" w:themeShade="80"/>
        </w:rPr>
      </w:pPr>
    </w:p>
    <w:p w:rsidR="00AE5D51" w:rsidRPr="00AE5D51" w:rsidRDefault="00AE5D51"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AE5D51">
        <w:rPr>
          <w:color w:val="244061" w:themeColor="accent1" w:themeShade="80"/>
        </w:rPr>
        <w:t xml:space="preserve">b. Delta is easy to </w:t>
      </w:r>
      <w:r w:rsidR="00BB7329">
        <w:rPr>
          <w:color w:val="244061" w:themeColor="accent1" w:themeShade="80"/>
        </w:rPr>
        <w:t>verify</w:t>
      </w:r>
      <w:r w:rsidRPr="00AE5D51">
        <w:rPr>
          <w:color w:val="244061" w:themeColor="accent1" w:themeShade="80"/>
        </w:rPr>
        <w:t xml:space="preserve"> and is homogeneous between issuers </w:t>
      </w:r>
    </w:p>
    <w:p w:rsidR="00AE5D51" w:rsidRPr="00AE5D51" w:rsidRDefault="00AE5D51"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AE5D51">
        <w:rPr>
          <w:color w:val="244061" w:themeColor="accent1" w:themeShade="80"/>
        </w:rPr>
        <w:t xml:space="preserve">c. </w:t>
      </w:r>
      <w:r w:rsidR="00BB7329">
        <w:rPr>
          <w:color w:val="244061" w:themeColor="accent1" w:themeShade="80"/>
        </w:rPr>
        <w:t>The model</w:t>
      </w:r>
      <w:r w:rsidRPr="00AE5D51">
        <w:rPr>
          <w:color w:val="244061" w:themeColor="accent1" w:themeShade="80"/>
        </w:rPr>
        <w:t xml:space="preserve"> leads to very consistent results for products purchased in the secondary market.</w:t>
      </w:r>
    </w:p>
    <w:p w:rsidR="00BB7329"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Pr="00AE5D51"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In summary</w:t>
      </w:r>
      <w:r w:rsidR="00AE5D51" w:rsidRPr="00AE5D51">
        <w:rPr>
          <w:color w:val="244061" w:themeColor="accent1" w:themeShade="80"/>
        </w:rPr>
        <w:t>, th</w:t>
      </w:r>
      <w:r>
        <w:rPr>
          <w:color w:val="244061" w:themeColor="accent1" w:themeShade="80"/>
        </w:rPr>
        <w:t>is</w:t>
      </w:r>
      <w:r w:rsidR="00AE5D51" w:rsidRPr="00AE5D51">
        <w:rPr>
          <w:color w:val="244061" w:themeColor="accent1" w:themeShade="80"/>
        </w:rPr>
        <w:t xml:space="preserve"> method based on volatility indeed neglects certain factors (it is a </w:t>
      </w:r>
      <w:r>
        <w:rPr>
          <w:color w:val="244061" w:themeColor="accent1" w:themeShade="80"/>
        </w:rPr>
        <w:t>first</w:t>
      </w:r>
      <w:r w:rsidR="00AE5D51" w:rsidRPr="00AE5D51">
        <w:rPr>
          <w:color w:val="244061" w:themeColor="accent1" w:themeShade="80"/>
        </w:rPr>
        <w:t xml:space="preserve"> order approxim</w:t>
      </w:r>
      <w:r w:rsidR="00AE5D51" w:rsidRPr="00AE5D51">
        <w:rPr>
          <w:color w:val="244061" w:themeColor="accent1" w:themeShade="80"/>
        </w:rPr>
        <w:t>a</w:t>
      </w:r>
      <w:r w:rsidR="00AE5D51" w:rsidRPr="00AE5D51">
        <w:rPr>
          <w:color w:val="244061" w:themeColor="accent1" w:themeShade="80"/>
        </w:rPr>
        <w:t xml:space="preserve">tion). However, </w:t>
      </w:r>
      <w:r>
        <w:rPr>
          <w:color w:val="244061" w:themeColor="accent1" w:themeShade="80"/>
        </w:rPr>
        <w:t>it</w:t>
      </w:r>
      <w:r w:rsidR="00AE5D51" w:rsidRPr="00AE5D51">
        <w:rPr>
          <w:color w:val="244061" w:themeColor="accent1" w:themeShade="80"/>
        </w:rPr>
        <w:t xml:space="preserve"> is very close to a full valuation approach. </w:t>
      </w:r>
      <w:r>
        <w:rPr>
          <w:color w:val="244061" w:themeColor="accent1" w:themeShade="80"/>
        </w:rPr>
        <w:t>Hence,</w:t>
      </w:r>
      <w:r w:rsidR="00AE5D51" w:rsidRPr="00AE5D51">
        <w:rPr>
          <w:color w:val="244061" w:themeColor="accent1" w:themeShade="80"/>
        </w:rPr>
        <w:t xml:space="preserve"> the gain this method offers in terms of simplicity and ease of implementation (in particular given the variety of PRIIPs) widely exceeds</w:t>
      </w:r>
      <w:r>
        <w:rPr>
          <w:color w:val="244061" w:themeColor="accent1" w:themeShade="80"/>
        </w:rPr>
        <w:t xml:space="preserve"> in AMAFI’s view</w:t>
      </w:r>
      <w:r w:rsidR="00AE5D51" w:rsidRPr="00AE5D51">
        <w:rPr>
          <w:color w:val="244061" w:themeColor="accent1" w:themeShade="80"/>
        </w:rPr>
        <w:t xml:space="preserve"> the disadvantages that certain risk factors are not totally accounted for.</w:t>
      </w:r>
    </w:p>
    <w:p w:rsidR="00BB7329"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BB7329"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u w:val="single"/>
        </w:rPr>
        <w:t>Other a</w:t>
      </w:r>
      <w:r w:rsidR="00847664">
        <w:rPr>
          <w:color w:val="244061" w:themeColor="accent1" w:themeShade="80"/>
          <w:u w:val="single"/>
        </w:rPr>
        <w:t>dvantages of the method</w:t>
      </w:r>
      <w:r>
        <w:rPr>
          <w:color w:val="244061" w:themeColor="accent1" w:themeShade="80"/>
          <w:u w:val="single"/>
        </w:rPr>
        <w:t>,</w:t>
      </w:r>
      <w:r w:rsidR="00847664">
        <w:rPr>
          <w:color w:val="244061" w:themeColor="accent1" w:themeShade="80"/>
          <w:u w:val="single"/>
        </w:rPr>
        <w:t xml:space="preserve"> </w:t>
      </w:r>
      <w:r w:rsidR="00BB7329" w:rsidRPr="00847664">
        <w:rPr>
          <w:color w:val="244061" w:themeColor="accent1" w:themeShade="80"/>
          <w:u w:val="single"/>
        </w:rPr>
        <w:t>not listed in the TDP, are the following</w:t>
      </w:r>
      <w:r w:rsidR="00BB7329">
        <w:rPr>
          <w:color w:val="244061" w:themeColor="accent1" w:themeShade="80"/>
        </w:rPr>
        <w:t>:</w:t>
      </w:r>
    </w:p>
    <w:p w:rsidR="00847664" w:rsidRDefault="00847664"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Comparability: this o</w:t>
      </w:r>
      <w:r w:rsidR="00AE5D51" w:rsidRPr="00AE5D51">
        <w:rPr>
          <w:color w:val="244061" w:themeColor="accent1" w:themeShade="80"/>
        </w:rPr>
        <w:t>ption can be applied to all products cover</w:t>
      </w:r>
      <w:r>
        <w:rPr>
          <w:color w:val="244061" w:themeColor="accent1" w:themeShade="80"/>
        </w:rPr>
        <w:t>ed by PRIIPS as it combines a "</w:t>
      </w:r>
      <w:r w:rsidR="00AE5D51" w:rsidRPr="00AE5D51">
        <w:rPr>
          <w:color w:val="244061" w:themeColor="accent1" w:themeShade="80"/>
        </w:rPr>
        <w:t>bond com</w:t>
      </w:r>
      <w:r>
        <w:rPr>
          <w:color w:val="244061" w:themeColor="accent1" w:themeShade="80"/>
        </w:rPr>
        <w:t>ponent"</w:t>
      </w:r>
      <w:r w:rsidR="00AE5D51" w:rsidRPr="00AE5D51">
        <w:rPr>
          <w:color w:val="244061" w:themeColor="accent1" w:themeShade="80"/>
        </w:rPr>
        <w:t xml:space="preserve"> and a "risky component”. It </w:t>
      </w:r>
      <w:r>
        <w:rPr>
          <w:color w:val="244061" w:themeColor="accent1" w:themeShade="80"/>
        </w:rPr>
        <w:t>provides for a level</w:t>
      </w:r>
      <w:r w:rsidR="00AE5D51" w:rsidRPr="00AE5D51">
        <w:rPr>
          <w:color w:val="244061" w:themeColor="accent1" w:themeShade="80"/>
        </w:rPr>
        <w:t xml:space="preserve"> playing field between funds and structured products on </w:t>
      </w:r>
      <w:r>
        <w:rPr>
          <w:color w:val="244061" w:themeColor="accent1" w:themeShade="80"/>
        </w:rPr>
        <w:t>f</w:t>
      </w:r>
      <w:r w:rsidR="00AE5D51" w:rsidRPr="00AE5D51">
        <w:rPr>
          <w:color w:val="244061" w:themeColor="accent1" w:themeShade="80"/>
        </w:rPr>
        <w:t xml:space="preserve">unds </w:t>
      </w:r>
      <w:r>
        <w:rPr>
          <w:color w:val="244061" w:themeColor="accent1" w:themeShade="80"/>
        </w:rPr>
        <w:t>contrary to</w:t>
      </w:r>
      <w:r w:rsidR="00AE5D51" w:rsidRPr="00AE5D51">
        <w:rPr>
          <w:color w:val="244061" w:themeColor="accent1" w:themeShade="80"/>
        </w:rPr>
        <w:t xml:space="preserve"> </w:t>
      </w:r>
      <w:r>
        <w:rPr>
          <w:color w:val="244061" w:themeColor="accent1" w:themeShade="80"/>
        </w:rPr>
        <w:t>option 1</w:t>
      </w:r>
      <w:r w:rsidR="00AE5D51" w:rsidRPr="00AE5D51">
        <w:rPr>
          <w:color w:val="244061" w:themeColor="accent1" w:themeShade="80"/>
        </w:rPr>
        <w:t xml:space="preserve">. </w:t>
      </w:r>
    </w:p>
    <w:p w:rsidR="00E22B3C" w:rsidRPr="00AE5D51"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AE5D51"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w:t>
      </w:r>
      <w:r w:rsidR="00AE5D51" w:rsidRPr="00AE5D51">
        <w:rPr>
          <w:color w:val="244061" w:themeColor="accent1" w:themeShade="80"/>
        </w:rPr>
        <w:t xml:space="preserve"> Supervision</w:t>
      </w:r>
      <w:r>
        <w:rPr>
          <w:color w:val="244061" w:themeColor="accent1" w:themeShade="80"/>
        </w:rPr>
        <w:t>: there is no barrier</w:t>
      </w:r>
      <w:r w:rsidR="00AE5D51" w:rsidRPr="00AE5D51">
        <w:rPr>
          <w:color w:val="244061" w:themeColor="accent1" w:themeShade="80"/>
        </w:rPr>
        <w:t xml:space="preserve"> to entry for </w:t>
      </w:r>
      <w:r>
        <w:rPr>
          <w:color w:val="244061" w:themeColor="accent1" w:themeShade="80"/>
        </w:rPr>
        <w:t>national competent authorities</w:t>
      </w:r>
      <w:r w:rsidR="00AE5D51" w:rsidRPr="00AE5D51">
        <w:rPr>
          <w:color w:val="244061" w:themeColor="accent1" w:themeShade="80"/>
        </w:rPr>
        <w:t xml:space="preserve"> or independent valuation companies to perform an external control of the indicator computed by manufacturers (all independent valuation companies are able to compute delta and historical volatility at no extra cost) </w:t>
      </w:r>
    </w:p>
    <w:p w:rsidR="00E22B3C" w:rsidRPr="00AE5D51" w:rsidRDefault="00E22B3C"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E327B7" w:rsidRPr="00AE0A76" w:rsidRDefault="00BB7329" w:rsidP="00AE5D51">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Discriminatory: t</w:t>
      </w:r>
      <w:r w:rsidR="00AE5D51" w:rsidRPr="00AE5D51">
        <w:rPr>
          <w:color w:val="244061" w:themeColor="accent1" w:themeShade="80"/>
        </w:rPr>
        <w:t xml:space="preserve">esting results </w:t>
      </w:r>
      <w:r w:rsidR="009C58C7" w:rsidRPr="00AE5D51">
        <w:rPr>
          <w:color w:val="244061" w:themeColor="accent1" w:themeShade="80"/>
        </w:rPr>
        <w:t xml:space="preserve">show that </w:t>
      </w:r>
      <w:r w:rsidR="009C58C7">
        <w:rPr>
          <w:color w:val="244061" w:themeColor="accent1" w:themeShade="80"/>
        </w:rPr>
        <w:t>o</w:t>
      </w:r>
      <w:r w:rsidR="009C58C7" w:rsidRPr="00AE5D51">
        <w:rPr>
          <w:color w:val="244061" w:themeColor="accent1" w:themeShade="80"/>
        </w:rPr>
        <w:t>ption 2 provides discriminatory results on a wide sample of products</w:t>
      </w:r>
      <w:r w:rsidR="009C58C7">
        <w:rPr>
          <w:color w:val="244061" w:themeColor="accent1" w:themeShade="80"/>
        </w:rPr>
        <w:t>. We keep these results at the disposal of the Joint Committee should it be willing to examine them.</w:t>
      </w:r>
    </w:p>
    <w:permEnd w:id="18"/>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A94681" w:rsidRDefault="00A94681" w:rsidP="00796EA2">
      <w:pPr>
        <w:pBdr>
          <w:top w:val="single" w:sz="4" w:space="1" w:color="auto"/>
          <w:left w:val="single" w:sz="4" w:space="4" w:color="auto"/>
          <w:bottom w:val="single" w:sz="4" w:space="1" w:color="auto"/>
          <w:right w:val="single" w:sz="4" w:space="4" w:color="auto"/>
        </w:pBdr>
        <w:shd w:val="clear" w:color="auto" w:fill="D9D9D9"/>
        <w:tabs>
          <w:tab w:val="left" w:pos="5770"/>
        </w:tabs>
        <w:rPr>
          <w:color w:val="244061" w:themeColor="accent1" w:themeShade="80"/>
        </w:rPr>
      </w:pPr>
      <w:permStart w:id="19" w:edGrp="everyone"/>
      <w:r w:rsidRPr="00AE0A76">
        <w:rPr>
          <w:color w:val="244061" w:themeColor="accent1" w:themeShade="80"/>
        </w:rPr>
        <w:t xml:space="preserve">Option 3 is </w:t>
      </w:r>
      <w:r w:rsidR="00796EA2">
        <w:rPr>
          <w:color w:val="244061" w:themeColor="accent1" w:themeShade="80"/>
        </w:rPr>
        <w:t>our second best option after option 2.</w:t>
      </w:r>
    </w:p>
    <w:p w:rsidR="00A94681" w:rsidRPr="00AE0A76" w:rsidRDefault="00796EA2"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Pr>
          <w:color w:val="244061" w:themeColor="accent1" w:themeShade="80"/>
        </w:rPr>
        <w:t>AMAFI</w:t>
      </w:r>
      <w:r w:rsidR="00A94681" w:rsidRPr="00AE0A76">
        <w:rPr>
          <w:color w:val="244061" w:themeColor="accent1" w:themeShade="80"/>
        </w:rPr>
        <w:t xml:space="preserve"> agree</w:t>
      </w:r>
      <w:r>
        <w:rPr>
          <w:color w:val="244061" w:themeColor="accent1" w:themeShade="80"/>
        </w:rPr>
        <w:t>s</w:t>
      </w:r>
      <w:r w:rsidR="00A94681" w:rsidRPr="00AE0A76">
        <w:rPr>
          <w:color w:val="244061" w:themeColor="accent1" w:themeShade="80"/>
        </w:rPr>
        <w:t xml:space="preserve"> with the list of disadvantages</w:t>
      </w:r>
      <w:r w:rsidR="007452E6">
        <w:rPr>
          <w:color w:val="244061" w:themeColor="accent1" w:themeShade="80"/>
        </w:rPr>
        <w:t xml:space="preserve"> of this option</w:t>
      </w:r>
      <w:r w:rsidR="00A94681" w:rsidRPr="00AE0A76">
        <w:rPr>
          <w:color w:val="244061" w:themeColor="accent1" w:themeShade="80"/>
        </w:rPr>
        <w:t xml:space="preserve"> </w:t>
      </w:r>
      <w:r>
        <w:rPr>
          <w:color w:val="244061" w:themeColor="accent1" w:themeShade="80"/>
        </w:rPr>
        <w:t>listed in the TDP</w:t>
      </w:r>
      <w:r w:rsidR="00A94681" w:rsidRPr="00AE0A76">
        <w:rPr>
          <w:color w:val="244061" w:themeColor="accent1" w:themeShade="80"/>
        </w:rPr>
        <w:t xml:space="preserve"> and </w:t>
      </w:r>
      <w:r>
        <w:rPr>
          <w:color w:val="244061" w:themeColor="accent1" w:themeShade="80"/>
        </w:rPr>
        <w:t>considers</w:t>
      </w:r>
      <w:r w:rsidR="00A94681" w:rsidRPr="00AE0A76">
        <w:rPr>
          <w:color w:val="244061" w:themeColor="accent1" w:themeShade="80"/>
        </w:rPr>
        <w:t xml:space="preserve"> that they far ou</w:t>
      </w:r>
      <w:r w:rsidR="00A94681">
        <w:rPr>
          <w:color w:val="244061" w:themeColor="accent1" w:themeShade="80"/>
        </w:rPr>
        <w:t xml:space="preserve">tweigh </w:t>
      </w:r>
      <w:r>
        <w:rPr>
          <w:color w:val="244061" w:themeColor="accent1" w:themeShade="80"/>
        </w:rPr>
        <w:t>its</w:t>
      </w:r>
      <w:r w:rsidR="00A94681">
        <w:rPr>
          <w:color w:val="244061" w:themeColor="accent1" w:themeShade="80"/>
        </w:rPr>
        <w:t xml:space="preserve"> potential benefits. </w:t>
      </w:r>
    </w:p>
    <w:p w:rsidR="00A94681" w:rsidRDefault="00A94681"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AE0A76">
        <w:rPr>
          <w:color w:val="244061" w:themeColor="accent1" w:themeShade="80"/>
        </w:rPr>
        <w:lastRenderedPageBreak/>
        <w:t xml:space="preserve">A measure based on 50% expected shortfall should be preferred over a measure based on </w:t>
      </w:r>
      <w:r w:rsidR="00135762">
        <w:rPr>
          <w:color w:val="244061" w:themeColor="accent1" w:themeShade="80"/>
        </w:rPr>
        <w:t xml:space="preserve">a </w:t>
      </w:r>
      <w:r w:rsidRPr="00AE0A76">
        <w:rPr>
          <w:color w:val="244061" w:themeColor="accent1" w:themeShade="80"/>
        </w:rPr>
        <w:t>lo</w:t>
      </w:r>
      <w:r>
        <w:rPr>
          <w:color w:val="244061" w:themeColor="accent1" w:themeShade="80"/>
        </w:rPr>
        <w:t>w perce</w:t>
      </w:r>
      <w:r>
        <w:rPr>
          <w:color w:val="244061" w:themeColor="accent1" w:themeShade="80"/>
        </w:rPr>
        <w:t>n</w:t>
      </w:r>
      <w:r w:rsidR="00135762">
        <w:rPr>
          <w:color w:val="244061" w:themeColor="accent1" w:themeShade="80"/>
        </w:rPr>
        <w:t>tile</w:t>
      </w:r>
      <w:r>
        <w:rPr>
          <w:color w:val="244061" w:themeColor="accent1" w:themeShade="80"/>
        </w:rPr>
        <w:t xml:space="preserve"> </w:t>
      </w:r>
      <w:proofErr w:type="spellStart"/>
      <w:r>
        <w:rPr>
          <w:color w:val="244061" w:themeColor="accent1" w:themeShade="80"/>
        </w:rPr>
        <w:t>VaR</w:t>
      </w:r>
      <w:proofErr w:type="spellEnd"/>
      <w:r>
        <w:rPr>
          <w:color w:val="244061" w:themeColor="accent1" w:themeShade="80"/>
        </w:rPr>
        <w:t xml:space="preserve"> </w:t>
      </w:r>
      <w:r w:rsidR="00796EA2">
        <w:rPr>
          <w:color w:val="244061" w:themeColor="accent1" w:themeShade="80"/>
        </w:rPr>
        <w:t xml:space="preserve">(95% or 99%) </w:t>
      </w:r>
      <w:r>
        <w:rPr>
          <w:color w:val="244061" w:themeColor="accent1" w:themeShade="80"/>
        </w:rPr>
        <w:t xml:space="preserve">as </w:t>
      </w:r>
      <w:r w:rsidRPr="00AE0A76">
        <w:rPr>
          <w:color w:val="244061" w:themeColor="accent1" w:themeShade="80"/>
        </w:rPr>
        <w:t xml:space="preserve">it </w:t>
      </w:r>
      <w:r w:rsidR="00135762">
        <w:rPr>
          <w:color w:val="244061" w:themeColor="accent1" w:themeShade="80"/>
        </w:rPr>
        <w:t>encompasses</w:t>
      </w:r>
      <w:r w:rsidRPr="00AE0A76">
        <w:rPr>
          <w:color w:val="244061" w:themeColor="accent1" w:themeShade="80"/>
        </w:rPr>
        <w:t xml:space="preserve"> more information about </w:t>
      </w:r>
      <w:r w:rsidR="00135762">
        <w:rPr>
          <w:color w:val="244061" w:themeColor="accent1" w:themeShade="80"/>
        </w:rPr>
        <w:t>the product’s</w:t>
      </w:r>
      <w:r w:rsidRPr="00AE0A76">
        <w:rPr>
          <w:color w:val="244061" w:themeColor="accent1" w:themeShade="80"/>
        </w:rPr>
        <w:t xml:space="preserve"> return distribution, which is crucial to ensure comparability among PRIIPs.</w:t>
      </w:r>
    </w:p>
    <w:p w:rsidR="00135762" w:rsidRPr="00AE0A76" w:rsidRDefault="00135762"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p>
    <w:p w:rsidR="00A94681" w:rsidRDefault="007452E6"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847664">
        <w:rPr>
          <w:color w:val="244061" w:themeColor="accent1" w:themeShade="80"/>
          <w:u w:val="single"/>
        </w:rPr>
        <w:t>As regards</w:t>
      </w:r>
      <w:r w:rsidR="00A94681" w:rsidRPr="00847664">
        <w:rPr>
          <w:color w:val="244061" w:themeColor="accent1" w:themeShade="80"/>
          <w:u w:val="single"/>
        </w:rPr>
        <w:t xml:space="preserve"> the advantages mentioned p</w:t>
      </w:r>
      <w:r w:rsidRPr="00847664">
        <w:rPr>
          <w:color w:val="244061" w:themeColor="accent1" w:themeShade="80"/>
          <w:u w:val="single"/>
        </w:rPr>
        <w:t xml:space="preserve">. </w:t>
      </w:r>
      <w:r w:rsidR="00A94681" w:rsidRPr="00847664">
        <w:rPr>
          <w:color w:val="244061" w:themeColor="accent1" w:themeShade="80"/>
          <w:u w:val="single"/>
        </w:rPr>
        <w:t>40</w:t>
      </w:r>
      <w:r w:rsidR="00A94681" w:rsidRPr="00AE0A76">
        <w:rPr>
          <w:color w:val="244061" w:themeColor="accent1" w:themeShade="80"/>
        </w:rPr>
        <w:t>:</w:t>
      </w:r>
    </w:p>
    <w:p w:rsidR="007452E6" w:rsidRDefault="007452E6"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p>
    <w:p w:rsidR="00A94681" w:rsidRPr="00A94681" w:rsidRDefault="007452E6"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Pr>
          <w:color w:val="244061" w:themeColor="accent1" w:themeShade="80"/>
        </w:rPr>
        <w:t>AMAFI</w:t>
      </w:r>
      <w:r w:rsidR="00A94681" w:rsidRPr="00A94681">
        <w:rPr>
          <w:color w:val="244061" w:themeColor="accent1" w:themeShade="80"/>
        </w:rPr>
        <w:t xml:space="preserve"> agree</w:t>
      </w:r>
      <w:r>
        <w:rPr>
          <w:color w:val="244061" w:themeColor="accent1" w:themeShade="80"/>
        </w:rPr>
        <w:t>s that</w:t>
      </w:r>
      <w:r w:rsidR="00A94681" w:rsidRPr="00A94681">
        <w:rPr>
          <w:color w:val="244061" w:themeColor="accent1" w:themeShade="80"/>
        </w:rPr>
        <w:t xml:space="preserve"> option 3 </w:t>
      </w:r>
      <w:r>
        <w:rPr>
          <w:color w:val="244061" w:themeColor="accent1" w:themeShade="80"/>
        </w:rPr>
        <w:t>is</w:t>
      </w:r>
      <w:r w:rsidR="00A94681" w:rsidRPr="00A94681">
        <w:rPr>
          <w:color w:val="244061" w:themeColor="accent1" w:themeShade="80"/>
        </w:rPr>
        <w:t xml:space="preserve"> applicable </w:t>
      </w:r>
      <w:r>
        <w:rPr>
          <w:color w:val="244061" w:themeColor="accent1" w:themeShade="80"/>
        </w:rPr>
        <w:t>to</w:t>
      </w:r>
      <w:r w:rsidR="00A94681" w:rsidRPr="00A94681">
        <w:rPr>
          <w:color w:val="244061" w:themeColor="accent1" w:themeShade="80"/>
        </w:rPr>
        <w:t xml:space="preserve"> a wide range of PRIIPs, give</w:t>
      </w:r>
      <w:r w:rsidR="00847664">
        <w:rPr>
          <w:color w:val="244061" w:themeColor="accent1" w:themeShade="80"/>
        </w:rPr>
        <w:t>s</w:t>
      </w:r>
      <w:r w:rsidR="00A94681" w:rsidRPr="00A94681">
        <w:rPr>
          <w:color w:val="244061" w:themeColor="accent1" w:themeShade="80"/>
        </w:rPr>
        <w:t xml:space="preserve"> reliable risk estimates, ensure</w:t>
      </w:r>
      <w:r w:rsidR="00847664">
        <w:rPr>
          <w:color w:val="244061" w:themeColor="accent1" w:themeShade="80"/>
        </w:rPr>
        <w:t>s</w:t>
      </w:r>
      <w:r w:rsidR="00A94681" w:rsidRPr="00A94681">
        <w:rPr>
          <w:color w:val="244061" w:themeColor="accent1" w:themeShade="80"/>
        </w:rPr>
        <w:t xml:space="preserve"> comparability, and ha</w:t>
      </w:r>
      <w:r w:rsidR="00847664">
        <w:rPr>
          <w:color w:val="244061" w:themeColor="accent1" w:themeShade="80"/>
        </w:rPr>
        <w:t xml:space="preserve">s </w:t>
      </w:r>
      <w:r w:rsidR="00A94681" w:rsidRPr="00A94681">
        <w:rPr>
          <w:color w:val="244061" w:themeColor="accent1" w:themeShade="80"/>
        </w:rPr>
        <w:t>a good discrimination power (</w:t>
      </w:r>
      <w:r w:rsidR="00847664">
        <w:rPr>
          <w:color w:val="244061" w:themeColor="accent1" w:themeShade="80"/>
        </w:rPr>
        <w:t>especially</w:t>
      </w:r>
      <w:r w:rsidR="00A94681" w:rsidRPr="00A94681">
        <w:rPr>
          <w:color w:val="244061" w:themeColor="accent1" w:themeShade="80"/>
        </w:rPr>
        <w:t xml:space="preserve"> with 50% ES </w:t>
      </w:r>
      <w:r w:rsidR="00847664">
        <w:rPr>
          <w:color w:val="244061" w:themeColor="accent1" w:themeShade="80"/>
        </w:rPr>
        <w:t>rather than</w:t>
      </w:r>
      <w:r w:rsidR="00A94681" w:rsidRPr="00A94681">
        <w:rPr>
          <w:color w:val="244061" w:themeColor="accent1" w:themeShade="80"/>
        </w:rPr>
        <w:t xml:space="preserve"> with 95% </w:t>
      </w:r>
      <w:proofErr w:type="spellStart"/>
      <w:r w:rsidR="00A94681" w:rsidRPr="00A94681">
        <w:rPr>
          <w:color w:val="244061" w:themeColor="accent1" w:themeShade="80"/>
        </w:rPr>
        <w:t>VaR</w:t>
      </w:r>
      <w:proofErr w:type="spellEnd"/>
      <w:r w:rsidR="00A94681" w:rsidRPr="00A94681">
        <w:rPr>
          <w:color w:val="244061" w:themeColor="accent1" w:themeShade="80"/>
        </w:rPr>
        <w:t xml:space="preserve">). However because of </w:t>
      </w:r>
      <w:r w:rsidR="00847664">
        <w:rPr>
          <w:color w:val="244061" w:themeColor="accent1" w:themeShade="80"/>
        </w:rPr>
        <w:t>its</w:t>
      </w:r>
      <w:r w:rsidR="00A94681" w:rsidRPr="00A94681">
        <w:rPr>
          <w:color w:val="244061" w:themeColor="accent1" w:themeShade="80"/>
        </w:rPr>
        <w:t xml:space="preserve"> complexity, </w:t>
      </w:r>
      <w:r w:rsidR="00847664">
        <w:rPr>
          <w:color w:val="244061" w:themeColor="accent1" w:themeShade="80"/>
        </w:rPr>
        <w:t>it</w:t>
      </w:r>
      <w:r w:rsidR="00A94681" w:rsidRPr="00A94681">
        <w:rPr>
          <w:color w:val="244061" w:themeColor="accent1" w:themeShade="80"/>
        </w:rPr>
        <w:t xml:space="preserve"> may not be as robust as</w:t>
      </w:r>
      <w:r w:rsidR="00847664">
        <w:rPr>
          <w:color w:val="244061" w:themeColor="accent1" w:themeShade="80"/>
        </w:rPr>
        <w:t xml:space="preserve"> option 2</w:t>
      </w:r>
      <w:r w:rsidR="00A94681" w:rsidRPr="00A94681">
        <w:rPr>
          <w:color w:val="244061" w:themeColor="accent1" w:themeShade="80"/>
        </w:rPr>
        <w:t xml:space="preserve">. Yet, a </w:t>
      </w:r>
      <w:proofErr w:type="spellStart"/>
      <w:r w:rsidR="00A94681" w:rsidRPr="00A94681">
        <w:rPr>
          <w:color w:val="244061" w:themeColor="accent1" w:themeShade="80"/>
        </w:rPr>
        <w:t>VaR</w:t>
      </w:r>
      <w:proofErr w:type="spellEnd"/>
      <w:r w:rsidR="00A94681" w:rsidRPr="00A94681">
        <w:rPr>
          <w:color w:val="244061" w:themeColor="accent1" w:themeShade="80"/>
        </w:rPr>
        <w:t xml:space="preserve"> ES is more robust than option 1.</w:t>
      </w:r>
    </w:p>
    <w:p w:rsidR="00847664" w:rsidRDefault="00847664"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p>
    <w:p w:rsidR="00A94681" w:rsidRDefault="00847664"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847664">
        <w:rPr>
          <w:color w:val="244061" w:themeColor="accent1" w:themeShade="80"/>
          <w:u w:val="single"/>
        </w:rPr>
        <w:t xml:space="preserve">As regards </w:t>
      </w:r>
      <w:r w:rsidR="00A94681" w:rsidRPr="00847664">
        <w:rPr>
          <w:color w:val="244061" w:themeColor="accent1" w:themeShade="80"/>
          <w:u w:val="single"/>
        </w:rPr>
        <w:t>the disadvantages mentioned p</w:t>
      </w:r>
      <w:r w:rsidRPr="00847664">
        <w:rPr>
          <w:color w:val="244061" w:themeColor="accent1" w:themeShade="80"/>
          <w:u w:val="single"/>
        </w:rPr>
        <w:t xml:space="preserve">. </w:t>
      </w:r>
      <w:r w:rsidR="00A94681" w:rsidRPr="00847664">
        <w:rPr>
          <w:color w:val="244061" w:themeColor="accent1" w:themeShade="80"/>
          <w:u w:val="single"/>
        </w:rPr>
        <w:t>40</w:t>
      </w:r>
      <w:r w:rsidR="00A94681" w:rsidRPr="00A94681">
        <w:rPr>
          <w:color w:val="244061" w:themeColor="accent1" w:themeShade="80"/>
        </w:rPr>
        <w:t>:</w:t>
      </w:r>
    </w:p>
    <w:p w:rsidR="00847664" w:rsidRPr="00A94681" w:rsidRDefault="00847664"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p>
    <w:p w:rsidR="00A94681" w:rsidRPr="00A94681" w:rsidRDefault="00A94681"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A94681">
        <w:rPr>
          <w:color w:val="244061" w:themeColor="accent1" w:themeShade="80"/>
        </w:rPr>
        <w:t xml:space="preserve">Because of </w:t>
      </w:r>
      <w:r w:rsidR="00847664">
        <w:rPr>
          <w:color w:val="244061" w:themeColor="accent1" w:themeShade="80"/>
        </w:rPr>
        <w:t>its</w:t>
      </w:r>
      <w:r w:rsidRPr="00A94681">
        <w:rPr>
          <w:color w:val="244061" w:themeColor="accent1" w:themeShade="80"/>
        </w:rPr>
        <w:t xml:space="preserve"> sophistication, option 3 </w:t>
      </w:r>
      <w:r w:rsidR="00137001">
        <w:rPr>
          <w:color w:val="244061" w:themeColor="accent1" w:themeShade="80"/>
        </w:rPr>
        <w:t>has</w:t>
      </w:r>
      <w:r w:rsidRPr="00A94681">
        <w:rPr>
          <w:color w:val="244061" w:themeColor="accent1" w:themeShade="80"/>
        </w:rPr>
        <w:t xml:space="preserve"> certain drawbacks:</w:t>
      </w:r>
    </w:p>
    <w:p w:rsidR="00831E25" w:rsidRPr="00A94681" w:rsidRDefault="00A94681"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A94681">
        <w:rPr>
          <w:color w:val="244061" w:themeColor="accent1" w:themeShade="80"/>
        </w:rPr>
        <w:t xml:space="preserve">- </w:t>
      </w:r>
      <w:r w:rsidR="00847664">
        <w:rPr>
          <w:color w:val="244061" w:themeColor="accent1" w:themeShade="80"/>
        </w:rPr>
        <w:t>Interpretation by investors</w:t>
      </w:r>
      <w:r w:rsidRPr="00A94681">
        <w:rPr>
          <w:color w:val="244061" w:themeColor="accent1" w:themeShade="80"/>
        </w:rPr>
        <w:t xml:space="preserve">: </w:t>
      </w:r>
      <w:r w:rsidR="00847664">
        <w:rPr>
          <w:color w:val="244061" w:themeColor="accent1" w:themeShade="80"/>
        </w:rPr>
        <w:t xml:space="preserve">a </w:t>
      </w:r>
      <w:r w:rsidRPr="00A94681">
        <w:rPr>
          <w:color w:val="244061" w:themeColor="accent1" w:themeShade="80"/>
        </w:rPr>
        <w:t xml:space="preserve">methodology based on probabilities of occurrence of extreme risks </w:t>
      </w:r>
      <w:r w:rsidR="00847664">
        <w:rPr>
          <w:color w:val="244061" w:themeColor="accent1" w:themeShade="80"/>
        </w:rPr>
        <w:t>is</w:t>
      </w:r>
      <w:r w:rsidRPr="00A94681">
        <w:rPr>
          <w:color w:val="244061" w:themeColor="accent1" w:themeShade="80"/>
        </w:rPr>
        <w:t xml:space="preserve"> pote</w:t>
      </w:r>
      <w:r w:rsidRPr="00A94681">
        <w:rPr>
          <w:color w:val="244061" w:themeColor="accent1" w:themeShade="80"/>
        </w:rPr>
        <w:t>n</w:t>
      </w:r>
      <w:r w:rsidRPr="00A94681">
        <w:rPr>
          <w:color w:val="244061" w:themeColor="accent1" w:themeShade="80"/>
        </w:rPr>
        <w:t>tially difficult for consumers to interpret correctly.</w:t>
      </w:r>
    </w:p>
    <w:p w:rsidR="00A94681" w:rsidRPr="00A94681" w:rsidRDefault="00A94681"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A94681">
        <w:rPr>
          <w:color w:val="244061" w:themeColor="accent1" w:themeShade="80"/>
        </w:rPr>
        <w:t xml:space="preserve">- </w:t>
      </w:r>
      <w:r w:rsidR="00847664">
        <w:rPr>
          <w:color w:val="244061" w:themeColor="accent1" w:themeShade="80"/>
        </w:rPr>
        <w:t>Implementation costs: the option would</w:t>
      </w:r>
      <w:r w:rsidRPr="00A94681">
        <w:rPr>
          <w:color w:val="244061" w:themeColor="accent1" w:themeShade="80"/>
        </w:rPr>
        <w:t xml:space="preserve"> </w:t>
      </w:r>
      <w:r w:rsidR="00847664">
        <w:rPr>
          <w:color w:val="244061" w:themeColor="accent1" w:themeShade="80"/>
        </w:rPr>
        <w:t>cause</w:t>
      </w:r>
      <w:r w:rsidRPr="00A94681">
        <w:rPr>
          <w:color w:val="244061" w:themeColor="accent1" w:themeShade="80"/>
        </w:rPr>
        <w:t xml:space="preserve"> </w:t>
      </w:r>
      <w:r w:rsidR="00847664">
        <w:rPr>
          <w:color w:val="244061" w:themeColor="accent1" w:themeShade="80"/>
        </w:rPr>
        <w:t>high</w:t>
      </w:r>
      <w:r w:rsidRPr="00A94681">
        <w:rPr>
          <w:color w:val="244061" w:themeColor="accent1" w:themeShade="80"/>
        </w:rPr>
        <w:t xml:space="preserve"> implementation costs both for manufacturers and for regulators to supervise. </w:t>
      </w:r>
      <w:r w:rsidR="00831E25">
        <w:rPr>
          <w:color w:val="244061" w:themeColor="accent1" w:themeShade="80"/>
        </w:rPr>
        <w:t>UCITS managers would bear high implementation costs, as the methodology they currently use would have to be changed. In addition</w:t>
      </w:r>
      <w:r w:rsidRPr="00A94681">
        <w:rPr>
          <w:color w:val="244061" w:themeColor="accent1" w:themeShade="80"/>
        </w:rPr>
        <w:t>, it is based on a wide range of data (vol</w:t>
      </w:r>
      <w:r w:rsidR="00847664">
        <w:rPr>
          <w:color w:val="244061" w:themeColor="accent1" w:themeShade="80"/>
        </w:rPr>
        <w:t>atility</w:t>
      </w:r>
      <w:r w:rsidRPr="00A94681">
        <w:rPr>
          <w:color w:val="244061" w:themeColor="accent1" w:themeShade="80"/>
        </w:rPr>
        <w:t>, div</w:t>
      </w:r>
      <w:r w:rsidR="00810709">
        <w:rPr>
          <w:color w:val="244061" w:themeColor="accent1" w:themeShade="80"/>
        </w:rPr>
        <w:t>i</w:t>
      </w:r>
      <w:r w:rsidR="00810709">
        <w:rPr>
          <w:color w:val="244061" w:themeColor="accent1" w:themeShade="80"/>
        </w:rPr>
        <w:t>dends</w:t>
      </w:r>
      <w:r w:rsidRPr="00A94681">
        <w:rPr>
          <w:color w:val="244061" w:themeColor="accent1" w:themeShade="80"/>
        </w:rPr>
        <w:t xml:space="preserve">, rates, correlations) which </w:t>
      </w:r>
      <w:r w:rsidR="00810709">
        <w:rPr>
          <w:color w:val="244061" w:themeColor="accent1" w:themeShade="80"/>
        </w:rPr>
        <w:t>entails (</w:t>
      </w:r>
      <w:proofErr w:type="spellStart"/>
      <w:r w:rsidR="00810709">
        <w:rPr>
          <w:color w:val="244061" w:themeColor="accent1" w:themeShade="80"/>
        </w:rPr>
        <w:t>i</w:t>
      </w:r>
      <w:proofErr w:type="spellEnd"/>
      <w:r w:rsidR="00810709">
        <w:rPr>
          <w:color w:val="244061" w:themeColor="accent1" w:themeShade="80"/>
        </w:rPr>
        <w:t xml:space="preserve">) access costs (ii) processing </w:t>
      </w:r>
      <w:r w:rsidR="00DE6996">
        <w:rPr>
          <w:color w:val="244061" w:themeColor="accent1" w:themeShade="80"/>
        </w:rPr>
        <w:t>capacity</w:t>
      </w:r>
      <w:r w:rsidRPr="00A94681">
        <w:rPr>
          <w:color w:val="244061" w:themeColor="accent1" w:themeShade="80"/>
        </w:rPr>
        <w:t xml:space="preserve"> (</w:t>
      </w:r>
      <w:r w:rsidR="00DE6996">
        <w:rPr>
          <w:color w:val="244061" w:themeColor="accent1" w:themeShade="80"/>
        </w:rPr>
        <w:t>ii</w:t>
      </w:r>
      <w:r w:rsidRPr="00A94681">
        <w:rPr>
          <w:color w:val="244061" w:themeColor="accent1" w:themeShade="80"/>
        </w:rPr>
        <w:t xml:space="preserve">i) </w:t>
      </w:r>
      <w:r w:rsidR="00847664">
        <w:rPr>
          <w:color w:val="244061" w:themeColor="accent1" w:themeShade="80"/>
        </w:rPr>
        <w:t xml:space="preserve">important </w:t>
      </w:r>
      <w:r w:rsidRPr="00A94681">
        <w:rPr>
          <w:color w:val="244061" w:themeColor="accent1" w:themeShade="80"/>
        </w:rPr>
        <w:t>storage</w:t>
      </w:r>
      <w:r w:rsidR="00847664">
        <w:rPr>
          <w:color w:val="244061" w:themeColor="accent1" w:themeShade="80"/>
        </w:rPr>
        <w:t xml:space="preserve"> capacity</w:t>
      </w:r>
      <w:r w:rsidRPr="00A94681">
        <w:rPr>
          <w:color w:val="244061" w:themeColor="accent1" w:themeShade="80"/>
        </w:rPr>
        <w:t xml:space="preserve"> </w:t>
      </w:r>
      <w:r w:rsidR="00DE6996">
        <w:rPr>
          <w:color w:val="244061" w:themeColor="accent1" w:themeShade="80"/>
        </w:rPr>
        <w:t xml:space="preserve">and </w:t>
      </w:r>
      <w:proofErr w:type="gramStart"/>
      <w:r w:rsidR="00DE6996">
        <w:rPr>
          <w:color w:val="244061" w:themeColor="accent1" w:themeShade="80"/>
        </w:rPr>
        <w:t>(iv</w:t>
      </w:r>
      <w:r w:rsidRPr="00A94681">
        <w:rPr>
          <w:color w:val="244061" w:themeColor="accent1" w:themeShade="80"/>
        </w:rPr>
        <w:t>) a</w:t>
      </w:r>
      <w:proofErr w:type="gramEnd"/>
      <w:r w:rsidRPr="00A94681">
        <w:rPr>
          <w:color w:val="244061" w:themeColor="accent1" w:themeShade="80"/>
        </w:rPr>
        <w:t xml:space="preserve"> robust audit trail. </w:t>
      </w:r>
      <w:r w:rsidR="00831E25">
        <w:rPr>
          <w:color w:val="244061" w:themeColor="accent1" w:themeShade="80"/>
        </w:rPr>
        <w:t>This option</w:t>
      </w:r>
      <w:r w:rsidRPr="00A94681">
        <w:rPr>
          <w:color w:val="244061" w:themeColor="accent1" w:themeShade="80"/>
        </w:rPr>
        <w:t xml:space="preserve"> can thus discriminat</w:t>
      </w:r>
      <w:r w:rsidR="00847664">
        <w:rPr>
          <w:color w:val="244061" w:themeColor="accent1" w:themeShade="80"/>
        </w:rPr>
        <w:t>e against</w:t>
      </w:r>
      <w:r w:rsidRPr="00A94681">
        <w:rPr>
          <w:color w:val="244061" w:themeColor="accent1" w:themeShade="80"/>
        </w:rPr>
        <w:t xml:space="preserve"> smaller PRIIPs producers</w:t>
      </w:r>
      <w:r w:rsidR="00847664">
        <w:rPr>
          <w:color w:val="244061" w:themeColor="accent1" w:themeShade="80"/>
        </w:rPr>
        <w:t xml:space="preserve"> who do not have the needed resources to implement </w:t>
      </w:r>
      <w:r w:rsidR="00DE6996">
        <w:rPr>
          <w:color w:val="244061" w:themeColor="accent1" w:themeShade="80"/>
        </w:rPr>
        <w:t xml:space="preserve">it. In addition, </w:t>
      </w:r>
      <w:r w:rsidRPr="00A94681">
        <w:rPr>
          <w:color w:val="244061" w:themeColor="accent1" w:themeShade="80"/>
        </w:rPr>
        <w:t xml:space="preserve">because the indicator </w:t>
      </w:r>
      <w:r w:rsidR="00847664">
        <w:rPr>
          <w:color w:val="244061" w:themeColor="accent1" w:themeShade="80"/>
        </w:rPr>
        <w:t>is</w:t>
      </w:r>
      <w:r w:rsidRPr="00A94681">
        <w:rPr>
          <w:color w:val="244061" w:themeColor="accent1" w:themeShade="80"/>
        </w:rPr>
        <w:t xml:space="preserve"> complex to compute, it may lead to the emergence of a business related to its calculation</w:t>
      </w:r>
      <w:r w:rsidR="00137001">
        <w:rPr>
          <w:color w:val="244061" w:themeColor="accent1" w:themeShade="80"/>
        </w:rPr>
        <w:t xml:space="preserve">, creating an external access cost borne by manufacturers. These two aspects would create a barrier to entry to manufacturing PRIIPs, which is not consistent with the aim to foster competition and provide a wide array of products to investors. </w:t>
      </w:r>
    </w:p>
    <w:p w:rsidR="00A94681" w:rsidRPr="00AE0A76" w:rsidRDefault="00A845AE" w:rsidP="00A94681">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Pr>
          <w:color w:val="244061" w:themeColor="accent1" w:themeShade="80"/>
        </w:rPr>
        <w:t>In any case, s</w:t>
      </w:r>
      <w:r w:rsidR="00A94681" w:rsidRPr="00A94681">
        <w:rPr>
          <w:color w:val="244061" w:themeColor="accent1" w:themeShade="80"/>
        </w:rPr>
        <w:t xml:space="preserve">hould </w:t>
      </w:r>
      <w:r>
        <w:rPr>
          <w:color w:val="244061" w:themeColor="accent1" w:themeShade="80"/>
        </w:rPr>
        <w:t>this option</w:t>
      </w:r>
      <w:r w:rsidR="00A94681" w:rsidRPr="00A94681">
        <w:rPr>
          <w:color w:val="244061" w:themeColor="accent1" w:themeShade="80"/>
        </w:rPr>
        <w:t xml:space="preserve"> be selected, </w:t>
      </w:r>
      <w:r>
        <w:rPr>
          <w:color w:val="244061" w:themeColor="accent1" w:themeShade="80"/>
        </w:rPr>
        <w:t xml:space="preserve">the methodology should be made available publically in a detailed enough manner and free of charge to allow </w:t>
      </w:r>
      <w:r w:rsidR="00A94681" w:rsidRPr="00A94681">
        <w:rPr>
          <w:color w:val="244061" w:themeColor="accent1" w:themeShade="80"/>
        </w:rPr>
        <w:t xml:space="preserve">manufacturers, especially smaller </w:t>
      </w:r>
      <w:r>
        <w:rPr>
          <w:color w:val="244061" w:themeColor="accent1" w:themeShade="80"/>
        </w:rPr>
        <w:t>ones, to use it</w:t>
      </w:r>
      <w:r w:rsidR="00A94681" w:rsidRPr="00A94681">
        <w:rPr>
          <w:color w:val="244061" w:themeColor="accent1" w:themeShade="80"/>
        </w:rPr>
        <w:t>.</w:t>
      </w:r>
    </w:p>
    <w:permEnd w:id="1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831E25" w:rsidRPr="004243D1" w:rsidRDefault="00831E25" w:rsidP="00831E25">
      <w:pPr>
        <w:pBdr>
          <w:top w:val="single" w:sz="4" w:space="1" w:color="auto"/>
          <w:left w:val="single" w:sz="4" w:space="3" w:color="auto"/>
          <w:bottom w:val="single" w:sz="4" w:space="1" w:color="auto"/>
          <w:right w:val="single" w:sz="4" w:space="4" w:color="auto"/>
        </w:pBdr>
        <w:shd w:val="clear" w:color="auto" w:fill="D9D9D9"/>
        <w:jc w:val="both"/>
        <w:rPr>
          <w:color w:val="244061" w:themeColor="accent1" w:themeShade="80"/>
        </w:rPr>
      </w:pPr>
      <w:permStart w:id="20" w:edGrp="everyone"/>
      <w:r>
        <w:rPr>
          <w:color w:val="244061" w:themeColor="accent1" w:themeShade="80"/>
        </w:rPr>
        <w:t>AMAFI</w:t>
      </w:r>
      <w:r w:rsidRPr="00AE0A76">
        <w:rPr>
          <w:color w:val="244061" w:themeColor="accent1" w:themeShade="80"/>
        </w:rPr>
        <w:t xml:space="preserve"> agree</w:t>
      </w:r>
      <w:r>
        <w:rPr>
          <w:color w:val="244061" w:themeColor="accent1" w:themeShade="80"/>
        </w:rPr>
        <w:t>s</w:t>
      </w:r>
      <w:r w:rsidRPr="00AE0A76">
        <w:rPr>
          <w:color w:val="244061" w:themeColor="accent1" w:themeShade="80"/>
        </w:rPr>
        <w:t xml:space="preserve"> that a forward looking model that uses the end of maturity as the default holding period is a g</w:t>
      </w:r>
      <w:r>
        <w:rPr>
          <w:color w:val="244061" w:themeColor="accent1" w:themeShade="80"/>
        </w:rPr>
        <w:t>ood alternative to option 3. Yet, option 2 would still be our preferred option</w:t>
      </w:r>
      <w:r w:rsidR="00C60957">
        <w:rPr>
          <w:color w:val="244061" w:themeColor="accent1" w:themeShade="80"/>
        </w:rPr>
        <w:t xml:space="preserve"> because its minor disa</w:t>
      </w:r>
      <w:r w:rsidR="00A845AE">
        <w:rPr>
          <w:color w:val="244061" w:themeColor="accent1" w:themeShade="80"/>
        </w:rPr>
        <w:t>d</w:t>
      </w:r>
      <w:r w:rsidR="00C60957">
        <w:rPr>
          <w:color w:val="244061" w:themeColor="accent1" w:themeShade="80"/>
        </w:rPr>
        <w:t>va</w:t>
      </w:r>
      <w:r w:rsidR="00C60957">
        <w:rPr>
          <w:color w:val="244061" w:themeColor="accent1" w:themeShade="80"/>
        </w:rPr>
        <w:t>n</w:t>
      </w:r>
      <w:r w:rsidR="00A845AE">
        <w:rPr>
          <w:color w:val="244061" w:themeColor="accent1" w:themeShade="80"/>
        </w:rPr>
        <w:t>ta</w:t>
      </w:r>
      <w:r w:rsidR="00C60957">
        <w:rPr>
          <w:color w:val="244061" w:themeColor="accent1" w:themeShade="80"/>
        </w:rPr>
        <w:t xml:space="preserve">ges </w:t>
      </w:r>
      <w:r w:rsidR="00A845AE">
        <w:rPr>
          <w:color w:val="244061" w:themeColor="accent1" w:themeShade="80"/>
        </w:rPr>
        <w:t>are significantly outweighed by</w:t>
      </w:r>
      <w:r w:rsidR="00C60957">
        <w:rPr>
          <w:color w:val="244061" w:themeColor="accent1" w:themeShade="80"/>
        </w:rPr>
        <w:t xml:space="preserve"> its </w:t>
      </w:r>
      <w:r w:rsidR="00A845AE">
        <w:rPr>
          <w:color w:val="244061" w:themeColor="accent1" w:themeShade="80"/>
        </w:rPr>
        <w:t xml:space="preserve">robustness, </w:t>
      </w:r>
      <w:r w:rsidR="00C60957">
        <w:rPr>
          <w:color w:val="244061" w:themeColor="accent1" w:themeShade="80"/>
        </w:rPr>
        <w:t>ease of implementation and comparability with the UCITS</w:t>
      </w:r>
      <w:r w:rsidR="00A845AE">
        <w:rPr>
          <w:color w:val="244061" w:themeColor="accent1" w:themeShade="80"/>
        </w:rPr>
        <w:t>’</w:t>
      </w:r>
      <w:r w:rsidR="00C60957">
        <w:rPr>
          <w:color w:val="244061" w:themeColor="accent1" w:themeShade="80"/>
        </w:rPr>
        <w:t xml:space="preserve"> SRRI</w:t>
      </w:r>
      <w:r>
        <w:rPr>
          <w:color w:val="244061" w:themeColor="accent1" w:themeShade="80"/>
        </w:rPr>
        <w:t>.</w:t>
      </w:r>
    </w:p>
    <w:permEnd w:id="20"/>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B24884" w:rsidRDefault="00B24884" w:rsidP="00F31E57">
      <w:permStart w:id="21" w:edGrp="everyone"/>
      <w:r>
        <w:t xml:space="preserve">As the description of the levels is very generic, this option is difficult to comment upon. </w:t>
      </w:r>
    </w:p>
    <w:p w:rsidR="00F03C66" w:rsidRDefault="00F03C66" w:rsidP="00F31E57"/>
    <w:p w:rsidR="00B24884" w:rsidRDefault="00B24884" w:rsidP="00F31E57">
      <w:r>
        <w:t>The use of two levels</w:t>
      </w:r>
      <w:r w:rsidR="00F03C66">
        <w:t xml:space="preserve"> </w:t>
      </w:r>
      <w:r>
        <w:t xml:space="preserve">can be confusing for the retail investor. This would be the case for example in a situation where the first level </w:t>
      </w:r>
      <w:r w:rsidR="00831E25" w:rsidRPr="00831E25">
        <w:t>differentiate</w:t>
      </w:r>
      <w:r>
        <w:t>s</w:t>
      </w:r>
      <w:r w:rsidR="00831E25" w:rsidRPr="00831E25">
        <w:t xml:space="preserve"> the products merely on characteristics such as capital at risk</w:t>
      </w:r>
      <w:r w:rsidRPr="00B24884">
        <w:t xml:space="preserve"> </w:t>
      </w:r>
      <w:r>
        <w:t>(</w:t>
      </w:r>
      <w:r w:rsidRPr="00831E25">
        <w:t xml:space="preserve">e.g. A </w:t>
      </w:r>
      <w:r>
        <w:t xml:space="preserve">for </w:t>
      </w:r>
      <w:r w:rsidRPr="00831E25">
        <w:t>principal protected</w:t>
      </w:r>
      <w:r>
        <w:t xml:space="preserve"> products</w:t>
      </w:r>
      <w:r w:rsidRPr="00831E25">
        <w:t xml:space="preserve">, B </w:t>
      </w:r>
      <w:r>
        <w:t xml:space="preserve">for products with </w:t>
      </w:r>
      <w:r w:rsidRPr="00831E25">
        <w:t xml:space="preserve">capital at risk </w:t>
      </w:r>
      <w:r>
        <w:t>such as Athena notes or</w:t>
      </w:r>
      <w:r w:rsidRPr="00831E25">
        <w:t xml:space="preserve"> </w:t>
      </w:r>
      <w:r>
        <w:t xml:space="preserve">a </w:t>
      </w:r>
      <w:r w:rsidRPr="00831E25">
        <w:t xml:space="preserve">UCITS bond </w:t>
      </w:r>
      <w:r>
        <w:t>fund</w:t>
      </w:r>
      <w:r w:rsidRPr="00831E25">
        <w:t xml:space="preserve">, and C </w:t>
      </w:r>
      <w:r>
        <w:t xml:space="preserve">for </w:t>
      </w:r>
      <w:r w:rsidRPr="00831E25">
        <w:t>contin</w:t>
      </w:r>
      <w:r>
        <w:t xml:space="preserve">gent liability products such as CFDs) </w:t>
      </w:r>
      <w:r w:rsidRPr="00831E25">
        <w:t>and</w:t>
      </w:r>
      <w:r>
        <w:t xml:space="preserve"> the second </w:t>
      </w:r>
      <w:r w:rsidRPr="00831E25">
        <w:t>level on a more quantitative measure (such as a volatility or loss)</w:t>
      </w:r>
      <w:r>
        <w:t xml:space="preserve">. </w:t>
      </w:r>
      <w:r w:rsidRPr="00831E25">
        <w:t xml:space="preserve">  </w:t>
      </w:r>
    </w:p>
    <w:p w:rsidR="00B24884" w:rsidRDefault="00B24884" w:rsidP="00F31E57"/>
    <w:p w:rsidR="008A6A6E" w:rsidRDefault="00B24884" w:rsidP="00F31E57">
      <w:r>
        <w:t>This option could also make it</w:t>
      </w:r>
      <w:r w:rsidR="00831E25" w:rsidRPr="00831E25">
        <w:t xml:space="preserve"> difficult to understand or compare</w:t>
      </w:r>
      <w:r>
        <w:t xml:space="preserve"> products. </w:t>
      </w:r>
      <w:r w:rsidR="008A6A6E">
        <w:t>Let’s take the example of two products:</w:t>
      </w:r>
    </w:p>
    <w:p w:rsidR="008A6A6E" w:rsidRDefault="008A6A6E" w:rsidP="00F31E57">
      <w:r>
        <w:lastRenderedPageBreak/>
        <w:t>- One</w:t>
      </w:r>
      <w:r w:rsidR="00E860DF">
        <w:t xml:space="preserve"> with bond funds as underlying and </w:t>
      </w:r>
      <w:r w:rsidR="00831E25" w:rsidRPr="00831E25">
        <w:t>princi</w:t>
      </w:r>
      <w:r>
        <w:t xml:space="preserve">pal at risk, with </w:t>
      </w:r>
      <w:r w:rsidR="00E860DF">
        <w:t xml:space="preserve">a </w:t>
      </w:r>
      <w:r w:rsidR="00831E25" w:rsidRPr="00831E25">
        <w:t xml:space="preserve">very low volatility </w:t>
      </w:r>
      <w:r>
        <w:t>– its risk</w:t>
      </w:r>
      <w:r w:rsidR="00E860DF">
        <w:t xml:space="preserve"> indicator </w:t>
      </w:r>
      <w:r>
        <w:t xml:space="preserve">would be </w:t>
      </w:r>
      <w:r w:rsidR="00E860DF">
        <w:t xml:space="preserve">B1 (where B is the grade for the first level and 1 the grade for the second level based on </w:t>
      </w:r>
      <w:r w:rsidR="00831E25" w:rsidRPr="00831E25">
        <w:t>volatil</w:t>
      </w:r>
      <w:r w:rsidR="00E860DF">
        <w:t>ity</w:t>
      </w:r>
      <w:r w:rsidR="00831E25" w:rsidRPr="00831E25">
        <w:t>)</w:t>
      </w:r>
      <w:r w:rsidR="00D1571D">
        <w:t xml:space="preserve">, </w:t>
      </w:r>
    </w:p>
    <w:p w:rsidR="008A6A6E" w:rsidRDefault="008A6A6E" w:rsidP="00F31E57">
      <w:r>
        <w:t>- The other one is</w:t>
      </w:r>
      <w:r w:rsidR="00D1571D">
        <w:t xml:space="preserve"> a p</w:t>
      </w:r>
      <w:r w:rsidR="00831E25" w:rsidRPr="00831E25">
        <w:t>rincipal pro</w:t>
      </w:r>
      <w:r w:rsidR="00D1571D">
        <w:t>tected n</w:t>
      </w:r>
      <w:r w:rsidR="00831E25" w:rsidRPr="00831E25">
        <w:t xml:space="preserve">ote </w:t>
      </w:r>
      <w:r w:rsidR="00D1571D">
        <w:t>with a</w:t>
      </w:r>
      <w:r w:rsidR="00831E25" w:rsidRPr="00831E25">
        <w:t xml:space="preserve"> higher volatility </w:t>
      </w:r>
      <w:r>
        <w:t>– its risk</w:t>
      </w:r>
      <w:r w:rsidR="005F3CEE">
        <w:t xml:space="preserve"> indicator </w:t>
      </w:r>
      <w:r>
        <w:t xml:space="preserve">would be </w:t>
      </w:r>
      <w:r w:rsidR="005F3CEE">
        <w:t xml:space="preserve">A5 (where A is the grade for the first level and 5 the grade for the second level based on </w:t>
      </w:r>
      <w:r w:rsidR="005F3CEE" w:rsidRPr="00831E25">
        <w:t>volatil</w:t>
      </w:r>
      <w:r w:rsidR="005F3CEE">
        <w:t>ity</w:t>
      </w:r>
      <w:r>
        <w:t>)</w:t>
      </w:r>
      <w:r w:rsidR="00831E25" w:rsidRPr="00831E25">
        <w:t xml:space="preserve">. </w:t>
      </w:r>
    </w:p>
    <w:p w:rsidR="00B24884" w:rsidRDefault="00831E25" w:rsidP="00F31E57">
      <w:r w:rsidRPr="00831E25">
        <w:t>It seems fairly hard</w:t>
      </w:r>
      <w:r w:rsidR="008A6A6E">
        <w:t xml:space="preserve"> </w:t>
      </w:r>
      <w:r w:rsidR="008A6A6E" w:rsidRPr="00831E25">
        <w:t>for the average retail investor</w:t>
      </w:r>
      <w:r w:rsidRPr="00831E25">
        <w:t xml:space="preserve"> to compare </w:t>
      </w:r>
      <w:r w:rsidR="008A6A6E">
        <w:t>these two products based on these indic</w:t>
      </w:r>
      <w:r w:rsidR="008A6A6E">
        <w:t>a</w:t>
      </w:r>
      <w:r w:rsidR="008A6A6E">
        <w:t>tors</w:t>
      </w:r>
      <w:r w:rsidRPr="00831E25">
        <w:t xml:space="preserve">.  </w:t>
      </w:r>
    </w:p>
    <w:permEnd w:id="21"/>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DA768F" w:rsidRDefault="00DA768F"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rPr>
          <w:color w:val="244061" w:themeColor="accent1" w:themeShade="80"/>
        </w:rPr>
      </w:pPr>
      <w:permStart w:id="22" w:edGrp="everyone"/>
      <w:r w:rsidRPr="00F068E9">
        <w:rPr>
          <w:color w:val="244061" w:themeColor="accent1" w:themeShade="80"/>
        </w:rPr>
        <w:t>The indicator already used for UCITS should be leveraged, as it is already known by a sizeable portion of retail investors</w:t>
      </w:r>
      <w:r>
        <w:rPr>
          <w:color w:val="244061" w:themeColor="accent1" w:themeShade="80"/>
        </w:rPr>
        <w:t xml:space="preserve"> in EEA since its implementation in 2010.</w:t>
      </w:r>
      <w:r w:rsidRPr="00F068E9">
        <w:t xml:space="preserve"> </w:t>
      </w:r>
      <w:r w:rsidRPr="00D71943">
        <w:rPr>
          <w:color w:val="244061" w:themeColor="accent1" w:themeShade="80"/>
        </w:rPr>
        <w:t>It</w:t>
      </w:r>
      <w:r>
        <w:t xml:space="preserve"> </w:t>
      </w:r>
      <w:r w:rsidRPr="00F068E9">
        <w:rPr>
          <w:color w:val="244061" w:themeColor="accent1" w:themeShade="80"/>
        </w:rPr>
        <w:t>should however be modified to include a second dimension for the credit risk</w:t>
      </w:r>
      <w:r>
        <w:rPr>
          <w:color w:val="244061" w:themeColor="accent1" w:themeShade="80"/>
        </w:rPr>
        <w:t xml:space="preserve"> (to be used when there is credit risk,</w:t>
      </w:r>
      <w:r w:rsidR="00EB24E4">
        <w:rPr>
          <w:color w:val="244061" w:themeColor="accent1" w:themeShade="80"/>
        </w:rPr>
        <w:t xml:space="preserve"> associated with</w:t>
      </w:r>
      <w:r w:rsidR="00EB24E4" w:rsidRPr="00C3560E">
        <w:rPr>
          <w:color w:val="244061" w:themeColor="accent1" w:themeShade="80"/>
        </w:rPr>
        <w:t xml:space="preserve"> the issuer</w:t>
      </w:r>
      <w:r w:rsidR="00EB24E4">
        <w:rPr>
          <w:color w:val="244061" w:themeColor="accent1" w:themeShade="80"/>
        </w:rPr>
        <w:t>,</w:t>
      </w:r>
      <w:r w:rsidR="00EB24E4" w:rsidRPr="00C3560E">
        <w:rPr>
          <w:color w:val="244061" w:themeColor="accent1" w:themeShade="80"/>
        </w:rPr>
        <w:t xml:space="preserve"> or the gua</w:t>
      </w:r>
      <w:r w:rsidR="00EB24E4" w:rsidRPr="00C3560E">
        <w:rPr>
          <w:color w:val="244061" w:themeColor="accent1" w:themeShade="80"/>
        </w:rPr>
        <w:t>r</w:t>
      </w:r>
      <w:r w:rsidR="00EB24E4" w:rsidRPr="00C3560E">
        <w:rPr>
          <w:color w:val="244061" w:themeColor="accent1" w:themeShade="80"/>
        </w:rPr>
        <w:t xml:space="preserve">antor </w:t>
      </w:r>
      <w:r w:rsidR="00EB24E4">
        <w:rPr>
          <w:color w:val="244061" w:themeColor="accent1" w:themeShade="80"/>
        </w:rPr>
        <w:t xml:space="preserve">when applicable, </w:t>
      </w:r>
      <w:r>
        <w:rPr>
          <w:color w:val="244061" w:themeColor="accent1" w:themeShade="80"/>
        </w:rPr>
        <w:t>i.e. for securities, structured deposits and some unit-linked insurance products)</w:t>
      </w:r>
      <w:r w:rsidR="00EB24E4">
        <w:rPr>
          <w:color w:val="244061" w:themeColor="accent1" w:themeShade="80"/>
        </w:rPr>
        <w:t>. Credit risk would also</w:t>
      </w:r>
      <w:r w:rsidRPr="00F068E9">
        <w:rPr>
          <w:color w:val="244061" w:themeColor="accent1" w:themeShade="80"/>
        </w:rPr>
        <w:t xml:space="preserve"> be rated on a scale</w:t>
      </w:r>
      <w:r>
        <w:rPr>
          <w:color w:val="244061" w:themeColor="accent1" w:themeShade="80"/>
        </w:rPr>
        <w:t xml:space="preserve"> of 7 buckets</w:t>
      </w:r>
      <w:r w:rsidRPr="00F068E9">
        <w:rPr>
          <w:color w:val="244061" w:themeColor="accent1" w:themeShade="80"/>
        </w:rPr>
        <w:t xml:space="preserve">, differentiated via the use of letters (from A to G) for example. </w:t>
      </w:r>
    </w:p>
    <w:p w:rsidR="00EB24E4" w:rsidRDefault="00EB24E4"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rPr>
          <w:color w:val="244061" w:themeColor="accent1" w:themeShade="80"/>
        </w:rPr>
      </w:pPr>
    </w:p>
    <w:p w:rsidR="00EB24E4" w:rsidRDefault="00EB24E4"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rPr>
          <w:color w:val="244061" w:themeColor="accent1" w:themeShade="80"/>
        </w:rPr>
      </w:pPr>
      <w:r>
        <w:rPr>
          <w:color w:val="244061" w:themeColor="accent1" w:themeShade="80"/>
        </w:rPr>
        <w:t>The cut-off points would be as follows:</w:t>
      </w:r>
    </w:p>
    <w:p w:rsidR="00EB24E4" w:rsidRDefault="00EB24E4"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rPr>
          <w:color w:val="244061" w:themeColor="accent1" w:themeShade="80"/>
        </w:rPr>
      </w:pPr>
    </w:p>
    <w:p w:rsidR="00DA768F" w:rsidRPr="00F068E9" w:rsidRDefault="00DA768F" w:rsidP="00DA768F">
      <w:pPr>
        <w:pBdr>
          <w:top w:val="single" w:sz="4" w:space="1" w:color="auto"/>
          <w:left w:val="single" w:sz="4" w:space="4" w:color="auto"/>
          <w:bottom w:val="single" w:sz="4" w:space="1" w:color="auto"/>
          <w:right w:val="single" w:sz="4" w:space="4" w:color="auto"/>
        </w:pBdr>
        <w:shd w:val="clear" w:color="auto" w:fill="D9D9D9"/>
        <w:rPr>
          <w:color w:val="244061" w:themeColor="accent1" w:themeShade="80"/>
        </w:rPr>
      </w:pPr>
      <w:r w:rsidRPr="00F068E9">
        <w:rPr>
          <w:color w:val="244061" w:themeColor="accent1" w:themeShade="80"/>
        </w:rPr>
        <w:t>Market Risk Rating</w:t>
      </w:r>
      <w:r w:rsidRPr="00F068E9">
        <w:rPr>
          <w:color w:val="244061" w:themeColor="accent1" w:themeShade="80"/>
        </w:rPr>
        <w:tab/>
      </w:r>
      <w:r w:rsidR="00EB24E4">
        <w:rPr>
          <w:color w:val="244061" w:themeColor="accent1" w:themeShade="80"/>
        </w:rPr>
        <w:t xml:space="preserve">Aggregate </w:t>
      </w:r>
      <w:r w:rsidRPr="00F068E9">
        <w:rPr>
          <w:color w:val="244061" w:themeColor="accent1" w:themeShade="80"/>
        </w:rPr>
        <w:t>Volatility above or equal to:</w:t>
      </w:r>
      <w:r w:rsidRPr="00F068E9">
        <w:rPr>
          <w:color w:val="244061" w:themeColor="accent1" w:themeShade="80"/>
        </w:rPr>
        <w:tab/>
        <w:t>Volatility less than</w:t>
      </w:r>
      <w:proofErr w:type="gramStart"/>
      <w:r w:rsidRPr="00F068E9">
        <w:rPr>
          <w:color w:val="244061" w:themeColor="accent1" w:themeShade="80"/>
        </w:rPr>
        <w:t>:</w:t>
      </w:r>
      <w:proofErr w:type="gramEnd"/>
      <w:r>
        <w:rPr>
          <w:color w:val="244061" w:themeColor="accent1" w:themeShade="80"/>
        </w:rPr>
        <w:br/>
      </w:r>
      <w:r w:rsidRPr="00F068E9">
        <w:rPr>
          <w:color w:val="244061" w:themeColor="accent1" w:themeShade="80"/>
        </w:rPr>
        <w:t>1</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0%</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0.5%</w:t>
      </w:r>
      <w:r>
        <w:rPr>
          <w:color w:val="244061" w:themeColor="accent1" w:themeShade="80"/>
        </w:rPr>
        <w:br/>
      </w:r>
      <w:r w:rsidRPr="00F068E9">
        <w:rPr>
          <w:color w:val="244061" w:themeColor="accent1" w:themeShade="80"/>
        </w:rPr>
        <w:t>2</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0.5%</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2%</w:t>
      </w:r>
      <w:r>
        <w:rPr>
          <w:color w:val="244061" w:themeColor="accent1" w:themeShade="80"/>
        </w:rPr>
        <w:br/>
      </w:r>
      <w:r w:rsidRPr="00F068E9">
        <w:rPr>
          <w:color w:val="244061" w:themeColor="accent1" w:themeShade="80"/>
        </w:rPr>
        <w:t>3</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2%</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5%</w:t>
      </w:r>
      <w:r>
        <w:rPr>
          <w:color w:val="244061" w:themeColor="accent1" w:themeShade="80"/>
        </w:rPr>
        <w:br/>
      </w:r>
      <w:r w:rsidRPr="00F068E9">
        <w:rPr>
          <w:color w:val="244061" w:themeColor="accent1" w:themeShade="80"/>
        </w:rPr>
        <w:t>4</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5%</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10%</w:t>
      </w:r>
      <w:r>
        <w:rPr>
          <w:color w:val="244061" w:themeColor="accent1" w:themeShade="80"/>
        </w:rPr>
        <w:br/>
      </w:r>
      <w:r w:rsidRPr="00F068E9">
        <w:rPr>
          <w:color w:val="244061" w:themeColor="accent1" w:themeShade="80"/>
        </w:rPr>
        <w:t>5</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10%</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15%</w:t>
      </w:r>
      <w:r>
        <w:rPr>
          <w:color w:val="244061" w:themeColor="accent1" w:themeShade="80"/>
        </w:rPr>
        <w:br/>
      </w:r>
      <w:r w:rsidRPr="00F068E9">
        <w:rPr>
          <w:color w:val="244061" w:themeColor="accent1" w:themeShade="80"/>
        </w:rPr>
        <w:t>6</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15%</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25%</w:t>
      </w:r>
      <w:r>
        <w:rPr>
          <w:color w:val="244061" w:themeColor="accent1" w:themeShade="80"/>
        </w:rPr>
        <w:br/>
      </w:r>
      <w:r w:rsidRPr="00F068E9">
        <w:rPr>
          <w:color w:val="244061" w:themeColor="accent1" w:themeShade="80"/>
        </w:rPr>
        <w:t>7</w:t>
      </w:r>
      <w:r w:rsidRPr="00F068E9">
        <w:rPr>
          <w:color w:val="244061" w:themeColor="accent1" w:themeShade="80"/>
        </w:rPr>
        <w:tab/>
      </w:r>
      <w:r>
        <w:rPr>
          <w:color w:val="244061" w:themeColor="accent1" w:themeShade="80"/>
        </w:rPr>
        <w:tab/>
      </w:r>
      <w:r>
        <w:rPr>
          <w:color w:val="244061" w:themeColor="accent1" w:themeShade="80"/>
        </w:rPr>
        <w:tab/>
      </w:r>
      <w:r w:rsidRPr="00F068E9">
        <w:rPr>
          <w:color w:val="244061" w:themeColor="accent1" w:themeShade="80"/>
        </w:rPr>
        <w:t>25%</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00EB24E4">
        <w:rPr>
          <w:color w:val="244061" w:themeColor="accent1" w:themeShade="80"/>
        </w:rPr>
        <w:tab/>
      </w:r>
      <w:r w:rsidRPr="00F068E9">
        <w:rPr>
          <w:color w:val="244061" w:themeColor="accent1" w:themeShade="80"/>
        </w:rPr>
        <w:t>∞</w:t>
      </w:r>
    </w:p>
    <w:p w:rsidR="00DA768F" w:rsidRDefault="00DA768F"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pPr>
    </w:p>
    <w:p w:rsidR="00EB24E4" w:rsidRDefault="00DA768F"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rPr>
          <w:color w:val="244061" w:themeColor="accent1" w:themeShade="80"/>
        </w:rPr>
      </w:pPr>
      <w:r w:rsidRPr="00C3560E">
        <w:rPr>
          <w:color w:val="244061" w:themeColor="accent1" w:themeShade="80"/>
        </w:rPr>
        <w:t xml:space="preserve">Credit </w:t>
      </w:r>
      <w:r w:rsidRPr="00F068E9">
        <w:rPr>
          <w:color w:val="244061" w:themeColor="accent1" w:themeShade="80"/>
        </w:rPr>
        <w:t>Risk Rating</w:t>
      </w:r>
      <w:r w:rsidRPr="00F068E9">
        <w:rPr>
          <w:color w:val="244061" w:themeColor="accent1" w:themeShade="80"/>
        </w:rPr>
        <w:tab/>
      </w:r>
      <w:r>
        <w:rPr>
          <w:color w:val="244061" w:themeColor="accent1" w:themeShade="80"/>
        </w:rPr>
        <w:t>Long Term classification</w:t>
      </w:r>
      <w:r w:rsidR="00EB24E4">
        <w:rPr>
          <w:color w:val="244061" w:themeColor="accent1" w:themeShade="80"/>
        </w:rPr>
        <w:t xml:space="preserve"> (from major credit rating agencies)</w:t>
      </w:r>
      <w:r>
        <w:rPr>
          <w:color w:val="244061" w:themeColor="accent1" w:themeShade="80"/>
        </w:rPr>
        <w:tab/>
      </w:r>
      <w:r w:rsidRPr="00F068E9">
        <w:rPr>
          <w:color w:val="244061" w:themeColor="accent1" w:themeShade="80"/>
        </w:rPr>
        <w:tab/>
      </w:r>
      <w:r>
        <w:rPr>
          <w:color w:val="244061" w:themeColor="accent1" w:themeShade="80"/>
        </w:rPr>
        <w:br/>
        <w:t>A</w:t>
      </w:r>
      <w:r w:rsidRPr="00F068E9">
        <w:rPr>
          <w:color w:val="244061" w:themeColor="accent1" w:themeShade="80"/>
        </w:rPr>
        <w:tab/>
      </w:r>
      <w:r>
        <w:rPr>
          <w:color w:val="244061" w:themeColor="accent1" w:themeShade="80"/>
        </w:rPr>
        <w:tab/>
      </w:r>
      <w:r>
        <w:rPr>
          <w:color w:val="244061" w:themeColor="accent1" w:themeShade="80"/>
        </w:rPr>
        <w:tab/>
        <w:t>AAA</w:t>
      </w:r>
      <w:r>
        <w:rPr>
          <w:color w:val="244061" w:themeColor="accent1" w:themeShade="80"/>
        </w:rPr>
        <w:tab/>
      </w:r>
      <w:r>
        <w:rPr>
          <w:color w:val="244061" w:themeColor="accent1" w:themeShade="80"/>
        </w:rPr>
        <w:tab/>
      </w:r>
      <w:r>
        <w:rPr>
          <w:color w:val="244061" w:themeColor="accent1" w:themeShade="80"/>
        </w:rPr>
        <w:tab/>
      </w:r>
      <w:r>
        <w:rPr>
          <w:color w:val="244061" w:themeColor="accent1" w:themeShade="80"/>
        </w:rPr>
        <w:br/>
        <w:t>B</w:t>
      </w:r>
      <w:r w:rsidRPr="00F068E9">
        <w:rPr>
          <w:color w:val="244061" w:themeColor="accent1" w:themeShade="80"/>
        </w:rPr>
        <w:tab/>
      </w:r>
      <w:r>
        <w:rPr>
          <w:color w:val="244061" w:themeColor="accent1" w:themeShade="80"/>
        </w:rPr>
        <w:tab/>
      </w:r>
      <w:r>
        <w:rPr>
          <w:color w:val="244061" w:themeColor="accent1" w:themeShade="80"/>
        </w:rPr>
        <w:tab/>
        <w:t>AA+, AA, AA-</w:t>
      </w:r>
      <w:r w:rsidRPr="00F068E9">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Pr>
          <w:color w:val="244061" w:themeColor="accent1" w:themeShade="80"/>
        </w:rPr>
        <w:br/>
        <w:t>C</w:t>
      </w:r>
      <w:r w:rsidRPr="00F068E9">
        <w:rPr>
          <w:color w:val="244061" w:themeColor="accent1" w:themeShade="80"/>
        </w:rPr>
        <w:tab/>
      </w:r>
      <w:r>
        <w:rPr>
          <w:color w:val="244061" w:themeColor="accent1" w:themeShade="80"/>
        </w:rPr>
        <w:tab/>
      </w:r>
      <w:r>
        <w:rPr>
          <w:color w:val="244061" w:themeColor="accent1" w:themeShade="80"/>
        </w:rPr>
        <w:tab/>
        <w:t>A+, A, A-</w:t>
      </w:r>
      <w:r>
        <w:rPr>
          <w:color w:val="244061" w:themeColor="accent1" w:themeShade="80"/>
        </w:rPr>
        <w:tab/>
      </w:r>
      <w:r>
        <w:rPr>
          <w:color w:val="244061" w:themeColor="accent1" w:themeShade="80"/>
        </w:rPr>
        <w:tab/>
      </w:r>
      <w:r>
        <w:rPr>
          <w:color w:val="244061" w:themeColor="accent1" w:themeShade="80"/>
        </w:rPr>
        <w:br/>
        <w:t>D</w:t>
      </w:r>
      <w:r w:rsidRPr="00F068E9">
        <w:rPr>
          <w:color w:val="244061" w:themeColor="accent1" w:themeShade="80"/>
        </w:rPr>
        <w:tab/>
      </w:r>
      <w:r>
        <w:rPr>
          <w:color w:val="244061" w:themeColor="accent1" w:themeShade="80"/>
        </w:rPr>
        <w:tab/>
      </w:r>
      <w:r>
        <w:rPr>
          <w:color w:val="244061" w:themeColor="accent1" w:themeShade="80"/>
        </w:rPr>
        <w:tab/>
        <w:t>BBB+, BBB, BBB-</w:t>
      </w:r>
      <w:r>
        <w:rPr>
          <w:color w:val="244061" w:themeColor="accent1" w:themeShade="80"/>
        </w:rPr>
        <w:tab/>
      </w:r>
      <w:r>
        <w:rPr>
          <w:color w:val="244061" w:themeColor="accent1" w:themeShade="80"/>
        </w:rPr>
        <w:tab/>
      </w:r>
      <w:r>
        <w:rPr>
          <w:color w:val="244061" w:themeColor="accent1" w:themeShade="80"/>
        </w:rPr>
        <w:tab/>
      </w:r>
      <w:r>
        <w:rPr>
          <w:color w:val="244061" w:themeColor="accent1" w:themeShade="80"/>
        </w:rPr>
        <w:br/>
        <w:t>E</w:t>
      </w:r>
      <w:r w:rsidRPr="00F068E9">
        <w:rPr>
          <w:color w:val="244061" w:themeColor="accent1" w:themeShade="80"/>
        </w:rPr>
        <w:tab/>
      </w:r>
      <w:r>
        <w:rPr>
          <w:color w:val="244061" w:themeColor="accent1" w:themeShade="80"/>
        </w:rPr>
        <w:tab/>
      </w:r>
      <w:r>
        <w:rPr>
          <w:color w:val="244061" w:themeColor="accent1" w:themeShade="80"/>
        </w:rPr>
        <w:tab/>
        <w:t>BB+, BB, BB-</w:t>
      </w:r>
      <w:r>
        <w:rPr>
          <w:color w:val="244061" w:themeColor="accent1" w:themeShade="80"/>
        </w:rPr>
        <w:tab/>
      </w:r>
      <w:r>
        <w:rPr>
          <w:color w:val="244061" w:themeColor="accent1" w:themeShade="80"/>
        </w:rPr>
        <w:tab/>
      </w:r>
      <w:r>
        <w:rPr>
          <w:color w:val="244061" w:themeColor="accent1" w:themeShade="80"/>
        </w:rPr>
        <w:br/>
        <w:t>F</w:t>
      </w:r>
      <w:r w:rsidRPr="00F068E9">
        <w:rPr>
          <w:color w:val="244061" w:themeColor="accent1" w:themeShade="80"/>
        </w:rPr>
        <w:tab/>
      </w:r>
      <w:r>
        <w:rPr>
          <w:color w:val="244061" w:themeColor="accent1" w:themeShade="80"/>
        </w:rPr>
        <w:tab/>
      </w:r>
      <w:r>
        <w:rPr>
          <w:color w:val="244061" w:themeColor="accent1" w:themeShade="80"/>
        </w:rPr>
        <w:tab/>
        <w:t>B+, B, B-</w:t>
      </w:r>
      <w:r>
        <w:rPr>
          <w:color w:val="244061" w:themeColor="accent1" w:themeShade="80"/>
        </w:rPr>
        <w:tab/>
      </w:r>
      <w:r>
        <w:rPr>
          <w:color w:val="244061" w:themeColor="accent1" w:themeShade="80"/>
        </w:rPr>
        <w:tab/>
      </w:r>
      <w:r>
        <w:rPr>
          <w:color w:val="244061" w:themeColor="accent1" w:themeShade="80"/>
        </w:rPr>
        <w:br/>
        <w:t>G</w:t>
      </w:r>
      <w:r w:rsidRPr="00F068E9">
        <w:rPr>
          <w:color w:val="244061" w:themeColor="accent1" w:themeShade="80"/>
        </w:rPr>
        <w:tab/>
      </w:r>
      <w:r>
        <w:rPr>
          <w:color w:val="244061" w:themeColor="accent1" w:themeShade="80"/>
        </w:rPr>
        <w:tab/>
      </w:r>
      <w:r>
        <w:rPr>
          <w:color w:val="244061" w:themeColor="accent1" w:themeShade="80"/>
        </w:rPr>
        <w:tab/>
        <w:t>anything strictly below B- or non rated</w:t>
      </w:r>
      <w:r w:rsidR="00EB24E4">
        <w:rPr>
          <w:color w:val="244061" w:themeColor="accent1" w:themeShade="80"/>
        </w:rPr>
        <w:t xml:space="preserve"> </w:t>
      </w:r>
      <w:r>
        <w:rPr>
          <w:color w:val="244061" w:themeColor="accent1" w:themeShade="80"/>
        </w:rPr>
        <w:t xml:space="preserve">by any of the rating agencies registered </w:t>
      </w:r>
      <w:r w:rsidR="00EB24E4">
        <w:rPr>
          <w:color w:val="244061" w:themeColor="accent1" w:themeShade="80"/>
        </w:rPr>
        <w:t xml:space="preserve">    </w:t>
      </w:r>
    </w:p>
    <w:p w:rsidR="00DA768F" w:rsidRPr="00F520E3" w:rsidRDefault="00EB24E4" w:rsidP="00DA768F">
      <w:pPr>
        <w:pStyle w:val="Paragraphedeliste"/>
        <w:pBdr>
          <w:top w:val="single" w:sz="4" w:space="1" w:color="auto"/>
          <w:left w:val="single" w:sz="4" w:space="4" w:color="auto"/>
          <w:bottom w:val="single" w:sz="4" w:space="1" w:color="auto"/>
          <w:right w:val="single" w:sz="4" w:space="4" w:color="auto"/>
        </w:pBdr>
        <w:shd w:val="clear" w:color="auto" w:fill="D9D9D9"/>
        <w:ind w:left="0"/>
      </w:pPr>
      <w:r>
        <w:rPr>
          <w:color w:val="244061" w:themeColor="accent1" w:themeShade="80"/>
        </w:rPr>
        <w:t xml:space="preserve">                                      </w:t>
      </w:r>
      <w:proofErr w:type="gramStart"/>
      <w:r w:rsidR="00DA768F">
        <w:rPr>
          <w:color w:val="244061" w:themeColor="accent1" w:themeShade="80"/>
        </w:rPr>
        <w:t>with</w:t>
      </w:r>
      <w:proofErr w:type="gramEnd"/>
      <w:r w:rsidR="00DA768F">
        <w:rPr>
          <w:color w:val="244061" w:themeColor="accent1" w:themeShade="80"/>
        </w:rPr>
        <w:t xml:space="preserve"> ESMA</w:t>
      </w:r>
      <w:r>
        <w:rPr>
          <w:color w:val="244061" w:themeColor="accent1" w:themeShade="80"/>
        </w:rPr>
        <w:t xml:space="preserve"> </w:t>
      </w:r>
      <w:r w:rsidR="00DA768F">
        <w:rPr>
          <w:color w:val="244061" w:themeColor="accent1" w:themeShade="80"/>
        </w:rPr>
        <w:t>(</w:t>
      </w:r>
      <w:hyperlink r:id="rId13" w:history="1">
        <w:r w:rsidR="00DA768F" w:rsidRPr="00160766">
          <w:rPr>
            <w:rStyle w:val="Lienhypertexte"/>
          </w:rPr>
          <w:t>http://www.esma.europa.eu/page/List-registered-and-certified-CRAs</w:t>
        </w:r>
      </w:hyperlink>
      <w:r w:rsidR="00DA768F">
        <w:rPr>
          <w:color w:val="244061" w:themeColor="accent1" w:themeShade="80"/>
        </w:rPr>
        <w:t xml:space="preserve"> )</w:t>
      </w:r>
    </w:p>
    <w:permEnd w:id="22"/>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AF220A" w:rsidRPr="00A458C5" w:rsidRDefault="00AF220A" w:rsidP="00AF220A">
      <w:permStart w:id="23" w:edGrp="everyone"/>
      <w:r w:rsidRPr="00A458C5">
        <w:t xml:space="preserve">The </w:t>
      </w:r>
      <w:r>
        <w:t>primary purpose of</w:t>
      </w:r>
      <w:r w:rsidRPr="00A458C5">
        <w:t xml:space="preserve"> performance scenario</w:t>
      </w:r>
      <w:r>
        <w:t>s</w:t>
      </w:r>
      <w:r w:rsidRPr="00A458C5">
        <w:t xml:space="preserve"> is </w:t>
      </w:r>
      <w:r>
        <w:t>to be</w:t>
      </w:r>
      <w:r w:rsidRPr="00A458C5">
        <w:t xml:space="preserve"> illustrative. For structured products, scenarios should help the client understand how the product works and how returns are calculated. The </w:t>
      </w:r>
      <w:r>
        <w:t>w</w:t>
      </w:r>
      <w:r w:rsidRPr="00A458C5">
        <w:t xml:space="preserve">hat-if prescribed approach seems </w:t>
      </w:r>
      <w:r>
        <w:t xml:space="preserve">therefore </w:t>
      </w:r>
      <w:r w:rsidRPr="00A458C5">
        <w:t>the most suitable</w:t>
      </w:r>
      <w:r>
        <w:t xml:space="preserve"> to AMAFI</w:t>
      </w:r>
      <w:r w:rsidRPr="00A458C5">
        <w:t>. Level 3 guidelines could be published for each type of PRIIP</w:t>
      </w:r>
      <w:r>
        <w:t>s</w:t>
      </w:r>
      <w:r w:rsidRPr="00A458C5">
        <w:t xml:space="preserve"> (</w:t>
      </w:r>
      <w:r>
        <w:t>structured products</w:t>
      </w:r>
      <w:r w:rsidRPr="00A458C5">
        <w:t xml:space="preserve">, </w:t>
      </w:r>
      <w:r>
        <w:t>f</w:t>
      </w:r>
      <w:r w:rsidRPr="00A458C5">
        <w:t>und</w:t>
      </w:r>
      <w:r>
        <w:t>s</w:t>
      </w:r>
      <w:r w:rsidRPr="00A458C5">
        <w:t xml:space="preserve">, </w:t>
      </w:r>
      <w:r>
        <w:t>i</w:t>
      </w:r>
      <w:r w:rsidRPr="00A458C5">
        <w:t xml:space="preserve">nsurance </w:t>
      </w:r>
      <w:r>
        <w:t>products</w:t>
      </w:r>
      <w:r w:rsidRPr="00A458C5">
        <w:t xml:space="preserve">) similar to the guidelines already </w:t>
      </w:r>
      <w:r>
        <w:t>applicable to</w:t>
      </w:r>
      <w:r w:rsidRPr="00A458C5">
        <w:t xml:space="preserve"> UCITS (CESR 10-1318). </w:t>
      </w:r>
    </w:p>
    <w:p w:rsidR="0034683E" w:rsidRDefault="00AF220A" w:rsidP="00F31E57">
      <w:r>
        <w:t>The option chosen should allow s</w:t>
      </w:r>
      <w:r w:rsidRPr="00A458C5">
        <w:t>mall manufacturer</w:t>
      </w:r>
      <w:r>
        <w:t>s</w:t>
      </w:r>
      <w:r w:rsidRPr="00A458C5">
        <w:t xml:space="preserve"> to manually draw performance scenarios </w:t>
      </w:r>
      <w:r>
        <w:t>in compl</w:t>
      </w:r>
      <w:r>
        <w:t>i</w:t>
      </w:r>
      <w:r>
        <w:t>ance with the</w:t>
      </w:r>
      <w:r w:rsidRPr="00A458C5">
        <w:t xml:space="preserve"> guidelines, while larger manufacturer</w:t>
      </w:r>
      <w:r>
        <w:t>s</w:t>
      </w:r>
      <w:r w:rsidRPr="00A458C5">
        <w:t xml:space="preserve"> would probably </w:t>
      </w:r>
      <w:r>
        <w:t>automate</w:t>
      </w:r>
      <w:r w:rsidRPr="00A458C5">
        <w:t xml:space="preserve"> the </w:t>
      </w:r>
      <w:r>
        <w:t>production</w:t>
      </w:r>
      <w:r w:rsidRPr="00A458C5">
        <w:t xml:space="preserve"> of perfor</w:t>
      </w:r>
      <w:r w:rsidRPr="00A458C5">
        <w:t>m</w:t>
      </w:r>
      <w:r w:rsidRPr="00A458C5">
        <w:t xml:space="preserve">ance scenarios by relying on </w:t>
      </w:r>
      <w:r>
        <w:t>certain</w:t>
      </w:r>
      <w:r w:rsidRPr="00A458C5">
        <w:t xml:space="preserve"> </w:t>
      </w:r>
      <w:proofErr w:type="spellStart"/>
      <w:r w:rsidRPr="00A458C5">
        <w:t>quantiles</w:t>
      </w:r>
      <w:proofErr w:type="spellEnd"/>
      <w:r w:rsidRPr="00A458C5">
        <w:t xml:space="preserve"> of the payoff distribution.</w:t>
      </w:r>
    </w:p>
    <w:permEnd w:id="23"/>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CD3869" w:rsidRDefault="0072679A" w:rsidP="00F31E57">
      <w:permStart w:id="24" w:edGrp="everyone"/>
      <w:r w:rsidRPr="0072679A">
        <w:t>Yes</w:t>
      </w:r>
      <w:r w:rsidR="0034683E">
        <w:t xml:space="preserve"> AMAFI thinks they are sufficient. </w:t>
      </w:r>
      <w:r w:rsidR="0034683E" w:rsidRPr="0072679A">
        <w:t>As far as we are aware</w:t>
      </w:r>
      <w:r w:rsidR="0034683E">
        <w:t xml:space="preserve">, the CESR’s </w:t>
      </w:r>
      <w:r w:rsidR="0076351C">
        <w:t>guidelines for s</w:t>
      </w:r>
      <w:r w:rsidRPr="0072679A">
        <w:t xml:space="preserve">tructured UCITS </w:t>
      </w:r>
      <w:r w:rsidR="0034683E">
        <w:t>(CESR/</w:t>
      </w:r>
      <w:r w:rsidR="0034683E" w:rsidRPr="0072679A">
        <w:t>10-1318</w:t>
      </w:r>
      <w:r w:rsidR="0034683E">
        <w:t xml:space="preserve">), which </w:t>
      </w:r>
      <w:r w:rsidRPr="0072679A">
        <w:t xml:space="preserve">are </w:t>
      </w:r>
      <w:r w:rsidR="0034683E">
        <w:t>consistent with</w:t>
      </w:r>
      <w:r w:rsidRPr="0072679A">
        <w:t xml:space="preserve"> the </w:t>
      </w:r>
      <w:r w:rsidR="0034683E">
        <w:t>w</w:t>
      </w:r>
      <w:r w:rsidRPr="0072679A">
        <w:t xml:space="preserve">hat-if manufacturer </w:t>
      </w:r>
      <w:r w:rsidR="0034683E">
        <w:t xml:space="preserve">approach, </w:t>
      </w:r>
      <w:r w:rsidRPr="0072679A">
        <w:t>worked well in the UCITS space and we do not see the need to reinforce th</w:t>
      </w:r>
      <w:r w:rsidR="0076351C">
        <w:t>em. As per the g</w:t>
      </w:r>
      <w:r w:rsidRPr="0072679A">
        <w:t xml:space="preserve">uidelines, the manufacturer is best place to decide between a table </w:t>
      </w:r>
      <w:proofErr w:type="gramStart"/>
      <w:r w:rsidRPr="0072679A">
        <w:t>or</w:t>
      </w:r>
      <w:proofErr w:type="gramEnd"/>
      <w:r w:rsidRPr="0072679A">
        <w:t xml:space="preserve"> a graph. We believe this should </w:t>
      </w:r>
      <w:r w:rsidR="0076351C">
        <w:t>be maintained</w:t>
      </w:r>
      <w:r w:rsidRPr="0072679A">
        <w:t xml:space="preserve"> for PRIIPs.</w:t>
      </w:r>
    </w:p>
    <w:permEnd w:id="24"/>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C55919" w:rsidRPr="00C55919" w:rsidRDefault="00C55919" w:rsidP="00C55919">
      <w:permStart w:id="25" w:edGrp="everyone"/>
      <w:r w:rsidRPr="00C55919">
        <w:t xml:space="preserve">Guidelines would be helpful </w:t>
      </w:r>
      <w:r>
        <w:t>but</w:t>
      </w:r>
      <w:r w:rsidRPr="00C55919">
        <w:t xml:space="preserve"> </w:t>
      </w:r>
      <w:r>
        <w:t>AMAFI does</w:t>
      </w:r>
      <w:r w:rsidRPr="00C55919">
        <w:t xml:space="preserve"> not fully agree with the options presented in the TDP</w:t>
      </w:r>
      <w:r>
        <w:t xml:space="preserve"> for the following reasons:</w:t>
      </w:r>
    </w:p>
    <w:p w:rsidR="00C55919" w:rsidRPr="00C55919" w:rsidRDefault="00C55919" w:rsidP="00C55919">
      <w:r w:rsidRPr="00C55919">
        <w:t>a) Past performances are not a good representation of future performance. What matters to the investor in the performance scenario is the future performance. We would therefore not recommend using past performances to build performance scenarios. The scenarios outcome would</w:t>
      </w:r>
      <w:r>
        <w:t xml:space="preserve"> </w:t>
      </w:r>
      <w:r w:rsidRPr="00C55919">
        <w:t>depend too much on the given reference period and the chosen underlying. This would create a bias towards underlying which historically performed well.</w:t>
      </w:r>
    </w:p>
    <w:p w:rsidR="00C55919" w:rsidRDefault="00C55919" w:rsidP="00F31E57">
      <w:r w:rsidRPr="00C55919">
        <w:t>b) Setting a fix growth rate of the underlying (for ex 10%) does not seem appropriate</w:t>
      </w:r>
      <w:r>
        <w:t>,</w:t>
      </w:r>
      <w:r w:rsidRPr="00C55919">
        <w:t xml:space="preserve"> as the level of the rate needs to be adapted to the </w:t>
      </w:r>
      <w:r>
        <w:t>pay-o</w:t>
      </w:r>
      <w:r w:rsidRPr="00C55919">
        <w:t xml:space="preserve">ff. </w:t>
      </w:r>
    </w:p>
    <w:permEnd w:id="2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E56229" w:rsidRDefault="00E56229" w:rsidP="00E56229">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ermStart w:id="26" w:edGrp="everyone"/>
      <w:r>
        <w:rPr>
          <w:color w:val="244061" w:themeColor="accent1" w:themeShade="80"/>
        </w:rPr>
        <w:t xml:space="preserve">Our preference is </w:t>
      </w:r>
      <w:r w:rsidR="002D6A45">
        <w:rPr>
          <w:color w:val="244061" w:themeColor="accent1" w:themeShade="80"/>
        </w:rPr>
        <w:t xml:space="preserve">for </w:t>
      </w:r>
      <w:r>
        <w:rPr>
          <w:color w:val="244061" w:themeColor="accent1" w:themeShade="80"/>
        </w:rPr>
        <w:t xml:space="preserve">a </w:t>
      </w:r>
      <w:r w:rsidR="002D6A45">
        <w:rPr>
          <w:color w:val="244061" w:themeColor="accent1" w:themeShade="80"/>
        </w:rPr>
        <w:t>w</w:t>
      </w:r>
      <w:r w:rsidRPr="00AE0A76">
        <w:rPr>
          <w:color w:val="244061" w:themeColor="accent1" w:themeShade="80"/>
        </w:rPr>
        <w:t xml:space="preserve">hat-if prescribed approach </w:t>
      </w:r>
      <w:r>
        <w:rPr>
          <w:color w:val="244061" w:themeColor="accent1" w:themeShade="80"/>
        </w:rPr>
        <w:t>with the possibility, but no</w:t>
      </w:r>
      <w:r w:rsidR="002D6A45">
        <w:rPr>
          <w:color w:val="244061" w:themeColor="accent1" w:themeShade="80"/>
        </w:rPr>
        <w:t>t the</w:t>
      </w:r>
      <w:r>
        <w:rPr>
          <w:color w:val="244061" w:themeColor="accent1" w:themeShade="80"/>
        </w:rPr>
        <w:t xml:space="preserve"> obligation, for manufa</w:t>
      </w:r>
      <w:r>
        <w:rPr>
          <w:color w:val="244061" w:themeColor="accent1" w:themeShade="80"/>
        </w:rPr>
        <w:t>c</w:t>
      </w:r>
      <w:r>
        <w:rPr>
          <w:color w:val="244061" w:themeColor="accent1" w:themeShade="80"/>
        </w:rPr>
        <w:t>turer</w:t>
      </w:r>
      <w:r w:rsidR="002D6A45">
        <w:rPr>
          <w:color w:val="244061" w:themeColor="accent1" w:themeShade="80"/>
        </w:rPr>
        <w:t>s</w:t>
      </w:r>
      <w:r>
        <w:rPr>
          <w:color w:val="244061" w:themeColor="accent1" w:themeShade="80"/>
        </w:rPr>
        <w:t xml:space="preserve"> to automate performance scenarios using </w:t>
      </w:r>
      <w:proofErr w:type="spellStart"/>
      <w:r>
        <w:rPr>
          <w:color w:val="244061" w:themeColor="accent1" w:themeShade="80"/>
        </w:rPr>
        <w:t>quantiles</w:t>
      </w:r>
      <w:proofErr w:type="spellEnd"/>
      <w:r>
        <w:rPr>
          <w:color w:val="244061" w:themeColor="accent1" w:themeShade="80"/>
        </w:rPr>
        <w:t xml:space="preserve"> of the payoff distribution. The chose</w:t>
      </w:r>
      <w:r w:rsidR="002D6A45">
        <w:rPr>
          <w:color w:val="244061" w:themeColor="accent1" w:themeShade="80"/>
        </w:rPr>
        <w:t>n</w:t>
      </w:r>
      <w:r>
        <w:rPr>
          <w:color w:val="244061" w:themeColor="accent1" w:themeShade="80"/>
        </w:rPr>
        <w:t xml:space="preserve"> </w:t>
      </w:r>
      <w:proofErr w:type="spellStart"/>
      <w:r>
        <w:rPr>
          <w:color w:val="244061" w:themeColor="accent1" w:themeShade="80"/>
        </w:rPr>
        <w:t>quantiles</w:t>
      </w:r>
      <w:proofErr w:type="spellEnd"/>
      <w:r>
        <w:rPr>
          <w:color w:val="244061" w:themeColor="accent1" w:themeShade="80"/>
        </w:rPr>
        <w:t xml:space="preserve"> </w:t>
      </w:r>
      <w:r w:rsidRPr="00D71943">
        <w:rPr>
          <w:color w:val="244061" w:themeColor="accent1" w:themeShade="80"/>
        </w:rPr>
        <w:t>would need to be symmetric</w:t>
      </w:r>
      <w:r w:rsidR="002D6A45">
        <w:rPr>
          <w:color w:val="244061" w:themeColor="accent1" w:themeShade="80"/>
        </w:rPr>
        <w:t>al around the 50% percentile (for example</w:t>
      </w:r>
      <w:r w:rsidRPr="00D71943">
        <w:rPr>
          <w:color w:val="244061" w:themeColor="accent1" w:themeShade="80"/>
        </w:rPr>
        <w:t xml:space="preserve"> 10/50/90 or 25/50/75</w:t>
      </w:r>
      <w:r w:rsidR="002D6A45">
        <w:rPr>
          <w:color w:val="244061" w:themeColor="accent1" w:themeShade="80"/>
        </w:rPr>
        <w:t>) and a risk premium</w:t>
      </w:r>
      <w:r w:rsidRPr="00D71943">
        <w:rPr>
          <w:color w:val="244061" w:themeColor="accent1" w:themeShade="80"/>
        </w:rPr>
        <w:t xml:space="preserve"> should be set per asset class. </w:t>
      </w:r>
    </w:p>
    <w:p w:rsidR="002D6A45" w:rsidRDefault="002D6A45" w:rsidP="00E56229">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E56229" w:rsidRDefault="002D6A45" w:rsidP="00E56229">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 xml:space="preserve">An option is to use </w:t>
      </w:r>
      <w:r w:rsidR="00E56229" w:rsidRPr="00D71943">
        <w:rPr>
          <w:color w:val="244061" w:themeColor="accent1" w:themeShade="80"/>
        </w:rPr>
        <w:t>10/25/50/75/90 (equivalent to very bullish, bullish, median, bearish, very bearish)</w:t>
      </w:r>
      <w:r>
        <w:rPr>
          <w:color w:val="244061" w:themeColor="accent1" w:themeShade="80"/>
        </w:rPr>
        <w:t xml:space="preserve"> as it </w:t>
      </w:r>
      <w:r w:rsidRPr="00D71943">
        <w:rPr>
          <w:color w:val="244061" w:themeColor="accent1" w:themeShade="80"/>
        </w:rPr>
        <w:t>s</w:t>
      </w:r>
      <w:r>
        <w:rPr>
          <w:color w:val="244061" w:themeColor="accent1" w:themeShade="80"/>
        </w:rPr>
        <w:t xml:space="preserve">hould roughly cover all situations and, when </w:t>
      </w:r>
      <w:r w:rsidR="00E56229" w:rsidRPr="00D71943">
        <w:rPr>
          <w:color w:val="244061" w:themeColor="accent1" w:themeShade="80"/>
        </w:rPr>
        <w:t xml:space="preserve">published in a table, it just adds </w:t>
      </w:r>
      <w:r>
        <w:rPr>
          <w:color w:val="244061" w:themeColor="accent1" w:themeShade="80"/>
        </w:rPr>
        <w:t>two</w:t>
      </w:r>
      <w:r w:rsidR="00E56229" w:rsidRPr="00D71943">
        <w:rPr>
          <w:color w:val="244061" w:themeColor="accent1" w:themeShade="80"/>
        </w:rPr>
        <w:t xml:space="preserve"> lines </w:t>
      </w:r>
      <w:r>
        <w:rPr>
          <w:color w:val="244061" w:themeColor="accent1" w:themeShade="80"/>
        </w:rPr>
        <w:t>(i.e. not a major issue as regards the KID’s length).</w:t>
      </w:r>
    </w:p>
    <w:p w:rsidR="002D6A45" w:rsidRPr="00D71943" w:rsidRDefault="002D6A45" w:rsidP="00E56229">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
    <w:p w:rsidR="00E56229" w:rsidRPr="00D71943" w:rsidRDefault="00E56229" w:rsidP="00E56229">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D71943">
        <w:rPr>
          <w:color w:val="244061" w:themeColor="accent1" w:themeShade="80"/>
        </w:rPr>
        <w:t>Please note that</w:t>
      </w:r>
      <w:r>
        <w:rPr>
          <w:color w:val="244061" w:themeColor="accent1" w:themeShade="80"/>
        </w:rPr>
        <w:t xml:space="preserve"> a</w:t>
      </w:r>
      <w:r w:rsidRPr="00D71943">
        <w:rPr>
          <w:color w:val="244061" w:themeColor="accent1" w:themeShade="80"/>
        </w:rPr>
        <w:t xml:space="preserve"> probability approach for Performance scenarios is only meaningful if risk </w:t>
      </w:r>
      <w:proofErr w:type="spellStart"/>
      <w:r w:rsidRPr="00D71943">
        <w:rPr>
          <w:color w:val="244061" w:themeColor="accent1" w:themeShade="80"/>
        </w:rPr>
        <w:t>premia</w:t>
      </w:r>
      <w:proofErr w:type="spellEnd"/>
      <w:r w:rsidRPr="00D71943">
        <w:rPr>
          <w:color w:val="244061" w:themeColor="accent1" w:themeShade="80"/>
        </w:rPr>
        <w:t xml:space="preserve"> are used to compute the distribution.</w:t>
      </w:r>
    </w:p>
    <w:permEnd w:id="26"/>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2D6A45" w:rsidRPr="00837C35" w:rsidRDefault="002D6A45" w:rsidP="002D6A45">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ermStart w:id="27" w:edGrp="everyone"/>
      <w:r w:rsidRPr="00837C35">
        <w:rPr>
          <w:color w:val="244061" w:themeColor="accent1" w:themeShade="80"/>
        </w:rPr>
        <w:t>Combination</w:t>
      </w:r>
      <w:r>
        <w:rPr>
          <w:color w:val="244061" w:themeColor="accent1" w:themeShade="80"/>
        </w:rPr>
        <w:t>s</w:t>
      </w:r>
      <w:r w:rsidRPr="00837C35">
        <w:rPr>
          <w:color w:val="244061" w:themeColor="accent1" w:themeShade="80"/>
        </w:rPr>
        <w:t xml:space="preserve"> of historical, hypothetical, and probabilistic scenarios are hard to explain to client</w:t>
      </w:r>
      <w:r>
        <w:rPr>
          <w:color w:val="244061" w:themeColor="accent1" w:themeShade="80"/>
        </w:rPr>
        <w:t>s</w:t>
      </w:r>
      <w:r w:rsidRPr="00837C35">
        <w:rPr>
          <w:color w:val="244061" w:themeColor="accent1" w:themeShade="80"/>
        </w:rPr>
        <w:t xml:space="preserve">. </w:t>
      </w:r>
      <w:r>
        <w:rPr>
          <w:color w:val="244061" w:themeColor="accent1" w:themeShade="80"/>
        </w:rPr>
        <w:t xml:space="preserve">Such combinations would </w:t>
      </w:r>
      <w:r w:rsidRPr="00837C35">
        <w:rPr>
          <w:color w:val="244061" w:themeColor="accent1" w:themeShade="80"/>
        </w:rPr>
        <w:t xml:space="preserve">also </w:t>
      </w:r>
      <w:r>
        <w:rPr>
          <w:color w:val="244061" w:themeColor="accent1" w:themeShade="80"/>
        </w:rPr>
        <w:t xml:space="preserve">be </w:t>
      </w:r>
      <w:r w:rsidRPr="00837C35">
        <w:rPr>
          <w:color w:val="244061" w:themeColor="accent1" w:themeShade="80"/>
        </w:rPr>
        <w:t>extremely costly to implement as</w:t>
      </w:r>
      <w:r>
        <w:rPr>
          <w:color w:val="244061" w:themeColor="accent1" w:themeShade="80"/>
        </w:rPr>
        <w:t xml:space="preserve"> they</w:t>
      </w:r>
      <w:r w:rsidRPr="00837C35">
        <w:rPr>
          <w:color w:val="244061" w:themeColor="accent1" w:themeShade="80"/>
        </w:rPr>
        <w:t xml:space="preserve"> involve a mix of computing and manual intervention</w:t>
      </w:r>
      <w:r>
        <w:rPr>
          <w:color w:val="244061" w:themeColor="accent1" w:themeShade="80"/>
        </w:rPr>
        <w:t>s</w:t>
      </w:r>
      <w:r w:rsidRPr="00837C35">
        <w:rPr>
          <w:color w:val="244061" w:themeColor="accent1" w:themeShade="80"/>
        </w:rPr>
        <w:t xml:space="preserve"> on the KID. </w:t>
      </w:r>
      <w:r>
        <w:rPr>
          <w:color w:val="244061" w:themeColor="accent1" w:themeShade="80"/>
        </w:rPr>
        <w:t xml:space="preserve">AMAFI is strongly against a </w:t>
      </w:r>
      <w:r w:rsidRPr="00837C35">
        <w:rPr>
          <w:color w:val="244061" w:themeColor="accent1" w:themeShade="80"/>
        </w:rPr>
        <w:t>combination of the</w:t>
      </w:r>
      <w:r>
        <w:rPr>
          <w:color w:val="244061" w:themeColor="accent1" w:themeShade="80"/>
        </w:rPr>
        <w:t>se</w:t>
      </w:r>
      <w:r w:rsidRPr="00837C35">
        <w:rPr>
          <w:color w:val="244061" w:themeColor="accent1" w:themeShade="80"/>
        </w:rPr>
        <w:t xml:space="preserve"> 3 approaches</w:t>
      </w:r>
      <w:r>
        <w:rPr>
          <w:color w:val="244061" w:themeColor="accent1" w:themeShade="80"/>
        </w:rPr>
        <w:t>.</w:t>
      </w:r>
    </w:p>
    <w:permEnd w:id="2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2D6A45" w:rsidRDefault="002D6A45" w:rsidP="002D6A45">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ermStart w:id="28" w:edGrp="everyone"/>
      <w:r>
        <w:rPr>
          <w:color w:val="244061" w:themeColor="accent1" w:themeShade="80"/>
        </w:rPr>
        <w:lastRenderedPageBreak/>
        <w:t>Credit e</w:t>
      </w:r>
      <w:r w:rsidRPr="00BE2E7E">
        <w:rPr>
          <w:color w:val="244061" w:themeColor="accent1" w:themeShade="80"/>
        </w:rPr>
        <w:t>vents should only be represented in th</w:t>
      </w:r>
      <w:r>
        <w:rPr>
          <w:color w:val="244061" w:themeColor="accent1" w:themeShade="80"/>
        </w:rPr>
        <w:t>e performance scenarios for CLN-</w:t>
      </w:r>
      <w:r w:rsidRPr="00BE2E7E">
        <w:rPr>
          <w:color w:val="244061" w:themeColor="accent1" w:themeShade="80"/>
        </w:rPr>
        <w:t xml:space="preserve">type products. Credit </w:t>
      </w:r>
      <w:r>
        <w:rPr>
          <w:color w:val="244061" w:themeColor="accent1" w:themeShade="80"/>
        </w:rPr>
        <w:t>e</w:t>
      </w:r>
      <w:r w:rsidRPr="00BE2E7E">
        <w:rPr>
          <w:color w:val="244061" w:themeColor="accent1" w:themeShade="80"/>
        </w:rPr>
        <w:t>vent</w:t>
      </w:r>
      <w:r>
        <w:rPr>
          <w:color w:val="244061" w:themeColor="accent1" w:themeShade="80"/>
        </w:rPr>
        <w:t>s</w:t>
      </w:r>
      <w:r w:rsidRPr="00BE2E7E">
        <w:rPr>
          <w:color w:val="244061" w:themeColor="accent1" w:themeShade="80"/>
        </w:rPr>
        <w:t xml:space="preserve"> relating to </w:t>
      </w:r>
      <w:r>
        <w:rPr>
          <w:color w:val="244061" w:themeColor="accent1" w:themeShade="80"/>
        </w:rPr>
        <w:t>the i</w:t>
      </w:r>
      <w:r w:rsidRPr="00BE2E7E">
        <w:rPr>
          <w:color w:val="244061" w:themeColor="accent1" w:themeShade="80"/>
        </w:rPr>
        <w:t xml:space="preserve">ssuer (or underlying </w:t>
      </w:r>
      <w:r>
        <w:rPr>
          <w:color w:val="244061" w:themeColor="accent1" w:themeShade="80"/>
        </w:rPr>
        <w:t>b</w:t>
      </w:r>
      <w:r w:rsidRPr="00BE2E7E">
        <w:rPr>
          <w:color w:val="244061" w:themeColor="accent1" w:themeShade="80"/>
        </w:rPr>
        <w:t xml:space="preserve">ond </w:t>
      </w:r>
      <w:r>
        <w:rPr>
          <w:color w:val="244061" w:themeColor="accent1" w:themeShade="80"/>
        </w:rPr>
        <w:t>r</w:t>
      </w:r>
      <w:r w:rsidRPr="00BE2E7E">
        <w:rPr>
          <w:color w:val="244061" w:themeColor="accent1" w:themeShade="80"/>
        </w:rPr>
        <w:t xml:space="preserve">isk in case of repackaging) </w:t>
      </w:r>
      <w:r w:rsidR="003678F5">
        <w:rPr>
          <w:color w:val="244061" w:themeColor="accent1" w:themeShade="80"/>
        </w:rPr>
        <w:t>are already included</w:t>
      </w:r>
      <w:r w:rsidRPr="00BE2E7E">
        <w:rPr>
          <w:color w:val="244061" w:themeColor="accent1" w:themeShade="80"/>
        </w:rPr>
        <w:t xml:space="preserve"> in the risk indicator.  </w:t>
      </w:r>
    </w:p>
    <w:p w:rsidR="002D6A45" w:rsidRPr="00BE2E7E" w:rsidRDefault="002D6A45" w:rsidP="002D6A45">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sidRPr="00BE2E7E">
        <w:rPr>
          <w:color w:val="244061" w:themeColor="accent1" w:themeShade="80"/>
        </w:rPr>
        <w:t xml:space="preserve">UCITS funds are not required to display in the performance scenarios what happens in case </w:t>
      </w:r>
      <w:r>
        <w:rPr>
          <w:color w:val="244061" w:themeColor="accent1" w:themeShade="80"/>
        </w:rPr>
        <w:t>a c</w:t>
      </w:r>
      <w:r w:rsidRPr="00BE2E7E">
        <w:rPr>
          <w:color w:val="244061" w:themeColor="accent1" w:themeShade="80"/>
        </w:rPr>
        <w:t>ustodian default</w:t>
      </w:r>
      <w:r>
        <w:rPr>
          <w:color w:val="244061" w:themeColor="accent1" w:themeShade="80"/>
        </w:rPr>
        <w:t>s</w:t>
      </w:r>
      <w:r w:rsidRPr="00BE2E7E">
        <w:rPr>
          <w:color w:val="244061" w:themeColor="accent1" w:themeShade="80"/>
        </w:rPr>
        <w:t xml:space="preserve">. To ensure comparability, this should also be the case for </w:t>
      </w:r>
      <w:r>
        <w:rPr>
          <w:color w:val="244061" w:themeColor="accent1" w:themeShade="80"/>
        </w:rPr>
        <w:t>other PRIIPs</w:t>
      </w:r>
      <w:r w:rsidRPr="00BE2E7E">
        <w:rPr>
          <w:color w:val="244061" w:themeColor="accent1" w:themeShade="80"/>
        </w:rPr>
        <w:t>.</w:t>
      </w:r>
    </w:p>
    <w:permEnd w:id="28"/>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467A9B" w:rsidRPr="00BE2E7E" w:rsidRDefault="00467A9B" w:rsidP="00467A9B">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ermStart w:id="29" w:edGrp="everyone"/>
      <w:r w:rsidRPr="00BE2E7E">
        <w:rPr>
          <w:color w:val="244061" w:themeColor="accent1" w:themeShade="80"/>
        </w:rPr>
        <w:t xml:space="preserve">Only </w:t>
      </w:r>
      <w:r>
        <w:rPr>
          <w:color w:val="244061" w:themeColor="accent1" w:themeShade="80"/>
        </w:rPr>
        <w:t>automatic early r</w:t>
      </w:r>
      <w:r w:rsidRPr="00BE2E7E">
        <w:rPr>
          <w:color w:val="244061" w:themeColor="accent1" w:themeShade="80"/>
        </w:rPr>
        <w:t>edemption</w:t>
      </w:r>
      <w:r>
        <w:rPr>
          <w:color w:val="244061" w:themeColor="accent1" w:themeShade="80"/>
        </w:rPr>
        <w:t xml:space="preserve">s or holder </w:t>
      </w:r>
      <w:proofErr w:type="spellStart"/>
      <w:r>
        <w:rPr>
          <w:color w:val="244061" w:themeColor="accent1" w:themeShade="80"/>
        </w:rPr>
        <w:t>p</w:t>
      </w:r>
      <w:r w:rsidRPr="00BE2E7E">
        <w:rPr>
          <w:color w:val="244061" w:themeColor="accent1" w:themeShade="80"/>
        </w:rPr>
        <w:t>uttability</w:t>
      </w:r>
      <w:proofErr w:type="spellEnd"/>
      <w:r w:rsidRPr="00BE2E7E">
        <w:rPr>
          <w:color w:val="244061" w:themeColor="accent1" w:themeShade="80"/>
        </w:rPr>
        <w:t xml:space="preserve"> for a given value on fixed dates should be explaine</w:t>
      </w:r>
      <w:r>
        <w:rPr>
          <w:color w:val="244061" w:themeColor="accent1" w:themeShade="80"/>
        </w:rPr>
        <w:t>d</w:t>
      </w:r>
      <w:r w:rsidR="000E2283">
        <w:rPr>
          <w:color w:val="244061" w:themeColor="accent1" w:themeShade="80"/>
        </w:rPr>
        <w:t xml:space="preserve"> in the scenarios</w:t>
      </w:r>
      <w:r w:rsidRPr="00BE2E7E">
        <w:rPr>
          <w:color w:val="244061" w:themeColor="accent1" w:themeShade="80"/>
        </w:rPr>
        <w:t>. Voluntary redemption</w:t>
      </w:r>
      <w:r w:rsidR="0099703A">
        <w:rPr>
          <w:color w:val="244061" w:themeColor="accent1" w:themeShade="80"/>
        </w:rPr>
        <w:t>s</w:t>
      </w:r>
      <w:r w:rsidRPr="00BE2E7E">
        <w:rPr>
          <w:color w:val="244061" w:themeColor="accent1" w:themeShade="80"/>
        </w:rPr>
        <w:t xml:space="preserve"> </w:t>
      </w:r>
      <w:r w:rsidR="0099703A">
        <w:rPr>
          <w:color w:val="244061" w:themeColor="accent1" w:themeShade="80"/>
        </w:rPr>
        <w:t>(i.e.</w:t>
      </w:r>
      <w:r w:rsidRPr="00BE2E7E">
        <w:rPr>
          <w:color w:val="244061" w:themeColor="accent1" w:themeShade="80"/>
        </w:rPr>
        <w:t xml:space="preserve"> selling the product back in the secondary market</w:t>
      </w:r>
      <w:r w:rsidR="002E3557">
        <w:rPr>
          <w:color w:val="244061" w:themeColor="accent1" w:themeShade="80"/>
        </w:rPr>
        <w:t>)</w:t>
      </w:r>
      <w:r w:rsidRPr="00BE2E7E">
        <w:rPr>
          <w:color w:val="244061" w:themeColor="accent1" w:themeShade="80"/>
        </w:rPr>
        <w:t xml:space="preserve"> should not be considered in the scenarios. </w:t>
      </w:r>
      <w:r w:rsidR="002E3557">
        <w:rPr>
          <w:color w:val="244061" w:themeColor="accent1" w:themeShade="80"/>
        </w:rPr>
        <w:t>This aspect of the product is dealt with in</w:t>
      </w:r>
      <w:r w:rsidRPr="00BE2E7E">
        <w:rPr>
          <w:color w:val="244061" w:themeColor="accent1" w:themeShade="80"/>
        </w:rPr>
        <w:t xml:space="preserve"> the section entitled "How long should I hold </w:t>
      </w:r>
      <w:r>
        <w:rPr>
          <w:color w:val="244061" w:themeColor="accent1" w:themeShade="80"/>
        </w:rPr>
        <w:t>it and can I take my money out early?”</w:t>
      </w:r>
    </w:p>
    <w:permEnd w:id="29"/>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0E2283" w:rsidRDefault="000E2283" w:rsidP="000E2283">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permStart w:id="30" w:edGrp="everyone"/>
      <w:r>
        <w:rPr>
          <w:color w:val="244061" w:themeColor="accent1" w:themeShade="80"/>
        </w:rPr>
        <w:t>P</w:t>
      </w:r>
      <w:r w:rsidRPr="000E2283">
        <w:rPr>
          <w:color w:val="244061" w:themeColor="accent1" w:themeShade="80"/>
        </w:rPr>
        <w:t xml:space="preserve">erformance in the case of exit before the recommended holding period </w:t>
      </w:r>
      <w:r w:rsidRPr="009E570F">
        <w:rPr>
          <w:color w:val="244061" w:themeColor="accent1" w:themeShade="80"/>
        </w:rPr>
        <w:t>should not be shown in the scenarios.</w:t>
      </w:r>
    </w:p>
    <w:p w:rsidR="000E2283" w:rsidRPr="009E570F" w:rsidRDefault="000E2283" w:rsidP="000E2283">
      <w:pPr>
        <w:pBdr>
          <w:top w:val="single" w:sz="4" w:space="1" w:color="auto"/>
          <w:left w:val="single" w:sz="4" w:space="4" w:color="auto"/>
          <w:bottom w:val="single" w:sz="4" w:space="1" w:color="auto"/>
          <w:right w:val="single" w:sz="4" w:space="4" w:color="auto"/>
        </w:pBdr>
        <w:shd w:val="clear" w:color="auto" w:fill="D9D9D9"/>
        <w:jc w:val="both"/>
        <w:rPr>
          <w:color w:val="244061" w:themeColor="accent1" w:themeShade="80"/>
        </w:rPr>
      </w:pPr>
      <w:r>
        <w:rPr>
          <w:color w:val="244061" w:themeColor="accent1" w:themeShade="80"/>
        </w:rPr>
        <w:t>As f</w:t>
      </w:r>
      <w:r w:rsidRPr="000E2283">
        <w:rPr>
          <w:color w:val="244061" w:themeColor="accent1" w:themeShade="80"/>
        </w:rPr>
        <w:t>or a given scenario</w:t>
      </w:r>
      <w:r>
        <w:rPr>
          <w:color w:val="244061" w:themeColor="accent1" w:themeShade="80"/>
        </w:rPr>
        <w:t>,</w:t>
      </w:r>
      <w:r w:rsidRPr="000E2283">
        <w:rPr>
          <w:color w:val="244061" w:themeColor="accent1" w:themeShade="80"/>
        </w:rPr>
        <w:t xml:space="preserve"> the fair value is difficult to compute (conditional expectation)</w:t>
      </w:r>
      <w:proofErr w:type="gramStart"/>
      <w:r w:rsidRPr="000E2283">
        <w:rPr>
          <w:color w:val="244061" w:themeColor="accent1" w:themeShade="80"/>
        </w:rPr>
        <w:t>,</w:t>
      </w:r>
      <w:proofErr w:type="gramEnd"/>
      <w:r w:rsidRPr="000E2283">
        <w:rPr>
          <w:color w:val="244061" w:themeColor="accent1" w:themeShade="80"/>
        </w:rPr>
        <w:t xml:space="preserve"> it should not be used for scenarios. </w:t>
      </w:r>
      <w:r>
        <w:rPr>
          <w:color w:val="244061" w:themeColor="accent1" w:themeShade="80"/>
        </w:rPr>
        <w:t>A</w:t>
      </w:r>
      <w:r w:rsidRPr="000E2283">
        <w:rPr>
          <w:color w:val="244061" w:themeColor="accent1" w:themeShade="80"/>
        </w:rPr>
        <w:t xml:space="preserve"> </w:t>
      </w:r>
      <w:r>
        <w:rPr>
          <w:color w:val="244061" w:themeColor="accent1" w:themeShade="80"/>
        </w:rPr>
        <w:t>critical</w:t>
      </w:r>
      <w:r w:rsidRPr="000E2283">
        <w:rPr>
          <w:color w:val="244061" w:themeColor="accent1" w:themeShade="80"/>
        </w:rPr>
        <w:t xml:space="preserve"> issue is that for future periods the scenario</w:t>
      </w:r>
      <w:r>
        <w:rPr>
          <w:color w:val="244061" w:themeColor="accent1" w:themeShade="80"/>
        </w:rPr>
        <w:t>’s</w:t>
      </w:r>
      <w:r w:rsidRPr="000E2283">
        <w:rPr>
          <w:color w:val="244061" w:themeColor="accent1" w:themeShade="80"/>
        </w:rPr>
        <w:t xml:space="preserve"> starting point itself is uncertain and the retail client will likely misinterpret the conditional expectation of the intermediate performance</w:t>
      </w:r>
      <w:r>
        <w:rPr>
          <w:color w:val="244061" w:themeColor="accent1" w:themeShade="80"/>
        </w:rPr>
        <w:t xml:space="preserve"> di</w:t>
      </w:r>
      <w:r>
        <w:rPr>
          <w:color w:val="244061" w:themeColor="accent1" w:themeShade="80"/>
        </w:rPr>
        <w:t>s</w:t>
      </w:r>
      <w:r>
        <w:rPr>
          <w:color w:val="244061" w:themeColor="accent1" w:themeShade="80"/>
        </w:rPr>
        <w:t>played</w:t>
      </w:r>
      <w:r w:rsidRPr="000E2283">
        <w:rPr>
          <w:color w:val="244061" w:themeColor="accent1" w:themeShade="80"/>
        </w:rPr>
        <w:t>.</w:t>
      </w:r>
    </w:p>
    <w:permEnd w:id="30"/>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31" w:edGrp="everyone"/>
      <w:r>
        <w:t>TYPE YOUR TEXT HERE</w:t>
      </w:r>
    </w:p>
    <w:permEnd w:id="31"/>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32" w:edGrp="everyone"/>
      <w:r>
        <w:t>TYPE YOUR TEXT HERE</w:t>
      </w:r>
    </w:p>
    <w:permEnd w:id="32"/>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33" w:edGrp="everyone"/>
      <w:r>
        <w:t>TYPE YOUR TEXT HERE</w:t>
      </w:r>
    </w:p>
    <w:permEnd w:id="33"/>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34" w:edGrp="everyone"/>
      <w:r>
        <w:t>TYPE YOUR TEXT HERE</w:t>
      </w:r>
    </w:p>
    <w:permEnd w:id="34"/>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35" w:edGrp="everyone"/>
      <w:r>
        <w:t>TYPE YOUR TEXT HERE</w:t>
      </w:r>
    </w:p>
    <w:permEnd w:id="35"/>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36" w:edGrp="everyone"/>
      <w:r>
        <w:t>TYPE YOUR TEXT HERE</w:t>
      </w:r>
    </w:p>
    <w:permEnd w:id="36"/>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37" w:edGrp="everyone"/>
      <w:r>
        <w:t>TYPE YOUR TEXT HERE</w:t>
      </w:r>
    </w:p>
    <w:permEnd w:id="37"/>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38" w:edGrp="everyone"/>
      <w:r>
        <w:t>TYPE YOUR TEXT HERE</w:t>
      </w:r>
    </w:p>
    <w:permEnd w:id="38"/>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39" w:edGrp="everyone"/>
      <w:r>
        <w:t>TYPE YOUR TEXT HERE</w:t>
      </w:r>
    </w:p>
    <w:permEnd w:id="39"/>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lastRenderedPageBreak/>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40" w:edGrp="everyone"/>
      <w:r>
        <w:t>TYPE YOUR TEXT HERE</w:t>
      </w:r>
    </w:p>
    <w:permEnd w:id="40"/>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41" w:edGrp="everyone"/>
      <w:r>
        <w:t>TYPE YOUR TEXT HERE</w:t>
      </w:r>
    </w:p>
    <w:permEnd w:id="4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42" w:edGrp="everyone"/>
      <w:r>
        <w:t>TYPE YOUR TEXT HERE</w:t>
      </w:r>
    </w:p>
    <w:permEnd w:id="42"/>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43" w:edGrp="everyone"/>
      <w:r>
        <w:t>TYPE YOUR TEXT HERE</w:t>
      </w:r>
    </w:p>
    <w:permEnd w:id="43"/>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44" w:edGrp="everyone"/>
      <w:r>
        <w:t>TYPE YOUR TEXT HERE</w:t>
      </w:r>
    </w:p>
    <w:permEnd w:id="4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Appelnotedebasdep"/>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45" w:edGrp="everyone"/>
      <w:r>
        <w:t>TYPE YOUR TEXT HERE</w:t>
      </w:r>
    </w:p>
    <w:permEnd w:id="45"/>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lastRenderedPageBreak/>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46" w:edGrp="everyone"/>
      <w:r>
        <w:t>TYPE YOUR TEXT HERE</w:t>
      </w:r>
    </w:p>
    <w:permEnd w:id="46"/>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47" w:edGrp="everyone"/>
      <w:r>
        <w:t>TYPE YOUR TEXT HERE</w:t>
      </w:r>
    </w:p>
    <w:permEnd w:id="47"/>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48" w:edGrp="everyone"/>
      <w:r>
        <w:t>TYPE YOUR TEXT HERE</w:t>
      </w:r>
    </w:p>
    <w:permEnd w:id="48"/>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49" w:edGrp="everyone"/>
      <w:r>
        <w:t>TYPE YOUR TEXT HERE</w:t>
      </w:r>
    </w:p>
    <w:permEnd w:id="49"/>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50" w:edGrp="everyone"/>
      <w:r>
        <w:t>TYPE YOUR TEXT HERE</w:t>
      </w:r>
    </w:p>
    <w:permEnd w:id="50"/>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51" w:edGrp="everyone"/>
      <w:r>
        <w:t>TYPE YOUR TEXT HERE</w:t>
      </w:r>
    </w:p>
    <w:permEnd w:id="51"/>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52" w:edGrp="everyone"/>
      <w:r>
        <w:lastRenderedPageBreak/>
        <w:t>TYPE YOUR TEXT HERE</w:t>
      </w:r>
    </w:p>
    <w:permEnd w:id="52"/>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53" w:edGrp="everyone"/>
      <w:r>
        <w:t>TYPE YOUR TEXT HERE</w:t>
      </w:r>
    </w:p>
    <w:permEnd w:id="5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54" w:edGrp="everyone"/>
      <w:r>
        <w:t>TYPE YOUR TEXT HERE</w:t>
      </w:r>
    </w:p>
    <w:permEnd w:id="54"/>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55" w:edGrp="everyone"/>
      <w:r>
        <w:t>TYPE YOUR TEXT HERE</w:t>
      </w:r>
    </w:p>
    <w:permEnd w:id="55"/>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56" w:edGrp="everyone"/>
      <w:r>
        <w:t>TYPE YOUR TEXT HERE</w:t>
      </w:r>
    </w:p>
    <w:permEnd w:id="56"/>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7" w:edGrp="everyone"/>
      <w:r>
        <w:t>TYPE YOUR TEXT HERE</w:t>
      </w:r>
    </w:p>
    <w:permEnd w:id="57"/>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58" w:edGrp="everyone"/>
      <w:r>
        <w:t>TYPE YOUR TEXT HERE</w:t>
      </w:r>
    </w:p>
    <w:permEnd w:id="58"/>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59" w:edGrp="everyone"/>
      <w:r>
        <w:t>TYPE YOUR TEXT HERE</w:t>
      </w:r>
    </w:p>
    <w:permEnd w:id="59"/>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60" w:edGrp="everyone"/>
      <w:r>
        <w:t>TYPE YOUR TEXT HERE</w:t>
      </w:r>
    </w:p>
    <w:permEnd w:id="60"/>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61" w:edGrp="everyone"/>
      <w:r>
        <w:t>TYPE YOUR TEXT HERE</w:t>
      </w:r>
    </w:p>
    <w:permEnd w:id="61"/>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62" w:edGrp="everyone"/>
      <w:r>
        <w:t>TYPE YOUR TEXT HERE</w:t>
      </w:r>
    </w:p>
    <w:permEnd w:id="62"/>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63" w:edGrp="everyone"/>
      <w:r>
        <w:t>TYPE YOUR TEXT HERE</w:t>
      </w:r>
    </w:p>
    <w:permEnd w:id="63"/>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w:t>
      </w:r>
      <w:r>
        <w:rPr>
          <w:rFonts w:cs="Arial"/>
        </w:rPr>
        <w:t>h</w:t>
      </w:r>
      <w:r>
        <w:rPr>
          <w:rFonts w:cs="Arial"/>
        </w:rPr>
        <w:t>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64" w:edGrp="everyone"/>
      <w:r>
        <w:t>TYPE YOUR TEXT HERE</w:t>
      </w:r>
    </w:p>
    <w:permEnd w:id="64"/>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65" w:edGrp="everyone"/>
      <w:r>
        <w:t>TYPE YOUR TEXT HERE</w:t>
      </w:r>
    </w:p>
    <w:permEnd w:id="65"/>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66" w:edGrp="everyone"/>
      <w:r>
        <w:t>TYPE YOUR TEXT HERE</w:t>
      </w:r>
    </w:p>
    <w:permEnd w:id="66"/>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ED7A3D" w:rsidRPr="004C61E7" w:rsidRDefault="00ED7A3D" w:rsidP="00ED7A3D">
      <w:pPr>
        <w:pBdr>
          <w:top w:val="single" w:sz="4" w:space="1" w:color="auto"/>
          <w:left w:val="single" w:sz="4" w:space="4" w:color="auto"/>
          <w:bottom w:val="single" w:sz="4" w:space="1" w:color="auto"/>
          <w:right w:val="single" w:sz="4" w:space="4" w:color="auto"/>
        </w:pBdr>
        <w:shd w:val="clear" w:color="auto" w:fill="D9D9D9"/>
        <w:jc w:val="both"/>
        <w:rPr>
          <w:rFonts w:cs="Arial"/>
          <w:color w:val="244061" w:themeColor="accent1" w:themeShade="80"/>
        </w:rPr>
      </w:pPr>
      <w:permStart w:id="67" w:edGrp="everyone"/>
      <w:r>
        <w:rPr>
          <w:rFonts w:cs="Arial"/>
          <w:color w:val="244061" w:themeColor="accent1" w:themeShade="80"/>
        </w:rPr>
        <w:t>G</w:t>
      </w:r>
      <w:r w:rsidRPr="002B0D07">
        <w:rPr>
          <w:rFonts w:cs="Arial"/>
          <w:color w:val="244061" w:themeColor="accent1" w:themeShade="80"/>
        </w:rPr>
        <w:t xml:space="preserve">enerally the </w:t>
      </w:r>
      <w:r>
        <w:rPr>
          <w:rFonts w:cs="Arial"/>
          <w:color w:val="244061" w:themeColor="accent1" w:themeShade="80"/>
        </w:rPr>
        <w:t>two</w:t>
      </w:r>
      <w:r w:rsidRPr="002B0D07">
        <w:rPr>
          <w:rFonts w:cs="Arial"/>
          <w:color w:val="244061" w:themeColor="accent1" w:themeShade="80"/>
        </w:rPr>
        <w:t xml:space="preserve"> approaches do not </w:t>
      </w:r>
      <w:r>
        <w:rPr>
          <w:rFonts w:cs="Arial"/>
          <w:color w:val="244061" w:themeColor="accent1" w:themeShade="80"/>
        </w:rPr>
        <w:t>give</w:t>
      </w:r>
      <w:r w:rsidRPr="002B0D07">
        <w:rPr>
          <w:rFonts w:cs="Arial"/>
          <w:color w:val="244061" w:themeColor="accent1" w:themeShade="80"/>
        </w:rPr>
        <w:t xml:space="preserve"> the same results. They could lead to the same results if the </w:t>
      </w:r>
      <w:r>
        <w:rPr>
          <w:rFonts w:cs="Arial"/>
          <w:color w:val="244061" w:themeColor="accent1" w:themeShade="80"/>
        </w:rPr>
        <w:t>fair v</w:t>
      </w:r>
      <w:r w:rsidRPr="002B0D07">
        <w:rPr>
          <w:rFonts w:cs="Arial"/>
          <w:color w:val="244061" w:themeColor="accent1" w:themeShade="80"/>
        </w:rPr>
        <w:t>alue include</w:t>
      </w:r>
      <w:r>
        <w:rPr>
          <w:rFonts w:cs="Arial"/>
          <w:color w:val="244061" w:themeColor="accent1" w:themeShade="80"/>
        </w:rPr>
        <w:t>d</w:t>
      </w:r>
      <w:r w:rsidRPr="002B0D07">
        <w:rPr>
          <w:rFonts w:cs="Arial"/>
          <w:color w:val="244061" w:themeColor="accent1" w:themeShade="80"/>
        </w:rPr>
        <w:t xml:space="preserve"> the hed</w:t>
      </w:r>
      <w:r>
        <w:rPr>
          <w:rFonts w:cs="Arial"/>
          <w:color w:val="244061" w:themeColor="accent1" w:themeShade="80"/>
        </w:rPr>
        <w:t>ging costs</w:t>
      </w:r>
      <w:r w:rsidR="004C61E7">
        <w:rPr>
          <w:rFonts w:cs="Arial"/>
          <w:color w:val="244061" w:themeColor="accent1" w:themeShade="80"/>
        </w:rPr>
        <w:t xml:space="preserve"> and</w:t>
      </w:r>
      <w:r>
        <w:rPr>
          <w:rFonts w:cs="Arial"/>
          <w:color w:val="244061" w:themeColor="accent1" w:themeShade="80"/>
        </w:rPr>
        <w:t xml:space="preserve"> the cost of capital and</w:t>
      </w:r>
      <w:r w:rsidRPr="002B0D07">
        <w:rPr>
          <w:rFonts w:cs="Arial"/>
          <w:color w:val="244061" w:themeColor="accent1" w:themeShade="80"/>
        </w:rPr>
        <w:t xml:space="preserve"> direct costs</w:t>
      </w:r>
      <w:r w:rsidR="004C61E7">
        <w:rPr>
          <w:rFonts w:cs="Arial"/>
          <w:color w:val="244061" w:themeColor="accent1" w:themeShade="80"/>
        </w:rPr>
        <w:t xml:space="preserve"> linked to the issuance of the product</w:t>
      </w:r>
      <w:r w:rsidRPr="002B0D07">
        <w:rPr>
          <w:rFonts w:cs="Arial"/>
          <w:color w:val="244061" w:themeColor="accent1" w:themeShade="80"/>
        </w:rPr>
        <w:t xml:space="preserve"> (</w:t>
      </w:r>
      <w:r w:rsidR="004C61E7">
        <w:rPr>
          <w:rFonts w:cs="Arial"/>
          <w:color w:val="244061" w:themeColor="accent1" w:themeShade="80"/>
        </w:rPr>
        <w:t xml:space="preserve">such as </w:t>
      </w:r>
      <w:r w:rsidRPr="002B0D07">
        <w:rPr>
          <w:rFonts w:cs="Arial"/>
          <w:color w:val="244061" w:themeColor="accent1" w:themeShade="80"/>
        </w:rPr>
        <w:t>SPV</w:t>
      </w:r>
      <w:r w:rsidR="004C61E7">
        <w:rPr>
          <w:rFonts w:cs="Arial"/>
          <w:color w:val="244061" w:themeColor="accent1" w:themeShade="80"/>
        </w:rPr>
        <w:t xml:space="preserve"> legal costs and index </w:t>
      </w:r>
      <w:r w:rsidRPr="002B0D07">
        <w:rPr>
          <w:rFonts w:cs="Arial"/>
          <w:color w:val="244061" w:themeColor="accent1" w:themeShade="80"/>
        </w:rPr>
        <w:t>licensing</w:t>
      </w:r>
      <w:r w:rsidR="004C61E7">
        <w:rPr>
          <w:rFonts w:cs="Arial"/>
          <w:color w:val="244061" w:themeColor="accent1" w:themeShade="80"/>
        </w:rPr>
        <w:t xml:space="preserve"> costs</w:t>
      </w:r>
      <w:r w:rsidRPr="002B0D07">
        <w:rPr>
          <w:rFonts w:cs="Arial"/>
          <w:color w:val="244061" w:themeColor="accent1" w:themeShade="80"/>
        </w:rPr>
        <w:t>).</w:t>
      </w:r>
    </w:p>
    <w:permEnd w:id="67"/>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6D2966" w:rsidRPr="00F520E3" w:rsidRDefault="006D2966" w:rsidP="006D2966">
      <w:pPr>
        <w:pStyle w:val="Paragraphedeliste"/>
        <w:pBdr>
          <w:top w:val="single" w:sz="4" w:space="1" w:color="auto"/>
          <w:left w:val="single" w:sz="4" w:space="4" w:color="auto"/>
          <w:bottom w:val="single" w:sz="4" w:space="1" w:color="auto"/>
          <w:right w:val="single" w:sz="4" w:space="4" w:color="auto"/>
        </w:pBdr>
        <w:shd w:val="clear" w:color="auto" w:fill="D9D9D9"/>
        <w:ind w:left="0" w:right="288"/>
        <w:jc w:val="both"/>
        <w:rPr>
          <w:rFonts w:cs="Arial"/>
          <w:color w:val="000000"/>
          <w:lang w:eastAsia="it-IT"/>
        </w:rPr>
      </w:pPr>
      <w:permStart w:id="68" w:edGrp="everyone"/>
      <w:r>
        <w:rPr>
          <w:rFonts w:cs="Arial"/>
          <w:color w:val="244061" w:themeColor="accent1" w:themeShade="80"/>
          <w:lang w:eastAsia="it-IT"/>
        </w:rPr>
        <w:t>No, AMAFI does not see any specific cost for s</w:t>
      </w:r>
      <w:r w:rsidRPr="002B0D07">
        <w:rPr>
          <w:rFonts w:cs="Arial"/>
          <w:color w:val="244061" w:themeColor="accent1" w:themeShade="80"/>
          <w:lang w:eastAsia="it-IT"/>
        </w:rPr>
        <w:t xml:space="preserve">tructured </w:t>
      </w:r>
      <w:r>
        <w:rPr>
          <w:rFonts w:cs="Arial"/>
          <w:color w:val="244061" w:themeColor="accent1" w:themeShade="80"/>
          <w:lang w:eastAsia="it-IT"/>
        </w:rPr>
        <w:t xml:space="preserve">deposits. Their </w:t>
      </w:r>
      <w:r w:rsidRPr="002B0D07">
        <w:rPr>
          <w:rFonts w:cs="Arial"/>
          <w:color w:val="244061" w:themeColor="accent1" w:themeShade="80"/>
          <w:lang w:eastAsia="it-IT"/>
        </w:rPr>
        <w:t xml:space="preserve">pricing is </w:t>
      </w:r>
      <w:r w:rsidR="00F55164">
        <w:rPr>
          <w:rFonts w:cs="Arial"/>
          <w:color w:val="244061" w:themeColor="accent1" w:themeShade="80"/>
          <w:lang w:eastAsia="it-IT"/>
        </w:rPr>
        <w:t>based</w:t>
      </w:r>
      <w:r w:rsidRPr="002B0D07">
        <w:rPr>
          <w:rFonts w:cs="Arial"/>
          <w:color w:val="244061" w:themeColor="accent1" w:themeShade="80"/>
          <w:lang w:eastAsia="it-IT"/>
        </w:rPr>
        <w:t xml:space="preserve"> on </w:t>
      </w:r>
      <w:r>
        <w:rPr>
          <w:rFonts w:cs="Arial"/>
          <w:color w:val="244061" w:themeColor="accent1" w:themeShade="80"/>
          <w:lang w:eastAsia="it-IT"/>
        </w:rPr>
        <w:t xml:space="preserve">the </w:t>
      </w:r>
      <w:r w:rsidRPr="002B0D07">
        <w:rPr>
          <w:rFonts w:cs="Arial"/>
          <w:color w:val="244061" w:themeColor="accent1" w:themeShade="80"/>
          <w:lang w:eastAsia="it-IT"/>
        </w:rPr>
        <w:t xml:space="preserve">same funding grids </w:t>
      </w:r>
      <w:r>
        <w:rPr>
          <w:rFonts w:cs="Arial"/>
          <w:color w:val="244061" w:themeColor="accent1" w:themeShade="80"/>
          <w:lang w:eastAsia="it-IT"/>
        </w:rPr>
        <w:t>as</w:t>
      </w:r>
      <w:r w:rsidRPr="002B0D07">
        <w:rPr>
          <w:rFonts w:cs="Arial"/>
          <w:color w:val="244061" w:themeColor="accent1" w:themeShade="80"/>
          <w:lang w:eastAsia="it-IT"/>
        </w:rPr>
        <w:t xml:space="preserve"> EMTNs</w:t>
      </w:r>
      <w:r>
        <w:rPr>
          <w:rFonts w:cs="Arial"/>
          <w:color w:val="244061" w:themeColor="accent1" w:themeShade="80"/>
          <w:lang w:eastAsia="it-IT"/>
        </w:rPr>
        <w:t>.</w:t>
      </w:r>
    </w:p>
    <w:permEnd w:id="68"/>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55164" w:rsidRDefault="00F55164" w:rsidP="00F55164">
      <w:permStart w:id="69" w:edGrp="everyone"/>
      <w:r w:rsidRPr="00F55164">
        <w:t>One needs to differentiate costs that are borne by the manufacturer such as legal</w:t>
      </w:r>
      <w:r w:rsidR="003534DA">
        <w:t xml:space="preserve"> costs</w:t>
      </w:r>
      <w:r w:rsidRPr="00F55164">
        <w:t>,</w:t>
      </w:r>
      <w:r w:rsidR="003534DA">
        <w:t xml:space="preserve"> costs associated with</w:t>
      </w:r>
      <w:r w:rsidRPr="00F55164">
        <w:t xml:space="preserve"> capital requirements,</w:t>
      </w:r>
      <w:r w:rsidR="003534DA">
        <w:t xml:space="preserve"> and</w:t>
      </w:r>
      <w:r w:rsidRPr="00F55164">
        <w:t xml:space="preserve"> hedging </w:t>
      </w:r>
      <w:r w:rsidR="003534DA">
        <w:t xml:space="preserve">costs </w:t>
      </w:r>
      <w:r w:rsidRPr="00F55164">
        <w:t>(i.e. costs), and cost</w:t>
      </w:r>
      <w:r w:rsidR="003534DA">
        <w:t>s</w:t>
      </w:r>
      <w:r w:rsidRPr="00F55164">
        <w:t xml:space="preserve"> that are passed </w:t>
      </w:r>
      <w:r w:rsidR="003534DA">
        <w:t>to</w:t>
      </w:r>
      <w:r w:rsidRPr="00F55164">
        <w:t xml:space="preserve"> the client such as sales commission</w:t>
      </w:r>
      <w:r w:rsidR="003534DA">
        <w:t>s</w:t>
      </w:r>
      <w:r w:rsidRPr="00F55164">
        <w:t>, distribution cost</w:t>
      </w:r>
      <w:r w:rsidR="003534DA">
        <w:t>s</w:t>
      </w:r>
      <w:r w:rsidRPr="00F55164">
        <w:t xml:space="preserve"> (</w:t>
      </w:r>
      <w:proofErr w:type="spellStart"/>
      <w:r w:rsidRPr="00F55164">
        <w:t>ie</w:t>
      </w:r>
      <w:proofErr w:type="spellEnd"/>
      <w:r w:rsidRPr="00F55164">
        <w:t>)</w:t>
      </w:r>
      <w:r w:rsidR="0097165B">
        <w:t xml:space="preserve">. The first ones are costs </w:t>
      </w:r>
      <w:r w:rsidR="0097165B" w:rsidRPr="00F55164">
        <w:t xml:space="preserve">where the manufacturer loses money if he </w:t>
      </w:r>
      <w:r w:rsidR="0097165B">
        <w:t>makes a wrong assumption</w:t>
      </w:r>
      <w:r w:rsidR="001B6671">
        <w:t xml:space="preserve"> </w:t>
      </w:r>
      <w:r w:rsidR="00D4569A">
        <w:t xml:space="preserve">and these costs raise </w:t>
      </w:r>
      <w:r w:rsidR="001B6671">
        <w:t>and that do not deteriorate the product’s features</w:t>
      </w:r>
      <w:r w:rsidR="0097165B">
        <w:t>, the second ones</w:t>
      </w:r>
      <w:r w:rsidR="00D15C4A">
        <w:t xml:space="preserve"> are</w:t>
      </w:r>
      <w:r w:rsidR="0097165B">
        <w:t xml:space="preserve"> </w:t>
      </w:r>
      <w:r w:rsidR="00D15C4A" w:rsidRPr="00F55164">
        <w:t>cost</w:t>
      </w:r>
      <w:r w:rsidR="00D15C4A">
        <w:t>s</w:t>
      </w:r>
      <w:r w:rsidR="00D15C4A" w:rsidRPr="00F55164">
        <w:t xml:space="preserve"> which generate revenue for the manufacturer</w:t>
      </w:r>
      <w:r w:rsidR="00D15C4A">
        <w:t>.</w:t>
      </w:r>
    </w:p>
    <w:p w:rsidR="00D15C4A" w:rsidRDefault="00D15C4A" w:rsidP="00F55164"/>
    <w:p w:rsidR="00D15C4A" w:rsidRDefault="00D15C4A" w:rsidP="00F55164">
      <w:r>
        <w:t xml:space="preserve">Accordingly, AMAFI considers that, among the costs listed, </w:t>
      </w:r>
      <w:r w:rsidR="00F55164" w:rsidRPr="00F55164">
        <w:t>sales commission</w:t>
      </w:r>
      <w:r>
        <w:t xml:space="preserve">s and </w:t>
      </w:r>
      <w:r w:rsidR="00F55164" w:rsidRPr="00F55164">
        <w:t>structuring cost</w:t>
      </w:r>
      <w:r>
        <w:t>s</w:t>
      </w:r>
      <w:r w:rsidR="00F55164" w:rsidRPr="00F55164">
        <w:t xml:space="preserve"> </w:t>
      </w:r>
      <w:r>
        <w:t xml:space="preserve">are relevant entry costs but not the </w:t>
      </w:r>
      <w:r w:rsidR="007656C5">
        <w:t>others:</w:t>
      </w:r>
    </w:p>
    <w:p w:rsidR="00D15C4A" w:rsidRDefault="00D15C4A" w:rsidP="00F55164">
      <w:r>
        <w:t xml:space="preserve">- Hedging costs </w:t>
      </w:r>
      <w:r w:rsidR="00F55164" w:rsidRPr="00F55164">
        <w:t xml:space="preserve">are embedded in the price and borne by </w:t>
      </w:r>
      <w:r>
        <w:t xml:space="preserve">the manufacturer, </w:t>
      </w:r>
      <w:r w:rsidR="00F55164" w:rsidRPr="00F55164">
        <w:t xml:space="preserve"> </w:t>
      </w:r>
    </w:p>
    <w:p w:rsidR="00D15C4A" w:rsidRDefault="00D15C4A" w:rsidP="00F55164">
      <w:r>
        <w:t>- L</w:t>
      </w:r>
      <w:r w:rsidR="00F55164" w:rsidRPr="00F55164">
        <w:t xml:space="preserve">egal fees </w:t>
      </w:r>
      <w:r>
        <w:t xml:space="preserve">are </w:t>
      </w:r>
      <w:r w:rsidR="00F55164" w:rsidRPr="00F55164">
        <w:t xml:space="preserve">embedded in the general cost base of the manufacturer </w:t>
      </w:r>
    </w:p>
    <w:p w:rsidR="00D15C4A" w:rsidRDefault="00D15C4A" w:rsidP="00F31E57">
      <w:r>
        <w:t>- The c</w:t>
      </w:r>
      <w:r w:rsidR="00F55164" w:rsidRPr="00F55164">
        <w:t xml:space="preserve">ost </w:t>
      </w:r>
      <w:r>
        <w:t>of</w:t>
      </w:r>
      <w:r w:rsidR="00F55164" w:rsidRPr="00F55164">
        <w:t xml:space="preserve"> </w:t>
      </w:r>
      <w:r>
        <w:t xml:space="preserve">the </w:t>
      </w:r>
      <w:r w:rsidR="00F55164" w:rsidRPr="00F55164">
        <w:t>capital guarantee or capital protection is borne by the</w:t>
      </w:r>
      <w:r>
        <w:t xml:space="preserve"> manufacturer when setting the zero c</w:t>
      </w:r>
      <w:r w:rsidR="00F55164" w:rsidRPr="00F55164">
        <w:t>oupon</w:t>
      </w:r>
      <w:r>
        <w:t xml:space="preserve"> price at the time of the trade. I</w:t>
      </w:r>
      <w:r w:rsidR="00F55164" w:rsidRPr="00F55164">
        <w:t>f rate</w:t>
      </w:r>
      <w:r>
        <w:t>s</w:t>
      </w:r>
      <w:r w:rsidR="00F55164" w:rsidRPr="00F55164">
        <w:t xml:space="preserve"> change the impact in value of the </w:t>
      </w:r>
      <w:r>
        <w:t xml:space="preserve">zero </w:t>
      </w:r>
      <w:proofErr w:type="gramStart"/>
      <w:r>
        <w:t>coupon</w:t>
      </w:r>
      <w:proofErr w:type="gramEnd"/>
      <w:r w:rsidR="00F55164" w:rsidRPr="00F55164">
        <w:t xml:space="preserve"> is a risk for the manufacturer</w:t>
      </w:r>
      <w:r>
        <w:t>,</w:t>
      </w:r>
      <w:r w:rsidR="00F55164" w:rsidRPr="00F55164">
        <w:t xml:space="preserve"> which is not passed on to </w:t>
      </w:r>
      <w:r>
        <w:t xml:space="preserve">the </w:t>
      </w:r>
      <w:r w:rsidR="00F55164" w:rsidRPr="00F55164">
        <w:t>client.</w:t>
      </w:r>
    </w:p>
    <w:p w:rsidR="00941E60" w:rsidRDefault="00D15C4A" w:rsidP="00F31E57">
      <w:r>
        <w:t xml:space="preserve">- The </w:t>
      </w:r>
      <w:r w:rsidR="00F55164" w:rsidRPr="00F55164">
        <w:t>implicit premium</w:t>
      </w:r>
      <w:r>
        <w:t xml:space="preserve"> is also a cost borne by the manufacturer as the cost of the capital guarantee</w:t>
      </w:r>
      <w:r w:rsidR="00F55164" w:rsidRPr="00F55164">
        <w:t>.</w:t>
      </w:r>
    </w:p>
    <w:p w:rsidR="00941E60" w:rsidRDefault="00941E60" w:rsidP="00F31E57"/>
    <w:p w:rsidR="00941E60" w:rsidRDefault="00941E60" w:rsidP="00941E60">
      <w:r>
        <w:t xml:space="preserve">In AMAFI’s view, there is no rationale for </w:t>
      </w:r>
      <w:r w:rsidRPr="00941E60">
        <w:t>differentiat</w:t>
      </w:r>
      <w:r>
        <w:t>ing</w:t>
      </w:r>
      <w:r w:rsidRPr="00941E60">
        <w:t xml:space="preserve"> between delta one and option based</w:t>
      </w:r>
      <w:r>
        <w:t xml:space="preserve"> structured products</w:t>
      </w:r>
      <w:r w:rsidRPr="00941E60">
        <w:t xml:space="preserve"> (delta one is a particular case of an option)</w:t>
      </w:r>
      <w:r>
        <w:t>.</w:t>
      </w:r>
    </w:p>
    <w:p w:rsidR="00941E60" w:rsidRDefault="00941E60" w:rsidP="00941E60"/>
    <w:p w:rsidR="00941E60" w:rsidRPr="00941E60" w:rsidRDefault="00DA6C34" w:rsidP="00941E60">
      <w:r>
        <w:t>C</w:t>
      </w:r>
      <w:r w:rsidR="00941E60" w:rsidRPr="00941E60">
        <w:t>ase</w:t>
      </w:r>
      <w:r>
        <w:t>s</w:t>
      </w:r>
      <w:r w:rsidR="00941E60" w:rsidRPr="00941E60">
        <w:t xml:space="preserve"> where </w:t>
      </w:r>
      <w:r w:rsidR="0090010B">
        <w:t xml:space="preserve">the </w:t>
      </w:r>
      <w:r w:rsidR="00941E60" w:rsidRPr="00941E60">
        <w:t>manuf</w:t>
      </w:r>
      <w:r w:rsidR="0090010B">
        <w:t xml:space="preserve">acturer will not know all costs </w:t>
      </w:r>
      <w:r>
        <w:t>are</w:t>
      </w:r>
      <w:r w:rsidR="0090010B">
        <w:t xml:space="preserve"> for instance w</w:t>
      </w:r>
      <w:r w:rsidR="007656C5" w:rsidRPr="00941E60">
        <w:t>hen</w:t>
      </w:r>
      <w:r w:rsidR="00941E60" w:rsidRPr="00941E60">
        <w:t xml:space="preserve"> a product designed by the manufacturer is repackaged in another wrapper, the manufacturer will not know the fees linked to the final wrapper.</w:t>
      </w:r>
    </w:p>
    <w:permEnd w:id="69"/>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A62392" w:rsidRDefault="00A62392" w:rsidP="00A6239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70" w:edGrp="everyone"/>
      <w:r w:rsidRPr="00D54ADD">
        <w:rPr>
          <w:rFonts w:cs="Arial"/>
          <w:color w:val="244061" w:themeColor="accent1" w:themeShade="80"/>
        </w:rPr>
        <w:t>C</w:t>
      </w:r>
      <w:r w:rsidR="0050579A">
        <w:rPr>
          <w:rFonts w:cs="Arial"/>
          <w:color w:val="244061" w:themeColor="accent1" w:themeShade="80"/>
        </w:rPr>
        <w:t>osts related to coupon payments and c</w:t>
      </w:r>
      <w:r w:rsidRPr="00D54ADD">
        <w:rPr>
          <w:rFonts w:cs="Arial"/>
          <w:color w:val="244061" w:themeColor="accent1" w:themeShade="80"/>
        </w:rPr>
        <w:t>osts of the underlying are not cost</w:t>
      </w:r>
      <w:r>
        <w:rPr>
          <w:rFonts w:cs="Arial"/>
          <w:color w:val="244061" w:themeColor="accent1" w:themeShade="80"/>
        </w:rPr>
        <w:t>s</w:t>
      </w:r>
      <w:r w:rsidRPr="00D54ADD">
        <w:rPr>
          <w:rFonts w:cs="Arial"/>
          <w:color w:val="244061" w:themeColor="accent1" w:themeShade="80"/>
        </w:rPr>
        <w:t xml:space="preserve"> passed on to the client</w:t>
      </w:r>
      <w:r>
        <w:rPr>
          <w:rFonts w:cs="Arial"/>
          <w:color w:val="244061" w:themeColor="accent1" w:themeShade="80"/>
        </w:rPr>
        <w:t>. T</w:t>
      </w:r>
      <w:r w:rsidRPr="00D54ADD">
        <w:rPr>
          <w:rFonts w:cs="Arial"/>
          <w:color w:val="244061" w:themeColor="accent1" w:themeShade="80"/>
        </w:rPr>
        <w:t xml:space="preserve">hey </w:t>
      </w:r>
      <w:r w:rsidR="001B6671">
        <w:rPr>
          <w:rFonts w:cs="Arial"/>
          <w:color w:val="244061" w:themeColor="accent1" w:themeShade="80"/>
        </w:rPr>
        <w:t>are included</w:t>
      </w:r>
      <w:r w:rsidRPr="00D54ADD">
        <w:rPr>
          <w:rFonts w:cs="Arial"/>
          <w:color w:val="244061" w:themeColor="accent1" w:themeShade="80"/>
        </w:rPr>
        <w:t xml:space="preserve"> in the general cost base of manufacturer</w:t>
      </w:r>
      <w:r>
        <w:rPr>
          <w:rFonts w:cs="Arial"/>
          <w:color w:val="244061" w:themeColor="accent1" w:themeShade="80"/>
        </w:rPr>
        <w:t xml:space="preserve"> and </w:t>
      </w:r>
      <w:r w:rsidRPr="00D54ADD">
        <w:rPr>
          <w:rFonts w:cs="Arial"/>
          <w:color w:val="244061" w:themeColor="accent1" w:themeShade="80"/>
        </w:rPr>
        <w:t xml:space="preserve">they do no impact the client </w:t>
      </w:r>
      <w:r>
        <w:rPr>
          <w:rFonts w:cs="Arial"/>
          <w:color w:val="244061" w:themeColor="accent1" w:themeShade="80"/>
        </w:rPr>
        <w:t>or</w:t>
      </w:r>
      <w:r w:rsidRPr="00D54ADD">
        <w:rPr>
          <w:rFonts w:cs="Arial"/>
          <w:color w:val="244061" w:themeColor="accent1" w:themeShade="80"/>
        </w:rPr>
        <w:t xml:space="preserve"> deteri</w:t>
      </w:r>
      <w:r w:rsidRPr="00D54ADD">
        <w:rPr>
          <w:rFonts w:cs="Arial"/>
          <w:color w:val="244061" w:themeColor="accent1" w:themeShade="80"/>
        </w:rPr>
        <w:t>o</w:t>
      </w:r>
      <w:r w:rsidRPr="00D54ADD">
        <w:rPr>
          <w:rFonts w:cs="Arial"/>
          <w:color w:val="244061" w:themeColor="accent1" w:themeShade="80"/>
        </w:rPr>
        <w:t xml:space="preserve">rate product features. It is therefore </w:t>
      </w:r>
      <w:r w:rsidR="0050579A">
        <w:rPr>
          <w:rFonts w:cs="Arial"/>
          <w:color w:val="244061" w:themeColor="accent1" w:themeShade="80"/>
        </w:rPr>
        <w:t>inappropriate</w:t>
      </w:r>
      <w:r w:rsidRPr="00D54ADD">
        <w:rPr>
          <w:rFonts w:cs="Arial"/>
          <w:color w:val="244061" w:themeColor="accent1" w:themeShade="80"/>
        </w:rPr>
        <w:t xml:space="preserve"> </w:t>
      </w:r>
      <w:r w:rsidR="0050579A">
        <w:rPr>
          <w:rFonts w:cs="Arial"/>
          <w:color w:val="244061" w:themeColor="accent1" w:themeShade="80"/>
        </w:rPr>
        <w:t>to include them in the list of on-g</w:t>
      </w:r>
      <w:r w:rsidRPr="00D54ADD">
        <w:rPr>
          <w:rFonts w:cs="Arial"/>
          <w:color w:val="244061" w:themeColor="accent1" w:themeShade="80"/>
        </w:rPr>
        <w:t>oing costs.</w:t>
      </w:r>
    </w:p>
    <w:p w:rsidR="001B6671" w:rsidRDefault="001B6671" w:rsidP="00A6239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
    <w:p w:rsidR="00A62392" w:rsidRPr="004243D1" w:rsidRDefault="001B6671" w:rsidP="00A6239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Pr>
          <w:rFonts w:cs="Arial"/>
          <w:color w:val="244061" w:themeColor="accent1" w:themeShade="80"/>
        </w:rPr>
        <w:t xml:space="preserve">However, </w:t>
      </w:r>
      <w:r w:rsidR="00A62392" w:rsidRPr="00365D20">
        <w:rPr>
          <w:rFonts w:cs="Arial"/>
          <w:color w:val="244061" w:themeColor="accent1" w:themeShade="80"/>
        </w:rPr>
        <w:t>if a running fee is paid to the distributor and impacts the product performance (e.g. running fee of a CPPI or a Delta1), this should be disclosed as on-going charge</w:t>
      </w:r>
      <w:r w:rsidR="00A62392">
        <w:rPr>
          <w:rFonts w:cs="Arial"/>
          <w:color w:val="244061" w:themeColor="accent1" w:themeShade="80"/>
        </w:rPr>
        <w:t>.</w:t>
      </w:r>
    </w:p>
    <w:permEnd w:id="70"/>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1B6671" w:rsidRPr="008E14FA" w:rsidRDefault="001B6671" w:rsidP="001B6671">
      <w:pPr>
        <w:pBdr>
          <w:top w:val="single" w:sz="4" w:space="1" w:color="auto"/>
          <w:left w:val="single" w:sz="4" w:space="4" w:color="auto"/>
          <w:bottom w:val="single" w:sz="4" w:space="1" w:color="auto"/>
          <w:right w:val="single" w:sz="4" w:space="4" w:color="auto"/>
        </w:pBdr>
        <w:shd w:val="clear" w:color="auto" w:fill="D9D9D9"/>
        <w:jc w:val="both"/>
        <w:rPr>
          <w:rFonts w:cs="Arial"/>
          <w:color w:val="244061" w:themeColor="accent1" w:themeShade="80"/>
        </w:rPr>
      </w:pPr>
      <w:bookmarkStart w:id="3" w:name="OLE_LINK1"/>
      <w:permStart w:id="71" w:edGrp="everyone"/>
      <w:r>
        <w:rPr>
          <w:rFonts w:cs="Arial"/>
          <w:color w:val="244061" w:themeColor="accent1" w:themeShade="80"/>
        </w:rPr>
        <w:t xml:space="preserve">We understand that proportional fees are </w:t>
      </w:r>
      <w:r w:rsidRPr="008E14FA">
        <w:rPr>
          <w:rFonts w:cs="Arial"/>
          <w:color w:val="244061" w:themeColor="accent1" w:themeShade="80"/>
        </w:rPr>
        <w:t>penalt</w:t>
      </w:r>
      <w:r>
        <w:rPr>
          <w:rFonts w:cs="Arial"/>
          <w:color w:val="244061" w:themeColor="accent1" w:themeShade="80"/>
        </w:rPr>
        <w:t>ies for early exit expressed as a percentage of the n</w:t>
      </w:r>
      <w:r w:rsidRPr="008E14FA">
        <w:rPr>
          <w:rFonts w:cs="Arial"/>
          <w:color w:val="244061" w:themeColor="accent1" w:themeShade="80"/>
        </w:rPr>
        <w:t>o</w:t>
      </w:r>
      <w:r w:rsidRPr="008E14FA">
        <w:rPr>
          <w:rFonts w:cs="Arial"/>
          <w:color w:val="244061" w:themeColor="accent1" w:themeShade="80"/>
        </w:rPr>
        <w:t>tional (e.g. for a product which has exit penalties such as 1% in year 1, 0.5% year 2, 0.25% in year 3 and nothing from and including year 4 until maturity</w:t>
      </w:r>
      <w:r>
        <w:rPr>
          <w:rFonts w:cs="Arial"/>
          <w:color w:val="244061" w:themeColor="accent1" w:themeShade="80"/>
        </w:rPr>
        <w:t>). T</w:t>
      </w:r>
      <w:r w:rsidRPr="008E14FA">
        <w:rPr>
          <w:rFonts w:cs="Arial"/>
          <w:color w:val="244061" w:themeColor="accent1" w:themeShade="80"/>
        </w:rPr>
        <w:t xml:space="preserve">hese should be disclosed in the cost section, but not double counted in the total cost ratio </w:t>
      </w:r>
      <w:r>
        <w:rPr>
          <w:rFonts w:cs="Arial"/>
          <w:color w:val="244061" w:themeColor="accent1" w:themeShade="80"/>
        </w:rPr>
        <w:t>(</w:t>
      </w:r>
      <w:r w:rsidRPr="008E14FA">
        <w:rPr>
          <w:rFonts w:cs="Arial"/>
          <w:color w:val="244061" w:themeColor="accent1" w:themeShade="80"/>
        </w:rPr>
        <w:t>TCR</w:t>
      </w:r>
      <w:r>
        <w:rPr>
          <w:rFonts w:cs="Arial"/>
          <w:color w:val="244061" w:themeColor="accent1" w:themeShade="80"/>
        </w:rPr>
        <w:t>)</w:t>
      </w:r>
      <w:r w:rsidRPr="008E14FA">
        <w:rPr>
          <w:rFonts w:cs="Arial"/>
          <w:color w:val="244061" w:themeColor="accent1" w:themeShade="80"/>
        </w:rPr>
        <w:t xml:space="preserve"> as they would only occur under specific circumstance</w:t>
      </w:r>
      <w:r>
        <w:rPr>
          <w:rFonts w:cs="Arial"/>
          <w:color w:val="244061" w:themeColor="accent1" w:themeShade="80"/>
        </w:rPr>
        <w:t>s</w:t>
      </w:r>
      <w:r w:rsidRPr="008E14FA">
        <w:rPr>
          <w:rFonts w:cs="Arial"/>
          <w:color w:val="244061" w:themeColor="accent1" w:themeShade="80"/>
        </w:rPr>
        <w:t xml:space="preserve">. </w:t>
      </w:r>
    </w:p>
    <w:p w:rsidR="001B6671" w:rsidRDefault="001B6671" w:rsidP="001B6671">
      <w:pPr>
        <w:pBdr>
          <w:top w:val="single" w:sz="4" w:space="1" w:color="auto"/>
          <w:left w:val="single" w:sz="4" w:space="4" w:color="auto"/>
          <w:bottom w:val="single" w:sz="4" w:space="1" w:color="auto"/>
          <w:right w:val="single" w:sz="4" w:space="4" w:color="auto"/>
        </w:pBdr>
        <w:shd w:val="clear" w:color="auto" w:fill="D9D9D9"/>
        <w:rPr>
          <w:rFonts w:cs="Arial"/>
          <w:color w:val="244061" w:themeColor="accent1" w:themeShade="80"/>
        </w:rPr>
      </w:pPr>
    </w:p>
    <w:p w:rsidR="001B6671" w:rsidRDefault="001B6671" w:rsidP="001B6671">
      <w:pPr>
        <w:pBdr>
          <w:top w:val="single" w:sz="4" w:space="1" w:color="auto"/>
          <w:left w:val="single" w:sz="4" w:space="4" w:color="auto"/>
          <w:bottom w:val="single" w:sz="4" w:space="1" w:color="auto"/>
          <w:right w:val="single" w:sz="4" w:space="4" w:color="auto"/>
        </w:pBdr>
        <w:shd w:val="clear" w:color="auto" w:fill="D9D9D9"/>
        <w:rPr>
          <w:rFonts w:cs="Arial"/>
          <w:color w:val="244061" w:themeColor="accent1" w:themeShade="80"/>
        </w:rPr>
      </w:pPr>
      <w:r w:rsidRPr="008E14FA">
        <w:rPr>
          <w:rFonts w:cs="Arial"/>
          <w:color w:val="244061" w:themeColor="accent1" w:themeShade="80"/>
        </w:rPr>
        <w:t>Bid-mid spread</w:t>
      </w:r>
      <w:r>
        <w:rPr>
          <w:rFonts w:cs="Arial"/>
          <w:color w:val="244061" w:themeColor="accent1" w:themeShade="80"/>
        </w:rPr>
        <w:t>s</w:t>
      </w:r>
      <w:r w:rsidRPr="008E14FA">
        <w:rPr>
          <w:rFonts w:cs="Arial"/>
          <w:color w:val="244061" w:themeColor="accent1" w:themeShade="80"/>
        </w:rPr>
        <w:t xml:space="preserve"> paid by the </w:t>
      </w:r>
      <w:r>
        <w:rPr>
          <w:rFonts w:cs="Arial"/>
          <w:color w:val="244061" w:themeColor="accent1" w:themeShade="80"/>
        </w:rPr>
        <w:t>investor</w:t>
      </w:r>
      <w:r w:rsidRPr="008E14FA">
        <w:rPr>
          <w:rFonts w:cs="Arial"/>
          <w:color w:val="244061" w:themeColor="accent1" w:themeShade="80"/>
        </w:rPr>
        <w:t xml:space="preserve"> to sell the product are not exit cost</w:t>
      </w:r>
      <w:r>
        <w:rPr>
          <w:rFonts w:cs="Arial"/>
          <w:color w:val="244061" w:themeColor="accent1" w:themeShade="80"/>
        </w:rPr>
        <w:t>s</w:t>
      </w:r>
      <w:r w:rsidRPr="008E14FA">
        <w:rPr>
          <w:rFonts w:cs="Arial"/>
          <w:color w:val="244061" w:themeColor="accent1" w:themeShade="80"/>
        </w:rPr>
        <w:t xml:space="preserve"> and should not be treated as such. </w:t>
      </w:r>
    </w:p>
    <w:p w:rsidR="001B6671" w:rsidRPr="008E14FA" w:rsidRDefault="001B6671" w:rsidP="001B6671">
      <w:pPr>
        <w:pBdr>
          <w:top w:val="single" w:sz="4" w:space="1" w:color="auto"/>
          <w:left w:val="single" w:sz="4" w:space="4" w:color="auto"/>
          <w:bottom w:val="single" w:sz="4" w:space="1" w:color="auto"/>
          <w:right w:val="single" w:sz="4" w:space="4" w:color="auto"/>
        </w:pBdr>
        <w:shd w:val="clear" w:color="auto" w:fill="D9D9D9"/>
        <w:rPr>
          <w:rFonts w:cs="Arial"/>
          <w:color w:val="244061" w:themeColor="accent1" w:themeShade="80"/>
        </w:rPr>
      </w:pPr>
    </w:p>
    <w:p w:rsidR="001B6671" w:rsidRPr="00275AD5" w:rsidRDefault="001B6671" w:rsidP="001B6671">
      <w:pPr>
        <w:pBdr>
          <w:top w:val="single" w:sz="4" w:space="1" w:color="auto"/>
          <w:left w:val="single" w:sz="4" w:space="4" w:color="auto"/>
          <w:bottom w:val="single" w:sz="4" w:space="1" w:color="auto"/>
          <w:right w:val="single" w:sz="4" w:space="4" w:color="auto"/>
        </w:pBdr>
        <w:shd w:val="clear" w:color="auto" w:fill="D9D9D9"/>
        <w:rPr>
          <w:rFonts w:cs="Arial"/>
          <w:color w:val="244061" w:themeColor="accent1" w:themeShade="80"/>
        </w:rPr>
      </w:pPr>
      <w:r w:rsidRPr="008E14FA">
        <w:rPr>
          <w:rFonts w:cs="Arial"/>
          <w:color w:val="244061" w:themeColor="accent1" w:themeShade="80"/>
        </w:rPr>
        <w:t>Maximum spreads should not be considered unless the manufacturer commits to a firm bid-ask maximum spread.</w:t>
      </w:r>
      <w:bookmarkEnd w:id="3"/>
      <w:r w:rsidRPr="00275AD5">
        <w:rPr>
          <w:rFonts w:cs="Arial"/>
          <w:color w:val="244061" w:themeColor="accent1" w:themeShade="80"/>
        </w:rPr>
        <w:t xml:space="preserve"> </w:t>
      </w:r>
    </w:p>
    <w:permEnd w:id="7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D4569A" w:rsidRPr="00824B8A" w:rsidRDefault="00D4569A"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ermStart w:id="72" w:edGrp="everyone"/>
      <w:r w:rsidRPr="00824B8A">
        <w:rPr>
          <w:rFonts w:cs="Arial"/>
          <w:color w:val="244061" w:themeColor="accent1" w:themeShade="80"/>
          <w:lang w:eastAsia="it-IT"/>
        </w:rPr>
        <w:t xml:space="preserve">As explained in </w:t>
      </w:r>
      <w:r w:rsidR="00192013">
        <w:rPr>
          <w:rFonts w:cs="Arial"/>
          <w:color w:val="244061" w:themeColor="accent1" w:themeShade="80"/>
          <w:lang w:eastAsia="it-IT"/>
        </w:rPr>
        <w:t>Q</w:t>
      </w:r>
      <w:r w:rsidRPr="00824B8A">
        <w:rPr>
          <w:rFonts w:cs="Arial"/>
          <w:color w:val="244061" w:themeColor="accent1" w:themeShade="80"/>
          <w:lang w:eastAsia="it-IT"/>
        </w:rPr>
        <w:t xml:space="preserve">61 and 62, </w:t>
      </w:r>
      <w:r>
        <w:rPr>
          <w:rFonts w:cs="Arial"/>
          <w:color w:val="244061" w:themeColor="accent1" w:themeShade="80"/>
          <w:lang w:eastAsia="it-IT"/>
        </w:rPr>
        <w:t>a</w:t>
      </w:r>
      <w:r w:rsidRPr="00824B8A">
        <w:rPr>
          <w:rFonts w:cs="Arial"/>
          <w:color w:val="244061" w:themeColor="accent1" w:themeShade="80"/>
          <w:lang w:eastAsia="it-IT"/>
        </w:rPr>
        <w:t xml:space="preserve"> difference must be made between costs that</w:t>
      </w:r>
      <w:r>
        <w:rPr>
          <w:rFonts w:cs="Arial"/>
          <w:color w:val="244061" w:themeColor="accent1" w:themeShade="80"/>
          <w:lang w:eastAsia="it-IT"/>
        </w:rPr>
        <w:t xml:space="preserve"> are borne by the manufa</w:t>
      </w:r>
      <w:r>
        <w:rPr>
          <w:rFonts w:cs="Arial"/>
          <w:color w:val="244061" w:themeColor="accent1" w:themeShade="80"/>
          <w:lang w:eastAsia="it-IT"/>
        </w:rPr>
        <w:t>c</w:t>
      </w:r>
      <w:r>
        <w:rPr>
          <w:rFonts w:cs="Arial"/>
          <w:color w:val="244061" w:themeColor="accent1" w:themeShade="80"/>
          <w:lang w:eastAsia="it-IT"/>
        </w:rPr>
        <w:t xml:space="preserve">turer </w:t>
      </w:r>
      <w:r w:rsidRPr="00824B8A">
        <w:rPr>
          <w:rFonts w:cs="Arial"/>
          <w:color w:val="244061" w:themeColor="accent1" w:themeShade="80"/>
          <w:lang w:eastAsia="it-IT"/>
        </w:rPr>
        <w:t>and cost</w:t>
      </w:r>
      <w:r>
        <w:rPr>
          <w:rFonts w:cs="Arial"/>
          <w:color w:val="244061" w:themeColor="accent1" w:themeShade="80"/>
          <w:lang w:eastAsia="it-IT"/>
        </w:rPr>
        <w:t>s</w:t>
      </w:r>
      <w:r w:rsidRPr="00824B8A">
        <w:rPr>
          <w:rFonts w:cs="Arial"/>
          <w:color w:val="244061" w:themeColor="accent1" w:themeShade="80"/>
          <w:lang w:eastAsia="it-IT"/>
        </w:rPr>
        <w:t xml:space="preserve"> that are passed on</w:t>
      </w:r>
      <w:r>
        <w:rPr>
          <w:rFonts w:cs="Arial"/>
          <w:color w:val="244061" w:themeColor="accent1" w:themeShade="80"/>
          <w:lang w:eastAsia="it-IT"/>
        </w:rPr>
        <w:t xml:space="preserve">to the client, </w:t>
      </w:r>
      <w:r w:rsidRPr="00824B8A">
        <w:rPr>
          <w:rFonts w:cs="Arial"/>
          <w:color w:val="244061" w:themeColor="accent1" w:themeShade="80"/>
          <w:lang w:eastAsia="it-IT"/>
        </w:rPr>
        <w:t>i</w:t>
      </w:r>
      <w:r>
        <w:rPr>
          <w:rFonts w:cs="Arial"/>
          <w:color w:val="244061" w:themeColor="accent1" w:themeShade="80"/>
          <w:lang w:eastAsia="it-IT"/>
        </w:rPr>
        <w:t>.</w:t>
      </w:r>
      <w:r w:rsidRPr="00824B8A">
        <w:rPr>
          <w:rFonts w:cs="Arial"/>
          <w:color w:val="244061" w:themeColor="accent1" w:themeShade="80"/>
          <w:lang w:eastAsia="it-IT"/>
        </w:rPr>
        <w:t>e</w:t>
      </w:r>
      <w:r>
        <w:rPr>
          <w:rFonts w:cs="Arial"/>
          <w:color w:val="244061" w:themeColor="accent1" w:themeShade="80"/>
          <w:lang w:eastAsia="it-IT"/>
        </w:rPr>
        <w:t>.</w:t>
      </w:r>
      <w:r w:rsidRPr="00824B8A">
        <w:rPr>
          <w:rFonts w:cs="Arial"/>
          <w:color w:val="244061" w:themeColor="accent1" w:themeShade="80"/>
          <w:lang w:eastAsia="it-IT"/>
        </w:rPr>
        <w:t xml:space="preserve"> cost</w:t>
      </w:r>
      <w:r>
        <w:rPr>
          <w:rFonts w:cs="Arial"/>
          <w:color w:val="244061" w:themeColor="accent1" w:themeShade="80"/>
          <w:lang w:eastAsia="it-IT"/>
        </w:rPr>
        <w:t>s</w:t>
      </w:r>
      <w:r w:rsidRPr="00824B8A">
        <w:rPr>
          <w:rFonts w:cs="Arial"/>
          <w:color w:val="244061" w:themeColor="accent1" w:themeShade="80"/>
          <w:lang w:eastAsia="it-IT"/>
        </w:rPr>
        <w:t xml:space="preserve"> </w:t>
      </w:r>
      <w:r>
        <w:rPr>
          <w:rFonts w:cs="Arial"/>
          <w:color w:val="244061" w:themeColor="accent1" w:themeShade="80"/>
          <w:lang w:eastAsia="it-IT"/>
        </w:rPr>
        <w:t>that</w:t>
      </w:r>
      <w:r w:rsidRPr="00824B8A">
        <w:rPr>
          <w:rFonts w:cs="Arial"/>
          <w:color w:val="244061" w:themeColor="accent1" w:themeShade="80"/>
          <w:lang w:eastAsia="it-IT"/>
        </w:rPr>
        <w:t xml:space="preserve"> generate revenue for the manufacturer. </w:t>
      </w:r>
    </w:p>
    <w:p w:rsidR="00D4569A" w:rsidRDefault="00D4569A"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sidRPr="00824B8A">
        <w:rPr>
          <w:rFonts w:cs="Arial"/>
          <w:color w:val="244061" w:themeColor="accent1" w:themeShade="80"/>
          <w:lang w:eastAsia="it-IT"/>
        </w:rPr>
        <w:t>It is also fundamental that the list of costs remains simple to understand for the client, and not too long</w:t>
      </w:r>
      <w:r>
        <w:rPr>
          <w:rFonts w:cs="Arial"/>
          <w:color w:val="244061" w:themeColor="accent1" w:themeShade="80"/>
          <w:lang w:eastAsia="it-IT"/>
        </w:rPr>
        <w:t xml:space="preserve"> due to the KID’s limited length</w:t>
      </w:r>
      <w:r w:rsidRPr="00824B8A">
        <w:rPr>
          <w:rFonts w:cs="Arial"/>
          <w:color w:val="244061" w:themeColor="accent1" w:themeShade="80"/>
          <w:lang w:eastAsia="it-IT"/>
        </w:rPr>
        <w:t>. We would therefore recommend to display:</w:t>
      </w:r>
    </w:p>
    <w:p w:rsidR="00D4569A" w:rsidRPr="00824B8A" w:rsidRDefault="00D4569A"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
    <w:p w:rsidR="00D4569A" w:rsidRPr="00824B8A" w:rsidRDefault="00D4569A" w:rsidP="00D4569A">
      <w:pPr>
        <w:pBdr>
          <w:top w:val="single" w:sz="4" w:space="1" w:color="auto"/>
          <w:left w:val="single" w:sz="4" w:space="4" w:color="auto"/>
          <w:bottom w:val="single" w:sz="4" w:space="1" w:color="auto"/>
          <w:right w:val="single" w:sz="4" w:space="4" w:color="auto"/>
        </w:pBdr>
        <w:shd w:val="clear" w:color="auto" w:fill="D9D9D9"/>
        <w:ind w:right="288"/>
        <w:rPr>
          <w:rFonts w:cs="Arial"/>
          <w:color w:val="244061" w:themeColor="accent1" w:themeShade="80"/>
          <w:lang w:eastAsia="it-IT"/>
        </w:rPr>
      </w:pPr>
      <w:r w:rsidRPr="00824B8A">
        <w:rPr>
          <w:rFonts w:cs="Arial"/>
          <w:color w:val="244061" w:themeColor="accent1" w:themeShade="80"/>
          <w:lang w:eastAsia="it-IT"/>
        </w:rPr>
        <w:t xml:space="preserve">(a) </w:t>
      </w:r>
      <w:proofErr w:type="gramStart"/>
      <w:r w:rsidRPr="00824B8A">
        <w:rPr>
          <w:rFonts w:cs="Arial"/>
          <w:color w:val="244061" w:themeColor="accent1" w:themeShade="80"/>
          <w:lang w:eastAsia="it-IT"/>
        </w:rPr>
        <w:t>sales</w:t>
      </w:r>
      <w:proofErr w:type="gramEnd"/>
      <w:r w:rsidRPr="00824B8A">
        <w:rPr>
          <w:rFonts w:cs="Arial"/>
          <w:color w:val="244061" w:themeColor="accent1" w:themeShade="80"/>
          <w:lang w:eastAsia="it-IT"/>
        </w:rPr>
        <w:t xml:space="preserve"> commissio</w:t>
      </w:r>
      <w:r w:rsidR="00D65B87">
        <w:rPr>
          <w:rFonts w:cs="Arial"/>
          <w:color w:val="244061" w:themeColor="accent1" w:themeShade="80"/>
          <w:lang w:eastAsia="it-IT"/>
        </w:rPr>
        <w:t>ns (or distributor commissions), split between</w:t>
      </w:r>
      <w:r>
        <w:rPr>
          <w:rFonts w:cs="Arial"/>
          <w:color w:val="244061" w:themeColor="accent1" w:themeShade="80"/>
          <w:lang w:eastAsia="it-IT"/>
        </w:rPr>
        <w:t xml:space="preserve"> upfront sales commission</w:t>
      </w:r>
      <w:r w:rsidR="00D65B87">
        <w:rPr>
          <w:rFonts w:cs="Arial"/>
          <w:color w:val="244061" w:themeColor="accent1" w:themeShade="80"/>
          <w:lang w:eastAsia="it-IT"/>
        </w:rPr>
        <w:t>s</w:t>
      </w:r>
      <w:r>
        <w:rPr>
          <w:rFonts w:cs="Arial"/>
          <w:color w:val="244061" w:themeColor="accent1" w:themeShade="80"/>
          <w:lang w:eastAsia="it-IT"/>
        </w:rPr>
        <w:t xml:space="preserve"> and </w:t>
      </w:r>
      <w:r w:rsidRPr="00824B8A">
        <w:rPr>
          <w:rFonts w:cs="Arial"/>
          <w:color w:val="244061" w:themeColor="accent1" w:themeShade="80"/>
          <w:lang w:eastAsia="it-IT"/>
        </w:rPr>
        <w:t>running sales commission (usually there i</w:t>
      </w:r>
      <w:r w:rsidR="00D65B87">
        <w:rPr>
          <w:rFonts w:cs="Arial"/>
          <w:color w:val="244061" w:themeColor="accent1" w:themeShade="80"/>
          <w:lang w:eastAsia="it-IT"/>
        </w:rPr>
        <w:t>s no sales commission upon exit;</w:t>
      </w:r>
    </w:p>
    <w:p w:rsidR="00D4569A" w:rsidRPr="00824B8A" w:rsidRDefault="00D4569A" w:rsidP="00D4569A">
      <w:pPr>
        <w:pBdr>
          <w:top w:val="single" w:sz="4" w:space="1" w:color="auto"/>
          <w:left w:val="single" w:sz="4" w:space="4" w:color="auto"/>
          <w:bottom w:val="single" w:sz="4" w:space="1" w:color="auto"/>
          <w:right w:val="single" w:sz="4" w:space="4" w:color="auto"/>
        </w:pBdr>
        <w:shd w:val="clear" w:color="auto" w:fill="D9D9D9"/>
        <w:ind w:right="288"/>
        <w:rPr>
          <w:rFonts w:cs="Arial"/>
          <w:color w:val="244061" w:themeColor="accent1" w:themeShade="80"/>
          <w:lang w:eastAsia="it-IT"/>
        </w:rPr>
      </w:pPr>
      <w:r w:rsidRPr="00824B8A">
        <w:rPr>
          <w:rFonts w:cs="Arial"/>
          <w:color w:val="244061" w:themeColor="accent1" w:themeShade="80"/>
          <w:lang w:eastAsia="it-IT"/>
        </w:rPr>
        <w:t xml:space="preserve">(b) </w:t>
      </w:r>
      <w:proofErr w:type="gramStart"/>
      <w:r w:rsidRPr="00824B8A">
        <w:rPr>
          <w:rFonts w:cs="Arial"/>
          <w:color w:val="244061" w:themeColor="accent1" w:themeShade="80"/>
          <w:lang w:eastAsia="it-IT"/>
        </w:rPr>
        <w:t>structuring</w:t>
      </w:r>
      <w:proofErr w:type="gramEnd"/>
      <w:r w:rsidRPr="00824B8A">
        <w:rPr>
          <w:rFonts w:cs="Arial"/>
          <w:color w:val="244061" w:themeColor="accent1" w:themeShade="80"/>
          <w:lang w:eastAsia="it-IT"/>
        </w:rPr>
        <w:t xml:space="preserve"> cost</w:t>
      </w:r>
      <w:r w:rsidR="00D65B87">
        <w:rPr>
          <w:rFonts w:cs="Arial"/>
          <w:color w:val="244061" w:themeColor="accent1" w:themeShade="80"/>
          <w:lang w:eastAsia="it-IT"/>
        </w:rPr>
        <w:t>s</w:t>
      </w:r>
      <w:r w:rsidRPr="00824B8A">
        <w:rPr>
          <w:rFonts w:cs="Arial"/>
          <w:color w:val="244061" w:themeColor="accent1" w:themeShade="80"/>
          <w:lang w:eastAsia="it-IT"/>
        </w:rPr>
        <w:t xml:space="preserve"> (also called "manufacturing cost")</w:t>
      </w:r>
      <w:r>
        <w:rPr>
          <w:rFonts w:cs="Arial"/>
          <w:color w:val="244061" w:themeColor="accent1" w:themeShade="80"/>
          <w:lang w:eastAsia="it-IT"/>
        </w:rPr>
        <w:t xml:space="preserve"> </w:t>
      </w:r>
      <w:r w:rsidR="00D65B87">
        <w:rPr>
          <w:rFonts w:cs="Arial"/>
          <w:color w:val="244061" w:themeColor="accent1" w:themeShade="80"/>
          <w:lang w:eastAsia="it-IT"/>
        </w:rPr>
        <w:t>split between</w:t>
      </w:r>
      <w:r w:rsidRPr="00824B8A">
        <w:rPr>
          <w:rFonts w:cs="Arial"/>
          <w:color w:val="244061" w:themeColor="accent1" w:themeShade="80"/>
          <w:lang w:eastAsia="it-IT"/>
        </w:rPr>
        <w:t xml:space="preserve"> upfront manufacturing cost</w:t>
      </w:r>
      <w:r w:rsidR="00D65B87">
        <w:rPr>
          <w:rFonts w:cs="Arial"/>
          <w:color w:val="244061" w:themeColor="accent1" w:themeShade="80"/>
          <w:lang w:eastAsia="it-IT"/>
        </w:rPr>
        <w:t>s</w:t>
      </w:r>
      <w:r w:rsidRPr="00824B8A">
        <w:rPr>
          <w:rFonts w:cs="Arial"/>
          <w:color w:val="244061" w:themeColor="accent1" w:themeShade="80"/>
          <w:lang w:eastAsia="it-IT"/>
        </w:rPr>
        <w:t>, running manufacturing cost and exit charge</w:t>
      </w:r>
      <w:r w:rsidR="00D65B87">
        <w:rPr>
          <w:rFonts w:cs="Arial"/>
          <w:color w:val="244061" w:themeColor="accent1" w:themeShade="80"/>
          <w:lang w:eastAsia="it-IT"/>
        </w:rPr>
        <w:t>s</w:t>
      </w:r>
      <w:r w:rsidRPr="00824B8A">
        <w:rPr>
          <w:rFonts w:cs="Arial"/>
          <w:color w:val="244061" w:themeColor="accent1" w:themeShade="80"/>
          <w:lang w:eastAsia="it-IT"/>
        </w:rPr>
        <w:t xml:space="preserve"> if any</w:t>
      </w:r>
      <w:r>
        <w:rPr>
          <w:rFonts w:cs="Arial"/>
          <w:color w:val="244061" w:themeColor="accent1" w:themeShade="80"/>
          <w:lang w:eastAsia="it-IT"/>
        </w:rPr>
        <w:t>.</w:t>
      </w:r>
    </w:p>
    <w:p w:rsidR="00D65B87" w:rsidRDefault="00D65B87"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
    <w:p w:rsidR="00D65B87" w:rsidRDefault="00D65B87"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Pr>
          <w:rFonts w:cs="Arial"/>
          <w:color w:val="244061" w:themeColor="accent1" w:themeShade="80"/>
          <w:lang w:eastAsia="it-IT"/>
        </w:rPr>
        <w:t>A</w:t>
      </w:r>
      <w:r w:rsidRPr="00824B8A">
        <w:rPr>
          <w:rFonts w:cs="Arial"/>
          <w:color w:val="244061" w:themeColor="accent1" w:themeShade="80"/>
          <w:lang w:eastAsia="it-IT"/>
        </w:rPr>
        <w:t xml:space="preserve">ll other </w:t>
      </w:r>
      <w:r>
        <w:rPr>
          <w:rFonts w:cs="Arial"/>
          <w:color w:val="244061" w:themeColor="accent1" w:themeShade="80"/>
          <w:lang w:eastAsia="it-IT"/>
        </w:rPr>
        <w:t>items listed in the TDP should be</w:t>
      </w:r>
      <w:r w:rsidRPr="00824B8A">
        <w:rPr>
          <w:rFonts w:cs="Arial"/>
          <w:color w:val="244061" w:themeColor="accent1" w:themeShade="80"/>
          <w:lang w:eastAsia="it-IT"/>
        </w:rPr>
        <w:t xml:space="preserve"> excluded</w:t>
      </w:r>
      <w:r>
        <w:rPr>
          <w:rFonts w:cs="Arial"/>
          <w:color w:val="244061" w:themeColor="accent1" w:themeShade="80"/>
          <w:lang w:eastAsia="it-IT"/>
        </w:rPr>
        <w:t>,</w:t>
      </w:r>
      <w:r w:rsidRPr="00824B8A">
        <w:rPr>
          <w:rFonts w:cs="Arial"/>
          <w:color w:val="244061" w:themeColor="accent1" w:themeShade="80"/>
          <w:lang w:eastAsia="it-IT"/>
        </w:rPr>
        <w:t xml:space="preserve"> as they are not </w:t>
      </w:r>
      <w:r>
        <w:rPr>
          <w:rFonts w:cs="Arial"/>
          <w:color w:val="244061" w:themeColor="accent1" w:themeShade="80"/>
          <w:lang w:eastAsia="it-IT"/>
        </w:rPr>
        <w:t xml:space="preserve">costs </w:t>
      </w:r>
      <w:r w:rsidRPr="00824B8A">
        <w:rPr>
          <w:rFonts w:cs="Arial"/>
          <w:color w:val="244061" w:themeColor="accent1" w:themeShade="80"/>
          <w:lang w:eastAsia="it-IT"/>
        </w:rPr>
        <w:t>supported by the investor</w:t>
      </w:r>
      <w:r>
        <w:rPr>
          <w:rFonts w:cs="Arial"/>
          <w:color w:val="244061" w:themeColor="accent1" w:themeShade="80"/>
          <w:lang w:eastAsia="it-IT"/>
        </w:rPr>
        <w:t>.</w:t>
      </w:r>
    </w:p>
    <w:p w:rsidR="00D65B87" w:rsidRDefault="00D65B87"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
    <w:p w:rsidR="00D4569A" w:rsidRDefault="00D4569A" w:rsidP="00D4569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sidRPr="005C6042">
        <w:rPr>
          <w:rFonts w:cs="Arial"/>
          <w:color w:val="244061" w:themeColor="accent1" w:themeShade="80"/>
          <w:lang w:eastAsia="it-IT"/>
        </w:rPr>
        <w:t>Some</w:t>
      </w:r>
      <w:r w:rsidR="00E136BE" w:rsidRPr="005C6042">
        <w:rPr>
          <w:rFonts w:cs="Arial"/>
          <w:color w:val="244061" w:themeColor="accent1" w:themeShade="80"/>
          <w:lang w:eastAsia="it-IT"/>
        </w:rPr>
        <w:t xml:space="preserve"> concrete</w:t>
      </w:r>
      <w:r w:rsidRPr="005C6042">
        <w:rPr>
          <w:rFonts w:cs="Arial"/>
          <w:color w:val="244061" w:themeColor="accent1" w:themeShade="80"/>
          <w:lang w:eastAsia="it-IT"/>
        </w:rPr>
        <w:t xml:space="preserve"> </w:t>
      </w:r>
      <w:r w:rsidR="004C61E7" w:rsidRPr="005C6042">
        <w:rPr>
          <w:rFonts w:cs="Arial"/>
          <w:color w:val="244061" w:themeColor="accent1" w:themeShade="80"/>
          <w:lang w:eastAsia="it-IT"/>
        </w:rPr>
        <w:t>examples</w:t>
      </w:r>
      <w:r w:rsidRPr="005C6042">
        <w:rPr>
          <w:rFonts w:cs="Arial"/>
          <w:color w:val="244061" w:themeColor="accent1" w:themeShade="80"/>
          <w:lang w:eastAsia="it-IT"/>
        </w:rPr>
        <w:t xml:space="preserve"> would be welcome </w:t>
      </w:r>
      <w:r w:rsidR="004C61E7" w:rsidRPr="005C6042">
        <w:rPr>
          <w:rFonts w:cs="Arial"/>
          <w:color w:val="244061" w:themeColor="accent1" w:themeShade="80"/>
          <w:lang w:eastAsia="it-IT"/>
        </w:rPr>
        <w:t xml:space="preserve">in the RTS or the final consultation paper </w:t>
      </w:r>
      <w:r w:rsidRPr="005C6042">
        <w:rPr>
          <w:rFonts w:cs="Arial"/>
          <w:color w:val="244061" w:themeColor="accent1" w:themeShade="80"/>
          <w:lang w:eastAsia="it-IT"/>
        </w:rPr>
        <w:t>on the comp</w:t>
      </w:r>
      <w:r w:rsidRPr="005C6042">
        <w:rPr>
          <w:rFonts w:cs="Arial"/>
          <w:color w:val="244061" w:themeColor="accent1" w:themeShade="80"/>
          <w:lang w:eastAsia="it-IT"/>
        </w:rPr>
        <w:t>u</w:t>
      </w:r>
      <w:r w:rsidRPr="005C6042">
        <w:rPr>
          <w:rFonts w:cs="Arial"/>
          <w:color w:val="244061" w:themeColor="accent1" w:themeShade="80"/>
          <w:lang w:eastAsia="it-IT"/>
        </w:rPr>
        <w:t>tation of these costs</w:t>
      </w:r>
      <w:r w:rsidR="00E136BE" w:rsidRPr="005C6042">
        <w:rPr>
          <w:rFonts w:cs="Arial"/>
          <w:color w:val="244061" w:themeColor="accent1" w:themeShade="80"/>
          <w:lang w:eastAsia="it-IT"/>
        </w:rPr>
        <w:t xml:space="preserve"> for different types of given products</w:t>
      </w:r>
      <w:r w:rsidR="004C61E7" w:rsidRPr="005C6042">
        <w:rPr>
          <w:rFonts w:cs="Arial"/>
          <w:color w:val="244061" w:themeColor="accent1" w:themeShade="80"/>
          <w:lang w:eastAsia="it-IT"/>
        </w:rPr>
        <w:t xml:space="preserve">, as the development in the TDP seems quite </w:t>
      </w:r>
      <w:r w:rsidR="00E136BE" w:rsidRPr="005C6042">
        <w:rPr>
          <w:rFonts w:cs="Arial"/>
          <w:color w:val="244061" w:themeColor="accent1" w:themeShade="80"/>
          <w:lang w:eastAsia="it-IT"/>
        </w:rPr>
        <w:t>abstract</w:t>
      </w:r>
      <w:r w:rsidRPr="005C6042">
        <w:rPr>
          <w:rFonts w:cs="Arial"/>
          <w:color w:val="244061" w:themeColor="accent1" w:themeShade="80"/>
          <w:lang w:eastAsia="it-IT"/>
        </w:rPr>
        <w:t xml:space="preserve"> (</w:t>
      </w:r>
      <w:r w:rsidR="00E136BE" w:rsidRPr="005C6042">
        <w:rPr>
          <w:rFonts w:cs="Arial"/>
          <w:color w:val="244061" w:themeColor="accent1" w:themeShade="80"/>
          <w:lang w:eastAsia="it-IT"/>
        </w:rPr>
        <w:t xml:space="preserve">we would consider that </w:t>
      </w:r>
      <w:r w:rsidRPr="005C6042">
        <w:rPr>
          <w:rFonts w:cs="Arial"/>
          <w:color w:val="244061" w:themeColor="accent1" w:themeShade="80"/>
          <w:lang w:eastAsia="it-IT"/>
        </w:rPr>
        <w:t>sales commissions = distribu</w:t>
      </w:r>
      <w:r w:rsidR="00E136BE" w:rsidRPr="005C6042">
        <w:rPr>
          <w:rFonts w:cs="Arial"/>
          <w:color w:val="244061" w:themeColor="accent1" w:themeShade="80"/>
          <w:lang w:eastAsia="it-IT"/>
        </w:rPr>
        <w:t>tion fees and</w:t>
      </w:r>
      <w:r w:rsidRPr="005C6042">
        <w:rPr>
          <w:rFonts w:cs="Arial"/>
          <w:color w:val="244061" w:themeColor="accent1" w:themeShade="80"/>
          <w:lang w:eastAsia="it-IT"/>
        </w:rPr>
        <w:t xml:space="preserve"> structuring cost = margin generating revenue for the manufac</w:t>
      </w:r>
      <w:r w:rsidR="004C61E7" w:rsidRPr="005C6042">
        <w:rPr>
          <w:rFonts w:cs="Arial"/>
          <w:color w:val="244061" w:themeColor="accent1" w:themeShade="80"/>
          <w:lang w:eastAsia="it-IT"/>
        </w:rPr>
        <w:t>turer</w:t>
      </w:r>
      <w:r w:rsidRPr="005C6042">
        <w:rPr>
          <w:rFonts w:cs="Arial"/>
          <w:color w:val="244061" w:themeColor="accent1" w:themeShade="80"/>
          <w:lang w:eastAsia="it-IT"/>
        </w:rPr>
        <w:t>).</w:t>
      </w:r>
    </w:p>
    <w:permEnd w:id="72"/>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192013" w:rsidRDefault="00192013" w:rsidP="00192013">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ermStart w:id="73" w:edGrp="everyone"/>
      <w:r w:rsidRPr="00824B8A">
        <w:rPr>
          <w:rFonts w:cs="Arial"/>
          <w:color w:val="244061" w:themeColor="accent1" w:themeShade="80"/>
          <w:lang w:eastAsia="it-IT"/>
        </w:rPr>
        <w:t xml:space="preserve">No, we would include only the </w:t>
      </w:r>
      <w:r>
        <w:rPr>
          <w:rFonts w:cs="Arial"/>
          <w:color w:val="244061" w:themeColor="accent1" w:themeShade="80"/>
          <w:lang w:eastAsia="it-IT"/>
        </w:rPr>
        <w:t>two cost components</w:t>
      </w:r>
      <w:r w:rsidRPr="00824B8A">
        <w:rPr>
          <w:rFonts w:cs="Arial"/>
          <w:color w:val="244061" w:themeColor="accent1" w:themeShade="80"/>
          <w:lang w:eastAsia="it-IT"/>
        </w:rPr>
        <w:t xml:space="preserve"> mentioned in our answer to Q64, as these are the only </w:t>
      </w:r>
      <w:r>
        <w:rPr>
          <w:rFonts w:cs="Arial"/>
          <w:color w:val="244061" w:themeColor="accent1" w:themeShade="80"/>
          <w:lang w:eastAsia="it-IT"/>
        </w:rPr>
        <w:t>costs</w:t>
      </w:r>
      <w:r w:rsidRPr="00824B8A">
        <w:rPr>
          <w:rFonts w:cs="Arial"/>
          <w:color w:val="244061" w:themeColor="accent1" w:themeShade="80"/>
          <w:lang w:eastAsia="it-IT"/>
        </w:rPr>
        <w:t xml:space="preserve"> </w:t>
      </w:r>
      <w:r>
        <w:rPr>
          <w:rFonts w:cs="Arial"/>
          <w:color w:val="244061" w:themeColor="accent1" w:themeShade="80"/>
          <w:lang w:eastAsia="it-IT"/>
        </w:rPr>
        <w:t>passed on to</w:t>
      </w:r>
      <w:r w:rsidRPr="00824B8A">
        <w:rPr>
          <w:rFonts w:cs="Arial"/>
          <w:color w:val="244061" w:themeColor="accent1" w:themeShade="80"/>
          <w:lang w:eastAsia="it-IT"/>
        </w:rPr>
        <w:t xml:space="preserve"> the investors</w:t>
      </w:r>
      <w:r>
        <w:rPr>
          <w:rFonts w:cs="Arial"/>
          <w:color w:val="244061" w:themeColor="accent1" w:themeShade="80"/>
          <w:lang w:eastAsia="it-IT"/>
        </w:rPr>
        <w:t>.</w:t>
      </w:r>
    </w:p>
    <w:permEnd w:id="73"/>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192013" w:rsidRPr="00824B8A" w:rsidRDefault="00974578" w:rsidP="00192013">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ermStart w:id="74" w:edGrp="everyone"/>
      <w:r>
        <w:rPr>
          <w:rFonts w:cs="Arial"/>
          <w:color w:val="244061" w:themeColor="accent1" w:themeShade="80"/>
          <w:lang w:eastAsia="it-IT"/>
        </w:rPr>
        <w:t>The c</w:t>
      </w:r>
      <w:r w:rsidR="00192013" w:rsidRPr="00824B8A">
        <w:rPr>
          <w:rFonts w:cs="Arial"/>
          <w:color w:val="244061" w:themeColor="accent1" w:themeShade="80"/>
          <w:lang w:eastAsia="it-IT"/>
        </w:rPr>
        <w:t xml:space="preserve">ost of the underlying (e.g. index licence cost) is a cost borne by the manufacturer, implicitly included in the </w:t>
      </w:r>
      <w:r>
        <w:rPr>
          <w:rFonts w:cs="Arial"/>
          <w:color w:val="244061" w:themeColor="accent1" w:themeShade="80"/>
          <w:lang w:eastAsia="it-IT"/>
        </w:rPr>
        <w:t>direct c</w:t>
      </w:r>
      <w:r w:rsidR="00192013" w:rsidRPr="00824B8A">
        <w:rPr>
          <w:rFonts w:cs="Arial"/>
          <w:color w:val="244061" w:themeColor="accent1" w:themeShade="80"/>
          <w:lang w:eastAsia="it-IT"/>
        </w:rPr>
        <w:t xml:space="preserve">osts </w:t>
      </w:r>
      <w:r w:rsidR="00E136BE">
        <w:rPr>
          <w:rFonts w:cs="Arial"/>
          <w:color w:val="244061" w:themeColor="accent1" w:themeShade="80"/>
          <w:lang w:eastAsia="it-IT"/>
        </w:rPr>
        <w:t xml:space="preserve">(see our answer to Q59) </w:t>
      </w:r>
      <w:r w:rsidR="00192013" w:rsidRPr="00824B8A">
        <w:rPr>
          <w:rFonts w:cs="Arial"/>
          <w:color w:val="244061" w:themeColor="accent1" w:themeShade="80"/>
          <w:lang w:eastAsia="it-IT"/>
        </w:rPr>
        <w:t>and priced upfront.</w:t>
      </w:r>
    </w:p>
    <w:p w:rsidR="00192013" w:rsidRDefault="00192013" w:rsidP="00192013">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sidRPr="00824B8A">
        <w:rPr>
          <w:rFonts w:cs="Arial"/>
          <w:color w:val="244061" w:themeColor="accent1" w:themeShade="80"/>
          <w:lang w:eastAsia="it-IT"/>
        </w:rPr>
        <w:t>It should not be included in</w:t>
      </w:r>
      <w:r w:rsidR="00974578">
        <w:rPr>
          <w:rFonts w:cs="Arial"/>
          <w:color w:val="244061" w:themeColor="accent1" w:themeShade="80"/>
          <w:lang w:eastAsia="it-IT"/>
        </w:rPr>
        <w:t xml:space="preserve"> the </w:t>
      </w:r>
      <w:r w:rsidRPr="00824B8A">
        <w:rPr>
          <w:rFonts w:cs="Arial"/>
          <w:color w:val="244061" w:themeColor="accent1" w:themeShade="80"/>
          <w:lang w:eastAsia="it-IT"/>
        </w:rPr>
        <w:t>on-going costs.</w:t>
      </w:r>
    </w:p>
    <w:permEnd w:id="74"/>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974578" w:rsidRDefault="0097457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75" w:edGrp="everyone"/>
      <w:r>
        <w:rPr>
          <w:rFonts w:cs="Arial"/>
          <w:color w:val="244061" w:themeColor="accent1" w:themeShade="80"/>
        </w:rPr>
        <w:t>AMAFI</w:t>
      </w:r>
      <w:r w:rsidRPr="00DC5DF6">
        <w:rPr>
          <w:rFonts w:cs="Arial"/>
          <w:color w:val="244061" w:themeColor="accent1" w:themeShade="80"/>
        </w:rPr>
        <w:t xml:space="preserve"> do</w:t>
      </w:r>
      <w:r>
        <w:rPr>
          <w:rFonts w:cs="Arial"/>
          <w:color w:val="244061" w:themeColor="accent1" w:themeShade="80"/>
        </w:rPr>
        <w:t>es</w:t>
      </w:r>
      <w:r w:rsidRPr="00DC5DF6">
        <w:rPr>
          <w:rFonts w:cs="Arial"/>
          <w:color w:val="244061" w:themeColor="accent1" w:themeShade="80"/>
        </w:rPr>
        <w:t xml:space="preserve"> not fo</w:t>
      </w:r>
      <w:r>
        <w:rPr>
          <w:rFonts w:cs="Arial"/>
          <w:color w:val="244061" w:themeColor="accent1" w:themeShade="80"/>
        </w:rPr>
        <w:t>resee any issue with the amortis</w:t>
      </w:r>
      <w:r w:rsidRPr="00DC5DF6">
        <w:rPr>
          <w:rFonts w:cs="Arial"/>
          <w:color w:val="244061" w:themeColor="accent1" w:themeShade="80"/>
        </w:rPr>
        <w:t>ation of entry cost</w:t>
      </w:r>
      <w:r>
        <w:rPr>
          <w:rFonts w:cs="Arial"/>
          <w:color w:val="244061" w:themeColor="accent1" w:themeShade="80"/>
        </w:rPr>
        <w:t>s</w:t>
      </w:r>
      <w:r w:rsidRPr="00DC5DF6">
        <w:rPr>
          <w:rFonts w:cs="Arial"/>
          <w:color w:val="244061" w:themeColor="accent1" w:themeShade="80"/>
        </w:rPr>
        <w:t xml:space="preserve">. </w:t>
      </w:r>
      <w:r>
        <w:rPr>
          <w:rFonts w:cs="Arial"/>
          <w:color w:val="244061" w:themeColor="accent1" w:themeShade="80"/>
        </w:rPr>
        <w:t xml:space="preserve">If issues have been identified by the Joint Committee, it would be helpful to have examples to discuss. </w:t>
      </w:r>
    </w:p>
    <w:p w:rsidR="00974578" w:rsidRDefault="0097457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
    <w:p w:rsidR="00974578" w:rsidRDefault="0097457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Pr>
          <w:rFonts w:cs="Arial"/>
          <w:color w:val="244061" w:themeColor="accent1" w:themeShade="80"/>
        </w:rPr>
        <w:t>AMAFI believes the</w:t>
      </w:r>
      <w:r w:rsidRPr="00DC5DF6">
        <w:rPr>
          <w:rFonts w:cs="Arial"/>
          <w:color w:val="244061" w:themeColor="accent1" w:themeShade="80"/>
        </w:rPr>
        <w:t xml:space="preserve"> term </w:t>
      </w:r>
      <w:r>
        <w:rPr>
          <w:rFonts w:cs="Arial"/>
          <w:color w:val="244061" w:themeColor="accent1" w:themeShade="80"/>
        </w:rPr>
        <w:t>“</w:t>
      </w:r>
      <w:r w:rsidRPr="00DC5DF6">
        <w:rPr>
          <w:rFonts w:cs="Arial"/>
          <w:color w:val="244061" w:themeColor="accent1" w:themeShade="80"/>
        </w:rPr>
        <w:t>invested capital</w:t>
      </w:r>
      <w:r>
        <w:rPr>
          <w:rFonts w:cs="Arial"/>
          <w:color w:val="244061" w:themeColor="accent1" w:themeShade="80"/>
        </w:rPr>
        <w:t>”</w:t>
      </w:r>
      <w:r w:rsidRPr="00DC5DF6">
        <w:rPr>
          <w:rFonts w:cs="Arial"/>
          <w:color w:val="244061" w:themeColor="accent1" w:themeShade="80"/>
        </w:rPr>
        <w:t xml:space="preserve"> is misleading</w:t>
      </w:r>
      <w:r>
        <w:rPr>
          <w:rFonts w:cs="Arial"/>
          <w:color w:val="244061" w:themeColor="accent1" w:themeShade="80"/>
        </w:rPr>
        <w:t xml:space="preserve"> for structured </w:t>
      </w:r>
      <w:r w:rsidR="004C61E7">
        <w:rPr>
          <w:rFonts w:cs="Arial"/>
          <w:color w:val="244061" w:themeColor="accent1" w:themeShade="80"/>
        </w:rPr>
        <w:t>products:</w:t>
      </w:r>
      <w:r>
        <w:rPr>
          <w:rFonts w:cs="Arial"/>
          <w:color w:val="244061" w:themeColor="accent1" w:themeShade="80"/>
        </w:rPr>
        <w:t xml:space="preserve"> </w:t>
      </w:r>
    </w:p>
    <w:p w:rsidR="00974578" w:rsidRPr="00DC5DF6" w:rsidRDefault="0097457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Pr>
          <w:rFonts w:cs="Arial"/>
          <w:color w:val="244061" w:themeColor="accent1" w:themeShade="80"/>
        </w:rPr>
        <w:t xml:space="preserve">- </w:t>
      </w:r>
      <w:r w:rsidR="003F1148">
        <w:rPr>
          <w:rFonts w:cs="Arial"/>
          <w:color w:val="244061" w:themeColor="accent1" w:themeShade="80"/>
        </w:rPr>
        <w:t xml:space="preserve">Notional invested or </w:t>
      </w:r>
      <w:proofErr w:type="gramStart"/>
      <w:r w:rsidR="003F1148">
        <w:rPr>
          <w:rFonts w:cs="Arial"/>
          <w:color w:val="244061" w:themeColor="accent1" w:themeShade="80"/>
        </w:rPr>
        <w:t>d</w:t>
      </w:r>
      <w:r w:rsidRPr="00DC5DF6">
        <w:rPr>
          <w:rFonts w:cs="Arial"/>
          <w:color w:val="244061" w:themeColor="accent1" w:themeShade="80"/>
        </w:rPr>
        <w:t>enomination are</w:t>
      </w:r>
      <w:proofErr w:type="gramEnd"/>
      <w:r w:rsidRPr="00DC5DF6">
        <w:rPr>
          <w:rFonts w:cs="Arial"/>
          <w:color w:val="244061" w:themeColor="accent1" w:themeShade="80"/>
        </w:rPr>
        <w:t xml:space="preserve"> the correct legal terms which should be used</w:t>
      </w:r>
      <w:r>
        <w:rPr>
          <w:rFonts w:cs="Arial"/>
          <w:color w:val="244061" w:themeColor="accent1" w:themeShade="80"/>
        </w:rPr>
        <w:t>: t</w:t>
      </w:r>
      <w:r w:rsidRPr="00DC5DF6">
        <w:rPr>
          <w:rFonts w:cs="Arial"/>
          <w:color w:val="244061" w:themeColor="accent1" w:themeShade="80"/>
        </w:rPr>
        <w:t xml:space="preserve">he payoff of the </w:t>
      </w:r>
      <w:r>
        <w:rPr>
          <w:rFonts w:cs="Arial"/>
          <w:color w:val="244061" w:themeColor="accent1" w:themeShade="80"/>
        </w:rPr>
        <w:t>structured products</w:t>
      </w:r>
      <w:r w:rsidRPr="00DC5DF6">
        <w:rPr>
          <w:rFonts w:cs="Arial"/>
          <w:color w:val="244061" w:themeColor="accent1" w:themeShade="80"/>
        </w:rPr>
        <w:t xml:space="preserve"> </w:t>
      </w:r>
      <w:r w:rsidR="003F1148">
        <w:rPr>
          <w:rFonts w:cs="Arial"/>
          <w:color w:val="244061" w:themeColor="accent1" w:themeShade="80"/>
        </w:rPr>
        <w:t>is based on the n</w:t>
      </w:r>
      <w:r>
        <w:rPr>
          <w:rFonts w:cs="Arial"/>
          <w:color w:val="244061" w:themeColor="accent1" w:themeShade="80"/>
        </w:rPr>
        <w:t>otional</w:t>
      </w:r>
      <w:r w:rsidRPr="00DC5DF6">
        <w:rPr>
          <w:rFonts w:cs="Arial"/>
          <w:color w:val="244061" w:themeColor="accent1" w:themeShade="80"/>
        </w:rPr>
        <w:t>, which may be different from the invested capital</w:t>
      </w:r>
      <w:r w:rsidR="003F1148">
        <w:rPr>
          <w:rFonts w:cs="Arial"/>
          <w:color w:val="244061" w:themeColor="accent1" w:themeShade="80"/>
        </w:rPr>
        <w:t xml:space="preserve"> </w:t>
      </w:r>
      <w:r>
        <w:rPr>
          <w:rFonts w:cs="Arial"/>
          <w:color w:val="244061" w:themeColor="accent1" w:themeShade="80"/>
        </w:rPr>
        <w:t xml:space="preserve">defined as </w:t>
      </w:r>
      <w:r w:rsidRPr="00DC5DF6">
        <w:rPr>
          <w:rFonts w:cs="Arial"/>
          <w:color w:val="244061" w:themeColor="accent1" w:themeShade="80"/>
        </w:rPr>
        <w:t xml:space="preserve">purchase price </w:t>
      </w:r>
      <w:r w:rsidR="003F1148">
        <w:rPr>
          <w:rFonts w:cs="Arial"/>
          <w:color w:val="244061" w:themeColor="accent1" w:themeShade="80"/>
        </w:rPr>
        <w:t>* n</w:t>
      </w:r>
      <w:r>
        <w:rPr>
          <w:rFonts w:cs="Arial"/>
          <w:color w:val="244061" w:themeColor="accent1" w:themeShade="80"/>
        </w:rPr>
        <w:t xml:space="preserve">otional. </w:t>
      </w:r>
    </w:p>
    <w:p w:rsidR="00974578" w:rsidRDefault="0097457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Pr>
          <w:rFonts w:cs="Arial"/>
          <w:color w:val="244061" w:themeColor="accent1" w:themeShade="80"/>
        </w:rPr>
        <w:t xml:space="preserve">- </w:t>
      </w:r>
      <w:r w:rsidRPr="00DC5DF6">
        <w:rPr>
          <w:rFonts w:cs="Arial"/>
          <w:color w:val="244061" w:themeColor="accent1" w:themeShade="80"/>
        </w:rPr>
        <w:t>For products "in units" (i.e.</w:t>
      </w:r>
      <w:r>
        <w:rPr>
          <w:rFonts w:cs="Arial"/>
          <w:color w:val="244061" w:themeColor="accent1" w:themeShade="80"/>
        </w:rPr>
        <w:t xml:space="preserve"> </w:t>
      </w:r>
      <w:r w:rsidRPr="00DC5DF6">
        <w:rPr>
          <w:rFonts w:cs="Arial"/>
          <w:color w:val="244061" w:themeColor="accent1" w:themeShade="80"/>
        </w:rPr>
        <w:t xml:space="preserve">without a denomination such as </w:t>
      </w:r>
      <w:r w:rsidR="003F1148">
        <w:rPr>
          <w:rFonts w:cs="Arial"/>
          <w:color w:val="244061" w:themeColor="accent1" w:themeShade="80"/>
        </w:rPr>
        <w:t>a c</w:t>
      </w:r>
      <w:r w:rsidRPr="00DC5DF6">
        <w:rPr>
          <w:rFonts w:cs="Arial"/>
          <w:color w:val="244061" w:themeColor="accent1" w:themeShade="80"/>
        </w:rPr>
        <w:t xml:space="preserve">all paying absolute difference between </w:t>
      </w:r>
      <w:r w:rsidR="003F1148">
        <w:rPr>
          <w:rFonts w:cs="Arial"/>
          <w:color w:val="244061" w:themeColor="accent1" w:themeShade="80"/>
        </w:rPr>
        <w:t xml:space="preserve">spot and strike), </w:t>
      </w:r>
      <w:proofErr w:type="gramStart"/>
      <w:r w:rsidR="003F1148">
        <w:rPr>
          <w:rFonts w:cs="Arial"/>
          <w:color w:val="244061" w:themeColor="accent1" w:themeShade="80"/>
        </w:rPr>
        <w:t>an</w:t>
      </w:r>
      <w:proofErr w:type="gramEnd"/>
      <w:r w:rsidR="003F1148">
        <w:rPr>
          <w:rFonts w:cs="Arial"/>
          <w:color w:val="244061" w:themeColor="accent1" w:themeShade="80"/>
        </w:rPr>
        <w:t xml:space="preserve"> hypothetical d</w:t>
      </w:r>
      <w:r w:rsidRPr="00DC5DF6">
        <w:rPr>
          <w:rFonts w:cs="Arial"/>
          <w:color w:val="244061" w:themeColor="accent1" w:themeShade="80"/>
        </w:rPr>
        <w:t xml:space="preserve">enomination could be set </w:t>
      </w:r>
      <w:r w:rsidR="003F1148">
        <w:rPr>
          <w:rFonts w:cs="Arial"/>
          <w:color w:val="244061" w:themeColor="accent1" w:themeShade="80"/>
        </w:rPr>
        <w:t>at</w:t>
      </w:r>
      <w:r w:rsidRPr="00DC5DF6">
        <w:rPr>
          <w:rFonts w:cs="Arial"/>
          <w:color w:val="244061" w:themeColor="accent1" w:themeShade="80"/>
        </w:rPr>
        <w:t xml:space="preserve"> the </w:t>
      </w:r>
      <w:r w:rsidR="003F1148">
        <w:rPr>
          <w:rFonts w:cs="Arial"/>
          <w:color w:val="244061" w:themeColor="accent1" w:themeShade="80"/>
        </w:rPr>
        <w:t>s</w:t>
      </w:r>
      <w:r w:rsidRPr="00DC5DF6">
        <w:rPr>
          <w:rFonts w:cs="Arial"/>
          <w:color w:val="244061" w:themeColor="accent1" w:themeShade="80"/>
        </w:rPr>
        <w:t xml:space="preserve">trike level, so that </w:t>
      </w:r>
      <w:r w:rsidR="003F1148">
        <w:rPr>
          <w:rFonts w:cs="Arial"/>
          <w:color w:val="244061" w:themeColor="accent1" w:themeShade="80"/>
        </w:rPr>
        <w:t xml:space="preserve">the </w:t>
      </w:r>
      <w:r w:rsidRPr="00DC5DF6">
        <w:rPr>
          <w:rFonts w:cs="Arial"/>
          <w:color w:val="244061" w:themeColor="accent1" w:themeShade="80"/>
        </w:rPr>
        <w:t>payoff is express</w:t>
      </w:r>
      <w:r>
        <w:rPr>
          <w:rFonts w:cs="Arial"/>
          <w:color w:val="244061" w:themeColor="accent1" w:themeShade="80"/>
        </w:rPr>
        <w:t xml:space="preserve">ed </w:t>
      </w:r>
      <w:r w:rsidR="003F1148">
        <w:rPr>
          <w:rFonts w:cs="Arial"/>
          <w:color w:val="244061" w:themeColor="accent1" w:themeShade="80"/>
        </w:rPr>
        <w:t>as a</w:t>
      </w:r>
      <w:r>
        <w:rPr>
          <w:rFonts w:cs="Arial"/>
          <w:color w:val="244061" w:themeColor="accent1" w:themeShade="80"/>
        </w:rPr>
        <w:t xml:space="preserve"> percentage of the </w:t>
      </w:r>
      <w:r w:rsidR="003F1148">
        <w:rPr>
          <w:rFonts w:cs="Arial"/>
          <w:color w:val="244061" w:themeColor="accent1" w:themeShade="80"/>
        </w:rPr>
        <w:t>s</w:t>
      </w:r>
      <w:r>
        <w:rPr>
          <w:rFonts w:cs="Arial"/>
          <w:color w:val="244061" w:themeColor="accent1" w:themeShade="80"/>
        </w:rPr>
        <w:t>trike.</w:t>
      </w:r>
    </w:p>
    <w:p w:rsidR="003F1148" w:rsidRPr="00DC5DF6" w:rsidRDefault="003F114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
    <w:p w:rsidR="00974578" w:rsidRDefault="003F1148" w:rsidP="0097457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Pr>
          <w:rFonts w:cs="Arial"/>
          <w:color w:val="244061" w:themeColor="accent1" w:themeShade="80"/>
        </w:rPr>
        <w:t>As long as the d</w:t>
      </w:r>
      <w:r w:rsidR="00974578" w:rsidRPr="00DC5DF6">
        <w:rPr>
          <w:rFonts w:cs="Arial"/>
          <w:color w:val="244061" w:themeColor="accent1" w:themeShade="80"/>
        </w:rPr>
        <w:t xml:space="preserve">enomination of the </w:t>
      </w:r>
      <w:r>
        <w:rPr>
          <w:rFonts w:cs="Arial"/>
          <w:color w:val="244061" w:themeColor="accent1" w:themeShade="80"/>
        </w:rPr>
        <w:t>s</w:t>
      </w:r>
      <w:r w:rsidR="00974578" w:rsidRPr="00DC5DF6">
        <w:rPr>
          <w:rFonts w:cs="Arial"/>
          <w:color w:val="244061" w:themeColor="accent1" w:themeShade="80"/>
        </w:rPr>
        <w:t>ecurity, or</w:t>
      </w:r>
      <w:r>
        <w:rPr>
          <w:rFonts w:cs="Arial"/>
          <w:color w:val="244061" w:themeColor="accent1" w:themeShade="80"/>
        </w:rPr>
        <w:t xml:space="preserve"> the notional i</w:t>
      </w:r>
      <w:r w:rsidR="00974578" w:rsidRPr="00DC5DF6">
        <w:rPr>
          <w:rFonts w:cs="Arial"/>
          <w:color w:val="244061" w:themeColor="accent1" w:themeShade="80"/>
        </w:rPr>
        <w:t>nvested for a structured</w:t>
      </w:r>
      <w:r>
        <w:rPr>
          <w:rFonts w:cs="Arial"/>
          <w:color w:val="244061" w:themeColor="accent1" w:themeShade="80"/>
        </w:rPr>
        <w:t xml:space="preserve"> deposit, is clearly displayed i</w:t>
      </w:r>
      <w:r w:rsidR="00974578" w:rsidRPr="00DC5DF6">
        <w:rPr>
          <w:rFonts w:cs="Arial"/>
          <w:color w:val="244061" w:themeColor="accent1" w:themeShade="80"/>
        </w:rPr>
        <w:t>n the KID, we do not foresee any issues</w:t>
      </w:r>
      <w:r w:rsidR="00974578">
        <w:rPr>
          <w:rFonts w:cs="Arial"/>
          <w:color w:val="244061" w:themeColor="accent1" w:themeShade="80"/>
        </w:rPr>
        <w:t>.</w:t>
      </w:r>
    </w:p>
    <w:permEnd w:id="75"/>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3F1148" w:rsidRPr="00DC5DF6"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76" w:edGrp="everyone"/>
      <w:proofErr w:type="gramStart"/>
      <w:r w:rsidRPr="00DC5DF6">
        <w:rPr>
          <w:rFonts w:cs="Arial"/>
          <w:color w:val="244061" w:themeColor="accent1" w:themeShade="80"/>
        </w:rPr>
        <w:t>No :</w:t>
      </w:r>
      <w:proofErr w:type="gramEnd"/>
      <w:r w:rsidRPr="00DC5DF6">
        <w:rPr>
          <w:rFonts w:cs="Arial"/>
          <w:color w:val="244061" w:themeColor="accent1" w:themeShade="80"/>
        </w:rPr>
        <w:t xml:space="preserve"> the hedging costs are embedded in the upfront price of the product, and should there b</w:t>
      </w:r>
      <w:r>
        <w:rPr>
          <w:rFonts w:cs="Arial"/>
          <w:color w:val="244061" w:themeColor="accent1" w:themeShade="80"/>
        </w:rPr>
        <w:t>e</w:t>
      </w:r>
      <w:r w:rsidRPr="00DC5DF6">
        <w:rPr>
          <w:rFonts w:cs="Arial"/>
          <w:color w:val="244061" w:themeColor="accent1" w:themeShade="80"/>
        </w:rPr>
        <w:t xml:space="preserve"> any later a</w:t>
      </w:r>
      <w:r>
        <w:rPr>
          <w:rFonts w:cs="Arial"/>
          <w:color w:val="244061" w:themeColor="accent1" w:themeShade="80"/>
        </w:rPr>
        <w:t xml:space="preserve">djustment, the induced cost would be </w:t>
      </w:r>
      <w:r w:rsidRPr="00DC5DF6">
        <w:rPr>
          <w:rFonts w:cs="Arial"/>
          <w:color w:val="244061" w:themeColor="accent1" w:themeShade="80"/>
        </w:rPr>
        <w:t>supported by the manufacturer and not passed on to the inve</w:t>
      </w:r>
      <w:r w:rsidRPr="00DC5DF6">
        <w:rPr>
          <w:rFonts w:cs="Arial"/>
          <w:color w:val="244061" w:themeColor="accent1" w:themeShade="80"/>
        </w:rPr>
        <w:t>s</w:t>
      </w:r>
      <w:r w:rsidRPr="00DC5DF6">
        <w:rPr>
          <w:rFonts w:cs="Arial"/>
          <w:color w:val="244061" w:themeColor="accent1" w:themeShade="80"/>
        </w:rPr>
        <w:t>tor.</w:t>
      </w:r>
    </w:p>
    <w:permEnd w:id="76"/>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3F1148"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ermStart w:id="77" w:edGrp="everyone"/>
      <w:r>
        <w:rPr>
          <w:rFonts w:cs="Arial"/>
          <w:color w:val="244061" w:themeColor="accent1" w:themeShade="80"/>
          <w:lang w:eastAsia="it-IT"/>
        </w:rPr>
        <w:lastRenderedPageBreak/>
        <w:t>AMAFI</w:t>
      </w:r>
      <w:r w:rsidRPr="00084267">
        <w:rPr>
          <w:rFonts w:cs="Arial"/>
          <w:color w:val="244061" w:themeColor="accent1" w:themeShade="80"/>
          <w:lang w:eastAsia="it-IT"/>
        </w:rPr>
        <w:t xml:space="preserve"> generally agree</w:t>
      </w:r>
      <w:r>
        <w:rPr>
          <w:rFonts w:cs="Arial"/>
          <w:color w:val="244061" w:themeColor="accent1" w:themeShade="80"/>
          <w:lang w:eastAsia="it-IT"/>
        </w:rPr>
        <w:t>s</w:t>
      </w:r>
      <w:r w:rsidRPr="00084267">
        <w:rPr>
          <w:rFonts w:cs="Arial"/>
          <w:color w:val="244061" w:themeColor="accent1" w:themeShade="80"/>
          <w:lang w:eastAsia="it-IT"/>
        </w:rPr>
        <w:t>, however the pricing models and pricing parameters used to determine the IEV and calculate the costs should not be prescriptive</w:t>
      </w:r>
      <w:r>
        <w:rPr>
          <w:rFonts w:cs="Arial"/>
          <w:color w:val="244061" w:themeColor="accent1" w:themeShade="80"/>
          <w:lang w:eastAsia="it-IT"/>
        </w:rPr>
        <w:t>,</w:t>
      </w:r>
      <w:r w:rsidRPr="00084267">
        <w:rPr>
          <w:rFonts w:cs="Arial"/>
          <w:color w:val="244061" w:themeColor="accent1" w:themeShade="80"/>
          <w:lang w:eastAsia="it-IT"/>
        </w:rPr>
        <w:t xml:space="preserve"> as manufacturers will </w:t>
      </w:r>
      <w:r>
        <w:rPr>
          <w:rFonts w:cs="Arial"/>
          <w:color w:val="244061" w:themeColor="accent1" w:themeShade="80"/>
          <w:lang w:eastAsia="it-IT"/>
        </w:rPr>
        <w:t xml:space="preserve">need to be able to </w:t>
      </w:r>
      <w:r w:rsidRPr="00084267">
        <w:rPr>
          <w:rFonts w:cs="Arial"/>
          <w:color w:val="244061" w:themeColor="accent1" w:themeShade="80"/>
          <w:lang w:eastAsia="it-IT"/>
        </w:rPr>
        <w:t>use thei</w:t>
      </w:r>
      <w:r>
        <w:rPr>
          <w:rFonts w:cs="Arial"/>
          <w:color w:val="244061" w:themeColor="accent1" w:themeShade="80"/>
          <w:lang w:eastAsia="it-IT"/>
        </w:rPr>
        <w:t>r internal models / parameters to make it works.</w:t>
      </w:r>
    </w:p>
    <w:p w:rsidR="003F1148" w:rsidRPr="00084267"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
    <w:p w:rsidR="003F1148"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Pr>
          <w:rFonts w:cs="Arial"/>
          <w:color w:val="244061" w:themeColor="accent1" w:themeShade="80"/>
          <w:lang w:eastAsia="it-IT"/>
        </w:rPr>
        <w:t>I</w:t>
      </w:r>
      <w:r w:rsidRPr="00084267">
        <w:rPr>
          <w:rFonts w:cs="Arial"/>
          <w:color w:val="244061" w:themeColor="accent1" w:themeShade="80"/>
          <w:lang w:eastAsia="it-IT"/>
        </w:rPr>
        <w:t xml:space="preserve">n </w:t>
      </w:r>
      <w:r>
        <w:rPr>
          <w:rFonts w:cs="Arial"/>
          <w:color w:val="244061" w:themeColor="accent1" w:themeShade="80"/>
          <w:lang w:eastAsia="it-IT"/>
        </w:rPr>
        <w:t>particular,</w:t>
      </w:r>
      <w:r w:rsidRPr="00084267">
        <w:rPr>
          <w:rFonts w:cs="Arial"/>
          <w:color w:val="244061" w:themeColor="accent1" w:themeShade="80"/>
          <w:lang w:eastAsia="it-IT"/>
        </w:rPr>
        <w:t xml:space="preserve"> there are 2 elements </w:t>
      </w:r>
      <w:r>
        <w:rPr>
          <w:rFonts w:cs="Arial"/>
          <w:color w:val="244061" w:themeColor="accent1" w:themeShade="80"/>
          <w:lang w:eastAsia="it-IT"/>
        </w:rPr>
        <w:t>with which AMAFI disagrees</w:t>
      </w:r>
      <w:r w:rsidRPr="00084267">
        <w:rPr>
          <w:rFonts w:cs="Arial"/>
          <w:color w:val="244061" w:themeColor="accent1" w:themeShade="80"/>
          <w:lang w:eastAsia="it-IT"/>
        </w:rPr>
        <w:t>:</w:t>
      </w:r>
    </w:p>
    <w:p w:rsidR="003F1148" w:rsidRPr="00084267"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p>
    <w:p w:rsidR="003F1148"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Pr>
          <w:rFonts w:cs="Arial"/>
          <w:color w:val="244061" w:themeColor="accent1" w:themeShade="80"/>
          <w:lang w:eastAsia="it-IT"/>
        </w:rPr>
        <w:t>- The TDP states that “</w:t>
      </w:r>
      <w:r w:rsidRPr="003F1148">
        <w:rPr>
          <w:rFonts w:cs="Arial"/>
          <w:i/>
          <w:color w:val="244061" w:themeColor="accent1" w:themeShade="80"/>
          <w:lang w:eastAsia="it-IT"/>
        </w:rPr>
        <w:t>the valuation procedure should be periodically reviewed and updated if nece</w:t>
      </w:r>
      <w:r w:rsidRPr="003F1148">
        <w:rPr>
          <w:rFonts w:cs="Arial"/>
          <w:i/>
          <w:color w:val="244061" w:themeColor="accent1" w:themeShade="80"/>
          <w:lang w:eastAsia="it-IT"/>
        </w:rPr>
        <w:t>s</w:t>
      </w:r>
      <w:r w:rsidRPr="003F1148">
        <w:rPr>
          <w:rFonts w:cs="Arial"/>
          <w:i/>
          <w:color w:val="244061" w:themeColor="accent1" w:themeShade="80"/>
          <w:lang w:eastAsia="it-IT"/>
        </w:rPr>
        <w:t>sary, following periodic reporting</w:t>
      </w:r>
      <w:r w:rsidRPr="00084267">
        <w:rPr>
          <w:rFonts w:cs="Arial"/>
          <w:color w:val="244061" w:themeColor="accent1" w:themeShade="80"/>
          <w:lang w:eastAsia="it-IT"/>
        </w:rPr>
        <w:t xml:space="preserve">”. </w:t>
      </w:r>
      <w:r>
        <w:rPr>
          <w:rFonts w:cs="Arial"/>
          <w:color w:val="244061" w:themeColor="accent1" w:themeShade="80"/>
          <w:lang w:eastAsia="it-IT"/>
        </w:rPr>
        <w:t>M</w:t>
      </w:r>
      <w:r w:rsidRPr="00084267">
        <w:rPr>
          <w:rFonts w:cs="Arial"/>
          <w:color w:val="244061" w:themeColor="accent1" w:themeShade="80"/>
          <w:lang w:eastAsia="it-IT"/>
        </w:rPr>
        <w:t>anufacturer</w:t>
      </w:r>
      <w:r>
        <w:rPr>
          <w:rFonts w:cs="Arial"/>
          <w:color w:val="244061" w:themeColor="accent1" w:themeShade="80"/>
          <w:lang w:eastAsia="it-IT"/>
        </w:rPr>
        <w:t>s</w:t>
      </w:r>
      <w:r w:rsidR="00E136BE">
        <w:rPr>
          <w:rFonts w:cs="Arial"/>
          <w:color w:val="244061" w:themeColor="accent1" w:themeShade="80"/>
          <w:lang w:eastAsia="it-IT"/>
        </w:rPr>
        <w:t>’</w:t>
      </w:r>
      <w:r w:rsidRPr="00084267">
        <w:rPr>
          <w:rFonts w:cs="Arial"/>
          <w:color w:val="244061" w:themeColor="accent1" w:themeShade="80"/>
          <w:lang w:eastAsia="it-IT"/>
        </w:rPr>
        <w:t xml:space="preserve"> pricing models are already reviewed by external auditors</w:t>
      </w:r>
      <w:r w:rsidR="00E136BE">
        <w:rPr>
          <w:rFonts w:cs="Arial"/>
          <w:color w:val="244061" w:themeColor="accent1" w:themeShade="80"/>
          <w:lang w:eastAsia="it-IT"/>
        </w:rPr>
        <w:t xml:space="preserve"> as part of their certification of the firms’ accounts</w:t>
      </w:r>
      <w:r w:rsidRPr="00084267">
        <w:rPr>
          <w:rFonts w:cs="Arial"/>
          <w:color w:val="244061" w:themeColor="accent1" w:themeShade="80"/>
          <w:lang w:eastAsia="it-IT"/>
        </w:rPr>
        <w:t xml:space="preserve">. </w:t>
      </w:r>
      <w:r w:rsidR="00E136BE">
        <w:rPr>
          <w:rFonts w:cs="Arial"/>
          <w:color w:val="244061" w:themeColor="accent1" w:themeShade="80"/>
          <w:lang w:eastAsia="it-IT"/>
        </w:rPr>
        <w:t>Accordingly the valuation procedure</w:t>
      </w:r>
      <w:r w:rsidRPr="00084267">
        <w:rPr>
          <w:rFonts w:cs="Arial"/>
          <w:color w:val="244061" w:themeColor="accent1" w:themeShade="80"/>
          <w:lang w:eastAsia="it-IT"/>
        </w:rPr>
        <w:t xml:space="preserve"> should only be updated if </w:t>
      </w:r>
      <w:r w:rsidR="00E136BE">
        <w:rPr>
          <w:rFonts w:cs="Arial"/>
          <w:color w:val="244061" w:themeColor="accent1" w:themeShade="80"/>
          <w:lang w:eastAsia="it-IT"/>
        </w:rPr>
        <w:t>such reviews by external auditors show irregularities or weaknesses.</w:t>
      </w:r>
      <w:r w:rsidRPr="00084267">
        <w:rPr>
          <w:rFonts w:cs="Arial"/>
          <w:color w:val="244061" w:themeColor="accent1" w:themeShade="80"/>
          <w:lang w:eastAsia="it-IT"/>
        </w:rPr>
        <w:t xml:space="preserve"> </w:t>
      </w:r>
    </w:p>
    <w:p w:rsidR="003F1148" w:rsidRPr="00084267" w:rsidRDefault="003F1148" w:rsidP="00E136BE">
      <w:pPr>
        <w:pBdr>
          <w:top w:val="single" w:sz="4" w:space="1" w:color="auto"/>
          <w:left w:val="single" w:sz="4" w:space="4" w:color="auto"/>
          <w:bottom w:val="single" w:sz="4" w:space="1" w:color="auto"/>
          <w:right w:val="single" w:sz="4" w:space="4" w:color="auto"/>
        </w:pBdr>
        <w:shd w:val="clear" w:color="auto" w:fill="D9D9D9"/>
        <w:ind w:right="288"/>
        <w:jc w:val="center"/>
        <w:rPr>
          <w:rFonts w:cs="Arial"/>
          <w:color w:val="244061" w:themeColor="accent1" w:themeShade="80"/>
          <w:lang w:eastAsia="it-IT"/>
        </w:rPr>
      </w:pPr>
    </w:p>
    <w:p w:rsidR="003F1148"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lang w:eastAsia="it-IT"/>
        </w:rPr>
      </w:pPr>
      <w:r w:rsidRPr="00084267">
        <w:rPr>
          <w:rFonts w:cs="Arial"/>
          <w:color w:val="244061" w:themeColor="accent1" w:themeShade="80"/>
          <w:lang w:eastAsia="it-IT"/>
        </w:rPr>
        <w:t xml:space="preserve">- </w:t>
      </w:r>
      <w:r>
        <w:rPr>
          <w:rFonts w:cs="Arial"/>
          <w:color w:val="244061" w:themeColor="accent1" w:themeShade="80"/>
          <w:lang w:eastAsia="it-IT"/>
        </w:rPr>
        <w:t xml:space="preserve">The TDP indicates that </w:t>
      </w:r>
      <w:r w:rsidRPr="00084267">
        <w:rPr>
          <w:rFonts w:cs="Arial"/>
          <w:color w:val="244061" w:themeColor="accent1" w:themeShade="80"/>
          <w:lang w:eastAsia="it-IT"/>
        </w:rPr>
        <w:t>“</w:t>
      </w:r>
      <w:r w:rsidRPr="003F1148">
        <w:rPr>
          <w:rFonts w:cs="Arial"/>
          <w:i/>
          <w:color w:val="244061" w:themeColor="accent1" w:themeShade="80"/>
          <w:lang w:eastAsia="it-IT"/>
        </w:rPr>
        <w:t>it is also suggested to disclose hedging costs of structured products</w:t>
      </w:r>
      <w:r w:rsidRPr="00084267">
        <w:rPr>
          <w:rFonts w:cs="Arial"/>
          <w:color w:val="244061" w:themeColor="accent1" w:themeShade="80"/>
          <w:lang w:eastAsia="it-IT"/>
        </w:rPr>
        <w:t xml:space="preserve">”. While the assessment of </w:t>
      </w:r>
      <w:r>
        <w:rPr>
          <w:rFonts w:cs="Arial"/>
          <w:color w:val="244061" w:themeColor="accent1" w:themeShade="80"/>
          <w:lang w:eastAsia="it-IT"/>
        </w:rPr>
        <w:t>the hedging costs’</w:t>
      </w:r>
      <w:r w:rsidRPr="00084267">
        <w:rPr>
          <w:rFonts w:cs="Arial"/>
          <w:color w:val="244061" w:themeColor="accent1" w:themeShade="80"/>
          <w:lang w:eastAsia="it-IT"/>
        </w:rPr>
        <w:t xml:space="preserve"> initial level is a key component of the initial determination of the product price, their actual realisation is without impact to the cost charged to the investor or to the product</w:t>
      </w:r>
      <w:r>
        <w:rPr>
          <w:rFonts w:cs="Arial"/>
          <w:color w:val="244061" w:themeColor="accent1" w:themeShade="80"/>
          <w:lang w:eastAsia="it-IT"/>
        </w:rPr>
        <w:t xml:space="preserve">’s price </w:t>
      </w:r>
      <w:r w:rsidRPr="00084267">
        <w:rPr>
          <w:rFonts w:cs="Arial"/>
          <w:color w:val="244061" w:themeColor="accent1" w:themeShade="80"/>
          <w:lang w:eastAsia="it-IT"/>
        </w:rPr>
        <w:t>on the secondary market. In other words for structured products, as opposed to funds, the profit or loss incurred by the manufacturer in connection with the hedging-trading activity that follows the sale of the product is wi</w:t>
      </w:r>
      <w:r>
        <w:rPr>
          <w:rFonts w:cs="Arial"/>
          <w:color w:val="244061" w:themeColor="accent1" w:themeShade="80"/>
          <w:lang w:eastAsia="it-IT"/>
        </w:rPr>
        <w:t>thout impact to the investor on th</w:t>
      </w:r>
      <w:r w:rsidRPr="00084267">
        <w:rPr>
          <w:rFonts w:cs="Arial"/>
          <w:color w:val="244061" w:themeColor="accent1" w:themeShade="80"/>
          <w:lang w:eastAsia="it-IT"/>
        </w:rPr>
        <w:t>e value of his investment.</w:t>
      </w:r>
    </w:p>
    <w:permEnd w:id="77"/>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3F1148" w:rsidRPr="002D644A" w:rsidRDefault="003F1148" w:rsidP="003F1148">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78" w:edGrp="everyone"/>
      <w:r w:rsidRPr="002D644A">
        <w:rPr>
          <w:rFonts w:cs="Arial"/>
          <w:color w:val="244061" w:themeColor="accent1" w:themeShade="80"/>
        </w:rPr>
        <w:t>Cost</w:t>
      </w:r>
      <w:r>
        <w:rPr>
          <w:rFonts w:cs="Arial"/>
          <w:color w:val="244061" w:themeColor="accent1" w:themeShade="80"/>
        </w:rPr>
        <w:t xml:space="preserve">s do not need to be updated for </w:t>
      </w:r>
      <w:r w:rsidRPr="002D644A">
        <w:rPr>
          <w:rFonts w:cs="Arial"/>
          <w:color w:val="244061" w:themeColor="accent1" w:themeShade="80"/>
        </w:rPr>
        <w:t xml:space="preserve">fixed term </w:t>
      </w:r>
      <w:r>
        <w:rPr>
          <w:rFonts w:cs="Arial"/>
          <w:color w:val="244061" w:themeColor="accent1" w:themeShade="80"/>
        </w:rPr>
        <w:t>PRIIPS because they are known at the outset and will not vary</w:t>
      </w:r>
      <w:r w:rsidRPr="002D644A">
        <w:rPr>
          <w:rFonts w:cs="Arial"/>
          <w:color w:val="244061" w:themeColor="accent1" w:themeShade="80"/>
        </w:rPr>
        <w:t>. For funds (or open ended PRIIP</w:t>
      </w:r>
      <w:r>
        <w:rPr>
          <w:rFonts w:cs="Arial"/>
          <w:color w:val="244061" w:themeColor="accent1" w:themeShade="80"/>
        </w:rPr>
        <w:t>s</w:t>
      </w:r>
      <w:r w:rsidRPr="002D644A">
        <w:rPr>
          <w:rFonts w:cs="Arial"/>
          <w:color w:val="244061" w:themeColor="accent1" w:themeShade="80"/>
        </w:rPr>
        <w:t>), KID should be updated whenever the ongoing or exit cost</w:t>
      </w:r>
      <w:r>
        <w:rPr>
          <w:rFonts w:cs="Arial"/>
          <w:color w:val="244061" w:themeColor="accent1" w:themeShade="80"/>
        </w:rPr>
        <w:t>s</w:t>
      </w:r>
      <w:r w:rsidRPr="002D644A">
        <w:rPr>
          <w:rFonts w:cs="Arial"/>
          <w:color w:val="244061" w:themeColor="accent1" w:themeShade="80"/>
        </w:rPr>
        <w:t xml:space="preserve"> change.</w:t>
      </w:r>
    </w:p>
    <w:permEnd w:id="7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52399" w:rsidRPr="00084267" w:rsidRDefault="00F52399" w:rsidP="00F52399">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79" w:edGrp="everyone"/>
      <w:r w:rsidRPr="00084267">
        <w:rPr>
          <w:rFonts w:cs="Arial"/>
          <w:color w:val="244061" w:themeColor="accent1" w:themeShade="80"/>
        </w:rPr>
        <w:t>As expressed earlier, internal models are the best approach.</w:t>
      </w:r>
    </w:p>
    <w:p w:rsidR="00F52399" w:rsidRPr="00084267" w:rsidRDefault="00F52399" w:rsidP="00F52399">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sidRPr="00084267">
        <w:rPr>
          <w:rFonts w:cs="Arial"/>
          <w:color w:val="244061" w:themeColor="accent1" w:themeShade="80"/>
        </w:rPr>
        <w:t>Accordingly, as pricing models rely on the assumption that the risk premium is set at zero (risk neutral environment), there is no need for a prescriptive approach.</w:t>
      </w:r>
    </w:p>
    <w:permEnd w:id="79"/>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2034AF" w:rsidP="00F31E57">
      <w:permStart w:id="80" w:edGrp="everyone"/>
      <w:r>
        <w:t>No.</w:t>
      </w:r>
    </w:p>
    <w:permEnd w:id="80"/>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2034AF" w:rsidRDefault="002034AF" w:rsidP="002034AF">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1" w:edGrp="everyone"/>
      <w:r w:rsidRPr="00084267">
        <w:rPr>
          <w:rFonts w:cs="Arial"/>
          <w:color w:val="244061" w:themeColor="accent1" w:themeShade="80"/>
        </w:rPr>
        <w:t>As expressed earlier, the industry has a long experience of using forward looking models based on a well-developed theoretical basis.</w:t>
      </w:r>
    </w:p>
    <w:p w:rsidR="002034AF" w:rsidRPr="00084267" w:rsidRDefault="002034AF" w:rsidP="002034AF">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sidRPr="00084267">
        <w:rPr>
          <w:rFonts w:cs="Arial"/>
          <w:color w:val="244061" w:themeColor="accent1" w:themeShade="80"/>
        </w:rPr>
        <w:lastRenderedPageBreak/>
        <w:t>Although they are useful to calibrate model parameters, backward looking models cannot be used for valuation purposes as they do not provide a fu</w:t>
      </w:r>
      <w:r>
        <w:rPr>
          <w:rFonts w:cs="Arial"/>
          <w:color w:val="244061" w:themeColor="accent1" w:themeShade="80"/>
        </w:rPr>
        <w:t>ll valuation model: past data d</w:t>
      </w:r>
      <w:r w:rsidRPr="00084267">
        <w:rPr>
          <w:rFonts w:cs="Arial"/>
          <w:color w:val="244061" w:themeColor="accent1" w:themeShade="80"/>
        </w:rPr>
        <w:t>o not provide an adequate view on the future evolution of the underlying.</w:t>
      </w:r>
    </w:p>
    <w:permEnd w:id="8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245AFA" w:rsidRPr="0000161E" w:rsidRDefault="00245AFA" w:rsidP="00245AFA">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2" w:edGrp="everyone"/>
      <w:r w:rsidRPr="0000161E">
        <w:rPr>
          <w:rFonts w:cs="Arial"/>
          <w:color w:val="244061" w:themeColor="accent1" w:themeShade="80"/>
        </w:rPr>
        <w:t xml:space="preserve">It should not be prescriptive: for currencies having a mature swap market, the swap rate curve </w:t>
      </w:r>
      <w:r>
        <w:rPr>
          <w:rFonts w:cs="Arial"/>
          <w:color w:val="244061" w:themeColor="accent1" w:themeShade="80"/>
        </w:rPr>
        <w:t>could be used consistent with market practice</w:t>
      </w:r>
      <w:r w:rsidRPr="0000161E">
        <w:rPr>
          <w:rFonts w:cs="Arial"/>
          <w:color w:val="244061" w:themeColor="accent1" w:themeShade="80"/>
        </w:rPr>
        <w:t>.</w:t>
      </w:r>
      <w:r>
        <w:rPr>
          <w:rFonts w:cs="Arial"/>
          <w:color w:val="244061" w:themeColor="accent1" w:themeShade="80"/>
        </w:rPr>
        <w:t xml:space="preserve"> </w:t>
      </w:r>
      <w:r w:rsidRPr="0000161E">
        <w:rPr>
          <w:rFonts w:cs="Arial"/>
          <w:color w:val="244061" w:themeColor="accent1" w:themeShade="80"/>
        </w:rPr>
        <w:t>For exotic currencies</w:t>
      </w:r>
      <w:r w:rsidR="00472E72">
        <w:rPr>
          <w:rFonts w:cs="Arial"/>
          <w:color w:val="244061" w:themeColor="accent1" w:themeShade="80"/>
        </w:rPr>
        <w:t>,</w:t>
      </w:r>
      <w:r w:rsidRPr="0000161E">
        <w:rPr>
          <w:rFonts w:cs="Arial"/>
          <w:color w:val="244061" w:themeColor="accent1" w:themeShade="80"/>
        </w:rPr>
        <w:t xml:space="preserve"> the manufacturer should have to possibility to define an appropriate reference.</w:t>
      </w:r>
    </w:p>
    <w:permEnd w:id="82"/>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472E72" w:rsidRPr="0000161E"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3" w:edGrp="everyone"/>
      <w:r>
        <w:rPr>
          <w:rFonts w:cs="Arial"/>
          <w:color w:val="244061" w:themeColor="accent1" w:themeShade="80"/>
        </w:rPr>
        <w:t>AMAFI</w:t>
      </w:r>
      <w:r w:rsidRPr="0000161E">
        <w:rPr>
          <w:rFonts w:cs="Arial"/>
          <w:color w:val="244061" w:themeColor="accent1" w:themeShade="80"/>
        </w:rPr>
        <w:t xml:space="preserve"> does not believe that other market data should be used to determine the credit risk as it is already implicitly included in the funding spread curve.</w:t>
      </w:r>
    </w:p>
    <w:permEnd w:id="83"/>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472E72" w:rsidRPr="00FD21B0"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4" w:edGrp="everyone"/>
      <w:r w:rsidRPr="00FD21B0">
        <w:rPr>
          <w:rFonts w:cs="Arial"/>
          <w:color w:val="244061" w:themeColor="accent1" w:themeShade="80"/>
        </w:rPr>
        <w:t>The absence of observable market data does not prevent the manufacturer from valu</w:t>
      </w:r>
      <w:r>
        <w:rPr>
          <w:rFonts w:cs="Arial"/>
          <w:color w:val="244061" w:themeColor="accent1" w:themeShade="80"/>
        </w:rPr>
        <w:t>i</w:t>
      </w:r>
      <w:r w:rsidRPr="00FD21B0">
        <w:rPr>
          <w:rFonts w:cs="Arial"/>
          <w:color w:val="244061" w:themeColor="accent1" w:themeShade="80"/>
        </w:rPr>
        <w:t>ng a product as long as the funding spread is known (the credit risk is implicitly included in the funding spread)</w:t>
      </w:r>
      <w:r>
        <w:rPr>
          <w:rFonts w:cs="Arial"/>
          <w:color w:val="244061" w:themeColor="accent1" w:themeShade="80"/>
        </w:rPr>
        <w:t>.</w:t>
      </w:r>
    </w:p>
    <w:permEnd w:id="84"/>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472E72" w:rsidRPr="00FD21B0"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5" w:edGrp="everyone"/>
      <w:r w:rsidRPr="00FD21B0">
        <w:rPr>
          <w:rFonts w:cs="Arial"/>
          <w:color w:val="244061" w:themeColor="accent1" w:themeShade="80"/>
        </w:rPr>
        <w:t xml:space="preserve">Similar to credit risk, CVA models </w:t>
      </w:r>
      <w:r>
        <w:rPr>
          <w:rFonts w:cs="Arial"/>
          <w:color w:val="244061" w:themeColor="accent1" w:themeShade="80"/>
        </w:rPr>
        <w:t>could be used</w:t>
      </w:r>
      <w:r w:rsidRPr="00FD21B0">
        <w:rPr>
          <w:rFonts w:cs="Arial"/>
          <w:color w:val="244061" w:themeColor="accent1" w:themeShade="80"/>
        </w:rPr>
        <w:t xml:space="preserve"> at the discretion of the manufacturer. CVA models are market practice within the interbank market but </w:t>
      </w:r>
      <w:r>
        <w:rPr>
          <w:rFonts w:cs="Arial"/>
          <w:color w:val="244061" w:themeColor="accent1" w:themeShade="80"/>
        </w:rPr>
        <w:t xml:space="preserve">are </w:t>
      </w:r>
      <w:r w:rsidRPr="00FD21B0">
        <w:rPr>
          <w:rFonts w:cs="Arial"/>
          <w:color w:val="244061" w:themeColor="accent1" w:themeShade="80"/>
        </w:rPr>
        <w:t>barely used for retails products</w:t>
      </w:r>
      <w:r>
        <w:rPr>
          <w:rFonts w:cs="Arial"/>
          <w:color w:val="244061" w:themeColor="accent1" w:themeShade="80"/>
        </w:rPr>
        <w:t>.</w:t>
      </w:r>
    </w:p>
    <w:permEnd w:id="85"/>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472E72" w:rsidRPr="00FD21B0"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6" w:edGrp="everyone"/>
      <w:r w:rsidRPr="00FD21B0">
        <w:rPr>
          <w:rFonts w:cs="Arial"/>
          <w:color w:val="244061" w:themeColor="accent1" w:themeShade="80"/>
        </w:rPr>
        <w:t>The partial un</w:t>
      </w:r>
      <w:r>
        <w:rPr>
          <w:rFonts w:cs="Arial"/>
          <w:color w:val="244061" w:themeColor="accent1" w:themeShade="80"/>
        </w:rPr>
        <w:t>-</w:t>
      </w:r>
      <w:proofErr w:type="spellStart"/>
      <w:r w:rsidRPr="00FD21B0">
        <w:rPr>
          <w:rFonts w:cs="Arial"/>
          <w:color w:val="244061" w:themeColor="accent1" w:themeShade="80"/>
        </w:rPr>
        <w:t>observability</w:t>
      </w:r>
      <w:proofErr w:type="spellEnd"/>
      <w:r w:rsidRPr="00FD21B0">
        <w:rPr>
          <w:rFonts w:cs="Arial"/>
          <w:color w:val="244061" w:themeColor="accent1" w:themeShade="80"/>
        </w:rPr>
        <w:t xml:space="preserve"> of parameters is not a novelty in finance. To some extent, it may even be argued that the very reason for developing models is the need to be able to convert discrete observ</w:t>
      </w:r>
      <w:r w:rsidRPr="00FD21B0">
        <w:rPr>
          <w:rFonts w:cs="Arial"/>
          <w:color w:val="244061" w:themeColor="accent1" w:themeShade="80"/>
        </w:rPr>
        <w:t>a</w:t>
      </w:r>
      <w:r w:rsidRPr="00FD21B0">
        <w:rPr>
          <w:rFonts w:cs="Arial"/>
          <w:color w:val="244061" w:themeColor="accent1" w:themeShade="80"/>
        </w:rPr>
        <w:t>tions of parameters (or their proxies) in a continuous model. In other words, financial institutions are used to cope with situations where some parameters may not be observed. While we do not believe that it would be possible to list all situations where this un</w:t>
      </w:r>
      <w:r>
        <w:rPr>
          <w:rFonts w:cs="Arial"/>
          <w:color w:val="244061" w:themeColor="accent1" w:themeShade="80"/>
        </w:rPr>
        <w:t>-</w:t>
      </w:r>
      <w:proofErr w:type="spellStart"/>
      <w:r w:rsidRPr="00FD21B0">
        <w:rPr>
          <w:rFonts w:cs="Arial"/>
          <w:color w:val="244061" w:themeColor="accent1" w:themeShade="80"/>
        </w:rPr>
        <w:t>observability</w:t>
      </w:r>
      <w:proofErr w:type="spellEnd"/>
      <w:r w:rsidRPr="00FD21B0">
        <w:rPr>
          <w:rFonts w:cs="Arial"/>
          <w:color w:val="244061" w:themeColor="accent1" w:themeShade="80"/>
        </w:rPr>
        <w:t xml:space="preserve"> may happen, we note that these situations do not create a detriment to investors and </w:t>
      </w:r>
      <w:r>
        <w:rPr>
          <w:rFonts w:cs="Arial"/>
          <w:color w:val="244061" w:themeColor="accent1" w:themeShade="80"/>
        </w:rPr>
        <w:t xml:space="preserve">are </w:t>
      </w:r>
      <w:r w:rsidRPr="00FD21B0">
        <w:rPr>
          <w:rFonts w:cs="Arial"/>
          <w:color w:val="244061" w:themeColor="accent1" w:themeShade="80"/>
        </w:rPr>
        <w:t>without impact to the cost structure.</w:t>
      </w:r>
    </w:p>
    <w:p w:rsidR="00472E72"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
    <w:p w:rsidR="00472E72" w:rsidRPr="00FD21B0"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r w:rsidRPr="00FD21B0">
        <w:rPr>
          <w:rFonts w:cs="Arial"/>
          <w:color w:val="244061" w:themeColor="accent1" w:themeShade="80"/>
        </w:rPr>
        <w:lastRenderedPageBreak/>
        <w:t xml:space="preserve">As an example, in case of </w:t>
      </w:r>
      <w:r>
        <w:rPr>
          <w:rFonts w:cs="Arial"/>
          <w:color w:val="244061" w:themeColor="accent1" w:themeShade="80"/>
        </w:rPr>
        <w:t xml:space="preserve">a </w:t>
      </w:r>
      <w:r w:rsidRPr="00FD21B0">
        <w:rPr>
          <w:rFonts w:cs="Arial"/>
          <w:color w:val="244061" w:themeColor="accent1" w:themeShade="80"/>
        </w:rPr>
        <w:t>hedging disruption, meaning the manufacturer is not in a position to a</w:t>
      </w:r>
      <w:r w:rsidRPr="00FD21B0">
        <w:rPr>
          <w:rFonts w:cs="Arial"/>
          <w:color w:val="244061" w:themeColor="accent1" w:themeShade="80"/>
        </w:rPr>
        <w:t>c</w:t>
      </w:r>
      <w:r w:rsidRPr="00FD21B0">
        <w:rPr>
          <w:rFonts w:cs="Arial"/>
          <w:color w:val="244061" w:themeColor="accent1" w:themeShade="80"/>
        </w:rPr>
        <w:t>quire the hedge, a valuation may still be determined and such situations are described in the base prospectus / ISDA definitions.</w:t>
      </w:r>
    </w:p>
    <w:permEnd w:id="86"/>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472E72" w:rsidRPr="0056347A" w:rsidRDefault="00472E72" w:rsidP="00472E72">
      <w:pPr>
        <w:pBdr>
          <w:top w:val="single" w:sz="4" w:space="1" w:color="auto"/>
          <w:left w:val="single" w:sz="4" w:space="4" w:color="auto"/>
          <w:bottom w:val="single" w:sz="4" w:space="1" w:color="auto"/>
          <w:right w:val="single" w:sz="4" w:space="4" w:color="auto"/>
        </w:pBdr>
        <w:shd w:val="clear" w:color="auto" w:fill="D9D9D9"/>
        <w:ind w:right="288"/>
        <w:jc w:val="both"/>
        <w:rPr>
          <w:rFonts w:cs="Arial"/>
          <w:color w:val="244061" w:themeColor="accent1" w:themeShade="80"/>
        </w:rPr>
      </w:pPr>
      <w:permStart w:id="87" w:edGrp="everyone"/>
      <w:r w:rsidRPr="0056347A">
        <w:rPr>
          <w:rFonts w:cs="Arial"/>
          <w:color w:val="244061" w:themeColor="accent1" w:themeShade="80"/>
        </w:rPr>
        <w:t xml:space="preserve">No. It is not possible to prescribe a model that would give reliable prices for a </w:t>
      </w:r>
      <w:r>
        <w:rPr>
          <w:rFonts w:cs="Arial"/>
          <w:color w:val="244061" w:themeColor="accent1" w:themeShade="80"/>
        </w:rPr>
        <w:t>sizeable enough</w:t>
      </w:r>
      <w:r w:rsidRPr="0056347A">
        <w:rPr>
          <w:rFonts w:cs="Arial"/>
          <w:color w:val="244061" w:themeColor="accent1" w:themeShade="80"/>
        </w:rPr>
        <w:t xml:space="preserve"> propo</w:t>
      </w:r>
      <w:r w:rsidRPr="0056347A">
        <w:rPr>
          <w:rFonts w:cs="Arial"/>
          <w:color w:val="244061" w:themeColor="accent1" w:themeShade="80"/>
        </w:rPr>
        <w:t>r</w:t>
      </w:r>
      <w:r w:rsidRPr="0056347A">
        <w:rPr>
          <w:rFonts w:cs="Arial"/>
          <w:color w:val="244061" w:themeColor="accent1" w:themeShade="80"/>
        </w:rPr>
        <w:t xml:space="preserve">tion of structured products. Instead it is </w:t>
      </w:r>
      <w:r>
        <w:rPr>
          <w:rFonts w:cs="Arial"/>
          <w:color w:val="244061" w:themeColor="accent1" w:themeShade="80"/>
        </w:rPr>
        <w:t>more</w:t>
      </w:r>
      <w:r w:rsidRPr="0056347A">
        <w:rPr>
          <w:rFonts w:cs="Arial"/>
          <w:color w:val="244061" w:themeColor="accent1" w:themeShade="80"/>
        </w:rPr>
        <w:t xml:space="preserve"> effective to rely on internal models, which are audited by prudential regulators</w:t>
      </w:r>
      <w:r>
        <w:rPr>
          <w:rFonts w:cs="Arial"/>
          <w:color w:val="244061" w:themeColor="accent1" w:themeShade="80"/>
        </w:rPr>
        <w:t>.</w:t>
      </w:r>
    </w:p>
    <w:permEnd w:id="8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472E72" w:rsidRPr="00F520E3" w:rsidRDefault="00472E72" w:rsidP="00472E72">
      <w:pPr>
        <w:pStyle w:val="Paragraphedeliste"/>
        <w:pBdr>
          <w:top w:val="single" w:sz="4" w:space="1" w:color="auto"/>
          <w:left w:val="single" w:sz="4" w:space="4" w:color="auto"/>
          <w:bottom w:val="single" w:sz="4" w:space="1" w:color="auto"/>
          <w:right w:val="single" w:sz="4" w:space="1" w:color="auto"/>
        </w:pBdr>
        <w:shd w:val="clear" w:color="auto" w:fill="D9D9D9"/>
        <w:ind w:left="0"/>
        <w:jc w:val="both"/>
        <w:rPr>
          <w:rFonts w:cs="Arial"/>
        </w:rPr>
      </w:pPr>
      <w:permStart w:id="88" w:edGrp="everyone"/>
      <w:r>
        <w:rPr>
          <w:rFonts w:cs="Arial"/>
          <w:color w:val="244061" w:themeColor="accent1" w:themeShade="80"/>
        </w:rPr>
        <w:t xml:space="preserve">AMAFI </w:t>
      </w:r>
      <w:r w:rsidRPr="009A09BB">
        <w:rPr>
          <w:rFonts w:cs="Arial"/>
          <w:color w:val="244061" w:themeColor="accent1" w:themeShade="80"/>
        </w:rPr>
        <w:t>do</w:t>
      </w:r>
      <w:r>
        <w:rPr>
          <w:rFonts w:cs="Arial"/>
          <w:color w:val="244061" w:themeColor="accent1" w:themeShade="80"/>
        </w:rPr>
        <w:t>es</w:t>
      </w:r>
      <w:r w:rsidRPr="009A09BB">
        <w:rPr>
          <w:rFonts w:cs="Arial"/>
          <w:color w:val="244061" w:themeColor="accent1" w:themeShade="80"/>
        </w:rPr>
        <w:t xml:space="preserve"> not foresee any particular issue to keep TCR records for </w:t>
      </w:r>
      <w:r>
        <w:rPr>
          <w:rFonts w:cs="Arial"/>
          <w:color w:val="244061" w:themeColor="accent1" w:themeShade="80"/>
        </w:rPr>
        <w:t>five</w:t>
      </w:r>
      <w:r w:rsidRPr="009A09BB">
        <w:rPr>
          <w:rFonts w:cs="Arial"/>
          <w:color w:val="244061" w:themeColor="accent1" w:themeShade="80"/>
        </w:rPr>
        <w:t xml:space="preserve"> years, which is the same length as the one applicable to funds</w:t>
      </w:r>
      <w:r>
        <w:rPr>
          <w:rFonts w:cs="Arial"/>
          <w:color w:val="244061" w:themeColor="accent1" w:themeShade="80"/>
        </w:rPr>
        <w:t xml:space="preserve"> and is generally the retention period used in financial matters.</w:t>
      </w:r>
    </w:p>
    <w:permEnd w:id="88"/>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A701B5" w:rsidP="00F31E57">
      <w:permStart w:id="89" w:edGrp="everyone"/>
      <w:r>
        <w:t>This point seems to be relevant for funds only, not for structured products.</w:t>
      </w:r>
    </w:p>
    <w:permEnd w:id="8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472E72" w:rsidRDefault="00472E72" w:rsidP="00472E72">
      <w:pPr>
        <w:pBdr>
          <w:top w:val="single" w:sz="4" w:space="1" w:color="auto"/>
          <w:left w:val="single" w:sz="4" w:space="4" w:color="auto"/>
          <w:bottom w:val="single" w:sz="4" w:space="1" w:color="auto"/>
          <w:right w:val="single" w:sz="4" w:space="4" w:color="auto"/>
        </w:pBdr>
        <w:shd w:val="clear" w:color="auto" w:fill="D9D9D9"/>
        <w:jc w:val="both"/>
        <w:rPr>
          <w:rFonts w:cs="Arial"/>
          <w:bCs/>
          <w:iCs/>
          <w:noProof/>
          <w:color w:val="244061" w:themeColor="accent1" w:themeShade="80"/>
        </w:rPr>
      </w:pPr>
      <w:permStart w:id="90" w:edGrp="everyone"/>
      <w:r>
        <w:rPr>
          <w:rFonts w:cs="Arial"/>
          <w:bCs/>
          <w:iCs/>
          <w:noProof/>
          <w:color w:val="244061" w:themeColor="accent1" w:themeShade="80"/>
        </w:rPr>
        <w:t>The relevant figures sould be:</w:t>
      </w:r>
    </w:p>
    <w:p w:rsidR="00472E72" w:rsidRPr="009A09BB" w:rsidRDefault="00A701B5" w:rsidP="00472E72">
      <w:pPr>
        <w:pBdr>
          <w:top w:val="single" w:sz="4" w:space="1" w:color="auto"/>
          <w:left w:val="single" w:sz="4" w:space="4" w:color="auto"/>
          <w:bottom w:val="single" w:sz="4" w:space="1" w:color="auto"/>
          <w:right w:val="single" w:sz="4" w:space="4" w:color="auto"/>
        </w:pBdr>
        <w:shd w:val="clear" w:color="auto" w:fill="D9D9D9"/>
        <w:jc w:val="both"/>
        <w:rPr>
          <w:rFonts w:cs="Arial"/>
          <w:bCs/>
          <w:iCs/>
          <w:noProof/>
          <w:color w:val="244061" w:themeColor="accent1" w:themeShade="80"/>
        </w:rPr>
      </w:pPr>
      <w:r>
        <w:rPr>
          <w:rFonts w:cs="Arial"/>
          <w:bCs/>
          <w:iCs/>
          <w:noProof/>
          <w:color w:val="244061" w:themeColor="accent1" w:themeShade="80"/>
        </w:rPr>
        <w:t>- t</w:t>
      </w:r>
      <w:r w:rsidR="00472E72">
        <w:rPr>
          <w:rFonts w:cs="Arial"/>
          <w:bCs/>
          <w:iCs/>
          <w:noProof/>
          <w:color w:val="244061" w:themeColor="accent1" w:themeShade="80"/>
        </w:rPr>
        <w:t>he denomination for s</w:t>
      </w:r>
      <w:r w:rsidR="00472E72" w:rsidRPr="009A09BB">
        <w:rPr>
          <w:rFonts w:cs="Arial"/>
          <w:bCs/>
          <w:iCs/>
          <w:noProof/>
          <w:color w:val="244061" w:themeColor="accent1" w:themeShade="80"/>
        </w:rPr>
        <w:t>ecurities</w:t>
      </w:r>
    </w:p>
    <w:p w:rsidR="00472E72" w:rsidRPr="009A09BB" w:rsidRDefault="00472E72" w:rsidP="00472E72">
      <w:pPr>
        <w:pBdr>
          <w:top w:val="single" w:sz="4" w:space="1" w:color="auto"/>
          <w:left w:val="single" w:sz="4" w:space="4" w:color="auto"/>
          <w:bottom w:val="single" w:sz="4" w:space="1" w:color="auto"/>
          <w:right w:val="single" w:sz="4" w:space="4" w:color="auto"/>
        </w:pBdr>
        <w:shd w:val="clear" w:color="auto" w:fill="D9D9D9"/>
        <w:jc w:val="both"/>
        <w:rPr>
          <w:rFonts w:cs="Arial"/>
          <w:bCs/>
          <w:iCs/>
          <w:noProof/>
          <w:color w:val="244061" w:themeColor="accent1" w:themeShade="80"/>
        </w:rPr>
      </w:pPr>
      <w:r>
        <w:rPr>
          <w:rFonts w:cs="Arial"/>
          <w:bCs/>
          <w:iCs/>
          <w:noProof/>
          <w:color w:val="244061" w:themeColor="accent1" w:themeShade="80"/>
        </w:rPr>
        <w:t xml:space="preserve">- </w:t>
      </w:r>
      <w:r w:rsidR="00A701B5">
        <w:rPr>
          <w:rFonts w:cs="Arial"/>
          <w:bCs/>
          <w:iCs/>
          <w:noProof/>
          <w:color w:val="244061" w:themeColor="accent1" w:themeShade="80"/>
        </w:rPr>
        <w:t>an hypothetical d</w:t>
      </w:r>
      <w:r w:rsidRPr="009A09BB">
        <w:rPr>
          <w:rFonts w:cs="Arial"/>
          <w:bCs/>
          <w:iCs/>
          <w:noProof/>
          <w:color w:val="244061" w:themeColor="accent1" w:themeShade="80"/>
        </w:rPr>
        <w:t xml:space="preserve">enomination set to the </w:t>
      </w:r>
      <w:r w:rsidR="00A701B5">
        <w:rPr>
          <w:rFonts w:cs="Arial"/>
          <w:bCs/>
          <w:iCs/>
          <w:noProof/>
          <w:color w:val="244061" w:themeColor="accent1" w:themeShade="80"/>
        </w:rPr>
        <w:t>s</w:t>
      </w:r>
      <w:r w:rsidRPr="009A09BB">
        <w:rPr>
          <w:rFonts w:cs="Arial"/>
          <w:bCs/>
          <w:iCs/>
          <w:noProof/>
          <w:color w:val="244061" w:themeColor="accent1" w:themeShade="80"/>
        </w:rPr>
        <w:t>trik</w:t>
      </w:r>
      <w:r w:rsidR="00A701B5">
        <w:rPr>
          <w:rFonts w:cs="Arial"/>
          <w:bCs/>
          <w:iCs/>
          <w:noProof/>
          <w:color w:val="244061" w:themeColor="accent1" w:themeShade="80"/>
        </w:rPr>
        <w:t>e level for products "in units"</w:t>
      </w:r>
    </w:p>
    <w:p w:rsidR="00472E72" w:rsidRPr="009A09BB" w:rsidRDefault="00472E72" w:rsidP="00472E72">
      <w:pPr>
        <w:pBdr>
          <w:top w:val="single" w:sz="4" w:space="1" w:color="auto"/>
          <w:left w:val="single" w:sz="4" w:space="4" w:color="auto"/>
          <w:bottom w:val="single" w:sz="4" w:space="1" w:color="auto"/>
          <w:right w:val="single" w:sz="4" w:space="4" w:color="auto"/>
        </w:pBdr>
        <w:shd w:val="clear" w:color="auto" w:fill="D9D9D9"/>
        <w:jc w:val="both"/>
        <w:rPr>
          <w:rFonts w:cs="Arial"/>
          <w:bCs/>
          <w:iCs/>
          <w:noProof/>
          <w:color w:val="244061" w:themeColor="accent1" w:themeShade="80"/>
        </w:rPr>
      </w:pPr>
      <w:r>
        <w:rPr>
          <w:rFonts w:cs="Arial"/>
          <w:bCs/>
          <w:iCs/>
          <w:noProof/>
          <w:color w:val="244061" w:themeColor="accent1" w:themeShade="80"/>
        </w:rPr>
        <w:t xml:space="preserve">- </w:t>
      </w:r>
      <w:r w:rsidR="00A701B5">
        <w:rPr>
          <w:rFonts w:cs="Arial"/>
          <w:bCs/>
          <w:iCs/>
          <w:noProof/>
          <w:color w:val="244061" w:themeColor="accent1" w:themeShade="80"/>
        </w:rPr>
        <w:t>t</w:t>
      </w:r>
      <w:r w:rsidRPr="009A09BB">
        <w:rPr>
          <w:rFonts w:cs="Arial"/>
          <w:bCs/>
          <w:iCs/>
          <w:noProof/>
          <w:color w:val="244061" w:themeColor="accent1" w:themeShade="80"/>
        </w:rPr>
        <w:t xml:space="preserve">he </w:t>
      </w:r>
      <w:r w:rsidR="00A701B5">
        <w:rPr>
          <w:rFonts w:cs="Arial"/>
          <w:bCs/>
          <w:iCs/>
          <w:noProof/>
          <w:color w:val="244061" w:themeColor="accent1" w:themeShade="80"/>
        </w:rPr>
        <w:t>notional for structured d</w:t>
      </w:r>
      <w:r w:rsidRPr="009A09BB">
        <w:rPr>
          <w:rFonts w:cs="Arial"/>
          <w:bCs/>
          <w:iCs/>
          <w:noProof/>
          <w:color w:val="244061" w:themeColor="accent1" w:themeShade="80"/>
        </w:rPr>
        <w:t>eposit</w:t>
      </w:r>
      <w:r w:rsidR="00A701B5">
        <w:rPr>
          <w:rFonts w:cs="Arial"/>
          <w:bCs/>
          <w:iCs/>
          <w:noProof/>
          <w:color w:val="244061" w:themeColor="accent1" w:themeShade="80"/>
        </w:rPr>
        <w:t>s</w:t>
      </w:r>
    </w:p>
    <w:p w:rsidR="00472E72" w:rsidRPr="00F520E3" w:rsidRDefault="00472E72" w:rsidP="00472E72">
      <w:pPr>
        <w:pBdr>
          <w:top w:val="single" w:sz="4" w:space="1" w:color="auto"/>
          <w:left w:val="single" w:sz="4" w:space="4" w:color="auto"/>
          <w:bottom w:val="single" w:sz="4" w:space="1" w:color="auto"/>
          <w:right w:val="single" w:sz="4" w:space="4" w:color="auto"/>
        </w:pBdr>
        <w:shd w:val="clear" w:color="auto" w:fill="D9D9D9"/>
        <w:jc w:val="both"/>
        <w:rPr>
          <w:rFonts w:cs="Arial"/>
        </w:rPr>
      </w:pPr>
      <w:r w:rsidRPr="009A09BB">
        <w:rPr>
          <w:rFonts w:cs="Arial"/>
          <w:bCs/>
          <w:iCs/>
          <w:noProof/>
          <w:color w:val="244061" w:themeColor="accent1" w:themeShade="80"/>
        </w:rPr>
        <w:t xml:space="preserve">An assumption of EUR 1000 (or equivalent in another currency) seems reasonable as a </w:t>
      </w:r>
      <w:r w:rsidR="00A701B5">
        <w:rPr>
          <w:rFonts w:cs="Arial"/>
          <w:bCs/>
          <w:iCs/>
          <w:noProof/>
          <w:color w:val="244061" w:themeColor="accent1" w:themeShade="80"/>
        </w:rPr>
        <w:t>d</w:t>
      </w:r>
      <w:r w:rsidRPr="009A09BB">
        <w:rPr>
          <w:rFonts w:cs="Arial"/>
          <w:bCs/>
          <w:iCs/>
          <w:noProof/>
          <w:color w:val="244061" w:themeColor="accent1" w:themeShade="80"/>
        </w:rPr>
        <w:t xml:space="preserve">enomination or </w:t>
      </w:r>
      <w:r w:rsidR="00A701B5">
        <w:rPr>
          <w:rFonts w:cs="Arial"/>
          <w:bCs/>
          <w:iCs/>
          <w:noProof/>
          <w:color w:val="244061" w:themeColor="accent1" w:themeShade="80"/>
        </w:rPr>
        <w:t>n</w:t>
      </w:r>
      <w:r w:rsidRPr="009A09BB">
        <w:rPr>
          <w:rFonts w:cs="Arial"/>
          <w:bCs/>
          <w:iCs/>
          <w:noProof/>
          <w:color w:val="244061" w:themeColor="accent1" w:themeShade="80"/>
        </w:rPr>
        <w:t>otional.</w:t>
      </w:r>
    </w:p>
    <w:permEnd w:id="90"/>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lastRenderedPageBreak/>
        <w:t>&lt;ESMA_QUESTION_PRIIPs_83&gt;</w:t>
      </w:r>
    </w:p>
    <w:p w:rsidR="00F31E57" w:rsidRDefault="00F31E57" w:rsidP="00F31E57">
      <w:permStart w:id="91" w:edGrp="everyone"/>
      <w:r>
        <w:t>TYPE YOUR TEXT HERE</w:t>
      </w:r>
    </w:p>
    <w:permEnd w:id="91"/>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A701B5" w:rsidRPr="00F520E3" w:rsidRDefault="00A701B5" w:rsidP="00A701B5">
      <w:pPr>
        <w:pBdr>
          <w:top w:val="single" w:sz="4" w:space="1" w:color="auto"/>
          <w:left w:val="single" w:sz="4" w:space="4" w:color="auto"/>
          <w:bottom w:val="single" w:sz="4" w:space="1" w:color="auto"/>
          <w:right w:val="single" w:sz="4" w:space="4" w:color="auto"/>
        </w:pBdr>
        <w:shd w:val="clear" w:color="auto" w:fill="D9D9D9"/>
        <w:jc w:val="both"/>
        <w:rPr>
          <w:rFonts w:cs="Arial"/>
        </w:rPr>
      </w:pPr>
      <w:permStart w:id="92" w:edGrp="everyone"/>
      <w:r w:rsidRPr="009A09BB">
        <w:rPr>
          <w:rFonts w:cs="Arial"/>
          <w:color w:val="244061" w:themeColor="accent1" w:themeShade="80"/>
        </w:rPr>
        <w:t>No difficulties are expec</w:t>
      </w:r>
      <w:r>
        <w:rPr>
          <w:rFonts w:cs="Arial"/>
          <w:color w:val="244061" w:themeColor="accent1" w:themeShade="80"/>
        </w:rPr>
        <w:t>ted, the cost should be annualis</w:t>
      </w:r>
      <w:r w:rsidRPr="009A09BB">
        <w:rPr>
          <w:rFonts w:cs="Arial"/>
          <w:color w:val="244061" w:themeColor="accent1" w:themeShade="80"/>
        </w:rPr>
        <w:t xml:space="preserve">ed </w:t>
      </w:r>
      <w:r>
        <w:rPr>
          <w:rFonts w:cs="Arial"/>
          <w:color w:val="244061" w:themeColor="accent1" w:themeShade="80"/>
        </w:rPr>
        <w:t>over</w:t>
      </w:r>
      <w:r w:rsidRPr="009A09BB">
        <w:rPr>
          <w:rFonts w:cs="Arial"/>
          <w:color w:val="244061" w:themeColor="accent1" w:themeShade="80"/>
        </w:rPr>
        <w:t xml:space="preserve"> the recommended holding period.</w:t>
      </w:r>
    </w:p>
    <w:permEnd w:id="9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A701B5" w:rsidRPr="009A09BB" w:rsidRDefault="00A701B5" w:rsidP="00A701B5">
      <w:pPr>
        <w:pStyle w:val="Paragraphedeliste"/>
        <w:pBdr>
          <w:top w:val="single" w:sz="4" w:space="1" w:color="auto"/>
          <w:left w:val="single" w:sz="4" w:space="4" w:color="auto"/>
          <w:bottom w:val="single" w:sz="4" w:space="1" w:color="auto"/>
          <w:right w:val="single" w:sz="4" w:space="4" w:color="auto"/>
        </w:pBdr>
        <w:shd w:val="clear" w:color="auto" w:fill="D9D9D9"/>
        <w:ind w:left="0"/>
        <w:jc w:val="both"/>
        <w:rPr>
          <w:rFonts w:cs="Arial"/>
          <w:color w:val="244061" w:themeColor="accent1" w:themeShade="80"/>
        </w:rPr>
      </w:pPr>
      <w:permStart w:id="93" w:edGrp="everyone"/>
      <w:r w:rsidRPr="009A09BB">
        <w:rPr>
          <w:rFonts w:cs="Arial"/>
          <w:color w:val="244061" w:themeColor="accent1" w:themeShade="80"/>
        </w:rPr>
        <w:t>For structured product</w:t>
      </w:r>
      <w:r>
        <w:rPr>
          <w:rFonts w:cs="Arial"/>
          <w:color w:val="244061" w:themeColor="accent1" w:themeShade="80"/>
        </w:rPr>
        <w:t>s, the most simple is to amortis</w:t>
      </w:r>
      <w:r w:rsidRPr="009A09BB">
        <w:rPr>
          <w:rFonts w:cs="Arial"/>
          <w:color w:val="244061" w:themeColor="accent1" w:themeShade="80"/>
        </w:rPr>
        <w:t xml:space="preserve">e </w:t>
      </w:r>
      <w:r>
        <w:rPr>
          <w:rFonts w:cs="Arial"/>
          <w:color w:val="244061" w:themeColor="accent1" w:themeShade="80"/>
        </w:rPr>
        <w:t>in a linear fashion the</w:t>
      </w:r>
      <w:r w:rsidRPr="009A09BB">
        <w:rPr>
          <w:rFonts w:cs="Arial"/>
          <w:color w:val="244061" w:themeColor="accent1" w:themeShade="80"/>
        </w:rPr>
        <w:t xml:space="preserve"> entry </w:t>
      </w:r>
      <w:r>
        <w:rPr>
          <w:rFonts w:cs="Arial"/>
          <w:color w:val="244061" w:themeColor="accent1" w:themeShade="80"/>
        </w:rPr>
        <w:t>and</w:t>
      </w:r>
      <w:r w:rsidRPr="009A09BB">
        <w:rPr>
          <w:rFonts w:cs="Arial"/>
          <w:color w:val="244061" w:themeColor="accent1" w:themeShade="80"/>
        </w:rPr>
        <w:t xml:space="preserve"> exit costs over the recommended holding period.</w:t>
      </w:r>
    </w:p>
    <w:permEnd w:id="9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94" w:edGrp="everyone"/>
      <w:r>
        <w:t>TYPE YOUR TEXT HERE</w:t>
      </w:r>
    </w:p>
    <w:permEnd w:id="94"/>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w:t>
      </w:r>
      <w:r>
        <w:rPr>
          <w:rFonts w:cs="Arial"/>
        </w:rPr>
        <w:t>i</w:t>
      </w:r>
      <w:r>
        <w:rPr>
          <w:rFonts w:cs="Arial"/>
        </w:rPr>
        <w:t>tion with the other types of PRIIPs in this regard? Another possible approach could be to use the ratio between the total amount of costs over the holding period and the a</w:t>
      </w:r>
      <w:r>
        <w:rPr>
          <w:rFonts w:cs="Arial"/>
        </w:rPr>
        <w:t>v</w:t>
      </w:r>
      <w:r>
        <w:rPr>
          <w:rFonts w:cs="Arial"/>
        </w:rPr>
        <w:t>erage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95" w:edGrp="everyone"/>
      <w:r>
        <w:t>TYPE YOUR TEXT HERE</w:t>
      </w:r>
    </w:p>
    <w:permEnd w:id="95"/>
    <w:p w:rsidR="00F31E57" w:rsidRDefault="00F31E57" w:rsidP="00F31E57">
      <w:r>
        <w:lastRenderedPageBreak/>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A701B5" w:rsidRPr="009A09BB" w:rsidRDefault="00A701B5" w:rsidP="00A701B5">
      <w:pPr>
        <w:pStyle w:val="Commentaire"/>
        <w:pBdr>
          <w:top w:val="single" w:sz="4" w:space="1" w:color="auto"/>
          <w:left w:val="single" w:sz="4" w:space="4" w:color="auto"/>
          <w:bottom w:val="single" w:sz="4" w:space="1" w:color="auto"/>
          <w:right w:val="single" w:sz="4" w:space="4" w:color="auto"/>
        </w:pBdr>
        <w:shd w:val="clear" w:color="auto" w:fill="D9D9D9"/>
        <w:spacing w:line="276" w:lineRule="auto"/>
        <w:jc w:val="both"/>
        <w:rPr>
          <w:rFonts w:cs="Arial"/>
          <w:color w:val="244061" w:themeColor="accent1" w:themeShade="80"/>
          <w:sz w:val="22"/>
          <w:szCs w:val="22"/>
        </w:rPr>
      </w:pPr>
      <w:permStart w:id="96" w:edGrp="everyone"/>
      <w:r>
        <w:rPr>
          <w:rFonts w:cs="Arial"/>
          <w:color w:val="244061" w:themeColor="accent1" w:themeShade="80"/>
          <w:sz w:val="22"/>
          <w:szCs w:val="22"/>
          <w:lang w:eastAsia="en-US"/>
        </w:rPr>
        <w:t>E</w:t>
      </w:r>
      <w:r w:rsidRPr="009A09BB">
        <w:rPr>
          <w:rFonts w:cs="Arial"/>
          <w:color w:val="244061" w:themeColor="accent1" w:themeShade="80"/>
          <w:sz w:val="22"/>
          <w:szCs w:val="22"/>
          <w:lang w:eastAsia="en-US"/>
        </w:rPr>
        <w:t>xpressing the cost as a percentage of the average net investment</w:t>
      </w:r>
      <w:r>
        <w:rPr>
          <w:rFonts w:cs="Arial"/>
          <w:color w:val="244061" w:themeColor="accent1" w:themeShade="80"/>
          <w:sz w:val="22"/>
          <w:szCs w:val="22"/>
          <w:lang w:eastAsia="en-US"/>
        </w:rPr>
        <w:t xml:space="preserve"> is not appropriate in our view</w:t>
      </w:r>
      <w:r w:rsidRPr="009A09BB">
        <w:rPr>
          <w:rFonts w:cs="Arial"/>
          <w:color w:val="244061" w:themeColor="accent1" w:themeShade="80"/>
          <w:sz w:val="22"/>
          <w:szCs w:val="22"/>
          <w:lang w:eastAsia="en-US"/>
        </w:rPr>
        <w:t xml:space="preserve"> because for structured products, all cost calculations are based on a </w:t>
      </w:r>
      <w:r>
        <w:rPr>
          <w:rFonts w:cs="Arial"/>
          <w:color w:val="244061" w:themeColor="accent1" w:themeShade="80"/>
          <w:sz w:val="22"/>
          <w:szCs w:val="22"/>
          <w:lang w:eastAsia="en-US"/>
        </w:rPr>
        <w:t>percentage of the notional amount or d</w:t>
      </w:r>
      <w:r w:rsidRPr="009A09BB">
        <w:rPr>
          <w:rFonts w:cs="Arial"/>
          <w:color w:val="244061" w:themeColor="accent1" w:themeShade="80"/>
          <w:sz w:val="22"/>
          <w:szCs w:val="22"/>
          <w:lang w:eastAsia="en-US"/>
        </w:rPr>
        <w:t xml:space="preserve">enomination. TCR for </w:t>
      </w:r>
      <w:r>
        <w:rPr>
          <w:rFonts w:cs="Arial"/>
          <w:color w:val="244061" w:themeColor="accent1" w:themeShade="80"/>
          <w:sz w:val="22"/>
          <w:szCs w:val="22"/>
          <w:lang w:eastAsia="en-US"/>
        </w:rPr>
        <w:t>s</w:t>
      </w:r>
      <w:r w:rsidRPr="009A09BB">
        <w:rPr>
          <w:rFonts w:cs="Arial"/>
          <w:color w:val="244061" w:themeColor="accent1" w:themeShade="80"/>
          <w:sz w:val="22"/>
          <w:szCs w:val="22"/>
          <w:lang w:eastAsia="en-US"/>
        </w:rPr>
        <w:t>tructured product</w:t>
      </w:r>
      <w:r>
        <w:rPr>
          <w:rFonts w:cs="Arial"/>
          <w:color w:val="244061" w:themeColor="accent1" w:themeShade="80"/>
          <w:sz w:val="22"/>
          <w:szCs w:val="22"/>
          <w:lang w:eastAsia="en-US"/>
        </w:rPr>
        <w:t>s</w:t>
      </w:r>
      <w:r w:rsidRPr="009A09BB">
        <w:rPr>
          <w:rFonts w:cs="Arial"/>
          <w:color w:val="244061" w:themeColor="accent1" w:themeShade="80"/>
          <w:sz w:val="22"/>
          <w:szCs w:val="22"/>
          <w:lang w:eastAsia="en-US"/>
        </w:rPr>
        <w:t xml:space="preserve"> should be a </w:t>
      </w:r>
      <w:r>
        <w:rPr>
          <w:rFonts w:cs="Arial"/>
          <w:color w:val="244061" w:themeColor="accent1" w:themeShade="80"/>
          <w:sz w:val="22"/>
          <w:szCs w:val="22"/>
          <w:lang w:eastAsia="en-US"/>
        </w:rPr>
        <w:t>percentage</w:t>
      </w:r>
      <w:r w:rsidRPr="009A09BB">
        <w:rPr>
          <w:rFonts w:cs="Arial"/>
          <w:color w:val="244061" w:themeColor="accent1" w:themeShade="80"/>
          <w:sz w:val="22"/>
          <w:szCs w:val="22"/>
          <w:lang w:eastAsia="en-US"/>
        </w:rPr>
        <w:t xml:space="preserve"> of </w:t>
      </w:r>
      <w:r>
        <w:rPr>
          <w:rFonts w:cs="Arial"/>
          <w:color w:val="244061" w:themeColor="accent1" w:themeShade="80"/>
          <w:sz w:val="22"/>
          <w:szCs w:val="22"/>
          <w:lang w:eastAsia="en-US"/>
        </w:rPr>
        <w:t>the d</w:t>
      </w:r>
      <w:r w:rsidRPr="009A09BB">
        <w:rPr>
          <w:rFonts w:cs="Arial"/>
          <w:color w:val="244061" w:themeColor="accent1" w:themeShade="80"/>
          <w:sz w:val="22"/>
          <w:szCs w:val="22"/>
          <w:lang w:eastAsia="en-US"/>
        </w:rPr>
        <w:t>enomin</w:t>
      </w:r>
      <w:r w:rsidRPr="009A09BB">
        <w:rPr>
          <w:rFonts w:cs="Arial"/>
          <w:color w:val="244061" w:themeColor="accent1" w:themeShade="80"/>
          <w:sz w:val="22"/>
          <w:szCs w:val="22"/>
          <w:lang w:eastAsia="en-US"/>
        </w:rPr>
        <w:t>a</w:t>
      </w:r>
      <w:r>
        <w:rPr>
          <w:rFonts w:cs="Arial"/>
          <w:color w:val="244061" w:themeColor="accent1" w:themeShade="80"/>
          <w:sz w:val="22"/>
          <w:szCs w:val="22"/>
          <w:lang w:eastAsia="en-US"/>
        </w:rPr>
        <w:t>tion or n</w:t>
      </w:r>
      <w:r w:rsidRPr="009A09BB">
        <w:rPr>
          <w:rFonts w:cs="Arial"/>
          <w:color w:val="244061" w:themeColor="accent1" w:themeShade="80"/>
          <w:sz w:val="22"/>
          <w:szCs w:val="22"/>
          <w:lang w:eastAsia="en-US"/>
        </w:rPr>
        <w:t xml:space="preserve">otional amount.  </w:t>
      </w:r>
    </w:p>
    <w:permEnd w:id="96"/>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97" w:edGrp="everyone"/>
      <w:r>
        <w:t>TYPE YOUR TEXT HERE</w:t>
      </w:r>
    </w:p>
    <w:permEnd w:id="97"/>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98" w:edGrp="everyone"/>
      <w:r>
        <w:t>TYPE YOUR TEXT HERE</w:t>
      </w:r>
    </w:p>
    <w:permEnd w:id="98"/>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99" w:edGrp="everyone"/>
      <w:r>
        <w:t>TYPE YOUR TEXT HERE</w:t>
      </w:r>
    </w:p>
    <w:permEnd w:id="9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lastRenderedPageBreak/>
        <w:t>Do you think this methodology should be further detailed? To what extent do you think this methodology is appropriate and feasible (notably in terms of calibration of the model)? It might indeed be considered that valuation models for Solvency II us</w:t>
      </w:r>
      <w:r>
        <w:rPr>
          <w:rFonts w:cs="Arial"/>
        </w:rPr>
        <w:t>u</w:t>
      </w:r>
      <w:r>
        <w:rPr>
          <w:rFonts w:cs="Arial"/>
        </w:rPr>
        <w:t>ally are not likely to be designed for per contract calculations. Life insurers may r</w:t>
      </w:r>
      <w:r>
        <w:rPr>
          <w:rFonts w:cs="Arial"/>
        </w:rPr>
        <w:t>e</w:t>
      </w:r>
      <w:r>
        <w:rPr>
          <w:rFonts w:cs="Arial"/>
        </w:rPr>
        <w:t>strict the calculation of technical provisions in the Solvency II-Balance-Sheet to h</w:t>
      </w:r>
      <w:r>
        <w:rPr>
          <w:rFonts w:cs="Arial"/>
        </w:rPr>
        <w:t>o</w:t>
      </w:r>
      <w:r>
        <w:rPr>
          <w:rFonts w:cs="Arial"/>
        </w:rPr>
        <w:t xml:space="preserve">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00" w:edGrp="everyone"/>
      <w:r>
        <w:t>TYPE YOUR TEXT HERE</w:t>
      </w:r>
    </w:p>
    <w:permEnd w:id="100"/>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01" w:edGrp="everyone"/>
      <w:r>
        <w:t>TYPE YOUR TEXT HERE</w:t>
      </w:r>
    </w:p>
    <w:permEnd w:id="101"/>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93C21" w:rsidRPr="00F62346" w:rsidRDefault="00F93C21" w:rsidP="00F93C21">
      <w:pPr>
        <w:pStyle w:val="Paragraphedeliste"/>
        <w:pBdr>
          <w:top w:val="single" w:sz="4" w:space="1" w:color="auto"/>
          <w:left w:val="single" w:sz="4" w:space="4" w:color="auto"/>
          <w:bottom w:val="single" w:sz="4" w:space="1" w:color="auto"/>
          <w:right w:val="single" w:sz="4" w:space="4" w:color="auto"/>
        </w:pBdr>
        <w:shd w:val="clear" w:color="auto" w:fill="D9D9D9"/>
        <w:ind w:left="0"/>
        <w:jc w:val="both"/>
        <w:rPr>
          <w:rFonts w:cs="Arial"/>
          <w:color w:val="244061" w:themeColor="accent1" w:themeShade="80"/>
        </w:rPr>
      </w:pPr>
      <w:permStart w:id="102" w:edGrp="everyone"/>
      <w:r>
        <w:rPr>
          <w:rFonts w:cs="Arial"/>
          <w:color w:val="244061" w:themeColor="accent1" w:themeShade="80"/>
        </w:rPr>
        <w:t>AMAFI</w:t>
      </w:r>
      <w:r w:rsidRPr="00F62346">
        <w:rPr>
          <w:rFonts w:cs="Arial"/>
          <w:color w:val="244061" w:themeColor="accent1" w:themeShade="80"/>
        </w:rPr>
        <w:t xml:space="preserve"> do</w:t>
      </w:r>
      <w:r>
        <w:rPr>
          <w:rFonts w:cs="Arial"/>
          <w:color w:val="244061" w:themeColor="accent1" w:themeShade="80"/>
        </w:rPr>
        <w:t xml:space="preserve">es </w:t>
      </w:r>
      <w:r w:rsidRPr="00F62346">
        <w:rPr>
          <w:rFonts w:cs="Arial"/>
          <w:color w:val="244061" w:themeColor="accent1" w:themeShade="80"/>
        </w:rPr>
        <w:t>n</w:t>
      </w:r>
      <w:r>
        <w:rPr>
          <w:rFonts w:cs="Arial"/>
          <w:color w:val="244061" w:themeColor="accent1" w:themeShade="80"/>
        </w:rPr>
        <w:t>o</w:t>
      </w:r>
      <w:r w:rsidRPr="00F62346">
        <w:rPr>
          <w:rFonts w:cs="Arial"/>
          <w:color w:val="244061" w:themeColor="accent1" w:themeShade="80"/>
        </w:rPr>
        <w:t>t see how a RIY approach could be implemented for structured products. "Incorporating" the cost</w:t>
      </w:r>
      <w:r>
        <w:rPr>
          <w:rFonts w:cs="Arial"/>
          <w:color w:val="244061" w:themeColor="accent1" w:themeShade="80"/>
        </w:rPr>
        <w:t>s</w:t>
      </w:r>
      <w:r w:rsidRPr="00F62346">
        <w:rPr>
          <w:rFonts w:cs="Arial"/>
          <w:color w:val="244061" w:themeColor="accent1" w:themeShade="80"/>
        </w:rPr>
        <w:t xml:space="preserve"> could be understood in different ways, and rely on so many hypothesis that it would be imposs</w:t>
      </w:r>
      <w:r w:rsidRPr="00F62346">
        <w:rPr>
          <w:rFonts w:cs="Arial"/>
          <w:color w:val="244061" w:themeColor="accent1" w:themeShade="80"/>
        </w:rPr>
        <w:t>i</w:t>
      </w:r>
      <w:r w:rsidRPr="00F62346">
        <w:rPr>
          <w:rFonts w:cs="Arial"/>
          <w:color w:val="244061" w:themeColor="accent1" w:themeShade="80"/>
        </w:rPr>
        <w:t>ble to prescribe them (leading to RIY computations that would change according to the underlying a</w:t>
      </w:r>
      <w:r w:rsidRPr="00F62346">
        <w:rPr>
          <w:rFonts w:cs="Arial"/>
          <w:color w:val="244061" w:themeColor="accent1" w:themeShade="80"/>
        </w:rPr>
        <w:t>s</w:t>
      </w:r>
      <w:r w:rsidRPr="00F62346">
        <w:rPr>
          <w:rFonts w:cs="Arial"/>
          <w:color w:val="244061" w:themeColor="accent1" w:themeShade="80"/>
        </w:rPr>
        <w:t>sumptions)</w:t>
      </w:r>
    </w:p>
    <w:permEnd w:id="10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93C21" w:rsidRDefault="00F93C21" w:rsidP="00F93C21">
      <w:pPr>
        <w:pBdr>
          <w:top w:val="single" w:sz="4" w:space="1" w:color="auto"/>
          <w:left w:val="single" w:sz="4" w:space="4" w:color="auto"/>
          <w:bottom w:val="single" w:sz="4" w:space="1" w:color="auto"/>
          <w:right w:val="single" w:sz="4" w:space="4" w:color="auto"/>
        </w:pBdr>
        <w:shd w:val="clear" w:color="auto" w:fill="D9D9D9"/>
        <w:jc w:val="both"/>
        <w:rPr>
          <w:rFonts w:cs="Arial"/>
          <w:color w:val="244061" w:themeColor="accent1" w:themeShade="80"/>
        </w:rPr>
      </w:pPr>
      <w:permStart w:id="103" w:edGrp="everyone"/>
      <w:r w:rsidRPr="00F62346">
        <w:rPr>
          <w:rFonts w:cs="Arial"/>
          <w:color w:val="244061" w:themeColor="accent1" w:themeShade="80"/>
        </w:rPr>
        <w:t xml:space="preserve">For structured products, returns should be calculated on the </w:t>
      </w:r>
      <w:r>
        <w:rPr>
          <w:rFonts w:cs="Arial"/>
          <w:color w:val="244061" w:themeColor="accent1" w:themeShade="80"/>
        </w:rPr>
        <w:t>d</w:t>
      </w:r>
      <w:r w:rsidRPr="00F62346">
        <w:rPr>
          <w:rFonts w:cs="Arial"/>
          <w:color w:val="244061" w:themeColor="accent1" w:themeShade="80"/>
        </w:rPr>
        <w:t>enomination amount (e.g. EUR 1000 or equivalent in local currenc</w:t>
      </w:r>
      <w:r>
        <w:rPr>
          <w:rFonts w:cs="Arial"/>
          <w:color w:val="244061" w:themeColor="accent1" w:themeShade="80"/>
        </w:rPr>
        <w:t>y) which means net of implicit e</w:t>
      </w:r>
      <w:r w:rsidRPr="00F62346">
        <w:rPr>
          <w:rFonts w:cs="Arial"/>
          <w:color w:val="244061" w:themeColor="accent1" w:themeShade="80"/>
        </w:rPr>
        <w:t xml:space="preserve">ntry costs. </w:t>
      </w:r>
    </w:p>
    <w:p w:rsidR="00F93C21" w:rsidRPr="00F62346" w:rsidRDefault="00F93C21" w:rsidP="00F93C21">
      <w:pPr>
        <w:pBdr>
          <w:top w:val="single" w:sz="4" w:space="1" w:color="auto"/>
          <w:left w:val="single" w:sz="4" w:space="4" w:color="auto"/>
          <w:bottom w:val="single" w:sz="4" w:space="1" w:color="auto"/>
          <w:right w:val="single" w:sz="4" w:space="4" w:color="auto"/>
        </w:pBdr>
        <w:shd w:val="clear" w:color="auto" w:fill="D9D9D9"/>
        <w:jc w:val="both"/>
        <w:rPr>
          <w:rFonts w:cs="Arial"/>
          <w:color w:val="244061" w:themeColor="accent1" w:themeShade="80"/>
        </w:rPr>
      </w:pPr>
    </w:p>
    <w:p w:rsidR="00F93C21" w:rsidRPr="00F62346" w:rsidRDefault="00F93C21" w:rsidP="00F93C21">
      <w:pPr>
        <w:pBdr>
          <w:top w:val="single" w:sz="4" w:space="1" w:color="auto"/>
          <w:left w:val="single" w:sz="4" w:space="4" w:color="auto"/>
          <w:bottom w:val="single" w:sz="4" w:space="1" w:color="auto"/>
          <w:right w:val="single" w:sz="4" w:space="4" w:color="auto"/>
        </w:pBdr>
        <w:shd w:val="clear" w:color="auto" w:fill="D9D9D9"/>
        <w:jc w:val="both"/>
        <w:rPr>
          <w:rFonts w:cs="Arial"/>
          <w:color w:val="244061" w:themeColor="accent1" w:themeShade="80"/>
        </w:rPr>
      </w:pPr>
      <w:r w:rsidRPr="00F62346">
        <w:rPr>
          <w:rFonts w:cs="Arial"/>
          <w:color w:val="244061" w:themeColor="accent1" w:themeShade="80"/>
        </w:rPr>
        <w:t>Regarding the growth rate on the invested amount to estimate cumulative effect of costs, a zero growth rate seems appropriate for structured p</w:t>
      </w:r>
      <w:r>
        <w:rPr>
          <w:rFonts w:cs="Arial"/>
          <w:color w:val="244061" w:themeColor="accent1" w:themeShade="80"/>
        </w:rPr>
        <w:t>roducts. This simply means the d</w:t>
      </w:r>
      <w:r w:rsidRPr="00F62346">
        <w:rPr>
          <w:rFonts w:cs="Arial"/>
          <w:color w:val="244061" w:themeColor="accent1" w:themeShade="80"/>
        </w:rPr>
        <w:t>enomination (used a</w:t>
      </w:r>
      <w:r>
        <w:rPr>
          <w:rFonts w:cs="Arial"/>
          <w:color w:val="244061" w:themeColor="accent1" w:themeShade="80"/>
        </w:rPr>
        <w:t>s the basis to express cost</w:t>
      </w:r>
      <w:r w:rsidRPr="00F62346">
        <w:rPr>
          <w:rFonts w:cs="Arial"/>
          <w:color w:val="244061" w:themeColor="accent1" w:themeShade="80"/>
        </w:rPr>
        <w:t>) remains unchanged throughout the life of the product.</w:t>
      </w:r>
    </w:p>
    <w:permEnd w:id="10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lastRenderedPageBreak/>
        <w:t>&lt;ESMA_QUESTION_PRIIPs_96&gt;</w:t>
      </w:r>
    </w:p>
    <w:p w:rsidR="00F93C21" w:rsidRPr="00F62346" w:rsidRDefault="00F93C21" w:rsidP="00F93C21">
      <w:pPr>
        <w:pStyle w:val="Paragraphedeliste"/>
        <w:pBdr>
          <w:top w:val="single" w:sz="4" w:space="1" w:color="auto"/>
          <w:left w:val="single" w:sz="4" w:space="4" w:color="auto"/>
          <w:bottom w:val="single" w:sz="4" w:space="1" w:color="auto"/>
          <w:right w:val="single" w:sz="4" w:space="4" w:color="auto"/>
        </w:pBdr>
        <w:ind w:left="0"/>
        <w:jc w:val="both"/>
        <w:rPr>
          <w:rFonts w:cs="Arial"/>
          <w:color w:val="244061" w:themeColor="accent1" w:themeShade="80"/>
        </w:rPr>
      </w:pPr>
      <w:permStart w:id="104" w:edGrp="everyone"/>
      <w:r w:rsidRPr="00F62346">
        <w:rPr>
          <w:rFonts w:cs="Arial"/>
          <w:color w:val="244061" w:themeColor="accent1" w:themeShade="80"/>
        </w:rPr>
        <w:t>Generally yes. Manufacturing cost</w:t>
      </w:r>
      <w:r>
        <w:rPr>
          <w:rFonts w:cs="Arial"/>
          <w:color w:val="244061" w:themeColor="accent1" w:themeShade="80"/>
        </w:rPr>
        <w:t>s</w:t>
      </w:r>
      <w:r w:rsidRPr="00F62346">
        <w:rPr>
          <w:rFonts w:cs="Arial"/>
          <w:color w:val="244061" w:themeColor="accent1" w:themeShade="80"/>
        </w:rPr>
        <w:t xml:space="preserve"> usually cover the cost of running the SPV. The cost of running the SPV is borne by the manufacturer using it, there is no "</w:t>
      </w:r>
      <w:r w:rsidRPr="00F93C21">
        <w:rPr>
          <w:rFonts w:cs="Arial"/>
          <w:i/>
          <w:color w:val="244061" w:themeColor="accent1" w:themeShade="80"/>
        </w:rPr>
        <w:t>amount charged to the investor by the SPV</w:t>
      </w:r>
      <w:r w:rsidRPr="00F62346">
        <w:rPr>
          <w:rFonts w:cs="Arial"/>
          <w:color w:val="244061" w:themeColor="accent1" w:themeShade="80"/>
        </w:rPr>
        <w:t xml:space="preserve">" as the </w:t>
      </w:r>
      <w:r>
        <w:rPr>
          <w:rFonts w:cs="Arial"/>
          <w:color w:val="244061" w:themeColor="accent1" w:themeShade="80"/>
        </w:rPr>
        <w:t>TDP suggests.</w:t>
      </w:r>
      <w:r w:rsidRPr="00F62346">
        <w:rPr>
          <w:rFonts w:cs="Arial"/>
          <w:color w:val="244061" w:themeColor="accent1" w:themeShade="80"/>
        </w:rPr>
        <w:t xml:space="preserve"> </w:t>
      </w:r>
      <w:r>
        <w:rPr>
          <w:rFonts w:cs="Arial"/>
          <w:color w:val="244061" w:themeColor="accent1" w:themeShade="80"/>
        </w:rPr>
        <w:t xml:space="preserve">The treatment of </w:t>
      </w:r>
      <w:r w:rsidRPr="00F62346">
        <w:rPr>
          <w:rFonts w:cs="Arial"/>
          <w:color w:val="244061" w:themeColor="accent1" w:themeShade="80"/>
        </w:rPr>
        <w:t>SPVs</w:t>
      </w:r>
      <w:r>
        <w:rPr>
          <w:rFonts w:cs="Arial"/>
          <w:color w:val="244061" w:themeColor="accent1" w:themeShade="80"/>
        </w:rPr>
        <w:t>’</w:t>
      </w:r>
      <w:r w:rsidRPr="00F62346">
        <w:rPr>
          <w:rFonts w:cs="Arial"/>
          <w:color w:val="244061" w:themeColor="accent1" w:themeShade="80"/>
        </w:rPr>
        <w:t xml:space="preserve"> cost</w:t>
      </w:r>
      <w:r>
        <w:rPr>
          <w:rFonts w:cs="Arial"/>
          <w:color w:val="244061" w:themeColor="accent1" w:themeShade="80"/>
        </w:rPr>
        <w:t>s</w:t>
      </w:r>
      <w:r w:rsidRPr="00F62346">
        <w:rPr>
          <w:rFonts w:cs="Arial"/>
          <w:color w:val="244061" w:themeColor="accent1" w:themeShade="80"/>
        </w:rPr>
        <w:t xml:space="preserve"> should be similar to </w:t>
      </w:r>
      <w:r>
        <w:rPr>
          <w:rFonts w:cs="Arial"/>
          <w:color w:val="244061" w:themeColor="accent1" w:themeShade="80"/>
        </w:rPr>
        <w:t xml:space="preserve">the one of </w:t>
      </w:r>
      <w:r w:rsidRPr="00F62346">
        <w:rPr>
          <w:rFonts w:cs="Arial"/>
          <w:color w:val="244061" w:themeColor="accent1" w:themeShade="80"/>
        </w:rPr>
        <w:t>structured EMTNs</w:t>
      </w:r>
    </w:p>
    <w:permEnd w:id="104"/>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7A1CAD" w:rsidRPr="00F62346" w:rsidRDefault="007A1CAD" w:rsidP="007A1CAD">
      <w:pPr>
        <w:pStyle w:val="Paragraphedeliste"/>
        <w:pBdr>
          <w:top w:val="single" w:sz="4" w:space="1" w:color="auto"/>
          <w:left w:val="single" w:sz="4" w:space="4" w:color="auto"/>
          <w:bottom w:val="single" w:sz="4" w:space="1" w:color="auto"/>
          <w:right w:val="single" w:sz="4" w:space="4" w:color="auto"/>
        </w:pBdr>
        <w:ind w:left="0"/>
        <w:jc w:val="both"/>
        <w:rPr>
          <w:rFonts w:cs="Arial"/>
          <w:color w:val="244061" w:themeColor="accent1" w:themeShade="80"/>
        </w:rPr>
      </w:pPr>
      <w:permStart w:id="105" w:edGrp="everyone"/>
      <w:r w:rsidRPr="00F62346">
        <w:rPr>
          <w:rFonts w:cs="Arial"/>
          <w:color w:val="244061" w:themeColor="accent1" w:themeShade="80"/>
        </w:rPr>
        <w:t>SPV</w:t>
      </w:r>
      <w:r>
        <w:rPr>
          <w:rFonts w:cs="Arial"/>
          <w:color w:val="244061" w:themeColor="accent1" w:themeShade="80"/>
        </w:rPr>
        <w:t>s</w:t>
      </w:r>
      <w:r w:rsidRPr="00F62346">
        <w:rPr>
          <w:rFonts w:cs="Arial"/>
          <w:color w:val="244061" w:themeColor="accent1" w:themeShade="80"/>
        </w:rPr>
        <w:t xml:space="preserve"> should be treated in the same way as structured products, please refer to </w:t>
      </w:r>
      <w:r>
        <w:rPr>
          <w:rFonts w:cs="Arial"/>
          <w:color w:val="244061" w:themeColor="accent1" w:themeShade="80"/>
        </w:rPr>
        <w:t>Q</w:t>
      </w:r>
      <w:r w:rsidRPr="00F62346">
        <w:rPr>
          <w:rFonts w:cs="Arial"/>
          <w:color w:val="244061" w:themeColor="accent1" w:themeShade="80"/>
        </w:rPr>
        <w:t>61</w:t>
      </w:r>
      <w:r>
        <w:rPr>
          <w:rFonts w:cs="Arial"/>
          <w:color w:val="244061" w:themeColor="accent1" w:themeShade="80"/>
        </w:rPr>
        <w:t>.</w:t>
      </w:r>
    </w:p>
    <w:permEnd w:id="105"/>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7A1CAD" w:rsidRPr="00F62346" w:rsidRDefault="007A1CAD" w:rsidP="007A1CAD">
      <w:pPr>
        <w:pStyle w:val="Paragraphedeliste"/>
        <w:pBdr>
          <w:top w:val="single" w:sz="4" w:space="1" w:color="auto"/>
          <w:left w:val="single" w:sz="4" w:space="4" w:color="auto"/>
          <w:bottom w:val="single" w:sz="4" w:space="1" w:color="auto"/>
          <w:right w:val="single" w:sz="4" w:space="4" w:color="auto"/>
        </w:pBdr>
        <w:ind w:left="0"/>
        <w:jc w:val="both"/>
        <w:rPr>
          <w:rFonts w:cs="Arial"/>
          <w:color w:val="244061" w:themeColor="accent1" w:themeShade="80"/>
        </w:rPr>
      </w:pPr>
      <w:permStart w:id="106" w:edGrp="everyone"/>
      <w:r w:rsidRPr="00F62346">
        <w:rPr>
          <w:rFonts w:cs="Arial"/>
          <w:color w:val="244061" w:themeColor="accent1" w:themeShade="80"/>
        </w:rPr>
        <w:t xml:space="preserve">No difficulty. TCR </w:t>
      </w:r>
      <w:r w:rsidR="007A5EEE">
        <w:rPr>
          <w:rFonts w:cs="Arial"/>
          <w:color w:val="244061" w:themeColor="accent1" w:themeShade="80"/>
        </w:rPr>
        <w:t xml:space="preserve">is </w:t>
      </w:r>
      <w:r w:rsidRPr="00F62346">
        <w:rPr>
          <w:rFonts w:cs="Arial"/>
          <w:color w:val="244061" w:themeColor="accent1" w:themeShade="80"/>
        </w:rPr>
        <w:t>applicable to EMTNs, as well as SPVs</w:t>
      </w:r>
    </w:p>
    <w:permEnd w:id="106"/>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7A5EEE" w:rsidRPr="00F62346" w:rsidRDefault="007A5EEE" w:rsidP="007A5EEE">
      <w:pPr>
        <w:pStyle w:val="Paragraphedeliste"/>
        <w:pBdr>
          <w:top w:val="single" w:sz="4" w:space="1" w:color="auto"/>
          <w:left w:val="single" w:sz="4" w:space="4" w:color="auto"/>
          <w:bottom w:val="single" w:sz="4" w:space="1" w:color="auto"/>
          <w:right w:val="single" w:sz="4" w:space="4" w:color="auto"/>
        </w:pBdr>
        <w:ind w:left="0"/>
        <w:jc w:val="both"/>
        <w:rPr>
          <w:rFonts w:cs="Arial"/>
          <w:color w:val="244061" w:themeColor="accent1" w:themeShade="80"/>
        </w:rPr>
      </w:pPr>
      <w:permStart w:id="107" w:edGrp="everyone"/>
      <w:r w:rsidRPr="00F62346">
        <w:rPr>
          <w:rFonts w:cs="Arial"/>
          <w:color w:val="244061" w:themeColor="accent1" w:themeShade="80"/>
        </w:rPr>
        <w:t xml:space="preserve">RIY is not suitable for </w:t>
      </w:r>
      <w:r>
        <w:rPr>
          <w:rFonts w:cs="Arial"/>
          <w:color w:val="244061" w:themeColor="accent1" w:themeShade="80"/>
        </w:rPr>
        <w:t>s</w:t>
      </w:r>
      <w:r w:rsidRPr="00F62346">
        <w:rPr>
          <w:rFonts w:cs="Arial"/>
          <w:color w:val="244061" w:themeColor="accent1" w:themeShade="80"/>
        </w:rPr>
        <w:t>tr</w:t>
      </w:r>
      <w:r>
        <w:rPr>
          <w:rFonts w:cs="Arial"/>
          <w:color w:val="244061" w:themeColor="accent1" w:themeShade="80"/>
        </w:rPr>
        <w:t>uctured products or f</w:t>
      </w:r>
      <w:bookmarkStart w:id="4" w:name="_GoBack"/>
      <w:bookmarkEnd w:id="4"/>
      <w:r w:rsidRPr="00F62346">
        <w:rPr>
          <w:rFonts w:cs="Arial"/>
          <w:color w:val="244061" w:themeColor="accent1" w:themeShade="80"/>
        </w:rPr>
        <w:t>unds.</w:t>
      </w:r>
    </w:p>
    <w:permEnd w:id="107"/>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38E" w:rsidRDefault="0077438E">
      <w:r>
        <w:separator/>
      </w:r>
    </w:p>
    <w:p w:rsidR="0077438E" w:rsidRDefault="0077438E"/>
  </w:endnote>
  <w:endnote w:type="continuationSeparator" w:id="0">
    <w:p w:rsidR="0077438E" w:rsidRDefault="0077438E">
      <w:r>
        <w:continuationSeparator/>
      </w:r>
    </w:p>
    <w:p w:rsidR="0077438E" w:rsidRDefault="0077438E"/>
  </w:endnote>
  <w:endnote w:type="continuationNotice" w:id="1">
    <w:p w:rsidR="0077438E" w:rsidRDefault="0077438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77438E" w:rsidRPr="00616B9B" w:rsidTr="00315E96">
      <w:trPr>
        <w:trHeight w:val="284"/>
      </w:trPr>
      <w:tc>
        <w:tcPr>
          <w:tcW w:w="8460" w:type="dxa"/>
        </w:tcPr>
        <w:p w:rsidR="0077438E" w:rsidRPr="00315E96" w:rsidRDefault="0077438E" w:rsidP="00315E96">
          <w:pPr>
            <w:pStyle w:val="00Footer"/>
            <w:rPr>
              <w:lang w:val="fr-FR"/>
            </w:rPr>
          </w:pPr>
        </w:p>
      </w:tc>
      <w:tc>
        <w:tcPr>
          <w:tcW w:w="952" w:type="dxa"/>
        </w:tcPr>
        <w:p w:rsidR="0077438E" w:rsidRPr="00616B9B" w:rsidRDefault="005E046A" w:rsidP="002C5B2D">
          <w:pPr>
            <w:pStyle w:val="00aPagenumber"/>
            <w:rPr>
              <w:rFonts w:cs="Arial"/>
              <w:sz w:val="22"/>
              <w:szCs w:val="22"/>
            </w:rPr>
          </w:pPr>
          <w:r w:rsidRPr="00616B9B">
            <w:rPr>
              <w:rFonts w:cs="Arial"/>
              <w:sz w:val="22"/>
              <w:szCs w:val="22"/>
            </w:rPr>
            <w:fldChar w:fldCharType="begin"/>
          </w:r>
          <w:r w:rsidR="0077438E" w:rsidRPr="00616B9B">
            <w:rPr>
              <w:rFonts w:cs="Arial"/>
              <w:sz w:val="22"/>
              <w:szCs w:val="22"/>
            </w:rPr>
            <w:instrText xml:space="preserve"> PAGE </w:instrText>
          </w:r>
          <w:r w:rsidRPr="00616B9B">
            <w:rPr>
              <w:rFonts w:cs="Arial"/>
              <w:sz w:val="22"/>
              <w:szCs w:val="22"/>
            </w:rPr>
            <w:fldChar w:fldCharType="separate"/>
          </w:r>
          <w:r w:rsidR="001557C1">
            <w:rPr>
              <w:rFonts w:cs="Arial"/>
              <w:noProof/>
              <w:sz w:val="22"/>
              <w:szCs w:val="22"/>
            </w:rPr>
            <w:t>6</w:t>
          </w:r>
          <w:r w:rsidRPr="00616B9B">
            <w:rPr>
              <w:rFonts w:cs="Arial"/>
              <w:noProof/>
              <w:sz w:val="22"/>
              <w:szCs w:val="22"/>
            </w:rPr>
            <w:fldChar w:fldCharType="end"/>
          </w:r>
        </w:p>
      </w:tc>
    </w:tr>
  </w:tbl>
  <w:p w:rsidR="0077438E" w:rsidRDefault="0077438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38E" w:rsidRDefault="007743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38E" w:rsidRDefault="0077438E">
      <w:r>
        <w:separator/>
      </w:r>
    </w:p>
    <w:p w:rsidR="0077438E" w:rsidRDefault="0077438E"/>
  </w:footnote>
  <w:footnote w:type="continuationSeparator" w:id="0">
    <w:p w:rsidR="0077438E" w:rsidRDefault="0077438E">
      <w:r>
        <w:continuationSeparator/>
      </w:r>
    </w:p>
    <w:p w:rsidR="0077438E" w:rsidRDefault="0077438E"/>
  </w:footnote>
  <w:footnote w:type="continuationNotice" w:id="1">
    <w:p w:rsidR="0077438E" w:rsidRDefault="0077438E"/>
  </w:footnote>
  <w:footnote w:id="2">
    <w:p w:rsidR="0077438E" w:rsidRPr="00554E48" w:rsidRDefault="0077438E" w:rsidP="007E2302">
      <w:pPr>
        <w:pStyle w:val="Notedebasdepage"/>
        <w:rPr>
          <w:szCs w:val="16"/>
        </w:rPr>
      </w:pPr>
      <w:r w:rsidRPr="00554E48">
        <w:rPr>
          <w:rStyle w:val="Appelnotedebasdep"/>
          <w:szCs w:val="16"/>
        </w:rPr>
        <w:footnoteRef/>
      </w:r>
      <w:r w:rsidRPr="00554E48">
        <w:rPr>
          <w:szCs w:val="16"/>
        </w:rPr>
        <w:t xml:space="preserve"> See </w:t>
      </w:r>
      <w:hyperlink r:id="rId1" w:history="1">
        <w:r w:rsidRPr="00554E48">
          <w:rPr>
            <w:rStyle w:val="Lienhypertexte"/>
            <w:szCs w:val="16"/>
          </w:rPr>
          <w:t>https://eiopa.europa.eu/about-eiopa/legal-framework/public-access-to-documents/index.html</w:t>
        </w:r>
      </w:hyperlink>
      <w:r w:rsidRPr="00554E48">
        <w:rPr>
          <w:szCs w:val="16"/>
        </w:rPr>
        <w:t xml:space="preserve">. </w:t>
      </w:r>
    </w:p>
  </w:footnote>
  <w:footnote w:id="3">
    <w:p w:rsidR="0077438E" w:rsidRDefault="0077438E" w:rsidP="00F31E57">
      <w:pPr>
        <w:pStyle w:val="Notedebasdepage"/>
        <w:rPr>
          <w:szCs w:val="16"/>
        </w:rPr>
      </w:pPr>
      <w:r>
        <w:rPr>
          <w:rStyle w:val="Appelnotedebasdep"/>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38E" w:rsidRDefault="0077438E">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5E046A">
      <w:rPr>
        <w:noProof/>
        <w:lang w:val="fr-FR" w:eastAsia="fr-FR"/>
      </w:rPr>
      <w:pict>
        <v:line id="Line 16" o:spid="_x0000_s2049"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38E" w:rsidRDefault="0077438E"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38E" w:rsidRDefault="0077438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77438E" w:rsidRPr="002F4496" w:rsidTr="000C06C9">
      <w:trPr>
        <w:trHeight w:val="284"/>
      </w:trPr>
      <w:tc>
        <w:tcPr>
          <w:tcW w:w="8460" w:type="dxa"/>
        </w:tcPr>
        <w:p w:rsidR="0077438E" w:rsidRPr="000C3B6D" w:rsidRDefault="0077438E" w:rsidP="000C06C9">
          <w:pPr>
            <w:pStyle w:val="00Footer"/>
            <w:rPr>
              <w:lang w:val="fr-FR"/>
            </w:rPr>
          </w:pPr>
        </w:p>
      </w:tc>
      <w:tc>
        <w:tcPr>
          <w:tcW w:w="952" w:type="dxa"/>
        </w:tcPr>
        <w:p w:rsidR="0077438E" w:rsidRPr="00146B34" w:rsidRDefault="0077438E" w:rsidP="000C06C9">
          <w:pPr>
            <w:pStyle w:val="00aPagenumber"/>
            <w:rPr>
              <w:lang w:val="fr-FR"/>
            </w:rPr>
          </w:pPr>
        </w:p>
      </w:tc>
    </w:tr>
  </w:tbl>
  <w:p w:rsidR="0077438E" w:rsidRPr="00DB46C3" w:rsidRDefault="0077438E">
    <w:pPr>
      <w:rPr>
        <w:lang w:val="fr-FR"/>
      </w:rPr>
    </w:pPr>
  </w:p>
  <w:p w:rsidR="0077438E" w:rsidRPr="002F4496" w:rsidRDefault="0077438E">
    <w:pPr>
      <w:pStyle w:val="En-tte"/>
      <w:rPr>
        <w:lang w:val="fr-FR"/>
      </w:rPr>
    </w:pPr>
  </w:p>
  <w:p w:rsidR="0077438E" w:rsidRPr="002F4496" w:rsidRDefault="0077438E" w:rsidP="000C06C9">
    <w:pPr>
      <w:pStyle w:val="En-tte"/>
      <w:tabs>
        <w:tab w:val="clear" w:pos="4536"/>
        <w:tab w:val="clear" w:pos="9072"/>
        <w:tab w:val="left" w:pos="8227"/>
      </w:tabs>
      <w:rPr>
        <w:lang w:val="fr-FR"/>
      </w:rPr>
    </w:pPr>
  </w:p>
  <w:p w:rsidR="0077438E" w:rsidRPr="002F4496" w:rsidRDefault="0077438E" w:rsidP="000C06C9">
    <w:pPr>
      <w:pStyle w:val="En-tte"/>
      <w:tabs>
        <w:tab w:val="clear" w:pos="4536"/>
        <w:tab w:val="clear" w:pos="9072"/>
        <w:tab w:val="left" w:pos="8227"/>
      </w:tabs>
      <w:rPr>
        <w:lang w:val="fr-FR"/>
      </w:rPr>
    </w:pPr>
  </w:p>
  <w:p w:rsidR="0077438E" w:rsidRPr="002F4496" w:rsidRDefault="0077438E">
    <w:pPr>
      <w:pStyle w:val="En-tte"/>
      <w:rPr>
        <w:lang w:val="fr-FR"/>
      </w:rPr>
    </w:pPr>
  </w:p>
  <w:p w:rsidR="0077438E" w:rsidRPr="002F4496" w:rsidRDefault="0077438E">
    <w:pPr>
      <w:pStyle w:val="En-tte"/>
      <w:rPr>
        <w:lang w:val="fr-FR"/>
      </w:rPr>
    </w:pPr>
  </w:p>
  <w:p w:rsidR="0077438E" w:rsidRPr="002F4496" w:rsidRDefault="0077438E">
    <w:pPr>
      <w:pStyle w:val="En-tte"/>
      <w:rPr>
        <w:lang w:val="fr-FR"/>
      </w:rPr>
    </w:pPr>
  </w:p>
  <w:p w:rsidR="0077438E" w:rsidRPr="002F4496" w:rsidRDefault="0077438E">
    <w:pPr>
      <w:pStyle w:val="En-tte"/>
      <w:rPr>
        <w:lang w:val="fr-FR"/>
      </w:rPr>
    </w:pPr>
  </w:p>
  <w:p w:rsidR="0077438E" w:rsidRPr="002F4496" w:rsidRDefault="0077438E">
    <w:pPr>
      <w:pStyle w:val="En-tte"/>
      <w:rPr>
        <w:highlight w:val="yellow"/>
        <w:lang w:val="fr-FR"/>
      </w:rPr>
    </w:pPr>
  </w:p>
  <w:p w:rsidR="0077438E" w:rsidRDefault="005E046A">
    <w:pPr>
      <w:pStyle w:val="En-tte"/>
    </w:pPr>
    <w:r>
      <w:rPr>
        <w:noProof/>
        <w:lang w:val="fr-FR" w:eastAsia="fr-FR"/>
      </w:rPr>
      <w:pict>
        <v:line id="Straight Connector 138" o:spid="_x0000_s2050"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77438E">
      <w:rPr>
        <w:noProof/>
        <w:lang w:val="fr-FR" w:eastAsia="fr-FR"/>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8A3C4B"/>
    <w:multiLevelType w:val="hybridMultilevel"/>
    <w:tmpl w:val="879E5F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251379F"/>
    <w:multiLevelType w:val="hybridMultilevel"/>
    <w:tmpl w:val="5EA659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3CB40E5A"/>
    <w:multiLevelType w:val="hybridMultilevel"/>
    <w:tmpl w:val="8AF43914"/>
    <w:lvl w:ilvl="0" w:tplc="91A61E0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7EB4623"/>
    <w:multiLevelType w:val="hybridMultilevel"/>
    <w:tmpl w:val="98BCD5EA"/>
    <w:lvl w:ilvl="0" w:tplc="1D12BBC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3"/>
  </w:num>
  <w:num w:numId="4">
    <w:abstractNumId w:val="25"/>
  </w:num>
  <w:num w:numId="5">
    <w:abstractNumId w:val="27"/>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12"/>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1"/>
  </w:num>
  <w:num w:numId="27">
    <w:abstractNumId w:val="35"/>
  </w:num>
  <w:num w:numId="28">
    <w:abstractNumId w:val="41"/>
  </w:num>
  <w:num w:numId="29">
    <w:abstractNumId w:val="9"/>
  </w:num>
  <w:num w:numId="30">
    <w:abstractNumId w:val="3"/>
  </w:num>
  <w:num w:numId="31">
    <w:abstractNumId w:val="23"/>
  </w:num>
  <w:num w:numId="32">
    <w:abstractNumId w:val="2"/>
  </w:num>
  <w:num w:numId="33">
    <w:abstractNumId w:val="8"/>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7"/>
  </w:num>
  <w:num w:numId="53">
    <w:abstractNumId w:val="19"/>
  </w:num>
  <w:num w:numId="54">
    <w:abstractNumId w:val="3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F01"/>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51">
      <o:colormru v:ext="edit" colors="#2d4491,#283583"/>
    </o:shapedefaults>
    <o:shapelayout v:ext="edit">
      <o:idmap v:ext="edit" data="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4A9E"/>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3DA4"/>
    <w:rsid w:val="00094C4C"/>
    <w:rsid w:val="00096762"/>
    <w:rsid w:val="000969C8"/>
    <w:rsid w:val="0009752D"/>
    <w:rsid w:val="00097AEE"/>
    <w:rsid w:val="000A014A"/>
    <w:rsid w:val="000A04B6"/>
    <w:rsid w:val="000A0E36"/>
    <w:rsid w:val="000A1BD2"/>
    <w:rsid w:val="000A1FC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6F2"/>
    <w:rsid w:val="000C57C4"/>
    <w:rsid w:val="000C5FD3"/>
    <w:rsid w:val="000C701D"/>
    <w:rsid w:val="000C7C4A"/>
    <w:rsid w:val="000D17AA"/>
    <w:rsid w:val="000D2D0B"/>
    <w:rsid w:val="000D340A"/>
    <w:rsid w:val="000D38FA"/>
    <w:rsid w:val="000D4660"/>
    <w:rsid w:val="000D705D"/>
    <w:rsid w:val="000D7EB9"/>
    <w:rsid w:val="000E0223"/>
    <w:rsid w:val="000E0CF3"/>
    <w:rsid w:val="000E18A8"/>
    <w:rsid w:val="000E1AEC"/>
    <w:rsid w:val="000E1ECB"/>
    <w:rsid w:val="000E2283"/>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762"/>
    <w:rsid w:val="00135F2B"/>
    <w:rsid w:val="00137001"/>
    <w:rsid w:val="001372DD"/>
    <w:rsid w:val="001405BA"/>
    <w:rsid w:val="00141497"/>
    <w:rsid w:val="0014253A"/>
    <w:rsid w:val="001425C8"/>
    <w:rsid w:val="001431AE"/>
    <w:rsid w:val="00143B87"/>
    <w:rsid w:val="001459E3"/>
    <w:rsid w:val="00146A0B"/>
    <w:rsid w:val="0014761E"/>
    <w:rsid w:val="00151907"/>
    <w:rsid w:val="001544C8"/>
    <w:rsid w:val="001557C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2013"/>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4E7"/>
    <w:rsid w:val="001B4E4B"/>
    <w:rsid w:val="001B50AC"/>
    <w:rsid w:val="001B5E05"/>
    <w:rsid w:val="001B6671"/>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136B"/>
    <w:rsid w:val="001E407D"/>
    <w:rsid w:val="001E40FB"/>
    <w:rsid w:val="001E66EC"/>
    <w:rsid w:val="001E68C5"/>
    <w:rsid w:val="001F0F63"/>
    <w:rsid w:val="001F1258"/>
    <w:rsid w:val="001F3996"/>
    <w:rsid w:val="001F44A4"/>
    <w:rsid w:val="001F579D"/>
    <w:rsid w:val="001F65EF"/>
    <w:rsid w:val="001F697B"/>
    <w:rsid w:val="002005A6"/>
    <w:rsid w:val="002034AF"/>
    <w:rsid w:val="00204CBC"/>
    <w:rsid w:val="002051F1"/>
    <w:rsid w:val="00206242"/>
    <w:rsid w:val="002067BA"/>
    <w:rsid w:val="0021058D"/>
    <w:rsid w:val="00211E2F"/>
    <w:rsid w:val="00211E9E"/>
    <w:rsid w:val="00214FB4"/>
    <w:rsid w:val="00215940"/>
    <w:rsid w:val="00217C23"/>
    <w:rsid w:val="00220561"/>
    <w:rsid w:val="00220CE4"/>
    <w:rsid w:val="00222D9B"/>
    <w:rsid w:val="00223788"/>
    <w:rsid w:val="00223D11"/>
    <w:rsid w:val="002242D3"/>
    <w:rsid w:val="0022626B"/>
    <w:rsid w:val="002301E6"/>
    <w:rsid w:val="00232F90"/>
    <w:rsid w:val="00233B08"/>
    <w:rsid w:val="00233C3B"/>
    <w:rsid w:val="0023499C"/>
    <w:rsid w:val="00235CE3"/>
    <w:rsid w:val="0023636A"/>
    <w:rsid w:val="00236F34"/>
    <w:rsid w:val="002372F7"/>
    <w:rsid w:val="00240651"/>
    <w:rsid w:val="00240803"/>
    <w:rsid w:val="00240FD8"/>
    <w:rsid w:val="0024426D"/>
    <w:rsid w:val="00244F1D"/>
    <w:rsid w:val="00245004"/>
    <w:rsid w:val="0024548E"/>
    <w:rsid w:val="00245AFA"/>
    <w:rsid w:val="00245FB4"/>
    <w:rsid w:val="00250898"/>
    <w:rsid w:val="00251EA9"/>
    <w:rsid w:val="00252843"/>
    <w:rsid w:val="002543F8"/>
    <w:rsid w:val="002551A4"/>
    <w:rsid w:val="002559F3"/>
    <w:rsid w:val="00256DFE"/>
    <w:rsid w:val="00261D56"/>
    <w:rsid w:val="00261FD3"/>
    <w:rsid w:val="00262447"/>
    <w:rsid w:val="00264077"/>
    <w:rsid w:val="00266B9A"/>
    <w:rsid w:val="00270E54"/>
    <w:rsid w:val="00273681"/>
    <w:rsid w:val="002754B5"/>
    <w:rsid w:val="002764C5"/>
    <w:rsid w:val="002772AE"/>
    <w:rsid w:val="00280613"/>
    <w:rsid w:val="0028274D"/>
    <w:rsid w:val="00282B96"/>
    <w:rsid w:val="002833D6"/>
    <w:rsid w:val="00283F51"/>
    <w:rsid w:val="00286064"/>
    <w:rsid w:val="002860EA"/>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A692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A45"/>
    <w:rsid w:val="002D6E1A"/>
    <w:rsid w:val="002E036D"/>
    <w:rsid w:val="002E104F"/>
    <w:rsid w:val="002E1517"/>
    <w:rsid w:val="002E1B22"/>
    <w:rsid w:val="002E3557"/>
    <w:rsid w:val="002E387F"/>
    <w:rsid w:val="002E7F4B"/>
    <w:rsid w:val="002F0C91"/>
    <w:rsid w:val="002F0E3E"/>
    <w:rsid w:val="002F1B19"/>
    <w:rsid w:val="002F1FBF"/>
    <w:rsid w:val="002F4139"/>
    <w:rsid w:val="00300624"/>
    <w:rsid w:val="00300F56"/>
    <w:rsid w:val="00301006"/>
    <w:rsid w:val="0030250C"/>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683E"/>
    <w:rsid w:val="00347667"/>
    <w:rsid w:val="003507E2"/>
    <w:rsid w:val="003522B2"/>
    <w:rsid w:val="003534DA"/>
    <w:rsid w:val="0035455E"/>
    <w:rsid w:val="00354A6F"/>
    <w:rsid w:val="00354B48"/>
    <w:rsid w:val="00355789"/>
    <w:rsid w:val="003609B6"/>
    <w:rsid w:val="00361119"/>
    <w:rsid w:val="0036538D"/>
    <w:rsid w:val="00365D12"/>
    <w:rsid w:val="003678F5"/>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AD0"/>
    <w:rsid w:val="00383D7D"/>
    <w:rsid w:val="00384CCE"/>
    <w:rsid w:val="00385DA6"/>
    <w:rsid w:val="003865E5"/>
    <w:rsid w:val="00391D8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2EB"/>
    <w:rsid w:val="003E79B0"/>
    <w:rsid w:val="003F0403"/>
    <w:rsid w:val="003F1094"/>
    <w:rsid w:val="003F1148"/>
    <w:rsid w:val="003F2E45"/>
    <w:rsid w:val="003F3EFE"/>
    <w:rsid w:val="003F40B8"/>
    <w:rsid w:val="003F5C06"/>
    <w:rsid w:val="00400195"/>
    <w:rsid w:val="00400B07"/>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86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37FD6"/>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67A9B"/>
    <w:rsid w:val="00470773"/>
    <w:rsid w:val="00471FF9"/>
    <w:rsid w:val="00472E72"/>
    <w:rsid w:val="00473E74"/>
    <w:rsid w:val="00473FEF"/>
    <w:rsid w:val="00475B8E"/>
    <w:rsid w:val="00480D7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5E0"/>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1E7"/>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92F"/>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579A"/>
    <w:rsid w:val="00506331"/>
    <w:rsid w:val="005075D8"/>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AB9"/>
    <w:rsid w:val="0054672D"/>
    <w:rsid w:val="00550B4F"/>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C"/>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39DF"/>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042"/>
    <w:rsid w:val="005C663C"/>
    <w:rsid w:val="005D1023"/>
    <w:rsid w:val="005D148F"/>
    <w:rsid w:val="005D2AD2"/>
    <w:rsid w:val="005D4A86"/>
    <w:rsid w:val="005D5EB1"/>
    <w:rsid w:val="005D6A29"/>
    <w:rsid w:val="005D6FD3"/>
    <w:rsid w:val="005E046A"/>
    <w:rsid w:val="005E0481"/>
    <w:rsid w:val="005E10BF"/>
    <w:rsid w:val="005E1834"/>
    <w:rsid w:val="005E49E5"/>
    <w:rsid w:val="005E5481"/>
    <w:rsid w:val="005E55E4"/>
    <w:rsid w:val="005E6C5F"/>
    <w:rsid w:val="005E7636"/>
    <w:rsid w:val="005F028E"/>
    <w:rsid w:val="005F04B4"/>
    <w:rsid w:val="005F11A4"/>
    <w:rsid w:val="005F19F8"/>
    <w:rsid w:val="005F3CEE"/>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351"/>
    <w:rsid w:val="00653633"/>
    <w:rsid w:val="00653F69"/>
    <w:rsid w:val="00654936"/>
    <w:rsid w:val="00655485"/>
    <w:rsid w:val="006558B3"/>
    <w:rsid w:val="00660BF0"/>
    <w:rsid w:val="0066189C"/>
    <w:rsid w:val="006630CF"/>
    <w:rsid w:val="00663EFF"/>
    <w:rsid w:val="00666F74"/>
    <w:rsid w:val="00667471"/>
    <w:rsid w:val="00667FEA"/>
    <w:rsid w:val="006710D2"/>
    <w:rsid w:val="00671A8B"/>
    <w:rsid w:val="00671F53"/>
    <w:rsid w:val="006725A0"/>
    <w:rsid w:val="00672F65"/>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6867"/>
    <w:rsid w:val="006B2D40"/>
    <w:rsid w:val="006B34DF"/>
    <w:rsid w:val="006B39B2"/>
    <w:rsid w:val="006B3AF9"/>
    <w:rsid w:val="006B45A0"/>
    <w:rsid w:val="006B5668"/>
    <w:rsid w:val="006B5F71"/>
    <w:rsid w:val="006B6E44"/>
    <w:rsid w:val="006B7059"/>
    <w:rsid w:val="006B7287"/>
    <w:rsid w:val="006B7F2E"/>
    <w:rsid w:val="006C05AC"/>
    <w:rsid w:val="006C0BF8"/>
    <w:rsid w:val="006C2253"/>
    <w:rsid w:val="006C2CCB"/>
    <w:rsid w:val="006C3A89"/>
    <w:rsid w:val="006C4334"/>
    <w:rsid w:val="006C4B0F"/>
    <w:rsid w:val="006C5E96"/>
    <w:rsid w:val="006D296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2BE3"/>
    <w:rsid w:val="007133E4"/>
    <w:rsid w:val="00713788"/>
    <w:rsid w:val="00713940"/>
    <w:rsid w:val="007151A2"/>
    <w:rsid w:val="00716774"/>
    <w:rsid w:val="00716D05"/>
    <w:rsid w:val="007209DD"/>
    <w:rsid w:val="00722E49"/>
    <w:rsid w:val="00723A08"/>
    <w:rsid w:val="00723B5C"/>
    <w:rsid w:val="00724391"/>
    <w:rsid w:val="00724C18"/>
    <w:rsid w:val="00726630"/>
    <w:rsid w:val="0072679A"/>
    <w:rsid w:val="00727F73"/>
    <w:rsid w:val="00730705"/>
    <w:rsid w:val="00730944"/>
    <w:rsid w:val="0073248E"/>
    <w:rsid w:val="00733EE9"/>
    <w:rsid w:val="00735B8E"/>
    <w:rsid w:val="0073673C"/>
    <w:rsid w:val="00736935"/>
    <w:rsid w:val="00743DE7"/>
    <w:rsid w:val="0074509E"/>
    <w:rsid w:val="007452E6"/>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19C"/>
    <w:rsid w:val="00761F4E"/>
    <w:rsid w:val="00762150"/>
    <w:rsid w:val="00762621"/>
    <w:rsid w:val="007628C8"/>
    <w:rsid w:val="0076351C"/>
    <w:rsid w:val="00763F36"/>
    <w:rsid w:val="007648A0"/>
    <w:rsid w:val="007656C5"/>
    <w:rsid w:val="00766F4D"/>
    <w:rsid w:val="00770268"/>
    <w:rsid w:val="007706B9"/>
    <w:rsid w:val="007707ED"/>
    <w:rsid w:val="00771C3B"/>
    <w:rsid w:val="007726F9"/>
    <w:rsid w:val="00773B94"/>
    <w:rsid w:val="00773C65"/>
    <w:rsid w:val="0077438E"/>
    <w:rsid w:val="00775937"/>
    <w:rsid w:val="00777046"/>
    <w:rsid w:val="007770DA"/>
    <w:rsid w:val="007805B9"/>
    <w:rsid w:val="00780653"/>
    <w:rsid w:val="00780C3A"/>
    <w:rsid w:val="007834A1"/>
    <w:rsid w:val="00791EB4"/>
    <w:rsid w:val="007928F1"/>
    <w:rsid w:val="0079357D"/>
    <w:rsid w:val="007937CC"/>
    <w:rsid w:val="00793A31"/>
    <w:rsid w:val="00794979"/>
    <w:rsid w:val="007956B7"/>
    <w:rsid w:val="00795F1A"/>
    <w:rsid w:val="00796EA2"/>
    <w:rsid w:val="00796EDE"/>
    <w:rsid w:val="00797297"/>
    <w:rsid w:val="007974B3"/>
    <w:rsid w:val="00797875"/>
    <w:rsid w:val="007A076C"/>
    <w:rsid w:val="007A1CAD"/>
    <w:rsid w:val="007A2140"/>
    <w:rsid w:val="007A23E2"/>
    <w:rsid w:val="007A31A5"/>
    <w:rsid w:val="007A411B"/>
    <w:rsid w:val="007A45E6"/>
    <w:rsid w:val="007A4B28"/>
    <w:rsid w:val="007A5C2C"/>
    <w:rsid w:val="007A5EE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0709"/>
    <w:rsid w:val="0081119F"/>
    <w:rsid w:val="0081134D"/>
    <w:rsid w:val="00811EDA"/>
    <w:rsid w:val="00812403"/>
    <w:rsid w:val="00812FD7"/>
    <w:rsid w:val="00814EA6"/>
    <w:rsid w:val="00816360"/>
    <w:rsid w:val="00820623"/>
    <w:rsid w:val="008207E4"/>
    <w:rsid w:val="00821747"/>
    <w:rsid w:val="008229A3"/>
    <w:rsid w:val="00822DFB"/>
    <w:rsid w:val="00822F64"/>
    <w:rsid w:val="008253A6"/>
    <w:rsid w:val="00825A6B"/>
    <w:rsid w:val="00825C50"/>
    <w:rsid w:val="00826577"/>
    <w:rsid w:val="00827439"/>
    <w:rsid w:val="00827C79"/>
    <w:rsid w:val="0083003F"/>
    <w:rsid w:val="00831077"/>
    <w:rsid w:val="00831A4A"/>
    <w:rsid w:val="00831E25"/>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664"/>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A6A6E"/>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10B"/>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5FBD"/>
    <w:rsid w:val="0092751A"/>
    <w:rsid w:val="009305C4"/>
    <w:rsid w:val="00931FAF"/>
    <w:rsid w:val="009360F6"/>
    <w:rsid w:val="009371DC"/>
    <w:rsid w:val="0093759D"/>
    <w:rsid w:val="00940239"/>
    <w:rsid w:val="00941E60"/>
    <w:rsid w:val="00942BD6"/>
    <w:rsid w:val="00942DED"/>
    <w:rsid w:val="00944404"/>
    <w:rsid w:val="00944B39"/>
    <w:rsid w:val="009452D7"/>
    <w:rsid w:val="00945FD1"/>
    <w:rsid w:val="00946CCC"/>
    <w:rsid w:val="009503E5"/>
    <w:rsid w:val="00950F71"/>
    <w:rsid w:val="00952F2C"/>
    <w:rsid w:val="009532E3"/>
    <w:rsid w:val="00953615"/>
    <w:rsid w:val="00954BAF"/>
    <w:rsid w:val="00955F48"/>
    <w:rsid w:val="009560B3"/>
    <w:rsid w:val="00957208"/>
    <w:rsid w:val="0095745E"/>
    <w:rsid w:val="00957CE0"/>
    <w:rsid w:val="0096002E"/>
    <w:rsid w:val="0096039E"/>
    <w:rsid w:val="00962CEF"/>
    <w:rsid w:val="00963766"/>
    <w:rsid w:val="00963FDF"/>
    <w:rsid w:val="00964C32"/>
    <w:rsid w:val="0096528F"/>
    <w:rsid w:val="009653F2"/>
    <w:rsid w:val="009661DF"/>
    <w:rsid w:val="009667BD"/>
    <w:rsid w:val="00967CE2"/>
    <w:rsid w:val="0097165B"/>
    <w:rsid w:val="00971DA3"/>
    <w:rsid w:val="00972161"/>
    <w:rsid w:val="0097261B"/>
    <w:rsid w:val="00974578"/>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9703A"/>
    <w:rsid w:val="009A07A6"/>
    <w:rsid w:val="009A0D56"/>
    <w:rsid w:val="009A31B9"/>
    <w:rsid w:val="009A4D4F"/>
    <w:rsid w:val="009A53D8"/>
    <w:rsid w:val="009A566B"/>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58C7"/>
    <w:rsid w:val="009C6091"/>
    <w:rsid w:val="009C634F"/>
    <w:rsid w:val="009D0219"/>
    <w:rsid w:val="009D0D55"/>
    <w:rsid w:val="009D2295"/>
    <w:rsid w:val="009D2511"/>
    <w:rsid w:val="009D3E7C"/>
    <w:rsid w:val="009D55CA"/>
    <w:rsid w:val="009D5EF0"/>
    <w:rsid w:val="009D6401"/>
    <w:rsid w:val="009E0711"/>
    <w:rsid w:val="009E11DC"/>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2B"/>
    <w:rsid w:val="00A01A90"/>
    <w:rsid w:val="00A02370"/>
    <w:rsid w:val="00A04685"/>
    <w:rsid w:val="00A04C57"/>
    <w:rsid w:val="00A06340"/>
    <w:rsid w:val="00A0677D"/>
    <w:rsid w:val="00A0684F"/>
    <w:rsid w:val="00A06867"/>
    <w:rsid w:val="00A10148"/>
    <w:rsid w:val="00A113FD"/>
    <w:rsid w:val="00A11DDE"/>
    <w:rsid w:val="00A127A7"/>
    <w:rsid w:val="00A129F4"/>
    <w:rsid w:val="00A13517"/>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58C5"/>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392"/>
    <w:rsid w:val="00A62B86"/>
    <w:rsid w:val="00A63C96"/>
    <w:rsid w:val="00A65805"/>
    <w:rsid w:val="00A66BEE"/>
    <w:rsid w:val="00A671C9"/>
    <w:rsid w:val="00A67DFD"/>
    <w:rsid w:val="00A701B5"/>
    <w:rsid w:val="00A74F9F"/>
    <w:rsid w:val="00A750B3"/>
    <w:rsid w:val="00A75559"/>
    <w:rsid w:val="00A7623D"/>
    <w:rsid w:val="00A824A7"/>
    <w:rsid w:val="00A83644"/>
    <w:rsid w:val="00A83C07"/>
    <w:rsid w:val="00A83F40"/>
    <w:rsid w:val="00A845AE"/>
    <w:rsid w:val="00A84945"/>
    <w:rsid w:val="00A85543"/>
    <w:rsid w:val="00A87067"/>
    <w:rsid w:val="00A8728B"/>
    <w:rsid w:val="00A91682"/>
    <w:rsid w:val="00A92E4A"/>
    <w:rsid w:val="00A94681"/>
    <w:rsid w:val="00A958CA"/>
    <w:rsid w:val="00A966B6"/>
    <w:rsid w:val="00A96B46"/>
    <w:rsid w:val="00AA003B"/>
    <w:rsid w:val="00AA016B"/>
    <w:rsid w:val="00AA15DD"/>
    <w:rsid w:val="00AA1C09"/>
    <w:rsid w:val="00AA2F67"/>
    <w:rsid w:val="00AA3569"/>
    <w:rsid w:val="00AA5F4C"/>
    <w:rsid w:val="00AA615C"/>
    <w:rsid w:val="00AA6711"/>
    <w:rsid w:val="00AA77F0"/>
    <w:rsid w:val="00AA7A42"/>
    <w:rsid w:val="00AB2AEC"/>
    <w:rsid w:val="00AB2DC1"/>
    <w:rsid w:val="00AB3102"/>
    <w:rsid w:val="00AB31F1"/>
    <w:rsid w:val="00AB3D9A"/>
    <w:rsid w:val="00AB4B1D"/>
    <w:rsid w:val="00AB6B5E"/>
    <w:rsid w:val="00AC047F"/>
    <w:rsid w:val="00AC3934"/>
    <w:rsid w:val="00AC50C8"/>
    <w:rsid w:val="00AC5581"/>
    <w:rsid w:val="00AC56AD"/>
    <w:rsid w:val="00AC61BE"/>
    <w:rsid w:val="00AD0CB4"/>
    <w:rsid w:val="00AD1FF2"/>
    <w:rsid w:val="00AD2A21"/>
    <w:rsid w:val="00AD3B43"/>
    <w:rsid w:val="00AD3B58"/>
    <w:rsid w:val="00AD4FF2"/>
    <w:rsid w:val="00AD506C"/>
    <w:rsid w:val="00AD6BE5"/>
    <w:rsid w:val="00AD783E"/>
    <w:rsid w:val="00AE1393"/>
    <w:rsid w:val="00AE3BC6"/>
    <w:rsid w:val="00AE4D4F"/>
    <w:rsid w:val="00AE5D51"/>
    <w:rsid w:val="00AE627C"/>
    <w:rsid w:val="00AE62B0"/>
    <w:rsid w:val="00AE68A2"/>
    <w:rsid w:val="00AE711E"/>
    <w:rsid w:val="00AF0029"/>
    <w:rsid w:val="00AF0354"/>
    <w:rsid w:val="00AF1236"/>
    <w:rsid w:val="00AF220A"/>
    <w:rsid w:val="00AF3C29"/>
    <w:rsid w:val="00AF4401"/>
    <w:rsid w:val="00AF4463"/>
    <w:rsid w:val="00AF53CB"/>
    <w:rsid w:val="00AF65C5"/>
    <w:rsid w:val="00B03CE2"/>
    <w:rsid w:val="00B06544"/>
    <w:rsid w:val="00B07151"/>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2033"/>
    <w:rsid w:val="00B23F86"/>
    <w:rsid w:val="00B24884"/>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B8E"/>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5F4B"/>
    <w:rsid w:val="00BA64B3"/>
    <w:rsid w:val="00BA754A"/>
    <w:rsid w:val="00BA7820"/>
    <w:rsid w:val="00BA794C"/>
    <w:rsid w:val="00BB0765"/>
    <w:rsid w:val="00BB09FB"/>
    <w:rsid w:val="00BB238D"/>
    <w:rsid w:val="00BB37CC"/>
    <w:rsid w:val="00BB48C4"/>
    <w:rsid w:val="00BB6907"/>
    <w:rsid w:val="00BB7329"/>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5ED"/>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5919"/>
    <w:rsid w:val="00C56438"/>
    <w:rsid w:val="00C570B3"/>
    <w:rsid w:val="00C6009F"/>
    <w:rsid w:val="00C60417"/>
    <w:rsid w:val="00C6046F"/>
    <w:rsid w:val="00C60957"/>
    <w:rsid w:val="00C638C2"/>
    <w:rsid w:val="00C64F35"/>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299F"/>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3869"/>
    <w:rsid w:val="00CD4EB0"/>
    <w:rsid w:val="00CD512D"/>
    <w:rsid w:val="00CD5831"/>
    <w:rsid w:val="00CD6F6E"/>
    <w:rsid w:val="00CE157F"/>
    <w:rsid w:val="00CE1966"/>
    <w:rsid w:val="00CE1ED4"/>
    <w:rsid w:val="00CE2216"/>
    <w:rsid w:val="00CE3014"/>
    <w:rsid w:val="00CE30E5"/>
    <w:rsid w:val="00CE6FC6"/>
    <w:rsid w:val="00CF2056"/>
    <w:rsid w:val="00CF4471"/>
    <w:rsid w:val="00CF44C8"/>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571D"/>
    <w:rsid w:val="00D15C4A"/>
    <w:rsid w:val="00D16EDC"/>
    <w:rsid w:val="00D17FDE"/>
    <w:rsid w:val="00D201CB"/>
    <w:rsid w:val="00D22786"/>
    <w:rsid w:val="00D228B4"/>
    <w:rsid w:val="00D25AC4"/>
    <w:rsid w:val="00D25CD8"/>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2DF1"/>
    <w:rsid w:val="00D43F14"/>
    <w:rsid w:val="00D44C18"/>
    <w:rsid w:val="00D4556D"/>
    <w:rsid w:val="00D4569A"/>
    <w:rsid w:val="00D511C6"/>
    <w:rsid w:val="00D5121D"/>
    <w:rsid w:val="00D516AC"/>
    <w:rsid w:val="00D521BB"/>
    <w:rsid w:val="00D52875"/>
    <w:rsid w:val="00D54050"/>
    <w:rsid w:val="00D56AC0"/>
    <w:rsid w:val="00D6081B"/>
    <w:rsid w:val="00D6240A"/>
    <w:rsid w:val="00D63093"/>
    <w:rsid w:val="00D63599"/>
    <w:rsid w:val="00D63D70"/>
    <w:rsid w:val="00D63EBD"/>
    <w:rsid w:val="00D65B87"/>
    <w:rsid w:val="00D67101"/>
    <w:rsid w:val="00D71B45"/>
    <w:rsid w:val="00D71F8A"/>
    <w:rsid w:val="00D72D12"/>
    <w:rsid w:val="00D75603"/>
    <w:rsid w:val="00D75FEE"/>
    <w:rsid w:val="00D76933"/>
    <w:rsid w:val="00D76D88"/>
    <w:rsid w:val="00D77CC9"/>
    <w:rsid w:val="00D81F56"/>
    <w:rsid w:val="00D83D4B"/>
    <w:rsid w:val="00D871C6"/>
    <w:rsid w:val="00D91010"/>
    <w:rsid w:val="00DA0FA7"/>
    <w:rsid w:val="00DA12B0"/>
    <w:rsid w:val="00DA2BA0"/>
    <w:rsid w:val="00DA39AD"/>
    <w:rsid w:val="00DA5B13"/>
    <w:rsid w:val="00DA6917"/>
    <w:rsid w:val="00DA6926"/>
    <w:rsid w:val="00DA6C34"/>
    <w:rsid w:val="00DA768F"/>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0CB"/>
    <w:rsid w:val="00DC7822"/>
    <w:rsid w:val="00DC7AF1"/>
    <w:rsid w:val="00DD2D92"/>
    <w:rsid w:val="00DD3026"/>
    <w:rsid w:val="00DD33DC"/>
    <w:rsid w:val="00DD3BB0"/>
    <w:rsid w:val="00DD61F5"/>
    <w:rsid w:val="00DE64A6"/>
    <w:rsid w:val="00DE66EB"/>
    <w:rsid w:val="00DE6996"/>
    <w:rsid w:val="00DE7035"/>
    <w:rsid w:val="00DF12E3"/>
    <w:rsid w:val="00DF2052"/>
    <w:rsid w:val="00DF3F1D"/>
    <w:rsid w:val="00DF595C"/>
    <w:rsid w:val="00DF7EA7"/>
    <w:rsid w:val="00E04548"/>
    <w:rsid w:val="00E0484E"/>
    <w:rsid w:val="00E063F8"/>
    <w:rsid w:val="00E114D6"/>
    <w:rsid w:val="00E1166E"/>
    <w:rsid w:val="00E11DBD"/>
    <w:rsid w:val="00E13211"/>
    <w:rsid w:val="00E136BE"/>
    <w:rsid w:val="00E16FB5"/>
    <w:rsid w:val="00E179D6"/>
    <w:rsid w:val="00E21407"/>
    <w:rsid w:val="00E22668"/>
    <w:rsid w:val="00E227D3"/>
    <w:rsid w:val="00E22B3C"/>
    <w:rsid w:val="00E22BFF"/>
    <w:rsid w:val="00E22CB0"/>
    <w:rsid w:val="00E23798"/>
    <w:rsid w:val="00E2585D"/>
    <w:rsid w:val="00E25DBD"/>
    <w:rsid w:val="00E25FA2"/>
    <w:rsid w:val="00E2723D"/>
    <w:rsid w:val="00E27C77"/>
    <w:rsid w:val="00E3179E"/>
    <w:rsid w:val="00E327B7"/>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229"/>
    <w:rsid w:val="00E56715"/>
    <w:rsid w:val="00E56C2C"/>
    <w:rsid w:val="00E57F8E"/>
    <w:rsid w:val="00E611C8"/>
    <w:rsid w:val="00E6344A"/>
    <w:rsid w:val="00E64E69"/>
    <w:rsid w:val="00E64FB7"/>
    <w:rsid w:val="00E669A1"/>
    <w:rsid w:val="00E679BA"/>
    <w:rsid w:val="00E70243"/>
    <w:rsid w:val="00E72CC6"/>
    <w:rsid w:val="00E736FF"/>
    <w:rsid w:val="00E73D44"/>
    <w:rsid w:val="00E7494A"/>
    <w:rsid w:val="00E74BE2"/>
    <w:rsid w:val="00E74C66"/>
    <w:rsid w:val="00E75933"/>
    <w:rsid w:val="00E77A1B"/>
    <w:rsid w:val="00E808BE"/>
    <w:rsid w:val="00E81E36"/>
    <w:rsid w:val="00E81E40"/>
    <w:rsid w:val="00E82ECE"/>
    <w:rsid w:val="00E860DF"/>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4"/>
    <w:rsid w:val="00EB24ED"/>
    <w:rsid w:val="00EB2A00"/>
    <w:rsid w:val="00EB309B"/>
    <w:rsid w:val="00EB3725"/>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A3D"/>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3C66"/>
    <w:rsid w:val="00F04BCD"/>
    <w:rsid w:val="00F05A8C"/>
    <w:rsid w:val="00F06211"/>
    <w:rsid w:val="00F10A54"/>
    <w:rsid w:val="00F123D0"/>
    <w:rsid w:val="00F13200"/>
    <w:rsid w:val="00F13411"/>
    <w:rsid w:val="00F143BA"/>
    <w:rsid w:val="00F14D98"/>
    <w:rsid w:val="00F154DC"/>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08C"/>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0D01"/>
    <w:rsid w:val="00F516C6"/>
    <w:rsid w:val="00F52221"/>
    <w:rsid w:val="00F52399"/>
    <w:rsid w:val="00F52B28"/>
    <w:rsid w:val="00F536BB"/>
    <w:rsid w:val="00F53755"/>
    <w:rsid w:val="00F53E59"/>
    <w:rsid w:val="00F5475B"/>
    <w:rsid w:val="00F55164"/>
    <w:rsid w:val="00F574D0"/>
    <w:rsid w:val="00F6031F"/>
    <w:rsid w:val="00F61664"/>
    <w:rsid w:val="00F61B99"/>
    <w:rsid w:val="00F63320"/>
    <w:rsid w:val="00F64C45"/>
    <w:rsid w:val="00F6502B"/>
    <w:rsid w:val="00F6612A"/>
    <w:rsid w:val="00F66724"/>
    <w:rsid w:val="00F67F04"/>
    <w:rsid w:val="00F70207"/>
    <w:rsid w:val="00F702CB"/>
    <w:rsid w:val="00F70CE7"/>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A10"/>
    <w:rsid w:val="00F93C21"/>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Marquenotebasdepag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annotation">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 Text Ch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Comment Subject Ch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Balloon Text Ch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Footnote Text Char"/>
    <w:aliases w:val="Char3 Char, Char3 Char,Fußnotentextf Char,Fußnotentextr Char,stile 1 Char,Footnote1 Char,Footnote2 Char,Footnote3 Char,Footnote4 Char,Footnote5 Char,Footnote6 Char,Footnote7 Char,Footnote8 Char,Footnote9 Char,Footnote10 Ch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Heading 1 Ch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
    <w:name w:val="Document Map"/>
    <w:basedOn w:val="Normal"/>
    <w:link w:val="ExplorateurdedocumentCar"/>
    <w:rsid w:val="00AA016B"/>
    <w:rPr>
      <w:rFonts w:ascii="Tahoma" w:hAnsi="Tahoma" w:cs="Tahoma"/>
      <w:sz w:val="16"/>
      <w:szCs w:val="16"/>
    </w:rPr>
  </w:style>
  <w:style w:type="character" w:customStyle="1" w:styleId="ExplorateurdedocumentCar">
    <w:name w:val="Document Map Char"/>
    <w:link w:val="Explorateurdedocument"/>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Plain Text Ch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Body Text Ch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Heading 2 Char2"/>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Heading 9 Ch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Heading 7 Char"/>
    <w:link w:val="Titre7"/>
    <w:rsid w:val="002D6E1A"/>
    <w:rPr>
      <w:sz w:val="22"/>
      <w:szCs w:val="24"/>
      <w:lang w:eastAsia="de-DE"/>
    </w:rPr>
  </w:style>
  <w:style w:type="character" w:customStyle="1" w:styleId="Titre6Car">
    <w:name w:val="Heading 6 Char"/>
    <w:link w:val="Titre6"/>
    <w:rsid w:val="002D6E1A"/>
    <w:rPr>
      <w:b/>
      <w:bCs/>
      <w:szCs w:val="22"/>
      <w:lang w:eastAsia="de-DE"/>
    </w:rPr>
  </w:style>
  <w:style w:type="character" w:customStyle="1" w:styleId="Titre8Car">
    <w:name w:val="Heading 8 Ch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
    <w:name w:val="FollowedHyperlink"/>
    <w:unhideWhenUsed/>
    <w:rsid w:val="002D6E1A"/>
    <w:rPr>
      <w:color w:val="800080"/>
      <w:u w:val="single"/>
    </w:rPr>
  </w:style>
  <w:style w:type="character" w:customStyle="1" w:styleId="En-tteCar">
    <w:name w:val="Header Char"/>
    <w:link w:val="En-tte"/>
    <w:rsid w:val="002D6E1A"/>
    <w:rPr>
      <w:rFonts w:ascii="Georgia" w:hAnsi="Georgia"/>
      <w:sz w:val="22"/>
      <w:szCs w:val="24"/>
      <w:lang w:eastAsia="de-DE"/>
    </w:rPr>
  </w:style>
  <w:style w:type="character" w:customStyle="1" w:styleId="PieddepageCar">
    <w:name w:val="Footer Ch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Endnote Text Ch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List Paragraph Char"/>
    <w:aliases w:val="Paragraphe EI Char,Paragraphe de liste1 Char,EC Ch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Marque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Heading 5 Char14"/>
    <w:aliases w:val="Questions Char7"/>
    <w:link w:val="Titre5"/>
    <w:rsid w:val="00E9344E"/>
    <w:rPr>
      <w:rFonts w:ascii="Georgia" w:hAnsi="Georgia"/>
      <w:b/>
      <w:szCs w:val="24"/>
      <w:lang w:eastAsia="de-DE"/>
    </w:rPr>
  </w:style>
  <w:style w:type="character" w:customStyle="1" w:styleId="Titre3Car">
    <w:name w:val="Heading 3 Char2"/>
    <w:link w:val="Titre3"/>
    <w:rsid w:val="003865E5"/>
    <w:rPr>
      <w:rFonts w:ascii="Cambria" w:eastAsia="Times New Roman" w:hAnsi="Cambria" w:cs="Times New Roman"/>
      <w:b/>
      <w:bCs/>
      <w:color w:val="4F81BD"/>
      <w:sz w:val="22"/>
      <w:szCs w:val="24"/>
      <w:lang w:eastAsia="de-DE"/>
    </w:rPr>
  </w:style>
  <w:style w:type="character" w:customStyle="1" w:styleId="Titre4Car">
    <w:name w:val="Heading 4 Char1"/>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le Ch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evision Ch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discrt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Forteaccentuation">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page/List-registered-and-certified-CRA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5EBB8-9A93-454B-A482-DD81BEF4F015}">
  <ds:schemaRefs>
    <ds:schemaRef ds:uri="http://schemas.openxmlformats.org/officeDocument/2006/bibliography"/>
  </ds:schemaRefs>
</ds:datastoreItem>
</file>

<file path=customXml/itemProps2.xml><?xml version="1.0" encoding="utf-8"?>
<ds:datastoreItem xmlns:ds="http://schemas.openxmlformats.org/officeDocument/2006/customXml" ds:itemID="{8869A10D-1ECF-44E1-9DEC-3E3EDB60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30</Pages>
  <Words>12013</Words>
  <Characters>65208</Characters>
  <Application>Microsoft Office Word</Application>
  <DocSecurity>8</DocSecurity>
  <Lines>543</Lines>
  <Paragraphs>154</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77067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AMAFI</cp:lastModifiedBy>
  <cp:revision>11</cp:revision>
  <cp:lastPrinted>2015-02-18T11:01:00Z</cp:lastPrinted>
  <dcterms:created xsi:type="dcterms:W3CDTF">2015-07-31T13:23:00Z</dcterms:created>
  <dcterms:modified xsi:type="dcterms:W3CDTF">2015-08-06T16:04:00Z</dcterms:modified>
</cp:coreProperties>
</file>