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bookmarkStart w:id="0" w:name="_GoBack"/>
            <w:bookmarkEnd w:id="0"/>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textovodkaz"/>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Znakapoznpodarou"/>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Nadpis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206957">
        <w:tc>
          <w:tcPr>
            <w:tcW w:w="3929" w:type="dxa"/>
            <w:shd w:val="clear" w:color="auto" w:fill="auto"/>
          </w:tcPr>
          <w:p w:rsidR="00D34282" w:rsidRPr="00AB6D88" w:rsidRDefault="00D34282" w:rsidP="00206957">
            <w:pPr>
              <w:rPr>
                <w:rFonts w:cs="Arial"/>
              </w:rPr>
            </w:pPr>
            <w:permStart w:id="4357535" w:edGrp="everyone" w:colFirst="1" w:colLast="1"/>
            <w:r w:rsidRPr="00AB6D88">
              <w:rPr>
                <w:rFonts w:cs="Arial"/>
              </w:rPr>
              <w:t>Name of the company / organisation</w:t>
            </w:r>
          </w:p>
        </w:tc>
        <w:sdt>
          <w:sdtPr>
            <w:rPr>
              <w:rFonts w:ascii="FreeMono" w:hAnsi="FreeMono" w:cs="FreeMono"/>
              <w:color w:val="333333"/>
              <w:szCs w:val="20"/>
              <w:lang w:val="cs-CZ" w:eastAsia="en-GB"/>
            </w:rPr>
            <w:id w:val="-1905066999"/>
            <w:text/>
          </w:sdtPr>
          <w:sdtEndPr/>
          <w:sdtContent>
            <w:permStart w:id="514679918" w:edGrp="everyone" w:displacedByCustomXml="prev"/>
            <w:tc>
              <w:tcPr>
                <w:tcW w:w="5595" w:type="dxa"/>
                <w:shd w:val="clear" w:color="auto" w:fill="auto"/>
              </w:tcPr>
              <w:p w:rsidR="00D34282" w:rsidRPr="00AB6D88" w:rsidRDefault="00206957" w:rsidP="00206957">
                <w:pPr>
                  <w:rPr>
                    <w:rStyle w:val="Zstupntext"/>
                    <w:rFonts w:cs="Arial"/>
                  </w:rPr>
                </w:pPr>
                <w:r w:rsidRPr="00206957">
                  <w:rPr>
                    <w:rFonts w:ascii="FreeMono" w:hAnsi="FreeMono" w:cs="FreeMono"/>
                    <w:color w:val="333333"/>
                    <w:szCs w:val="20"/>
                    <w:lang w:val="cs-CZ" w:eastAsia="en-GB"/>
                  </w:rPr>
                  <w:t>Czech Capital Market Association (AKAT)</w:t>
                </w:r>
              </w:p>
            </w:tc>
            <w:permEnd w:id="514679918" w:displacedByCustomXml="next"/>
          </w:sdtContent>
        </w:sdt>
      </w:tr>
      <w:tr w:rsidR="00D34282" w:rsidRPr="00AB6D88" w:rsidTr="00206957">
        <w:tc>
          <w:tcPr>
            <w:tcW w:w="3929" w:type="dxa"/>
            <w:shd w:val="clear" w:color="auto" w:fill="auto"/>
          </w:tcPr>
          <w:p w:rsidR="00D34282" w:rsidRPr="00AB6D88" w:rsidRDefault="00D34282" w:rsidP="00206957">
            <w:pPr>
              <w:rPr>
                <w:rFonts w:cs="Arial"/>
              </w:rPr>
            </w:pPr>
            <w:permStart w:id="799478996" w:edGrp="everyone" w:colFirst="1" w:colLast="1"/>
            <w:permEnd w:id="4357535"/>
            <w:r w:rsidRPr="00AB6D88">
              <w:rPr>
                <w:rFonts w:cs="Arial"/>
              </w:rPr>
              <w:t>Activity</w:t>
            </w:r>
          </w:p>
        </w:tc>
        <w:tc>
          <w:tcPr>
            <w:tcW w:w="5595" w:type="dxa"/>
            <w:shd w:val="clear" w:color="auto" w:fill="auto"/>
          </w:tcPr>
          <w:p w:rsidR="00D34282" w:rsidRPr="00AB6D88" w:rsidRDefault="00410B36" w:rsidP="00206957">
            <w:pPr>
              <w:rPr>
                <w:rFonts w:cs="Arial"/>
              </w:rPr>
            </w:pPr>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308566752" w:edGrp="everyone"/>
                <w:r w:rsidR="002D4133">
                  <w:t>Investment Services</w:t>
                </w:r>
                <w:permEnd w:id="1308566752"/>
              </w:sdtContent>
            </w:sdt>
          </w:p>
        </w:tc>
      </w:tr>
      <w:tr w:rsidR="00D34282" w:rsidRPr="00AB6D88" w:rsidTr="00206957">
        <w:tc>
          <w:tcPr>
            <w:tcW w:w="3929" w:type="dxa"/>
            <w:shd w:val="clear" w:color="auto" w:fill="auto"/>
          </w:tcPr>
          <w:p w:rsidR="00D34282" w:rsidRPr="00AB6D88" w:rsidRDefault="00D34282" w:rsidP="00206957">
            <w:pPr>
              <w:rPr>
                <w:rFonts w:cs="Arial"/>
              </w:rPr>
            </w:pPr>
            <w:permStart w:id="387535834" w:edGrp="everyone" w:colFirst="1" w:colLast="1"/>
            <w:permEnd w:id="799478996"/>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2D4133" w:rsidP="00206957">
                <w:pPr>
                  <w:rPr>
                    <w:rFonts w:cs="Arial"/>
                  </w:rPr>
                </w:pPr>
                <w:r>
                  <w:rPr>
                    <w:rFonts w:ascii="MS Gothic" w:eastAsia="MS Gothic" w:hAnsi="MS Gothic" w:cs="Arial" w:hint="eastAsia"/>
                  </w:rPr>
                  <w:t>☒</w:t>
                </w:r>
              </w:p>
            </w:tc>
          </w:sdtContent>
        </w:sdt>
      </w:tr>
      <w:tr w:rsidR="00D34282" w:rsidRPr="00AB6D88" w:rsidTr="00206957">
        <w:tc>
          <w:tcPr>
            <w:tcW w:w="3929" w:type="dxa"/>
            <w:shd w:val="clear" w:color="auto" w:fill="auto"/>
          </w:tcPr>
          <w:p w:rsidR="00D34282" w:rsidRPr="00AB6D88" w:rsidRDefault="00D34282" w:rsidP="00206957">
            <w:pPr>
              <w:rPr>
                <w:rFonts w:cs="Arial"/>
              </w:rPr>
            </w:pPr>
            <w:permStart w:id="488464000" w:edGrp="everyone" w:colFirst="1" w:colLast="1"/>
            <w:permEnd w:id="387535834"/>
            <w:r w:rsidRPr="00AB6D88">
              <w:rPr>
                <w:rFonts w:cs="Arial"/>
              </w:rPr>
              <w:t>Country/Region</w:t>
            </w:r>
          </w:p>
        </w:tc>
        <w:permStart w:id="2050321534"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2D4133" w:rsidP="00206957">
                <w:pPr>
                  <w:rPr>
                    <w:rFonts w:cs="Arial"/>
                  </w:rPr>
                </w:pPr>
                <w:r>
                  <w:rPr>
                    <w:rFonts w:cs="Arial"/>
                  </w:rPr>
                  <w:t>Czech Republic</w:t>
                </w:r>
              </w:p>
            </w:tc>
          </w:sdtContent>
        </w:sdt>
        <w:permEnd w:id="2050321534" w:displacedByCustomXml="prev"/>
      </w:tr>
      <w:permEnd w:id="488464000"/>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Nadpis1"/>
        <w:numPr>
          <w:ilvl w:val="0"/>
          <w:numId w:val="0"/>
        </w:numPr>
        <w:ind w:left="431" w:hanging="431"/>
      </w:pPr>
      <w:r>
        <w:t>Introduction</w:t>
      </w:r>
    </w:p>
    <w:p w:rsidR="00D34282" w:rsidRPr="001D47A5" w:rsidRDefault="00D34282" w:rsidP="00D34282">
      <w:pPr>
        <w:rPr>
          <w:rStyle w:val="Zdraznnintenzivn"/>
        </w:rPr>
      </w:pPr>
      <w:r w:rsidRPr="001D47A5">
        <w:rPr>
          <w:rStyle w:val="Zdraznnintenzivn"/>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34282" w:rsidRDefault="00D34282" w:rsidP="00D34282">
      <w:permStart w:id="287053164" w:edGrp="everyone"/>
      <w:r>
        <w:t>TYPE YOUR TEXT HERE</w:t>
      </w:r>
    </w:p>
    <w:permEnd w:id="287053164"/>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206957" w:rsidRPr="00206957" w:rsidRDefault="00206957" w:rsidP="00206957">
      <w:pPr>
        <w:pStyle w:val="Default"/>
        <w:rPr>
          <w:rFonts w:cstheme="minorBidi"/>
          <w:color w:val="auto"/>
          <w:lang w:val="en-US"/>
        </w:rPr>
      </w:pPr>
      <w:permStart w:id="1554841671" w:edGrp="everyone"/>
      <w:r w:rsidRPr="00206957">
        <w:rPr>
          <w:rFonts w:cstheme="minorBidi"/>
          <w:color w:val="auto"/>
          <w:lang w:val="en-US"/>
        </w:rPr>
        <w:t>If the history of return is known like for existing funds or can be replicated by means of benchmarks like for new funds historical return is the best option. Significantly long past e.g. 10 years (benchmark) and with reflection of futures prices (index) if possible.</w:t>
      </w:r>
    </w:p>
    <w:p w:rsidR="00206957" w:rsidRPr="00206957" w:rsidRDefault="00206957" w:rsidP="00206957">
      <w:pPr>
        <w:pStyle w:val="Default"/>
        <w:rPr>
          <w:rFonts w:cstheme="minorBidi"/>
          <w:color w:val="auto"/>
          <w:lang w:val="en-US"/>
        </w:rPr>
      </w:pPr>
      <w:r w:rsidRPr="00206957">
        <w:rPr>
          <w:rFonts w:cstheme="minorBidi"/>
          <w:color w:val="auto"/>
          <w:lang w:val="en-US"/>
        </w:rPr>
        <w:t>There is usually no history for structured products. But the valuation model is always set up before the PRIP is distributed. The model allows simulation of returns.</w:t>
      </w:r>
    </w:p>
    <w:permEnd w:id="1554841671"/>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206957" w:rsidRPr="00206957" w:rsidRDefault="00206957" w:rsidP="00206957">
      <w:pPr>
        <w:pStyle w:val="Default"/>
        <w:rPr>
          <w:rFonts w:cstheme="minorBidi"/>
          <w:color w:val="auto"/>
          <w:lang w:val="en-US"/>
        </w:rPr>
      </w:pPr>
      <w:permStart w:id="25171101" w:edGrp="everyone"/>
      <w:r>
        <w:rPr>
          <w:rFonts w:cstheme="minorBidi"/>
          <w:color w:val="auto"/>
          <w:lang w:val="en-US"/>
        </w:rPr>
        <w:t xml:space="preserve">RTS should not define any model but it should declare that valuation model will be used for the purpose of calculating risks. In this way the model will be prescribed (the manufacturer is obliged to use the model he needs for balance sheet calculations), it can be easily monitored by the supervisory authority, and gives enough room for the discretion of a manufacturer, but also enables a sufficient comparison through the market. </w:t>
      </w:r>
      <w:r w:rsidRPr="00206957">
        <w:rPr>
          <w:rFonts w:cstheme="minorBidi"/>
          <w:color w:val="auto"/>
          <w:lang w:val="en-US"/>
        </w:rPr>
        <w:t>Companies should have discretion to develop specific methodology for the comparison of product within a company or company group.</w:t>
      </w:r>
    </w:p>
    <w:permEnd w:id="25171101"/>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206957" w:rsidRPr="00206957" w:rsidRDefault="00206957" w:rsidP="00206957">
      <w:pPr>
        <w:pStyle w:val="Default"/>
        <w:rPr>
          <w:rFonts w:cstheme="minorBidi"/>
          <w:color w:val="auto"/>
          <w:lang w:val="en-US"/>
        </w:rPr>
      </w:pPr>
      <w:permStart w:id="954353446" w:edGrp="everyone"/>
      <w:r w:rsidRPr="00206957">
        <w:rPr>
          <w:rFonts w:cstheme="minorBidi"/>
          <w:color w:val="auto"/>
          <w:lang w:val="en-US"/>
        </w:rPr>
        <w:t>The most natural benchmark is the amount invested grown at the risk-free rate. Everything what is better (above this benchmark) is the premium for the client. Another benchmark can be inflation rate. An investor is interested if he can buy more in the future if he delays his spending.</w:t>
      </w:r>
    </w:p>
    <w:permEnd w:id="954353446"/>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206957" w:rsidRPr="00206957" w:rsidRDefault="00206957" w:rsidP="00206957">
      <w:pPr>
        <w:pStyle w:val="Default"/>
        <w:rPr>
          <w:rFonts w:cstheme="minorBidi"/>
          <w:color w:val="auto"/>
          <w:lang w:val="en-US"/>
        </w:rPr>
      </w:pPr>
      <w:permStart w:id="1804761659" w:edGrp="everyone"/>
      <w:r w:rsidRPr="00206957">
        <w:rPr>
          <w:rFonts w:cstheme="minorBidi"/>
          <w:color w:val="auto"/>
          <w:lang w:val="en-US"/>
        </w:rPr>
        <w:t>The asset grows at the risk free rate with the hypothesis that the risk-premium is equal to zero.</w:t>
      </w:r>
    </w:p>
    <w:permEnd w:id="1804761659"/>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206957" w:rsidRDefault="00206957" w:rsidP="00206957">
      <w:pPr>
        <w:pStyle w:val="Default"/>
        <w:rPr>
          <w:rFonts w:cstheme="minorBidi"/>
          <w:color w:val="auto"/>
          <w:lang w:val="en-US"/>
        </w:rPr>
      </w:pPr>
      <w:permStart w:id="1518341242" w:edGrp="everyone"/>
      <w:r w:rsidRPr="001815DA">
        <w:rPr>
          <w:rFonts w:cstheme="minorBidi"/>
          <w:color w:val="auto"/>
          <w:lang w:val="en-US"/>
        </w:rPr>
        <w:lastRenderedPageBreak/>
        <w:t xml:space="preserve">Standardized </w:t>
      </w:r>
      <w:r>
        <w:rPr>
          <w:rFonts w:cstheme="minorBidi"/>
          <w:color w:val="auto"/>
          <w:lang w:val="en-US"/>
        </w:rPr>
        <w:t>time frames for open ended PRIIPs and maturity for fixed maturity PRIIPs.</w:t>
      </w:r>
    </w:p>
    <w:permEnd w:id="1518341242"/>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206957" w:rsidRDefault="00206957" w:rsidP="00206957">
      <w:pPr>
        <w:pStyle w:val="Default"/>
        <w:rPr>
          <w:rFonts w:cstheme="minorBidi"/>
          <w:color w:val="auto"/>
          <w:lang w:val="en-US"/>
        </w:rPr>
      </w:pPr>
      <w:permStart w:id="1567237898" w:edGrp="everyone"/>
      <w:r w:rsidRPr="00332373">
        <w:rPr>
          <w:rFonts w:cstheme="minorBidi"/>
          <w:color w:val="auto"/>
          <w:lang w:val="en-US"/>
        </w:rPr>
        <w:t>Credit rating should</w:t>
      </w:r>
      <w:r>
        <w:rPr>
          <w:rFonts w:cstheme="minorBidi"/>
          <w:color w:val="auto"/>
          <w:lang w:val="en-US"/>
        </w:rPr>
        <w:t xml:space="preserve"> be used as a primary measure of overall credit risk. They are more objective and it is a cost saving approach. If no external credit rating is </w:t>
      </w:r>
      <w:r w:rsidRPr="00332373">
        <w:rPr>
          <w:rFonts w:cstheme="minorBidi"/>
          <w:color w:val="auto"/>
          <w:lang w:val="en-US"/>
        </w:rPr>
        <w:t>available, the credit risk will be assessed on the basis of an analysis of credit ratings of comparable obligors. This is often the case of internal credit ratings, which each financial institution also use</w:t>
      </w:r>
      <w:r>
        <w:rPr>
          <w:rFonts w:cstheme="minorBidi"/>
          <w:color w:val="auto"/>
          <w:lang w:val="en-US"/>
        </w:rPr>
        <w:t>s</w:t>
      </w:r>
      <w:r w:rsidRPr="00332373">
        <w:rPr>
          <w:rFonts w:cstheme="minorBidi"/>
          <w:color w:val="auto"/>
          <w:lang w:val="en-US"/>
        </w:rPr>
        <w:t xml:space="preserve"> for other regulatory purposes.</w:t>
      </w:r>
    </w:p>
    <w:p w:rsidR="00206957" w:rsidRDefault="00206957" w:rsidP="00206957">
      <w:pPr>
        <w:pStyle w:val="Default"/>
        <w:rPr>
          <w:rFonts w:cstheme="minorBidi"/>
          <w:color w:val="auto"/>
          <w:lang w:val="en-US"/>
        </w:rPr>
      </w:pPr>
    </w:p>
    <w:p w:rsidR="00C15438" w:rsidRPr="00C15438" w:rsidRDefault="00206957" w:rsidP="00F31E57">
      <w:pPr>
        <w:rPr>
          <w:rFonts w:ascii="Georgia" w:hAnsi="Georgia" w:cstheme="minorBidi"/>
          <w:sz w:val="24"/>
          <w:lang w:val="en-US" w:eastAsia="en-GB"/>
        </w:rPr>
      </w:pPr>
      <w:r w:rsidRPr="00C15438">
        <w:rPr>
          <w:rFonts w:ascii="Georgia" w:hAnsi="Georgia" w:cstheme="minorBidi"/>
          <w:sz w:val="24"/>
          <w:lang w:val="en-US" w:eastAsia="en-GB"/>
        </w:rPr>
        <w:t>However, for one PRIIP issuer his credit risk will be the same. Each issuer will have to look for his rating. Will his rating be declared by the regulator or by whoever?</w:t>
      </w:r>
    </w:p>
    <w:permEnd w:id="1567237898"/>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C15438" w:rsidRPr="00C15438" w:rsidRDefault="00C15438" w:rsidP="00F31E57">
      <w:pPr>
        <w:rPr>
          <w:rFonts w:ascii="Georgia" w:hAnsi="Georgia" w:cstheme="minorBidi"/>
          <w:sz w:val="24"/>
          <w:lang w:val="en-US" w:eastAsia="en-GB"/>
        </w:rPr>
      </w:pPr>
      <w:permStart w:id="348194406" w:edGrp="everyone"/>
      <w:r w:rsidRPr="00C15438">
        <w:rPr>
          <w:rFonts w:ascii="Georgia" w:hAnsi="Georgia" w:cstheme="minorBidi"/>
          <w:sz w:val="24"/>
          <w:lang w:val="en-US" w:eastAsia="en-GB"/>
        </w:rPr>
        <w:t>Generally yes. But regarding some products, liquidity risk is difficult to measure ex ante. Scale might be derived from the verbal description provided by RTS. In case of OTC PRIIPs the liquidity depends on the counterparty, which is very often the manufacturer himself and the liquidity is only conditional. Liquidity grade for OTC products should therefore be lower than those for traded securities.</w:t>
      </w:r>
    </w:p>
    <w:permEnd w:id="348194406"/>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C15438" w:rsidRPr="00C15438" w:rsidRDefault="00C15438" w:rsidP="00547237">
      <w:pPr>
        <w:pStyle w:val="Default"/>
        <w:rPr>
          <w:rFonts w:cstheme="minorBidi"/>
          <w:color w:val="auto"/>
          <w:lang w:val="en-US"/>
        </w:rPr>
      </w:pPr>
      <w:permStart w:id="570846906" w:edGrp="everyone"/>
      <w:r w:rsidRPr="00C15438">
        <w:rPr>
          <w:rFonts w:cstheme="minorBidi"/>
          <w:color w:val="auto"/>
          <w:lang w:val="en-US"/>
        </w:rPr>
        <w:t>Qualitative liquidity measure is preferred. The proposed qualitative measures seem to be reasonable.</w:t>
      </w:r>
    </w:p>
    <w:p w:rsidR="00C15438" w:rsidRPr="00C15438" w:rsidRDefault="00C15438" w:rsidP="00547237">
      <w:pPr>
        <w:pStyle w:val="Default"/>
        <w:rPr>
          <w:rFonts w:cstheme="minorBidi"/>
          <w:color w:val="auto"/>
          <w:lang w:val="en-US"/>
        </w:rPr>
      </w:pPr>
    </w:p>
    <w:p w:rsidR="00C15438" w:rsidRDefault="00C15438" w:rsidP="00F31E57">
      <w:pPr>
        <w:rPr>
          <w:sz w:val="22"/>
          <w:szCs w:val="22"/>
          <w:lang w:val="en-US"/>
        </w:rPr>
      </w:pPr>
      <w:r w:rsidRPr="00C15438">
        <w:rPr>
          <w:rFonts w:ascii="Georgia" w:hAnsi="Georgia" w:cstheme="minorBidi"/>
          <w:sz w:val="24"/>
          <w:lang w:val="en-US" w:eastAsia="en-GB"/>
        </w:rPr>
        <w:t>We agree. In fact, the exit penalty means that there is liquidity or that the counterparty is willing to purchase the PRIIP back. The penalty is rather the cost and not a fine. The manufacturer will use it for closing the position or for some sort of hedging</w:t>
      </w:r>
      <w:r>
        <w:rPr>
          <w:sz w:val="22"/>
          <w:szCs w:val="22"/>
          <w:lang w:val="en-US"/>
        </w:rPr>
        <w:t>.</w:t>
      </w:r>
    </w:p>
    <w:permEnd w:id="57084690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C15438" w:rsidRDefault="00C15438" w:rsidP="00F31E57">
      <w:pPr>
        <w:rPr>
          <w:sz w:val="22"/>
          <w:szCs w:val="22"/>
          <w:lang w:val="en-US"/>
        </w:rPr>
      </w:pPr>
      <w:permStart w:id="1197212583" w:edGrp="everyone"/>
      <w:r w:rsidRPr="00C15438">
        <w:rPr>
          <w:rFonts w:ascii="Georgia" w:hAnsi="Georgia" w:cstheme="minorBidi"/>
          <w:sz w:val="24"/>
          <w:lang w:val="en-US" w:eastAsia="en-GB"/>
        </w:rPr>
        <w:t>Option 1, i.e. the combination of qualitative credit and quantitative market risk seems to be the appropriate. For the funds the risk of loss will count the most, which is in fact nearly SRRI. Reduction to 5 risk classes would not change the concept. UCITs risk indi</w:t>
      </w:r>
      <w:r w:rsidRPr="00C15438">
        <w:rPr>
          <w:rFonts w:ascii="Georgia" w:hAnsi="Georgia" w:cstheme="minorBidi"/>
          <w:sz w:val="24"/>
          <w:lang w:val="en-US" w:eastAsia="en-GB"/>
        </w:rPr>
        <w:lastRenderedPageBreak/>
        <w:t>cators are quite good (SRRI) for broad investors’ comparison (not reflecting currency of investors) and it is handy to use them in some advanced risk indicator. But still maximal stress should be given to the simplicity. The approach should anticipate also the new product development e.g. conditional guarantee so that there will be a clear risk categorization of a product</w:t>
      </w:r>
      <w:r w:rsidRPr="00065F37">
        <w:rPr>
          <w:sz w:val="22"/>
          <w:szCs w:val="22"/>
          <w:lang w:val="en-US"/>
        </w:rPr>
        <w:t>.</w:t>
      </w:r>
    </w:p>
    <w:permEnd w:id="1197212583"/>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C15438" w:rsidRPr="00C15438" w:rsidRDefault="00C15438" w:rsidP="00C15438">
      <w:pPr>
        <w:pStyle w:val="Default"/>
        <w:rPr>
          <w:rFonts w:cstheme="minorBidi"/>
          <w:color w:val="auto"/>
          <w:lang w:val="en-US"/>
        </w:rPr>
      </w:pPr>
      <w:permStart w:id="1350195671" w:edGrp="everyone"/>
      <w:r w:rsidRPr="00C15438">
        <w:rPr>
          <w:rFonts w:cstheme="minorBidi"/>
          <w:color w:val="auto"/>
          <w:lang w:val="en-US"/>
        </w:rPr>
        <w:t>This possibility seems to be easy to implement. But it is too reliant on external rating agencies and the ratings choose from several rating agencies could be fuzzy. Sometimes the volatility measurement is not reliable and there should be given clear guidelines how to measure it if some inputs are missing. The historical period for volatility measurement should be at least the 5 years but 10 years is better.</w:t>
      </w:r>
    </w:p>
    <w:p w:rsidR="00F31E57" w:rsidRPr="00C15438" w:rsidRDefault="00C15438" w:rsidP="00C15438">
      <w:pPr>
        <w:rPr>
          <w:rFonts w:ascii="Georgia" w:hAnsi="Georgia" w:cstheme="minorBidi"/>
          <w:sz w:val="24"/>
          <w:lang w:val="en-US" w:eastAsia="en-GB"/>
        </w:rPr>
      </w:pPr>
      <w:r w:rsidRPr="00C15438">
        <w:rPr>
          <w:rFonts w:ascii="Georgia" w:hAnsi="Georgia" w:cstheme="minorBidi"/>
          <w:sz w:val="24"/>
          <w:lang w:val="en-US" w:eastAsia="en-GB"/>
        </w:rPr>
        <w:t>It can be considered to use CESR methodology for PRIIPs market risk measurement.  Calculations based on a model of the payoff and VaR estimation based on it are versatile. VaR concept is easy to explain to the client.  Using existing methodology in use is a very big advantage itself.</w:t>
      </w:r>
    </w:p>
    <w:permEnd w:id="1350195671"/>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C15438" w:rsidP="00F31E57">
      <w:permStart w:id="850730910" w:edGrp="everyone"/>
      <w:r w:rsidRPr="00C15438">
        <w:rPr>
          <w:rFonts w:ascii="Georgia" w:hAnsi="Georgia" w:cstheme="minorBidi"/>
          <w:sz w:val="24"/>
          <w:lang w:val="en-US" w:eastAsia="en-GB"/>
        </w:rPr>
        <w:t>This approach is the best theoretically justified, although it is a quite artificial measure and it is only good for short period of time. It will be good to use one standardize measure e.g. VaR (99%), ES, so that for anyone it is clear how it is calculated and which shortages are embedded. There is no absolutely correct measure. Its application may not be very complicated for the market risk part as many banks use similar valuation models anyway. Incorporating credit risk scenarios would be, however, not so easy. Complexity of calculations may lead to the lower usability. Forward looking estimation models are also based on assumptions, which may be argued.</w:t>
      </w:r>
    </w:p>
    <w:permEnd w:id="850730910"/>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C15438" w:rsidRDefault="00C15438" w:rsidP="00F31E57">
      <w:pPr>
        <w:rPr>
          <w:lang w:val="en-US"/>
        </w:rPr>
      </w:pPr>
      <w:permStart w:id="184091003" w:edGrp="everyone"/>
      <w:r w:rsidRPr="00C15438">
        <w:rPr>
          <w:rFonts w:ascii="Georgia" w:hAnsi="Georgia" w:cstheme="minorBidi"/>
          <w:sz w:val="24"/>
          <w:lang w:val="en-US" w:eastAsia="en-GB"/>
        </w:rPr>
        <w:t>Using maturity as a default holding period is reasonable. Internal valuation models should be accepted. Integration of Poisson distribution is nice but someone would have to set its parameters. So in practice, it is of limited use. Setting up a public PRIIP model database is a nice idea with no chance of its fulfillment. Some market participants say that it will be better to use data accessible from market e.g. via Bloomberg.  There should be some “basic” approach to satisfy the regulator requirements and possibly some “advance” approach to lower the gross riskiness given by the simple approach</w:t>
      </w:r>
      <w:r w:rsidRPr="002D1C45">
        <w:rPr>
          <w:lang w:val="en-US"/>
        </w:rPr>
        <w:t>.</w:t>
      </w:r>
    </w:p>
    <w:permEnd w:id="184091003"/>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C15438" w:rsidRDefault="00C15438" w:rsidP="00F31E57">
      <w:pPr>
        <w:rPr>
          <w:lang w:val="en-US"/>
        </w:rPr>
      </w:pPr>
      <w:permStart w:id="1223302861" w:edGrp="everyone"/>
      <w:r w:rsidRPr="00C15438">
        <w:rPr>
          <w:rFonts w:ascii="Georgia" w:hAnsi="Georgia" w:cstheme="minorBidi"/>
          <w:sz w:val="24"/>
          <w:lang w:val="en-US" w:eastAsia="en-GB"/>
        </w:rPr>
        <w:t>The “first level” grouping would be very useful for the clients if the extent of capital protection is used. It is something s/he can understand. From this point of view the calculation on the second level will be also used only for grouping in risk categories. So the particular estimation method is not so important and the most appropriate one for the product group should be used. Some market participants do not prefer two-level indicators. It could constitute problem how to consolidate products from the two levels into the one portfolio</w:t>
      </w:r>
      <w:r w:rsidRPr="002D1C45">
        <w:rPr>
          <w:lang w:val="en-US"/>
        </w:rPr>
        <w:t>.</w:t>
      </w:r>
    </w:p>
    <w:permEnd w:id="1223302861"/>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C15438" w:rsidRDefault="00C15438" w:rsidP="00547237">
      <w:pPr>
        <w:pStyle w:val="Default"/>
        <w:rPr>
          <w:rFonts w:cstheme="minorBidi"/>
          <w:color w:val="auto"/>
          <w:lang w:val="en-US"/>
        </w:rPr>
      </w:pPr>
      <w:permStart w:id="545353782" w:edGrp="everyone"/>
      <w:r w:rsidRPr="00C15438">
        <w:rPr>
          <w:rFonts w:cstheme="minorBidi"/>
          <w:color w:val="auto"/>
          <w:lang w:val="en-US"/>
        </w:rPr>
        <w:t>There should be two dimensions: client x product. At product the number of categories should be higher to be able to distinguish between varieties of products.  The categories reflecting the risk appetite of customers should be lower just to not to imply complexity. SRRI indicator is good measure at least from the viewpoint of UCITs comparability and understandability. And even the SRRI categorization 1-7 seems to according us proper.</w:t>
      </w:r>
    </w:p>
    <w:p w:rsidR="00C15438" w:rsidRDefault="00C15438" w:rsidP="00F31E57">
      <w:pPr>
        <w:rPr>
          <w:rFonts w:cstheme="minorBidi"/>
          <w:lang w:val="en-US"/>
        </w:rPr>
      </w:pPr>
      <w:r w:rsidRPr="00C15438">
        <w:rPr>
          <w:rFonts w:ascii="Georgia" w:hAnsi="Georgia" w:cstheme="minorBidi"/>
          <w:sz w:val="24"/>
          <w:lang w:val="en-US" w:eastAsia="en-GB"/>
        </w:rPr>
        <w:t>The number of buckets is not so important. It should range between 5 and 10.</w:t>
      </w:r>
      <w:r>
        <w:rPr>
          <w:rFonts w:cstheme="minorBidi"/>
          <w:lang w:val="en-US"/>
        </w:rPr>
        <w:t xml:space="preserve"> </w:t>
      </w:r>
    </w:p>
    <w:permEnd w:id="545353782"/>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F31E57" w:rsidRDefault="00C15438" w:rsidP="00F31E57">
      <w:permStart w:id="1435319255" w:edGrp="everyone"/>
      <w:r w:rsidRPr="00C15438">
        <w:rPr>
          <w:rFonts w:ascii="Georgia" w:hAnsi="Georgia" w:cstheme="minorBidi"/>
          <w:sz w:val="24"/>
          <w:lang w:val="en-US" w:eastAsia="en-GB"/>
        </w:rPr>
        <w:t>We prefer “what-if” approach. The scenarios to be fair they should describe outcomes that are feasible. It might be a good idea to prescribe general rules for all PRIIPs how the scenario should be distinguished. For instance, they may be based on probability quartiles. Creation of scenarios will be then left on the manufacturer. The manufacturer will be able to prove to the regulator that the probabilities were set in a reasonable way. If such a general rule is used for all PRIIPs the clients will get used to understand how to distinguish the scenarios and compare the PRIIPs</w:t>
      </w:r>
      <w:r>
        <w:rPr>
          <w:rFonts w:cstheme="minorBidi"/>
          <w:lang w:val="en-US"/>
        </w:rPr>
        <w:t>.</w:t>
      </w:r>
      <w:permEnd w:id="1435319255"/>
      <w:r w:rsidR="00F31E57">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C15438" w:rsidP="00F31E57">
      <w:permStart w:id="145839066" w:edGrp="everyone"/>
      <w:r w:rsidRPr="00C15438">
        <w:rPr>
          <w:rFonts w:ascii="Georgia" w:hAnsi="Georgia" w:cstheme="minorBidi"/>
          <w:sz w:val="24"/>
          <w:lang w:val="en-US" w:eastAsia="en-GB"/>
        </w:rPr>
        <w:t>Some general rule should be prescribed how the scenarios will be selected. Probability quartiles might be easy to understand. The definition of what-if scenarios should be objective. E.g. possible the best performance, possible the worst performance and tree scenarios which are between and thus the most probable. There should be explicit communication of the probable future path performance</w:t>
      </w:r>
      <w:r w:rsidRPr="005E1FA7">
        <w:rPr>
          <w:sz w:val="22"/>
          <w:szCs w:val="22"/>
          <w:lang w:val="en-US"/>
        </w:rPr>
        <w:t>.</w:t>
      </w:r>
      <w:permEnd w:id="145839066"/>
      <w:r w:rsidR="00F31E57">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C15438" w:rsidRDefault="00C15438" w:rsidP="00547237">
      <w:pPr>
        <w:pStyle w:val="Default"/>
        <w:rPr>
          <w:lang w:val="en-US"/>
        </w:rPr>
      </w:pPr>
      <w:permStart w:id="239743112" w:edGrp="everyone"/>
      <w:r>
        <w:rPr>
          <w:lang w:val="en-US"/>
        </w:rPr>
        <w:t>To c</w:t>
      </w:r>
      <w:r w:rsidRPr="002D1C45">
        <w:rPr>
          <w:lang w:val="en-US"/>
        </w:rPr>
        <w:t xml:space="preserve">alculate some historical simulation could be difficult even not possible at some products e.g. </w:t>
      </w:r>
      <w:r>
        <w:rPr>
          <w:lang w:val="en-US"/>
        </w:rPr>
        <w:t xml:space="preserve">regarding </w:t>
      </w:r>
      <w:r w:rsidRPr="002D1C45">
        <w:rPr>
          <w:lang w:val="en-US"/>
        </w:rPr>
        <w:t xml:space="preserve">some new product </w:t>
      </w:r>
      <w:r>
        <w:rPr>
          <w:lang w:val="en-US"/>
        </w:rPr>
        <w:t xml:space="preserve">it </w:t>
      </w:r>
      <w:r w:rsidRPr="002D1C45">
        <w:rPr>
          <w:lang w:val="en-US"/>
        </w:rPr>
        <w:t xml:space="preserve">would be difficult or misleading </w:t>
      </w:r>
      <w:r>
        <w:rPr>
          <w:lang w:val="en-US"/>
        </w:rPr>
        <w:t xml:space="preserve">to </w:t>
      </w:r>
      <w:r w:rsidRPr="002D1C45">
        <w:rPr>
          <w:lang w:val="en-US"/>
        </w:rPr>
        <w:t xml:space="preserve">try to replicate their development on historical data. The data </w:t>
      </w:r>
      <w:r>
        <w:rPr>
          <w:lang w:val="en-US"/>
        </w:rPr>
        <w:t>do</w:t>
      </w:r>
      <w:r w:rsidRPr="002D1C45">
        <w:rPr>
          <w:lang w:val="en-US"/>
        </w:rPr>
        <w:t xml:space="preserve"> not exist if e.g. the underlying product was not marketed.  Some simplified parameters relevant for future simulation could better objectively assess what could future performance be like.</w:t>
      </w:r>
    </w:p>
    <w:p w:rsidR="00C15438" w:rsidRDefault="00C15438" w:rsidP="00547237">
      <w:pPr>
        <w:pStyle w:val="Default"/>
        <w:rPr>
          <w:rFonts w:cstheme="minorBidi"/>
          <w:color w:val="auto"/>
          <w:lang w:val="en-US"/>
        </w:rPr>
      </w:pPr>
    </w:p>
    <w:p w:rsidR="00C15438" w:rsidRDefault="00C15438" w:rsidP="00F31E57">
      <w:pPr>
        <w:rPr>
          <w:rFonts w:cstheme="minorBidi"/>
          <w:lang w:val="en-US"/>
        </w:rPr>
      </w:pPr>
      <w:r w:rsidRPr="00C15438">
        <w:rPr>
          <w:rFonts w:ascii="Georgia" w:hAnsi="Georgia" w:cs="Georgia"/>
          <w:color w:val="000000"/>
          <w:sz w:val="24"/>
          <w:lang w:val="en-US" w:eastAsia="en-GB"/>
        </w:rPr>
        <w:t>Scenarios should be based on real maturity of a PRIIP if it has some. 10 year interval may be used for open-ended PRIIPs. -10%, 0% and 10% prescribed growth rate of the underlying will be reasonable for one year period but may not be appropriate for 10 years</w:t>
      </w:r>
      <w:r>
        <w:rPr>
          <w:rFonts w:cstheme="minorBidi"/>
          <w:lang w:val="en-US"/>
        </w:rPr>
        <w:t>.</w:t>
      </w:r>
    </w:p>
    <w:permEnd w:id="239743112"/>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C15438" w:rsidRPr="00C15438" w:rsidRDefault="00C15438" w:rsidP="00F31E57">
      <w:pPr>
        <w:rPr>
          <w:rFonts w:ascii="Georgia" w:hAnsi="Georgia" w:cs="Georgia"/>
          <w:color w:val="000000"/>
          <w:sz w:val="24"/>
          <w:lang w:val="en-US" w:eastAsia="en-GB"/>
        </w:rPr>
      </w:pPr>
      <w:permStart w:id="544495015" w:edGrp="everyone"/>
      <w:r w:rsidRPr="00C15438">
        <w:rPr>
          <w:rFonts w:ascii="Georgia" w:hAnsi="Georgia" w:cs="Georgia"/>
          <w:color w:val="000000"/>
          <w:sz w:val="24"/>
          <w:lang w:val="en-US" w:eastAsia="en-GB"/>
        </w:rPr>
        <w:t>We recommend quartiles. . But the core issue it would be to asses a probability distribution.</w:t>
      </w:r>
    </w:p>
    <w:permEnd w:id="544495015"/>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C15438" w:rsidP="00F31E57">
      <w:permStart w:id="1894197716" w:edGrp="everyone"/>
      <w:r w:rsidRPr="00C15438">
        <w:rPr>
          <w:rFonts w:ascii="Georgia" w:hAnsi="Georgia" w:cs="Georgia"/>
          <w:color w:val="000000"/>
          <w:sz w:val="24"/>
          <w:lang w:val="en-US" w:eastAsia="en-GB"/>
        </w:rPr>
        <w:t>Quartiles + worst case scenario outcome</w:t>
      </w:r>
      <w:r>
        <w:rPr>
          <w:sz w:val="22"/>
          <w:szCs w:val="22"/>
          <w:lang w:val="en-US"/>
        </w:rPr>
        <w:t>.</w:t>
      </w:r>
    </w:p>
    <w:permEnd w:id="1894197716"/>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C15438" w:rsidRPr="00C15438" w:rsidRDefault="00C15438" w:rsidP="00C15438">
      <w:pPr>
        <w:pStyle w:val="Default"/>
        <w:rPr>
          <w:lang w:val="en-US"/>
        </w:rPr>
      </w:pPr>
      <w:permStart w:id="931144770" w:edGrp="everyone"/>
      <w:r w:rsidRPr="00C15438">
        <w:rPr>
          <w:lang w:val="en-US"/>
        </w:rPr>
        <w:t>No, because it is very difficult to consider them. How to do it in a simple way?</w:t>
      </w:r>
    </w:p>
    <w:permEnd w:id="931144770"/>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C15438" w:rsidRDefault="00C15438" w:rsidP="00F31E57">
      <w:pPr>
        <w:rPr>
          <w:sz w:val="22"/>
          <w:szCs w:val="22"/>
          <w:lang w:val="en-US"/>
        </w:rPr>
      </w:pPr>
      <w:permStart w:id="318074217" w:edGrp="everyone"/>
      <w:r w:rsidRPr="00C15438">
        <w:rPr>
          <w:rFonts w:ascii="Georgia" w:hAnsi="Georgia" w:cs="Georgia"/>
          <w:color w:val="000000"/>
          <w:sz w:val="24"/>
          <w:lang w:val="en-US" w:eastAsia="en-GB"/>
        </w:rPr>
        <w:t>Performance scenarios should be presented only for the recommended holding period.  Redemption events might be so divergent that any no scenario would cover all of them. Warning wording should be added that early redemption may cause unexpected loss.  Also a possible risk of earlier termination of the product (based on the decision of the product developer) can be mentioned</w:t>
      </w:r>
      <w:r>
        <w:rPr>
          <w:sz w:val="22"/>
          <w:szCs w:val="22"/>
          <w:lang w:val="en-US"/>
        </w:rPr>
        <w:t>.</w:t>
      </w:r>
    </w:p>
    <w:permEnd w:id="318074217"/>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F31E57" w:rsidRDefault="00C15438" w:rsidP="00F31E57">
      <w:permStart w:id="1685614521" w:edGrp="everyone"/>
      <w:r w:rsidRPr="00C15438">
        <w:rPr>
          <w:rFonts w:ascii="Georgia" w:hAnsi="Georgia" w:cs="Georgia"/>
          <w:color w:val="000000"/>
          <w:sz w:val="24"/>
          <w:lang w:val="en-US" w:eastAsia="en-GB"/>
        </w:rPr>
        <w:t>There are two different questions. Performance for early redemption should not be calculated. A disclaimer related to early redemption shall be sufficient. This regards PRIIPs with fixed maturity. Performance of an open ended PRIIP before recommended holding period may be interesting for comparison if some fixed periods are given for all such PRIIPs. 1, 3 and five years + recommended holding period may be reasonable. Fair value would be a good option but may be difficult to estimate for longer periods of time</w:t>
      </w:r>
      <w:r>
        <w:rPr>
          <w:sz w:val="22"/>
          <w:szCs w:val="22"/>
          <w:lang w:val="en-US"/>
        </w:rPr>
        <w:t>.</w:t>
      </w:r>
      <w:permEnd w:id="1685614521"/>
      <w:r w:rsidR="00F31E57">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C15438" w:rsidRDefault="00C15438" w:rsidP="00C15438">
      <w:pPr>
        <w:pStyle w:val="Default"/>
        <w:rPr>
          <w:sz w:val="22"/>
          <w:szCs w:val="22"/>
          <w:lang w:val="en-US"/>
        </w:rPr>
      </w:pPr>
      <w:permStart w:id="723591968" w:edGrp="everyone"/>
      <w:r>
        <w:rPr>
          <w:sz w:val="22"/>
          <w:szCs w:val="22"/>
          <w:lang w:val="en-US"/>
        </w:rPr>
        <w:t>Yes/ No/ No</w:t>
      </w:r>
    </w:p>
    <w:permEnd w:id="723591968"/>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C15438" w:rsidRPr="00391AC4" w:rsidRDefault="00C15438" w:rsidP="00C15438">
      <w:pPr>
        <w:pStyle w:val="Default"/>
        <w:rPr>
          <w:sz w:val="22"/>
          <w:szCs w:val="22"/>
          <w:lang w:val="en-US"/>
        </w:rPr>
      </w:pPr>
      <w:permStart w:id="1636251937" w:edGrp="everyone"/>
      <w:r w:rsidRPr="00391AC4">
        <w:rPr>
          <w:sz w:val="22"/>
          <w:szCs w:val="22"/>
          <w:lang w:val="en-US"/>
        </w:rPr>
        <w:t>No/ No</w:t>
      </w:r>
    </w:p>
    <w:permEnd w:id="1636251937"/>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C15438" w:rsidRDefault="00C15438" w:rsidP="00C15438">
      <w:pPr>
        <w:pStyle w:val="Default"/>
        <w:rPr>
          <w:sz w:val="22"/>
          <w:szCs w:val="22"/>
          <w:lang w:val="en-US"/>
        </w:rPr>
      </w:pPr>
      <w:permStart w:id="1344426454" w:edGrp="everyone"/>
      <w:r w:rsidRPr="00391AC4">
        <w:rPr>
          <w:sz w:val="22"/>
          <w:szCs w:val="22"/>
          <w:lang w:val="en-US"/>
        </w:rPr>
        <w:t>No</w:t>
      </w:r>
    </w:p>
    <w:permEnd w:id="1344426454"/>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C15438" w:rsidRDefault="00C15438" w:rsidP="00C15438">
      <w:pPr>
        <w:pStyle w:val="Default"/>
        <w:rPr>
          <w:sz w:val="22"/>
          <w:szCs w:val="22"/>
          <w:lang w:val="en-US"/>
        </w:rPr>
      </w:pPr>
      <w:permStart w:id="1139634848" w:edGrp="everyone"/>
      <w:r>
        <w:rPr>
          <w:sz w:val="22"/>
          <w:szCs w:val="22"/>
          <w:lang w:val="en-US"/>
        </w:rPr>
        <w:t>No. Tax issues are described in another part of KID.</w:t>
      </w:r>
    </w:p>
    <w:permEnd w:id="1139634848"/>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C15438" w:rsidRDefault="00C15438" w:rsidP="00F31E57">
      <w:pPr>
        <w:rPr>
          <w:sz w:val="22"/>
          <w:szCs w:val="22"/>
          <w:lang w:val="en-US"/>
        </w:rPr>
      </w:pPr>
      <w:permStart w:id="1933513081" w:edGrp="everyone"/>
      <w:r>
        <w:rPr>
          <w:sz w:val="22"/>
          <w:szCs w:val="22"/>
          <w:lang w:val="en-US"/>
        </w:rPr>
        <w:t>No. Tax issues are described in another part of KID.</w:t>
      </w:r>
    </w:p>
    <w:permEnd w:id="1933513081"/>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C15438" w:rsidP="00F31E57">
      <w:permStart w:id="457967386" w:edGrp="everyone"/>
      <w:r>
        <w:rPr>
          <w:sz w:val="22"/>
          <w:szCs w:val="22"/>
          <w:lang w:val="en-US"/>
        </w:rPr>
        <w:t>We recommend that these CESR guidelines are not extended.</w:t>
      </w:r>
    </w:p>
    <w:permEnd w:id="457967386"/>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C15438" w:rsidRDefault="00C15438" w:rsidP="00F31E57">
      <w:pPr>
        <w:rPr>
          <w:sz w:val="22"/>
          <w:szCs w:val="22"/>
          <w:lang w:val="en-US"/>
        </w:rPr>
      </w:pPr>
      <w:permStart w:id="610171929" w:edGrp="everyone"/>
      <w:r>
        <w:rPr>
          <w:sz w:val="22"/>
          <w:szCs w:val="22"/>
          <w:lang w:val="en-US"/>
        </w:rPr>
        <w:t>Performance related fee should be included in the scenario analysis. In general, it is difficult to include performance related fee in the cost analysis without an assumption on the performance.</w:t>
      </w:r>
    </w:p>
    <w:permEnd w:id="610171929"/>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C15438" w:rsidRDefault="00C15438" w:rsidP="00F31E57">
      <w:pPr>
        <w:rPr>
          <w:sz w:val="22"/>
          <w:szCs w:val="22"/>
          <w:lang w:val="en-US"/>
        </w:rPr>
      </w:pPr>
      <w:permStart w:id="1596807809" w:edGrp="everyone"/>
      <w:r w:rsidRPr="006A5408">
        <w:rPr>
          <w:sz w:val="22"/>
          <w:szCs w:val="22"/>
          <w:lang w:val="en-US"/>
        </w:rPr>
        <w:t xml:space="preserve">This cost should be disclosed to the client. </w:t>
      </w:r>
    </w:p>
    <w:permEnd w:id="1596807809"/>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C15438" w:rsidRDefault="00C15438" w:rsidP="00F31E57">
      <w:pPr>
        <w:rPr>
          <w:sz w:val="22"/>
          <w:szCs w:val="22"/>
          <w:lang w:val="en-US"/>
        </w:rPr>
      </w:pPr>
      <w:permStart w:id="858000749" w:edGrp="everyone"/>
      <w:r>
        <w:rPr>
          <w:sz w:val="22"/>
          <w:szCs w:val="22"/>
          <w:lang w:val="en-US"/>
        </w:rPr>
        <w:t>Only explicit amounts paid to the third party should be taken into consideration.</w:t>
      </w:r>
    </w:p>
    <w:permEnd w:id="858000749"/>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C15438" w:rsidRDefault="00C15438" w:rsidP="00F31E57">
      <w:pPr>
        <w:rPr>
          <w:sz w:val="22"/>
          <w:szCs w:val="22"/>
          <w:lang w:val="en-US"/>
        </w:rPr>
      </w:pPr>
      <w:permStart w:id="1725901895" w:edGrp="everyone"/>
      <w:r>
        <w:rPr>
          <w:sz w:val="22"/>
          <w:szCs w:val="22"/>
          <w:lang w:val="en-US"/>
        </w:rPr>
        <w:t>We recommend not to consider this sort of costs, which would be difficult to calculate or estimate.</w:t>
      </w:r>
    </w:p>
    <w:permEnd w:id="1725901895"/>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C15438" w:rsidRDefault="00C15438" w:rsidP="00F31E57">
      <w:pPr>
        <w:rPr>
          <w:sz w:val="22"/>
          <w:szCs w:val="22"/>
          <w:lang w:val="en-US"/>
        </w:rPr>
      </w:pPr>
      <w:permStart w:id="203896632" w:edGrp="everyone"/>
      <w:r>
        <w:rPr>
          <w:sz w:val="22"/>
          <w:szCs w:val="22"/>
          <w:lang w:val="en-US"/>
        </w:rPr>
        <w:t>Dividends usually become the income of the fund and are then included in its NAV. In this case the dividend is not a cost.</w:t>
      </w:r>
    </w:p>
    <w:permEnd w:id="203896632"/>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lastRenderedPageBreak/>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351188" w:rsidRDefault="00351188" w:rsidP="00351188">
      <w:pPr>
        <w:pStyle w:val="Default"/>
        <w:rPr>
          <w:sz w:val="22"/>
          <w:szCs w:val="22"/>
          <w:lang w:val="en-US"/>
        </w:rPr>
      </w:pPr>
      <w:permStart w:id="1446990665" w:edGrp="everyone"/>
      <w:r>
        <w:rPr>
          <w:sz w:val="22"/>
          <w:szCs w:val="22"/>
          <w:lang w:val="en-US"/>
        </w:rPr>
        <w:t>Yes</w:t>
      </w:r>
    </w:p>
    <w:permEnd w:id="1446990665"/>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351188" w:rsidRDefault="00351188" w:rsidP="00F31E57">
      <w:pPr>
        <w:rPr>
          <w:sz w:val="22"/>
          <w:szCs w:val="22"/>
          <w:lang w:val="en-US"/>
        </w:rPr>
      </w:pPr>
      <w:permStart w:id="303331776" w:edGrp="everyone"/>
      <w:r>
        <w:rPr>
          <w:sz w:val="22"/>
          <w:szCs w:val="22"/>
          <w:lang w:val="en-US"/>
        </w:rPr>
        <w:t>The ex-ante estimation can be based on the past commissions in relation to the portfolio turnover.</w:t>
      </w:r>
    </w:p>
    <w:permEnd w:id="303331776"/>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351188" w:rsidRDefault="00351188" w:rsidP="00F31E57">
      <w:pPr>
        <w:rPr>
          <w:sz w:val="22"/>
          <w:szCs w:val="22"/>
          <w:lang w:val="en-US"/>
        </w:rPr>
      </w:pPr>
      <w:permStart w:id="1780299334" w:edGrp="everyone"/>
      <w:r w:rsidRPr="00842A94">
        <w:rPr>
          <w:sz w:val="22"/>
          <w:szCs w:val="22"/>
          <w:lang w:val="en-US"/>
        </w:rPr>
        <w:t>Transaction taxes can be estimated on the base of the number of transactions. This number can be taken from the history</w:t>
      </w:r>
      <w:r w:rsidRPr="008928C5">
        <w:rPr>
          <w:sz w:val="22"/>
          <w:szCs w:val="22"/>
          <w:lang w:val="en-US"/>
        </w:rPr>
        <w:t>. Custodian ticket fees should be included in the custodian fee.</w:t>
      </w:r>
    </w:p>
    <w:permEnd w:id="178029933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Znakapoznpodarou"/>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351188" w:rsidRDefault="00351188" w:rsidP="00351188">
      <w:pPr>
        <w:pStyle w:val="Default"/>
        <w:rPr>
          <w:sz w:val="22"/>
          <w:szCs w:val="22"/>
          <w:lang w:val="en-US"/>
        </w:rPr>
      </w:pPr>
      <w:permStart w:id="435038944" w:edGrp="everyone"/>
      <w:r>
        <w:rPr>
          <w:sz w:val="22"/>
          <w:szCs w:val="22"/>
          <w:lang w:val="en-US"/>
        </w:rPr>
        <w:t>In theory yes, in practice with difficulties.</w:t>
      </w:r>
    </w:p>
    <w:permEnd w:id="435038944"/>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351188" w:rsidRDefault="00351188" w:rsidP="00F31E57">
      <w:pPr>
        <w:rPr>
          <w:sz w:val="22"/>
          <w:szCs w:val="22"/>
          <w:lang w:val="en-US"/>
        </w:rPr>
      </w:pPr>
      <w:permStart w:id="776764458" w:edGrp="everyone"/>
      <w:r>
        <w:rPr>
          <w:sz w:val="22"/>
          <w:szCs w:val="22"/>
          <w:lang w:val="en-US"/>
        </w:rPr>
        <w:t xml:space="preserve">Bid-ask spreads of the broker should not be included in the ex-ante calculation for the sake of simplicity. </w:t>
      </w:r>
      <w:r w:rsidRPr="00575FF5">
        <w:rPr>
          <w:sz w:val="22"/>
          <w:szCs w:val="22"/>
          <w:lang w:val="en-US"/>
        </w:rPr>
        <w:t>The “commission” within the bid-ask is hard to state. I will be changing from instrument to instrument and from trade to trade.</w:t>
      </w:r>
    </w:p>
    <w:permEnd w:id="776764458"/>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lastRenderedPageBreak/>
        <w:t>&lt;ESMA_QUESTION_PRIIPs_39&gt;</w:t>
      </w:r>
    </w:p>
    <w:p w:rsidR="00351188" w:rsidRDefault="00351188" w:rsidP="00F31E57">
      <w:pPr>
        <w:rPr>
          <w:sz w:val="22"/>
          <w:szCs w:val="22"/>
          <w:lang w:val="en-US"/>
        </w:rPr>
      </w:pPr>
      <w:permStart w:id="288441975" w:edGrp="everyone"/>
      <w:r>
        <w:rPr>
          <w:sz w:val="22"/>
          <w:szCs w:val="22"/>
          <w:lang w:val="en-US"/>
        </w:rPr>
        <w:t>Market impact costs should be excluded for the sake of simplicity.</w:t>
      </w:r>
    </w:p>
    <w:permEnd w:id="288441975"/>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351188" w:rsidRDefault="00351188" w:rsidP="00F31E57">
      <w:pPr>
        <w:rPr>
          <w:sz w:val="22"/>
          <w:szCs w:val="22"/>
          <w:lang w:val="en-US"/>
        </w:rPr>
      </w:pPr>
      <w:permStart w:id="796933138" w:edGrp="everyone"/>
      <w:r>
        <w:rPr>
          <w:sz w:val="22"/>
          <w:szCs w:val="22"/>
          <w:lang w:val="en-US"/>
        </w:rPr>
        <w:t>The estimates should be based on the historical costs. Only the explicit charges should be considered independently of the method of charging.</w:t>
      </w:r>
    </w:p>
    <w:permEnd w:id="796933138"/>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351188" w:rsidRDefault="00351188" w:rsidP="00351188">
      <w:pPr>
        <w:pStyle w:val="Default"/>
        <w:rPr>
          <w:sz w:val="22"/>
          <w:szCs w:val="22"/>
          <w:lang w:val="en-US"/>
        </w:rPr>
      </w:pPr>
      <w:permStart w:id="1797918186" w:edGrp="everyone"/>
      <w:r w:rsidRPr="00E163B6">
        <w:rPr>
          <w:sz w:val="22"/>
          <w:szCs w:val="22"/>
          <w:lang w:val="en-US"/>
        </w:rPr>
        <w:t>None</w:t>
      </w:r>
    </w:p>
    <w:permEnd w:id="1797918186"/>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351188" w:rsidRDefault="00351188" w:rsidP="00F31E57">
      <w:permStart w:id="1835100463" w:edGrp="everyone"/>
      <w:r w:rsidRPr="002D048C">
        <w:rPr>
          <w:sz w:val="22"/>
          <w:szCs w:val="22"/>
          <w:lang w:val="en-US"/>
        </w:rPr>
        <w:t>Definition of IOSCO is sufficient</w:t>
      </w:r>
      <w:r>
        <w:t xml:space="preserve"> </w:t>
      </w:r>
    </w:p>
    <w:permEnd w:id="1835100463"/>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351188" w:rsidRDefault="00351188" w:rsidP="00F31E57">
      <w:pPr>
        <w:rPr>
          <w:sz w:val="22"/>
          <w:szCs w:val="22"/>
          <w:lang w:val="en-US"/>
        </w:rPr>
      </w:pPr>
      <w:permStart w:id="1979018860" w:edGrp="everyone"/>
      <w:r>
        <w:rPr>
          <w:sz w:val="22"/>
          <w:szCs w:val="22"/>
          <w:lang w:val="en-US"/>
        </w:rPr>
        <w:t>The same assumptions taken for the performance scenarios.</w:t>
      </w:r>
    </w:p>
    <w:permEnd w:id="1979018860"/>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351188" w:rsidRDefault="00351188" w:rsidP="00F31E57">
      <w:pPr>
        <w:rPr>
          <w:sz w:val="22"/>
          <w:szCs w:val="22"/>
          <w:lang w:val="en-US"/>
        </w:rPr>
      </w:pPr>
      <w:permStart w:id="274730174" w:edGrp="everyone"/>
      <w:r>
        <w:rPr>
          <w:sz w:val="22"/>
          <w:szCs w:val="22"/>
          <w:lang w:val="en-US"/>
        </w:rPr>
        <w:t>Option 1 or Option 3</w:t>
      </w:r>
    </w:p>
    <w:permEnd w:id="274730174"/>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w:t>
      </w:r>
      <w:r>
        <w:rPr>
          <w:rFonts w:eastAsia="Times New Roman" w:cs="Arial"/>
          <w:lang w:eastAsia="hu-HU"/>
        </w:rPr>
        <w:lastRenderedPageBreak/>
        <w:t xml:space="preserve">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770266138" w:edGrp="everyone"/>
      <w:r>
        <w:t>TYPE YOUR TEXT HERE</w:t>
      </w:r>
    </w:p>
    <w:permEnd w:id="770266138"/>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310211785" w:edGrp="everyone"/>
      <w:r>
        <w:t>TYPE YOUR TEXT HERE</w:t>
      </w:r>
    </w:p>
    <w:permEnd w:id="310211785"/>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573836198" w:edGrp="everyone"/>
      <w:r>
        <w:t>TYPE YOUR TEXT HERE</w:t>
      </w:r>
    </w:p>
    <w:permEnd w:id="573836198"/>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222078099" w:edGrp="everyone"/>
      <w:r>
        <w:t>TYPE YOUR TEXT HERE</w:t>
      </w:r>
    </w:p>
    <w:permEnd w:id="1222078099"/>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1312566079" w:edGrp="everyone"/>
      <w:r>
        <w:t>TYPE YOUR TEXT HERE</w:t>
      </w:r>
    </w:p>
    <w:permEnd w:id="1312566079"/>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661851494" w:edGrp="everyone"/>
      <w:r>
        <w:t>TYPE YOUR TEXT HERE</w:t>
      </w:r>
    </w:p>
    <w:permEnd w:id="661851494"/>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714622647" w:edGrp="everyone"/>
      <w:r>
        <w:t>TYPE YOUR TEXT HERE</w:t>
      </w:r>
    </w:p>
    <w:permEnd w:id="1714622647"/>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861174533" w:edGrp="everyone"/>
      <w:r>
        <w:t>TYPE YOUR TEXT HERE</w:t>
      </w:r>
    </w:p>
    <w:permEnd w:id="861174533"/>
    <w:p w:rsidR="00F31E57" w:rsidRDefault="00F31E57" w:rsidP="00F31E57">
      <w:r>
        <w:lastRenderedPageBreak/>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351188" w:rsidRDefault="00351188" w:rsidP="00F31E57">
      <w:pPr>
        <w:rPr>
          <w:sz w:val="22"/>
          <w:szCs w:val="22"/>
          <w:lang w:val="en-US"/>
        </w:rPr>
      </w:pPr>
      <w:permStart w:id="1556307632" w:edGrp="everyone"/>
      <w:r w:rsidRPr="00622FC4">
        <w:rPr>
          <w:sz w:val="22"/>
          <w:szCs w:val="22"/>
          <w:lang w:val="en-US"/>
        </w:rPr>
        <w:t xml:space="preserve">Yes, it is better to distinguish fund related costs from insurance costs for </w:t>
      </w:r>
      <w:r>
        <w:rPr>
          <w:sz w:val="22"/>
          <w:szCs w:val="22"/>
          <w:lang w:val="en-US"/>
        </w:rPr>
        <w:t>an</w:t>
      </w:r>
      <w:r w:rsidRPr="00622FC4">
        <w:rPr>
          <w:sz w:val="22"/>
          <w:szCs w:val="22"/>
          <w:lang w:val="en-US"/>
        </w:rPr>
        <w:t xml:space="preserve"> investor.</w:t>
      </w:r>
    </w:p>
    <w:permEnd w:id="1556307632"/>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074689777" w:edGrp="everyone"/>
      <w:r>
        <w:t>TYPE YOUR TEXT HERE</w:t>
      </w:r>
    </w:p>
    <w:permEnd w:id="1074689777"/>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351188" w:rsidRDefault="00351188" w:rsidP="00F31E57">
      <w:pPr>
        <w:rPr>
          <w:sz w:val="22"/>
          <w:szCs w:val="22"/>
          <w:lang w:val="en-US"/>
        </w:rPr>
      </w:pPr>
      <w:permStart w:id="1137969427" w:edGrp="everyone"/>
      <w:r w:rsidRPr="00622FC4">
        <w:rPr>
          <w:sz w:val="22"/>
          <w:szCs w:val="22"/>
          <w:lang w:val="en-US"/>
        </w:rPr>
        <w:t xml:space="preserve">It would be good to communicate cost ratio to </w:t>
      </w:r>
      <w:r>
        <w:rPr>
          <w:sz w:val="22"/>
          <w:szCs w:val="22"/>
          <w:lang w:val="en-US"/>
        </w:rPr>
        <w:t>an investor</w:t>
      </w:r>
      <w:r w:rsidRPr="00622FC4">
        <w:rPr>
          <w:sz w:val="22"/>
          <w:szCs w:val="22"/>
          <w:lang w:val="en-US"/>
        </w:rPr>
        <w:t>. I would make the investment more comparable.</w:t>
      </w:r>
    </w:p>
    <w:permEnd w:id="1137969427"/>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351188" w:rsidRDefault="00351188" w:rsidP="00351188">
      <w:pPr>
        <w:pStyle w:val="Default"/>
        <w:rPr>
          <w:sz w:val="22"/>
          <w:szCs w:val="22"/>
          <w:lang w:val="en-US"/>
        </w:rPr>
      </w:pPr>
      <w:permStart w:id="982340945" w:edGrp="everyone"/>
      <w:r w:rsidRPr="004A79C0">
        <w:rPr>
          <w:sz w:val="22"/>
          <w:szCs w:val="22"/>
          <w:lang w:val="en-US"/>
        </w:rPr>
        <w:t>Profit from investment</w:t>
      </w:r>
      <w:r>
        <w:rPr>
          <w:sz w:val="22"/>
          <w:szCs w:val="22"/>
          <w:lang w:val="en-US"/>
        </w:rPr>
        <w:t>s</w:t>
      </w:r>
      <w:r w:rsidRPr="004A79C0">
        <w:rPr>
          <w:sz w:val="22"/>
          <w:szCs w:val="22"/>
          <w:lang w:val="en-US"/>
        </w:rPr>
        <w:t>.</w:t>
      </w:r>
    </w:p>
    <w:permEnd w:id="982340945"/>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2017031692" w:edGrp="everyone"/>
      <w:r>
        <w:t>TYPE YOUR TEXT HERE</w:t>
      </w:r>
    </w:p>
    <w:permEnd w:id="2017031692"/>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638596759" w:edGrp="everyone"/>
      <w:r>
        <w:t>TYPE YOUR TEXT HERE</w:t>
      </w:r>
    </w:p>
    <w:permEnd w:id="1638596759"/>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351188" w:rsidRDefault="00351188" w:rsidP="00F31E57">
      <w:pPr>
        <w:rPr>
          <w:sz w:val="22"/>
          <w:szCs w:val="22"/>
          <w:lang w:val="en-US"/>
        </w:rPr>
      </w:pPr>
      <w:permStart w:id="1486166316" w:edGrp="everyone"/>
      <w:r>
        <w:rPr>
          <w:sz w:val="22"/>
          <w:szCs w:val="22"/>
          <w:lang w:val="en-US"/>
        </w:rPr>
        <w:lastRenderedPageBreak/>
        <w:t>Even if the two methods should in theory provide the same results each product manager is interested in correct estimation of the fair value, which goes to the balance sheet, while he is not interested in the margin disclosure.</w:t>
      </w:r>
    </w:p>
    <w:permEnd w:id="1486166316"/>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351188" w:rsidRDefault="00351188" w:rsidP="00F31E57">
      <w:pPr>
        <w:rPr>
          <w:sz w:val="22"/>
          <w:szCs w:val="22"/>
          <w:lang w:val="en-US"/>
        </w:rPr>
      </w:pPr>
      <w:permStart w:id="1918961409" w:edGrp="everyone"/>
      <w:r w:rsidRPr="00FF58B0">
        <w:rPr>
          <w:sz w:val="22"/>
          <w:szCs w:val="22"/>
          <w:lang w:val="en-US"/>
        </w:rPr>
        <w:t xml:space="preserve">If it is the manufacturer who provides </w:t>
      </w:r>
      <w:r>
        <w:rPr>
          <w:sz w:val="22"/>
          <w:szCs w:val="22"/>
          <w:lang w:val="en-US"/>
        </w:rPr>
        <w:t>the guarantee there is no difference. If there is a real external hedging the cost should be included in the deposit cost calculation.</w:t>
      </w:r>
    </w:p>
    <w:permEnd w:id="1918961409"/>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351188" w:rsidRDefault="00351188" w:rsidP="00F31E57">
      <w:pPr>
        <w:rPr>
          <w:sz w:val="22"/>
          <w:szCs w:val="22"/>
          <w:lang w:val="en-US"/>
        </w:rPr>
      </w:pPr>
      <w:permStart w:id="1328760501" w:edGrp="everyone"/>
      <w:r>
        <w:rPr>
          <w:sz w:val="22"/>
          <w:szCs w:val="22"/>
          <w:lang w:val="en-US"/>
        </w:rPr>
        <w:t xml:space="preserve">Yes./ Possibly all. / No./ The manufacturer will know all the costs on the list. Legal fees may be difficult to allocate./ All costs should be described in detail in the RTS. But </w:t>
      </w:r>
      <w:r w:rsidRPr="004A79C0">
        <w:rPr>
          <w:sz w:val="22"/>
          <w:szCs w:val="22"/>
          <w:lang w:val="en-US"/>
        </w:rPr>
        <w:t>stating all the costs would be confusing for consumer.</w:t>
      </w:r>
    </w:p>
    <w:permEnd w:id="1328760501"/>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351188" w:rsidRDefault="00351188" w:rsidP="00351188">
      <w:pPr>
        <w:pStyle w:val="Default"/>
        <w:rPr>
          <w:sz w:val="22"/>
          <w:szCs w:val="22"/>
          <w:lang w:val="en-US"/>
        </w:rPr>
      </w:pPr>
      <w:permStart w:id="1149838796" w:edGrp="everyone"/>
      <w:r>
        <w:rPr>
          <w:sz w:val="22"/>
          <w:szCs w:val="22"/>
          <w:lang w:val="en-US"/>
        </w:rPr>
        <w:t>All costs should be described in detail in the RTS.</w:t>
      </w:r>
    </w:p>
    <w:permEnd w:id="1149838796"/>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351188" w:rsidRDefault="00351188" w:rsidP="00F31E57">
      <w:pPr>
        <w:rPr>
          <w:sz w:val="22"/>
          <w:szCs w:val="22"/>
          <w:lang w:val="en-US"/>
        </w:rPr>
      </w:pPr>
      <w:permStart w:id="1297249279" w:edGrp="everyone"/>
      <w:r>
        <w:rPr>
          <w:sz w:val="22"/>
          <w:szCs w:val="22"/>
          <w:lang w:val="en-US"/>
        </w:rPr>
        <w:t>From the point of view of the client his cost is what he really pays. It is then irrelevant if the PRIIP is listed or not. Ex ante estimates can be made on the base of the spread history of comparable PRIIPs.   Proportional fees should be explained in RTS. We understand that it is the early redemption fee, whose rate is linked to the period remaining to maturity.</w:t>
      </w:r>
    </w:p>
    <w:permEnd w:id="1297249279"/>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lastRenderedPageBreak/>
        <w:t>&lt;ESMA_QUESTION_PRIIPs_64&gt;</w:t>
      </w:r>
    </w:p>
    <w:p w:rsidR="00F31E57" w:rsidRDefault="00351188" w:rsidP="00F31E57">
      <w:permStart w:id="390690607" w:edGrp="everyone"/>
      <w:r>
        <w:t>Yes</w:t>
      </w:r>
    </w:p>
    <w:permEnd w:id="390690607"/>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351188" w:rsidP="00F31E57">
      <w:permStart w:id="1990882975" w:edGrp="everyone"/>
      <w:r>
        <w:t>No</w:t>
      </w:r>
    </w:p>
    <w:permEnd w:id="1990882975"/>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351188" w:rsidRDefault="00351188" w:rsidP="00F31E57">
      <w:pPr>
        <w:rPr>
          <w:sz w:val="22"/>
          <w:szCs w:val="22"/>
          <w:lang w:val="en-US"/>
        </w:rPr>
      </w:pPr>
      <w:permStart w:id="1227370690" w:edGrp="everyone"/>
      <w:r>
        <w:rPr>
          <w:sz w:val="22"/>
          <w:szCs w:val="22"/>
          <w:lang w:val="en-US"/>
        </w:rPr>
        <w:t>In case the manufacturer hedges the product with real purchase of the underlying. In other cases the cost of the underlying is in fact the cost of the derivative.</w:t>
      </w:r>
    </w:p>
    <w:permEnd w:id="1227370690"/>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351188" w:rsidP="00F31E57">
      <w:permStart w:id="1476474171" w:edGrp="everyone"/>
      <w:r>
        <w:t>No</w:t>
      </w:r>
    </w:p>
    <w:permEnd w:id="1476474171"/>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351188" w:rsidRDefault="00351188" w:rsidP="00F31E57">
      <w:pPr>
        <w:rPr>
          <w:sz w:val="22"/>
          <w:szCs w:val="22"/>
          <w:lang w:val="en-US"/>
        </w:rPr>
      </w:pPr>
      <w:permStart w:id="1624730183" w:edGrp="everyone"/>
      <w:r>
        <w:rPr>
          <w:sz w:val="22"/>
          <w:szCs w:val="22"/>
          <w:lang w:val="en-US"/>
        </w:rPr>
        <w:t>We do not create such products but we suppose they exist.</w:t>
      </w:r>
    </w:p>
    <w:permEnd w:id="1624730183"/>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351188" w:rsidRDefault="00351188" w:rsidP="00F31E57">
      <w:pPr>
        <w:rPr>
          <w:sz w:val="22"/>
          <w:szCs w:val="22"/>
          <w:lang w:val="en-US"/>
        </w:rPr>
      </w:pPr>
      <w:permStart w:id="1980652622" w:edGrp="everyone"/>
      <w:r>
        <w:rPr>
          <w:sz w:val="22"/>
          <w:szCs w:val="22"/>
          <w:lang w:val="en-US"/>
        </w:rPr>
        <w:t>Yes, the general framework for fair value calculation is in compliance with the rules used in practice by financial institutions. RTS should not, however, duplicate or enhance existing rules and regulation.</w:t>
      </w:r>
    </w:p>
    <w:permEnd w:id="1980652622"/>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351188" w:rsidRDefault="00351188" w:rsidP="00F31E57">
      <w:pPr>
        <w:rPr>
          <w:sz w:val="22"/>
          <w:szCs w:val="22"/>
          <w:lang w:val="en-US"/>
        </w:rPr>
      </w:pPr>
      <w:permStart w:id="1749566303" w:edGrp="everyone"/>
      <w:r>
        <w:rPr>
          <w:sz w:val="22"/>
          <w:szCs w:val="22"/>
          <w:lang w:val="en-US"/>
        </w:rPr>
        <w:t>Some threshold values should be given maybe with some occurrence frequency rules like the CESR conditions for changing of the risk class.</w:t>
      </w:r>
    </w:p>
    <w:permEnd w:id="1749566303"/>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E94CAA" w:rsidRDefault="00E94CAA" w:rsidP="00F31E57">
      <w:pPr>
        <w:rPr>
          <w:sz w:val="22"/>
          <w:szCs w:val="22"/>
          <w:lang w:val="en-US"/>
        </w:rPr>
      </w:pPr>
      <w:permStart w:id="1419797676" w:edGrp="everyone"/>
      <w:r>
        <w:rPr>
          <w:sz w:val="22"/>
          <w:szCs w:val="22"/>
          <w:lang w:val="en-US"/>
        </w:rPr>
        <w:t>The KID will be fully valid on the strike day. For all consecutive days KID should be in theory adjusted not only because of the underlying price change but also because of the changes of the market as a whole. RTS need not be prescriptive but clearly descriptive so that all product manufacturers understand it in the same way.</w:t>
      </w:r>
    </w:p>
    <w:permEnd w:id="1419797676"/>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E94CAA" w:rsidRDefault="00E94CAA" w:rsidP="00F31E57">
      <w:pPr>
        <w:rPr>
          <w:sz w:val="22"/>
          <w:szCs w:val="22"/>
          <w:lang w:val="en-US"/>
        </w:rPr>
      </w:pPr>
      <w:permStart w:id="297422870" w:edGrp="everyone"/>
      <w:r>
        <w:rPr>
          <w:sz w:val="22"/>
          <w:szCs w:val="22"/>
          <w:lang w:val="en-US"/>
        </w:rPr>
        <w:t>We would not invent more assumptions.</w:t>
      </w:r>
    </w:p>
    <w:permEnd w:id="297422870"/>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E94CAA" w:rsidRDefault="00E94CAA" w:rsidP="00F31E57">
      <w:pPr>
        <w:rPr>
          <w:sz w:val="22"/>
          <w:szCs w:val="22"/>
          <w:lang w:val="en-US"/>
        </w:rPr>
      </w:pPr>
      <w:permStart w:id="2108832177" w:edGrp="everyone"/>
      <w:r>
        <w:rPr>
          <w:sz w:val="22"/>
          <w:szCs w:val="22"/>
          <w:lang w:val="en-US"/>
        </w:rPr>
        <w:t>This is a question for a workshop. But we think in general that both calculations should be performed and the results compared.  Historical experience can serve as a benchmark for forward looking estimates and the latter can make use of the opinion on the current market development. These opinions may be, however, short-term or subjective. Historical experience is more reliable.</w:t>
      </w:r>
    </w:p>
    <w:permEnd w:id="2108832177"/>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E94CAA" w:rsidRPr="00723EE3" w:rsidRDefault="00E94CAA" w:rsidP="00E94CAA">
      <w:pPr>
        <w:pStyle w:val="Default"/>
        <w:rPr>
          <w:sz w:val="22"/>
          <w:szCs w:val="22"/>
          <w:lang w:val="en-US"/>
        </w:rPr>
      </w:pPr>
      <w:permStart w:id="2101504707" w:edGrp="everyone"/>
      <w:r>
        <w:rPr>
          <w:sz w:val="22"/>
          <w:szCs w:val="22"/>
          <w:lang w:val="en-US"/>
        </w:rPr>
        <w:t>Which “other”?</w:t>
      </w:r>
    </w:p>
    <w:permEnd w:id="2101504707"/>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E94CAA" w:rsidRPr="00723EE3" w:rsidRDefault="00E94CAA" w:rsidP="00E94CAA">
      <w:pPr>
        <w:pStyle w:val="Default"/>
        <w:rPr>
          <w:sz w:val="22"/>
          <w:szCs w:val="22"/>
          <w:lang w:val="en-US"/>
        </w:rPr>
      </w:pPr>
      <w:permStart w:id="1128079036" w:edGrp="everyone"/>
      <w:r>
        <w:rPr>
          <w:sz w:val="22"/>
          <w:szCs w:val="22"/>
          <w:lang w:val="en-US"/>
        </w:rPr>
        <w:t>No./ Yes.</w:t>
      </w:r>
    </w:p>
    <w:permEnd w:id="1128079036"/>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E94CAA" w:rsidRPr="00723EE3" w:rsidRDefault="00E94CAA" w:rsidP="00E94CAA">
      <w:pPr>
        <w:pStyle w:val="Default"/>
        <w:rPr>
          <w:sz w:val="22"/>
          <w:szCs w:val="22"/>
          <w:lang w:val="en-US"/>
        </w:rPr>
      </w:pPr>
      <w:permStart w:id="1444360357" w:edGrp="everyone"/>
      <w:r>
        <w:rPr>
          <w:sz w:val="22"/>
          <w:szCs w:val="22"/>
          <w:lang w:val="en-US"/>
        </w:rPr>
        <w:t>See our answer to Q6.</w:t>
      </w:r>
    </w:p>
    <w:permEnd w:id="1444360357"/>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lastRenderedPageBreak/>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E94CAA" w:rsidRDefault="00E94CAA" w:rsidP="00F31E57">
      <w:pPr>
        <w:rPr>
          <w:sz w:val="22"/>
          <w:szCs w:val="22"/>
          <w:lang w:val="en-US"/>
        </w:rPr>
      </w:pPr>
      <w:permStart w:id="1858697173" w:edGrp="everyone"/>
      <w:r>
        <w:rPr>
          <w:sz w:val="22"/>
          <w:szCs w:val="22"/>
          <w:lang w:val="en-US"/>
        </w:rPr>
        <w:t xml:space="preserve">The counterparty risk should be taken into account if this risk is passed on the client. Moreover, </w:t>
      </w:r>
      <w:r w:rsidRPr="007139CF">
        <w:rPr>
          <w:sz w:val="22"/>
          <w:szCs w:val="22"/>
          <w:lang w:val="en-US"/>
        </w:rPr>
        <w:t xml:space="preserve">credit risk should be generally valuated through external ratings. </w:t>
      </w:r>
      <w:r>
        <w:rPr>
          <w:sz w:val="22"/>
          <w:szCs w:val="22"/>
          <w:lang w:val="en-US"/>
        </w:rPr>
        <w:t>Then it should become the part of credit risk evaluation. If the counterparty risk beard by the product manufacturer then this risk should not be included in KID.</w:t>
      </w:r>
    </w:p>
    <w:permEnd w:id="1858697173"/>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E94CAA" w:rsidRDefault="00E94CAA" w:rsidP="00F31E57">
      <w:pPr>
        <w:rPr>
          <w:sz w:val="22"/>
          <w:szCs w:val="22"/>
          <w:lang w:val="en-US"/>
        </w:rPr>
      </w:pPr>
      <w:permStart w:id="275607903" w:edGrp="everyone"/>
      <w:r>
        <w:rPr>
          <w:sz w:val="22"/>
          <w:szCs w:val="22"/>
          <w:lang w:val="en-US"/>
        </w:rPr>
        <w:t>The lack of sufficient history increases the dispersion of estimates. In this case the history of relevant benchmark may be good replacement.</w:t>
      </w:r>
    </w:p>
    <w:permEnd w:id="275607903"/>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E94CAA" w:rsidP="00F31E57">
      <w:permStart w:id="70802067" w:edGrp="everyone"/>
      <w:r w:rsidRPr="00BD52AE">
        <w:rPr>
          <w:sz w:val="22"/>
          <w:szCs w:val="22"/>
          <w:lang w:val="en-US"/>
        </w:rPr>
        <w:t xml:space="preserve">No. Financial </w:t>
      </w:r>
      <w:r>
        <w:rPr>
          <w:sz w:val="22"/>
          <w:szCs w:val="22"/>
          <w:lang w:val="en-US"/>
        </w:rPr>
        <w:t>institutions</w:t>
      </w:r>
      <w:r w:rsidRPr="00BD52AE">
        <w:rPr>
          <w:sz w:val="22"/>
          <w:szCs w:val="22"/>
          <w:lang w:val="en-US"/>
        </w:rPr>
        <w:t xml:space="preserve"> have their own models and procedures approved by the regulator. New models are not necessary. On the other hand as much examples as possible for different PRIIPs </w:t>
      </w:r>
      <w:r>
        <w:rPr>
          <w:sz w:val="22"/>
          <w:szCs w:val="22"/>
          <w:lang w:val="en-US"/>
        </w:rPr>
        <w:t xml:space="preserve">given by RTS </w:t>
      </w:r>
      <w:r w:rsidRPr="00BD52AE">
        <w:rPr>
          <w:sz w:val="22"/>
          <w:szCs w:val="22"/>
          <w:lang w:val="en-US"/>
        </w:rPr>
        <w:t>would help the manufacturer</w:t>
      </w:r>
      <w:r>
        <w:rPr>
          <w:sz w:val="22"/>
          <w:szCs w:val="22"/>
          <w:lang w:val="en-US"/>
        </w:rPr>
        <w:t>s</w:t>
      </w:r>
      <w:r w:rsidRPr="00BD52AE">
        <w:rPr>
          <w:sz w:val="22"/>
          <w:szCs w:val="22"/>
          <w:lang w:val="en-US"/>
        </w:rPr>
        <w:t xml:space="preserve"> to structure all information necessary for the KID</w:t>
      </w:r>
      <w:r>
        <w:rPr>
          <w:sz w:val="22"/>
          <w:szCs w:val="22"/>
          <w:lang w:val="en-US"/>
        </w:rPr>
        <w:t xml:space="preserve"> in a proper way</w:t>
      </w:r>
      <w:r w:rsidRPr="00BD52AE">
        <w:rPr>
          <w:sz w:val="22"/>
          <w:szCs w:val="22"/>
          <w:lang w:val="en-US"/>
        </w:rPr>
        <w:t>.</w:t>
      </w:r>
      <w:r>
        <w:rPr>
          <w:sz w:val="22"/>
          <w:szCs w:val="22"/>
          <w:lang w:val="en-US"/>
        </w:rPr>
        <w:t xml:space="preserve"> However, if any model, then </w:t>
      </w:r>
      <w:r w:rsidRPr="007139CF">
        <w:rPr>
          <w:sz w:val="22"/>
          <w:szCs w:val="22"/>
          <w:lang w:val="en-US"/>
        </w:rPr>
        <w:t>we prefer a non-parametric models because we suppose they allow more dimensions to be reflected.</w:t>
      </w:r>
    </w:p>
    <w:permEnd w:id="7080206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E94CAA" w:rsidRDefault="00E94CAA" w:rsidP="00F31E57">
      <w:pPr>
        <w:rPr>
          <w:sz w:val="22"/>
          <w:szCs w:val="22"/>
          <w:lang w:val="en-US"/>
        </w:rPr>
      </w:pPr>
      <w:permStart w:id="1159595990" w:edGrp="everyone"/>
      <w:r w:rsidRPr="00BD52AE">
        <w:rPr>
          <w:sz w:val="22"/>
          <w:szCs w:val="22"/>
          <w:lang w:val="en-US"/>
        </w:rPr>
        <w:t xml:space="preserve">X = </w:t>
      </w:r>
      <w:r>
        <w:rPr>
          <w:sz w:val="22"/>
          <w:szCs w:val="22"/>
          <w:lang w:val="en-US"/>
        </w:rPr>
        <w:t>max (</w:t>
      </w:r>
      <w:r w:rsidRPr="00BD52AE">
        <w:rPr>
          <w:sz w:val="22"/>
          <w:szCs w:val="22"/>
          <w:lang w:val="en-US"/>
        </w:rPr>
        <w:t>10</w:t>
      </w:r>
      <w:r>
        <w:rPr>
          <w:sz w:val="22"/>
          <w:szCs w:val="22"/>
          <w:lang w:val="en-US"/>
        </w:rPr>
        <w:t>; maturity + 5; recommended holding + 5)</w:t>
      </w:r>
    </w:p>
    <w:permEnd w:id="1159595990"/>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E94CAA" w:rsidP="00F31E57">
      <w:permStart w:id="1985959497" w:edGrp="everyone"/>
      <w:r w:rsidRPr="00BE30D7">
        <w:rPr>
          <w:sz w:val="22"/>
          <w:szCs w:val="22"/>
          <w:lang w:val="en-US"/>
        </w:rPr>
        <w:t>No (Q80)</w:t>
      </w:r>
    </w:p>
    <w:permEnd w:id="1985959497"/>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w:t>
      </w:r>
      <w:r>
        <w:rPr>
          <w:rFonts w:cs="Arial"/>
          <w:bCs/>
          <w:iCs/>
          <w:noProof/>
        </w:rPr>
        <w:lastRenderedPageBreak/>
        <w:t xml:space="preserve">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E94CAA" w:rsidRDefault="00E94CAA" w:rsidP="00F31E57">
      <w:pPr>
        <w:rPr>
          <w:sz w:val="22"/>
          <w:szCs w:val="22"/>
          <w:lang w:val="en-US"/>
        </w:rPr>
      </w:pPr>
      <w:permStart w:id="926313333" w:edGrp="everyone"/>
      <w:r>
        <w:rPr>
          <w:sz w:val="22"/>
          <w:szCs w:val="22"/>
          <w:lang w:val="en-US"/>
        </w:rPr>
        <w:t>The client should always get information on the cost in relation to his real investment  or his investment plan in case of regular investment. However, for the reason of PRIIPs comparison 1000 euro is reasonable.</w:t>
      </w:r>
    </w:p>
    <w:permEnd w:id="926313333"/>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E94CAA" w:rsidRDefault="00E94CAA" w:rsidP="00F31E57">
      <w:pPr>
        <w:rPr>
          <w:sz w:val="22"/>
          <w:szCs w:val="22"/>
          <w:lang w:val="en-US"/>
        </w:rPr>
      </w:pPr>
      <w:permStart w:id="1149058667" w:edGrp="everyone"/>
      <w:r>
        <w:rPr>
          <w:sz w:val="22"/>
          <w:szCs w:val="22"/>
          <w:lang w:val="en-US"/>
        </w:rPr>
        <w:t>Li</w:t>
      </w:r>
      <w:r w:rsidRPr="00BE30D7">
        <w:rPr>
          <w:sz w:val="22"/>
          <w:szCs w:val="22"/>
          <w:lang w:val="en-US"/>
        </w:rPr>
        <w:t>fe insurance is not our business.</w:t>
      </w:r>
    </w:p>
    <w:permEnd w:id="1149058667"/>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E94CAA" w:rsidRDefault="00E94CAA" w:rsidP="00F31E57">
      <w:pPr>
        <w:rPr>
          <w:sz w:val="22"/>
          <w:szCs w:val="22"/>
          <w:lang w:val="en-US"/>
        </w:rPr>
      </w:pPr>
      <w:permStart w:id="696071332" w:edGrp="everyone"/>
      <w:r>
        <w:rPr>
          <w:sz w:val="22"/>
          <w:szCs w:val="22"/>
          <w:lang w:val="en-US"/>
        </w:rPr>
        <w:t>We would recommend using for TCR figures the same consideration as for UCITS TER.</w:t>
      </w:r>
    </w:p>
    <w:permEnd w:id="69607133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Pr="00E94CAA" w:rsidRDefault="00E94CAA" w:rsidP="00E94CAA">
      <w:pPr>
        <w:pStyle w:val="Default"/>
        <w:rPr>
          <w:sz w:val="22"/>
          <w:szCs w:val="22"/>
          <w:lang w:val="en-US"/>
        </w:rPr>
      </w:pPr>
      <w:permStart w:id="1254906277" w:edGrp="everyone"/>
      <w:r>
        <w:rPr>
          <w:sz w:val="22"/>
          <w:szCs w:val="22"/>
          <w:lang w:val="en-US"/>
        </w:rPr>
        <w:t>Li</w:t>
      </w:r>
      <w:r w:rsidRPr="00BE30D7">
        <w:rPr>
          <w:sz w:val="22"/>
          <w:szCs w:val="22"/>
          <w:lang w:val="en-US"/>
        </w:rPr>
        <w:t>fe insurance is not our business.</w:t>
      </w:r>
    </w:p>
    <w:permEnd w:id="1254906277"/>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E94CAA" w:rsidRDefault="00E94CAA" w:rsidP="00E94CAA">
      <w:pPr>
        <w:pStyle w:val="Default"/>
        <w:rPr>
          <w:sz w:val="22"/>
          <w:szCs w:val="22"/>
          <w:lang w:val="en-US"/>
        </w:rPr>
      </w:pPr>
      <w:permStart w:id="1074669308" w:edGrp="everyone"/>
      <w:r>
        <w:rPr>
          <w:sz w:val="22"/>
          <w:szCs w:val="22"/>
          <w:lang w:val="en-US"/>
        </w:rPr>
        <w:t>Each approach is reasonable. Choose the simplest one.</w:t>
      </w:r>
    </w:p>
    <w:permEnd w:id="1074669308"/>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E94CAA" w:rsidRDefault="00E94CAA" w:rsidP="00E94CAA">
      <w:pPr>
        <w:pStyle w:val="Default"/>
        <w:rPr>
          <w:sz w:val="22"/>
          <w:szCs w:val="22"/>
          <w:lang w:val="en-US"/>
        </w:rPr>
      </w:pPr>
      <w:permStart w:id="696784474" w:edGrp="everyone"/>
      <w:r>
        <w:rPr>
          <w:sz w:val="22"/>
          <w:szCs w:val="22"/>
          <w:lang w:val="en-US"/>
        </w:rPr>
        <w:t>Li</w:t>
      </w:r>
      <w:r w:rsidRPr="00BE30D7">
        <w:rPr>
          <w:sz w:val="22"/>
          <w:szCs w:val="22"/>
          <w:lang w:val="en-US"/>
        </w:rPr>
        <w:t>fe insurance is not our business.</w:t>
      </w:r>
    </w:p>
    <w:permEnd w:id="696784474"/>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E94CAA" w:rsidRDefault="00E94CAA" w:rsidP="00F31E57">
      <w:pPr>
        <w:rPr>
          <w:sz w:val="22"/>
          <w:szCs w:val="22"/>
          <w:lang w:val="en-US"/>
        </w:rPr>
      </w:pPr>
      <w:permStart w:id="1505391579" w:edGrp="everyone"/>
      <w:r>
        <w:rPr>
          <w:sz w:val="22"/>
          <w:szCs w:val="22"/>
          <w:lang w:val="en-US"/>
        </w:rPr>
        <w:t>Each approach can be used. However these options split the problem of cost calculation into pieces that are difficult to fulfill in practice. Simple rule and method is needed so that the client gets his information, the manufacturer is able to calculate it with reasonable cost and the regulator is able to consider if the calculation was correct.</w:t>
      </w:r>
    </w:p>
    <w:permEnd w:id="1505391579"/>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E94CAA" w:rsidRDefault="00E94CAA" w:rsidP="00F31E57">
      <w:pPr>
        <w:rPr>
          <w:sz w:val="22"/>
          <w:szCs w:val="22"/>
          <w:lang w:val="en-US"/>
        </w:rPr>
      </w:pPr>
      <w:permStart w:id="1300853872" w:edGrp="everyone"/>
      <w:r w:rsidRPr="00917ED7">
        <w:rPr>
          <w:sz w:val="22"/>
          <w:szCs w:val="22"/>
          <w:lang w:val="en-US"/>
        </w:rPr>
        <w:t>We recommend using CESR guidelines</w:t>
      </w:r>
      <w:r>
        <w:rPr>
          <w:sz w:val="22"/>
          <w:szCs w:val="22"/>
          <w:lang w:val="en-US"/>
        </w:rPr>
        <w:t>, too</w:t>
      </w:r>
      <w:r w:rsidRPr="00917ED7">
        <w:rPr>
          <w:sz w:val="22"/>
          <w:szCs w:val="22"/>
          <w:lang w:val="en-US"/>
        </w:rPr>
        <w:t>.</w:t>
      </w:r>
    </w:p>
    <w:permEnd w:id="1300853872"/>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E94CAA" w:rsidRDefault="00E94CAA" w:rsidP="00F31E57">
      <w:pPr>
        <w:rPr>
          <w:sz w:val="22"/>
          <w:szCs w:val="22"/>
          <w:lang w:val="en-US"/>
        </w:rPr>
      </w:pPr>
      <w:permStart w:id="194658534" w:edGrp="everyone"/>
      <w:r w:rsidRPr="00917ED7">
        <w:rPr>
          <w:sz w:val="22"/>
          <w:szCs w:val="22"/>
          <w:lang w:val="en-US"/>
        </w:rPr>
        <w:t xml:space="preserve">We recommend using </w:t>
      </w:r>
      <w:r>
        <w:rPr>
          <w:sz w:val="22"/>
          <w:szCs w:val="22"/>
          <w:lang w:val="en-US"/>
        </w:rPr>
        <w:t xml:space="preserve">as much as possible from the </w:t>
      </w:r>
      <w:r w:rsidRPr="00917ED7">
        <w:rPr>
          <w:sz w:val="22"/>
          <w:szCs w:val="22"/>
          <w:lang w:val="en-US"/>
        </w:rPr>
        <w:t>CESR guidelines</w:t>
      </w:r>
      <w:r>
        <w:rPr>
          <w:sz w:val="22"/>
          <w:szCs w:val="22"/>
          <w:lang w:val="en-US"/>
        </w:rPr>
        <w:t>.</w:t>
      </w:r>
    </w:p>
    <w:permEnd w:id="194658534"/>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E94CAA" w:rsidRDefault="00E94CAA" w:rsidP="00E94CAA">
      <w:pPr>
        <w:pStyle w:val="Default"/>
        <w:rPr>
          <w:sz w:val="22"/>
          <w:szCs w:val="22"/>
          <w:lang w:val="en-US"/>
        </w:rPr>
      </w:pPr>
      <w:permStart w:id="1327644000" w:edGrp="everyone"/>
      <w:r>
        <w:rPr>
          <w:sz w:val="22"/>
          <w:szCs w:val="22"/>
          <w:lang w:val="en-US"/>
        </w:rPr>
        <w:t>Li</w:t>
      </w:r>
      <w:r w:rsidRPr="00BE30D7">
        <w:rPr>
          <w:sz w:val="22"/>
          <w:szCs w:val="22"/>
          <w:lang w:val="en-US"/>
        </w:rPr>
        <w:t>fe insurance is not our business.</w:t>
      </w:r>
    </w:p>
    <w:permEnd w:id="1327644000"/>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E94CAA" w:rsidRDefault="00E94CAA" w:rsidP="00E94CAA">
      <w:pPr>
        <w:pStyle w:val="Default"/>
        <w:rPr>
          <w:sz w:val="22"/>
          <w:szCs w:val="22"/>
          <w:lang w:val="en-US"/>
        </w:rPr>
      </w:pPr>
      <w:permStart w:id="288490876" w:edGrp="everyone"/>
      <w:r>
        <w:rPr>
          <w:sz w:val="22"/>
          <w:szCs w:val="22"/>
          <w:lang w:val="en-US"/>
        </w:rPr>
        <w:t>Li</w:t>
      </w:r>
      <w:r w:rsidRPr="00BE30D7">
        <w:rPr>
          <w:sz w:val="22"/>
          <w:szCs w:val="22"/>
          <w:lang w:val="en-US"/>
        </w:rPr>
        <w:t>fe insurance is not our business.</w:t>
      </w:r>
    </w:p>
    <w:permEnd w:id="288490876"/>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E94CAA" w:rsidRDefault="00E94CAA" w:rsidP="00F31E57">
      <w:pPr>
        <w:rPr>
          <w:sz w:val="22"/>
          <w:szCs w:val="22"/>
          <w:lang w:val="en-US"/>
        </w:rPr>
      </w:pPr>
      <w:permStart w:id="211307451" w:edGrp="everyone"/>
      <w:r>
        <w:rPr>
          <w:sz w:val="22"/>
          <w:szCs w:val="22"/>
          <w:lang w:val="en-US"/>
        </w:rPr>
        <w:t>No, except for the performance fee. It will be always the matter of assumption.</w:t>
      </w:r>
    </w:p>
    <w:permEnd w:id="211307451"/>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E94CAA" w:rsidRDefault="00E94CAA" w:rsidP="00F31E57">
      <w:pPr>
        <w:rPr>
          <w:sz w:val="22"/>
          <w:szCs w:val="22"/>
          <w:lang w:val="en-US"/>
        </w:rPr>
      </w:pPr>
      <w:permStart w:id="299648992" w:edGrp="everyone"/>
      <w:r>
        <w:rPr>
          <w:sz w:val="22"/>
          <w:szCs w:val="22"/>
          <w:lang w:val="en-US"/>
        </w:rPr>
        <w:t>We think that mentioned “loss of opportunity” like dividends is not the revenue of the manufacturer but rather the source of PRIIP financing.  In general, however, TCR can be calculated for structured products as well.</w:t>
      </w:r>
    </w:p>
    <w:permEnd w:id="29964899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lastRenderedPageBreak/>
        <w:t>&lt;ESMA_QUESTION_PRIIPs_95&gt;</w:t>
      </w:r>
    </w:p>
    <w:p w:rsidR="00E94CAA" w:rsidRDefault="00E94CAA" w:rsidP="00E94CAA">
      <w:pPr>
        <w:pStyle w:val="Default"/>
        <w:rPr>
          <w:sz w:val="22"/>
          <w:szCs w:val="22"/>
          <w:lang w:val="en-US"/>
        </w:rPr>
      </w:pPr>
      <w:permStart w:id="115170013" w:edGrp="everyone"/>
      <w:r>
        <w:rPr>
          <w:sz w:val="22"/>
          <w:szCs w:val="22"/>
          <w:lang w:val="en-US"/>
        </w:rPr>
        <w:t>Li</w:t>
      </w:r>
      <w:r w:rsidRPr="00BE30D7">
        <w:rPr>
          <w:sz w:val="22"/>
          <w:szCs w:val="22"/>
          <w:lang w:val="en-US"/>
        </w:rPr>
        <w:t>fe insurance is not our business.</w:t>
      </w:r>
    </w:p>
    <w:permEnd w:id="11517001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69470414" w:edGrp="everyone"/>
      <w:r>
        <w:t>TYPE YOUR TEXT HERE</w:t>
      </w:r>
    </w:p>
    <w:permEnd w:id="69470414"/>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498878121" w:edGrp="everyone"/>
      <w:r>
        <w:t>TYPE YOUR TEXT HERE</w:t>
      </w:r>
    </w:p>
    <w:permEnd w:id="1498878121"/>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396898954" w:edGrp="everyone"/>
      <w:r>
        <w:t>TYPE YOUR TEXT HERE</w:t>
      </w:r>
    </w:p>
    <w:permEnd w:id="396898954"/>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665073494" w:edGrp="everyone"/>
      <w:r>
        <w:t>TYPE YOUR TEXT HERE</w:t>
      </w:r>
    </w:p>
    <w:permEnd w:id="665073494"/>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36" w:rsidRDefault="00410B36">
      <w:r>
        <w:separator/>
      </w:r>
    </w:p>
    <w:p w:rsidR="00410B36" w:rsidRDefault="00410B36"/>
  </w:endnote>
  <w:endnote w:type="continuationSeparator" w:id="0">
    <w:p w:rsidR="00410B36" w:rsidRDefault="00410B36">
      <w:r>
        <w:continuationSeparator/>
      </w:r>
    </w:p>
    <w:p w:rsidR="00410B36" w:rsidRDefault="00410B36"/>
  </w:endnote>
  <w:endnote w:type="continuationNotice" w:id="1">
    <w:p w:rsidR="00410B36" w:rsidRDefault="00410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FreeMon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06957" w:rsidRPr="00616B9B" w:rsidTr="00315E96">
      <w:trPr>
        <w:trHeight w:val="284"/>
      </w:trPr>
      <w:tc>
        <w:tcPr>
          <w:tcW w:w="8460" w:type="dxa"/>
        </w:tcPr>
        <w:p w:rsidR="00206957" w:rsidRPr="00315E96" w:rsidRDefault="00206957" w:rsidP="00315E96">
          <w:pPr>
            <w:pStyle w:val="00Footer"/>
            <w:rPr>
              <w:lang w:val="fr-FR"/>
            </w:rPr>
          </w:pPr>
        </w:p>
      </w:tc>
      <w:tc>
        <w:tcPr>
          <w:tcW w:w="952" w:type="dxa"/>
        </w:tcPr>
        <w:p w:rsidR="00206957" w:rsidRPr="00616B9B" w:rsidRDefault="0020695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4770C">
            <w:rPr>
              <w:rFonts w:cs="Arial"/>
              <w:noProof/>
              <w:sz w:val="22"/>
              <w:szCs w:val="22"/>
            </w:rPr>
            <w:t>21</w:t>
          </w:r>
          <w:r w:rsidRPr="00616B9B">
            <w:rPr>
              <w:rFonts w:cs="Arial"/>
              <w:noProof/>
              <w:sz w:val="22"/>
              <w:szCs w:val="22"/>
            </w:rPr>
            <w:fldChar w:fldCharType="end"/>
          </w:r>
        </w:p>
      </w:tc>
    </w:tr>
  </w:tbl>
  <w:p w:rsidR="00206957" w:rsidRDefault="002069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57" w:rsidRDefault="002069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36" w:rsidRDefault="00410B36">
      <w:r>
        <w:separator/>
      </w:r>
    </w:p>
    <w:p w:rsidR="00410B36" w:rsidRDefault="00410B36"/>
  </w:footnote>
  <w:footnote w:type="continuationSeparator" w:id="0">
    <w:p w:rsidR="00410B36" w:rsidRDefault="00410B36">
      <w:r>
        <w:continuationSeparator/>
      </w:r>
    </w:p>
    <w:p w:rsidR="00410B36" w:rsidRDefault="00410B36"/>
  </w:footnote>
  <w:footnote w:type="continuationNotice" w:id="1">
    <w:p w:rsidR="00410B36" w:rsidRDefault="00410B36"/>
  </w:footnote>
  <w:footnote w:id="2">
    <w:p w:rsidR="00206957" w:rsidRPr="00554E48" w:rsidRDefault="00206957" w:rsidP="007E2302">
      <w:pPr>
        <w:pStyle w:val="Textpoznpodarou"/>
        <w:rPr>
          <w:szCs w:val="16"/>
        </w:rPr>
      </w:pPr>
      <w:r w:rsidRPr="00554E48">
        <w:rPr>
          <w:rStyle w:val="Znakapoznpodarou"/>
          <w:szCs w:val="16"/>
        </w:rPr>
        <w:footnoteRef/>
      </w:r>
      <w:r w:rsidRPr="00554E48">
        <w:rPr>
          <w:szCs w:val="16"/>
        </w:rPr>
        <w:t xml:space="preserve"> See </w:t>
      </w:r>
      <w:hyperlink r:id="rId1" w:history="1">
        <w:r w:rsidRPr="00554E48">
          <w:rPr>
            <w:rStyle w:val="Hypertextovodkaz"/>
            <w:szCs w:val="16"/>
          </w:rPr>
          <w:t>https://eiopa.europa.eu/about-eiopa/legal-framework/public-access-to-documents/index.html</w:t>
        </w:r>
      </w:hyperlink>
      <w:r w:rsidRPr="00554E48">
        <w:rPr>
          <w:szCs w:val="16"/>
        </w:rPr>
        <w:t xml:space="preserve">. </w:t>
      </w:r>
    </w:p>
  </w:footnote>
  <w:footnote w:id="3">
    <w:p w:rsidR="00206957" w:rsidRDefault="00206957" w:rsidP="00F31E57">
      <w:pPr>
        <w:pStyle w:val="Textpoznpodarou"/>
        <w:rPr>
          <w:szCs w:val="16"/>
        </w:rPr>
      </w:pPr>
      <w:r>
        <w:rPr>
          <w:rStyle w:val="Znakapoznpodarou"/>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57" w:rsidRDefault="00206957">
    <w:pPr>
      <w:pStyle w:val="Zhlav"/>
    </w:pPr>
    <w:r>
      <w:rPr>
        <w:noProof/>
        <w:lang w:val="cs-CZ" w:eastAsia="cs-CZ"/>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740C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57" w:rsidRDefault="00206957" w:rsidP="00013CCE">
    <w:pPr>
      <w:pStyle w:val="Zhlav"/>
      <w:jc w:val="right"/>
    </w:pPr>
    <w:r>
      <w:rPr>
        <w:noProof/>
        <w:lang w:val="cs-CZ" w:eastAsia="cs-CZ"/>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57" w:rsidRDefault="0020695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06957" w:rsidRPr="002F4496" w:rsidTr="000C06C9">
      <w:trPr>
        <w:trHeight w:val="284"/>
      </w:trPr>
      <w:tc>
        <w:tcPr>
          <w:tcW w:w="8460" w:type="dxa"/>
        </w:tcPr>
        <w:p w:rsidR="00206957" w:rsidRPr="000C3B6D" w:rsidRDefault="00206957" w:rsidP="000C06C9">
          <w:pPr>
            <w:pStyle w:val="00Footer"/>
            <w:rPr>
              <w:lang w:val="fr-FR"/>
            </w:rPr>
          </w:pPr>
        </w:p>
      </w:tc>
      <w:tc>
        <w:tcPr>
          <w:tcW w:w="952" w:type="dxa"/>
        </w:tcPr>
        <w:p w:rsidR="00206957" w:rsidRPr="00146B34" w:rsidRDefault="00206957" w:rsidP="000C06C9">
          <w:pPr>
            <w:pStyle w:val="00aPagenumber"/>
            <w:rPr>
              <w:lang w:val="fr-FR"/>
            </w:rPr>
          </w:pPr>
        </w:p>
      </w:tc>
    </w:tr>
  </w:tbl>
  <w:p w:rsidR="00206957" w:rsidRPr="00DB46C3" w:rsidRDefault="00206957">
    <w:pPr>
      <w:rPr>
        <w:lang w:val="fr-FR"/>
      </w:rPr>
    </w:pPr>
  </w:p>
  <w:p w:rsidR="00206957" w:rsidRPr="002F4496" w:rsidRDefault="00206957">
    <w:pPr>
      <w:pStyle w:val="Zhlav"/>
      <w:rPr>
        <w:lang w:val="fr-FR"/>
      </w:rPr>
    </w:pPr>
  </w:p>
  <w:p w:rsidR="00206957" w:rsidRPr="002F4496" w:rsidRDefault="00206957" w:rsidP="000C06C9">
    <w:pPr>
      <w:pStyle w:val="Zhlav"/>
      <w:tabs>
        <w:tab w:val="clear" w:pos="4536"/>
        <w:tab w:val="clear" w:pos="9072"/>
        <w:tab w:val="left" w:pos="8227"/>
      </w:tabs>
      <w:rPr>
        <w:lang w:val="fr-FR"/>
      </w:rPr>
    </w:pPr>
  </w:p>
  <w:p w:rsidR="00206957" w:rsidRPr="002F4496" w:rsidRDefault="00206957" w:rsidP="000C06C9">
    <w:pPr>
      <w:pStyle w:val="Zhlav"/>
      <w:tabs>
        <w:tab w:val="clear" w:pos="4536"/>
        <w:tab w:val="clear" w:pos="9072"/>
        <w:tab w:val="left" w:pos="8227"/>
      </w:tabs>
      <w:rPr>
        <w:lang w:val="fr-FR"/>
      </w:rPr>
    </w:pPr>
  </w:p>
  <w:p w:rsidR="00206957" w:rsidRPr="002F4496" w:rsidRDefault="00206957">
    <w:pPr>
      <w:pStyle w:val="Zhlav"/>
      <w:rPr>
        <w:lang w:val="fr-FR"/>
      </w:rPr>
    </w:pPr>
  </w:p>
  <w:p w:rsidR="00206957" w:rsidRPr="002F4496" w:rsidRDefault="00206957">
    <w:pPr>
      <w:pStyle w:val="Zhlav"/>
      <w:rPr>
        <w:lang w:val="fr-FR"/>
      </w:rPr>
    </w:pPr>
  </w:p>
  <w:p w:rsidR="00206957" w:rsidRPr="002F4496" w:rsidRDefault="00206957">
    <w:pPr>
      <w:pStyle w:val="Zhlav"/>
      <w:rPr>
        <w:lang w:val="fr-FR"/>
      </w:rPr>
    </w:pPr>
  </w:p>
  <w:p w:rsidR="00206957" w:rsidRPr="002F4496" w:rsidRDefault="00206957">
    <w:pPr>
      <w:pStyle w:val="Zhlav"/>
      <w:rPr>
        <w:lang w:val="fr-FR"/>
      </w:rPr>
    </w:pPr>
  </w:p>
  <w:p w:rsidR="00206957" w:rsidRPr="002F4496" w:rsidRDefault="00206957">
    <w:pPr>
      <w:pStyle w:val="Zhlav"/>
      <w:rPr>
        <w:highlight w:val="yellow"/>
        <w:lang w:val="fr-FR"/>
      </w:rPr>
    </w:pPr>
  </w:p>
  <w:p w:rsidR="00206957" w:rsidRDefault="00206957">
    <w:pPr>
      <w:pStyle w:val="Zhlav"/>
    </w:pPr>
    <w:r>
      <w:rPr>
        <w:noProof/>
        <w:lang w:val="cs-CZ" w:eastAsia="cs-CZ"/>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3348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cs-CZ" w:eastAsia="cs-CZ"/>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Seznamsodrkami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Zkladn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Seznamsodrkami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Seznamsodrkami"/>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Nadpis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Nadpis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slovanseznam"/>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4770C"/>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6957"/>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133"/>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188"/>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B36"/>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598B"/>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438"/>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4CAA"/>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CFADF1D3-18AB-4499-8E16-4E3557C2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769"/>
    <w:rPr>
      <w:rFonts w:ascii="Arial" w:hAnsi="Arial"/>
      <w:szCs w:val="24"/>
      <w:lang w:eastAsia="de-DE"/>
    </w:rPr>
  </w:style>
  <w:style w:type="paragraph" w:styleId="Nadpis1">
    <w:name w:val="heading 1"/>
    <w:basedOn w:val="Normln"/>
    <w:next w:val="Normln"/>
    <w:link w:val="Nadpis1Char"/>
    <w:qFormat/>
    <w:rsid w:val="009E7724"/>
    <w:pPr>
      <w:keepNext/>
      <w:numPr>
        <w:numId w:val="5"/>
      </w:numPr>
      <w:spacing w:before="240" w:after="60"/>
      <w:outlineLvl w:val="0"/>
    </w:pPr>
    <w:rPr>
      <w:rFonts w:cs="Arial"/>
      <w:b/>
      <w:bCs/>
      <w:kern w:val="32"/>
      <w:sz w:val="24"/>
      <w:szCs w:val="32"/>
    </w:rPr>
  </w:style>
  <w:style w:type="paragraph" w:styleId="Nadpis2">
    <w:name w:val="heading 2"/>
    <w:basedOn w:val="Normln"/>
    <w:next w:val="Normln"/>
    <w:link w:val="Nadpis2Char"/>
    <w:qFormat/>
    <w:rsid w:val="00886A60"/>
    <w:pPr>
      <w:keepNext/>
      <w:keepLines/>
      <w:spacing w:before="200" w:after="120"/>
      <w:outlineLvl w:val="1"/>
    </w:pPr>
    <w:rPr>
      <w:b/>
      <w:bCs/>
      <w:szCs w:val="26"/>
    </w:rPr>
  </w:style>
  <w:style w:type="paragraph" w:styleId="Nadpis3">
    <w:name w:val="heading 3"/>
    <w:basedOn w:val="Normln"/>
    <w:next w:val="Normln"/>
    <w:link w:val="Nadpis3Char"/>
    <w:qFormat/>
    <w:rsid w:val="003865E5"/>
    <w:pPr>
      <w:keepNext/>
      <w:keepLines/>
      <w:spacing w:before="200"/>
      <w:outlineLvl w:val="2"/>
    </w:pPr>
    <w:rPr>
      <w:rFonts w:ascii="Cambria" w:hAnsi="Cambria"/>
      <w:b/>
      <w:bCs/>
      <w:color w:val="4F81BD"/>
    </w:rPr>
  </w:style>
  <w:style w:type="paragraph" w:styleId="Nadpis4">
    <w:name w:val="heading 4"/>
    <w:basedOn w:val="Normln"/>
    <w:next w:val="Normln"/>
    <w:link w:val="Nadpis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dpis5">
    <w:name w:val="heading 5"/>
    <w:aliases w:val="Questions"/>
    <w:basedOn w:val="Normln"/>
    <w:next w:val="Normln"/>
    <w:link w:val="Nadpis5Char"/>
    <w:qFormat/>
    <w:rsid w:val="00E9344E"/>
    <w:pPr>
      <w:keepNext/>
      <w:keepLines/>
      <w:numPr>
        <w:numId w:val="13"/>
      </w:numPr>
      <w:spacing w:before="200"/>
      <w:jc w:val="both"/>
      <w:outlineLvl w:val="4"/>
    </w:pPr>
    <w:rPr>
      <w:b/>
    </w:rPr>
  </w:style>
  <w:style w:type="paragraph" w:styleId="Nadpis6">
    <w:name w:val="heading 6"/>
    <w:basedOn w:val="Normln"/>
    <w:next w:val="Normln"/>
    <w:link w:val="Nadpis6Char"/>
    <w:qFormat/>
    <w:rsid w:val="003609B6"/>
    <w:pPr>
      <w:numPr>
        <w:ilvl w:val="5"/>
        <w:numId w:val="4"/>
      </w:numPr>
      <w:spacing w:before="240" w:after="60"/>
      <w:outlineLvl w:val="5"/>
    </w:pPr>
    <w:rPr>
      <w:rFonts w:ascii="Times New Roman" w:hAnsi="Times New Roman"/>
      <w:b/>
      <w:bCs/>
      <w:szCs w:val="22"/>
    </w:rPr>
  </w:style>
  <w:style w:type="paragraph" w:styleId="Nadpis7">
    <w:name w:val="heading 7"/>
    <w:basedOn w:val="Normln"/>
    <w:next w:val="Normln"/>
    <w:link w:val="Nadpis7Char"/>
    <w:unhideWhenUsed/>
    <w:qFormat/>
    <w:rsid w:val="002D6E1A"/>
    <w:pPr>
      <w:spacing w:before="240" w:after="60"/>
      <w:ind w:left="1296" w:hanging="1296"/>
      <w:outlineLvl w:val="6"/>
    </w:pPr>
    <w:rPr>
      <w:rFonts w:ascii="Times New Roman" w:hAnsi="Times New Roman"/>
    </w:rPr>
  </w:style>
  <w:style w:type="paragraph" w:styleId="Nadpis8">
    <w:name w:val="heading 8"/>
    <w:basedOn w:val="Normln"/>
    <w:next w:val="Normln"/>
    <w:link w:val="Nadpis8Char"/>
    <w:qFormat/>
    <w:rsid w:val="003609B6"/>
    <w:pPr>
      <w:numPr>
        <w:ilvl w:val="7"/>
        <w:numId w:val="4"/>
      </w:numPr>
      <w:spacing w:before="240" w:after="60"/>
      <w:outlineLvl w:val="7"/>
    </w:pPr>
    <w:rPr>
      <w:rFonts w:ascii="Times New Roman" w:hAnsi="Times New Roman"/>
      <w:i/>
      <w:iCs/>
    </w:rPr>
  </w:style>
  <w:style w:type="paragraph" w:styleId="Nadpis9">
    <w:name w:val="heading 9"/>
    <w:basedOn w:val="Normln"/>
    <w:next w:val="Normln"/>
    <w:link w:val="Nadpis9Char"/>
    <w:qFormat/>
    <w:rsid w:val="00A06867"/>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B64CB"/>
    <w:pPr>
      <w:tabs>
        <w:tab w:val="center" w:pos="4536"/>
        <w:tab w:val="right" w:pos="9072"/>
      </w:tabs>
    </w:pPr>
  </w:style>
  <w:style w:type="paragraph" w:styleId="Zpat">
    <w:name w:val="footer"/>
    <w:basedOn w:val="Normln"/>
    <w:link w:val="ZpatChar"/>
    <w:rsid w:val="005B64CB"/>
    <w:pPr>
      <w:tabs>
        <w:tab w:val="center" w:pos="4536"/>
        <w:tab w:val="right" w:pos="9072"/>
      </w:tabs>
    </w:pPr>
  </w:style>
  <w:style w:type="table" w:styleId="Mkatabulky">
    <w:name w:val="Table Grid"/>
    <w:basedOn w:val="Normlntabulka"/>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ln"/>
    <w:rsid w:val="003E3ACA"/>
    <w:pPr>
      <w:spacing w:line="200" w:lineRule="exact"/>
    </w:pPr>
    <w:rPr>
      <w:color w:val="2D4190"/>
      <w:sz w:val="16"/>
    </w:rPr>
  </w:style>
  <w:style w:type="paragraph" w:customStyle="1" w:styleId="05aTitle">
    <w:name w:val="05a_Title"/>
    <w:basedOn w:val="Normln"/>
    <w:rsid w:val="00791EB4"/>
    <w:pPr>
      <w:spacing w:line="340" w:lineRule="exact"/>
    </w:pPr>
    <w:rPr>
      <w:b/>
      <w:color w:val="000000"/>
      <w:sz w:val="28"/>
    </w:rPr>
  </w:style>
  <w:style w:type="paragraph" w:customStyle="1" w:styleId="02Date">
    <w:name w:val="02_Date"/>
    <w:basedOn w:val="Normln"/>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ln"/>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lostrnky">
    <w:name w:val="page number"/>
    <w:basedOn w:val="Standardnpsmoodstavc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Obsah1">
    <w:name w:val="toc 1"/>
    <w:basedOn w:val="Normln"/>
    <w:next w:val="Normln"/>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textovodkaz">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poznpodarou">
    <w:name w:val="footnote text"/>
    <w:aliases w:val="Char3, Char3,Fußnotentextf,Fußnotentextr,stile 1,Footnote1,Footnote2,Footnote3,Footnote4,Footnote5,Footnote6,Footnote7,Footnote8,Footnote9,Footnote10,Footnote11,Footnote21,Footnote31,Footnote41,Footnote51,Footnote61,Footnote71"/>
    <w:basedOn w:val="Normln"/>
    <w:link w:val="TextpoznpodarouChar"/>
    <w:uiPriority w:val="99"/>
    <w:qFormat/>
    <w:rsid w:val="001725A5"/>
    <w:pPr>
      <w:spacing w:line="200" w:lineRule="exact"/>
    </w:pPr>
    <w:rPr>
      <w:sz w:val="16"/>
      <w:szCs w:val="20"/>
    </w:rPr>
  </w:style>
  <w:style w:type="character" w:styleId="Znakapoznpodarou">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Obsah2">
    <w:name w:val="toc 2"/>
    <w:basedOn w:val="Normln"/>
    <w:next w:val="Normln"/>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ln"/>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kaznakoment">
    <w:name w:val="annotation reference"/>
    <w:rsid w:val="004B1E61"/>
    <w:rPr>
      <w:sz w:val="16"/>
      <w:szCs w:val="16"/>
    </w:rPr>
  </w:style>
  <w:style w:type="paragraph" w:styleId="Textkomente">
    <w:name w:val="annotation text"/>
    <w:basedOn w:val="Normln"/>
    <w:link w:val="TextkomenteChar"/>
    <w:rsid w:val="004B1E61"/>
    <w:rPr>
      <w:szCs w:val="20"/>
    </w:rPr>
  </w:style>
  <w:style w:type="character" w:customStyle="1" w:styleId="TextkomenteChar">
    <w:name w:val="Text komentáře Char"/>
    <w:link w:val="Textkomente"/>
    <w:uiPriority w:val="99"/>
    <w:rsid w:val="004B1E61"/>
    <w:rPr>
      <w:rFonts w:ascii="Georgia" w:hAnsi="Georgia"/>
      <w:lang w:eastAsia="de-DE"/>
    </w:rPr>
  </w:style>
  <w:style w:type="paragraph" w:styleId="Pedmtkomente">
    <w:name w:val="annotation subject"/>
    <w:basedOn w:val="Textkomente"/>
    <w:next w:val="Textkomente"/>
    <w:link w:val="PedmtkomenteChar"/>
    <w:rsid w:val="004B1E61"/>
    <w:rPr>
      <w:b/>
      <w:bCs/>
    </w:rPr>
  </w:style>
  <w:style w:type="character" w:customStyle="1" w:styleId="PedmtkomenteChar">
    <w:name w:val="Předmět komentáře Char"/>
    <w:link w:val="Pedmtkomente"/>
    <w:rsid w:val="004B1E61"/>
    <w:rPr>
      <w:rFonts w:ascii="Georgia" w:hAnsi="Georgia"/>
      <w:b/>
      <w:bCs/>
      <w:lang w:eastAsia="de-DE"/>
    </w:rPr>
  </w:style>
  <w:style w:type="paragraph" w:styleId="Textbubliny">
    <w:name w:val="Balloon Text"/>
    <w:basedOn w:val="Normln"/>
    <w:link w:val="TextbublinyChar"/>
    <w:rsid w:val="004B1E61"/>
    <w:rPr>
      <w:rFonts w:ascii="Tahoma" w:hAnsi="Tahoma" w:cs="Tahoma"/>
      <w:sz w:val="16"/>
      <w:szCs w:val="16"/>
    </w:rPr>
  </w:style>
  <w:style w:type="character" w:customStyle="1" w:styleId="TextbublinyChar">
    <w:name w:val="Text bubliny Char"/>
    <w:link w:val="Textbubliny"/>
    <w:rsid w:val="004B1E61"/>
    <w:rPr>
      <w:rFonts w:ascii="Tahoma" w:hAnsi="Tahoma" w:cs="Tahoma"/>
      <w:sz w:val="16"/>
      <w:szCs w:val="16"/>
      <w:lang w:eastAsia="de-DE"/>
    </w:rPr>
  </w:style>
  <w:style w:type="paragraph" w:styleId="Odstavecseseznamem">
    <w:name w:val="List Paragraph"/>
    <w:aliases w:val="Paragraphe EI,Paragraphe de liste1,EC"/>
    <w:basedOn w:val="Normln"/>
    <w:link w:val="OdstavecseseznamemChar"/>
    <w:uiPriority w:val="34"/>
    <w:qFormat/>
    <w:rsid w:val="002A0C82"/>
    <w:pPr>
      <w:ind w:left="720"/>
      <w:contextualSpacing/>
    </w:pPr>
  </w:style>
  <w:style w:type="paragraph" w:styleId="Nadpisobsahu">
    <w:name w:val="TOC Heading"/>
    <w:basedOn w:val="Nadpis1"/>
    <w:next w:val="Normln"/>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poznpodarouChar">
    <w:name w:val="Text pozn. pod čarou Char"/>
    <w:aliases w:val="Char3 Char, Char3 Char,Fußnotentextf Char,Fußnotentextr Char,stile 1 Char,Footnote1 Char,Footnote2 Char,Footnote3 Char,Footnote4 Char,Footnote5 Char,Footnote6 Char,Footnote7 Char,Footnote8 Char,Footnote9 Char,Footnote10 Char"/>
    <w:link w:val="Textpoznpodarou"/>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npsmoodstavce"/>
    <w:rsid w:val="008E1B6A"/>
  </w:style>
  <w:style w:type="paragraph" w:customStyle="1" w:styleId="ManualNumPar1">
    <w:name w:val="Manual NumPar 1"/>
    <w:basedOn w:val="Normln"/>
    <w:next w:val="Normln"/>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dpis1Char">
    <w:name w:val="Nadpis 1 Char"/>
    <w:link w:val="Nadpis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Zdraznn">
    <w:name w:val="Emphasis"/>
    <w:uiPriority w:val="20"/>
    <w:qFormat/>
    <w:rsid w:val="005F028E"/>
    <w:rPr>
      <w:i/>
      <w:iCs/>
    </w:rPr>
  </w:style>
  <w:style w:type="paragraph" w:styleId="Revize">
    <w:name w:val="Revision"/>
    <w:link w:val="RevizeChar"/>
    <w:hidden/>
    <w:uiPriority w:val="99"/>
    <w:semiHidden/>
    <w:rsid w:val="008E6A37"/>
    <w:rPr>
      <w:rFonts w:ascii="Georgia" w:hAnsi="Georgia"/>
      <w:sz w:val="22"/>
      <w:szCs w:val="24"/>
      <w:lang w:eastAsia="de-DE"/>
    </w:rPr>
  </w:style>
  <w:style w:type="paragraph" w:styleId="Obsah3">
    <w:name w:val="toc 3"/>
    <w:basedOn w:val="Normln"/>
    <w:next w:val="Normln"/>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ln"/>
    <w:next w:val="Normln"/>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ln"/>
    <w:next w:val="Normln"/>
    <w:uiPriority w:val="99"/>
    <w:rsid w:val="00F377CD"/>
    <w:pPr>
      <w:autoSpaceDE w:val="0"/>
      <w:autoSpaceDN w:val="0"/>
      <w:adjustRightInd w:val="0"/>
    </w:pPr>
    <w:rPr>
      <w:rFonts w:ascii="EUAlbertina" w:eastAsia="Calibri" w:hAnsi="EUAlbertina"/>
      <w:sz w:val="24"/>
      <w:lang w:val="fr-FR" w:eastAsia="en-US"/>
    </w:rPr>
  </w:style>
  <w:style w:type="paragraph" w:styleId="Obsah4">
    <w:name w:val="toc 4"/>
    <w:basedOn w:val="Normln"/>
    <w:next w:val="Normln"/>
    <w:autoRedefine/>
    <w:uiPriority w:val="39"/>
    <w:unhideWhenUsed/>
    <w:rsid w:val="00F377CD"/>
    <w:pPr>
      <w:spacing w:after="100" w:line="276" w:lineRule="auto"/>
      <w:ind w:left="660"/>
    </w:pPr>
    <w:rPr>
      <w:rFonts w:ascii="Calibri" w:hAnsi="Calibri"/>
      <w:szCs w:val="22"/>
      <w:lang w:eastAsia="en-GB"/>
    </w:rPr>
  </w:style>
  <w:style w:type="paragraph" w:styleId="Obsah5">
    <w:name w:val="toc 5"/>
    <w:basedOn w:val="Normln"/>
    <w:next w:val="Normln"/>
    <w:autoRedefine/>
    <w:uiPriority w:val="39"/>
    <w:unhideWhenUsed/>
    <w:rsid w:val="00F377CD"/>
    <w:pPr>
      <w:spacing w:after="100" w:line="276" w:lineRule="auto"/>
      <w:ind w:left="880"/>
    </w:pPr>
    <w:rPr>
      <w:rFonts w:ascii="Calibri" w:hAnsi="Calibri"/>
      <w:szCs w:val="22"/>
      <w:lang w:eastAsia="en-GB"/>
    </w:rPr>
  </w:style>
  <w:style w:type="paragraph" w:styleId="Obsah6">
    <w:name w:val="toc 6"/>
    <w:basedOn w:val="Normln"/>
    <w:next w:val="Normln"/>
    <w:autoRedefine/>
    <w:uiPriority w:val="39"/>
    <w:unhideWhenUsed/>
    <w:rsid w:val="00F377CD"/>
    <w:pPr>
      <w:spacing w:after="100" w:line="276" w:lineRule="auto"/>
      <w:ind w:left="1100"/>
    </w:pPr>
    <w:rPr>
      <w:rFonts w:ascii="Calibri" w:hAnsi="Calibri"/>
      <w:szCs w:val="22"/>
      <w:lang w:eastAsia="en-GB"/>
    </w:rPr>
  </w:style>
  <w:style w:type="paragraph" w:styleId="Obsah7">
    <w:name w:val="toc 7"/>
    <w:basedOn w:val="Normln"/>
    <w:next w:val="Normln"/>
    <w:autoRedefine/>
    <w:uiPriority w:val="39"/>
    <w:unhideWhenUsed/>
    <w:rsid w:val="00F377CD"/>
    <w:pPr>
      <w:spacing w:after="100" w:line="276" w:lineRule="auto"/>
      <w:ind w:left="1320"/>
    </w:pPr>
    <w:rPr>
      <w:rFonts w:ascii="Calibri" w:hAnsi="Calibri"/>
      <w:szCs w:val="22"/>
      <w:lang w:eastAsia="en-GB"/>
    </w:rPr>
  </w:style>
  <w:style w:type="paragraph" w:styleId="Obsah8">
    <w:name w:val="toc 8"/>
    <w:basedOn w:val="Normln"/>
    <w:next w:val="Normln"/>
    <w:autoRedefine/>
    <w:uiPriority w:val="39"/>
    <w:unhideWhenUsed/>
    <w:rsid w:val="00F377CD"/>
    <w:pPr>
      <w:spacing w:after="100" w:line="276" w:lineRule="auto"/>
      <w:ind w:left="1540"/>
    </w:pPr>
    <w:rPr>
      <w:rFonts w:ascii="Calibri" w:hAnsi="Calibri"/>
      <w:szCs w:val="22"/>
      <w:lang w:eastAsia="en-GB"/>
    </w:rPr>
  </w:style>
  <w:style w:type="paragraph" w:styleId="Obsah9">
    <w:name w:val="toc 9"/>
    <w:basedOn w:val="Normln"/>
    <w:next w:val="Normln"/>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Titulek">
    <w:name w:val="caption"/>
    <w:basedOn w:val="Normln"/>
    <w:next w:val="Normln"/>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lnweb">
    <w:name w:val="Normal (Web)"/>
    <w:basedOn w:val="Normln"/>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Rozloendokumentu">
    <w:name w:val="Document Map"/>
    <w:basedOn w:val="Normln"/>
    <w:link w:val="RozloendokumentuChar"/>
    <w:rsid w:val="00AA016B"/>
    <w:rPr>
      <w:rFonts w:ascii="Tahoma" w:hAnsi="Tahoma" w:cs="Tahoma"/>
      <w:sz w:val="16"/>
      <w:szCs w:val="16"/>
    </w:rPr>
  </w:style>
  <w:style w:type="character" w:customStyle="1" w:styleId="RozloendokumentuChar">
    <w:name w:val="Rozložení dokumentu Char"/>
    <w:link w:val="Rozloendokumentu"/>
    <w:rsid w:val="00AA016B"/>
    <w:rPr>
      <w:rFonts w:ascii="Tahoma" w:hAnsi="Tahoma" w:cs="Tahoma"/>
      <w:sz w:val="16"/>
      <w:szCs w:val="16"/>
      <w:lang w:eastAsia="de-DE"/>
    </w:rPr>
  </w:style>
  <w:style w:type="paragraph" w:styleId="Prosttext">
    <w:name w:val="Plain Text"/>
    <w:basedOn w:val="Normln"/>
    <w:link w:val="ProsttextChar"/>
    <w:unhideWhenUsed/>
    <w:rsid w:val="00AA016B"/>
    <w:rPr>
      <w:rFonts w:ascii="Consolas" w:hAnsi="Consolas"/>
      <w:sz w:val="21"/>
      <w:szCs w:val="21"/>
      <w:lang w:val="de-DE"/>
    </w:rPr>
  </w:style>
  <w:style w:type="character" w:customStyle="1" w:styleId="ProsttextChar">
    <w:name w:val="Prostý text Char"/>
    <w:link w:val="Prosttext"/>
    <w:rsid w:val="00AA016B"/>
    <w:rPr>
      <w:rFonts w:ascii="Consolas" w:hAnsi="Consolas"/>
      <w:sz w:val="21"/>
      <w:szCs w:val="21"/>
      <w:lang w:val="de-DE" w:eastAsia="de-DE"/>
    </w:rPr>
  </w:style>
  <w:style w:type="paragraph" w:styleId="Zkladntext">
    <w:name w:val="Body Text"/>
    <w:basedOn w:val="Normln"/>
    <w:link w:val="ZkladntextChar"/>
    <w:unhideWhenUsed/>
    <w:rsid w:val="00AA016B"/>
    <w:pPr>
      <w:numPr>
        <w:numId w:val="8"/>
      </w:numPr>
      <w:spacing w:after="240"/>
      <w:jc w:val="both"/>
    </w:pPr>
    <w:rPr>
      <w:rFonts w:ascii="Times New Roman" w:hAnsi="Times New Roman"/>
      <w:sz w:val="24"/>
      <w:szCs w:val="20"/>
      <w:lang w:eastAsia="en-GB"/>
    </w:rPr>
  </w:style>
  <w:style w:type="character" w:customStyle="1" w:styleId="ZkladntextChar">
    <w:name w:val="Základní text Char"/>
    <w:link w:val="Zkladntext"/>
    <w:rsid w:val="00AA016B"/>
    <w:rPr>
      <w:sz w:val="24"/>
    </w:rPr>
  </w:style>
  <w:style w:type="paragraph" w:customStyle="1" w:styleId="ListParagraph1">
    <w:name w:val="List Paragraph1"/>
    <w:basedOn w:val="Normln"/>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iln">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dpis2Char">
    <w:name w:val="Nadpis 2 Char"/>
    <w:link w:val="Nadpis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dpis9Char">
    <w:name w:val="Nadpis 9 Char"/>
    <w:link w:val="Nadpis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ln"/>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dpis7Char">
    <w:name w:val="Nadpis 7 Char"/>
    <w:link w:val="Nadpis7"/>
    <w:rsid w:val="002D6E1A"/>
    <w:rPr>
      <w:sz w:val="22"/>
      <w:szCs w:val="24"/>
      <w:lang w:eastAsia="de-DE"/>
    </w:rPr>
  </w:style>
  <w:style w:type="character" w:customStyle="1" w:styleId="Nadpis6Char">
    <w:name w:val="Nadpis 6 Char"/>
    <w:link w:val="Nadpis6"/>
    <w:rsid w:val="002D6E1A"/>
    <w:rPr>
      <w:b/>
      <w:bCs/>
      <w:szCs w:val="22"/>
      <w:lang w:eastAsia="de-DE"/>
    </w:rPr>
  </w:style>
  <w:style w:type="character" w:customStyle="1" w:styleId="Nadpis8Char">
    <w:name w:val="Nadpis 8 Char"/>
    <w:link w:val="Nadpis8"/>
    <w:rsid w:val="002D6E1A"/>
    <w:rPr>
      <w:i/>
      <w:iCs/>
      <w:szCs w:val="24"/>
      <w:lang w:eastAsia="de-DE"/>
    </w:rPr>
  </w:style>
  <w:style w:type="numbering" w:customStyle="1" w:styleId="NoList1">
    <w:name w:val="No List1"/>
    <w:next w:val="Bezseznamu"/>
    <w:uiPriority w:val="99"/>
    <w:semiHidden/>
    <w:unhideWhenUsed/>
    <w:rsid w:val="002D6E1A"/>
  </w:style>
  <w:style w:type="character" w:styleId="Sledovanodkaz">
    <w:name w:val="FollowedHyperlink"/>
    <w:unhideWhenUsed/>
    <w:rsid w:val="002D6E1A"/>
    <w:rPr>
      <w:color w:val="800080"/>
      <w:u w:val="single"/>
    </w:rPr>
  </w:style>
  <w:style w:type="character" w:customStyle="1" w:styleId="ZhlavChar">
    <w:name w:val="Záhlaví Char"/>
    <w:link w:val="Zhlav"/>
    <w:rsid w:val="002D6E1A"/>
    <w:rPr>
      <w:rFonts w:ascii="Georgia" w:hAnsi="Georgia"/>
      <w:sz w:val="22"/>
      <w:szCs w:val="24"/>
      <w:lang w:eastAsia="de-DE"/>
    </w:rPr>
  </w:style>
  <w:style w:type="character" w:customStyle="1" w:styleId="ZpatChar">
    <w:name w:val="Zápatí Char"/>
    <w:link w:val="Zpat"/>
    <w:rsid w:val="002D6E1A"/>
    <w:rPr>
      <w:rFonts w:ascii="Georgia" w:hAnsi="Georgia"/>
      <w:sz w:val="22"/>
      <w:szCs w:val="24"/>
      <w:lang w:eastAsia="de-DE"/>
    </w:rPr>
  </w:style>
  <w:style w:type="paragraph" w:styleId="Textvysvtlivek">
    <w:name w:val="endnote text"/>
    <w:basedOn w:val="Normln"/>
    <w:link w:val="TextvysvtlivekChar"/>
    <w:unhideWhenUsed/>
    <w:rsid w:val="002D6E1A"/>
    <w:rPr>
      <w:szCs w:val="20"/>
    </w:rPr>
  </w:style>
  <w:style w:type="character" w:customStyle="1" w:styleId="TextvysvtlivekChar">
    <w:name w:val="Text vysvětlivek Char"/>
    <w:link w:val="Textvysvtlivek"/>
    <w:rsid w:val="002D6E1A"/>
    <w:rPr>
      <w:rFonts w:ascii="Georgia" w:hAnsi="Georgia"/>
      <w:lang w:eastAsia="de-DE"/>
    </w:rPr>
  </w:style>
  <w:style w:type="paragraph" w:styleId="slovanseznam">
    <w:name w:val="List Number"/>
    <w:basedOn w:val="Normln"/>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OdstavecseseznamemChar">
    <w:name w:val="Odstavec se seznamem Char"/>
    <w:aliases w:val="Paragraphe EI Char,Paragraphe de liste1 Char,EC Char"/>
    <w:link w:val="Odstavecseseznamem"/>
    <w:uiPriority w:val="34"/>
    <w:locked/>
    <w:rsid w:val="002D6E1A"/>
    <w:rPr>
      <w:rFonts w:ascii="Georgia" w:hAnsi="Georgia"/>
      <w:sz w:val="22"/>
      <w:szCs w:val="24"/>
      <w:lang w:eastAsia="de-DE"/>
    </w:rPr>
  </w:style>
  <w:style w:type="paragraph" w:customStyle="1" w:styleId="04anumbering0">
    <w:name w:val="04anumbering"/>
    <w:basedOn w:val="Normln"/>
    <w:rsid w:val="002D6E1A"/>
    <w:pPr>
      <w:tabs>
        <w:tab w:val="num" w:pos="360"/>
      </w:tabs>
      <w:spacing w:after="250" w:line="276" w:lineRule="auto"/>
      <w:jc w:val="both"/>
    </w:pPr>
    <w:rPr>
      <w:rFonts w:eastAsia="Calibri"/>
      <w:szCs w:val="20"/>
      <w:lang w:eastAsia="en-GB"/>
    </w:rPr>
  </w:style>
  <w:style w:type="paragraph" w:customStyle="1" w:styleId="Tiret1">
    <w:name w:val="Tiret 1"/>
    <w:basedOn w:val="Normln"/>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Odstavecseseznamem"/>
    <w:link w:val="DPChar"/>
    <w:qFormat/>
    <w:rsid w:val="002D6E1A"/>
    <w:pPr>
      <w:ind w:left="708"/>
      <w:contextualSpacing w:val="0"/>
      <w:jc w:val="both"/>
    </w:pPr>
    <w:rPr>
      <w:b/>
      <w:szCs w:val="20"/>
      <w:u w:val="single"/>
    </w:rPr>
  </w:style>
  <w:style w:type="paragraph" w:customStyle="1" w:styleId="Bullet">
    <w:name w:val="Bullet"/>
    <w:basedOn w:val="Normln"/>
    <w:rsid w:val="002D6E1A"/>
    <w:pPr>
      <w:numPr>
        <w:numId w:val="11"/>
      </w:numPr>
      <w:tabs>
        <w:tab w:val="left" w:pos="708"/>
      </w:tabs>
      <w:spacing w:before="120" w:after="120" w:line="276" w:lineRule="auto"/>
      <w:jc w:val="both"/>
    </w:pPr>
    <w:rPr>
      <w:szCs w:val="20"/>
      <w:lang w:eastAsia="en-GB"/>
    </w:rPr>
  </w:style>
  <w:style w:type="character" w:styleId="Odkaznavysvtlivky">
    <w:name w:val="endnote reference"/>
    <w:unhideWhenUsed/>
    <w:rsid w:val="002D6E1A"/>
    <w:rPr>
      <w:vertAlign w:val="superscript"/>
    </w:rPr>
  </w:style>
  <w:style w:type="character" w:styleId="Zstupn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lntabulka"/>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eznamu"/>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slodku">
    <w:name w:val="line number"/>
    <w:basedOn w:val="Standardnpsmoodstavce"/>
    <w:uiPriority w:val="99"/>
    <w:unhideWhenUsed/>
    <w:rsid w:val="00952F2C"/>
  </w:style>
  <w:style w:type="paragraph" w:customStyle="1" w:styleId="aStyle">
    <w:name w:val="a) Style"/>
    <w:basedOn w:val="Normln"/>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Titulek"/>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ln"/>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dpis5Char">
    <w:name w:val="Nadpis 5 Char"/>
    <w:aliases w:val="Questions Char7"/>
    <w:link w:val="Nadpis5"/>
    <w:rsid w:val="00E9344E"/>
    <w:rPr>
      <w:rFonts w:ascii="Georgia" w:hAnsi="Georgia"/>
      <w:b/>
      <w:szCs w:val="24"/>
      <w:lang w:eastAsia="de-DE"/>
    </w:rPr>
  </w:style>
  <w:style w:type="character" w:customStyle="1" w:styleId="Nadpis3Char">
    <w:name w:val="Nadpis 3 Char"/>
    <w:link w:val="Nadpis3"/>
    <w:rsid w:val="003865E5"/>
    <w:rPr>
      <w:rFonts w:ascii="Cambria" w:eastAsia="Times New Roman" w:hAnsi="Cambria" w:cs="Times New Roman"/>
      <w:b/>
      <w:bCs/>
      <w:color w:val="4F81BD"/>
      <w:sz w:val="22"/>
      <w:szCs w:val="24"/>
      <w:lang w:eastAsia="de-DE"/>
    </w:rPr>
  </w:style>
  <w:style w:type="character" w:customStyle="1" w:styleId="Nadpis4Char">
    <w:name w:val="Nadpis 4 Char"/>
    <w:link w:val="Nadpis4"/>
    <w:rsid w:val="00CB7286"/>
    <w:rPr>
      <w:b/>
      <w:bCs/>
      <w:sz w:val="28"/>
      <w:szCs w:val="28"/>
      <w:lang w:eastAsia="de-DE"/>
    </w:rPr>
  </w:style>
  <w:style w:type="table" w:styleId="Svtlseznamzvraznn3">
    <w:name w:val="Light List Accent 3"/>
    <w:basedOn w:val="Normlntabulka"/>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lntabulka"/>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ln"/>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ln"/>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dpis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dpis1"/>
    <w:next w:val="Normln"/>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ln"/>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ln"/>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ln"/>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ln"/>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ln"/>
    <w:next w:val="Normln"/>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ln"/>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ln"/>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ln"/>
    <w:rsid w:val="000D2D0B"/>
    <w:rPr>
      <w:szCs w:val="20"/>
    </w:rPr>
  </w:style>
  <w:style w:type="paragraph" w:customStyle="1" w:styleId="Sbuchead">
    <w:name w:val="Sbuchead"/>
    <w:basedOn w:val="Normln"/>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ln"/>
    <w:next w:val="Fait"/>
    <w:rsid w:val="000D2D0B"/>
    <w:pPr>
      <w:spacing w:before="480" w:after="120"/>
      <w:jc w:val="both"/>
    </w:pPr>
    <w:rPr>
      <w:rFonts w:ascii="Times New Roman" w:hAnsi="Times New Roman"/>
      <w:sz w:val="24"/>
      <w:lang w:eastAsia="en-US"/>
    </w:rPr>
  </w:style>
  <w:style w:type="paragraph" w:customStyle="1" w:styleId="Fait">
    <w:name w:val="Fait à"/>
    <w:basedOn w:val="Normln"/>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ln"/>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ln"/>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ln"/>
    <w:next w:val="Normln"/>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ln"/>
    <w:next w:val="Normln"/>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ln"/>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ln"/>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ln"/>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ln"/>
    <w:rsid w:val="000D2D0B"/>
    <w:pPr>
      <w:spacing w:before="120" w:after="120"/>
      <w:ind w:left="850"/>
      <w:jc w:val="both"/>
    </w:pPr>
    <w:rPr>
      <w:rFonts w:ascii="Times New Roman" w:hAnsi="Times New Roman"/>
      <w:sz w:val="24"/>
      <w:lang w:eastAsia="en-US"/>
    </w:rPr>
  </w:style>
  <w:style w:type="paragraph" w:customStyle="1" w:styleId="Text2">
    <w:name w:val="Text 2"/>
    <w:basedOn w:val="Normln"/>
    <w:rsid w:val="000D2D0B"/>
    <w:pPr>
      <w:spacing w:before="120" w:after="120"/>
      <w:ind w:left="1417"/>
      <w:jc w:val="both"/>
    </w:pPr>
    <w:rPr>
      <w:rFonts w:ascii="Times New Roman" w:hAnsi="Times New Roman"/>
      <w:sz w:val="24"/>
      <w:lang w:eastAsia="en-US"/>
    </w:rPr>
  </w:style>
  <w:style w:type="paragraph" w:customStyle="1" w:styleId="Text3">
    <w:name w:val="Text 3"/>
    <w:basedOn w:val="Normln"/>
    <w:rsid w:val="000D2D0B"/>
    <w:pPr>
      <w:spacing w:before="120" w:after="120"/>
      <w:ind w:left="1984"/>
      <w:jc w:val="both"/>
    </w:pPr>
    <w:rPr>
      <w:rFonts w:ascii="Times New Roman" w:hAnsi="Times New Roman"/>
      <w:sz w:val="24"/>
      <w:lang w:eastAsia="en-US"/>
    </w:rPr>
  </w:style>
  <w:style w:type="paragraph" w:customStyle="1" w:styleId="Text4">
    <w:name w:val="Text 4"/>
    <w:basedOn w:val="Normln"/>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ln"/>
    <w:rsid w:val="000D2D0B"/>
    <w:pPr>
      <w:spacing w:before="120" w:after="120"/>
      <w:jc w:val="center"/>
    </w:pPr>
    <w:rPr>
      <w:rFonts w:ascii="Times New Roman" w:hAnsi="Times New Roman"/>
      <w:sz w:val="24"/>
      <w:lang w:eastAsia="en-US"/>
    </w:rPr>
  </w:style>
  <w:style w:type="paragraph" w:customStyle="1" w:styleId="NormalLeft">
    <w:name w:val="Normal Left"/>
    <w:basedOn w:val="Normln"/>
    <w:rsid w:val="000D2D0B"/>
    <w:pPr>
      <w:spacing w:before="120" w:after="120"/>
    </w:pPr>
    <w:rPr>
      <w:rFonts w:ascii="Times New Roman" w:hAnsi="Times New Roman"/>
      <w:sz w:val="24"/>
      <w:lang w:eastAsia="en-US"/>
    </w:rPr>
  </w:style>
  <w:style w:type="paragraph" w:customStyle="1" w:styleId="NormalRight">
    <w:name w:val="Normal Right"/>
    <w:basedOn w:val="Normln"/>
    <w:rsid w:val="000D2D0B"/>
    <w:pPr>
      <w:spacing w:before="120" w:after="120"/>
      <w:jc w:val="right"/>
    </w:pPr>
    <w:rPr>
      <w:rFonts w:ascii="Times New Roman" w:hAnsi="Times New Roman"/>
      <w:sz w:val="24"/>
      <w:lang w:eastAsia="en-US"/>
    </w:rPr>
  </w:style>
  <w:style w:type="paragraph" w:customStyle="1" w:styleId="QuotedText">
    <w:name w:val="Quoted Text"/>
    <w:basedOn w:val="Normln"/>
    <w:rsid w:val="000D2D0B"/>
    <w:pPr>
      <w:spacing w:before="120" w:after="120"/>
      <w:ind w:left="1417"/>
      <w:jc w:val="both"/>
    </w:pPr>
    <w:rPr>
      <w:rFonts w:ascii="Times New Roman" w:hAnsi="Times New Roman"/>
      <w:sz w:val="24"/>
      <w:lang w:eastAsia="en-US"/>
    </w:rPr>
  </w:style>
  <w:style w:type="paragraph" w:customStyle="1" w:styleId="Point0">
    <w:name w:val="Point 0"/>
    <w:basedOn w:val="Normln"/>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ln"/>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ln"/>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ln"/>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ln"/>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ln"/>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ln"/>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ln"/>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ln"/>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ln"/>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ln"/>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ln"/>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ln"/>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ln"/>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ln"/>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ln"/>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ln"/>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ln"/>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ln"/>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ln"/>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ln"/>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ln"/>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ln"/>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ln"/>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ln"/>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ln"/>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ln"/>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ln"/>
    <w:next w:val="Normln"/>
    <w:rsid w:val="000D2D0B"/>
    <w:pPr>
      <w:keepNext/>
      <w:spacing w:before="120" w:after="360"/>
      <w:jc w:val="center"/>
    </w:pPr>
    <w:rPr>
      <w:rFonts w:ascii="Times New Roman" w:hAnsi="Times New Roman"/>
      <w:b/>
      <w:sz w:val="32"/>
      <w:lang w:eastAsia="en-US"/>
    </w:rPr>
  </w:style>
  <w:style w:type="paragraph" w:customStyle="1" w:styleId="PartTitle">
    <w:name w:val="PartTitle"/>
    <w:basedOn w:val="Normln"/>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ln"/>
    <w:next w:val="Nadpis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ln"/>
    <w:next w:val="Normln"/>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ln"/>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ln"/>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ln"/>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ln"/>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ln"/>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ln"/>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ln"/>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ln"/>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ln"/>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ln"/>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ln"/>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ln"/>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ln"/>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ln"/>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ln"/>
    <w:next w:val="Normln"/>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ln"/>
    <w:next w:val="Normln"/>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ln"/>
    <w:next w:val="Normln"/>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ln"/>
    <w:next w:val="Normln"/>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ln"/>
    <w:next w:val="Normln"/>
    <w:rsid w:val="000D2D0B"/>
    <w:pPr>
      <w:spacing w:before="360" w:after="120"/>
      <w:jc w:val="center"/>
    </w:pPr>
    <w:rPr>
      <w:rFonts w:ascii="Times New Roman" w:hAnsi="Times New Roman"/>
      <w:sz w:val="24"/>
      <w:lang w:eastAsia="en-US"/>
    </w:rPr>
  </w:style>
  <w:style w:type="paragraph" w:customStyle="1" w:styleId="Confidentialit">
    <w:name w:val="Confidentialité"/>
    <w:basedOn w:val="Normln"/>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ln"/>
    <w:next w:val="Normln"/>
    <w:rsid w:val="000D2D0B"/>
    <w:pPr>
      <w:spacing w:after="240"/>
    </w:pPr>
    <w:rPr>
      <w:rFonts w:ascii="Times New Roman" w:hAnsi="Times New Roman"/>
      <w:sz w:val="24"/>
      <w:lang w:eastAsia="en-US"/>
    </w:rPr>
  </w:style>
  <w:style w:type="paragraph" w:customStyle="1" w:styleId="Datedadoption">
    <w:name w:val="Date d'adoption"/>
    <w:basedOn w:val="Normln"/>
    <w:next w:val="Titreobjet"/>
    <w:rsid w:val="000D2D0B"/>
    <w:pPr>
      <w:spacing w:before="360"/>
      <w:jc w:val="center"/>
    </w:pPr>
    <w:rPr>
      <w:rFonts w:ascii="Times New Roman" w:hAnsi="Times New Roman"/>
      <w:b/>
      <w:sz w:val="24"/>
      <w:lang w:eastAsia="en-US"/>
    </w:rPr>
  </w:style>
  <w:style w:type="paragraph" w:customStyle="1" w:styleId="Emission">
    <w:name w:val="Emission"/>
    <w:basedOn w:val="Normln"/>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ln"/>
    <w:next w:val="Normln"/>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ln"/>
    <w:next w:val="Normln"/>
    <w:rsid w:val="000D2D0B"/>
    <w:pPr>
      <w:keepNext/>
      <w:spacing w:before="600" w:after="120"/>
      <w:jc w:val="both"/>
    </w:pPr>
    <w:rPr>
      <w:rFonts w:ascii="Times New Roman" w:hAnsi="Times New Roman"/>
      <w:sz w:val="24"/>
      <w:lang w:eastAsia="en-US"/>
    </w:rPr>
  </w:style>
  <w:style w:type="paragraph" w:customStyle="1" w:styleId="Langue">
    <w:name w:val="Langue"/>
    <w:basedOn w:val="Normln"/>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ln"/>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ln"/>
    <w:next w:val="Emission"/>
    <w:rsid w:val="000D2D0B"/>
    <w:rPr>
      <w:rFonts w:cs="Arial"/>
      <w:sz w:val="24"/>
      <w:lang w:eastAsia="en-US"/>
    </w:rPr>
  </w:style>
  <w:style w:type="paragraph" w:customStyle="1" w:styleId="Rfrenceinstitutionnelle">
    <w:name w:val="Référence institutionnelle"/>
    <w:basedOn w:val="Normln"/>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ln"/>
    <w:next w:val="Statut"/>
    <w:rsid w:val="000D2D0B"/>
    <w:pPr>
      <w:ind w:left="5103"/>
    </w:pPr>
    <w:rPr>
      <w:rFonts w:ascii="Times New Roman" w:hAnsi="Times New Roman"/>
      <w:sz w:val="24"/>
      <w:lang w:eastAsia="en-US"/>
    </w:rPr>
  </w:style>
  <w:style w:type="paragraph" w:customStyle="1" w:styleId="Rfrenceinterne">
    <w:name w:val="Référence interne"/>
    <w:basedOn w:val="Normln"/>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ln"/>
    <w:rsid w:val="000D2D0B"/>
    <w:pPr>
      <w:jc w:val="center"/>
    </w:pPr>
    <w:rPr>
      <w:rFonts w:ascii="Times New Roman" w:hAnsi="Times New Roman"/>
      <w:b/>
      <w:sz w:val="24"/>
      <w:lang w:eastAsia="en-US"/>
    </w:rPr>
  </w:style>
  <w:style w:type="paragraph" w:customStyle="1" w:styleId="Statut">
    <w:name w:val="Statut"/>
    <w:basedOn w:val="Normln"/>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ln"/>
    <w:next w:val="Normln"/>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ln"/>
    <w:next w:val="Normln"/>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ln"/>
    <w:next w:val="Normln"/>
    <w:rsid w:val="000D2D0B"/>
    <w:pPr>
      <w:spacing w:before="120" w:after="120"/>
      <w:jc w:val="both"/>
    </w:pPr>
    <w:rPr>
      <w:rFonts w:ascii="Times New Roman" w:hAnsi="Times New Roman"/>
      <w:sz w:val="24"/>
      <w:lang w:eastAsia="en-US"/>
    </w:rPr>
  </w:style>
  <w:style w:type="paragraph" w:customStyle="1" w:styleId="Supertitre">
    <w:name w:val="Supertitre"/>
    <w:basedOn w:val="Normln"/>
    <w:next w:val="Normln"/>
    <w:rsid w:val="000D2D0B"/>
    <w:pPr>
      <w:spacing w:after="600"/>
      <w:jc w:val="center"/>
    </w:pPr>
    <w:rPr>
      <w:rFonts w:ascii="Times New Roman" w:hAnsi="Times New Roman"/>
      <w:b/>
      <w:sz w:val="24"/>
      <w:lang w:eastAsia="en-US"/>
    </w:rPr>
  </w:style>
  <w:style w:type="paragraph" w:customStyle="1" w:styleId="Languesfaisantfoi">
    <w:name w:val="Langues faisant foi"/>
    <w:basedOn w:val="Normln"/>
    <w:next w:val="Normln"/>
    <w:rsid w:val="000D2D0B"/>
    <w:pPr>
      <w:spacing w:before="360"/>
      <w:jc w:val="center"/>
    </w:pPr>
    <w:rPr>
      <w:rFonts w:ascii="Times New Roman" w:hAnsi="Times New Roman"/>
      <w:sz w:val="24"/>
      <w:lang w:eastAsia="en-US"/>
    </w:rPr>
  </w:style>
  <w:style w:type="paragraph" w:customStyle="1" w:styleId="Rfrencecroise">
    <w:name w:val="Référence croisée"/>
    <w:basedOn w:val="Normln"/>
    <w:rsid w:val="000D2D0B"/>
    <w:pPr>
      <w:jc w:val="center"/>
    </w:pPr>
    <w:rPr>
      <w:rFonts w:ascii="Times New Roman" w:hAnsi="Times New Roman"/>
      <w:sz w:val="24"/>
      <w:lang w:eastAsia="en-US"/>
    </w:rPr>
  </w:style>
  <w:style w:type="paragraph" w:customStyle="1" w:styleId="Fichefinanciretitre">
    <w:name w:val="Fiche financière titre"/>
    <w:basedOn w:val="Normln"/>
    <w:next w:val="Normln"/>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ln"/>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ln"/>
    <w:rsid w:val="000D2D0B"/>
    <w:pPr>
      <w:spacing w:after="240"/>
    </w:pPr>
  </w:style>
  <w:style w:type="paragraph" w:customStyle="1" w:styleId="Accompagnant">
    <w:name w:val="Accompagnant"/>
    <w:basedOn w:val="Normln"/>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ln"/>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ln"/>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ln"/>
    <w:next w:val="Normln"/>
    <w:rsid w:val="000D2D0B"/>
    <w:pPr>
      <w:spacing w:before="360"/>
      <w:jc w:val="center"/>
    </w:pPr>
    <w:rPr>
      <w:rFonts w:ascii="Times New Roman" w:hAnsi="Times New Roman"/>
      <w:sz w:val="24"/>
      <w:lang w:eastAsia="en-US"/>
    </w:rPr>
  </w:style>
  <w:style w:type="paragraph" w:styleId="slovanseznam2">
    <w:name w:val="List Number 2"/>
    <w:basedOn w:val="Normln"/>
    <w:rsid w:val="000D2D0B"/>
    <w:pPr>
      <w:tabs>
        <w:tab w:val="num" w:pos="643"/>
      </w:tabs>
      <w:spacing w:before="120" w:after="120"/>
      <w:ind w:left="643" w:hanging="360"/>
      <w:jc w:val="both"/>
    </w:pPr>
    <w:rPr>
      <w:rFonts w:ascii="Times New Roman" w:hAnsi="Times New Roman"/>
      <w:sz w:val="24"/>
      <w:lang w:eastAsia="en-US"/>
    </w:rPr>
  </w:style>
  <w:style w:type="paragraph" w:styleId="slovanseznam3">
    <w:name w:val="List Number 3"/>
    <w:basedOn w:val="Normln"/>
    <w:rsid w:val="000D2D0B"/>
    <w:pPr>
      <w:tabs>
        <w:tab w:val="num" w:pos="926"/>
      </w:tabs>
      <w:spacing w:before="120" w:after="120"/>
      <w:ind w:left="926" w:hanging="360"/>
      <w:jc w:val="both"/>
    </w:pPr>
    <w:rPr>
      <w:rFonts w:ascii="Times New Roman" w:hAnsi="Times New Roman"/>
      <w:sz w:val="24"/>
      <w:lang w:eastAsia="en-US"/>
    </w:rPr>
  </w:style>
  <w:style w:type="paragraph" w:styleId="slovanseznam4">
    <w:name w:val="List Number 4"/>
    <w:basedOn w:val="Normln"/>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Seznamsodrkami">
    <w:name w:val="List Bullet"/>
    <w:basedOn w:val="Normln"/>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Seznamsodrkami2">
    <w:name w:val="List Bullet 2"/>
    <w:basedOn w:val="Normln"/>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Seznamsodrkami3">
    <w:name w:val="List Bullet 3"/>
    <w:basedOn w:val="Normln"/>
    <w:rsid w:val="000D2D0B"/>
    <w:pPr>
      <w:numPr>
        <w:numId w:val="16"/>
      </w:numPr>
      <w:tabs>
        <w:tab w:val="num" w:pos="926"/>
      </w:tabs>
      <w:spacing w:before="120" w:after="120"/>
      <w:ind w:left="926"/>
      <w:jc w:val="both"/>
    </w:pPr>
    <w:rPr>
      <w:rFonts w:ascii="Times New Roman" w:hAnsi="Times New Roman"/>
      <w:sz w:val="24"/>
      <w:lang w:eastAsia="en-US"/>
    </w:rPr>
  </w:style>
  <w:style w:type="paragraph" w:styleId="Seznamsodrkami4">
    <w:name w:val="List Bullet 4"/>
    <w:basedOn w:val="Normln"/>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eznamobrzk">
    <w:name w:val="table of figures"/>
    <w:basedOn w:val="Normln"/>
    <w:next w:val="Normln"/>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ln"/>
    <w:rsid w:val="000D2D0B"/>
    <w:pPr>
      <w:ind w:left="720"/>
      <w:contextualSpacing/>
    </w:pPr>
    <w:rPr>
      <w:rFonts w:ascii="Cambria" w:hAnsi="Cambria"/>
      <w:sz w:val="24"/>
      <w:lang w:val="en-US" w:eastAsia="en-US"/>
    </w:rPr>
  </w:style>
  <w:style w:type="paragraph" w:customStyle="1" w:styleId="Listeavsnitt1">
    <w:name w:val="Listeavsnitt1"/>
    <w:basedOn w:val="Normln"/>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ln"/>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ln"/>
    <w:uiPriority w:val="99"/>
    <w:rsid w:val="000D2D0B"/>
    <w:pPr>
      <w:ind w:left="720"/>
      <w:contextualSpacing/>
    </w:pPr>
    <w:rPr>
      <w:rFonts w:ascii="Cambria" w:hAnsi="Cambria"/>
      <w:sz w:val="24"/>
      <w:lang w:val="en-US" w:eastAsia="en-US"/>
    </w:rPr>
  </w:style>
  <w:style w:type="paragraph" w:customStyle="1" w:styleId="ListParagraph2">
    <w:name w:val="List Paragraph2"/>
    <w:basedOn w:val="Normln"/>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dpis1"/>
    <w:next w:val="Normln"/>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ln"/>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ln"/>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ln"/>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ln"/>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ln"/>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ln"/>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Nzev">
    <w:name w:val="Title"/>
    <w:basedOn w:val="Normln"/>
    <w:next w:val="Normln"/>
    <w:link w:val="Nzev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NzevChar">
    <w:name w:val="Název Char"/>
    <w:link w:val="Nzev"/>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ln"/>
    <w:rsid w:val="000D2D0B"/>
    <w:pPr>
      <w:spacing w:before="320" w:line="260" w:lineRule="exact"/>
      <w:jc w:val="both"/>
    </w:pPr>
    <w:rPr>
      <w:rFonts w:ascii="Myriad Pro Light" w:hAnsi="Myriad Pro Light"/>
      <w:b/>
      <w:sz w:val="21"/>
      <w:szCs w:val="20"/>
      <w:lang w:val="es-ES" w:eastAsia="es-ES"/>
    </w:rPr>
  </w:style>
  <w:style w:type="character" w:customStyle="1" w:styleId="RevizeChar">
    <w:name w:val="Revize Char"/>
    <w:link w:val="Revize"/>
    <w:uiPriority w:val="99"/>
    <w:semiHidden/>
    <w:locked/>
    <w:rsid w:val="000D2D0B"/>
    <w:rPr>
      <w:rFonts w:ascii="Georgia" w:hAnsi="Georgia"/>
      <w:sz w:val="22"/>
      <w:szCs w:val="24"/>
      <w:lang w:eastAsia="de-DE"/>
    </w:rPr>
  </w:style>
  <w:style w:type="table" w:customStyle="1" w:styleId="TableGrid2">
    <w:name w:val="Table Grid2"/>
    <w:basedOn w:val="Normlntabulka"/>
    <w:next w:val="Mkatabulky"/>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aliases w:val="Question"/>
    <w:uiPriority w:val="19"/>
    <w:qFormat/>
    <w:rsid w:val="003A6E9A"/>
    <w:rPr>
      <w:b/>
      <w:i w:val="0"/>
      <w:iCs/>
      <w:sz w:val="20"/>
    </w:rPr>
  </w:style>
  <w:style w:type="paragraph" w:customStyle="1" w:styleId="NEW-Paragraph-Level1">
    <w:name w:val="NEW-Paragraph-Level1"/>
    <w:basedOn w:val="Normln"/>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ln"/>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ln"/>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ln"/>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ln"/>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ln"/>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ln"/>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ln"/>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ln"/>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ln"/>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ln"/>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ln"/>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npsmoodstavc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Zdraznnintenzivn">
    <w:name w:val="Intense Emphasis"/>
    <w:basedOn w:val="Standardnpsmoodstavce"/>
    <w:uiPriority w:val="21"/>
    <w:qFormat/>
    <w:rsid w:val="00D34282"/>
    <w:rPr>
      <w:b/>
      <w:bCs/>
      <w:i/>
      <w:iCs/>
    </w:rPr>
  </w:style>
  <w:style w:type="character" w:customStyle="1" w:styleId="CPTitle1Char">
    <w:name w:val="CP_Title1 Char"/>
    <w:basedOn w:val="Standardnpsmoodstavce"/>
    <w:link w:val="CPTitle1"/>
    <w:locked/>
    <w:rsid w:val="00D34282"/>
    <w:rPr>
      <w:rFonts w:asciiTheme="majorHAnsi" w:eastAsiaTheme="majorEastAsia" w:hAnsiTheme="majorHAnsi" w:cstheme="majorHAnsi"/>
      <w:b/>
      <w:sz w:val="32"/>
      <w:szCs w:val="32"/>
    </w:rPr>
  </w:style>
  <w:style w:type="paragraph" w:customStyle="1" w:styleId="CPTitle1">
    <w:name w:val="CP_Title1"/>
    <w:basedOn w:val="Nadpis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dpis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ln"/>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ln"/>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ln"/>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ln"/>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ln"/>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ln"/>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E1CE-2474-428E-B66B-5677BDD2D7BB}">
  <ds:schemaRefs>
    <ds:schemaRef ds:uri="http://schemas.openxmlformats.org/officeDocument/2006/bibliography"/>
  </ds:schemaRefs>
</ds:datastoreItem>
</file>

<file path=customXml/itemProps2.xml><?xml version="1.0" encoding="utf-8"?>
<ds:datastoreItem xmlns:ds="http://schemas.openxmlformats.org/officeDocument/2006/customXml" ds:itemID="{98E4CB2C-088A-4925-9C66-B14EB5D7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6497</Words>
  <Characters>38337</Characters>
  <Application>Microsoft Office Word</Application>
  <DocSecurity>8</DocSecurity>
  <Lines>319</Lines>
  <Paragraphs>89</Paragraphs>
  <ScaleCrop>false</ScaleCrop>
  <HeadingPairs>
    <vt:vector size="12" baseType="variant">
      <vt:variant>
        <vt:lpstr>Název</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44745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Jana</cp:lastModifiedBy>
  <cp:revision>2</cp:revision>
  <cp:lastPrinted>2015-02-18T11:01:00Z</cp:lastPrinted>
  <dcterms:created xsi:type="dcterms:W3CDTF">2015-08-12T12:25:00Z</dcterms:created>
  <dcterms:modified xsi:type="dcterms:W3CDTF">2015-08-12T12:25:00Z</dcterms:modified>
</cp:coreProperties>
</file>