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FC7841" w:rsidP="00BF557C">
            <w:pPr>
              <w:pStyle w:val="00bDBInfo"/>
              <w:rPr>
                <w:rFonts w:cs="Arial"/>
              </w:rPr>
            </w:pPr>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7E2302" w:rsidRPr="00F520E3" w:rsidRDefault="007E2302" w:rsidP="007E2302">
      <w:pPr>
        <w:jc w:val="both"/>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7E2302" w:rsidRPr="00F520E3" w:rsidRDefault="007E2302" w:rsidP="007E2302">
      <w:pPr>
        <w:jc w:val="both"/>
      </w:pPr>
      <w:bookmarkStart w:id="2"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FootnoteReference"/>
        </w:rPr>
        <w:footnoteReference w:id="2"/>
      </w:r>
      <w:r w:rsidRPr="00F520E3">
        <w:t xml:space="preserve"> We may consult you if we receive such a request. Any decision we make not to disclose the response is reviewable by the Board of Appeal of the ESAs and the European Ombud</w:t>
      </w:r>
      <w:r w:rsidRPr="00F520E3">
        <w:t>s</w:t>
      </w:r>
      <w:r w:rsidRPr="00F520E3">
        <w:t xml:space="preserve">man.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891A39">
        <w:tc>
          <w:tcPr>
            <w:tcW w:w="3929" w:type="dxa"/>
            <w:shd w:val="clear" w:color="auto" w:fill="auto"/>
          </w:tcPr>
          <w:p w:rsidR="00D34282" w:rsidRPr="00AB6D88" w:rsidRDefault="00D34282" w:rsidP="00891A39">
            <w:pPr>
              <w:rPr>
                <w:rFonts w:cs="Arial"/>
              </w:rPr>
            </w:pPr>
            <w:permStart w:id="1919896713" w:edGrp="everyone" w:colFirst="1" w:colLast="1"/>
            <w:r w:rsidRPr="00AB6D88">
              <w:rPr>
                <w:rFonts w:cs="Arial"/>
              </w:rPr>
              <w:t>Name of the company / organisation</w:t>
            </w:r>
          </w:p>
        </w:tc>
        <w:sdt>
          <w:sdtPr>
            <w:rPr>
              <w:rStyle w:val="PlaceholderText"/>
              <w:rFonts w:cs="Arial"/>
            </w:rPr>
            <w:id w:val="-1905066999"/>
            <w:text/>
          </w:sdtPr>
          <w:sdtEndPr>
            <w:rPr>
              <w:rStyle w:val="PlaceholderText"/>
            </w:rPr>
          </w:sdtEndPr>
          <w:sdtContent>
            <w:permStart w:id="1911647241" w:edGrp="everyone" w:displacedByCustomXml="prev"/>
            <w:tc>
              <w:tcPr>
                <w:tcW w:w="5595" w:type="dxa"/>
                <w:shd w:val="clear" w:color="auto" w:fill="auto"/>
              </w:tcPr>
              <w:p w:rsidR="00D34282" w:rsidRPr="00AB6D88" w:rsidRDefault="001D7689" w:rsidP="00AC468B">
                <w:pPr>
                  <w:rPr>
                    <w:rStyle w:val="PlaceholderText"/>
                    <w:rFonts w:cs="Arial"/>
                  </w:rPr>
                </w:pPr>
                <w:r>
                  <w:rPr>
                    <w:rStyle w:val="PlaceholderText"/>
                    <w:rFonts w:cs="Arial"/>
                  </w:rPr>
                  <w:t xml:space="preserve">The </w:t>
                </w:r>
                <w:r w:rsidR="00AC468B">
                  <w:rPr>
                    <w:rStyle w:val="PlaceholderText"/>
                    <w:rFonts w:cs="Arial"/>
                  </w:rPr>
                  <w:t>Association of Investment Companies</w:t>
                </w:r>
              </w:p>
            </w:tc>
            <w:permEnd w:id="1911647241" w:displacedByCustomXml="next"/>
          </w:sdtContent>
        </w:sdt>
      </w:tr>
      <w:tr w:rsidR="00D34282" w:rsidRPr="00AB6D88" w:rsidTr="00891A39">
        <w:tc>
          <w:tcPr>
            <w:tcW w:w="3929" w:type="dxa"/>
            <w:shd w:val="clear" w:color="auto" w:fill="auto"/>
          </w:tcPr>
          <w:p w:rsidR="00D34282" w:rsidRPr="00AB6D88" w:rsidRDefault="00D34282" w:rsidP="00891A39">
            <w:pPr>
              <w:rPr>
                <w:rFonts w:cs="Arial"/>
              </w:rPr>
            </w:pPr>
            <w:permStart w:id="1293899263" w:edGrp="everyone" w:colFirst="1" w:colLast="1"/>
            <w:permEnd w:id="1919896713"/>
            <w:r w:rsidRPr="00AB6D88">
              <w:rPr>
                <w:rFonts w:cs="Arial"/>
              </w:rPr>
              <w:t>Activity</w:t>
            </w:r>
          </w:p>
        </w:tc>
        <w:tc>
          <w:tcPr>
            <w:tcW w:w="5595" w:type="dxa"/>
            <w:shd w:val="clear" w:color="auto" w:fill="auto"/>
          </w:tcPr>
          <w:p w:rsidR="00D34282" w:rsidRPr="00AB6D88" w:rsidRDefault="001D7689" w:rsidP="00891A39">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868123216" w:edGrp="everyone"/>
                <w:r w:rsidR="00AC468B">
                  <w:rPr>
                    <w:rFonts w:cs="Arial"/>
                  </w:rPr>
                  <w:t>Investment Services</w:t>
                </w:r>
                <w:permEnd w:id="1868123216"/>
              </w:sdtContent>
            </w:sdt>
          </w:p>
        </w:tc>
      </w:tr>
      <w:tr w:rsidR="00D34282" w:rsidRPr="00AB6D88" w:rsidTr="00891A39">
        <w:tc>
          <w:tcPr>
            <w:tcW w:w="3929" w:type="dxa"/>
            <w:shd w:val="clear" w:color="auto" w:fill="auto"/>
          </w:tcPr>
          <w:p w:rsidR="00D34282" w:rsidRPr="00AB6D88" w:rsidRDefault="00D34282" w:rsidP="00891A39">
            <w:pPr>
              <w:rPr>
                <w:rFonts w:cs="Arial"/>
              </w:rPr>
            </w:pPr>
            <w:permStart w:id="1310417247" w:edGrp="everyone" w:colFirst="1" w:colLast="1"/>
            <w:permEnd w:id="1293899263"/>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rsidR="00D34282" w:rsidRPr="00AB6D88" w:rsidRDefault="00AC468B" w:rsidP="00891A39">
                <w:pPr>
                  <w:rPr>
                    <w:rFonts w:cs="Arial"/>
                  </w:rPr>
                </w:pPr>
                <w:r>
                  <w:rPr>
                    <w:rFonts w:ascii="MS Gothic" w:eastAsia="MS Gothic" w:hAnsi="MS Gothic" w:cs="Arial" w:hint="eastAsia"/>
                  </w:rPr>
                  <w:t>☒</w:t>
                </w:r>
              </w:p>
            </w:tc>
          </w:sdtContent>
        </w:sdt>
      </w:tr>
      <w:tr w:rsidR="00D34282" w:rsidRPr="00AB6D88" w:rsidTr="00891A39">
        <w:tc>
          <w:tcPr>
            <w:tcW w:w="3929" w:type="dxa"/>
            <w:shd w:val="clear" w:color="auto" w:fill="auto"/>
          </w:tcPr>
          <w:p w:rsidR="00D34282" w:rsidRPr="00AB6D88" w:rsidRDefault="00D34282" w:rsidP="00891A39">
            <w:pPr>
              <w:rPr>
                <w:rFonts w:cs="Arial"/>
              </w:rPr>
            </w:pPr>
            <w:permStart w:id="970073545" w:edGrp="everyone" w:colFirst="1" w:colLast="1"/>
            <w:permEnd w:id="1310417247"/>
            <w:r w:rsidRPr="00AB6D88">
              <w:rPr>
                <w:rFonts w:cs="Arial"/>
              </w:rPr>
              <w:t>Country/Region</w:t>
            </w:r>
          </w:p>
        </w:tc>
        <w:permStart w:id="1579826235"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87961179" w:edGrp="everyone" w:displacedByCustomXml="prev"/>
            <w:tc>
              <w:tcPr>
                <w:tcW w:w="5595" w:type="dxa"/>
                <w:shd w:val="clear" w:color="auto" w:fill="auto"/>
              </w:tcPr>
              <w:p w:rsidR="00D34282" w:rsidRPr="00AB6D88" w:rsidRDefault="00AC468B" w:rsidP="00891A39">
                <w:pPr>
                  <w:rPr>
                    <w:rFonts w:cs="Arial"/>
                  </w:rPr>
                </w:pPr>
                <w:r>
                  <w:rPr>
                    <w:rFonts w:cs="Arial"/>
                  </w:rPr>
                  <w:t>UK</w:t>
                </w:r>
              </w:p>
            </w:tc>
            <w:permEnd w:id="87961179" w:displacedByCustomXml="next"/>
          </w:sdtContent>
        </w:sdt>
        <w:permEnd w:id="1579826235" w:displacedByCustomXml="prev"/>
      </w:tr>
      <w:permEnd w:id="970073545"/>
    </w:tbl>
    <w:p w:rsidR="00D34282" w:rsidRDefault="00D34282" w:rsidP="00D34282">
      <w:pPr>
        <w:spacing w:after="120" w:line="264" w:lineRule="auto"/>
      </w:pPr>
    </w:p>
    <w:p w:rsidR="00D34282" w:rsidRDefault="00D34282" w:rsidP="00D34282">
      <w:pPr>
        <w:spacing w:after="120" w:line="264" w:lineRule="auto"/>
      </w:pPr>
      <w:bookmarkStart w:id="3" w:name="_GoBack"/>
      <w:bookmarkEnd w:id="3"/>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w:t>
      </w:r>
      <w:r w:rsidR="00F31E57" w:rsidRPr="00F31E57">
        <w:t>COMMENT_PRIIPs</w:t>
      </w:r>
      <w:r w:rsidRPr="00C25863">
        <w:t>_1&gt;</w:t>
      </w:r>
    </w:p>
    <w:p w:rsidR="00023A2D" w:rsidRDefault="00023A2D" w:rsidP="00023A2D">
      <w:pPr>
        <w:spacing w:after="150" w:line="240" w:lineRule="atLeast"/>
        <w:jc w:val="both"/>
        <w:rPr>
          <w:rFonts w:cs="Arial"/>
          <w:color w:val="303A40"/>
        </w:rPr>
      </w:pPr>
      <w:permStart w:id="150429248" w:edGrp="everyone"/>
      <w:r>
        <w:rPr>
          <w:rFonts w:cs="Arial"/>
          <w:color w:val="303A40"/>
        </w:rPr>
        <w:t xml:space="preserve">The AIC </w:t>
      </w:r>
      <w:r w:rsidR="00AB4F06" w:rsidRPr="00AB4F06">
        <w:rPr>
          <w:rFonts w:cs="Arial"/>
          <w:b/>
          <w:color w:val="303A40"/>
          <w:u w:val="single"/>
        </w:rPr>
        <w:t>recommends</w:t>
      </w:r>
      <w:r w:rsidR="00AB4F06">
        <w:rPr>
          <w:rFonts w:cs="Arial"/>
          <w:color w:val="303A40"/>
        </w:rPr>
        <w:t xml:space="preserve"> </w:t>
      </w:r>
      <w:r>
        <w:rPr>
          <w:rFonts w:cs="Arial"/>
          <w:color w:val="303A40"/>
        </w:rPr>
        <w:t>that the following principles should apply to the PRIIPs KID:</w:t>
      </w:r>
    </w:p>
    <w:p w:rsidR="00023A2D" w:rsidRDefault="00023A2D" w:rsidP="00023A2D">
      <w:pPr>
        <w:pStyle w:val="ListParagraph"/>
        <w:numPr>
          <w:ilvl w:val="0"/>
          <w:numId w:val="54"/>
        </w:numPr>
        <w:spacing w:after="150" w:line="240" w:lineRule="atLeast"/>
        <w:jc w:val="both"/>
        <w:rPr>
          <w:rFonts w:cs="Arial"/>
          <w:color w:val="303A40"/>
        </w:rPr>
      </w:pPr>
      <w:r>
        <w:rPr>
          <w:rFonts w:cs="Arial"/>
          <w:color w:val="303A40"/>
        </w:rPr>
        <w:t xml:space="preserve">Cost disclosure made in a PRIIPs KID should also be sufficient to meet all the requirements for the funds element of </w:t>
      </w:r>
      <w:proofErr w:type="spellStart"/>
      <w:r>
        <w:rPr>
          <w:rFonts w:cs="Arial"/>
          <w:color w:val="303A40"/>
        </w:rPr>
        <w:t>MiFID</w:t>
      </w:r>
      <w:proofErr w:type="spellEnd"/>
      <w:r>
        <w:rPr>
          <w:rFonts w:cs="Arial"/>
          <w:color w:val="303A40"/>
        </w:rPr>
        <w:t xml:space="preserve"> cost disclosure, in order to minimise confusion for consumers and e</w:t>
      </w:r>
      <w:r>
        <w:rPr>
          <w:rFonts w:cs="Arial"/>
          <w:color w:val="303A40"/>
        </w:rPr>
        <w:t>n</w:t>
      </w:r>
      <w:r>
        <w:rPr>
          <w:rFonts w:cs="Arial"/>
          <w:color w:val="303A40"/>
        </w:rPr>
        <w:t>sure that firms can work on the same basis.</w:t>
      </w:r>
    </w:p>
    <w:p w:rsidR="00023A2D" w:rsidRDefault="00023A2D" w:rsidP="00023A2D">
      <w:pPr>
        <w:pStyle w:val="ListParagraph"/>
        <w:numPr>
          <w:ilvl w:val="0"/>
          <w:numId w:val="54"/>
        </w:numPr>
        <w:spacing w:after="150" w:line="240" w:lineRule="atLeast"/>
        <w:jc w:val="both"/>
        <w:rPr>
          <w:rFonts w:cs="Arial"/>
          <w:color w:val="303A40"/>
        </w:rPr>
      </w:pPr>
      <w:r>
        <w:rPr>
          <w:rFonts w:cs="Arial"/>
          <w:color w:val="303A40"/>
        </w:rPr>
        <w:t xml:space="preserve">Disclosure of past costs, </w:t>
      </w:r>
      <w:proofErr w:type="gramStart"/>
      <w:r>
        <w:rPr>
          <w:rFonts w:cs="Arial"/>
          <w:color w:val="303A40"/>
        </w:rPr>
        <w:t>risk and performance needs to be helpful to consumers and provide a headline indication of the main risks, but without suggesting it provides</w:t>
      </w:r>
      <w:proofErr w:type="gramEnd"/>
      <w:r>
        <w:rPr>
          <w:rFonts w:cs="Arial"/>
          <w:color w:val="303A40"/>
        </w:rPr>
        <w:t xml:space="preserve"> any guide to the future.  </w:t>
      </w:r>
    </w:p>
    <w:p w:rsidR="00023A2D" w:rsidRDefault="00023A2D" w:rsidP="00023A2D">
      <w:pPr>
        <w:pStyle w:val="ListParagraph"/>
        <w:numPr>
          <w:ilvl w:val="0"/>
          <w:numId w:val="54"/>
        </w:numPr>
        <w:spacing w:after="150" w:line="240" w:lineRule="atLeast"/>
        <w:jc w:val="both"/>
        <w:rPr>
          <w:rFonts w:cs="Arial"/>
          <w:color w:val="303A40"/>
        </w:rPr>
      </w:pPr>
      <w:r>
        <w:rPr>
          <w:rFonts w:cs="Arial"/>
          <w:color w:val="303A40"/>
        </w:rPr>
        <w:t xml:space="preserve">The PRIIPs requirements should allow flexibility to enable the most useful disclosure of relevant information for that particular product.  </w:t>
      </w:r>
    </w:p>
    <w:p w:rsidR="00023A2D" w:rsidRDefault="00023A2D" w:rsidP="00023A2D">
      <w:pPr>
        <w:pStyle w:val="ListParagraph"/>
        <w:numPr>
          <w:ilvl w:val="0"/>
          <w:numId w:val="54"/>
        </w:numPr>
        <w:spacing w:after="150" w:line="240" w:lineRule="atLeast"/>
        <w:jc w:val="both"/>
        <w:rPr>
          <w:rFonts w:cs="Arial"/>
          <w:color w:val="303A40"/>
        </w:rPr>
      </w:pPr>
      <w:r w:rsidRPr="00023E30">
        <w:rPr>
          <w:rFonts w:cs="Arial"/>
          <w:color w:val="303A40"/>
        </w:rPr>
        <w:t>The KID should, broadly, only contain information over which the manufacturer has con</w:t>
      </w:r>
      <w:r>
        <w:rPr>
          <w:rFonts w:cs="Arial"/>
          <w:color w:val="303A40"/>
        </w:rPr>
        <w:t>trol.  The manufacturer might not,</w:t>
      </w:r>
      <w:r w:rsidRPr="00023E30">
        <w:rPr>
          <w:rFonts w:cs="Arial"/>
          <w:color w:val="303A40"/>
        </w:rPr>
        <w:t xml:space="preserve"> for example</w:t>
      </w:r>
      <w:r>
        <w:rPr>
          <w:rFonts w:cs="Arial"/>
          <w:color w:val="303A40"/>
        </w:rPr>
        <w:t>,</w:t>
      </w:r>
      <w:r w:rsidRPr="00023E30">
        <w:rPr>
          <w:rFonts w:cs="Arial"/>
          <w:color w:val="303A40"/>
        </w:rPr>
        <w:t xml:space="preserve"> have any involvement in the distribution of secondary ma</w:t>
      </w:r>
      <w:r w:rsidRPr="00023E30">
        <w:rPr>
          <w:rFonts w:cs="Arial"/>
          <w:color w:val="303A40"/>
        </w:rPr>
        <w:t>r</w:t>
      </w:r>
      <w:r w:rsidRPr="00023E30">
        <w:rPr>
          <w:rFonts w:cs="Arial"/>
          <w:color w:val="303A40"/>
        </w:rPr>
        <w:t xml:space="preserve">ket traded products and should not therefore include </w:t>
      </w:r>
      <w:r>
        <w:rPr>
          <w:rFonts w:cs="Arial"/>
          <w:color w:val="303A40"/>
        </w:rPr>
        <w:t xml:space="preserve">specific </w:t>
      </w:r>
      <w:r w:rsidRPr="00023E30">
        <w:rPr>
          <w:rFonts w:cs="Arial"/>
          <w:color w:val="303A40"/>
        </w:rPr>
        <w:t xml:space="preserve">distribution costs in the KID.  </w:t>
      </w:r>
    </w:p>
    <w:p w:rsidR="00023A2D" w:rsidRDefault="00023A2D" w:rsidP="00023A2D">
      <w:pPr>
        <w:pStyle w:val="ListParagraph"/>
        <w:numPr>
          <w:ilvl w:val="0"/>
          <w:numId w:val="54"/>
        </w:numPr>
        <w:spacing w:after="150" w:line="240" w:lineRule="atLeast"/>
        <w:jc w:val="both"/>
        <w:rPr>
          <w:rFonts w:cs="Arial"/>
          <w:color w:val="303A40"/>
        </w:rPr>
      </w:pPr>
      <w:r>
        <w:rPr>
          <w:rFonts w:cs="Arial"/>
          <w:color w:val="303A40"/>
        </w:rPr>
        <w:t xml:space="preserve">The approach adopted should build on current practice and methodologies to deliver compliant disclosure which minimises the cost and complexity of compliance. </w:t>
      </w:r>
    </w:p>
    <w:p w:rsidR="00023A2D" w:rsidRDefault="00023A2D" w:rsidP="00023A2D">
      <w:pPr>
        <w:spacing w:after="150" w:line="240" w:lineRule="atLeast"/>
        <w:jc w:val="both"/>
        <w:rPr>
          <w:rFonts w:cs="Arial"/>
          <w:color w:val="303A40"/>
        </w:rPr>
      </w:pPr>
      <w:r>
        <w:rPr>
          <w:rFonts w:cs="Arial"/>
          <w:color w:val="303A40"/>
        </w:rPr>
        <w:t xml:space="preserve">The timing of the process to introduce the new standards is also of importance to firms.  Those firms that produce KIDs will need sufficient time to prepare for their introduction.  This means that the regulatory technical standards need to be finalised in sufficient time to allow firms plenty of time to prepare the KIDs that will be introduced.  </w:t>
      </w:r>
    </w:p>
    <w:permEnd w:id="150429248"/>
    <w:p w:rsidR="00D34282" w:rsidRDefault="00D34282" w:rsidP="00D34282">
      <w:r w:rsidRPr="00C25863">
        <w:t>&lt;</w:t>
      </w:r>
      <w:r w:rsidRPr="00D74C9D">
        <w:t xml:space="preserve"> </w:t>
      </w:r>
      <w:r>
        <w:t>ESMA_</w:t>
      </w:r>
      <w:r w:rsidR="00F31E57" w:rsidRPr="00F31E57">
        <w:t>COMMENT_PRIIPs</w:t>
      </w:r>
      <w:r w:rsidRPr="00C25863">
        <w:t>_1&gt;</w:t>
      </w:r>
    </w:p>
    <w:p w:rsidR="00F31E57" w:rsidRDefault="00F31E57" w:rsidP="00D34282"/>
    <w:p w:rsidR="00F31E57" w:rsidRDefault="00F31E57">
      <w:r>
        <w:br w:type="page"/>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preference on the general approach how a distribution of returns should be established for the risk indic</w:t>
      </w:r>
      <w:r w:rsidR="001A5E5C">
        <w:t xml:space="preserve">ator and performance scenarios’ </w:t>
      </w:r>
      <w:r>
        <w:t>purposes. I</w:t>
      </w:r>
      <w:r>
        <w:t>n</w:t>
      </w:r>
      <w:r>
        <w:t xml:space="preserve">clude your considerations and caveats. </w:t>
      </w:r>
    </w:p>
    <w:p w:rsidR="00F31E57" w:rsidRDefault="00F31E57" w:rsidP="00F31E57"/>
    <w:p w:rsidR="00F31E57" w:rsidRDefault="00F31E57" w:rsidP="00F31E57">
      <w:r>
        <w:t>&lt;ESMA_QUESTION_PRIIPs_1&gt;</w:t>
      </w:r>
    </w:p>
    <w:p w:rsidR="0079730A" w:rsidRDefault="0095775A" w:rsidP="00F31E57">
      <w:permStart w:id="108276444" w:edGrp="everyone"/>
      <w:r>
        <w:t xml:space="preserve">The AIC </w:t>
      </w:r>
      <w:r w:rsidRPr="0079730A">
        <w:rPr>
          <w:b/>
          <w:u w:val="single"/>
        </w:rPr>
        <w:t>recommend</w:t>
      </w:r>
      <w:r w:rsidR="00AC468B" w:rsidRPr="0079730A">
        <w:rPr>
          <w:b/>
          <w:u w:val="single"/>
        </w:rPr>
        <w:t>s</w:t>
      </w:r>
      <w:r w:rsidR="00DC7EE2">
        <w:t xml:space="preserve"> that the disclosure</w:t>
      </w:r>
      <w:r w:rsidR="00AC468B">
        <w:t xml:space="preserve"> of returns should be based on historical data where possible, accompanied by a clear explanation that this offers no expectation of a future return.  Modelling of perfo</w:t>
      </w:r>
      <w:r w:rsidR="00AC468B">
        <w:t>r</w:t>
      </w:r>
      <w:r w:rsidR="00AC468B">
        <w:t>mance should only be used where there</w:t>
      </w:r>
      <w:r w:rsidR="00AB1BEA">
        <w:t xml:space="preserve"> is</w:t>
      </w:r>
      <w:r w:rsidR="00AC468B">
        <w:t xml:space="preserve"> insufficient data to be able to use historical data.  </w:t>
      </w:r>
    </w:p>
    <w:p w:rsidR="0079730A" w:rsidRDefault="0079730A" w:rsidP="00F31E57"/>
    <w:p w:rsidR="00AC468B" w:rsidRDefault="00AC468B" w:rsidP="00F31E57">
      <w:r>
        <w:t xml:space="preserve">Performance should be </w:t>
      </w:r>
      <w:r w:rsidR="0095775A">
        <w:t xml:space="preserve">shown in a single scenario </w:t>
      </w:r>
      <w:r>
        <w:t xml:space="preserve">based on ‘total share return’ over time – </w:t>
      </w:r>
      <w:r w:rsidR="0098702D">
        <w:t xml:space="preserve">i.e. </w:t>
      </w:r>
      <w:r>
        <w:t xml:space="preserve">it should show the value of the product over time, based on all income being reinvested.  </w:t>
      </w:r>
      <w:r w:rsidR="0095775A">
        <w:t xml:space="preserve"> It should also be shown net of costs as this is more relevant for consumers.  </w:t>
      </w:r>
    </w:p>
    <w:p w:rsidR="0095775A" w:rsidRDefault="0095775A" w:rsidP="00F31E57"/>
    <w:p w:rsidR="00AC468B" w:rsidRDefault="004F5BA0" w:rsidP="00F31E57">
      <w:r>
        <w:t xml:space="preserve">Using </w:t>
      </w:r>
      <w:r w:rsidR="00AC468B">
        <w:t>historical data has a number of advantages.  This includes</w:t>
      </w:r>
      <w:r w:rsidR="0095775A">
        <w:t>:</w:t>
      </w:r>
    </w:p>
    <w:p w:rsidR="00AC468B" w:rsidRDefault="00AC468B" w:rsidP="00AC468B">
      <w:pPr>
        <w:pStyle w:val="ListParagraph"/>
        <w:numPr>
          <w:ilvl w:val="0"/>
          <w:numId w:val="51"/>
        </w:numPr>
      </w:pPr>
      <w:r>
        <w:t xml:space="preserve">Ready access to the information needed to establish the distribution of returns.  </w:t>
      </w:r>
    </w:p>
    <w:p w:rsidR="006565A7" w:rsidRDefault="00AC468B" w:rsidP="00AC468B">
      <w:pPr>
        <w:pStyle w:val="ListParagraph"/>
        <w:numPr>
          <w:ilvl w:val="0"/>
          <w:numId w:val="51"/>
        </w:numPr>
      </w:pPr>
      <w:r>
        <w:t xml:space="preserve">Any modelling </w:t>
      </w:r>
      <w:r w:rsidR="006565A7">
        <w:t>will inevitably rely on assumptions made in the model about future performance which are not required when using historical data.</w:t>
      </w:r>
    </w:p>
    <w:p w:rsidR="0095775A" w:rsidRDefault="006565A7" w:rsidP="0095775A">
      <w:pPr>
        <w:pStyle w:val="ListParagraph"/>
        <w:numPr>
          <w:ilvl w:val="0"/>
          <w:numId w:val="51"/>
        </w:numPr>
      </w:pPr>
      <w:r>
        <w:t xml:space="preserve">Models will, potentially, be more complex for </w:t>
      </w:r>
      <w:r w:rsidR="00F0363C">
        <w:t xml:space="preserve">the product manufacturer to apply and the greater the complexity (and potentially the greater the number of assumptions involved in the model) the harder it will be to ensure consistency between different KIDs. </w:t>
      </w:r>
    </w:p>
    <w:permEnd w:id="108276444"/>
    <w:p w:rsidR="00F31E57" w:rsidRDefault="00F31E57" w:rsidP="00F31E57">
      <w:r>
        <w:t>&lt;ESMA_QUESTION_PRIIPs_1&gt;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w:t>
      </w:r>
      <w:r>
        <w:t>e</w:t>
      </w:r>
      <w:r>
        <w:t>termining performance under a variety of scenarios?</w:t>
      </w:r>
    </w:p>
    <w:p w:rsidR="00F31E57" w:rsidRDefault="00F31E57" w:rsidP="00F31E57"/>
    <w:p w:rsidR="00F31E57" w:rsidRDefault="00F31E57" w:rsidP="00F31E57">
      <w:r>
        <w:t>&lt;ESMA_QUESTION_PRIIPs_2&gt;</w:t>
      </w:r>
    </w:p>
    <w:p w:rsidR="006565A7" w:rsidRDefault="006565A7" w:rsidP="00F31E57">
      <w:permStart w:id="761609517" w:edGrp="everyone"/>
      <w:r>
        <w:t>As set out in Q</w:t>
      </w:r>
      <w:r w:rsidR="00A05E9B">
        <w:t xml:space="preserve"> </w:t>
      </w:r>
      <w:r w:rsidR="00127BF4">
        <w:t xml:space="preserve">1, the AIC </w:t>
      </w:r>
      <w:r w:rsidRPr="00127BF4">
        <w:rPr>
          <w:b/>
          <w:u w:val="single"/>
        </w:rPr>
        <w:t>recommends</w:t>
      </w:r>
      <w:r>
        <w:t xml:space="preserve"> the use of hist</w:t>
      </w:r>
      <w:r w:rsidR="00AB1BEA">
        <w:t>orical data for establishing a measure of perfo</w:t>
      </w:r>
      <w:r w:rsidR="00AB1BEA">
        <w:t>r</w:t>
      </w:r>
      <w:r w:rsidR="00AB1BEA">
        <w:t xml:space="preserve">mance. </w:t>
      </w:r>
      <w:r>
        <w:t xml:space="preserve">  </w:t>
      </w:r>
    </w:p>
    <w:p w:rsidR="006565A7" w:rsidRDefault="006565A7" w:rsidP="00F31E57"/>
    <w:p w:rsidR="00891A39" w:rsidRDefault="006565A7" w:rsidP="00F31E57">
      <w:r>
        <w:t xml:space="preserve">Should the ESAs choose to adopt a modelling approach, the AIC </w:t>
      </w:r>
      <w:r w:rsidRPr="006565A7">
        <w:rPr>
          <w:b/>
          <w:u w:val="single"/>
        </w:rPr>
        <w:t>recommends</w:t>
      </w:r>
      <w:r>
        <w:t xml:space="preserve"> that the parameters should </w:t>
      </w:r>
      <w:r w:rsidR="00891A39">
        <w:t xml:space="preserve">be prescribed rather than left to the discretion of product </w:t>
      </w:r>
      <w:proofErr w:type="gramStart"/>
      <w:r w:rsidR="00891A39">
        <w:t>manufacturers.</w:t>
      </w:r>
      <w:proofErr w:type="gramEnd"/>
      <w:r w:rsidR="00891A39">
        <w:t xml:space="preserve">  As the paper observes, this may mean that the models used are relativ</w:t>
      </w:r>
      <w:r w:rsidR="004F5BA0">
        <w:t>ely simple, but it would also</w:t>
      </w:r>
      <w:r w:rsidR="00891A39">
        <w:t xml:space="preserve"> mean that they a</w:t>
      </w:r>
      <w:r w:rsidR="00AB1BEA">
        <w:t>re more standardised.  This would</w:t>
      </w:r>
      <w:r w:rsidR="00891A39">
        <w:t xml:space="preserve"> make it easier for consumers to make comparisons between products. </w:t>
      </w:r>
    </w:p>
    <w:permEnd w:id="761609517"/>
    <w:p w:rsidR="00F31E57" w:rsidRDefault="00F31E57" w:rsidP="00F31E57">
      <w:r>
        <w:t>&lt;ESMA_QUESTION_PRIIPs_2&gt;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speci</w:t>
      </w:r>
      <w:r>
        <w:t>f</w:t>
      </w:r>
      <w:r>
        <w:t>ic products or underlying investments for which a specific growth rate would be more or less applicable?</w:t>
      </w:r>
    </w:p>
    <w:p w:rsidR="00F31E57" w:rsidRDefault="00F31E57" w:rsidP="00F31E57"/>
    <w:p w:rsidR="00F31E57" w:rsidRDefault="00F31E57" w:rsidP="00F31E57">
      <w:r>
        <w:t>&lt;ESMA_QUESTION_PRIIPs_3&gt;</w:t>
      </w:r>
    </w:p>
    <w:p w:rsidR="00891A39" w:rsidRDefault="00891A39" w:rsidP="00F31E57">
      <w:permStart w:id="1902463336" w:edGrp="everyone"/>
      <w:r>
        <w:t xml:space="preserve">The AIC </w:t>
      </w:r>
      <w:r w:rsidRPr="00AB1BEA">
        <w:rPr>
          <w:b/>
          <w:u w:val="single"/>
        </w:rPr>
        <w:t>agrees</w:t>
      </w:r>
      <w:r>
        <w:t xml:space="preserve"> that the time value of money can be a difficult concept for many consumers to grasp.  Presenting this in a way that is simple for the consumer to understand should be a key objective for the KID.</w:t>
      </w:r>
      <w:r w:rsidR="00CA7708">
        <w:t xml:space="preserve">  It is not clear from the paper, how the ESAs intend that performance should be measured against the factors set out.  If performance figures are based on historical performance then they will already reflect an appropriate growth rate and the impact of inflation.  </w:t>
      </w:r>
    </w:p>
    <w:p w:rsidR="00891A39" w:rsidRDefault="00891A39" w:rsidP="00F31E57"/>
    <w:p w:rsidR="00F31E57" w:rsidRDefault="00CA7708" w:rsidP="00F31E57">
      <w:r>
        <w:t xml:space="preserve">If the ESAs propose that performance should be modelled, the AIC </w:t>
      </w:r>
      <w:r w:rsidRPr="00740126">
        <w:rPr>
          <w:b/>
          <w:u w:val="single"/>
        </w:rPr>
        <w:t>recommends</w:t>
      </w:r>
      <w:r w:rsidR="00127BF4">
        <w:t xml:space="preserve"> that the methodology</w:t>
      </w:r>
      <w:r>
        <w:t xml:space="preserve"> should </w:t>
      </w:r>
      <w:r w:rsidR="00740126">
        <w:t>be based on the amount invested without any adjustment</w:t>
      </w:r>
      <w:r w:rsidR="00235EDE">
        <w:t xml:space="preserve">, to avoid the possibility that it is seen as a forecast of future performance.  </w:t>
      </w:r>
      <w:r w:rsidR="00740126">
        <w:t xml:space="preserve"> </w:t>
      </w:r>
    </w:p>
    <w:p w:rsidR="00740126" w:rsidRDefault="00740126" w:rsidP="00F31E57"/>
    <w:p w:rsidR="00740126" w:rsidRDefault="00A05E9B" w:rsidP="00F31E57">
      <w:r>
        <w:t xml:space="preserve">However, if an RIY methodology is used to develop a summary indicator, the AIC </w:t>
      </w:r>
      <w:r w:rsidRPr="00127BF4">
        <w:rPr>
          <w:b/>
          <w:u w:val="single"/>
        </w:rPr>
        <w:t>agrees</w:t>
      </w:r>
      <w:r>
        <w:t xml:space="preserve"> that it should incorporate a growth rate (see Q 93) in order to show the complete impact of costs on the possible return.  In this case the growth rate </w:t>
      </w:r>
      <w:r w:rsidR="00740126">
        <w:t>should be based either on a prescribed rate</w:t>
      </w:r>
      <w:r w:rsidR="00235EDE">
        <w:t xml:space="preserve"> or past performance.</w:t>
      </w:r>
      <w:r w:rsidR="00954BDD">
        <w:t xml:space="preserve">  </w:t>
      </w:r>
    </w:p>
    <w:permEnd w:id="1902463336"/>
    <w:p w:rsidR="00F31E57" w:rsidRDefault="00F31E57" w:rsidP="00F31E57">
      <w:r>
        <w:lastRenderedPageBreak/>
        <w:t>&lt;ESMA_QUESTION_PRIIPs_3&gt;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What would be the most reasonable approach to specify the growth rates? Would any of these approaches not work for a specific type of product or underlying investment? </w:t>
      </w:r>
    </w:p>
    <w:p w:rsidR="00F31E57" w:rsidRDefault="00F31E57" w:rsidP="00F31E57"/>
    <w:p w:rsidR="00F31E57" w:rsidRDefault="00F31E57" w:rsidP="00F31E57">
      <w:r>
        <w:t>&lt;ESMA_QUESTION_PRIIPs_4&gt;</w:t>
      </w:r>
    </w:p>
    <w:p w:rsidR="00F31E57" w:rsidRDefault="00127BF4" w:rsidP="00F31E57">
      <w:permStart w:id="1106184700" w:edGrp="everyone"/>
      <w:r>
        <w:t>Any methodology</w:t>
      </w:r>
      <w:r w:rsidR="002C495B">
        <w:t xml:space="preserve"> used to specify future growth rates is likely to </w:t>
      </w:r>
      <w:r>
        <w:t xml:space="preserve">find it difficult to </w:t>
      </w:r>
      <w:r w:rsidR="002C495B">
        <w:t>provid</w:t>
      </w:r>
      <w:r>
        <w:t>e</w:t>
      </w:r>
      <w:r w:rsidR="002C495B">
        <w:t xml:space="preserve"> illustrations to consumers of possible outcomes many years in the future.  As the paper notes, it is impossible to know what risk premium will apply in the immediate future.  Many PRIIPs products are designed to be held for the long term: potentially 10 years or more.  </w:t>
      </w:r>
    </w:p>
    <w:p w:rsidR="002C495B" w:rsidRDefault="002C495B" w:rsidP="00F31E57"/>
    <w:p w:rsidR="002C495B" w:rsidRDefault="002C495B" w:rsidP="00F31E57">
      <w:r>
        <w:t xml:space="preserve">The AIC </w:t>
      </w:r>
      <w:r w:rsidRPr="002C495B">
        <w:rPr>
          <w:b/>
          <w:u w:val="single"/>
        </w:rPr>
        <w:t>recommends</w:t>
      </w:r>
      <w:r>
        <w:t xml:space="preserve"> that historical performance should be used to illustrate growth rates, accompanied by the explanation that historical performance is not an indication of a future return.   Whilst future returns cannot be assumed from the basis of past performance, </w:t>
      </w:r>
      <w:r w:rsidR="00235EDE">
        <w:t>n</w:t>
      </w:r>
      <w:r>
        <w:t>or can they be assumed from the basis of mo</w:t>
      </w:r>
      <w:r>
        <w:t>d</w:t>
      </w:r>
      <w:r>
        <w:t>elling or assuming a future risk premium.  Using historical data has the advantage that</w:t>
      </w:r>
      <w:r w:rsidR="00A05E9B">
        <w:t xml:space="preserve"> it</w:t>
      </w:r>
      <w:r>
        <w:t xml:space="preserve"> is readily avail</w:t>
      </w:r>
      <w:r>
        <w:t>a</w:t>
      </w:r>
      <w:r>
        <w:t>ble to the manufacturer and tha</w:t>
      </w:r>
      <w:r w:rsidR="00235EDE">
        <w:t>t there may be</w:t>
      </w:r>
      <w:r>
        <w:t xml:space="preserve"> less discretion to the manufacturer, creating greater comp</w:t>
      </w:r>
      <w:r>
        <w:t>a</w:t>
      </w:r>
      <w:r>
        <w:t xml:space="preserve">rability. </w:t>
      </w:r>
    </w:p>
    <w:permEnd w:id="1106184700"/>
    <w:p w:rsidR="00F31E57" w:rsidRDefault="00F31E57" w:rsidP="00F31E57">
      <w:r>
        <w:t>&lt;ESMA_QUESTION_PRIIPs_4&gt;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time frame or frames should the Risk Indicator and Performance Scenarios be based</w:t>
      </w:r>
    </w:p>
    <w:p w:rsidR="00F31E57" w:rsidRDefault="00F31E57" w:rsidP="00F31E57"/>
    <w:p w:rsidR="00F31E57" w:rsidRDefault="00F31E57" w:rsidP="00F31E57">
      <w:r>
        <w:t>&lt;ESMA_QUESTION_PRIIPs_5&gt;</w:t>
      </w:r>
    </w:p>
    <w:p w:rsidR="00F31E57" w:rsidRDefault="002C495B" w:rsidP="00F31E57">
      <w:permStart w:id="602156946" w:edGrp="everyone"/>
      <w:r>
        <w:t xml:space="preserve">The AIC </w:t>
      </w:r>
      <w:r w:rsidRPr="00A86942">
        <w:rPr>
          <w:b/>
          <w:u w:val="single"/>
        </w:rPr>
        <w:t xml:space="preserve">recommends </w:t>
      </w:r>
      <w:r>
        <w:t>that the timeframes that would be most appropriate to illustrate possible future performance would be 3, 5 and 10 years.  This should be based on historical data from the previous ten years.  When th</w:t>
      </w:r>
      <w:r w:rsidR="00E77DE2">
        <w:t>e product has a fixed term, then illustrations of possible performance should reflect the fixed term.  The KID should also make clear where a product has a penalty or cost that applies if the consumer sells or redeems the product before the end of the fixed term.</w:t>
      </w:r>
    </w:p>
    <w:permEnd w:id="602156946"/>
    <w:p w:rsidR="00F31E57" w:rsidRDefault="00F31E57" w:rsidP="00F31E57">
      <w:r>
        <w:t>&lt;ESMA_QUESTION_PRIIPs_5&gt;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rsidR="00F31E57" w:rsidRDefault="00F31E57" w:rsidP="00F31E57">
      <w:pPr>
        <w:rPr>
          <w:rFonts w:eastAsiaTheme="minorHAnsi"/>
          <w:lang w:eastAsia="en-US"/>
        </w:rPr>
      </w:pPr>
    </w:p>
    <w:p w:rsidR="00F31E57" w:rsidRDefault="00F31E57" w:rsidP="00F31E57">
      <w:r>
        <w:t>&lt;ESMA_QUESTION_PRIIPs_6&gt;</w:t>
      </w:r>
    </w:p>
    <w:p w:rsidR="00F31E57" w:rsidRDefault="001D5F55" w:rsidP="00F31E57">
      <w:permStart w:id="1191774723" w:edGrp="everyone"/>
      <w:r>
        <w:t>The proposals for addressing credit risk need to reflect the fact that not all PRIIPs products will have an individual credit rating or a credit default swap spread.  Investment compa</w:t>
      </w:r>
      <w:r w:rsidR="00235EDE">
        <w:t>nies are closed-ended funds and</w:t>
      </w:r>
      <w:r>
        <w:t xml:space="preserve"> the vast majority </w:t>
      </w:r>
      <w:r w:rsidR="00235EDE">
        <w:t xml:space="preserve">are traded </w:t>
      </w:r>
      <w:r>
        <w:t xml:space="preserve">on regulated markets.  They offer very low, possibly negligible credit risks as </w:t>
      </w:r>
      <w:r w:rsidR="004F5EA2">
        <w:t xml:space="preserve">the investments held by the investment company are legally owned by the investment company.  </w:t>
      </w:r>
      <w:r w:rsidR="00235EDE">
        <w:t>I</w:t>
      </w:r>
      <w:r w:rsidR="004F5EA2">
        <w:t>nvestor</w:t>
      </w:r>
      <w:r w:rsidR="00235EDE">
        <w:t>s have</w:t>
      </w:r>
      <w:r w:rsidR="004F5EA2">
        <w:t xml:space="preserve"> no right to the underlyin</w:t>
      </w:r>
      <w:r w:rsidR="00667D54">
        <w:t>g investments, but instead sell</w:t>
      </w:r>
      <w:r w:rsidR="004F5EA2">
        <w:t xml:space="preserve"> their shares in the investment company in order to exit the investment.    </w:t>
      </w:r>
    </w:p>
    <w:p w:rsidR="004F5EA2" w:rsidRDefault="004F5EA2" w:rsidP="00F31E57"/>
    <w:p w:rsidR="004F5EA2" w:rsidRDefault="004F5EA2" w:rsidP="00F31E57">
      <w:r>
        <w:t>As investment companies are not generally credit-rated, they</w:t>
      </w:r>
      <w:r w:rsidR="00235EDE">
        <w:t xml:space="preserve"> may</w:t>
      </w:r>
      <w:r>
        <w:t xml:space="preserve"> use proxy data to establish a compar</w:t>
      </w:r>
      <w:r>
        <w:t>a</w:t>
      </w:r>
      <w:r>
        <w:t xml:space="preserve">ble credit rating – for example using data from a Bond index.  The </w:t>
      </w:r>
      <w:r w:rsidR="00F72191">
        <w:t xml:space="preserve">AIC </w:t>
      </w:r>
      <w:r w:rsidR="00F72191" w:rsidRPr="00F72191">
        <w:rPr>
          <w:b/>
          <w:u w:val="single"/>
        </w:rPr>
        <w:t>recommends</w:t>
      </w:r>
      <w:r w:rsidR="00F72191">
        <w:t xml:space="preserve"> that the </w:t>
      </w:r>
      <w:r>
        <w:t>final r</w:t>
      </w:r>
      <w:r>
        <w:t>e</w:t>
      </w:r>
      <w:r>
        <w:t>quire</w:t>
      </w:r>
      <w:r w:rsidR="00F72191">
        <w:t xml:space="preserve">ments </w:t>
      </w:r>
      <w:r>
        <w:t xml:space="preserve">provide </w:t>
      </w:r>
      <w:r w:rsidR="00127BF4">
        <w:t xml:space="preserve">alternative measures for </w:t>
      </w:r>
      <w:r>
        <w:t>those investments that ar</w:t>
      </w:r>
      <w:r w:rsidR="00127BF4">
        <w:t>e not credit-rated</w:t>
      </w:r>
      <w:r w:rsidR="0063308B">
        <w:t>.</w:t>
      </w:r>
    </w:p>
    <w:permEnd w:id="1191774723"/>
    <w:p w:rsidR="00F31E57" w:rsidRDefault="00F31E57" w:rsidP="00F31E57">
      <w:r>
        <w:t>&lt;ESMA_QUESTION_PRIIPs_6&gt;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Do you agree that liquidity issues should be reflected in the risk section, in addition to clarifications provided in other section of the KID? </w:t>
      </w:r>
    </w:p>
    <w:p w:rsidR="00F31E57" w:rsidRDefault="00F31E57" w:rsidP="00F31E57"/>
    <w:p w:rsidR="00F31E57" w:rsidRDefault="00F31E57" w:rsidP="00F31E57">
      <w:r>
        <w:t>&lt;ESMA_QUESTION_PRIIPs_7&gt;</w:t>
      </w:r>
    </w:p>
    <w:p w:rsidR="00F31E57" w:rsidRDefault="00F72191" w:rsidP="00F31E57">
      <w:permStart w:id="779117128" w:edGrp="everyone"/>
      <w:r>
        <w:t xml:space="preserve">The AIC </w:t>
      </w:r>
      <w:r w:rsidRPr="00F72191">
        <w:rPr>
          <w:b/>
          <w:u w:val="single"/>
        </w:rPr>
        <w:t>agrees</w:t>
      </w:r>
      <w:r>
        <w:t xml:space="preserve"> that liquidity issues should be reflected </w:t>
      </w:r>
      <w:r w:rsidR="0070551B">
        <w:t>in the risk section in addition</w:t>
      </w:r>
      <w:r>
        <w:t xml:space="preserve"> to clarifications provided in other sections of the KID.  Liquidity is one of the three central risks that form part of the SRI.  However, consumers also need to understand the liquidity profile of an investment as this forms a fund</w:t>
      </w:r>
      <w:r>
        <w:t>a</w:t>
      </w:r>
      <w:r>
        <w:t>mental part of their abi</w:t>
      </w:r>
      <w:r w:rsidR="00127BF4">
        <w:t xml:space="preserve">lity to exit the product.  Not including a description of the liquidity profile increases </w:t>
      </w:r>
      <w:r w:rsidR="00127BF4">
        <w:lastRenderedPageBreak/>
        <w:t>the risk</w:t>
      </w:r>
      <w:r>
        <w:t xml:space="preserve"> that consumers </w:t>
      </w:r>
      <w:r w:rsidR="00127BF4">
        <w:t xml:space="preserve">invest inappropriately </w:t>
      </w:r>
      <w:r>
        <w:t>in</w:t>
      </w:r>
      <w:r w:rsidR="00954BDD">
        <w:t xml:space="preserve"> products that they may find </w:t>
      </w:r>
      <w:r>
        <w:t xml:space="preserve">very difficult or very costly to exit.   </w:t>
      </w:r>
    </w:p>
    <w:permEnd w:id="779117128"/>
    <w:p w:rsidR="00F31E57" w:rsidRDefault="00F31E57" w:rsidP="00F31E57">
      <w:r>
        <w:t>&lt;ESMA_QUESTION_PRIIPs_7&gt;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consider that qualitative measures such as the ones proposed are appropriate or that they need to be supplemented with some quantitative measure to some e</w:t>
      </w:r>
      <w:r>
        <w:t>x</w:t>
      </w:r>
      <w:r>
        <w:t>tent?</w:t>
      </w:r>
    </w:p>
    <w:p w:rsidR="00F31E57" w:rsidRDefault="00F31E57" w:rsidP="00F31E57"/>
    <w:p w:rsidR="00F31E57" w:rsidRDefault="00F31E57" w:rsidP="00F31E57">
      <w:r>
        <w:t>&lt;ESMA_QUESTION_PRIIPs_8&gt;</w:t>
      </w:r>
    </w:p>
    <w:p w:rsidR="00F31E57" w:rsidRDefault="008748D2" w:rsidP="00F31E57">
      <w:permStart w:id="970208453" w:edGrp="everyone"/>
      <w:r>
        <w:t xml:space="preserve">The AIC </w:t>
      </w:r>
      <w:r w:rsidRPr="008748D2">
        <w:rPr>
          <w:b/>
          <w:u w:val="single"/>
        </w:rPr>
        <w:t>recommends</w:t>
      </w:r>
      <w:r>
        <w:t xml:space="preserve"> that the KID should use qualitative measures of liquidity risk rather than quantit</w:t>
      </w:r>
      <w:r>
        <w:t>a</w:t>
      </w:r>
      <w:r>
        <w:t xml:space="preserve">tive.  It </w:t>
      </w:r>
      <w:r w:rsidR="0070551B">
        <w:t xml:space="preserve">may not be possible </w:t>
      </w:r>
      <w:r>
        <w:t xml:space="preserve">to devise a single measure of liquidity that would work for every type of PRIIP.  </w:t>
      </w:r>
      <w:r w:rsidR="00593115">
        <w:t>In addition, measures such as the average volume trade</w:t>
      </w:r>
      <w:r w:rsidR="0070551B">
        <w:t>d</w:t>
      </w:r>
      <w:r w:rsidR="00593115">
        <w:t xml:space="preserve"> or the number of market makers are unlikely to be of any use to consumers who will lack the knowledge needed to be able to assess such a figure.</w:t>
      </w:r>
    </w:p>
    <w:p w:rsidR="00770872" w:rsidRDefault="00770872" w:rsidP="00F31E57"/>
    <w:p w:rsidR="00770872" w:rsidRDefault="00770872" w:rsidP="00F31E57">
      <w:r>
        <w:t xml:space="preserve">Cost and exit penalties for early redemptions need to be clearly set out in the features of the product as they can have a significant impact on investors, particularly where they have paid high upfront charges when they first purchase the product.  </w:t>
      </w:r>
    </w:p>
    <w:permEnd w:id="970208453"/>
    <w:p w:rsidR="00F31E57" w:rsidRDefault="00F31E57" w:rsidP="00F31E57">
      <w:r>
        <w:t>&lt;ESMA_QUESTION_PRIIPs_8&gt;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F31E57" w:rsidRDefault="00F31E57" w:rsidP="00F31E57"/>
    <w:p w:rsidR="00F31E57" w:rsidRDefault="00F31E57" w:rsidP="00F31E57">
      <w:r>
        <w:t>&lt;ESMA_QUESTION_PRIIPs_9&gt;</w:t>
      </w:r>
    </w:p>
    <w:p w:rsidR="00F31E57" w:rsidRDefault="008839CC" w:rsidP="00F31E57">
      <w:permStart w:id="2001091006" w:edGrp="everyone"/>
      <w:r>
        <w:t>The AIC agrees with the feedback provided to the previous paper that integrating market, credit and liquidity risks together</w:t>
      </w:r>
      <w:r w:rsidR="0070551B">
        <w:t xml:space="preserve"> would</w:t>
      </w:r>
      <w:r w:rsidR="001D04A7">
        <w:t xml:space="preserve"> not be feasible.  </w:t>
      </w:r>
      <w:r w:rsidR="000671F2">
        <w:t xml:space="preserve">The AIC </w:t>
      </w:r>
      <w:r w:rsidR="000671F2" w:rsidRPr="000671F2">
        <w:rPr>
          <w:b/>
          <w:u w:val="single"/>
        </w:rPr>
        <w:t>recommends</w:t>
      </w:r>
      <w:r w:rsidR="000671F2">
        <w:t xml:space="preserve"> that the SRI should be based </w:t>
      </w:r>
      <w:r w:rsidR="00127BF4">
        <w:t>on Option 1, showing</w:t>
      </w:r>
      <w:r w:rsidR="000671F2">
        <w:t xml:space="preserve"> qualitatively based criteria combining credit and market risk complemented by a market risk measure.  There should also be a reference to the relevant liquidity risks for the product, though as noted in Q 8 above, the AIC does not believe that there is an appropriate quantitative measure of liquidity risk that would work for all PRIIPs.   </w:t>
      </w:r>
    </w:p>
    <w:p w:rsidR="008839CC" w:rsidRDefault="008839CC" w:rsidP="00F31E57"/>
    <w:p w:rsidR="008839CC" w:rsidRDefault="008839CC" w:rsidP="00F31E57">
      <w:r>
        <w:t xml:space="preserve">The AIC </w:t>
      </w:r>
      <w:r w:rsidRPr="000671F2">
        <w:rPr>
          <w:b/>
          <w:u w:val="single"/>
        </w:rPr>
        <w:t>recommends</w:t>
      </w:r>
      <w:r>
        <w:t xml:space="preserve"> th</w:t>
      </w:r>
      <w:r w:rsidR="00954BDD">
        <w:t xml:space="preserve">at the PRIIPs KID uses the SRRI </w:t>
      </w:r>
      <w:r>
        <w:t>(</w:t>
      </w:r>
      <w:r w:rsidR="001D04A7">
        <w:t xml:space="preserve">the </w:t>
      </w:r>
      <w:r>
        <w:t>current UCITS indicator) to define and measure levels of loss.  This has the advantage of already being widely used and understood</w:t>
      </w:r>
      <w:r w:rsidR="00127BF4">
        <w:t>.  It</w:t>
      </w:r>
      <w:r>
        <w:t xml:space="preserve"> offers sufficient risk classes for consumers to be able to readily distinguish between products.  </w:t>
      </w:r>
      <w:r w:rsidR="000671F2">
        <w:t xml:space="preserve"> </w:t>
      </w:r>
    </w:p>
    <w:p w:rsidR="008839CC" w:rsidRDefault="008839CC" w:rsidP="00F31E57"/>
    <w:p w:rsidR="008839CC" w:rsidRDefault="008839CC" w:rsidP="00F31E57">
      <w:r>
        <w:t xml:space="preserve">Market </w:t>
      </w:r>
      <w:r w:rsidR="004834CF">
        <w:t xml:space="preserve">risk is likely to be perceived by many consumers as the most important risk when they buy a product.  It is also the easiest to calculate and present through a quantitative methodology that consumers will understand.  </w:t>
      </w:r>
      <w:r>
        <w:t>However, for some products credit risk will be the most significant risk for any consumer that purch</w:t>
      </w:r>
      <w:r w:rsidR="004834CF">
        <w:t>ases the p</w:t>
      </w:r>
      <w:r w:rsidR="00954BDD">
        <w:t>roduct.  The SRI should</w:t>
      </w:r>
      <w:r w:rsidR="00235EDE">
        <w:t xml:space="preserve"> ensure</w:t>
      </w:r>
      <w:r w:rsidR="004834CF">
        <w:t xml:space="preserve"> a proper description of the level of credit risk, inclu</w:t>
      </w:r>
      <w:r w:rsidR="004834CF">
        <w:t>d</w:t>
      </w:r>
      <w:r w:rsidR="004834CF">
        <w:t xml:space="preserve">ing </w:t>
      </w:r>
      <w:r w:rsidR="00235EDE">
        <w:t xml:space="preserve">situations </w:t>
      </w:r>
      <w:r w:rsidR="004834CF">
        <w:t xml:space="preserve">where products are not subject to credit risk.  </w:t>
      </w:r>
    </w:p>
    <w:p w:rsidR="008839CC" w:rsidRDefault="008839CC" w:rsidP="00F31E57"/>
    <w:p w:rsidR="008839CC" w:rsidRDefault="008839CC" w:rsidP="00F31E57">
      <w:r>
        <w:t xml:space="preserve">Whilst this paper is not </w:t>
      </w:r>
      <w:r w:rsidR="00127BF4">
        <w:t xml:space="preserve">directly </w:t>
      </w:r>
      <w:r>
        <w:t>concerned with the presentation of risks, it is important that the ESAs consider</w:t>
      </w:r>
      <w:r w:rsidR="00B37C92">
        <w:t xml:space="preserve"> how the SRI will be presented in the final KID.  This is particularly the case for products where the more significant risks to the consumer are derive</w:t>
      </w:r>
      <w:r w:rsidR="004834CF">
        <w:t>d</w:t>
      </w:r>
      <w:r w:rsidR="00B37C92">
        <w:t xml:space="preserve"> from credit risk rather than market risk.  </w:t>
      </w:r>
      <w:r w:rsidR="004834CF">
        <w:t>If the focus of the presentation of risks is on marke</w:t>
      </w:r>
      <w:r w:rsidR="00235EDE">
        <w:t>t risk, then consumers may concentrate</w:t>
      </w:r>
      <w:r w:rsidR="004834CF">
        <w:t xml:space="preserve"> on market risk and ove</w:t>
      </w:r>
      <w:r w:rsidR="004834CF">
        <w:t>r</w:t>
      </w:r>
      <w:r w:rsidR="004834CF">
        <w:t xml:space="preserve">look a more fundamental risk to their investment.  </w:t>
      </w:r>
    </w:p>
    <w:permEnd w:id="2001091006"/>
    <w:p w:rsidR="00F31E57" w:rsidRDefault="00F31E57" w:rsidP="00F31E57">
      <w:r>
        <w:t>&lt;ESMA_QUESTION_PRIIPs_9&gt;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required parameters and possible amendments to this indicator.</w:t>
      </w:r>
    </w:p>
    <w:p w:rsidR="00F31E57" w:rsidRDefault="00F31E57" w:rsidP="00F31E57"/>
    <w:p w:rsidR="00F31E57" w:rsidRDefault="00F31E57" w:rsidP="00F31E57">
      <w:r>
        <w:t>&lt;ESMA_QUESTION_PRIIPs_10&gt;</w:t>
      </w:r>
    </w:p>
    <w:p w:rsidR="00F31E57" w:rsidRDefault="00F31E57" w:rsidP="00F31E57">
      <w:permStart w:id="1240534661" w:edGrp="everyone"/>
      <w:r>
        <w:t>TYPE YOUR TEXT HERE</w:t>
      </w:r>
    </w:p>
    <w:permEnd w:id="1240534661"/>
    <w:p w:rsidR="00F31E57" w:rsidRDefault="00F31E57" w:rsidP="00F31E57">
      <w:r>
        <w:t>&lt;ESMA_QUESTION_PRIIPs_10&gt;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 xml:space="preserve">Please state your views on the appropriate details to regulate this approach, should it be selected. </w:t>
      </w:r>
    </w:p>
    <w:p w:rsidR="00F31E57" w:rsidRDefault="00F31E57" w:rsidP="00F31E57"/>
    <w:p w:rsidR="00F31E57" w:rsidRDefault="00F31E57" w:rsidP="00F31E57">
      <w:r>
        <w:t>&lt;ESMA_QUESTION_PRIIPs_11&gt;</w:t>
      </w:r>
    </w:p>
    <w:p w:rsidR="00F31E57" w:rsidRDefault="00F31E57" w:rsidP="00F31E57">
      <w:permStart w:id="2134534377" w:edGrp="everyone"/>
      <w:r>
        <w:t>TYPE YOUR TEXT HERE</w:t>
      </w:r>
    </w:p>
    <w:permEnd w:id="2134534377"/>
    <w:p w:rsidR="00F31E57" w:rsidRDefault="00F31E57" w:rsidP="00F31E57">
      <w:r>
        <w:t>&lt;ESMA_QUESTION_PRIIPs_11&gt;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general principles of this approach, should it be s</w:t>
      </w:r>
      <w:r>
        <w:t>e</w:t>
      </w:r>
      <w:r>
        <w:t xml:space="preserve">lected. How would you like to see the risk measure and parameters, why? </w:t>
      </w:r>
    </w:p>
    <w:p w:rsidR="00F31E57" w:rsidRDefault="00F31E57" w:rsidP="00F31E57"/>
    <w:p w:rsidR="00F31E57" w:rsidRDefault="00F31E57" w:rsidP="00F31E57">
      <w:r>
        <w:t>&lt;ESMA_QUESTION_PRIIPs_12&gt;</w:t>
      </w:r>
    </w:p>
    <w:p w:rsidR="00F31E57" w:rsidRDefault="00F31E57" w:rsidP="00F31E57">
      <w:permStart w:id="1537415988" w:edGrp="everyone"/>
      <w:r>
        <w:t>TYPE YOUR TEXT HERE</w:t>
      </w:r>
    </w:p>
    <w:permEnd w:id="1537415988"/>
    <w:p w:rsidR="00F31E57" w:rsidRDefault="00F31E57" w:rsidP="00F31E57">
      <w:r>
        <w:t>&lt;ESMA_QUESTION_PRIIPs_12&gt;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potential use of a two-level indicator. What kind of differentiators should be set both for the first level and the second level of such an i</w:t>
      </w:r>
      <w:r>
        <w:t>n</w:t>
      </w:r>
      <w:r>
        <w:t xml:space="preserve">dicator? </w:t>
      </w:r>
    </w:p>
    <w:p w:rsidR="00F31E57" w:rsidRDefault="00F31E57" w:rsidP="00F31E57"/>
    <w:p w:rsidR="00F31E57" w:rsidRDefault="00F31E57" w:rsidP="00F31E57">
      <w:r>
        <w:t>&lt;ESMA_QUESTION_PRIIPs_13&gt;</w:t>
      </w:r>
    </w:p>
    <w:p w:rsidR="00F31E57" w:rsidRDefault="00F31E57" w:rsidP="00F31E57">
      <w:permStart w:id="495539753" w:edGrp="everyone"/>
      <w:r>
        <w:t>TYPE YOUR TEXT HERE</w:t>
      </w:r>
    </w:p>
    <w:permEnd w:id="495539753"/>
    <w:p w:rsidR="00F31E57" w:rsidRDefault="00F31E57" w:rsidP="00F31E57">
      <w:r>
        <w:t>&lt;ESMA_QUESTION_PRIIPs_13&gt;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suggestions or concrete proposals on which risk scale to use and where or how the cut-off points should be determined?</w:t>
      </w:r>
    </w:p>
    <w:p w:rsidR="00F31E57" w:rsidRDefault="00F31E57" w:rsidP="00F31E57"/>
    <w:p w:rsidR="00F31E57" w:rsidRDefault="00F31E57" w:rsidP="00F31E57">
      <w:r>
        <w:t>&lt;ESMA_QUESTION_PRIIPs_14&gt;</w:t>
      </w:r>
    </w:p>
    <w:p w:rsidR="00E60F3F" w:rsidRDefault="00E60F3F" w:rsidP="00F31E57">
      <w:permStart w:id="1151023089" w:edGrp="everyone"/>
      <w:r>
        <w:t xml:space="preserve">The AIC </w:t>
      </w:r>
      <w:r w:rsidRPr="00E60F3F">
        <w:rPr>
          <w:b/>
          <w:u w:val="single"/>
        </w:rPr>
        <w:t>recommends</w:t>
      </w:r>
      <w:r>
        <w:t xml:space="preserve"> that the scale used should be that for the SRRI (</w:t>
      </w:r>
      <w:r w:rsidR="0098702D">
        <w:t xml:space="preserve">i.e. </w:t>
      </w:r>
      <w:r>
        <w:t>that used for UCITS) for the reasons explained in Q 9.</w:t>
      </w:r>
    </w:p>
    <w:permEnd w:id="1151023089"/>
    <w:p w:rsidR="00F31E57" w:rsidRDefault="00F31E57" w:rsidP="00F31E57">
      <w:r>
        <w:t>&lt;ESMA_QUESTION_PRIIPs_14&gt;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express your views on the assessment described above and the relative rel</w:t>
      </w:r>
      <w:r>
        <w:t>e</w:t>
      </w:r>
      <w:r>
        <w:t>vance of the different criteria that may be considered.</w:t>
      </w:r>
    </w:p>
    <w:p w:rsidR="00F31E57" w:rsidRDefault="00F31E57" w:rsidP="00F31E57"/>
    <w:p w:rsidR="00F31E57" w:rsidRDefault="00F31E57" w:rsidP="00F31E57">
      <w:r>
        <w:t>&lt;ESMA_QUESTION_PRIIPs_15&gt;</w:t>
      </w:r>
    </w:p>
    <w:p w:rsidR="00F31E57" w:rsidRDefault="00B61972" w:rsidP="00F31E57">
      <w:permStart w:id="1229993919" w:edGrp="everyone"/>
      <w:r>
        <w:t xml:space="preserve">The AIC believes that there is a risk of presenting performance in a way that suggests a spurious level of accuracy for future events.  </w:t>
      </w:r>
      <w:r w:rsidR="008B3EFF">
        <w:t xml:space="preserve">This is a risk for both ‘what-if’ and probabilistic approaches.  Both will rely on a particular methodology for suggesting what might happen in the future.  These are very difficult judgments to make, particularly for long-term </w:t>
      </w:r>
      <w:r w:rsidR="00B5547B">
        <w:t>products.  As the paper notes, there is a danger that they are not properly understood by consumers who might read them as suggestions of the likelihood of future ou</w:t>
      </w:r>
      <w:r w:rsidR="00B5547B">
        <w:t>t</w:t>
      </w:r>
      <w:r w:rsidR="00B5547B">
        <w:t xml:space="preserve">comes.  </w:t>
      </w:r>
    </w:p>
    <w:p w:rsidR="008B3EFF" w:rsidRDefault="008B3EFF" w:rsidP="00F31E57"/>
    <w:p w:rsidR="00B5547B" w:rsidRDefault="008B3EFF" w:rsidP="00F31E57">
      <w:r>
        <w:t xml:space="preserve">The AIC </w:t>
      </w:r>
      <w:r w:rsidRPr="00637F16">
        <w:rPr>
          <w:b/>
          <w:u w:val="single"/>
        </w:rPr>
        <w:t>recommends</w:t>
      </w:r>
      <w:r>
        <w:t xml:space="preserve"> that there should be a single performance scenario t</w:t>
      </w:r>
      <w:r w:rsidR="00637F16">
        <w:t>hat is based on past data.  This</w:t>
      </w:r>
      <w:r>
        <w:t xml:space="preserve"> would remove many of the issues that would</w:t>
      </w:r>
      <w:r w:rsidR="009436AE">
        <w:t xml:space="preserve"> arise if </w:t>
      </w:r>
      <w:r w:rsidR="00B5547B">
        <w:t xml:space="preserve">performance scenarios are modelled. </w:t>
      </w:r>
    </w:p>
    <w:p w:rsidR="00B5547B" w:rsidRDefault="00B5547B" w:rsidP="00F31E57"/>
    <w:p w:rsidR="008B3EFF" w:rsidRDefault="00637F16" w:rsidP="00F31E57">
      <w:r>
        <w:t>If</w:t>
      </w:r>
      <w:r w:rsidR="00B5547B">
        <w:t xml:space="preserve"> the ESAs do choose to use a modelled approach without using historical data, they should aim to use an approach that is relatively eas</w:t>
      </w:r>
      <w:r>
        <w:t>y</w:t>
      </w:r>
      <w:r w:rsidR="00167F91">
        <w:t xml:space="preserve"> to model.  As far as possible, the parameters should be prescribed rather than left to the discretion of the manufacturer to ensure that KIDs are comparable.</w:t>
      </w:r>
    </w:p>
    <w:permEnd w:id="1229993919"/>
    <w:p w:rsidR="00F31E57" w:rsidRDefault="00F31E57" w:rsidP="00F31E57">
      <w:r>
        <w:t>&lt;ESMA_QUESTION_PRIIPs_15&gt;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these principles are sufficient to avoid the risks of manufacturers presenting a non-realistic performance picture of the product? Do you think that they should be reinforced?</w:t>
      </w:r>
    </w:p>
    <w:p w:rsidR="00F31E57" w:rsidRDefault="00F31E57" w:rsidP="00F31E57"/>
    <w:p w:rsidR="00F31E57" w:rsidRDefault="00F31E57" w:rsidP="00F31E57">
      <w:r>
        <w:t>&lt;ESMA_QUESTION_PRIIPs_16&gt;</w:t>
      </w:r>
    </w:p>
    <w:p w:rsidR="00F31E57" w:rsidRDefault="00167F91" w:rsidP="00F31E57">
      <w:permStart w:id="283202248" w:edGrp="everyone"/>
      <w:r>
        <w:t>The UCITS guidelines are helpful in setting out expectations of manufact</w:t>
      </w:r>
      <w:r w:rsidR="00F4584E">
        <w:t xml:space="preserve">urers.  However, the AIC </w:t>
      </w:r>
      <w:r w:rsidR="00F4584E" w:rsidRPr="00F4584E">
        <w:rPr>
          <w:b/>
          <w:u w:val="single"/>
        </w:rPr>
        <w:t>re</w:t>
      </w:r>
      <w:r w:rsidR="00F4584E" w:rsidRPr="00F4584E">
        <w:rPr>
          <w:b/>
          <w:u w:val="single"/>
        </w:rPr>
        <w:t>c</w:t>
      </w:r>
      <w:r w:rsidR="00F4584E" w:rsidRPr="00F4584E">
        <w:rPr>
          <w:b/>
          <w:u w:val="single"/>
        </w:rPr>
        <w:t>ommends</w:t>
      </w:r>
      <w:r w:rsidR="00F4584E" w:rsidRPr="00F4584E">
        <w:rPr>
          <w:b/>
        </w:rPr>
        <w:t xml:space="preserve"> </w:t>
      </w:r>
      <w:r>
        <w:t xml:space="preserve">that performance should be based on historic data rather than the manufacturer’s choice of ‘what-if’ scenarios.  </w:t>
      </w:r>
    </w:p>
    <w:permEnd w:id="283202248"/>
    <w:p w:rsidR="00F31E57" w:rsidRDefault="00F31E57" w:rsidP="00F31E57">
      <w:r>
        <w:t>&lt;ESMA_QUESTION_PRIIPs_16&gt;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scena</w:t>
      </w:r>
      <w:r>
        <w:t>r</w:t>
      </w:r>
      <w:r>
        <w:t>ios? What other standardized scenarios may be fixed?</w:t>
      </w:r>
    </w:p>
    <w:p w:rsidR="00F31E57" w:rsidRDefault="00F31E57" w:rsidP="00F31E57"/>
    <w:p w:rsidR="00F31E57" w:rsidRDefault="00F31E57" w:rsidP="00F31E57">
      <w:r>
        <w:t>&lt;ESMA_QUESTION_PRIIPs_17&gt;</w:t>
      </w:r>
    </w:p>
    <w:p w:rsidR="00F31E57" w:rsidRDefault="004C62D3" w:rsidP="00F31E57">
      <w:permStart w:id="1467233645" w:edGrp="everyone"/>
      <w:r>
        <w:t xml:space="preserve">The AIC </w:t>
      </w:r>
      <w:r w:rsidRPr="004C62D3">
        <w:rPr>
          <w:b/>
          <w:u w:val="single"/>
        </w:rPr>
        <w:t>recommends</w:t>
      </w:r>
      <w:r>
        <w:t xml:space="preserve"> that a </w:t>
      </w:r>
      <w:r w:rsidR="006E5939">
        <w:t xml:space="preserve">single scenario, based on </w:t>
      </w:r>
      <w:r>
        <w:t xml:space="preserve">past performance over the previous ten years, should be the approach adopted.  </w:t>
      </w:r>
    </w:p>
    <w:permEnd w:id="1467233645"/>
    <w:p w:rsidR="00F31E57" w:rsidRDefault="00F31E57" w:rsidP="00F31E57">
      <w:r>
        <w:t>&lt;ESMA_QUESTION_PRIIPs_17&gt;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F31E57" w:rsidRDefault="00F31E57" w:rsidP="00F31E57"/>
    <w:p w:rsidR="00F31E57" w:rsidRDefault="00F31E57" w:rsidP="00F31E57">
      <w:r>
        <w:t>&lt;ESMA_QUESTION_PRIIPs_18&gt;</w:t>
      </w:r>
    </w:p>
    <w:p w:rsidR="00F31E57" w:rsidRDefault="00F31E57" w:rsidP="00F31E57">
      <w:permStart w:id="645813287" w:edGrp="everyone"/>
      <w:r>
        <w:t>TYPE YOUR TEXT HERE</w:t>
      </w:r>
    </w:p>
    <w:permEnd w:id="645813287"/>
    <w:p w:rsidR="00F31E57" w:rsidRDefault="00F31E57" w:rsidP="00F31E57">
      <w:r>
        <w:t>&lt;ESMA_QUESTION_PRIIPs_18&gt;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F31E57" w:rsidRDefault="00F31E57" w:rsidP="00F31E57"/>
    <w:p w:rsidR="00F31E57" w:rsidRDefault="00F31E57" w:rsidP="00F31E57">
      <w:r>
        <w:t>&lt;ESMA_QUESTION_PRIIPs_19&gt;</w:t>
      </w:r>
    </w:p>
    <w:p w:rsidR="00F31E57" w:rsidRDefault="00F31E57" w:rsidP="00F31E57">
      <w:permStart w:id="1573937454" w:edGrp="everyone"/>
      <w:r>
        <w:t>TYPE YOUR TEXT HERE</w:t>
      </w:r>
    </w:p>
    <w:permEnd w:id="1573937454"/>
    <w:p w:rsidR="00F31E57" w:rsidRDefault="00F31E57" w:rsidP="00F31E57">
      <w:r>
        <w:t>&lt;ESMA_QUESTION_PRIIPs_19&gt;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scenarios?</w:t>
      </w:r>
    </w:p>
    <w:p w:rsidR="00F31E57" w:rsidRDefault="00F31E57" w:rsidP="00F31E57"/>
    <w:p w:rsidR="00F31E57" w:rsidRDefault="00F31E57" w:rsidP="00F31E57">
      <w:r>
        <w:t>&lt;ESMA_QUESTION_PRIIPs_20&gt;</w:t>
      </w:r>
    </w:p>
    <w:p w:rsidR="001D63A2" w:rsidRDefault="004C62D3" w:rsidP="00F31E57">
      <w:permStart w:id="1906064113" w:edGrp="everyone"/>
      <w:r>
        <w:t xml:space="preserve">The AIC </w:t>
      </w:r>
      <w:r w:rsidRPr="001D63A2">
        <w:rPr>
          <w:b/>
          <w:u w:val="single"/>
        </w:rPr>
        <w:t>recommends</w:t>
      </w:r>
      <w:r>
        <w:t xml:space="preserve"> that credit events sho</w:t>
      </w:r>
      <w:r w:rsidR="00F4584E">
        <w:t>uld be included in the scenario</w:t>
      </w:r>
      <w:r w:rsidR="001752FF">
        <w:t xml:space="preserve"> as they represent a key risk for consumers.  </w:t>
      </w:r>
      <w:r w:rsidR="001D63A2">
        <w:t xml:space="preserve"> </w:t>
      </w:r>
      <w:r w:rsidR="00F4584E">
        <w:t xml:space="preserve">If they are difficult </w:t>
      </w:r>
      <w:r w:rsidR="00E475F8">
        <w:t xml:space="preserve">to include within a model, it may be possible to address this through the use of past performance data.  </w:t>
      </w:r>
    </w:p>
    <w:p w:rsidR="001D63A2" w:rsidRDefault="001D63A2" w:rsidP="00F31E57"/>
    <w:p w:rsidR="00F31E57" w:rsidRDefault="001752FF" w:rsidP="00F31E57">
      <w:r>
        <w:t>The r</w:t>
      </w:r>
      <w:r w:rsidR="001D63A2">
        <w:t>isk of a credit event should</w:t>
      </w:r>
      <w:r>
        <w:t xml:space="preserve"> also</w:t>
      </w:r>
      <w:r w:rsidR="001D63A2">
        <w:t xml:space="preserve"> be clearly explained in the</w:t>
      </w:r>
      <w:r w:rsidR="006E5939">
        <w:t xml:space="preserve"> description of the</w:t>
      </w:r>
      <w:r w:rsidR="001D63A2">
        <w:t xml:space="preserve"> product’s features. </w:t>
      </w:r>
    </w:p>
    <w:permEnd w:id="1906064113"/>
    <w:p w:rsidR="00F31E57" w:rsidRDefault="00F31E57" w:rsidP="00F31E57">
      <w:r>
        <w:t>&lt;ESMA_QUESTION_PRIIPs_20&gt;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performance scenarios?</w:t>
      </w:r>
    </w:p>
    <w:p w:rsidR="00F31E57" w:rsidRDefault="00F31E57" w:rsidP="00F31E57"/>
    <w:p w:rsidR="00F31E57" w:rsidRDefault="00F31E57" w:rsidP="00F31E57">
      <w:r>
        <w:t>&lt;ESMA_QUESTION_PRIIPs_21&gt;</w:t>
      </w:r>
    </w:p>
    <w:p w:rsidR="00E475F8" w:rsidRDefault="001F464E" w:rsidP="00F31E57">
      <w:permStart w:id="1355631505" w:edGrp="everyone"/>
      <w:r>
        <w:t xml:space="preserve">The AIC </w:t>
      </w:r>
      <w:r w:rsidRPr="00636134">
        <w:rPr>
          <w:b/>
          <w:u w:val="single"/>
        </w:rPr>
        <w:t>recommends</w:t>
      </w:r>
      <w:r>
        <w:t xml:space="preserve"> that redemption events sho</w:t>
      </w:r>
      <w:r w:rsidR="00FE45F1">
        <w:t>uld be included in the scenario</w:t>
      </w:r>
      <w:r>
        <w:t xml:space="preserve"> as they </w:t>
      </w:r>
      <w:r w:rsidR="001752FF">
        <w:t xml:space="preserve">represent a key aspect of the product for consumers.  </w:t>
      </w:r>
      <w:r w:rsidR="00E475F8">
        <w:t xml:space="preserve"> </w:t>
      </w:r>
      <w:r w:rsidR="00F4584E">
        <w:t xml:space="preserve">If they are difficult to include within a model, it may be possible to address this through the use of past performance data.  </w:t>
      </w:r>
    </w:p>
    <w:p w:rsidR="00E475F8" w:rsidRDefault="00E475F8" w:rsidP="00F31E57"/>
    <w:p w:rsidR="00F31E57" w:rsidRDefault="001F464E" w:rsidP="00F31E57">
      <w:r>
        <w:t xml:space="preserve">They should </w:t>
      </w:r>
      <w:r w:rsidR="00F4584E">
        <w:t>also be</w:t>
      </w:r>
      <w:r>
        <w:t xml:space="preserve"> clearly explained in the product’s features. </w:t>
      </w:r>
    </w:p>
    <w:permEnd w:id="1355631505"/>
    <w:p w:rsidR="00F31E57" w:rsidRDefault="00F31E57" w:rsidP="00F31E57">
      <w:r>
        <w:t>&lt;ESMA_QUESTION_PRIIPs_21&gt;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w:t>
      </w:r>
      <w:r>
        <w:t>o</w:t>
      </w:r>
      <w:r>
        <w:t>logical issues in computing performance in several holding periods?</w:t>
      </w:r>
    </w:p>
    <w:p w:rsidR="00F31E57" w:rsidRDefault="00F31E57" w:rsidP="00F31E57"/>
    <w:p w:rsidR="00F31E57" w:rsidRDefault="00F31E57" w:rsidP="00F31E57">
      <w:r>
        <w:lastRenderedPageBreak/>
        <w:t>&lt;ESMA_QUESTION_PRIIPs_22&gt;</w:t>
      </w:r>
    </w:p>
    <w:p w:rsidR="00636134" w:rsidRDefault="00F31E57" w:rsidP="00F31E57">
      <w:permStart w:id="2146896876" w:edGrp="everyone"/>
      <w:r>
        <w:t>T</w:t>
      </w:r>
      <w:r w:rsidR="00636134">
        <w:t xml:space="preserve">he AIC </w:t>
      </w:r>
      <w:r w:rsidR="00636134" w:rsidRPr="00637F16">
        <w:rPr>
          <w:b/>
          <w:u w:val="single"/>
        </w:rPr>
        <w:t>recommends</w:t>
      </w:r>
      <w:r w:rsidR="00636134">
        <w:t xml:space="preserve"> that performance in the case of exit before the recommended holding period should be shown.  </w:t>
      </w:r>
      <w:r w:rsidR="00FE45F1">
        <w:t xml:space="preserve">If it is difficult to include within a model, it may be possible to address this through the use of past performance data.  </w:t>
      </w:r>
    </w:p>
    <w:p w:rsidR="00636134" w:rsidRDefault="00636134" w:rsidP="00F31E57"/>
    <w:p w:rsidR="00F31E57" w:rsidRDefault="00636134" w:rsidP="00F31E57">
      <w:r>
        <w:t>The impact of an exit before the recommended holding period should be clearly explained in the prod</w:t>
      </w:r>
      <w:r w:rsidR="0059350F">
        <w:t>uct’s features.</w:t>
      </w:r>
    </w:p>
    <w:permEnd w:id="2146896876"/>
    <w:p w:rsidR="00F31E57" w:rsidRDefault="00F31E57" w:rsidP="00F31E57">
      <w:r>
        <w:t>&lt;ESMA_QUESTION_PRIIPs_22&gt;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Are the two types of entry costs listed here clear enough? Should the list be further detailed or completed (notably in the case of acquisition costs)? </w:t>
      </w:r>
      <w:r>
        <w:rPr>
          <w:rFonts w:eastAsia="Times New Roman" w:cs="Arial"/>
          <w:lang w:eastAsia="zh-TW"/>
        </w:rPr>
        <w:t>Should some of th</w:t>
      </w:r>
      <w:r>
        <w:rPr>
          <w:rFonts w:eastAsia="Times New Roman" w:cs="Arial"/>
          <w:lang w:eastAsia="zh-TW"/>
        </w:rPr>
        <w:t>e</w:t>
      </w:r>
      <w:r>
        <w:rPr>
          <w:rFonts w:eastAsia="Times New Roman" w:cs="Arial"/>
          <w:lang w:eastAsia="zh-TW"/>
        </w:rPr>
        <w:t xml:space="preserve">se costs included in the on-going charges? </w:t>
      </w:r>
    </w:p>
    <w:p w:rsidR="00F31E57" w:rsidRDefault="00F31E57" w:rsidP="00F31E57">
      <w:pPr>
        <w:rPr>
          <w:rFonts w:cstheme="minorBidi"/>
        </w:rPr>
      </w:pPr>
    </w:p>
    <w:p w:rsidR="00F31E57" w:rsidRDefault="00F31E57" w:rsidP="00F31E57">
      <w:r>
        <w:t>&lt;ESMA_QUESTION_PRIIPs_23&gt;</w:t>
      </w:r>
    </w:p>
    <w:p w:rsidR="00F31E57" w:rsidRDefault="0059350F" w:rsidP="00F31E57">
      <w:permStart w:id="243494138" w:edGrp="everyone"/>
      <w:r>
        <w:t xml:space="preserve">The AIC </w:t>
      </w:r>
      <w:r w:rsidRPr="00EF2E46">
        <w:rPr>
          <w:b/>
          <w:u w:val="single"/>
        </w:rPr>
        <w:t>agrees</w:t>
      </w:r>
      <w:r>
        <w:t xml:space="preserve"> that the entry cost</w:t>
      </w:r>
      <w:r w:rsidR="00181D95">
        <w:t>s lis</w:t>
      </w:r>
      <w:r w:rsidR="00637F16">
        <w:t xml:space="preserve">ted are sufficiently clear.  Where the product manufacturer </w:t>
      </w:r>
      <w:r w:rsidR="0034109B">
        <w:t>does not c</w:t>
      </w:r>
      <w:r w:rsidR="00637F16">
        <w:t xml:space="preserve">ontrol </w:t>
      </w:r>
      <w:r w:rsidR="00181D95">
        <w:t>the distribution of its products, the KID should note that there may be costs to the consumer ass</w:t>
      </w:r>
      <w:r w:rsidR="00181D95">
        <w:t>o</w:t>
      </w:r>
      <w:r w:rsidR="00181D95">
        <w:t xml:space="preserve">ciated with distribution and </w:t>
      </w:r>
      <w:proofErr w:type="gramStart"/>
      <w:r w:rsidR="00181D95">
        <w:t>that</w:t>
      </w:r>
      <w:r w:rsidR="006E5939">
        <w:t xml:space="preserve"> details</w:t>
      </w:r>
      <w:proofErr w:type="gramEnd"/>
      <w:r w:rsidR="006E5939">
        <w:t xml:space="preserve"> of these costs</w:t>
      </w:r>
      <w:r w:rsidR="00181D95">
        <w:t xml:space="preserve"> will be provided by the distributor.  </w:t>
      </w:r>
    </w:p>
    <w:permEnd w:id="243494138"/>
    <w:p w:rsidR="00F31E57" w:rsidRDefault="00F31E57" w:rsidP="00F31E57">
      <w:r>
        <w:t>&lt;ESMA_QUESTION_PRIIPs_23&gt;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rsidR="00F31E57" w:rsidRDefault="00F31E57" w:rsidP="00F31E57">
      <w:pPr>
        <w:rPr>
          <w:rFonts w:cstheme="minorBidi"/>
        </w:rPr>
      </w:pPr>
    </w:p>
    <w:p w:rsidR="00F31E57" w:rsidRDefault="00F31E57" w:rsidP="00F31E57">
      <w:r>
        <w:t>&lt;ESMA_QUESTION_PRIIPs_24&gt;</w:t>
      </w:r>
    </w:p>
    <w:p w:rsidR="00F31E57" w:rsidRDefault="00F31E57" w:rsidP="00F31E57">
      <w:permStart w:id="965830327" w:edGrp="everyone"/>
      <w:r>
        <w:t>T</w:t>
      </w:r>
      <w:r w:rsidR="005E43E6">
        <w:t xml:space="preserve">he list needs to be clear that it should include any person or body providing a function or service that is charged to the fund.  </w:t>
      </w:r>
    </w:p>
    <w:permEnd w:id="965830327"/>
    <w:p w:rsidR="00F31E57" w:rsidRDefault="00F31E57" w:rsidP="00F31E57">
      <w:r>
        <w:t>&lt;ESMA_QUESTION_PRIIPs_24&gt;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rsidR="00F31E57" w:rsidRDefault="00F31E57" w:rsidP="00F31E57">
      <w:pPr>
        <w:rPr>
          <w:rFonts w:cstheme="minorBidi"/>
        </w:rPr>
      </w:pPr>
    </w:p>
    <w:p w:rsidR="00F31E57" w:rsidRDefault="00F31E57" w:rsidP="00F31E57">
      <w:r>
        <w:t>&lt;ESMA_QUESTION_PRIIPs_25&gt;</w:t>
      </w:r>
    </w:p>
    <w:p w:rsidR="00F31E57" w:rsidRDefault="005E43E6" w:rsidP="00F31E57">
      <w:permStart w:id="99819982" w:edGrp="everyone"/>
      <w:r>
        <w:t xml:space="preserve">These fees do not need to be further specified.  </w:t>
      </w:r>
    </w:p>
    <w:permEnd w:id="99819982"/>
    <w:p w:rsidR="00F31E57" w:rsidRDefault="00F31E57" w:rsidP="00F31E57">
      <w:r>
        <w:t>&lt;ESMA_QUESTION_PRIIPs_25&gt;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&lt;ESMA_QUESTION_PRIIPs_26&gt;</w:t>
      </w:r>
    </w:p>
    <w:p w:rsidR="00F31E57" w:rsidRDefault="005E43E6" w:rsidP="00F31E57">
      <w:permStart w:id="506297566" w:edGrp="everyone"/>
      <w:r>
        <w:t xml:space="preserve">These fees do not need to be further specified.  </w:t>
      </w:r>
    </w:p>
    <w:permEnd w:id="506297566"/>
    <w:p w:rsidR="00F31E57" w:rsidRDefault="00F31E57" w:rsidP="00F31E57">
      <w:r>
        <w:t>&lt;ESMA_QUESTION_PRIIPs_26&gt;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&lt;ESMA_QUESTION_PRIIPs_27&gt;</w:t>
      </w:r>
    </w:p>
    <w:p w:rsidR="00F31E57" w:rsidRDefault="005E43E6" w:rsidP="00F31E57">
      <w:permStart w:id="1271748909" w:edGrp="everyone"/>
      <w:r>
        <w:t xml:space="preserve">These fees do not need to be further specified.   </w:t>
      </w:r>
    </w:p>
    <w:permEnd w:id="1271748909"/>
    <w:p w:rsidR="00F31E57" w:rsidRDefault="00F31E57" w:rsidP="00F31E57">
      <w:r>
        <w:t>&lt;ESMA_QUESTION_PRIIPs_27&gt;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 xml:space="preserve">This list is taken from the CESR guidelines on cost disclosure for UCITS. What is missing in the case of retail AIFs (real estate funds, private equity funds)? </w:t>
      </w:r>
    </w:p>
    <w:p w:rsidR="00F31E57" w:rsidRDefault="00F31E57" w:rsidP="00F31E57">
      <w:pPr>
        <w:rPr>
          <w:rFonts w:cstheme="minorBidi"/>
        </w:rPr>
      </w:pPr>
    </w:p>
    <w:p w:rsidR="00F31E57" w:rsidRDefault="00F31E57" w:rsidP="00F31E57">
      <w:r>
        <w:t>&lt;ESMA_QUESTION_PRIIPs_28&gt;</w:t>
      </w:r>
    </w:p>
    <w:p w:rsidR="00F31E57" w:rsidRPr="00162403" w:rsidRDefault="00162403" w:rsidP="00F31E57">
      <w:permStart w:id="184762478" w:edGrp="everyone"/>
      <w:r w:rsidRPr="00162403">
        <w:t>TYPE YOUR TEXT HERE</w:t>
      </w:r>
    </w:p>
    <w:permEnd w:id="184762478"/>
    <w:p w:rsidR="00F31E57" w:rsidRDefault="00F31E57" w:rsidP="00F31E57">
      <w:r>
        <w:t>&lt;ESMA_QUESTION_PRIIPs_28&gt;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rsidR="00F31E57" w:rsidRDefault="00F31E57" w:rsidP="00F31E57">
      <w:pPr>
        <w:rPr>
          <w:rFonts w:cstheme="minorBidi"/>
        </w:rPr>
      </w:pPr>
    </w:p>
    <w:p w:rsidR="00F31E57" w:rsidRDefault="00F31E57" w:rsidP="00F31E57">
      <w:r>
        <w:t>&lt;ESMA_QUESTION_PRIIPs_29&gt;</w:t>
      </w:r>
    </w:p>
    <w:p w:rsidR="00F31E57" w:rsidRDefault="00F31E57" w:rsidP="00F31E57">
      <w:permStart w:id="1525427905" w:edGrp="everyone"/>
      <w:r>
        <w:t>TYPE YOUR TEXT HERE</w:t>
      </w:r>
    </w:p>
    <w:permEnd w:id="1525427905"/>
    <w:p w:rsidR="00F31E57" w:rsidRDefault="00F31E57" w:rsidP="00F31E57">
      <w:r>
        <w:t>&lt;ESMA_QUESTION_PRIIPs_29&gt;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w:t>
      </w:r>
      <w:r>
        <w:rPr>
          <w:rFonts w:cs="Arial"/>
        </w:rPr>
        <w:t>i</w:t>
      </w:r>
      <w:r>
        <w:rPr>
          <w:rFonts w:cs="Arial"/>
        </w:rPr>
        <w:t>tion of Costs for capital guarantee or capital protection would you suggest? (Contr</w:t>
      </w:r>
      <w:r>
        <w:rPr>
          <w:rFonts w:cs="Arial"/>
        </w:rPr>
        <w:t>i</w:t>
      </w:r>
      <w:r>
        <w:rPr>
          <w:rFonts w:cs="Arial"/>
        </w:rPr>
        <w:t>bution for deposit insurance or cost of external guarantor?)</w:t>
      </w:r>
    </w:p>
    <w:p w:rsidR="00F31E57" w:rsidRDefault="00F31E57" w:rsidP="00F31E57">
      <w:pPr>
        <w:rPr>
          <w:rFonts w:cstheme="minorBidi"/>
        </w:rPr>
      </w:pPr>
    </w:p>
    <w:p w:rsidR="00F31E57" w:rsidRDefault="00F31E57" w:rsidP="00F31E57">
      <w:r>
        <w:t>&lt;ESMA_QUESTION_PRIIPs_30&gt;</w:t>
      </w:r>
    </w:p>
    <w:p w:rsidR="00F31E57" w:rsidRDefault="00FA2988" w:rsidP="00F31E57">
      <w:permStart w:id="2096913910" w:edGrp="everyone"/>
      <w:r>
        <w:t xml:space="preserve">The AIC </w:t>
      </w:r>
      <w:r w:rsidRPr="00FA2988">
        <w:rPr>
          <w:b/>
          <w:u w:val="single"/>
        </w:rPr>
        <w:t>recommends</w:t>
      </w:r>
      <w:r>
        <w:t xml:space="preserve"> that </w:t>
      </w:r>
      <w:r w:rsidR="005E43E6">
        <w:t>the costs of a capital guarantee or capital protection</w:t>
      </w:r>
      <w:r>
        <w:t xml:space="preserve"> should be included.  This is </w:t>
      </w:r>
      <w:r w:rsidR="005E43E6">
        <w:t xml:space="preserve">a key feature of certain products that are marketed on this basis.  It is important that consumers are able to understand that </w:t>
      </w:r>
      <w:r w:rsidR="0092077C">
        <w:t xml:space="preserve">this sort of protection can have a significant impact on the returns that they might make from the investment.  </w:t>
      </w:r>
    </w:p>
    <w:permEnd w:id="2096913910"/>
    <w:p w:rsidR="00F31E57" w:rsidRDefault="00F31E57" w:rsidP="00F31E57">
      <w:r>
        <w:t>&lt;ESMA_QUESTION_PRIIPs_30&gt;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are the specific issues in relation to this type of costs? Should the scope of these costs be narrowed to administrative costs in connection with investments in d</w:t>
      </w:r>
      <w:r>
        <w:rPr>
          <w:rFonts w:cs="Arial"/>
        </w:rPr>
        <w:t>e</w:t>
      </w:r>
      <w:r>
        <w:rPr>
          <w:rFonts w:cs="Arial"/>
        </w:rPr>
        <w:t xml:space="preserve">rivative instruments? In that respect, it could be argued that margin calls itself should not be considered as costs. The possible rationale behind this reasoning would be that margin calls may result in missed revenues, since no return is realized on the cash amount that is deposited, and that: </w:t>
      </w:r>
    </w:p>
    <w:p w:rsidR="00F31E57" w:rsidRDefault="00F31E57" w:rsidP="00F31E57">
      <w:pPr>
        <w:rPr>
          <w:rFonts w:cstheme="minorBidi"/>
        </w:rPr>
      </w:pPr>
    </w:p>
    <w:p w:rsidR="00F31E57" w:rsidRDefault="00F31E57" w:rsidP="00F31E57">
      <w:r>
        <w:t>&lt;ESMA_QUESTION_PRIIPs_31&gt;</w:t>
      </w:r>
    </w:p>
    <w:p w:rsidR="00EF2E46" w:rsidRDefault="00807D8C" w:rsidP="00F31E57">
      <w:permStart w:id="1891052182" w:edGrp="everyone"/>
      <w:r>
        <w:t>TYPE YOUR TEXT HERE</w:t>
      </w:r>
      <w:r w:rsidR="00181D95">
        <w:t xml:space="preserve">  </w:t>
      </w:r>
    </w:p>
    <w:permEnd w:id="1891052182"/>
    <w:p w:rsidR="00F31E57" w:rsidRDefault="00F31E57" w:rsidP="00F31E57">
      <w:r>
        <w:t>&lt;ESMA_QUESTION_PRIIPs_31&gt;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 xml:space="preserve">Which are the specific issues in relation to this type of costs? Should this type of costs be further detailed/ defined? </w:t>
      </w:r>
    </w:p>
    <w:p w:rsidR="00F31E57" w:rsidRDefault="00F31E57" w:rsidP="00F31E57"/>
    <w:p w:rsidR="00F31E57" w:rsidRDefault="00F31E57" w:rsidP="00F31E57">
      <w:r>
        <w:t>&lt;ESMA_QUESTION_PRIIPs_32&gt;</w:t>
      </w:r>
    </w:p>
    <w:p w:rsidR="003437DB" w:rsidRDefault="00ED7EC5" w:rsidP="00F31E57">
      <w:permStart w:id="267548873" w:edGrp="everyone"/>
      <w:r>
        <w:t xml:space="preserve">Point </w:t>
      </w:r>
      <w:r w:rsidR="003437DB">
        <w:t>(m)</w:t>
      </w:r>
      <w:r>
        <w:t xml:space="preserve"> is unclear</w:t>
      </w:r>
      <w:r w:rsidR="003437DB">
        <w:t>.  If the management company rebates the value of any goods or services received for placing orders then this will not be a cost to the fund.</w:t>
      </w:r>
    </w:p>
    <w:p w:rsidR="003437DB" w:rsidRDefault="003437DB" w:rsidP="00F31E57"/>
    <w:p w:rsidR="00F31E57" w:rsidRDefault="003437DB" w:rsidP="00F31E57">
      <w:r>
        <w:t xml:space="preserve">If it is meant that there is a cost to the fund because the management company chooses to place dealing orders with a particular dealer because it receives goods and services the benefit of which is NOT passed to investors, then this should be shown as a cost to the fund. </w:t>
      </w:r>
    </w:p>
    <w:permEnd w:id="267548873"/>
    <w:p w:rsidR="00F31E57" w:rsidRDefault="00F31E57" w:rsidP="00F31E57">
      <w:r>
        <w:t>&lt;ESMA_QUESTION_PRIIPs_32&gt;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estimated ex-ante and that estimation of future dividends for main indices are normally available?</w:t>
      </w:r>
    </w:p>
    <w:p w:rsidR="00F31E57" w:rsidRDefault="00F31E57" w:rsidP="00F31E57">
      <w:pPr>
        <w:rPr>
          <w:rFonts w:cstheme="minorBidi"/>
        </w:rPr>
      </w:pPr>
    </w:p>
    <w:p w:rsidR="00F31E57" w:rsidRDefault="00F31E57" w:rsidP="00F31E57">
      <w:r>
        <w:t>&lt;ESMA_QUESTION_PRIIPs_33&gt;</w:t>
      </w:r>
    </w:p>
    <w:p w:rsidR="00685E44" w:rsidRDefault="00F31E57" w:rsidP="00F31E57">
      <w:permStart w:id="1655010941" w:edGrp="everyone"/>
      <w:r>
        <w:t>T</w:t>
      </w:r>
      <w:r w:rsidR="00685E44">
        <w:t xml:space="preserve">he AIC </w:t>
      </w:r>
      <w:r w:rsidR="00685E44" w:rsidRPr="00685E44">
        <w:rPr>
          <w:b/>
          <w:u w:val="single"/>
        </w:rPr>
        <w:t>agrees</w:t>
      </w:r>
      <w:r w:rsidR="00685E44">
        <w:t xml:space="preserve"> that where investors have a reasonable expectation </w:t>
      </w:r>
      <w:r w:rsidR="000C49F6">
        <w:t>(based on the features of the pro</w:t>
      </w:r>
      <w:r w:rsidR="000C49F6">
        <w:t>d</w:t>
      </w:r>
      <w:r w:rsidR="000C49F6">
        <w:t xml:space="preserve">uct) </w:t>
      </w:r>
      <w:r w:rsidR="00685E44">
        <w:t>that dividends</w:t>
      </w:r>
      <w:r w:rsidR="000C49F6">
        <w:t xml:space="preserve"> from shares in the portfolio</w:t>
      </w:r>
      <w:r w:rsidR="00685E44">
        <w:t xml:space="preserve"> should be paid to them and these are not paid to the inve</w:t>
      </w:r>
      <w:r w:rsidR="00685E44">
        <w:t>s</w:t>
      </w:r>
      <w:r w:rsidR="00685E44">
        <w:t>tors</w:t>
      </w:r>
      <w:r w:rsidR="000C49F6">
        <w:t xml:space="preserve"> (but instead paid to another party)</w:t>
      </w:r>
      <w:r w:rsidR="00685E44">
        <w:t>, then this should be shown as a cost.  Dividends can be estimated on an ex-ante basis, preferably using the past performance of the product.  If this is not available</w:t>
      </w:r>
      <w:r w:rsidR="001B7B94">
        <w:t>,</w:t>
      </w:r>
      <w:r w:rsidR="00685E44">
        <w:t xml:space="preserve"> then there </w:t>
      </w:r>
      <w:r w:rsidR="001B7B94">
        <w:t xml:space="preserve">are </w:t>
      </w:r>
      <w:r w:rsidR="00685E44">
        <w:t xml:space="preserve">other sources of information that </w:t>
      </w:r>
      <w:r w:rsidR="001B7B94">
        <w:t xml:space="preserve">can </w:t>
      </w:r>
      <w:r w:rsidR="00685E44">
        <w:t xml:space="preserve">serve as suitable substitutes.  </w:t>
      </w:r>
    </w:p>
    <w:p w:rsidR="00685E44" w:rsidRDefault="00685E44" w:rsidP="00F31E57"/>
    <w:p w:rsidR="009E3A65" w:rsidRDefault="002E250B" w:rsidP="00F31E57">
      <w:r>
        <w:t xml:space="preserve">The AIC </w:t>
      </w:r>
      <w:r w:rsidRPr="00A70C45">
        <w:rPr>
          <w:b/>
          <w:u w:val="single"/>
        </w:rPr>
        <w:t>agrees</w:t>
      </w:r>
      <w:r>
        <w:t xml:space="preserve"> that the gains from efficient port</w:t>
      </w:r>
      <w:r w:rsidR="00A70C45">
        <w:t>f</w:t>
      </w:r>
      <w:r>
        <w:t>olio management techniques such as stock lending should be treated as a cost if they are not paid into the portfolio.  It is important to recognise, however, that there may be costs associated with a stock-lending arrangement, such as payments to firms that arrange the stock-lending.  The earnings from stock-lending or other such techniques should be considered on a net basis, i</w:t>
      </w:r>
      <w:r w:rsidR="00BA1F56">
        <w:t>.</w:t>
      </w:r>
      <w:r>
        <w:t>e</w:t>
      </w:r>
      <w:r w:rsidR="00BA1F56">
        <w:t>.</w:t>
      </w:r>
      <w:r>
        <w:t xml:space="preserve"> earnings after the costs of putting in place the arrangements have been taken into account.  Alternatively, earnings could be considered on a gross basis, with the costs for the arrangements reflected in (b) i</w:t>
      </w:r>
      <w:r w:rsidR="00BA1F56">
        <w:t>.</w:t>
      </w:r>
      <w:r>
        <w:t>e</w:t>
      </w:r>
      <w:r w:rsidR="00BA1F56">
        <w:t>.</w:t>
      </w:r>
      <w:r>
        <w:t xml:space="preserve"> ‘all payments to any person providing outsourced services’ to the management of the fund.</w:t>
      </w:r>
    </w:p>
    <w:p w:rsidR="009E3A65" w:rsidRDefault="009E3A65" w:rsidP="00F31E57"/>
    <w:p w:rsidR="00F427AE" w:rsidRDefault="009E3A65" w:rsidP="00F31E57">
      <w:r>
        <w:t xml:space="preserve">Transaction costs are already included in the UCITS KIID and will in </w:t>
      </w:r>
      <w:r w:rsidR="00807D8C">
        <w:t>future be included in the PRIIPs</w:t>
      </w:r>
      <w:r>
        <w:t xml:space="preserve"> KID</w:t>
      </w:r>
      <w:r w:rsidR="00F427AE">
        <w:t xml:space="preserve">.  Firms that are preparing a PRIIPs KID will, therefore, have access to information about transaction costs </w:t>
      </w:r>
      <w:r w:rsidR="00DD6B4D">
        <w:t xml:space="preserve">where they have </w:t>
      </w:r>
      <w:r w:rsidR="00F427AE">
        <w:t>underlying investments</w:t>
      </w:r>
      <w:r w:rsidR="00DD6B4D">
        <w:t xml:space="preserve"> in UCITS or PRIIPs products</w:t>
      </w:r>
      <w:r w:rsidR="00F427AE">
        <w:t>.  This may not be the case for non-EU prod</w:t>
      </w:r>
      <w:r w:rsidR="00DD6B4D">
        <w:t>ucts if</w:t>
      </w:r>
      <w:r w:rsidR="00F427AE">
        <w:t xml:space="preserve"> the manufacturer</w:t>
      </w:r>
      <w:r w:rsidR="00807D8C">
        <w:t xml:space="preserve"> of that product</w:t>
      </w:r>
      <w:r w:rsidR="00F427AE">
        <w:t xml:space="preserve"> is not obliged to provide the same cost disclosure.  It is important that the </w:t>
      </w:r>
      <w:r w:rsidR="00807D8C">
        <w:t xml:space="preserve">PRIIP </w:t>
      </w:r>
      <w:r w:rsidR="00F427AE">
        <w:t>manufacturer retains the ability set out in (p) to make estimates of</w:t>
      </w:r>
      <w:r w:rsidR="00DD6B4D">
        <w:t xml:space="preserve"> the relevant transaction costs where they are not easily obtainable.</w:t>
      </w:r>
      <w:r w:rsidR="002E250B">
        <w:t xml:space="preserve"> </w:t>
      </w:r>
    </w:p>
    <w:permEnd w:id="1655010941"/>
    <w:p w:rsidR="00F31E57" w:rsidRDefault="00F31E57" w:rsidP="00F31E57">
      <w:r>
        <w:t>&lt;ESMA_QUESTION_PRIIPs_33&gt;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t xml:space="preserve">Is this description comprehensive? </w:t>
      </w:r>
    </w:p>
    <w:p w:rsidR="00F31E57" w:rsidRDefault="00F31E57" w:rsidP="00F31E57">
      <w:pPr>
        <w:rPr>
          <w:rFonts w:eastAsiaTheme="minorHAnsi" w:cstheme="minorBidi"/>
          <w:lang w:eastAsia="en-US"/>
        </w:rPr>
      </w:pPr>
    </w:p>
    <w:p w:rsidR="00F31E57" w:rsidRDefault="00F31E57" w:rsidP="00F31E57">
      <w:r>
        <w:t>&lt;ESMA_QUESTION_PRIIPs_34&gt;</w:t>
      </w:r>
    </w:p>
    <w:p w:rsidR="00F31E57" w:rsidRDefault="005D040C" w:rsidP="00F31E57">
      <w:permStart w:id="2115048585" w:edGrp="everyone"/>
      <w:r>
        <w:t xml:space="preserve">The AIC </w:t>
      </w:r>
      <w:r w:rsidRPr="00DD6B4D">
        <w:rPr>
          <w:b/>
          <w:u w:val="single"/>
        </w:rPr>
        <w:t>agrees</w:t>
      </w:r>
      <w:r>
        <w:t xml:space="preserve"> that this description</w:t>
      </w:r>
      <w:r w:rsidR="00CC2EFD">
        <w:t xml:space="preserve"> of transaction costs</w:t>
      </w:r>
      <w:r>
        <w:t xml:space="preserve"> is comprehensive.  </w:t>
      </w:r>
    </w:p>
    <w:permEnd w:id="2115048585"/>
    <w:p w:rsidR="00F31E57" w:rsidRDefault="00F31E57" w:rsidP="00F31E57">
      <w:r>
        <w:t>&lt;ESMA_QUESTION_PRIIPs_34&gt;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difficulties with calculating and presenting explicit broker co</w:t>
      </w:r>
      <w:r>
        <w:rPr>
          <w:rFonts w:cs="Arial"/>
        </w:rPr>
        <w:t>m</w:t>
      </w:r>
      <w:r>
        <w:rPr>
          <w:rFonts w:cs="Arial"/>
        </w:rPr>
        <w:t>missions? How can explicit broker commissions best be calculated ex-ante?</w:t>
      </w:r>
    </w:p>
    <w:p w:rsidR="00F31E57" w:rsidRDefault="00F31E57" w:rsidP="00F31E57">
      <w:pPr>
        <w:rPr>
          <w:rFonts w:cstheme="minorBidi"/>
        </w:rPr>
      </w:pPr>
    </w:p>
    <w:p w:rsidR="00F31E57" w:rsidRDefault="00F31E57" w:rsidP="00F31E57">
      <w:r>
        <w:t>&lt;ESMA_QUESTION_PRIIPs_35&gt;</w:t>
      </w:r>
    </w:p>
    <w:p w:rsidR="00CC2EFD" w:rsidRDefault="005D040C" w:rsidP="00F31E57">
      <w:permStart w:id="347676203" w:edGrp="everyone"/>
      <w:r>
        <w:t xml:space="preserve">The AIC </w:t>
      </w:r>
      <w:r w:rsidRPr="005D040C">
        <w:rPr>
          <w:b/>
          <w:u w:val="single"/>
        </w:rPr>
        <w:t>recommends</w:t>
      </w:r>
      <w:r>
        <w:t xml:space="preserve"> that</w:t>
      </w:r>
      <w:r w:rsidR="002C4EA0">
        <w:t>,</w:t>
      </w:r>
      <w:r>
        <w:t xml:space="preserve"> where funds have to make ex-ante calculations of broker commissions, this should be based on past data.  This makes the calculation straig</w:t>
      </w:r>
      <w:r w:rsidR="00CC2EFD">
        <w:t>ht</w:t>
      </w:r>
      <w:r>
        <w:t xml:space="preserve">forward for funds which should have ready access to this data.  Whilst it will </w:t>
      </w:r>
      <w:r w:rsidR="001B7B94">
        <w:t xml:space="preserve">be </w:t>
      </w:r>
      <w:r>
        <w:t xml:space="preserve">a forecast of future costs, the level of trading in a fund and the level of commissions is unlikely to change by a large amount from one year to the next.  </w:t>
      </w:r>
      <w:r w:rsidR="00CC2EFD">
        <w:t xml:space="preserve">Where there is insufficient past data to calculate broker commissions, this should be based on reasonable estimates of the costs.   </w:t>
      </w:r>
    </w:p>
    <w:permEnd w:id="347676203"/>
    <w:p w:rsidR="00F31E57" w:rsidRDefault="00F31E57" w:rsidP="00F31E57">
      <w:r>
        <w:t>&lt;ESMA_QUESTION_PRIIPs_35&gt;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w:t>
      </w:r>
      <w:r>
        <w:rPr>
          <w:rFonts w:eastAsia="Times New Roman" w:cs="Arial"/>
          <w:lang w:eastAsia="en-GB"/>
        </w:rPr>
        <w:t>k</w:t>
      </w:r>
      <w:r>
        <w:rPr>
          <w:rFonts w:eastAsia="Times New Roman" w:cs="Arial"/>
          <w:lang w:eastAsia="en-GB"/>
        </w:rPr>
        <w:t>ing fees paid to custody banks that are billed separately from the annual custodian fee paid for depositing the securities) should be added to this list?</w:t>
      </w:r>
    </w:p>
    <w:p w:rsidR="00F31E57" w:rsidRDefault="00F31E57" w:rsidP="00F31E57">
      <w:pPr>
        <w:rPr>
          <w:rFonts w:cstheme="minorBidi"/>
        </w:rPr>
      </w:pPr>
    </w:p>
    <w:p w:rsidR="00F31E57" w:rsidRDefault="00F31E57" w:rsidP="00F31E57">
      <w:r>
        <w:t>&lt;ESMA_QUESTION_PRIIPs_36&gt;</w:t>
      </w:r>
    </w:p>
    <w:p w:rsidR="001B7B94" w:rsidRDefault="001B7B94" w:rsidP="001B7B94">
      <w:permStart w:id="413286888" w:edGrp="everyone"/>
      <w:r>
        <w:t xml:space="preserve">The AIC </w:t>
      </w:r>
      <w:r w:rsidRPr="005D040C">
        <w:rPr>
          <w:b/>
          <w:u w:val="single"/>
        </w:rPr>
        <w:t>recommends</w:t>
      </w:r>
      <w:r>
        <w:t xml:space="preserve"> that</w:t>
      </w:r>
      <w:r w:rsidR="002C4EA0">
        <w:t>,</w:t>
      </w:r>
      <w:r>
        <w:t xml:space="preserve"> where funds have to make ex-ante calculations of transaction taxes, this should be based on past data.  This make</w:t>
      </w:r>
      <w:r w:rsidR="00CC2EFD">
        <w:t>s the calculation straight</w:t>
      </w:r>
      <w:r>
        <w:t xml:space="preserve">forward for funds which should have ready access to this data.  Whilst it will be a forecast of future costs, the level of trading in a fund and the resulting tax paid is unlikely to change by a large amount from one year to the next.  </w:t>
      </w:r>
    </w:p>
    <w:permEnd w:id="413286888"/>
    <w:p w:rsidR="00F31E57" w:rsidRDefault="00F31E57" w:rsidP="00F31E57">
      <w:r>
        <w:t>&lt;ESMA_QUESTION_PRIIPs_36&gt;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lastRenderedPageBreak/>
        <w:t xml:space="preserve">As regards the abovementioned estimate, </w:t>
      </w:r>
      <w:r>
        <w:rPr>
          <w:rFonts w:cs="Arial"/>
        </w:rPr>
        <w:t>can the fair value approach be used?</w:t>
      </w:r>
      <w:r>
        <w:rPr>
          <w:rStyle w:val="FootnoteReference"/>
          <w:rFonts w:cs="Arial"/>
        </w:rPr>
        <w:footnoteReference w:id="3"/>
      </w:r>
      <w:r>
        <w:rPr>
          <w:rFonts w:cs="Arial"/>
        </w:rPr>
        <w:t xml:space="preserve"> </w:t>
      </w:r>
    </w:p>
    <w:p w:rsidR="00F31E57" w:rsidRDefault="00F31E57" w:rsidP="00F31E57">
      <w:pPr>
        <w:rPr>
          <w:rFonts w:eastAsiaTheme="minorHAnsi" w:cstheme="minorBidi"/>
          <w:lang w:eastAsia="en-US"/>
        </w:rPr>
      </w:pPr>
    </w:p>
    <w:p w:rsidR="00F31E57" w:rsidRDefault="00F31E57" w:rsidP="00F31E57">
      <w:r>
        <w:t>&lt;ESMA_QUESTION_PRIIPs_37&gt;</w:t>
      </w:r>
    </w:p>
    <w:p w:rsidR="00D9479F" w:rsidRDefault="00D9479F" w:rsidP="00F31E57">
      <w:permStart w:id="1734229124" w:edGrp="everyone"/>
      <w:r>
        <w:t>TYPE YOUR TEXT HERE</w:t>
      </w:r>
    </w:p>
    <w:permEnd w:id="1734229124"/>
    <w:p w:rsidR="00F31E57" w:rsidRDefault="00F31E57" w:rsidP="00F31E57">
      <w:r>
        <w:t>&lt;ESMA_QUESTION_PRIIPs_37&gt;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other difficulties with calculating and presenting the bid-ask spread? Do you believe broker commissions included in the spread should be di</w:t>
      </w:r>
      <w:r>
        <w:rPr>
          <w:rFonts w:cs="Arial"/>
        </w:rPr>
        <w:t>s</w:t>
      </w:r>
      <w:r>
        <w:rPr>
          <w:rFonts w:cs="Arial"/>
        </w:rPr>
        <w:t xml:space="preserve">closed? If so, which of the above mentioned approaches do you think would be more suitable for ex-ante calculations or are there alternative methods not explored above? </w:t>
      </w:r>
    </w:p>
    <w:p w:rsidR="00F31E57" w:rsidRDefault="00F31E57" w:rsidP="00F31E57">
      <w:pPr>
        <w:rPr>
          <w:rFonts w:cstheme="minorBidi"/>
        </w:rPr>
      </w:pPr>
    </w:p>
    <w:p w:rsidR="00F31E57" w:rsidRDefault="00F31E57" w:rsidP="00F31E57">
      <w:r>
        <w:t>&lt;ESMA_QUESTION_PRIIPs_38&gt;</w:t>
      </w:r>
    </w:p>
    <w:p w:rsidR="00F31E57" w:rsidRDefault="009E3A65" w:rsidP="00F31E57">
      <w:permStart w:id="1679441666" w:edGrp="everyone"/>
      <w:r>
        <w:t xml:space="preserve">The AIC </w:t>
      </w:r>
      <w:r w:rsidRPr="009E3A65">
        <w:rPr>
          <w:b/>
          <w:u w:val="single"/>
        </w:rPr>
        <w:t>recommends</w:t>
      </w:r>
      <w:r>
        <w:t xml:space="preserve"> that the approach set out in option (iii) should</w:t>
      </w:r>
      <w:r w:rsidR="00E3400D">
        <w:t xml:space="preserve"> be chosen </w:t>
      </w:r>
      <w:r>
        <w:t>– with a centrally desi</w:t>
      </w:r>
      <w:r>
        <w:t>g</w:t>
      </w:r>
      <w:r>
        <w:t>nated table based on different categories of bonds.  This would ensure a standardised approach for calc</w:t>
      </w:r>
      <w:r>
        <w:t>u</w:t>
      </w:r>
      <w:r>
        <w:t>lating the figures used in the PRIIP</w:t>
      </w:r>
      <w:r w:rsidR="00807D8C">
        <w:t>s</w:t>
      </w:r>
      <w:r>
        <w:t xml:space="preserve"> KID and enha</w:t>
      </w:r>
      <w:r w:rsidR="00CC2EFD">
        <w:t>nce the consistency between KIDs</w:t>
      </w:r>
      <w:r>
        <w:t>.  It also has the advantage of being a simple methodology for the product manufacturer to use</w:t>
      </w:r>
      <w:r w:rsidR="008623E0">
        <w:t xml:space="preserve"> which</w:t>
      </w:r>
      <w:r w:rsidR="00807D8C">
        <w:t xml:space="preserve"> avoid</w:t>
      </w:r>
      <w:r w:rsidR="008623E0">
        <w:t>s</w:t>
      </w:r>
      <w:r w:rsidR="00807D8C">
        <w:t xml:space="preserve"> relying on the judgment necessary to calculate implicit costs</w:t>
      </w:r>
      <w:r>
        <w:t xml:space="preserve">.  </w:t>
      </w:r>
      <w:r w:rsidR="00D9479F">
        <w:t>This approach should also be included for other inves</w:t>
      </w:r>
      <w:r w:rsidR="00D9479F">
        <w:t>t</w:t>
      </w:r>
      <w:r w:rsidR="00D9479F">
        <w:t xml:space="preserve">ments such as shares if they are traded on a bid-ask basis.  </w:t>
      </w:r>
    </w:p>
    <w:p w:rsidR="009E3A65" w:rsidRDefault="009E3A65" w:rsidP="00F31E57"/>
    <w:p w:rsidR="009E3A65" w:rsidRDefault="00EF2E46" w:rsidP="00F31E57">
      <w:r>
        <w:t xml:space="preserve">If this approach is </w:t>
      </w:r>
      <w:r w:rsidR="009E3A65">
        <w:t xml:space="preserve">adopted, the AIC </w:t>
      </w:r>
      <w:r w:rsidR="009E3A65" w:rsidRPr="00CC2EFD">
        <w:rPr>
          <w:b/>
          <w:u w:val="single"/>
        </w:rPr>
        <w:t>recommends</w:t>
      </w:r>
      <w:r w:rsidR="009E3A65">
        <w:t xml:space="preserve"> that the ESAs research the figures used for costs to ensure that these do reflect market spreads.  In addition, consideration should be given as to how these figures should be generated and published, and how often they are reviewed.  Changing the figures set out in the table could impact on large numbers of PRIIPs KIDs.  </w:t>
      </w:r>
      <w:r w:rsidR="00D9479F">
        <w:t>An annual p</w:t>
      </w:r>
      <w:r w:rsidR="009E3A65">
        <w:t>erio</w:t>
      </w:r>
      <w:r w:rsidR="00D9479F">
        <w:t>d for review and re-publication should be set.</w:t>
      </w:r>
      <w:r w:rsidR="009E3A65">
        <w:t xml:space="preserve">  This would ensure that product manufacturers could allow for changes in any revisions that they make to their KIDs.  </w:t>
      </w:r>
    </w:p>
    <w:permEnd w:id="1679441666"/>
    <w:p w:rsidR="00F31E57" w:rsidRDefault="00F31E57" w:rsidP="00F31E57">
      <w:r>
        <w:t>&lt;ESMA_QUESTION_PRIIPs_38&gt;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under the PRIIPs regulation? If so, how can the market impact costs best be calculated? How should this be done to give the best estimate ex-ante?</w:t>
      </w:r>
    </w:p>
    <w:p w:rsidR="00F31E57" w:rsidRDefault="00F31E57" w:rsidP="00F31E57">
      <w:pPr>
        <w:rPr>
          <w:rFonts w:cstheme="minorBidi"/>
        </w:rPr>
      </w:pPr>
    </w:p>
    <w:p w:rsidR="00F31E57" w:rsidRDefault="00F31E57" w:rsidP="00F31E57">
      <w:r>
        <w:t>&lt;ESMA_QUESTION_PRIIPs_39&gt;</w:t>
      </w:r>
    </w:p>
    <w:p w:rsidR="00F31E57" w:rsidRDefault="001B7B94" w:rsidP="00F31E57">
      <w:permStart w:id="165484488" w:edGrp="everyone"/>
      <w:r>
        <w:t xml:space="preserve">The AIC </w:t>
      </w:r>
      <w:r w:rsidRPr="00E95B9A">
        <w:rPr>
          <w:b/>
          <w:u w:val="single"/>
        </w:rPr>
        <w:t>recommend</w:t>
      </w:r>
      <w:r w:rsidR="00964CF5" w:rsidRPr="00E95B9A">
        <w:rPr>
          <w:b/>
          <w:u w:val="single"/>
        </w:rPr>
        <w:t>s</w:t>
      </w:r>
      <w:r w:rsidR="00964CF5">
        <w:t xml:space="preserve"> that market impact costs should NOT be included as a cost.  Any assessment of </w:t>
      </w:r>
      <w:r w:rsidR="008623E0">
        <w:t xml:space="preserve">such </w:t>
      </w:r>
      <w:r w:rsidR="00964CF5">
        <w:t xml:space="preserve">cost will necessarily be complicated and without any certainty that it is producing an accurate figure.  In addition, the potential for a market impact is an inevitable feature of any market and it is hard to see this as a direct cost to </w:t>
      </w:r>
      <w:r w:rsidR="00E95B9A">
        <w:t>the investor.  For some investments, such as infrastructure, there is no reliable market price, so market impact prices could not be calculated.</w:t>
      </w:r>
    </w:p>
    <w:permEnd w:id="165484488"/>
    <w:p w:rsidR="00F31E57" w:rsidRDefault="00F31E57" w:rsidP="00F31E57">
      <w:r>
        <w:t>&lt;ESMA_QUESTION_PRIIPs_39&gt;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rsidR="00F31E57" w:rsidRDefault="00F31E57" w:rsidP="00F31E57">
      <w:pPr>
        <w:rPr>
          <w:rFonts w:cstheme="minorBidi"/>
        </w:rPr>
      </w:pPr>
    </w:p>
    <w:p w:rsidR="00F31E57" w:rsidRDefault="00F31E57" w:rsidP="00F31E57">
      <w:r>
        <w:t>&lt;ESMA_QUESTION_PRIIPs_40&gt;</w:t>
      </w:r>
    </w:p>
    <w:p w:rsidR="00F31E57" w:rsidRDefault="00F31E57" w:rsidP="00F31E57">
      <w:permStart w:id="1234768228" w:edGrp="everyone"/>
      <w:r>
        <w:t>TYPE YOUR TEXT HERE</w:t>
      </w:r>
    </w:p>
    <w:permEnd w:id="1234768228"/>
    <w:p w:rsidR="00F31E57" w:rsidRDefault="00F31E57" w:rsidP="00F31E57">
      <w:r>
        <w:t>&lt;ESMA_QUESTION_PRIIPs_40&gt;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lastRenderedPageBreak/>
        <w:t>Which other technical specifications would you suggest adding to the abovementioned methodology</w:t>
      </w:r>
      <w:r>
        <w:rPr>
          <w:rFonts w:cs="Arial"/>
        </w:rPr>
        <w:t>? Which other technical issues do you identify as r</w:t>
      </w:r>
      <w:r>
        <w:rPr>
          <w:rFonts w:cs="Arial"/>
        </w:rPr>
        <w:t>e</w:t>
      </w:r>
      <w:r>
        <w:rPr>
          <w:rFonts w:cs="Arial"/>
        </w:rPr>
        <w:t>gards the implementation of the methodology?</w:t>
      </w:r>
    </w:p>
    <w:p w:rsidR="00F31E57" w:rsidRDefault="00F31E57" w:rsidP="00F31E57">
      <w:pPr>
        <w:rPr>
          <w:rFonts w:cstheme="minorBidi"/>
        </w:rPr>
      </w:pPr>
    </w:p>
    <w:p w:rsidR="00F31E57" w:rsidRDefault="00F31E57" w:rsidP="00F31E57">
      <w:r>
        <w:t>&lt;ESMA_QUESTION_PRIIPs_41&gt;</w:t>
      </w:r>
    </w:p>
    <w:p w:rsidR="006713D7" w:rsidRDefault="006713D7" w:rsidP="00F31E57">
      <w:permStart w:id="921253822" w:edGrp="everyone"/>
      <w:r>
        <w:t xml:space="preserve">The AIC </w:t>
      </w:r>
      <w:r w:rsidRPr="004B6DEE">
        <w:rPr>
          <w:b/>
          <w:u w:val="single"/>
        </w:rPr>
        <w:t>agrees</w:t>
      </w:r>
      <w:r w:rsidRPr="006713D7">
        <w:t xml:space="preserve"> </w:t>
      </w:r>
      <w:r>
        <w:t xml:space="preserve">that standardised models for calculating overall transactions costs would be appropriate and </w:t>
      </w:r>
      <w:r w:rsidRPr="006713D7">
        <w:rPr>
          <w:b/>
          <w:u w:val="single"/>
        </w:rPr>
        <w:t>recommends</w:t>
      </w:r>
      <w:r>
        <w:t xml:space="preserve"> that they should be </w:t>
      </w:r>
      <w:r w:rsidR="00391B58">
        <w:t xml:space="preserve">included as an option for product manufacturers when they compile a KID.  </w:t>
      </w:r>
    </w:p>
    <w:p w:rsidR="006713D7" w:rsidRDefault="006713D7" w:rsidP="00F31E57"/>
    <w:p w:rsidR="006713D7" w:rsidRDefault="006713D7" w:rsidP="00F31E57">
      <w:r>
        <w:t>As the paper notes, calculating transaction costs will inevitably require a trade-off between achieving accuracy that benefi</w:t>
      </w:r>
      <w:r w:rsidR="00650F60">
        <w:t>ts consumers and</w:t>
      </w:r>
      <w:r w:rsidR="00391B58">
        <w:t xml:space="preserve"> the </w:t>
      </w:r>
      <w:r w:rsidR="00650F60">
        <w:t>costs</w:t>
      </w:r>
      <w:r w:rsidR="00391B58">
        <w:t xml:space="preserve"> of preparing the KID</w:t>
      </w:r>
      <w:r w:rsidR="00650F60">
        <w:t xml:space="preserve">.  This </w:t>
      </w:r>
      <w:r>
        <w:t>trade-off is appropriate as long as consumers are not disadvantage</w:t>
      </w:r>
      <w:r w:rsidR="00650F60">
        <w:t>d</w:t>
      </w:r>
      <w:r>
        <w:t xml:space="preserve">.  In practice, the transaction costs are just one part of </w:t>
      </w:r>
      <w:r w:rsidR="00650F60">
        <w:t xml:space="preserve">a </w:t>
      </w:r>
      <w:r>
        <w:t>wide array of costs, so any trade-off made here is very unlikely to have a significant impact on the disclosure made to consumers.</w:t>
      </w:r>
    </w:p>
    <w:p w:rsidR="006713D7" w:rsidRDefault="006713D7" w:rsidP="00F31E57"/>
    <w:p w:rsidR="00F31E57" w:rsidRDefault="006713D7" w:rsidP="00F31E57">
      <w:r>
        <w:t xml:space="preserve">The AIC </w:t>
      </w:r>
      <w:r w:rsidRPr="003E4EA8">
        <w:rPr>
          <w:b/>
          <w:u w:val="single"/>
        </w:rPr>
        <w:t>recommends</w:t>
      </w:r>
      <w:r>
        <w:t xml:space="preserve"> that </w:t>
      </w:r>
      <w:r w:rsidR="003E4EA8">
        <w:t xml:space="preserve">the ESAs consider a hybrid model for transaction costs.  This would have the advantage set out in the paper of allowing actual costs to </w:t>
      </w:r>
      <w:r w:rsidR="00650F60">
        <w:t xml:space="preserve">be </w:t>
      </w:r>
      <w:r w:rsidR="003E4EA8">
        <w:t>us</w:t>
      </w:r>
      <w:r w:rsidR="00237E47">
        <w:t xml:space="preserve">ed where they are easy to obtain.  There should also be a standardised methodology for transactions in assets such as infrastructure, property and private equity where the costs are harder and more costly to obtain.  </w:t>
      </w:r>
      <w:r w:rsidR="00650F60">
        <w:t xml:space="preserve">The AIC also </w:t>
      </w:r>
      <w:r w:rsidR="00650F60" w:rsidRPr="00391B58">
        <w:rPr>
          <w:b/>
          <w:u w:val="single"/>
        </w:rPr>
        <w:t>recommends</w:t>
      </w:r>
      <w:r w:rsidR="00650F60">
        <w:t xml:space="preserve"> that the ESAs carry out further work to investigate whether costs should be provided central</w:t>
      </w:r>
      <w:r w:rsidR="00DD0641">
        <w:t xml:space="preserve">ly or left with market participants.  </w:t>
      </w:r>
    </w:p>
    <w:p w:rsidR="00DD0641" w:rsidRDefault="00DD0641" w:rsidP="00F31E57"/>
    <w:p w:rsidR="00650F60" w:rsidRDefault="00DD0641" w:rsidP="00F31E57">
      <w:r>
        <w:t>Where a standardised approach is used, it could</w:t>
      </w:r>
      <w:r w:rsidR="00CB30CD">
        <w:t xml:space="preserve"> be based either on a portfolio turnover rate or the actual level of trading in the fund</w:t>
      </w:r>
      <w:r w:rsidR="00391B58">
        <w:t xml:space="preserve"> and an average transaction cost</w:t>
      </w:r>
      <w:r w:rsidR="00CB30CD">
        <w:t xml:space="preserve">.  For </w:t>
      </w:r>
      <w:r>
        <w:t xml:space="preserve">some funds, the level of trading will mean that it is relatively easy for the fund to know the </w:t>
      </w:r>
      <w:r w:rsidR="00CB30CD">
        <w:t xml:space="preserve">precise </w:t>
      </w:r>
      <w:r>
        <w:t xml:space="preserve">number of purchases and sales that it has made over the past year.  </w:t>
      </w:r>
    </w:p>
    <w:permEnd w:id="921253822"/>
    <w:p w:rsidR="00F31E57" w:rsidRDefault="00F31E57" w:rsidP="00F31E57">
      <w:r>
        <w:t>&lt;ESMA_QUESTION_PRIIPs_41&gt;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w:t>
      </w:r>
      <w:r>
        <w:rPr>
          <w:rFonts w:cs="Arial"/>
        </w:rPr>
        <w:t>o</w:t>
      </w:r>
      <w:r>
        <w:rPr>
          <w:rFonts w:cs="Arial"/>
        </w:rPr>
        <w:t>sure of the PRIIPs Regulation?</w:t>
      </w:r>
    </w:p>
    <w:p w:rsidR="00F31E57" w:rsidRDefault="00F31E57" w:rsidP="00F31E57">
      <w:pPr>
        <w:rPr>
          <w:rFonts w:cstheme="minorBidi"/>
        </w:rPr>
      </w:pPr>
    </w:p>
    <w:p w:rsidR="00F31E57" w:rsidRDefault="00F31E57" w:rsidP="00F31E57">
      <w:r>
        <w:t>&lt;ESMA_QUESTION_PRIIPs_42&gt;</w:t>
      </w:r>
    </w:p>
    <w:p w:rsidR="00C32DA2" w:rsidRDefault="00C32DA2" w:rsidP="00F31E57">
      <w:permStart w:id="1738159506" w:edGrp="everyone"/>
      <w:r>
        <w:t xml:space="preserve">The IOSCO definition of performance fees is one that is already commonly used.  The AIC </w:t>
      </w:r>
      <w:r w:rsidRPr="004B6DEE">
        <w:rPr>
          <w:b/>
          <w:u w:val="single"/>
        </w:rPr>
        <w:t>agrees</w:t>
      </w:r>
      <w:r>
        <w:t xml:space="preserve"> that it would be helpful to include the definition for PRIIPs disclosures.  </w:t>
      </w:r>
    </w:p>
    <w:permEnd w:id="1738159506"/>
    <w:p w:rsidR="00F31E57" w:rsidRDefault="00F31E57" w:rsidP="00F31E57">
      <w:r>
        <w:t>&lt;ESMA_QUESTION_PRIIPs_42&gt;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the appropriate assumption for the rate of returns, in general and in the specific case of the calculation of performance fees?</w:t>
      </w:r>
    </w:p>
    <w:p w:rsidR="00F31E57" w:rsidRDefault="00F31E57" w:rsidP="00F31E57">
      <w:pPr>
        <w:rPr>
          <w:rFonts w:cstheme="minorBidi"/>
        </w:rPr>
      </w:pPr>
    </w:p>
    <w:p w:rsidR="00F31E57" w:rsidRDefault="00F31E57" w:rsidP="00F31E57">
      <w:r>
        <w:t>&lt;ESMA_QUESTION_PRIIPs_43&gt;</w:t>
      </w:r>
    </w:p>
    <w:p w:rsidR="00EC30C7" w:rsidRDefault="00EC30C7" w:rsidP="00EC30C7">
      <w:permStart w:id="226117349" w:edGrp="everyone"/>
      <w:r>
        <w:t xml:space="preserve">The AIC </w:t>
      </w:r>
      <w:r w:rsidRPr="00CC2EFD">
        <w:rPr>
          <w:b/>
          <w:u w:val="single"/>
        </w:rPr>
        <w:t>recommends</w:t>
      </w:r>
      <w:r>
        <w:t xml:space="preserve"> that a zero growth rate should be assumed for the purpose of presenting costs.  This has the advantage of being easy for the consumer to understand and also avoids the risk that a growth rate shown in the KID is regarded as a forecast by the consumer.  It should be accompanied by an explanation that the zero growth </w:t>
      </w:r>
      <w:proofErr w:type="gramStart"/>
      <w:r>
        <w:t>rate</w:t>
      </w:r>
      <w:proofErr w:type="gramEnd"/>
      <w:r>
        <w:t xml:space="preserve"> is being used for ease of understanding.  </w:t>
      </w:r>
    </w:p>
    <w:p w:rsidR="00EC30C7" w:rsidRDefault="00EC30C7" w:rsidP="00EC30C7"/>
    <w:p w:rsidR="00F31E57" w:rsidRDefault="00EC30C7" w:rsidP="00EC30C7">
      <w:r>
        <w:t>If the product has performance fees which are triggered at a certain level of performance then this should be made clear in the disclosure.  Where performance fees increase in line with performance, however</w:t>
      </w:r>
      <w:r w:rsidR="0034109B">
        <w:t>, this should also be disclosed</w:t>
      </w:r>
      <w:r>
        <w:t xml:space="preserve"> based on the past performance data.  </w:t>
      </w:r>
    </w:p>
    <w:permEnd w:id="226117349"/>
    <w:p w:rsidR="00F31E57" w:rsidRDefault="00F31E57" w:rsidP="00F31E57">
      <w:r>
        <w:t>&lt;ESMA_QUESTION_PRIIPs_43&gt;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discl</w:t>
      </w:r>
      <w:r>
        <w:rPr>
          <w:rFonts w:cs="Arial"/>
        </w:rPr>
        <w:t>o</w:t>
      </w:r>
      <w:r>
        <w:rPr>
          <w:rFonts w:cs="Arial"/>
        </w:rPr>
        <w:t>sure and calculation of performance fees in the context of the KID?</w:t>
      </w:r>
    </w:p>
    <w:p w:rsidR="00F31E57" w:rsidRDefault="00F31E57" w:rsidP="00F31E57">
      <w:pPr>
        <w:rPr>
          <w:rFonts w:cstheme="minorBidi"/>
        </w:rPr>
      </w:pPr>
    </w:p>
    <w:p w:rsidR="00F31E57" w:rsidRDefault="00F31E57" w:rsidP="00F31E57">
      <w:r>
        <w:lastRenderedPageBreak/>
        <w:t>&lt;ESMA_QUESTION_PRIIPs_44&gt;</w:t>
      </w:r>
    </w:p>
    <w:p w:rsidR="00A60EE5" w:rsidRDefault="00F31E57" w:rsidP="00F31E57">
      <w:permStart w:id="1442727495" w:edGrp="everyone"/>
      <w:r>
        <w:t>T</w:t>
      </w:r>
      <w:r w:rsidR="00A60EE5">
        <w:t xml:space="preserve">he AIC </w:t>
      </w:r>
      <w:r w:rsidR="00A60EE5" w:rsidRPr="00A60EE5">
        <w:rPr>
          <w:b/>
          <w:u w:val="single"/>
        </w:rPr>
        <w:t>recommends</w:t>
      </w:r>
      <w:r w:rsidR="00A60EE5">
        <w:t xml:space="preserve"> that the third approach set out in the paper should be adopted – </w:t>
      </w:r>
      <w:r w:rsidR="0098702D">
        <w:t xml:space="preserve">i.e. </w:t>
      </w:r>
      <w:r w:rsidR="00A60EE5">
        <w:t xml:space="preserve">an ex ante estimate of performance fees </w:t>
      </w:r>
      <w:r w:rsidR="00CC2EFD">
        <w:t xml:space="preserve">based on </w:t>
      </w:r>
      <w:r w:rsidR="00A60EE5">
        <w:t xml:space="preserve">past </w:t>
      </w:r>
      <w:r w:rsidR="00DD6B4D">
        <w:t>performance.  Performance fees sh</w:t>
      </w:r>
      <w:r w:rsidR="00A60EE5">
        <w:t xml:space="preserve">ould not be included in the total cost indicator.  </w:t>
      </w:r>
    </w:p>
    <w:p w:rsidR="00A60EE5" w:rsidRDefault="00A60EE5" w:rsidP="00F31E57"/>
    <w:p w:rsidR="00A60EE5" w:rsidRDefault="00A60EE5" w:rsidP="00F31E57">
      <w:r>
        <w:t>The calculation of the performance fees should be based on the methodology set out in the second option – i</w:t>
      </w:r>
      <w:r w:rsidR="00162403">
        <w:t>.</w:t>
      </w:r>
      <w:r>
        <w:t>e</w:t>
      </w:r>
      <w:r w:rsidR="00162403">
        <w:t>.</w:t>
      </w:r>
      <w:r>
        <w:t xml:space="preserve"> using historical data where it is available.  </w:t>
      </w:r>
      <w:r w:rsidR="009C0424">
        <w:t>This should be based on the same timespan as that used for performance calculations which should be ten years for long-term products such as investment co</w:t>
      </w:r>
      <w:r w:rsidR="009C0424">
        <w:t>m</w:t>
      </w:r>
      <w:r w:rsidR="009C0424">
        <w:t xml:space="preserve">panies.  Where complete data is not available then the calculation should be based on the methodology set out in (b).  </w:t>
      </w:r>
    </w:p>
    <w:p w:rsidR="009C0424" w:rsidRDefault="009C0424" w:rsidP="00F31E57"/>
    <w:p w:rsidR="009C0424" w:rsidRDefault="009C0424" w:rsidP="00F31E57">
      <w:r>
        <w:t xml:space="preserve">Performance fees are clearly different from the </w:t>
      </w:r>
      <w:proofErr w:type="spellStart"/>
      <w:r>
        <w:t>ongoing</w:t>
      </w:r>
      <w:proofErr w:type="spellEnd"/>
      <w:r>
        <w:t xml:space="preserve"> costs of running the fund and </w:t>
      </w:r>
      <w:r w:rsidR="001D4EAE">
        <w:t xml:space="preserve">there can be no certainty whether they will be incurred.  Performance fees should be shown separately from the </w:t>
      </w:r>
      <w:proofErr w:type="spellStart"/>
      <w:r w:rsidR="001D4EAE">
        <w:t>ongoing</w:t>
      </w:r>
      <w:proofErr w:type="spellEnd"/>
      <w:r w:rsidR="001D4EAE">
        <w:t xml:space="preserve"> costs figure, but should be clearly set out in the costs section below the total costs indicator so that co</w:t>
      </w:r>
      <w:r w:rsidR="001D4EAE">
        <w:t>n</w:t>
      </w:r>
      <w:r w:rsidR="001D4EAE">
        <w:t xml:space="preserve">sumers are </w:t>
      </w:r>
      <w:r w:rsidR="00CC2EFD">
        <w:t xml:space="preserve">fully </w:t>
      </w:r>
      <w:r w:rsidR="001D4EAE">
        <w:t xml:space="preserve">aware of them. </w:t>
      </w:r>
    </w:p>
    <w:permEnd w:id="1442727495"/>
    <w:p w:rsidR="00F31E57" w:rsidRDefault="00F31E57" w:rsidP="00F31E57">
      <w:r>
        <w:t>&lt;ESMA_QUESTION_PRIIPs_44&gt;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Which of the above mentioned options 1 and 2 for the calculation of aggregate costs would you prefer? Do you agree with above mentioned assumptions on the specific</w:t>
      </w:r>
      <w:r>
        <w:rPr>
          <w:rFonts w:eastAsia="Times New Roman" w:cs="Arial"/>
          <w:lang w:eastAsia="hu-HU"/>
        </w:rPr>
        <w:t>i</w:t>
      </w:r>
      <w:r>
        <w:rPr>
          <w:rFonts w:eastAsia="Times New Roman" w:cs="Arial"/>
          <w:lang w:eastAsia="hu-HU"/>
        </w:rPr>
        <w:t>ties of the costs of life-insurance products? How should the breakdown of costs showing costs specific to the insurance cover be specified? Do you think that risk-type riders (e.g. term or disability or accident insurances) have to be disregarded in the calculation of the aggregated cost indicator? How shall risk-type rider be defined in this context? (one possible approach might be: A risk-type rider in this context is an additional insurance cover without a savings element, which has separate contra</w:t>
      </w:r>
      <w:r>
        <w:rPr>
          <w:rFonts w:eastAsia="Times New Roman" w:cs="Arial"/>
          <w:lang w:eastAsia="hu-HU"/>
        </w:rPr>
        <w:t>c</w:t>
      </w:r>
      <w:r>
        <w:rPr>
          <w:rFonts w:eastAsia="Times New Roman" w:cs="Arial"/>
          <w:lang w:eastAsia="hu-HU"/>
        </w:rPr>
        <w:t xml:space="preserve">tual terms and separate premiums and that the customer is not obliged to buy as a compulsory part of the product). </w:t>
      </w:r>
    </w:p>
    <w:p w:rsidR="00F31E57" w:rsidRDefault="00F31E57" w:rsidP="00F31E57">
      <w:pPr>
        <w:rPr>
          <w:rFonts w:eastAsiaTheme="minorHAnsi" w:cstheme="minorBidi"/>
          <w:lang w:eastAsia="en-US"/>
        </w:rPr>
      </w:pPr>
    </w:p>
    <w:p w:rsidR="00F31E57" w:rsidRDefault="00F31E57" w:rsidP="00F31E57">
      <w:r>
        <w:t>&lt;ESMA_QUESTION_PRIIPs_45&gt;</w:t>
      </w:r>
    </w:p>
    <w:p w:rsidR="00F31E57" w:rsidRDefault="00F31E57" w:rsidP="00F31E57">
      <w:permStart w:id="2097889884" w:edGrp="everyone"/>
      <w:r>
        <w:t>TYPE YOUR TEXT HERE</w:t>
      </w:r>
    </w:p>
    <w:permEnd w:id="2097889884"/>
    <w:p w:rsidR="00F31E57" w:rsidRDefault="00F31E57" w:rsidP="00F31E57">
      <w:r>
        <w:t>&lt;ESMA_QUESTION_PRIIPs_45&gt;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Do you think this list is comprehensive? Should these different types of costs be further defined? </w:t>
      </w:r>
    </w:p>
    <w:p w:rsidR="00F31E57" w:rsidRDefault="00F31E57" w:rsidP="00F31E57">
      <w:pPr>
        <w:rPr>
          <w:rFonts w:eastAsiaTheme="minorHAnsi" w:cstheme="minorBidi"/>
          <w:lang w:eastAsia="en-US"/>
        </w:rPr>
      </w:pPr>
    </w:p>
    <w:p w:rsidR="00F31E57" w:rsidRDefault="00F31E57" w:rsidP="00F31E57">
      <w:r>
        <w:t>&lt;ESMA_QUESTION_PRIIPs_46&gt;</w:t>
      </w:r>
    </w:p>
    <w:p w:rsidR="00F31E57" w:rsidRDefault="00F31E57" w:rsidP="00F31E57">
      <w:permStart w:id="607477883" w:edGrp="everyone"/>
      <w:r>
        <w:t>TYPE YOUR TEXT HERE</w:t>
      </w:r>
    </w:p>
    <w:permEnd w:id="607477883"/>
    <w:p w:rsidR="00F31E57" w:rsidRDefault="00F31E57" w:rsidP="00F31E57">
      <w:r>
        <w:t>&lt;ESMA_QUESTION_PRIIPs_46&gt;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t>Do you agree that guaranteed interest rate and surrender options should be handled in the above mentioned way? Do you know other contractual options, which have to be considered? If yes how?</w:t>
      </w:r>
    </w:p>
    <w:p w:rsidR="00F31E57" w:rsidRDefault="00F31E57" w:rsidP="00F31E57">
      <w:pPr>
        <w:rPr>
          <w:rFonts w:cstheme="minorBidi"/>
        </w:rPr>
      </w:pPr>
    </w:p>
    <w:p w:rsidR="00F31E57" w:rsidRDefault="00F31E57" w:rsidP="00F31E57">
      <w:r>
        <w:t>&lt;ESMA_QUESTION_PRIIPs_47&gt;</w:t>
      </w:r>
    </w:p>
    <w:p w:rsidR="00F31E57" w:rsidRDefault="00F31E57" w:rsidP="00F31E57">
      <w:permStart w:id="2029011297" w:edGrp="everyone"/>
      <w:r>
        <w:t>TYPE YOUR TEXT HERE</w:t>
      </w:r>
    </w:p>
    <w:permEnd w:id="2029011297"/>
    <w:p w:rsidR="00F31E57" w:rsidRDefault="00F31E57" w:rsidP="00F31E57">
      <w:r>
        <w:t>&lt;ESMA_QUESTION_PRIIPs_47&gt;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&lt;ESMA_QUESTION_PRIIPs_48&gt;</w:t>
      </w:r>
    </w:p>
    <w:p w:rsidR="00F31E57" w:rsidRDefault="00F31E57" w:rsidP="00F31E57">
      <w:permStart w:id="307454739" w:edGrp="everyone"/>
      <w:r>
        <w:t>TYPE YOUR TEXT HERE</w:t>
      </w:r>
    </w:p>
    <w:permEnd w:id="307454739"/>
    <w:p w:rsidR="00F31E57" w:rsidRDefault="00F31E57" w:rsidP="00F31E57">
      <w:r>
        <w:t>&lt;ESMA_QUESTION_PRIIPs_48&gt;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 xml:space="preserve">Do you think this list and breakdown is comprehensive? </w:t>
      </w:r>
    </w:p>
    <w:p w:rsidR="00F31E57" w:rsidRDefault="00F31E57" w:rsidP="00F31E57">
      <w:pPr>
        <w:rPr>
          <w:rFonts w:cstheme="minorBidi"/>
        </w:rPr>
      </w:pPr>
    </w:p>
    <w:p w:rsidR="00F31E57" w:rsidRDefault="00F31E57" w:rsidP="00F31E57">
      <w:r>
        <w:t>&lt;ESMA_QUESTION_PRIIPs_49&gt;</w:t>
      </w:r>
    </w:p>
    <w:p w:rsidR="00F31E57" w:rsidRDefault="00F31E57" w:rsidP="00F31E57">
      <w:permStart w:id="582300001" w:edGrp="everyone"/>
      <w:r>
        <w:t>TYPE YOUR TEXT HERE</w:t>
      </w:r>
    </w:p>
    <w:permEnd w:id="582300001"/>
    <w:p w:rsidR="00F31E57" w:rsidRDefault="00F31E57" w:rsidP="00F31E57">
      <w:r>
        <w:t>&lt;ESMA_QUESTION_PRIIPs_49&gt;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&lt;ESMA_QUESTION_PRIIPs_50&gt;</w:t>
      </w:r>
    </w:p>
    <w:p w:rsidR="00F31E57" w:rsidRDefault="00F31E57" w:rsidP="00F31E57">
      <w:permStart w:id="1708207649" w:edGrp="everyone"/>
      <w:r>
        <w:t>TYPE YOUR TEXT HERE</w:t>
      </w:r>
    </w:p>
    <w:permEnd w:id="1708207649"/>
    <w:p w:rsidR="00F31E57" w:rsidRDefault="00F31E57" w:rsidP="00F31E57">
      <w:r>
        <w:t>&lt;ESMA_QUESTION_PRIIPs_50&gt;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&lt;ESMA_QUESTION_PRIIPs_51&gt;</w:t>
      </w:r>
    </w:p>
    <w:p w:rsidR="00F31E57" w:rsidRDefault="00F31E57" w:rsidP="00F31E57">
      <w:permStart w:id="797394452" w:edGrp="everyone"/>
      <w:r>
        <w:t>TYPE YOUR TEXT HERE</w:t>
      </w:r>
    </w:p>
    <w:permEnd w:id="797394452"/>
    <w:p w:rsidR="00F31E57" w:rsidRDefault="00F31E57" w:rsidP="00F31E57">
      <w:r>
        <w:t>&lt;ESMA_QUESTION_PRIIPs_51&gt;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&lt;ESMA_QUESTION_PRIIPs_52&gt;</w:t>
      </w:r>
    </w:p>
    <w:p w:rsidR="00F31E57" w:rsidRDefault="00F31E57" w:rsidP="00F31E57">
      <w:permStart w:id="667620717" w:edGrp="everyone"/>
      <w:r>
        <w:t>TYPE YOUR TEXT HERE</w:t>
      </w:r>
    </w:p>
    <w:permEnd w:id="667620717"/>
    <w:p w:rsidR="00F31E57" w:rsidRDefault="00F31E57" w:rsidP="00F31E57">
      <w:r>
        <w:t>&lt;ESMA_QUESTION_PRIIPs_52&gt;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rsidR="00F31E57" w:rsidRDefault="00F31E57" w:rsidP="00F31E57">
      <w:pPr>
        <w:rPr>
          <w:rFonts w:eastAsiaTheme="minorHAnsi" w:cstheme="minorBidi"/>
        </w:rPr>
      </w:pPr>
    </w:p>
    <w:p w:rsidR="00F31E57" w:rsidRDefault="00F31E57" w:rsidP="00F31E57">
      <w:r>
        <w:t>&lt;ESMA_QUESTION_PRIIPs_53&gt;</w:t>
      </w:r>
    </w:p>
    <w:p w:rsidR="00F31E57" w:rsidRDefault="00F31E57" w:rsidP="00F31E57">
      <w:permStart w:id="450970094" w:edGrp="everyone"/>
      <w:r>
        <w:t>TYPE YOUR TEXT HERE</w:t>
      </w:r>
    </w:p>
    <w:permEnd w:id="450970094"/>
    <w:p w:rsidR="00F31E57" w:rsidRDefault="00F31E57" w:rsidP="00F31E57">
      <w:r>
        <w:t>&lt;ESMA_QUESTION_PRIIPs_53&gt;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F31E57" w:rsidRDefault="00F31E57" w:rsidP="00F31E57">
      <w:pPr>
        <w:rPr>
          <w:rFonts w:cstheme="minorBidi"/>
        </w:rPr>
      </w:pPr>
    </w:p>
    <w:p w:rsidR="00F31E57" w:rsidRDefault="00F31E57" w:rsidP="00F31E57">
      <w:r>
        <w:t>&lt;ESMA_QUESTION_PRIIPs_54&gt;</w:t>
      </w:r>
    </w:p>
    <w:p w:rsidR="00F31E57" w:rsidRDefault="00F31E57" w:rsidP="00F31E57">
      <w:permStart w:id="296967030" w:edGrp="everyone"/>
      <w:r>
        <w:t>TYPE YOUR TEXT HERE</w:t>
      </w:r>
    </w:p>
    <w:permEnd w:id="296967030"/>
    <w:p w:rsidR="00F31E57" w:rsidRDefault="00F31E57" w:rsidP="00F31E57">
      <w:r>
        <w:t>&lt;ESMA_QUESTION_PRIIPs_54&gt;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&lt;ESMA_QUESTION_PRIIPs_55&gt;</w:t>
      </w:r>
    </w:p>
    <w:p w:rsidR="00F31E57" w:rsidRDefault="00F31E57" w:rsidP="00F31E57">
      <w:permStart w:id="1621836206" w:edGrp="everyone"/>
      <w:r>
        <w:t>TYPE YOUR TEXT HERE</w:t>
      </w:r>
    </w:p>
    <w:permEnd w:id="1621836206"/>
    <w:p w:rsidR="00F31E57" w:rsidRDefault="00F31E57" w:rsidP="00F31E57">
      <w:r>
        <w:t>&lt;ESMA_QUESTION_PRIIPs_55&gt;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generally, how to measure costs that are passed to policy holders via profit participation mec</w:t>
      </w:r>
      <w:r>
        <w:rPr>
          <w:rFonts w:cs="Arial"/>
        </w:rPr>
        <w:t>h</w:t>
      </w:r>
      <w:r>
        <w:rPr>
          <w:rFonts w:cs="Arial"/>
        </w:rPr>
        <w:t>anisms? Would you say that they are known to the insurance company? Do you think an estimate based on the previous historical data is the most appropriate methodol</w:t>
      </w:r>
      <w:r>
        <w:rPr>
          <w:rFonts w:cs="Arial"/>
        </w:rPr>
        <w:t>o</w:t>
      </w:r>
      <w:r>
        <w:rPr>
          <w:rFonts w:cs="Arial"/>
        </w:rPr>
        <w:t>gy for the calculation of these costs?</w:t>
      </w:r>
    </w:p>
    <w:p w:rsidR="00F31E57" w:rsidRDefault="00F31E57" w:rsidP="00F31E57">
      <w:pPr>
        <w:rPr>
          <w:rFonts w:cstheme="minorBidi"/>
        </w:rPr>
      </w:pPr>
    </w:p>
    <w:p w:rsidR="00F31E57" w:rsidRDefault="00F31E57" w:rsidP="00F31E57">
      <w:r>
        <w:t>&lt;ESMA_QUESTION_PRIIPs_56&gt;</w:t>
      </w:r>
    </w:p>
    <w:p w:rsidR="00F31E57" w:rsidRDefault="00F31E57" w:rsidP="00F31E57">
      <w:permStart w:id="245718495" w:edGrp="everyone"/>
      <w:r>
        <w:t>TYPE YOUR TEXT HERE</w:t>
      </w:r>
    </w:p>
    <w:permEnd w:id="245718495"/>
    <w:p w:rsidR="00F31E57" w:rsidRDefault="00F31E57" w:rsidP="00F31E57">
      <w:r>
        <w:lastRenderedPageBreak/>
        <w:t>&lt;ESMA_QUESTION_PRIIPs_56&gt;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this type of costs really specific to with-profit life-insurance products? Do you agree that these costs should be accounted for as on-going costs?</w:t>
      </w:r>
    </w:p>
    <w:p w:rsidR="00F31E57" w:rsidRDefault="00F31E57" w:rsidP="00F31E57">
      <w:pPr>
        <w:rPr>
          <w:rFonts w:cstheme="minorBidi"/>
        </w:rPr>
      </w:pPr>
    </w:p>
    <w:p w:rsidR="00F31E57" w:rsidRDefault="00F31E57" w:rsidP="00F31E57">
      <w:r>
        <w:t>&lt;ESMA_QUESTION_PRIIPs_57&gt;</w:t>
      </w:r>
    </w:p>
    <w:p w:rsidR="00F31E57" w:rsidRDefault="00F31E57" w:rsidP="00F31E57">
      <w:permStart w:id="459046513" w:edGrp="everyone"/>
      <w:r>
        <w:t>TYPE YOUR TEXT HERE</w:t>
      </w:r>
    </w:p>
    <w:permEnd w:id="459046513"/>
    <w:p w:rsidR="00F31E57" w:rsidRDefault="00F31E57" w:rsidP="00F31E57">
      <w:r>
        <w:t>&lt;ESMA_QUESTION_PRIIPs_57&gt;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think the list of costs of life-insurance products presented above is compr</w:t>
      </w:r>
      <w:r>
        <w:rPr>
          <w:rFonts w:cs="Arial"/>
        </w:rPr>
        <w:t>e</w:t>
      </w:r>
      <w:r>
        <w:rPr>
          <w:rFonts w:cs="Arial"/>
        </w:rPr>
        <w:t xml:space="preserve">hensive? Which types of costs should be added? </w:t>
      </w:r>
    </w:p>
    <w:p w:rsidR="00F31E57" w:rsidRDefault="00F31E57" w:rsidP="00F31E57">
      <w:pPr>
        <w:rPr>
          <w:rFonts w:cstheme="minorBidi"/>
        </w:rPr>
      </w:pPr>
    </w:p>
    <w:p w:rsidR="00F31E57" w:rsidRDefault="00F31E57" w:rsidP="00F31E57">
      <w:r>
        <w:t>&lt;ESMA_QUESTION_PRIIPs_58&gt;</w:t>
      </w:r>
    </w:p>
    <w:p w:rsidR="00F31E57" w:rsidRDefault="00F31E57" w:rsidP="00F31E57">
      <w:permStart w:id="578503094" w:edGrp="everyone"/>
      <w:r>
        <w:t>TYPE YOUR TEXT HERE</w:t>
      </w:r>
    </w:p>
    <w:permEnd w:id="578503094"/>
    <w:p w:rsidR="00F31E57" w:rsidRDefault="00F31E57" w:rsidP="00F31E57">
      <w:r>
        <w:t>&lt;ESMA_QUESTION_PRIIPs_58&gt;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are those two approaches similar and should lead to the same results?</w:t>
      </w:r>
    </w:p>
    <w:p w:rsidR="00F31E57" w:rsidRDefault="00F31E57" w:rsidP="00F31E57">
      <w:pPr>
        <w:rPr>
          <w:rFonts w:cstheme="minorBidi"/>
        </w:rPr>
      </w:pPr>
    </w:p>
    <w:p w:rsidR="00F31E57" w:rsidRDefault="00F31E57" w:rsidP="00F31E57">
      <w:r>
        <w:t>&lt;ESMA_QUESTION_PRIIPs_59&gt;</w:t>
      </w:r>
    </w:p>
    <w:p w:rsidR="00F31E57" w:rsidRDefault="00F31E57" w:rsidP="00F31E57">
      <w:permStart w:id="566497988" w:edGrp="everyone"/>
      <w:r>
        <w:t>TYPE YOUR TEXT HERE</w:t>
      </w:r>
    </w:p>
    <w:permEnd w:id="566497988"/>
    <w:p w:rsidR="00F31E57" w:rsidRDefault="00F31E57" w:rsidP="00F31E57">
      <w:r>
        <w:t>&lt;ESMA_QUESTION_PRIIPs_59&gt;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w:t>
      </w:r>
      <w:r>
        <w:rPr>
          <w:rFonts w:cs="Arial"/>
          <w:color w:val="000000"/>
          <w:lang w:eastAsia="it-IT"/>
        </w:rPr>
        <w:t>c</w:t>
      </w:r>
      <w:r>
        <w:rPr>
          <w:rFonts w:cs="Arial"/>
          <w:color w:val="000000"/>
          <w:lang w:eastAsia="it-IT"/>
        </w:rPr>
        <w:t>tured deposits? Do you think that the potential external guarantees of structured d</w:t>
      </w:r>
      <w:r>
        <w:rPr>
          <w:rFonts w:cs="Arial"/>
          <w:color w:val="000000"/>
          <w:lang w:eastAsia="it-IT"/>
        </w:rPr>
        <w:t>e</w:t>
      </w:r>
      <w:r>
        <w:rPr>
          <w:rFonts w:cs="Arial"/>
          <w:color w:val="000000"/>
          <w:lang w:eastAsia="it-IT"/>
        </w:rPr>
        <w:t>posits might just have to be taken into account in the estimation of the fair value of these products?</w:t>
      </w:r>
    </w:p>
    <w:p w:rsidR="00F31E57" w:rsidRDefault="00F31E57" w:rsidP="00F31E57">
      <w:pPr>
        <w:rPr>
          <w:rFonts w:cstheme="minorBidi"/>
          <w:lang w:eastAsia="en-US"/>
        </w:rPr>
      </w:pPr>
    </w:p>
    <w:p w:rsidR="00F31E57" w:rsidRDefault="00F31E57" w:rsidP="00F31E57">
      <w:r>
        <w:t>&lt;ESMA_QUESTION_PRIIPs_60&gt;</w:t>
      </w:r>
    </w:p>
    <w:p w:rsidR="00F31E57" w:rsidRDefault="00F31E57" w:rsidP="00F31E57">
      <w:permStart w:id="628100200" w:edGrp="everyone"/>
      <w:r>
        <w:t>TYPE YOUR TEXT HERE</w:t>
      </w:r>
    </w:p>
    <w:permEnd w:id="628100200"/>
    <w:p w:rsidR="00F31E57" w:rsidRDefault="00F31E57" w:rsidP="00F31E57">
      <w:r>
        <w:t>&lt;ESMA_QUESTION_PRIIPs_60&gt;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 mentioned list of entry costs? Which of these costs are embedded in the price? Should we differentiate between “delta 1” and “option based” structured products? In which cases do you think that some of these costs might not be known to the manufacturer? Which of these types of costs should be further d</w:t>
      </w:r>
      <w:r>
        <w:rPr>
          <w:rFonts w:cs="Arial"/>
        </w:rPr>
        <w:t>e</w:t>
      </w:r>
      <w:r>
        <w:rPr>
          <w:rFonts w:cs="Arial"/>
        </w:rPr>
        <w:t>fined?</w:t>
      </w:r>
    </w:p>
    <w:p w:rsidR="00F31E57" w:rsidRDefault="00F31E57" w:rsidP="00F31E57">
      <w:pPr>
        <w:rPr>
          <w:rFonts w:cstheme="minorBidi"/>
        </w:rPr>
      </w:pPr>
    </w:p>
    <w:p w:rsidR="00F31E57" w:rsidRDefault="00F31E57" w:rsidP="00F31E57">
      <w:r>
        <w:t>&lt;ESMA_QUESTION_PRIIPs_61&gt;</w:t>
      </w:r>
    </w:p>
    <w:p w:rsidR="00F31E57" w:rsidRDefault="00F31E57" w:rsidP="00F31E57">
      <w:permStart w:id="1733952601" w:edGrp="everyone"/>
      <w:r>
        <w:t>TYPE YOUR TEXT HERE</w:t>
      </w:r>
    </w:p>
    <w:permEnd w:id="1733952601"/>
    <w:p w:rsidR="00F31E57" w:rsidRDefault="00F31E57" w:rsidP="00F31E57">
      <w:r>
        <w:t>&lt;ESMA_QUESTION_PRIIPs_61&gt;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you think these types of costs should be further defined and d</w:t>
      </w:r>
      <w:r>
        <w:rPr>
          <w:rFonts w:cs="Arial"/>
        </w:rPr>
        <w:t>e</w:t>
      </w:r>
      <w:r>
        <w:rPr>
          <w:rFonts w:cs="Arial"/>
        </w:rPr>
        <w:t xml:space="preserve">tailed? </w:t>
      </w:r>
    </w:p>
    <w:p w:rsidR="00F31E57" w:rsidRDefault="00F31E57" w:rsidP="00F31E57">
      <w:pPr>
        <w:rPr>
          <w:rFonts w:cstheme="minorBidi"/>
        </w:rPr>
      </w:pPr>
    </w:p>
    <w:p w:rsidR="00F31E57" w:rsidRDefault="00F31E57" w:rsidP="00F31E57">
      <w:r>
        <w:t>&lt;ESMA_QUESTION_PRIIPs_62&gt;</w:t>
      </w:r>
    </w:p>
    <w:p w:rsidR="00F31E57" w:rsidRDefault="00F31E57" w:rsidP="00F31E57">
      <w:permStart w:id="49816344" w:edGrp="everyone"/>
      <w:r>
        <w:t>TYPE YOUR TEXT HERE</w:t>
      </w:r>
    </w:p>
    <w:permEnd w:id="49816344"/>
    <w:p w:rsidR="00F31E57" w:rsidRDefault="00F31E57" w:rsidP="00F31E57">
      <w:r>
        <w:t>&lt;ESMA_QUESTION_PRIIPs_62&gt;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How would you estimate ex ante the spread referred to above in (b), in the case the product is listed as in the case it is not? Should maximum spreads, when available, be </w:t>
      </w:r>
      <w:r>
        <w:rPr>
          <w:rFonts w:cs="Arial"/>
        </w:rPr>
        <w:lastRenderedPageBreak/>
        <w:t>considered? Should the term “proportional fees” be further defined? Which definition would you suggest?</w:t>
      </w:r>
    </w:p>
    <w:p w:rsidR="00F31E57" w:rsidRDefault="00F31E57" w:rsidP="00F31E57">
      <w:pPr>
        <w:rPr>
          <w:rFonts w:cstheme="minorBidi"/>
        </w:rPr>
      </w:pPr>
    </w:p>
    <w:p w:rsidR="00F31E57" w:rsidRDefault="00F31E57" w:rsidP="00F31E57">
      <w:r>
        <w:t>&lt;ESMA_QUESTION_PRIIPs_63&gt;</w:t>
      </w:r>
    </w:p>
    <w:p w:rsidR="00F31E57" w:rsidRDefault="00F31E57" w:rsidP="00F31E57">
      <w:permStart w:id="307822932" w:edGrp="everyone"/>
      <w:r>
        <w:t>TYPE YOUR TEXT HERE</w:t>
      </w:r>
    </w:p>
    <w:permEnd w:id="307822932"/>
    <w:p w:rsidR="00F31E57" w:rsidRDefault="00F31E57" w:rsidP="00F31E57">
      <w:r>
        <w:t>&lt;ESMA_QUESTION_PRIIPs_63&gt;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w:t>
      </w:r>
      <w:r>
        <w:rPr>
          <w:rFonts w:cs="Arial"/>
        </w:rPr>
        <w:t>e</w:t>
      </w:r>
      <w:r>
        <w:rPr>
          <w:rFonts w:cs="Arial"/>
        </w:rPr>
        <w:t>quire more precise definitions? To what extent should the methodology be prescri</w:t>
      </w:r>
      <w:r>
        <w:rPr>
          <w:rFonts w:cs="Arial"/>
        </w:rPr>
        <w:t>p</w:t>
      </w:r>
      <w:r>
        <w:rPr>
          <w:rFonts w:cs="Arial"/>
        </w:rPr>
        <w:t>tive in the definition and calculation methodologies of the different types of costs?</w:t>
      </w:r>
    </w:p>
    <w:p w:rsidR="00F31E57" w:rsidRDefault="00F31E57" w:rsidP="00F31E57">
      <w:pPr>
        <w:rPr>
          <w:rFonts w:cstheme="minorBidi"/>
        </w:rPr>
      </w:pPr>
    </w:p>
    <w:p w:rsidR="00F31E57" w:rsidRDefault="00F31E57" w:rsidP="00F31E57">
      <w:r>
        <w:t>&lt;ESMA_QUESTION_PRIIPs_64&gt;</w:t>
      </w:r>
    </w:p>
    <w:p w:rsidR="00F31E57" w:rsidRDefault="00F31E57" w:rsidP="00F31E57">
      <w:permStart w:id="47914092" w:edGrp="everyone"/>
      <w:r>
        <w:t>TYPE YOUR TEXT HERE</w:t>
      </w:r>
    </w:p>
    <w:permEnd w:id="47914092"/>
    <w:p w:rsidR="00F31E57" w:rsidRDefault="00F31E57" w:rsidP="00F31E57">
      <w:r>
        <w:t>&lt;ESMA_QUESTION_PRIIPs_64&gt;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rsidR="00F31E57" w:rsidRDefault="00F31E57" w:rsidP="00F31E57">
      <w:pPr>
        <w:rPr>
          <w:rFonts w:cstheme="minorBidi"/>
          <w:lang w:eastAsia="en-US"/>
        </w:rPr>
      </w:pPr>
    </w:p>
    <w:p w:rsidR="00F31E57" w:rsidRDefault="00F31E57" w:rsidP="00F31E57">
      <w:r>
        <w:t>&lt;ESMA_QUESTION_PRIIPs_65&gt;</w:t>
      </w:r>
    </w:p>
    <w:p w:rsidR="00F31E57" w:rsidRDefault="00F31E57" w:rsidP="00F31E57">
      <w:permStart w:id="1696812075" w:edGrp="everyone"/>
      <w:r>
        <w:t>TYPE YOUR TEXT HERE</w:t>
      </w:r>
    </w:p>
    <w:permEnd w:id="1696812075"/>
    <w:p w:rsidR="00F31E57" w:rsidRDefault="00F31E57" w:rsidP="00F31E57">
      <w:r>
        <w:t>&lt;ESMA_QUESTION_PRIIPs_65&gt;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rsidR="00F31E57" w:rsidRDefault="00F31E57" w:rsidP="00F31E57">
      <w:pPr>
        <w:rPr>
          <w:rFonts w:cstheme="minorBidi"/>
          <w:lang w:eastAsia="en-US"/>
        </w:rPr>
      </w:pPr>
    </w:p>
    <w:p w:rsidR="00F31E57" w:rsidRDefault="00F31E57" w:rsidP="00F31E57">
      <w:r>
        <w:t>&lt;ESMA_QUESTION_PRIIPs_66&gt;</w:t>
      </w:r>
    </w:p>
    <w:p w:rsidR="00F31E57" w:rsidRDefault="00F31E57" w:rsidP="00F31E57">
      <w:permStart w:id="1665479655" w:edGrp="everyone"/>
      <w:r>
        <w:t>TYPE YOUR TEXT HERE</w:t>
      </w:r>
    </w:p>
    <w:permEnd w:id="1665479655"/>
    <w:p w:rsidR="00F31E57" w:rsidRDefault="00F31E57" w:rsidP="00F31E57">
      <w:r>
        <w:t>&lt;ESMA_QUESTION_PRIIPs_66&gt;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w:t>
      </w:r>
      <w:r>
        <w:rPr>
          <w:rFonts w:cs="Arial"/>
        </w:rPr>
        <w:t>n</w:t>
      </w:r>
      <w:r>
        <w:rPr>
          <w:rFonts w:cs="Arial"/>
        </w:rPr>
        <w:t>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F31E57" w:rsidRDefault="00F31E57" w:rsidP="00F31E57">
      <w:pPr>
        <w:rPr>
          <w:rFonts w:cstheme="minorBidi"/>
          <w:lang w:eastAsia="en-US"/>
        </w:rPr>
      </w:pPr>
    </w:p>
    <w:p w:rsidR="00F31E57" w:rsidRDefault="00F31E57" w:rsidP="00F31E57">
      <w:r>
        <w:t>&lt;ESMA_QUESTION_PRIIPs_67&gt;</w:t>
      </w:r>
    </w:p>
    <w:p w:rsidR="00F31E57" w:rsidRDefault="00F31E57" w:rsidP="00F31E57">
      <w:permStart w:id="190457154" w:edGrp="everyone"/>
      <w:r>
        <w:t>TYPE YOUR TEXT HERE</w:t>
      </w:r>
    </w:p>
    <w:permEnd w:id="190457154"/>
    <w:p w:rsidR="00F31E57" w:rsidRDefault="00F31E57" w:rsidP="00F31E57">
      <w:r>
        <w:t>&lt;ESMA_QUESTION_PRIIPs_67&gt;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able to replicate the performance of the derivative component of the structured product)? </w:t>
      </w:r>
    </w:p>
    <w:p w:rsidR="00F31E57" w:rsidRDefault="00F31E57" w:rsidP="00F31E57">
      <w:pPr>
        <w:rPr>
          <w:rFonts w:cstheme="minorBidi"/>
        </w:rPr>
      </w:pPr>
    </w:p>
    <w:p w:rsidR="00F31E57" w:rsidRDefault="00F31E57" w:rsidP="00F31E57">
      <w:r>
        <w:t>&lt;ESMA_QUESTION_PRIIPs_68&gt;</w:t>
      </w:r>
    </w:p>
    <w:p w:rsidR="00F31E57" w:rsidRDefault="00F31E57" w:rsidP="00F31E57">
      <w:permStart w:id="2082353655" w:edGrp="everyone"/>
      <w:r>
        <w:t>TYPE YOUR TEXT HERE</w:t>
      </w:r>
    </w:p>
    <w:permEnd w:id="2082353655"/>
    <w:p w:rsidR="00F31E57" w:rsidRDefault="00F31E57" w:rsidP="00F31E57">
      <w:r>
        <w:t>&lt;ESMA_QUESTION_PRIIPs_68&gt;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rsidR="00F31E57" w:rsidRDefault="00F31E57" w:rsidP="00F31E57">
      <w:pPr>
        <w:rPr>
          <w:rFonts w:cstheme="minorBidi"/>
          <w:lang w:eastAsia="en-US"/>
        </w:rPr>
      </w:pPr>
    </w:p>
    <w:p w:rsidR="00F31E57" w:rsidRDefault="00F31E57" w:rsidP="00F31E57">
      <w:r>
        <w:t>&lt;ESMA_QUESTION_PRIIPs_69&gt;</w:t>
      </w:r>
    </w:p>
    <w:p w:rsidR="00F31E57" w:rsidRDefault="00F31E57" w:rsidP="00F31E57">
      <w:permStart w:id="2007655667" w:edGrp="everyone"/>
      <w:r>
        <w:t>TYPE YOUR TEXT HERE</w:t>
      </w:r>
    </w:p>
    <w:permEnd w:id="2007655667"/>
    <w:p w:rsidR="00F31E57" w:rsidRDefault="00F31E57" w:rsidP="00F31E57">
      <w:r>
        <w:t>&lt;ESMA_QUESTION_PRIIPs_69&gt;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Which criteria should be chosen to update the values in the KID when input data change significantly?</w:t>
      </w:r>
    </w:p>
    <w:p w:rsidR="00F31E57" w:rsidRDefault="00F31E57" w:rsidP="00F31E57">
      <w:pPr>
        <w:rPr>
          <w:rFonts w:cstheme="minorBidi"/>
        </w:rPr>
      </w:pPr>
    </w:p>
    <w:p w:rsidR="00F31E57" w:rsidRDefault="00F31E57" w:rsidP="00F31E57">
      <w:r>
        <w:t>&lt;ESMA_QUESTION_PRIIPs_70&gt;</w:t>
      </w:r>
    </w:p>
    <w:p w:rsidR="00F31E57" w:rsidRDefault="00F31E57" w:rsidP="00F31E57">
      <w:permStart w:id="960106224" w:edGrp="everyone"/>
      <w:r>
        <w:t>TYPE YOUR TEXT HERE</w:t>
      </w:r>
    </w:p>
    <w:permEnd w:id="960106224"/>
    <w:p w:rsidR="00F31E57" w:rsidRDefault="00F31E57" w:rsidP="00F31E57">
      <w:r>
        <w:t>&lt;ESMA_QUESTION_PRIIPs_70&gt;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As the evolution of underlying asset/s should be taken into account, are there specific issues to be tackled with in relation to specific types of underlying? To what extent should the RTS be prescriptive on the risk premium?</w:t>
      </w:r>
    </w:p>
    <w:p w:rsidR="00F31E57" w:rsidRDefault="00F31E57" w:rsidP="00F31E57">
      <w:pPr>
        <w:rPr>
          <w:rFonts w:cstheme="minorBidi"/>
          <w:lang w:eastAsia="en-US"/>
        </w:rPr>
      </w:pPr>
    </w:p>
    <w:p w:rsidR="00F31E57" w:rsidRDefault="00F31E57" w:rsidP="00F31E57">
      <w:r>
        <w:t>&lt;ESMA_QUESTION_PRIIPs_71&gt;</w:t>
      </w:r>
    </w:p>
    <w:p w:rsidR="00F31E57" w:rsidRDefault="00F31E57" w:rsidP="00F31E57">
      <w:permStart w:id="953890643" w:edGrp="everyone"/>
      <w:r>
        <w:t>TYPE YOUR TEXT HERE</w:t>
      </w:r>
    </w:p>
    <w:permEnd w:id="953890643"/>
    <w:p w:rsidR="00F31E57" w:rsidRDefault="00F31E57" w:rsidP="00F31E57">
      <w:r>
        <w:t>&lt;ESMA_QUESTION_PRIIPs_71&gt;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F31E57" w:rsidRDefault="00F31E57" w:rsidP="00F31E57">
      <w:pPr>
        <w:rPr>
          <w:rFonts w:cstheme="minorBidi"/>
          <w:lang w:eastAsia="en-US"/>
        </w:rPr>
      </w:pPr>
    </w:p>
    <w:p w:rsidR="00F31E57" w:rsidRDefault="00F31E57" w:rsidP="00F31E57">
      <w:r>
        <w:t>&lt;ESMA_QUESTION_PRIIPs_72&gt;</w:t>
      </w:r>
    </w:p>
    <w:p w:rsidR="00F31E57" w:rsidRDefault="00F31E57" w:rsidP="00F31E57">
      <w:permStart w:id="236214688" w:edGrp="everyone"/>
      <w:r>
        <w:t>TYPE YOUR TEXT HERE</w:t>
      </w:r>
    </w:p>
    <w:permEnd w:id="236214688"/>
    <w:p w:rsidR="00F31E57" w:rsidRDefault="00F31E57" w:rsidP="00F31E57">
      <w:r>
        <w:t>&lt;ESMA_QUESTION_PRIIPs_72&gt;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rsidR="00F31E57" w:rsidRDefault="00F31E57" w:rsidP="00F31E57">
      <w:pPr>
        <w:rPr>
          <w:rFonts w:eastAsiaTheme="minorHAnsi" w:cstheme="minorBidi"/>
          <w:lang w:eastAsia="en-US"/>
        </w:rPr>
      </w:pPr>
    </w:p>
    <w:p w:rsidR="00F31E57" w:rsidRDefault="00F31E57" w:rsidP="00F31E57">
      <w:r>
        <w:t>&lt;ESMA_QUESTION_PRIIPs_73&gt;</w:t>
      </w:r>
    </w:p>
    <w:p w:rsidR="00F31E57" w:rsidRDefault="00F31E57" w:rsidP="00F31E57">
      <w:permStart w:id="1645238106" w:edGrp="everyone"/>
      <w:r>
        <w:t>TYPE YOUR TEXT HERE</w:t>
      </w:r>
    </w:p>
    <w:permEnd w:id="1645238106"/>
    <w:p w:rsidR="00F31E57" w:rsidRDefault="00F31E57" w:rsidP="00F31E57">
      <w:r>
        <w:t>&lt;ESMA_QUESTION_PRIIPs_73&gt;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F31E57" w:rsidRDefault="00F31E57" w:rsidP="00F31E57">
      <w:pPr>
        <w:rPr>
          <w:rFonts w:eastAsiaTheme="minorHAnsi" w:cstheme="minorBidi"/>
          <w:lang w:eastAsia="en-US"/>
        </w:rPr>
      </w:pPr>
    </w:p>
    <w:p w:rsidR="00F31E57" w:rsidRDefault="00F31E57" w:rsidP="00F31E57">
      <w:r>
        <w:t>&lt;ESMA_QUESTION_PRIIPs_74&gt;</w:t>
      </w:r>
    </w:p>
    <w:p w:rsidR="00F31E57" w:rsidRDefault="00F31E57" w:rsidP="00F31E57">
      <w:permStart w:id="913197655" w:edGrp="everyone"/>
      <w:r>
        <w:t>TYPE YOUR TEXT HERE</w:t>
      </w:r>
    </w:p>
    <w:permEnd w:id="913197655"/>
    <w:p w:rsidR="00F31E57" w:rsidRDefault="00F31E57" w:rsidP="00F31E57">
      <w:r>
        <w:t>&lt;ESMA_QUESTION_PRIIPs_74&gt;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think that there are other market data that could be used to determine the credit risk? Do you think that </w:t>
      </w:r>
      <w:r>
        <w:rPr>
          <w:rFonts w:cs="Arial"/>
        </w:rPr>
        <w:t>implied credit spreads from other issuer bonds (other than structured products) could be used?</w:t>
      </w:r>
    </w:p>
    <w:p w:rsidR="00F31E57" w:rsidRDefault="00F31E57" w:rsidP="00F31E57">
      <w:pPr>
        <w:rPr>
          <w:rFonts w:cstheme="minorBidi"/>
        </w:rPr>
      </w:pPr>
    </w:p>
    <w:p w:rsidR="00F31E57" w:rsidRDefault="00F31E57" w:rsidP="00F31E57">
      <w:r>
        <w:t>&lt;ESMA_QUESTION_PRIIPs_75&gt;</w:t>
      </w:r>
    </w:p>
    <w:p w:rsidR="00F31E57" w:rsidRDefault="00F31E57" w:rsidP="00F31E57">
      <w:permStart w:id="1580162783" w:edGrp="everyone"/>
      <w:r>
        <w:t>TYPE YOUR TEXT HERE</w:t>
      </w:r>
    </w:p>
    <w:permEnd w:id="1580162783"/>
    <w:p w:rsidR="00F31E57" w:rsidRDefault="00F31E57" w:rsidP="00F31E57">
      <w:r>
        <w:t>&lt;ESMA_QUESTION_PRIIPs_75&gt;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rsidR="00F31E57" w:rsidRDefault="00F31E57" w:rsidP="00F31E57">
      <w:pPr>
        <w:rPr>
          <w:rFonts w:cstheme="minorBidi"/>
          <w:lang w:eastAsia="en-US"/>
        </w:rPr>
      </w:pPr>
    </w:p>
    <w:p w:rsidR="00F31E57" w:rsidRDefault="00F31E57" w:rsidP="00F31E57">
      <w:r>
        <w:t>&lt;ESMA_QUESTION_PRIIPs_76&gt;</w:t>
      </w:r>
    </w:p>
    <w:p w:rsidR="00F31E57" w:rsidRDefault="00F31E57" w:rsidP="00F31E57">
      <w:permStart w:id="816647676" w:edGrp="everyone"/>
      <w:r>
        <w:t>TYPE YOUR TEXT HERE</w:t>
      </w:r>
    </w:p>
    <w:permEnd w:id="816647676"/>
    <w:p w:rsidR="00F31E57" w:rsidRDefault="00F31E57" w:rsidP="00F31E57">
      <w:r>
        <w:t>&lt;ESMA_QUESTION_PRIIPs_76&gt;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lastRenderedPageBreak/>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F31E57" w:rsidRDefault="00F31E57" w:rsidP="00F31E57">
      <w:pPr>
        <w:rPr>
          <w:rFonts w:eastAsiaTheme="minorHAnsi" w:cstheme="minorBidi"/>
          <w:lang w:eastAsia="en-US"/>
        </w:rPr>
      </w:pPr>
    </w:p>
    <w:p w:rsidR="00F31E57" w:rsidRDefault="00F31E57" w:rsidP="00F31E57">
      <w:r>
        <w:t>&lt;ESMA_QUESTION_PRIIPs_77&gt;</w:t>
      </w:r>
    </w:p>
    <w:p w:rsidR="00F31E57" w:rsidRDefault="00F31E57" w:rsidP="00F31E57">
      <w:permStart w:id="1775116612" w:edGrp="everyone"/>
      <w:r>
        <w:t>TYPE YOUR TEXT HERE</w:t>
      </w:r>
    </w:p>
    <w:permEnd w:id="1775116612"/>
    <w:p w:rsidR="00F31E57" w:rsidRDefault="00F31E57" w:rsidP="00F31E57">
      <w:r>
        <w:t>&lt;ESMA_QUESTION_PRIIPs_77&gt;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which circumstances do you think parameters cannot be computed/estimated using market data? What would you suggest to deal with this issue? </w:t>
      </w:r>
    </w:p>
    <w:p w:rsidR="00F31E57" w:rsidRDefault="00F31E57" w:rsidP="00F31E57">
      <w:pPr>
        <w:rPr>
          <w:rFonts w:cstheme="minorBidi"/>
          <w:lang w:eastAsia="en-US"/>
        </w:rPr>
      </w:pPr>
    </w:p>
    <w:p w:rsidR="00F31E57" w:rsidRDefault="00F31E57" w:rsidP="00F31E57">
      <w:r>
        <w:t>&lt;ESMA_QUESTION_PRIIPs_78&gt;</w:t>
      </w:r>
    </w:p>
    <w:p w:rsidR="00F31E57" w:rsidRDefault="00F31E57" w:rsidP="00F31E57">
      <w:permStart w:id="618288871" w:edGrp="everyone"/>
      <w:r>
        <w:t>TYPE YOUR TEXT HERE</w:t>
      </w:r>
    </w:p>
    <w:permEnd w:id="618288871"/>
    <w:p w:rsidR="00F31E57" w:rsidRDefault="00F31E57" w:rsidP="00F31E57">
      <w:r>
        <w:t>&lt;ESMA_QUESTION_PRIIPs_78&gt;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Would it be meaningful to prescribe specific pricing models for structured products, derivatives and CFDs? If yes which are the pros and cons of parametric and non-parametric models?</w:t>
      </w:r>
    </w:p>
    <w:p w:rsidR="00F31E57" w:rsidRDefault="00F31E57" w:rsidP="00F31E57">
      <w:pPr>
        <w:rPr>
          <w:rFonts w:cstheme="minorBidi"/>
        </w:rPr>
      </w:pPr>
    </w:p>
    <w:p w:rsidR="00F31E57" w:rsidRDefault="00F31E57" w:rsidP="00F31E57">
      <w:r>
        <w:t>&lt;ESMA_QUESTION_PRIIPs_79&gt;</w:t>
      </w:r>
    </w:p>
    <w:p w:rsidR="00F31E57" w:rsidRDefault="00F31E57" w:rsidP="00F31E57">
      <w:permStart w:id="253888098" w:edGrp="everyone"/>
      <w:r>
        <w:t>TYPE YOUR TEXT HERE</w:t>
      </w:r>
    </w:p>
    <w:permEnd w:id="253888098"/>
    <w:p w:rsidR="00F31E57" w:rsidRDefault="00F31E57" w:rsidP="00F31E57">
      <w:r>
        <w:t>&lt;ESMA_QUESTION_PRIIPs_79&gt;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should be the value of x? (in the case of UCITS, x=5, but the extent to which this is appropriate for other types of PRIIPs, notably life-insurance products, is unclear). </w:t>
      </w:r>
    </w:p>
    <w:p w:rsidR="00F31E57" w:rsidRDefault="00F31E57" w:rsidP="00F31E57">
      <w:pPr>
        <w:rPr>
          <w:rFonts w:cstheme="minorBidi"/>
        </w:rPr>
      </w:pPr>
    </w:p>
    <w:p w:rsidR="00F31E57" w:rsidRDefault="00F31E57" w:rsidP="00F31E57">
      <w:r>
        <w:t>&lt;ESMA_QUESTION_PRIIPs_80&gt;</w:t>
      </w:r>
    </w:p>
    <w:p w:rsidR="00F31E57" w:rsidRDefault="000602FF" w:rsidP="00F31E57">
      <w:permStart w:id="1432174965" w:edGrp="everyone"/>
      <w:r>
        <w:t xml:space="preserve">The AIC </w:t>
      </w:r>
      <w:r w:rsidRPr="000602FF">
        <w:rPr>
          <w:b/>
          <w:u w:val="single"/>
        </w:rPr>
        <w:t>recommends</w:t>
      </w:r>
      <w:r>
        <w:t xml:space="preserve"> that</w:t>
      </w:r>
      <w:r w:rsidR="00917E47">
        <w:t>,</w:t>
      </w:r>
      <w:r>
        <w:t xml:space="preserve"> for long-term investment products (other than </w:t>
      </w:r>
      <w:r w:rsidR="00CC2EFD">
        <w:t xml:space="preserve">life </w:t>
      </w:r>
      <w:r>
        <w:t>insurance)</w:t>
      </w:r>
      <w:r w:rsidR="00917E47">
        <w:t>,</w:t>
      </w:r>
      <w:r>
        <w:t xml:space="preserve"> the period should be ten years.  This is consistent with the calculations needed for performance and costs.</w:t>
      </w:r>
    </w:p>
    <w:permEnd w:id="1432174965"/>
    <w:p w:rsidR="00F31E57" w:rsidRDefault="00F31E57" w:rsidP="00F31E57">
      <w:r>
        <w:t>&lt;ESMA_QUESTION_PRIIPs_80&gt;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this principle be further explained / detailed? Should the terms “rank pari passu” be adapted to fit the different types of PRIIPs? </w:t>
      </w:r>
    </w:p>
    <w:p w:rsidR="00F31E57" w:rsidRDefault="00F31E57" w:rsidP="00F31E57">
      <w:pPr>
        <w:rPr>
          <w:rFonts w:cstheme="minorBidi"/>
        </w:rPr>
      </w:pPr>
    </w:p>
    <w:p w:rsidR="00F31E57" w:rsidRDefault="00F31E57" w:rsidP="00F31E57">
      <w:r>
        <w:t>&lt;ESMA_QUESTION_PRIIPs_81&gt;</w:t>
      </w:r>
    </w:p>
    <w:p w:rsidR="00F31E57" w:rsidRDefault="00F31E57" w:rsidP="00F31E57">
      <w:permStart w:id="1934499330" w:edGrp="everyone"/>
      <w:r>
        <w:t>TYPE YOUR TEXT HERE</w:t>
      </w:r>
    </w:p>
    <w:permEnd w:id="1934499330"/>
    <w:p w:rsidR="00F31E57" w:rsidRDefault="00F31E57" w:rsidP="00F31E57">
      <w:r>
        <w:t>&lt;ESMA_QUESTION_PRIIPs_81&gt;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rsidR="00F31E57" w:rsidRDefault="00F31E57" w:rsidP="00F31E57">
      <w:pPr>
        <w:rPr>
          <w:rFonts w:cstheme="minorBidi"/>
        </w:rPr>
      </w:pPr>
    </w:p>
    <w:p w:rsidR="00F31E57" w:rsidRDefault="00F31E57" w:rsidP="00F31E57">
      <w:r>
        <w:t>&lt;ESMA_QUESTION_PRIIPs_82&gt;</w:t>
      </w:r>
    </w:p>
    <w:p w:rsidR="00F31E57" w:rsidRDefault="000602FF" w:rsidP="00F31E57">
      <w:permStart w:id="1197693425" w:edGrp="everyone"/>
      <w:r>
        <w:t xml:space="preserve">The AIC </w:t>
      </w:r>
      <w:r w:rsidRPr="00DD6B4D">
        <w:rPr>
          <w:b/>
          <w:u w:val="single"/>
        </w:rPr>
        <w:t>recommends</w:t>
      </w:r>
      <w:r>
        <w:t xml:space="preserve"> that the figure used to illustrate costs should be €1,000 in countries using the Euro, £1,000 in the UK and an equivalent figure for other currencies.  Where there is a minimum inves</w:t>
      </w:r>
      <w:r>
        <w:t>t</w:t>
      </w:r>
      <w:r>
        <w:t xml:space="preserve">ment in a product that is greater than these figures, then the minimum investment figure should be used instead.  </w:t>
      </w:r>
    </w:p>
    <w:permEnd w:id="1197693425"/>
    <w:p w:rsidR="00F31E57" w:rsidRDefault="00F31E57" w:rsidP="00F31E57">
      <w:r>
        <w:t>&lt;ESMA_QUESTION_PRIIPs_82&gt;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lastRenderedPageBreak/>
        <w:t>For some life-insurance products, the costs will differ on the age of the customer and other parameters. How to take into account this specific type of PRIIPs for the purpose of aggregating the costs? Should several KIDs for several ages be considered?</w:t>
      </w:r>
    </w:p>
    <w:p w:rsidR="00F31E57" w:rsidRDefault="00F31E57" w:rsidP="00F31E57">
      <w:pPr>
        <w:rPr>
          <w:rFonts w:cstheme="minorBidi"/>
        </w:rPr>
      </w:pPr>
    </w:p>
    <w:p w:rsidR="00F31E57" w:rsidRDefault="00F31E57" w:rsidP="00F31E57">
      <w:r>
        <w:t>&lt;ESMA_QUESTION_PRIIPs_83&gt;</w:t>
      </w:r>
    </w:p>
    <w:p w:rsidR="00F31E57" w:rsidRDefault="00F31E57" w:rsidP="00F31E57">
      <w:permStart w:id="263738176" w:edGrp="everyone"/>
      <w:r>
        <w:t>TYPE YOUR TEXT HERE</w:t>
      </w:r>
    </w:p>
    <w:permEnd w:id="263738176"/>
    <w:p w:rsidR="00F31E57" w:rsidRDefault="00F31E57" w:rsidP="00F31E57">
      <w:r>
        <w:t>&lt;ESMA_QUESTION_PRIIPs_83&gt;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rsidR="00F31E57" w:rsidRDefault="00F31E57" w:rsidP="00F31E57">
      <w:pPr>
        <w:rPr>
          <w:rFonts w:cstheme="minorBidi"/>
        </w:rPr>
      </w:pPr>
    </w:p>
    <w:p w:rsidR="00F31E57" w:rsidRDefault="00F31E57" w:rsidP="00F31E57">
      <w:r>
        <w:t>&lt;ESMA_QUESTION_PRIIPs_84&gt;</w:t>
      </w:r>
    </w:p>
    <w:p w:rsidR="00FF7ECB" w:rsidRDefault="00FF7ECB" w:rsidP="00FF7ECB">
      <w:permStart w:id="936724969" w:edGrp="everyone"/>
      <w:r>
        <w:t>Although the presentation of costs will be considered in a future paper, the issue of how costs are co</w:t>
      </w:r>
      <w:r>
        <w:t>m</w:t>
      </w:r>
      <w:r>
        <w:t xml:space="preserve">bined is relevant to some of the proposals set out in this paper.  The AIC </w:t>
      </w:r>
      <w:r w:rsidRPr="00FF7ECB">
        <w:rPr>
          <w:b/>
          <w:u w:val="single"/>
        </w:rPr>
        <w:t>recommends</w:t>
      </w:r>
      <w:r>
        <w:t xml:space="preserve"> that </w:t>
      </w:r>
      <w:proofErr w:type="spellStart"/>
      <w:r>
        <w:t>ongoing</w:t>
      </w:r>
      <w:proofErr w:type="spellEnd"/>
      <w:r>
        <w:t xml:space="preserve"> charges are shown separately from entry / exit charges and contingent charges such as performance fees.  </w:t>
      </w:r>
      <w:r w:rsidR="00095CBC">
        <w:t>Presenting them separately</w:t>
      </w:r>
      <w:r w:rsidR="00D574CE">
        <w:t xml:space="preserve"> (but in one place i.e. aggregated)</w:t>
      </w:r>
      <w:r w:rsidR="00095CBC">
        <w:t xml:space="preserve"> allows the investor to see how pe</w:t>
      </w:r>
      <w:r w:rsidR="00095CBC">
        <w:t>r</w:t>
      </w:r>
      <w:r w:rsidR="00095CBC">
        <w:t xml:space="preserve">formance is impacted by costs and also how the value of their own investment would be reduced by one-off charges should they choose to invest. </w:t>
      </w:r>
    </w:p>
    <w:p w:rsidR="00941F16" w:rsidRDefault="00941F16" w:rsidP="00F31E57"/>
    <w:p w:rsidR="00941F16" w:rsidRDefault="00FF7ECB" w:rsidP="00F31E57">
      <w:r>
        <w:t xml:space="preserve">The AIC </w:t>
      </w:r>
      <w:r w:rsidRPr="00DD6B4D">
        <w:rPr>
          <w:b/>
          <w:u w:val="single"/>
        </w:rPr>
        <w:t>agrees</w:t>
      </w:r>
      <w:r>
        <w:t xml:space="preserve"> that it would be appropriate to consider using the term ‘total product costs’ because</w:t>
      </w:r>
      <w:r w:rsidR="00917E47">
        <w:t>,</w:t>
      </w:r>
      <w:r>
        <w:t xml:space="preserve"> for some PRIIPs products such as investment companies, the manufacturer is not involved in the distribution and cannot provide data for distribution costs.  </w:t>
      </w:r>
    </w:p>
    <w:p w:rsidR="00941F16" w:rsidRDefault="00941F16" w:rsidP="00F31E57"/>
    <w:p w:rsidR="00941F16" w:rsidRDefault="00FF7ECB" w:rsidP="00F31E57">
      <w:r>
        <w:t xml:space="preserve">The AIC </w:t>
      </w:r>
      <w:r w:rsidRPr="00FF7ECB">
        <w:rPr>
          <w:b/>
          <w:u w:val="single"/>
        </w:rPr>
        <w:t>recommends</w:t>
      </w:r>
      <w:r>
        <w:t xml:space="preserve"> that the TCR should NOT include entry/exit costs and performance fees.  This could potentially be very misleading for co</w:t>
      </w:r>
      <w:r w:rsidR="00095CBC">
        <w:t>nsumers.  F</w:t>
      </w:r>
      <w:r>
        <w:t xml:space="preserve">or example amortising the entry costs for a product which has high front-loaded costs would give a false impression to a consumer about the cost structure of a product </w:t>
      </w:r>
      <w:r w:rsidR="00095CBC">
        <w:t xml:space="preserve">and the impact of not holding it to its full term.  Such an approach would also rely on making assumptions such as the period over which the costs are amortised.  </w:t>
      </w:r>
    </w:p>
    <w:permEnd w:id="936724969"/>
    <w:p w:rsidR="00F31E57" w:rsidRDefault="00F31E57" w:rsidP="00F31E57">
      <w:r>
        <w:t>&lt;ESMA_QUESTION_PRIIPs_84&gt;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w:t>
      </w:r>
      <w:r>
        <w:rPr>
          <w:rFonts w:cs="Arial"/>
        </w:rPr>
        <w:t>d</w:t>
      </w:r>
      <w:r>
        <w:rPr>
          <w:rFonts w:cs="Arial"/>
        </w:rPr>
        <w:t>ucts, to what extent should the amortization methodology related to the amortization methodology of the premium calculation? To what extent should the chosen holding period be related to the recommended holding period?</w:t>
      </w:r>
    </w:p>
    <w:p w:rsidR="00F31E57" w:rsidRDefault="00F31E57" w:rsidP="00F31E57">
      <w:pPr>
        <w:rPr>
          <w:rFonts w:cstheme="minorBidi"/>
        </w:rPr>
      </w:pPr>
    </w:p>
    <w:p w:rsidR="00F31E57" w:rsidRDefault="00F31E57" w:rsidP="00F31E57">
      <w:r>
        <w:t>&lt;ESMA_QUESTION_PRIIPs_85&gt;</w:t>
      </w:r>
    </w:p>
    <w:p w:rsidR="00897094" w:rsidRDefault="00897094" w:rsidP="00F31E57">
      <w:permStart w:id="83825881" w:edGrp="everyone"/>
      <w:r>
        <w:t xml:space="preserve">The AIC </w:t>
      </w:r>
      <w:r w:rsidRPr="00DD6B4D">
        <w:rPr>
          <w:b/>
          <w:u w:val="single"/>
        </w:rPr>
        <w:t>recommends</w:t>
      </w:r>
      <w:r>
        <w:t xml:space="preserve"> that a RIY methodology should be used to calculate </w:t>
      </w:r>
      <w:r w:rsidR="005C1F94">
        <w:t>an overall summary indicator</w:t>
      </w:r>
      <w:r>
        <w:t xml:space="preserve"> – see Q </w:t>
      </w:r>
      <w:r w:rsidR="00CC2EFD">
        <w:t>94</w:t>
      </w:r>
      <w:r>
        <w:t xml:space="preserve"> below.  </w:t>
      </w:r>
    </w:p>
    <w:p w:rsidR="00897094" w:rsidRDefault="00897094" w:rsidP="00F31E57"/>
    <w:p w:rsidR="00897094" w:rsidRDefault="00897094" w:rsidP="00F31E57">
      <w:r>
        <w:t>However, if a TCR methodology is considered, the AIC believes that the following considerations should apply:</w:t>
      </w:r>
    </w:p>
    <w:p w:rsidR="005C1F94" w:rsidRDefault="005C1F94" w:rsidP="00DD6B4D">
      <w:pPr>
        <w:pStyle w:val="ListParagraph"/>
        <w:numPr>
          <w:ilvl w:val="0"/>
          <w:numId w:val="52"/>
        </w:numPr>
      </w:pPr>
      <w:r>
        <w:t xml:space="preserve">Entry and exit costs should </w:t>
      </w:r>
      <w:r w:rsidR="00DD6B4D">
        <w:t xml:space="preserve">NOT </w:t>
      </w:r>
      <w:r>
        <w:t>be included within this calculation and the overall summary ind</w:t>
      </w:r>
      <w:r>
        <w:t>i</w:t>
      </w:r>
      <w:r>
        <w:t>cator should aim to show the cost of holding the investment for a year.</w:t>
      </w:r>
      <w:r w:rsidR="00D13389">
        <w:t xml:space="preserve">  As the paper notes, i</w:t>
      </w:r>
      <w:r w:rsidR="00D13389">
        <w:t>n</w:t>
      </w:r>
      <w:r w:rsidR="00D13389">
        <w:t xml:space="preserve">cluding entry-exit costs would mean making assumptions about the method used for amortising the cost and the chosen holding period.  </w:t>
      </w:r>
      <w:r w:rsidR="00DD6B4D">
        <w:t>In addition, it is an easier concept for consumers to u</w:t>
      </w:r>
      <w:r w:rsidR="00DD6B4D">
        <w:t>n</w:t>
      </w:r>
      <w:r w:rsidR="00DD6B4D">
        <w:t xml:space="preserve">derstand that the TCR reflects the amount they will be charged for owning an investment for a year.  </w:t>
      </w:r>
    </w:p>
    <w:p w:rsidR="00DD6B4D" w:rsidRDefault="005C1F94" w:rsidP="00897094">
      <w:pPr>
        <w:pStyle w:val="ListParagraph"/>
        <w:numPr>
          <w:ilvl w:val="0"/>
          <w:numId w:val="52"/>
        </w:numPr>
      </w:pPr>
      <w:r>
        <w:t>The denominator should be based on a net invested amount</w:t>
      </w:r>
      <w:r w:rsidR="00956011">
        <w:t xml:space="preserve"> </w:t>
      </w:r>
      <w:r>
        <w:t>(</w:t>
      </w:r>
      <w:r w:rsidR="0098702D">
        <w:t xml:space="preserve">i.e. </w:t>
      </w:r>
      <w:r>
        <w:t>after any entry costs)</w:t>
      </w:r>
      <w:r w:rsidR="00956011">
        <w:t xml:space="preserve"> of £1,000</w:t>
      </w:r>
      <w:r w:rsidR="00D574CE">
        <w:t xml:space="preserve"> (or €1,000 in member states using the Euro)</w:t>
      </w:r>
      <w:r>
        <w:t>.</w:t>
      </w:r>
      <w:r w:rsidR="00956011">
        <w:t xml:space="preserve">  The average net assets would be misleading for an investment such as an investment company where the net asset value of a share can be different from the share price.  </w:t>
      </w:r>
    </w:p>
    <w:p w:rsidR="00F31E57" w:rsidRDefault="005C1F94" w:rsidP="00897094">
      <w:pPr>
        <w:pStyle w:val="ListParagraph"/>
        <w:numPr>
          <w:ilvl w:val="0"/>
          <w:numId w:val="52"/>
        </w:numPr>
      </w:pPr>
      <w:r>
        <w:t xml:space="preserve">The TCR calculation should reflect an average annual </w:t>
      </w:r>
      <w:proofErr w:type="spellStart"/>
      <w:r w:rsidR="00956011">
        <w:t>ongoing</w:t>
      </w:r>
      <w:proofErr w:type="spellEnd"/>
      <w:r w:rsidR="00956011">
        <w:t xml:space="preserve"> </w:t>
      </w:r>
      <w:r>
        <w:t>cost (based on historical data for a ten year period</w:t>
      </w:r>
      <w:r w:rsidR="003503A5">
        <w:t>) of holding an investment, based on</w:t>
      </w:r>
      <w:r>
        <w:t xml:space="preserve"> the </w:t>
      </w:r>
      <w:r w:rsidR="00D574CE">
        <w:t xml:space="preserve">net invested amount. </w:t>
      </w:r>
    </w:p>
    <w:permEnd w:id="83825881"/>
    <w:p w:rsidR="00F31E57" w:rsidRDefault="00F31E57" w:rsidP="00F31E57">
      <w:r>
        <w:lastRenderedPageBreak/>
        <w:t>&lt;ESMA_QUESTION_PRIIPs_85&gt;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approach to calculate these costs is to calculate the ratio of the total of these amo</w:t>
      </w:r>
      <w:r>
        <w:rPr>
          <w:rFonts w:cs="Arial"/>
        </w:rPr>
        <w:t>r</w:t>
      </w:r>
      <w:r>
        <w:rPr>
          <w:rFonts w:cs="Arial"/>
        </w:rPr>
        <w:t>tized costs to the invested amount in the fund. However in that case the question r</w:t>
      </w:r>
      <w:r>
        <w:rPr>
          <w:rFonts w:cs="Arial"/>
        </w:rPr>
        <w:t>e</w:t>
      </w:r>
      <w:r>
        <w:rPr>
          <w:rFonts w:cs="Arial"/>
        </w:rPr>
        <w:t>mains as to how to aggregate this ratio with the on-going charges ratio. Another po</w:t>
      </w:r>
      <w:r>
        <w:rPr>
          <w:rFonts w:cs="Arial"/>
        </w:rPr>
        <w:t>s</w:t>
      </w:r>
      <w:r>
        <w:rPr>
          <w:rFonts w:cs="Arial"/>
        </w:rPr>
        <w:t>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&lt;ESMA_QUESTION_PRIIPs_86&gt;</w:t>
      </w:r>
    </w:p>
    <w:p w:rsidR="00F31E57" w:rsidRDefault="00BA1F56" w:rsidP="00F31E57">
      <w:permStart w:id="368469335" w:edGrp="everyone"/>
      <w:r>
        <w:t>The AIC does not consider</w:t>
      </w:r>
      <w:r w:rsidR="00D13389">
        <w:t xml:space="preserve"> that the ratio described is appropriate for retail AIFs.  This is because the entry and exit costs </w:t>
      </w:r>
      <w:r w:rsidR="0078250F">
        <w:t>may be independent of the a</w:t>
      </w:r>
      <w:r w:rsidR="00D13389">
        <w:t>ssets in the fund.</w:t>
      </w:r>
      <w:r w:rsidR="009E48F5">
        <w:t xml:space="preserve">  </w:t>
      </w:r>
      <w:r w:rsidR="00D13389">
        <w:t xml:space="preserve">Trying to combine these different </w:t>
      </w:r>
      <w:r w:rsidR="009E48F5">
        <w:t>ratios requires ma</w:t>
      </w:r>
      <w:r w:rsidR="0078250F">
        <w:t xml:space="preserve">king too many assumptions about how the entry and exit costs would be applied and the links with the assets in the fund.  For these reasons, the AIC </w:t>
      </w:r>
      <w:r w:rsidR="0078250F" w:rsidRPr="0078250F">
        <w:rPr>
          <w:b/>
          <w:u w:val="single"/>
        </w:rPr>
        <w:t>recommends</w:t>
      </w:r>
      <w:r w:rsidR="0078250F">
        <w:t xml:space="preserve"> that entry and exit costs should be shown separately from the </w:t>
      </w:r>
      <w:proofErr w:type="spellStart"/>
      <w:r w:rsidR="0078250F">
        <w:t>ongoing</w:t>
      </w:r>
      <w:proofErr w:type="spellEnd"/>
      <w:r w:rsidR="0078250F">
        <w:t xml:space="preserve"> charges for the fund. </w:t>
      </w:r>
    </w:p>
    <w:permEnd w:id="368469335"/>
    <w:p w:rsidR="00F31E57" w:rsidRDefault="00F31E57" w:rsidP="00F31E57">
      <w:r>
        <w:t>&lt;ESMA_QUESTION_PRIIPs_86&gt;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life-insurance products? What about the case of regular payments or regular increasing? Which de</w:t>
      </w:r>
      <w:r>
        <w:rPr>
          <w:rFonts w:cs="Arial"/>
        </w:rPr>
        <w:t>f</w:t>
      </w:r>
      <w:r>
        <w:rPr>
          <w:rFonts w:cs="Arial"/>
        </w:rPr>
        <w:t>inition would you favour? How to ensure a level playing field and a common definition with the other types of PRIIPs in this regard? Another possible approach could be to use the ratio between the total amount of costs over the holding period and the ave</w:t>
      </w:r>
      <w:r>
        <w:rPr>
          <w:rFonts w:cs="Arial"/>
        </w:rPr>
        <w:t>r</w:t>
      </w:r>
      <w:r>
        <w:rPr>
          <w:rFonts w:cs="Arial"/>
        </w:rPr>
        <w:t>age net investment (assumed during the whole period, in order to take into account future additional investments, partial withdrawals, payments (i.e. programmed i</w:t>
      </w:r>
      <w:r>
        <w:rPr>
          <w:rFonts w:cs="Arial"/>
        </w:rPr>
        <w:t>n</w:t>
      </w:r>
      <w:r>
        <w:rPr>
          <w:rFonts w:cs="Arial"/>
        </w:rPr>
        <w:t xml:space="preserve">vestments or disinvestments)). Do you think this approach would be appropriate? To what extent do these possible calculation methodologies fit the case of insurance products with regular payments? </w:t>
      </w:r>
    </w:p>
    <w:p w:rsidR="00F31E57" w:rsidRDefault="00F31E57" w:rsidP="00F31E57">
      <w:pPr>
        <w:rPr>
          <w:rFonts w:cstheme="minorBidi"/>
        </w:rPr>
      </w:pPr>
    </w:p>
    <w:p w:rsidR="00F31E57" w:rsidRDefault="00F31E57" w:rsidP="00F31E57">
      <w:r>
        <w:t>&lt;ESMA_QUESTION_PRIIPs_87&gt;</w:t>
      </w:r>
    </w:p>
    <w:p w:rsidR="00F31E57" w:rsidRDefault="00F31E57" w:rsidP="00F31E57">
      <w:permStart w:id="848766725" w:edGrp="everyone"/>
      <w:r>
        <w:t>TYPE YOUR TEXT HERE</w:t>
      </w:r>
    </w:p>
    <w:permEnd w:id="848766725"/>
    <w:p w:rsidR="00F31E57" w:rsidRDefault="00F31E57" w:rsidP="00F31E57">
      <w:r>
        <w:t>&lt;ESMA_QUESTION_PRIIPs_87&gt;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structured pro</w:t>
      </w:r>
      <w:r>
        <w:rPr>
          <w:rFonts w:cs="Arial"/>
        </w:rPr>
        <w:t>d</w:t>
      </w:r>
      <w:r>
        <w:rPr>
          <w:rFonts w:cs="Arial"/>
        </w:rPr>
        <w:t>ucts? Do you identify other specific issues in relation to the TCR if applied to stru</w:t>
      </w:r>
      <w:r>
        <w:rPr>
          <w:rFonts w:cs="Arial"/>
        </w:rPr>
        <w:t>c</w:t>
      </w:r>
      <w:r>
        <w:rPr>
          <w:rFonts w:cs="Arial"/>
        </w:rPr>
        <w:t>tured products? Another possible approach could be to use the ratio between the t</w:t>
      </w:r>
      <w:r>
        <w:rPr>
          <w:rFonts w:cs="Arial"/>
        </w:rPr>
        <w:t>o</w:t>
      </w:r>
      <w:r>
        <w:rPr>
          <w:rFonts w:cs="Arial"/>
        </w:rPr>
        <w:t>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For derivatives, it might be the case that it is necessary to further define the concept of investment to be used as denom</w:t>
      </w:r>
      <w:r>
        <w:rPr>
          <w:rFonts w:cs="Arial"/>
        </w:rPr>
        <w:t>i</w:t>
      </w:r>
      <w:r>
        <w:rPr>
          <w:rFonts w:cs="Arial"/>
        </w:rPr>
        <w:t>nator of the ratio. Possibilities include the use of the actual sums paid and received (i.e. initial margins, variation margins, collateral postings, various payoffs, etc.) or the use of the exposure (i.e. market value of the derivative underlying). Do you think these approaches would be appropriate?</w:t>
      </w:r>
    </w:p>
    <w:p w:rsidR="00F31E57" w:rsidRDefault="00F31E57" w:rsidP="00F31E57">
      <w:pPr>
        <w:rPr>
          <w:rFonts w:cstheme="minorBidi"/>
        </w:rPr>
      </w:pPr>
    </w:p>
    <w:p w:rsidR="00F31E57" w:rsidRDefault="00F31E57" w:rsidP="00F31E57">
      <w:r>
        <w:t>&lt;ESMA_QUESTION_PRIIPs_88&gt;</w:t>
      </w:r>
    </w:p>
    <w:p w:rsidR="00F31E57" w:rsidRDefault="00F31E57" w:rsidP="00F31E57">
      <w:permStart w:id="448922874" w:edGrp="everyone"/>
      <w:r>
        <w:t>TYPE YOUR TEXT HERE</w:t>
      </w:r>
    </w:p>
    <w:permEnd w:id="448922874"/>
    <w:p w:rsidR="00F31E57" w:rsidRDefault="00F31E57" w:rsidP="00F31E57">
      <w:r>
        <w:t>&lt;ESMA_QUESTION_PRIIPs_88&gt;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&lt;ESMA_QUESTION_PRIIPs_89&gt;</w:t>
      </w:r>
    </w:p>
    <w:p w:rsidR="00F31E57" w:rsidRDefault="00F31E57" w:rsidP="00F31E57">
      <w:permStart w:id="1155745067" w:edGrp="everyone"/>
      <w:r>
        <w:t>T</w:t>
      </w:r>
      <w:r w:rsidR="007065DE">
        <w:t xml:space="preserve">he AIC </w:t>
      </w:r>
      <w:r w:rsidR="007065DE" w:rsidRPr="007065DE">
        <w:rPr>
          <w:b/>
          <w:u w:val="single"/>
        </w:rPr>
        <w:t>recommends</w:t>
      </w:r>
      <w:r w:rsidR="007065DE">
        <w:t xml:space="preserve"> that</w:t>
      </w:r>
      <w:r w:rsidR="00917E47">
        <w:t>,</w:t>
      </w:r>
      <w:r w:rsidR="007065DE">
        <w:t xml:space="preserve"> if a TCR calculation is used, it should be based on </w:t>
      </w:r>
      <w:proofErr w:type="spellStart"/>
      <w:r w:rsidR="007065DE">
        <w:t>ongoing</w:t>
      </w:r>
      <w:proofErr w:type="spellEnd"/>
      <w:r w:rsidR="007065DE">
        <w:t xml:space="preserve"> charges with other costs and charges shown separately.  The ratio should be based on average annual </w:t>
      </w:r>
      <w:proofErr w:type="spellStart"/>
      <w:r w:rsidR="007065DE">
        <w:t>ongoing</w:t>
      </w:r>
      <w:proofErr w:type="spellEnd"/>
      <w:r w:rsidR="007065DE">
        <w:t xml:space="preserve"> char</w:t>
      </w:r>
      <w:r w:rsidR="007065DE">
        <w:t>g</w:t>
      </w:r>
      <w:r w:rsidR="007065DE">
        <w:t>es over the net amount invested (i</w:t>
      </w:r>
      <w:r w:rsidR="00917E47">
        <w:t>.</w:t>
      </w:r>
      <w:r w:rsidR="007065DE">
        <w:t>e</w:t>
      </w:r>
      <w:r w:rsidR="00917E47">
        <w:t>.</w:t>
      </w:r>
      <w:r w:rsidR="007065DE">
        <w:t xml:space="preserve"> after entry costs have been charged).  </w:t>
      </w:r>
      <w:r w:rsidR="00E2252D">
        <w:t>Trying to take account of further investments and disinvestments would entail making further assumptions about how investors will behave and would be more complicated to model without providing any real benefit for the average co</w:t>
      </w:r>
      <w:r w:rsidR="00E2252D">
        <w:t>n</w:t>
      </w:r>
      <w:r w:rsidR="00E2252D">
        <w:t>sumer.</w:t>
      </w:r>
    </w:p>
    <w:permEnd w:id="1155745067"/>
    <w:p w:rsidR="00F31E57" w:rsidRDefault="00F31E57" w:rsidP="00F31E57">
      <w:r>
        <w:t>&lt;ESMA_QUESTION_PRIIPs_89&gt;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rsidR="00F31E57" w:rsidRDefault="00F31E57" w:rsidP="00F31E57">
      <w:pPr>
        <w:rPr>
          <w:rFonts w:cstheme="minorBidi"/>
        </w:rPr>
      </w:pPr>
    </w:p>
    <w:p w:rsidR="00F31E57" w:rsidRDefault="00F31E57" w:rsidP="00F31E57">
      <w:r>
        <w:t>&lt;ESMA_QUESTION_PRIIPs_90&gt;</w:t>
      </w:r>
    </w:p>
    <w:p w:rsidR="003503A5" w:rsidRDefault="003503A5" w:rsidP="00F31E57">
      <w:permStart w:id="1281847688" w:edGrp="everyone"/>
      <w:r>
        <w:t xml:space="preserve">Where estimates have to be made of costs, these should make use of existing data as far as possible, with the estimates extrapolated from the data that is available.  </w:t>
      </w:r>
      <w:r w:rsidR="00863608">
        <w:t xml:space="preserve">The methodology should be the same as that set out in Q 85 above.  </w:t>
      </w:r>
    </w:p>
    <w:p w:rsidR="003503A5" w:rsidRDefault="003503A5" w:rsidP="00F31E57"/>
    <w:p w:rsidR="003503A5" w:rsidRDefault="003503A5" w:rsidP="00F31E57">
      <w:r>
        <w:t xml:space="preserve">New products </w:t>
      </w:r>
      <w:r w:rsidR="00863608">
        <w:t>should be based upon e</w:t>
      </w:r>
      <w:r w:rsidR="00235EDE">
        <w:t xml:space="preserve">stimates of the different types of </w:t>
      </w:r>
      <w:r w:rsidR="00863608">
        <w:t xml:space="preserve">costs.  This should just be to one decimal place as it is unlikely that estimated costs could be any more accurate than that.  </w:t>
      </w:r>
    </w:p>
    <w:permEnd w:id="1281847688"/>
    <w:p w:rsidR="00F31E57" w:rsidRDefault="00F31E57" w:rsidP="00F31E57">
      <w:r>
        <w:t>&lt;ESMA_QUESTION_PRIIPs_90&gt;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rsidR="00F31E57" w:rsidRDefault="00F31E57" w:rsidP="00F31E57">
      <w:pPr>
        <w:rPr>
          <w:rFonts w:cstheme="minorBidi"/>
        </w:rPr>
      </w:pPr>
    </w:p>
    <w:p w:rsidR="00F31E57" w:rsidRDefault="00F31E57" w:rsidP="00F31E57">
      <w:r>
        <w:t>&lt;ESMA_QUESTION_PRIIPs_91&gt;</w:t>
      </w:r>
    </w:p>
    <w:p w:rsidR="00F31E57" w:rsidRDefault="00F31E57" w:rsidP="00F31E57">
      <w:permStart w:id="486104380" w:edGrp="everyone"/>
      <w:r>
        <w:t>TYPE YOUR TEXT HERE</w:t>
      </w:r>
    </w:p>
    <w:permEnd w:id="486104380"/>
    <w:p w:rsidR="00F31E57" w:rsidRDefault="00F31E57" w:rsidP="00F31E57">
      <w:r>
        <w:t>&lt;ESMA_QUESTION_PRIIPs_91&gt;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t>Do you think this methodology should be further detailed? To what extent do you think this methodology is appropriate and feasible (notably in terms of calibration of the model)? It might indeed be considered that valuation models for Solvency II usua</w:t>
      </w:r>
      <w:r>
        <w:rPr>
          <w:rFonts w:cs="Arial"/>
        </w:rPr>
        <w:t>l</w:t>
      </w:r>
      <w:r>
        <w:rPr>
          <w:rFonts w:cs="Arial"/>
        </w:rPr>
        <w:t>ly are not likely to be designed for per contract calculations. Life insurers may restrict the calculation of technical provisions in the Solvency II-Balance-Sheet to homog</w:t>
      </w:r>
      <w:r>
        <w:rPr>
          <w:rFonts w:cs="Arial"/>
        </w:rPr>
        <w:t>e</w:t>
      </w:r>
      <w:r>
        <w:rPr>
          <w:rFonts w:cs="Arial"/>
        </w:rPr>
        <w:t xml:space="preserve">nous risk groups. Furthermore they are allowed to use simplified calculation methods if the error is immaterial at the portfolio level. As profit sharing mechanisms in many countries are applied on the company level and not on a per contract level, projected cash flows from future discretionary benefits will not easily be broken down on a per product or even a per contract basis with the existing Solvency II-Valuation-Models. </w:t>
      </w:r>
    </w:p>
    <w:p w:rsidR="00F31E57" w:rsidRDefault="00F31E57" w:rsidP="00F31E57">
      <w:pPr>
        <w:rPr>
          <w:rFonts w:cstheme="minorBidi"/>
        </w:rPr>
      </w:pPr>
    </w:p>
    <w:p w:rsidR="00F31E57" w:rsidRDefault="00F31E57" w:rsidP="00F31E57">
      <w:r>
        <w:t>&lt;ESMA_QUESTION_PRIIPs_92&gt;</w:t>
      </w:r>
    </w:p>
    <w:p w:rsidR="00F31E57" w:rsidRDefault="00F31E57" w:rsidP="00F31E57">
      <w:permStart w:id="1921133216" w:edGrp="everyone"/>
      <w:r>
        <w:t>TYPE YOUR TEXT HERE</w:t>
      </w:r>
    </w:p>
    <w:permEnd w:id="1921133216"/>
    <w:p w:rsidR="00F31E57" w:rsidRDefault="00F31E57" w:rsidP="00F31E57">
      <w:r>
        <w:t>&lt;ESMA_QUESTION_PRIIPs_92&gt;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w:t>
      </w:r>
      <w:r>
        <w:rPr>
          <w:rFonts w:cs="Arial"/>
        </w:rPr>
        <w:t>p</w:t>
      </w:r>
      <w:r>
        <w:rPr>
          <w:rFonts w:cs="Arial"/>
        </w:rPr>
        <w:t>proach to funds?</w:t>
      </w:r>
    </w:p>
    <w:p w:rsidR="00F31E57" w:rsidRDefault="00F31E57" w:rsidP="00F31E57">
      <w:pPr>
        <w:rPr>
          <w:rFonts w:cstheme="minorBidi"/>
        </w:rPr>
      </w:pPr>
    </w:p>
    <w:p w:rsidR="00F31E57" w:rsidRDefault="00F31E57" w:rsidP="00F31E57">
      <w:r>
        <w:t>&lt;ESMA_QUESTION_PRIIPs_93&gt;</w:t>
      </w:r>
    </w:p>
    <w:p w:rsidR="00E63BC6" w:rsidRDefault="00E63BC6" w:rsidP="00E63BC6">
      <w:permStart w:id="949496558" w:edGrp="everyone"/>
      <w:r>
        <w:t xml:space="preserve">An RIY methodology has significant advantages over the TCR as it better reflects the impact of the timing of costs on a product, such as a product with high front-loaded costs.  </w:t>
      </w:r>
    </w:p>
    <w:p w:rsidR="00E63BC6" w:rsidRDefault="00E63BC6" w:rsidP="00E63BC6"/>
    <w:p w:rsidR="00E63BC6" w:rsidRDefault="00E63BC6" w:rsidP="00E63BC6">
      <w:r>
        <w:t xml:space="preserve">There is a risk, however, that presenting a </w:t>
      </w:r>
      <w:r w:rsidRPr="0074228A">
        <w:rPr>
          <w:b/>
        </w:rPr>
        <w:t>single</w:t>
      </w:r>
      <w:r>
        <w:t xml:space="preserve"> percentage or figure through a RIY approach may obscure the impact of front-loaded costs.  For example, if an RIY approach is used to calculate a cost over a ten year period, the impact of a high initial cost will effectively be amortised over the ten years when the single figure or percentage is calculated.  So the costs for a consumer who exited the product early could be cons</w:t>
      </w:r>
      <w:r w:rsidR="00DA37E5">
        <w:t>iderably higher than the indicat</w:t>
      </w:r>
      <w:r>
        <w:t>ed cost which is derived from looking at a ten year period.</w:t>
      </w:r>
    </w:p>
    <w:p w:rsidR="00E63BC6" w:rsidRDefault="00E63BC6" w:rsidP="00E63BC6"/>
    <w:p w:rsidR="00E63BC6" w:rsidRDefault="00E63BC6" w:rsidP="00E63BC6">
      <w:r>
        <w:t>If an</w:t>
      </w:r>
      <w:r w:rsidR="00917E47">
        <w:t xml:space="preserve"> RIY approach is to be used </w:t>
      </w:r>
      <w:r>
        <w:t xml:space="preserve">there are several options that the ESAs could consider to address the risks of consumers deriving an inaccurate impression of costs from the figure </w:t>
      </w:r>
      <w:proofErr w:type="gramStart"/>
      <w:r>
        <w:t>provided:</w:t>
      </w:r>
      <w:proofErr w:type="gramEnd"/>
    </w:p>
    <w:p w:rsidR="00E63BC6" w:rsidRDefault="00E63BC6" w:rsidP="00E63BC6">
      <w:pPr>
        <w:pStyle w:val="ListParagraph"/>
        <w:numPr>
          <w:ilvl w:val="0"/>
          <w:numId w:val="53"/>
        </w:numPr>
      </w:pPr>
      <w:r>
        <w:t xml:space="preserve">the RIY could be calculated just on the basis of </w:t>
      </w:r>
      <w:proofErr w:type="spellStart"/>
      <w:r>
        <w:t>ongoing</w:t>
      </w:r>
      <w:proofErr w:type="spellEnd"/>
      <w:r>
        <w:t xml:space="preserve"> costs, but this would negate some of the benefits of the RIY methodology; </w:t>
      </w:r>
    </w:p>
    <w:p w:rsidR="00E63BC6" w:rsidRDefault="00E63BC6" w:rsidP="00E63BC6">
      <w:pPr>
        <w:pStyle w:val="ListParagraph"/>
        <w:numPr>
          <w:ilvl w:val="0"/>
          <w:numId w:val="53"/>
        </w:numPr>
      </w:pPr>
      <w:r>
        <w:t xml:space="preserve">the RIY methodology could be used to produce a single figure and percentage for overall annual costs, but with a very clear explanation of the level of entry-exit costs and what this means for the consumer if they choose to exit the product early; or </w:t>
      </w:r>
    </w:p>
    <w:p w:rsidR="00E63BC6" w:rsidRDefault="00E63BC6" w:rsidP="00E63BC6">
      <w:pPr>
        <w:pStyle w:val="ListParagraph"/>
        <w:numPr>
          <w:ilvl w:val="0"/>
          <w:numId w:val="53"/>
        </w:numPr>
      </w:pPr>
      <w:proofErr w:type="gramStart"/>
      <w:r>
        <w:t>instead</w:t>
      </w:r>
      <w:proofErr w:type="gramEnd"/>
      <w:r>
        <w:t xml:space="preserve"> of using RIY to calculate a single figure and percentage, it could instead be presented in a table format as shown on p105.  In that way there would be a single figure and percentage for each year, but not a single figure and percentage chosen to represent the overall impact of costs.</w:t>
      </w:r>
    </w:p>
    <w:p w:rsidR="00E63BC6" w:rsidRDefault="00E63BC6" w:rsidP="00E63BC6"/>
    <w:p w:rsidR="00863608" w:rsidRDefault="00E63BC6" w:rsidP="00F31E57">
      <w:r>
        <w:t>The AIC has recommended that costs should be based on a zero growth rate to avoid the risk that co</w:t>
      </w:r>
      <w:r>
        <w:t>n</w:t>
      </w:r>
      <w:r>
        <w:t>sumers see growth figures as a possible forecast.  If the ESAs choose the RIY methodology and it is to include a particular rate of growth, then consideration should be given to whether this rate should be standardised to ensure a level playing field between products.  Also there needs to be consistency b</w:t>
      </w:r>
      <w:r>
        <w:t>e</w:t>
      </w:r>
      <w:r>
        <w:t>tween the assumptions and figures used for the performance scenario(s) and those used for a RIY calc</w:t>
      </w:r>
      <w:r>
        <w:t>u</w:t>
      </w:r>
      <w:r>
        <w:t xml:space="preserve">lation.  </w:t>
      </w:r>
    </w:p>
    <w:permEnd w:id="949496558"/>
    <w:p w:rsidR="00F31E57" w:rsidRDefault="00F31E57" w:rsidP="00F31E57">
      <w:r>
        <w:t>&lt;ESMA_QUESTION_PRIIPs_93&gt;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rel</w:t>
      </w:r>
      <w:r>
        <w:rPr>
          <w:rFonts w:cs="Arial"/>
        </w:rPr>
        <w:t>a</w:t>
      </w:r>
      <w:r>
        <w:rPr>
          <w:rFonts w:cs="Arial"/>
        </w:rPr>
        <w:t>tion to the implementation of the RIY approach to structured products?</w:t>
      </w:r>
    </w:p>
    <w:p w:rsidR="00F31E57" w:rsidRDefault="00F31E57" w:rsidP="00F31E57">
      <w:pPr>
        <w:rPr>
          <w:rFonts w:cstheme="minorBidi"/>
        </w:rPr>
      </w:pPr>
    </w:p>
    <w:p w:rsidR="00F31E57" w:rsidRDefault="00F31E57" w:rsidP="00F31E57">
      <w:r>
        <w:t>&lt;ESMA_QUESTION_PRIIPs_94&gt;</w:t>
      </w:r>
    </w:p>
    <w:p w:rsidR="008D0AF1" w:rsidRDefault="00E63BC6" w:rsidP="00E63BC6">
      <w:permStart w:id="1794135935" w:edGrp="everyone"/>
      <w:r>
        <w:t>TYPE YOUR TEXT HERE</w:t>
      </w:r>
      <w:r w:rsidR="008D0AF1">
        <w:t xml:space="preserve"> </w:t>
      </w:r>
    </w:p>
    <w:permEnd w:id="1794135935"/>
    <w:p w:rsidR="00F31E57" w:rsidRDefault="00F31E57" w:rsidP="00F31E57">
      <w:r>
        <w:t>&lt;ESMA_QUESTION_PRIIPs_94&gt;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rsidR="00F31E57" w:rsidRDefault="00F31E57" w:rsidP="00F31E57">
      <w:pPr>
        <w:rPr>
          <w:rFonts w:cstheme="minorBidi"/>
        </w:rPr>
      </w:pPr>
    </w:p>
    <w:p w:rsidR="00F31E57" w:rsidRDefault="00F31E57" w:rsidP="00F31E57">
      <w:r>
        <w:t>&lt;ESMA_QUESTION_PRIIPs_95&gt;</w:t>
      </w:r>
    </w:p>
    <w:p w:rsidR="00F31E57" w:rsidRDefault="00F31E57" w:rsidP="00F31E57">
      <w:permStart w:id="228345640" w:edGrp="everyone"/>
      <w:r>
        <w:t>TYPE YOUR TEXT HERE</w:t>
      </w:r>
    </w:p>
    <w:permEnd w:id="228345640"/>
    <w:p w:rsidR="00F31E57" w:rsidRDefault="00F31E57" w:rsidP="00F31E57">
      <w:r>
        <w:t>&lt;ESMA_QUESTION_PRIIPs_95&gt;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lastRenderedPageBreak/>
        <w:t>Is this the structure of a typical transaction? What costs impact the return available to purchasers of the product?</w:t>
      </w:r>
    </w:p>
    <w:p w:rsidR="00F31E57" w:rsidRDefault="00F31E57" w:rsidP="00F31E57">
      <w:pPr>
        <w:rPr>
          <w:rFonts w:cstheme="minorBidi"/>
        </w:rPr>
      </w:pPr>
    </w:p>
    <w:p w:rsidR="00F31E57" w:rsidRDefault="00F31E57" w:rsidP="00F31E57">
      <w:r>
        <w:t>&lt;ESMA_QUESTION_PRIIPs_96&gt;</w:t>
      </w:r>
    </w:p>
    <w:p w:rsidR="00F31E57" w:rsidRDefault="00F31E57" w:rsidP="00F31E57">
      <w:permStart w:id="1052529443" w:edGrp="everyone"/>
      <w:r>
        <w:t>TYPE YOUR TEXT HERE</w:t>
      </w:r>
    </w:p>
    <w:permEnd w:id="1052529443"/>
    <w:p w:rsidR="00F31E57" w:rsidRDefault="00F31E57" w:rsidP="00F31E57">
      <w:r>
        <w:t>&lt;ESMA_QUESTION_PRIIPs_96&gt;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rsidR="00F31E57" w:rsidRDefault="00F31E57" w:rsidP="00F31E57">
      <w:pPr>
        <w:rPr>
          <w:rFonts w:cstheme="minorBidi"/>
        </w:rPr>
      </w:pPr>
    </w:p>
    <w:p w:rsidR="00F31E57" w:rsidRDefault="00F31E57" w:rsidP="00F31E57">
      <w:r>
        <w:t>&lt;ESMA_QUESTION_PRIIPs_97&gt;</w:t>
      </w:r>
    </w:p>
    <w:p w:rsidR="00F31E57" w:rsidRDefault="00F31E57" w:rsidP="00F31E57">
      <w:permStart w:id="1783103780" w:edGrp="everyone"/>
      <w:r>
        <w:t>TYPE YOUR TEXT HERE</w:t>
      </w:r>
    </w:p>
    <w:permEnd w:id="1783103780"/>
    <w:p w:rsidR="00F31E57" w:rsidRDefault="00F31E57" w:rsidP="00F31E57">
      <w:r>
        <w:t>&lt;ESMA_QUESTION_PRIIPs_97&gt;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rsidR="00F31E57" w:rsidRDefault="00F31E57" w:rsidP="00F31E57">
      <w:pPr>
        <w:rPr>
          <w:rFonts w:cstheme="minorBidi"/>
        </w:rPr>
      </w:pPr>
    </w:p>
    <w:p w:rsidR="00F31E57" w:rsidRDefault="00F31E57" w:rsidP="00F31E57">
      <w:r>
        <w:t>&lt;ESMA_QUESTION_PRIIPs_98&gt;</w:t>
      </w:r>
    </w:p>
    <w:p w:rsidR="00F31E57" w:rsidRDefault="00F31E57" w:rsidP="00F31E57">
      <w:permStart w:id="13044392" w:edGrp="everyone"/>
      <w:r>
        <w:t>TYPE YOUR TEXT HERE</w:t>
      </w:r>
    </w:p>
    <w:permEnd w:id="13044392"/>
    <w:p w:rsidR="00F31E57" w:rsidRDefault="00F31E57" w:rsidP="00F31E57">
      <w:r>
        <w:t>&lt;ESMA_QUESTION_PRIIPs_98&gt;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rsidR="00F31E57" w:rsidRDefault="00F31E57" w:rsidP="00F31E57">
      <w:pPr>
        <w:rPr>
          <w:rFonts w:cstheme="minorBidi"/>
        </w:rPr>
      </w:pPr>
    </w:p>
    <w:p w:rsidR="00F31E57" w:rsidRDefault="00F31E57" w:rsidP="00F31E57">
      <w:r>
        <w:t>&lt;ESMA_QUESTION_PRIIPs_99&gt;</w:t>
      </w:r>
    </w:p>
    <w:p w:rsidR="00F31E57" w:rsidRDefault="00F31E57" w:rsidP="00F31E57">
      <w:permStart w:id="847973914" w:edGrp="everyone"/>
      <w:r>
        <w:t>TYPE YOUR TEXT HERE</w:t>
      </w:r>
    </w:p>
    <w:permEnd w:id="847973914"/>
    <w:p w:rsidR="00F31E57" w:rsidRDefault="00F31E57" w:rsidP="00F31E57">
      <w:r>
        <w:t>&lt;ESMA_QUESTION_PRIIPs_99&gt;</w:t>
      </w:r>
    </w:p>
    <w:p w:rsidR="00F31E57" w:rsidRDefault="00F31E57" w:rsidP="00F31E57"/>
    <w:p w:rsidR="00F32462" w:rsidRDefault="00F32462" w:rsidP="00F31E57">
      <w:pPr>
        <w:pStyle w:val="CPQuestions"/>
        <w:numPr>
          <w:ilvl w:val="0"/>
          <w:numId w:val="0"/>
        </w:numPr>
        <w:rPr>
          <w:rFonts w:cs="Arial"/>
          <w:b w:val="0"/>
          <w:szCs w:val="22"/>
        </w:rPr>
      </w:pPr>
    </w:p>
    <w:sectPr w:rsidR="00F32462"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EA0" w:rsidRDefault="002C4EA0">
      <w:r>
        <w:separator/>
      </w:r>
    </w:p>
    <w:p w:rsidR="002C4EA0" w:rsidRDefault="002C4EA0"/>
  </w:endnote>
  <w:endnote w:type="continuationSeparator" w:id="0">
    <w:p w:rsidR="002C4EA0" w:rsidRDefault="002C4EA0">
      <w:r>
        <w:continuationSeparator/>
      </w:r>
    </w:p>
    <w:p w:rsidR="002C4EA0" w:rsidRDefault="002C4EA0"/>
  </w:endnote>
  <w:endnote w:type="continuationNotice" w:id="1">
    <w:p w:rsidR="002C4EA0" w:rsidRDefault="002C4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C4EA0" w:rsidRPr="00616B9B" w:rsidTr="00315E96">
      <w:trPr>
        <w:trHeight w:val="284"/>
      </w:trPr>
      <w:tc>
        <w:tcPr>
          <w:tcW w:w="8460" w:type="dxa"/>
        </w:tcPr>
        <w:p w:rsidR="002C4EA0" w:rsidRPr="00315E96" w:rsidRDefault="002C4EA0" w:rsidP="00315E96">
          <w:pPr>
            <w:pStyle w:val="00Footer"/>
            <w:rPr>
              <w:lang w:val="fr-FR"/>
            </w:rPr>
          </w:pPr>
        </w:p>
      </w:tc>
      <w:tc>
        <w:tcPr>
          <w:tcW w:w="952" w:type="dxa"/>
        </w:tcPr>
        <w:p w:rsidR="002C4EA0" w:rsidRPr="00616B9B" w:rsidRDefault="002C4EA0"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1D7689">
            <w:rPr>
              <w:rFonts w:cs="Arial"/>
              <w:noProof/>
              <w:sz w:val="22"/>
              <w:szCs w:val="22"/>
            </w:rPr>
            <w:t>4</w:t>
          </w:r>
          <w:r w:rsidRPr="00616B9B">
            <w:rPr>
              <w:rFonts w:cs="Arial"/>
              <w:noProof/>
              <w:sz w:val="22"/>
              <w:szCs w:val="22"/>
            </w:rPr>
            <w:fldChar w:fldCharType="end"/>
          </w:r>
        </w:p>
      </w:tc>
    </w:tr>
  </w:tbl>
  <w:p w:rsidR="002C4EA0" w:rsidRDefault="002C4E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EA0" w:rsidRDefault="002C4E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EA0" w:rsidRDefault="002C4EA0">
      <w:r>
        <w:separator/>
      </w:r>
    </w:p>
    <w:p w:rsidR="002C4EA0" w:rsidRDefault="002C4EA0"/>
  </w:footnote>
  <w:footnote w:type="continuationSeparator" w:id="0">
    <w:p w:rsidR="002C4EA0" w:rsidRDefault="002C4EA0">
      <w:r>
        <w:continuationSeparator/>
      </w:r>
    </w:p>
    <w:p w:rsidR="002C4EA0" w:rsidRDefault="002C4EA0"/>
  </w:footnote>
  <w:footnote w:type="continuationNotice" w:id="1">
    <w:p w:rsidR="002C4EA0" w:rsidRDefault="002C4EA0"/>
  </w:footnote>
  <w:footnote w:id="2">
    <w:p w:rsidR="002C4EA0" w:rsidRPr="00554E48" w:rsidRDefault="002C4EA0" w:rsidP="007E2302">
      <w:pPr>
        <w:pStyle w:val="FootnoteText"/>
        <w:rPr>
          <w:szCs w:val="16"/>
        </w:rPr>
      </w:pPr>
      <w:r w:rsidRPr="00554E48">
        <w:rPr>
          <w:rStyle w:val="FootnoteReference"/>
          <w:szCs w:val="16"/>
        </w:rPr>
        <w:footnoteRef/>
      </w:r>
      <w:r w:rsidRPr="00554E48">
        <w:rPr>
          <w:szCs w:val="16"/>
        </w:rPr>
        <w:t xml:space="preserve"> See </w:t>
      </w:r>
      <w:hyperlink r:id="rId1" w:history="1">
        <w:r w:rsidRPr="00554E48">
          <w:rPr>
            <w:rStyle w:val="Hyperlink"/>
            <w:szCs w:val="16"/>
          </w:rPr>
          <w:t>https://eiopa.europa.eu/about-eiopa/legal-framework/public-access-to-documents/index.html</w:t>
        </w:r>
      </w:hyperlink>
      <w:r w:rsidRPr="00554E48">
        <w:rPr>
          <w:szCs w:val="16"/>
        </w:rPr>
        <w:t xml:space="preserve">. </w:t>
      </w:r>
    </w:p>
  </w:footnote>
  <w:footnote w:id="3">
    <w:p w:rsidR="002C4EA0" w:rsidRDefault="002C4EA0" w:rsidP="00F31E57">
      <w:pPr>
        <w:pStyle w:val="FootnoteText"/>
        <w:rPr>
          <w:szCs w:val="16"/>
        </w:rPr>
      </w:pPr>
      <w:r>
        <w:rPr>
          <w:rStyle w:val="FootnoteReference"/>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EA0" w:rsidRDefault="002C4EA0">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EA0" w:rsidRDefault="002C4EA0"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EA0" w:rsidRDefault="002C4EA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C4EA0" w:rsidRPr="002F4496" w:rsidTr="000C06C9">
      <w:trPr>
        <w:trHeight w:val="284"/>
      </w:trPr>
      <w:tc>
        <w:tcPr>
          <w:tcW w:w="8460" w:type="dxa"/>
        </w:tcPr>
        <w:p w:rsidR="002C4EA0" w:rsidRPr="000C3B6D" w:rsidRDefault="002C4EA0" w:rsidP="000C06C9">
          <w:pPr>
            <w:pStyle w:val="00Footer"/>
            <w:rPr>
              <w:lang w:val="fr-FR"/>
            </w:rPr>
          </w:pPr>
        </w:p>
      </w:tc>
      <w:tc>
        <w:tcPr>
          <w:tcW w:w="952" w:type="dxa"/>
        </w:tcPr>
        <w:p w:rsidR="002C4EA0" w:rsidRPr="00146B34" w:rsidRDefault="002C4EA0" w:rsidP="000C06C9">
          <w:pPr>
            <w:pStyle w:val="00aPagenumber"/>
            <w:rPr>
              <w:lang w:val="fr-FR"/>
            </w:rPr>
          </w:pPr>
        </w:p>
      </w:tc>
    </w:tr>
  </w:tbl>
  <w:p w:rsidR="002C4EA0" w:rsidRPr="00DB46C3" w:rsidRDefault="002C4EA0">
    <w:pPr>
      <w:rPr>
        <w:lang w:val="fr-FR"/>
      </w:rPr>
    </w:pPr>
  </w:p>
  <w:p w:rsidR="002C4EA0" w:rsidRPr="002F4496" w:rsidRDefault="002C4EA0">
    <w:pPr>
      <w:pStyle w:val="Header"/>
      <w:rPr>
        <w:lang w:val="fr-FR"/>
      </w:rPr>
    </w:pPr>
  </w:p>
  <w:p w:rsidR="002C4EA0" w:rsidRPr="002F4496" w:rsidRDefault="002C4EA0" w:rsidP="000C06C9">
    <w:pPr>
      <w:pStyle w:val="Header"/>
      <w:tabs>
        <w:tab w:val="clear" w:pos="4536"/>
        <w:tab w:val="clear" w:pos="9072"/>
        <w:tab w:val="left" w:pos="8227"/>
      </w:tabs>
      <w:rPr>
        <w:lang w:val="fr-FR"/>
      </w:rPr>
    </w:pPr>
  </w:p>
  <w:p w:rsidR="002C4EA0" w:rsidRPr="002F4496" w:rsidRDefault="002C4EA0" w:rsidP="000C06C9">
    <w:pPr>
      <w:pStyle w:val="Header"/>
      <w:tabs>
        <w:tab w:val="clear" w:pos="4536"/>
        <w:tab w:val="clear" w:pos="9072"/>
        <w:tab w:val="left" w:pos="8227"/>
      </w:tabs>
      <w:rPr>
        <w:lang w:val="fr-FR"/>
      </w:rPr>
    </w:pPr>
  </w:p>
  <w:p w:rsidR="002C4EA0" w:rsidRPr="002F4496" w:rsidRDefault="002C4EA0">
    <w:pPr>
      <w:pStyle w:val="Header"/>
      <w:rPr>
        <w:lang w:val="fr-FR"/>
      </w:rPr>
    </w:pPr>
  </w:p>
  <w:p w:rsidR="002C4EA0" w:rsidRPr="002F4496" w:rsidRDefault="002C4EA0">
    <w:pPr>
      <w:pStyle w:val="Header"/>
      <w:rPr>
        <w:lang w:val="fr-FR"/>
      </w:rPr>
    </w:pPr>
  </w:p>
  <w:p w:rsidR="002C4EA0" w:rsidRPr="002F4496" w:rsidRDefault="002C4EA0">
    <w:pPr>
      <w:pStyle w:val="Header"/>
      <w:rPr>
        <w:lang w:val="fr-FR"/>
      </w:rPr>
    </w:pPr>
  </w:p>
  <w:p w:rsidR="002C4EA0" w:rsidRPr="002F4496" w:rsidRDefault="002C4EA0">
    <w:pPr>
      <w:pStyle w:val="Header"/>
      <w:rPr>
        <w:lang w:val="fr-FR"/>
      </w:rPr>
    </w:pPr>
  </w:p>
  <w:p w:rsidR="002C4EA0" w:rsidRPr="002F4496" w:rsidRDefault="002C4EA0">
    <w:pPr>
      <w:pStyle w:val="Header"/>
      <w:rPr>
        <w:highlight w:val="yellow"/>
        <w:lang w:val="fr-FR"/>
      </w:rPr>
    </w:pPr>
  </w:p>
  <w:p w:rsidR="002C4EA0" w:rsidRDefault="002C4EA0">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9B870CF"/>
    <w:multiLevelType w:val="hybridMultilevel"/>
    <w:tmpl w:val="E61C6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2775E01"/>
    <w:multiLevelType w:val="hybridMultilevel"/>
    <w:tmpl w:val="11EA9E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4FD84769"/>
    <w:multiLevelType w:val="hybridMultilevel"/>
    <w:tmpl w:val="8CD4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nsid w:val="63C53666"/>
    <w:multiLevelType w:val="hybridMultilevel"/>
    <w:tmpl w:val="69CC3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5"/>
  </w:num>
  <w:num w:numId="5">
    <w:abstractNumId w:val="27"/>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3"/>
  </w:num>
  <w:num w:numId="15">
    <w:abstractNumId w:val="12"/>
  </w:num>
  <w:num w:numId="16">
    <w:abstractNumId w:val="1"/>
  </w:num>
  <w:num w:numId="17">
    <w:abstractNumId w:val="15"/>
  </w:num>
  <w:num w:numId="18">
    <w:abstractNumId w:val="16"/>
  </w:num>
  <w:num w:numId="19">
    <w:abstractNumId w:val="18"/>
  </w:num>
  <w:num w:numId="20">
    <w:abstractNumId w:val="28"/>
  </w:num>
  <w:num w:numId="21">
    <w:abstractNumId w:val="39"/>
  </w:num>
  <w:num w:numId="22">
    <w:abstractNumId w:val="26"/>
  </w:num>
  <w:num w:numId="23">
    <w:abstractNumId w:val="11"/>
  </w:num>
  <w:num w:numId="24">
    <w:abstractNumId w:val="32"/>
  </w:num>
  <w:num w:numId="25">
    <w:abstractNumId w:val="31"/>
  </w:num>
  <w:num w:numId="26">
    <w:abstractNumId w:val="20"/>
  </w:num>
  <w:num w:numId="27">
    <w:abstractNumId w:val="36"/>
  </w:num>
  <w:num w:numId="28">
    <w:abstractNumId w:val="41"/>
  </w:num>
  <w:num w:numId="29">
    <w:abstractNumId w:val="9"/>
  </w:num>
  <w:num w:numId="30">
    <w:abstractNumId w:val="3"/>
  </w:num>
  <w:num w:numId="31">
    <w:abstractNumId w:val="22"/>
  </w:num>
  <w:num w:numId="32">
    <w:abstractNumId w:val="2"/>
  </w:num>
  <w:num w:numId="33">
    <w:abstractNumId w:val="8"/>
  </w:num>
  <w:num w:numId="34">
    <w:abstractNumId w:val="21"/>
  </w:num>
  <w:num w:numId="35">
    <w:abstractNumId w:val="38"/>
  </w:num>
  <w:num w:numId="36">
    <w:abstractNumId w:val="38"/>
    <w:lvlOverride w:ilvl="0">
      <w:startOverride w:val="1"/>
    </w:lvlOverride>
  </w:num>
  <w:num w:numId="37">
    <w:abstractNumId w:val="38"/>
    <w:lvlOverride w:ilvl="0">
      <w:startOverride w:val="1"/>
    </w:lvlOverride>
  </w:num>
  <w:num w:numId="38">
    <w:abstractNumId w:val="38"/>
    <w:lvlOverride w:ilvl="0">
      <w:startOverride w:val="1"/>
    </w:lvlOverride>
  </w:num>
  <w:num w:numId="39">
    <w:abstractNumId w:val="38"/>
    <w:lvlOverride w:ilvl="0">
      <w:startOverride w:val="1"/>
    </w:lvlOverride>
  </w:num>
  <w:num w:numId="40">
    <w:abstractNumId w:val="38"/>
    <w:lvlOverride w:ilvl="0">
      <w:startOverride w:val="1"/>
    </w:lvlOverride>
  </w:num>
  <w:num w:numId="41">
    <w:abstractNumId w:val="38"/>
  </w:num>
  <w:num w:numId="42">
    <w:abstractNumId w:val="38"/>
    <w:lvlOverride w:ilvl="0">
      <w:startOverride w:val="1"/>
    </w:lvlOverride>
  </w:num>
  <w:num w:numId="43">
    <w:abstractNumId w:val="38"/>
    <w:lvlOverride w:ilvl="0">
      <w:startOverride w:val="1"/>
    </w:lvlOverride>
  </w:num>
  <w:num w:numId="44">
    <w:abstractNumId w:val="38"/>
    <w:lvlOverride w:ilvl="0">
      <w:startOverride w:val="1"/>
    </w:lvlOverride>
  </w:num>
  <w:num w:numId="45">
    <w:abstractNumId w:val="38"/>
    <w:lvlOverride w:ilvl="0">
      <w:startOverride w:val="1"/>
    </w:lvlOverride>
  </w:num>
  <w:num w:numId="46">
    <w:abstractNumId w:val="38"/>
    <w:lvlOverride w:ilvl="0">
      <w:startOverride w:val="1"/>
    </w:lvlOverride>
  </w:num>
  <w:num w:numId="47">
    <w:abstractNumId w:val="37"/>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lvlOverride w:ilvl="0">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5"/>
  </w:num>
  <w:num w:numId="52">
    <w:abstractNumId w:val="4"/>
  </w:num>
  <w:num w:numId="53">
    <w:abstractNumId w:val="7"/>
  </w:num>
  <w:num w:numId="54">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3686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A2D"/>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2FF"/>
    <w:rsid w:val="00060F72"/>
    <w:rsid w:val="00062592"/>
    <w:rsid w:val="000636A1"/>
    <w:rsid w:val="000649D9"/>
    <w:rsid w:val="000652BE"/>
    <w:rsid w:val="00066479"/>
    <w:rsid w:val="000671F2"/>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5CBC"/>
    <w:rsid w:val="0009665E"/>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49F6"/>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3C59"/>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27BF4"/>
    <w:rsid w:val="00130F41"/>
    <w:rsid w:val="00130FAF"/>
    <w:rsid w:val="0013562E"/>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2403"/>
    <w:rsid w:val="0016358A"/>
    <w:rsid w:val="001638D4"/>
    <w:rsid w:val="00164664"/>
    <w:rsid w:val="00164F15"/>
    <w:rsid w:val="001651A4"/>
    <w:rsid w:val="0016552B"/>
    <w:rsid w:val="00166B04"/>
    <w:rsid w:val="001670A6"/>
    <w:rsid w:val="00167F91"/>
    <w:rsid w:val="001701FA"/>
    <w:rsid w:val="00171183"/>
    <w:rsid w:val="001725A5"/>
    <w:rsid w:val="00172681"/>
    <w:rsid w:val="00173AC7"/>
    <w:rsid w:val="001745D7"/>
    <w:rsid w:val="001752FF"/>
    <w:rsid w:val="00175754"/>
    <w:rsid w:val="00176982"/>
    <w:rsid w:val="0017701C"/>
    <w:rsid w:val="00181264"/>
    <w:rsid w:val="00181BD1"/>
    <w:rsid w:val="00181D95"/>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18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B7B94"/>
    <w:rsid w:val="001C0344"/>
    <w:rsid w:val="001C0F2A"/>
    <w:rsid w:val="001C1A59"/>
    <w:rsid w:val="001C270F"/>
    <w:rsid w:val="001C4679"/>
    <w:rsid w:val="001C5770"/>
    <w:rsid w:val="001C6195"/>
    <w:rsid w:val="001D000A"/>
    <w:rsid w:val="001D04A7"/>
    <w:rsid w:val="001D0883"/>
    <w:rsid w:val="001D2205"/>
    <w:rsid w:val="001D3A1F"/>
    <w:rsid w:val="001D3FB6"/>
    <w:rsid w:val="001D4550"/>
    <w:rsid w:val="001D4EAE"/>
    <w:rsid w:val="001D5498"/>
    <w:rsid w:val="001D5BAF"/>
    <w:rsid w:val="001D5F55"/>
    <w:rsid w:val="001D63A2"/>
    <w:rsid w:val="001D6401"/>
    <w:rsid w:val="001D66C9"/>
    <w:rsid w:val="001D722A"/>
    <w:rsid w:val="001D7689"/>
    <w:rsid w:val="001E04FC"/>
    <w:rsid w:val="001E407D"/>
    <w:rsid w:val="001E40FB"/>
    <w:rsid w:val="001E4DF5"/>
    <w:rsid w:val="001E66EC"/>
    <w:rsid w:val="001E68C5"/>
    <w:rsid w:val="001F0F63"/>
    <w:rsid w:val="001F3996"/>
    <w:rsid w:val="001F44A4"/>
    <w:rsid w:val="001F464E"/>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5EDE"/>
    <w:rsid w:val="0023636A"/>
    <w:rsid w:val="00236F34"/>
    <w:rsid w:val="002372F7"/>
    <w:rsid w:val="00237E47"/>
    <w:rsid w:val="00240651"/>
    <w:rsid w:val="00240803"/>
    <w:rsid w:val="0024426D"/>
    <w:rsid w:val="00244F1D"/>
    <w:rsid w:val="00245004"/>
    <w:rsid w:val="0024548E"/>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495B"/>
    <w:rsid w:val="002C4EA0"/>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250B"/>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09B"/>
    <w:rsid w:val="00341B25"/>
    <w:rsid w:val="00341EC0"/>
    <w:rsid w:val="0034240C"/>
    <w:rsid w:val="003437DB"/>
    <w:rsid w:val="00344496"/>
    <w:rsid w:val="00345968"/>
    <w:rsid w:val="00347667"/>
    <w:rsid w:val="003503A5"/>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1B58"/>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4EA8"/>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8A8"/>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4CF"/>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6DEE"/>
    <w:rsid w:val="004B71C7"/>
    <w:rsid w:val="004C03AA"/>
    <w:rsid w:val="004C0B9A"/>
    <w:rsid w:val="004C14E7"/>
    <w:rsid w:val="004C1D89"/>
    <w:rsid w:val="004C2A94"/>
    <w:rsid w:val="004C3DAB"/>
    <w:rsid w:val="004C5766"/>
    <w:rsid w:val="004C5F54"/>
    <w:rsid w:val="004C62D3"/>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5BA0"/>
    <w:rsid w:val="004F5EA2"/>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9F"/>
    <w:rsid w:val="005532B5"/>
    <w:rsid w:val="00554A05"/>
    <w:rsid w:val="00555849"/>
    <w:rsid w:val="005559A8"/>
    <w:rsid w:val="00557048"/>
    <w:rsid w:val="00557FB5"/>
    <w:rsid w:val="00561AED"/>
    <w:rsid w:val="00562D0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15"/>
    <w:rsid w:val="00593133"/>
    <w:rsid w:val="0059350F"/>
    <w:rsid w:val="0059575D"/>
    <w:rsid w:val="00596825"/>
    <w:rsid w:val="00597E09"/>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1F94"/>
    <w:rsid w:val="005C24EF"/>
    <w:rsid w:val="005C2796"/>
    <w:rsid w:val="005C3C6C"/>
    <w:rsid w:val="005C3F4C"/>
    <w:rsid w:val="005C43AA"/>
    <w:rsid w:val="005C48C8"/>
    <w:rsid w:val="005C663C"/>
    <w:rsid w:val="005D040C"/>
    <w:rsid w:val="005D1023"/>
    <w:rsid w:val="005D148F"/>
    <w:rsid w:val="005D2AD2"/>
    <w:rsid w:val="005D4A86"/>
    <w:rsid w:val="005D5EB1"/>
    <w:rsid w:val="005D6A29"/>
    <w:rsid w:val="005E0481"/>
    <w:rsid w:val="005E10BF"/>
    <w:rsid w:val="005E1834"/>
    <w:rsid w:val="005E43E6"/>
    <w:rsid w:val="005E49E5"/>
    <w:rsid w:val="005E5481"/>
    <w:rsid w:val="005E55E4"/>
    <w:rsid w:val="005E6C5F"/>
    <w:rsid w:val="005E7636"/>
    <w:rsid w:val="005F028E"/>
    <w:rsid w:val="005F04B4"/>
    <w:rsid w:val="005F11A4"/>
    <w:rsid w:val="005F19F8"/>
    <w:rsid w:val="005F1D83"/>
    <w:rsid w:val="005F2B4B"/>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08B"/>
    <w:rsid w:val="00633433"/>
    <w:rsid w:val="006341B5"/>
    <w:rsid w:val="006346C9"/>
    <w:rsid w:val="00634727"/>
    <w:rsid w:val="00634B64"/>
    <w:rsid w:val="0063578C"/>
    <w:rsid w:val="00636134"/>
    <w:rsid w:val="0063642C"/>
    <w:rsid w:val="0063681E"/>
    <w:rsid w:val="00636FF9"/>
    <w:rsid w:val="00637F16"/>
    <w:rsid w:val="00640DCD"/>
    <w:rsid w:val="00641DC3"/>
    <w:rsid w:val="00642972"/>
    <w:rsid w:val="00644F4D"/>
    <w:rsid w:val="006469B1"/>
    <w:rsid w:val="00646C0D"/>
    <w:rsid w:val="006476F7"/>
    <w:rsid w:val="0064779E"/>
    <w:rsid w:val="006501FA"/>
    <w:rsid w:val="006509B0"/>
    <w:rsid w:val="00650F60"/>
    <w:rsid w:val="006521F3"/>
    <w:rsid w:val="006524D5"/>
    <w:rsid w:val="00652BBD"/>
    <w:rsid w:val="00653633"/>
    <w:rsid w:val="00653F69"/>
    <w:rsid w:val="00654936"/>
    <w:rsid w:val="00655485"/>
    <w:rsid w:val="006558B3"/>
    <w:rsid w:val="006565A7"/>
    <w:rsid w:val="00660BF0"/>
    <w:rsid w:val="0066189C"/>
    <w:rsid w:val="006630CF"/>
    <w:rsid w:val="00663EFF"/>
    <w:rsid w:val="00666F74"/>
    <w:rsid w:val="00667D54"/>
    <w:rsid w:val="00667FEA"/>
    <w:rsid w:val="006710D2"/>
    <w:rsid w:val="006713D7"/>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5E44"/>
    <w:rsid w:val="006861B3"/>
    <w:rsid w:val="00686FA2"/>
    <w:rsid w:val="006870C5"/>
    <w:rsid w:val="00690F0E"/>
    <w:rsid w:val="006911C0"/>
    <w:rsid w:val="00691B7C"/>
    <w:rsid w:val="00694B73"/>
    <w:rsid w:val="00694DF2"/>
    <w:rsid w:val="00695F80"/>
    <w:rsid w:val="006966CD"/>
    <w:rsid w:val="00696735"/>
    <w:rsid w:val="0069780E"/>
    <w:rsid w:val="00697D13"/>
    <w:rsid w:val="006A0D19"/>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5939"/>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551B"/>
    <w:rsid w:val="007065DE"/>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0126"/>
    <w:rsid w:val="0074228A"/>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0872"/>
    <w:rsid w:val="00771C3B"/>
    <w:rsid w:val="007726F9"/>
    <w:rsid w:val="00773B94"/>
    <w:rsid w:val="00773C65"/>
    <w:rsid w:val="00775937"/>
    <w:rsid w:val="00777046"/>
    <w:rsid w:val="007770DA"/>
    <w:rsid w:val="007805B9"/>
    <w:rsid w:val="00780C3A"/>
    <w:rsid w:val="0078250F"/>
    <w:rsid w:val="007834A1"/>
    <w:rsid w:val="00791EB4"/>
    <w:rsid w:val="007928F1"/>
    <w:rsid w:val="0079357D"/>
    <w:rsid w:val="007937CC"/>
    <w:rsid w:val="00793A31"/>
    <w:rsid w:val="00794979"/>
    <w:rsid w:val="007956B7"/>
    <w:rsid w:val="00795F1A"/>
    <w:rsid w:val="00796EDE"/>
    <w:rsid w:val="00797297"/>
    <w:rsid w:val="0079730A"/>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1990"/>
    <w:rsid w:val="007C49C0"/>
    <w:rsid w:val="007C55C1"/>
    <w:rsid w:val="007C5738"/>
    <w:rsid w:val="007C5772"/>
    <w:rsid w:val="007C5AC3"/>
    <w:rsid w:val="007C7233"/>
    <w:rsid w:val="007D10EE"/>
    <w:rsid w:val="007D1193"/>
    <w:rsid w:val="007D21D5"/>
    <w:rsid w:val="007D3E8D"/>
    <w:rsid w:val="007D5915"/>
    <w:rsid w:val="007D5B4F"/>
    <w:rsid w:val="007D5C30"/>
    <w:rsid w:val="007E02C2"/>
    <w:rsid w:val="007E0660"/>
    <w:rsid w:val="007E1411"/>
    <w:rsid w:val="007E1882"/>
    <w:rsid w:val="007E1BB4"/>
    <w:rsid w:val="007E2302"/>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D8C"/>
    <w:rsid w:val="00807F30"/>
    <w:rsid w:val="008103DC"/>
    <w:rsid w:val="00810C4B"/>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75"/>
    <w:rsid w:val="008477BF"/>
    <w:rsid w:val="008503DA"/>
    <w:rsid w:val="00850B68"/>
    <w:rsid w:val="00850E82"/>
    <w:rsid w:val="0085122D"/>
    <w:rsid w:val="008519E8"/>
    <w:rsid w:val="008525FF"/>
    <w:rsid w:val="00852C03"/>
    <w:rsid w:val="0085590C"/>
    <w:rsid w:val="008575EB"/>
    <w:rsid w:val="008623E0"/>
    <w:rsid w:val="00862DDD"/>
    <w:rsid w:val="0086326D"/>
    <w:rsid w:val="00863608"/>
    <w:rsid w:val="00863CC1"/>
    <w:rsid w:val="00865B01"/>
    <w:rsid w:val="00866D7A"/>
    <w:rsid w:val="00866EE3"/>
    <w:rsid w:val="00871F04"/>
    <w:rsid w:val="008746C1"/>
    <w:rsid w:val="008748D2"/>
    <w:rsid w:val="00880224"/>
    <w:rsid w:val="0088244C"/>
    <w:rsid w:val="00883367"/>
    <w:rsid w:val="008839CC"/>
    <w:rsid w:val="00884C47"/>
    <w:rsid w:val="00885E6F"/>
    <w:rsid w:val="008861AC"/>
    <w:rsid w:val="008868E4"/>
    <w:rsid w:val="00886A60"/>
    <w:rsid w:val="0088759B"/>
    <w:rsid w:val="008909B4"/>
    <w:rsid w:val="00891A39"/>
    <w:rsid w:val="008922E8"/>
    <w:rsid w:val="00893916"/>
    <w:rsid w:val="0089442C"/>
    <w:rsid w:val="00895818"/>
    <w:rsid w:val="00897094"/>
    <w:rsid w:val="008A2585"/>
    <w:rsid w:val="008A2718"/>
    <w:rsid w:val="008A4CF6"/>
    <w:rsid w:val="008A4E42"/>
    <w:rsid w:val="008A51AA"/>
    <w:rsid w:val="008A6A12"/>
    <w:rsid w:val="008B0DC6"/>
    <w:rsid w:val="008B2B9E"/>
    <w:rsid w:val="008B31F5"/>
    <w:rsid w:val="008B3EFF"/>
    <w:rsid w:val="008B4C79"/>
    <w:rsid w:val="008B5D2D"/>
    <w:rsid w:val="008B6361"/>
    <w:rsid w:val="008C0320"/>
    <w:rsid w:val="008C2A81"/>
    <w:rsid w:val="008C3863"/>
    <w:rsid w:val="008C4BDC"/>
    <w:rsid w:val="008C50FF"/>
    <w:rsid w:val="008C5435"/>
    <w:rsid w:val="008C6BD1"/>
    <w:rsid w:val="008D0AF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17E47"/>
    <w:rsid w:val="0092030E"/>
    <w:rsid w:val="0092077C"/>
    <w:rsid w:val="009217B1"/>
    <w:rsid w:val="00921A42"/>
    <w:rsid w:val="009223BB"/>
    <w:rsid w:val="00922491"/>
    <w:rsid w:val="00923BCF"/>
    <w:rsid w:val="00925AEC"/>
    <w:rsid w:val="0092751A"/>
    <w:rsid w:val="009305C4"/>
    <w:rsid w:val="00931FAF"/>
    <w:rsid w:val="009360F6"/>
    <w:rsid w:val="009371DC"/>
    <w:rsid w:val="0093759D"/>
    <w:rsid w:val="00940239"/>
    <w:rsid w:val="00941F16"/>
    <w:rsid w:val="00942BD6"/>
    <w:rsid w:val="00942DED"/>
    <w:rsid w:val="009436AE"/>
    <w:rsid w:val="00944404"/>
    <w:rsid w:val="009452D7"/>
    <w:rsid w:val="00945FD1"/>
    <w:rsid w:val="00946CCC"/>
    <w:rsid w:val="009503E5"/>
    <w:rsid w:val="00950F71"/>
    <w:rsid w:val="00952F2C"/>
    <w:rsid w:val="009532E3"/>
    <w:rsid w:val="00953615"/>
    <w:rsid w:val="00954BAF"/>
    <w:rsid w:val="00954BDD"/>
    <w:rsid w:val="00955F48"/>
    <w:rsid w:val="00956011"/>
    <w:rsid w:val="009560B3"/>
    <w:rsid w:val="0095745E"/>
    <w:rsid w:val="0095775A"/>
    <w:rsid w:val="00957CE0"/>
    <w:rsid w:val="0096002E"/>
    <w:rsid w:val="0096039E"/>
    <w:rsid w:val="00962CEF"/>
    <w:rsid w:val="00963766"/>
    <w:rsid w:val="00963FDF"/>
    <w:rsid w:val="00964C32"/>
    <w:rsid w:val="00964CF5"/>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02D"/>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24"/>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3A65"/>
    <w:rsid w:val="009E48F5"/>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38C9"/>
    <w:rsid w:val="00A04685"/>
    <w:rsid w:val="00A04C57"/>
    <w:rsid w:val="00A05E9B"/>
    <w:rsid w:val="00A06340"/>
    <w:rsid w:val="00A0677D"/>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0EE5"/>
    <w:rsid w:val="00A61009"/>
    <w:rsid w:val="00A61762"/>
    <w:rsid w:val="00A61938"/>
    <w:rsid w:val="00A61CFD"/>
    <w:rsid w:val="00A62B86"/>
    <w:rsid w:val="00A63C96"/>
    <w:rsid w:val="00A65805"/>
    <w:rsid w:val="00A66BEE"/>
    <w:rsid w:val="00A671C9"/>
    <w:rsid w:val="00A67DFD"/>
    <w:rsid w:val="00A70C45"/>
    <w:rsid w:val="00A74F9F"/>
    <w:rsid w:val="00A750B3"/>
    <w:rsid w:val="00A75559"/>
    <w:rsid w:val="00A7623D"/>
    <w:rsid w:val="00A824A7"/>
    <w:rsid w:val="00A83644"/>
    <w:rsid w:val="00A83C07"/>
    <w:rsid w:val="00A83F40"/>
    <w:rsid w:val="00A84945"/>
    <w:rsid w:val="00A85543"/>
    <w:rsid w:val="00A86942"/>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1BEA"/>
    <w:rsid w:val="00AB2AEC"/>
    <w:rsid w:val="00AB2DC1"/>
    <w:rsid w:val="00AB3102"/>
    <w:rsid w:val="00AB3D9A"/>
    <w:rsid w:val="00AB4B1D"/>
    <w:rsid w:val="00AB4F06"/>
    <w:rsid w:val="00AB6B5E"/>
    <w:rsid w:val="00AC047F"/>
    <w:rsid w:val="00AC3934"/>
    <w:rsid w:val="00AC468B"/>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37C92"/>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47B"/>
    <w:rsid w:val="00B55640"/>
    <w:rsid w:val="00B57107"/>
    <w:rsid w:val="00B60D27"/>
    <w:rsid w:val="00B61972"/>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1F56"/>
    <w:rsid w:val="00BA24F8"/>
    <w:rsid w:val="00BA31AA"/>
    <w:rsid w:val="00BA45D8"/>
    <w:rsid w:val="00BA5828"/>
    <w:rsid w:val="00BA64B3"/>
    <w:rsid w:val="00BA754A"/>
    <w:rsid w:val="00BA7820"/>
    <w:rsid w:val="00BA794C"/>
    <w:rsid w:val="00BB09FB"/>
    <w:rsid w:val="00BB0BD4"/>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557C"/>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DA2"/>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708"/>
    <w:rsid w:val="00CA7988"/>
    <w:rsid w:val="00CA7BA2"/>
    <w:rsid w:val="00CB0B78"/>
    <w:rsid w:val="00CB12A5"/>
    <w:rsid w:val="00CB17FA"/>
    <w:rsid w:val="00CB23D8"/>
    <w:rsid w:val="00CB2ED9"/>
    <w:rsid w:val="00CB30CD"/>
    <w:rsid w:val="00CB36A5"/>
    <w:rsid w:val="00CB56B4"/>
    <w:rsid w:val="00CB7286"/>
    <w:rsid w:val="00CB7947"/>
    <w:rsid w:val="00CC1783"/>
    <w:rsid w:val="00CC2EFD"/>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389"/>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20A"/>
    <w:rsid w:val="00D54050"/>
    <w:rsid w:val="00D56AC0"/>
    <w:rsid w:val="00D574CE"/>
    <w:rsid w:val="00D6081B"/>
    <w:rsid w:val="00D6240A"/>
    <w:rsid w:val="00D63093"/>
    <w:rsid w:val="00D63599"/>
    <w:rsid w:val="00D63EBD"/>
    <w:rsid w:val="00D67101"/>
    <w:rsid w:val="00D71B45"/>
    <w:rsid w:val="00D71F8A"/>
    <w:rsid w:val="00D75603"/>
    <w:rsid w:val="00D75FEE"/>
    <w:rsid w:val="00D76933"/>
    <w:rsid w:val="00D76D88"/>
    <w:rsid w:val="00D77CC9"/>
    <w:rsid w:val="00D80A59"/>
    <w:rsid w:val="00D83D4B"/>
    <w:rsid w:val="00D871C6"/>
    <w:rsid w:val="00D91010"/>
    <w:rsid w:val="00D9479F"/>
    <w:rsid w:val="00DA0FA7"/>
    <w:rsid w:val="00DA12B0"/>
    <w:rsid w:val="00DA2BA0"/>
    <w:rsid w:val="00DA37E5"/>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C7EE2"/>
    <w:rsid w:val="00DD0641"/>
    <w:rsid w:val="00DD2D92"/>
    <w:rsid w:val="00DD3026"/>
    <w:rsid w:val="00DD33DC"/>
    <w:rsid w:val="00DD3BB0"/>
    <w:rsid w:val="00DD61F5"/>
    <w:rsid w:val="00DD6B4D"/>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52D"/>
    <w:rsid w:val="00E22668"/>
    <w:rsid w:val="00E227D3"/>
    <w:rsid w:val="00E22BFF"/>
    <w:rsid w:val="00E22CB0"/>
    <w:rsid w:val="00E23798"/>
    <w:rsid w:val="00E2585D"/>
    <w:rsid w:val="00E25DBD"/>
    <w:rsid w:val="00E25FA2"/>
    <w:rsid w:val="00E2723D"/>
    <w:rsid w:val="00E27C77"/>
    <w:rsid w:val="00E3179E"/>
    <w:rsid w:val="00E32AC9"/>
    <w:rsid w:val="00E3400D"/>
    <w:rsid w:val="00E354DA"/>
    <w:rsid w:val="00E354F5"/>
    <w:rsid w:val="00E3687E"/>
    <w:rsid w:val="00E40974"/>
    <w:rsid w:val="00E40AAB"/>
    <w:rsid w:val="00E41205"/>
    <w:rsid w:val="00E41F32"/>
    <w:rsid w:val="00E42608"/>
    <w:rsid w:val="00E43536"/>
    <w:rsid w:val="00E43DA3"/>
    <w:rsid w:val="00E44B80"/>
    <w:rsid w:val="00E47430"/>
    <w:rsid w:val="00E475F8"/>
    <w:rsid w:val="00E50FB7"/>
    <w:rsid w:val="00E5199F"/>
    <w:rsid w:val="00E526DF"/>
    <w:rsid w:val="00E53C15"/>
    <w:rsid w:val="00E54EE6"/>
    <w:rsid w:val="00E56715"/>
    <w:rsid w:val="00E56C2C"/>
    <w:rsid w:val="00E57F8E"/>
    <w:rsid w:val="00E60F3F"/>
    <w:rsid w:val="00E611C8"/>
    <w:rsid w:val="00E6344A"/>
    <w:rsid w:val="00E63BC6"/>
    <w:rsid w:val="00E64E69"/>
    <w:rsid w:val="00E64FB7"/>
    <w:rsid w:val="00E669A1"/>
    <w:rsid w:val="00E679BA"/>
    <w:rsid w:val="00E70243"/>
    <w:rsid w:val="00E709FC"/>
    <w:rsid w:val="00E72CC6"/>
    <w:rsid w:val="00E73D44"/>
    <w:rsid w:val="00E7494A"/>
    <w:rsid w:val="00E74BE2"/>
    <w:rsid w:val="00E74C66"/>
    <w:rsid w:val="00E75933"/>
    <w:rsid w:val="00E77A1B"/>
    <w:rsid w:val="00E77DE2"/>
    <w:rsid w:val="00E808BE"/>
    <w:rsid w:val="00E81E36"/>
    <w:rsid w:val="00E81E40"/>
    <w:rsid w:val="00E82ECE"/>
    <w:rsid w:val="00E8713B"/>
    <w:rsid w:val="00E90C61"/>
    <w:rsid w:val="00E92A82"/>
    <w:rsid w:val="00E92AA8"/>
    <w:rsid w:val="00E9344E"/>
    <w:rsid w:val="00E93E39"/>
    <w:rsid w:val="00E94391"/>
    <w:rsid w:val="00E95B9A"/>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C7"/>
    <w:rsid w:val="00EC3CB4"/>
    <w:rsid w:val="00EC443E"/>
    <w:rsid w:val="00EC4D83"/>
    <w:rsid w:val="00EC4EEE"/>
    <w:rsid w:val="00EC634F"/>
    <w:rsid w:val="00EC7B97"/>
    <w:rsid w:val="00ED049C"/>
    <w:rsid w:val="00ED07B7"/>
    <w:rsid w:val="00ED1517"/>
    <w:rsid w:val="00ED19D7"/>
    <w:rsid w:val="00ED2167"/>
    <w:rsid w:val="00ED351E"/>
    <w:rsid w:val="00ED4B27"/>
    <w:rsid w:val="00ED543C"/>
    <w:rsid w:val="00ED6BA4"/>
    <w:rsid w:val="00ED7DA7"/>
    <w:rsid w:val="00ED7EC5"/>
    <w:rsid w:val="00EE0598"/>
    <w:rsid w:val="00EE311C"/>
    <w:rsid w:val="00EE56FF"/>
    <w:rsid w:val="00EE5886"/>
    <w:rsid w:val="00EE5FBF"/>
    <w:rsid w:val="00EE6472"/>
    <w:rsid w:val="00EE76F2"/>
    <w:rsid w:val="00EF0769"/>
    <w:rsid w:val="00EF0D7C"/>
    <w:rsid w:val="00EF2E46"/>
    <w:rsid w:val="00EF40E2"/>
    <w:rsid w:val="00EF61C1"/>
    <w:rsid w:val="00EF6E68"/>
    <w:rsid w:val="00EF76DB"/>
    <w:rsid w:val="00F005FD"/>
    <w:rsid w:val="00F02C04"/>
    <w:rsid w:val="00F0363C"/>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7AE"/>
    <w:rsid w:val="00F42DBC"/>
    <w:rsid w:val="00F4308D"/>
    <w:rsid w:val="00F44012"/>
    <w:rsid w:val="00F44947"/>
    <w:rsid w:val="00F4584E"/>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2191"/>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2988"/>
    <w:rsid w:val="00FA5535"/>
    <w:rsid w:val="00FA7206"/>
    <w:rsid w:val="00FA7EFB"/>
    <w:rsid w:val="00FB0816"/>
    <w:rsid w:val="00FB08C2"/>
    <w:rsid w:val="00FB3DD1"/>
    <w:rsid w:val="00FB51FD"/>
    <w:rsid w:val="00FB5667"/>
    <w:rsid w:val="00FB621A"/>
    <w:rsid w:val="00FB7A97"/>
    <w:rsid w:val="00FC1B9B"/>
    <w:rsid w:val="00FC318D"/>
    <w:rsid w:val="00FC36CF"/>
    <w:rsid w:val="00FC40BC"/>
    <w:rsid w:val="00FC41FC"/>
    <w:rsid w:val="00FC4F6E"/>
    <w:rsid w:val="00FC506C"/>
    <w:rsid w:val="00FC578C"/>
    <w:rsid w:val="00FC5A37"/>
    <w:rsid w:val="00FC7841"/>
    <w:rsid w:val="00FD13EA"/>
    <w:rsid w:val="00FD5EC4"/>
    <w:rsid w:val="00FD7858"/>
    <w:rsid w:val="00FD7A8D"/>
    <w:rsid w:val="00FE1330"/>
    <w:rsid w:val="00FE1CE5"/>
    <w:rsid w:val="00FE2832"/>
    <w:rsid w:val="00FE2D38"/>
    <w:rsid w:val="00FE3929"/>
    <w:rsid w:val="00FE45F1"/>
    <w:rsid w:val="00FF097B"/>
    <w:rsid w:val="00FF0B6E"/>
    <w:rsid w:val="00FF1C1B"/>
    <w:rsid w:val="00FF2067"/>
    <w:rsid w:val="00FF3BC4"/>
    <w:rsid w:val="00FF4B66"/>
    <w:rsid w:val="00FF688E"/>
    <w:rsid w:val="00FF7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5A020-1780-4ACE-A237-62C6FB653338}">
  <ds:schemaRefs>
    <ds:schemaRef ds:uri="http://schemas.openxmlformats.org/officeDocument/2006/bibliography"/>
  </ds:schemaRefs>
</ds:datastoreItem>
</file>

<file path=customXml/itemProps2.xml><?xml version="1.0" encoding="utf-8"?>
<ds:datastoreItem xmlns:ds="http://schemas.openxmlformats.org/officeDocument/2006/customXml" ds:itemID="{622A42EF-139F-43F5-AAFE-D08AD13F6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8875</Words>
  <Characters>48673</Characters>
  <Application>Microsoft Office Word</Application>
  <DocSecurity>8</DocSecurity>
  <Lines>405</Lines>
  <Paragraphs>114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57434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Joseph Eyre</cp:lastModifiedBy>
  <cp:revision>5</cp:revision>
  <cp:lastPrinted>2015-08-12T11:11:00Z</cp:lastPrinted>
  <dcterms:created xsi:type="dcterms:W3CDTF">2015-08-12T11:15:00Z</dcterms:created>
  <dcterms:modified xsi:type="dcterms:W3CDTF">2015-08-13T15:03:00Z</dcterms:modified>
</cp:coreProperties>
</file>