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E73" w:rsidRPr="000D0ED5" w:rsidRDefault="00BC2E73" w:rsidP="00BC2E73">
      <w:pPr>
        <w:pStyle w:val="Addressee"/>
        <w:rPr>
          <w:rFonts w:asciiTheme="minorHAnsi" w:hAnsiTheme="minorHAnsi" w:cs="Arial"/>
          <w:sz w:val="22"/>
          <w:szCs w:val="22"/>
        </w:rPr>
      </w:pPr>
      <w:r w:rsidRPr="002005C5">
        <w:rPr>
          <w:rFonts w:asciiTheme="minorHAnsi" w:hAnsiTheme="minorHAnsi" w:cs="Arial"/>
          <w:sz w:val="22"/>
          <w:szCs w:val="22"/>
        </w:rPr>
        <w:tab/>
      </w:r>
      <w:r w:rsidR="002005C5">
        <w:rPr>
          <w:rFonts w:asciiTheme="minorHAnsi" w:hAnsiTheme="minorHAnsi" w:cs="Arial"/>
          <w:sz w:val="22"/>
          <w:szCs w:val="22"/>
        </w:rPr>
        <w:t>19 March 2012</w:t>
      </w:r>
    </w:p>
    <w:p w:rsidR="00BC2E73" w:rsidRPr="002005C5" w:rsidRDefault="00BC2E73" w:rsidP="00BC2E73">
      <w:pPr>
        <w:pStyle w:val="BodyText"/>
        <w:rPr>
          <w:rFonts w:asciiTheme="minorHAnsi" w:hAnsiTheme="minorHAnsi"/>
          <w:sz w:val="22"/>
          <w:szCs w:val="22"/>
        </w:rPr>
      </w:pPr>
    </w:p>
    <w:p w:rsidR="00BC2E73" w:rsidRPr="002005C5" w:rsidRDefault="002005C5" w:rsidP="00BC2E73">
      <w:pPr>
        <w:pStyle w:val="BodyText"/>
        <w:rPr>
          <w:rFonts w:asciiTheme="minorHAnsi" w:hAnsiTheme="minorHAnsi"/>
          <w:b/>
          <w:sz w:val="22"/>
          <w:szCs w:val="22"/>
        </w:rPr>
      </w:pPr>
      <w:r w:rsidRPr="002005C5">
        <w:rPr>
          <w:rFonts w:asciiTheme="minorHAnsi" w:hAnsiTheme="minorHAnsi"/>
          <w:b/>
          <w:sz w:val="22"/>
          <w:szCs w:val="22"/>
        </w:rPr>
        <w:t>ESMA Discussion Paper: Draft Technical Standards for the Regulation on OTC Derivatives, CCPs and Trade Repositories</w:t>
      </w:r>
    </w:p>
    <w:p w:rsidR="00BC2E73" w:rsidRPr="002005C5" w:rsidRDefault="00BC2E73" w:rsidP="00BC2E73">
      <w:pPr>
        <w:pStyle w:val="BodyText"/>
        <w:rPr>
          <w:rFonts w:asciiTheme="minorHAnsi" w:hAnsiTheme="minorHAnsi"/>
          <w:sz w:val="22"/>
          <w:szCs w:val="22"/>
        </w:rPr>
      </w:pPr>
    </w:p>
    <w:p w:rsidR="002005C5" w:rsidRDefault="002005C5" w:rsidP="00BC2E73">
      <w:pPr>
        <w:pStyle w:val="BodyText"/>
        <w:rPr>
          <w:rFonts w:asciiTheme="minorHAnsi" w:hAnsiTheme="minorHAnsi"/>
          <w:sz w:val="22"/>
          <w:szCs w:val="22"/>
        </w:rPr>
      </w:pPr>
      <w:r w:rsidRPr="002005C5">
        <w:rPr>
          <w:rFonts w:asciiTheme="minorHAnsi" w:hAnsiTheme="minorHAnsi"/>
          <w:sz w:val="22"/>
          <w:szCs w:val="22"/>
        </w:rPr>
        <w:t>EDF Trading</w:t>
      </w:r>
      <w:r w:rsidR="007C794E">
        <w:rPr>
          <w:rFonts w:asciiTheme="minorHAnsi" w:hAnsiTheme="minorHAnsi"/>
          <w:sz w:val="22"/>
          <w:szCs w:val="22"/>
        </w:rPr>
        <w:t xml:space="preserve"> (EDFT)</w:t>
      </w:r>
      <w:r w:rsidRPr="002005C5">
        <w:rPr>
          <w:rFonts w:asciiTheme="minorHAnsi" w:hAnsiTheme="minorHAnsi"/>
          <w:sz w:val="22"/>
          <w:szCs w:val="22"/>
        </w:rPr>
        <w:t xml:space="preserve"> welcomes the opportunity to comments on ESMA’s discussion paper on Draft Technical Standards for the Regulation on OTC Derivatives, CCPs and Trade Repositories.  Our key points are set out below</w:t>
      </w:r>
      <w:r w:rsidR="00795C9F">
        <w:rPr>
          <w:rFonts w:asciiTheme="minorHAnsi" w:hAnsiTheme="minorHAnsi"/>
          <w:sz w:val="22"/>
          <w:szCs w:val="22"/>
        </w:rPr>
        <w:t xml:space="preserve">: </w:t>
      </w:r>
      <w:r w:rsidRPr="002005C5">
        <w:rPr>
          <w:rFonts w:asciiTheme="minorHAnsi" w:hAnsiTheme="minorHAnsi"/>
          <w:sz w:val="22"/>
          <w:szCs w:val="22"/>
        </w:rPr>
        <w:t xml:space="preserve"> </w:t>
      </w:r>
    </w:p>
    <w:p w:rsidR="00795C9F" w:rsidRPr="002005C5" w:rsidRDefault="00795C9F" w:rsidP="00BC2E73">
      <w:pPr>
        <w:pStyle w:val="BodyText"/>
        <w:rPr>
          <w:rFonts w:asciiTheme="minorHAnsi" w:hAnsiTheme="minorHAnsi"/>
          <w:sz w:val="22"/>
          <w:szCs w:val="22"/>
        </w:rPr>
      </w:pPr>
    </w:p>
    <w:p w:rsidR="00BC2E73" w:rsidRDefault="00E840E6" w:rsidP="002005C5">
      <w:pPr>
        <w:pStyle w:val="BodyText"/>
        <w:numPr>
          <w:ilvl w:val="0"/>
          <w:numId w:val="12"/>
        </w:numPr>
        <w:rPr>
          <w:rFonts w:asciiTheme="minorHAnsi" w:hAnsiTheme="minorHAnsi"/>
          <w:sz w:val="22"/>
          <w:szCs w:val="22"/>
        </w:rPr>
      </w:pPr>
      <w:r>
        <w:rPr>
          <w:rFonts w:asciiTheme="minorHAnsi" w:hAnsiTheme="minorHAnsi"/>
          <w:sz w:val="22"/>
          <w:szCs w:val="22"/>
        </w:rPr>
        <w:t>t</w:t>
      </w:r>
      <w:r w:rsidR="00FD166F">
        <w:rPr>
          <w:rFonts w:asciiTheme="minorHAnsi" w:hAnsiTheme="minorHAnsi"/>
          <w:sz w:val="22"/>
          <w:szCs w:val="22"/>
        </w:rPr>
        <w:t>h</w:t>
      </w:r>
      <w:r>
        <w:rPr>
          <w:rFonts w:asciiTheme="minorHAnsi" w:hAnsiTheme="minorHAnsi"/>
          <w:sz w:val="22"/>
          <w:szCs w:val="22"/>
        </w:rPr>
        <w:t xml:space="preserve">e proposed definition of transactions that objectively reduce commercial or treasury risk </w:t>
      </w:r>
      <w:r w:rsidR="00FD166F">
        <w:rPr>
          <w:rFonts w:asciiTheme="minorHAnsi" w:hAnsiTheme="minorHAnsi"/>
          <w:sz w:val="22"/>
          <w:szCs w:val="22"/>
        </w:rPr>
        <w:t>is</w:t>
      </w:r>
      <w:r>
        <w:rPr>
          <w:rFonts w:asciiTheme="minorHAnsi" w:hAnsiTheme="minorHAnsi"/>
          <w:sz w:val="22"/>
          <w:szCs w:val="22"/>
        </w:rPr>
        <w:t xml:space="preserve"> a useful starting point.  However, it is important to make clear that the definition covers anticipatory hedging of future risk and commercial activities (i.e. it is not</w:t>
      </w:r>
      <w:r w:rsidR="00795C9F">
        <w:rPr>
          <w:rFonts w:asciiTheme="minorHAnsi" w:hAnsiTheme="minorHAnsi"/>
          <w:sz w:val="22"/>
          <w:szCs w:val="22"/>
        </w:rPr>
        <w:t xml:space="preserve"> related to</w:t>
      </w:r>
      <w:r>
        <w:rPr>
          <w:rFonts w:asciiTheme="minorHAnsi" w:hAnsiTheme="minorHAnsi"/>
          <w:sz w:val="22"/>
          <w:szCs w:val="22"/>
        </w:rPr>
        <w:t xml:space="preserve"> risk</w:t>
      </w:r>
      <w:r w:rsidR="00795C9F">
        <w:rPr>
          <w:rFonts w:asciiTheme="minorHAnsi" w:hAnsiTheme="minorHAnsi"/>
          <w:sz w:val="22"/>
          <w:szCs w:val="22"/>
        </w:rPr>
        <w:t>s</w:t>
      </w:r>
      <w:r>
        <w:rPr>
          <w:rFonts w:asciiTheme="minorHAnsi" w:hAnsiTheme="minorHAnsi"/>
          <w:sz w:val="22"/>
          <w:szCs w:val="22"/>
        </w:rPr>
        <w:t xml:space="preserve"> that have</w:t>
      </w:r>
      <w:r w:rsidR="00795C9F">
        <w:rPr>
          <w:rFonts w:asciiTheme="minorHAnsi" w:hAnsiTheme="minorHAnsi"/>
          <w:sz w:val="22"/>
          <w:szCs w:val="22"/>
        </w:rPr>
        <w:t xml:space="preserve"> already</w:t>
      </w:r>
      <w:r>
        <w:rPr>
          <w:rFonts w:asciiTheme="minorHAnsi" w:hAnsiTheme="minorHAnsi"/>
          <w:sz w:val="22"/>
          <w:szCs w:val="22"/>
        </w:rPr>
        <w:t xml:space="preserve"> crystallised).  Firms should  also</w:t>
      </w:r>
      <w:r w:rsidR="00FD166F">
        <w:rPr>
          <w:rFonts w:asciiTheme="minorHAnsi" w:hAnsiTheme="minorHAnsi"/>
          <w:sz w:val="22"/>
          <w:szCs w:val="22"/>
        </w:rPr>
        <w:t xml:space="preserve"> </w:t>
      </w:r>
      <w:r>
        <w:rPr>
          <w:rFonts w:asciiTheme="minorHAnsi" w:hAnsiTheme="minorHAnsi"/>
          <w:sz w:val="22"/>
          <w:szCs w:val="22"/>
        </w:rPr>
        <w:t>retain flexibility in how they impleme</w:t>
      </w:r>
      <w:r w:rsidR="007C794E">
        <w:rPr>
          <w:rFonts w:asciiTheme="minorHAnsi" w:hAnsiTheme="minorHAnsi"/>
          <w:sz w:val="22"/>
          <w:szCs w:val="22"/>
        </w:rPr>
        <w:t xml:space="preserve">nt the definition within their </w:t>
      </w:r>
      <w:r>
        <w:rPr>
          <w:rFonts w:asciiTheme="minorHAnsi" w:hAnsiTheme="minorHAnsi"/>
          <w:sz w:val="22"/>
          <w:szCs w:val="22"/>
        </w:rPr>
        <w:t xml:space="preserve">systems and processes </w:t>
      </w:r>
      <w:r w:rsidR="00FD166F">
        <w:rPr>
          <w:rFonts w:asciiTheme="minorHAnsi" w:hAnsiTheme="minorHAnsi"/>
          <w:sz w:val="22"/>
          <w:szCs w:val="22"/>
        </w:rPr>
        <w:t>as the approach may differ dep</w:t>
      </w:r>
      <w:r>
        <w:rPr>
          <w:rFonts w:asciiTheme="minorHAnsi" w:hAnsiTheme="minorHAnsi"/>
          <w:sz w:val="22"/>
          <w:szCs w:val="22"/>
        </w:rPr>
        <w:t>ending on internal organisational and trading arrangements;</w:t>
      </w:r>
    </w:p>
    <w:p w:rsidR="00E840E6" w:rsidRDefault="00E840E6" w:rsidP="00E840E6">
      <w:pPr>
        <w:pStyle w:val="BodyText"/>
        <w:ind w:left="765"/>
        <w:rPr>
          <w:rFonts w:asciiTheme="minorHAnsi" w:hAnsiTheme="minorHAnsi"/>
          <w:sz w:val="22"/>
          <w:szCs w:val="22"/>
        </w:rPr>
      </w:pPr>
    </w:p>
    <w:p w:rsidR="00333F80" w:rsidRDefault="00333F80" w:rsidP="00FD166F">
      <w:pPr>
        <w:pStyle w:val="BodyText"/>
        <w:numPr>
          <w:ilvl w:val="0"/>
          <w:numId w:val="12"/>
        </w:numPr>
        <w:rPr>
          <w:rFonts w:asciiTheme="minorHAnsi" w:hAnsiTheme="minorHAnsi"/>
          <w:sz w:val="22"/>
          <w:szCs w:val="22"/>
        </w:rPr>
      </w:pPr>
      <w:r>
        <w:rPr>
          <w:rFonts w:asciiTheme="minorHAnsi" w:hAnsiTheme="minorHAnsi"/>
          <w:sz w:val="22"/>
          <w:szCs w:val="22"/>
        </w:rPr>
        <w:t>on the clearing threshold:</w:t>
      </w:r>
    </w:p>
    <w:p w:rsidR="00333F80" w:rsidRDefault="00333F80" w:rsidP="00333F80">
      <w:pPr>
        <w:pStyle w:val="ListParagraph"/>
        <w:rPr>
          <w:rFonts w:asciiTheme="minorHAnsi" w:hAnsiTheme="minorHAnsi"/>
          <w:sz w:val="22"/>
          <w:szCs w:val="22"/>
        </w:rPr>
      </w:pPr>
    </w:p>
    <w:p w:rsidR="00333F80" w:rsidRDefault="00333F80" w:rsidP="00333F80">
      <w:pPr>
        <w:pStyle w:val="BodyText"/>
        <w:numPr>
          <w:ilvl w:val="1"/>
          <w:numId w:val="12"/>
        </w:numPr>
        <w:rPr>
          <w:rFonts w:asciiTheme="minorHAnsi" w:hAnsiTheme="minorHAnsi"/>
          <w:sz w:val="22"/>
          <w:szCs w:val="22"/>
        </w:rPr>
      </w:pPr>
      <w:r>
        <w:rPr>
          <w:rFonts w:asciiTheme="minorHAnsi" w:hAnsiTheme="minorHAnsi"/>
          <w:sz w:val="22"/>
          <w:szCs w:val="22"/>
        </w:rPr>
        <w:t xml:space="preserve">we agree </w:t>
      </w:r>
      <w:r w:rsidR="00D3606B">
        <w:rPr>
          <w:rFonts w:asciiTheme="minorHAnsi" w:hAnsiTheme="minorHAnsi"/>
          <w:sz w:val="22"/>
          <w:szCs w:val="22"/>
        </w:rPr>
        <w:t xml:space="preserve">that </w:t>
      </w:r>
      <w:r>
        <w:rPr>
          <w:rFonts w:asciiTheme="minorHAnsi" w:hAnsiTheme="minorHAnsi"/>
          <w:sz w:val="22"/>
          <w:szCs w:val="22"/>
        </w:rPr>
        <w:t xml:space="preserve">the clearing </w:t>
      </w:r>
      <w:r w:rsidR="00E840E6">
        <w:rPr>
          <w:rFonts w:asciiTheme="minorHAnsi" w:hAnsiTheme="minorHAnsi"/>
          <w:sz w:val="22"/>
          <w:szCs w:val="22"/>
        </w:rPr>
        <w:t>threshold should</w:t>
      </w:r>
      <w:r>
        <w:rPr>
          <w:rFonts w:asciiTheme="minorHAnsi" w:hAnsiTheme="minorHAnsi"/>
          <w:sz w:val="22"/>
          <w:szCs w:val="22"/>
        </w:rPr>
        <w:t xml:space="preserve"> b</w:t>
      </w:r>
      <w:r w:rsidR="00E840E6">
        <w:rPr>
          <w:rFonts w:asciiTheme="minorHAnsi" w:hAnsiTheme="minorHAnsi"/>
          <w:sz w:val="22"/>
          <w:szCs w:val="22"/>
        </w:rPr>
        <w:t>e simple to im</w:t>
      </w:r>
      <w:r>
        <w:rPr>
          <w:rFonts w:asciiTheme="minorHAnsi" w:hAnsiTheme="minorHAnsi"/>
          <w:sz w:val="22"/>
          <w:szCs w:val="22"/>
        </w:rPr>
        <w:t>plement for non-financial firms and as such it is more appropriate to set it across all asset classes rather than for individual asset classes</w:t>
      </w:r>
      <w:r w:rsidR="00F76770">
        <w:rPr>
          <w:rFonts w:asciiTheme="minorHAnsi" w:hAnsiTheme="minorHAnsi"/>
          <w:sz w:val="22"/>
          <w:szCs w:val="22"/>
        </w:rPr>
        <w:t>;</w:t>
      </w:r>
    </w:p>
    <w:p w:rsidR="00F76770" w:rsidRDefault="00C16181" w:rsidP="00F76770">
      <w:pPr>
        <w:pStyle w:val="BodyText"/>
        <w:numPr>
          <w:ilvl w:val="1"/>
          <w:numId w:val="12"/>
        </w:numPr>
        <w:rPr>
          <w:rFonts w:asciiTheme="minorHAnsi" w:hAnsiTheme="minorHAnsi"/>
          <w:sz w:val="22"/>
          <w:szCs w:val="22"/>
        </w:rPr>
      </w:pPr>
      <w:r>
        <w:rPr>
          <w:rFonts w:asciiTheme="minorHAnsi" w:hAnsiTheme="minorHAnsi"/>
          <w:sz w:val="22"/>
          <w:szCs w:val="22"/>
        </w:rPr>
        <w:t xml:space="preserve">further thought is needed on the metric for setting the clearing threshold – including whether a </w:t>
      </w:r>
      <w:r w:rsidR="007C794E">
        <w:rPr>
          <w:rFonts w:asciiTheme="minorHAnsi" w:hAnsiTheme="minorHAnsi"/>
          <w:sz w:val="22"/>
          <w:szCs w:val="22"/>
        </w:rPr>
        <w:t>market or credit based approach</w:t>
      </w:r>
      <w:r>
        <w:rPr>
          <w:rFonts w:asciiTheme="minorHAnsi" w:hAnsiTheme="minorHAnsi"/>
          <w:sz w:val="22"/>
          <w:szCs w:val="22"/>
        </w:rPr>
        <w:t xml:space="preserve"> is appropriate</w:t>
      </w:r>
      <w:r w:rsidR="00F76770">
        <w:rPr>
          <w:rFonts w:asciiTheme="minorHAnsi" w:hAnsiTheme="minorHAnsi"/>
          <w:sz w:val="22"/>
          <w:szCs w:val="22"/>
        </w:rPr>
        <w:t>;</w:t>
      </w:r>
    </w:p>
    <w:p w:rsidR="00E840E6" w:rsidRDefault="00F76770" w:rsidP="00F76770">
      <w:pPr>
        <w:pStyle w:val="BodyText"/>
        <w:numPr>
          <w:ilvl w:val="1"/>
          <w:numId w:val="12"/>
        </w:numPr>
        <w:rPr>
          <w:rFonts w:asciiTheme="minorHAnsi" w:hAnsiTheme="minorHAnsi"/>
          <w:sz w:val="22"/>
          <w:szCs w:val="22"/>
        </w:rPr>
      </w:pPr>
      <w:r>
        <w:rPr>
          <w:rFonts w:asciiTheme="minorHAnsi" w:hAnsiTheme="minorHAnsi"/>
          <w:sz w:val="22"/>
          <w:szCs w:val="22"/>
        </w:rPr>
        <w:t>we do not agree</w:t>
      </w:r>
      <w:r w:rsidR="00333F80" w:rsidRPr="00333F80">
        <w:rPr>
          <w:rFonts w:asciiTheme="minorHAnsi" w:hAnsiTheme="minorHAnsi"/>
          <w:sz w:val="22"/>
          <w:szCs w:val="22"/>
        </w:rPr>
        <w:t xml:space="preserve"> </w:t>
      </w:r>
      <w:r>
        <w:rPr>
          <w:rFonts w:asciiTheme="minorHAnsi" w:hAnsiTheme="minorHAnsi"/>
          <w:sz w:val="22"/>
          <w:szCs w:val="22"/>
        </w:rPr>
        <w:t xml:space="preserve">that the clearing threshold should </w:t>
      </w:r>
      <w:r w:rsidR="00333F80" w:rsidRPr="00333F80">
        <w:rPr>
          <w:rFonts w:asciiTheme="minorHAnsi" w:hAnsiTheme="minorHAnsi"/>
          <w:sz w:val="22"/>
          <w:szCs w:val="22"/>
        </w:rPr>
        <w:t>be</w:t>
      </w:r>
      <w:r w:rsidR="00795C9F">
        <w:rPr>
          <w:rFonts w:asciiTheme="minorHAnsi" w:hAnsiTheme="minorHAnsi"/>
          <w:sz w:val="22"/>
          <w:szCs w:val="22"/>
        </w:rPr>
        <w:t xml:space="preserve"> set at a relatively low level as </w:t>
      </w:r>
      <w:r w:rsidR="00333F80" w:rsidRPr="00333F80">
        <w:rPr>
          <w:rFonts w:asciiTheme="minorHAnsi" w:hAnsiTheme="minorHAnsi"/>
          <w:sz w:val="22"/>
          <w:szCs w:val="22"/>
        </w:rPr>
        <w:t>EMIR indicates that the clearing threshold should be set at systemic level and t</w:t>
      </w:r>
      <w:r w:rsidR="00E239B3">
        <w:rPr>
          <w:rFonts w:asciiTheme="minorHAnsi" w:hAnsiTheme="minorHAnsi"/>
          <w:sz w:val="22"/>
          <w:szCs w:val="22"/>
        </w:rPr>
        <w:t>h</w:t>
      </w:r>
      <w:r w:rsidR="00333F80" w:rsidRPr="00333F80">
        <w:rPr>
          <w:rFonts w:asciiTheme="minorHAnsi" w:hAnsiTheme="minorHAnsi"/>
          <w:sz w:val="22"/>
          <w:szCs w:val="22"/>
        </w:rPr>
        <w:t>is principle must be retained in the implementing legislation</w:t>
      </w:r>
      <w:r w:rsidR="000D0ED5">
        <w:rPr>
          <w:rFonts w:asciiTheme="minorHAnsi" w:hAnsiTheme="minorHAnsi"/>
          <w:sz w:val="22"/>
          <w:szCs w:val="22"/>
        </w:rPr>
        <w:t>;</w:t>
      </w:r>
    </w:p>
    <w:p w:rsidR="00D24E6F" w:rsidRDefault="00D24E6F" w:rsidP="00F76770">
      <w:pPr>
        <w:pStyle w:val="BodyText"/>
        <w:numPr>
          <w:ilvl w:val="1"/>
          <w:numId w:val="12"/>
        </w:numPr>
        <w:rPr>
          <w:rFonts w:asciiTheme="minorHAnsi" w:hAnsiTheme="minorHAnsi"/>
          <w:sz w:val="22"/>
          <w:szCs w:val="22"/>
        </w:rPr>
      </w:pPr>
      <w:r>
        <w:rPr>
          <w:rFonts w:asciiTheme="minorHAnsi" w:hAnsiTheme="minorHAnsi"/>
          <w:sz w:val="22"/>
          <w:szCs w:val="22"/>
        </w:rPr>
        <w:t>further thought is needed on whether the threshold should be assessed at</w:t>
      </w:r>
      <w:r w:rsidR="006B7201">
        <w:rPr>
          <w:rFonts w:asciiTheme="minorHAnsi" w:hAnsiTheme="minorHAnsi"/>
          <w:sz w:val="22"/>
          <w:szCs w:val="22"/>
        </w:rPr>
        <w:t xml:space="preserve"> a Group level, </w:t>
      </w:r>
      <w:r>
        <w:rPr>
          <w:rFonts w:asciiTheme="minorHAnsi" w:hAnsiTheme="minorHAnsi"/>
          <w:sz w:val="22"/>
          <w:szCs w:val="22"/>
        </w:rPr>
        <w:t>entity level or both;</w:t>
      </w:r>
    </w:p>
    <w:p w:rsidR="00265A9D" w:rsidRPr="00265A9D" w:rsidRDefault="00265A9D" w:rsidP="00265A9D">
      <w:pPr>
        <w:pStyle w:val="BodyText"/>
        <w:ind w:left="1485"/>
        <w:rPr>
          <w:rFonts w:asciiTheme="minorHAnsi" w:hAnsiTheme="minorHAnsi"/>
          <w:sz w:val="22"/>
          <w:szCs w:val="22"/>
        </w:rPr>
      </w:pPr>
    </w:p>
    <w:p w:rsidR="00265A9D" w:rsidRDefault="00265A9D" w:rsidP="002005C5">
      <w:pPr>
        <w:pStyle w:val="BodyText"/>
        <w:numPr>
          <w:ilvl w:val="0"/>
          <w:numId w:val="12"/>
        </w:numPr>
        <w:rPr>
          <w:rFonts w:asciiTheme="minorHAnsi" w:hAnsiTheme="minorHAnsi"/>
          <w:sz w:val="22"/>
          <w:szCs w:val="22"/>
        </w:rPr>
      </w:pPr>
      <w:r>
        <w:rPr>
          <w:rFonts w:asciiTheme="minorHAnsi" w:hAnsiTheme="minorHAnsi"/>
          <w:sz w:val="22"/>
          <w:szCs w:val="22"/>
        </w:rPr>
        <w:t>w</w:t>
      </w:r>
      <w:r w:rsidR="00E239B3" w:rsidRPr="00265A9D">
        <w:rPr>
          <w:rFonts w:asciiTheme="minorHAnsi" w:hAnsiTheme="minorHAnsi"/>
          <w:sz w:val="22"/>
          <w:szCs w:val="22"/>
        </w:rPr>
        <w:t xml:space="preserve">e do not support the proposal that non-financial firms above the clearing threshold should confirm derivative transactions within 15 minutes </w:t>
      </w:r>
      <w:r w:rsidRPr="00265A9D">
        <w:rPr>
          <w:rFonts w:asciiTheme="minorHAnsi" w:hAnsiTheme="minorHAnsi"/>
          <w:sz w:val="22"/>
          <w:szCs w:val="22"/>
        </w:rPr>
        <w:t>as this would be difficult to implement in practice and lead to significant costs</w:t>
      </w:r>
      <w:r w:rsidR="00795C9F">
        <w:rPr>
          <w:rFonts w:asciiTheme="minorHAnsi" w:hAnsiTheme="minorHAnsi"/>
          <w:sz w:val="22"/>
          <w:szCs w:val="22"/>
        </w:rPr>
        <w:t xml:space="preserve"> without any material benefits in terms of mitigation of operational risk</w:t>
      </w:r>
      <w:r w:rsidR="000D0ED5">
        <w:rPr>
          <w:rFonts w:asciiTheme="minorHAnsi" w:hAnsiTheme="minorHAnsi"/>
          <w:sz w:val="22"/>
          <w:szCs w:val="22"/>
        </w:rPr>
        <w:t>;</w:t>
      </w:r>
      <w:r w:rsidRPr="00265A9D">
        <w:rPr>
          <w:rFonts w:asciiTheme="minorHAnsi" w:hAnsiTheme="minorHAnsi"/>
          <w:sz w:val="22"/>
          <w:szCs w:val="22"/>
        </w:rPr>
        <w:t xml:space="preserve"> </w:t>
      </w:r>
    </w:p>
    <w:p w:rsidR="000D0ED5" w:rsidRDefault="000D0ED5" w:rsidP="000D0ED5">
      <w:pPr>
        <w:pStyle w:val="BodyText"/>
        <w:ind w:left="765"/>
        <w:rPr>
          <w:rFonts w:asciiTheme="minorHAnsi" w:hAnsiTheme="minorHAnsi"/>
          <w:sz w:val="22"/>
          <w:szCs w:val="22"/>
        </w:rPr>
      </w:pPr>
    </w:p>
    <w:p w:rsidR="00F76770" w:rsidRPr="00F76770" w:rsidRDefault="00F76770" w:rsidP="00F76770">
      <w:pPr>
        <w:pStyle w:val="ListParagraph"/>
        <w:numPr>
          <w:ilvl w:val="0"/>
          <w:numId w:val="12"/>
        </w:numPr>
        <w:rPr>
          <w:rFonts w:asciiTheme="minorHAnsi" w:hAnsiTheme="minorHAnsi"/>
          <w:bCs/>
          <w:sz w:val="22"/>
          <w:szCs w:val="22"/>
        </w:rPr>
      </w:pPr>
      <w:r>
        <w:rPr>
          <w:rFonts w:asciiTheme="minorHAnsi" w:hAnsiTheme="minorHAnsi"/>
          <w:bCs/>
          <w:sz w:val="22"/>
          <w:szCs w:val="22"/>
          <w:lang w:val="en-GB"/>
        </w:rPr>
        <w:t>on collateral posted at C</w:t>
      </w:r>
      <w:r w:rsidR="00A87CD7">
        <w:rPr>
          <w:rFonts w:asciiTheme="minorHAnsi" w:hAnsiTheme="minorHAnsi"/>
          <w:bCs/>
          <w:sz w:val="22"/>
          <w:szCs w:val="22"/>
          <w:lang w:val="en-GB"/>
        </w:rPr>
        <w:t>C</w:t>
      </w:r>
      <w:r>
        <w:rPr>
          <w:rFonts w:asciiTheme="minorHAnsi" w:hAnsiTheme="minorHAnsi"/>
          <w:bCs/>
          <w:sz w:val="22"/>
          <w:szCs w:val="22"/>
          <w:lang w:val="en-GB"/>
        </w:rPr>
        <w:t>Ps:</w:t>
      </w:r>
    </w:p>
    <w:p w:rsidR="00F76770" w:rsidRPr="00F76770" w:rsidRDefault="00F76770" w:rsidP="00F76770">
      <w:pPr>
        <w:pStyle w:val="ListParagraph"/>
        <w:rPr>
          <w:rFonts w:asciiTheme="minorHAnsi" w:hAnsiTheme="minorHAnsi"/>
          <w:bCs/>
          <w:sz w:val="22"/>
          <w:szCs w:val="22"/>
        </w:rPr>
      </w:pPr>
    </w:p>
    <w:p w:rsidR="00F76770" w:rsidRDefault="00F76770" w:rsidP="00F76770">
      <w:pPr>
        <w:pStyle w:val="ListParagraph"/>
        <w:numPr>
          <w:ilvl w:val="1"/>
          <w:numId w:val="12"/>
        </w:numPr>
        <w:rPr>
          <w:rFonts w:asciiTheme="minorHAnsi" w:hAnsiTheme="minorHAnsi"/>
          <w:bCs/>
          <w:sz w:val="22"/>
          <w:szCs w:val="22"/>
        </w:rPr>
      </w:pPr>
      <w:r>
        <w:rPr>
          <w:rFonts w:asciiTheme="minorHAnsi" w:hAnsiTheme="minorHAnsi"/>
          <w:bCs/>
          <w:sz w:val="22"/>
          <w:szCs w:val="22"/>
        </w:rPr>
        <w:t>a</w:t>
      </w:r>
      <w:r w:rsidRPr="00F76770">
        <w:rPr>
          <w:rFonts w:asciiTheme="minorHAnsi" w:hAnsiTheme="minorHAnsi"/>
          <w:bCs/>
          <w:sz w:val="22"/>
          <w:szCs w:val="22"/>
        </w:rPr>
        <w:t xml:space="preserve"> range of collateral tools are available to firms and as long as these are sufficiently liquid and robust they should be accepted by CCPs</w:t>
      </w:r>
      <w:r>
        <w:rPr>
          <w:rFonts w:asciiTheme="minorHAnsi" w:hAnsiTheme="minorHAnsi"/>
          <w:bCs/>
          <w:sz w:val="22"/>
          <w:szCs w:val="22"/>
        </w:rPr>
        <w:t xml:space="preserve">.  </w:t>
      </w:r>
      <w:r w:rsidRPr="00F76770">
        <w:rPr>
          <w:rFonts w:asciiTheme="minorHAnsi" w:hAnsiTheme="minorHAnsi"/>
          <w:bCs/>
          <w:sz w:val="22"/>
          <w:szCs w:val="22"/>
        </w:rPr>
        <w:t>ESMA should not be mandating undue restrictions on how firms m</w:t>
      </w:r>
      <w:r>
        <w:rPr>
          <w:rFonts w:asciiTheme="minorHAnsi" w:hAnsiTheme="minorHAnsi"/>
          <w:bCs/>
          <w:sz w:val="22"/>
          <w:szCs w:val="22"/>
        </w:rPr>
        <w:t>anage their collateral with CCPs;</w:t>
      </w:r>
    </w:p>
    <w:p w:rsidR="00C16AE9" w:rsidRPr="00495207" w:rsidRDefault="00315D81" w:rsidP="00495207">
      <w:pPr>
        <w:pStyle w:val="ListParagraph"/>
        <w:numPr>
          <w:ilvl w:val="1"/>
          <w:numId w:val="12"/>
        </w:numPr>
        <w:rPr>
          <w:rFonts w:asciiTheme="minorHAnsi" w:hAnsiTheme="minorHAnsi"/>
          <w:bCs/>
          <w:sz w:val="22"/>
          <w:szCs w:val="22"/>
        </w:rPr>
      </w:pPr>
      <w:r>
        <w:rPr>
          <w:rFonts w:asciiTheme="minorHAnsi" w:hAnsiTheme="minorHAnsi"/>
          <w:bCs/>
          <w:sz w:val="22"/>
          <w:szCs w:val="22"/>
        </w:rPr>
        <w:t>i</w:t>
      </w:r>
      <w:r w:rsidR="00F76770" w:rsidRPr="00F76770">
        <w:rPr>
          <w:rFonts w:asciiTheme="minorHAnsi" w:hAnsiTheme="minorHAnsi"/>
          <w:bCs/>
          <w:sz w:val="22"/>
          <w:szCs w:val="22"/>
        </w:rPr>
        <w:t>f a minimum level of cash</w:t>
      </w:r>
      <w:r w:rsidR="007C794E">
        <w:rPr>
          <w:rFonts w:asciiTheme="minorHAnsi" w:hAnsiTheme="minorHAnsi"/>
          <w:bCs/>
          <w:sz w:val="22"/>
          <w:szCs w:val="22"/>
        </w:rPr>
        <w:t xml:space="preserve"> is required for collateral it</w:t>
      </w:r>
      <w:r w:rsidR="00F76770" w:rsidRPr="00F76770">
        <w:rPr>
          <w:rFonts w:asciiTheme="minorHAnsi" w:hAnsiTheme="minorHAnsi"/>
          <w:bCs/>
          <w:sz w:val="22"/>
          <w:szCs w:val="22"/>
        </w:rPr>
        <w:t xml:space="preserve"> must be set at a level that does not create barriers to entry to markets or constrain firms’ commercial activity. </w:t>
      </w:r>
      <w:r w:rsidR="00795C9F">
        <w:rPr>
          <w:rFonts w:asciiTheme="minorHAnsi" w:hAnsiTheme="minorHAnsi"/>
          <w:bCs/>
          <w:sz w:val="22"/>
          <w:szCs w:val="22"/>
        </w:rPr>
        <w:t xml:space="preserve"> </w:t>
      </w:r>
      <w:r w:rsidR="00F76770" w:rsidRPr="00F76770">
        <w:rPr>
          <w:rFonts w:asciiTheme="minorHAnsi" w:hAnsiTheme="minorHAnsi"/>
          <w:bCs/>
          <w:sz w:val="22"/>
          <w:szCs w:val="22"/>
        </w:rPr>
        <w:t xml:space="preserve">It is also crucial that clearing members retain title to any cash posted at CCPs </w:t>
      </w:r>
      <w:r w:rsidR="00495207">
        <w:rPr>
          <w:rFonts w:asciiTheme="minorHAnsi" w:hAnsiTheme="minorHAnsi"/>
          <w:bCs/>
          <w:sz w:val="22"/>
          <w:szCs w:val="22"/>
        </w:rPr>
        <w:t xml:space="preserve">that is not directly related to their obligations </w:t>
      </w:r>
      <w:r w:rsidR="00F76770" w:rsidRPr="00F76770">
        <w:rPr>
          <w:rFonts w:asciiTheme="minorHAnsi" w:hAnsiTheme="minorHAnsi"/>
          <w:bCs/>
          <w:sz w:val="22"/>
          <w:szCs w:val="22"/>
        </w:rPr>
        <w:t>and that it is subject to robust segregation req</w:t>
      </w:r>
      <w:r>
        <w:rPr>
          <w:rFonts w:asciiTheme="minorHAnsi" w:hAnsiTheme="minorHAnsi"/>
          <w:bCs/>
          <w:sz w:val="22"/>
          <w:szCs w:val="22"/>
        </w:rPr>
        <w:t>uirements; and</w:t>
      </w:r>
    </w:p>
    <w:p w:rsidR="00C16AE9" w:rsidRDefault="00C16AE9" w:rsidP="000D0ED5">
      <w:pPr>
        <w:pStyle w:val="BodyText"/>
        <w:ind w:left="765"/>
        <w:rPr>
          <w:rFonts w:asciiTheme="minorHAnsi" w:hAnsiTheme="minorHAnsi"/>
          <w:sz w:val="22"/>
          <w:szCs w:val="22"/>
        </w:rPr>
      </w:pPr>
    </w:p>
    <w:p w:rsidR="00BF2225" w:rsidRDefault="00BF2225" w:rsidP="00BF2225">
      <w:pPr>
        <w:pStyle w:val="ListParagraph"/>
        <w:numPr>
          <w:ilvl w:val="0"/>
          <w:numId w:val="12"/>
        </w:numPr>
        <w:jc w:val="both"/>
        <w:rPr>
          <w:rFonts w:asciiTheme="minorHAnsi" w:hAnsiTheme="minorHAnsi" w:cstheme="minorHAnsi"/>
          <w:bCs/>
          <w:sz w:val="22"/>
          <w:szCs w:val="22"/>
        </w:rPr>
      </w:pPr>
      <w:r>
        <w:rPr>
          <w:rFonts w:asciiTheme="minorHAnsi" w:hAnsiTheme="minorHAnsi" w:cstheme="minorHAnsi"/>
          <w:bCs/>
          <w:sz w:val="22"/>
          <w:szCs w:val="22"/>
        </w:rPr>
        <w:t xml:space="preserve">on reporting obligations: </w:t>
      </w:r>
    </w:p>
    <w:p w:rsidR="00BF2225" w:rsidRDefault="00BF2225" w:rsidP="00BF2225">
      <w:pPr>
        <w:pStyle w:val="ListParagraph"/>
        <w:ind w:left="765"/>
        <w:jc w:val="both"/>
        <w:rPr>
          <w:rFonts w:asciiTheme="minorHAnsi" w:hAnsiTheme="minorHAnsi" w:cstheme="minorHAnsi"/>
          <w:bCs/>
          <w:sz w:val="22"/>
          <w:szCs w:val="22"/>
        </w:rPr>
      </w:pPr>
    </w:p>
    <w:p w:rsidR="00BF2225" w:rsidRPr="00AD2700" w:rsidRDefault="00BF2225" w:rsidP="00AD2700">
      <w:pPr>
        <w:pStyle w:val="ListParagraph"/>
        <w:numPr>
          <w:ilvl w:val="1"/>
          <w:numId w:val="12"/>
        </w:numPr>
        <w:jc w:val="both"/>
        <w:rPr>
          <w:rFonts w:asciiTheme="minorHAnsi" w:hAnsiTheme="minorHAnsi" w:cstheme="minorHAnsi"/>
          <w:bCs/>
          <w:sz w:val="22"/>
          <w:szCs w:val="22"/>
        </w:rPr>
      </w:pPr>
      <w:r w:rsidRPr="00BF2225">
        <w:rPr>
          <w:rFonts w:asciiTheme="minorHAnsi" w:hAnsiTheme="minorHAnsi" w:cstheme="minorHAnsi"/>
          <w:bCs/>
          <w:sz w:val="22"/>
          <w:szCs w:val="22"/>
        </w:rPr>
        <w:t xml:space="preserve">to ensure that non-financial firms have sufficient time to implement the necessary requirements it is recommended that the go-live for the reporting requirements is pushed back to later in 2013.  </w:t>
      </w:r>
      <w:r w:rsidRPr="00BF2225">
        <w:rPr>
          <w:rFonts w:asciiTheme="minorHAnsi" w:hAnsiTheme="minorHAnsi" w:cstheme="minorHAnsi"/>
          <w:bCs/>
          <w:sz w:val="22"/>
          <w:szCs w:val="22"/>
        </w:rPr>
        <w:lastRenderedPageBreak/>
        <w:t>This is particularly important as ESMA will only provide its advice to the EC in September on the implementing rules under EMIR after which they will need to</w:t>
      </w:r>
      <w:r w:rsidR="00AD2700">
        <w:rPr>
          <w:rFonts w:asciiTheme="minorHAnsi" w:hAnsiTheme="minorHAnsi" w:cstheme="minorHAnsi"/>
          <w:bCs/>
          <w:sz w:val="22"/>
          <w:szCs w:val="22"/>
        </w:rPr>
        <w:t xml:space="preserve"> be made legally binding;</w:t>
      </w:r>
    </w:p>
    <w:p w:rsidR="00BF2225" w:rsidRPr="00AD2700" w:rsidRDefault="00BF2225" w:rsidP="00AD2700">
      <w:pPr>
        <w:pStyle w:val="ListParagraph"/>
        <w:numPr>
          <w:ilvl w:val="1"/>
          <w:numId w:val="12"/>
        </w:numPr>
        <w:jc w:val="both"/>
        <w:rPr>
          <w:rFonts w:asciiTheme="minorHAnsi" w:hAnsiTheme="minorHAnsi" w:cstheme="minorHAnsi"/>
          <w:bCs/>
          <w:sz w:val="22"/>
          <w:szCs w:val="22"/>
        </w:rPr>
      </w:pPr>
      <w:r w:rsidRPr="00BF2225">
        <w:rPr>
          <w:rFonts w:asciiTheme="minorHAnsi" w:hAnsiTheme="minorHAnsi" w:cstheme="minorHAnsi"/>
          <w:bCs/>
          <w:sz w:val="22"/>
          <w:szCs w:val="22"/>
        </w:rPr>
        <w:t xml:space="preserve">we urge EMSA to coordinate with ACER </w:t>
      </w:r>
      <w:r>
        <w:rPr>
          <w:rFonts w:asciiTheme="minorHAnsi" w:hAnsiTheme="minorHAnsi" w:cstheme="minorHAnsi"/>
          <w:bCs/>
          <w:sz w:val="22"/>
          <w:szCs w:val="22"/>
        </w:rPr>
        <w:t xml:space="preserve">to ensure consistency </w:t>
      </w:r>
      <w:r w:rsidRPr="00BF2225">
        <w:rPr>
          <w:rFonts w:asciiTheme="minorHAnsi" w:hAnsiTheme="minorHAnsi" w:cstheme="minorHAnsi"/>
          <w:bCs/>
          <w:sz w:val="22"/>
          <w:szCs w:val="22"/>
        </w:rPr>
        <w:t xml:space="preserve">both in terms of a timetable for development and implementation of the reporting requirements and the format and content of the </w:t>
      </w:r>
      <w:r>
        <w:rPr>
          <w:rFonts w:asciiTheme="minorHAnsi" w:hAnsiTheme="minorHAnsi" w:cstheme="minorHAnsi"/>
          <w:bCs/>
          <w:sz w:val="22"/>
          <w:szCs w:val="22"/>
        </w:rPr>
        <w:t>arrangements;</w:t>
      </w:r>
      <w:r w:rsidRPr="00BF2225">
        <w:rPr>
          <w:rFonts w:asciiTheme="minorHAnsi" w:hAnsiTheme="minorHAnsi" w:cstheme="minorHAnsi"/>
          <w:bCs/>
          <w:sz w:val="22"/>
          <w:szCs w:val="22"/>
        </w:rPr>
        <w:t xml:space="preserve"> </w:t>
      </w:r>
    </w:p>
    <w:p w:rsidR="00BF2225" w:rsidRPr="00BF2225" w:rsidRDefault="00BF2225" w:rsidP="00BF2225">
      <w:pPr>
        <w:pStyle w:val="ListParagraph"/>
        <w:numPr>
          <w:ilvl w:val="1"/>
          <w:numId w:val="12"/>
        </w:numPr>
        <w:jc w:val="both"/>
        <w:rPr>
          <w:rFonts w:asciiTheme="minorHAnsi" w:hAnsiTheme="minorHAnsi" w:cstheme="minorHAnsi"/>
          <w:bCs/>
          <w:sz w:val="22"/>
          <w:szCs w:val="22"/>
        </w:rPr>
      </w:pPr>
      <w:r>
        <w:rPr>
          <w:rFonts w:asciiTheme="minorHAnsi" w:hAnsiTheme="minorHAnsi" w:cstheme="minorHAnsi"/>
          <w:bCs/>
          <w:sz w:val="22"/>
          <w:szCs w:val="22"/>
        </w:rPr>
        <w:t>w</w:t>
      </w:r>
      <w:r w:rsidRPr="00BF2225">
        <w:rPr>
          <w:rFonts w:asciiTheme="minorHAnsi" w:hAnsiTheme="minorHAnsi" w:cstheme="minorHAnsi"/>
          <w:bCs/>
          <w:sz w:val="22"/>
          <w:szCs w:val="22"/>
        </w:rPr>
        <w:t>e recommend that ESMA and ACER hold joint workshops with relevant experts from companies to help further develop the reporting requirements under EMIR and REMIT</w:t>
      </w:r>
      <w:r>
        <w:rPr>
          <w:rFonts w:asciiTheme="minorHAnsi" w:hAnsiTheme="minorHAnsi" w:cstheme="minorHAnsi"/>
          <w:bCs/>
          <w:sz w:val="22"/>
          <w:szCs w:val="22"/>
        </w:rPr>
        <w:t>; and</w:t>
      </w:r>
    </w:p>
    <w:p w:rsidR="00BF2225" w:rsidRDefault="00BF2225" w:rsidP="00BF2225">
      <w:pPr>
        <w:pStyle w:val="BodyText"/>
        <w:ind w:left="765"/>
        <w:rPr>
          <w:rFonts w:asciiTheme="minorHAnsi" w:hAnsiTheme="minorHAnsi"/>
          <w:sz w:val="22"/>
          <w:szCs w:val="22"/>
        </w:rPr>
      </w:pPr>
    </w:p>
    <w:p w:rsidR="002005C5" w:rsidRPr="000D0ED5" w:rsidRDefault="00C16181" w:rsidP="002005C5">
      <w:pPr>
        <w:pStyle w:val="BodyText"/>
        <w:numPr>
          <w:ilvl w:val="0"/>
          <w:numId w:val="12"/>
        </w:numPr>
        <w:rPr>
          <w:rFonts w:asciiTheme="minorHAnsi" w:hAnsiTheme="minorHAnsi"/>
          <w:sz w:val="22"/>
          <w:szCs w:val="22"/>
        </w:rPr>
      </w:pPr>
      <w:r>
        <w:rPr>
          <w:rFonts w:asciiTheme="minorHAnsi" w:hAnsiTheme="minorHAnsi"/>
          <w:sz w:val="22"/>
          <w:szCs w:val="22"/>
        </w:rPr>
        <w:t>w</w:t>
      </w:r>
      <w:r w:rsidR="00265A9D">
        <w:rPr>
          <w:rFonts w:asciiTheme="minorHAnsi" w:hAnsiTheme="minorHAnsi"/>
          <w:sz w:val="22"/>
          <w:szCs w:val="22"/>
        </w:rPr>
        <w:t>e support greater transparency in the market through</w:t>
      </w:r>
      <w:r w:rsidR="000D0ED5">
        <w:rPr>
          <w:rFonts w:asciiTheme="minorHAnsi" w:hAnsiTheme="minorHAnsi"/>
          <w:sz w:val="22"/>
          <w:szCs w:val="22"/>
        </w:rPr>
        <w:t xml:space="preserve"> regular publication of aggregated transaction data by Trade Repositories subject to ensuring no commercially confidential </w:t>
      </w:r>
      <w:r w:rsidR="00795C9F">
        <w:rPr>
          <w:rFonts w:asciiTheme="minorHAnsi" w:hAnsiTheme="minorHAnsi"/>
          <w:sz w:val="22"/>
          <w:szCs w:val="22"/>
        </w:rPr>
        <w:t xml:space="preserve">information </w:t>
      </w:r>
      <w:r w:rsidR="000D0ED5">
        <w:rPr>
          <w:rFonts w:asciiTheme="minorHAnsi" w:hAnsiTheme="minorHAnsi"/>
          <w:sz w:val="22"/>
          <w:szCs w:val="22"/>
        </w:rPr>
        <w:t>being revealed.</w:t>
      </w:r>
    </w:p>
    <w:p w:rsidR="002005C5" w:rsidRDefault="002005C5" w:rsidP="002005C5">
      <w:pPr>
        <w:pStyle w:val="BodyText"/>
        <w:rPr>
          <w:rFonts w:asciiTheme="minorHAnsi" w:hAnsiTheme="minorHAnsi"/>
          <w:sz w:val="22"/>
          <w:szCs w:val="22"/>
        </w:rPr>
      </w:pPr>
    </w:p>
    <w:p w:rsidR="00795C9F" w:rsidRDefault="00795C9F" w:rsidP="00795C9F">
      <w:pPr>
        <w:pStyle w:val="BodyText"/>
        <w:rPr>
          <w:rFonts w:asciiTheme="minorHAnsi" w:hAnsiTheme="minorHAnsi"/>
          <w:sz w:val="22"/>
          <w:szCs w:val="22"/>
        </w:rPr>
      </w:pPr>
      <w:r>
        <w:rPr>
          <w:rFonts w:asciiTheme="minorHAnsi" w:hAnsiTheme="minorHAnsi"/>
          <w:sz w:val="22"/>
          <w:szCs w:val="22"/>
        </w:rPr>
        <w:t xml:space="preserve">Annex 1 contains our answers </w:t>
      </w:r>
      <w:r w:rsidRPr="002005C5">
        <w:rPr>
          <w:rFonts w:asciiTheme="minorHAnsi" w:hAnsiTheme="minorHAnsi"/>
          <w:sz w:val="22"/>
          <w:szCs w:val="22"/>
        </w:rPr>
        <w:t xml:space="preserve">to the specific </w:t>
      </w:r>
      <w:r>
        <w:rPr>
          <w:rFonts w:asciiTheme="minorHAnsi" w:hAnsiTheme="minorHAnsi"/>
          <w:sz w:val="22"/>
          <w:szCs w:val="22"/>
        </w:rPr>
        <w:t>consultation questions.</w:t>
      </w:r>
    </w:p>
    <w:p w:rsidR="00795C9F" w:rsidRPr="002005C5" w:rsidRDefault="00795C9F" w:rsidP="00795C9F">
      <w:pPr>
        <w:pStyle w:val="BodyText"/>
        <w:rPr>
          <w:rFonts w:asciiTheme="minorHAnsi" w:hAnsiTheme="minorHAnsi"/>
          <w:sz w:val="22"/>
          <w:szCs w:val="22"/>
        </w:rPr>
      </w:pPr>
    </w:p>
    <w:p w:rsidR="00795C9F" w:rsidRDefault="00315D81" w:rsidP="002005C5">
      <w:pPr>
        <w:pStyle w:val="BodyText"/>
        <w:rPr>
          <w:rFonts w:asciiTheme="minorHAnsi" w:hAnsiTheme="minorHAnsi"/>
          <w:sz w:val="22"/>
          <w:szCs w:val="22"/>
        </w:rPr>
      </w:pPr>
      <w:r>
        <w:rPr>
          <w:rFonts w:asciiTheme="minorHAnsi" w:hAnsiTheme="minorHAnsi"/>
          <w:sz w:val="22"/>
          <w:szCs w:val="22"/>
        </w:rPr>
        <w:t xml:space="preserve">Annex 2 sets out detailed comments </w:t>
      </w:r>
      <w:r w:rsidR="007C794E">
        <w:rPr>
          <w:rFonts w:asciiTheme="minorHAnsi" w:hAnsiTheme="minorHAnsi"/>
          <w:sz w:val="22"/>
          <w:szCs w:val="22"/>
        </w:rPr>
        <w:t>o</w:t>
      </w:r>
      <w:r>
        <w:rPr>
          <w:rFonts w:asciiTheme="minorHAnsi" w:hAnsiTheme="minorHAnsi"/>
          <w:sz w:val="22"/>
          <w:szCs w:val="22"/>
        </w:rPr>
        <w:t>n the reporting templates proposed by ESMA.</w:t>
      </w:r>
    </w:p>
    <w:p w:rsidR="00315D81" w:rsidRDefault="00315D81" w:rsidP="002005C5">
      <w:pPr>
        <w:pStyle w:val="BodyText"/>
        <w:rPr>
          <w:rFonts w:asciiTheme="minorHAnsi" w:hAnsiTheme="minorHAnsi"/>
          <w:sz w:val="22"/>
          <w:szCs w:val="22"/>
        </w:rPr>
      </w:pPr>
    </w:p>
    <w:p w:rsidR="002005C5" w:rsidRPr="002005C5" w:rsidRDefault="002005C5" w:rsidP="002005C5">
      <w:pPr>
        <w:pStyle w:val="BodyText"/>
        <w:rPr>
          <w:rFonts w:asciiTheme="minorHAnsi" w:hAnsiTheme="minorHAnsi"/>
          <w:sz w:val="22"/>
          <w:szCs w:val="22"/>
        </w:rPr>
      </w:pPr>
      <w:r w:rsidRPr="002005C5">
        <w:rPr>
          <w:rFonts w:asciiTheme="minorHAnsi" w:hAnsiTheme="minorHAnsi"/>
          <w:sz w:val="22"/>
          <w:szCs w:val="22"/>
        </w:rPr>
        <w:t>If you have any questions regarding our response please do not hesitate to contact me.</w:t>
      </w:r>
    </w:p>
    <w:p w:rsidR="002005C5" w:rsidRPr="002005C5" w:rsidRDefault="002005C5" w:rsidP="002005C5">
      <w:pPr>
        <w:pStyle w:val="BodyText"/>
        <w:rPr>
          <w:rFonts w:asciiTheme="minorHAnsi" w:hAnsiTheme="minorHAnsi"/>
          <w:sz w:val="22"/>
          <w:szCs w:val="22"/>
        </w:rPr>
      </w:pPr>
    </w:p>
    <w:p w:rsidR="002005C5" w:rsidRPr="002005C5" w:rsidRDefault="002005C5" w:rsidP="002005C5">
      <w:pPr>
        <w:pStyle w:val="BodyText"/>
        <w:rPr>
          <w:rFonts w:asciiTheme="minorHAnsi" w:hAnsiTheme="minorHAnsi"/>
          <w:sz w:val="22"/>
          <w:szCs w:val="22"/>
        </w:rPr>
      </w:pPr>
      <w:r w:rsidRPr="002005C5">
        <w:rPr>
          <w:rFonts w:asciiTheme="minorHAnsi" w:hAnsiTheme="minorHAnsi"/>
          <w:sz w:val="22"/>
          <w:szCs w:val="22"/>
        </w:rPr>
        <w:t>Kind regards</w:t>
      </w:r>
    </w:p>
    <w:p w:rsidR="002005C5" w:rsidRDefault="002005C5" w:rsidP="002005C5">
      <w:pPr>
        <w:pStyle w:val="BodyText"/>
        <w:rPr>
          <w:rFonts w:asciiTheme="minorHAnsi" w:hAnsiTheme="minorHAnsi"/>
          <w:sz w:val="22"/>
          <w:szCs w:val="22"/>
        </w:rPr>
      </w:pPr>
    </w:p>
    <w:p w:rsidR="00315D81" w:rsidRDefault="00315D81" w:rsidP="002005C5">
      <w:pPr>
        <w:pStyle w:val="BodyText"/>
        <w:rPr>
          <w:rFonts w:asciiTheme="minorHAnsi" w:hAnsiTheme="minorHAnsi"/>
          <w:sz w:val="22"/>
          <w:szCs w:val="22"/>
        </w:rPr>
      </w:pPr>
    </w:p>
    <w:p w:rsidR="00C74E58" w:rsidRDefault="00C74E58" w:rsidP="002005C5">
      <w:pPr>
        <w:pStyle w:val="BodyText"/>
        <w:rPr>
          <w:rFonts w:asciiTheme="minorHAnsi" w:hAnsiTheme="minorHAnsi"/>
          <w:sz w:val="22"/>
          <w:szCs w:val="22"/>
        </w:rPr>
      </w:pPr>
    </w:p>
    <w:p w:rsidR="0023089E" w:rsidRDefault="0023089E" w:rsidP="002005C5">
      <w:pPr>
        <w:pStyle w:val="BodyText"/>
        <w:rPr>
          <w:rFonts w:asciiTheme="minorHAnsi" w:hAnsiTheme="minorHAnsi"/>
          <w:sz w:val="22"/>
          <w:szCs w:val="22"/>
        </w:rPr>
      </w:pPr>
    </w:p>
    <w:p w:rsidR="00C74E58" w:rsidRPr="002005C5" w:rsidRDefault="00C74E58" w:rsidP="002005C5">
      <w:pPr>
        <w:pStyle w:val="BodyText"/>
        <w:rPr>
          <w:rFonts w:asciiTheme="minorHAnsi" w:hAnsiTheme="minorHAnsi"/>
          <w:sz w:val="22"/>
          <w:szCs w:val="22"/>
        </w:rPr>
      </w:pPr>
    </w:p>
    <w:p w:rsidR="002005C5" w:rsidRPr="002005C5" w:rsidRDefault="002005C5" w:rsidP="002005C5">
      <w:pPr>
        <w:pStyle w:val="BodyText"/>
        <w:rPr>
          <w:rFonts w:asciiTheme="minorHAnsi" w:hAnsiTheme="minorHAnsi"/>
          <w:b/>
          <w:sz w:val="22"/>
          <w:szCs w:val="22"/>
        </w:rPr>
      </w:pPr>
      <w:r w:rsidRPr="002005C5">
        <w:rPr>
          <w:rFonts w:asciiTheme="minorHAnsi" w:hAnsiTheme="minorHAnsi"/>
          <w:b/>
          <w:sz w:val="22"/>
          <w:szCs w:val="22"/>
        </w:rPr>
        <w:t>Cemil Altin</w:t>
      </w:r>
    </w:p>
    <w:p w:rsidR="002005C5" w:rsidRPr="002005C5" w:rsidRDefault="002005C5" w:rsidP="002005C5">
      <w:pPr>
        <w:pStyle w:val="BodyText"/>
        <w:rPr>
          <w:rFonts w:asciiTheme="minorHAnsi" w:hAnsiTheme="minorHAnsi"/>
          <w:b/>
          <w:sz w:val="22"/>
          <w:szCs w:val="22"/>
        </w:rPr>
      </w:pPr>
      <w:r w:rsidRPr="002005C5">
        <w:rPr>
          <w:rFonts w:asciiTheme="minorHAnsi" w:hAnsiTheme="minorHAnsi"/>
          <w:b/>
          <w:sz w:val="22"/>
          <w:szCs w:val="22"/>
        </w:rPr>
        <w:t>Head of Regulatory Affairs</w:t>
      </w:r>
    </w:p>
    <w:p w:rsidR="000D0ED5" w:rsidRDefault="000D0ED5">
      <w:pPr>
        <w:rPr>
          <w:rFonts w:asciiTheme="minorHAnsi" w:hAnsiTheme="minorHAnsi"/>
          <w:b/>
          <w:sz w:val="22"/>
          <w:szCs w:val="22"/>
        </w:rPr>
      </w:pPr>
      <w:r>
        <w:rPr>
          <w:rFonts w:asciiTheme="minorHAnsi" w:hAnsiTheme="minorHAnsi"/>
          <w:b/>
          <w:sz w:val="22"/>
          <w:szCs w:val="22"/>
        </w:rPr>
        <w:br w:type="page"/>
      </w:r>
    </w:p>
    <w:p w:rsidR="003B0D7D" w:rsidRPr="000E694F" w:rsidRDefault="000D0ED5" w:rsidP="003B0D7D">
      <w:pPr>
        <w:rPr>
          <w:rFonts w:asciiTheme="minorHAnsi" w:hAnsiTheme="minorHAnsi"/>
          <w:b/>
          <w:sz w:val="22"/>
          <w:szCs w:val="22"/>
          <w:u w:val="single"/>
        </w:rPr>
      </w:pPr>
      <w:r w:rsidRPr="000E694F">
        <w:rPr>
          <w:rFonts w:asciiTheme="minorHAnsi" w:hAnsiTheme="minorHAnsi"/>
          <w:b/>
          <w:sz w:val="22"/>
          <w:szCs w:val="22"/>
          <w:u w:val="single"/>
        </w:rPr>
        <w:lastRenderedPageBreak/>
        <w:t>Annex 1: Answers to specific questions</w:t>
      </w:r>
    </w:p>
    <w:p w:rsidR="000D0ED5" w:rsidRDefault="000D0ED5" w:rsidP="003B0D7D">
      <w:pPr>
        <w:rPr>
          <w:rFonts w:asciiTheme="minorHAnsi" w:hAnsiTheme="minorHAnsi"/>
          <w:b/>
          <w:sz w:val="22"/>
          <w:szCs w:val="22"/>
        </w:rPr>
      </w:pPr>
    </w:p>
    <w:p w:rsidR="000E694F" w:rsidRPr="001C7473" w:rsidRDefault="000E694F" w:rsidP="003B0D7D">
      <w:pPr>
        <w:rPr>
          <w:rFonts w:asciiTheme="minorHAnsi" w:hAnsiTheme="minorHAnsi"/>
          <w:b/>
          <w:sz w:val="22"/>
          <w:szCs w:val="22"/>
          <w:u w:val="single"/>
        </w:rPr>
      </w:pPr>
      <w:r w:rsidRPr="001C7473">
        <w:rPr>
          <w:rFonts w:asciiTheme="minorHAnsi" w:hAnsiTheme="minorHAnsi"/>
          <w:b/>
          <w:sz w:val="22"/>
          <w:szCs w:val="22"/>
          <w:u w:val="single"/>
        </w:rPr>
        <w:t>Clearing obligation (Article 3)</w:t>
      </w:r>
    </w:p>
    <w:p w:rsidR="000E694F" w:rsidRPr="000E694F" w:rsidRDefault="000E694F" w:rsidP="003B0D7D">
      <w:pPr>
        <w:rPr>
          <w:rFonts w:asciiTheme="minorHAnsi" w:hAnsiTheme="minorHAnsi"/>
          <w:b/>
          <w:sz w:val="22"/>
          <w:szCs w:val="22"/>
        </w:rPr>
      </w:pPr>
    </w:p>
    <w:p w:rsidR="00D83BFE" w:rsidRPr="000E694F" w:rsidRDefault="00D83BFE" w:rsidP="003B0D7D">
      <w:pPr>
        <w:rPr>
          <w:rFonts w:asciiTheme="minorHAnsi" w:hAnsiTheme="minorHAnsi"/>
          <w:b/>
          <w:sz w:val="22"/>
          <w:szCs w:val="22"/>
        </w:rPr>
      </w:pPr>
      <w:r w:rsidRPr="000E694F">
        <w:rPr>
          <w:rFonts w:asciiTheme="minorHAnsi" w:hAnsiTheme="minorHAnsi"/>
          <w:b/>
          <w:sz w:val="22"/>
          <w:szCs w:val="22"/>
        </w:rPr>
        <w:t>Q1: In your view how should ESMA specify contracts that are considered to have a direct, substantial and foreseeable effect within the EU?</w:t>
      </w:r>
    </w:p>
    <w:p w:rsidR="00D83BFE" w:rsidRPr="000E694F" w:rsidRDefault="00D83BFE" w:rsidP="003B0D7D">
      <w:pPr>
        <w:rPr>
          <w:rFonts w:asciiTheme="minorHAnsi" w:hAnsiTheme="minorHAnsi"/>
          <w:b/>
          <w:sz w:val="22"/>
          <w:szCs w:val="22"/>
        </w:rPr>
      </w:pPr>
    </w:p>
    <w:p w:rsidR="00D83BFE" w:rsidRPr="000E694F" w:rsidRDefault="00D83BFE" w:rsidP="003B0D7D">
      <w:pPr>
        <w:rPr>
          <w:rFonts w:asciiTheme="minorHAnsi" w:hAnsiTheme="minorHAnsi"/>
          <w:b/>
          <w:sz w:val="22"/>
          <w:szCs w:val="22"/>
        </w:rPr>
      </w:pPr>
      <w:r w:rsidRPr="000E694F">
        <w:rPr>
          <w:rFonts w:asciiTheme="minorHAnsi" w:hAnsiTheme="minorHAnsi"/>
          <w:b/>
          <w:sz w:val="22"/>
          <w:szCs w:val="22"/>
        </w:rPr>
        <w:t xml:space="preserve">Q2: In </w:t>
      </w:r>
      <w:r w:rsidR="000E694F">
        <w:rPr>
          <w:rFonts w:asciiTheme="minorHAnsi" w:hAnsiTheme="minorHAnsi"/>
          <w:b/>
          <w:sz w:val="22"/>
          <w:szCs w:val="22"/>
        </w:rPr>
        <w:t>y</w:t>
      </w:r>
      <w:r w:rsidRPr="000E694F">
        <w:rPr>
          <w:rFonts w:asciiTheme="minorHAnsi" w:hAnsiTheme="minorHAnsi"/>
          <w:b/>
          <w:sz w:val="22"/>
          <w:szCs w:val="22"/>
        </w:rPr>
        <w:t>our view, how should ESMA specify cases where it is necessary or appropriate to prevent the evasion of any provision of EMIR for contracts entered into between counterparties located in a third country?</w:t>
      </w:r>
    </w:p>
    <w:p w:rsidR="00D83BFE" w:rsidRPr="000E694F" w:rsidRDefault="00D83BFE" w:rsidP="003B0D7D">
      <w:pPr>
        <w:rPr>
          <w:rFonts w:asciiTheme="minorHAnsi" w:hAnsiTheme="minorHAnsi"/>
          <w:b/>
          <w:sz w:val="22"/>
          <w:szCs w:val="22"/>
        </w:rPr>
      </w:pPr>
    </w:p>
    <w:p w:rsidR="00D83BFE" w:rsidRPr="000E694F" w:rsidRDefault="00D83BFE" w:rsidP="00765E53">
      <w:pPr>
        <w:rPr>
          <w:rFonts w:asciiTheme="minorHAnsi" w:hAnsiTheme="minorHAnsi"/>
          <w:sz w:val="22"/>
          <w:szCs w:val="22"/>
        </w:rPr>
      </w:pPr>
      <w:r w:rsidRPr="000E694F">
        <w:rPr>
          <w:rFonts w:asciiTheme="minorHAnsi" w:hAnsiTheme="minorHAnsi"/>
          <w:sz w:val="22"/>
          <w:szCs w:val="22"/>
        </w:rPr>
        <w:t>The specific territorial scope for EMIR remains unclear but</w:t>
      </w:r>
      <w:r w:rsidR="00765E53" w:rsidRPr="000E694F">
        <w:rPr>
          <w:rFonts w:asciiTheme="minorHAnsi" w:hAnsiTheme="minorHAnsi"/>
          <w:sz w:val="22"/>
          <w:szCs w:val="22"/>
        </w:rPr>
        <w:t xml:space="preserve"> in general it</w:t>
      </w:r>
      <w:r w:rsidRPr="000E694F">
        <w:rPr>
          <w:rFonts w:asciiTheme="minorHAnsi" w:hAnsiTheme="minorHAnsi"/>
          <w:sz w:val="22"/>
          <w:szCs w:val="22"/>
        </w:rPr>
        <w:t xml:space="preserve"> should not apply to non-EU entities of an EU firm if it is subject to local rules (article</w:t>
      </w:r>
      <w:r w:rsidR="00765E53" w:rsidRPr="000E694F">
        <w:rPr>
          <w:rFonts w:asciiTheme="minorHAnsi" w:hAnsiTheme="minorHAnsi"/>
          <w:sz w:val="22"/>
          <w:szCs w:val="22"/>
        </w:rPr>
        <w:t xml:space="preserve"> 9a establishes the principle of equivalence in third countries) in order to avoid conflicting or duplicative regulation.  </w:t>
      </w:r>
    </w:p>
    <w:p w:rsidR="000D0ED5" w:rsidRPr="000E694F" w:rsidRDefault="00D83BFE" w:rsidP="003B0D7D">
      <w:pPr>
        <w:rPr>
          <w:rFonts w:asciiTheme="minorHAnsi" w:hAnsiTheme="minorHAnsi"/>
          <w:b/>
          <w:sz w:val="22"/>
          <w:szCs w:val="22"/>
        </w:rPr>
      </w:pPr>
      <w:r w:rsidRPr="000E694F">
        <w:rPr>
          <w:rFonts w:asciiTheme="minorHAnsi" w:hAnsiTheme="minorHAnsi"/>
          <w:b/>
          <w:sz w:val="22"/>
          <w:szCs w:val="22"/>
        </w:rPr>
        <w:t xml:space="preserve"> </w:t>
      </w:r>
    </w:p>
    <w:p w:rsidR="000E694F" w:rsidRDefault="000E694F" w:rsidP="003B0D7D">
      <w:pPr>
        <w:rPr>
          <w:rFonts w:asciiTheme="minorHAnsi" w:hAnsiTheme="minorHAnsi"/>
          <w:b/>
          <w:sz w:val="22"/>
          <w:szCs w:val="22"/>
        </w:rPr>
      </w:pPr>
    </w:p>
    <w:p w:rsidR="000E694F" w:rsidRPr="001C7473" w:rsidRDefault="000E694F" w:rsidP="003B0D7D">
      <w:pPr>
        <w:rPr>
          <w:rFonts w:asciiTheme="minorHAnsi" w:hAnsiTheme="minorHAnsi"/>
          <w:b/>
          <w:sz w:val="22"/>
          <w:szCs w:val="22"/>
          <w:u w:val="single"/>
        </w:rPr>
      </w:pPr>
      <w:r w:rsidRPr="001C7473">
        <w:rPr>
          <w:rFonts w:asciiTheme="minorHAnsi" w:hAnsiTheme="minorHAnsi"/>
          <w:b/>
          <w:sz w:val="22"/>
          <w:szCs w:val="22"/>
          <w:u w:val="single"/>
        </w:rPr>
        <w:t>Types of indirect clearing arrangements</w:t>
      </w:r>
    </w:p>
    <w:p w:rsidR="000E694F" w:rsidRPr="000E694F" w:rsidRDefault="000E694F" w:rsidP="003B0D7D">
      <w:pPr>
        <w:rPr>
          <w:rFonts w:asciiTheme="minorHAnsi" w:hAnsiTheme="minorHAnsi"/>
          <w:b/>
          <w:sz w:val="22"/>
          <w:szCs w:val="22"/>
        </w:rPr>
      </w:pPr>
    </w:p>
    <w:p w:rsidR="000E694F" w:rsidRPr="000E694F" w:rsidRDefault="000E694F" w:rsidP="003B0D7D">
      <w:pPr>
        <w:rPr>
          <w:rFonts w:asciiTheme="minorHAnsi" w:hAnsiTheme="minorHAnsi"/>
          <w:b/>
          <w:sz w:val="22"/>
          <w:szCs w:val="22"/>
        </w:rPr>
      </w:pPr>
      <w:r w:rsidRPr="000E694F">
        <w:rPr>
          <w:rFonts w:asciiTheme="minorHAnsi" w:hAnsiTheme="minorHAnsi"/>
          <w:b/>
          <w:sz w:val="22"/>
          <w:szCs w:val="22"/>
        </w:rPr>
        <w:t>Q3: In your view, what should be the characteristics of these indirect contractual arrangements?</w:t>
      </w:r>
    </w:p>
    <w:p w:rsidR="000E694F" w:rsidRPr="000E694F" w:rsidRDefault="000E694F" w:rsidP="003B0D7D">
      <w:pPr>
        <w:rPr>
          <w:rFonts w:asciiTheme="minorHAnsi" w:hAnsiTheme="minorHAnsi"/>
          <w:sz w:val="22"/>
          <w:szCs w:val="22"/>
        </w:rPr>
      </w:pPr>
    </w:p>
    <w:p w:rsidR="00765E53" w:rsidRDefault="000E694F" w:rsidP="003B0D7D">
      <w:pPr>
        <w:rPr>
          <w:rFonts w:asciiTheme="minorHAnsi" w:hAnsiTheme="minorHAnsi"/>
          <w:sz w:val="22"/>
          <w:szCs w:val="22"/>
        </w:rPr>
      </w:pPr>
      <w:r w:rsidRPr="000E694F">
        <w:rPr>
          <w:rFonts w:asciiTheme="minorHAnsi" w:hAnsiTheme="minorHAnsi"/>
          <w:sz w:val="22"/>
          <w:szCs w:val="22"/>
        </w:rPr>
        <w:t xml:space="preserve"> </w:t>
      </w:r>
      <w:r>
        <w:rPr>
          <w:rFonts w:asciiTheme="minorHAnsi" w:hAnsiTheme="minorHAnsi"/>
          <w:sz w:val="22"/>
          <w:szCs w:val="22"/>
        </w:rPr>
        <w:t>We have no comments on this issue.</w:t>
      </w:r>
    </w:p>
    <w:p w:rsidR="000E694F" w:rsidRDefault="000E694F" w:rsidP="003B0D7D">
      <w:pPr>
        <w:rPr>
          <w:rFonts w:asciiTheme="minorHAnsi" w:hAnsiTheme="minorHAnsi"/>
          <w:sz w:val="22"/>
          <w:szCs w:val="22"/>
        </w:rPr>
      </w:pPr>
    </w:p>
    <w:p w:rsidR="007A1527" w:rsidRDefault="007A1527" w:rsidP="003B0D7D">
      <w:pPr>
        <w:rPr>
          <w:rFonts w:asciiTheme="minorHAnsi" w:hAnsiTheme="minorHAnsi"/>
          <w:b/>
          <w:sz w:val="22"/>
          <w:szCs w:val="22"/>
          <w:u w:val="single"/>
        </w:rPr>
      </w:pPr>
    </w:p>
    <w:p w:rsidR="000E694F" w:rsidRPr="001C7473" w:rsidRDefault="000E694F" w:rsidP="003B0D7D">
      <w:pPr>
        <w:rPr>
          <w:rFonts w:asciiTheme="minorHAnsi" w:hAnsiTheme="minorHAnsi"/>
          <w:b/>
          <w:sz w:val="22"/>
          <w:szCs w:val="22"/>
          <w:u w:val="single"/>
        </w:rPr>
      </w:pPr>
      <w:r w:rsidRPr="001C7473">
        <w:rPr>
          <w:rFonts w:asciiTheme="minorHAnsi" w:hAnsiTheme="minorHAnsi"/>
          <w:b/>
          <w:sz w:val="22"/>
          <w:szCs w:val="22"/>
          <w:u w:val="single"/>
        </w:rPr>
        <w:t>Clearing obligation procedure (Article 4)</w:t>
      </w:r>
    </w:p>
    <w:p w:rsidR="000E694F" w:rsidRPr="000E694F" w:rsidRDefault="000E694F" w:rsidP="003B0D7D">
      <w:pPr>
        <w:rPr>
          <w:rFonts w:asciiTheme="minorHAnsi" w:hAnsiTheme="minorHAnsi"/>
          <w:b/>
          <w:sz w:val="22"/>
          <w:szCs w:val="22"/>
        </w:rPr>
      </w:pPr>
    </w:p>
    <w:p w:rsidR="000E694F" w:rsidRPr="000E694F" w:rsidRDefault="000E694F" w:rsidP="003B0D7D">
      <w:pPr>
        <w:rPr>
          <w:rFonts w:asciiTheme="minorHAnsi" w:hAnsiTheme="minorHAnsi"/>
          <w:b/>
          <w:sz w:val="22"/>
          <w:szCs w:val="22"/>
        </w:rPr>
      </w:pPr>
      <w:r w:rsidRPr="000E694F">
        <w:rPr>
          <w:rFonts w:asciiTheme="minorHAnsi" w:hAnsiTheme="minorHAnsi"/>
          <w:b/>
          <w:sz w:val="22"/>
          <w:szCs w:val="22"/>
        </w:rPr>
        <w:t>Q4: What are your views on the required information? Do you have specific recommendations of specific information useful for any of the criteria? Would you recommend considering other information?</w:t>
      </w:r>
    </w:p>
    <w:p w:rsidR="000E694F" w:rsidRDefault="000E694F" w:rsidP="003B0D7D">
      <w:pPr>
        <w:rPr>
          <w:rFonts w:asciiTheme="minorHAnsi" w:hAnsiTheme="minorHAnsi"/>
          <w:sz w:val="22"/>
          <w:szCs w:val="22"/>
        </w:rPr>
      </w:pPr>
    </w:p>
    <w:p w:rsidR="007A1527" w:rsidRDefault="00573E55" w:rsidP="003B0D7D">
      <w:pPr>
        <w:rPr>
          <w:rFonts w:asciiTheme="minorHAnsi" w:hAnsiTheme="minorHAnsi"/>
          <w:sz w:val="22"/>
          <w:szCs w:val="22"/>
        </w:rPr>
      </w:pPr>
      <w:r>
        <w:rPr>
          <w:rFonts w:asciiTheme="minorHAnsi" w:hAnsiTheme="minorHAnsi"/>
          <w:sz w:val="22"/>
          <w:szCs w:val="22"/>
        </w:rPr>
        <w:t xml:space="preserve">We support the </w:t>
      </w:r>
      <w:r w:rsidR="007A1527">
        <w:rPr>
          <w:rFonts w:asciiTheme="minorHAnsi" w:hAnsiTheme="minorHAnsi"/>
          <w:sz w:val="22"/>
          <w:szCs w:val="22"/>
        </w:rPr>
        <w:t>criteria</w:t>
      </w:r>
      <w:r>
        <w:rPr>
          <w:rFonts w:asciiTheme="minorHAnsi" w:hAnsiTheme="minorHAnsi"/>
          <w:sz w:val="22"/>
          <w:szCs w:val="22"/>
        </w:rPr>
        <w:t xml:space="preserve"> identified to assess whether </w:t>
      </w:r>
      <w:r w:rsidR="007A1527">
        <w:rPr>
          <w:rFonts w:asciiTheme="minorHAnsi" w:hAnsiTheme="minorHAnsi"/>
          <w:sz w:val="22"/>
          <w:szCs w:val="22"/>
        </w:rPr>
        <w:t>a class of OTC derivatives should be subject to the clearing obligation.  However, careful consideration should be given as to whether the relevant derivative class is appropriate for any frontloading of the clearing obligation given the ability of the CCP to handle the expected volumes and the potential impact on firms’ costs and market liquidity.</w:t>
      </w:r>
      <w:r w:rsidR="00FE4C91">
        <w:rPr>
          <w:rFonts w:asciiTheme="minorHAnsi" w:hAnsiTheme="minorHAnsi"/>
          <w:sz w:val="22"/>
          <w:szCs w:val="22"/>
        </w:rPr>
        <w:t xml:space="preserve">  </w:t>
      </w:r>
      <w:r w:rsidR="00EF35EA">
        <w:rPr>
          <w:rFonts w:asciiTheme="minorHAnsi" w:hAnsiTheme="minorHAnsi"/>
          <w:sz w:val="22"/>
          <w:szCs w:val="22"/>
        </w:rPr>
        <w:t>In general, we do not support any frontloading of the clearing obligation</w:t>
      </w:r>
      <w:r w:rsidR="00FC3F7C">
        <w:rPr>
          <w:rFonts w:asciiTheme="minorHAnsi" w:hAnsiTheme="minorHAnsi"/>
          <w:sz w:val="22"/>
          <w:szCs w:val="22"/>
        </w:rPr>
        <w:t xml:space="preserve"> given the significant additional impact on firms’ costs</w:t>
      </w:r>
      <w:r w:rsidR="00EF35EA">
        <w:rPr>
          <w:rFonts w:asciiTheme="minorHAnsi" w:hAnsiTheme="minorHAnsi"/>
          <w:sz w:val="22"/>
          <w:szCs w:val="22"/>
        </w:rPr>
        <w:t>.</w:t>
      </w:r>
    </w:p>
    <w:p w:rsidR="007A1527" w:rsidRDefault="007A1527" w:rsidP="003B0D7D">
      <w:pPr>
        <w:rPr>
          <w:rFonts w:asciiTheme="minorHAnsi" w:hAnsiTheme="minorHAnsi"/>
          <w:sz w:val="22"/>
          <w:szCs w:val="22"/>
        </w:rPr>
      </w:pPr>
    </w:p>
    <w:p w:rsidR="000E694F" w:rsidRDefault="007A1527" w:rsidP="003B0D7D">
      <w:pPr>
        <w:rPr>
          <w:rFonts w:asciiTheme="minorHAnsi" w:hAnsiTheme="minorHAnsi"/>
          <w:b/>
          <w:sz w:val="22"/>
          <w:szCs w:val="22"/>
        </w:rPr>
      </w:pPr>
      <w:r w:rsidRPr="007A1527">
        <w:rPr>
          <w:rFonts w:asciiTheme="minorHAnsi" w:hAnsiTheme="minorHAnsi"/>
          <w:b/>
          <w:sz w:val="22"/>
          <w:szCs w:val="22"/>
        </w:rPr>
        <w:t xml:space="preserve">Q5: For a reasonable assessment by ESMA on the basis of the information provided in the notification, what period of time should historical data cover?   </w:t>
      </w:r>
    </w:p>
    <w:p w:rsidR="007A1527" w:rsidRDefault="007A1527" w:rsidP="003B0D7D">
      <w:pPr>
        <w:rPr>
          <w:rFonts w:asciiTheme="minorHAnsi" w:hAnsiTheme="minorHAnsi"/>
          <w:b/>
          <w:sz w:val="22"/>
          <w:szCs w:val="22"/>
        </w:rPr>
      </w:pPr>
    </w:p>
    <w:p w:rsidR="00FE4C91" w:rsidRDefault="00FE4C91" w:rsidP="00FE4C91">
      <w:pPr>
        <w:rPr>
          <w:rFonts w:asciiTheme="minorHAnsi" w:hAnsiTheme="minorHAnsi"/>
          <w:sz w:val="22"/>
          <w:szCs w:val="22"/>
        </w:rPr>
      </w:pPr>
      <w:r>
        <w:rPr>
          <w:rFonts w:asciiTheme="minorHAnsi" w:hAnsiTheme="minorHAnsi"/>
          <w:sz w:val="22"/>
          <w:szCs w:val="22"/>
        </w:rPr>
        <w:t>We have no comments on this issue.</w:t>
      </w:r>
    </w:p>
    <w:p w:rsidR="007A1527" w:rsidRDefault="007A1527" w:rsidP="003B0D7D">
      <w:pPr>
        <w:rPr>
          <w:rFonts w:asciiTheme="minorHAnsi" w:hAnsiTheme="minorHAnsi"/>
          <w:b/>
          <w:sz w:val="22"/>
          <w:szCs w:val="22"/>
        </w:rPr>
      </w:pPr>
    </w:p>
    <w:p w:rsidR="00FE4C91" w:rsidRDefault="00FE4C91" w:rsidP="003B0D7D">
      <w:pPr>
        <w:rPr>
          <w:rFonts w:asciiTheme="minorHAnsi" w:hAnsiTheme="minorHAnsi"/>
          <w:b/>
          <w:sz w:val="22"/>
          <w:szCs w:val="22"/>
        </w:rPr>
      </w:pPr>
      <w:r>
        <w:rPr>
          <w:rFonts w:asciiTheme="minorHAnsi" w:hAnsiTheme="minorHAnsi"/>
          <w:b/>
          <w:sz w:val="22"/>
          <w:szCs w:val="22"/>
        </w:rPr>
        <w:t>Q6: What are your views on the review process following a negative assessment?</w:t>
      </w:r>
    </w:p>
    <w:p w:rsidR="00FE4C91" w:rsidRDefault="00FE4C91" w:rsidP="003B0D7D">
      <w:pPr>
        <w:rPr>
          <w:rFonts w:asciiTheme="minorHAnsi" w:hAnsiTheme="minorHAnsi"/>
          <w:b/>
          <w:sz w:val="22"/>
          <w:szCs w:val="22"/>
        </w:rPr>
      </w:pPr>
    </w:p>
    <w:p w:rsidR="00FE4C91" w:rsidRDefault="004B1C55" w:rsidP="003B0D7D">
      <w:pPr>
        <w:rPr>
          <w:rFonts w:asciiTheme="minorHAnsi" w:hAnsiTheme="minorHAnsi"/>
          <w:sz w:val="22"/>
          <w:szCs w:val="22"/>
        </w:rPr>
      </w:pPr>
      <w:r w:rsidRPr="004B1C55">
        <w:rPr>
          <w:rFonts w:asciiTheme="minorHAnsi" w:hAnsiTheme="minorHAnsi"/>
          <w:sz w:val="22"/>
          <w:szCs w:val="22"/>
        </w:rPr>
        <w:t>We agree with the process outlined in the Discussion Paper.</w:t>
      </w:r>
      <w:r w:rsidR="00FE4C91" w:rsidRPr="004B1C55">
        <w:rPr>
          <w:rFonts w:asciiTheme="minorHAnsi" w:hAnsiTheme="minorHAnsi"/>
          <w:sz w:val="22"/>
          <w:szCs w:val="22"/>
        </w:rPr>
        <w:t xml:space="preserve"> </w:t>
      </w:r>
    </w:p>
    <w:p w:rsidR="004B1C55" w:rsidRDefault="004B1C55" w:rsidP="003B0D7D">
      <w:pPr>
        <w:rPr>
          <w:rFonts w:asciiTheme="minorHAnsi" w:hAnsiTheme="minorHAnsi"/>
          <w:sz w:val="22"/>
          <w:szCs w:val="22"/>
        </w:rPr>
      </w:pPr>
    </w:p>
    <w:p w:rsidR="004B1C55" w:rsidRPr="004B1C55" w:rsidRDefault="004B1C55" w:rsidP="003B0D7D">
      <w:pPr>
        <w:rPr>
          <w:rFonts w:asciiTheme="minorHAnsi" w:hAnsiTheme="minorHAnsi"/>
          <w:b/>
          <w:sz w:val="22"/>
          <w:szCs w:val="22"/>
        </w:rPr>
      </w:pPr>
      <w:r w:rsidRPr="004B1C55">
        <w:rPr>
          <w:rFonts w:asciiTheme="minorHAnsi" w:hAnsiTheme="minorHAnsi"/>
          <w:b/>
          <w:sz w:val="22"/>
          <w:szCs w:val="22"/>
        </w:rPr>
        <w:t xml:space="preserve">Q7: What are your views regarding the specifications for assessing </w:t>
      </w:r>
      <w:r>
        <w:rPr>
          <w:rFonts w:asciiTheme="minorHAnsi" w:hAnsiTheme="minorHAnsi"/>
          <w:b/>
          <w:sz w:val="22"/>
          <w:szCs w:val="22"/>
        </w:rPr>
        <w:t>standardisation</w:t>
      </w:r>
      <w:r w:rsidRPr="004B1C55">
        <w:rPr>
          <w:rFonts w:asciiTheme="minorHAnsi" w:hAnsiTheme="minorHAnsi"/>
          <w:b/>
          <w:sz w:val="22"/>
          <w:szCs w:val="22"/>
        </w:rPr>
        <w:t>, volume and liquidity and availability of pricing information?</w:t>
      </w:r>
    </w:p>
    <w:p w:rsidR="004B1C55" w:rsidRDefault="004B1C55" w:rsidP="003B0D7D">
      <w:pPr>
        <w:rPr>
          <w:rFonts w:asciiTheme="minorHAnsi" w:hAnsiTheme="minorHAnsi"/>
          <w:sz w:val="22"/>
          <w:szCs w:val="22"/>
        </w:rPr>
      </w:pPr>
    </w:p>
    <w:p w:rsidR="004B1C55" w:rsidRDefault="004B1C55" w:rsidP="003B0D7D">
      <w:pPr>
        <w:rPr>
          <w:rFonts w:asciiTheme="minorHAnsi" w:hAnsiTheme="minorHAnsi"/>
          <w:sz w:val="22"/>
          <w:szCs w:val="22"/>
        </w:rPr>
      </w:pPr>
      <w:r>
        <w:rPr>
          <w:rFonts w:asciiTheme="minorHAnsi" w:hAnsiTheme="minorHAnsi"/>
          <w:sz w:val="22"/>
          <w:szCs w:val="22"/>
        </w:rPr>
        <w:lastRenderedPageBreak/>
        <w:t>We agree with the approach outlined in the Discussion Paper.</w:t>
      </w:r>
    </w:p>
    <w:p w:rsidR="004B1C55" w:rsidRDefault="004B1C55" w:rsidP="003B0D7D">
      <w:pPr>
        <w:rPr>
          <w:rFonts w:asciiTheme="minorHAnsi" w:hAnsiTheme="minorHAnsi"/>
          <w:sz w:val="22"/>
          <w:szCs w:val="22"/>
        </w:rPr>
      </w:pPr>
    </w:p>
    <w:p w:rsidR="004B1C55" w:rsidRPr="004B1C55" w:rsidRDefault="004B1C55" w:rsidP="003B0D7D">
      <w:pPr>
        <w:rPr>
          <w:rFonts w:asciiTheme="minorHAnsi" w:hAnsiTheme="minorHAnsi"/>
          <w:b/>
          <w:sz w:val="22"/>
          <w:szCs w:val="22"/>
        </w:rPr>
      </w:pPr>
      <w:r w:rsidRPr="004B1C55">
        <w:rPr>
          <w:rFonts w:asciiTheme="minorHAnsi" w:hAnsiTheme="minorHAnsi"/>
          <w:b/>
          <w:sz w:val="22"/>
          <w:szCs w:val="22"/>
        </w:rPr>
        <w:t>Q8: What are your views regarding the details to be included in the ESMA Register of classes of derivatives subject to the clearing obligation (Article 4b)?</w:t>
      </w:r>
    </w:p>
    <w:p w:rsidR="004B1C55" w:rsidRDefault="004B1C55" w:rsidP="003B0D7D">
      <w:pPr>
        <w:rPr>
          <w:rFonts w:asciiTheme="minorHAnsi" w:hAnsiTheme="minorHAnsi"/>
          <w:sz w:val="22"/>
          <w:szCs w:val="22"/>
        </w:rPr>
      </w:pPr>
    </w:p>
    <w:p w:rsidR="004B1C55" w:rsidRDefault="004B1C55" w:rsidP="003B0D7D">
      <w:pPr>
        <w:rPr>
          <w:rFonts w:asciiTheme="minorHAnsi" w:hAnsiTheme="minorHAnsi"/>
          <w:sz w:val="22"/>
          <w:szCs w:val="22"/>
        </w:rPr>
      </w:pPr>
      <w:r>
        <w:rPr>
          <w:rFonts w:asciiTheme="minorHAnsi" w:hAnsiTheme="minorHAnsi"/>
          <w:sz w:val="22"/>
          <w:szCs w:val="22"/>
        </w:rPr>
        <w:t xml:space="preserve">ESMA should </w:t>
      </w:r>
      <w:r w:rsidR="00E71DF7">
        <w:rPr>
          <w:rFonts w:asciiTheme="minorHAnsi" w:hAnsiTheme="minorHAnsi"/>
          <w:sz w:val="22"/>
          <w:szCs w:val="22"/>
        </w:rPr>
        <w:t>include</w:t>
      </w:r>
      <w:r>
        <w:rPr>
          <w:rFonts w:asciiTheme="minorHAnsi" w:hAnsiTheme="minorHAnsi"/>
          <w:sz w:val="22"/>
          <w:szCs w:val="22"/>
        </w:rPr>
        <w:t xml:space="preserve"> details of any notification made to it by a competent </w:t>
      </w:r>
      <w:r w:rsidR="00E71DF7">
        <w:rPr>
          <w:rFonts w:asciiTheme="minorHAnsi" w:hAnsiTheme="minorHAnsi"/>
          <w:sz w:val="22"/>
          <w:szCs w:val="22"/>
        </w:rPr>
        <w:t>authority</w:t>
      </w:r>
      <w:r>
        <w:rPr>
          <w:rFonts w:asciiTheme="minorHAnsi" w:hAnsiTheme="minorHAnsi"/>
          <w:sz w:val="22"/>
          <w:szCs w:val="22"/>
        </w:rPr>
        <w:t xml:space="preserve"> as soon as the notification is received in order to ensure market participants are made aware of the request to designate a class of </w:t>
      </w:r>
      <w:r w:rsidR="00E71DF7">
        <w:rPr>
          <w:rFonts w:asciiTheme="minorHAnsi" w:hAnsiTheme="minorHAnsi"/>
          <w:sz w:val="22"/>
          <w:szCs w:val="22"/>
        </w:rPr>
        <w:t>derivative</w:t>
      </w:r>
      <w:r>
        <w:rPr>
          <w:rFonts w:asciiTheme="minorHAnsi" w:hAnsiTheme="minorHAnsi"/>
          <w:sz w:val="22"/>
          <w:szCs w:val="22"/>
        </w:rPr>
        <w:t xml:space="preserve"> as </w:t>
      </w:r>
      <w:r w:rsidR="00E71DF7">
        <w:rPr>
          <w:rFonts w:asciiTheme="minorHAnsi" w:hAnsiTheme="minorHAnsi"/>
          <w:sz w:val="22"/>
          <w:szCs w:val="22"/>
        </w:rPr>
        <w:t>suitable</w:t>
      </w:r>
      <w:r>
        <w:rPr>
          <w:rFonts w:asciiTheme="minorHAnsi" w:hAnsiTheme="minorHAnsi"/>
          <w:sz w:val="22"/>
          <w:szCs w:val="22"/>
        </w:rPr>
        <w:t xml:space="preserve"> for </w:t>
      </w:r>
      <w:r w:rsidR="00E71DF7">
        <w:rPr>
          <w:rFonts w:asciiTheme="minorHAnsi" w:hAnsiTheme="minorHAnsi"/>
          <w:sz w:val="22"/>
          <w:szCs w:val="22"/>
        </w:rPr>
        <w:t>central</w:t>
      </w:r>
      <w:r>
        <w:rPr>
          <w:rFonts w:asciiTheme="minorHAnsi" w:hAnsiTheme="minorHAnsi"/>
          <w:sz w:val="22"/>
          <w:szCs w:val="22"/>
        </w:rPr>
        <w:t xml:space="preserve"> clearing.</w:t>
      </w:r>
      <w:r w:rsidR="00E71DF7">
        <w:rPr>
          <w:rFonts w:asciiTheme="minorHAnsi" w:hAnsiTheme="minorHAnsi"/>
          <w:sz w:val="22"/>
          <w:szCs w:val="22"/>
        </w:rPr>
        <w:t xml:space="preserve">  If there are delays in publishing notifications then market participants could enter into derivative contracts on different pricing considerations than those that would subsequently be relevant when fulfilling a clearing requirement.</w:t>
      </w:r>
      <w:r>
        <w:rPr>
          <w:rFonts w:asciiTheme="minorHAnsi" w:hAnsiTheme="minorHAnsi"/>
          <w:sz w:val="22"/>
          <w:szCs w:val="22"/>
        </w:rPr>
        <w:t xml:space="preserve"> </w:t>
      </w:r>
    </w:p>
    <w:p w:rsidR="004B1C55" w:rsidRDefault="004B1C55" w:rsidP="003B0D7D">
      <w:pPr>
        <w:rPr>
          <w:rFonts w:asciiTheme="minorHAnsi" w:hAnsiTheme="minorHAnsi"/>
          <w:sz w:val="22"/>
          <w:szCs w:val="22"/>
        </w:rPr>
      </w:pPr>
      <w:r>
        <w:rPr>
          <w:rFonts w:asciiTheme="minorHAnsi" w:hAnsiTheme="minorHAnsi"/>
          <w:sz w:val="22"/>
          <w:szCs w:val="22"/>
        </w:rPr>
        <w:t xml:space="preserve"> </w:t>
      </w:r>
    </w:p>
    <w:p w:rsidR="00E71DF7" w:rsidRPr="00E71DF7" w:rsidRDefault="00E71DF7" w:rsidP="003B0D7D">
      <w:pPr>
        <w:rPr>
          <w:rFonts w:asciiTheme="minorHAnsi" w:hAnsiTheme="minorHAnsi"/>
          <w:b/>
          <w:sz w:val="22"/>
          <w:szCs w:val="22"/>
        </w:rPr>
      </w:pPr>
      <w:r w:rsidRPr="00E71DF7">
        <w:rPr>
          <w:rFonts w:asciiTheme="minorHAnsi" w:hAnsiTheme="minorHAnsi"/>
          <w:b/>
          <w:sz w:val="22"/>
          <w:szCs w:val="22"/>
        </w:rPr>
        <w:t xml:space="preserve">Q9: Do you consider that the data above sufficiently identifies a class of derivatives subject to the clearing obligation and the CCPs </w:t>
      </w:r>
      <w:r>
        <w:rPr>
          <w:rFonts w:asciiTheme="minorHAnsi" w:hAnsiTheme="minorHAnsi"/>
          <w:b/>
          <w:sz w:val="22"/>
          <w:szCs w:val="22"/>
        </w:rPr>
        <w:t>authoris</w:t>
      </w:r>
      <w:r w:rsidRPr="00E71DF7">
        <w:rPr>
          <w:rFonts w:asciiTheme="minorHAnsi" w:hAnsiTheme="minorHAnsi"/>
          <w:b/>
          <w:sz w:val="22"/>
          <w:szCs w:val="22"/>
        </w:rPr>
        <w:t xml:space="preserve">ed or </w:t>
      </w:r>
      <w:r>
        <w:rPr>
          <w:rFonts w:asciiTheme="minorHAnsi" w:hAnsiTheme="minorHAnsi"/>
          <w:b/>
          <w:sz w:val="22"/>
          <w:szCs w:val="22"/>
        </w:rPr>
        <w:t>recognis</w:t>
      </w:r>
      <w:r w:rsidRPr="00E71DF7">
        <w:rPr>
          <w:rFonts w:asciiTheme="minorHAnsi" w:hAnsiTheme="minorHAnsi"/>
          <w:b/>
          <w:sz w:val="22"/>
          <w:szCs w:val="22"/>
        </w:rPr>
        <w:t>ed to clear the classes of derivatives subject to the clearing obligation?</w:t>
      </w:r>
    </w:p>
    <w:p w:rsidR="00E71DF7" w:rsidRDefault="00E71DF7" w:rsidP="003B0D7D">
      <w:pPr>
        <w:rPr>
          <w:rFonts w:asciiTheme="minorHAnsi" w:hAnsiTheme="minorHAnsi"/>
          <w:sz w:val="22"/>
          <w:szCs w:val="22"/>
        </w:rPr>
      </w:pPr>
    </w:p>
    <w:p w:rsidR="00E71DF7" w:rsidRDefault="00E71DF7" w:rsidP="00E71DF7">
      <w:pPr>
        <w:rPr>
          <w:rFonts w:asciiTheme="minorHAnsi" w:hAnsiTheme="minorHAnsi"/>
          <w:sz w:val="22"/>
          <w:szCs w:val="22"/>
        </w:rPr>
      </w:pPr>
      <w:r>
        <w:rPr>
          <w:rFonts w:asciiTheme="minorHAnsi" w:hAnsiTheme="minorHAnsi"/>
          <w:sz w:val="22"/>
          <w:szCs w:val="22"/>
        </w:rPr>
        <w:t>We agree with the approach outlined in the Discussion Paper.</w:t>
      </w:r>
    </w:p>
    <w:p w:rsidR="00E71DF7" w:rsidRDefault="00E71DF7" w:rsidP="003B0D7D">
      <w:pPr>
        <w:rPr>
          <w:rFonts w:asciiTheme="minorHAnsi" w:hAnsiTheme="minorHAnsi"/>
          <w:sz w:val="22"/>
          <w:szCs w:val="22"/>
        </w:rPr>
      </w:pPr>
    </w:p>
    <w:p w:rsidR="00E71DF7" w:rsidRDefault="00E71DF7" w:rsidP="003B0D7D">
      <w:pPr>
        <w:rPr>
          <w:rFonts w:asciiTheme="minorHAnsi" w:hAnsiTheme="minorHAnsi"/>
          <w:b/>
          <w:sz w:val="22"/>
          <w:szCs w:val="22"/>
          <w:u w:val="single"/>
        </w:rPr>
      </w:pPr>
    </w:p>
    <w:p w:rsidR="00E71DF7" w:rsidRPr="00E71DF7" w:rsidRDefault="00E71DF7" w:rsidP="003B0D7D">
      <w:pPr>
        <w:rPr>
          <w:rFonts w:asciiTheme="minorHAnsi" w:hAnsiTheme="minorHAnsi"/>
          <w:b/>
          <w:sz w:val="22"/>
          <w:szCs w:val="22"/>
          <w:u w:val="single"/>
        </w:rPr>
      </w:pPr>
      <w:r w:rsidRPr="00E71DF7">
        <w:rPr>
          <w:rFonts w:asciiTheme="minorHAnsi" w:hAnsiTheme="minorHAnsi"/>
          <w:b/>
          <w:sz w:val="22"/>
          <w:szCs w:val="22"/>
          <w:u w:val="single"/>
        </w:rPr>
        <w:t>Non financial counterparties (Article 5 &amp; 7)</w:t>
      </w:r>
    </w:p>
    <w:p w:rsidR="00E71DF7" w:rsidRDefault="00E71DF7" w:rsidP="003B0D7D">
      <w:pPr>
        <w:rPr>
          <w:rFonts w:asciiTheme="minorHAnsi" w:hAnsiTheme="minorHAnsi"/>
          <w:sz w:val="22"/>
          <w:szCs w:val="22"/>
        </w:rPr>
      </w:pPr>
    </w:p>
    <w:p w:rsidR="00E71DF7" w:rsidRPr="00843926" w:rsidRDefault="00843926" w:rsidP="003B0D7D">
      <w:pPr>
        <w:rPr>
          <w:rFonts w:asciiTheme="minorHAnsi" w:hAnsiTheme="minorHAnsi"/>
          <w:b/>
          <w:sz w:val="22"/>
          <w:szCs w:val="22"/>
        </w:rPr>
      </w:pPr>
      <w:r w:rsidRPr="00843926">
        <w:rPr>
          <w:rFonts w:asciiTheme="minorHAnsi" w:hAnsiTheme="minorHAnsi"/>
          <w:b/>
          <w:sz w:val="22"/>
          <w:szCs w:val="22"/>
        </w:rPr>
        <w:t>Q10: In your view does the above definition appropriately capture the derivative contracts that are objectively measurable as reducing risk directly related to the commercial or treasury financing activity?</w:t>
      </w:r>
    </w:p>
    <w:p w:rsidR="00843926" w:rsidRDefault="00843926" w:rsidP="003B0D7D">
      <w:pPr>
        <w:rPr>
          <w:rFonts w:asciiTheme="minorHAnsi" w:hAnsiTheme="minorHAnsi"/>
          <w:sz w:val="22"/>
          <w:szCs w:val="22"/>
        </w:rPr>
      </w:pPr>
    </w:p>
    <w:p w:rsidR="0060491B" w:rsidRDefault="00585345" w:rsidP="003B0D7D">
      <w:pPr>
        <w:rPr>
          <w:rFonts w:asciiTheme="minorHAnsi" w:hAnsiTheme="minorHAnsi"/>
          <w:sz w:val="22"/>
          <w:szCs w:val="22"/>
          <w:lang w:val="en-GB"/>
        </w:rPr>
      </w:pPr>
      <w:r>
        <w:rPr>
          <w:rFonts w:asciiTheme="minorHAnsi" w:hAnsiTheme="minorHAnsi"/>
          <w:sz w:val="22"/>
          <w:szCs w:val="22"/>
        </w:rPr>
        <w:t>T</w:t>
      </w:r>
      <w:r w:rsidR="00843926">
        <w:rPr>
          <w:rFonts w:asciiTheme="minorHAnsi" w:hAnsiTheme="minorHAnsi"/>
          <w:sz w:val="22"/>
          <w:szCs w:val="22"/>
        </w:rPr>
        <w:t>he proposed definition of transactions that objectively reduce commercial or treasury risk is a useful starting point.  However, it is important to make clear that the definition covers anticipatory hedging of future risk and commercial activities (i.e. it is not</w:t>
      </w:r>
      <w:r>
        <w:rPr>
          <w:rFonts w:asciiTheme="minorHAnsi" w:hAnsiTheme="minorHAnsi"/>
          <w:sz w:val="22"/>
          <w:szCs w:val="22"/>
        </w:rPr>
        <w:t xml:space="preserve"> limited to</w:t>
      </w:r>
      <w:r w:rsidR="00843926">
        <w:rPr>
          <w:rFonts w:asciiTheme="minorHAnsi" w:hAnsiTheme="minorHAnsi"/>
          <w:sz w:val="22"/>
          <w:szCs w:val="22"/>
        </w:rPr>
        <w:t xml:space="preserve"> risk</w:t>
      </w:r>
      <w:r>
        <w:rPr>
          <w:rFonts w:asciiTheme="minorHAnsi" w:hAnsiTheme="minorHAnsi"/>
          <w:sz w:val="22"/>
          <w:szCs w:val="22"/>
        </w:rPr>
        <w:t>s</w:t>
      </w:r>
      <w:r w:rsidR="00843926">
        <w:rPr>
          <w:rFonts w:asciiTheme="minorHAnsi" w:hAnsiTheme="minorHAnsi"/>
          <w:sz w:val="22"/>
          <w:szCs w:val="22"/>
        </w:rPr>
        <w:t xml:space="preserve"> that have</w:t>
      </w:r>
      <w:r>
        <w:rPr>
          <w:rFonts w:asciiTheme="minorHAnsi" w:hAnsiTheme="minorHAnsi"/>
          <w:sz w:val="22"/>
          <w:szCs w:val="22"/>
        </w:rPr>
        <w:t xml:space="preserve"> already</w:t>
      </w:r>
      <w:r w:rsidR="00843926">
        <w:rPr>
          <w:rFonts w:asciiTheme="minorHAnsi" w:hAnsiTheme="minorHAnsi"/>
          <w:sz w:val="22"/>
          <w:szCs w:val="22"/>
        </w:rPr>
        <w:t xml:space="preserve"> crystallised).  </w:t>
      </w:r>
      <w:r w:rsidR="00843926" w:rsidRPr="00843926">
        <w:rPr>
          <w:rFonts w:asciiTheme="minorHAnsi" w:hAnsiTheme="minorHAnsi"/>
          <w:sz w:val="22"/>
          <w:szCs w:val="22"/>
          <w:lang w:val="en-GB"/>
        </w:rPr>
        <w:t>This definition</w:t>
      </w:r>
      <w:r>
        <w:rPr>
          <w:rFonts w:asciiTheme="minorHAnsi" w:hAnsiTheme="minorHAnsi"/>
          <w:sz w:val="22"/>
          <w:szCs w:val="22"/>
          <w:lang w:val="en-GB"/>
        </w:rPr>
        <w:t xml:space="preserve"> </w:t>
      </w:r>
      <w:r w:rsidR="00843926" w:rsidRPr="00843926">
        <w:rPr>
          <w:rFonts w:asciiTheme="minorHAnsi" w:hAnsiTheme="minorHAnsi"/>
          <w:sz w:val="22"/>
          <w:szCs w:val="22"/>
          <w:lang w:val="en-GB"/>
        </w:rPr>
        <w:t xml:space="preserve">should be consistent with </w:t>
      </w:r>
      <w:r>
        <w:rPr>
          <w:rFonts w:asciiTheme="minorHAnsi" w:hAnsiTheme="minorHAnsi"/>
          <w:sz w:val="22"/>
          <w:szCs w:val="22"/>
          <w:lang w:val="en-GB"/>
        </w:rPr>
        <w:t xml:space="preserve">the approach taken to the definition of ancillary activity in the EC’s proposals for revisions to MiFID.   </w:t>
      </w:r>
      <w:r w:rsidR="00843926" w:rsidRPr="00843926">
        <w:rPr>
          <w:rFonts w:asciiTheme="minorHAnsi" w:hAnsiTheme="minorHAnsi"/>
          <w:sz w:val="22"/>
          <w:szCs w:val="22"/>
          <w:lang w:val="en-GB"/>
        </w:rPr>
        <w:t xml:space="preserve"> </w:t>
      </w:r>
    </w:p>
    <w:p w:rsidR="007C794E" w:rsidRDefault="007C794E">
      <w:pPr>
        <w:rPr>
          <w:rFonts w:asciiTheme="minorHAnsi" w:hAnsiTheme="minorHAnsi"/>
          <w:color w:val="000000"/>
          <w:sz w:val="22"/>
          <w:szCs w:val="22"/>
        </w:rPr>
      </w:pPr>
    </w:p>
    <w:p w:rsidR="00A87CD7" w:rsidRDefault="0060491B">
      <w:pPr>
        <w:rPr>
          <w:rFonts w:asciiTheme="minorHAnsi" w:hAnsiTheme="minorHAnsi"/>
          <w:color w:val="000000"/>
          <w:sz w:val="22"/>
          <w:szCs w:val="22"/>
        </w:rPr>
      </w:pPr>
      <w:r>
        <w:rPr>
          <w:rFonts w:asciiTheme="minorHAnsi" w:hAnsiTheme="minorHAnsi"/>
          <w:color w:val="000000"/>
          <w:sz w:val="22"/>
          <w:szCs w:val="22"/>
        </w:rPr>
        <w:t>Fluctuation in</w:t>
      </w:r>
      <w:r w:rsidR="008A4CB5" w:rsidRPr="008A4CB5">
        <w:rPr>
          <w:rFonts w:asciiTheme="minorHAnsi" w:hAnsiTheme="minorHAnsi"/>
          <w:color w:val="000000"/>
          <w:sz w:val="22"/>
          <w:szCs w:val="22"/>
        </w:rPr>
        <w:t xml:space="preserve"> commodity prices is </w:t>
      </w:r>
      <w:r>
        <w:rPr>
          <w:rFonts w:asciiTheme="minorHAnsi" w:hAnsiTheme="minorHAnsi"/>
          <w:color w:val="000000"/>
          <w:sz w:val="22"/>
          <w:szCs w:val="22"/>
        </w:rPr>
        <w:t xml:space="preserve">an additional commercial risk which should be included in </w:t>
      </w:r>
      <w:r w:rsidRPr="0060491B">
        <w:rPr>
          <w:rFonts w:asciiTheme="minorHAnsi" w:hAnsiTheme="minorHAnsi"/>
          <w:color w:val="000000"/>
          <w:sz w:val="22"/>
          <w:szCs w:val="22"/>
        </w:rPr>
        <w:t>the</w:t>
      </w:r>
      <w:r w:rsidR="008A4CB5" w:rsidRPr="008A4CB5">
        <w:rPr>
          <w:rFonts w:asciiTheme="minorHAnsi" w:hAnsiTheme="minorHAnsi"/>
          <w:color w:val="000000"/>
          <w:sz w:val="22"/>
          <w:szCs w:val="22"/>
        </w:rPr>
        <w:t xml:space="preserve"> definition</w:t>
      </w:r>
      <w:r>
        <w:rPr>
          <w:rFonts w:asciiTheme="minorHAnsi" w:hAnsiTheme="minorHAnsi"/>
          <w:color w:val="000000"/>
          <w:sz w:val="22"/>
          <w:szCs w:val="22"/>
        </w:rPr>
        <w:t xml:space="preserve"> given it is explicitly referenced in the preamble of EMIR (no 16). </w:t>
      </w:r>
    </w:p>
    <w:p w:rsidR="00525D8F" w:rsidRPr="00525D8F" w:rsidRDefault="00525D8F" w:rsidP="003B0D7D">
      <w:pPr>
        <w:rPr>
          <w:rFonts w:asciiTheme="minorHAnsi" w:hAnsiTheme="minorHAnsi"/>
          <w:sz w:val="22"/>
          <w:szCs w:val="22"/>
        </w:rPr>
      </w:pPr>
    </w:p>
    <w:p w:rsidR="00A87CD7" w:rsidRDefault="002630BC">
      <w:pPr>
        <w:rPr>
          <w:rFonts w:asciiTheme="minorHAnsi" w:hAnsiTheme="minorHAnsi"/>
          <w:sz w:val="22"/>
          <w:szCs w:val="22"/>
          <w:lang w:val="en-GB"/>
        </w:rPr>
      </w:pPr>
      <w:r>
        <w:rPr>
          <w:rFonts w:asciiTheme="minorHAnsi" w:hAnsiTheme="minorHAnsi"/>
          <w:sz w:val="22"/>
          <w:szCs w:val="22"/>
          <w:lang w:val="en-GB"/>
        </w:rPr>
        <w:t xml:space="preserve">We </w:t>
      </w:r>
      <w:r>
        <w:rPr>
          <w:rFonts w:asciiTheme="minorHAnsi" w:hAnsiTheme="minorHAnsi"/>
          <w:color w:val="000000"/>
          <w:sz w:val="22"/>
          <w:szCs w:val="22"/>
          <w:lang w:val="en-GB"/>
        </w:rPr>
        <w:t>think</w:t>
      </w:r>
      <w:r w:rsidRPr="00843926">
        <w:rPr>
          <w:rFonts w:asciiTheme="minorHAnsi" w:hAnsiTheme="minorHAnsi"/>
          <w:color w:val="000000"/>
          <w:sz w:val="22"/>
          <w:szCs w:val="22"/>
          <w:lang w:val="en-GB"/>
        </w:rPr>
        <w:t xml:space="preserve"> it</w:t>
      </w:r>
      <w:r>
        <w:rPr>
          <w:rFonts w:asciiTheme="minorHAnsi" w:hAnsiTheme="minorHAnsi"/>
          <w:color w:val="000000"/>
          <w:sz w:val="22"/>
          <w:szCs w:val="22"/>
          <w:lang w:val="en-GB"/>
        </w:rPr>
        <w:t xml:space="preserve"> is more</w:t>
      </w:r>
      <w:r w:rsidRPr="00843926">
        <w:rPr>
          <w:rFonts w:asciiTheme="minorHAnsi" w:hAnsiTheme="minorHAnsi"/>
          <w:color w:val="000000"/>
          <w:sz w:val="22"/>
          <w:szCs w:val="22"/>
          <w:lang w:val="en-GB"/>
        </w:rPr>
        <w:t xml:space="preserve"> appropriate to maintain a broad, single </w:t>
      </w:r>
      <w:r w:rsidR="00525D8F">
        <w:rPr>
          <w:rFonts w:asciiTheme="minorHAnsi" w:hAnsiTheme="minorHAnsi"/>
          <w:color w:val="000000"/>
          <w:sz w:val="22"/>
          <w:szCs w:val="22"/>
          <w:lang w:val="en-GB"/>
        </w:rPr>
        <w:t>‘</w:t>
      </w:r>
      <w:r w:rsidRPr="00843926">
        <w:rPr>
          <w:rFonts w:asciiTheme="minorHAnsi" w:hAnsiTheme="minorHAnsi"/>
          <w:color w:val="000000"/>
          <w:sz w:val="22"/>
          <w:szCs w:val="22"/>
          <w:lang w:val="en-GB"/>
        </w:rPr>
        <w:t>hedging</w:t>
      </w:r>
      <w:r w:rsidR="00525D8F">
        <w:rPr>
          <w:rFonts w:asciiTheme="minorHAnsi" w:hAnsiTheme="minorHAnsi"/>
          <w:color w:val="000000"/>
          <w:sz w:val="22"/>
          <w:szCs w:val="22"/>
          <w:lang w:val="en-GB"/>
        </w:rPr>
        <w:t>’</w:t>
      </w:r>
      <w:r w:rsidRPr="00843926">
        <w:rPr>
          <w:rFonts w:asciiTheme="minorHAnsi" w:hAnsiTheme="minorHAnsi"/>
          <w:color w:val="000000"/>
          <w:sz w:val="22"/>
          <w:szCs w:val="22"/>
          <w:lang w:val="en-GB"/>
        </w:rPr>
        <w:t xml:space="preserve"> category in EMIR, which would be easier to </w:t>
      </w:r>
      <w:r w:rsidRPr="00B364F2">
        <w:rPr>
          <w:rFonts w:asciiTheme="minorHAnsi" w:hAnsiTheme="minorHAnsi"/>
          <w:color w:val="000000"/>
          <w:sz w:val="22"/>
          <w:szCs w:val="22"/>
          <w:lang w:val="en-GB"/>
        </w:rPr>
        <w:t>implement compared</w:t>
      </w:r>
      <w:r w:rsidRPr="00843926">
        <w:rPr>
          <w:rFonts w:asciiTheme="minorHAnsi" w:hAnsiTheme="minorHAnsi"/>
          <w:color w:val="000000"/>
          <w:sz w:val="22"/>
          <w:szCs w:val="22"/>
          <w:lang w:val="en-GB"/>
        </w:rPr>
        <w:t xml:space="preserve"> to different specific hedging categories like those that exist under the Dodd Frank Act.</w:t>
      </w:r>
      <w:r>
        <w:rPr>
          <w:rFonts w:asciiTheme="minorHAnsi" w:hAnsiTheme="minorHAnsi"/>
          <w:color w:val="000000"/>
          <w:sz w:val="22"/>
          <w:szCs w:val="22"/>
          <w:lang w:val="en-GB"/>
        </w:rPr>
        <w:t xml:space="preserve">  </w:t>
      </w:r>
      <w:r>
        <w:rPr>
          <w:rFonts w:asciiTheme="minorHAnsi" w:hAnsiTheme="minorHAnsi"/>
          <w:sz w:val="22"/>
          <w:szCs w:val="22"/>
        </w:rPr>
        <w:t>Firms should retain flexibility in how they impleme</w:t>
      </w:r>
      <w:r w:rsidR="007C794E">
        <w:rPr>
          <w:rFonts w:asciiTheme="minorHAnsi" w:hAnsiTheme="minorHAnsi"/>
          <w:sz w:val="22"/>
          <w:szCs w:val="22"/>
        </w:rPr>
        <w:t xml:space="preserve">nt the definition within their </w:t>
      </w:r>
      <w:r>
        <w:rPr>
          <w:rFonts w:asciiTheme="minorHAnsi" w:hAnsiTheme="minorHAnsi"/>
          <w:sz w:val="22"/>
          <w:szCs w:val="22"/>
        </w:rPr>
        <w:t xml:space="preserve">systems and processes as the approach may differ depending on internal organisational and trading arrangements.  </w:t>
      </w:r>
    </w:p>
    <w:p w:rsidR="007C794E" w:rsidRDefault="007C794E" w:rsidP="00843926">
      <w:pPr>
        <w:rPr>
          <w:rFonts w:asciiTheme="minorHAnsi" w:hAnsiTheme="minorHAnsi"/>
          <w:sz w:val="22"/>
          <w:szCs w:val="22"/>
        </w:rPr>
      </w:pPr>
    </w:p>
    <w:p w:rsidR="0078613A" w:rsidRDefault="00B364F2" w:rsidP="00843926">
      <w:pPr>
        <w:rPr>
          <w:rFonts w:asciiTheme="minorHAnsi" w:hAnsiTheme="minorHAnsi"/>
          <w:sz w:val="22"/>
          <w:szCs w:val="22"/>
        </w:rPr>
      </w:pPr>
      <w:r>
        <w:rPr>
          <w:rFonts w:asciiTheme="minorHAnsi" w:hAnsiTheme="minorHAnsi"/>
          <w:sz w:val="22"/>
          <w:szCs w:val="22"/>
        </w:rPr>
        <w:t>It should also be made clear that although ISA 39 is provided as an option for firms to classify their hedging activity, an accounting approach should not be seen as the only method for implementing the definition</w:t>
      </w:r>
      <w:r w:rsidR="007C794E">
        <w:rPr>
          <w:rFonts w:asciiTheme="minorHAnsi" w:hAnsiTheme="minorHAnsi"/>
          <w:sz w:val="22"/>
          <w:szCs w:val="22"/>
        </w:rPr>
        <w:t>.</w:t>
      </w:r>
    </w:p>
    <w:p w:rsidR="007C794E" w:rsidRDefault="007C794E" w:rsidP="00843926">
      <w:pPr>
        <w:rPr>
          <w:rFonts w:asciiTheme="minorHAnsi" w:hAnsiTheme="minorHAnsi"/>
          <w:b/>
          <w:sz w:val="22"/>
          <w:szCs w:val="22"/>
        </w:rPr>
      </w:pPr>
    </w:p>
    <w:p w:rsidR="00B364F2" w:rsidRPr="00B364F2" w:rsidRDefault="00B364F2" w:rsidP="00843926">
      <w:pPr>
        <w:rPr>
          <w:rFonts w:asciiTheme="minorHAnsi" w:hAnsiTheme="minorHAnsi"/>
          <w:b/>
          <w:sz w:val="22"/>
          <w:szCs w:val="22"/>
        </w:rPr>
      </w:pPr>
      <w:r w:rsidRPr="00B364F2">
        <w:rPr>
          <w:rFonts w:asciiTheme="minorHAnsi" w:hAnsiTheme="minorHAnsi"/>
          <w:b/>
          <w:sz w:val="22"/>
          <w:szCs w:val="22"/>
        </w:rPr>
        <w:t>Q11: In your view do the above considerations allow an appropriate setting of the clearing threshold or should other criteria be considered? In particular, do you agree that the broad definition of the a</w:t>
      </w:r>
      <w:r>
        <w:rPr>
          <w:rFonts w:asciiTheme="minorHAnsi" w:hAnsiTheme="minorHAnsi"/>
          <w:b/>
          <w:sz w:val="22"/>
          <w:szCs w:val="22"/>
        </w:rPr>
        <w:t>cti</w:t>
      </w:r>
      <w:r w:rsidRPr="00B364F2">
        <w:rPr>
          <w:rFonts w:asciiTheme="minorHAnsi" w:hAnsiTheme="minorHAnsi"/>
          <w:b/>
          <w:sz w:val="22"/>
          <w:szCs w:val="22"/>
        </w:rPr>
        <w:t xml:space="preserve">vity directly reducing commercial risk or the treasury </w:t>
      </w:r>
      <w:r>
        <w:rPr>
          <w:rFonts w:asciiTheme="minorHAnsi" w:hAnsiTheme="minorHAnsi"/>
          <w:b/>
          <w:sz w:val="22"/>
          <w:szCs w:val="22"/>
        </w:rPr>
        <w:t>financing</w:t>
      </w:r>
      <w:r w:rsidRPr="00B364F2">
        <w:rPr>
          <w:rFonts w:asciiTheme="minorHAnsi" w:hAnsiTheme="minorHAnsi"/>
          <w:b/>
          <w:sz w:val="22"/>
          <w:szCs w:val="22"/>
        </w:rPr>
        <w:t xml:space="preserve"> activity balances a clearing threshold set at a low level?</w:t>
      </w:r>
    </w:p>
    <w:p w:rsidR="00B364F2" w:rsidRDefault="00B364F2" w:rsidP="00843926">
      <w:pPr>
        <w:rPr>
          <w:rFonts w:asciiTheme="minorHAnsi" w:hAnsiTheme="minorHAnsi"/>
          <w:sz w:val="22"/>
          <w:szCs w:val="22"/>
        </w:rPr>
      </w:pPr>
    </w:p>
    <w:p w:rsidR="00F74D0C" w:rsidRDefault="00B364F2" w:rsidP="00F74D0C">
      <w:pPr>
        <w:pStyle w:val="BodyText"/>
        <w:rPr>
          <w:rFonts w:asciiTheme="minorHAnsi" w:hAnsiTheme="minorHAnsi"/>
          <w:sz w:val="22"/>
          <w:szCs w:val="22"/>
        </w:rPr>
      </w:pPr>
      <w:r>
        <w:rPr>
          <w:rFonts w:asciiTheme="minorHAnsi" w:hAnsiTheme="minorHAnsi"/>
          <w:sz w:val="22"/>
          <w:szCs w:val="22"/>
        </w:rPr>
        <w:t xml:space="preserve"> </w:t>
      </w:r>
      <w:r w:rsidR="00F74D0C">
        <w:rPr>
          <w:rFonts w:asciiTheme="minorHAnsi" w:hAnsiTheme="minorHAnsi"/>
          <w:sz w:val="22"/>
          <w:szCs w:val="22"/>
        </w:rPr>
        <w:t xml:space="preserve">We agree the clearing threshold should be simple to implement for non-financial firms and as such it is more appropriate to set it across all asset classes rather than for individual asset classes.  This would also </w:t>
      </w:r>
      <w:r w:rsidR="00F74D0C" w:rsidRPr="00F74D0C">
        <w:rPr>
          <w:rFonts w:asciiTheme="minorHAnsi" w:hAnsiTheme="minorHAnsi" w:cs="Arial"/>
          <w:sz w:val="22"/>
          <w:szCs w:val="22"/>
        </w:rPr>
        <w:t xml:space="preserve">allow </w:t>
      </w:r>
      <w:r w:rsidR="00F74D0C">
        <w:rPr>
          <w:rFonts w:asciiTheme="minorHAnsi" w:hAnsiTheme="minorHAnsi" w:cs="Arial"/>
          <w:sz w:val="22"/>
          <w:szCs w:val="22"/>
        </w:rPr>
        <w:t xml:space="preserve">firms to </w:t>
      </w:r>
      <w:r w:rsidR="00F74D0C">
        <w:rPr>
          <w:rFonts w:asciiTheme="minorHAnsi" w:hAnsiTheme="minorHAnsi" w:cs="Arial"/>
          <w:sz w:val="22"/>
          <w:szCs w:val="22"/>
        </w:rPr>
        <w:lastRenderedPageBreak/>
        <w:t xml:space="preserve">take account of </w:t>
      </w:r>
      <w:r w:rsidR="00F74D0C" w:rsidRPr="00F74D0C">
        <w:rPr>
          <w:rFonts w:asciiTheme="minorHAnsi" w:hAnsiTheme="minorHAnsi" w:cs="Arial"/>
          <w:sz w:val="22"/>
          <w:szCs w:val="22"/>
        </w:rPr>
        <w:t xml:space="preserve">cross commodity hedges </w:t>
      </w:r>
      <w:r w:rsidR="00B901E8">
        <w:rPr>
          <w:rFonts w:asciiTheme="minorHAnsi" w:hAnsiTheme="minorHAnsi" w:cs="Arial"/>
          <w:sz w:val="22"/>
          <w:szCs w:val="22"/>
        </w:rPr>
        <w:t>at</w:t>
      </w:r>
      <w:r w:rsidR="00F74D0C" w:rsidRPr="00F74D0C">
        <w:rPr>
          <w:rFonts w:asciiTheme="minorHAnsi" w:hAnsiTheme="minorHAnsi" w:cs="Arial"/>
          <w:sz w:val="22"/>
          <w:szCs w:val="22"/>
        </w:rPr>
        <w:t xml:space="preserve"> a portfolio level </w:t>
      </w:r>
      <w:r w:rsidR="00886833">
        <w:rPr>
          <w:rFonts w:asciiTheme="minorHAnsi" w:hAnsiTheme="minorHAnsi" w:cs="Arial"/>
          <w:sz w:val="22"/>
          <w:szCs w:val="22"/>
        </w:rPr>
        <w:t xml:space="preserve">and would be </w:t>
      </w:r>
      <w:r w:rsidR="00F74D0C">
        <w:rPr>
          <w:rFonts w:asciiTheme="minorHAnsi" w:hAnsiTheme="minorHAnsi"/>
          <w:sz w:val="22"/>
          <w:szCs w:val="22"/>
        </w:rPr>
        <w:t xml:space="preserve">more consistent with the requirement to set the clearing threshold at a systemic level (see comments below). </w:t>
      </w:r>
    </w:p>
    <w:p w:rsidR="00F74D0C" w:rsidRDefault="00F74D0C" w:rsidP="00F74D0C">
      <w:pPr>
        <w:pStyle w:val="BodyText"/>
        <w:rPr>
          <w:rFonts w:asciiTheme="minorHAnsi" w:hAnsiTheme="minorHAnsi"/>
          <w:sz w:val="22"/>
          <w:szCs w:val="22"/>
        </w:rPr>
      </w:pPr>
    </w:p>
    <w:p w:rsidR="003674AA" w:rsidRDefault="003674AA" w:rsidP="00F74D0C">
      <w:pPr>
        <w:pStyle w:val="BodyText"/>
        <w:rPr>
          <w:rFonts w:asciiTheme="minorHAnsi" w:hAnsiTheme="minorHAnsi"/>
          <w:sz w:val="22"/>
          <w:szCs w:val="22"/>
        </w:rPr>
      </w:pPr>
      <w:r>
        <w:rPr>
          <w:rFonts w:asciiTheme="minorHAnsi" w:hAnsiTheme="minorHAnsi"/>
          <w:sz w:val="22"/>
          <w:szCs w:val="22"/>
        </w:rPr>
        <w:t xml:space="preserve">A </w:t>
      </w:r>
      <w:r w:rsidR="002C0981">
        <w:rPr>
          <w:rFonts w:asciiTheme="minorHAnsi" w:hAnsiTheme="minorHAnsi"/>
          <w:sz w:val="22"/>
          <w:szCs w:val="22"/>
        </w:rPr>
        <w:t>decision</w:t>
      </w:r>
      <w:r>
        <w:rPr>
          <w:rFonts w:asciiTheme="minorHAnsi" w:hAnsiTheme="minorHAnsi"/>
          <w:sz w:val="22"/>
          <w:szCs w:val="22"/>
        </w:rPr>
        <w:t xml:space="preserve"> needs </w:t>
      </w:r>
      <w:r w:rsidR="002C0981">
        <w:rPr>
          <w:rFonts w:asciiTheme="minorHAnsi" w:hAnsiTheme="minorHAnsi"/>
          <w:sz w:val="22"/>
          <w:szCs w:val="22"/>
        </w:rPr>
        <w:t>to</w:t>
      </w:r>
      <w:r>
        <w:rPr>
          <w:rFonts w:asciiTheme="minorHAnsi" w:hAnsiTheme="minorHAnsi"/>
          <w:sz w:val="22"/>
          <w:szCs w:val="22"/>
        </w:rPr>
        <w:t xml:space="preserve"> be taken about the appropriate metric to use to set </w:t>
      </w:r>
      <w:r w:rsidR="002C0981">
        <w:rPr>
          <w:rFonts w:asciiTheme="minorHAnsi" w:hAnsiTheme="minorHAnsi"/>
          <w:sz w:val="22"/>
          <w:szCs w:val="22"/>
        </w:rPr>
        <w:t>the</w:t>
      </w:r>
      <w:r>
        <w:rPr>
          <w:rFonts w:asciiTheme="minorHAnsi" w:hAnsiTheme="minorHAnsi"/>
          <w:sz w:val="22"/>
          <w:szCs w:val="22"/>
        </w:rPr>
        <w:t xml:space="preserve"> clearing threshold.  </w:t>
      </w:r>
      <w:r w:rsidR="00B901E8">
        <w:rPr>
          <w:rFonts w:asciiTheme="minorHAnsi" w:hAnsiTheme="minorHAnsi"/>
          <w:sz w:val="22"/>
          <w:szCs w:val="22"/>
        </w:rPr>
        <w:t xml:space="preserve">We </w:t>
      </w:r>
      <w:r w:rsidR="001C59D0">
        <w:rPr>
          <w:rFonts w:asciiTheme="minorHAnsi" w:hAnsiTheme="minorHAnsi"/>
          <w:sz w:val="22"/>
          <w:szCs w:val="22"/>
        </w:rPr>
        <w:t>see two broad options: a</w:t>
      </w:r>
      <w:r>
        <w:rPr>
          <w:rFonts w:asciiTheme="minorHAnsi" w:hAnsiTheme="minorHAnsi"/>
          <w:sz w:val="22"/>
          <w:szCs w:val="22"/>
        </w:rPr>
        <w:t xml:space="preserve"> </w:t>
      </w:r>
      <w:r w:rsidR="002C0981">
        <w:rPr>
          <w:rFonts w:asciiTheme="minorHAnsi" w:hAnsiTheme="minorHAnsi"/>
          <w:sz w:val="22"/>
          <w:szCs w:val="22"/>
        </w:rPr>
        <w:t>market</w:t>
      </w:r>
      <w:r w:rsidR="001C59D0">
        <w:rPr>
          <w:rFonts w:asciiTheme="minorHAnsi" w:hAnsiTheme="minorHAnsi"/>
          <w:sz w:val="22"/>
          <w:szCs w:val="22"/>
        </w:rPr>
        <w:t xml:space="preserve"> or credit based approach</w:t>
      </w:r>
      <w:r>
        <w:rPr>
          <w:rFonts w:asciiTheme="minorHAnsi" w:hAnsiTheme="minorHAnsi"/>
          <w:sz w:val="22"/>
          <w:szCs w:val="22"/>
        </w:rPr>
        <w:t xml:space="preserve">.  One of the key objectives of EMIR is to reduce the overall level of </w:t>
      </w:r>
      <w:r w:rsidR="002C0981">
        <w:rPr>
          <w:rFonts w:asciiTheme="minorHAnsi" w:hAnsiTheme="minorHAnsi"/>
          <w:sz w:val="22"/>
          <w:szCs w:val="22"/>
        </w:rPr>
        <w:t>credit</w:t>
      </w:r>
      <w:r>
        <w:rPr>
          <w:rFonts w:asciiTheme="minorHAnsi" w:hAnsiTheme="minorHAnsi"/>
          <w:sz w:val="22"/>
          <w:szCs w:val="22"/>
        </w:rPr>
        <w:t xml:space="preserve"> risk in OTC </w:t>
      </w:r>
      <w:r w:rsidR="002C0981">
        <w:rPr>
          <w:rFonts w:asciiTheme="minorHAnsi" w:hAnsiTheme="minorHAnsi"/>
          <w:sz w:val="22"/>
          <w:szCs w:val="22"/>
        </w:rPr>
        <w:t>derivative</w:t>
      </w:r>
      <w:r>
        <w:rPr>
          <w:rFonts w:asciiTheme="minorHAnsi" w:hAnsiTheme="minorHAnsi"/>
          <w:sz w:val="22"/>
          <w:szCs w:val="22"/>
        </w:rPr>
        <w:t xml:space="preserve"> markets as it is</w:t>
      </w:r>
      <w:r w:rsidR="00B901E8">
        <w:rPr>
          <w:rFonts w:asciiTheme="minorHAnsi" w:hAnsiTheme="minorHAnsi"/>
          <w:sz w:val="22"/>
          <w:szCs w:val="22"/>
        </w:rPr>
        <w:t xml:space="preserve"> seen as</w:t>
      </w:r>
      <w:r>
        <w:rPr>
          <w:rFonts w:asciiTheme="minorHAnsi" w:hAnsiTheme="minorHAnsi"/>
          <w:sz w:val="22"/>
          <w:szCs w:val="22"/>
        </w:rPr>
        <w:t xml:space="preserve"> the main route for creating and </w:t>
      </w:r>
      <w:r w:rsidR="002C0981">
        <w:rPr>
          <w:rFonts w:asciiTheme="minorHAnsi" w:hAnsiTheme="minorHAnsi"/>
          <w:sz w:val="22"/>
          <w:szCs w:val="22"/>
        </w:rPr>
        <w:t>channelling</w:t>
      </w:r>
      <w:r>
        <w:rPr>
          <w:rFonts w:asciiTheme="minorHAnsi" w:hAnsiTheme="minorHAnsi"/>
          <w:sz w:val="22"/>
          <w:szCs w:val="22"/>
        </w:rPr>
        <w:t xml:space="preserve"> systemic risk in financial markets.  As such, one potential metric for the clearing threshold could be the level of </w:t>
      </w:r>
      <w:r w:rsidR="001C59D0">
        <w:rPr>
          <w:rFonts w:asciiTheme="minorHAnsi" w:hAnsiTheme="minorHAnsi"/>
          <w:sz w:val="22"/>
          <w:szCs w:val="22"/>
        </w:rPr>
        <w:t xml:space="preserve">net </w:t>
      </w:r>
      <w:r>
        <w:rPr>
          <w:rFonts w:asciiTheme="minorHAnsi" w:hAnsiTheme="minorHAnsi"/>
          <w:sz w:val="22"/>
          <w:szCs w:val="22"/>
        </w:rPr>
        <w:t>credit exposure of non-financial firms to financial firms</w:t>
      </w:r>
      <w:r w:rsidR="007B6913">
        <w:rPr>
          <w:rFonts w:asciiTheme="minorHAnsi" w:hAnsiTheme="minorHAnsi"/>
          <w:sz w:val="22"/>
          <w:szCs w:val="22"/>
        </w:rPr>
        <w:t xml:space="preserve"> which would allow firms to correctly take account of any bilateral netting and margining agreements that are in place</w:t>
      </w:r>
      <w:r>
        <w:rPr>
          <w:rFonts w:asciiTheme="minorHAnsi" w:hAnsiTheme="minorHAnsi"/>
          <w:sz w:val="22"/>
          <w:szCs w:val="22"/>
        </w:rPr>
        <w:t>.</w:t>
      </w:r>
    </w:p>
    <w:p w:rsidR="003674AA" w:rsidRDefault="003674AA" w:rsidP="00F74D0C">
      <w:pPr>
        <w:pStyle w:val="BodyText"/>
        <w:rPr>
          <w:rFonts w:asciiTheme="minorHAnsi" w:hAnsiTheme="minorHAnsi"/>
          <w:sz w:val="22"/>
          <w:szCs w:val="22"/>
        </w:rPr>
      </w:pPr>
    </w:p>
    <w:p w:rsidR="00886833" w:rsidRDefault="003674AA" w:rsidP="00F74D0C">
      <w:pPr>
        <w:pStyle w:val="BodyText"/>
        <w:rPr>
          <w:rFonts w:asciiTheme="minorHAnsi" w:hAnsiTheme="minorHAnsi"/>
          <w:sz w:val="22"/>
          <w:szCs w:val="22"/>
        </w:rPr>
      </w:pPr>
      <w:r>
        <w:rPr>
          <w:rFonts w:asciiTheme="minorHAnsi" w:hAnsiTheme="minorHAnsi"/>
          <w:sz w:val="22"/>
          <w:szCs w:val="22"/>
        </w:rPr>
        <w:t>If a market approach</w:t>
      </w:r>
      <w:r w:rsidR="00D8171E">
        <w:rPr>
          <w:rFonts w:asciiTheme="minorHAnsi" w:hAnsiTheme="minorHAnsi"/>
          <w:sz w:val="22"/>
          <w:szCs w:val="22"/>
        </w:rPr>
        <w:t xml:space="preserve"> is taken</w:t>
      </w:r>
      <w:r>
        <w:rPr>
          <w:rFonts w:asciiTheme="minorHAnsi" w:hAnsiTheme="minorHAnsi"/>
          <w:sz w:val="22"/>
          <w:szCs w:val="22"/>
        </w:rPr>
        <w:t xml:space="preserve"> then two main </w:t>
      </w:r>
      <w:r w:rsidR="002C0981">
        <w:rPr>
          <w:rFonts w:asciiTheme="minorHAnsi" w:hAnsiTheme="minorHAnsi"/>
          <w:sz w:val="22"/>
          <w:szCs w:val="22"/>
        </w:rPr>
        <w:t>options</w:t>
      </w:r>
      <w:r>
        <w:rPr>
          <w:rFonts w:asciiTheme="minorHAnsi" w:hAnsiTheme="minorHAnsi"/>
          <w:sz w:val="22"/>
          <w:szCs w:val="22"/>
        </w:rPr>
        <w:t xml:space="preserve"> are available:  </w:t>
      </w:r>
      <w:r w:rsidR="00F74D0C">
        <w:rPr>
          <w:rFonts w:asciiTheme="minorHAnsi" w:hAnsiTheme="minorHAnsi"/>
          <w:sz w:val="22"/>
          <w:szCs w:val="22"/>
        </w:rPr>
        <w:t>the notional value of OTC derivatives</w:t>
      </w:r>
      <w:r>
        <w:rPr>
          <w:rFonts w:asciiTheme="minorHAnsi" w:hAnsiTheme="minorHAnsi"/>
          <w:sz w:val="22"/>
          <w:szCs w:val="22"/>
        </w:rPr>
        <w:t xml:space="preserve"> or </w:t>
      </w:r>
      <w:r w:rsidR="00D8171E">
        <w:rPr>
          <w:rFonts w:asciiTheme="minorHAnsi" w:hAnsiTheme="minorHAnsi"/>
          <w:sz w:val="22"/>
          <w:szCs w:val="22"/>
        </w:rPr>
        <w:t xml:space="preserve">a </w:t>
      </w:r>
      <w:r>
        <w:rPr>
          <w:rFonts w:asciiTheme="minorHAnsi" w:hAnsiTheme="minorHAnsi"/>
          <w:sz w:val="22"/>
          <w:szCs w:val="22"/>
        </w:rPr>
        <w:t xml:space="preserve">measure of the mark to </w:t>
      </w:r>
      <w:r w:rsidR="002C0981">
        <w:rPr>
          <w:rFonts w:asciiTheme="minorHAnsi" w:hAnsiTheme="minorHAnsi"/>
          <w:sz w:val="22"/>
          <w:szCs w:val="22"/>
        </w:rPr>
        <w:t>market value</w:t>
      </w:r>
      <w:r>
        <w:rPr>
          <w:rFonts w:asciiTheme="minorHAnsi" w:hAnsiTheme="minorHAnsi"/>
          <w:sz w:val="22"/>
          <w:szCs w:val="22"/>
        </w:rPr>
        <w:t xml:space="preserve"> of OTC </w:t>
      </w:r>
      <w:r w:rsidR="002C0981">
        <w:rPr>
          <w:rFonts w:asciiTheme="minorHAnsi" w:hAnsiTheme="minorHAnsi"/>
          <w:sz w:val="22"/>
          <w:szCs w:val="22"/>
        </w:rPr>
        <w:t>derivatives</w:t>
      </w:r>
      <w:r>
        <w:rPr>
          <w:rFonts w:asciiTheme="minorHAnsi" w:hAnsiTheme="minorHAnsi"/>
          <w:sz w:val="22"/>
          <w:szCs w:val="22"/>
        </w:rPr>
        <w:t xml:space="preserve">.  </w:t>
      </w:r>
      <w:r w:rsidR="00EF35EA">
        <w:rPr>
          <w:rFonts w:asciiTheme="minorHAnsi" w:hAnsiTheme="minorHAnsi"/>
          <w:sz w:val="22"/>
          <w:szCs w:val="22"/>
        </w:rPr>
        <w:t xml:space="preserve">If the former is used as the metric for the clearing threshold then this will need to be reflected in the level it is set at (as the notional value of some commodity derivative contracts can be very large due </w:t>
      </w:r>
      <w:r w:rsidR="001C59D0">
        <w:rPr>
          <w:rFonts w:asciiTheme="minorHAnsi" w:hAnsiTheme="minorHAnsi"/>
          <w:sz w:val="22"/>
          <w:szCs w:val="22"/>
        </w:rPr>
        <w:t xml:space="preserve">to the nature of the </w:t>
      </w:r>
      <w:r w:rsidR="007C794E">
        <w:rPr>
          <w:rFonts w:asciiTheme="minorHAnsi" w:hAnsiTheme="minorHAnsi"/>
          <w:sz w:val="22"/>
          <w:szCs w:val="22"/>
        </w:rPr>
        <w:t xml:space="preserve">contracts </w:t>
      </w:r>
      <w:r w:rsidR="00525D8F">
        <w:rPr>
          <w:rFonts w:asciiTheme="minorHAnsi" w:hAnsiTheme="minorHAnsi"/>
          <w:sz w:val="22"/>
          <w:szCs w:val="22"/>
        </w:rPr>
        <w:t>although this bears little relationship to the level of risk incurred by the firm).</w:t>
      </w:r>
      <w:r w:rsidR="007C794E">
        <w:rPr>
          <w:rFonts w:asciiTheme="minorHAnsi" w:hAnsiTheme="minorHAnsi"/>
          <w:sz w:val="22"/>
          <w:szCs w:val="22"/>
        </w:rPr>
        <w:t xml:space="preserve">  </w:t>
      </w:r>
      <w:r>
        <w:rPr>
          <w:rFonts w:asciiTheme="minorHAnsi" w:hAnsiTheme="minorHAnsi"/>
          <w:sz w:val="22"/>
          <w:szCs w:val="22"/>
        </w:rPr>
        <w:t xml:space="preserve">This </w:t>
      </w:r>
      <w:r w:rsidR="00D8171E">
        <w:rPr>
          <w:rFonts w:asciiTheme="minorHAnsi" w:hAnsiTheme="minorHAnsi"/>
          <w:sz w:val="22"/>
          <w:szCs w:val="22"/>
        </w:rPr>
        <w:t xml:space="preserve">may be </w:t>
      </w:r>
      <w:r w:rsidR="002C0981">
        <w:rPr>
          <w:rFonts w:asciiTheme="minorHAnsi" w:hAnsiTheme="minorHAnsi"/>
          <w:sz w:val="22"/>
          <w:szCs w:val="22"/>
        </w:rPr>
        <w:t>inconsistent</w:t>
      </w:r>
      <w:r>
        <w:rPr>
          <w:rFonts w:asciiTheme="minorHAnsi" w:hAnsiTheme="minorHAnsi"/>
          <w:sz w:val="22"/>
          <w:szCs w:val="22"/>
        </w:rPr>
        <w:t xml:space="preserve"> with E</w:t>
      </w:r>
      <w:r w:rsidR="002C0981">
        <w:rPr>
          <w:rFonts w:asciiTheme="minorHAnsi" w:hAnsiTheme="minorHAnsi"/>
          <w:sz w:val="22"/>
          <w:szCs w:val="22"/>
        </w:rPr>
        <w:t>S</w:t>
      </w:r>
      <w:r>
        <w:rPr>
          <w:rFonts w:asciiTheme="minorHAnsi" w:hAnsiTheme="minorHAnsi"/>
          <w:sz w:val="22"/>
          <w:szCs w:val="22"/>
        </w:rPr>
        <w:t xml:space="preserve">MSA’s view to set the </w:t>
      </w:r>
      <w:r w:rsidR="002C0981">
        <w:rPr>
          <w:rFonts w:asciiTheme="minorHAnsi" w:hAnsiTheme="minorHAnsi"/>
          <w:sz w:val="22"/>
          <w:szCs w:val="22"/>
        </w:rPr>
        <w:t>clearing</w:t>
      </w:r>
      <w:r>
        <w:rPr>
          <w:rFonts w:asciiTheme="minorHAnsi" w:hAnsiTheme="minorHAnsi"/>
          <w:sz w:val="22"/>
          <w:szCs w:val="22"/>
        </w:rPr>
        <w:t xml:space="preserve"> threshold </w:t>
      </w:r>
      <w:r w:rsidR="002C0981">
        <w:rPr>
          <w:rFonts w:asciiTheme="minorHAnsi" w:hAnsiTheme="minorHAnsi"/>
          <w:sz w:val="22"/>
          <w:szCs w:val="22"/>
        </w:rPr>
        <w:t>at a</w:t>
      </w:r>
      <w:r>
        <w:rPr>
          <w:rFonts w:asciiTheme="minorHAnsi" w:hAnsiTheme="minorHAnsi"/>
          <w:sz w:val="22"/>
          <w:szCs w:val="22"/>
        </w:rPr>
        <w:t xml:space="preserve"> very low level</w:t>
      </w:r>
      <w:r w:rsidR="002C0981">
        <w:rPr>
          <w:rFonts w:asciiTheme="minorHAnsi" w:hAnsiTheme="minorHAnsi"/>
          <w:sz w:val="22"/>
          <w:szCs w:val="22"/>
        </w:rPr>
        <w:t xml:space="preserve"> – as such the</w:t>
      </w:r>
      <w:r w:rsidR="00D8171E">
        <w:rPr>
          <w:rFonts w:asciiTheme="minorHAnsi" w:hAnsiTheme="minorHAnsi"/>
          <w:sz w:val="22"/>
          <w:szCs w:val="22"/>
        </w:rPr>
        <w:t>r</w:t>
      </w:r>
      <w:r w:rsidR="002C0981">
        <w:rPr>
          <w:rFonts w:asciiTheme="minorHAnsi" w:hAnsiTheme="minorHAnsi"/>
          <w:sz w:val="22"/>
          <w:szCs w:val="22"/>
        </w:rPr>
        <w:t>e is a significant risk that</w:t>
      </w:r>
      <w:r w:rsidR="00851924">
        <w:rPr>
          <w:rFonts w:asciiTheme="minorHAnsi" w:hAnsiTheme="minorHAnsi"/>
          <w:sz w:val="22"/>
          <w:szCs w:val="22"/>
        </w:rPr>
        <w:t xml:space="preserve"> using the notional value of derivatives could mean that </w:t>
      </w:r>
      <w:r w:rsidR="002C0981">
        <w:rPr>
          <w:rFonts w:asciiTheme="minorHAnsi" w:hAnsiTheme="minorHAnsi"/>
          <w:sz w:val="22"/>
          <w:szCs w:val="22"/>
        </w:rPr>
        <w:t>non-financial firms trading commodity derivatives could inadvertently  find themselves above the clearing threshold.</w:t>
      </w:r>
      <w:r w:rsidR="007C794E">
        <w:rPr>
          <w:rFonts w:asciiTheme="minorHAnsi" w:hAnsiTheme="minorHAnsi"/>
          <w:sz w:val="22"/>
          <w:szCs w:val="22"/>
        </w:rPr>
        <w:t xml:space="preserve"> </w:t>
      </w:r>
    </w:p>
    <w:p w:rsidR="002C0981" w:rsidRDefault="002C0981" w:rsidP="00F74D0C">
      <w:pPr>
        <w:pStyle w:val="BodyText"/>
        <w:rPr>
          <w:rFonts w:asciiTheme="minorHAnsi" w:hAnsiTheme="minorHAnsi"/>
          <w:sz w:val="22"/>
          <w:szCs w:val="22"/>
        </w:rPr>
      </w:pPr>
    </w:p>
    <w:p w:rsidR="002C0981" w:rsidRDefault="002C0981" w:rsidP="00F74D0C">
      <w:pPr>
        <w:pStyle w:val="BodyText"/>
        <w:rPr>
          <w:rFonts w:asciiTheme="minorHAnsi" w:hAnsiTheme="minorHAnsi"/>
          <w:sz w:val="22"/>
          <w:szCs w:val="22"/>
        </w:rPr>
      </w:pPr>
      <w:r>
        <w:rPr>
          <w:rFonts w:asciiTheme="minorHAnsi" w:hAnsiTheme="minorHAnsi"/>
          <w:sz w:val="22"/>
          <w:szCs w:val="22"/>
        </w:rPr>
        <w:t xml:space="preserve">We </w:t>
      </w:r>
      <w:r w:rsidR="00C16181">
        <w:rPr>
          <w:rFonts w:asciiTheme="minorHAnsi" w:hAnsiTheme="minorHAnsi"/>
          <w:sz w:val="22"/>
          <w:szCs w:val="22"/>
        </w:rPr>
        <w:t xml:space="preserve">therefore </w:t>
      </w:r>
      <w:r>
        <w:rPr>
          <w:rFonts w:asciiTheme="minorHAnsi" w:hAnsiTheme="minorHAnsi"/>
          <w:sz w:val="22"/>
          <w:szCs w:val="22"/>
        </w:rPr>
        <w:t>urge ESMA to give further thought to the most appropriate metric for setting the clearing threshold.</w:t>
      </w:r>
    </w:p>
    <w:p w:rsidR="00886833" w:rsidRDefault="00886833" w:rsidP="00F74D0C">
      <w:pPr>
        <w:pStyle w:val="BodyText"/>
        <w:rPr>
          <w:rFonts w:asciiTheme="minorHAnsi" w:hAnsiTheme="minorHAnsi"/>
          <w:sz w:val="22"/>
          <w:szCs w:val="22"/>
        </w:rPr>
      </w:pPr>
    </w:p>
    <w:p w:rsidR="00F74D0C" w:rsidRPr="00F74D0C" w:rsidRDefault="008F0C72" w:rsidP="00F74D0C">
      <w:pPr>
        <w:jc w:val="both"/>
        <w:rPr>
          <w:rFonts w:asciiTheme="minorHAnsi" w:hAnsiTheme="minorHAnsi" w:cs="Arial"/>
          <w:sz w:val="22"/>
          <w:szCs w:val="22"/>
          <w:lang w:val="en-GB"/>
        </w:rPr>
      </w:pPr>
      <w:r>
        <w:rPr>
          <w:rFonts w:asciiTheme="minorHAnsi" w:hAnsiTheme="minorHAnsi" w:cs="Arial"/>
          <w:sz w:val="22"/>
          <w:szCs w:val="22"/>
          <w:lang w:val="en-GB"/>
        </w:rPr>
        <w:t xml:space="preserve">Although we agree with the proposed  definition of transactions that reduce commercial or treasury financing risk  </w:t>
      </w:r>
      <w:r w:rsidR="00F74D0C" w:rsidRPr="00F74D0C">
        <w:rPr>
          <w:rFonts w:asciiTheme="minorHAnsi" w:hAnsiTheme="minorHAnsi" w:cs="Arial"/>
          <w:sz w:val="22"/>
          <w:szCs w:val="22"/>
          <w:lang w:val="en-GB"/>
        </w:rPr>
        <w:t>we do not c</w:t>
      </w:r>
      <w:r>
        <w:rPr>
          <w:rFonts w:asciiTheme="minorHAnsi" w:hAnsiTheme="minorHAnsi" w:cs="Arial"/>
          <w:sz w:val="22"/>
          <w:szCs w:val="22"/>
          <w:lang w:val="en-GB"/>
        </w:rPr>
        <w:t xml:space="preserve">onsider it appropriate to </w:t>
      </w:r>
      <w:r w:rsidR="00F74D0C" w:rsidRPr="00F74D0C">
        <w:rPr>
          <w:rFonts w:asciiTheme="minorHAnsi" w:hAnsiTheme="minorHAnsi" w:cs="Arial"/>
          <w:sz w:val="22"/>
          <w:szCs w:val="22"/>
          <w:lang w:val="en-GB"/>
        </w:rPr>
        <w:t>set the clearing threshold at a “low” level</w:t>
      </w:r>
      <w:r w:rsidR="00803945">
        <w:rPr>
          <w:rFonts w:asciiTheme="minorHAnsi" w:hAnsiTheme="minorHAnsi" w:cs="Arial"/>
          <w:sz w:val="22"/>
          <w:szCs w:val="22"/>
          <w:lang w:val="en-GB"/>
        </w:rPr>
        <w:t xml:space="preserve"> given the significant consequences</w:t>
      </w:r>
      <w:r w:rsidR="00886833">
        <w:rPr>
          <w:rFonts w:asciiTheme="minorHAnsi" w:hAnsiTheme="minorHAnsi" w:cs="Arial"/>
          <w:sz w:val="22"/>
          <w:szCs w:val="22"/>
          <w:lang w:val="en-GB"/>
        </w:rPr>
        <w:t xml:space="preserve"> associated with capturing firms that</w:t>
      </w:r>
      <w:r w:rsidR="00712DA7">
        <w:rPr>
          <w:rFonts w:asciiTheme="minorHAnsi" w:hAnsiTheme="minorHAnsi" w:cs="Arial"/>
          <w:sz w:val="22"/>
          <w:szCs w:val="22"/>
          <w:lang w:val="en-GB"/>
        </w:rPr>
        <w:t xml:space="preserve"> do not pose a systemic risk to the financial system</w:t>
      </w:r>
      <w:r w:rsidR="00F74D0C" w:rsidRPr="00F74D0C">
        <w:rPr>
          <w:rFonts w:asciiTheme="minorHAnsi" w:hAnsiTheme="minorHAnsi" w:cs="Arial"/>
          <w:sz w:val="22"/>
          <w:szCs w:val="22"/>
          <w:lang w:val="en-GB"/>
        </w:rPr>
        <w:t>.</w:t>
      </w:r>
      <w:r w:rsidR="00F74D0C">
        <w:rPr>
          <w:rFonts w:asciiTheme="minorHAnsi" w:hAnsiTheme="minorHAnsi" w:cs="Arial"/>
          <w:sz w:val="22"/>
          <w:szCs w:val="22"/>
          <w:lang w:val="en-GB"/>
        </w:rPr>
        <w:t xml:space="preserve"> </w:t>
      </w:r>
      <w:r w:rsidR="00F74D0C" w:rsidRPr="00F74D0C">
        <w:rPr>
          <w:rFonts w:asciiTheme="minorHAnsi" w:hAnsiTheme="minorHAnsi" w:cs="Arial"/>
          <w:sz w:val="22"/>
          <w:szCs w:val="22"/>
          <w:lang w:val="en-GB"/>
        </w:rPr>
        <w:t xml:space="preserve"> </w:t>
      </w:r>
      <w:r w:rsidR="00886833" w:rsidRPr="00F74D0C">
        <w:rPr>
          <w:rFonts w:asciiTheme="minorHAnsi" w:hAnsiTheme="minorHAnsi" w:cs="Arial"/>
          <w:sz w:val="22"/>
          <w:szCs w:val="22"/>
          <w:lang w:val="en-GB"/>
        </w:rPr>
        <w:t xml:space="preserve">If the threshold is not set at </w:t>
      </w:r>
      <w:r w:rsidR="00D3606B">
        <w:rPr>
          <w:rFonts w:asciiTheme="minorHAnsi" w:hAnsiTheme="minorHAnsi" w:cs="Arial"/>
          <w:sz w:val="22"/>
          <w:szCs w:val="22"/>
          <w:lang w:val="en-GB"/>
        </w:rPr>
        <w:t xml:space="preserve">a </w:t>
      </w:r>
      <w:r w:rsidR="00886833" w:rsidRPr="00F74D0C">
        <w:rPr>
          <w:rFonts w:asciiTheme="minorHAnsi" w:hAnsiTheme="minorHAnsi" w:cs="Arial"/>
          <w:sz w:val="22"/>
          <w:szCs w:val="22"/>
          <w:lang w:val="en-GB"/>
        </w:rPr>
        <w:t xml:space="preserve">systemic level this </w:t>
      </w:r>
      <w:r w:rsidR="00886833">
        <w:rPr>
          <w:rFonts w:asciiTheme="minorHAnsi" w:hAnsiTheme="minorHAnsi" w:cs="Arial"/>
          <w:sz w:val="22"/>
          <w:szCs w:val="22"/>
          <w:lang w:val="en-GB"/>
        </w:rPr>
        <w:t>might decrease market liquidity</w:t>
      </w:r>
      <w:r w:rsidR="00886833" w:rsidRPr="00F74D0C">
        <w:rPr>
          <w:rFonts w:asciiTheme="minorHAnsi" w:hAnsiTheme="minorHAnsi" w:cs="Arial"/>
          <w:sz w:val="22"/>
          <w:szCs w:val="22"/>
          <w:lang w:val="en-GB"/>
        </w:rPr>
        <w:t xml:space="preserve"> as players that become subject to mandatory clearing may be forced out of the market</w:t>
      </w:r>
      <w:r w:rsidR="002C7117">
        <w:rPr>
          <w:rFonts w:asciiTheme="minorHAnsi" w:hAnsiTheme="minorHAnsi" w:cs="Arial"/>
          <w:sz w:val="22"/>
          <w:szCs w:val="22"/>
          <w:lang w:val="en-GB"/>
        </w:rPr>
        <w:t xml:space="preserve"> or reduce their activity</w:t>
      </w:r>
      <w:r w:rsidR="00886833" w:rsidRPr="00F74D0C">
        <w:rPr>
          <w:rFonts w:asciiTheme="minorHAnsi" w:hAnsiTheme="minorHAnsi" w:cs="Arial"/>
          <w:sz w:val="22"/>
          <w:szCs w:val="22"/>
          <w:lang w:val="en-GB"/>
        </w:rPr>
        <w:t xml:space="preserve"> because</w:t>
      </w:r>
      <w:r w:rsidR="002C7117">
        <w:rPr>
          <w:rFonts w:asciiTheme="minorHAnsi" w:hAnsiTheme="minorHAnsi" w:cs="Arial"/>
          <w:sz w:val="22"/>
          <w:szCs w:val="22"/>
          <w:lang w:val="en-GB"/>
        </w:rPr>
        <w:t xml:space="preserve"> of the </w:t>
      </w:r>
      <w:r w:rsidR="00886833" w:rsidRPr="00F74D0C">
        <w:rPr>
          <w:rFonts w:asciiTheme="minorHAnsi" w:hAnsiTheme="minorHAnsi" w:cs="Arial"/>
          <w:sz w:val="22"/>
          <w:szCs w:val="22"/>
          <w:lang w:val="en-GB"/>
        </w:rPr>
        <w:t>additional cost</w:t>
      </w:r>
      <w:r w:rsidR="00886833">
        <w:rPr>
          <w:rFonts w:asciiTheme="minorHAnsi" w:hAnsiTheme="minorHAnsi" w:cs="Arial"/>
          <w:sz w:val="22"/>
          <w:szCs w:val="22"/>
          <w:lang w:val="en-GB"/>
        </w:rPr>
        <w:t>s and cash liquidity risks (arising from initial and variation margin requirements) of doing business.  It would also perversely increase the overall level of risk in the relevant sector as firms</w:t>
      </w:r>
      <w:r w:rsidR="00AF4C83">
        <w:rPr>
          <w:rFonts w:asciiTheme="minorHAnsi" w:hAnsiTheme="minorHAnsi" w:cs="Arial"/>
          <w:sz w:val="22"/>
          <w:szCs w:val="22"/>
          <w:lang w:val="en-GB"/>
        </w:rPr>
        <w:t xml:space="preserve"> could</w:t>
      </w:r>
      <w:r w:rsidR="00886833">
        <w:rPr>
          <w:rFonts w:asciiTheme="minorHAnsi" w:hAnsiTheme="minorHAnsi" w:cs="Arial"/>
          <w:sz w:val="22"/>
          <w:szCs w:val="22"/>
          <w:lang w:val="en-GB"/>
        </w:rPr>
        <w:t xml:space="preserve"> increasingly decide to run unhedged positions for their commercial risk.  The only way to avoid this outcome is to set the clearing threshold at a systemic level. It </w:t>
      </w:r>
      <w:r w:rsidR="00F74D0C" w:rsidRPr="00F74D0C">
        <w:rPr>
          <w:rFonts w:asciiTheme="minorHAnsi" w:hAnsiTheme="minorHAnsi" w:cs="Arial"/>
          <w:sz w:val="22"/>
          <w:szCs w:val="22"/>
          <w:lang w:val="en-GB"/>
        </w:rPr>
        <w:t>is also explicitly stated in article 5, 4 (b) of EMIR</w:t>
      </w:r>
      <w:r w:rsidR="00D3606B">
        <w:rPr>
          <w:rFonts w:asciiTheme="minorHAnsi" w:hAnsiTheme="minorHAnsi" w:cs="Arial"/>
          <w:sz w:val="22"/>
          <w:szCs w:val="22"/>
          <w:lang w:val="en-GB"/>
        </w:rPr>
        <w:t xml:space="preserve"> that</w:t>
      </w:r>
      <w:r w:rsidR="00F74D0C" w:rsidRPr="00F74D0C">
        <w:rPr>
          <w:rFonts w:asciiTheme="minorHAnsi" w:hAnsiTheme="minorHAnsi" w:cs="Arial"/>
          <w:sz w:val="22"/>
          <w:szCs w:val="22"/>
          <w:lang w:val="en-GB"/>
        </w:rPr>
        <w:t xml:space="preserve"> “the value of the clearing threshold shall be determined taking into account the </w:t>
      </w:r>
      <w:r w:rsidR="00F74D0C" w:rsidRPr="00F74D0C">
        <w:rPr>
          <w:rFonts w:asciiTheme="minorHAnsi" w:hAnsiTheme="minorHAnsi" w:cs="Arial"/>
          <w:i/>
          <w:iCs/>
          <w:sz w:val="22"/>
          <w:szCs w:val="22"/>
          <w:lang w:val="en-GB"/>
        </w:rPr>
        <w:t>systemic relevance</w:t>
      </w:r>
      <w:r w:rsidR="00F74D0C" w:rsidRPr="00F74D0C">
        <w:rPr>
          <w:rFonts w:asciiTheme="minorHAnsi" w:hAnsiTheme="minorHAnsi" w:cs="Arial"/>
          <w:sz w:val="22"/>
          <w:szCs w:val="22"/>
          <w:lang w:val="en-GB"/>
        </w:rPr>
        <w:t xml:space="preserve"> of the sum of net positions”. </w:t>
      </w:r>
      <w:r w:rsidR="00F74D0C">
        <w:rPr>
          <w:rFonts w:asciiTheme="minorHAnsi" w:hAnsiTheme="minorHAnsi" w:cs="Arial"/>
          <w:sz w:val="22"/>
          <w:szCs w:val="22"/>
          <w:lang w:val="en-GB"/>
        </w:rPr>
        <w:t xml:space="preserve"> </w:t>
      </w:r>
    </w:p>
    <w:p w:rsidR="00F74D0C" w:rsidRPr="00F74D0C" w:rsidRDefault="00F74D0C" w:rsidP="00F74D0C">
      <w:pPr>
        <w:jc w:val="both"/>
        <w:rPr>
          <w:rFonts w:asciiTheme="minorHAnsi" w:hAnsiTheme="minorHAnsi" w:cs="Arial"/>
          <w:sz w:val="22"/>
          <w:szCs w:val="22"/>
          <w:lang w:val="en-GB"/>
        </w:rPr>
      </w:pPr>
    </w:p>
    <w:p w:rsidR="002102BB" w:rsidRDefault="008F0C72" w:rsidP="00F74D0C">
      <w:pPr>
        <w:jc w:val="both"/>
        <w:rPr>
          <w:rFonts w:asciiTheme="minorHAnsi" w:hAnsiTheme="minorHAnsi" w:cs="Arial"/>
          <w:sz w:val="22"/>
          <w:szCs w:val="22"/>
          <w:lang w:val="en-GB"/>
        </w:rPr>
      </w:pPr>
      <w:r>
        <w:rPr>
          <w:rFonts w:asciiTheme="minorHAnsi" w:hAnsiTheme="minorHAnsi" w:cs="Arial"/>
          <w:sz w:val="22"/>
          <w:szCs w:val="22"/>
          <w:lang w:val="en-GB"/>
        </w:rPr>
        <w:t xml:space="preserve">There is a need to consider carefully </w:t>
      </w:r>
      <w:r w:rsidR="009C54F2">
        <w:rPr>
          <w:rFonts w:asciiTheme="minorHAnsi" w:hAnsiTheme="minorHAnsi" w:cs="Arial"/>
          <w:sz w:val="22"/>
          <w:szCs w:val="22"/>
          <w:lang w:val="en-GB"/>
        </w:rPr>
        <w:t xml:space="preserve">whether the clearing threshold is operated at a Group level or entity level, or both.  </w:t>
      </w:r>
      <w:r>
        <w:rPr>
          <w:rFonts w:asciiTheme="minorHAnsi" w:hAnsiTheme="minorHAnsi" w:cs="Arial"/>
          <w:sz w:val="22"/>
          <w:szCs w:val="22"/>
          <w:lang w:val="en-GB"/>
        </w:rPr>
        <w:t xml:space="preserve">We agree that </w:t>
      </w:r>
      <w:r w:rsidR="002102BB">
        <w:rPr>
          <w:rFonts w:asciiTheme="minorHAnsi" w:hAnsiTheme="minorHAnsi" w:cs="Arial"/>
          <w:sz w:val="22"/>
          <w:szCs w:val="22"/>
          <w:lang w:val="en-GB"/>
        </w:rPr>
        <w:t>firms</w:t>
      </w:r>
      <w:r>
        <w:rPr>
          <w:rFonts w:asciiTheme="minorHAnsi" w:hAnsiTheme="minorHAnsi" w:cs="Arial"/>
          <w:sz w:val="22"/>
          <w:szCs w:val="22"/>
          <w:lang w:val="en-GB"/>
        </w:rPr>
        <w:t xml:space="preserve"> should </w:t>
      </w:r>
      <w:r w:rsidR="002102BB">
        <w:rPr>
          <w:rFonts w:asciiTheme="minorHAnsi" w:hAnsiTheme="minorHAnsi" w:cs="Arial"/>
          <w:sz w:val="22"/>
          <w:szCs w:val="22"/>
          <w:lang w:val="en-GB"/>
        </w:rPr>
        <w:t>not</w:t>
      </w:r>
      <w:r>
        <w:rPr>
          <w:rFonts w:asciiTheme="minorHAnsi" w:hAnsiTheme="minorHAnsi" w:cs="Arial"/>
          <w:sz w:val="22"/>
          <w:szCs w:val="22"/>
          <w:lang w:val="en-GB"/>
        </w:rPr>
        <w:t xml:space="preserve"> be able to circumnavigate an </w:t>
      </w:r>
      <w:r w:rsidR="002102BB">
        <w:rPr>
          <w:rFonts w:asciiTheme="minorHAnsi" w:hAnsiTheme="minorHAnsi" w:cs="Arial"/>
          <w:sz w:val="22"/>
          <w:szCs w:val="22"/>
          <w:lang w:val="en-GB"/>
        </w:rPr>
        <w:t>entity</w:t>
      </w:r>
      <w:r>
        <w:rPr>
          <w:rFonts w:asciiTheme="minorHAnsi" w:hAnsiTheme="minorHAnsi" w:cs="Arial"/>
          <w:sz w:val="22"/>
          <w:szCs w:val="22"/>
          <w:lang w:val="en-GB"/>
        </w:rPr>
        <w:t xml:space="preserve"> level </w:t>
      </w:r>
      <w:r w:rsidR="002102BB">
        <w:rPr>
          <w:rFonts w:asciiTheme="minorHAnsi" w:hAnsiTheme="minorHAnsi" w:cs="Arial"/>
          <w:sz w:val="22"/>
          <w:szCs w:val="22"/>
          <w:lang w:val="en-GB"/>
        </w:rPr>
        <w:t>threshold</w:t>
      </w:r>
      <w:r>
        <w:rPr>
          <w:rFonts w:asciiTheme="minorHAnsi" w:hAnsiTheme="minorHAnsi" w:cs="Arial"/>
          <w:sz w:val="22"/>
          <w:szCs w:val="22"/>
          <w:lang w:val="en-GB"/>
        </w:rPr>
        <w:t xml:space="preserve"> </w:t>
      </w:r>
      <w:r w:rsidR="002102BB">
        <w:rPr>
          <w:rFonts w:asciiTheme="minorHAnsi" w:hAnsiTheme="minorHAnsi" w:cs="Arial"/>
          <w:sz w:val="22"/>
          <w:szCs w:val="22"/>
          <w:lang w:val="en-GB"/>
        </w:rPr>
        <w:t>by</w:t>
      </w:r>
      <w:r>
        <w:rPr>
          <w:rFonts w:asciiTheme="minorHAnsi" w:hAnsiTheme="minorHAnsi" w:cs="Arial"/>
          <w:sz w:val="22"/>
          <w:szCs w:val="22"/>
          <w:lang w:val="en-GB"/>
        </w:rPr>
        <w:t xml:space="preserve"> creating</w:t>
      </w:r>
      <w:r w:rsidR="002102BB">
        <w:rPr>
          <w:rFonts w:asciiTheme="minorHAnsi" w:hAnsiTheme="minorHAnsi" w:cs="Arial"/>
          <w:sz w:val="22"/>
          <w:szCs w:val="22"/>
          <w:lang w:val="en-GB"/>
        </w:rPr>
        <w:t xml:space="preserve"> new entities</w:t>
      </w:r>
      <w:r>
        <w:rPr>
          <w:rFonts w:asciiTheme="minorHAnsi" w:hAnsiTheme="minorHAnsi" w:cs="Arial"/>
          <w:sz w:val="22"/>
          <w:szCs w:val="22"/>
          <w:lang w:val="en-GB"/>
        </w:rPr>
        <w:t xml:space="preserve"> in order to ‘utilise’ the threshold several times.  At the same time, it should be made clear that </w:t>
      </w:r>
      <w:r w:rsidR="002102BB">
        <w:rPr>
          <w:rFonts w:asciiTheme="minorHAnsi" w:hAnsiTheme="minorHAnsi" w:cs="Arial"/>
          <w:sz w:val="22"/>
          <w:szCs w:val="22"/>
          <w:lang w:val="en-GB"/>
        </w:rPr>
        <w:t>a breach of any clearing threshold at the Group level should not result in all legal entities within the Group having to clear their OTC derivative transactions.  This may mean the creation of a dual clearing threshold (</w:t>
      </w:r>
      <w:r w:rsidR="00AF4C83">
        <w:rPr>
          <w:rFonts w:asciiTheme="minorHAnsi" w:hAnsiTheme="minorHAnsi" w:cs="Arial"/>
          <w:sz w:val="22"/>
          <w:szCs w:val="22"/>
          <w:lang w:val="en-GB"/>
        </w:rPr>
        <w:t>assessed at both</w:t>
      </w:r>
      <w:r w:rsidR="002102BB">
        <w:rPr>
          <w:rFonts w:asciiTheme="minorHAnsi" w:hAnsiTheme="minorHAnsi" w:cs="Arial"/>
          <w:sz w:val="22"/>
          <w:szCs w:val="22"/>
          <w:lang w:val="en-GB"/>
        </w:rPr>
        <w:t xml:space="preserve"> Group and one at entity level) with the clearing obligation only triggered if both are breached.  </w:t>
      </w:r>
      <w:r>
        <w:rPr>
          <w:rFonts w:asciiTheme="minorHAnsi" w:hAnsiTheme="minorHAnsi" w:cs="Arial"/>
          <w:sz w:val="22"/>
          <w:szCs w:val="22"/>
          <w:lang w:val="en-GB"/>
        </w:rPr>
        <w:t xml:space="preserve">   </w:t>
      </w:r>
    </w:p>
    <w:p w:rsidR="00C16AE9" w:rsidRDefault="00C16AE9" w:rsidP="00F74D0C">
      <w:pPr>
        <w:jc w:val="both"/>
        <w:rPr>
          <w:rFonts w:asciiTheme="minorHAnsi" w:hAnsiTheme="minorHAnsi" w:cs="Arial"/>
          <w:sz w:val="22"/>
          <w:szCs w:val="22"/>
          <w:highlight w:val="yellow"/>
          <w:lang w:val="en-GB"/>
        </w:rPr>
      </w:pPr>
    </w:p>
    <w:p w:rsidR="00C16AE9" w:rsidRDefault="00706D53" w:rsidP="00F74D0C">
      <w:pPr>
        <w:jc w:val="both"/>
        <w:rPr>
          <w:rFonts w:asciiTheme="minorHAnsi" w:hAnsiTheme="minorHAnsi" w:cs="Arial"/>
          <w:sz w:val="22"/>
          <w:szCs w:val="22"/>
          <w:lang w:val="en-GB"/>
        </w:rPr>
      </w:pPr>
      <w:r w:rsidRPr="00C16AE9">
        <w:rPr>
          <w:rFonts w:asciiTheme="minorHAnsi" w:hAnsiTheme="minorHAnsi" w:cs="Arial"/>
          <w:sz w:val="22"/>
          <w:szCs w:val="22"/>
          <w:lang w:val="en-GB"/>
        </w:rPr>
        <w:t>If the thresholds are assessed at</w:t>
      </w:r>
      <w:r w:rsidR="00C16AE9" w:rsidRPr="00C16AE9">
        <w:rPr>
          <w:rFonts w:asciiTheme="minorHAnsi" w:hAnsiTheme="minorHAnsi" w:cs="Arial"/>
          <w:sz w:val="22"/>
          <w:szCs w:val="22"/>
          <w:lang w:val="en-GB"/>
        </w:rPr>
        <w:t xml:space="preserve"> both the Group and entity level then it may be necessary to allow </w:t>
      </w:r>
      <w:r w:rsidR="008A4CB5" w:rsidRPr="00C16AE9">
        <w:rPr>
          <w:rFonts w:asciiTheme="minorHAnsi" w:hAnsiTheme="minorHAnsi" w:cs="Arial"/>
          <w:sz w:val="22"/>
          <w:szCs w:val="22"/>
          <w:lang w:val="en-GB"/>
        </w:rPr>
        <w:t>additional time for firms to aggr</w:t>
      </w:r>
      <w:r w:rsidR="00C16AE9" w:rsidRPr="00C16AE9">
        <w:rPr>
          <w:rFonts w:asciiTheme="minorHAnsi" w:hAnsiTheme="minorHAnsi" w:cs="Arial"/>
          <w:sz w:val="22"/>
          <w:szCs w:val="22"/>
          <w:lang w:val="en-GB"/>
        </w:rPr>
        <w:t>egate and monitor positions at the G</w:t>
      </w:r>
      <w:r w:rsidR="008A4CB5" w:rsidRPr="00C16AE9">
        <w:rPr>
          <w:rFonts w:asciiTheme="minorHAnsi" w:hAnsiTheme="minorHAnsi" w:cs="Arial"/>
          <w:sz w:val="22"/>
          <w:szCs w:val="22"/>
          <w:lang w:val="en-GB"/>
        </w:rPr>
        <w:t>roup level.</w:t>
      </w:r>
      <w:r w:rsidR="00C16AE9" w:rsidRPr="00C16AE9">
        <w:rPr>
          <w:rFonts w:asciiTheme="minorHAnsi" w:hAnsiTheme="minorHAnsi" w:cs="Arial"/>
          <w:sz w:val="22"/>
          <w:szCs w:val="22"/>
          <w:lang w:val="en-GB"/>
        </w:rPr>
        <w:t xml:space="preserve">  This would mean allowing firms more than the 30 day time limit (at the Group level) for being in breach of the threshold before the clearing obligation bites.    </w:t>
      </w:r>
      <w:r w:rsidR="008A4CB5" w:rsidRPr="00C16AE9">
        <w:rPr>
          <w:rFonts w:asciiTheme="minorHAnsi" w:hAnsiTheme="minorHAnsi" w:cs="Arial"/>
          <w:sz w:val="22"/>
          <w:szCs w:val="22"/>
          <w:lang w:val="en-GB"/>
        </w:rPr>
        <w:t xml:space="preserve"> </w:t>
      </w:r>
    </w:p>
    <w:p w:rsidR="002102BB" w:rsidRDefault="002102BB" w:rsidP="00F74D0C">
      <w:pPr>
        <w:rPr>
          <w:rFonts w:asciiTheme="minorHAnsi" w:hAnsiTheme="minorHAnsi"/>
          <w:b/>
          <w:sz w:val="22"/>
          <w:szCs w:val="22"/>
          <w:u w:val="single"/>
          <w:lang w:val="en-GB"/>
        </w:rPr>
      </w:pPr>
    </w:p>
    <w:p w:rsidR="007C794E" w:rsidRDefault="007C794E" w:rsidP="00F74D0C">
      <w:pPr>
        <w:rPr>
          <w:rFonts w:asciiTheme="minorHAnsi" w:hAnsiTheme="minorHAnsi"/>
          <w:b/>
          <w:sz w:val="22"/>
          <w:szCs w:val="22"/>
          <w:u w:val="single"/>
          <w:lang w:val="en-GB"/>
        </w:rPr>
      </w:pPr>
    </w:p>
    <w:p w:rsidR="007C794E" w:rsidRDefault="007C794E" w:rsidP="00F74D0C">
      <w:pPr>
        <w:rPr>
          <w:rFonts w:asciiTheme="minorHAnsi" w:hAnsiTheme="minorHAnsi"/>
          <w:b/>
          <w:sz w:val="22"/>
          <w:szCs w:val="22"/>
          <w:u w:val="single"/>
          <w:lang w:val="en-GB"/>
        </w:rPr>
      </w:pPr>
    </w:p>
    <w:p w:rsidR="007C794E" w:rsidRDefault="007C794E" w:rsidP="00F74D0C">
      <w:pPr>
        <w:rPr>
          <w:rFonts w:asciiTheme="minorHAnsi" w:hAnsiTheme="minorHAnsi"/>
          <w:b/>
          <w:sz w:val="22"/>
          <w:szCs w:val="22"/>
          <w:u w:val="single"/>
          <w:lang w:val="en-GB"/>
        </w:rPr>
      </w:pPr>
    </w:p>
    <w:p w:rsidR="002102BB" w:rsidRDefault="002102BB" w:rsidP="00F74D0C">
      <w:pPr>
        <w:rPr>
          <w:rFonts w:asciiTheme="minorHAnsi" w:hAnsiTheme="minorHAnsi"/>
          <w:b/>
          <w:sz w:val="22"/>
          <w:szCs w:val="22"/>
          <w:u w:val="single"/>
          <w:lang w:val="en-GB"/>
        </w:rPr>
      </w:pPr>
      <w:r w:rsidRPr="002102BB">
        <w:rPr>
          <w:rFonts w:asciiTheme="minorHAnsi" w:hAnsiTheme="minorHAnsi"/>
          <w:b/>
          <w:sz w:val="22"/>
          <w:szCs w:val="22"/>
          <w:u w:val="single"/>
          <w:lang w:val="en-GB"/>
        </w:rPr>
        <w:lastRenderedPageBreak/>
        <w:t>Risk mitigation for non-cleared CCP contracts (Article 6/8)</w:t>
      </w:r>
    </w:p>
    <w:p w:rsidR="002102BB" w:rsidRDefault="002102BB" w:rsidP="00F74D0C">
      <w:pPr>
        <w:rPr>
          <w:rFonts w:asciiTheme="minorHAnsi" w:hAnsiTheme="minorHAnsi"/>
          <w:b/>
          <w:sz w:val="22"/>
          <w:szCs w:val="22"/>
          <w:u w:val="single"/>
          <w:lang w:val="en-GB"/>
        </w:rPr>
      </w:pPr>
    </w:p>
    <w:p w:rsidR="00F74D0C" w:rsidRPr="00E57FEB" w:rsidRDefault="002102BB" w:rsidP="00F74D0C">
      <w:pPr>
        <w:rPr>
          <w:rFonts w:asciiTheme="minorHAnsi" w:hAnsiTheme="minorHAnsi"/>
          <w:b/>
          <w:sz w:val="22"/>
          <w:szCs w:val="22"/>
          <w:lang w:val="en-GB"/>
        </w:rPr>
      </w:pPr>
      <w:r w:rsidRPr="00E57FEB">
        <w:rPr>
          <w:rFonts w:asciiTheme="minorHAnsi" w:hAnsiTheme="minorHAnsi"/>
          <w:b/>
          <w:sz w:val="22"/>
          <w:szCs w:val="22"/>
          <w:lang w:val="en-GB"/>
        </w:rPr>
        <w:t xml:space="preserve"> Q12: What are your views regarding the timing for the confirmation and the differentiating criteria?  Is a transaction </w:t>
      </w:r>
      <w:r w:rsidR="00E57FEB" w:rsidRPr="00E57FEB">
        <w:rPr>
          <w:rFonts w:asciiTheme="minorHAnsi" w:hAnsiTheme="minorHAnsi"/>
          <w:b/>
          <w:sz w:val="22"/>
          <w:szCs w:val="22"/>
          <w:lang w:val="en-GB"/>
        </w:rPr>
        <w:t>that is electronically executed, electronically processed or electronically conf</w:t>
      </w:r>
      <w:r w:rsidR="00E57FEB">
        <w:rPr>
          <w:rFonts w:asciiTheme="minorHAnsi" w:hAnsiTheme="minorHAnsi"/>
          <w:b/>
          <w:sz w:val="22"/>
          <w:szCs w:val="22"/>
          <w:lang w:val="en-GB"/>
        </w:rPr>
        <w:t>i</w:t>
      </w:r>
      <w:r w:rsidR="00E57FEB" w:rsidRPr="00E57FEB">
        <w:rPr>
          <w:rFonts w:asciiTheme="minorHAnsi" w:hAnsiTheme="minorHAnsi"/>
          <w:b/>
          <w:sz w:val="22"/>
          <w:szCs w:val="22"/>
          <w:lang w:val="en-GB"/>
        </w:rPr>
        <w:t>rmed gen</w:t>
      </w:r>
      <w:r w:rsidR="00E57FEB">
        <w:rPr>
          <w:rFonts w:asciiTheme="minorHAnsi" w:hAnsiTheme="minorHAnsi"/>
          <w:b/>
          <w:sz w:val="22"/>
          <w:szCs w:val="22"/>
          <w:lang w:val="en-GB"/>
        </w:rPr>
        <w:t>e</w:t>
      </w:r>
      <w:r w:rsidR="00E57FEB" w:rsidRPr="00E57FEB">
        <w:rPr>
          <w:rFonts w:asciiTheme="minorHAnsi" w:hAnsiTheme="minorHAnsi"/>
          <w:b/>
          <w:sz w:val="22"/>
          <w:szCs w:val="22"/>
          <w:lang w:val="en-GB"/>
        </w:rPr>
        <w:t>rally able to be more confirmed more quickly than one that is no?</w:t>
      </w:r>
    </w:p>
    <w:p w:rsidR="00E57FEB" w:rsidRDefault="00E57FEB" w:rsidP="00F74D0C">
      <w:pPr>
        <w:rPr>
          <w:rFonts w:asciiTheme="minorHAnsi" w:hAnsiTheme="minorHAnsi"/>
          <w:b/>
          <w:sz w:val="22"/>
          <w:szCs w:val="22"/>
          <w:u w:val="single"/>
          <w:lang w:val="en-GB"/>
        </w:rPr>
      </w:pPr>
    </w:p>
    <w:p w:rsidR="00E57FEB" w:rsidRDefault="00E57FEB" w:rsidP="00F74D0C">
      <w:pPr>
        <w:rPr>
          <w:rFonts w:asciiTheme="minorHAnsi" w:hAnsiTheme="minorHAnsi"/>
          <w:sz w:val="22"/>
          <w:szCs w:val="22"/>
        </w:rPr>
      </w:pPr>
      <w:r w:rsidRPr="00E57FEB">
        <w:rPr>
          <w:rFonts w:asciiTheme="minorHAnsi" w:hAnsiTheme="minorHAnsi"/>
          <w:sz w:val="22"/>
          <w:szCs w:val="22"/>
          <w:lang w:val="en-GB"/>
        </w:rPr>
        <w:t>It is generally true that in most cases a trade that is electronically executed and/or electronically confirmed is capable of being confirmed more quickly than one that is not.</w:t>
      </w:r>
      <w:r>
        <w:rPr>
          <w:rFonts w:asciiTheme="minorHAnsi" w:hAnsiTheme="minorHAnsi"/>
          <w:sz w:val="22"/>
          <w:szCs w:val="22"/>
          <w:lang w:val="en-GB"/>
        </w:rPr>
        <w:t xml:space="preserve"> </w:t>
      </w:r>
      <w:r w:rsidR="00517049" w:rsidRPr="00517049">
        <w:rPr>
          <w:rFonts w:asciiTheme="minorHAnsi" w:hAnsiTheme="minorHAnsi"/>
          <w:sz w:val="22"/>
          <w:szCs w:val="22"/>
        </w:rPr>
        <w:t xml:space="preserve"> </w:t>
      </w:r>
      <w:r w:rsidR="003004FE">
        <w:rPr>
          <w:rFonts w:asciiTheme="minorHAnsi" w:hAnsiTheme="minorHAnsi"/>
          <w:sz w:val="22"/>
          <w:szCs w:val="22"/>
        </w:rPr>
        <w:t xml:space="preserve"> However, w</w:t>
      </w:r>
      <w:r w:rsidR="00517049" w:rsidRPr="00265A9D">
        <w:rPr>
          <w:rFonts w:asciiTheme="minorHAnsi" w:hAnsiTheme="minorHAnsi"/>
          <w:sz w:val="22"/>
          <w:szCs w:val="22"/>
        </w:rPr>
        <w:t>e do not support the proposal that non-financial firms above the clearing threshold should confirm derivative transactions within 15 minutes as this would be difficult to implement in practice and lead to significant costs</w:t>
      </w:r>
      <w:r w:rsidR="00517049">
        <w:rPr>
          <w:rFonts w:asciiTheme="minorHAnsi" w:hAnsiTheme="minorHAnsi"/>
          <w:sz w:val="22"/>
          <w:szCs w:val="22"/>
        </w:rPr>
        <w:t xml:space="preserve"> without any material benefits in terms of mitigation of operational risk</w:t>
      </w:r>
      <w:r w:rsidR="003004FE">
        <w:rPr>
          <w:rFonts w:asciiTheme="minorHAnsi" w:hAnsiTheme="minorHAnsi"/>
          <w:sz w:val="22"/>
          <w:szCs w:val="22"/>
        </w:rPr>
        <w:t xml:space="preserve">.   </w:t>
      </w:r>
    </w:p>
    <w:p w:rsidR="003004FE" w:rsidRDefault="003004FE" w:rsidP="00F74D0C">
      <w:pPr>
        <w:rPr>
          <w:rFonts w:asciiTheme="minorHAnsi" w:hAnsiTheme="minorHAnsi"/>
          <w:sz w:val="22"/>
          <w:szCs w:val="22"/>
        </w:rPr>
      </w:pPr>
    </w:p>
    <w:p w:rsidR="003004FE" w:rsidRDefault="003004FE" w:rsidP="00F74D0C">
      <w:pPr>
        <w:rPr>
          <w:rFonts w:asciiTheme="minorHAnsi" w:hAnsiTheme="minorHAnsi"/>
          <w:sz w:val="22"/>
          <w:szCs w:val="22"/>
        </w:rPr>
      </w:pPr>
      <w:r>
        <w:rPr>
          <w:rFonts w:asciiTheme="minorHAnsi" w:hAnsiTheme="minorHAnsi"/>
          <w:sz w:val="22"/>
          <w:szCs w:val="22"/>
        </w:rPr>
        <w:t>A number of additional points also need to be taken into account:</w:t>
      </w:r>
    </w:p>
    <w:p w:rsidR="003004FE" w:rsidRDefault="003004FE" w:rsidP="00F74D0C">
      <w:pPr>
        <w:rPr>
          <w:rFonts w:asciiTheme="minorHAnsi" w:hAnsiTheme="minorHAnsi"/>
          <w:sz w:val="22"/>
          <w:szCs w:val="22"/>
        </w:rPr>
      </w:pPr>
    </w:p>
    <w:p w:rsidR="003A631B" w:rsidRDefault="00147307">
      <w:pPr>
        <w:pStyle w:val="ListParagraph"/>
        <w:numPr>
          <w:ilvl w:val="0"/>
          <w:numId w:val="20"/>
        </w:numPr>
        <w:rPr>
          <w:rFonts w:asciiTheme="minorHAnsi" w:hAnsiTheme="minorHAnsi"/>
          <w:sz w:val="22"/>
          <w:szCs w:val="22"/>
          <w:lang w:val="en-GB"/>
        </w:rPr>
      </w:pPr>
      <w:r w:rsidRPr="00147307">
        <w:rPr>
          <w:rFonts w:asciiTheme="minorHAnsi" w:hAnsiTheme="minorHAnsi"/>
          <w:sz w:val="22"/>
          <w:szCs w:val="22"/>
        </w:rPr>
        <w:t>the disti</w:t>
      </w:r>
      <w:r w:rsidR="003004FE">
        <w:rPr>
          <w:rFonts w:asciiTheme="minorHAnsi" w:hAnsiTheme="minorHAnsi"/>
          <w:sz w:val="22"/>
          <w:szCs w:val="22"/>
        </w:rPr>
        <w:t>n</w:t>
      </w:r>
      <w:r w:rsidRPr="00147307">
        <w:rPr>
          <w:rFonts w:asciiTheme="minorHAnsi" w:hAnsiTheme="minorHAnsi"/>
          <w:sz w:val="22"/>
          <w:szCs w:val="22"/>
        </w:rPr>
        <w:t>ct nature of two</w:t>
      </w:r>
      <w:r w:rsidR="003004FE">
        <w:rPr>
          <w:rFonts w:asciiTheme="minorHAnsi" w:hAnsiTheme="minorHAnsi"/>
          <w:sz w:val="22"/>
          <w:szCs w:val="22"/>
        </w:rPr>
        <w:t xml:space="preserve"> par</w:t>
      </w:r>
      <w:r w:rsidRPr="00147307">
        <w:rPr>
          <w:rFonts w:asciiTheme="minorHAnsi" w:hAnsiTheme="minorHAnsi"/>
          <w:sz w:val="22"/>
          <w:szCs w:val="22"/>
        </w:rPr>
        <w:t>t</w:t>
      </w:r>
      <w:r w:rsidR="003004FE">
        <w:rPr>
          <w:rFonts w:asciiTheme="minorHAnsi" w:hAnsiTheme="minorHAnsi"/>
          <w:sz w:val="22"/>
          <w:szCs w:val="22"/>
        </w:rPr>
        <w:t>i</w:t>
      </w:r>
      <w:r w:rsidRPr="00147307">
        <w:rPr>
          <w:rFonts w:asciiTheme="minorHAnsi" w:hAnsiTheme="minorHAnsi"/>
          <w:sz w:val="22"/>
          <w:szCs w:val="22"/>
        </w:rPr>
        <w:t>es</w:t>
      </w:r>
      <w:r w:rsidR="003004FE">
        <w:rPr>
          <w:rFonts w:asciiTheme="minorHAnsi" w:hAnsiTheme="minorHAnsi"/>
          <w:sz w:val="22"/>
          <w:szCs w:val="22"/>
        </w:rPr>
        <w:t xml:space="preserve"> to a given transaction will mean that the confirmation requirement will be different </w:t>
      </w:r>
      <w:r w:rsidR="00EF35EA">
        <w:rPr>
          <w:rFonts w:asciiTheme="minorHAnsi" w:hAnsiTheme="minorHAnsi"/>
          <w:sz w:val="22"/>
          <w:szCs w:val="22"/>
        </w:rPr>
        <w:t>depending</w:t>
      </w:r>
      <w:r w:rsidR="003004FE">
        <w:rPr>
          <w:rFonts w:asciiTheme="minorHAnsi" w:hAnsiTheme="minorHAnsi"/>
          <w:sz w:val="22"/>
          <w:szCs w:val="22"/>
        </w:rPr>
        <w:t xml:space="preserve"> on </w:t>
      </w:r>
      <w:r w:rsidR="00EF35EA">
        <w:rPr>
          <w:rFonts w:asciiTheme="minorHAnsi" w:hAnsiTheme="minorHAnsi"/>
          <w:sz w:val="22"/>
          <w:szCs w:val="22"/>
        </w:rPr>
        <w:t>whether</w:t>
      </w:r>
      <w:r w:rsidR="003004FE">
        <w:rPr>
          <w:rFonts w:asciiTheme="minorHAnsi" w:hAnsiTheme="minorHAnsi"/>
          <w:sz w:val="22"/>
          <w:szCs w:val="22"/>
        </w:rPr>
        <w:t xml:space="preserve"> a non-financial counterpart is above or below the clearing threshold.  It is unclear whether the 15 minute confirmation requirement would apply in such cases</w:t>
      </w:r>
      <w:r w:rsidR="00EF35EA">
        <w:rPr>
          <w:rFonts w:asciiTheme="minorHAnsi" w:hAnsiTheme="minorHAnsi"/>
          <w:sz w:val="22"/>
          <w:szCs w:val="22"/>
        </w:rPr>
        <w:t>;</w:t>
      </w:r>
    </w:p>
    <w:p w:rsidR="003A631B" w:rsidRDefault="003A631B">
      <w:pPr>
        <w:pStyle w:val="ListParagraph"/>
        <w:rPr>
          <w:rFonts w:asciiTheme="minorHAnsi" w:hAnsiTheme="minorHAnsi"/>
          <w:sz w:val="22"/>
          <w:szCs w:val="22"/>
          <w:lang w:val="en-GB"/>
        </w:rPr>
      </w:pPr>
    </w:p>
    <w:p w:rsidR="00A87CD7" w:rsidRDefault="00147307">
      <w:pPr>
        <w:pStyle w:val="ListParagraph"/>
        <w:numPr>
          <w:ilvl w:val="0"/>
          <w:numId w:val="20"/>
        </w:numPr>
        <w:rPr>
          <w:rFonts w:asciiTheme="minorHAnsi" w:hAnsiTheme="minorHAnsi"/>
          <w:sz w:val="22"/>
          <w:szCs w:val="22"/>
          <w:lang w:val="en-GB"/>
        </w:rPr>
      </w:pPr>
      <w:r w:rsidRPr="00147307">
        <w:rPr>
          <w:rFonts w:asciiTheme="minorHAnsi" w:hAnsiTheme="minorHAnsi"/>
          <w:sz w:val="22"/>
          <w:szCs w:val="22"/>
          <w:lang w:val="en-GB"/>
        </w:rPr>
        <w:t xml:space="preserve">EMIR envisages non-financial firms moving around the </w:t>
      </w:r>
      <w:r w:rsidR="00EF35EA" w:rsidRPr="00EF35EA">
        <w:rPr>
          <w:rFonts w:asciiTheme="minorHAnsi" w:hAnsiTheme="minorHAnsi"/>
          <w:sz w:val="22"/>
          <w:szCs w:val="22"/>
          <w:lang w:val="en-GB"/>
        </w:rPr>
        <w:t>clearing</w:t>
      </w:r>
      <w:r w:rsidRPr="00147307">
        <w:rPr>
          <w:rFonts w:asciiTheme="minorHAnsi" w:hAnsiTheme="minorHAnsi"/>
          <w:sz w:val="22"/>
          <w:szCs w:val="22"/>
          <w:lang w:val="en-GB"/>
        </w:rPr>
        <w:t xml:space="preserve"> </w:t>
      </w:r>
      <w:r w:rsidR="00EF35EA" w:rsidRPr="00EF35EA">
        <w:rPr>
          <w:rFonts w:asciiTheme="minorHAnsi" w:hAnsiTheme="minorHAnsi"/>
          <w:sz w:val="22"/>
          <w:szCs w:val="22"/>
          <w:lang w:val="en-GB"/>
        </w:rPr>
        <w:t>threshold</w:t>
      </w:r>
      <w:r w:rsidRPr="00147307">
        <w:rPr>
          <w:rFonts w:asciiTheme="minorHAnsi" w:hAnsiTheme="minorHAnsi"/>
          <w:sz w:val="22"/>
          <w:szCs w:val="22"/>
          <w:lang w:val="en-GB"/>
        </w:rPr>
        <w:t xml:space="preserve"> potentially triggering and detriggering the clearing obligation.  However, putting in place systems and processes for delivering </w:t>
      </w:r>
      <w:r w:rsidR="00EF35EA" w:rsidRPr="00EF35EA">
        <w:rPr>
          <w:rFonts w:asciiTheme="minorHAnsi" w:hAnsiTheme="minorHAnsi"/>
          <w:sz w:val="22"/>
          <w:szCs w:val="22"/>
          <w:lang w:val="en-GB"/>
        </w:rPr>
        <w:t>confirmations</w:t>
      </w:r>
      <w:r w:rsidRPr="00147307">
        <w:rPr>
          <w:rFonts w:asciiTheme="minorHAnsi" w:hAnsiTheme="minorHAnsi"/>
          <w:sz w:val="22"/>
          <w:szCs w:val="22"/>
          <w:lang w:val="en-GB"/>
        </w:rPr>
        <w:t xml:space="preserve"> within 15 minutes cannot be similarly switched on or off.  As such, it is not clear how ESMA’s proposal will work</w:t>
      </w:r>
      <w:r w:rsidR="00EF35EA">
        <w:rPr>
          <w:rFonts w:asciiTheme="minorHAnsi" w:hAnsiTheme="minorHAnsi"/>
          <w:sz w:val="22"/>
          <w:szCs w:val="22"/>
          <w:lang w:val="en-GB"/>
        </w:rPr>
        <w:t xml:space="preserve"> for non-financial firms;</w:t>
      </w:r>
      <w:r w:rsidR="00755B51">
        <w:rPr>
          <w:rFonts w:asciiTheme="minorHAnsi" w:hAnsiTheme="minorHAnsi"/>
          <w:sz w:val="22"/>
          <w:szCs w:val="22"/>
          <w:lang w:val="en-GB"/>
        </w:rPr>
        <w:t xml:space="preserve"> and</w:t>
      </w:r>
    </w:p>
    <w:p w:rsidR="00A87CD7" w:rsidRDefault="00A87CD7">
      <w:pPr>
        <w:rPr>
          <w:rFonts w:asciiTheme="minorHAnsi" w:hAnsiTheme="minorHAnsi"/>
          <w:sz w:val="22"/>
          <w:szCs w:val="22"/>
          <w:lang w:val="en-GB"/>
        </w:rPr>
      </w:pPr>
    </w:p>
    <w:p w:rsidR="003A631B" w:rsidRDefault="00C66A26">
      <w:pPr>
        <w:pStyle w:val="ListParagraph"/>
        <w:numPr>
          <w:ilvl w:val="0"/>
          <w:numId w:val="20"/>
        </w:numPr>
        <w:rPr>
          <w:rFonts w:asciiTheme="minorHAnsi" w:hAnsiTheme="minorHAnsi"/>
          <w:sz w:val="22"/>
          <w:szCs w:val="22"/>
          <w:lang w:val="en-GB"/>
        </w:rPr>
      </w:pPr>
      <w:r>
        <w:rPr>
          <w:rFonts w:asciiTheme="minorHAnsi" w:hAnsiTheme="minorHAnsi"/>
          <w:sz w:val="22"/>
          <w:szCs w:val="22"/>
          <w:lang w:val="en-GB"/>
        </w:rPr>
        <w:t>i</w:t>
      </w:r>
      <w:r w:rsidR="00EF35EA">
        <w:rPr>
          <w:rFonts w:asciiTheme="minorHAnsi" w:hAnsiTheme="minorHAnsi"/>
          <w:sz w:val="22"/>
          <w:szCs w:val="22"/>
          <w:lang w:val="en-GB"/>
        </w:rPr>
        <w:t xml:space="preserve">ndustry infrastructure </w:t>
      </w:r>
      <w:r>
        <w:rPr>
          <w:rFonts w:asciiTheme="minorHAnsi" w:hAnsiTheme="minorHAnsi"/>
          <w:sz w:val="22"/>
          <w:szCs w:val="22"/>
          <w:lang w:val="en-GB"/>
        </w:rPr>
        <w:t>around</w:t>
      </w:r>
      <w:r w:rsidR="00EF35EA">
        <w:rPr>
          <w:rFonts w:asciiTheme="minorHAnsi" w:hAnsiTheme="minorHAnsi"/>
          <w:sz w:val="22"/>
          <w:szCs w:val="22"/>
          <w:lang w:val="en-GB"/>
        </w:rPr>
        <w:t xml:space="preserve"> electronic execution and confirmation is still evolving and as such it would be a significant step to move towards a 15 </w:t>
      </w:r>
      <w:r>
        <w:rPr>
          <w:rFonts w:asciiTheme="minorHAnsi" w:hAnsiTheme="minorHAnsi"/>
          <w:sz w:val="22"/>
          <w:szCs w:val="22"/>
          <w:lang w:val="en-GB"/>
        </w:rPr>
        <w:t>minute</w:t>
      </w:r>
      <w:r w:rsidR="00EF35EA">
        <w:rPr>
          <w:rFonts w:asciiTheme="minorHAnsi" w:hAnsiTheme="minorHAnsi"/>
          <w:sz w:val="22"/>
          <w:szCs w:val="22"/>
          <w:lang w:val="en-GB"/>
        </w:rPr>
        <w:t xml:space="preserve"> requirement which cannot be </w:t>
      </w:r>
      <w:r>
        <w:rPr>
          <w:rFonts w:asciiTheme="minorHAnsi" w:hAnsiTheme="minorHAnsi"/>
          <w:sz w:val="22"/>
          <w:szCs w:val="22"/>
          <w:lang w:val="en-GB"/>
        </w:rPr>
        <w:t>justified</w:t>
      </w:r>
      <w:r w:rsidR="00EF35EA">
        <w:rPr>
          <w:rFonts w:asciiTheme="minorHAnsi" w:hAnsiTheme="minorHAnsi"/>
          <w:sz w:val="22"/>
          <w:szCs w:val="22"/>
          <w:lang w:val="en-GB"/>
        </w:rPr>
        <w:t xml:space="preserve"> on a c</w:t>
      </w:r>
      <w:r w:rsidR="00755B51">
        <w:rPr>
          <w:rFonts w:asciiTheme="minorHAnsi" w:hAnsiTheme="minorHAnsi"/>
          <w:sz w:val="22"/>
          <w:szCs w:val="22"/>
          <w:lang w:val="en-GB"/>
        </w:rPr>
        <w:t>ost or mitigation of risk basis.</w:t>
      </w:r>
      <w:r w:rsidR="00EF35EA">
        <w:rPr>
          <w:rFonts w:asciiTheme="minorHAnsi" w:hAnsiTheme="minorHAnsi"/>
          <w:sz w:val="22"/>
          <w:szCs w:val="22"/>
          <w:lang w:val="en-GB"/>
        </w:rPr>
        <w:t xml:space="preserve">   </w:t>
      </w:r>
    </w:p>
    <w:p w:rsidR="00E57FEB" w:rsidRDefault="00E57FEB" w:rsidP="00F74D0C">
      <w:pPr>
        <w:rPr>
          <w:rFonts w:asciiTheme="minorHAnsi" w:hAnsiTheme="minorHAnsi"/>
          <w:sz w:val="22"/>
          <w:szCs w:val="22"/>
          <w:lang w:val="en-GB"/>
        </w:rPr>
      </w:pPr>
    </w:p>
    <w:p w:rsidR="00EF35EA" w:rsidRDefault="00C66A26" w:rsidP="00F74D0C">
      <w:pPr>
        <w:rPr>
          <w:rFonts w:asciiTheme="minorHAnsi" w:hAnsiTheme="minorHAnsi"/>
          <w:sz w:val="22"/>
          <w:szCs w:val="22"/>
          <w:lang w:val="en-GB"/>
        </w:rPr>
      </w:pPr>
      <w:r>
        <w:rPr>
          <w:rFonts w:asciiTheme="minorHAnsi" w:hAnsiTheme="minorHAnsi"/>
          <w:sz w:val="22"/>
          <w:szCs w:val="22"/>
          <w:lang w:val="en-GB"/>
        </w:rPr>
        <w:t xml:space="preserve">It is also important to note that processing times generally should avoid reference to terms such as “on the same calendar day”.  </w:t>
      </w:r>
      <w:r w:rsidR="00EF35EA">
        <w:rPr>
          <w:rFonts w:asciiTheme="minorHAnsi" w:hAnsiTheme="minorHAnsi"/>
          <w:sz w:val="22"/>
          <w:szCs w:val="22"/>
          <w:lang w:val="en-GB"/>
        </w:rPr>
        <w:t xml:space="preserve">Such a term does not reflect the fact that transactions may be executed at, or additional information not available until, close or near to close of business.  Any standards developed by ESMA need to </w:t>
      </w:r>
      <w:r>
        <w:rPr>
          <w:rFonts w:asciiTheme="minorHAnsi" w:hAnsiTheme="minorHAnsi"/>
          <w:sz w:val="22"/>
          <w:szCs w:val="22"/>
          <w:lang w:val="en-GB"/>
        </w:rPr>
        <w:t>take</w:t>
      </w:r>
      <w:r w:rsidR="00EF35EA">
        <w:rPr>
          <w:rFonts w:asciiTheme="minorHAnsi" w:hAnsiTheme="minorHAnsi"/>
          <w:sz w:val="22"/>
          <w:szCs w:val="22"/>
          <w:lang w:val="en-GB"/>
        </w:rPr>
        <w:t xml:space="preserve"> this into account.</w:t>
      </w:r>
      <w:r w:rsidR="00A87CD7">
        <w:rPr>
          <w:rFonts w:asciiTheme="minorHAnsi" w:hAnsiTheme="minorHAnsi"/>
          <w:sz w:val="22"/>
          <w:szCs w:val="22"/>
          <w:lang w:val="en-GB"/>
        </w:rPr>
        <w:t xml:space="preserve">  Geographic considerations may also be relevant here, i.e. transactions between counterparts in different time zones which could have misaligned ‘calendar’ days.</w:t>
      </w:r>
      <w:r w:rsidR="00EF35EA">
        <w:rPr>
          <w:rFonts w:asciiTheme="minorHAnsi" w:hAnsiTheme="minorHAnsi"/>
          <w:sz w:val="22"/>
          <w:szCs w:val="22"/>
          <w:lang w:val="en-GB"/>
        </w:rPr>
        <w:t xml:space="preserve">  </w:t>
      </w:r>
    </w:p>
    <w:p w:rsidR="00C16AE9" w:rsidRDefault="00C16AE9" w:rsidP="00F74D0C">
      <w:pPr>
        <w:rPr>
          <w:rFonts w:asciiTheme="minorHAnsi" w:hAnsiTheme="minorHAnsi"/>
          <w:b/>
          <w:sz w:val="22"/>
          <w:szCs w:val="22"/>
          <w:lang w:val="en-GB"/>
        </w:rPr>
      </w:pPr>
    </w:p>
    <w:p w:rsidR="00E57FEB" w:rsidRPr="00351306" w:rsidRDefault="00351306" w:rsidP="00F74D0C">
      <w:pPr>
        <w:rPr>
          <w:rFonts w:asciiTheme="minorHAnsi" w:hAnsiTheme="minorHAnsi"/>
          <w:b/>
          <w:sz w:val="22"/>
          <w:szCs w:val="22"/>
          <w:lang w:val="en-GB"/>
        </w:rPr>
      </w:pPr>
      <w:r w:rsidRPr="00351306">
        <w:rPr>
          <w:rFonts w:asciiTheme="minorHAnsi" w:hAnsiTheme="minorHAnsi"/>
          <w:b/>
          <w:sz w:val="22"/>
          <w:szCs w:val="22"/>
          <w:lang w:val="en-GB"/>
        </w:rPr>
        <w:t>Q13: What period of time should we consider for reporting unconfirmed OTC derivatives to the competent authorities?</w:t>
      </w:r>
    </w:p>
    <w:p w:rsidR="00351306" w:rsidRDefault="00351306" w:rsidP="00F74D0C">
      <w:pPr>
        <w:rPr>
          <w:rFonts w:asciiTheme="minorHAnsi" w:hAnsiTheme="minorHAnsi"/>
          <w:sz w:val="22"/>
          <w:szCs w:val="22"/>
          <w:lang w:val="en-GB"/>
        </w:rPr>
      </w:pPr>
    </w:p>
    <w:p w:rsidR="00351306" w:rsidRDefault="00351306" w:rsidP="00F74D0C">
      <w:pPr>
        <w:rPr>
          <w:rFonts w:asciiTheme="minorHAnsi" w:hAnsiTheme="minorHAnsi"/>
          <w:sz w:val="22"/>
          <w:szCs w:val="22"/>
          <w:lang w:val="en-GB"/>
        </w:rPr>
      </w:pPr>
      <w:r>
        <w:rPr>
          <w:rFonts w:asciiTheme="minorHAnsi" w:hAnsiTheme="minorHAnsi"/>
          <w:sz w:val="22"/>
          <w:szCs w:val="22"/>
          <w:lang w:val="en-GB"/>
        </w:rPr>
        <w:t xml:space="preserve">If unconfirmed transactions need to be reported then </w:t>
      </w:r>
      <w:r w:rsidR="002E6D07">
        <w:rPr>
          <w:rFonts w:asciiTheme="minorHAnsi" w:hAnsiTheme="minorHAnsi"/>
          <w:sz w:val="22"/>
          <w:szCs w:val="22"/>
          <w:lang w:val="en-GB"/>
        </w:rPr>
        <w:t xml:space="preserve">this should </w:t>
      </w:r>
      <w:r>
        <w:rPr>
          <w:rFonts w:asciiTheme="minorHAnsi" w:hAnsiTheme="minorHAnsi"/>
          <w:sz w:val="22"/>
          <w:szCs w:val="22"/>
          <w:lang w:val="en-GB"/>
        </w:rPr>
        <w:t>not require any additional information relating to confirmation content or specific transaction data</w:t>
      </w:r>
      <w:r w:rsidR="002E6D07">
        <w:rPr>
          <w:rFonts w:asciiTheme="minorHAnsi" w:hAnsiTheme="minorHAnsi"/>
          <w:sz w:val="22"/>
          <w:szCs w:val="22"/>
          <w:lang w:val="en-GB"/>
        </w:rPr>
        <w:t>.  In addition, it is</w:t>
      </w:r>
      <w:r>
        <w:rPr>
          <w:rFonts w:asciiTheme="minorHAnsi" w:hAnsiTheme="minorHAnsi"/>
          <w:sz w:val="22"/>
          <w:szCs w:val="22"/>
          <w:lang w:val="en-GB"/>
        </w:rPr>
        <w:t xml:space="preserve"> appropriate to </w:t>
      </w:r>
      <w:r w:rsidR="002E6D07">
        <w:rPr>
          <w:rFonts w:asciiTheme="minorHAnsi" w:hAnsiTheme="minorHAnsi"/>
          <w:sz w:val="22"/>
          <w:szCs w:val="22"/>
          <w:lang w:val="en-GB"/>
        </w:rPr>
        <w:t>have a different limit for non-financial firms as opposed to the current industry standards for financial firms (of 30 days).  As such, we suggest a quarterly reporting obligation for non-financial firms for unconfirmed OTC derivative trades.</w:t>
      </w:r>
    </w:p>
    <w:p w:rsidR="00A950A9" w:rsidRDefault="00A950A9" w:rsidP="00F74D0C">
      <w:pPr>
        <w:rPr>
          <w:rFonts w:asciiTheme="minorHAnsi" w:hAnsiTheme="minorHAnsi"/>
          <w:sz w:val="22"/>
          <w:szCs w:val="22"/>
          <w:lang w:val="en-GB"/>
        </w:rPr>
      </w:pPr>
    </w:p>
    <w:p w:rsidR="00A950A9" w:rsidRDefault="00A950A9" w:rsidP="00F74D0C">
      <w:pPr>
        <w:rPr>
          <w:rFonts w:asciiTheme="minorHAnsi" w:hAnsiTheme="minorHAnsi"/>
          <w:b/>
          <w:sz w:val="22"/>
          <w:szCs w:val="22"/>
          <w:u w:val="single"/>
          <w:lang w:val="en-GB"/>
        </w:rPr>
      </w:pPr>
    </w:p>
    <w:p w:rsidR="00C16AE9" w:rsidRDefault="00C16AE9" w:rsidP="00F74D0C">
      <w:pPr>
        <w:rPr>
          <w:rFonts w:asciiTheme="minorHAnsi" w:hAnsiTheme="minorHAnsi"/>
          <w:b/>
          <w:sz w:val="22"/>
          <w:szCs w:val="22"/>
          <w:u w:val="single"/>
          <w:lang w:val="en-GB"/>
        </w:rPr>
      </w:pPr>
    </w:p>
    <w:p w:rsidR="00C16AE9" w:rsidRDefault="00C16AE9" w:rsidP="00F74D0C">
      <w:pPr>
        <w:rPr>
          <w:rFonts w:asciiTheme="minorHAnsi" w:hAnsiTheme="minorHAnsi"/>
          <w:b/>
          <w:sz w:val="22"/>
          <w:szCs w:val="22"/>
          <w:u w:val="single"/>
          <w:lang w:val="en-GB"/>
        </w:rPr>
      </w:pPr>
    </w:p>
    <w:p w:rsidR="00C16AE9" w:rsidRDefault="00C16AE9" w:rsidP="00F74D0C">
      <w:pPr>
        <w:rPr>
          <w:rFonts w:asciiTheme="minorHAnsi" w:hAnsiTheme="minorHAnsi"/>
          <w:b/>
          <w:sz w:val="22"/>
          <w:szCs w:val="22"/>
          <w:u w:val="single"/>
          <w:lang w:val="en-GB"/>
        </w:rPr>
      </w:pPr>
    </w:p>
    <w:p w:rsidR="00A950A9" w:rsidRDefault="00A950A9" w:rsidP="00F74D0C">
      <w:pPr>
        <w:rPr>
          <w:rFonts w:asciiTheme="minorHAnsi" w:hAnsiTheme="minorHAnsi"/>
          <w:b/>
          <w:sz w:val="22"/>
          <w:szCs w:val="22"/>
          <w:u w:val="single"/>
          <w:lang w:val="en-GB"/>
        </w:rPr>
      </w:pPr>
      <w:r w:rsidRPr="00A950A9">
        <w:rPr>
          <w:rFonts w:asciiTheme="minorHAnsi" w:hAnsiTheme="minorHAnsi"/>
          <w:b/>
          <w:sz w:val="22"/>
          <w:szCs w:val="22"/>
          <w:u w:val="single"/>
          <w:lang w:val="en-GB"/>
        </w:rPr>
        <w:lastRenderedPageBreak/>
        <w:t xml:space="preserve">Marking to market and </w:t>
      </w:r>
      <w:r w:rsidR="002E6D07" w:rsidRPr="00A950A9">
        <w:rPr>
          <w:rFonts w:asciiTheme="minorHAnsi" w:hAnsiTheme="minorHAnsi"/>
          <w:b/>
          <w:sz w:val="22"/>
          <w:szCs w:val="22"/>
          <w:u w:val="single"/>
          <w:lang w:val="en-GB"/>
        </w:rPr>
        <w:t>ma</w:t>
      </w:r>
      <w:r w:rsidR="002E6D07">
        <w:rPr>
          <w:rFonts w:asciiTheme="minorHAnsi" w:hAnsiTheme="minorHAnsi"/>
          <w:b/>
          <w:sz w:val="22"/>
          <w:szCs w:val="22"/>
          <w:u w:val="single"/>
          <w:lang w:val="en-GB"/>
        </w:rPr>
        <w:t>r</w:t>
      </w:r>
      <w:r w:rsidR="002E6D07" w:rsidRPr="00A950A9">
        <w:rPr>
          <w:rFonts w:asciiTheme="minorHAnsi" w:hAnsiTheme="minorHAnsi"/>
          <w:b/>
          <w:sz w:val="22"/>
          <w:szCs w:val="22"/>
          <w:u w:val="single"/>
          <w:lang w:val="en-GB"/>
        </w:rPr>
        <w:t>king</w:t>
      </w:r>
      <w:r w:rsidRPr="00A950A9">
        <w:rPr>
          <w:rFonts w:asciiTheme="minorHAnsi" w:hAnsiTheme="minorHAnsi"/>
          <w:b/>
          <w:sz w:val="22"/>
          <w:szCs w:val="22"/>
          <w:u w:val="single"/>
          <w:lang w:val="en-GB"/>
        </w:rPr>
        <w:t xml:space="preserve"> to model</w:t>
      </w:r>
    </w:p>
    <w:p w:rsidR="00A950A9" w:rsidRDefault="00A950A9" w:rsidP="00F74D0C">
      <w:pPr>
        <w:rPr>
          <w:rFonts w:asciiTheme="minorHAnsi" w:hAnsiTheme="minorHAnsi"/>
          <w:b/>
          <w:sz w:val="22"/>
          <w:szCs w:val="22"/>
          <w:u w:val="single"/>
          <w:lang w:val="en-GB"/>
        </w:rPr>
      </w:pPr>
    </w:p>
    <w:p w:rsidR="00A950A9" w:rsidRPr="00A950A9" w:rsidRDefault="00A950A9" w:rsidP="00F74D0C">
      <w:pPr>
        <w:rPr>
          <w:rFonts w:asciiTheme="minorHAnsi" w:hAnsiTheme="minorHAnsi"/>
          <w:b/>
          <w:sz w:val="22"/>
          <w:szCs w:val="22"/>
          <w:lang w:val="en-GB"/>
        </w:rPr>
      </w:pPr>
      <w:r w:rsidRPr="00A950A9">
        <w:rPr>
          <w:rFonts w:asciiTheme="minorHAnsi" w:hAnsiTheme="minorHAnsi"/>
          <w:b/>
          <w:sz w:val="22"/>
          <w:szCs w:val="22"/>
          <w:lang w:val="en-GB"/>
        </w:rPr>
        <w:t>Q14: In your view is the definition of market conditions preventing marking to market complete.  How should European accounting rules be used for this purpose?</w:t>
      </w:r>
    </w:p>
    <w:p w:rsidR="00A950A9" w:rsidRDefault="00A950A9" w:rsidP="00F74D0C">
      <w:pPr>
        <w:rPr>
          <w:rFonts w:asciiTheme="minorHAnsi" w:hAnsiTheme="minorHAnsi"/>
          <w:b/>
          <w:sz w:val="22"/>
          <w:szCs w:val="22"/>
          <w:u w:val="single"/>
          <w:lang w:val="en-GB"/>
        </w:rPr>
      </w:pPr>
    </w:p>
    <w:p w:rsidR="00A950A9" w:rsidRDefault="000C6F49" w:rsidP="00F74D0C">
      <w:pPr>
        <w:rPr>
          <w:rFonts w:asciiTheme="minorHAnsi" w:hAnsiTheme="minorHAnsi"/>
          <w:sz w:val="22"/>
          <w:szCs w:val="22"/>
          <w:lang w:val="en-GB"/>
        </w:rPr>
      </w:pPr>
      <w:r w:rsidRPr="000C6F49">
        <w:rPr>
          <w:rFonts w:asciiTheme="minorHAnsi" w:hAnsiTheme="minorHAnsi"/>
          <w:sz w:val="22"/>
          <w:szCs w:val="22"/>
          <w:lang w:val="en-GB"/>
        </w:rPr>
        <w:t xml:space="preserve">The definition of market conditions preventing mark to market are </w:t>
      </w:r>
      <w:r w:rsidR="002E6D07" w:rsidRPr="000C6F49">
        <w:rPr>
          <w:rFonts w:asciiTheme="minorHAnsi" w:hAnsiTheme="minorHAnsi"/>
          <w:sz w:val="22"/>
          <w:szCs w:val="22"/>
          <w:lang w:val="en-GB"/>
        </w:rPr>
        <w:t>generally</w:t>
      </w:r>
      <w:r w:rsidR="00495207">
        <w:rPr>
          <w:rFonts w:asciiTheme="minorHAnsi" w:hAnsiTheme="minorHAnsi"/>
          <w:sz w:val="22"/>
          <w:szCs w:val="22"/>
          <w:lang w:val="en-GB"/>
        </w:rPr>
        <w:t xml:space="preserve"> reasonable although</w:t>
      </w:r>
      <w:r w:rsidRPr="000C6F49">
        <w:rPr>
          <w:rFonts w:asciiTheme="minorHAnsi" w:hAnsiTheme="minorHAnsi"/>
          <w:sz w:val="22"/>
          <w:szCs w:val="22"/>
          <w:lang w:val="en-GB"/>
        </w:rPr>
        <w:t xml:space="preserve"> it may be </w:t>
      </w:r>
      <w:r w:rsidR="002E6D07" w:rsidRPr="000C6F49">
        <w:rPr>
          <w:rFonts w:asciiTheme="minorHAnsi" w:hAnsiTheme="minorHAnsi"/>
          <w:sz w:val="22"/>
          <w:szCs w:val="22"/>
          <w:lang w:val="en-GB"/>
        </w:rPr>
        <w:t>appropriate</w:t>
      </w:r>
      <w:r w:rsidRPr="000C6F49">
        <w:rPr>
          <w:rFonts w:asciiTheme="minorHAnsi" w:hAnsiTheme="minorHAnsi"/>
          <w:sz w:val="22"/>
          <w:szCs w:val="22"/>
          <w:lang w:val="en-GB"/>
        </w:rPr>
        <w:t xml:space="preserve"> to </w:t>
      </w:r>
      <w:r w:rsidR="002E6D07" w:rsidRPr="000C6F49">
        <w:rPr>
          <w:rFonts w:asciiTheme="minorHAnsi" w:hAnsiTheme="minorHAnsi"/>
          <w:sz w:val="22"/>
          <w:szCs w:val="22"/>
          <w:lang w:val="en-GB"/>
        </w:rPr>
        <w:t>also</w:t>
      </w:r>
      <w:r w:rsidRPr="000C6F49">
        <w:rPr>
          <w:rFonts w:asciiTheme="minorHAnsi" w:hAnsiTheme="minorHAnsi"/>
          <w:sz w:val="22"/>
          <w:szCs w:val="22"/>
          <w:lang w:val="en-GB"/>
        </w:rPr>
        <w:t xml:space="preserve"> </w:t>
      </w:r>
      <w:r w:rsidR="002E6D07" w:rsidRPr="000C6F49">
        <w:rPr>
          <w:rFonts w:asciiTheme="minorHAnsi" w:hAnsiTheme="minorHAnsi"/>
          <w:sz w:val="22"/>
          <w:szCs w:val="22"/>
          <w:lang w:val="en-GB"/>
        </w:rPr>
        <w:t>include</w:t>
      </w:r>
      <w:r w:rsidRPr="000C6F49">
        <w:rPr>
          <w:rFonts w:asciiTheme="minorHAnsi" w:hAnsiTheme="minorHAnsi"/>
          <w:sz w:val="22"/>
          <w:szCs w:val="22"/>
          <w:lang w:val="en-GB"/>
        </w:rPr>
        <w:t xml:space="preserve"> the complexity</w:t>
      </w:r>
      <w:r w:rsidR="002E6D07">
        <w:rPr>
          <w:rFonts w:asciiTheme="minorHAnsi" w:hAnsiTheme="minorHAnsi"/>
          <w:sz w:val="22"/>
          <w:szCs w:val="22"/>
          <w:lang w:val="en-GB"/>
        </w:rPr>
        <w:t xml:space="preserve"> of an </w:t>
      </w:r>
      <w:r w:rsidRPr="000C6F49">
        <w:rPr>
          <w:rFonts w:asciiTheme="minorHAnsi" w:hAnsiTheme="minorHAnsi"/>
          <w:sz w:val="22"/>
          <w:szCs w:val="22"/>
          <w:lang w:val="en-GB"/>
        </w:rPr>
        <w:t>OTC derivative t</w:t>
      </w:r>
      <w:r w:rsidR="007C794E">
        <w:rPr>
          <w:rFonts w:asciiTheme="minorHAnsi" w:hAnsiTheme="minorHAnsi"/>
          <w:sz w:val="22"/>
          <w:szCs w:val="22"/>
          <w:lang w:val="en-GB"/>
        </w:rPr>
        <w:t>rade to the list of conditions</w:t>
      </w:r>
      <w:r w:rsidRPr="000C6F49">
        <w:rPr>
          <w:rFonts w:asciiTheme="minorHAnsi" w:hAnsiTheme="minorHAnsi"/>
          <w:sz w:val="22"/>
          <w:szCs w:val="22"/>
          <w:lang w:val="en-GB"/>
        </w:rPr>
        <w:t xml:space="preserve">.  </w:t>
      </w:r>
    </w:p>
    <w:p w:rsidR="000C6F49" w:rsidRDefault="000C6F49" w:rsidP="00F74D0C">
      <w:pPr>
        <w:rPr>
          <w:rFonts w:asciiTheme="minorHAnsi" w:hAnsiTheme="minorHAnsi"/>
          <w:sz w:val="22"/>
          <w:szCs w:val="22"/>
          <w:lang w:val="en-GB"/>
        </w:rPr>
      </w:pPr>
    </w:p>
    <w:p w:rsidR="00D924D2" w:rsidRPr="00E016E3" w:rsidRDefault="008A4CB5" w:rsidP="00D924D2">
      <w:pPr>
        <w:jc w:val="both"/>
        <w:rPr>
          <w:rFonts w:ascii="Calibri" w:hAnsi="Calibri" w:cs="Calibri"/>
          <w:sz w:val="22"/>
          <w:szCs w:val="22"/>
        </w:rPr>
      </w:pPr>
      <w:r w:rsidRPr="00C16AE9">
        <w:rPr>
          <w:rFonts w:ascii="Calibri" w:hAnsi="Calibri" w:cs="Calibri"/>
          <w:sz w:val="22"/>
          <w:szCs w:val="22"/>
        </w:rPr>
        <w:t xml:space="preserve">We </w:t>
      </w:r>
      <w:r w:rsidR="00C16AE9">
        <w:rPr>
          <w:rFonts w:ascii="Calibri" w:hAnsi="Calibri" w:cs="Calibri"/>
          <w:sz w:val="22"/>
          <w:szCs w:val="22"/>
        </w:rPr>
        <w:t>also suggest</w:t>
      </w:r>
      <w:r w:rsidRPr="00C16AE9">
        <w:rPr>
          <w:rFonts w:ascii="Calibri" w:hAnsi="Calibri" w:cs="Calibri"/>
          <w:sz w:val="22"/>
          <w:szCs w:val="22"/>
        </w:rPr>
        <w:t xml:space="preserve"> that paragraph 45e</w:t>
      </w:r>
      <w:r w:rsidR="00C16AE9">
        <w:rPr>
          <w:rFonts w:ascii="Calibri" w:hAnsi="Calibri" w:cs="Calibri"/>
          <w:sz w:val="22"/>
          <w:szCs w:val="22"/>
        </w:rPr>
        <w:t xml:space="preserve"> of the Discussion Paper</w:t>
      </w:r>
      <w:r w:rsidRPr="00C16AE9">
        <w:rPr>
          <w:rFonts w:ascii="Calibri" w:hAnsi="Calibri" w:cs="Calibri"/>
          <w:sz w:val="22"/>
          <w:szCs w:val="22"/>
        </w:rPr>
        <w:t xml:space="preserve"> </w:t>
      </w:r>
      <w:r w:rsidR="00C16AE9">
        <w:rPr>
          <w:rFonts w:ascii="Calibri" w:hAnsi="Calibri" w:cs="Calibri"/>
          <w:sz w:val="22"/>
          <w:szCs w:val="22"/>
        </w:rPr>
        <w:t xml:space="preserve">is </w:t>
      </w:r>
      <w:r w:rsidR="00C16AE9" w:rsidRPr="00C16AE9">
        <w:rPr>
          <w:rFonts w:ascii="Calibri" w:hAnsi="Calibri" w:cs="Calibri"/>
          <w:sz w:val="22"/>
          <w:szCs w:val="22"/>
        </w:rPr>
        <w:t>amended to require that</w:t>
      </w:r>
      <w:r w:rsidRPr="00C16AE9">
        <w:rPr>
          <w:rFonts w:ascii="Calibri" w:hAnsi="Calibri" w:cs="Calibri"/>
          <w:sz w:val="22"/>
          <w:szCs w:val="22"/>
        </w:rPr>
        <w:t xml:space="preserve"> marking-to-model models to be approved by the board </w:t>
      </w:r>
      <w:r w:rsidRPr="0065424A">
        <w:rPr>
          <w:rFonts w:ascii="Calibri" w:hAnsi="Calibri" w:cs="Calibri"/>
          <w:iCs/>
          <w:sz w:val="22"/>
          <w:szCs w:val="22"/>
        </w:rPr>
        <w:t>or delegated committee</w:t>
      </w:r>
      <w:r w:rsidR="00C16AE9" w:rsidRPr="0065424A">
        <w:rPr>
          <w:rFonts w:ascii="Calibri" w:hAnsi="Calibri" w:cs="Calibri"/>
          <w:sz w:val="22"/>
          <w:szCs w:val="22"/>
        </w:rPr>
        <w:t>.</w:t>
      </w:r>
      <w:r w:rsidR="00C16AE9" w:rsidRPr="00C16AE9">
        <w:rPr>
          <w:rFonts w:ascii="Calibri" w:hAnsi="Calibri" w:cs="Calibri"/>
          <w:sz w:val="22"/>
          <w:szCs w:val="22"/>
        </w:rPr>
        <w:t xml:space="preserve">  </w:t>
      </w:r>
      <w:r w:rsidRPr="00C16AE9">
        <w:rPr>
          <w:rFonts w:ascii="Calibri" w:hAnsi="Calibri" w:cs="Calibri"/>
          <w:sz w:val="22"/>
          <w:szCs w:val="22"/>
        </w:rPr>
        <w:t>As derivative valuation models are generally highly technical and specialised the board of a company is probably not the most suitable body to approve them. </w:t>
      </w:r>
      <w:r w:rsidR="00C16AE9" w:rsidRPr="00C16AE9">
        <w:rPr>
          <w:rFonts w:ascii="Calibri" w:hAnsi="Calibri" w:cs="Calibri"/>
          <w:sz w:val="22"/>
          <w:szCs w:val="22"/>
        </w:rPr>
        <w:t xml:space="preserve"> </w:t>
      </w:r>
      <w:r w:rsidRPr="00C16AE9">
        <w:rPr>
          <w:rFonts w:ascii="Calibri" w:hAnsi="Calibri" w:cs="Calibri"/>
          <w:sz w:val="22"/>
          <w:szCs w:val="22"/>
        </w:rPr>
        <w:t>Normally this approval is delegated by the board to the Risk Committee</w:t>
      </w:r>
      <w:r w:rsidR="00C16AE9" w:rsidRPr="00C16AE9">
        <w:rPr>
          <w:rFonts w:ascii="Calibri" w:hAnsi="Calibri" w:cs="Calibri"/>
          <w:sz w:val="22"/>
          <w:szCs w:val="22"/>
        </w:rPr>
        <w:t xml:space="preserve"> </w:t>
      </w:r>
      <w:r w:rsidR="0065424A">
        <w:rPr>
          <w:rFonts w:ascii="Calibri" w:hAnsi="Calibri" w:cs="Calibri"/>
          <w:sz w:val="22"/>
          <w:szCs w:val="22"/>
        </w:rPr>
        <w:t>(</w:t>
      </w:r>
      <w:r w:rsidR="00C16AE9" w:rsidRPr="00C16AE9">
        <w:rPr>
          <w:rFonts w:ascii="Calibri" w:hAnsi="Calibri" w:cs="Calibri"/>
          <w:sz w:val="22"/>
          <w:szCs w:val="22"/>
        </w:rPr>
        <w:t>or equivalent</w:t>
      </w:r>
      <w:r w:rsidR="0065424A">
        <w:rPr>
          <w:rFonts w:ascii="Calibri" w:hAnsi="Calibri" w:cs="Calibri"/>
          <w:sz w:val="22"/>
          <w:szCs w:val="22"/>
        </w:rPr>
        <w:t>)</w:t>
      </w:r>
      <w:r w:rsidRPr="00C16AE9">
        <w:rPr>
          <w:rFonts w:ascii="Calibri" w:hAnsi="Calibri" w:cs="Calibri"/>
          <w:sz w:val="22"/>
          <w:szCs w:val="22"/>
        </w:rPr>
        <w:t xml:space="preserve"> of a company.</w:t>
      </w:r>
    </w:p>
    <w:p w:rsidR="00D924D2" w:rsidRPr="00D924D2" w:rsidRDefault="00D924D2" w:rsidP="00F74D0C">
      <w:pPr>
        <w:rPr>
          <w:rFonts w:asciiTheme="minorHAnsi" w:hAnsiTheme="minorHAnsi"/>
          <w:sz w:val="22"/>
          <w:szCs w:val="22"/>
        </w:rPr>
      </w:pPr>
    </w:p>
    <w:p w:rsidR="000C6F49" w:rsidRPr="000C6F49" w:rsidRDefault="000C6F49" w:rsidP="00F74D0C">
      <w:pPr>
        <w:rPr>
          <w:rFonts w:asciiTheme="minorHAnsi" w:hAnsiTheme="minorHAnsi"/>
          <w:b/>
          <w:sz w:val="22"/>
          <w:szCs w:val="22"/>
          <w:lang w:val="en-GB"/>
        </w:rPr>
      </w:pPr>
      <w:r w:rsidRPr="000C6F49">
        <w:rPr>
          <w:rFonts w:asciiTheme="minorHAnsi" w:hAnsiTheme="minorHAnsi"/>
          <w:b/>
          <w:sz w:val="22"/>
          <w:szCs w:val="22"/>
          <w:lang w:val="en-GB"/>
        </w:rPr>
        <w:t>Q15: Do you think additional criteria for marking to model should be added?</w:t>
      </w:r>
    </w:p>
    <w:p w:rsidR="000C6F49" w:rsidRDefault="000C6F49" w:rsidP="00F74D0C">
      <w:pPr>
        <w:rPr>
          <w:rFonts w:asciiTheme="minorHAnsi" w:hAnsiTheme="minorHAnsi"/>
          <w:sz w:val="22"/>
          <w:szCs w:val="22"/>
          <w:lang w:val="en-GB"/>
        </w:rPr>
      </w:pPr>
    </w:p>
    <w:p w:rsidR="000C6F49" w:rsidRDefault="000C6F49" w:rsidP="000C6F49">
      <w:pPr>
        <w:rPr>
          <w:rFonts w:asciiTheme="minorHAnsi" w:hAnsiTheme="minorHAnsi"/>
          <w:sz w:val="22"/>
          <w:szCs w:val="22"/>
        </w:rPr>
      </w:pPr>
      <w:r>
        <w:rPr>
          <w:rFonts w:asciiTheme="minorHAnsi" w:hAnsiTheme="minorHAnsi"/>
          <w:sz w:val="22"/>
          <w:szCs w:val="22"/>
        </w:rPr>
        <w:t>We have no comments on this issue.</w:t>
      </w:r>
    </w:p>
    <w:p w:rsidR="000C6F49" w:rsidRDefault="000C6F49" w:rsidP="00F74D0C">
      <w:pPr>
        <w:rPr>
          <w:rFonts w:asciiTheme="minorHAnsi" w:hAnsiTheme="minorHAnsi"/>
          <w:sz w:val="22"/>
          <w:szCs w:val="22"/>
          <w:lang w:val="en-GB"/>
        </w:rPr>
      </w:pPr>
    </w:p>
    <w:p w:rsidR="000C6F49" w:rsidRDefault="000C6F49" w:rsidP="00F74D0C">
      <w:pPr>
        <w:rPr>
          <w:rFonts w:asciiTheme="minorHAnsi" w:hAnsiTheme="minorHAnsi"/>
          <w:b/>
          <w:sz w:val="22"/>
          <w:szCs w:val="22"/>
          <w:u w:val="single"/>
          <w:lang w:val="en-GB"/>
        </w:rPr>
      </w:pPr>
    </w:p>
    <w:p w:rsidR="000C6F49" w:rsidRDefault="000C6F49" w:rsidP="00F74D0C">
      <w:pPr>
        <w:rPr>
          <w:rFonts w:asciiTheme="minorHAnsi" w:hAnsiTheme="minorHAnsi"/>
          <w:b/>
          <w:sz w:val="22"/>
          <w:szCs w:val="22"/>
          <w:u w:val="single"/>
          <w:lang w:val="en-GB"/>
        </w:rPr>
      </w:pPr>
      <w:r w:rsidRPr="000C6F49">
        <w:rPr>
          <w:rFonts w:asciiTheme="minorHAnsi" w:hAnsiTheme="minorHAnsi"/>
          <w:b/>
          <w:sz w:val="22"/>
          <w:szCs w:val="22"/>
          <w:u w:val="single"/>
          <w:lang w:val="en-GB"/>
        </w:rPr>
        <w:t>Reconciliation of non-cleared OTC derivative transactions</w:t>
      </w:r>
    </w:p>
    <w:p w:rsidR="000C6F49" w:rsidRPr="000C6F49" w:rsidRDefault="000C6F49" w:rsidP="00F74D0C">
      <w:pPr>
        <w:rPr>
          <w:rFonts w:asciiTheme="minorHAnsi" w:hAnsiTheme="minorHAnsi"/>
          <w:b/>
          <w:sz w:val="22"/>
          <w:szCs w:val="22"/>
          <w:lang w:val="en-GB"/>
        </w:rPr>
      </w:pPr>
    </w:p>
    <w:p w:rsidR="000C6F49" w:rsidRDefault="000C6F49" w:rsidP="00F74D0C">
      <w:pPr>
        <w:rPr>
          <w:rFonts w:asciiTheme="minorHAnsi" w:hAnsiTheme="minorHAnsi"/>
          <w:b/>
          <w:sz w:val="22"/>
          <w:szCs w:val="22"/>
          <w:lang w:val="en-GB"/>
        </w:rPr>
      </w:pPr>
      <w:r w:rsidRPr="000C6F49">
        <w:rPr>
          <w:rFonts w:asciiTheme="minorHAnsi" w:hAnsiTheme="minorHAnsi"/>
          <w:b/>
          <w:sz w:val="22"/>
          <w:szCs w:val="22"/>
          <w:lang w:val="en-GB"/>
        </w:rPr>
        <w:t>Q16: What are your views regarding the frequency of the reconciliation? What should be the size of the portfolio for each reconciliation frequency?</w:t>
      </w:r>
    </w:p>
    <w:p w:rsidR="000C6F49" w:rsidRDefault="000C6F49" w:rsidP="00F74D0C">
      <w:pPr>
        <w:rPr>
          <w:rFonts w:asciiTheme="minorHAnsi" w:hAnsiTheme="minorHAnsi"/>
          <w:b/>
          <w:sz w:val="22"/>
          <w:szCs w:val="22"/>
          <w:lang w:val="en-GB"/>
        </w:rPr>
      </w:pPr>
    </w:p>
    <w:p w:rsidR="00755B51" w:rsidRDefault="00755B51" w:rsidP="00755B51">
      <w:pPr>
        <w:rPr>
          <w:rFonts w:asciiTheme="minorHAnsi" w:hAnsiTheme="minorHAnsi"/>
          <w:sz w:val="22"/>
          <w:szCs w:val="22"/>
        </w:rPr>
      </w:pPr>
      <w:r>
        <w:rPr>
          <w:rFonts w:asciiTheme="minorHAnsi" w:hAnsiTheme="minorHAnsi"/>
          <w:sz w:val="22"/>
          <w:szCs w:val="22"/>
        </w:rPr>
        <w:t>We have no comments on this issue.</w:t>
      </w:r>
    </w:p>
    <w:p w:rsidR="00D924D2" w:rsidRPr="00755B51" w:rsidRDefault="00D924D2" w:rsidP="00F74D0C">
      <w:pPr>
        <w:rPr>
          <w:rFonts w:asciiTheme="minorHAnsi" w:hAnsiTheme="minorHAnsi"/>
          <w:b/>
          <w:sz w:val="22"/>
          <w:szCs w:val="22"/>
        </w:rPr>
      </w:pPr>
    </w:p>
    <w:p w:rsidR="000C6F49" w:rsidRDefault="000C6F49" w:rsidP="00F74D0C">
      <w:pPr>
        <w:rPr>
          <w:rFonts w:asciiTheme="minorHAnsi" w:hAnsiTheme="minorHAnsi"/>
          <w:b/>
          <w:sz w:val="22"/>
          <w:szCs w:val="22"/>
          <w:lang w:val="en-GB"/>
        </w:rPr>
      </w:pPr>
      <w:r>
        <w:rPr>
          <w:rFonts w:asciiTheme="minorHAnsi" w:hAnsiTheme="minorHAnsi"/>
          <w:b/>
          <w:sz w:val="22"/>
          <w:szCs w:val="22"/>
          <w:lang w:val="en-GB"/>
        </w:rPr>
        <w:t>Q17: what are your views regarding the threshold to mandate portfolio compression and the frequency for performing portfolio compression?</w:t>
      </w:r>
    </w:p>
    <w:p w:rsidR="000C6F49" w:rsidRDefault="000C6F49" w:rsidP="00F74D0C">
      <w:pPr>
        <w:rPr>
          <w:rFonts w:asciiTheme="minorHAnsi" w:hAnsiTheme="minorHAnsi"/>
          <w:b/>
          <w:sz w:val="22"/>
          <w:szCs w:val="22"/>
          <w:lang w:val="en-GB"/>
        </w:rPr>
      </w:pPr>
    </w:p>
    <w:p w:rsidR="000C6F49" w:rsidRDefault="000C6F49" w:rsidP="000C6F49">
      <w:pPr>
        <w:rPr>
          <w:rFonts w:asciiTheme="minorHAnsi" w:hAnsiTheme="minorHAnsi"/>
          <w:sz w:val="22"/>
          <w:szCs w:val="22"/>
        </w:rPr>
      </w:pPr>
      <w:r>
        <w:rPr>
          <w:rFonts w:asciiTheme="minorHAnsi" w:hAnsiTheme="minorHAnsi"/>
          <w:sz w:val="22"/>
          <w:szCs w:val="22"/>
        </w:rPr>
        <w:t>We have no comments on this issue.</w:t>
      </w:r>
    </w:p>
    <w:p w:rsidR="000C6F49" w:rsidRDefault="000C6F49" w:rsidP="00F74D0C">
      <w:pPr>
        <w:rPr>
          <w:rFonts w:asciiTheme="minorHAnsi" w:hAnsiTheme="minorHAnsi"/>
          <w:b/>
          <w:sz w:val="22"/>
          <w:szCs w:val="22"/>
          <w:lang w:val="en-GB"/>
        </w:rPr>
      </w:pPr>
    </w:p>
    <w:p w:rsidR="0065424A" w:rsidRDefault="0065424A" w:rsidP="00F74D0C">
      <w:pPr>
        <w:rPr>
          <w:rFonts w:asciiTheme="minorHAnsi" w:hAnsiTheme="minorHAnsi"/>
          <w:b/>
          <w:sz w:val="22"/>
          <w:szCs w:val="22"/>
          <w:u w:val="single"/>
          <w:lang w:val="en-GB"/>
        </w:rPr>
      </w:pPr>
    </w:p>
    <w:p w:rsidR="000C6F49" w:rsidRPr="00DA3C29" w:rsidRDefault="000C6F49" w:rsidP="00F74D0C">
      <w:pPr>
        <w:rPr>
          <w:rFonts w:asciiTheme="minorHAnsi" w:hAnsiTheme="minorHAnsi"/>
          <w:b/>
          <w:sz w:val="22"/>
          <w:szCs w:val="22"/>
          <w:u w:val="single"/>
          <w:lang w:val="en-GB"/>
        </w:rPr>
      </w:pPr>
      <w:r w:rsidRPr="00DA3C29">
        <w:rPr>
          <w:rFonts w:asciiTheme="minorHAnsi" w:hAnsiTheme="minorHAnsi"/>
          <w:b/>
          <w:sz w:val="22"/>
          <w:szCs w:val="22"/>
          <w:u w:val="single"/>
          <w:lang w:val="en-GB"/>
        </w:rPr>
        <w:t>Dispute resolution</w:t>
      </w:r>
    </w:p>
    <w:p w:rsidR="000C6F49" w:rsidRDefault="000C6F49" w:rsidP="00F74D0C">
      <w:pPr>
        <w:rPr>
          <w:rFonts w:asciiTheme="minorHAnsi" w:hAnsiTheme="minorHAnsi"/>
          <w:b/>
          <w:sz w:val="22"/>
          <w:szCs w:val="22"/>
          <w:lang w:val="en-GB"/>
        </w:rPr>
      </w:pPr>
    </w:p>
    <w:p w:rsidR="00DA3C29" w:rsidRDefault="00DA3C29" w:rsidP="00F74D0C">
      <w:pPr>
        <w:rPr>
          <w:rFonts w:asciiTheme="minorHAnsi" w:hAnsiTheme="minorHAnsi"/>
          <w:b/>
          <w:sz w:val="22"/>
          <w:szCs w:val="22"/>
          <w:lang w:val="en-GB"/>
        </w:rPr>
      </w:pPr>
      <w:r>
        <w:rPr>
          <w:rFonts w:asciiTheme="minorHAnsi" w:hAnsiTheme="minorHAnsi"/>
          <w:b/>
          <w:sz w:val="22"/>
          <w:szCs w:val="22"/>
          <w:lang w:val="en-GB"/>
        </w:rPr>
        <w:t xml:space="preserve">Q18: </w:t>
      </w:r>
      <w:r w:rsidR="002E6D07">
        <w:rPr>
          <w:rFonts w:asciiTheme="minorHAnsi" w:hAnsiTheme="minorHAnsi"/>
          <w:b/>
          <w:sz w:val="22"/>
          <w:szCs w:val="22"/>
          <w:lang w:val="en-GB"/>
        </w:rPr>
        <w:t>What</w:t>
      </w:r>
      <w:r>
        <w:rPr>
          <w:rFonts w:asciiTheme="minorHAnsi" w:hAnsiTheme="minorHAnsi"/>
          <w:b/>
          <w:sz w:val="22"/>
          <w:szCs w:val="22"/>
          <w:lang w:val="en-GB"/>
        </w:rPr>
        <w:t xml:space="preserve"> are your views </w:t>
      </w:r>
      <w:r w:rsidR="002E6D07">
        <w:rPr>
          <w:rFonts w:asciiTheme="minorHAnsi" w:hAnsiTheme="minorHAnsi"/>
          <w:b/>
          <w:sz w:val="22"/>
          <w:szCs w:val="22"/>
          <w:lang w:val="en-GB"/>
        </w:rPr>
        <w:t>regarding</w:t>
      </w:r>
      <w:r>
        <w:rPr>
          <w:rFonts w:asciiTheme="minorHAnsi" w:hAnsiTheme="minorHAnsi"/>
          <w:b/>
          <w:sz w:val="22"/>
          <w:szCs w:val="22"/>
          <w:lang w:val="en-GB"/>
        </w:rPr>
        <w:t xml:space="preserve"> the procedure </w:t>
      </w:r>
      <w:r w:rsidR="002E6D07">
        <w:rPr>
          <w:rFonts w:asciiTheme="minorHAnsi" w:hAnsiTheme="minorHAnsi"/>
          <w:b/>
          <w:sz w:val="22"/>
          <w:szCs w:val="22"/>
          <w:lang w:val="en-GB"/>
        </w:rPr>
        <w:t>counterparties</w:t>
      </w:r>
      <w:r>
        <w:rPr>
          <w:rFonts w:asciiTheme="minorHAnsi" w:hAnsiTheme="minorHAnsi"/>
          <w:b/>
          <w:sz w:val="22"/>
          <w:szCs w:val="22"/>
          <w:lang w:val="en-GB"/>
        </w:rPr>
        <w:t xml:space="preserve"> shall have in place for resolving disputes?</w:t>
      </w:r>
    </w:p>
    <w:p w:rsidR="00DA3C29" w:rsidRDefault="00DA3C29" w:rsidP="00F74D0C">
      <w:pPr>
        <w:rPr>
          <w:rFonts w:asciiTheme="minorHAnsi" w:hAnsiTheme="minorHAnsi"/>
          <w:b/>
          <w:sz w:val="22"/>
          <w:szCs w:val="22"/>
          <w:lang w:val="en-GB"/>
        </w:rPr>
      </w:pPr>
    </w:p>
    <w:p w:rsidR="00DA3C29" w:rsidRPr="0065424A" w:rsidRDefault="00DA3C29" w:rsidP="00F74D0C">
      <w:pPr>
        <w:rPr>
          <w:rFonts w:asciiTheme="minorHAnsi" w:hAnsiTheme="minorHAnsi"/>
          <w:sz w:val="22"/>
          <w:szCs w:val="22"/>
          <w:lang w:val="en-GB"/>
        </w:rPr>
      </w:pPr>
      <w:r w:rsidRPr="0065424A">
        <w:rPr>
          <w:rFonts w:asciiTheme="minorHAnsi" w:hAnsiTheme="minorHAnsi"/>
          <w:sz w:val="22"/>
          <w:szCs w:val="22"/>
          <w:lang w:val="en-GB"/>
        </w:rPr>
        <w:t xml:space="preserve">We agree there should be appropriate arrangements in place for dealing with potential disputes between counterparties.  </w:t>
      </w:r>
      <w:r w:rsidR="002E6D07" w:rsidRPr="0065424A">
        <w:rPr>
          <w:rFonts w:asciiTheme="minorHAnsi" w:hAnsiTheme="minorHAnsi"/>
          <w:sz w:val="22"/>
          <w:szCs w:val="22"/>
          <w:lang w:val="en-GB"/>
        </w:rPr>
        <w:t>Existing industry standards and contractual arrangements provide a robust me</w:t>
      </w:r>
      <w:r w:rsidR="007C794E">
        <w:rPr>
          <w:rFonts w:asciiTheme="minorHAnsi" w:hAnsiTheme="minorHAnsi"/>
          <w:sz w:val="22"/>
          <w:szCs w:val="22"/>
          <w:lang w:val="en-GB"/>
        </w:rPr>
        <w:t>chanism of</w:t>
      </w:r>
      <w:r w:rsidR="002E6D07" w:rsidRPr="0065424A">
        <w:rPr>
          <w:rFonts w:asciiTheme="minorHAnsi" w:hAnsiTheme="minorHAnsi"/>
          <w:sz w:val="22"/>
          <w:szCs w:val="22"/>
          <w:lang w:val="en-GB"/>
        </w:rPr>
        <w:t xml:space="preserve"> dealing with disputes and firms (particularly non-financial) should be able to retain flexibility in how they deal with such issues – including the timing for resolution and the routes chosen.</w:t>
      </w:r>
    </w:p>
    <w:p w:rsidR="00D924D2" w:rsidRPr="0065424A" w:rsidRDefault="00D924D2" w:rsidP="00F74D0C">
      <w:pPr>
        <w:rPr>
          <w:rFonts w:asciiTheme="minorHAnsi" w:hAnsiTheme="minorHAnsi"/>
          <w:sz w:val="22"/>
          <w:szCs w:val="22"/>
          <w:lang w:val="en-GB"/>
        </w:rPr>
      </w:pPr>
    </w:p>
    <w:p w:rsidR="00D924D2" w:rsidRDefault="007C794E" w:rsidP="00D924D2">
      <w:pPr>
        <w:jc w:val="both"/>
        <w:rPr>
          <w:rFonts w:ascii="Calibri" w:hAnsi="Calibri" w:cs="Calibri"/>
          <w:sz w:val="22"/>
          <w:szCs w:val="22"/>
        </w:rPr>
      </w:pPr>
      <w:r>
        <w:rPr>
          <w:rFonts w:ascii="Calibri" w:hAnsi="Calibri" w:cs="Calibri"/>
          <w:sz w:val="22"/>
          <w:szCs w:val="22"/>
        </w:rPr>
        <w:t xml:space="preserve">As such, ESMA’s </w:t>
      </w:r>
      <w:r w:rsidR="008A4CB5" w:rsidRPr="0065424A">
        <w:rPr>
          <w:rFonts w:ascii="Calibri" w:hAnsi="Calibri" w:cs="Calibri"/>
          <w:sz w:val="22"/>
          <w:szCs w:val="22"/>
        </w:rPr>
        <w:t xml:space="preserve">proposals would duplicate and potentially conflict with existing market practice for conflict resolution. Associations such as EFET and ISDA have been actively developing market standards and their documentation is widely used in the-industry. We therefore feel that ESMA should align their proposals with existing standards </w:t>
      </w:r>
      <w:r w:rsidR="0065424A" w:rsidRPr="0065424A">
        <w:rPr>
          <w:rFonts w:ascii="Calibri" w:hAnsi="Calibri" w:cs="Calibri"/>
          <w:sz w:val="22"/>
          <w:szCs w:val="22"/>
        </w:rPr>
        <w:t xml:space="preserve">of EFET and </w:t>
      </w:r>
      <w:r w:rsidR="008A4CB5" w:rsidRPr="0065424A">
        <w:rPr>
          <w:rFonts w:ascii="Calibri" w:hAnsi="Calibri" w:cs="Calibri"/>
          <w:sz w:val="22"/>
          <w:szCs w:val="22"/>
        </w:rPr>
        <w:t>ISDA.</w:t>
      </w:r>
      <w:r w:rsidR="00D924D2" w:rsidRPr="00E016E3">
        <w:rPr>
          <w:rFonts w:ascii="Calibri" w:hAnsi="Calibri" w:cs="Calibri"/>
          <w:sz w:val="22"/>
          <w:szCs w:val="22"/>
        </w:rPr>
        <w:t xml:space="preserve"> </w:t>
      </w:r>
    </w:p>
    <w:p w:rsidR="00DA3C29" w:rsidRDefault="00DA3C29" w:rsidP="00F74D0C">
      <w:pPr>
        <w:rPr>
          <w:rFonts w:asciiTheme="minorHAnsi" w:hAnsiTheme="minorHAnsi"/>
          <w:b/>
          <w:sz w:val="22"/>
          <w:szCs w:val="22"/>
          <w:lang w:val="en-GB"/>
        </w:rPr>
      </w:pPr>
      <w:r>
        <w:rPr>
          <w:rFonts w:asciiTheme="minorHAnsi" w:hAnsiTheme="minorHAnsi"/>
          <w:b/>
          <w:sz w:val="22"/>
          <w:szCs w:val="22"/>
          <w:lang w:val="en-GB"/>
        </w:rPr>
        <w:lastRenderedPageBreak/>
        <w:t xml:space="preserve">Q19: Do you </w:t>
      </w:r>
      <w:r w:rsidR="002E6D07">
        <w:rPr>
          <w:rFonts w:asciiTheme="minorHAnsi" w:hAnsiTheme="minorHAnsi"/>
          <w:b/>
          <w:sz w:val="22"/>
          <w:szCs w:val="22"/>
          <w:lang w:val="en-GB"/>
        </w:rPr>
        <w:t>consider</w:t>
      </w:r>
      <w:r>
        <w:rPr>
          <w:rFonts w:asciiTheme="minorHAnsi" w:hAnsiTheme="minorHAnsi"/>
          <w:b/>
          <w:sz w:val="22"/>
          <w:szCs w:val="22"/>
          <w:lang w:val="en-GB"/>
        </w:rPr>
        <w:t xml:space="preserve"> that </w:t>
      </w:r>
      <w:r w:rsidR="002E6D07">
        <w:rPr>
          <w:rFonts w:asciiTheme="minorHAnsi" w:hAnsiTheme="minorHAnsi"/>
          <w:b/>
          <w:sz w:val="22"/>
          <w:szCs w:val="22"/>
          <w:lang w:val="en-GB"/>
        </w:rPr>
        <w:t>legal</w:t>
      </w:r>
      <w:r>
        <w:rPr>
          <w:rFonts w:asciiTheme="minorHAnsi" w:hAnsiTheme="minorHAnsi"/>
          <w:b/>
          <w:sz w:val="22"/>
          <w:szCs w:val="22"/>
          <w:lang w:val="en-GB"/>
        </w:rPr>
        <w:t xml:space="preserve"> settlement, third party </w:t>
      </w:r>
      <w:r w:rsidR="002E6D07">
        <w:rPr>
          <w:rFonts w:asciiTheme="minorHAnsi" w:hAnsiTheme="minorHAnsi"/>
          <w:b/>
          <w:sz w:val="22"/>
          <w:szCs w:val="22"/>
          <w:lang w:val="en-GB"/>
        </w:rPr>
        <w:t>arbitration</w:t>
      </w:r>
      <w:r>
        <w:rPr>
          <w:rFonts w:asciiTheme="minorHAnsi" w:hAnsiTheme="minorHAnsi"/>
          <w:b/>
          <w:sz w:val="22"/>
          <w:szCs w:val="22"/>
          <w:lang w:val="en-GB"/>
        </w:rPr>
        <w:t xml:space="preserve"> and/or a market polling mechanism are sufficient to manage disputes?</w:t>
      </w:r>
    </w:p>
    <w:p w:rsidR="00DA3C29" w:rsidRDefault="00DA3C29" w:rsidP="00F74D0C">
      <w:pPr>
        <w:rPr>
          <w:rFonts w:asciiTheme="minorHAnsi" w:hAnsiTheme="minorHAnsi"/>
          <w:b/>
          <w:sz w:val="22"/>
          <w:szCs w:val="22"/>
          <w:lang w:val="en-GB"/>
        </w:rPr>
      </w:pPr>
    </w:p>
    <w:p w:rsidR="00DA3C29" w:rsidRDefault="00DA3C29" w:rsidP="00F74D0C">
      <w:pPr>
        <w:rPr>
          <w:rFonts w:asciiTheme="minorHAnsi" w:hAnsiTheme="minorHAnsi"/>
          <w:sz w:val="22"/>
          <w:szCs w:val="22"/>
          <w:lang w:val="en-GB"/>
        </w:rPr>
      </w:pPr>
      <w:r w:rsidRPr="002E6D07">
        <w:rPr>
          <w:rFonts w:asciiTheme="minorHAnsi" w:hAnsiTheme="minorHAnsi"/>
          <w:sz w:val="22"/>
          <w:szCs w:val="22"/>
          <w:lang w:val="en-GB"/>
        </w:rPr>
        <w:t xml:space="preserve">These three options are potential routes for </w:t>
      </w:r>
      <w:r w:rsidR="002E6D07" w:rsidRPr="002E6D07">
        <w:rPr>
          <w:rFonts w:asciiTheme="minorHAnsi" w:hAnsiTheme="minorHAnsi"/>
          <w:sz w:val="22"/>
          <w:szCs w:val="22"/>
          <w:lang w:val="en-GB"/>
        </w:rPr>
        <w:t>resolving</w:t>
      </w:r>
      <w:r w:rsidRPr="002E6D07">
        <w:rPr>
          <w:rFonts w:asciiTheme="minorHAnsi" w:hAnsiTheme="minorHAnsi"/>
          <w:sz w:val="22"/>
          <w:szCs w:val="22"/>
          <w:lang w:val="en-GB"/>
        </w:rPr>
        <w:t xml:space="preserve"> disputes but they should </w:t>
      </w:r>
      <w:r w:rsidR="00D3606B">
        <w:rPr>
          <w:rFonts w:asciiTheme="minorHAnsi" w:hAnsiTheme="minorHAnsi"/>
          <w:sz w:val="22"/>
          <w:szCs w:val="22"/>
          <w:lang w:val="en-GB"/>
        </w:rPr>
        <w:t xml:space="preserve">not necessarily be regarded </w:t>
      </w:r>
      <w:r w:rsidRPr="002E6D07">
        <w:rPr>
          <w:rFonts w:asciiTheme="minorHAnsi" w:hAnsiTheme="minorHAnsi"/>
          <w:sz w:val="22"/>
          <w:szCs w:val="22"/>
          <w:lang w:val="en-GB"/>
        </w:rPr>
        <w:t xml:space="preserve">as </w:t>
      </w:r>
      <w:r w:rsidR="002E6D07" w:rsidRPr="002E6D07">
        <w:rPr>
          <w:rFonts w:asciiTheme="minorHAnsi" w:hAnsiTheme="minorHAnsi"/>
          <w:sz w:val="22"/>
          <w:szCs w:val="22"/>
          <w:lang w:val="en-GB"/>
        </w:rPr>
        <w:t>the</w:t>
      </w:r>
      <w:r w:rsidRPr="002E6D07">
        <w:rPr>
          <w:rFonts w:asciiTheme="minorHAnsi" w:hAnsiTheme="minorHAnsi"/>
          <w:sz w:val="22"/>
          <w:szCs w:val="22"/>
          <w:lang w:val="en-GB"/>
        </w:rPr>
        <w:t xml:space="preserve"> only routes to </w:t>
      </w:r>
      <w:r w:rsidR="002E6D07" w:rsidRPr="002E6D07">
        <w:rPr>
          <w:rFonts w:asciiTheme="minorHAnsi" w:hAnsiTheme="minorHAnsi"/>
          <w:sz w:val="22"/>
          <w:szCs w:val="22"/>
          <w:lang w:val="en-GB"/>
        </w:rPr>
        <w:t>resolve</w:t>
      </w:r>
      <w:r w:rsidRPr="002E6D07">
        <w:rPr>
          <w:rFonts w:asciiTheme="minorHAnsi" w:hAnsiTheme="minorHAnsi"/>
          <w:sz w:val="22"/>
          <w:szCs w:val="22"/>
          <w:lang w:val="en-GB"/>
        </w:rPr>
        <w:t xml:space="preserve"> disputes between </w:t>
      </w:r>
      <w:r w:rsidR="002E6D07" w:rsidRPr="002E6D07">
        <w:rPr>
          <w:rFonts w:asciiTheme="minorHAnsi" w:hAnsiTheme="minorHAnsi"/>
          <w:sz w:val="22"/>
          <w:szCs w:val="22"/>
          <w:lang w:val="en-GB"/>
        </w:rPr>
        <w:t>counterparties</w:t>
      </w:r>
      <w:r w:rsidRPr="002E6D07">
        <w:rPr>
          <w:rFonts w:asciiTheme="minorHAnsi" w:hAnsiTheme="minorHAnsi"/>
          <w:sz w:val="22"/>
          <w:szCs w:val="22"/>
          <w:lang w:val="en-GB"/>
        </w:rPr>
        <w:t>.</w:t>
      </w:r>
      <w:r w:rsidR="00D3606B">
        <w:rPr>
          <w:rFonts w:asciiTheme="minorHAnsi" w:hAnsiTheme="minorHAnsi"/>
          <w:sz w:val="22"/>
          <w:szCs w:val="22"/>
          <w:lang w:val="en-GB"/>
        </w:rPr>
        <w:t xml:space="preserve">  That being said, we are not dissatisfied with the dispute resolution mechanisms available to </w:t>
      </w:r>
      <w:r w:rsidR="007D4028">
        <w:rPr>
          <w:rFonts w:asciiTheme="minorHAnsi" w:hAnsiTheme="minorHAnsi"/>
          <w:sz w:val="22"/>
          <w:szCs w:val="22"/>
          <w:lang w:val="en-GB"/>
        </w:rPr>
        <w:t>a</w:t>
      </w:r>
      <w:r w:rsidR="00755B51">
        <w:rPr>
          <w:rFonts w:asciiTheme="minorHAnsi" w:hAnsiTheme="minorHAnsi"/>
          <w:sz w:val="22"/>
          <w:szCs w:val="22"/>
          <w:lang w:val="en-GB"/>
        </w:rPr>
        <w:t>nd</w:t>
      </w:r>
      <w:r w:rsidR="00D3606B">
        <w:rPr>
          <w:rFonts w:asciiTheme="minorHAnsi" w:hAnsiTheme="minorHAnsi"/>
          <w:sz w:val="22"/>
          <w:szCs w:val="22"/>
          <w:lang w:val="en-GB"/>
        </w:rPr>
        <w:t xml:space="preserve"> commonly chosen by market parties in industry standard documentation. </w:t>
      </w:r>
    </w:p>
    <w:p w:rsidR="002E6D07" w:rsidRDefault="002E6D07" w:rsidP="00F74D0C">
      <w:pPr>
        <w:rPr>
          <w:rFonts w:asciiTheme="minorHAnsi" w:hAnsiTheme="minorHAnsi"/>
          <w:sz w:val="22"/>
          <w:szCs w:val="22"/>
          <w:lang w:val="en-GB"/>
        </w:rPr>
      </w:pPr>
    </w:p>
    <w:p w:rsidR="006D39A4" w:rsidRPr="006D39A4" w:rsidRDefault="006D39A4" w:rsidP="00F74D0C">
      <w:pPr>
        <w:rPr>
          <w:rFonts w:asciiTheme="minorHAnsi" w:hAnsiTheme="minorHAnsi"/>
          <w:b/>
          <w:sz w:val="22"/>
          <w:szCs w:val="22"/>
          <w:lang w:val="en-GB"/>
        </w:rPr>
      </w:pPr>
      <w:r w:rsidRPr="006D39A4">
        <w:rPr>
          <w:rFonts w:asciiTheme="minorHAnsi" w:hAnsiTheme="minorHAnsi"/>
          <w:b/>
          <w:sz w:val="22"/>
          <w:szCs w:val="22"/>
          <w:lang w:val="en-GB"/>
        </w:rPr>
        <w:t xml:space="preserve">Q20: What are your views regarding the thresholds to report a dispute to the </w:t>
      </w:r>
      <w:r w:rsidR="00CD2E66" w:rsidRPr="006D39A4">
        <w:rPr>
          <w:rFonts w:asciiTheme="minorHAnsi" w:hAnsiTheme="minorHAnsi"/>
          <w:b/>
          <w:sz w:val="22"/>
          <w:szCs w:val="22"/>
          <w:lang w:val="en-GB"/>
        </w:rPr>
        <w:t>competent</w:t>
      </w:r>
      <w:r w:rsidRPr="006D39A4">
        <w:rPr>
          <w:rFonts w:asciiTheme="minorHAnsi" w:hAnsiTheme="minorHAnsi"/>
          <w:b/>
          <w:sz w:val="22"/>
          <w:szCs w:val="22"/>
          <w:lang w:val="en-GB"/>
        </w:rPr>
        <w:t xml:space="preserve"> authority?</w:t>
      </w:r>
    </w:p>
    <w:p w:rsidR="006D39A4" w:rsidRDefault="006D39A4" w:rsidP="00F74D0C">
      <w:pPr>
        <w:rPr>
          <w:rFonts w:asciiTheme="minorHAnsi" w:hAnsiTheme="minorHAnsi"/>
          <w:sz w:val="22"/>
          <w:szCs w:val="22"/>
          <w:lang w:val="en-GB"/>
        </w:rPr>
      </w:pPr>
    </w:p>
    <w:p w:rsidR="00CD2E66" w:rsidRDefault="006D39A4" w:rsidP="00CD2E66">
      <w:pPr>
        <w:rPr>
          <w:rFonts w:asciiTheme="minorHAnsi" w:hAnsiTheme="minorHAnsi"/>
          <w:sz w:val="22"/>
          <w:szCs w:val="22"/>
        </w:rPr>
      </w:pPr>
      <w:r>
        <w:rPr>
          <w:rFonts w:asciiTheme="minorHAnsi" w:hAnsiTheme="minorHAnsi"/>
          <w:sz w:val="22"/>
          <w:szCs w:val="22"/>
          <w:lang w:val="en-GB"/>
        </w:rPr>
        <w:t xml:space="preserve"> </w:t>
      </w:r>
      <w:r w:rsidR="00CD2E66">
        <w:rPr>
          <w:rFonts w:asciiTheme="minorHAnsi" w:hAnsiTheme="minorHAnsi"/>
          <w:sz w:val="22"/>
          <w:szCs w:val="22"/>
        </w:rPr>
        <w:t>We have no comments on this issue.</w:t>
      </w:r>
    </w:p>
    <w:p w:rsidR="006D39A4" w:rsidRPr="00CD2E66" w:rsidRDefault="006D39A4" w:rsidP="00F74D0C">
      <w:pPr>
        <w:rPr>
          <w:rFonts w:asciiTheme="minorHAnsi" w:hAnsiTheme="minorHAnsi"/>
          <w:sz w:val="22"/>
          <w:szCs w:val="22"/>
        </w:rPr>
      </w:pPr>
    </w:p>
    <w:p w:rsidR="006D39A4" w:rsidRDefault="006D39A4" w:rsidP="00F74D0C">
      <w:pPr>
        <w:rPr>
          <w:rFonts w:asciiTheme="minorHAnsi" w:hAnsiTheme="minorHAnsi"/>
          <w:sz w:val="22"/>
          <w:szCs w:val="22"/>
          <w:lang w:val="en-GB"/>
        </w:rPr>
      </w:pPr>
    </w:p>
    <w:p w:rsidR="002E6D07" w:rsidRPr="002E6D07" w:rsidRDefault="002E6D07" w:rsidP="00F74D0C">
      <w:pPr>
        <w:rPr>
          <w:rFonts w:asciiTheme="minorHAnsi" w:hAnsiTheme="minorHAnsi"/>
          <w:b/>
          <w:sz w:val="22"/>
          <w:szCs w:val="22"/>
          <w:u w:val="single"/>
          <w:lang w:val="en-GB"/>
        </w:rPr>
      </w:pPr>
      <w:r w:rsidRPr="002E6D07">
        <w:rPr>
          <w:rFonts w:asciiTheme="minorHAnsi" w:hAnsiTheme="minorHAnsi"/>
          <w:b/>
          <w:sz w:val="22"/>
          <w:szCs w:val="22"/>
          <w:u w:val="single"/>
          <w:lang w:val="en-GB"/>
        </w:rPr>
        <w:t>Intragroup exemptions</w:t>
      </w:r>
    </w:p>
    <w:p w:rsidR="002E6D07" w:rsidRDefault="002E6D07" w:rsidP="00F74D0C">
      <w:pPr>
        <w:rPr>
          <w:rFonts w:asciiTheme="minorHAnsi" w:hAnsiTheme="minorHAnsi"/>
          <w:sz w:val="22"/>
          <w:szCs w:val="22"/>
          <w:lang w:val="en-GB"/>
        </w:rPr>
      </w:pPr>
    </w:p>
    <w:p w:rsidR="002E6D07" w:rsidRPr="00CD2E66" w:rsidRDefault="00CD2E66" w:rsidP="00F74D0C">
      <w:pPr>
        <w:rPr>
          <w:rFonts w:asciiTheme="minorHAnsi" w:hAnsiTheme="minorHAnsi"/>
          <w:b/>
          <w:sz w:val="22"/>
          <w:szCs w:val="22"/>
          <w:lang w:val="en-GB"/>
        </w:rPr>
      </w:pPr>
      <w:r w:rsidRPr="00CD2E66">
        <w:rPr>
          <w:rFonts w:asciiTheme="minorHAnsi" w:hAnsiTheme="minorHAnsi"/>
          <w:b/>
          <w:sz w:val="22"/>
          <w:szCs w:val="22"/>
          <w:lang w:val="en-GB"/>
        </w:rPr>
        <w:t>Q21: In your views what are the details of the intragroup transactions that should be included in the notifications to the competent authority?</w:t>
      </w:r>
    </w:p>
    <w:p w:rsidR="00CD2E66" w:rsidRDefault="00CD2E66" w:rsidP="00F74D0C">
      <w:pPr>
        <w:rPr>
          <w:rFonts w:asciiTheme="minorHAnsi" w:hAnsiTheme="minorHAnsi"/>
          <w:sz w:val="22"/>
          <w:szCs w:val="22"/>
          <w:lang w:val="en-GB"/>
        </w:rPr>
      </w:pPr>
    </w:p>
    <w:p w:rsidR="00CD2E66" w:rsidRDefault="00CD2E66" w:rsidP="00F74D0C">
      <w:pPr>
        <w:rPr>
          <w:rFonts w:asciiTheme="minorHAnsi" w:hAnsiTheme="minorHAnsi"/>
          <w:sz w:val="22"/>
          <w:szCs w:val="22"/>
          <w:lang w:val="en-GB"/>
        </w:rPr>
      </w:pPr>
      <w:r>
        <w:rPr>
          <w:rFonts w:asciiTheme="minorHAnsi" w:hAnsiTheme="minorHAnsi"/>
          <w:sz w:val="22"/>
          <w:szCs w:val="22"/>
          <w:lang w:val="en-GB"/>
        </w:rPr>
        <w:t>The purpose of this notification is to allow competent authorities to assess whether transactions between Group entities can be classified as intragroup transactions for the purpose of EMIR (and in particular with a and b of the relevant subparagraphs).  It is important that competent authorities can achieve this objective without creating an overly burdensome rep</w:t>
      </w:r>
      <w:r w:rsidR="001A3D58">
        <w:rPr>
          <w:rFonts w:asciiTheme="minorHAnsi" w:hAnsiTheme="minorHAnsi"/>
          <w:sz w:val="22"/>
          <w:szCs w:val="22"/>
          <w:lang w:val="en-GB"/>
        </w:rPr>
        <w:t>orting requirement on firms (i</w:t>
      </w:r>
      <w:r>
        <w:rPr>
          <w:rFonts w:asciiTheme="minorHAnsi" w:hAnsiTheme="minorHAnsi"/>
          <w:sz w:val="22"/>
          <w:szCs w:val="22"/>
          <w:lang w:val="en-GB"/>
        </w:rPr>
        <w:t>.</w:t>
      </w:r>
      <w:r w:rsidR="001A3D58">
        <w:rPr>
          <w:rFonts w:asciiTheme="minorHAnsi" w:hAnsiTheme="minorHAnsi"/>
          <w:sz w:val="22"/>
          <w:szCs w:val="22"/>
          <w:lang w:val="en-GB"/>
        </w:rPr>
        <w:t>e. the</w:t>
      </w:r>
      <w:r w:rsidR="007C794E">
        <w:rPr>
          <w:rFonts w:asciiTheme="minorHAnsi" w:hAnsiTheme="minorHAnsi"/>
          <w:sz w:val="22"/>
          <w:szCs w:val="22"/>
          <w:lang w:val="en-GB"/>
        </w:rPr>
        <w:t>r</w:t>
      </w:r>
      <w:r w:rsidR="001A3D58">
        <w:rPr>
          <w:rFonts w:asciiTheme="minorHAnsi" w:hAnsiTheme="minorHAnsi"/>
          <w:sz w:val="22"/>
          <w:szCs w:val="22"/>
          <w:lang w:val="en-GB"/>
        </w:rPr>
        <w:t>e should not be a requirement for notifying or reporting</w:t>
      </w:r>
      <w:r>
        <w:rPr>
          <w:rFonts w:asciiTheme="minorHAnsi" w:hAnsiTheme="minorHAnsi"/>
          <w:sz w:val="22"/>
          <w:szCs w:val="22"/>
          <w:lang w:val="en-GB"/>
        </w:rPr>
        <w:t xml:space="preserve"> </w:t>
      </w:r>
      <w:r w:rsidR="00590349">
        <w:rPr>
          <w:rFonts w:asciiTheme="minorHAnsi" w:hAnsiTheme="minorHAnsi"/>
          <w:sz w:val="22"/>
          <w:szCs w:val="22"/>
          <w:lang w:val="en-GB"/>
        </w:rPr>
        <w:t>individual</w:t>
      </w:r>
      <w:r>
        <w:rPr>
          <w:rFonts w:asciiTheme="minorHAnsi" w:hAnsiTheme="minorHAnsi"/>
          <w:sz w:val="22"/>
          <w:szCs w:val="22"/>
          <w:lang w:val="en-GB"/>
        </w:rPr>
        <w:t xml:space="preserve"> transactio</w:t>
      </w:r>
      <w:r w:rsidR="00590349">
        <w:rPr>
          <w:rFonts w:asciiTheme="minorHAnsi" w:hAnsiTheme="minorHAnsi"/>
          <w:sz w:val="22"/>
          <w:szCs w:val="22"/>
          <w:lang w:val="en-GB"/>
        </w:rPr>
        <w:t>n</w:t>
      </w:r>
      <w:r w:rsidR="001A3D58">
        <w:rPr>
          <w:rFonts w:asciiTheme="minorHAnsi" w:hAnsiTheme="minorHAnsi"/>
          <w:sz w:val="22"/>
          <w:szCs w:val="22"/>
          <w:lang w:val="en-GB"/>
        </w:rPr>
        <w:t>s</w:t>
      </w:r>
      <w:r>
        <w:rPr>
          <w:rFonts w:asciiTheme="minorHAnsi" w:hAnsiTheme="minorHAnsi"/>
          <w:sz w:val="22"/>
          <w:szCs w:val="22"/>
          <w:lang w:val="en-GB"/>
        </w:rPr>
        <w:t>).  As such, firms should include in the notification:</w:t>
      </w:r>
    </w:p>
    <w:p w:rsidR="00CD2E66" w:rsidRDefault="00CD2E66" w:rsidP="00F74D0C">
      <w:pPr>
        <w:rPr>
          <w:rFonts w:asciiTheme="minorHAnsi" w:hAnsiTheme="minorHAnsi"/>
          <w:sz w:val="22"/>
          <w:szCs w:val="22"/>
          <w:lang w:val="en-GB"/>
        </w:rPr>
      </w:pPr>
    </w:p>
    <w:p w:rsidR="00CD2E66" w:rsidRDefault="00CD2E66" w:rsidP="00CD2E66">
      <w:pPr>
        <w:pStyle w:val="ListParagraph"/>
        <w:numPr>
          <w:ilvl w:val="0"/>
          <w:numId w:val="14"/>
        </w:numPr>
        <w:rPr>
          <w:rFonts w:asciiTheme="minorHAnsi" w:hAnsiTheme="minorHAnsi"/>
          <w:sz w:val="22"/>
          <w:szCs w:val="22"/>
          <w:lang w:val="en-GB"/>
        </w:rPr>
      </w:pPr>
      <w:r>
        <w:rPr>
          <w:rFonts w:asciiTheme="minorHAnsi" w:hAnsiTheme="minorHAnsi"/>
          <w:sz w:val="22"/>
          <w:szCs w:val="22"/>
          <w:lang w:val="en-GB"/>
        </w:rPr>
        <w:t>the company name;</w:t>
      </w:r>
    </w:p>
    <w:p w:rsidR="00CD2E66" w:rsidRDefault="00CD2E66" w:rsidP="00CD2E66">
      <w:pPr>
        <w:pStyle w:val="ListParagraph"/>
        <w:numPr>
          <w:ilvl w:val="0"/>
          <w:numId w:val="14"/>
        </w:numPr>
        <w:rPr>
          <w:rFonts w:asciiTheme="minorHAnsi" w:hAnsiTheme="minorHAnsi"/>
          <w:sz w:val="22"/>
          <w:szCs w:val="22"/>
          <w:lang w:val="en-GB"/>
        </w:rPr>
      </w:pPr>
      <w:r>
        <w:rPr>
          <w:rFonts w:asciiTheme="minorHAnsi" w:hAnsiTheme="minorHAnsi"/>
          <w:sz w:val="22"/>
          <w:szCs w:val="22"/>
          <w:lang w:val="en-GB"/>
        </w:rPr>
        <w:t>the name of the Group counterparty they wish to deal with;</w:t>
      </w:r>
    </w:p>
    <w:p w:rsidR="00CD2E66" w:rsidRDefault="00CD2E66" w:rsidP="00CD2E66">
      <w:pPr>
        <w:pStyle w:val="ListParagraph"/>
        <w:numPr>
          <w:ilvl w:val="0"/>
          <w:numId w:val="14"/>
        </w:numPr>
        <w:rPr>
          <w:rFonts w:asciiTheme="minorHAnsi" w:hAnsiTheme="minorHAnsi"/>
          <w:sz w:val="22"/>
          <w:szCs w:val="22"/>
          <w:lang w:val="en-GB"/>
        </w:rPr>
      </w:pPr>
      <w:r>
        <w:rPr>
          <w:rFonts w:asciiTheme="minorHAnsi" w:hAnsiTheme="minorHAnsi"/>
          <w:sz w:val="22"/>
          <w:szCs w:val="22"/>
          <w:lang w:val="en-GB"/>
        </w:rPr>
        <w:t>a generic description of the kind of derivative transactions for which they wish to take advantage of the exemption;</w:t>
      </w:r>
    </w:p>
    <w:p w:rsidR="00CD2E66" w:rsidRDefault="00CD2E66" w:rsidP="00CD2E66">
      <w:pPr>
        <w:pStyle w:val="ListParagraph"/>
        <w:numPr>
          <w:ilvl w:val="0"/>
          <w:numId w:val="14"/>
        </w:numPr>
        <w:rPr>
          <w:rFonts w:asciiTheme="minorHAnsi" w:hAnsiTheme="minorHAnsi"/>
          <w:sz w:val="22"/>
          <w:szCs w:val="22"/>
          <w:lang w:val="en-GB"/>
        </w:rPr>
      </w:pPr>
      <w:r>
        <w:rPr>
          <w:rFonts w:asciiTheme="minorHAnsi" w:hAnsiTheme="minorHAnsi"/>
          <w:sz w:val="22"/>
          <w:szCs w:val="22"/>
          <w:lang w:val="en-GB"/>
        </w:rPr>
        <w:t>a general description of their risk management procedures applying to such transactions; and</w:t>
      </w:r>
    </w:p>
    <w:p w:rsidR="00CD2E66" w:rsidRDefault="00CD2E66" w:rsidP="00CD2E66">
      <w:pPr>
        <w:pStyle w:val="ListParagraph"/>
        <w:numPr>
          <w:ilvl w:val="0"/>
          <w:numId w:val="14"/>
        </w:numPr>
        <w:rPr>
          <w:rFonts w:asciiTheme="minorHAnsi" w:hAnsiTheme="minorHAnsi"/>
          <w:sz w:val="22"/>
          <w:szCs w:val="22"/>
          <w:lang w:val="en-GB"/>
        </w:rPr>
      </w:pPr>
      <w:r>
        <w:rPr>
          <w:rFonts w:asciiTheme="minorHAnsi" w:hAnsiTheme="minorHAnsi"/>
          <w:sz w:val="22"/>
          <w:szCs w:val="22"/>
          <w:lang w:val="en-GB"/>
        </w:rPr>
        <w:t>a statement that the criteria developed by the EU regulatory authority for there not to be impediment to the prompt transfer of own funds or repayment of liabilities between the counterparties</w:t>
      </w:r>
      <w:r w:rsidR="00B35378">
        <w:rPr>
          <w:rFonts w:asciiTheme="minorHAnsi" w:hAnsiTheme="minorHAnsi"/>
          <w:sz w:val="22"/>
          <w:szCs w:val="22"/>
          <w:lang w:val="en-GB"/>
        </w:rPr>
        <w:t xml:space="preserve"> has been met</w:t>
      </w:r>
      <w:r>
        <w:rPr>
          <w:rFonts w:asciiTheme="minorHAnsi" w:hAnsiTheme="minorHAnsi"/>
          <w:sz w:val="22"/>
          <w:szCs w:val="22"/>
          <w:lang w:val="en-GB"/>
        </w:rPr>
        <w:t>.</w:t>
      </w:r>
    </w:p>
    <w:p w:rsidR="0078613A" w:rsidRDefault="0078613A" w:rsidP="0078613A">
      <w:pPr>
        <w:rPr>
          <w:rFonts w:asciiTheme="minorHAnsi" w:hAnsiTheme="minorHAnsi"/>
          <w:sz w:val="22"/>
          <w:szCs w:val="22"/>
          <w:lang w:val="en-GB"/>
        </w:rPr>
      </w:pPr>
    </w:p>
    <w:p w:rsidR="00CD2E66" w:rsidRDefault="00590349" w:rsidP="0078613A">
      <w:pPr>
        <w:rPr>
          <w:rFonts w:asciiTheme="minorHAnsi" w:hAnsiTheme="minorHAnsi"/>
          <w:sz w:val="22"/>
          <w:szCs w:val="22"/>
          <w:lang w:val="en-GB"/>
        </w:rPr>
      </w:pPr>
      <w:r>
        <w:rPr>
          <w:rFonts w:asciiTheme="minorHAnsi" w:hAnsiTheme="minorHAnsi"/>
          <w:sz w:val="22"/>
          <w:szCs w:val="22"/>
          <w:lang w:val="en-GB"/>
        </w:rPr>
        <w:t>Firms should be able to make advance notifications in anticipation of any intra Group derivative transactions.  The notification should only need to be made to one of the ‘home’ competent authorities in cases where the Group counterparty is registered in another EU Member State or third country.  Once the notification has been submitted firms should not be required to submit any additional information in relation to the exemption unless the underlying basis on which the notification is made changes materially.</w:t>
      </w:r>
    </w:p>
    <w:p w:rsidR="00590349" w:rsidRDefault="00590349" w:rsidP="00CD2E66">
      <w:pPr>
        <w:ind w:left="360"/>
        <w:rPr>
          <w:rFonts w:asciiTheme="minorHAnsi" w:hAnsiTheme="minorHAnsi"/>
          <w:sz w:val="22"/>
          <w:szCs w:val="22"/>
          <w:lang w:val="en-GB"/>
        </w:rPr>
      </w:pPr>
    </w:p>
    <w:p w:rsidR="003A631B" w:rsidRDefault="00EA136A">
      <w:pPr>
        <w:rPr>
          <w:rFonts w:asciiTheme="minorHAnsi" w:hAnsiTheme="minorHAnsi"/>
          <w:b/>
          <w:sz w:val="22"/>
          <w:szCs w:val="22"/>
          <w:lang w:val="en-GB"/>
        </w:rPr>
      </w:pPr>
      <w:r w:rsidRPr="00EA136A">
        <w:rPr>
          <w:rFonts w:asciiTheme="minorHAnsi" w:hAnsiTheme="minorHAnsi"/>
          <w:b/>
          <w:sz w:val="22"/>
          <w:szCs w:val="22"/>
          <w:lang w:val="en-GB"/>
        </w:rPr>
        <w:t>Q22: In Your views what details of the intragroup transactions should be include</w:t>
      </w:r>
      <w:r>
        <w:rPr>
          <w:rFonts w:asciiTheme="minorHAnsi" w:hAnsiTheme="minorHAnsi"/>
          <w:b/>
          <w:sz w:val="22"/>
          <w:szCs w:val="22"/>
          <w:lang w:val="en-GB"/>
        </w:rPr>
        <w:t>d in the information to publicly disclosed by the counterparty of exempted intragroup transactions?</w:t>
      </w:r>
    </w:p>
    <w:p w:rsidR="00EA136A" w:rsidRDefault="00EA136A" w:rsidP="00CD2E66">
      <w:pPr>
        <w:ind w:left="360"/>
        <w:rPr>
          <w:rFonts w:asciiTheme="minorHAnsi" w:hAnsiTheme="minorHAnsi"/>
          <w:b/>
          <w:sz w:val="22"/>
          <w:szCs w:val="22"/>
          <w:lang w:val="en-GB"/>
        </w:rPr>
      </w:pPr>
    </w:p>
    <w:p w:rsidR="003A631B" w:rsidRDefault="002F79C2">
      <w:pPr>
        <w:rPr>
          <w:rFonts w:asciiTheme="minorHAnsi" w:hAnsiTheme="minorHAnsi"/>
          <w:sz w:val="22"/>
          <w:szCs w:val="22"/>
          <w:lang w:val="en-GB"/>
        </w:rPr>
      </w:pPr>
      <w:r w:rsidRPr="002F79C2">
        <w:rPr>
          <w:rFonts w:asciiTheme="minorHAnsi" w:hAnsiTheme="minorHAnsi"/>
          <w:sz w:val="22"/>
          <w:szCs w:val="22"/>
          <w:lang w:val="en-GB"/>
        </w:rPr>
        <w:t>The notification to the market should only be for the purpose of highlighting</w:t>
      </w:r>
      <w:r w:rsidR="00804BFE">
        <w:rPr>
          <w:rFonts w:asciiTheme="minorHAnsi" w:hAnsiTheme="minorHAnsi"/>
          <w:sz w:val="22"/>
          <w:szCs w:val="22"/>
          <w:lang w:val="en-GB"/>
        </w:rPr>
        <w:t xml:space="preserve"> that the exemption has</w:t>
      </w:r>
      <w:r w:rsidRPr="002F79C2">
        <w:rPr>
          <w:rFonts w:asciiTheme="minorHAnsi" w:hAnsiTheme="minorHAnsi"/>
          <w:sz w:val="22"/>
          <w:szCs w:val="22"/>
          <w:lang w:val="en-GB"/>
        </w:rPr>
        <w:t xml:space="preserve"> been utilised.  As such, there is no need for detailed information to be published and the notification should be limited to the name of the counterparties to which the intragroup exemption refers.</w:t>
      </w:r>
    </w:p>
    <w:p w:rsidR="002F79C2" w:rsidRDefault="002F79C2" w:rsidP="00CD2E66">
      <w:pPr>
        <w:ind w:left="360"/>
        <w:rPr>
          <w:rFonts w:asciiTheme="minorHAnsi" w:hAnsiTheme="minorHAnsi"/>
          <w:b/>
          <w:sz w:val="22"/>
          <w:szCs w:val="22"/>
          <w:lang w:val="en-GB"/>
        </w:rPr>
      </w:pPr>
    </w:p>
    <w:p w:rsidR="00804BFE" w:rsidRDefault="00804BFE" w:rsidP="00804BFE">
      <w:pPr>
        <w:rPr>
          <w:rFonts w:asciiTheme="minorHAnsi" w:hAnsiTheme="minorHAnsi"/>
          <w:b/>
          <w:sz w:val="22"/>
          <w:szCs w:val="22"/>
          <w:lang w:val="en-GB"/>
        </w:rPr>
      </w:pPr>
    </w:p>
    <w:p w:rsidR="003A631B" w:rsidRDefault="00804BFE">
      <w:pPr>
        <w:rPr>
          <w:rFonts w:asciiTheme="minorHAnsi" w:hAnsiTheme="minorHAnsi"/>
          <w:b/>
          <w:sz w:val="22"/>
          <w:szCs w:val="22"/>
          <w:u w:val="single"/>
          <w:lang w:val="en-GB"/>
        </w:rPr>
      </w:pPr>
      <w:r w:rsidRPr="00804BFE">
        <w:rPr>
          <w:rFonts w:asciiTheme="minorHAnsi" w:hAnsiTheme="minorHAnsi"/>
          <w:b/>
          <w:sz w:val="22"/>
          <w:szCs w:val="22"/>
          <w:u w:val="single"/>
          <w:lang w:val="en-GB"/>
        </w:rPr>
        <w:lastRenderedPageBreak/>
        <w:t>CCP requirements</w:t>
      </w:r>
    </w:p>
    <w:p w:rsidR="00804BFE" w:rsidRDefault="00804BFE" w:rsidP="00CD2E66">
      <w:pPr>
        <w:ind w:left="360"/>
        <w:rPr>
          <w:rFonts w:asciiTheme="minorHAnsi" w:hAnsiTheme="minorHAnsi"/>
          <w:b/>
          <w:sz w:val="22"/>
          <w:szCs w:val="22"/>
          <w:lang w:val="en-GB"/>
        </w:rPr>
      </w:pPr>
    </w:p>
    <w:p w:rsidR="003A631B" w:rsidRDefault="009E600C">
      <w:pPr>
        <w:rPr>
          <w:rFonts w:asciiTheme="minorHAnsi" w:hAnsiTheme="minorHAnsi"/>
          <w:sz w:val="22"/>
          <w:szCs w:val="22"/>
        </w:rPr>
      </w:pPr>
      <w:r w:rsidRPr="009E600C">
        <w:rPr>
          <w:rFonts w:asciiTheme="minorHAnsi" w:hAnsiTheme="minorHAnsi"/>
          <w:sz w:val="22"/>
          <w:szCs w:val="22"/>
        </w:rPr>
        <w:t xml:space="preserve">The current European energy market has a number of different exchanges and a variety of CCPs.  Each has different rules, calculations, risk assessments and collateral requirements.  The lack of a consistent approach increases the complexity of oversight of CCPs and the risk of a potential default.  The increasing systemic importance of CCPs means that </w:t>
      </w:r>
      <w:r w:rsidR="003F133C" w:rsidRPr="009E600C">
        <w:rPr>
          <w:rFonts w:asciiTheme="minorHAnsi" w:hAnsiTheme="minorHAnsi"/>
          <w:sz w:val="22"/>
          <w:szCs w:val="22"/>
        </w:rPr>
        <w:t>implementation</w:t>
      </w:r>
      <w:r w:rsidRPr="009E600C">
        <w:rPr>
          <w:rFonts w:asciiTheme="minorHAnsi" w:hAnsiTheme="minorHAnsi"/>
          <w:sz w:val="22"/>
          <w:szCs w:val="22"/>
        </w:rPr>
        <w:t xml:space="preserve"> of EMIR should provide an opportunity to put in place robust and </w:t>
      </w:r>
      <w:r w:rsidR="003F133C">
        <w:rPr>
          <w:rFonts w:asciiTheme="minorHAnsi" w:hAnsiTheme="minorHAnsi"/>
          <w:sz w:val="22"/>
          <w:szCs w:val="22"/>
        </w:rPr>
        <w:t>harm</w:t>
      </w:r>
      <w:r w:rsidR="003F133C" w:rsidRPr="009E600C">
        <w:rPr>
          <w:rFonts w:asciiTheme="minorHAnsi" w:hAnsiTheme="minorHAnsi"/>
          <w:sz w:val="22"/>
          <w:szCs w:val="22"/>
        </w:rPr>
        <w:t>onised</w:t>
      </w:r>
      <w:r w:rsidRPr="009E600C">
        <w:rPr>
          <w:rFonts w:asciiTheme="minorHAnsi" w:hAnsiTheme="minorHAnsi"/>
          <w:sz w:val="22"/>
          <w:szCs w:val="22"/>
        </w:rPr>
        <w:t xml:space="preserve"> arrangements for the oversight of CCPs.</w:t>
      </w:r>
      <w:r w:rsidR="00BA559A">
        <w:rPr>
          <w:rFonts w:asciiTheme="minorHAnsi" w:hAnsiTheme="minorHAnsi"/>
          <w:sz w:val="22"/>
          <w:szCs w:val="22"/>
        </w:rPr>
        <w:t xml:space="preserve">  Coordination between competent authorities in Member </w:t>
      </w:r>
      <w:r w:rsidR="003F133C">
        <w:rPr>
          <w:rFonts w:asciiTheme="minorHAnsi" w:hAnsiTheme="minorHAnsi"/>
          <w:sz w:val="22"/>
          <w:szCs w:val="22"/>
        </w:rPr>
        <w:t xml:space="preserve">States will be </w:t>
      </w:r>
      <w:r w:rsidR="00D3606B">
        <w:rPr>
          <w:rFonts w:asciiTheme="minorHAnsi" w:hAnsiTheme="minorHAnsi"/>
          <w:sz w:val="22"/>
          <w:szCs w:val="22"/>
        </w:rPr>
        <w:t xml:space="preserve">a </w:t>
      </w:r>
      <w:r w:rsidR="003F133C">
        <w:rPr>
          <w:rFonts w:asciiTheme="minorHAnsi" w:hAnsiTheme="minorHAnsi"/>
          <w:sz w:val="22"/>
          <w:szCs w:val="22"/>
        </w:rPr>
        <w:t>crucial</w:t>
      </w:r>
      <w:r w:rsidR="00D3606B">
        <w:rPr>
          <w:rFonts w:asciiTheme="minorHAnsi" w:hAnsiTheme="minorHAnsi"/>
          <w:sz w:val="22"/>
          <w:szCs w:val="22"/>
        </w:rPr>
        <w:t xml:space="preserve"> </w:t>
      </w:r>
      <w:r w:rsidR="003F133C">
        <w:rPr>
          <w:rFonts w:asciiTheme="minorHAnsi" w:hAnsiTheme="minorHAnsi"/>
          <w:sz w:val="22"/>
          <w:szCs w:val="22"/>
        </w:rPr>
        <w:t xml:space="preserve">aspect </w:t>
      </w:r>
      <w:r w:rsidR="00D3606B">
        <w:rPr>
          <w:rFonts w:asciiTheme="minorHAnsi" w:hAnsiTheme="minorHAnsi"/>
          <w:sz w:val="22"/>
          <w:szCs w:val="22"/>
        </w:rPr>
        <w:t xml:space="preserve">of </w:t>
      </w:r>
      <w:r w:rsidR="003F133C">
        <w:rPr>
          <w:rFonts w:asciiTheme="minorHAnsi" w:hAnsiTheme="minorHAnsi"/>
          <w:sz w:val="22"/>
          <w:szCs w:val="22"/>
        </w:rPr>
        <w:t>ensuring consistent</w:t>
      </w:r>
      <w:r w:rsidR="00BA559A">
        <w:rPr>
          <w:rFonts w:asciiTheme="minorHAnsi" w:hAnsiTheme="minorHAnsi"/>
          <w:sz w:val="22"/>
          <w:szCs w:val="22"/>
        </w:rPr>
        <w:t xml:space="preserve"> implementation of EMIR and </w:t>
      </w:r>
      <w:r w:rsidR="003F133C">
        <w:rPr>
          <w:rFonts w:asciiTheme="minorHAnsi" w:hAnsiTheme="minorHAnsi"/>
          <w:sz w:val="22"/>
          <w:szCs w:val="22"/>
        </w:rPr>
        <w:t xml:space="preserve">regulatory </w:t>
      </w:r>
      <w:r w:rsidR="00BA559A">
        <w:rPr>
          <w:rFonts w:asciiTheme="minorHAnsi" w:hAnsiTheme="minorHAnsi"/>
          <w:sz w:val="22"/>
          <w:szCs w:val="22"/>
        </w:rPr>
        <w:t>oversight of CCPs.</w:t>
      </w:r>
      <w:r w:rsidRPr="009E600C">
        <w:rPr>
          <w:rFonts w:asciiTheme="minorHAnsi" w:hAnsiTheme="minorHAnsi"/>
          <w:sz w:val="22"/>
          <w:szCs w:val="22"/>
        </w:rPr>
        <w:t xml:space="preserve">  </w:t>
      </w:r>
    </w:p>
    <w:p w:rsidR="00BA559A" w:rsidRDefault="00BA559A" w:rsidP="009E600C">
      <w:pPr>
        <w:ind w:left="360"/>
        <w:rPr>
          <w:rFonts w:asciiTheme="minorHAnsi" w:hAnsiTheme="minorHAnsi"/>
          <w:sz w:val="22"/>
          <w:szCs w:val="22"/>
        </w:rPr>
      </w:pPr>
    </w:p>
    <w:p w:rsidR="003A631B" w:rsidRDefault="00804BFE">
      <w:pPr>
        <w:rPr>
          <w:rFonts w:asciiTheme="minorHAnsi" w:hAnsiTheme="minorHAnsi"/>
          <w:b/>
          <w:sz w:val="22"/>
          <w:szCs w:val="22"/>
          <w:lang w:val="en-GB"/>
        </w:rPr>
      </w:pPr>
      <w:r w:rsidRPr="009E600C">
        <w:rPr>
          <w:rFonts w:asciiTheme="minorHAnsi" w:hAnsiTheme="minorHAnsi"/>
          <w:b/>
          <w:sz w:val="22"/>
          <w:szCs w:val="22"/>
          <w:lang w:val="en-GB"/>
        </w:rPr>
        <w:t>Q23: What are your views on the notion of liquidity fragmentation?</w:t>
      </w:r>
    </w:p>
    <w:p w:rsidR="00804BFE" w:rsidRDefault="00804BFE" w:rsidP="00CD2E66">
      <w:pPr>
        <w:ind w:left="360"/>
        <w:rPr>
          <w:rFonts w:asciiTheme="minorHAnsi" w:hAnsiTheme="minorHAnsi"/>
          <w:b/>
          <w:sz w:val="22"/>
          <w:szCs w:val="22"/>
          <w:lang w:val="en-GB"/>
        </w:rPr>
      </w:pPr>
    </w:p>
    <w:p w:rsidR="003A631B" w:rsidRDefault="002425D1">
      <w:pPr>
        <w:rPr>
          <w:rFonts w:asciiTheme="minorHAnsi" w:hAnsiTheme="minorHAnsi"/>
          <w:sz w:val="22"/>
          <w:szCs w:val="22"/>
        </w:rPr>
      </w:pPr>
      <w:r>
        <w:rPr>
          <w:rFonts w:asciiTheme="minorHAnsi" w:hAnsiTheme="minorHAnsi"/>
          <w:sz w:val="22"/>
          <w:szCs w:val="22"/>
        </w:rPr>
        <w:t>It is important that clearing members have the ability to transfer positions from one to CCP to another as easily and as seamlessly as possible in order to avoid potential severe market dislocations in the event of a CCP enter</w:t>
      </w:r>
      <w:r w:rsidR="007C794E">
        <w:rPr>
          <w:rFonts w:asciiTheme="minorHAnsi" w:hAnsiTheme="minorHAnsi"/>
          <w:sz w:val="22"/>
          <w:szCs w:val="22"/>
        </w:rPr>
        <w:t xml:space="preserve">ing into financial difficulties.  This would facilitate </w:t>
      </w:r>
      <w:r>
        <w:rPr>
          <w:rFonts w:asciiTheme="minorHAnsi" w:hAnsiTheme="minorHAnsi"/>
          <w:sz w:val="22"/>
          <w:szCs w:val="22"/>
        </w:rPr>
        <w:t xml:space="preserve">appropriate and efficient clearing diversification by market participants.  Currently some commodity exchanges do not permit market participants using more than one CCP (or make it very difficult to change CCP).  Preventing restrictions on use of CCPs and making the process of change easier will help to alleviate potential systemic risk associated with CCP failure.  </w:t>
      </w:r>
    </w:p>
    <w:p w:rsidR="00BA559A" w:rsidRPr="00BA559A" w:rsidRDefault="00BA559A" w:rsidP="00CD2E66">
      <w:pPr>
        <w:ind w:left="360"/>
        <w:rPr>
          <w:rFonts w:asciiTheme="minorHAnsi" w:hAnsiTheme="minorHAnsi"/>
          <w:b/>
          <w:sz w:val="22"/>
          <w:szCs w:val="22"/>
        </w:rPr>
      </w:pPr>
    </w:p>
    <w:p w:rsidR="003A631B" w:rsidRDefault="00BA559A">
      <w:pPr>
        <w:rPr>
          <w:rFonts w:asciiTheme="minorHAnsi" w:hAnsiTheme="minorHAnsi"/>
          <w:b/>
          <w:sz w:val="22"/>
          <w:szCs w:val="22"/>
        </w:rPr>
      </w:pPr>
      <w:r>
        <w:rPr>
          <w:rFonts w:asciiTheme="minorHAnsi" w:hAnsiTheme="minorHAnsi"/>
          <w:b/>
          <w:sz w:val="22"/>
          <w:szCs w:val="22"/>
        </w:rPr>
        <w:t xml:space="preserve">Q24: What are </w:t>
      </w:r>
      <w:r w:rsidR="003F133C">
        <w:rPr>
          <w:rFonts w:asciiTheme="minorHAnsi" w:hAnsiTheme="minorHAnsi"/>
          <w:b/>
          <w:sz w:val="22"/>
          <w:szCs w:val="22"/>
        </w:rPr>
        <w:t>your</w:t>
      </w:r>
      <w:r>
        <w:rPr>
          <w:rFonts w:asciiTheme="minorHAnsi" w:hAnsiTheme="minorHAnsi"/>
          <w:b/>
          <w:sz w:val="22"/>
          <w:szCs w:val="22"/>
        </w:rPr>
        <w:t xml:space="preserve"> </w:t>
      </w:r>
      <w:r w:rsidR="003F133C">
        <w:rPr>
          <w:rFonts w:asciiTheme="minorHAnsi" w:hAnsiTheme="minorHAnsi"/>
          <w:b/>
          <w:sz w:val="22"/>
          <w:szCs w:val="22"/>
        </w:rPr>
        <w:t>views</w:t>
      </w:r>
      <w:r>
        <w:rPr>
          <w:rFonts w:asciiTheme="minorHAnsi" w:hAnsiTheme="minorHAnsi"/>
          <w:b/>
          <w:sz w:val="22"/>
          <w:szCs w:val="22"/>
        </w:rPr>
        <w:t xml:space="preserve"> on the possible requirements that CCP governance arrangements should specify? In particular, what is your view on the need to clearly name a chief risk officer, a chief technology officer and a chief compliance officer?</w:t>
      </w:r>
    </w:p>
    <w:p w:rsidR="00BA559A" w:rsidRDefault="00BA559A" w:rsidP="00CD2E66">
      <w:pPr>
        <w:ind w:left="360"/>
        <w:rPr>
          <w:rFonts w:asciiTheme="minorHAnsi" w:hAnsiTheme="minorHAnsi"/>
          <w:b/>
          <w:sz w:val="22"/>
          <w:szCs w:val="22"/>
        </w:rPr>
      </w:pPr>
    </w:p>
    <w:p w:rsidR="003A631B" w:rsidRDefault="003F133C">
      <w:pPr>
        <w:rPr>
          <w:rFonts w:asciiTheme="minorHAnsi" w:hAnsiTheme="minorHAnsi"/>
          <w:sz w:val="22"/>
          <w:szCs w:val="22"/>
        </w:rPr>
      </w:pPr>
      <w:r>
        <w:rPr>
          <w:rFonts w:asciiTheme="minorHAnsi" w:hAnsiTheme="minorHAnsi"/>
          <w:sz w:val="22"/>
          <w:szCs w:val="22"/>
        </w:rPr>
        <w:t xml:space="preserve">The effective governance of CCPs will be crucial </w:t>
      </w:r>
      <w:r w:rsidR="005663F6">
        <w:rPr>
          <w:rFonts w:asciiTheme="minorHAnsi" w:hAnsiTheme="minorHAnsi"/>
          <w:sz w:val="22"/>
          <w:szCs w:val="22"/>
        </w:rPr>
        <w:t>given their potential systemic importance and as such there must be consistent arrangements in place that are clearly visible to all market participants.  We agree with the need to appoint and clearly identify chief risk officers, a chief technology officer and a chief compliance officer.  However, this should not be seen as substitute for full disclosure by the CCP of their relevant risk policies, IT and operational policies and compliance arrangements.  Full disclosure allows market participants to make their own assessments of the robustness of the arrangements that have been put in place by CCPs.</w:t>
      </w:r>
    </w:p>
    <w:p w:rsidR="009E001F" w:rsidRDefault="009E001F" w:rsidP="00CD2E66">
      <w:pPr>
        <w:ind w:left="360"/>
        <w:rPr>
          <w:rFonts w:asciiTheme="minorHAnsi" w:hAnsiTheme="minorHAnsi"/>
          <w:sz w:val="22"/>
          <w:szCs w:val="22"/>
        </w:rPr>
      </w:pPr>
    </w:p>
    <w:p w:rsidR="003A631B" w:rsidRDefault="009E001F">
      <w:pPr>
        <w:rPr>
          <w:rFonts w:asciiTheme="minorHAnsi" w:hAnsiTheme="minorHAnsi"/>
          <w:b/>
          <w:sz w:val="22"/>
          <w:szCs w:val="22"/>
        </w:rPr>
      </w:pPr>
      <w:r w:rsidRPr="009E001F">
        <w:rPr>
          <w:rFonts w:asciiTheme="minorHAnsi" w:hAnsiTheme="minorHAnsi"/>
          <w:b/>
          <w:sz w:val="22"/>
          <w:szCs w:val="22"/>
        </w:rPr>
        <w:t>Q25: Are potential conflicts of interests inherent to the organization of CCPs appropriately addressed?</w:t>
      </w:r>
    </w:p>
    <w:p w:rsidR="009E001F" w:rsidRDefault="009E001F" w:rsidP="00CD2E66">
      <w:pPr>
        <w:ind w:left="360"/>
        <w:rPr>
          <w:rFonts w:asciiTheme="minorHAnsi" w:hAnsiTheme="minorHAnsi"/>
          <w:b/>
          <w:sz w:val="22"/>
          <w:szCs w:val="22"/>
        </w:rPr>
      </w:pPr>
      <w:r>
        <w:rPr>
          <w:rFonts w:asciiTheme="minorHAnsi" w:hAnsiTheme="minorHAnsi"/>
          <w:sz w:val="22"/>
          <w:szCs w:val="22"/>
        </w:rPr>
        <w:t xml:space="preserve"> </w:t>
      </w:r>
    </w:p>
    <w:p w:rsidR="003A631B" w:rsidRDefault="009E001F">
      <w:pPr>
        <w:rPr>
          <w:rFonts w:asciiTheme="minorHAnsi" w:hAnsiTheme="minorHAnsi"/>
          <w:sz w:val="22"/>
          <w:szCs w:val="22"/>
        </w:rPr>
      </w:pPr>
      <w:r>
        <w:rPr>
          <w:rFonts w:asciiTheme="minorHAnsi" w:hAnsiTheme="minorHAnsi"/>
          <w:sz w:val="22"/>
          <w:szCs w:val="22"/>
        </w:rPr>
        <w:t>We have no comments on this issue.</w:t>
      </w:r>
    </w:p>
    <w:p w:rsidR="009E001F" w:rsidRDefault="009E001F" w:rsidP="009E001F">
      <w:pPr>
        <w:ind w:firstLine="360"/>
        <w:rPr>
          <w:rFonts w:asciiTheme="minorHAnsi" w:hAnsiTheme="minorHAnsi"/>
          <w:sz w:val="22"/>
          <w:szCs w:val="22"/>
        </w:rPr>
      </w:pPr>
    </w:p>
    <w:p w:rsidR="003A631B" w:rsidRDefault="009E001F">
      <w:pPr>
        <w:rPr>
          <w:rFonts w:asciiTheme="minorHAnsi" w:hAnsiTheme="minorHAnsi"/>
          <w:b/>
          <w:sz w:val="22"/>
          <w:szCs w:val="22"/>
        </w:rPr>
      </w:pPr>
      <w:r w:rsidRPr="009E001F">
        <w:rPr>
          <w:rFonts w:asciiTheme="minorHAnsi" w:hAnsiTheme="minorHAnsi"/>
          <w:b/>
          <w:sz w:val="22"/>
          <w:szCs w:val="22"/>
        </w:rPr>
        <w:t xml:space="preserve">Q26: Do </w:t>
      </w:r>
      <w:r w:rsidR="005E6C94">
        <w:rPr>
          <w:rFonts w:asciiTheme="minorHAnsi" w:hAnsiTheme="minorHAnsi"/>
          <w:b/>
          <w:sz w:val="22"/>
          <w:szCs w:val="22"/>
        </w:rPr>
        <w:t>t</w:t>
      </w:r>
      <w:r w:rsidRPr="009E001F">
        <w:rPr>
          <w:rFonts w:asciiTheme="minorHAnsi" w:hAnsiTheme="minorHAnsi"/>
          <w:b/>
          <w:sz w:val="22"/>
          <w:szCs w:val="22"/>
        </w:rPr>
        <w:t xml:space="preserve">he reporting lines – as required – appropriately </w:t>
      </w:r>
      <w:r>
        <w:rPr>
          <w:rFonts w:asciiTheme="minorHAnsi" w:hAnsiTheme="minorHAnsi"/>
          <w:b/>
          <w:sz w:val="22"/>
          <w:szCs w:val="22"/>
        </w:rPr>
        <w:t>compleme</w:t>
      </w:r>
      <w:r w:rsidRPr="009E001F">
        <w:rPr>
          <w:rFonts w:asciiTheme="minorHAnsi" w:hAnsiTheme="minorHAnsi"/>
          <w:b/>
          <w:sz w:val="22"/>
          <w:szCs w:val="22"/>
        </w:rPr>
        <w:t>n</w:t>
      </w:r>
      <w:r>
        <w:rPr>
          <w:rFonts w:asciiTheme="minorHAnsi" w:hAnsiTheme="minorHAnsi"/>
          <w:b/>
          <w:sz w:val="22"/>
          <w:szCs w:val="22"/>
        </w:rPr>
        <w:t>t</w:t>
      </w:r>
      <w:r w:rsidRPr="009E001F">
        <w:rPr>
          <w:rFonts w:asciiTheme="minorHAnsi" w:hAnsiTheme="minorHAnsi"/>
          <w:b/>
          <w:sz w:val="22"/>
          <w:szCs w:val="22"/>
        </w:rPr>
        <w:t xml:space="preserve"> the organization of the CCP so as to promote its sound and prudent management?</w:t>
      </w:r>
    </w:p>
    <w:p w:rsidR="009E001F" w:rsidRDefault="009E001F" w:rsidP="009E001F">
      <w:pPr>
        <w:ind w:firstLine="360"/>
        <w:rPr>
          <w:rFonts w:asciiTheme="minorHAnsi" w:hAnsiTheme="minorHAnsi"/>
          <w:sz w:val="22"/>
          <w:szCs w:val="22"/>
        </w:rPr>
      </w:pPr>
    </w:p>
    <w:p w:rsidR="003A631B" w:rsidRDefault="009E001F">
      <w:pPr>
        <w:rPr>
          <w:rFonts w:asciiTheme="minorHAnsi" w:hAnsiTheme="minorHAnsi"/>
          <w:sz w:val="22"/>
          <w:szCs w:val="22"/>
        </w:rPr>
      </w:pPr>
      <w:r>
        <w:rPr>
          <w:rFonts w:asciiTheme="minorHAnsi" w:hAnsiTheme="minorHAnsi"/>
          <w:sz w:val="22"/>
          <w:szCs w:val="22"/>
        </w:rPr>
        <w:t>We have no comments on this issue.</w:t>
      </w:r>
    </w:p>
    <w:p w:rsidR="00755B51" w:rsidRDefault="00755B51">
      <w:pPr>
        <w:rPr>
          <w:rFonts w:asciiTheme="minorHAnsi" w:hAnsiTheme="minorHAnsi"/>
          <w:sz w:val="22"/>
          <w:szCs w:val="22"/>
        </w:rPr>
      </w:pPr>
    </w:p>
    <w:p w:rsidR="003A631B" w:rsidRDefault="009E001F">
      <w:pPr>
        <w:rPr>
          <w:rFonts w:asciiTheme="minorHAnsi" w:hAnsiTheme="minorHAnsi"/>
          <w:b/>
          <w:sz w:val="22"/>
          <w:szCs w:val="22"/>
        </w:rPr>
      </w:pPr>
      <w:r>
        <w:rPr>
          <w:rFonts w:asciiTheme="minorHAnsi" w:hAnsiTheme="minorHAnsi"/>
          <w:b/>
          <w:sz w:val="22"/>
          <w:szCs w:val="22"/>
        </w:rPr>
        <w:t xml:space="preserve">Q27: </w:t>
      </w:r>
      <w:r w:rsidR="00B07D52">
        <w:rPr>
          <w:rFonts w:asciiTheme="minorHAnsi" w:hAnsiTheme="minorHAnsi"/>
          <w:b/>
          <w:sz w:val="22"/>
          <w:szCs w:val="22"/>
        </w:rPr>
        <w:t xml:space="preserve">Do the </w:t>
      </w:r>
      <w:r w:rsidR="00776FCA">
        <w:rPr>
          <w:rFonts w:asciiTheme="minorHAnsi" w:hAnsiTheme="minorHAnsi"/>
          <w:b/>
          <w:sz w:val="22"/>
          <w:szCs w:val="22"/>
        </w:rPr>
        <w:t>criteria</w:t>
      </w:r>
      <w:r w:rsidR="00B07D52">
        <w:rPr>
          <w:rFonts w:asciiTheme="minorHAnsi" w:hAnsiTheme="minorHAnsi"/>
          <w:b/>
          <w:sz w:val="22"/>
          <w:szCs w:val="22"/>
        </w:rPr>
        <w:t xml:space="preserve"> to be applied in the CCP remuneration policy promote sound and prudent risk management? Which additional </w:t>
      </w:r>
      <w:r w:rsidR="00776FCA">
        <w:rPr>
          <w:rFonts w:asciiTheme="minorHAnsi" w:hAnsiTheme="minorHAnsi"/>
          <w:b/>
          <w:sz w:val="22"/>
          <w:szCs w:val="22"/>
        </w:rPr>
        <w:t>criteria</w:t>
      </w:r>
      <w:r w:rsidR="00B07D52">
        <w:rPr>
          <w:rFonts w:asciiTheme="minorHAnsi" w:hAnsiTheme="minorHAnsi"/>
          <w:b/>
          <w:sz w:val="22"/>
          <w:szCs w:val="22"/>
        </w:rPr>
        <w:t xml:space="preserve"> should be applied and in particular for risk managers, senior management and board members?</w:t>
      </w:r>
    </w:p>
    <w:p w:rsidR="00B07D52" w:rsidRDefault="00B07D52" w:rsidP="00CD2E66">
      <w:pPr>
        <w:ind w:left="360"/>
        <w:rPr>
          <w:rFonts w:asciiTheme="minorHAnsi" w:hAnsiTheme="minorHAnsi"/>
          <w:b/>
          <w:sz w:val="22"/>
          <w:szCs w:val="22"/>
        </w:rPr>
      </w:pPr>
    </w:p>
    <w:p w:rsidR="003A631B" w:rsidRDefault="00B07D52">
      <w:pPr>
        <w:rPr>
          <w:rFonts w:asciiTheme="minorHAnsi" w:hAnsiTheme="minorHAnsi"/>
          <w:sz w:val="22"/>
          <w:szCs w:val="22"/>
        </w:rPr>
      </w:pPr>
      <w:r>
        <w:rPr>
          <w:rFonts w:asciiTheme="minorHAnsi" w:hAnsiTheme="minorHAnsi"/>
          <w:sz w:val="22"/>
          <w:szCs w:val="22"/>
        </w:rPr>
        <w:t>We have no comments on this issue.</w:t>
      </w:r>
    </w:p>
    <w:p w:rsidR="00C66A26" w:rsidRDefault="00C66A26" w:rsidP="00B07D52">
      <w:pPr>
        <w:ind w:firstLine="360"/>
        <w:rPr>
          <w:rFonts w:asciiTheme="minorHAnsi" w:hAnsiTheme="minorHAnsi"/>
          <w:sz w:val="22"/>
          <w:szCs w:val="22"/>
        </w:rPr>
      </w:pPr>
    </w:p>
    <w:p w:rsidR="003A631B" w:rsidRDefault="00776FCA">
      <w:pPr>
        <w:rPr>
          <w:rFonts w:asciiTheme="minorHAnsi" w:hAnsiTheme="minorHAnsi"/>
          <w:b/>
          <w:sz w:val="22"/>
          <w:szCs w:val="22"/>
        </w:rPr>
      </w:pPr>
      <w:r>
        <w:rPr>
          <w:rFonts w:asciiTheme="minorHAnsi" w:hAnsiTheme="minorHAnsi"/>
          <w:b/>
          <w:sz w:val="22"/>
          <w:szCs w:val="22"/>
        </w:rPr>
        <w:lastRenderedPageBreak/>
        <w:t>Q28: What are your views on the possible organizational requirements described above?  What are the potential costs involved for implementing such requirements?</w:t>
      </w:r>
    </w:p>
    <w:p w:rsidR="00804BFE" w:rsidRDefault="00804BFE" w:rsidP="00804BFE">
      <w:pPr>
        <w:rPr>
          <w:rFonts w:asciiTheme="minorHAnsi" w:hAnsiTheme="minorHAnsi"/>
          <w:sz w:val="22"/>
          <w:szCs w:val="22"/>
        </w:rPr>
      </w:pPr>
    </w:p>
    <w:p w:rsidR="003A631B" w:rsidRDefault="00776FCA">
      <w:pPr>
        <w:rPr>
          <w:rFonts w:asciiTheme="minorHAnsi" w:hAnsiTheme="minorHAnsi"/>
          <w:sz w:val="22"/>
          <w:szCs w:val="22"/>
        </w:rPr>
      </w:pPr>
      <w:r>
        <w:rPr>
          <w:rFonts w:asciiTheme="minorHAnsi" w:hAnsiTheme="minorHAnsi"/>
          <w:sz w:val="22"/>
          <w:szCs w:val="22"/>
        </w:rPr>
        <w:t>We have no comments on this issue.</w:t>
      </w:r>
    </w:p>
    <w:p w:rsidR="00776FCA" w:rsidRDefault="00776FCA" w:rsidP="00776FCA">
      <w:pPr>
        <w:ind w:firstLine="360"/>
        <w:rPr>
          <w:rFonts w:asciiTheme="minorHAnsi" w:hAnsiTheme="minorHAnsi"/>
          <w:sz w:val="22"/>
          <w:szCs w:val="22"/>
        </w:rPr>
      </w:pPr>
    </w:p>
    <w:p w:rsidR="003A631B" w:rsidRDefault="00776FCA">
      <w:pPr>
        <w:rPr>
          <w:rFonts w:asciiTheme="minorHAnsi" w:hAnsiTheme="minorHAnsi"/>
          <w:b/>
          <w:sz w:val="22"/>
          <w:szCs w:val="22"/>
        </w:rPr>
      </w:pPr>
      <w:r w:rsidRPr="00776FCA">
        <w:rPr>
          <w:rFonts w:asciiTheme="minorHAnsi" w:hAnsiTheme="minorHAnsi"/>
          <w:b/>
          <w:sz w:val="22"/>
          <w:szCs w:val="22"/>
        </w:rPr>
        <w:t>Q29: Should a principle of full disclosure to the public of all information necessary to be able to understand whether and how the CCP meets its legal obligations be included in the RTS? If yes, which should the exceptions of such requirements? Has the information CCPs should disclose to clearing members been appropriately identified? Should clients, when known by the CCP, receive the same level of information?</w:t>
      </w:r>
    </w:p>
    <w:p w:rsidR="00776FCA" w:rsidRDefault="00776FCA" w:rsidP="00776FCA">
      <w:pPr>
        <w:ind w:left="360"/>
        <w:rPr>
          <w:rFonts w:asciiTheme="minorHAnsi" w:hAnsiTheme="minorHAnsi"/>
          <w:sz w:val="22"/>
          <w:szCs w:val="22"/>
        </w:rPr>
      </w:pPr>
    </w:p>
    <w:p w:rsidR="003A631B" w:rsidRDefault="00776FCA">
      <w:pPr>
        <w:rPr>
          <w:rFonts w:asciiTheme="minorHAnsi" w:hAnsiTheme="minorHAnsi"/>
          <w:sz w:val="22"/>
          <w:szCs w:val="22"/>
        </w:rPr>
      </w:pPr>
      <w:r>
        <w:rPr>
          <w:rFonts w:asciiTheme="minorHAnsi" w:hAnsiTheme="minorHAnsi"/>
          <w:sz w:val="22"/>
          <w:szCs w:val="22"/>
        </w:rPr>
        <w:t xml:space="preserve">Yes.  Full disclosure is necessary to </w:t>
      </w:r>
      <w:r w:rsidR="00C16181">
        <w:rPr>
          <w:rFonts w:asciiTheme="minorHAnsi" w:hAnsiTheme="minorHAnsi"/>
          <w:sz w:val="22"/>
          <w:szCs w:val="22"/>
        </w:rPr>
        <w:t>help</w:t>
      </w:r>
      <w:r>
        <w:rPr>
          <w:rFonts w:asciiTheme="minorHAnsi" w:hAnsiTheme="minorHAnsi"/>
          <w:sz w:val="22"/>
          <w:szCs w:val="22"/>
        </w:rPr>
        <w:t xml:space="preserve"> establish </w:t>
      </w:r>
      <w:r w:rsidR="00C16181">
        <w:rPr>
          <w:rFonts w:asciiTheme="minorHAnsi" w:hAnsiTheme="minorHAnsi"/>
          <w:sz w:val="22"/>
          <w:szCs w:val="22"/>
        </w:rPr>
        <w:t>confidence in</w:t>
      </w:r>
      <w:r>
        <w:rPr>
          <w:rFonts w:asciiTheme="minorHAnsi" w:hAnsiTheme="minorHAnsi"/>
          <w:sz w:val="22"/>
          <w:szCs w:val="22"/>
        </w:rPr>
        <w:t xml:space="preserve"> CCP arrangements.  Information to be </w:t>
      </w:r>
      <w:r w:rsidR="00C16181">
        <w:rPr>
          <w:rFonts w:asciiTheme="minorHAnsi" w:hAnsiTheme="minorHAnsi"/>
          <w:sz w:val="22"/>
          <w:szCs w:val="22"/>
        </w:rPr>
        <w:t>disclosed</w:t>
      </w:r>
      <w:r>
        <w:rPr>
          <w:rFonts w:asciiTheme="minorHAnsi" w:hAnsiTheme="minorHAnsi"/>
          <w:sz w:val="22"/>
          <w:szCs w:val="22"/>
        </w:rPr>
        <w:t xml:space="preserve"> should include:</w:t>
      </w:r>
    </w:p>
    <w:p w:rsidR="00776FCA" w:rsidRDefault="00776FCA" w:rsidP="00776FCA">
      <w:pPr>
        <w:ind w:left="360"/>
        <w:rPr>
          <w:rFonts w:asciiTheme="minorHAnsi" w:hAnsiTheme="minorHAnsi"/>
          <w:sz w:val="22"/>
          <w:szCs w:val="22"/>
        </w:rPr>
      </w:pPr>
    </w:p>
    <w:p w:rsidR="00776FCA" w:rsidRDefault="00776FCA" w:rsidP="00776FCA">
      <w:pPr>
        <w:pStyle w:val="ListParagraph"/>
        <w:numPr>
          <w:ilvl w:val="0"/>
          <w:numId w:val="18"/>
        </w:numPr>
        <w:rPr>
          <w:rFonts w:asciiTheme="minorHAnsi" w:hAnsiTheme="minorHAnsi"/>
          <w:sz w:val="22"/>
          <w:szCs w:val="22"/>
        </w:rPr>
      </w:pPr>
      <w:r>
        <w:rPr>
          <w:rFonts w:asciiTheme="minorHAnsi" w:hAnsiTheme="minorHAnsi"/>
          <w:sz w:val="22"/>
          <w:szCs w:val="22"/>
        </w:rPr>
        <w:t>CCP financial resource requiremen</w:t>
      </w:r>
      <w:r w:rsidR="00AB65E3">
        <w:rPr>
          <w:rFonts w:asciiTheme="minorHAnsi" w:hAnsiTheme="minorHAnsi"/>
          <w:sz w:val="22"/>
          <w:szCs w:val="22"/>
        </w:rPr>
        <w:t>t</w:t>
      </w:r>
      <w:r>
        <w:rPr>
          <w:rFonts w:asciiTheme="minorHAnsi" w:hAnsiTheme="minorHAnsi"/>
          <w:sz w:val="22"/>
          <w:szCs w:val="22"/>
        </w:rPr>
        <w:t>s</w:t>
      </w:r>
      <w:r w:rsidR="00B35378">
        <w:rPr>
          <w:rFonts w:asciiTheme="minorHAnsi" w:hAnsiTheme="minorHAnsi"/>
          <w:sz w:val="22"/>
          <w:szCs w:val="22"/>
        </w:rPr>
        <w:t>;</w:t>
      </w:r>
    </w:p>
    <w:p w:rsidR="00776FCA" w:rsidRDefault="00AB65E3" w:rsidP="00776FCA">
      <w:pPr>
        <w:pStyle w:val="ListParagraph"/>
        <w:numPr>
          <w:ilvl w:val="0"/>
          <w:numId w:val="18"/>
        </w:numPr>
        <w:rPr>
          <w:rFonts w:asciiTheme="minorHAnsi" w:hAnsiTheme="minorHAnsi"/>
          <w:sz w:val="22"/>
          <w:szCs w:val="22"/>
        </w:rPr>
      </w:pPr>
      <w:r>
        <w:rPr>
          <w:rFonts w:asciiTheme="minorHAnsi" w:hAnsiTheme="minorHAnsi"/>
          <w:sz w:val="22"/>
          <w:szCs w:val="22"/>
        </w:rPr>
        <w:t>r</w:t>
      </w:r>
      <w:r w:rsidR="00776FCA">
        <w:rPr>
          <w:rFonts w:asciiTheme="minorHAnsi" w:hAnsiTheme="minorHAnsi"/>
          <w:sz w:val="22"/>
          <w:szCs w:val="22"/>
        </w:rPr>
        <w:t xml:space="preserve">esults of CCP back testing of its initial margin calculation and regular </w:t>
      </w:r>
      <w:r w:rsidR="00C16181">
        <w:rPr>
          <w:rFonts w:asciiTheme="minorHAnsi" w:hAnsiTheme="minorHAnsi"/>
          <w:sz w:val="22"/>
          <w:szCs w:val="22"/>
        </w:rPr>
        <w:t>disclosure</w:t>
      </w:r>
      <w:r w:rsidR="00776FCA">
        <w:rPr>
          <w:rFonts w:asciiTheme="minorHAnsi" w:hAnsiTheme="minorHAnsi"/>
          <w:sz w:val="22"/>
          <w:szCs w:val="22"/>
        </w:rPr>
        <w:t xml:space="preserve"> of its back testing methodology, stress tests </w:t>
      </w:r>
      <w:r w:rsidR="00C16181">
        <w:rPr>
          <w:rFonts w:asciiTheme="minorHAnsi" w:hAnsiTheme="minorHAnsi"/>
          <w:sz w:val="22"/>
          <w:szCs w:val="22"/>
        </w:rPr>
        <w:t>and</w:t>
      </w:r>
      <w:r w:rsidR="00776FCA">
        <w:rPr>
          <w:rFonts w:asciiTheme="minorHAnsi" w:hAnsiTheme="minorHAnsi"/>
          <w:sz w:val="22"/>
          <w:szCs w:val="22"/>
        </w:rPr>
        <w:t xml:space="preserve"> results</w:t>
      </w:r>
      <w:r w:rsidR="00B35378">
        <w:rPr>
          <w:rFonts w:asciiTheme="minorHAnsi" w:hAnsiTheme="minorHAnsi"/>
          <w:sz w:val="22"/>
          <w:szCs w:val="22"/>
        </w:rPr>
        <w:t>;</w:t>
      </w:r>
    </w:p>
    <w:p w:rsidR="00776FCA" w:rsidRDefault="00776FCA" w:rsidP="00776FCA">
      <w:pPr>
        <w:pStyle w:val="ListParagraph"/>
        <w:numPr>
          <w:ilvl w:val="0"/>
          <w:numId w:val="18"/>
        </w:numPr>
        <w:rPr>
          <w:rFonts w:asciiTheme="minorHAnsi" w:hAnsiTheme="minorHAnsi"/>
          <w:sz w:val="22"/>
          <w:szCs w:val="22"/>
        </w:rPr>
      </w:pPr>
      <w:r>
        <w:rPr>
          <w:rFonts w:asciiTheme="minorHAnsi" w:hAnsiTheme="minorHAnsi"/>
          <w:sz w:val="22"/>
          <w:szCs w:val="22"/>
        </w:rPr>
        <w:t>CCP exposures and balance sheets</w:t>
      </w:r>
      <w:r w:rsidR="00B35378">
        <w:rPr>
          <w:rFonts w:asciiTheme="minorHAnsi" w:hAnsiTheme="minorHAnsi"/>
          <w:sz w:val="22"/>
          <w:szCs w:val="22"/>
        </w:rPr>
        <w:t>;</w:t>
      </w:r>
    </w:p>
    <w:p w:rsidR="00AB65E3" w:rsidRPr="009E600C" w:rsidRDefault="00AB65E3" w:rsidP="00AB65E3">
      <w:pPr>
        <w:pStyle w:val="ListParagraph"/>
        <w:numPr>
          <w:ilvl w:val="0"/>
          <w:numId w:val="18"/>
        </w:numPr>
        <w:contextualSpacing w:val="0"/>
        <w:rPr>
          <w:rFonts w:asciiTheme="minorHAnsi" w:hAnsiTheme="minorHAnsi"/>
          <w:sz w:val="22"/>
          <w:szCs w:val="22"/>
        </w:rPr>
      </w:pPr>
      <w:r>
        <w:rPr>
          <w:rFonts w:asciiTheme="minorHAnsi" w:hAnsiTheme="minorHAnsi"/>
          <w:sz w:val="22"/>
          <w:szCs w:val="22"/>
        </w:rPr>
        <w:t xml:space="preserve">credit check methodology </w:t>
      </w:r>
      <w:r w:rsidRPr="009E600C">
        <w:rPr>
          <w:rFonts w:asciiTheme="minorHAnsi" w:hAnsiTheme="minorHAnsi"/>
          <w:sz w:val="22"/>
          <w:szCs w:val="22"/>
        </w:rPr>
        <w:t xml:space="preserve"> CCPs carry out on behalf of its prospective clients and </w:t>
      </w:r>
      <w:r>
        <w:rPr>
          <w:rFonts w:asciiTheme="minorHAnsi" w:hAnsiTheme="minorHAnsi"/>
          <w:sz w:val="22"/>
          <w:szCs w:val="22"/>
        </w:rPr>
        <w:t>their ability to post collateral</w:t>
      </w:r>
      <w:r w:rsidR="00B35378">
        <w:rPr>
          <w:rFonts w:asciiTheme="minorHAnsi" w:hAnsiTheme="minorHAnsi"/>
          <w:sz w:val="22"/>
          <w:szCs w:val="22"/>
        </w:rPr>
        <w:t>;</w:t>
      </w:r>
    </w:p>
    <w:p w:rsidR="00AB65E3" w:rsidRDefault="00AB65E3" w:rsidP="00AB65E3">
      <w:pPr>
        <w:pStyle w:val="ListParagraph"/>
        <w:numPr>
          <w:ilvl w:val="0"/>
          <w:numId w:val="18"/>
        </w:numPr>
        <w:rPr>
          <w:rFonts w:asciiTheme="minorHAnsi" w:hAnsiTheme="minorHAnsi"/>
          <w:sz w:val="22"/>
          <w:szCs w:val="22"/>
        </w:rPr>
      </w:pPr>
      <w:r w:rsidRPr="009E600C">
        <w:rPr>
          <w:rFonts w:asciiTheme="minorHAnsi" w:hAnsiTheme="minorHAnsi"/>
          <w:sz w:val="22"/>
          <w:szCs w:val="22"/>
        </w:rPr>
        <w:t>transparency and clarification on how margin</w:t>
      </w:r>
      <w:r>
        <w:rPr>
          <w:rFonts w:asciiTheme="minorHAnsi" w:hAnsiTheme="minorHAnsi"/>
          <w:sz w:val="22"/>
          <w:szCs w:val="22"/>
        </w:rPr>
        <w:t>s are</w:t>
      </w:r>
      <w:r w:rsidRPr="009E600C">
        <w:rPr>
          <w:rFonts w:asciiTheme="minorHAnsi" w:hAnsiTheme="minorHAnsi"/>
          <w:sz w:val="22"/>
          <w:szCs w:val="22"/>
        </w:rPr>
        <w:t xml:space="preserve"> being calculated</w:t>
      </w:r>
      <w:r w:rsidR="00B35378">
        <w:rPr>
          <w:rFonts w:asciiTheme="minorHAnsi" w:hAnsiTheme="minorHAnsi"/>
          <w:sz w:val="22"/>
          <w:szCs w:val="22"/>
        </w:rPr>
        <w:t>;</w:t>
      </w:r>
      <w:r w:rsidRPr="00AB65E3">
        <w:rPr>
          <w:rFonts w:asciiTheme="minorHAnsi" w:hAnsiTheme="minorHAnsi"/>
          <w:sz w:val="22"/>
          <w:szCs w:val="22"/>
        </w:rPr>
        <w:t xml:space="preserve"> </w:t>
      </w:r>
    </w:p>
    <w:p w:rsidR="00AB65E3" w:rsidRPr="00AB65E3" w:rsidRDefault="00AB65E3" w:rsidP="00AB65E3">
      <w:pPr>
        <w:pStyle w:val="ListParagraph"/>
        <w:numPr>
          <w:ilvl w:val="0"/>
          <w:numId w:val="18"/>
        </w:numPr>
        <w:rPr>
          <w:rFonts w:asciiTheme="minorHAnsi" w:hAnsiTheme="minorHAnsi"/>
          <w:sz w:val="22"/>
          <w:szCs w:val="22"/>
        </w:rPr>
      </w:pPr>
      <w:r>
        <w:rPr>
          <w:rFonts w:asciiTheme="minorHAnsi" w:hAnsiTheme="minorHAnsi"/>
          <w:sz w:val="22"/>
          <w:szCs w:val="22"/>
        </w:rPr>
        <w:t>evidence of the back-</w:t>
      </w:r>
      <w:r w:rsidRPr="00AB65E3">
        <w:rPr>
          <w:rFonts w:asciiTheme="minorHAnsi" w:hAnsiTheme="minorHAnsi"/>
          <w:sz w:val="22"/>
          <w:szCs w:val="22"/>
        </w:rPr>
        <w:t xml:space="preserve">up </w:t>
      </w:r>
      <w:r w:rsidR="007C794E">
        <w:rPr>
          <w:rFonts w:asciiTheme="minorHAnsi" w:hAnsiTheme="minorHAnsi"/>
          <w:sz w:val="22"/>
          <w:szCs w:val="22"/>
        </w:rPr>
        <w:t>funding lines of either CCP or c</w:t>
      </w:r>
      <w:r w:rsidRPr="00AB65E3">
        <w:rPr>
          <w:rFonts w:asciiTheme="minorHAnsi" w:hAnsiTheme="minorHAnsi"/>
          <w:sz w:val="22"/>
          <w:szCs w:val="22"/>
        </w:rPr>
        <w:t>learing broker and visibility of the effectiveness of their controls</w:t>
      </w:r>
      <w:r w:rsidR="00B35378">
        <w:rPr>
          <w:rFonts w:asciiTheme="minorHAnsi" w:hAnsiTheme="minorHAnsi"/>
          <w:sz w:val="22"/>
          <w:szCs w:val="22"/>
        </w:rPr>
        <w:t>; and</w:t>
      </w:r>
    </w:p>
    <w:p w:rsidR="00776FCA" w:rsidRPr="00776FCA" w:rsidRDefault="00AB65E3" w:rsidP="00776FCA">
      <w:pPr>
        <w:pStyle w:val="ListParagraph"/>
        <w:numPr>
          <w:ilvl w:val="0"/>
          <w:numId w:val="18"/>
        </w:numPr>
        <w:rPr>
          <w:rFonts w:asciiTheme="minorHAnsi" w:hAnsiTheme="minorHAnsi"/>
          <w:sz w:val="22"/>
          <w:szCs w:val="22"/>
        </w:rPr>
      </w:pPr>
      <w:r>
        <w:rPr>
          <w:rFonts w:asciiTheme="minorHAnsi" w:hAnsiTheme="minorHAnsi"/>
          <w:sz w:val="22"/>
          <w:szCs w:val="22"/>
        </w:rPr>
        <w:t>the n</w:t>
      </w:r>
      <w:r w:rsidRPr="009E600C">
        <w:rPr>
          <w:rFonts w:asciiTheme="minorHAnsi" w:hAnsiTheme="minorHAnsi"/>
          <w:sz w:val="22"/>
          <w:szCs w:val="22"/>
        </w:rPr>
        <w:t xml:space="preserve">etting </w:t>
      </w:r>
      <w:r>
        <w:rPr>
          <w:rFonts w:asciiTheme="minorHAnsi" w:hAnsiTheme="minorHAnsi"/>
          <w:sz w:val="22"/>
          <w:szCs w:val="22"/>
        </w:rPr>
        <w:t xml:space="preserve">arrangements </w:t>
      </w:r>
      <w:r w:rsidRPr="009E600C">
        <w:rPr>
          <w:rFonts w:asciiTheme="minorHAnsi" w:hAnsiTheme="minorHAnsi"/>
          <w:sz w:val="22"/>
          <w:szCs w:val="22"/>
        </w:rPr>
        <w:t xml:space="preserve">across different products </w:t>
      </w:r>
      <w:r w:rsidR="00C66A26">
        <w:rPr>
          <w:rFonts w:asciiTheme="minorHAnsi" w:hAnsiTheme="minorHAnsi"/>
          <w:sz w:val="22"/>
          <w:szCs w:val="22"/>
        </w:rPr>
        <w:t>i</w:t>
      </w:r>
      <w:r>
        <w:rPr>
          <w:rFonts w:asciiTheme="minorHAnsi" w:hAnsiTheme="minorHAnsi"/>
          <w:sz w:val="22"/>
          <w:szCs w:val="22"/>
        </w:rPr>
        <w:t>n order to ensure th</w:t>
      </w:r>
      <w:r w:rsidR="00C66A26">
        <w:rPr>
          <w:rFonts w:asciiTheme="minorHAnsi" w:hAnsiTheme="minorHAnsi"/>
          <w:sz w:val="22"/>
          <w:szCs w:val="22"/>
        </w:rPr>
        <w:t xml:space="preserve">ey are </w:t>
      </w:r>
      <w:r>
        <w:rPr>
          <w:rFonts w:asciiTheme="minorHAnsi" w:hAnsiTheme="minorHAnsi"/>
          <w:sz w:val="22"/>
          <w:szCs w:val="22"/>
        </w:rPr>
        <w:t>efficient</w:t>
      </w:r>
      <w:r w:rsidR="00B35378">
        <w:rPr>
          <w:rFonts w:asciiTheme="minorHAnsi" w:hAnsiTheme="minorHAnsi"/>
          <w:sz w:val="22"/>
          <w:szCs w:val="22"/>
        </w:rPr>
        <w:t>.</w:t>
      </w:r>
    </w:p>
    <w:p w:rsidR="00776FCA" w:rsidRDefault="00776FCA" w:rsidP="00776FCA">
      <w:pPr>
        <w:ind w:firstLine="360"/>
        <w:rPr>
          <w:rFonts w:asciiTheme="minorHAnsi" w:hAnsiTheme="minorHAnsi"/>
          <w:sz w:val="22"/>
          <w:szCs w:val="22"/>
        </w:rPr>
      </w:pPr>
    </w:p>
    <w:p w:rsidR="003A631B" w:rsidRDefault="000C5B04">
      <w:pPr>
        <w:rPr>
          <w:rFonts w:asciiTheme="minorHAnsi" w:hAnsiTheme="minorHAnsi"/>
          <w:b/>
          <w:sz w:val="22"/>
          <w:szCs w:val="22"/>
        </w:rPr>
      </w:pPr>
      <w:r w:rsidRPr="000C5B04">
        <w:rPr>
          <w:rFonts w:asciiTheme="minorHAnsi" w:hAnsiTheme="minorHAnsi"/>
          <w:b/>
          <w:sz w:val="22"/>
          <w:szCs w:val="22"/>
        </w:rPr>
        <w:t>Q30: What are your views on the possible records CCPs might be required to maintain?</w:t>
      </w:r>
    </w:p>
    <w:p w:rsidR="000C5B04" w:rsidRDefault="000C5B04" w:rsidP="000C5B04">
      <w:pPr>
        <w:ind w:firstLine="360"/>
        <w:rPr>
          <w:rFonts w:asciiTheme="minorHAnsi" w:hAnsiTheme="minorHAnsi"/>
          <w:sz w:val="22"/>
          <w:szCs w:val="22"/>
        </w:rPr>
      </w:pPr>
    </w:p>
    <w:p w:rsidR="003A631B" w:rsidRDefault="000C5B04">
      <w:pPr>
        <w:rPr>
          <w:rFonts w:asciiTheme="minorHAnsi" w:hAnsiTheme="minorHAnsi"/>
          <w:sz w:val="22"/>
          <w:szCs w:val="22"/>
        </w:rPr>
      </w:pPr>
      <w:r>
        <w:rPr>
          <w:rFonts w:asciiTheme="minorHAnsi" w:hAnsiTheme="minorHAnsi"/>
          <w:sz w:val="22"/>
          <w:szCs w:val="22"/>
        </w:rPr>
        <w:t>We have no comments on this issue.</w:t>
      </w:r>
    </w:p>
    <w:p w:rsidR="000C5B04" w:rsidRDefault="000C5B04" w:rsidP="00776FCA">
      <w:pPr>
        <w:ind w:firstLine="360"/>
        <w:rPr>
          <w:rFonts w:asciiTheme="minorHAnsi" w:hAnsiTheme="minorHAnsi"/>
          <w:sz w:val="22"/>
          <w:szCs w:val="22"/>
        </w:rPr>
      </w:pPr>
    </w:p>
    <w:p w:rsidR="003A631B" w:rsidRDefault="00696E56">
      <w:pPr>
        <w:rPr>
          <w:rFonts w:asciiTheme="minorHAnsi" w:hAnsiTheme="minorHAnsi"/>
          <w:b/>
          <w:sz w:val="22"/>
          <w:szCs w:val="22"/>
        </w:rPr>
      </w:pPr>
      <w:r w:rsidRPr="000C5B04">
        <w:rPr>
          <w:rFonts w:asciiTheme="minorHAnsi" w:hAnsiTheme="minorHAnsi"/>
          <w:b/>
          <w:sz w:val="22"/>
          <w:szCs w:val="22"/>
        </w:rPr>
        <w:t>Q31: What are your views on the modality</w:t>
      </w:r>
      <w:r>
        <w:rPr>
          <w:rFonts w:asciiTheme="minorHAnsi" w:hAnsiTheme="minorHAnsi"/>
          <w:b/>
          <w:sz w:val="22"/>
          <w:szCs w:val="22"/>
        </w:rPr>
        <w:t xml:space="preserve"> for maintaining an</w:t>
      </w:r>
      <w:r w:rsidRPr="000C5B04">
        <w:rPr>
          <w:rFonts w:asciiTheme="minorHAnsi" w:hAnsiTheme="minorHAnsi"/>
          <w:b/>
          <w:sz w:val="22"/>
          <w:szCs w:val="22"/>
        </w:rPr>
        <w:t>d</w:t>
      </w:r>
      <w:r>
        <w:rPr>
          <w:rFonts w:asciiTheme="minorHAnsi" w:hAnsiTheme="minorHAnsi"/>
          <w:b/>
          <w:sz w:val="22"/>
          <w:szCs w:val="22"/>
        </w:rPr>
        <w:t xml:space="preserve"> </w:t>
      </w:r>
      <w:r w:rsidRPr="000C5B04">
        <w:rPr>
          <w:rFonts w:asciiTheme="minorHAnsi" w:hAnsiTheme="minorHAnsi"/>
          <w:b/>
          <w:sz w:val="22"/>
          <w:szCs w:val="22"/>
        </w:rPr>
        <w:t xml:space="preserve">making available the above records? </w:t>
      </w:r>
      <w:r w:rsidR="000C5B04" w:rsidRPr="000C5B04">
        <w:rPr>
          <w:rFonts w:asciiTheme="minorHAnsi" w:hAnsiTheme="minorHAnsi"/>
          <w:b/>
          <w:sz w:val="22"/>
          <w:szCs w:val="22"/>
        </w:rPr>
        <w:t xml:space="preserve">How does the modalility of maintaining and making </w:t>
      </w:r>
      <w:r>
        <w:rPr>
          <w:rFonts w:asciiTheme="minorHAnsi" w:hAnsiTheme="minorHAnsi"/>
          <w:b/>
          <w:sz w:val="22"/>
          <w:szCs w:val="22"/>
        </w:rPr>
        <w:t>available</w:t>
      </w:r>
      <w:r w:rsidR="000C5B04" w:rsidRPr="000C5B04">
        <w:rPr>
          <w:rFonts w:asciiTheme="minorHAnsi" w:hAnsiTheme="minorHAnsi"/>
          <w:b/>
          <w:sz w:val="22"/>
          <w:szCs w:val="22"/>
        </w:rPr>
        <w:t xml:space="preserve"> the cords impact the costs of record keeping?</w:t>
      </w:r>
    </w:p>
    <w:p w:rsidR="000C5B04" w:rsidRDefault="000C5B04" w:rsidP="000C5B04">
      <w:pPr>
        <w:ind w:left="360"/>
        <w:rPr>
          <w:rFonts w:asciiTheme="minorHAnsi" w:hAnsiTheme="minorHAnsi"/>
          <w:sz w:val="22"/>
          <w:szCs w:val="22"/>
        </w:rPr>
      </w:pPr>
    </w:p>
    <w:p w:rsidR="003A631B" w:rsidRDefault="000C5B04">
      <w:pPr>
        <w:rPr>
          <w:rFonts w:asciiTheme="minorHAnsi" w:hAnsiTheme="minorHAnsi"/>
          <w:sz w:val="22"/>
          <w:szCs w:val="22"/>
        </w:rPr>
      </w:pPr>
      <w:r>
        <w:rPr>
          <w:rFonts w:asciiTheme="minorHAnsi" w:hAnsiTheme="minorHAnsi"/>
          <w:sz w:val="22"/>
          <w:szCs w:val="22"/>
        </w:rPr>
        <w:t>We have no comments on this issue.</w:t>
      </w:r>
    </w:p>
    <w:p w:rsidR="000C5B04" w:rsidRDefault="000C5B04" w:rsidP="000C5B04">
      <w:pPr>
        <w:ind w:left="360"/>
        <w:rPr>
          <w:rFonts w:asciiTheme="minorHAnsi" w:hAnsiTheme="minorHAnsi"/>
          <w:sz w:val="22"/>
          <w:szCs w:val="22"/>
        </w:rPr>
      </w:pPr>
    </w:p>
    <w:p w:rsidR="003A631B" w:rsidRDefault="000C5B04">
      <w:pPr>
        <w:rPr>
          <w:rFonts w:asciiTheme="minorHAnsi" w:hAnsiTheme="minorHAnsi"/>
          <w:b/>
          <w:sz w:val="22"/>
          <w:szCs w:val="22"/>
        </w:rPr>
      </w:pPr>
      <w:r w:rsidRPr="000C5B04">
        <w:rPr>
          <w:rFonts w:asciiTheme="minorHAnsi" w:hAnsiTheme="minorHAnsi"/>
          <w:b/>
          <w:sz w:val="22"/>
          <w:szCs w:val="22"/>
        </w:rPr>
        <w:t>Q</w:t>
      </w:r>
      <w:r w:rsidRPr="000C5B04">
        <w:rPr>
          <w:rFonts w:asciiTheme="minorHAnsi" w:hAnsiTheme="minorHAnsi"/>
          <w:b/>
          <w:bCs/>
          <w:sz w:val="22"/>
          <w:szCs w:val="22"/>
        </w:rPr>
        <w:t xml:space="preserve"> 32: What are your views on the possible requirements for the business continuity and disaster recovery plan and in particular on the requirements for the secondary site? Would it be appropriate to mandate the establishment of a third processing site, at least when the conditions described above apply? What are the potential costs and time necessary for the establishment of a third processing site and for immediate access to a secondary business site?</w:t>
      </w:r>
    </w:p>
    <w:p w:rsidR="000C5B04" w:rsidRDefault="000C5B04" w:rsidP="00776FCA">
      <w:pPr>
        <w:ind w:firstLine="360"/>
        <w:rPr>
          <w:rFonts w:asciiTheme="minorHAnsi" w:hAnsiTheme="minorHAnsi"/>
          <w:sz w:val="22"/>
          <w:szCs w:val="22"/>
        </w:rPr>
      </w:pPr>
    </w:p>
    <w:p w:rsidR="003A631B" w:rsidRDefault="00D61565">
      <w:pPr>
        <w:rPr>
          <w:rFonts w:asciiTheme="minorHAnsi" w:hAnsiTheme="minorHAnsi"/>
          <w:sz w:val="22"/>
          <w:szCs w:val="22"/>
        </w:rPr>
      </w:pPr>
      <w:r>
        <w:rPr>
          <w:rFonts w:asciiTheme="minorHAnsi" w:hAnsiTheme="minorHAnsi"/>
          <w:sz w:val="22"/>
          <w:szCs w:val="22"/>
        </w:rPr>
        <w:t xml:space="preserve">There is clearly a balance to be struck between ensuring CCP arrangements are robust and the costs that will be incurred by clearing members for using their services.  A requirement for the establishment of a third processing site could unduly increase the costs for clearing members with little additional benefit in terms of mitigation of operational risk.  </w:t>
      </w:r>
    </w:p>
    <w:p w:rsidR="00A87CD7" w:rsidRDefault="00A87CD7">
      <w:pPr>
        <w:rPr>
          <w:rFonts w:asciiTheme="minorHAnsi" w:hAnsiTheme="minorHAnsi"/>
          <w:sz w:val="22"/>
          <w:szCs w:val="22"/>
        </w:rPr>
      </w:pPr>
    </w:p>
    <w:p w:rsidR="00A87CD7" w:rsidRDefault="00A87CD7" w:rsidP="00A87CD7">
      <w:pPr>
        <w:rPr>
          <w:rFonts w:asciiTheme="minorHAnsi" w:hAnsiTheme="minorHAnsi"/>
          <w:sz w:val="22"/>
          <w:szCs w:val="22"/>
        </w:rPr>
      </w:pPr>
      <w:r>
        <w:rPr>
          <w:rFonts w:asciiTheme="minorHAnsi" w:hAnsiTheme="minorHAnsi"/>
          <w:sz w:val="22"/>
          <w:szCs w:val="22"/>
        </w:rPr>
        <w:lastRenderedPageBreak/>
        <w:t xml:space="preserve">If there is a decision to implement primary and secondary recovery sites this will </w:t>
      </w:r>
      <w:r w:rsidR="007C794E">
        <w:rPr>
          <w:rFonts w:asciiTheme="minorHAnsi" w:hAnsiTheme="minorHAnsi"/>
          <w:sz w:val="22"/>
          <w:szCs w:val="22"/>
        </w:rPr>
        <w:t xml:space="preserve">also </w:t>
      </w:r>
      <w:r>
        <w:rPr>
          <w:rFonts w:asciiTheme="minorHAnsi" w:hAnsiTheme="minorHAnsi"/>
          <w:sz w:val="22"/>
          <w:szCs w:val="22"/>
        </w:rPr>
        <w:t>have implications for industry wide connectivity configuration and testing and a set of protocols which ensure all participants are informed regarding the designa</w:t>
      </w:r>
      <w:r w:rsidR="00571AB7">
        <w:rPr>
          <w:rFonts w:asciiTheme="minorHAnsi" w:hAnsiTheme="minorHAnsi"/>
          <w:sz w:val="22"/>
          <w:szCs w:val="22"/>
        </w:rPr>
        <w:t>tion of the operational site.</w:t>
      </w:r>
      <w:r w:rsidR="007C794E">
        <w:rPr>
          <w:rFonts w:asciiTheme="minorHAnsi" w:hAnsiTheme="minorHAnsi"/>
          <w:sz w:val="22"/>
          <w:szCs w:val="22"/>
        </w:rPr>
        <w:t xml:space="preserve"> </w:t>
      </w:r>
      <w:r w:rsidR="00571AB7">
        <w:rPr>
          <w:rFonts w:asciiTheme="minorHAnsi" w:hAnsiTheme="minorHAnsi"/>
          <w:sz w:val="22"/>
          <w:szCs w:val="22"/>
        </w:rPr>
        <w:t xml:space="preserve"> T</w:t>
      </w:r>
      <w:r>
        <w:rPr>
          <w:rFonts w:asciiTheme="minorHAnsi" w:hAnsiTheme="minorHAnsi"/>
          <w:sz w:val="22"/>
          <w:szCs w:val="22"/>
        </w:rPr>
        <w:t>his could extend implementation timeframes.</w:t>
      </w:r>
    </w:p>
    <w:p w:rsidR="003A631B" w:rsidRDefault="003A631B" w:rsidP="00A87CD7">
      <w:pPr>
        <w:rPr>
          <w:rFonts w:asciiTheme="minorHAnsi" w:hAnsiTheme="minorHAnsi"/>
          <w:sz w:val="22"/>
          <w:szCs w:val="22"/>
        </w:rPr>
      </w:pPr>
    </w:p>
    <w:p w:rsidR="003A631B" w:rsidRDefault="007D4028">
      <w:pPr>
        <w:rPr>
          <w:rFonts w:asciiTheme="minorHAnsi" w:hAnsiTheme="minorHAnsi"/>
          <w:sz w:val="22"/>
          <w:szCs w:val="22"/>
        </w:rPr>
      </w:pPr>
      <w:r>
        <w:rPr>
          <w:rFonts w:asciiTheme="minorHAnsi" w:hAnsiTheme="minorHAnsi"/>
          <w:sz w:val="22"/>
          <w:szCs w:val="22"/>
        </w:rPr>
        <w:t xml:space="preserve">We would rather urge a requirement for a high degree of interoperability between CCPs so that non-defaulting portfolios can be ported relatively seamlessly to another CCP rather than having to unwind large portfolios over the course of a relatively short period of time which could lead to further market dislocation.    </w:t>
      </w:r>
    </w:p>
    <w:p w:rsidR="00C66A26" w:rsidRDefault="00C66A26" w:rsidP="000C5B04">
      <w:pPr>
        <w:ind w:firstLine="360"/>
        <w:rPr>
          <w:rFonts w:asciiTheme="minorHAnsi" w:hAnsiTheme="minorHAnsi"/>
          <w:sz w:val="22"/>
          <w:szCs w:val="22"/>
        </w:rPr>
      </w:pPr>
    </w:p>
    <w:p w:rsidR="003A631B" w:rsidRDefault="000C5B04">
      <w:pPr>
        <w:rPr>
          <w:rFonts w:asciiTheme="minorHAnsi" w:hAnsiTheme="minorHAnsi"/>
          <w:b/>
          <w:bCs/>
          <w:sz w:val="22"/>
          <w:szCs w:val="22"/>
        </w:rPr>
      </w:pPr>
      <w:r w:rsidRPr="000C5B04">
        <w:rPr>
          <w:rFonts w:asciiTheme="minorHAnsi" w:hAnsiTheme="minorHAnsi"/>
          <w:b/>
          <w:sz w:val="22"/>
          <w:szCs w:val="22"/>
        </w:rPr>
        <w:t xml:space="preserve">Q33: </w:t>
      </w:r>
      <w:r w:rsidRPr="000C5B04">
        <w:rPr>
          <w:rFonts w:asciiTheme="minorHAnsi" w:hAnsiTheme="minorHAnsi"/>
          <w:b/>
          <w:bCs/>
          <w:sz w:val="22"/>
          <w:szCs w:val="22"/>
        </w:rPr>
        <w:t>Is the 2 hours maximum recovery time for critical functions a proportionate requirement? What are the potential costs associated with that requirement?</w:t>
      </w:r>
    </w:p>
    <w:p w:rsidR="00C66A26" w:rsidRDefault="00C66A26" w:rsidP="000C5B04">
      <w:pPr>
        <w:ind w:left="360"/>
        <w:rPr>
          <w:rFonts w:asciiTheme="minorHAnsi" w:hAnsiTheme="minorHAnsi"/>
          <w:b/>
          <w:bCs/>
          <w:sz w:val="22"/>
          <w:szCs w:val="22"/>
        </w:rPr>
      </w:pPr>
    </w:p>
    <w:p w:rsidR="00571AB7" w:rsidRDefault="00571AB7" w:rsidP="00571AB7">
      <w:pPr>
        <w:rPr>
          <w:rFonts w:asciiTheme="minorHAnsi" w:hAnsiTheme="minorHAnsi"/>
          <w:sz w:val="22"/>
          <w:szCs w:val="22"/>
        </w:rPr>
      </w:pPr>
      <w:r>
        <w:rPr>
          <w:rFonts w:asciiTheme="minorHAnsi" w:hAnsiTheme="minorHAnsi"/>
          <w:sz w:val="22"/>
          <w:szCs w:val="22"/>
        </w:rPr>
        <w:t>Some market participants will not have internal SLA’s which match this expectation, particularly non-financial firms where continuous availability of systems will be limited.  As such, two hours could be overly tight if market participant systems cannot match this level without significant investment.</w:t>
      </w:r>
    </w:p>
    <w:p w:rsidR="000C5B04" w:rsidRDefault="000C5B04" w:rsidP="0065424A">
      <w:pPr>
        <w:rPr>
          <w:rFonts w:asciiTheme="minorHAnsi" w:hAnsiTheme="minorHAnsi"/>
          <w:b/>
          <w:sz w:val="22"/>
          <w:szCs w:val="22"/>
        </w:rPr>
      </w:pPr>
    </w:p>
    <w:p w:rsidR="003A631B" w:rsidRDefault="000C5B04">
      <w:pPr>
        <w:rPr>
          <w:rFonts w:asciiTheme="minorHAnsi" w:hAnsiTheme="minorHAnsi"/>
          <w:b/>
          <w:bCs/>
          <w:sz w:val="22"/>
          <w:szCs w:val="22"/>
        </w:rPr>
      </w:pPr>
      <w:r w:rsidRPr="00FB7125">
        <w:rPr>
          <w:rFonts w:asciiTheme="minorHAnsi" w:hAnsiTheme="minorHAnsi"/>
          <w:b/>
          <w:bCs/>
          <w:sz w:val="22"/>
          <w:szCs w:val="22"/>
        </w:rPr>
        <w:t>Q34: Are the criteria outlined above appropriate to ensure that the adequate percentage above 99 per cent is applied in CCP’s margin models? Should a criteria based approach be complemented by an approach based on fixed percentages? If so, which percentages should be mandated and for which instruments?</w:t>
      </w:r>
    </w:p>
    <w:p w:rsidR="00FB7125" w:rsidRDefault="00FB7125" w:rsidP="0065424A">
      <w:pPr>
        <w:rPr>
          <w:b/>
          <w:bCs/>
          <w:sz w:val="20"/>
          <w:szCs w:val="20"/>
        </w:rPr>
      </w:pPr>
    </w:p>
    <w:p w:rsidR="003A631B" w:rsidRDefault="00147307">
      <w:pPr>
        <w:rPr>
          <w:rFonts w:asciiTheme="minorHAnsi" w:hAnsiTheme="minorHAnsi"/>
          <w:bCs/>
          <w:sz w:val="22"/>
          <w:szCs w:val="22"/>
        </w:rPr>
      </w:pPr>
      <w:r w:rsidRPr="00147307">
        <w:rPr>
          <w:rFonts w:asciiTheme="minorHAnsi" w:hAnsiTheme="minorHAnsi"/>
          <w:bCs/>
          <w:sz w:val="22"/>
          <w:szCs w:val="22"/>
        </w:rPr>
        <w:t xml:space="preserve">The level of confidence </w:t>
      </w:r>
      <w:r w:rsidR="00215527">
        <w:rPr>
          <w:rFonts w:asciiTheme="minorHAnsi" w:hAnsiTheme="minorHAnsi"/>
          <w:bCs/>
          <w:sz w:val="22"/>
          <w:szCs w:val="22"/>
        </w:rPr>
        <w:t>interval is crucial</w:t>
      </w:r>
      <w:r w:rsidRPr="00147307">
        <w:rPr>
          <w:rFonts w:asciiTheme="minorHAnsi" w:hAnsiTheme="minorHAnsi"/>
          <w:bCs/>
          <w:sz w:val="22"/>
          <w:szCs w:val="22"/>
        </w:rPr>
        <w:t xml:space="preserve"> in </w:t>
      </w:r>
      <w:r w:rsidR="00215527">
        <w:rPr>
          <w:rFonts w:asciiTheme="minorHAnsi" w:hAnsiTheme="minorHAnsi"/>
          <w:bCs/>
          <w:sz w:val="22"/>
          <w:szCs w:val="22"/>
        </w:rPr>
        <w:t>determining</w:t>
      </w:r>
      <w:r w:rsidRPr="00147307">
        <w:rPr>
          <w:rFonts w:asciiTheme="minorHAnsi" w:hAnsiTheme="minorHAnsi"/>
          <w:bCs/>
          <w:sz w:val="22"/>
          <w:szCs w:val="22"/>
        </w:rPr>
        <w:t xml:space="preserve"> the relationship between the default fund and the level of applicable margin.  EDFT supports the general principle </w:t>
      </w:r>
      <w:r w:rsidR="007C794E">
        <w:rPr>
          <w:rFonts w:asciiTheme="minorHAnsi" w:hAnsiTheme="minorHAnsi"/>
          <w:bCs/>
          <w:sz w:val="22"/>
          <w:szCs w:val="22"/>
        </w:rPr>
        <w:t xml:space="preserve">of </w:t>
      </w:r>
      <w:r w:rsidRPr="00147307">
        <w:rPr>
          <w:rFonts w:asciiTheme="minorHAnsi" w:hAnsiTheme="minorHAnsi"/>
          <w:bCs/>
          <w:sz w:val="22"/>
          <w:szCs w:val="22"/>
        </w:rPr>
        <w:t xml:space="preserve">a ‘defaulter pays’ model which places less </w:t>
      </w:r>
      <w:r w:rsidR="00215527" w:rsidRPr="00215527">
        <w:rPr>
          <w:rFonts w:asciiTheme="minorHAnsi" w:hAnsiTheme="minorHAnsi"/>
          <w:bCs/>
          <w:sz w:val="22"/>
          <w:szCs w:val="22"/>
        </w:rPr>
        <w:t>reliance</w:t>
      </w:r>
      <w:r w:rsidRPr="00147307">
        <w:rPr>
          <w:rFonts w:asciiTheme="minorHAnsi" w:hAnsiTheme="minorHAnsi"/>
          <w:bCs/>
          <w:sz w:val="22"/>
          <w:szCs w:val="22"/>
        </w:rPr>
        <w:t xml:space="preserve"> on the CCP default fund and the </w:t>
      </w:r>
      <w:r w:rsidR="00215527" w:rsidRPr="00215527">
        <w:rPr>
          <w:rFonts w:asciiTheme="minorHAnsi" w:hAnsiTheme="minorHAnsi"/>
          <w:bCs/>
          <w:sz w:val="22"/>
          <w:szCs w:val="22"/>
        </w:rPr>
        <w:t>contingent</w:t>
      </w:r>
      <w:r w:rsidRPr="00147307">
        <w:rPr>
          <w:rFonts w:asciiTheme="minorHAnsi" w:hAnsiTheme="minorHAnsi"/>
          <w:bCs/>
          <w:sz w:val="22"/>
          <w:szCs w:val="22"/>
        </w:rPr>
        <w:t xml:space="preserve"> </w:t>
      </w:r>
      <w:r w:rsidR="00215527" w:rsidRPr="00215527">
        <w:rPr>
          <w:rFonts w:asciiTheme="minorHAnsi" w:hAnsiTheme="minorHAnsi"/>
          <w:bCs/>
          <w:sz w:val="22"/>
          <w:szCs w:val="22"/>
        </w:rPr>
        <w:t>reliability</w:t>
      </w:r>
      <w:r w:rsidRPr="00147307">
        <w:rPr>
          <w:rFonts w:asciiTheme="minorHAnsi" w:hAnsiTheme="minorHAnsi"/>
          <w:bCs/>
          <w:sz w:val="22"/>
          <w:szCs w:val="22"/>
        </w:rPr>
        <w:t xml:space="preserve"> </w:t>
      </w:r>
      <w:r w:rsidR="00215527" w:rsidRPr="00215527">
        <w:rPr>
          <w:rFonts w:asciiTheme="minorHAnsi" w:hAnsiTheme="minorHAnsi"/>
          <w:bCs/>
          <w:sz w:val="22"/>
          <w:szCs w:val="22"/>
        </w:rPr>
        <w:t>to</w:t>
      </w:r>
      <w:r w:rsidRPr="00147307">
        <w:rPr>
          <w:rFonts w:asciiTheme="minorHAnsi" w:hAnsiTheme="minorHAnsi"/>
          <w:bCs/>
          <w:sz w:val="22"/>
          <w:szCs w:val="22"/>
        </w:rPr>
        <w:t xml:space="preserve"> clearing members.  </w:t>
      </w:r>
      <w:r w:rsidR="00215527" w:rsidRPr="00215527">
        <w:rPr>
          <w:rFonts w:asciiTheme="minorHAnsi" w:hAnsiTheme="minorHAnsi"/>
          <w:bCs/>
          <w:sz w:val="22"/>
          <w:szCs w:val="22"/>
        </w:rPr>
        <w:t>However</w:t>
      </w:r>
      <w:r w:rsidRPr="00147307">
        <w:rPr>
          <w:rFonts w:asciiTheme="minorHAnsi" w:hAnsiTheme="minorHAnsi"/>
          <w:bCs/>
          <w:sz w:val="22"/>
          <w:szCs w:val="22"/>
        </w:rPr>
        <w:t xml:space="preserve">, </w:t>
      </w:r>
      <w:r w:rsidR="00215527" w:rsidRPr="00215527">
        <w:rPr>
          <w:rFonts w:asciiTheme="minorHAnsi" w:hAnsiTheme="minorHAnsi"/>
          <w:bCs/>
          <w:sz w:val="22"/>
          <w:szCs w:val="22"/>
        </w:rPr>
        <w:t>an</w:t>
      </w:r>
      <w:r w:rsidRPr="00147307">
        <w:rPr>
          <w:rFonts w:asciiTheme="minorHAnsi" w:hAnsiTheme="minorHAnsi"/>
          <w:bCs/>
          <w:sz w:val="22"/>
          <w:szCs w:val="22"/>
        </w:rPr>
        <w:t xml:space="preserve"> </w:t>
      </w:r>
      <w:r w:rsidR="00215527" w:rsidRPr="00215527">
        <w:rPr>
          <w:rFonts w:asciiTheme="minorHAnsi" w:hAnsiTheme="minorHAnsi"/>
          <w:bCs/>
          <w:sz w:val="22"/>
          <w:szCs w:val="22"/>
        </w:rPr>
        <w:t>appropriate</w:t>
      </w:r>
      <w:r w:rsidRPr="00147307">
        <w:rPr>
          <w:rFonts w:asciiTheme="minorHAnsi" w:hAnsiTheme="minorHAnsi"/>
          <w:bCs/>
          <w:sz w:val="22"/>
          <w:szCs w:val="22"/>
        </w:rPr>
        <w:t xml:space="preserve"> </w:t>
      </w:r>
      <w:r w:rsidR="00215527" w:rsidRPr="00215527">
        <w:rPr>
          <w:rFonts w:asciiTheme="minorHAnsi" w:hAnsiTheme="minorHAnsi"/>
          <w:bCs/>
          <w:sz w:val="22"/>
          <w:szCs w:val="22"/>
        </w:rPr>
        <w:t>balance</w:t>
      </w:r>
      <w:r w:rsidRPr="00147307">
        <w:rPr>
          <w:rFonts w:asciiTheme="minorHAnsi" w:hAnsiTheme="minorHAnsi"/>
          <w:bCs/>
          <w:sz w:val="22"/>
          <w:szCs w:val="22"/>
        </w:rPr>
        <w:t xml:space="preserve"> must be struck between the two in order to avoid creating undue barriers to access at CCPs. </w:t>
      </w:r>
    </w:p>
    <w:p w:rsidR="00FB7125" w:rsidRPr="00FB7125" w:rsidRDefault="00FB7125" w:rsidP="000C5B04">
      <w:pPr>
        <w:ind w:left="360"/>
        <w:rPr>
          <w:rFonts w:asciiTheme="minorHAnsi" w:hAnsiTheme="minorHAnsi"/>
          <w:b/>
          <w:bCs/>
          <w:sz w:val="22"/>
          <w:szCs w:val="22"/>
        </w:rPr>
      </w:pPr>
    </w:p>
    <w:p w:rsidR="003A631B" w:rsidRDefault="00FB7125">
      <w:pPr>
        <w:rPr>
          <w:rFonts w:asciiTheme="minorHAnsi" w:hAnsiTheme="minorHAnsi"/>
          <w:b/>
          <w:bCs/>
          <w:sz w:val="22"/>
          <w:szCs w:val="22"/>
        </w:rPr>
      </w:pPr>
      <w:r w:rsidRPr="00FB7125">
        <w:rPr>
          <w:rFonts w:asciiTheme="minorHAnsi" w:hAnsiTheme="minorHAnsi"/>
          <w:b/>
          <w:bCs/>
          <w:sz w:val="22"/>
          <w:szCs w:val="22"/>
        </w:rPr>
        <w:t>Q35: Taking into account both the avoidance of procyclicality effects and the need to ensure a balance distribution of the financial resources at the CCP disposal, what it is in your view the preferred option for the calculation of the lookback period?</w:t>
      </w:r>
    </w:p>
    <w:p w:rsidR="00FB7125" w:rsidRDefault="00FB7125" w:rsidP="000C5B04">
      <w:pPr>
        <w:ind w:left="360"/>
        <w:rPr>
          <w:b/>
          <w:bCs/>
          <w:sz w:val="20"/>
          <w:szCs w:val="20"/>
        </w:rPr>
      </w:pPr>
    </w:p>
    <w:p w:rsidR="003A631B" w:rsidRDefault="00FB7125">
      <w:pPr>
        <w:rPr>
          <w:rFonts w:asciiTheme="minorHAnsi" w:hAnsiTheme="minorHAnsi"/>
          <w:sz w:val="22"/>
          <w:szCs w:val="22"/>
        </w:rPr>
      </w:pPr>
      <w:r>
        <w:rPr>
          <w:rFonts w:asciiTheme="minorHAnsi" w:hAnsiTheme="minorHAnsi"/>
          <w:sz w:val="22"/>
          <w:szCs w:val="22"/>
        </w:rPr>
        <w:t>We have no comments on this issue.</w:t>
      </w:r>
    </w:p>
    <w:p w:rsidR="00FB7125" w:rsidRDefault="00FB7125" w:rsidP="000C5B04">
      <w:pPr>
        <w:ind w:left="360"/>
        <w:rPr>
          <w:b/>
          <w:bCs/>
          <w:sz w:val="20"/>
          <w:szCs w:val="20"/>
        </w:rPr>
      </w:pPr>
    </w:p>
    <w:p w:rsidR="003A631B" w:rsidRDefault="00FB7125">
      <w:pPr>
        <w:rPr>
          <w:rFonts w:asciiTheme="minorHAnsi" w:hAnsiTheme="minorHAnsi"/>
          <w:b/>
          <w:sz w:val="22"/>
          <w:szCs w:val="22"/>
        </w:rPr>
      </w:pPr>
      <w:r w:rsidRPr="00FB7125">
        <w:rPr>
          <w:rFonts w:asciiTheme="minorHAnsi" w:hAnsiTheme="minorHAnsi"/>
          <w:b/>
          <w:bCs/>
          <w:sz w:val="22"/>
          <w:szCs w:val="22"/>
        </w:rPr>
        <w:t>Q36: Is in your view the approach described above for the calculation of the liquidation period the appropriate one? Should a table with the exact number of days be included in the technical standards? Should other criteria for determining the liquidation period be considered?</w:t>
      </w:r>
    </w:p>
    <w:p w:rsidR="000C5B04" w:rsidRDefault="000C5B04" w:rsidP="00804BFE">
      <w:pPr>
        <w:rPr>
          <w:rFonts w:asciiTheme="minorHAnsi" w:hAnsiTheme="minorHAnsi"/>
          <w:b/>
          <w:bCs/>
          <w:sz w:val="22"/>
          <w:szCs w:val="22"/>
        </w:rPr>
      </w:pPr>
    </w:p>
    <w:p w:rsidR="003A631B" w:rsidRDefault="00FB7125">
      <w:pPr>
        <w:rPr>
          <w:rFonts w:asciiTheme="minorHAnsi" w:hAnsiTheme="minorHAnsi"/>
          <w:sz w:val="22"/>
          <w:szCs w:val="22"/>
        </w:rPr>
      </w:pPr>
      <w:r>
        <w:rPr>
          <w:rFonts w:asciiTheme="minorHAnsi" w:hAnsiTheme="minorHAnsi"/>
          <w:sz w:val="22"/>
          <w:szCs w:val="22"/>
        </w:rPr>
        <w:t>We have no comments on this issue.</w:t>
      </w:r>
    </w:p>
    <w:p w:rsidR="00FB7125" w:rsidRPr="00FB7125" w:rsidRDefault="00FB7125" w:rsidP="00804BFE">
      <w:pPr>
        <w:rPr>
          <w:rFonts w:asciiTheme="minorHAnsi" w:hAnsiTheme="minorHAnsi"/>
          <w:b/>
          <w:bCs/>
          <w:sz w:val="22"/>
          <w:szCs w:val="22"/>
        </w:rPr>
      </w:pPr>
    </w:p>
    <w:p w:rsidR="003A631B" w:rsidRDefault="00FB7125">
      <w:pPr>
        <w:rPr>
          <w:rFonts w:asciiTheme="minorHAnsi" w:hAnsiTheme="minorHAnsi"/>
          <w:b/>
          <w:bCs/>
          <w:sz w:val="22"/>
          <w:szCs w:val="22"/>
        </w:rPr>
      </w:pPr>
      <w:r w:rsidRPr="00FB7125">
        <w:rPr>
          <w:rFonts w:asciiTheme="minorHAnsi" w:hAnsiTheme="minorHAnsi"/>
          <w:b/>
          <w:bCs/>
          <w:sz w:val="22"/>
          <w:szCs w:val="22"/>
        </w:rPr>
        <w:t>Q37: Is procyclicality duly taken into account in the definition of the margin requirements?</w:t>
      </w:r>
    </w:p>
    <w:p w:rsidR="00FB7125" w:rsidRDefault="00FB7125" w:rsidP="00804BFE">
      <w:pPr>
        <w:rPr>
          <w:rFonts w:asciiTheme="minorHAnsi" w:hAnsiTheme="minorHAnsi"/>
          <w:b/>
          <w:bCs/>
          <w:sz w:val="22"/>
          <w:szCs w:val="22"/>
        </w:rPr>
      </w:pPr>
    </w:p>
    <w:p w:rsidR="003A631B" w:rsidRDefault="00FB7125">
      <w:pPr>
        <w:rPr>
          <w:rFonts w:asciiTheme="minorHAnsi" w:hAnsiTheme="minorHAnsi"/>
          <w:sz w:val="22"/>
          <w:szCs w:val="22"/>
        </w:rPr>
      </w:pPr>
      <w:r>
        <w:rPr>
          <w:rFonts w:asciiTheme="minorHAnsi" w:hAnsiTheme="minorHAnsi"/>
          <w:sz w:val="22"/>
          <w:szCs w:val="22"/>
        </w:rPr>
        <w:t>We have no comments on this issue.</w:t>
      </w:r>
    </w:p>
    <w:p w:rsidR="00755B51" w:rsidRDefault="00755B51">
      <w:pPr>
        <w:rPr>
          <w:rFonts w:asciiTheme="minorHAnsi" w:hAnsiTheme="minorHAnsi"/>
          <w:sz w:val="22"/>
          <w:szCs w:val="22"/>
        </w:rPr>
      </w:pPr>
    </w:p>
    <w:p w:rsidR="00755B51" w:rsidRDefault="00755B51" w:rsidP="00140C00">
      <w:pPr>
        <w:rPr>
          <w:rFonts w:asciiTheme="minorHAnsi" w:hAnsiTheme="minorHAnsi"/>
          <w:b/>
          <w:bCs/>
          <w:sz w:val="22"/>
          <w:szCs w:val="22"/>
          <w:u w:val="single"/>
        </w:rPr>
      </w:pPr>
    </w:p>
    <w:p w:rsidR="00FC3F7C" w:rsidRDefault="00FB7125" w:rsidP="00140C00">
      <w:pPr>
        <w:rPr>
          <w:rFonts w:asciiTheme="minorHAnsi" w:hAnsiTheme="minorHAnsi"/>
          <w:b/>
          <w:bCs/>
          <w:sz w:val="22"/>
          <w:szCs w:val="22"/>
          <w:u w:val="single"/>
        </w:rPr>
      </w:pPr>
      <w:r w:rsidRPr="00FB7125">
        <w:rPr>
          <w:rFonts w:asciiTheme="minorHAnsi" w:hAnsiTheme="minorHAnsi"/>
          <w:b/>
          <w:bCs/>
          <w:sz w:val="22"/>
          <w:szCs w:val="22"/>
          <w:u w:val="single"/>
        </w:rPr>
        <w:t>Default Fund</w:t>
      </w:r>
    </w:p>
    <w:p w:rsidR="00FB7125" w:rsidRDefault="00FB7125" w:rsidP="00804BFE">
      <w:pPr>
        <w:rPr>
          <w:rFonts w:asciiTheme="minorHAnsi" w:hAnsiTheme="minorHAnsi"/>
          <w:b/>
          <w:bCs/>
          <w:sz w:val="22"/>
          <w:szCs w:val="22"/>
        </w:rPr>
      </w:pPr>
    </w:p>
    <w:p w:rsidR="00FC3F7C" w:rsidRDefault="00FB7125" w:rsidP="00140C00">
      <w:pPr>
        <w:rPr>
          <w:rFonts w:asciiTheme="minorHAnsi" w:hAnsiTheme="minorHAnsi"/>
          <w:b/>
          <w:bCs/>
          <w:sz w:val="22"/>
          <w:szCs w:val="22"/>
        </w:rPr>
      </w:pPr>
      <w:r w:rsidRPr="00FB7125">
        <w:rPr>
          <w:rFonts w:asciiTheme="minorHAnsi" w:hAnsiTheme="minorHAnsi"/>
          <w:b/>
          <w:bCs/>
          <w:sz w:val="22"/>
          <w:szCs w:val="22"/>
        </w:rPr>
        <w:t>Q38: What is your view of the elements to be included in the framework for the definition of extreme but plausible market conditions?</w:t>
      </w:r>
    </w:p>
    <w:p w:rsidR="00FB7125" w:rsidRDefault="00FB7125" w:rsidP="00804BFE">
      <w:pPr>
        <w:rPr>
          <w:rFonts w:asciiTheme="minorHAnsi" w:hAnsiTheme="minorHAnsi"/>
          <w:b/>
          <w:bCs/>
          <w:sz w:val="22"/>
          <w:szCs w:val="22"/>
        </w:rPr>
      </w:pPr>
    </w:p>
    <w:p w:rsidR="00FC3F7C" w:rsidRDefault="00FB7125" w:rsidP="00140C00">
      <w:pPr>
        <w:rPr>
          <w:rFonts w:asciiTheme="minorHAnsi" w:hAnsiTheme="minorHAnsi"/>
          <w:bCs/>
          <w:sz w:val="22"/>
          <w:szCs w:val="22"/>
        </w:rPr>
      </w:pPr>
      <w:r w:rsidRPr="00FB7125">
        <w:rPr>
          <w:rFonts w:asciiTheme="minorHAnsi" w:hAnsiTheme="minorHAnsi"/>
          <w:bCs/>
          <w:sz w:val="22"/>
          <w:szCs w:val="22"/>
        </w:rPr>
        <w:t xml:space="preserve">We agree there is a need for robust arrangements around the establishment of a default fund at CCPs.   We agree in general with the </w:t>
      </w:r>
      <w:r w:rsidR="00696E56" w:rsidRPr="00FB7125">
        <w:rPr>
          <w:rFonts w:asciiTheme="minorHAnsi" w:hAnsiTheme="minorHAnsi"/>
          <w:bCs/>
          <w:sz w:val="22"/>
          <w:szCs w:val="22"/>
        </w:rPr>
        <w:t>plausible</w:t>
      </w:r>
      <w:r w:rsidRPr="00FB7125">
        <w:rPr>
          <w:rFonts w:asciiTheme="minorHAnsi" w:hAnsiTheme="minorHAnsi"/>
          <w:bCs/>
          <w:sz w:val="22"/>
          <w:szCs w:val="22"/>
        </w:rPr>
        <w:t xml:space="preserve"> events identified but they should not necessarily be seen as the only triggers established within the </w:t>
      </w:r>
      <w:r w:rsidR="00696E56" w:rsidRPr="00FB7125">
        <w:rPr>
          <w:rFonts w:asciiTheme="minorHAnsi" w:hAnsiTheme="minorHAnsi"/>
          <w:bCs/>
          <w:sz w:val="22"/>
          <w:szCs w:val="22"/>
        </w:rPr>
        <w:t>framework</w:t>
      </w:r>
      <w:r w:rsidRPr="00FB7125">
        <w:rPr>
          <w:rFonts w:asciiTheme="minorHAnsi" w:hAnsiTheme="minorHAnsi"/>
          <w:bCs/>
          <w:sz w:val="22"/>
          <w:szCs w:val="22"/>
        </w:rPr>
        <w:t xml:space="preserve">.   </w:t>
      </w:r>
    </w:p>
    <w:p w:rsidR="00FB7125" w:rsidRDefault="00FB7125" w:rsidP="00804BFE">
      <w:pPr>
        <w:rPr>
          <w:rFonts w:asciiTheme="minorHAnsi" w:hAnsiTheme="minorHAnsi"/>
          <w:b/>
          <w:bCs/>
          <w:sz w:val="22"/>
          <w:szCs w:val="22"/>
        </w:rPr>
      </w:pPr>
    </w:p>
    <w:p w:rsidR="00FC3F7C" w:rsidRDefault="00FB7125" w:rsidP="00140C00">
      <w:pPr>
        <w:rPr>
          <w:rFonts w:asciiTheme="minorHAnsi" w:hAnsiTheme="minorHAnsi"/>
          <w:b/>
          <w:bCs/>
          <w:sz w:val="22"/>
          <w:szCs w:val="22"/>
        </w:rPr>
      </w:pPr>
      <w:r w:rsidRPr="00FB7125">
        <w:rPr>
          <w:rFonts w:asciiTheme="minorHAnsi" w:hAnsiTheme="minorHAnsi"/>
          <w:b/>
          <w:bCs/>
          <w:sz w:val="22"/>
          <w:szCs w:val="22"/>
        </w:rPr>
        <w:t>Q39: Do you believe that the elements outlined above would rightly outline the framework for managing CCPs’ liquidity risk?</w:t>
      </w:r>
    </w:p>
    <w:p w:rsidR="00FB7125" w:rsidRDefault="00FB7125" w:rsidP="00804BFE">
      <w:pPr>
        <w:rPr>
          <w:rFonts w:asciiTheme="minorHAnsi" w:hAnsiTheme="minorHAnsi"/>
          <w:b/>
          <w:bCs/>
          <w:sz w:val="22"/>
          <w:szCs w:val="22"/>
        </w:rPr>
      </w:pPr>
    </w:p>
    <w:p w:rsidR="00FC3F7C" w:rsidRDefault="00215527" w:rsidP="00140C00">
      <w:pPr>
        <w:rPr>
          <w:rFonts w:asciiTheme="minorHAnsi" w:hAnsiTheme="minorHAnsi"/>
          <w:sz w:val="22"/>
          <w:szCs w:val="22"/>
        </w:rPr>
      </w:pPr>
      <w:r>
        <w:rPr>
          <w:rFonts w:asciiTheme="minorHAnsi" w:hAnsiTheme="minorHAnsi"/>
          <w:sz w:val="22"/>
          <w:szCs w:val="22"/>
        </w:rPr>
        <w:t xml:space="preserve">Some </w:t>
      </w:r>
      <w:r w:rsidR="00FB7125">
        <w:rPr>
          <w:rFonts w:asciiTheme="minorHAnsi" w:hAnsiTheme="minorHAnsi"/>
          <w:sz w:val="22"/>
          <w:szCs w:val="22"/>
        </w:rPr>
        <w:t xml:space="preserve">CCPs will be </w:t>
      </w:r>
      <w:r w:rsidR="00FB7125" w:rsidRPr="009E600C">
        <w:rPr>
          <w:rFonts w:asciiTheme="minorHAnsi" w:hAnsiTheme="minorHAnsi"/>
          <w:sz w:val="22"/>
          <w:szCs w:val="22"/>
        </w:rPr>
        <w:t>systemic</w:t>
      </w:r>
      <w:r w:rsidR="00FB7125">
        <w:rPr>
          <w:rFonts w:asciiTheme="minorHAnsi" w:hAnsiTheme="minorHAnsi"/>
          <w:sz w:val="22"/>
          <w:szCs w:val="22"/>
        </w:rPr>
        <w:t xml:space="preserve">ally important and as such they should be required to have </w:t>
      </w:r>
      <w:r w:rsidR="00FB7125" w:rsidRPr="009E600C">
        <w:rPr>
          <w:rFonts w:asciiTheme="minorHAnsi" w:hAnsiTheme="minorHAnsi"/>
          <w:sz w:val="22"/>
          <w:szCs w:val="22"/>
        </w:rPr>
        <w:t>access to backup liquidity commitments from</w:t>
      </w:r>
      <w:r w:rsidR="00696E56">
        <w:rPr>
          <w:rFonts w:asciiTheme="minorHAnsi" w:hAnsiTheme="minorHAnsi"/>
          <w:sz w:val="22"/>
          <w:szCs w:val="22"/>
        </w:rPr>
        <w:t xml:space="preserve"> a range</w:t>
      </w:r>
      <w:r w:rsidR="00FB7125" w:rsidRPr="009E600C">
        <w:rPr>
          <w:rFonts w:asciiTheme="minorHAnsi" w:hAnsiTheme="minorHAnsi"/>
          <w:sz w:val="22"/>
          <w:szCs w:val="22"/>
        </w:rPr>
        <w:t xml:space="preserve"> </w:t>
      </w:r>
      <w:r w:rsidR="00D3606B">
        <w:rPr>
          <w:rFonts w:asciiTheme="minorHAnsi" w:hAnsiTheme="minorHAnsi"/>
          <w:sz w:val="22"/>
          <w:szCs w:val="22"/>
        </w:rPr>
        <w:t xml:space="preserve">of </w:t>
      </w:r>
      <w:r w:rsidR="00FB7125" w:rsidRPr="009E600C">
        <w:rPr>
          <w:rFonts w:asciiTheme="minorHAnsi" w:hAnsiTheme="minorHAnsi"/>
          <w:sz w:val="22"/>
          <w:szCs w:val="22"/>
        </w:rPr>
        <w:t xml:space="preserve">banks and other financial institutions </w:t>
      </w:r>
      <w:r w:rsidR="00696E56">
        <w:rPr>
          <w:rFonts w:asciiTheme="minorHAnsi" w:hAnsiTheme="minorHAnsi"/>
          <w:sz w:val="22"/>
          <w:szCs w:val="22"/>
        </w:rPr>
        <w:t xml:space="preserve">that </w:t>
      </w:r>
      <w:r w:rsidR="00D3606B">
        <w:rPr>
          <w:rFonts w:asciiTheme="minorHAnsi" w:hAnsiTheme="minorHAnsi"/>
          <w:sz w:val="22"/>
          <w:szCs w:val="22"/>
        </w:rPr>
        <w:t>are</w:t>
      </w:r>
      <w:r w:rsidR="00696E56">
        <w:rPr>
          <w:rFonts w:asciiTheme="minorHAnsi" w:hAnsiTheme="minorHAnsi"/>
          <w:sz w:val="22"/>
          <w:szCs w:val="22"/>
        </w:rPr>
        <w:t xml:space="preserve"> separate to liquidity provided by its clearing members.   The providers of back up liquidity to CCPs could also include central banks for emergency funding (as proposed in the IMF report on Global Financial Stability - April 2010)</w:t>
      </w:r>
      <w:r w:rsidR="00FB7125" w:rsidRPr="009E600C">
        <w:rPr>
          <w:rFonts w:asciiTheme="minorHAnsi" w:hAnsiTheme="minorHAnsi"/>
          <w:sz w:val="22"/>
          <w:szCs w:val="22"/>
        </w:rPr>
        <w:t>.</w:t>
      </w:r>
      <w:r w:rsidR="00696E56">
        <w:rPr>
          <w:rFonts w:asciiTheme="minorHAnsi" w:hAnsiTheme="minorHAnsi"/>
          <w:sz w:val="22"/>
          <w:szCs w:val="22"/>
        </w:rPr>
        <w:t xml:space="preserve">  </w:t>
      </w:r>
    </w:p>
    <w:p w:rsidR="00696E56" w:rsidRDefault="00696E56" w:rsidP="00FB7125">
      <w:pPr>
        <w:rPr>
          <w:rFonts w:asciiTheme="minorHAnsi" w:hAnsiTheme="minorHAnsi"/>
          <w:sz w:val="22"/>
          <w:szCs w:val="22"/>
        </w:rPr>
      </w:pPr>
    </w:p>
    <w:p w:rsidR="00FC3F7C" w:rsidRDefault="00696E56" w:rsidP="00140C00">
      <w:pPr>
        <w:rPr>
          <w:rFonts w:asciiTheme="minorHAnsi" w:hAnsiTheme="minorHAnsi"/>
          <w:b/>
          <w:bCs/>
          <w:sz w:val="22"/>
          <w:szCs w:val="22"/>
        </w:rPr>
      </w:pPr>
      <w:r w:rsidRPr="00696E56">
        <w:rPr>
          <w:rFonts w:asciiTheme="minorHAnsi" w:hAnsiTheme="minorHAnsi"/>
          <w:b/>
          <w:bCs/>
          <w:sz w:val="22"/>
          <w:szCs w:val="22"/>
        </w:rPr>
        <w:t>Q40: Do you consider that the liquid financial resources have been rightly identified? Should ESMA consider other type of assets, such as time deposits or money market funds? If so, please provide evidences of their liquidity and minimum market and credit risk.</w:t>
      </w:r>
    </w:p>
    <w:p w:rsidR="003A631B" w:rsidRDefault="003A631B">
      <w:pPr>
        <w:ind w:left="360"/>
        <w:rPr>
          <w:rFonts w:asciiTheme="minorHAnsi" w:hAnsiTheme="minorHAnsi"/>
          <w:b/>
          <w:bCs/>
          <w:sz w:val="22"/>
          <w:szCs w:val="22"/>
        </w:rPr>
      </w:pPr>
    </w:p>
    <w:p w:rsidR="003A631B" w:rsidRDefault="00215527">
      <w:pPr>
        <w:rPr>
          <w:rFonts w:asciiTheme="minorHAnsi" w:hAnsiTheme="minorHAnsi"/>
          <w:sz w:val="22"/>
          <w:szCs w:val="22"/>
        </w:rPr>
      </w:pPr>
      <w:r>
        <w:rPr>
          <w:rFonts w:asciiTheme="minorHAnsi" w:hAnsiTheme="minorHAnsi"/>
          <w:sz w:val="22"/>
          <w:szCs w:val="22"/>
        </w:rPr>
        <w:t>We have no comments on this issue.</w:t>
      </w:r>
    </w:p>
    <w:p w:rsidR="003A631B" w:rsidRDefault="003A631B">
      <w:pPr>
        <w:ind w:left="360"/>
        <w:rPr>
          <w:rFonts w:asciiTheme="minorHAnsi" w:hAnsiTheme="minorHAnsi"/>
          <w:b/>
          <w:bCs/>
          <w:sz w:val="22"/>
          <w:szCs w:val="22"/>
        </w:rPr>
      </w:pPr>
    </w:p>
    <w:p w:rsidR="00FC3F7C" w:rsidRDefault="00696E56" w:rsidP="00140C00">
      <w:pPr>
        <w:rPr>
          <w:rFonts w:asciiTheme="minorHAnsi" w:hAnsiTheme="minorHAnsi"/>
          <w:b/>
          <w:bCs/>
          <w:sz w:val="22"/>
          <w:szCs w:val="22"/>
        </w:rPr>
      </w:pPr>
      <w:r w:rsidRPr="00696E56">
        <w:rPr>
          <w:rFonts w:asciiTheme="minorHAnsi" w:hAnsiTheme="minorHAnsi"/>
          <w:b/>
          <w:bCs/>
          <w:sz w:val="22"/>
          <w:szCs w:val="22"/>
        </w:rPr>
        <w:t>Q41: Should the CCP maintain a minimum amount of liquid assets in cash? If so, how this minimum should be calculated?</w:t>
      </w:r>
    </w:p>
    <w:p w:rsidR="006821CF" w:rsidRDefault="006821CF" w:rsidP="006821CF">
      <w:pPr>
        <w:ind w:firstLine="360"/>
        <w:rPr>
          <w:rFonts w:asciiTheme="minorHAnsi" w:hAnsiTheme="minorHAnsi"/>
          <w:sz w:val="22"/>
          <w:szCs w:val="22"/>
        </w:rPr>
      </w:pPr>
    </w:p>
    <w:p w:rsidR="003A631B" w:rsidRDefault="00215527">
      <w:pPr>
        <w:rPr>
          <w:rFonts w:asciiTheme="minorHAnsi" w:hAnsiTheme="minorHAnsi"/>
          <w:sz w:val="22"/>
          <w:szCs w:val="22"/>
        </w:rPr>
      </w:pPr>
      <w:r>
        <w:rPr>
          <w:rFonts w:asciiTheme="minorHAnsi" w:hAnsiTheme="minorHAnsi"/>
          <w:sz w:val="22"/>
          <w:szCs w:val="22"/>
        </w:rPr>
        <w:t>It is important that the CCP has access to sufficiently liquid financial resources to enable it to fulfill its obligations as central counterparty during a one-day settlement cycle.  The liquidity of financial resources is important because if a CCP does not have adequate resource to manage the default of a large clearing member this will be</w:t>
      </w:r>
      <w:r w:rsidR="005657B6">
        <w:rPr>
          <w:rFonts w:asciiTheme="minorHAnsi" w:hAnsiTheme="minorHAnsi"/>
          <w:sz w:val="22"/>
          <w:szCs w:val="22"/>
        </w:rPr>
        <w:t xml:space="preserve"> a</w:t>
      </w:r>
      <w:r>
        <w:rPr>
          <w:rFonts w:asciiTheme="minorHAnsi" w:hAnsiTheme="minorHAnsi"/>
          <w:sz w:val="22"/>
          <w:szCs w:val="22"/>
        </w:rPr>
        <w:t xml:space="preserve"> further liquidity drain </w:t>
      </w:r>
      <w:r w:rsidR="005657B6">
        <w:rPr>
          <w:rFonts w:asciiTheme="minorHAnsi" w:hAnsiTheme="minorHAnsi"/>
          <w:sz w:val="22"/>
          <w:szCs w:val="22"/>
        </w:rPr>
        <w:t xml:space="preserve">and </w:t>
      </w:r>
      <w:r>
        <w:rPr>
          <w:rFonts w:asciiTheme="minorHAnsi" w:hAnsiTheme="minorHAnsi"/>
          <w:sz w:val="22"/>
          <w:szCs w:val="22"/>
        </w:rPr>
        <w:t xml:space="preserve">may exacerbate the initial default by causing consequential cascading defaults. </w:t>
      </w:r>
    </w:p>
    <w:p w:rsidR="00696E56" w:rsidRPr="00696E56" w:rsidRDefault="00696E56" w:rsidP="00804BFE">
      <w:pPr>
        <w:rPr>
          <w:rFonts w:asciiTheme="minorHAnsi" w:hAnsiTheme="minorHAnsi"/>
          <w:b/>
          <w:bCs/>
          <w:sz w:val="22"/>
          <w:szCs w:val="22"/>
        </w:rPr>
      </w:pPr>
    </w:p>
    <w:p w:rsidR="0065424A" w:rsidRDefault="0065424A" w:rsidP="00140C00">
      <w:pPr>
        <w:rPr>
          <w:rFonts w:asciiTheme="minorHAnsi" w:hAnsiTheme="minorHAnsi"/>
          <w:b/>
          <w:bCs/>
          <w:sz w:val="22"/>
          <w:szCs w:val="22"/>
          <w:u w:val="single"/>
        </w:rPr>
      </w:pPr>
    </w:p>
    <w:p w:rsidR="00FC3F7C" w:rsidRDefault="00696E56" w:rsidP="00140C00">
      <w:pPr>
        <w:rPr>
          <w:rFonts w:asciiTheme="minorHAnsi" w:hAnsiTheme="minorHAnsi"/>
          <w:sz w:val="22"/>
          <w:szCs w:val="22"/>
          <w:u w:val="single"/>
        </w:rPr>
      </w:pPr>
      <w:r w:rsidRPr="003F347A">
        <w:rPr>
          <w:rFonts w:asciiTheme="minorHAnsi" w:hAnsiTheme="minorHAnsi"/>
          <w:b/>
          <w:bCs/>
          <w:sz w:val="22"/>
          <w:szCs w:val="22"/>
          <w:u w:val="single"/>
        </w:rPr>
        <w:t>Default waterfall (Article 42)</w:t>
      </w:r>
    </w:p>
    <w:p w:rsidR="00696E56" w:rsidRDefault="00696E56" w:rsidP="00804BFE">
      <w:pPr>
        <w:rPr>
          <w:rFonts w:asciiTheme="minorHAnsi" w:hAnsiTheme="minorHAnsi"/>
          <w:sz w:val="22"/>
          <w:szCs w:val="22"/>
        </w:rPr>
      </w:pPr>
    </w:p>
    <w:p w:rsidR="00FC3F7C" w:rsidRDefault="00696E56" w:rsidP="00140C00">
      <w:pPr>
        <w:pStyle w:val="Default"/>
        <w:rPr>
          <w:rFonts w:asciiTheme="minorHAnsi" w:hAnsiTheme="minorHAnsi"/>
          <w:sz w:val="22"/>
          <w:szCs w:val="22"/>
        </w:rPr>
      </w:pPr>
      <w:r w:rsidRPr="00696E56">
        <w:rPr>
          <w:rFonts w:asciiTheme="minorHAnsi" w:hAnsiTheme="minorHAnsi"/>
          <w:b/>
          <w:bCs/>
          <w:sz w:val="22"/>
          <w:szCs w:val="22"/>
        </w:rPr>
        <w:t xml:space="preserve">Q42: What is your preferred option for the determination of the quantum of dedicated own resources of CCPs in the default waterfall? What is the appropriate percentage for the chosen option? Should in option a, the margins or the default fund have a different weight, if so how? Should different criteria or a combination of the above criteria be considered? </w:t>
      </w:r>
    </w:p>
    <w:p w:rsidR="00696E56" w:rsidRPr="00696E56" w:rsidRDefault="00696E56" w:rsidP="00696E56">
      <w:pPr>
        <w:rPr>
          <w:rFonts w:asciiTheme="minorHAnsi" w:hAnsiTheme="minorHAnsi"/>
          <w:b/>
          <w:bCs/>
          <w:sz w:val="22"/>
          <w:szCs w:val="22"/>
        </w:rPr>
      </w:pPr>
    </w:p>
    <w:p w:rsidR="00FC3F7C" w:rsidRDefault="00696E56" w:rsidP="00140C00">
      <w:pPr>
        <w:rPr>
          <w:rFonts w:asciiTheme="minorHAnsi" w:hAnsiTheme="minorHAnsi"/>
          <w:sz w:val="22"/>
          <w:szCs w:val="22"/>
        </w:rPr>
      </w:pPr>
      <w:r w:rsidRPr="00696E56">
        <w:rPr>
          <w:rFonts w:asciiTheme="minorHAnsi" w:hAnsiTheme="minorHAnsi"/>
          <w:b/>
          <w:bCs/>
          <w:sz w:val="22"/>
          <w:szCs w:val="22"/>
        </w:rPr>
        <w:t>Q43: What should be the appropriate frequency of calculation and adaptation of the skin in the game?</w:t>
      </w:r>
    </w:p>
    <w:p w:rsidR="00804BFE" w:rsidRPr="00696E56" w:rsidRDefault="00804BFE" w:rsidP="00804BFE">
      <w:pPr>
        <w:rPr>
          <w:rFonts w:asciiTheme="minorHAnsi" w:hAnsiTheme="minorHAnsi"/>
          <w:sz w:val="22"/>
          <w:szCs w:val="22"/>
        </w:rPr>
      </w:pPr>
    </w:p>
    <w:p w:rsidR="00FC3F7C" w:rsidRDefault="00804BFE" w:rsidP="00140C00">
      <w:pPr>
        <w:rPr>
          <w:rFonts w:asciiTheme="minorHAnsi" w:hAnsiTheme="minorHAnsi"/>
          <w:sz w:val="22"/>
          <w:szCs w:val="22"/>
        </w:rPr>
      </w:pPr>
      <w:r w:rsidRPr="009E600C">
        <w:rPr>
          <w:rFonts w:asciiTheme="minorHAnsi" w:hAnsiTheme="minorHAnsi"/>
          <w:sz w:val="22"/>
          <w:szCs w:val="22"/>
        </w:rPr>
        <w:t xml:space="preserve">Option b </w:t>
      </w:r>
      <w:r w:rsidR="003F347A">
        <w:rPr>
          <w:rFonts w:asciiTheme="minorHAnsi" w:hAnsiTheme="minorHAnsi"/>
          <w:sz w:val="22"/>
          <w:szCs w:val="22"/>
        </w:rPr>
        <w:t xml:space="preserve">is more appropriate as it better addresses </w:t>
      </w:r>
      <w:r w:rsidRPr="009E600C">
        <w:rPr>
          <w:rFonts w:asciiTheme="minorHAnsi" w:hAnsiTheme="minorHAnsi"/>
          <w:sz w:val="22"/>
          <w:szCs w:val="22"/>
        </w:rPr>
        <w:t xml:space="preserve">credit risk. </w:t>
      </w:r>
      <w:r w:rsidR="003F347A">
        <w:rPr>
          <w:rFonts w:asciiTheme="minorHAnsi" w:hAnsiTheme="minorHAnsi"/>
          <w:sz w:val="22"/>
          <w:szCs w:val="22"/>
        </w:rPr>
        <w:t xml:space="preserve"> </w:t>
      </w:r>
      <w:r w:rsidRPr="009E600C">
        <w:rPr>
          <w:rFonts w:asciiTheme="minorHAnsi" w:hAnsiTheme="minorHAnsi"/>
          <w:sz w:val="22"/>
          <w:szCs w:val="22"/>
        </w:rPr>
        <w:t>However,</w:t>
      </w:r>
      <w:r w:rsidR="003F347A">
        <w:rPr>
          <w:rFonts w:asciiTheme="minorHAnsi" w:hAnsiTheme="minorHAnsi"/>
          <w:sz w:val="22"/>
          <w:szCs w:val="22"/>
        </w:rPr>
        <w:t xml:space="preserve"> CCPs should look at revising </w:t>
      </w:r>
      <w:r w:rsidR="003F347A" w:rsidRPr="009E600C">
        <w:rPr>
          <w:rFonts w:asciiTheme="minorHAnsi" w:hAnsiTheme="minorHAnsi"/>
          <w:sz w:val="22"/>
          <w:szCs w:val="22"/>
        </w:rPr>
        <w:t>the</w:t>
      </w:r>
      <w:r w:rsidR="003F347A">
        <w:rPr>
          <w:rFonts w:asciiTheme="minorHAnsi" w:hAnsiTheme="minorHAnsi"/>
          <w:sz w:val="22"/>
          <w:szCs w:val="22"/>
        </w:rPr>
        <w:t xml:space="preserve">ir </w:t>
      </w:r>
      <w:r w:rsidR="003F347A" w:rsidRPr="009E600C">
        <w:rPr>
          <w:rFonts w:asciiTheme="minorHAnsi" w:hAnsiTheme="minorHAnsi"/>
          <w:sz w:val="22"/>
          <w:szCs w:val="22"/>
        </w:rPr>
        <w:t>admission</w:t>
      </w:r>
      <w:r w:rsidRPr="009E600C">
        <w:rPr>
          <w:rFonts w:asciiTheme="minorHAnsi" w:hAnsiTheme="minorHAnsi"/>
          <w:sz w:val="22"/>
          <w:szCs w:val="22"/>
        </w:rPr>
        <w:t xml:space="preserve"> criteria and how they deal with low credit participants who might destabilise </w:t>
      </w:r>
      <w:r w:rsidR="003F347A">
        <w:rPr>
          <w:rFonts w:asciiTheme="minorHAnsi" w:hAnsiTheme="minorHAnsi"/>
          <w:sz w:val="22"/>
          <w:szCs w:val="22"/>
        </w:rPr>
        <w:t xml:space="preserve">CCP </w:t>
      </w:r>
      <w:r w:rsidRPr="009E600C">
        <w:rPr>
          <w:rFonts w:asciiTheme="minorHAnsi" w:hAnsiTheme="minorHAnsi"/>
          <w:sz w:val="22"/>
          <w:szCs w:val="22"/>
        </w:rPr>
        <w:t xml:space="preserve">if they fail. </w:t>
      </w:r>
      <w:r w:rsidR="003F347A">
        <w:rPr>
          <w:rFonts w:asciiTheme="minorHAnsi" w:hAnsiTheme="minorHAnsi"/>
          <w:sz w:val="22"/>
          <w:szCs w:val="22"/>
        </w:rPr>
        <w:t xml:space="preserve"> </w:t>
      </w:r>
    </w:p>
    <w:p w:rsidR="00804BFE" w:rsidRPr="009E600C" w:rsidRDefault="00804BFE" w:rsidP="00804BFE">
      <w:pPr>
        <w:rPr>
          <w:rFonts w:asciiTheme="minorHAnsi" w:hAnsiTheme="minorHAnsi"/>
          <w:sz w:val="22"/>
          <w:szCs w:val="22"/>
        </w:rPr>
      </w:pPr>
    </w:p>
    <w:p w:rsidR="003F347A" w:rsidRDefault="003F347A" w:rsidP="00804BFE">
      <w:pPr>
        <w:rPr>
          <w:b/>
          <w:bCs/>
          <w:sz w:val="20"/>
          <w:szCs w:val="20"/>
          <w:u w:val="single"/>
        </w:rPr>
      </w:pPr>
    </w:p>
    <w:p w:rsidR="00FC3F7C" w:rsidRDefault="003F347A" w:rsidP="00140C00">
      <w:pPr>
        <w:rPr>
          <w:rFonts w:asciiTheme="minorHAnsi" w:hAnsiTheme="minorHAnsi"/>
          <w:b/>
          <w:bCs/>
          <w:sz w:val="22"/>
          <w:szCs w:val="22"/>
          <w:u w:val="single"/>
        </w:rPr>
      </w:pPr>
      <w:r w:rsidRPr="003F347A">
        <w:rPr>
          <w:rFonts w:asciiTheme="minorHAnsi" w:hAnsiTheme="minorHAnsi"/>
          <w:b/>
          <w:bCs/>
          <w:sz w:val="22"/>
          <w:szCs w:val="22"/>
          <w:u w:val="single"/>
        </w:rPr>
        <w:t xml:space="preserve">Collateral </w:t>
      </w:r>
      <w:r>
        <w:rPr>
          <w:rFonts w:asciiTheme="minorHAnsi" w:hAnsiTheme="minorHAnsi"/>
          <w:b/>
          <w:bCs/>
          <w:sz w:val="22"/>
          <w:szCs w:val="22"/>
          <w:u w:val="single"/>
        </w:rPr>
        <w:t>r</w:t>
      </w:r>
      <w:r w:rsidRPr="003F347A">
        <w:rPr>
          <w:rFonts w:asciiTheme="minorHAnsi" w:hAnsiTheme="minorHAnsi"/>
          <w:b/>
          <w:bCs/>
          <w:sz w:val="22"/>
          <w:szCs w:val="22"/>
          <w:u w:val="single"/>
        </w:rPr>
        <w:t>equiremen</w:t>
      </w:r>
      <w:r w:rsidR="00444CF5">
        <w:rPr>
          <w:rFonts w:asciiTheme="minorHAnsi" w:hAnsiTheme="minorHAnsi"/>
          <w:b/>
          <w:bCs/>
          <w:sz w:val="22"/>
          <w:szCs w:val="22"/>
          <w:u w:val="single"/>
        </w:rPr>
        <w:t>t</w:t>
      </w:r>
      <w:r w:rsidRPr="003F347A">
        <w:rPr>
          <w:rFonts w:asciiTheme="minorHAnsi" w:hAnsiTheme="minorHAnsi"/>
          <w:b/>
          <w:bCs/>
          <w:sz w:val="22"/>
          <w:szCs w:val="22"/>
          <w:u w:val="single"/>
        </w:rPr>
        <w:t>s (Article 43)</w:t>
      </w:r>
    </w:p>
    <w:p w:rsidR="003F347A" w:rsidRPr="003F347A" w:rsidRDefault="003F347A" w:rsidP="00804BFE">
      <w:pPr>
        <w:rPr>
          <w:rFonts w:asciiTheme="minorHAnsi" w:hAnsiTheme="minorHAnsi"/>
          <w:b/>
          <w:bCs/>
          <w:sz w:val="22"/>
          <w:szCs w:val="22"/>
        </w:rPr>
      </w:pPr>
    </w:p>
    <w:p w:rsidR="00FC3F7C" w:rsidRDefault="003F347A" w:rsidP="00140C00">
      <w:pPr>
        <w:rPr>
          <w:rFonts w:asciiTheme="minorHAnsi" w:hAnsiTheme="minorHAnsi"/>
          <w:b/>
          <w:bCs/>
          <w:sz w:val="22"/>
          <w:szCs w:val="22"/>
        </w:rPr>
      </w:pPr>
      <w:r>
        <w:rPr>
          <w:rFonts w:asciiTheme="minorHAnsi" w:hAnsiTheme="minorHAnsi"/>
          <w:b/>
          <w:bCs/>
          <w:sz w:val="22"/>
          <w:szCs w:val="22"/>
        </w:rPr>
        <w:t xml:space="preserve">Q44: </w:t>
      </w:r>
      <w:r w:rsidRPr="003F347A">
        <w:rPr>
          <w:rFonts w:asciiTheme="minorHAnsi" w:hAnsiTheme="minorHAnsi"/>
          <w:b/>
          <w:bCs/>
          <w:sz w:val="22"/>
          <w:szCs w:val="22"/>
        </w:rPr>
        <w:t xml:space="preserve">Do you consider that financial instruments which are highly liquid have been rightly identified? Should ESMA consider other elements in defining highly liquid collateral in respect of cash of financial instruments? Do </w:t>
      </w:r>
      <w:r w:rsidRPr="003F347A">
        <w:rPr>
          <w:rFonts w:asciiTheme="minorHAnsi" w:hAnsiTheme="minorHAnsi"/>
          <w:b/>
          <w:bCs/>
          <w:sz w:val="22"/>
          <w:szCs w:val="22"/>
        </w:rPr>
        <w:lastRenderedPageBreak/>
        <w:t>you consider that the bank guarantees or gold which is highly liquid has been rightly identified? Should ESMA consider other elements in defining highly liquid collateral in respect of bank guarantees or gold?</w:t>
      </w:r>
    </w:p>
    <w:p w:rsidR="003F347A" w:rsidRDefault="003F347A" w:rsidP="003F347A">
      <w:pPr>
        <w:ind w:firstLine="360"/>
        <w:rPr>
          <w:rFonts w:asciiTheme="minorHAnsi" w:hAnsiTheme="minorHAnsi"/>
          <w:sz w:val="22"/>
          <w:szCs w:val="22"/>
        </w:rPr>
      </w:pPr>
    </w:p>
    <w:p w:rsidR="003A631B" w:rsidRDefault="003F347A">
      <w:pPr>
        <w:rPr>
          <w:rFonts w:asciiTheme="minorHAnsi" w:hAnsiTheme="minorHAnsi"/>
          <w:sz w:val="22"/>
          <w:szCs w:val="22"/>
        </w:rPr>
      </w:pPr>
      <w:r>
        <w:rPr>
          <w:rFonts w:asciiTheme="minorHAnsi" w:hAnsiTheme="minorHAnsi"/>
          <w:sz w:val="22"/>
          <w:szCs w:val="22"/>
        </w:rPr>
        <w:t>We have no comments on this issue.</w:t>
      </w:r>
    </w:p>
    <w:p w:rsidR="003F347A" w:rsidRPr="00444CF5" w:rsidRDefault="003F347A" w:rsidP="00804BFE">
      <w:pPr>
        <w:rPr>
          <w:rFonts w:asciiTheme="minorHAnsi" w:hAnsiTheme="minorHAnsi"/>
          <w:b/>
          <w:bCs/>
          <w:sz w:val="22"/>
          <w:szCs w:val="22"/>
        </w:rPr>
      </w:pPr>
    </w:p>
    <w:p w:rsidR="00FC3F7C" w:rsidRDefault="00444CF5" w:rsidP="00140C00">
      <w:pPr>
        <w:rPr>
          <w:rFonts w:asciiTheme="minorHAnsi" w:hAnsiTheme="minorHAnsi"/>
          <w:b/>
          <w:bCs/>
          <w:sz w:val="22"/>
          <w:szCs w:val="22"/>
        </w:rPr>
      </w:pPr>
      <w:r w:rsidRPr="00444CF5">
        <w:rPr>
          <w:rFonts w:asciiTheme="minorHAnsi" w:hAnsiTheme="minorHAnsi"/>
          <w:b/>
          <w:bCs/>
          <w:sz w:val="22"/>
          <w:szCs w:val="22"/>
        </w:rPr>
        <w:t>Q45: In respect of the proposed criteria regarding a CCP not accepting as collateral financial instruments issued by the clearing member seeking to lodge those financial instruments, is it appropriate to accept covered bonds as collateral issued by the clearing member?</w:t>
      </w:r>
    </w:p>
    <w:p w:rsidR="003F347A" w:rsidRPr="00444CF5" w:rsidRDefault="003F347A" w:rsidP="00804BFE">
      <w:pPr>
        <w:rPr>
          <w:rFonts w:asciiTheme="minorHAnsi" w:hAnsiTheme="minorHAnsi"/>
          <w:b/>
          <w:bCs/>
          <w:sz w:val="22"/>
          <w:szCs w:val="22"/>
        </w:rPr>
      </w:pPr>
    </w:p>
    <w:p w:rsidR="003A631B" w:rsidRDefault="00444CF5">
      <w:pPr>
        <w:rPr>
          <w:rFonts w:asciiTheme="minorHAnsi" w:hAnsiTheme="minorHAnsi"/>
          <w:sz w:val="22"/>
          <w:szCs w:val="22"/>
        </w:rPr>
      </w:pPr>
      <w:r w:rsidRPr="00444CF5">
        <w:rPr>
          <w:rFonts w:asciiTheme="minorHAnsi" w:hAnsiTheme="minorHAnsi"/>
          <w:sz w:val="22"/>
          <w:szCs w:val="22"/>
        </w:rPr>
        <w:t>We have no comments on this issue.</w:t>
      </w:r>
    </w:p>
    <w:p w:rsidR="00444CF5" w:rsidRPr="00444CF5" w:rsidRDefault="00444CF5" w:rsidP="00804BFE">
      <w:pPr>
        <w:rPr>
          <w:rFonts w:asciiTheme="minorHAnsi" w:hAnsiTheme="minorHAnsi"/>
          <w:b/>
          <w:bCs/>
          <w:sz w:val="22"/>
          <w:szCs w:val="22"/>
        </w:rPr>
      </w:pPr>
    </w:p>
    <w:p w:rsidR="00FC3F7C" w:rsidRDefault="00444CF5" w:rsidP="00140C00">
      <w:pPr>
        <w:rPr>
          <w:rFonts w:asciiTheme="minorHAnsi" w:hAnsiTheme="minorHAnsi"/>
          <w:b/>
          <w:bCs/>
          <w:sz w:val="22"/>
          <w:szCs w:val="22"/>
        </w:rPr>
      </w:pPr>
      <w:r w:rsidRPr="00444CF5">
        <w:rPr>
          <w:rFonts w:asciiTheme="minorHAnsi" w:hAnsiTheme="minorHAnsi"/>
          <w:b/>
          <w:bCs/>
          <w:sz w:val="22"/>
          <w:szCs w:val="22"/>
        </w:rPr>
        <w:t>Q46: Do you consider that the proposed criteria regarding the currency of cash, financial instruments or bank guarantees accepted by a CCP have been rightly identified in the context of defining highly liquid collateral? Should ESMA consider other elements in defining the currency of cash, financial instruments or bank guarantees accepted by a CCP as collateral? Please justify your answer.</w:t>
      </w:r>
    </w:p>
    <w:p w:rsidR="00444CF5" w:rsidRPr="00444CF5" w:rsidRDefault="00444CF5" w:rsidP="00804BFE">
      <w:pPr>
        <w:rPr>
          <w:rFonts w:asciiTheme="minorHAnsi" w:hAnsiTheme="minorHAnsi"/>
          <w:b/>
          <w:bCs/>
          <w:sz w:val="22"/>
          <w:szCs w:val="22"/>
        </w:rPr>
      </w:pPr>
    </w:p>
    <w:p w:rsidR="00D924D2" w:rsidRPr="008A7E93" w:rsidRDefault="008A4CB5" w:rsidP="00D924D2">
      <w:pPr>
        <w:jc w:val="both"/>
        <w:rPr>
          <w:rFonts w:ascii="Calibri" w:hAnsi="Calibri" w:cs="Calibri"/>
          <w:color w:val="000000"/>
          <w:sz w:val="22"/>
          <w:szCs w:val="22"/>
        </w:rPr>
      </w:pPr>
      <w:r w:rsidRPr="008A7E93">
        <w:rPr>
          <w:rFonts w:ascii="Calibri" w:hAnsi="Calibri" w:cs="Calibri"/>
          <w:color w:val="000000"/>
          <w:sz w:val="22"/>
          <w:szCs w:val="22"/>
        </w:rPr>
        <w:t>We do not agree that cash, financial instruments or bank guarantees are only highly liquid where they are denominated in the currency of the jurisdictio</w:t>
      </w:r>
      <w:r w:rsidR="008A7E93" w:rsidRPr="008A7E93">
        <w:rPr>
          <w:rFonts w:ascii="Calibri" w:hAnsi="Calibri" w:cs="Calibri"/>
          <w:color w:val="000000"/>
          <w:sz w:val="22"/>
          <w:szCs w:val="22"/>
        </w:rPr>
        <w:t xml:space="preserve">n where the CCP is established.  </w:t>
      </w:r>
      <w:r w:rsidRPr="008A7E93">
        <w:rPr>
          <w:rFonts w:ascii="Calibri" w:hAnsi="Calibri" w:cs="Calibri"/>
          <w:color w:val="000000"/>
          <w:sz w:val="22"/>
          <w:szCs w:val="22"/>
        </w:rPr>
        <w:t xml:space="preserve">Market parties should be able to post collateral in any of the strong currencies (e.g. Dollar, </w:t>
      </w:r>
      <w:r w:rsidR="008A7E93" w:rsidRPr="008A7E93">
        <w:rPr>
          <w:rFonts w:ascii="Calibri" w:hAnsi="Calibri" w:cs="Calibri"/>
          <w:color w:val="000000"/>
          <w:sz w:val="22"/>
          <w:szCs w:val="22"/>
        </w:rPr>
        <w:t xml:space="preserve">Euro, Sterling) or </w:t>
      </w:r>
      <w:r w:rsidRPr="008A7E93">
        <w:rPr>
          <w:rFonts w:ascii="Calibri" w:hAnsi="Calibri" w:cs="Calibri"/>
          <w:color w:val="000000"/>
          <w:sz w:val="22"/>
          <w:szCs w:val="22"/>
        </w:rPr>
        <w:t>in the currency of the</w:t>
      </w:r>
      <w:r w:rsidR="008A7E93" w:rsidRPr="008A7E93">
        <w:rPr>
          <w:rFonts w:ascii="Calibri" w:hAnsi="Calibri" w:cs="Calibri"/>
          <w:color w:val="000000"/>
          <w:sz w:val="22"/>
          <w:szCs w:val="22"/>
        </w:rPr>
        <w:t xml:space="preserve"> product that is being cleared.  Placing restrictions on clearing members on the denomination of collateral will unnecessarily expose them to foreign exchange risk which will need to be mitigated at a cost.  </w:t>
      </w:r>
    </w:p>
    <w:p w:rsidR="00444CF5" w:rsidRPr="00444CF5" w:rsidRDefault="00444CF5" w:rsidP="00804BFE">
      <w:pPr>
        <w:rPr>
          <w:rFonts w:asciiTheme="minorHAnsi" w:hAnsiTheme="minorHAnsi"/>
          <w:b/>
          <w:bCs/>
          <w:sz w:val="22"/>
          <w:szCs w:val="22"/>
        </w:rPr>
      </w:pPr>
    </w:p>
    <w:p w:rsidR="00FC3F7C" w:rsidRDefault="00444CF5" w:rsidP="00D17540">
      <w:pPr>
        <w:rPr>
          <w:rFonts w:asciiTheme="minorHAnsi" w:hAnsiTheme="minorHAnsi"/>
          <w:b/>
          <w:bCs/>
          <w:sz w:val="22"/>
          <w:szCs w:val="22"/>
        </w:rPr>
      </w:pPr>
      <w:r w:rsidRPr="00444CF5">
        <w:rPr>
          <w:rFonts w:asciiTheme="minorHAnsi" w:hAnsiTheme="minorHAnsi"/>
          <w:b/>
          <w:bCs/>
          <w:sz w:val="22"/>
          <w:szCs w:val="22"/>
        </w:rPr>
        <w:t>Q47: Do you consider that the elements outlined above would rightly outline the framework for determining haircuts? Should ESMA consider other elements?</w:t>
      </w:r>
    </w:p>
    <w:p w:rsidR="00444CF5" w:rsidRPr="00444CF5" w:rsidRDefault="00444CF5" w:rsidP="00804BFE">
      <w:pPr>
        <w:rPr>
          <w:rFonts w:asciiTheme="minorHAnsi" w:hAnsiTheme="minorHAnsi"/>
          <w:b/>
          <w:bCs/>
          <w:sz w:val="22"/>
          <w:szCs w:val="22"/>
        </w:rPr>
      </w:pPr>
    </w:p>
    <w:p w:rsidR="003A631B" w:rsidRDefault="00444CF5">
      <w:pPr>
        <w:rPr>
          <w:rFonts w:asciiTheme="minorHAnsi" w:hAnsiTheme="minorHAnsi"/>
          <w:sz w:val="22"/>
          <w:szCs w:val="22"/>
        </w:rPr>
      </w:pPr>
      <w:r w:rsidRPr="00444CF5">
        <w:rPr>
          <w:rFonts w:asciiTheme="minorHAnsi" w:hAnsiTheme="minorHAnsi"/>
          <w:sz w:val="22"/>
          <w:szCs w:val="22"/>
        </w:rPr>
        <w:t>We have no comments on this issue.</w:t>
      </w:r>
    </w:p>
    <w:p w:rsidR="00444CF5" w:rsidRPr="00444CF5" w:rsidRDefault="00444CF5" w:rsidP="00804BFE">
      <w:pPr>
        <w:rPr>
          <w:rFonts w:asciiTheme="minorHAnsi" w:hAnsiTheme="minorHAnsi"/>
          <w:b/>
          <w:bCs/>
          <w:sz w:val="22"/>
          <w:szCs w:val="22"/>
        </w:rPr>
      </w:pPr>
    </w:p>
    <w:p w:rsidR="00FC3F7C" w:rsidRDefault="00444CF5" w:rsidP="00D17540">
      <w:pPr>
        <w:rPr>
          <w:rFonts w:asciiTheme="minorHAnsi" w:hAnsiTheme="minorHAnsi"/>
          <w:b/>
          <w:bCs/>
          <w:sz w:val="22"/>
          <w:szCs w:val="22"/>
        </w:rPr>
      </w:pPr>
      <w:r w:rsidRPr="00444CF5">
        <w:rPr>
          <w:rFonts w:asciiTheme="minorHAnsi" w:hAnsiTheme="minorHAnsi"/>
          <w:b/>
          <w:bCs/>
          <w:sz w:val="22"/>
          <w:szCs w:val="22"/>
        </w:rPr>
        <w:t>Q48: Do you believe that the elements outlined above would rightly outline the framework for assessing the adequacy of its haircuts? Should ESMA consider other elements?</w:t>
      </w:r>
    </w:p>
    <w:p w:rsidR="00444CF5" w:rsidRPr="00444CF5" w:rsidRDefault="00444CF5" w:rsidP="00804BFE">
      <w:pPr>
        <w:rPr>
          <w:rFonts w:asciiTheme="minorHAnsi" w:hAnsiTheme="minorHAnsi"/>
          <w:b/>
          <w:bCs/>
          <w:sz w:val="22"/>
          <w:szCs w:val="22"/>
        </w:rPr>
      </w:pPr>
    </w:p>
    <w:p w:rsidR="003A631B" w:rsidRDefault="00444CF5">
      <w:pPr>
        <w:rPr>
          <w:rFonts w:asciiTheme="minorHAnsi" w:hAnsiTheme="minorHAnsi"/>
          <w:sz w:val="22"/>
          <w:szCs w:val="22"/>
        </w:rPr>
      </w:pPr>
      <w:r w:rsidRPr="00444CF5">
        <w:rPr>
          <w:rFonts w:asciiTheme="minorHAnsi" w:hAnsiTheme="minorHAnsi"/>
          <w:sz w:val="22"/>
          <w:szCs w:val="22"/>
        </w:rPr>
        <w:t>We have no comments on this issue.</w:t>
      </w:r>
    </w:p>
    <w:p w:rsidR="00444CF5" w:rsidRPr="00C66A26" w:rsidRDefault="00444CF5" w:rsidP="00804BFE">
      <w:pPr>
        <w:rPr>
          <w:rFonts w:asciiTheme="minorHAnsi" w:hAnsiTheme="minorHAnsi"/>
          <w:b/>
          <w:bCs/>
          <w:sz w:val="22"/>
          <w:szCs w:val="22"/>
        </w:rPr>
      </w:pPr>
    </w:p>
    <w:p w:rsidR="00FC3F7C" w:rsidRDefault="00147307" w:rsidP="00D17540">
      <w:pPr>
        <w:rPr>
          <w:rFonts w:asciiTheme="minorHAnsi" w:hAnsiTheme="minorHAnsi"/>
          <w:b/>
          <w:bCs/>
          <w:sz w:val="22"/>
          <w:szCs w:val="22"/>
        </w:rPr>
      </w:pPr>
      <w:r w:rsidRPr="00147307">
        <w:rPr>
          <w:rFonts w:asciiTheme="minorHAnsi" w:hAnsiTheme="minorHAnsi"/>
          <w:b/>
          <w:bCs/>
          <w:sz w:val="22"/>
          <w:szCs w:val="22"/>
        </w:rPr>
        <w:t>Q</w:t>
      </w:r>
      <w:r w:rsidR="00D3606B">
        <w:rPr>
          <w:rFonts w:asciiTheme="minorHAnsi" w:hAnsiTheme="minorHAnsi"/>
          <w:b/>
          <w:bCs/>
          <w:sz w:val="22"/>
          <w:szCs w:val="22"/>
        </w:rPr>
        <w:t>49</w:t>
      </w:r>
      <w:r w:rsidRPr="00147307">
        <w:rPr>
          <w:rFonts w:asciiTheme="minorHAnsi" w:hAnsiTheme="minorHAnsi"/>
          <w:b/>
          <w:bCs/>
          <w:sz w:val="22"/>
          <w:szCs w:val="22"/>
        </w:rPr>
        <w:t>: Do you consider that the elements outlined above would rightly outline the framework for determining concentration limits? Should ESMA consider other elements?</w:t>
      </w:r>
    </w:p>
    <w:p w:rsidR="00444CF5" w:rsidRDefault="00444CF5" w:rsidP="00804BFE">
      <w:pPr>
        <w:rPr>
          <w:rFonts w:asciiTheme="minorHAnsi" w:hAnsiTheme="minorHAnsi"/>
          <w:b/>
          <w:bCs/>
          <w:sz w:val="22"/>
          <w:szCs w:val="22"/>
        </w:rPr>
      </w:pPr>
    </w:p>
    <w:p w:rsidR="003A631B" w:rsidRDefault="00444CF5">
      <w:pPr>
        <w:rPr>
          <w:rFonts w:asciiTheme="minorHAnsi" w:hAnsiTheme="minorHAnsi"/>
          <w:sz w:val="22"/>
          <w:szCs w:val="22"/>
        </w:rPr>
      </w:pPr>
      <w:r w:rsidRPr="00444CF5">
        <w:rPr>
          <w:rFonts w:asciiTheme="minorHAnsi" w:hAnsiTheme="minorHAnsi"/>
          <w:sz w:val="22"/>
          <w:szCs w:val="22"/>
        </w:rPr>
        <w:t>We have no comments on this issue.</w:t>
      </w:r>
    </w:p>
    <w:p w:rsidR="00444CF5" w:rsidRDefault="00444CF5" w:rsidP="00804BFE">
      <w:pPr>
        <w:rPr>
          <w:b/>
          <w:bCs/>
          <w:sz w:val="20"/>
          <w:szCs w:val="20"/>
        </w:rPr>
      </w:pPr>
    </w:p>
    <w:p w:rsidR="00444CF5" w:rsidRDefault="00444CF5" w:rsidP="00804BFE">
      <w:pPr>
        <w:rPr>
          <w:b/>
          <w:bCs/>
          <w:sz w:val="20"/>
          <w:szCs w:val="20"/>
        </w:rPr>
      </w:pPr>
    </w:p>
    <w:p w:rsidR="00FC3F7C" w:rsidRDefault="00444CF5" w:rsidP="00D17540">
      <w:pPr>
        <w:rPr>
          <w:rFonts w:asciiTheme="minorHAnsi" w:hAnsiTheme="minorHAnsi"/>
          <w:b/>
          <w:bCs/>
          <w:sz w:val="22"/>
          <w:szCs w:val="22"/>
        </w:rPr>
      </w:pPr>
      <w:r w:rsidRPr="006821CF">
        <w:rPr>
          <w:rFonts w:asciiTheme="minorHAnsi" w:hAnsiTheme="minorHAnsi"/>
          <w:b/>
          <w:bCs/>
          <w:sz w:val="22"/>
          <w:szCs w:val="22"/>
        </w:rPr>
        <w:t>Q5</w:t>
      </w:r>
      <w:r w:rsidR="00D3606B">
        <w:rPr>
          <w:rFonts w:asciiTheme="minorHAnsi" w:hAnsiTheme="minorHAnsi"/>
          <w:b/>
          <w:bCs/>
          <w:sz w:val="22"/>
          <w:szCs w:val="22"/>
        </w:rPr>
        <w:t>0</w:t>
      </w:r>
      <w:r w:rsidRPr="006821CF">
        <w:rPr>
          <w:rFonts w:asciiTheme="minorHAnsi" w:hAnsiTheme="minorHAnsi"/>
          <w:b/>
          <w:bCs/>
          <w:sz w:val="22"/>
          <w:szCs w:val="22"/>
        </w:rPr>
        <w:t>: Should a CCP require that a minimum percentage of collateral received from a clearing member is provided in the form of cash? If yes, what factors should ESMA take into account in defining that minimum percentage? What would be the potential costs of that requirement?</w:t>
      </w:r>
    </w:p>
    <w:p w:rsidR="00444CF5" w:rsidRDefault="00444CF5" w:rsidP="00804BFE">
      <w:pPr>
        <w:rPr>
          <w:rFonts w:asciiTheme="minorHAnsi" w:hAnsiTheme="minorHAnsi"/>
          <w:b/>
          <w:bCs/>
          <w:sz w:val="22"/>
          <w:szCs w:val="22"/>
        </w:rPr>
      </w:pPr>
    </w:p>
    <w:p w:rsidR="00FC3F7C" w:rsidRDefault="006821CF" w:rsidP="00D17540">
      <w:pPr>
        <w:rPr>
          <w:rFonts w:asciiTheme="minorHAnsi" w:hAnsiTheme="minorHAnsi"/>
          <w:bCs/>
          <w:sz w:val="22"/>
          <w:szCs w:val="22"/>
        </w:rPr>
      </w:pPr>
      <w:r w:rsidRPr="00696E56">
        <w:rPr>
          <w:rFonts w:asciiTheme="minorHAnsi" w:hAnsiTheme="minorHAnsi"/>
          <w:bCs/>
          <w:sz w:val="22"/>
          <w:szCs w:val="22"/>
        </w:rPr>
        <w:t xml:space="preserve">We have a preference for the use of </w:t>
      </w:r>
      <w:r>
        <w:rPr>
          <w:rFonts w:asciiTheme="minorHAnsi" w:hAnsiTheme="minorHAnsi"/>
          <w:bCs/>
          <w:sz w:val="22"/>
          <w:szCs w:val="22"/>
        </w:rPr>
        <w:t>l</w:t>
      </w:r>
      <w:r w:rsidRPr="00696E56">
        <w:rPr>
          <w:rFonts w:asciiTheme="minorHAnsi" w:hAnsiTheme="minorHAnsi"/>
          <w:bCs/>
          <w:sz w:val="22"/>
          <w:szCs w:val="22"/>
        </w:rPr>
        <w:t>etters of credit or bank guarantees for collateral at CCPs.  A range of</w:t>
      </w:r>
      <w:r w:rsidR="00D17540">
        <w:rPr>
          <w:rFonts w:asciiTheme="minorHAnsi" w:hAnsiTheme="minorHAnsi"/>
          <w:bCs/>
          <w:sz w:val="22"/>
          <w:szCs w:val="22"/>
        </w:rPr>
        <w:t xml:space="preserve"> </w:t>
      </w:r>
      <w:r w:rsidRPr="00696E56">
        <w:rPr>
          <w:rFonts w:asciiTheme="minorHAnsi" w:hAnsiTheme="minorHAnsi"/>
          <w:bCs/>
          <w:sz w:val="22"/>
          <w:szCs w:val="22"/>
        </w:rPr>
        <w:t xml:space="preserve">collateral tools are available to firms and as </w:t>
      </w:r>
      <w:r>
        <w:rPr>
          <w:rFonts w:asciiTheme="minorHAnsi" w:hAnsiTheme="minorHAnsi"/>
          <w:bCs/>
          <w:sz w:val="22"/>
          <w:szCs w:val="22"/>
        </w:rPr>
        <w:t>long</w:t>
      </w:r>
      <w:r w:rsidRPr="00696E56">
        <w:rPr>
          <w:rFonts w:asciiTheme="minorHAnsi" w:hAnsiTheme="minorHAnsi"/>
          <w:bCs/>
          <w:sz w:val="22"/>
          <w:szCs w:val="22"/>
        </w:rPr>
        <w:t xml:space="preserve"> as these are sufficiently liquid and robust they should be accepted by CCPs.  ESMA should not be mandating undue restrictions on how firms manage their collateral wit</w:t>
      </w:r>
      <w:r w:rsidR="00D3606B">
        <w:rPr>
          <w:rFonts w:asciiTheme="minorHAnsi" w:hAnsiTheme="minorHAnsi"/>
          <w:bCs/>
          <w:sz w:val="22"/>
          <w:szCs w:val="22"/>
        </w:rPr>
        <w:t>h</w:t>
      </w:r>
      <w:r w:rsidRPr="00696E56">
        <w:rPr>
          <w:rFonts w:asciiTheme="minorHAnsi" w:hAnsiTheme="minorHAnsi"/>
          <w:bCs/>
          <w:sz w:val="22"/>
          <w:szCs w:val="22"/>
        </w:rPr>
        <w:t xml:space="preserve"> CCPs.</w:t>
      </w:r>
    </w:p>
    <w:p w:rsidR="006821CF" w:rsidRPr="00696E56" w:rsidRDefault="006821CF" w:rsidP="006821CF">
      <w:pPr>
        <w:rPr>
          <w:rFonts w:asciiTheme="minorHAnsi" w:hAnsiTheme="minorHAnsi"/>
          <w:bCs/>
          <w:sz w:val="22"/>
          <w:szCs w:val="22"/>
        </w:rPr>
      </w:pPr>
    </w:p>
    <w:p w:rsidR="00FC3F7C" w:rsidRDefault="006821CF" w:rsidP="00D17540">
      <w:pPr>
        <w:rPr>
          <w:rFonts w:asciiTheme="minorHAnsi" w:hAnsiTheme="minorHAnsi"/>
          <w:bCs/>
          <w:sz w:val="22"/>
          <w:szCs w:val="22"/>
        </w:rPr>
      </w:pPr>
      <w:r w:rsidRPr="00696E56">
        <w:rPr>
          <w:rFonts w:asciiTheme="minorHAnsi" w:hAnsiTheme="minorHAnsi"/>
          <w:bCs/>
          <w:sz w:val="22"/>
          <w:szCs w:val="22"/>
        </w:rPr>
        <w:t>If a minimum level of cash is required for collateral this must be set at a level that does not create barriers to entry</w:t>
      </w:r>
      <w:r>
        <w:rPr>
          <w:rFonts w:asciiTheme="minorHAnsi" w:hAnsiTheme="minorHAnsi"/>
          <w:bCs/>
          <w:sz w:val="22"/>
          <w:szCs w:val="22"/>
        </w:rPr>
        <w:t xml:space="preserve"> to </w:t>
      </w:r>
      <w:r w:rsidRPr="00696E56">
        <w:rPr>
          <w:rFonts w:asciiTheme="minorHAnsi" w:hAnsiTheme="minorHAnsi"/>
          <w:bCs/>
          <w:sz w:val="22"/>
          <w:szCs w:val="22"/>
        </w:rPr>
        <w:t xml:space="preserve">markets or constrain firms’ commercial activity.  As such, any minimum thresholds should be minimized taking into account other sources of collateral and it would be unlikely that any single level </w:t>
      </w:r>
      <w:r>
        <w:rPr>
          <w:rFonts w:asciiTheme="minorHAnsi" w:hAnsiTheme="minorHAnsi"/>
          <w:bCs/>
          <w:sz w:val="22"/>
          <w:szCs w:val="22"/>
        </w:rPr>
        <w:t>would</w:t>
      </w:r>
      <w:r w:rsidRPr="00696E56">
        <w:rPr>
          <w:rFonts w:asciiTheme="minorHAnsi" w:hAnsiTheme="minorHAnsi"/>
          <w:bCs/>
          <w:sz w:val="22"/>
          <w:szCs w:val="22"/>
        </w:rPr>
        <w:t xml:space="preserve"> be appro</w:t>
      </w:r>
      <w:r>
        <w:rPr>
          <w:rFonts w:asciiTheme="minorHAnsi" w:hAnsiTheme="minorHAnsi"/>
          <w:bCs/>
          <w:sz w:val="22"/>
          <w:szCs w:val="22"/>
        </w:rPr>
        <w:t>pr</w:t>
      </w:r>
      <w:r w:rsidRPr="00696E56">
        <w:rPr>
          <w:rFonts w:asciiTheme="minorHAnsi" w:hAnsiTheme="minorHAnsi"/>
          <w:bCs/>
          <w:sz w:val="22"/>
          <w:szCs w:val="22"/>
        </w:rPr>
        <w:t>iate across all CCPs.   It is also crucial that clearing members retain title to any cash</w:t>
      </w:r>
      <w:r w:rsidR="00D67833">
        <w:rPr>
          <w:rFonts w:asciiTheme="minorHAnsi" w:hAnsiTheme="minorHAnsi"/>
          <w:bCs/>
          <w:sz w:val="22"/>
          <w:szCs w:val="22"/>
        </w:rPr>
        <w:t xml:space="preserve"> </w:t>
      </w:r>
      <w:r w:rsidRPr="00696E56">
        <w:rPr>
          <w:rFonts w:asciiTheme="minorHAnsi" w:hAnsiTheme="minorHAnsi"/>
          <w:bCs/>
          <w:sz w:val="22"/>
          <w:szCs w:val="22"/>
        </w:rPr>
        <w:t xml:space="preserve">posted at CCPs </w:t>
      </w:r>
      <w:r w:rsidR="00D67833">
        <w:rPr>
          <w:rFonts w:asciiTheme="minorHAnsi" w:hAnsiTheme="minorHAnsi"/>
          <w:bCs/>
          <w:sz w:val="22"/>
          <w:szCs w:val="22"/>
        </w:rPr>
        <w:t xml:space="preserve">that is not directly related to their </w:t>
      </w:r>
      <w:r w:rsidR="007D4028">
        <w:rPr>
          <w:rFonts w:asciiTheme="minorHAnsi" w:hAnsiTheme="minorHAnsi"/>
          <w:bCs/>
          <w:sz w:val="22"/>
          <w:szCs w:val="22"/>
        </w:rPr>
        <w:t xml:space="preserve">obligations </w:t>
      </w:r>
      <w:r w:rsidR="007D4028" w:rsidRPr="00696E56">
        <w:rPr>
          <w:rFonts w:asciiTheme="minorHAnsi" w:hAnsiTheme="minorHAnsi"/>
          <w:bCs/>
          <w:sz w:val="22"/>
          <w:szCs w:val="22"/>
        </w:rPr>
        <w:t>and</w:t>
      </w:r>
      <w:r w:rsidRPr="00696E56">
        <w:rPr>
          <w:rFonts w:asciiTheme="minorHAnsi" w:hAnsiTheme="minorHAnsi"/>
          <w:bCs/>
          <w:sz w:val="22"/>
          <w:szCs w:val="22"/>
        </w:rPr>
        <w:t xml:space="preserve"> that it is subject to robust segregation requirements.</w:t>
      </w:r>
    </w:p>
    <w:p w:rsidR="006821CF" w:rsidRDefault="006821CF" w:rsidP="00804BFE">
      <w:pPr>
        <w:rPr>
          <w:rFonts w:asciiTheme="minorHAnsi" w:hAnsiTheme="minorHAnsi"/>
          <w:b/>
          <w:bCs/>
          <w:sz w:val="22"/>
          <w:szCs w:val="22"/>
        </w:rPr>
      </w:pPr>
    </w:p>
    <w:p w:rsidR="00444CF5" w:rsidRDefault="00444CF5" w:rsidP="00804BFE">
      <w:pPr>
        <w:rPr>
          <w:rFonts w:asciiTheme="minorHAnsi" w:hAnsiTheme="minorHAnsi"/>
          <w:b/>
          <w:bCs/>
          <w:sz w:val="22"/>
          <w:szCs w:val="22"/>
        </w:rPr>
      </w:pPr>
    </w:p>
    <w:p w:rsidR="00FC3F7C" w:rsidRDefault="006821CF" w:rsidP="00D17540">
      <w:pPr>
        <w:rPr>
          <w:rFonts w:asciiTheme="minorHAnsi" w:hAnsiTheme="minorHAnsi"/>
          <w:b/>
          <w:bCs/>
          <w:sz w:val="22"/>
          <w:szCs w:val="22"/>
          <w:u w:val="single"/>
        </w:rPr>
      </w:pPr>
      <w:r w:rsidRPr="006821CF">
        <w:rPr>
          <w:rFonts w:asciiTheme="minorHAnsi" w:hAnsiTheme="minorHAnsi"/>
          <w:b/>
          <w:bCs/>
          <w:sz w:val="22"/>
          <w:szCs w:val="22"/>
          <w:u w:val="single"/>
        </w:rPr>
        <w:t>Investment policy (Article 44)</w:t>
      </w:r>
    </w:p>
    <w:p w:rsidR="006821CF" w:rsidRDefault="006821CF" w:rsidP="00804BFE">
      <w:pPr>
        <w:rPr>
          <w:rFonts w:asciiTheme="minorHAnsi" w:hAnsiTheme="minorHAnsi"/>
          <w:b/>
          <w:bCs/>
          <w:sz w:val="22"/>
          <w:szCs w:val="22"/>
        </w:rPr>
      </w:pPr>
    </w:p>
    <w:p w:rsidR="00FC3F7C" w:rsidRDefault="006821CF" w:rsidP="00D17540">
      <w:pPr>
        <w:pStyle w:val="Default"/>
        <w:rPr>
          <w:rFonts w:asciiTheme="minorHAnsi" w:hAnsiTheme="minorHAnsi"/>
          <w:sz w:val="22"/>
          <w:szCs w:val="22"/>
        </w:rPr>
      </w:pPr>
      <w:r w:rsidRPr="006821CF">
        <w:rPr>
          <w:rFonts w:asciiTheme="minorHAnsi" w:hAnsiTheme="minorHAnsi"/>
          <w:b/>
          <w:bCs/>
          <w:sz w:val="22"/>
          <w:szCs w:val="22"/>
        </w:rPr>
        <w:t xml:space="preserve">Q51: Do you consider that financial instruments and cash equivalent financial instruments which are highly liquid with minimal market and credit risk have been rightly identified? Should ESMA consider other elements in defining highly liquid financial instruments with minimal market and credit risk? What should be the timeframe for the maximum average duration of debt instrument investments? </w:t>
      </w:r>
    </w:p>
    <w:p w:rsidR="006821CF" w:rsidRPr="006821CF" w:rsidRDefault="006821CF" w:rsidP="006821CF">
      <w:pPr>
        <w:rPr>
          <w:rFonts w:asciiTheme="minorHAnsi" w:hAnsiTheme="minorHAnsi"/>
          <w:bCs/>
          <w:sz w:val="22"/>
          <w:szCs w:val="22"/>
        </w:rPr>
      </w:pPr>
    </w:p>
    <w:p w:rsidR="00FC3F7C" w:rsidRDefault="006821CF" w:rsidP="00D17540">
      <w:pPr>
        <w:rPr>
          <w:rFonts w:asciiTheme="minorHAnsi" w:hAnsiTheme="minorHAnsi"/>
          <w:bCs/>
          <w:sz w:val="22"/>
          <w:szCs w:val="22"/>
        </w:rPr>
      </w:pPr>
      <w:r w:rsidRPr="006821CF">
        <w:rPr>
          <w:rFonts w:asciiTheme="minorHAnsi" w:hAnsiTheme="minorHAnsi"/>
          <w:bCs/>
          <w:sz w:val="22"/>
          <w:szCs w:val="22"/>
        </w:rPr>
        <w:t xml:space="preserve">In general we agree with ESMA’s approach and </w:t>
      </w:r>
      <w:r w:rsidR="00107A01" w:rsidRPr="006821CF">
        <w:rPr>
          <w:rFonts w:asciiTheme="minorHAnsi" w:hAnsiTheme="minorHAnsi"/>
          <w:bCs/>
          <w:sz w:val="22"/>
          <w:szCs w:val="22"/>
        </w:rPr>
        <w:t>emphasize</w:t>
      </w:r>
      <w:r w:rsidRPr="006821CF">
        <w:rPr>
          <w:rFonts w:asciiTheme="minorHAnsi" w:hAnsiTheme="minorHAnsi"/>
          <w:bCs/>
          <w:sz w:val="22"/>
          <w:szCs w:val="22"/>
        </w:rPr>
        <w:t xml:space="preserve"> the need for CCPs to invest in a diverse range of </w:t>
      </w:r>
      <w:r w:rsidR="00107A01" w:rsidRPr="006821CF">
        <w:rPr>
          <w:rFonts w:asciiTheme="minorHAnsi" w:hAnsiTheme="minorHAnsi"/>
          <w:bCs/>
          <w:sz w:val="22"/>
          <w:szCs w:val="22"/>
        </w:rPr>
        <w:t>financial</w:t>
      </w:r>
      <w:r w:rsidRPr="006821CF">
        <w:rPr>
          <w:rFonts w:asciiTheme="minorHAnsi" w:hAnsiTheme="minorHAnsi"/>
          <w:bCs/>
          <w:sz w:val="22"/>
          <w:szCs w:val="22"/>
        </w:rPr>
        <w:t xml:space="preserve"> </w:t>
      </w:r>
      <w:r w:rsidR="00107A01" w:rsidRPr="006821CF">
        <w:rPr>
          <w:rFonts w:asciiTheme="minorHAnsi" w:hAnsiTheme="minorHAnsi"/>
          <w:bCs/>
          <w:sz w:val="22"/>
          <w:szCs w:val="22"/>
        </w:rPr>
        <w:t>instruments</w:t>
      </w:r>
      <w:r w:rsidRPr="006821CF">
        <w:rPr>
          <w:rFonts w:asciiTheme="minorHAnsi" w:hAnsiTheme="minorHAnsi"/>
          <w:bCs/>
          <w:sz w:val="22"/>
          <w:szCs w:val="22"/>
        </w:rPr>
        <w:t xml:space="preserve"> and </w:t>
      </w:r>
      <w:r w:rsidR="00107A01" w:rsidRPr="006821CF">
        <w:rPr>
          <w:rFonts w:asciiTheme="minorHAnsi" w:hAnsiTheme="minorHAnsi"/>
          <w:bCs/>
          <w:sz w:val="22"/>
          <w:szCs w:val="22"/>
        </w:rPr>
        <w:t>high</w:t>
      </w:r>
      <w:r w:rsidRPr="006821CF">
        <w:rPr>
          <w:rFonts w:asciiTheme="minorHAnsi" w:hAnsiTheme="minorHAnsi"/>
          <w:bCs/>
          <w:sz w:val="22"/>
          <w:szCs w:val="22"/>
        </w:rPr>
        <w:t xml:space="preserve"> quality </w:t>
      </w:r>
      <w:r w:rsidR="00107A01" w:rsidRPr="006821CF">
        <w:rPr>
          <w:rFonts w:asciiTheme="minorHAnsi" w:hAnsiTheme="minorHAnsi"/>
          <w:bCs/>
          <w:sz w:val="22"/>
          <w:szCs w:val="22"/>
        </w:rPr>
        <w:t>institutions</w:t>
      </w:r>
      <w:r w:rsidRPr="006821CF">
        <w:rPr>
          <w:rFonts w:asciiTheme="minorHAnsi" w:hAnsiTheme="minorHAnsi"/>
          <w:bCs/>
          <w:sz w:val="22"/>
          <w:szCs w:val="22"/>
        </w:rPr>
        <w:t>.</w:t>
      </w:r>
      <w:r w:rsidR="00784070">
        <w:rPr>
          <w:rFonts w:asciiTheme="minorHAnsi" w:hAnsiTheme="minorHAnsi"/>
          <w:bCs/>
          <w:sz w:val="22"/>
          <w:szCs w:val="22"/>
        </w:rPr>
        <w:t xml:space="preserve">  ESMA should identify and keep under review a list of </w:t>
      </w:r>
      <w:r w:rsidR="00FF6B77">
        <w:rPr>
          <w:rFonts w:asciiTheme="minorHAnsi" w:hAnsiTheme="minorHAnsi"/>
          <w:bCs/>
          <w:sz w:val="22"/>
          <w:szCs w:val="22"/>
        </w:rPr>
        <w:t>eligible</w:t>
      </w:r>
      <w:r w:rsidR="00784070">
        <w:rPr>
          <w:rFonts w:asciiTheme="minorHAnsi" w:hAnsiTheme="minorHAnsi"/>
          <w:bCs/>
          <w:sz w:val="22"/>
          <w:szCs w:val="22"/>
        </w:rPr>
        <w:t xml:space="preserve"> financial instruments.  </w:t>
      </w:r>
    </w:p>
    <w:p w:rsidR="003A631B" w:rsidRDefault="003A631B">
      <w:pPr>
        <w:ind w:left="360"/>
        <w:rPr>
          <w:rFonts w:asciiTheme="minorHAnsi" w:hAnsiTheme="minorHAnsi"/>
          <w:bCs/>
          <w:sz w:val="22"/>
          <w:szCs w:val="22"/>
        </w:rPr>
      </w:pPr>
    </w:p>
    <w:p w:rsidR="00FC3F7C" w:rsidRDefault="00784070" w:rsidP="00D17540">
      <w:pPr>
        <w:rPr>
          <w:rFonts w:asciiTheme="minorHAnsi" w:hAnsiTheme="minorHAnsi"/>
          <w:bCs/>
          <w:sz w:val="22"/>
          <w:szCs w:val="22"/>
        </w:rPr>
      </w:pPr>
      <w:r>
        <w:rPr>
          <w:rFonts w:asciiTheme="minorHAnsi" w:hAnsiTheme="minorHAnsi"/>
          <w:bCs/>
          <w:sz w:val="22"/>
          <w:szCs w:val="22"/>
        </w:rPr>
        <w:t>A CCPs investment policy should be more restrictive than its policies regarding the eligible collateral it accepts from clearing members.  It should only co</w:t>
      </w:r>
      <w:r w:rsidR="00F314D4">
        <w:rPr>
          <w:rFonts w:asciiTheme="minorHAnsi" w:hAnsiTheme="minorHAnsi"/>
          <w:bCs/>
          <w:sz w:val="22"/>
          <w:szCs w:val="22"/>
        </w:rPr>
        <w:t>v</w:t>
      </w:r>
      <w:r>
        <w:rPr>
          <w:rFonts w:asciiTheme="minorHAnsi" w:hAnsiTheme="minorHAnsi"/>
          <w:bCs/>
          <w:sz w:val="22"/>
          <w:szCs w:val="22"/>
        </w:rPr>
        <w:t xml:space="preserve">er highly liquid </w:t>
      </w:r>
      <w:r w:rsidR="00FF6B77">
        <w:rPr>
          <w:rFonts w:asciiTheme="minorHAnsi" w:hAnsiTheme="minorHAnsi"/>
          <w:bCs/>
          <w:sz w:val="22"/>
          <w:szCs w:val="22"/>
        </w:rPr>
        <w:t>instruments and</w:t>
      </w:r>
      <w:r w:rsidR="00F314D4">
        <w:rPr>
          <w:rFonts w:asciiTheme="minorHAnsi" w:hAnsiTheme="minorHAnsi"/>
          <w:bCs/>
          <w:sz w:val="22"/>
          <w:szCs w:val="22"/>
        </w:rPr>
        <w:t xml:space="preserve"> CCPs should only be allowed </w:t>
      </w:r>
      <w:r w:rsidR="00FF6B77">
        <w:rPr>
          <w:rFonts w:asciiTheme="minorHAnsi" w:hAnsiTheme="minorHAnsi"/>
          <w:bCs/>
          <w:sz w:val="22"/>
          <w:szCs w:val="22"/>
        </w:rPr>
        <w:t>to</w:t>
      </w:r>
      <w:r w:rsidR="00F314D4">
        <w:rPr>
          <w:rFonts w:asciiTheme="minorHAnsi" w:hAnsiTheme="minorHAnsi"/>
          <w:bCs/>
          <w:sz w:val="22"/>
          <w:szCs w:val="22"/>
        </w:rPr>
        <w:t xml:space="preserve"> invest cash if it is i). placed on deposit with </w:t>
      </w:r>
      <w:r w:rsidR="00FF6B77">
        <w:rPr>
          <w:rFonts w:asciiTheme="minorHAnsi" w:hAnsiTheme="minorHAnsi"/>
          <w:bCs/>
          <w:sz w:val="22"/>
          <w:szCs w:val="22"/>
        </w:rPr>
        <w:t>eligible</w:t>
      </w:r>
      <w:r w:rsidR="00F314D4">
        <w:rPr>
          <w:rFonts w:asciiTheme="minorHAnsi" w:hAnsiTheme="minorHAnsi"/>
          <w:bCs/>
          <w:sz w:val="22"/>
          <w:szCs w:val="22"/>
        </w:rPr>
        <w:t xml:space="preserve"> </w:t>
      </w:r>
      <w:r w:rsidR="00FF6B77">
        <w:rPr>
          <w:rFonts w:asciiTheme="minorHAnsi" w:hAnsiTheme="minorHAnsi"/>
          <w:bCs/>
          <w:sz w:val="22"/>
          <w:szCs w:val="22"/>
        </w:rPr>
        <w:t>central</w:t>
      </w:r>
      <w:r w:rsidR="00F314D4">
        <w:rPr>
          <w:rFonts w:asciiTheme="minorHAnsi" w:hAnsiTheme="minorHAnsi"/>
          <w:bCs/>
          <w:sz w:val="22"/>
          <w:szCs w:val="22"/>
        </w:rPr>
        <w:t xml:space="preserve"> </w:t>
      </w:r>
      <w:r w:rsidR="00FF6B77">
        <w:rPr>
          <w:rFonts w:asciiTheme="minorHAnsi" w:hAnsiTheme="minorHAnsi"/>
          <w:bCs/>
          <w:sz w:val="22"/>
          <w:szCs w:val="22"/>
        </w:rPr>
        <w:t>banks</w:t>
      </w:r>
      <w:r w:rsidR="00F314D4">
        <w:rPr>
          <w:rFonts w:asciiTheme="minorHAnsi" w:hAnsiTheme="minorHAnsi"/>
          <w:bCs/>
          <w:sz w:val="22"/>
          <w:szCs w:val="22"/>
        </w:rPr>
        <w:t xml:space="preserve"> or an </w:t>
      </w:r>
      <w:r w:rsidR="00FF6B77">
        <w:rPr>
          <w:rFonts w:asciiTheme="minorHAnsi" w:hAnsiTheme="minorHAnsi"/>
          <w:bCs/>
          <w:sz w:val="22"/>
          <w:szCs w:val="22"/>
        </w:rPr>
        <w:t>eligible</w:t>
      </w:r>
      <w:r w:rsidR="00F314D4">
        <w:rPr>
          <w:rFonts w:asciiTheme="minorHAnsi" w:hAnsiTheme="minorHAnsi"/>
          <w:bCs/>
          <w:sz w:val="22"/>
          <w:szCs w:val="22"/>
        </w:rPr>
        <w:t xml:space="preserve"> commercial bank if a central bank facility is not </w:t>
      </w:r>
      <w:r w:rsidR="00CE2CFB">
        <w:rPr>
          <w:rFonts w:asciiTheme="minorHAnsi" w:hAnsiTheme="minorHAnsi"/>
          <w:bCs/>
          <w:sz w:val="22"/>
          <w:szCs w:val="22"/>
        </w:rPr>
        <w:t xml:space="preserve">available or ii). </w:t>
      </w:r>
      <w:r w:rsidR="00FF6B77">
        <w:rPr>
          <w:rFonts w:asciiTheme="minorHAnsi" w:hAnsiTheme="minorHAnsi"/>
          <w:bCs/>
          <w:sz w:val="22"/>
          <w:szCs w:val="22"/>
        </w:rPr>
        <w:t xml:space="preserve">Repo’d out overnight by the CCP in exchange for eligible highly liquid and high quality collateral from eligible repo counterparties. </w:t>
      </w:r>
    </w:p>
    <w:p w:rsidR="003A631B" w:rsidRDefault="003A631B">
      <w:pPr>
        <w:ind w:left="360"/>
        <w:rPr>
          <w:rFonts w:asciiTheme="minorHAnsi" w:hAnsiTheme="minorHAnsi"/>
          <w:bCs/>
          <w:sz w:val="22"/>
          <w:szCs w:val="22"/>
        </w:rPr>
      </w:pPr>
    </w:p>
    <w:p w:rsidR="00FC3F7C" w:rsidRDefault="00CE2CFB" w:rsidP="00D17540">
      <w:pPr>
        <w:rPr>
          <w:rFonts w:asciiTheme="minorHAnsi" w:hAnsiTheme="minorHAnsi"/>
          <w:bCs/>
          <w:sz w:val="22"/>
          <w:szCs w:val="22"/>
        </w:rPr>
      </w:pPr>
      <w:r>
        <w:rPr>
          <w:rFonts w:asciiTheme="minorHAnsi" w:hAnsiTheme="minorHAnsi"/>
          <w:bCs/>
          <w:sz w:val="22"/>
          <w:szCs w:val="22"/>
        </w:rPr>
        <w:t xml:space="preserve">ESMA’s approach to </w:t>
      </w:r>
      <w:r w:rsidR="00FF6B77">
        <w:rPr>
          <w:rFonts w:asciiTheme="minorHAnsi" w:hAnsiTheme="minorHAnsi"/>
          <w:bCs/>
          <w:sz w:val="22"/>
          <w:szCs w:val="22"/>
        </w:rPr>
        <w:t>assessing</w:t>
      </w:r>
      <w:r>
        <w:rPr>
          <w:rFonts w:asciiTheme="minorHAnsi" w:hAnsiTheme="minorHAnsi"/>
          <w:bCs/>
          <w:sz w:val="22"/>
          <w:szCs w:val="22"/>
        </w:rPr>
        <w:t xml:space="preserve"> CCP </w:t>
      </w:r>
      <w:r w:rsidR="00FF6B77">
        <w:rPr>
          <w:rFonts w:asciiTheme="minorHAnsi" w:hAnsiTheme="minorHAnsi"/>
          <w:bCs/>
          <w:sz w:val="22"/>
          <w:szCs w:val="22"/>
        </w:rPr>
        <w:t>investment</w:t>
      </w:r>
      <w:r>
        <w:rPr>
          <w:rFonts w:asciiTheme="minorHAnsi" w:hAnsiTheme="minorHAnsi"/>
          <w:bCs/>
          <w:sz w:val="22"/>
          <w:szCs w:val="22"/>
        </w:rPr>
        <w:t xml:space="preserve"> </w:t>
      </w:r>
      <w:r w:rsidR="00FF6B77">
        <w:rPr>
          <w:rFonts w:asciiTheme="minorHAnsi" w:hAnsiTheme="minorHAnsi"/>
          <w:bCs/>
          <w:sz w:val="22"/>
          <w:szCs w:val="22"/>
        </w:rPr>
        <w:t>policies</w:t>
      </w:r>
      <w:r>
        <w:rPr>
          <w:rFonts w:asciiTheme="minorHAnsi" w:hAnsiTheme="minorHAnsi"/>
          <w:bCs/>
          <w:sz w:val="22"/>
          <w:szCs w:val="22"/>
        </w:rPr>
        <w:t xml:space="preserve"> must </w:t>
      </w:r>
      <w:r w:rsidR="00FF6B77">
        <w:rPr>
          <w:rFonts w:asciiTheme="minorHAnsi" w:hAnsiTheme="minorHAnsi"/>
          <w:bCs/>
          <w:sz w:val="22"/>
          <w:szCs w:val="22"/>
        </w:rPr>
        <w:t>be</w:t>
      </w:r>
      <w:r>
        <w:rPr>
          <w:rFonts w:asciiTheme="minorHAnsi" w:hAnsiTheme="minorHAnsi"/>
          <w:bCs/>
          <w:sz w:val="22"/>
          <w:szCs w:val="22"/>
        </w:rPr>
        <w:t xml:space="preserve"> </w:t>
      </w:r>
      <w:r w:rsidR="00FF6B77">
        <w:rPr>
          <w:rFonts w:asciiTheme="minorHAnsi" w:hAnsiTheme="minorHAnsi"/>
          <w:bCs/>
          <w:sz w:val="22"/>
          <w:szCs w:val="22"/>
        </w:rPr>
        <w:t>transparent</w:t>
      </w:r>
      <w:r>
        <w:rPr>
          <w:rFonts w:asciiTheme="minorHAnsi" w:hAnsiTheme="minorHAnsi"/>
          <w:bCs/>
          <w:sz w:val="22"/>
          <w:szCs w:val="22"/>
        </w:rPr>
        <w:t xml:space="preserve"> as should the mechanism for changing any of the requirements.  </w:t>
      </w:r>
      <w:r w:rsidR="00FF6B77">
        <w:rPr>
          <w:rFonts w:asciiTheme="minorHAnsi" w:hAnsiTheme="minorHAnsi"/>
          <w:bCs/>
          <w:sz w:val="22"/>
          <w:szCs w:val="22"/>
        </w:rPr>
        <w:t xml:space="preserve">It may be appropriate to consider a mechanism whereby market participants can raise concerns/propose changes to their national regulator which can then brought to the attention of ESMA to consider.  </w:t>
      </w:r>
    </w:p>
    <w:p w:rsidR="003A631B" w:rsidRDefault="003A631B">
      <w:pPr>
        <w:ind w:left="360"/>
        <w:rPr>
          <w:rFonts w:asciiTheme="minorHAnsi" w:hAnsiTheme="minorHAnsi"/>
          <w:bCs/>
          <w:sz w:val="22"/>
          <w:szCs w:val="22"/>
        </w:rPr>
      </w:pPr>
    </w:p>
    <w:p w:rsidR="00FC3F7C" w:rsidRDefault="00FF6B77" w:rsidP="00D17540">
      <w:pPr>
        <w:rPr>
          <w:rFonts w:asciiTheme="minorHAnsi" w:hAnsiTheme="minorHAnsi"/>
          <w:bCs/>
          <w:sz w:val="22"/>
          <w:szCs w:val="22"/>
        </w:rPr>
      </w:pPr>
      <w:r>
        <w:rPr>
          <w:rFonts w:asciiTheme="minorHAnsi" w:hAnsiTheme="minorHAnsi"/>
          <w:bCs/>
          <w:sz w:val="22"/>
          <w:szCs w:val="22"/>
        </w:rPr>
        <w:t>CCPs will obviously need to ensure their investment policy is within the requirements established by ESMA.  CCPs will need to keep their investment policies under review (e.g. on a quarterly basis) although flexibility for more frequent reviews may be required subject to market conditions.</w:t>
      </w:r>
    </w:p>
    <w:p w:rsidR="006821CF" w:rsidRPr="006821CF" w:rsidRDefault="006821CF" w:rsidP="006821CF">
      <w:pPr>
        <w:pStyle w:val="Default"/>
        <w:rPr>
          <w:rFonts w:asciiTheme="minorHAnsi" w:hAnsiTheme="minorHAnsi"/>
          <w:b/>
          <w:bCs/>
          <w:sz w:val="22"/>
          <w:szCs w:val="22"/>
        </w:rPr>
      </w:pPr>
    </w:p>
    <w:p w:rsidR="00FC3F7C" w:rsidRDefault="006821CF" w:rsidP="00D17540">
      <w:pPr>
        <w:pStyle w:val="Default"/>
        <w:rPr>
          <w:rFonts w:asciiTheme="minorHAnsi" w:hAnsiTheme="minorHAnsi"/>
          <w:sz w:val="22"/>
          <w:szCs w:val="22"/>
        </w:rPr>
      </w:pPr>
      <w:r w:rsidRPr="006821CF">
        <w:rPr>
          <w:rFonts w:asciiTheme="minorHAnsi" w:hAnsiTheme="minorHAnsi"/>
          <w:b/>
          <w:bCs/>
          <w:sz w:val="22"/>
          <w:szCs w:val="22"/>
        </w:rPr>
        <w:t xml:space="preserve">Q52: Do you think there should be limits on the amount of cash placed on an unsecured basis? </w:t>
      </w:r>
    </w:p>
    <w:p w:rsidR="006821CF" w:rsidRPr="006821CF" w:rsidRDefault="006821CF" w:rsidP="006821CF">
      <w:pPr>
        <w:rPr>
          <w:rFonts w:asciiTheme="minorHAnsi" w:hAnsiTheme="minorHAnsi"/>
          <w:b/>
          <w:bCs/>
          <w:sz w:val="22"/>
          <w:szCs w:val="22"/>
        </w:rPr>
      </w:pPr>
    </w:p>
    <w:p w:rsidR="003A631B" w:rsidRDefault="006821CF">
      <w:pPr>
        <w:rPr>
          <w:rFonts w:asciiTheme="minorHAnsi" w:hAnsiTheme="minorHAnsi"/>
          <w:sz w:val="22"/>
          <w:szCs w:val="22"/>
        </w:rPr>
      </w:pPr>
      <w:r w:rsidRPr="006821CF">
        <w:rPr>
          <w:rFonts w:asciiTheme="minorHAnsi" w:hAnsiTheme="minorHAnsi"/>
          <w:sz w:val="22"/>
          <w:szCs w:val="22"/>
        </w:rPr>
        <w:t>We have no comments on this issue.</w:t>
      </w:r>
    </w:p>
    <w:p w:rsidR="006821CF" w:rsidRPr="006821CF" w:rsidRDefault="006821CF" w:rsidP="006821CF">
      <w:pPr>
        <w:rPr>
          <w:rFonts w:asciiTheme="minorHAnsi" w:hAnsiTheme="minorHAnsi"/>
          <w:b/>
          <w:bCs/>
          <w:sz w:val="22"/>
          <w:szCs w:val="22"/>
        </w:rPr>
      </w:pPr>
    </w:p>
    <w:p w:rsidR="00FC3F7C" w:rsidRDefault="006821CF" w:rsidP="00D17540">
      <w:pPr>
        <w:rPr>
          <w:rFonts w:asciiTheme="minorHAnsi" w:hAnsiTheme="minorHAnsi"/>
          <w:b/>
          <w:bCs/>
          <w:sz w:val="22"/>
          <w:szCs w:val="22"/>
        </w:rPr>
      </w:pPr>
      <w:r w:rsidRPr="006821CF">
        <w:rPr>
          <w:rFonts w:asciiTheme="minorHAnsi" w:hAnsiTheme="minorHAnsi"/>
          <w:b/>
          <w:bCs/>
          <w:sz w:val="22"/>
          <w:szCs w:val="22"/>
        </w:rPr>
        <w:t>Q53: Do you consider that CCP should be allowed to invest in derivatives for hedging purposes? If so, under which conditions and limitations?</w:t>
      </w:r>
    </w:p>
    <w:p w:rsidR="006821CF" w:rsidRPr="006821CF" w:rsidRDefault="006821CF" w:rsidP="00804BFE">
      <w:pPr>
        <w:rPr>
          <w:rFonts w:asciiTheme="minorHAnsi" w:hAnsiTheme="minorHAnsi"/>
          <w:b/>
          <w:bCs/>
          <w:sz w:val="22"/>
          <w:szCs w:val="22"/>
        </w:rPr>
      </w:pPr>
    </w:p>
    <w:p w:rsidR="006821CF" w:rsidRPr="006821CF" w:rsidRDefault="00FF6B77" w:rsidP="00804BFE">
      <w:pPr>
        <w:rPr>
          <w:rFonts w:asciiTheme="minorHAnsi" w:hAnsiTheme="minorHAnsi"/>
          <w:b/>
          <w:bCs/>
          <w:sz w:val="22"/>
          <w:szCs w:val="22"/>
        </w:rPr>
      </w:pPr>
      <w:r>
        <w:rPr>
          <w:rFonts w:asciiTheme="minorHAnsi" w:hAnsiTheme="minorHAnsi"/>
          <w:sz w:val="22"/>
          <w:szCs w:val="22"/>
        </w:rPr>
        <w:t xml:space="preserve">CCP use of derivatives should be permitted only for the purpose of default management.  </w:t>
      </w:r>
    </w:p>
    <w:p w:rsidR="006821CF" w:rsidRPr="006821CF" w:rsidRDefault="006821CF" w:rsidP="00804BFE">
      <w:pPr>
        <w:rPr>
          <w:rFonts w:asciiTheme="minorHAnsi" w:hAnsiTheme="minorHAnsi"/>
          <w:b/>
          <w:bCs/>
          <w:sz w:val="22"/>
          <w:szCs w:val="22"/>
        </w:rPr>
      </w:pPr>
    </w:p>
    <w:p w:rsidR="00FC3F7C" w:rsidRDefault="006821CF" w:rsidP="00D17540">
      <w:pPr>
        <w:rPr>
          <w:rFonts w:asciiTheme="minorHAnsi" w:hAnsiTheme="minorHAnsi"/>
          <w:b/>
          <w:bCs/>
          <w:sz w:val="22"/>
          <w:szCs w:val="22"/>
        </w:rPr>
      </w:pPr>
      <w:r w:rsidRPr="00107A01">
        <w:rPr>
          <w:rFonts w:asciiTheme="minorHAnsi" w:hAnsiTheme="minorHAnsi"/>
          <w:b/>
          <w:bCs/>
          <w:sz w:val="22"/>
          <w:szCs w:val="22"/>
        </w:rPr>
        <w:t xml:space="preserve">Q54: Do you consider that the proposed criteria regarding the currency of financial instruments in which a CCP invests has been rightly identified in the context of defining highly liquid financial instruments with minimal </w:t>
      </w:r>
      <w:r w:rsidRPr="00107A01">
        <w:rPr>
          <w:rFonts w:asciiTheme="minorHAnsi" w:hAnsiTheme="minorHAnsi"/>
          <w:b/>
          <w:bCs/>
          <w:sz w:val="22"/>
          <w:szCs w:val="22"/>
        </w:rPr>
        <w:lastRenderedPageBreak/>
        <w:t>market and credit risk? Should ESMA consider other elements in defining the currency of highly liquid financial instruments with minimal market and credit risk? Please justify your answer.</w:t>
      </w:r>
    </w:p>
    <w:p w:rsidR="006821CF" w:rsidRPr="00107A01" w:rsidRDefault="006821CF" w:rsidP="00804BFE">
      <w:pPr>
        <w:rPr>
          <w:rFonts w:asciiTheme="minorHAnsi" w:hAnsiTheme="minorHAnsi"/>
          <w:b/>
          <w:bCs/>
          <w:sz w:val="22"/>
          <w:szCs w:val="22"/>
        </w:rPr>
      </w:pPr>
    </w:p>
    <w:p w:rsidR="00FC3F7C" w:rsidRDefault="006821CF" w:rsidP="00D17540">
      <w:pPr>
        <w:rPr>
          <w:rFonts w:asciiTheme="minorHAnsi" w:hAnsiTheme="minorHAnsi"/>
          <w:b/>
          <w:bCs/>
          <w:sz w:val="22"/>
          <w:szCs w:val="22"/>
        </w:rPr>
      </w:pPr>
      <w:r w:rsidRPr="00107A01">
        <w:rPr>
          <w:rFonts w:asciiTheme="minorHAnsi" w:hAnsiTheme="minorHAnsi"/>
          <w:sz w:val="22"/>
          <w:szCs w:val="22"/>
        </w:rPr>
        <w:t>We have no comments on this issue.</w:t>
      </w:r>
    </w:p>
    <w:p w:rsidR="006821CF" w:rsidRPr="00107A01" w:rsidRDefault="006821CF" w:rsidP="00804BFE">
      <w:pPr>
        <w:rPr>
          <w:rFonts w:asciiTheme="minorHAnsi" w:hAnsiTheme="minorHAnsi"/>
          <w:b/>
          <w:bCs/>
          <w:sz w:val="22"/>
          <w:szCs w:val="22"/>
        </w:rPr>
      </w:pPr>
    </w:p>
    <w:p w:rsidR="00FC3F7C" w:rsidRDefault="00107A01" w:rsidP="00D17540">
      <w:pPr>
        <w:rPr>
          <w:rFonts w:asciiTheme="minorHAnsi" w:hAnsiTheme="minorHAnsi"/>
          <w:b/>
          <w:bCs/>
          <w:sz w:val="22"/>
          <w:szCs w:val="22"/>
        </w:rPr>
      </w:pPr>
      <w:r>
        <w:rPr>
          <w:rFonts w:asciiTheme="minorHAnsi" w:hAnsiTheme="minorHAnsi"/>
          <w:b/>
          <w:bCs/>
          <w:sz w:val="22"/>
          <w:szCs w:val="22"/>
        </w:rPr>
        <w:t xml:space="preserve">Q55: </w:t>
      </w:r>
      <w:r w:rsidR="006821CF" w:rsidRPr="00107A01">
        <w:rPr>
          <w:rFonts w:asciiTheme="minorHAnsi" w:hAnsiTheme="minorHAnsi"/>
          <w:b/>
          <w:bCs/>
          <w:sz w:val="22"/>
          <w:szCs w:val="22"/>
        </w:rPr>
        <w:t>Do you consider that the elements outlined above would rightly outline the framework for determining the highly secured arrangements in respect of which financial instruments lodged by clearing members should be deposited? Should ESMA consider other elements? Please justify your answer.</w:t>
      </w:r>
    </w:p>
    <w:p w:rsidR="006821CF" w:rsidRPr="00107A01" w:rsidRDefault="006821CF" w:rsidP="00804BFE">
      <w:pPr>
        <w:rPr>
          <w:rFonts w:asciiTheme="minorHAnsi" w:hAnsiTheme="minorHAnsi"/>
          <w:b/>
          <w:bCs/>
          <w:sz w:val="22"/>
          <w:szCs w:val="22"/>
        </w:rPr>
      </w:pPr>
    </w:p>
    <w:p w:rsidR="00FC3F7C" w:rsidRDefault="006821CF" w:rsidP="00D17540">
      <w:pPr>
        <w:rPr>
          <w:rFonts w:asciiTheme="minorHAnsi" w:hAnsiTheme="minorHAnsi"/>
          <w:b/>
          <w:bCs/>
          <w:sz w:val="22"/>
          <w:szCs w:val="22"/>
        </w:rPr>
      </w:pPr>
      <w:r w:rsidRPr="00107A01">
        <w:rPr>
          <w:rFonts w:asciiTheme="minorHAnsi" w:hAnsiTheme="minorHAnsi"/>
          <w:sz w:val="22"/>
          <w:szCs w:val="22"/>
        </w:rPr>
        <w:t>We have no comments on this issue.</w:t>
      </w:r>
    </w:p>
    <w:p w:rsidR="006821CF" w:rsidRPr="00107A01" w:rsidRDefault="006821CF" w:rsidP="00804BFE">
      <w:pPr>
        <w:rPr>
          <w:rFonts w:asciiTheme="minorHAnsi" w:hAnsiTheme="minorHAnsi"/>
          <w:b/>
          <w:bCs/>
          <w:color w:val="1F497D"/>
          <w:sz w:val="22"/>
          <w:szCs w:val="22"/>
        </w:rPr>
      </w:pPr>
    </w:p>
    <w:p w:rsidR="00FC3F7C" w:rsidRDefault="00107A01" w:rsidP="00D17540">
      <w:pPr>
        <w:rPr>
          <w:rFonts w:asciiTheme="minorHAnsi" w:hAnsiTheme="minorHAnsi"/>
          <w:b/>
          <w:bCs/>
          <w:color w:val="1F497D"/>
          <w:sz w:val="22"/>
          <w:szCs w:val="22"/>
        </w:rPr>
      </w:pPr>
      <w:r>
        <w:rPr>
          <w:rFonts w:asciiTheme="minorHAnsi" w:hAnsiTheme="minorHAnsi"/>
          <w:b/>
          <w:bCs/>
          <w:sz w:val="22"/>
          <w:szCs w:val="22"/>
        </w:rPr>
        <w:t xml:space="preserve">Q56: </w:t>
      </w:r>
      <w:r w:rsidR="006821CF" w:rsidRPr="00107A01">
        <w:rPr>
          <w:rFonts w:asciiTheme="minorHAnsi" w:hAnsiTheme="minorHAnsi"/>
          <w:b/>
          <w:bCs/>
          <w:sz w:val="22"/>
          <w:szCs w:val="22"/>
        </w:rPr>
        <w:t>Do you consider that the elements outlined above would rightly outline the appropriate framework for determining concentration limits? Should ESMA consider other elements? Please justify your answer.</w:t>
      </w:r>
    </w:p>
    <w:p w:rsidR="006821CF" w:rsidRPr="00107A01" w:rsidRDefault="006821CF" w:rsidP="00804BFE">
      <w:pPr>
        <w:rPr>
          <w:rFonts w:asciiTheme="minorHAnsi" w:hAnsiTheme="minorHAnsi"/>
          <w:b/>
          <w:bCs/>
          <w:color w:val="1F497D"/>
          <w:sz w:val="22"/>
          <w:szCs w:val="22"/>
        </w:rPr>
      </w:pPr>
    </w:p>
    <w:p w:rsidR="00FC3F7C" w:rsidRDefault="006821CF" w:rsidP="00D17540">
      <w:pPr>
        <w:rPr>
          <w:rFonts w:asciiTheme="minorHAnsi" w:hAnsiTheme="minorHAnsi"/>
          <w:b/>
          <w:bCs/>
          <w:sz w:val="22"/>
          <w:szCs w:val="22"/>
        </w:rPr>
      </w:pPr>
      <w:r w:rsidRPr="00107A01">
        <w:rPr>
          <w:rFonts w:asciiTheme="minorHAnsi" w:hAnsiTheme="minorHAnsi"/>
          <w:sz w:val="22"/>
          <w:szCs w:val="22"/>
        </w:rPr>
        <w:t>We have no comments on this issue.</w:t>
      </w:r>
    </w:p>
    <w:p w:rsidR="006821CF" w:rsidRPr="00107A01" w:rsidRDefault="006821CF" w:rsidP="00804BFE">
      <w:pPr>
        <w:rPr>
          <w:rFonts w:asciiTheme="minorHAnsi" w:hAnsiTheme="minorHAnsi"/>
          <w:b/>
          <w:bCs/>
          <w:color w:val="1F497D"/>
          <w:sz w:val="22"/>
          <w:szCs w:val="22"/>
        </w:rPr>
      </w:pPr>
    </w:p>
    <w:p w:rsidR="006821CF" w:rsidRPr="00107A01" w:rsidRDefault="006821CF" w:rsidP="00804BFE">
      <w:pPr>
        <w:rPr>
          <w:rFonts w:asciiTheme="minorHAnsi" w:hAnsiTheme="minorHAnsi"/>
          <w:b/>
          <w:bCs/>
          <w:sz w:val="22"/>
          <w:szCs w:val="22"/>
          <w:u w:val="single"/>
        </w:rPr>
      </w:pPr>
    </w:p>
    <w:p w:rsidR="00FC3F7C" w:rsidRDefault="006821CF" w:rsidP="00D17540">
      <w:pPr>
        <w:rPr>
          <w:rFonts w:asciiTheme="minorHAnsi" w:hAnsiTheme="minorHAnsi"/>
          <w:b/>
          <w:bCs/>
          <w:color w:val="1F497D"/>
          <w:sz w:val="22"/>
          <w:szCs w:val="22"/>
          <w:u w:val="single"/>
        </w:rPr>
      </w:pPr>
      <w:r w:rsidRPr="00107A01">
        <w:rPr>
          <w:rFonts w:asciiTheme="minorHAnsi" w:hAnsiTheme="minorHAnsi"/>
          <w:b/>
          <w:bCs/>
          <w:sz w:val="22"/>
          <w:szCs w:val="22"/>
          <w:u w:val="single"/>
        </w:rPr>
        <w:t>Review of models, stress testing and back testing (Article 46)</w:t>
      </w:r>
    </w:p>
    <w:p w:rsidR="006821CF" w:rsidRPr="00107A01" w:rsidRDefault="006821CF" w:rsidP="00804BFE">
      <w:pPr>
        <w:rPr>
          <w:rFonts w:asciiTheme="minorHAnsi" w:hAnsiTheme="minorHAnsi"/>
          <w:b/>
          <w:bCs/>
          <w:color w:val="1F497D"/>
          <w:sz w:val="22"/>
          <w:szCs w:val="22"/>
        </w:rPr>
      </w:pPr>
    </w:p>
    <w:p w:rsidR="00FC3F7C" w:rsidRDefault="00107A01" w:rsidP="00D17540">
      <w:pPr>
        <w:rPr>
          <w:rFonts w:asciiTheme="minorHAnsi" w:hAnsiTheme="minorHAnsi"/>
          <w:b/>
          <w:bCs/>
          <w:sz w:val="22"/>
          <w:szCs w:val="22"/>
        </w:rPr>
      </w:pPr>
      <w:r>
        <w:rPr>
          <w:rFonts w:asciiTheme="minorHAnsi" w:hAnsiTheme="minorHAnsi"/>
          <w:b/>
          <w:bCs/>
          <w:sz w:val="22"/>
          <w:szCs w:val="22"/>
        </w:rPr>
        <w:t xml:space="preserve">Q57: </w:t>
      </w:r>
      <w:r w:rsidR="006821CF" w:rsidRPr="00107A01">
        <w:rPr>
          <w:rFonts w:asciiTheme="minorHAnsi" w:hAnsiTheme="minorHAnsi"/>
          <w:b/>
          <w:bCs/>
          <w:sz w:val="22"/>
          <w:szCs w:val="22"/>
        </w:rPr>
        <w:t>What are your views on the definitions of back and stress testing?</w:t>
      </w:r>
    </w:p>
    <w:p w:rsidR="006821CF" w:rsidRPr="00107A01" w:rsidRDefault="006821CF" w:rsidP="00804BFE">
      <w:pPr>
        <w:rPr>
          <w:rFonts w:asciiTheme="minorHAnsi" w:hAnsiTheme="minorHAnsi"/>
          <w:b/>
          <w:bCs/>
          <w:color w:val="1F497D"/>
          <w:sz w:val="22"/>
          <w:szCs w:val="22"/>
        </w:rPr>
      </w:pPr>
    </w:p>
    <w:p w:rsidR="00FC3F7C" w:rsidRDefault="00107A01" w:rsidP="00D17540">
      <w:pPr>
        <w:rPr>
          <w:rFonts w:asciiTheme="minorHAnsi" w:hAnsiTheme="minorHAnsi"/>
          <w:bCs/>
          <w:sz w:val="22"/>
          <w:szCs w:val="22"/>
        </w:rPr>
      </w:pPr>
      <w:r w:rsidRPr="00107A01">
        <w:rPr>
          <w:rFonts w:asciiTheme="minorHAnsi" w:hAnsiTheme="minorHAnsi"/>
          <w:bCs/>
          <w:sz w:val="22"/>
          <w:szCs w:val="22"/>
        </w:rPr>
        <w:t>There must be regular CCP back testing of initial</w:t>
      </w:r>
      <w:r>
        <w:rPr>
          <w:rFonts w:asciiTheme="minorHAnsi" w:hAnsiTheme="minorHAnsi"/>
          <w:bCs/>
          <w:sz w:val="22"/>
          <w:szCs w:val="22"/>
        </w:rPr>
        <w:t xml:space="preserve"> margin</w:t>
      </w:r>
      <w:r w:rsidRPr="00107A01">
        <w:rPr>
          <w:rFonts w:asciiTheme="minorHAnsi" w:hAnsiTheme="minorHAnsi"/>
          <w:bCs/>
          <w:sz w:val="22"/>
          <w:szCs w:val="22"/>
        </w:rPr>
        <w:t xml:space="preserve"> </w:t>
      </w:r>
      <w:r>
        <w:rPr>
          <w:rFonts w:asciiTheme="minorHAnsi" w:hAnsiTheme="minorHAnsi"/>
          <w:bCs/>
          <w:sz w:val="22"/>
          <w:szCs w:val="22"/>
        </w:rPr>
        <w:t>calculation</w:t>
      </w:r>
      <w:r w:rsidRPr="00107A01">
        <w:rPr>
          <w:rFonts w:asciiTheme="minorHAnsi" w:hAnsiTheme="minorHAnsi"/>
          <w:bCs/>
          <w:sz w:val="22"/>
          <w:szCs w:val="22"/>
        </w:rPr>
        <w:t xml:space="preserve"> and frequent disclosure to </w:t>
      </w:r>
      <w:r>
        <w:rPr>
          <w:rFonts w:asciiTheme="minorHAnsi" w:hAnsiTheme="minorHAnsi"/>
          <w:bCs/>
          <w:sz w:val="22"/>
          <w:szCs w:val="22"/>
        </w:rPr>
        <w:t>c</w:t>
      </w:r>
      <w:r w:rsidRPr="00107A01">
        <w:rPr>
          <w:rFonts w:asciiTheme="minorHAnsi" w:hAnsiTheme="minorHAnsi"/>
          <w:bCs/>
          <w:sz w:val="22"/>
          <w:szCs w:val="22"/>
        </w:rPr>
        <w:t xml:space="preserve">learing members and regulators of the methodology being used, the stress tests and results.  </w:t>
      </w:r>
      <w:r>
        <w:rPr>
          <w:rFonts w:asciiTheme="minorHAnsi" w:hAnsiTheme="minorHAnsi"/>
          <w:bCs/>
          <w:sz w:val="22"/>
          <w:szCs w:val="22"/>
        </w:rPr>
        <w:t>Compet</w:t>
      </w:r>
      <w:r w:rsidRPr="00107A01">
        <w:rPr>
          <w:rFonts w:asciiTheme="minorHAnsi" w:hAnsiTheme="minorHAnsi"/>
          <w:bCs/>
          <w:sz w:val="22"/>
          <w:szCs w:val="22"/>
        </w:rPr>
        <w:t xml:space="preserve">ent </w:t>
      </w:r>
      <w:r>
        <w:rPr>
          <w:rFonts w:asciiTheme="minorHAnsi" w:hAnsiTheme="minorHAnsi"/>
          <w:bCs/>
          <w:sz w:val="22"/>
          <w:szCs w:val="22"/>
        </w:rPr>
        <w:t>authorities</w:t>
      </w:r>
      <w:r w:rsidRPr="00107A01">
        <w:rPr>
          <w:rFonts w:asciiTheme="minorHAnsi" w:hAnsiTheme="minorHAnsi"/>
          <w:bCs/>
          <w:sz w:val="22"/>
          <w:szCs w:val="22"/>
        </w:rPr>
        <w:t xml:space="preserve"> should also </w:t>
      </w:r>
      <w:r>
        <w:rPr>
          <w:rFonts w:asciiTheme="minorHAnsi" w:hAnsiTheme="minorHAnsi"/>
          <w:bCs/>
          <w:sz w:val="22"/>
          <w:szCs w:val="22"/>
        </w:rPr>
        <w:t>have</w:t>
      </w:r>
      <w:r w:rsidRPr="00107A01">
        <w:rPr>
          <w:rFonts w:asciiTheme="minorHAnsi" w:hAnsiTheme="minorHAnsi"/>
          <w:bCs/>
          <w:sz w:val="22"/>
          <w:szCs w:val="22"/>
        </w:rPr>
        <w:t xml:space="preserve"> </w:t>
      </w:r>
      <w:r>
        <w:rPr>
          <w:rFonts w:asciiTheme="minorHAnsi" w:hAnsiTheme="minorHAnsi"/>
          <w:bCs/>
          <w:sz w:val="22"/>
          <w:szCs w:val="22"/>
        </w:rPr>
        <w:t>the ability to</w:t>
      </w:r>
      <w:r w:rsidRPr="00107A01">
        <w:rPr>
          <w:rFonts w:asciiTheme="minorHAnsi" w:hAnsiTheme="minorHAnsi"/>
          <w:bCs/>
          <w:sz w:val="22"/>
          <w:szCs w:val="22"/>
        </w:rPr>
        <w:t xml:space="preserve"> challenge the approach taken by CCPs and to request changes.  Any changes should be developed through open </w:t>
      </w:r>
      <w:r>
        <w:rPr>
          <w:rFonts w:asciiTheme="minorHAnsi" w:hAnsiTheme="minorHAnsi"/>
          <w:bCs/>
          <w:sz w:val="22"/>
          <w:szCs w:val="22"/>
        </w:rPr>
        <w:t>dialogue</w:t>
      </w:r>
      <w:r w:rsidRPr="00107A01">
        <w:rPr>
          <w:rFonts w:asciiTheme="minorHAnsi" w:hAnsiTheme="minorHAnsi"/>
          <w:bCs/>
          <w:sz w:val="22"/>
          <w:szCs w:val="22"/>
        </w:rPr>
        <w:t xml:space="preserve"> with clearing members. </w:t>
      </w:r>
    </w:p>
    <w:p w:rsidR="00107A01" w:rsidRPr="00107A01" w:rsidRDefault="00107A01" w:rsidP="00804BFE">
      <w:pPr>
        <w:rPr>
          <w:rFonts w:asciiTheme="minorHAnsi" w:hAnsiTheme="minorHAnsi"/>
          <w:b/>
          <w:bCs/>
          <w:color w:val="1F497D"/>
          <w:sz w:val="22"/>
          <w:szCs w:val="22"/>
        </w:rPr>
      </w:pPr>
    </w:p>
    <w:p w:rsidR="00FC3F7C" w:rsidRDefault="00107A01" w:rsidP="00D17540">
      <w:pPr>
        <w:rPr>
          <w:rFonts w:asciiTheme="minorHAnsi" w:hAnsiTheme="minorHAnsi"/>
          <w:b/>
          <w:bCs/>
          <w:color w:val="1F497D"/>
          <w:sz w:val="22"/>
          <w:szCs w:val="22"/>
        </w:rPr>
      </w:pPr>
      <w:r w:rsidRPr="00107A01">
        <w:rPr>
          <w:rFonts w:asciiTheme="minorHAnsi" w:hAnsiTheme="minorHAnsi"/>
          <w:b/>
          <w:bCs/>
          <w:sz w:val="22"/>
          <w:szCs w:val="22"/>
        </w:rPr>
        <w:t>Q58: What are your views on the possible requirements for a CCP’s validation process?</w:t>
      </w:r>
    </w:p>
    <w:p w:rsidR="00107A01" w:rsidRPr="00CC1383" w:rsidRDefault="00107A01" w:rsidP="00804BFE">
      <w:pPr>
        <w:rPr>
          <w:rFonts w:asciiTheme="minorHAnsi" w:hAnsiTheme="minorHAnsi"/>
          <w:b/>
          <w:bCs/>
          <w:color w:val="1F497D"/>
          <w:sz w:val="22"/>
          <w:szCs w:val="22"/>
        </w:rPr>
      </w:pPr>
    </w:p>
    <w:p w:rsidR="00FC3F7C" w:rsidRDefault="00107A01" w:rsidP="00D17540">
      <w:pPr>
        <w:rPr>
          <w:rFonts w:asciiTheme="minorHAnsi" w:hAnsiTheme="minorHAnsi"/>
          <w:b/>
          <w:bCs/>
          <w:sz w:val="22"/>
          <w:szCs w:val="22"/>
        </w:rPr>
      </w:pPr>
      <w:r w:rsidRPr="00CC1383">
        <w:rPr>
          <w:rFonts w:asciiTheme="minorHAnsi" w:hAnsiTheme="minorHAnsi"/>
          <w:sz w:val="22"/>
          <w:szCs w:val="22"/>
        </w:rPr>
        <w:t>We have no comments on this issue.</w:t>
      </w:r>
    </w:p>
    <w:p w:rsidR="00107A01" w:rsidRPr="00CC1383" w:rsidRDefault="00107A01" w:rsidP="00804BFE">
      <w:pPr>
        <w:rPr>
          <w:rFonts w:asciiTheme="minorHAnsi" w:hAnsiTheme="minorHAnsi"/>
          <w:b/>
          <w:bCs/>
          <w:color w:val="1F497D"/>
          <w:sz w:val="22"/>
          <w:szCs w:val="22"/>
        </w:rPr>
      </w:pPr>
    </w:p>
    <w:p w:rsidR="00FC3F7C" w:rsidRDefault="00107A01" w:rsidP="00D17540">
      <w:pPr>
        <w:pStyle w:val="Default"/>
        <w:rPr>
          <w:rFonts w:asciiTheme="minorHAnsi" w:hAnsiTheme="minorHAnsi"/>
          <w:sz w:val="22"/>
          <w:szCs w:val="22"/>
        </w:rPr>
      </w:pPr>
      <w:r w:rsidRPr="00CC1383">
        <w:rPr>
          <w:rFonts w:asciiTheme="minorHAnsi" w:hAnsiTheme="minorHAnsi"/>
          <w:b/>
          <w:bCs/>
          <w:sz w:val="22"/>
          <w:szCs w:val="22"/>
        </w:rPr>
        <w:t xml:space="preserve">Q59: What are your views on the possible back testing requirements? </w:t>
      </w:r>
    </w:p>
    <w:p w:rsidR="00107A01" w:rsidRPr="00CC1383" w:rsidRDefault="00107A01" w:rsidP="00107A01">
      <w:pPr>
        <w:pStyle w:val="Default"/>
        <w:rPr>
          <w:rFonts w:asciiTheme="minorHAnsi" w:hAnsiTheme="minorHAnsi"/>
          <w:b/>
          <w:bCs/>
          <w:sz w:val="22"/>
          <w:szCs w:val="22"/>
        </w:rPr>
      </w:pPr>
    </w:p>
    <w:p w:rsidR="00FC3F7C" w:rsidRDefault="00107A01" w:rsidP="00D17540">
      <w:pPr>
        <w:pStyle w:val="Default"/>
        <w:rPr>
          <w:rFonts w:asciiTheme="minorHAnsi" w:hAnsiTheme="minorHAnsi"/>
          <w:sz w:val="22"/>
          <w:szCs w:val="22"/>
        </w:rPr>
      </w:pPr>
      <w:r w:rsidRPr="00CC1383">
        <w:rPr>
          <w:rFonts w:asciiTheme="minorHAnsi" w:hAnsiTheme="minorHAnsi"/>
          <w:b/>
          <w:bCs/>
          <w:sz w:val="22"/>
          <w:szCs w:val="22"/>
        </w:rPr>
        <w:t xml:space="preserve">Q60: Would it be appropriate to mandate the disclosure of back testing results and analysis to clients if they request to see such information? </w:t>
      </w:r>
    </w:p>
    <w:p w:rsidR="00107A01" w:rsidRPr="00CC1383" w:rsidRDefault="00107A01" w:rsidP="00107A01">
      <w:pPr>
        <w:rPr>
          <w:rFonts w:asciiTheme="minorHAnsi" w:hAnsiTheme="minorHAnsi"/>
          <w:b/>
          <w:bCs/>
          <w:sz w:val="22"/>
          <w:szCs w:val="22"/>
        </w:rPr>
      </w:pPr>
    </w:p>
    <w:p w:rsidR="00FC3F7C" w:rsidRDefault="00107A01" w:rsidP="00D17540">
      <w:pPr>
        <w:rPr>
          <w:rFonts w:asciiTheme="minorHAnsi" w:hAnsiTheme="minorHAnsi"/>
          <w:b/>
          <w:bCs/>
          <w:color w:val="1F497D"/>
          <w:sz w:val="22"/>
          <w:szCs w:val="22"/>
        </w:rPr>
      </w:pPr>
      <w:r w:rsidRPr="00CC1383">
        <w:rPr>
          <w:rFonts w:asciiTheme="minorHAnsi" w:hAnsiTheme="minorHAnsi"/>
          <w:b/>
          <w:bCs/>
          <w:sz w:val="22"/>
          <w:szCs w:val="22"/>
        </w:rPr>
        <w:t>Q61: Should the time horizons for back tests specified under 144(e) be more granular? If so, what should the minimum time horizon be? Should this be different for different classes of financial instruments?</w:t>
      </w:r>
    </w:p>
    <w:p w:rsidR="00107A01" w:rsidRPr="00CC1383" w:rsidRDefault="00107A01" w:rsidP="00804BFE">
      <w:pPr>
        <w:rPr>
          <w:rFonts w:asciiTheme="minorHAnsi" w:hAnsiTheme="minorHAnsi"/>
          <w:b/>
          <w:bCs/>
          <w:color w:val="1F497D"/>
          <w:sz w:val="22"/>
          <w:szCs w:val="22"/>
        </w:rPr>
      </w:pPr>
    </w:p>
    <w:p w:rsidR="00FC3F7C" w:rsidRDefault="00107A01" w:rsidP="00D17540">
      <w:pPr>
        <w:rPr>
          <w:rFonts w:asciiTheme="minorHAnsi" w:hAnsiTheme="minorHAnsi"/>
          <w:b/>
          <w:bCs/>
          <w:sz w:val="22"/>
          <w:szCs w:val="22"/>
        </w:rPr>
      </w:pPr>
      <w:r w:rsidRPr="00CC1383">
        <w:rPr>
          <w:rFonts w:asciiTheme="minorHAnsi" w:hAnsiTheme="minorHAnsi"/>
          <w:sz w:val="22"/>
          <w:szCs w:val="22"/>
        </w:rPr>
        <w:t>We have no comments on these issues.</w:t>
      </w:r>
    </w:p>
    <w:p w:rsidR="00107A01" w:rsidRPr="00CC1383" w:rsidRDefault="00107A01" w:rsidP="00804BFE">
      <w:pPr>
        <w:rPr>
          <w:rFonts w:asciiTheme="minorHAnsi" w:hAnsiTheme="minorHAnsi"/>
          <w:b/>
          <w:bCs/>
          <w:color w:val="1F497D"/>
          <w:sz w:val="22"/>
          <w:szCs w:val="22"/>
        </w:rPr>
      </w:pPr>
    </w:p>
    <w:p w:rsidR="00FC3F7C" w:rsidRDefault="00107A01" w:rsidP="00D17540">
      <w:pPr>
        <w:pStyle w:val="Default"/>
        <w:rPr>
          <w:rFonts w:asciiTheme="minorHAnsi" w:hAnsiTheme="minorHAnsi"/>
          <w:sz w:val="22"/>
          <w:szCs w:val="22"/>
        </w:rPr>
      </w:pPr>
      <w:r w:rsidRPr="00CC1383">
        <w:rPr>
          <w:rFonts w:asciiTheme="minorHAnsi" w:hAnsiTheme="minorHAnsi"/>
          <w:b/>
          <w:bCs/>
          <w:sz w:val="22"/>
          <w:szCs w:val="22"/>
        </w:rPr>
        <w:t xml:space="preserve">Q62: What are your views on the possible stress testing requirements? </w:t>
      </w:r>
    </w:p>
    <w:p w:rsidR="00107A01" w:rsidRPr="00CC1383" w:rsidRDefault="00107A01" w:rsidP="00107A01">
      <w:pPr>
        <w:rPr>
          <w:rFonts w:asciiTheme="minorHAnsi" w:hAnsiTheme="minorHAnsi"/>
          <w:b/>
          <w:bCs/>
          <w:sz w:val="22"/>
          <w:szCs w:val="22"/>
        </w:rPr>
      </w:pPr>
    </w:p>
    <w:p w:rsidR="00FC3F7C" w:rsidRDefault="00107A01" w:rsidP="00D17540">
      <w:pPr>
        <w:rPr>
          <w:rFonts w:asciiTheme="minorHAnsi" w:hAnsiTheme="minorHAnsi"/>
          <w:b/>
          <w:bCs/>
          <w:color w:val="1F497D"/>
          <w:sz w:val="22"/>
          <w:szCs w:val="22"/>
        </w:rPr>
      </w:pPr>
      <w:r w:rsidRPr="00CC1383">
        <w:rPr>
          <w:rFonts w:asciiTheme="minorHAnsi" w:hAnsiTheme="minorHAnsi"/>
          <w:b/>
          <w:bCs/>
          <w:sz w:val="22"/>
          <w:szCs w:val="22"/>
        </w:rPr>
        <w:t>Q63: Would it be appropriate to mandate the disclosure of stress testing results and analysis to clients if they request to see such information?</w:t>
      </w:r>
    </w:p>
    <w:p w:rsidR="00107A01" w:rsidRPr="00CC1383" w:rsidRDefault="00107A01" w:rsidP="00804BFE">
      <w:pPr>
        <w:rPr>
          <w:rFonts w:asciiTheme="minorHAnsi" w:hAnsiTheme="minorHAnsi"/>
          <w:b/>
          <w:bCs/>
          <w:color w:val="1F497D"/>
          <w:sz w:val="22"/>
          <w:szCs w:val="22"/>
        </w:rPr>
      </w:pPr>
    </w:p>
    <w:p w:rsidR="00FC3F7C" w:rsidRDefault="00107A01" w:rsidP="00D17540">
      <w:pPr>
        <w:rPr>
          <w:rFonts w:asciiTheme="minorHAnsi" w:hAnsiTheme="minorHAnsi"/>
          <w:bCs/>
          <w:sz w:val="22"/>
          <w:szCs w:val="22"/>
        </w:rPr>
      </w:pPr>
      <w:r w:rsidRPr="00CC1383">
        <w:rPr>
          <w:rFonts w:asciiTheme="minorHAnsi" w:hAnsiTheme="minorHAnsi"/>
          <w:bCs/>
          <w:sz w:val="22"/>
          <w:szCs w:val="22"/>
        </w:rPr>
        <w:lastRenderedPageBreak/>
        <w:t xml:space="preserve">Yes.  The process and method of stress testing must be fully transparent to clearing members. </w:t>
      </w:r>
    </w:p>
    <w:p w:rsidR="00107A01" w:rsidRPr="00CC1383" w:rsidRDefault="00107A01" w:rsidP="00804BFE">
      <w:pPr>
        <w:rPr>
          <w:rFonts w:asciiTheme="minorHAnsi" w:hAnsiTheme="minorHAnsi"/>
          <w:b/>
          <w:bCs/>
          <w:color w:val="1F497D"/>
          <w:sz w:val="22"/>
          <w:szCs w:val="22"/>
        </w:rPr>
      </w:pPr>
    </w:p>
    <w:p w:rsidR="00FC3F7C" w:rsidRDefault="00107A01" w:rsidP="00D17540">
      <w:pPr>
        <w:rPr>
          <w:rFonts w:asciiTheme="minorHAnsi" w:hAnsiTheme="minorHAnsi"/>
          <w:b/>
          <w:bCs/>
          <w:sz w:val="22"/>
          <w:szCs w:val="22"/>
        </w:rPr>
      </w:pPr>
      <w:r w:rsidRPr="00CC1383">
        <w:rPr>
          <w:rFonts w:asciiTheme="minorHAnsi" w:hAnsiTheme="minorHAnsi"/>
          <w:b/>
          <w:bCs/>
          <w:sz w:val="22"/>
          <w:szCs w:val="22"/>
        </w:rPr>
        <w:t>Q64: What are your views on the possible requirements for reverse stress tests? And what impact do you think such requirements would have on industry?</w:t>
      </w:r>
    </w:p>
    <w:p w:rsidR="00107A01" w:rsidRPr="00CC1383" w:rsidRDefault="00107A01" w:rsidP="00804BFE">
      <w:pPr>
        <w:rPr>
          <w:rFonts w:asciiTheme="minorHAnsi" w:hAnsiTheme="minorHAnsi"/>
          <w:b/>
          <w:bCs/>
          <w:sz w:val="22"/>
          <w:szCs w:val="22"/>
        </w:rPr>
      </w:pPr>
    </w:p>
    <w:p w:rsidR="00FC3F7C" w:rsidRDefault="00107A01" w:rsidP="00D17540">
      <w:pPr>
        <w:rPr>
          <w:rFonts w:asciiTheme="minorHAnsi" w:hAnsiTheme="minorHAnsi"/>
          <w:b/>
          <w:bCs/>
          <w:sz w:val="22"/>
          <w:szCs w:val="22"/>
        </w:rPr>
      </w:pPr>
      <w:r w:rsidRPr="00CC1383">
        <w:rPr>
          <w:rFonts w:asciiTheme="minorHAnsi" w:hAnsiTheme="minorHAnsi"/>
          <w:sz w:val="22"/>
          <w:szCs w:val="22"/>
        </w:rPr>
        <w:t>We have no comments on this issue.</w:t>
      </w:r>
    </w:p>
    <w:p w:rsidR="00107A01" w:rsidRPr="00CC1383" w:rsidRDefault="00107A01" w:rsidP="00804BFE">
      <w:pPr>
        <w:rPr>
          <w:rFonts w:asciiTheme="minorHAnsi" w:hAnsiTheme="minorHAnsi"/>
          <w:b/>
          <w:bCs/>
          <w:color w:val="1F497D"/>
          <w:sz w:val="22"/>
          <w:szCs w:val="22"/>
        </w:rPr>
      </w:pPr>
    </w:p>
    <w:p w:rsidR="00FC3F7C" w:rsidRDefault="00107A01" w:rsidP="00D17540">
      <w:pPr>
        <w:rPr>
          <w:rFonts w:asciiTheme="minorHAnsi" w:hAnsiTheme="minorHAnsi"/>
          <w:b/>
          <w:bCs/>
          <w:sz w:val="22"/>
          <w:szCs w:val="22"/>
        </w:rPr>
      </w:pPr>
      <w:r w:rsidRPr="00CC1383">
        <w:rPr>
          <w:rFonts w:asciiTheme="minorHAnsi" w:hAnsiTheme="minorHAnsi"/>
          <w:b/>
          <w:bCs/>
          <w:sz w:val="22"/>
          <w:szCs w:val="22"/>
        </w:rPr>
        <w:t>Q65: Should there be any other parties involved in the definition and review of tests? Please justify your answer and explain the extent to which suggested parties should be involved?</w:t>
      </w:r>
    </w:p>
    <w:p w:rsidR="00107A01" w:rsidRPr="00CC1383" w:rsidRDefault="00107A01" w:rsidP="00804BFE">
      <w:pPr>
        <w:rPr>
          <w:rFonts w:asciiTheme="minorHAnsi" w:hAnsiTheme="minorHAnsi"/>
          <w:b/>
          <w:bCs/>
          <w:sz w:val="22"/>
          <w:szCs w:val="22"/>
        </w:rPr>
      </w:pPr>
    </w:p>
    <w:p w:rsidR="00FC3F7C" w:rsidRDefault="00107A01" w:rsidP="00D17540">
      <w:pPr>
        <w:rPr>
          <w:rFonts w:asciiTheme="minorHAnsi" w:hAnsiTheme="minorHAnsi"/>
          <w:b/>
          <w:bCs/>
          <w:sz w:val="22"/>
          <w:szCs w:val="22"/>
        </w:rPr>
      </w:pPr>
      <w:r w:rsidRPr="00CC1383">
        <w:rPr>
          <w:rFonts w:asciiTheme="minorHAnsi" w:hAnsiTheme="minorHAnsi"/>
          <w:sz w:val="22"/>
          <w:szCs w:val="22"/>
        </w:rPr>
        <w:t>We have no comments on this issue.</w:t>
      </w:r>
    </w:p>
    <w:p w:rsidR="00107A01" w:rsidRPr="00CC1383" w:rsidRDefault="00107A01" w:rsidP="00804BFE">
      <w:pPr>
        <w:rPr>
          <w:rFonts w:asciiTheme="minorHAnsi" w:hAnsiTheme="minorHAnsi"/>
          <w:b/>
          <w:bCs/>
          <w:color w:val="1F497D"/>
          <w:sz w:val="22"/>
          <w:szCs w:val="22"/>
        </w:rPr>
      </w:pPr>
    </w:p>
    <w:p w:rsidR="00FC3F7C" w:rsidRDefault="00107A01" w:rsidP="00D17540">
      <w:pPr>
        <w:rPr>
          <w:rFonts w:asciiTheme="minorHAnsi" w:hAnsiTheme="minorHAnsi"/>
          <w:b/>
          <w:bCs/>
          <w:sz w:val="22"/>
          <w:szCs w:val="22"/>
        </w:rPr>
      </w:pPr>
      <w:r w:rsidRPr="00CC1383">
        <w:rPr>
          <w:rFonts w:asciiTheme="minorHAnsi" w:hAnsiTheme="minorHAnsi"/>
          <w:b/>
          <w:bCs/>
          <w:sz w:val="22"/>
          <w:szCs w:val="22"/>
        </w:rPr>
        <w:t>Q66: Should the testing of default procedures involve a simulation process?</w:t>
      </w:r>
    </w:p>
    <w:p w:rsidR="00107A01" w:rsidRPr="00CC1383" w:rsidRDefault="00107A01" w:rsidP="00804BFE">
      <w:pPr>
        <w:rPr>
          <w:rFonts w:asciiTheme="minorHAnsi" w:hAnsiTheme="minorHAnsi"/>
          <w:b/>
          <w:bCs/>
          <w:color w:val="1F497D"/>
          <w:sz w:val="22"/>
          <w:szCs w:val="22"/>
        </w:rPr>
      </w:pPr>
    </w:p>
    <w:p w:rsidR="00FC3F7C" w:rsidRDefault="00107A01" w:rsidP="00D17540">
      <w:pPr>
        <w:rPr>
          <w:rFonts w:asciiTheme="minorHAnsi" w:hAnsiTheme="minorHAnsi"/>
          <w:b/>
          <w:bCs/>
          <w:sz w:val="22"/>
          <w:szCs w:val="22"/>
        </w:rPr>
      </w:pPr>
      <w:r w:rsidRPr="00CC1383">
        <w:rPr>
          <w:rFonts w:asciiTheme="minorHAnsi" w:hAnsiTheme="minorHAnsi"/>
          <w:sz w:val="22"/>
          <w:szCs w:val="22"/>
        </w:rPr>
        <w:t>We have no comments on this issue.</w:t>
      </w:r>
    </w:p>
    <w:p w:rsidR="00107A01" w:rsidRPr="00CC1383" w:rsidRDefault="00107A01" w:rsidP="00804BFE">
      <w:pPr>
        <w:rPr>
          <w:rFonts w:asciiTheme="minorHAnsi" w:hAnsiTheme="minorHAnsi"/>
          <w:b/>
          <w:bCs/>
          <w:color w:val="1F497D"/>
          <w:sz w:val="22"/>
          <w:szCs w:val="22"/>
        </w:rPr>
      </w:pPr>
    </w:p>
    <w:p w:rsidR="00FC3F7C" w:rsidRDefault="00107A01" w:rsidP="00D17540">
      <w:pPr>
        <w:rPr>
          <w:rFonts w:asciiTheme="minorHAnsi" w:hAnsiTheme="minorHAnsi"/>
          <w:b/>
          <w:bCs/>
          <w:sz w:val="22"/>
          <w:szCs w:val="22"/>
        </w:rPr>
      </w:pPr>
      <w:r w:rsidRPr="00CC1383">
        <w:rPr>
          <w:rFonts w:asciiTheme="minorHAnsi" w:hAnsiTheme="minorHAnsi"/>
          <w:b/>
          <w:bCs/>
          <w:sz w:val="22"/>
          <w:szCs w:val="22"/>
        </w:rPr>
        <w:t>Q67: Are the frequencies specified above appropriate? If no, please justify your answer.</w:t>
      </w:r>
    </w:p>
    <w:p w:rsidR="00107A01" w:rsidRPr="00CC1383" w:rsidRDefault="00107A01" w:rsidP="00804BFE">
      <w:pPr>
        <w:rPr>
          <w:rFonts w:asciiTheme="minorHAnsi" w:hAnsiTheme="minorHAnsi"/>
          <w:b/>
          <w:bCs/>
          <w:sz w:val="22"/>
          <w:szCs w:val="22"/>
        </w:rPr>
      </w:pPr>
    </w:p>
    <w:p w:rsidR="00FC3F7C" w:rsidRDefault="00107A01" w:rsidP="00D17540">
      <w:pPr>
        <w:rPr>
          <w:rFonts w:asciiTheme="minorHAnsi" w:hAnsiTheme="minorHAnsi"/>
          <w:b/>
          <w:bCs/>
          <w:sz w:val="22"/>
          <w:szCs w:val="22"/>
        </w:rPr>
      </w:pPr>
      <w:r w:rsidRPr="00CC1383">
        <w:rPr>
          <w:rFonts w:asciiTheme="minorHAnsi" w:hAnsiTheme="minorHAnsi"/>
          <w:sz w:val="22"/>
          <w:szCs w:val="22"/>
        </w:rPr>
        <w:t>We have no comments on this issue.</w:t>
      </w:r>
    </w:p>
    <w:p w:rsidR="00107A01" w:rsidRPr="00CC1383" w:rsidRDefault="00107A01" w:rsidP="00804BFE">
      <w:pPr>
        <w:rPr>
          <w:rFonts w:asciiTheme="minorHAnsi" w:hAnsiTheme="minorHAnsi"/>
          <w:b/>
          <w:bCs/>
          <w:color w:val="1F497D"/>
          <w:sz w:val="22"/>
          <w:szCs w:val="22"/>
        </w:rPr>
      </w:pPr>
    </w:p>
    <w:p w:rsidR="00FC3F7C" w:rsidRDefault="00107A01" w:rsidP="00D17540">
      <w:pPr>
        <w:rPr>
          <w:rFonts w:asciiTheme="minorHAnsi" w:hAnsiTheme="minorHAnsi"/>
          <w:b/>
          <w:bCs/>
          <w:sz w:val="22"/>
          <w:szCs w:val="22"/>
        </w:rPr>
      </w:pPr>
      <w:r w:rsidRPr="00CC1383">
        <w:rPr>
          <w:rFonts w:asciiTheme="minorHAnsi" w:hAnsiTheme="minorHAnsi"/>
          <w:b/>
          <w:bCs/>
          <w:sz w:val="22"/>
          <w:szCs w:val="22"/>
        </w:rPr>
        <w:t>Q68: In your view what key information regarding CCP risk management models and assumptions adopted to perform stress tests should be publicly disclosed?</w:t>
      </w:r>
    </w:p>
    <w:p w:rsidR="00CC1383" w:rsidRPr="00CC1383" w:rsidRDefault="00CC1383" w:rsidP="00804BFE">
      <w:pPr>
        <w:rPr>
          <w:rFonts w:asciiTheme="minorHAnsi" w:hAnsiTheme="minorHAnsi"/>
          <w:b/>
          <w:bCs/>
          <w:sz w:val="22"/>
          <w:szCs w:val="22"/>
        </w:rPr>
      </w:pPr>
    </w:p>
    <w:p w:rsidR="00FC3F7C" w:rsidRDefault="00CC1383" w:rsidP="00D17540">
      <w:pPr>
        <w:rPr>
          <w:rFonts w:asciiTheme="minorHAnsi" w:hAnsiTheme="minorHAnsi"/>
          <w:b/>
          <w:bCs/>
          <w:color w:val="1F497D"/>
          <w:sz w:val="22"/>
          <w:szCs w:val="22"/>
        </w:rPr>
      </w:pPr>
      <w:r w:rsidRPr="00CC1383">
        <w:rPr>
          <w:rFonts w:asciiTheme="minorHAnsi" w:hAnsiTheme="minorHAnsi"/>
          <w:sz w:val="22"/>
          <w:szCs w:val="22"/>
        </w:rPr>
        <w:t>We have no comments on this issue.</w:t>
      </w:r>
    </w:p>
    <w:p w:rsidR="00107A01" w:rsidRPr="00CC1383" w:rsidRDefault="00107A01" w:rsidP="00804BFE">
      <w:pPr>
        <w:rPr>
          <w:rFonts w:asciiTheme="minorHAnsi" w:hAnsiTheme="minorHAnsi"/>
          <w:b/>
          <w:bCs/>
          <w:color w:val="1F497D"/>
          <w:sz w:val="22"/>
          <w:szCs w:val="22"/>
        </w:rPr>
      </w:pPr>
    </w:p>
    <w:p w:rsidR="00107A01" w:rsidRPr="00CC1383" w:rsidRDefault="00107A01" w:rsidP="00804BFE">
      <w:pPr>
        <w:rPr>
          <w:rFonts w:asciiTheme="minorHAnsi" w:hAnsiTheme="minorHAnsi"/>
          <w:b/>
          <w:bCs/>
          <w:color w:val="1F497D"/>
          <w:sz w:val="22"/>
          <w:szCs w:val="22"/>
        </w:rPr>
      </w:pPr>
    </w:p>
    <w:p w:rsidR="00FC3F7C" w:rsidRDefault="00EE0AE9" w:rsidP="00D17540">
      <w:pPr>
        <w:rPr>
          <w:rFonts w:asciiTheme="minorHAnsi" w:hAnsiTheme="minorHAnsi"/>
          <w:b/>
          <w:bCs/>
          <w:sz w:val="22"/>
          <w:szCs w:val="22"/>
          <w:u w:val="single"/>
        </w:rPr>
      </w:pPr>
      <w:r>
        <w:rPr>
          <w:rFonts w:asciiTheme="minorHAnsi" w:hAnsiTheme="minorHAnsi"/>
          <w:b/>
          <w:bCs/>
          <w:sz w:val="22"/>
          <w:szCs w:val="22"/>
          <w:u w:val="single"/>
        </w:rPr>
        <w:t>Reporting</w:t>
      </w:r>
      <w:r w:rsidR="00CC1383">
        <w:rPr>
          <w:rFonts w:asciiTheme="minorHAnsi" w:hAnsiTheme="minorHAnsi"/>
          <w:b/>
          <w:bCs/>
          <w:sz w:val="22"/>
          <w:szCs w:val="22"/>
          <w:u w:val="single"/>
        </w:rPr>
        <w:t xml:space="preserve"> </w:t>
      </w:r>
      <w:r>
        <w:rPr>
          <w:rFonts w:asciiTheme="minorHAnsi" w:hAnsiTheme="minorHAnsi"/>
          <w:b/>
          <w:bCs/>
          <w:sz w:val="22"/>
          <w:szCs w:val="22"/>
          <w:u w:val="single"/>
        </w:rPr>
        <w:t>obligation</w:t>
      </w:r>
      <w:r w:rsidR="00CC1383">
        <w:rPr>
          <w:rFonts w:asciiTheme="minorHAnsi" w:hAnsiTheme="minorHAnsi"/>
          <w:b/>
          <w:bCs/>
          <w:sz w:val="22"/>
          <w:szCs w:val="22"/>
          <w:u w:val="single"/>
        </w:rPr>
        <w:t xml:space="preserve"> (</w:t>
      </w:r>
      <w:r>
        <w:rPr>
          <w:rFonts w:asciiTheme="minorHAnsi" w:hAnsiTheme="minorHAnsi"/>
          <w:b/>
          <w:bCs/>
          <w:sz w:val="22"/>
          <w:szCs w:val="22"/>
          <w:u w:val="single"/>
        </w:rPr>
        <w:t>Article</w:t>
      </w:r>
      <w:r w:rsidR="00CC1383">
        <w:rPr>
          <w:rFonts w:asciiTheme="minorHAnsi" w:hAnsiTheme="minorHAnsi"/>
          <w:b/>
          <w:bCs/>
          <w:sz w:val="22"/>
          <w:szCs w:val="22"/>
          <w:u w:val="single"/>
        </w:rPr>
        <w:t xml:space="preserve"> 6/7)</w:t>
      </w:r>
    </w:p>
    <w:p w:rsidR="00CC1383" w:rsidRDefault="00CC1383" w:rsidP="00804BFE">
      <w:pPr>
        <w:rPr>
          <w:rFonts w:asciiTheme="minorHAnsi" w:hAnsiTheme="minorHAnsi"/>
          <w:b/>
          <w:bCs/>
          <w:sz w:val="22"/>
          <w:szCs w:val="22"/>
          <w:u w:val="single"/>
        </w:rPr>
      </w:pPr>
    </w:p>
    <w:p w:rsidR="00AD2700" w:rsidRDefault="00AD2700" w:rsidP="00AD2700">
      <w:pPr>
        <w:jc w:val="both"/>
        <w:rPr>
          <w:rFonts w:asciiTheme="minorHAnsi" w:hAnsiTheme="minorHAnsi" w:cstheme="minorHAnsi"/>
          <w:bCs/>
          <w:sz w:val="22"/>
          <w:szCs w:val="22"/>
        </w:rPr>
      </w:pPr>
      <w:r>
        <w:rPr>
          <w:rFonts w:asciiTheme="minorHAnsi" w:hAnsiTheme="minorHAnsi" w:cstheme="minorHAnsi"/>
          <w:bCs/>
          <w:sz w:val="22"/>
          <w:szCs w:val="22"/>
        </w:rPr>
        <w:t>N</w:t>
      </w:r>
      <w:r w:rsidRPr="005E6C94">
        <w:rPr>
          <w:rFonts w:asciiTheme="minorHAnsi" w:hAnsiTheme="minorHAnsi" w:cstheme="minorHAnsi"/>
          <w:bCs/>
          <w:sz w:val="22"/>
          <w:szCs w:val="22"/>
        </w:rPr>
        <w:t>on-financial firms have not</w:t>
      </w:r>
      <w:r>
        <w:rPr>
          <w:rFonts w:asciiTheme="minorHAnsi" w:hAnsiTheme="minorHAnsi" w:cstheme="minorHAnsi"/>
          <w:bCs/>
          <w:sz w:val="22"/>
          <w:szCs w:val="22"/>
        </w:rPr>
        <w:t>, as yet,</w:t>
      </w:r>
      <w:r w:rsidRPr="005E6C94">
        <w:rPr>
          <w:rFonts w:asciiTheme="minorHAnsi" w:hAnsiTheme="minorHAnsi" w:cstheme="minorHAnsi"/>
          <w:bCs/>
          <w:sz w:val="22"/>
          <w:szCs w:val="22"/>
        </w:rPr>
        <w:t xml:space="preserve"> been</w:t>
      </w:r>
      <w:r>
        <w:rPr>
          <w:rFonts w:asciiTheme="minorHAnsi" w:hAnsiTheme="minorHAnsi" w:cstheme="minorHAnsi"/>
          <w:bCs/>
          <w:sz w:val="22"/>
          <w:szCs w:val="22"/>
        </w:rPr>
        <w:t xml:space="preserve"> subject to detailed transaction reporting regimes (unlike financial firms) and as such implementation of the reporting obligations under EMIR and REMIT will involve significant development of existing systems and possible implementation of new processes, IT architecture and agreements.  In order to ensure that non-financial firms have sufficient time to implement the necessary requirements it is recommended that the go-live for the reporting requirements is pushed back to later in 2013.  This is particularly important as ESMA will only provide its advice to the EC in September on the implementing rules under EMIR after which they will need to be made legally binding – as such this will not leave a reasonable implementation period for non-financial firms. This will also help with coordinating implementation with the expected REMIT requirements and we urge EMSA to coordinate with ACER both in terms of a timetable for development and implementation of the reporting requirements and the format and content of the arrangements. </w:t>
      </w:r>
    </w:p>
    <w:p w:rsidR="00AD2700" w:rsidRDefault="00AD2700" w:rsidP="00AD2700">
      <w:pPr>
        <w:jc w:val="both"/>
        <w:rPr>
          <w:rFonts w:asciiTheme="minorHAnsi" w:hAnsiTheme="minorHAnsi" w:cstheme="minorHAnsi"/>
          <w:bCs/>
          <w:sz w:val="22"/>
          <w:szCs w:val="22"/>
        </w:rPr>
      </w:pPr>
    </w:p>
    <w:p w:rsidR="00AD2700" w:rsidRPr="005E6C94" w:rsidRDefault="00AD2700" w:rsidP="00AD2700">
      <w:pPr>
        <w:jc w:val="both"/>
        <w:rPr>
          <w:rFonts w:asciiTheme="minorHAnsi" w:hAnsiTheme="minorHAnsi"/>
          <w:sz w:val="22"/>
          <w:szCs w:val="22"/>
          <w:lang w:val="fr-FR"/>
        </w:rPr>
      </w:pPr>
      <w:r>
        <w:rPr>
          <w:rFonts w:asciiTheme="minorHAnsi" w:hAnsiTheme="minorHAnsi" w:cstheme="minorHAnsi"/>
          <w:bCs/>
          <w:sz w:val="22"/>
          <w:szCs w:val="22"/>
        </w:rPr>
        <w:t>We also ecommend that ESMA and ACER hold joint workshops with relevant experts from companies to help further develop the reporting requirements under EMIR and REMIT.</w:t>
      </w:r>
    </w:p>
    <w:p w:rsidR="00AD2700" w:rsidRDefault="00AD2700" w:rsidP="00804BFE">
      <w:pPr>
        <w:rPr>
          <w:rFonts w:asciiTheme="minorHAnsi" w:hAnsiTheme="minorHAnsi"/>
          <w:b/>
          <w:bCs/>
          <w:sz w:val="22"/>
          <w:szCs w:val="22"/>
          <w:u w:val="single"/>
        </w:rPr>
      </w:pPr>
    </w:p>
    <w:p w:rsidR="00FC3F7C" w:rsidRDefault="00CC1383" w:rsidP="00D17540">
      <w:pPr>
        <w:jc w:val="both"/>
        <w:rPr>
          <w:rFonts w:asciiTheme="minorHAnsi" w:hAnsiTheme="minorHAnsi" w:cs="Calibri"/>
          <w:b/>
          <w:sz w:val="22"/>
          <w:szCs w:val="22"/>
        </w:rPr>
      </w:pPr>
      <w:r w:rsidRPr="00EE0AE9">
        <w:rPr>
          <w:rFonts w:asciiTheme="minorHAnsi" w:hAnsiTheme="minorHAnsi" w:cs="Calibri"/>
          <w:b/>
          <w:sz w:val="22"/>
          <w:szCs w:val="22"/>
        </w:rPr>
        <w:t>Q69: What is your view on the need to ensure consistency between different transaction reporting mechanisms and the best ways to address it, having in mind any specific items to be reported where particular challenges could be anticipated?</w:t>
      </w:r>
    </w:p>
    <w:p w:rsidR="00CC1383" w:rsidRPr="00EE0AE9" w:rsidRDefault="00CC1383" w:rsidP="00804BFE">
      <w:pPr>
        <w:rPr>
          <w:rFonts w:asciiTheme="minorHAnsi" w:hAnsiTheme="minorHAnsi"/>
          <w:b/>
          <w:bCs/>
          <w:sz w:val="22"/>
          <w:szCs w:val="22"/>
        </w:rPr>
      </w:pPr>
    </w:p>
    <w:p w:rsidR="00FC3F7C" w:rsidRDefault="00CC1383" w:rsidP="00D17540">
      <w:pPr>
        <w:jc w:val="both"/>
        <w:rPr>
          <w:rFonts w:asciiTheme="minorHAnsi" w:hAnsiTheme="minorHAnsi" w:cs="Calibri"/>
          <w:sz w:val="22"/>
          <w:szCs w:val="22"/>
        </w:rPr>
      </w:pPr>
      <w:r w:rsidRPr="00EE0AE9">
        <w:rPr>
          <w:rFonts w:asciiTheme="minorHAnsi" w:hAnsiTheme="minorHAnsi" w:cs="Calibri"/>
          <w:sz w:val="22"/>
          <w:szCs w:val="22"/>
        </w:rPr>
        <w:t xml:space="preserve">Consistency of format and codification schemes is essential if reporting complexity and </w:t>
      </w:r>
      <w:r w:rsidR="00FC3F7C">
        <w:rPr>
          <w:rFonts w:asciiTheme="minorHAnsi" w:hAnsiTheme="minorHAnsi" w:cs="Calibri"/>
          <w:sz w:val="22"/>
          <w:szCs w:val="22"/>
        </w:rPr>
        <w:t xml:space="preserve">costs </w:t>
      </w:r>
      <w:r w:rsidRPr="00EE0AE9">
        <w:rPr>
          <w:rFonts w:asciiTheme="minorHAnsi" w:hAnsiTheme="minorHAnsi" w:cs="Calibri"/>
          <w:sz w:val="22"/>
          <w:szCs w:val="22"/>
        </w:rPr>
        <w:t>are to be minimized and a single ‘market dataset’ is to be established as a basis for co</w:t>
      </w:r>
      <w:r w:rsidR="00FC3F7C">
        <w:rPr>
          <w:rFonts w:asciiTheme="minorHAnsi" w:hAnsiTheme="minorHAnsi" w:cs="Calibri"/>
          <w:sz w:val="22"/>
          <w:szCs w:val="22"/>
        </w:rPr>
        <w:t>nsistent</w:t>
      </w:r>
      <w:r w:rsidRPr="00EE0AE9">
        <w:rPr>
          <w:rFonts w:asciiTheme="minorHAnsi" w:hAnsiTheme="minorHAnsi" w:cs="Calibri"/>
          <w:sz w:val="22"/>
          <w:szCs w:val="22"/>
        </w:rPr>
        <w:t xml:space="preserve"> reporting across </w:t>
      </w:r>
      <w:r w:rsidR="00FF6B77">
        <w:rPr>
          <w:rFonts w:asciiTheme="minorHAnsi" w:hAnsiTheme="minorHAnsi" w:cs="Calibri"/>
          <w:sz w:val="22"/>
          <w:szCs w:val="22"/>
        </w:rPr>
        <w:t>the various le</w:t>
      </w:r>
      <w:r w:rsidR="00FC3F7C">
        <w:rPr>
          <w:rFonts w:asciiTheme="minorHAnsi" w:hAnsiTheme="minorHAnsi" w:cs="Calibri"/>
          <w:sz w:val="22"/>
          <w:szCs w:val="22"/>
        </w:rPr>
        <w:t>gislative packages (EMIR, REMIT and</w:t>
      </w:r>
      <w:r w:rsidR="00FF6B77">
        <w:rPr>
          <w:rFonts w:asciiTheme="minorHAnsi" w:hAnsiTheme="minorHAnsi" w:cs="Calibri"/>
          <w:sz w:val="22"/>
          <w:szCs w:val="22"/>
        </w:rPr>
        <w:t xml:space="preserve"> MiFID). </w:t>
      </w:r>
      <w:r w:rsidRPr="00EE0AE9">
        <w:rPr>
          <w:rFonts w:asciiTheme="minorHAnsi" w:hAnsiTheme="minorHAnsi" w:cs="Calibri"/>
          <w:sz w:val="22"/>
          <w:szCs w:val="22"/>
        </w:rPr>
        <w:t>Where possible existing open data exchange standards should be used</w:t>
      </w:r>
      <w:r w:rsidR="005657B6">
        <w:rPr>
          <w:rFonts w:asciiTheme="minorHAnsi" w:hAnsiTheme="minorHAnsi" w:cs="Calibri"/>
          <w:sz w:val="22"/>
          <w:szCs w:val="22"/>
        </w:rPr>
        <w:t xml:space="preserve"> – for example the EFETnet standard CpML. </w:t>
      </w:r>
    </w:p>
    <w:p w:rsidR="00CC1383" w:rsidRPr="00EE0AE9" w:rsidRDefault="00CC1383" w:rsidP="00CC1383">
      <w:pPr>
        <w:rPr>
          <w:rFonts w:asciiTheme="minorHAnsi" w:hAnsiTheme="minorHAnsi"/>
          <w:sz w:val="22"/>
          <w:szCs w:val="22"/>
        </w:rPr>
      </w:pPr>
    </w:p>
    <w:p w:rsidR="00FC3F7C" w:rsidRDefault="00CC1383" w:rsidP="00D17540">
      <w:pPr>
        <w:rPr>
          <w:rFonts w:asciiTheme="minorHAnsi" w:hAnsiTheme="minorHAnsi"/>
          <w:sz w:val="22"/>
          <w:szCs w:val="22"/>
        </w:rPr>
      </w:pPr>
      <w:r w:rsidRPr="00EE0AE9">
        <w:rPr>
          <w:rFonts w:asciiTheme="minorHAnsi" w:hAnsiTheme="minorHAnsi"/>
          <w:sz w:val="22"/>
          <w:szCs w:val="22"/>
        </w:rPr>
        <w:t xml:space="preserve">This will require both an agreed format </w:t>
      </w:r>
      <w:r w:rsidR="00B477B0">
        <w:rPr>
          <w:rFonts w:asciiTheme="minorHAnsi" w:hAnsiTheme="minorHAnsi"/>
          <w:sz w:val="22"/>
          <w:szCs w:val="22"/>
        </w:rPr>
        <w:t xml:space="preserve">and an </w:t>
      </w:r>
      <w:r w:rsidRPr="00EE0AE9">
        <w:rPr>
          <w:rFonts w:asciiTheme="minorHAnsi" w:hAnsiTheme="minorHAnsi"/>
          <w:sz w:val="22"/>
          <w:szCs w:val="22"/>
        </w:rPr>
        <w:t>agreed use of that format.</w:t>
      </w:r>
      <w:r w:rsidR="00044501">
        <w:rPr>
          <w:rFonts w:asciiTheme="minorHAnsi" w:hAnsiTheme="minorHAnsi"/>
          <w:sz w:val="22"/>
          <w:szCs w:val="22"/>
        </w:rPr>
        <w:t xml:space="preserve">  It will also require an agreed product list across both exchange and OTC traded derivatives. </w:t>
      </w:r>
      <w:r w:rsidRPr="00EE0AE9">
        <w:rPr>
          <w:rFonts w:asciiTheme="minorHAnsi" w:hAnsiTheme="minorHAnsi"/>
          <w:sz w:val="22"/>
          <w:szCs w:val="22"/>
        </w:rPr>
        <w:t xml:space="preserve"> </w:t>
      </w:r>
      <w:r w:rsidR="00B477B0">
        <w:rPr>
          <w:rFonts w:asciiTheme="minorHAnsi" w:hAnsiTheme="minorHAnsi"/>
          <w:sz w:val="22"/>
          <w:szCs w:val="22"/>
        </w:rPr>
        <w:t xml:space="preserve"> </w:t>
      </w:r>
    </w:p>
    <w:p w:rsidR="00CC1383" w:rsidRPr="00EE0AE9" w:rsidRDefault="00CC1383" w:rsidP="00804BFE">
      <w:pPr>
        <w:rPr>
          <w:rFonts w:asciiTheme="minorHAnsi" w:hAnsiTheme="minorHAnsi"/>
          <w:b/>
          <w:bCs/>
          <w:sz w:val="22"/>
          <w:szCs w:val="22"/>
        </w:rPr>
      </w:pPr>
    </w:p>
    <w:p w:rsidR="00FC3F7C" w:rsidRDefault="00EE0AE9" w:rsidP="00D17540">
      <w:pPr>
        <w:jc w:val="both"/>
        <w:rPr>
          <w:rFonts w:asciiTheme="minorHAnsi" w:hAnsiTheme="minorHAnsi" w:cs="Calibri"/>
          <w:b/>
          <w:sz w:val="22"/>
          <w:szCs w:val="22"/>
        </w:rPr>
      </w:pPr>
      <w:r w:rsidRPr="00EE0AE9">
        <w:rPr>
          <w:rFonts w:asciiTheme="minorHAnsi" w:hAnsiTheme="minorHAnsi" w:cs="Calibri"/>
          <w:b/>
          <w:sz w:val="22"/>
          <w:szCs w:val="22"/>
        </w:rPr>
        <w:t>Q70: Are the possible fields included in the attached table, under Parties to the Contract, sufficient to accurately identify counterparties for the purposes listed above? What other fields or formats could be considered?</w:t>
      </w:r>
    </w:p>
    <w:p w:rsidR="00EE0AE9" w:rsidRPr="00EE0AE9" w:rsidRDefault="00EE0AE9" w:rsidP="00EE0AE9">
      <w:pPr>
        <w:rPr>
          <w:rFonts w:asciiTheme="minorHAnsi" w:hAnsiTheme="minorHAnsi"/>
          <w:sz w:val="22"/>
          <w:szCs w:val="22"/>
        </w:rPr>
      </w:pPr>
    </w:p>
    <w:p w:rsidR="00044501" w:rsidRPr="0078613A" w:rsidRDefault="00EE0AE9" w:rsidP="00D17540">
      <w:pPr>
        <w:rPr>
          <w:rFonts w:asciiTheme="minorHAnsi" w:hAnsiTheme="minorHAnsi" w:cs="Calibri"/>
          <w:sz w:val="22"/>
          <w:szCs w:val="22"/>
        </w:rPr>
      </w:pPr>
      <w:r w:rsidRPr="00EE0AE9">
        <w:rPr>
          <w:rFonts w:asciiTheme="minorHAnsi" w:hAnsiTheme="minorHAnsi"/>
          <w:sz w:val="22"/>
          <w:szCs w:val="22"/>
        </w:rPr>
        <w:t>A</w:t>
      </w:r>
      <w:r w:rsidRPr="0078613A">
        <w:rPr>
          <w:rFonts w:asciiTheme="minorHAnsi" w:hAnsiTheme="minorHAnsi"/>
          <w:sz w:val="22"/>
          <w:szCs w:val="22"/>
        </w:rPr>
        <w:t>n agreed list of party codes would be preferable</w:t>
      </w:r>
      <w:r w:rsidR="00AD1057" w:rsidRPr="0078613A">
        <w:rPr>
          <w:rFonts w:asciiTheme="minorHAnsi" w:hAnsiTheme="minorHAnsi"/>
          <w:sz w:val="22"/>
          <w:szCs w:val="22"/>
        </w:rPr>
        <w:t xml:space="preserve"> accompanied by standard definition of the codes construction.</w:t>
      </w:r>
      <w:r w:rsidR="00044501" w:rsidRPr="0078613A">
        <w:rPr>
          <w:rFonts w:asciiTheme="minorHAnsi" w:hAnsiTheme="minorHAnsi"/>
          <w:sz w:val="22"/>
          <w:szCs w:val="22"/>
        </w:rPr>
        <w:t xml:space="preserve">   </w:t>
      </w:r>
      <w:r w:rsidR="00147307" w:rsidRPr="0078613A">
        <w:rPr>
          <w:rFonts w:asciiTheme="minorHAnsi" w:hAnsiTheme="minorHAnsi" w:cs="Calibri"/>
          <w:sz w:val="22"/>
          <w:szCs w:val="22"/>
        </w:rPr>
        <w:t>In general it is better to rely on a single identification code rather than data attributes, such as name and domicile</w:t>
      </w:r>
      <w:r w:rsidR="005657B6">
        <w:rPr>
          <w:rFonts w:asciiTheme="minorHAnsi" w:hAnsiTheme="minorHAnsi" w:cs="Calibri"/>
          <w:sz w:val="22"/>
          <w:szCs w:val="22"/>
        </w:rPr>
        <w:t xml:space="preserve"> etc</w:t>
      </w:r>
      <w:r w:rsidR="00147307" w:rsidRPr="0078613A">
        <w:rPr>
          <w:rFonts w:asciiTheme="minorHAnsi" w:hAnsiTheme="minorHAnsi" w:cs="Calibri"/>
          <w:sz w:val="22"/>
          <w:szCs w:val="22"/>
        </w:rPr>
        <w:t xml:space="preserve">, since such attributes can change over time. </w:t>
      </w:r>
      <w:r w:rsidR="00044501" w:rsidRPr="0078613A">
        <w:rPr>
          <w:rFonts w:asciiTheme="minorHAnsi" w:hAnsiTheme="minorHAnsi" w:cs="Calibri"/>
          <w:sz w:val="22"/>
          <w:szCs w:val="22"/>
        </w:rPr>
        <w:t xml:space="preserve"> </w:t>
      </w:r>
      <w:r w:rsidR="00147307" w:rsidRPr="0078613A">
        <w:rPr>
          <w:rFonts w:asciiTheme="minorHAnsi" w:hAnsiTheme="minorHAnsi" w:cs="Calibri"/>
          <w:sz w:val="22"/>
          <w:szCs w:val="22"/>
        </w:rPr>
        <w:t xml:space="preserve">Such changes are better managed </w:t>
      </w:r>
      <w:r w:rsidR="00044501" w:rsidRPr="0078613A">
        <w:rPr>
          <w:rFonts w:asciiTheme="minorHAnsi" w:hAnsiTheme="minorHAnsi" w:cs="Calibri"/>
          <w:sz w:val="22"/>
          <w:szCs w:val="22"/>
        </w:rPr>
        <w:t xml:space="preserve">by amending the details relating </w:t>
      </w:r>
      <w:r w:rsidR="00147307" w:rsidRPr="0078613A">
        <w:rPr>
          <w:rFonts w:asciiTheme="minorHAnsi" w:hAnsiTheme="minorHAnsi" w:cs="Calibri"/>
          <w:sz w:val="22"/>
          <w:szCs w:val="22"/>
        </w:rPr>
        <w:t xml:space="preserve">to </w:t>
      </w:r>
      <w:r w:rsidR="00044501" w:rsidRPr="0078613A">
        <w:rPr>
          <w:rFonts w:asciiTheme="minorHAnsi" w:hAnsiTheme="minorHAnsi" w:cs="Calibri"/>
          <w:sz w:val="22"/>
          <w:szCs w:val="22"/>
        </w:rPr>
        <w:t>the code identifying the organis</w:t>
      </w:r>
      <w:r w:rsidR="00147307" w:rsidRPr="0078613A">
        <w:rPr>
          <w:rFonts w:asciiTheme="minorHAnsi" w:hAnsiTheme="minorHAnsi" w:cs="Calibri"/>
          <w:sz w:val="22"/>
          <w:szCs w:val="22"/>
        </w:rPr>
        <w:t>ation</w:t>
      </w:r>
      <w:r w:rsidR="00044501" w:rsidRPr="0078613A">
        <w:rPr>
          <w:rFonts w:asciiTheme="minorHAnsi" w:hAnsiTheme="minorHAnsi" w:cs="Calibri"/>
          <w:sz w:val="22"/>
          <w:szCs w:val="22"/>
        </w:rPr>
        <w:t xml:space="preserve"> which are held in a</w:t>
      </w:r>
      <w:r w:rsidR="00147307" w:rsidRPr="0078613A">
        <w:rPr>
          <w:rFonts w:asciiTheme="minorHAnsi" w:hAnsiTheme="minorHAnsi" w:cs="Calibri"/>
          <w:sz w:val="22"/>
          <w:szCs w:val="22"/>
        </w:rPr>
        <w:t xml:space="preserve"> central code library. </w:t>
      </w:r>
      <w:r w:rsidR="00044501" w:rsidRPr="0078613A">
        <w:rPr>
          <w:rFonts w:asciiTheme="minorHAnsi" w:hAnsiTheme="minorHAnsi" w:cs="Calibri"/>
          <w:sz w:val="22"/>
          <w:szCs w:val="22"/>
        </w:rPr>
        <w:t xml:space="preserve">  </w:t>
      </w:r>
      <w:r w:rsidR="00147307" w:rsidRPr="0078613A">
        <w:rPr>
          <w:rFonts w:asciiTheme="minorHAnsi" w:hAnsiTheme="minorHAnsi" w:cs="Calibri"/>
          <w:sz w:val="22"/>
          <w:szCs w:val="22"/>
        </w:rPr>
        <w:t xml:space="preserve">There are two reasons for this: the need to ensure continuity over time, if a name changes then the link between new and old trade data is broken; and </w:t>
      </w:r>
      <w:r w:rsidR="0078613A">
        <w:rPr>
          <w:rFonts w:asciiTheme="minorHAnsi" w:hAnsiTheme="minorHAnsi" w:cs="Calibri"/>
          <w:sz w:val="22"/>
          <w:szCs w:val="22"/>
        </w:rPr>
        <w:t>maintenance costs</w:t>
      </w:r>
      <w:r w:rsidR="00044501" w:rsidRPr="0078613A">
        <w:rPr>
          <w:rFonts w:asciiTheme="minorHAnsi" w:hAnsiTheme="minorHAnsi" w:cs="Calibri"/>
          <w:sz w:val="22"/>
          <w:szCs w:val="22"/>
        </w:rPr>
        <w:t>.</w:t>
      </w:r>
      <w:r w:rsidR="00147307" w:rsidRPr="0078613A">
        <w:rPr>
          <w:rFonts w:asciiTheme="minorHAnsi" w:hAnsiTheme="minorHAnsi" w:cs="Calibri"/>
          <w:sz w:val="22"/>
          <w:szCs w:val="22"/>
        </w:rPr>
        <w:t xml:space="preserve"> </w:t>
      </w:r>
    </w:p>
    <w:p w:rsidR="003A631B" w:rsidRPr="0078613A" w:rsidRDefault="003A631B">
      <w:pPr>
        <w:ind w:left="360"/>
        <w:rPr>
          <w:rFonts w:asciiTheme="minorHAnsi" w:hAnsiTheme="minorHAnsi" w:cs="Calibri"/>
          <w:sz w:val="22"/>
          <w:szCs w:val="22"/>
        </w:rPr>
      </w:pPr>
    </w:p>
    <w:p w:rsidR="00FC3F7C" w:rsidRPr="0078613A" w:rsidRDefault="00147307" w:rsidP="00D17540">
      <w:pPr>
        <w:rPr>
          <w:rFonts w:asciiTheme="minorHAnsi" w:hAnsiTheme="minorHAnsi" w:cs="Calibri"/>
          <w:sz w:val="22"/>
          <w:szCs w:val="22"/>
        </w:rPr>
      </w:pPr>
      <w:r w:rsidRPr="0078613A">
        <w:rPr>
          <w:rFonts w:asciiTheme="minorHAnsi" w:hAnsiTheme="minorHAnsi" w:cs="Calibri"/>
          <w:sz w:val="22"/>
          <w:szCs w:val="22"/>
        </w:rPr>
        <w:t>It is therefore recommended that a single codification scheme (possibly per asset class, for instance the EIC scheme in commodities) is mandated as part of the technical requirements to identify counterparties and intermediaries (such as brokers) and the attributes removed from the counterparty data requirement.</w:t>
      </w:r>
    </w:p>
    <w:p w:rsidR="003A631B" w:rsidRDefault="003A631B">
      <w:pPr>
        <w:ind w:firstLine="360"/>
        <w:rPr>
          <w:rFonts w:asciiTheme="minorHAnsi" w:hAnsiTheme="minorHAnsi"/>
          <w:sz w:val="22"/>
          <w:szCs w:val="22"/>
        </w:rPr>
      </w:pPr>
    </w:p>
    <w:p w:rsidR="00FC3F7C" w:rsidRDefault="00EE0AE9" w:rsidP="00D17540">
      <w:pPr>
        <w:rPr>
          <w:rFonts w:asciiTheme="minorHAnsi" w:hAnsiTheme="minorHAnsi"/>
          <w:b/>
          <w:bCs/>
          <w:sz w:val="22"/>
          <w:szCs w:val="22"/>
        </w:rPr>
      </w:pPr>
      <w:r w:rsidRPr="00EE0AE9">
        <w:rPr>
          <w:rFonts w:asciiTheme="minorHAnsi" w:hAnsiTheme="minorHAnsi"/>
          <w:b/>
          <w:bCs/>
          <w:sz w:val="22"/>
          <w:szCs w:val="22"/>
        </w:rPr>
        <w:t>Q71: How should beneficiaries be identified for the purpose of reporting to a TR, notably in the case of long chains of beneficiaries?</w:t>
      </w:r>
    </w:p>
    <w:p w:rsidR="00EE0AE9" w:rsidRPr="00EE0AE9" w:rsidRDefault="00EE0AE9" w:rsidP="00EE0AE9">
      <w:pPr>
        <w:rPr>
          <w:rFonts w:asciiTheme="minorHAnsi" w:hAnsiTheme="minorHAnsi"/>
          <w:b/>
          <w:bCs/>
          <w:sz w:val="22"/>
          <w:szCs w:val="22"/>
        </w:rPr>
      </w:pPr>
    </w:p>
    <w:p w:rsidR="00FC3F7C" w:rsidRDefault="00EE0AE9" w:rsidP="00D17540">
      <w:pPr>
        <w:rPr>
          <w:rFonts w:asciiTheme="minorHAnsi" w:hAnsiTheme="minorHAnsi"/>
          <w:b/>
          <w:bCs/>
          <w:sz w:val="22"/>
          <w:szCs w:val="22"/>
        </w:rPr>
      </w:pPr>
      <w:r w:rsidRPr="00EE0AE9">
        <w:rPr>
          <w:rFonts w:asciiTheme="minorHAnsi" w:hAnsiTheme="minorHAnsi"/>
          <w:sz w:val="22"/>
          <w:szCs w:val="22"/>
        </w:rPr>
        <w:t>We have no comments on this issue.</w:t>
      </w:r>
    </w:p>
    <w:p w:rsidR="00EE0AE9" w:rsidRPr="00EE0AE9" w:rsidRDefault="00EE0AE9" w:rsidP="00EE0AE9">
      <w:pPr>
        <w:rPr>
          <w:rFonts w:asciiTheme="minorHAnsi" w:hAnsiTheme="minorHAnsi" w:cs="Calibri"/>
          <w:b/>
          <w:sz w:val="22"/>
          <w:szCs w:val="22"/>
        </w:rPr>
      </w:pPr>
    </w:p>
    <w:p w:rsidR="00FC3F7C" w:rsidRDefault="00EE0AE9" w:rsidP="00D17540">
      <w:pPr>
        <w:rPr>
          <w:rFonts w:asciiTheme="minorHAnsi" w:hAnsiTheme="minorHAnsi" w:cs="Calibri"/>
          <w:b/>
          <w:sz w:val="22"/>
          <w:szCs w:val="22"/>
        </w:rPr>
      </w:pPr>
      <w:r w:rsidRPr="00EE0AE9">
        <w:rPr>
          <w:rFonts w:asciiTheme="minorHAnsi" w:hAnsiTheme="minorHAnsi" w:cs="Calibri"/>
          <w:b/>
          <w:sz w:val="22"/>
          <w:szCs w:val="22"/>
        </w:rPr>
        <w:t xml:space="preserve">Q72: </w:t>
      </w:r>
      <w:r w:rsidRPr="00EE0AE9">
        <w:rPr>
          <w:rFonts w:asciiTheme="minorHAnsi" w:hAnsiTheme="minorHAnsi"/>
          <w:b/>
          <w:bCs/>
          <w:sz w:val="22"/>
          <w:szCs w:val="22"/>
        </w:rPr>
        <w:t>What are the main challenges and possible solutions associated to counterparty codes? Do you consider that a better identifier than a client code could be used for the purpose of identifying individuals?</w:t>
      </w:r>
    </w:p>
    <w:p w:rsidR="00EE0AE9" w:rsidRPr="00EE0AE9" w:rsidRDefault="00EE0AE9" w:rsidP="00EE0AE9">
      <w:pPr>
        <w:rPr>
          <w:rFonts w:asciiTheme="minorHAnsi" w:hAnsiTheme="minorHAnsi" w:cs="Calibri"/>
          <w:b/>
          <w:sz w:val="22"/>
          <w:szCs w:val="22"/>
        </w:rPr>
      </w:pPr>
    </w:p>
    <w:p w:rsidR="00FC3F7C" w:rsidRPr="0078613A" w:rsidRDefault="00AD1057" w:rsidP="00D17540">
      <w:pPr>
        <w:rPr>
          <w:rFonts w:asciiTheme="minorHAnsi" w:hAnsiTheme="minorHAnsi"/>
          <w:sz w:val="22"/>
          <w:szCs w:val="22"/>
        </w:rPr>
      </w:pPr>
      <w:r w:rsidRPr="0078613A">
        <w:rPr>
          <w:rFonts w:asciiTheme="minorHAnsi" w:hAnsiTheme="minorHAnsi"/>
          <w:sz w:val="22"/>
          <w:szCs w:val="22"/>
        </w:rPr>
        <w:t xml:space="preserve">There is a need for a unique identifier based on a standard definition of a </w:t>
      </w:r>
      <w:r w:rsidR="00044501" w:rsidRPr="0078613A">
        <w:rPr>
          <w:rFonts w:asciiTheme="minorHAnsi" w:hAnsiTheme="minorHAnsi"/>
          <w:sz w:val="22"/>
          <w:szCs w:val="22"/>
        </w:rPr>
        <w:t>counterparty</w:t>
      </w:r>
      <w:r w:rsidRPr="0078613A">
        <w:rPr>
          <w:rFonts w:asciiTheme="minorHAnsi" w:hAnsiTheme="minorHAnsi"/>
          <w:sz w:val="22"/>
          <w:szCs w:val="22"/>
        </w:rPr>
        <w:t xml:space="preserve"> code.  </w:t>
      </w:r>
      <w:r w:rsidR="00147307" w:rsidRPr="0078613A">
        <w:rPr>
          <w:rFonts w:asciiTheme="minorHAnsi" w:hAnsiTheme="minorHAnsi" w:cs="Calibri"/>
          <w:sz w:val="22"/>
          <w:szCs w:val="22"/>
        </w:rPr>
        <w:t xml:space="preserve">The main challenge is in ensuring universal adoption of one coding scheme or ensuring one-to-one correspondence between codes in separate schemes. </w:t>
      </w:r>
      <w:r w:rsidR="00090F3B" w:rsidRPr="0078613A">
        <w:rPr>
          <w:rFonts w:asciiTheme="minorHAnsi" w:hAnsiTheme="minorHAnsi" w:cs="Calibri"/>
          <w:sz w:val="22"/>
          <w:szCs w:val="22"/>
        </w:rPr>
        <w:t xml:space="preserve"> It is recommended that </w:t>
      </w:r>
      <w:r w:rsidR="00147307" w:rsidRPr="0078613A">
        <w:rPr>
          <w:rFonts w:asciiTheme="minorHAnsi" w:hAnsiTheme="minorHAnsi" w:cs="Calibri"/>
          <w:sz w:val="22"/>
          <w:szCs w:val="22"/>
        </w:rPr>
        <w:t>onl</w:t>
      </w:r>
      <w:r w:rsidR="00090F3B" w:rsidRPr="0078613A">
        <w:rPr>
          <w:rFonts w:asciiTheme="minorHAnsi" w:hAnsiTheme="minorHAnsi" w:cs="Calibri"/>
          <w:sz w:val="22"/>
          <w:szCs w:val="22"/>
        </w:rPr>
        <w:t>y one coding scheme is mandated</w:t>
      </w:r>
      <w:r w:rsidR="00147307" w:rsidRPr="0078613A">
        <w:rPr>
          <w:rFonts w:asciiTheme="minorHAnsi" w:hAnsiTheme="minorHAnsi" w:cs="Calibri"/>
          <w:sz w:val="22"/>
          <w:szCs w:val="22"/>
        </w:rPr>
        <w:t xml:space="preserve"> </w:t>
      </w:r>
      <w:r w:rsidR="00090F3B" w:rsidRPr="0078613A">
        <w:rPr>
          <w:rFonts w:asciiTheme="minorHAnsi" w:hAnsiTheme="minorHAnsi" w:cs="Calibri"/>
          <w:sz w:val="22"/>
          <w:szCs w:val="22"/>
        </w:rPr>
        <w:t>(</w:t>
      </w:r>
      <w:r w:rsidR="00147307" w:rsidRPr="0078613A">
        <w:rPr>
          <w:rFonts w:asciiTheme="minorHAnsi" w:hAnsiTheme="minorHAnsi" w:cs="Calibri"/>
          <w:sz w:val="22"/>
          <w:szCs w:val="22"/>
        </w:rPr>
        <w:t>at least per asset class</w:t>
      </w:r>
      <w:r w:rsidR="00090F3B" w:rsidRPr="0078613A">
        <w:rPr>
          <w:rFonts w:asciiTheme="minorHAnsi" w:hAnsiTheme="minorHAnsi" w:cs="Calibri"/>
          <w:sz w:val="22"/>
          <w:szCs w:val="22"/>
        </w:rPr>
        <w:t>)</w:t>
      </w:r>
      <w:r w:rsidR="00147307" w:rsidRPr="0078613A">
        <w:rPr>
          <w:rFonts w:asciiTheme="minorHAnsi" w:hAnsiTheme="minorHAnsi" w:cs="Calibri"/>
          <w:sz w:val="22"/>
          <w:szCs w:val="22"/>
        </w:rPr>
        <w:t xml:space="preserve"> and that the related data is centrally maintained so that propagation of changes across the industry is avoided</w:t>
      </w:r>
    </w:p>
    <w:p w:rsidR="003A631B" w:rsidRDefault="003A631B">
      <w:pPr>
        <w:ind w:firstLine="360"/>
        <w:rPr>
          <w:rFonts w:asciiTheme="minorHAnsi" w:hAnsiTheme="minorHAnsi"/>
          <w:sz w:val="22"/>
          <w:szCs w:val="22"/>
        </w:rPr>
      </w:pPr>
    </w:p>
    <w:p w:rsidR="00FC3F7C" w:rsidRDefault="00EE0AE9" w:rsidP="00D17540">
      <w:pPr>
        <w:rPr>
          <w:rFonts w:asciiTheme="minorHAnsi" w:hAnsiTheme="minorHAnsi"/>
          <w:b/>
          <w:bCs/>
          <w:sz w:val="22"/>
          <w:szCs w:val="22"/>
        </w:rPr>
      </w:pPr>
      <w:r w:rsidRPr="00EE0AE9">
        <w:rPr>
          <w:rFonts w:asciiTheme="minorHAnsi" w:hAnsiTheme="minorHAnsi"/>
          <w:b/>
          <w:bCs/>
          <w:sz w:val="22"/>
          <w:szCs w:val="22"/>
        </w:rPr>
        <w:t>Q73: What taxonomy and codes should be used for identifying derivatives products when reporting to TRs, particularly as regards commodities or other assets for which ISIN cannot be used? In which circumstances should baskets be flagged as such, or should their composition be identified as well and how? Is there any particular aspect to be considered as regards a possible UPI?</w:t>
      </w:r>
    </w:p>
    <w:p w:rsidR="00EE0AE9" w:rsidRPr="00EE0AE9" w:rsidRDefault="00EE0AE9" w:rsidP="00EE0AE9">
      <w:pPr>
        <w:rPr>
          <w:rFonts w:asciiTheme="minorHAnsi" w:hAnsiTheme="minorHAnsi"/>
          <w:b/>
          <w:bCs/>
          <w:sz w:val="22"/>
          <w:szCs w:val="22"/>
        </w:rPr>
      </w:pPr>
    </w:p>
    <w:p w:rsidR="00FC3F7C" w:rsidRDefault="00AD1057" w:rsidP="00D17540">
      <w:pPr>
        <w:rPr>
          <w:rFonts w:asciiTheme="minorHAnsi" w:hAnsiTheme="minorHAnsi"/>
          <w:b/>
          <w:bCs/>
          <w:sz w:val="22"/>
          <w:szCs w:val="22"/>
        </w:rPr>
      </w:pPr>
      <w:r>
        <w:rPr>
          <w:rFonts w:asciiTheme="minorHAnsi" w:hAnsiTheme="minorHAnsi"/>
          <w:sz w:val="22"/>
          <w:szCs w:val="22"/>
        </w:rPr>
        <w:t xml:space="preserve">As above, there is need for </w:t>
      </w:r>
      <w:r w:rsidRPr="0078613A">
        <w:rPr>
          <w:rFonts w:asciiTheme="minorHAnsi" w:hAnsiTheme="minorHAnsi"/>
          <w:sz w:val="22"/>
          <w:szCs w:val="22"/>
        </w:rPr>
        <w:t>a unique identifier.</w:t>
      </w:r>
    </w:p>
    <w:p w:rsidR="003A631B" w:rsidRDefault="003A631B">
      <w:pPr>
        <w:ind w:firstLine="360"/>
        <w:rPr>
          <w:rFonts w:asciiTheme="minorHAnsi" w:hAnsiTheme="minorHAnsi"/>
          <w:sz w:val="22"/>
          <w:szCs w:val="22"/>
        </w:rPr>
      </w:pPr>
    </w:p>
    <w:p w:rsidR="00FC3F7C" w:rsidRDefault="00EE0AE9" w:rsidP="00D17540">
      <w:pPr>
        <w:rPr>
          <w:rFonts w:asciiTheme="minorHAnsi" w:hAnsiTheme="minorHAnsi" w:cs="Calibri"/>
          <w:b/>
          <w:sz w:val="22"/>
          <w:szCs w:val="22"/>
        </w:rPr>
      </w:pPr>
      <w:r w:rsidRPr="00EE0AE9">
        <w:rPr>
          <w:rFonts w:asciiTheme="minorHAnsi" w:hAnsiTheme="minorHAnsi" w:cs="Calibri"/>
          <w:b/>
          <w:sz w:val="22"/>
          <w:szCs w:val="22"/>
        </w:rPr>
        <w:lastRenderedPageBreak/>
        <w:t>Q74: How complex would be for counterparties to agree on a trade ID to be communicated to the TR for bilaterally executed transactions? If such a procedure is unfeasible, what would the best solution be to generate the trade ID?</w:t>
      </w:r>
    </w:p>
    <w:p w:rsidR="00EE0AE9" w:rsidRPr="00EE0AE9" w:rsidRDefault="00EE0AE9" w:rsidP="00EE0AE9">
      <w:pPr>
        <w:rPr>
          <w:rFonts w:asciiTheme="minorHAnsi" w:hAnsiTheme="minorHAnsi" w:cs="Calibri"/>
          <w:sz w:val="22"/>
          <w:szCs w:val="22"/>
        </w:rPr>
      </w:pPr>
    </w:p>
    <w:p w:rsidR="00FC3F7C" w:rsidRDefault="00EE0AE9" w:rsidP="00D17540">
      <w:pPr>
        <w:rPr>
          <w:rFonts w:asciiTheme="minorHAnsi" w:hAnsiTheme="minorHAnsi" w:cs="Calibri"/>
          <w:sz w:val="22"/>
          <w:szCs w:val="22"/>
        </w:rPr>
      </w:pPr>
      <w:r w:rsidRPr="00EE0AE9">
        <w:rPr>
          <w:rFonts w:asciiTheme="minorHAnsi" w:hAnsiTheme="minorHAnsi" w:cs="Calibri"/>
          <w:sz w:val="22"/>
          <w:szCs w:val="22"/>
        </w:rPr>
        <w:t xml:space="preserve">This is not trivial. </w:t>
      </w:r>
      <w:r w:rsidR="00AD1057">
        <w:rPr>
          <w:rFonts w:asciiTheme="minorHAnsi" w:hAnsiTheme="minorHAnsi" w:cs="Calibri"/>
          <w:sz w:val="22"/>
          <w:szCs w:val="22"/>
        </w:rPr>
        <w:t xml:space="preserve"> </w:t>
      </w:r>
      <w:r w:rsidRPr="00EE0AE9">
        <w:rPr>
          <w:rFonts w:asciiTheme="minorHAnsi" w:hAnsiTheme="minorHAnsi" w:cs="Calibri"/>
          <w:sz w:val="22"/>
          <w:szCs w:val="22"/>
        </w:rPr>
        <w:t xml:space="preserve">To have a common trade ID would require a service that counterparties can </w:t>
      </w:r>
      <w:r w:rsidR="00140C00">
        <w:rPr>
          <w:rFonts w:asciiTheme="minorHAnsi" w:hAnsiTheme="minorHAnsi" w:cs="Calibri"/>
          <w:sz w:val="22"/>
          <w:szCs w:val="22"/>
        </w:rPr>
        <w:t>access to</w:t>
      </w:r>
      <w:r w:rsidRPr="00EE0AE9">
        <w:rPr>
          <w:rFonts w:asciiTheme="minorHAnsi" w:hAnsiTheme="minorHAnsi" w:cs="Calibri"/>
          <w:sz w:val="22"/>
          <w:szCs w:val="22"/>
        </w:rPr>
        <w:t xml:space="preserve"> as part of a matching process. </w:t>
      </w:r>
      <w:r w:rsidR="00AD1057">
        <w:rPr>
          <w:rFonts w:asciiTheme="minorHAnsi" w:hAnsiTheme="minorHAnsi" w:cs="Calibri"/>
          <w:sz w:val="22"/>
          <w:szCs w:val="22"/>
        </w:rPr>
        <w:t xml:space="preserve"> </w:t>
      </w:r>
      <w:r w:rsidRPr="00EE0AE9">
        <w:rPr>
          <w:rFonts w:asciiTheme="minorHAnsi" w:hAnsiTheme="minorHAnsi" w:cs="Calibri"/>
          <w:sz w:val="22"/>
          <w:szCs w:val="22"/>
        </w:rPr>
        <w:t xml:space="preserve">When the trade is matched a common code could </w:t>
      </w:r>
      <w:r w:rsidR="00AD1057">
        <w:rPr>
          <w:rFonts w:asciiTheme="minorHAnsi" w:hAnsiTheme="minorHAnsi" w:cs="Calibri"/>
          <w:sz w:val="22"/>
          <w:szCs w:val="22"/>
        </w:rPr>
        <w:t xml:space="preserve">then </w:t>
      </w:r>
      <w:r w:rsidRPr="00EE0AE9">
        <w:rPr>
          <w:rFonts w:asciiTheme="minorHAnsi" w:hAnsiTheme="minorHAnsi" w:cs="Calibri"/>
          <w:sz w:val="22"/>
          <w:szCs w:val="22"/>
        </w:rPr>
        <w:t xml:space="preserve">be assigned to the trade. </w:t>
      </w:r>
      <w:r w:rsidR="00AD1057">
        <w:rPr>
          <w:rFonts w:asciiTheme="minorHAnsi" w:hAnsiTheme="minorHAnsi" w:cs="Calibri"/>
          <w:sz w:val="22"/>
          <w:szCs w:val="22"/>
        </w:rPr>
        <w:t xml:space="preserve"> </w:t>
      </w:r>
      <w:r w:rsidRPr="00EE0AE9">
        <w:rPr>
          <w:rFonts w:asciiTheme="minorHAnsi" w:hAnsiTheme="minorHAnsi" w:cs="Calibri"/>
          <w:sz w:val="22"/>
          <w:szCs w:val="22"/>
        </w:rPr>
        <w:t xml:space="preserve">This could be </w:t>
      </w:r>
      <w:r w:rsidR="00AD1057">
        <w:rPr>
          <w:rFonts w:asciiTheme="minorHAnsi" w:hAnsiTheme="minorHAnsi" w:cs="Calibri"/>
          <w:sz w:val="22"/>
          <w:szCs w:val="22"/>
        </w:rPr>
        <w:t xml:space="preserve">then be </w:t>
      </w:r>
      <w:r w:rsidR="008A7E93">
        <w:rPr>
          <w:rFonts w:asciiTheme="minorHAnsi" w:hAnsiTheme="minorHAnsi" w:cs="Calibri"/>
          <w:sz w:val="22"/>
          <w:szCs w:val="22"/>
        </w:rPr>
        <w:t>‘tagged’</w:t>
      </w:r>
      <w:r w:rsidRPr="00EE0AE9">
        <w:rPr>
          <w:rFonts w:asciiTheme="minorHAnsi" w:hAnsiTheme="minorHAnsi" w:cs="Calibri"/>
          <w:sz w:val="22"/>
          <w:szCs w:val="22"/>
        </w:rPr>
        <w:t xml:space="preserve"> on to the confirmation matching process. </w:t>
      </w:r>
      <w:r w:rsidR="00AD1057">
        <w:rPr>
          <w:rFonts w:asciiTheme="minorHAnsi" w:hAnsiTheme="minorHAnsi" w:cs="Calibri"/>
          <w:sz w:val="22"/>
          <w:szCs w:val="22"/>
        </w:rPr>
        <w:t xml:space="preserve">  </w:t>
      </w:r>
      <w:r w:rsidRPr="00EE0AE9">
        <w:rPr>
          <w:rFonts w:asciiTheme="minorHAnsi" w:hAnsiTheme="minorHAnsi" w:cs="Calibri"/>
          <w:sz w:val="22"/>
          <w:szCs w:val="22"/>
        </w:rPr>
        <w:t xml:space="preserve">Challenges </w:t>
      </w:r>
      <w:r w:rsidR="00AD1057">
        <w:rPr>
          <w:rFonts w:asciiTheme="minorHAnsi" w:hAnsiTheme="minorHAnsi" w:cs="Calibri"/>
          <w:sz w:val="22"/>
          <w:szCs w:val="22"/>
        </w:rPr>
        <w:t xml:space="preserve">to delivering this </w:t>
      </w:r>
      <w:r w:rsidR="0078613A">
        <w:rPr>
          <w:rFonts w:asciiTheme="minorHAnsi" w:hAnsiTheme="minorHAnsi" w:cs="Calibri"/>
          <w:sz w:val="22"/>
          <w:szCs w:val="22"/>
        </w:rPr>
        <w:t xml:space="preserve">would include </w:t>
      </w:r>
      <w:r w:rsidRPr="00EE0AE9">
        <w:rPr>
          <w:rFonts w:asciiTheme="minorHAnsi" w:hAnsiTheme="minorHAnsi" w:cs="Calibri"/>
          <w:sz w:val="22"/>
          <w:szCs w:val="22"/>
        </w:rPr>
        <w:t>that trades could only be submitted post confirmation/matching</w:t>
      </w:r>
      <w:r w:rsidR="00AD1057">
        <w:rPr>
          <w:rFonts w:asciiTheme="minorHAnsi" w:hAnsiTheme="minorHAnsi" w:cs="Calibri"/>
          <w:sz w:val="22"/>
          <w:szCs w:val="22"/>
        </w:rPr>
        <w:t xml:space="preserve">. </w:t>
      </w:r>
      <w:r w:rsidRPr="00EE0AE9">
        <w:rPr>
          <w:rFonts w:asciiTheme="minorHAnsi" w:hAnsiTheme="minorHAnsi" w:cs="Calibri"/>
          <w:sz w:val="22"/>
          <w:szCs w:val="22"/>
        </w:rPr>
        <w:t xml:space="preserve"> A separate mechanism could be required to support fax-based confirmations.</w:t>
      </w:r>
    </w:p>
    <w:p w:rsidR="003A631B" w:rsidRDefault="003A631B">
      <w:pPr>
        <w:ind w:left="360"/>
        <w:rPr>
          <w:rFonts w:asciiTheme="minorHAnsi" w:hAnsiTheme="minorHAnsi" w:cs="Calibri"/>
          <w:sz w:val="22"/>
          <w:szCs w:val="22"/>
        </w:rPr>
      </w:pPr>
    </w:p>
    <w:p w:rsidR="00090F3B" w:rsidRDefault="00147307" w:rsidP="00D17540">
      <w:pPr>
        <w:rPr>
          <w:rFonts w:ascii="Calibri" w:hAnsi="Calibri" w:cs="Calibri"/>
          <w:sz w:val="22"/>
          <w:szCs w:val="22"/>
        </w:rPr>
      </w:pPr>
      <w:r w:rsidRPr="0078613A">
        <w:rPr>
          <w:rFonts w:ascii="Calibri" w:hAnsi="Calibri" w:cs="Calibri"/>
          <w:sz w:val="22"/>
          <w:szCs w:val="22"/>
        </w:rPr>
        <w:t xml:space="preserve">It is essential to avoid placing the </w:t>
      </w:r>
      <w:r w:rsidR="00090F3B" w:rsidRPr="0078613A">
        <w:rPr>
          <w:rFonts w:ascii="Calibri" w:hAnsi="Calibri" w:cs="Calibri"/>
          <w:sz w:val="22"/>
          <w:szCs w:val="22"/>
        </w:rPr>
        <w:t>burden of disseminating common trade IDs on</w:t>
      </w:r>
      <w:r w:rsidRPr="0078613A">
        <w:rPr>
          <w:rFonts w:ascii="Calibri" w:hAnsi="Calibri" w:cs="Calibri"/>
          <w:sz w:val="22"/>
          <w:szCs w:val="22"/>
        </w:rPr>
        <w:t xml:space="preserve"> market participants. </w:t>
      </w:r>
      <w:r w:rsidR="00090F3B" w:rsidRPr="0078613A">
        <w:rPr>
          <w:rFonts w:ascii="Calibri" w:hAnsi="Calibri" w:cs="Calibri"/>
          <w:sz w:val="22"/>
          <w:szCs w:val="22"/>
        </w:rPr>
        <w:t xml:space="preserve"> </w:t>
      </w:r>
      <w:r w:rsidRPr="0078613A">
        <w:rPr>
          <w:rFonts w:ascii="Calibri" w:hAnsi="Calibri" w:cs="Calibri"/>
          <w:sz w:val="22"/>
          <w:szCs w:val="22"/>
        </w:rPr>
        <w:t>If the responsibility falls to the counterparties the</w:t>
      </w:r>
      <w:r w:rsidR="00090F3B" w:rsidRPr="0078613A">
        <w:rPr>
          <w:rFonts w:ascii="Calibri" w:hAnsi="Calibri" w:cs="Calibri"/>
          <w:sz w:val="22"/>
          <w:szCs w:val="22"/>
        </w:rPr>
        <w:t>re will be a need for</w:t>
      </w:r>
      <w:r w:rsidRPr="0078613A">
        <w:rPr>
          <w:rFonts w:ascii="Calibri" w:hAnsi="Calibri" w:cs="Calibri"/>
          <w:sz w:val="22"/>
          <w:szCs w:val="22"/>
        </w:rPr>
        <w:t xml:space="preserve"> </w:t>
      </w:r>
      <w:r w:rsidR="00090F3B" w:rsidRPr="0078613A">
        <w:rPr>
          <w:rFonts w:ascii="Calibri" w:hAnsi="Calibri" w:cs="Calibri"/>
          <w:sz w:val="22"/>
          <w:szCs w:val="22"/>
        </w:rPr>
        <w:t xml:space="preserve">a </w:t>
      </w:r>
      <w:r w:rsidRPr="0078613A">
        <w:rPr>
          <w:rFonts w:ascii="Calibri" w:hAnsi="Calibri" w:cs="Calibri"/>
          <w:sz w:val="22"/>
          <w:szCs w:val="22"/>
        </w:rPr>
        <w:t>complex peer-to-peer communication process</w:t>
      </w:r>
      <w:r w:rsidR="00090F3B" w:rsidRPr="0078613A">
        <w:rPr>
          <w:rFonts w:ascii="Calibri" w:hAnsi="Calibri" w:cs="Calibri"/>
          <w:sz w:val="22"/>
          <w:szCs w:val="22"/>
        </w:rPr>
        <w:t xml:space="preserve"> which also requires</w:t>
      </w:r>
      <w:r w:rsidRPr="0078613A">
        <w:rPr>
          <w:rFonts w:ascii="Calibri" w:hAnsi="Calibri" w:cs="Calibri"/>
          <w:sz w:val="22"/>
          <w:szCs w:val="22"/>
        </w:rPr>
        <w:t xml:space="preserve"> local matching of trade details</w:t>
      </w:r>
      <w:r w:rsidR="00090F3B" w:rsidRPr="0078613A">
        <w:rPr>
          <w:rFonts w:ascii="Calibri" w:hAnsi="Calibri" w:cs="Calibri"/>
          <w:sz w:val="22"/>
          <w:szCs w:val="22"/>
        </w:rPr>
        <w:t xml:space="preserve">.  </w:t>
      </w:r>
      <w:r w:rsidRPr="0078613A">
        <w:rPr>
          <w:rFonts w:ascii="Calibri" w:hAnsi="Calibri" w:cs="Calibri"/>
          <w:sz w:val="22"/>
          <w:szCs w:val="22"/>
        </w:rPr>
        <w:t xml:space="preserve"> The recommended approach is to require that the TRs provide deal pairing and common Trade ID dissemination</w:t>
      </w:r>
      <w:r w:rsidR="00090F3B" w:rsidRPr="0078613A">
        <w:rPr>
          <w:rFonts w:ascii="Calibri" w:hAnsi="Calibri" w:cs="Calibri"/>
          <w:sz w:val="22"/>
          <w:szCs w:val="22"/>
        </w:rPr>
        <w:t xml:space="preserve"> and that this</w:t>
      </w:r>
      <w:r w:rsidR="00571AB7">
        <w:rPr>
          <w:rFonts w:ascii="Calibri" w:hAnsi="Calibri" w:cs="Calibri"/>
          <w:sz w:val="22"/>
          <w:szCs w:val="22"/>
        </w:rPr>
        <w:t xml:space="preserve"> is</w:t>
      </w:r>
      <w:r w:rsidR="00090F3B" w:rsidRPr="0078613A">
        <w:rPr>
          <w:rFonts w:ascii="Calibri" w:hAnsi="Calibri" w:cs="Calibri"/>
          <w:sz w:val="22"/>
          <w:szCs w:val="22"/>
        </w:rPr>
        <w:t xml:space="preserve"> accessed by </w:t>
      </w:r>
      <w:r w:rsidR="00140C00" w:rsidRPr="0078613A">
        <w:rPr>
          <w:rFonts w:ascii="Calibri" w:hAnsi="Calibri" w:cs="Calibri"/>
          <w:sz w:val="22"/>
          <w:szCs w:val="22"/>
        </w:rPr>
        <w:t>counterparties.</w:t>
      </w:r>
    </w:p>
    <w:p w:rsidR="00AD2700" w:rsidRDefault="00AD2700" w:rsidP="00D17540">
      <w:pPr>
        <w:rPr>
          <w:rFonts w:ascii="Calibri" w:hAnsi="Calibri" w:cs="Calibri"/>
          <w:sz w:val="22"/>
          <w:szCs w:val="22"/>
        </w:rPr>
      </w:pPr>
    </w:p>
    <w:p w:rsidR="00AD2700" w:rsidRDefault="00AD2700" w:rsidP="00AD2700">
      <w:pPr>
        <w:jc w:val="both"/>
        <w:rPr>
          <w:rFonts w:asciiTheme="minorHAnsi" w:hAnsiTheme="minorHAnsi"/>
          <w:sz w:val="22"/>
          <w:szCs w:val="22"/>
        </w:rPr>
      </w:pPr>
      <w:r w:rsidRPr="00CC1383">
        <w:rPr>
          <w:rFonts w:asciiTheme="minorHAnsi" w:hAnsiTheme="minorHAnsi"/>
          <w:sz w:val="22"/>
          <w:szCs w:val="22"/>
        </w:rPr>
        <w:t xml:space="preserve">The draft rules of EMIR states that ‘both counterparties report this data however where one counterparty reports on behalf of the other counterparty the data only needs to be reported once’.   ESMA must define the rules for </w:t>
      </w:r>
      <w:r>
        <w:rPr>
          <w:rFonts w:asciiTheme="minorHAnsi" w:hAnsiTheme="minorHAnsi"/>
          <w:sz w:val="22"/>
          <w:szCs w:val="22"/>
        </w:rPr>
        <w:t xml:space="preserve">how this reporting will work in order </w:t>
      </w:r>
      <w:r w:rsidRPr="00CC1383">
        <w:rPr>
          <w:rFonts w:asciiTheme="minorHAnsi" w:hAnsiTheme="minorHAnsi"/>
          <w:sz w:val="22"/>
          <w:szCs w:val="22"/>
        </w:rPr>
        <w:t xml:space="preserve">to minimise the duplication of effort </w:t>
      </w:r>
      <w:r>
        <w:rPr>
          <w:rFonts w:asciiTheme="minorHAnsi" w:hAnsiTheme="minorHAnsi"/>
          <w:sz w:val="22"/>
          <w:szCs w:val="22"/>
        </w:rPr>
        <w:t xml:space="preserve">and reporting </w:t>
      </w:r>
      <w:r w:rsidRPr="00CC1383">
        <w:rPr>
          <w:rFonts w:asciiTheme="minorHAnsi" w:hAnsiTheme="minorHAnsi"/>
          <w:sz w:val="22"/>
          <w:szCs w:val="22"/>
        </w:rPr>
        <w:t>across the industry.</w:t>
      </w:r>
      <w:r>
        <w:rPr>
          <w:rFonts w:asciiTheme="minorHAnsi" w:hAnsiTheme="minorHAnsi"/>
          <w:sz w:val="22"/>
          <w:szCs w:val="22"/>
        </w:rPr>
        <w:t xml:space="preserve">  For example, ESMA could require that the aggressor to a transaction is the primary reporter of the transaction.  </w:t>
      </w:r>
    </w:p>
    <w:p w:rsidR="00AD2700" w:rsidRPr="0078613A" w:rsidRDefault="00AD2700" w:rsidP="00D17540">
      <w:pPr>
        <w:rPr>
          <w:rFonts w:asciiTheme="minorHAnsi" w:hAnsiTheme="minorHAnsi" w:cs="Calibri"/>
          <w:sz w:val="22"/>
          <w:szCs w:val="22"/>
        </w:rPr>
      </w:pPr>
    </w:p>
    <w:p w:rsidR="00EE0AE9" w:rsidRPr="00EE0AE9" w:rsidRDefault="00EE0AE9" w:rsidP="00EE0AE9">
      <w:pPr>
        <w:jc w:val="both"/>
        <w:rPr>
          <w:rFonts w:asciiTheme="minorHAnsi" w:hAnsiTheme="minorHAnsi" w:cs="Calibri"/>
          <w:b/>
          <w:sz w:val="22"/>
          <w:szCs w:val="22"/>
        </w:rPr>
      </w:pPr>
    </w:p>
    <w:p w:rsidR="00FC3F7C" w:rsidRDefault="00EE0AE9" w:rsidP="00D17540">
      <w:pPr>
        <w:jc w:val="both"/>
        <w:rPr>
          <w:rFonts w:asciiTheme="minorHAnsi" w:hAnsiTheme="minorHAnsi"/>
          <w:b/>
          <w:bCs/>
          <w:sz w:val="22"/>
          <w:szCs w:val="22"/>
        </w:rPr>
      </w:pPr>
      <w:r w:rsidRPr="00EE0AE9">
        <w:rPr>
          <w:rFonts w:asciiTheme="minorHAnsi" w:hAnsiTheme="minorHAnsi"/>
          <w:b/>
          <w:bCs/>
          <w:sz w:val="22"/>
          <w:szCs w:val="22"/>
        </w:rPr>
        <w:t>Q75: Would information about fees incorporated into pricing of trades be feasible to extract, in your view?</w:t>
      </w:r>
    </w:p>
    <w:p w:rsidR="00EE0AE9" w:rsidRDefault="00EE0AE9" w:rsidP="00EE0AE9">
      <w:pPr>
        <w:jc w:val="both"/>
        <w:rPr>
          <w:rFonts w:asciiTheme="minorHAnsi" w:hAnsiTheme="minorHAnsi"/>
          <w:b/>
          <w:bCs/>
          <w:sz w:val="22"/>
          <w:szCs w:val="22"/>
        </w:rPr>
      </w:pPr>
    </w:p>
    <w:p w:rsidR="00054B5C" w:rsidRPr="0078613A" w:rsidRDefault="00054B5C" w:rsidP="00D17540">
      <w:pPr>
        <w:rPr>
          <w:rFonts w:asciiTheme="minorHAnsi" w:hAnsiTheme="minorHAnsi"/>
          <w:sz w:val="22"/>
          <w:szCs w:val="22"/>
        </w:rPr>
      </w:pPr>
      <w:r w:rsidRPr="0078613A">
        <w:rPr>
          <w:rFonts w:ascii="Calibri" w:hAnsi="Calibri" w:cs="Calibri"/>
          <w:sz w:val="22"/>
          <w:szCs w:val="22"/>
        </w:rPr>
        <w:t>This could</w:t>
      </w:r>
      <w:r w:rsidR="00147307" w:rsidRPr="0078613A">
        <w:rPr>
          <w:rFonts w:ascii="Calibri" w:hAnsi="Calibri" w:cs="Calibri"/>
          <w:sz w:val="22"/>
          <w:szCs w:val="22"/>
        </w:rPr>
        <w:t xml:space="preserve"> feasible </w:t>
      </w:r>
      <w:r w:rsidRPr="0078613A">
        <w:rPr>
          <w:rFonts w:ascii="Calibri" w:hAnsi="Calibri" w:cs="Calibri"/>
          <w:sz w:val="22"/>
          <w:szCs w:val="22"/>
        </w:rPr>
        <w:t>(</w:t>
      </w:r>
      <w:r w:rsidR="00147307" w:rsidRPr="0078613A">
        <w:rPr>
          <w:rFonts w:ascii="Calibri" w:hAnsi="Calibri" w:cs="Calibri"/>
          <w:sz w:val="22"/>
          <w:szCs w:val="22"/>
        </w:rPr>
        <w:t>at least in the commodities asset class</w:t>
      </w:r>
      <w:r w:rsidRPr="0078613A">
        <w:rPr>
          <w:rFonts w:ascii="Calibri" w:hAnsi="Calibri" w:cs="Calibri"/>
          <w:sz w:val="22"/>
          <w:szCs w:val="22"/>
        </w:rPr>
        <w:t>)</w:t>
      </w:r>
      <w:r w:rsidR="00140C00" w:rsidRPr="0078613A">
        <w:rPr>
          <w:rFonts w:ascii="Calibri" w:hAnsi="Calibri" w:cs="Calibri"/>
          <w:sz w:val="22"/>
          <w:szCs w:val="22"/>
        </w:rPr>
        <w:t xml:space="preserve"> by using</w:t>
      </w:r>
      <w:r w:rsidR="00147307" w:rsidRPr="0078613A">
        <w:rPr>
          <w:rFonts w:ascii="Calibri" w:hAnsi="Calibri" w:cs="Calibri"/>
          <w:sz w:val="22"/>
          <w:szCs w:val="22"/>
        </w:rPr>
        <w:t xml:space="preserve"> </w:t>
      </w:r>
      <w:r w:rsidR="00140C00" w:rsidRPr="0078613A">
        <w:rPr>
          <w:rFonts w:ascii="Calibri" w:hAnsi="Calibri" w:cs="Calibri"/>
          <w:sz w:val="22"/>
          <w:szCs w:val="22"/>
        </w:rPr>
        <w:t xml:space="preserve">existing </w:t>
      </w:r>
      <w:r w:rsidR="00147307" w:rsidRPr="0078613A">
        <w:rPr>
          <w:rFonts w:ascii="Calibri" w:hAnsi="Calibri" w:cs="Calibri"/>
          <w:sz w:val="22"/>
          <w:szCs w:val="22"/>
        </w:rPr>
        <w:t>market data exchange formats used for processes such as confirmation matching since brokerage fees are typically paid by only one party to the trade and therefore excluded from the commercial terms matched between the counterparties.</w:t>
      </w:r>
      <w:r w:rsidR="00140C00" w:rsidRPr="0078613A">
        <w:rPr>
          <w:rFonts w:ascii="Calibri" w:hAnsi="Calibri" w:cs="Calibri"/>
          <w:sz w:val="22"/>
          <w:szCs w:val="22"/>
        </w:rPr>
        <w:t xml:space="preserve">  However, not all counterparties in commodities use the same electronic confirmation matching and therefore ESMA will need to give further thought on whether a comprehensive solution is possible and if so how it could be delivered at a reasonable cost. </w:t>
      </w:r>
    </w:p>
    <w:p w:rsidR="003A631B" w:rsidRDefault="003A631B">
      <w:pPr>
        <w:ind w:firstLine="360"/>
        <w:rPr>
          <w:rFonts w:asciiTheme="minorHAnsi" w:hAnsiTheme="minorHAnsi"/>
          <w:sz w:val="22"/>
          <w:szCs w:val="22"/>
        </w:rPr>
      </w:pPr>
    </w:p>
    <w:p w:rsidR="00FC3F7C" w:rsidRDefault="00EE0AE9" w:rsidP="00D17540">
      <w:pPr>
        <w:jc w:val="both"/>
        <w:rPr>
          <w:rFonts w:asciiTheme="minorHAnsi" w:hAnsiTheme="minorHAnsi" w:cs="Calibri"/>
          <w:b/>
          <w:sz w:val="22"/>
          <w:szCs w:val="22"/>
        </w:rPr>
      </w:pPr>
      <w:r w:rsidRPr="00EE0AE9">
        <w:rPr>
          <w:rFonts w:asciiTheme="minorHAnsi" w:hAnsiTheme="minorHAnsi"/>
          <w:b/>
          <w:bCs/>
          <w:sz w:val="22"/>
          <w:szCs w:val="22"/>
        </w:rPr>
        <w:t>Q76: What is your view of the granularity level of the information to be requested under these fields and in particular the format as suggested in the attached table?</w:t>
      </w:r>
    </w:p>
    <w:p w:rsidR="00EE0AE9" w:rsidRDefault="00EE0AE9" w:rsidP="00EE0AE9">
      <w:pPr>
        <w:jc w:val="both"/>
        <w:rPr>
          <w:rFonts w:asciiTheme="minorHAnsi" w:hAnsiTheme="minorHAnsi" w:cs="Calibri"/>
          <w:b/>
          <w:sz w:val="22"/>
          <w:szCs w:val="22"/>
        </w:rPr>
      </w:pPr>
    </w:p>
    <w:p w:rsidR="00FC3F7C" w:rsidRDefault="00EE0AE9" w:rsidP="00D17540">
      <w:pPr>
        <w:jc w:val="both"/>
        <w:rPr>
          <w:rFonts w:asciiTheme="minorHAnsi" w:hAnsiTheme="minorHAnsi" w:cs="Calibri"/>
          <w:sz w:val="22"/>
          <w:szCs w:val="22"/>
        </w:rPr>
      </w:pPr>
      <w:r w:rsidRPr="00EE0AE9">
        <w:rPr>
          <w:rFonts w:asciiTheme="minorHAnsi" w:hAnsiTheme="minorHAnsi" w:cs="Calibri"/>
          <w:sz w:val="22"/>
          <w:szCs w:val="22"/>
        </w:rPr>
        <w:t>Please see our comments on the table in Annex 2.</w:t>
      </w:r>
    </w:p>
    <w:p w:rsidR="00EE0AE9" w:rsidRPr="00EE0AE9" w:rsidRDefault="00EE0AE9" w:rsidP="00EE0AE9">
      <w:pPr>
        <w:jc w:val="both"/>
        <w:rPr>
          <w:rFonts w:asciiTheme="minorHAnsi" w:hAnsiTheme="minorHAnsi" w:cs="Calibri"/>
          <w:b/>
          <w:sz w:val="22"/>
          <w:szCs w:val="22"/>
        </w:rPr>
      </w:pPr>
    </w:p>
    <w:p w:rsidR="00FC3F7C" w:rsidRDefault="00EE0AE9" w:rsidP="00D17540">
      <w:pPr>
        <w:jc w:val="both"/>
        <w:rPr>
          <w:rFonts w:asciiTheme="minorHAnsi" w:hAnsiTheme="minorHAnsi" w:cs="Calibri"/>
          <w:b/>
          <w:sz w:val="22"/>
          <w:szCs w:val="22"/>
        </w:rPr>
      </w:pPr>
      <w:r w:rsidRPr="00EE0AE9">
        <w:rPr>
          <w:rFonts w:asciiTheme="minorHAnsi" w:hAnsiTheme="minorHAnsi"/>
          <w:b/>
          <w:bCs/>
          <w:sz w:val="22"/>
          <w:szCs w:val="22"/>
        </w:rPr>
        <w:t>Q77: Are the elements in the attached table appropriate in number and scope for each of these classes? Would there be any additional class-specific elements that should be considered, particularly as regards credit, equity and commodity derivatives? As regards format, comments are welcome on the possible codes listed in the table.</w:t>
      </w:r>
    </w:p>
    <w:p w:rsidR="00EE0AE9" w:rsidRDefault="00EE0AE9" w:rsidP="00EE0AE9">
      <w:pPr>
        <w:jc w:val="both"/>
        <w:rPr>
          <w:rFonts w:asciiTheme="minorHAnsi" w:hAnsiTheme="minorHAnsi" w:cs="Calibri"/>
          <w:b/>
          <w:sz w:val="22"/>
          <w:szCs w:val="22"/>
        </w:rPr>
      </w:pPr>
    </w:p>
    <w:p w:rsidR="00FC3F7C" w:rsidRDefault="00EE0AE9" w:rsidP="00D17540">
      <w:pPr>
        <w:jc w:val="both"/>
        <w:rPr>
          <w:rFonts w:asciiTheme="minorHAnsi" w:hAnsiTheme="minorHAnsi" w:cs="Calibri"/>
          <w:sz w:val="22"/>
          <w:szCs w:val="22"/>
        </w:rPr>
      </w:pPr>
      <w:r w:rsidRPr="00EE0AE9">
        <w:rPr>
          <w:rFonts w:asciiTheme="minorHAnsi" w:hAnsiTheme="minorHAnsi" w:cs="Calibri"/>
          <w:sz w:val="22"/>
          <w:szCs w:val="22"/>
        </w:rPr>
        <w:t>Please see our comments on the table in Annex 2.</w:t>
      </w:r>
    </w:p>
    <w:p w:rsidR="00EE0AE9" w:rsidRDefault="00EE0AE9" w:rsidP="00EE0AE9">
      <w:pPr>
        <w:jc w:val="both"/>
        <w:rPr>
          <w:rFonts w:asciiTheme="minorHAnsi" w:hAnsiTheme="minorHAnsi" w:cs="Calibri"/>
          <w:b/>
          <w:sz w:val="22"/>
          <w:szCs w:val="22"/>
        </w:rPr>
      </w:pPr>
    </w:p>
    <w:p w:rsidR="00FC3F7C" w:rsidRDefault="00EE0AE9" w:rsidP="00D17540">
      <w:pPr>
        <w:jc w:val="both"/>
        <w:rPr>
          <w:rFonts w:asciiTheme="minorHAnsi" w:hAnsiTheme="minorHAnsi" w:cs="Calibri"/>
          <w:b/>
          <w:sz w:val="22"/>
          <w:szCs w:val="22"/>
        </w:rPr>
      </w:pPr>
      <w:r w:rsidRPr="00EE0AE9">
        <w:rPr>
          <w:rFonts w:asciiTheme="minorHAnsi" w:hAnsiTheme="minorHAnsi" w:cs="Calibri"/>
          <w:b/>
          <w:sz w:val="22"/>
          <w:szCs w:val="22"/>
        </w:rPr>
        <w:t>Q78: Given that daily mark-to-market valuations are required to be calculated by counterparties under [Article 6/8] of EMIR, how complex would it be to report data on exposures and how could this be made possible, particularly in the case of bilateral trades, and in which implementation timeline? Would the same arguments also apply to the reporting of collateral?</w:t>
      </w:r>
    </w:p>
    <w:p w:rsidR="00B477B0" w:rsidRDefault="00B477B0" w:rsidP="00EE0AE9">
      <w:pPr>
        <w:rPr>
          <w:rFonts w:asciiTheme="minorHAnsi" w:hAnsiTheme="minorHAnsi"/>
          <w:sz w:val="22"/>
          <w:szCs w:val="22"/>
        </w:rPr>
      </w:pPr>
    </w:p>
    <w:p w:rsidR="008476A0" w:rsidRPr="008476A0" w:rsidRDefault="00B477B0" w:rsidP="008476A0">
      <w:pPr>
        <w:jc w:val="both"/>
        <w:rPr>
          <w:rFonts w:ascii="Calibri" w:hAnsi="Calibri" w:cs="Calibri"/>
          <w:sz w:val="22"/>
          <w:szCs w:val="22"/>
        </w:rPr>
      </w:pPr>
      <w:r w:rsidRPr="008476A0">
        <w:rPr>
          <w:rFonts w:asciiTheme="minorHAnsi" w:hAnsiTheme="minorHAnsi"/>
          <w:sz w:val="22"/>
          <w:szCs w:val="22"/>
        </w:rPr>
        <w:t xml:space="preserve">Valuation is an end of day process. </w:t>
      </w:r>
      <w:r w:rsidR="00AD1057" w:rsidRPr="008476A0">
        <w:rPr>
          <w:rFonts w:asciiTheme="minorHAnsi" w:hAnsiTheme="minorHAnsi"/>
          <w:sz w:val="22"/>
          <w:szCs w:val="22"/>
        </w:rPr>
        <w:t xml:space="preserve"> </w:t>
      </w:r>
      <w:r w:rsidRPr="008476A0">
        <w:rPr>
          <w:rFonts w:asciiTheme="minorHAnsi" w:hAnsiTheme="minorHAnsi"/>
          <w:sz w:val="22"/>
          <w:szCs w:val="22"/>
        </w:rPr>
        <w:t xml:space="preserve">At present any overrun that occurs (possibly because of late publication of prices or system problems) is an inconvenience to the business.  </w:t>
      </w:r>
      <w:r w:rsidR="00044501" w:rsidRPr="008476A0">
        <w:rPr>
          <w:rFonts w:asciiTheme="minorHAnsi" w:hAnsiTheme="minorHAnsi"/>
          <w:sz w:val="22"/>
          <w:szCs w:val="22"/>
        </w:rPr>
        <w:t xml:space="preserve">If there was a requirement to provide regulatory data on mark to market this would need to be recognised in the reporting timeframes.  </w:t>
      </w:r>
      <w:r w:rsidR="008476A0" w:rsidRPr="008476A0">
        <w:rPr>
          <w:rFonts w:ascii="Calibri" w:hAnsi="Calibri" w:cs="Calibri"/>
          <w:sz w:val="22"/>
          <w:szCs w:val="22"/>
        </w:rPr>
        <w:t>Requirements to report valuations or exposures on a daily basis will also greatly increase the amount of data flowing to trade repositories as the number of trades for which a mark-to-market is calculated each day greatly exceeds the number of new trades or trades which have a lifecycle event.</w:t>
      </w:r>
    </w:p>
    <w:p w:rsidR="00B477B0" w:rsidRPr="008476A0" w:rsidRDefault="00B477B0" w:rsidP="00EE0AE9">
      <w:pPr>
        <w:rPr>
          <w:rFonts w:asciiTheme="minorHAnsi" w:hAnsiTheme="minorHAnsi"/>
          <w:sz w:val="22"/>
          <w:szCs w:val="22"/>
        </w:rPr>
      </w:pPr>
    </w:p>
    <w:p w:rsidR="00950C08" w:rsidRPr="008476A0" w:rsidRDefault="005657B6" w:rsidP="00950C08">
      <w:pPr>
        <w:jc w:val="both"/>
        <w:rPr>
          <w:rFonts w:ascii="Calibri" w:hAnsi="Calibri" w:cs="Calibri"/>
          <w:sz w:val="22"/>
          <w:szCs w:val="22"/>
        </w:rPr>
      </w:pPr>
      <w:r>
        <w:rPr>
          <w:rFonts w:ascii="Calibri" w:hAnsi="Calibri" w:cs="Calibri"/>
          <w:sz w:val="22"/>
          <w:szCs w:val="22"/>
        </w:rPr>
        <w:t xml:space="preserve">EDFT </w:t>
      </w:r>
      <w:r w:rsidR="008A4CB5" w:rsidRPr="008476A0">
        <w:rPr>
          <w:rFonts w:ascii="Calibri" w:hAnsi="Calibri" w:cs="Calibri"/>
          <w:sz w:val="22"/>
          <w:szCs w:val="22"/>
        </w:rPr>
        <w:t>question</w:t>
      </w:r>
      <w:r>
        <w:rPr>
          <w:rFonts w:ascii="Calibri" w:hAnsi="Calibri" w:cs="Calibri"/>
          <w:sz w:val="22"/>
          <w:szCs w:val="22"/>
        </w:rPr>
        <w:t>s</w:t>
      </w:r>
      <w:r w:rsidR="008A4CB5" w:rsidRPr="008476A0">
        <w:rPr>
          <w:rFonts w:ascii="Calibri" w:hAnsi="Calibri" w:cs="Calibri"/>
          <w:sz w:val="22"/>
          <w:szCs w:val="22"/>
        </w:rPr>
        <w:t xml:space="preserve"> the usefulness of reporting exposures (for non-cleared trades) at the</w:t>
      </w:r>
      <w:r w:rsidR="008A7E93" w:rsidRPr="008476A0">
        <w:rPr>
          <w:rFonts w:ascii="Calibri" w:hAnsi="Calibri" w:cs="Calibri"/>
          <w:sz w:val="22"/>
          <w:szCs w:val="22"/>
        </w:rPr>
        <w:t xml:space="preserve"> individual</w:t>
      </w:r>
      <w:r w:rsidR="008A4CB5" w:rsidRPr="008476A0">
        <w:rPr>
          <w:rFonts w:ascii="Calibri" w:hAnsi="Calibri" w:cs="Calibri"/>
          <w:sz w:val="22"/>
          <w:szCs w:val="22"/>
        </w:rPr>
        <w:t xml:space="preserve"> trade level.  Most trade agreements take advantage</w:t>
      </w:r>
      <w:r>
        <w:rPr>
          <w:rFonts w:ascii="Calibri" w:hAnsi="Calibri" w:cs="Calibri"/>
          <w:sz w:val="22"/>
          <w:szCs w:val="22"/>
        </w:rPr>
        <w:t xml:space="preserve"> of certain netting provisions </w:t>
      </w:r>
      <w:r w:rsidR="008A4CB5" w:rsidRPr="008476A0">
        <w:rPr>
          <w:rFonts w:ascii="Calibri" w:hAnsi="Calibri" w:cs="Calibri"/>
          <w:sz w:val="22"/>
          <w:szCs w:val="22"/>
        </w:rPr>
        <w:t>but the exact application of these provisions depends on what has been agreed in the</w:t>
      </w:r>
      <w:r w:rsidR="008A7E93" w:rsidRPr="008476A0">
        <w:rPr>
          <w:rFonts w:ascii="Calibri" w:hAnsi="Calibri" w:cs="Calibri"/>
          <w:sz w:val="22"/>
          <w:szCs w:val="22"/>
        </w:rPr>
        <w:t xml:space="preserve"> specific</w:t>
      </w:r>
      <w:r w:rsidR="008A4CB5" w:rsidRPr="008476A0">
        <w:rPr>
          <w:rFonts w:ascii="Calibri" w:hAnsi="Calibri" w:cs="Calibri"/>
          <w:sz w:val="22"/>
          <w:szCs w:val="22"/>
        </w:rPr>
        <w:t xml:space="preserve"> agreement.  The trade repository</w:t>
      </w:r>
      <w:r w:rsidR="008A7E93" w:rsidRPr="008476A0">
        <w:rPr>
          <w:rFonts w:ascii="Calibri" w:hAnsi="Calibri" w:cs="Calibri"/>
          <w:sz w:val="22"/>
          <w:szCs w:val="22"/>
        </w:rPr>
        <w:t xml:space="preserve"> or competent authority</w:t>
      </w:r>
      <w:r w:rsidR="008A4CB5" w:rsidRPr="008476A0">
        <w:rPr>
          <w:rFonts w:ascii="Calibri" w:hAnsi="Calibri" w:cs="Calibri"/>
          <w:sz w:val="22"/>
          <w:szCs w:val="22"/>
        </w:rPr>
        <w:t xml:space="preserve"> will therefore be unable to construct th</w:t>
      </w:r>
      <w:r w:rsidR="008A7E93" w:rsidRPr="008476A0">
        <w:rPr>
          <w:rFonts w:ascii="Calibri" w:hAnsi="Calibri" w:cs="Calibri"/>
          <w:sz w:val="22"/>
          <w:szCs w:val="22"/>
        </w:rPr>
        <w:t>e actual credit exposure of one counter</w:t>
      </w:r>
      <w:r w:rsidR="008A4CB5" w:rsidRPr="008476A0">
        <w:rPr>
          <w:rFonts w:ascii="Calibri" w:hAnsi="Calibri" w:cs="Calibri"/>
          <w:sz w:val="22"/>
          <w:szCs w:val="22"/>
        </w:rPr>
        <w:t xml:space="preserve">party to another.  If there is a requirement to analyse credit exposures between </w:t>
      </w:r>
      <w:r w:rsidR="008A7E93" w:rsidRPr="008476A0">
        <w:rPr>
          <w:rFonts w:ascii="Calibri" w:hAnsi="Calibri" w:cs="Calibri"/>
          <w:sz w:val="22"/>
          <w:szCs w:val="22"/>
        </w:rPr>
        <w:t>counterparties in the market</w:t>
      </w:r>
      <w:r w:rsidR="008A4CB5" w:rsidRPr="008476A0">
        <w:rPr>
          <w:rFonts w:ascii="Calibri" w:hAnsi="Calibri" w:cs="Calibri"/>
          <w:sz w:val="22"/>
          <w:szCs w:val="22"/>
        </w:rPr>
        <w:t xml:space="preserve"> then companies should be required to calculate and re</w:t>
      </w:r>
      <w:r w:rsidR="008476A0" w:rsidRPr="008476A0">
        <w:rPr>
          <w:rFonts w:ascii="Calibri" w:hAnsi="Calibri" w:cs="Calibri"/>
          <w:sz w:val="22"/>
          <w:szCs w:val="22"/>
        </w:rPr>
        <w:t>port these on a portfolio level</w:t>
      </w:r>
      <w:r w:rsidR="008A4CB5" w:rsidRPr="008476A0">
        <w:rPr>
          <w:rFonts w:ascii="Calibri" w:hAnsi="Calibri" w:cs="Calibri"/>
          <w:sz w:val="22"/>
          <w:szCs w:val="22"/>
        </w:rPr>
        <w:t xml:space="preserve"> taking into consideration the application of exposure netting.</w:t>
      </w:r>
    </w:p>
    <w:p w:rsidR="00950C08" w:rsidRPr="00950C08" w:rsidRDefault="00950C08" w:rsidP="00950C08">
      <w:pPr>
        <w:jc w:val="both"/>
        <w:rPr>
          <w:rFonts w:ascii="Calibri" w:hAnsi="Calibri" w:cs="Calibri"/>
          <w:sz w:val="22"/>
          <w:szCs w:val="22"/>
          <w:highlight w:val="yellow"/>
        </w:rPr>
      </w:pPr>
    </w:p>
    <w:p w:rsidR="00950C08" w:rsidRPr="00EE0AE9" w:rsidRDefault="00950C08" w:rsidP="00EE0AE9">
      <w:pPr>
        <w:rPr>
          <w:rFonts w:asciiTheme="minorHAnsi" w:hAnsiTheme="minorHAnsi"/>
          <w:sz w:val="22"/>
          <w:szCs w:val="22"/>
        </w:rPr>
      </w:pPr>
    </w:p>
    <w:p w:rsidR="00FC3F7C" w:rsidRDefault="00EE0AE9" w:rsidP="00D17540">
      <w:pPr>
        <w:rPr>
          <w:rFonts w:asciiTheme="minorHAnsi" w:hAnsiTheme="minorHAnsi"/>
          <w:b/>
          <w:bCs/>
          <w:sz w:val="22"/>
          <w:szCs w:val="22"/>
        </w:rPr>
      </w:pPr>
      <w:r w:rsidRPr="00EE0AE9">
        <w:rPr>
          <w:rFonts w:asciiTheme="minorHAnsi" w:hAnsiTheme="minorHAnsi"/>
          <w:b/>
          <w:bCs/>
          <w:sz w:val="22"/>
          <w:szCs w:val="22"/>
        </w:rPr>
        <w:t>Q79: Do you agree with this proposed approach? What are in your view the main challenges in third party reporting and the best ways to address them?</w:t>
      </w:r>
    </w:p>
    <w:p w:rsidR="00EE0AE9" w:rsidRPr="00EE0AE9" w:rsidRDefault="00EE0AE9">
      <w:pPr>
        <w:rPr>
          <w:rFonts w:asciiTheme="minorHAnsi" w:hAnsiTheme="minorHAnsi"/>
          <w:b/>
          <w:bCs/>
          <w:sz w:val="22"/>
          <w:szCs w:val="22"/>
        </w:rPr>
      </w:pPr>
    </w:p>
    <w:p w:rsidR="00FC3F7C" w:rsidRDefault="00EE0AE9" w:rsidP="00D17540">
      <w:pPr>
        <w:rPr>
          <w:rFonts w:asciiTheme="minorHAnsi" w:hAnsiTheme="minorHAnsi"/>
          <w:b/>
          <w:bCs/>
          <w:sz w:val="22"/>
          <w:szCs w:val="22"/>
        </w:rPr>
      </w:pPr>
      <w:r w:rsidRPr="00EE0AE9">
        <w:rPr>
          <w:rFonts w:asciiTheme="minorHAnsi" w:hAnsiTheme="minorHAnsi"/>
          <w:sz w:val="22"/>
          <w:szCs w:val="22"/>
        </w:rPr>
        <w:t>We have no comments on this issue.</w:t>
      </w:r>
    </w:p>
    <w:p w:rsidR="00EE0AE9" w:rsidRDefault="00EE0AE9">
      <w:pPr>
        <w:rPr>
          <w:rFonts w:asciiTheme="minorHAnsi" w:hAnsiTheme="minorHAnsi"/>
          <w:b/>
          <w:bCs/>
          <w:color w:val="1F497D"/>
          <w:sz w:val="22"/>
          <w:szCs w:val="22"/>
        </w:rPr>
      </w:pPr>
    </w:p>
    <w:p w:rsidR="00EE0AE9" w:rsidRDefault="00EE0AE9">
      <w:pPr>
        <w:rPr>
          <w:rFonts w:asciiTheme="minorHAnsi" w:hAnsiTheme="minorHAnsi"/>
          <w:b/>
          <w:bCs/>
          <w:color w:val="1F497D"/>
          <w:sz w:val="22"/>
          <w:szCs w:val="22"/>
        </w:rPr>
      </w:pPr>
    </w:p>
    <w:p w:rsidR="00FC3F7C" w:rsidRDefault="00EE0AE9" w:rsidP="00D17540">
      <w:pPr>
        <w:rPr>
          <w:rFonts w:asciiTheme="minorHAnsi" w:hAnsiTheme="minorHAnsi"/>
          <w:b/>
          <w:bCs/>
          <w:color w:val="1F497D"/>
          <w:sz w:val="22"/>
          <w:szCs w:val="22"/>
          <w:u w:val="single"/>
        </w:rPr>
      </w:pPr>
      <w:r w:rsidRPr="00EE0AE9">
        <w:rPr>
          <w:rFonts w:asciiTheme="minorHAnsi" w:hAnsiTheme="minorHAnsi"/>
          <w:b/>
          <w:bCs/>
          <w:sz w:val="22"/>
          <w:szCs w:val="22"/>
          <w:u w:val="single"/>
        </w:rPr>
        <w:t>Application for Registration for Trade Repositories (Article 52)</w:t>
      </w:r>
    </w:p>
    <w:p w:rsidR="00EE0AE9" w:rsidRDefault="00EE0AE9" w:rsidP="00EE0AE9">
      <w:pPr>
        <w:pStyle w:val="Default"/>
        <w:rPr>
          <w:rFonts w:asciiTheme="minorHAnsi" w:hAnsiTheme="minorHAnsi"/>
          <w:b/>
          <w:bCs/>
          <w:sz w:val="22"/>
          <w:szCs w:val="22"/>
        </w:rPr>
      </w:pPr>
    </w:p>
    <w:p w:rsidR="00FC3F7C" w:rsidRDefault="00EE0AE9" w:rsidP="00D17540">
      <w:pPr>
        <w:pStyle w:val="Default"/>
        <w:rPr>
          <w:rFonts w:asciiTheme="minorHAnsi" w:hAnsiTheme="minorHAnsi"/>
          <w:sz w:val="22"/>
          <w:szCs w:val="22"/>
        </w:rPr>
      </w:pPr>
      <w:r w:rsidRPr="00EE0AE9">
        <w:rPr>
          <w:rFonts w:asciiTheme="minorHAnsi" w:hAnsiTheme="minorHAnsi"/>
          <w:b/>
          <w:bCs/>
          <w:sz w:val="22"/>
          <w:szCs w:val="22"/>
        </w:rPr>
        <w:t xml:space="preserve">Q80: Do you envisage any issues in providing the information/documentation as outlined above? In particular: </w:t>
      </w:r>
    </w:p>
    <w:p w:rsidR="00FC3F7C" w:rsidRDefault="00EE0AE9" w:rsidP="00D17540">
      <w:pPr>
        <w:pStyle w:val="Default"/>
        <w:spacing w:after="288"/>
        <w:rPr>
          <w:rFonts w:asciiTheme="minorHAnsi" w:hAnsiTheme="minorHAnsi"/>
          <w:sz w:val="22"/>
          <w:szCs w:val="22"/>
        </w:rPr>
      </w:pPr>
      <w:r w:rsidRPr="00F76770">
        <w:rPr>
          <w:rFonts w:asciiTheme="minorHAnsi" w:hAnsiTheme="minorHAnsi"/>
          <w:b/>
          <w:bCs/>
          <w:sz w:val="22"/>
          <w:szCs w:val="22"/>
        </w:rPr>
        <w:t xml:space="preserve">a) what would the appropriate timeline over which ESMA should be requesting business plans (e.g. 1, 3, 5 years?) </w:t>
      </w:r>
    </w:p>
    <w:p w:rsidR="00FC3F7C" w:rsidRDefault="00EE0AE9" w:rsidP="00D17540">
      <w:pPr>
        <w:pStyle w:val="Default"/>
        <w:rPr>
          <w:rFonts w:asciiTheme="minorHAnsi" w:hAnsiTheme="minorHAnsi"/>
          <w:sz w:val="22"/>
          <w:szCs w:val="22"/>
        </w:rPr>
      </w:pPr>
      <w:r w:rsidRPr="00F76770">
        <w:rPr>
          <w:rFonts w:asciiTheme="minorHAnsi" w:hAnsiTheme="minorHAnsi"/>
          <w:b/>
          <w:bCs/>
          <w:sz w:val="22"/>
          <w:szCs w:val="22"/>
        </w:rPr>
        <w:t xml:space="preserve">b) what would the appropriate and prudent length of time for which a TR must have sufficient financial resources enabling it to cover its operating costs (e.g. 6 months / 1 year)? </w:t>
      </w:r>
    </w:p>
    <w:p w:rsidR="00EE0AE9" w:rsidRPr="00F76770" w:rsidRDefault="00EE0AE9">
      <w:pPr>
        <w:rPr>
          <w:rFonts w:asciiTheme="minorHAnsi" w:hAnsiTheme="minorHAnsi"/>
          <w:b/>
          <w:bCs/>
          <w:color w:val="1F497D"/>
          <w:sz w:val="22"/>
          <w:szCs w:val="22"/>
          <w:lang w:val="en-GB"/>
        </w:rPr>
      </w:pPr>
    </w:p>
    <w:p w:rsidR="00FC3F7C" w:rsidRDefault="00EE0AE9" w:rsidP="00D17540">
      <w:pPr>
        <w:rPr>
          <w:rFonts w:asciiTheme="minorHAnsi" w:hAnsiTheme="minorHAnsi"/>
          <w:b/>
          <w:bCs/>
          <w:sz w:val="22"/>
          <w:szCs w:val="22"/>
        </w:rPr>
      </w:pPr>
      <w:r w:rsidRPr="00F76770">
        <w:rPr>
          <w:rFonts w:asciiTheme="minorHAnsi" w:hAnsiTheme="minorHAnsi"/>
          <w:sz w:val="22"/>
          <w:szCs w:val="22"/>
        </w:rPr>
        <w:t>We have no comments on this issue.</w:t>
      </w:r>
    </w:p>
    <w:p w:rsidR="00EE0AE9" w:rsidRPr="00F76770" w:rsidRDefault="00EE0AE9">
      <w:pPr>
        <w:rPr>
          <w:rFonts w:asciiTheme="minorHAnsi" w:hAnsiTheme="minorHAnsi"/>
          <w:b/>
          <w:bCs/>
          <w:color w:val="1F497D"/>
          <w:sz w:val="22"/>
          <w:szCs w:val="22"/>
        </w:rPr>
      </w:pPr>
    </w:p>
    <w:p w:rsidR="00FC3F7C" w:rsidRDefault="00EE0AE9" w:rsidP="00D17540">
      <w:pPr>
        <w:rPr>
          <w:rFonts w:asciiTheme="minorHAnsi" w:hAnsiTheme="minorHAnsi"/>
          <w:b/>
          <w:bCs/>
          <w:sz w:val="22"/>
          <w:szCs w:val="22"/>
        </w:rPr>
      </w:pPr>
      <w:r w:rsidRPr="00F76770">
        <w:rPr>
          <w:rFonts w:asciiTheme="minorHAnsi" w:hAnsiTheme="minorHAnsi"/>
          <w:b/>
          <w:bCs/>
          <w:sz w:val="22"/>
          <w:szCs w:val="22"/>
        </w:rPr>
        <w:t>Q81: What is your view on these concerns and the ways proposed to address them? Would there be any other concerns to be addressed under the application for registration and tools that could be used?</w:t>
      </w:r>
    </w:p>
    <w:p w:rsidR="00EE0AE9" w:rsidRPr="00F76770" w:rsidRDefault="00EE0AE9">
      <w:pPr>
        <w:rPr>
          <w:rFonts w:asciiTheme="minorHAnsi" w:hAnsiTheme="minorHAnsi"/>
          <w:b/>
          <w:bCs/>
          <w:sz w:val="22"/>
          <w:szCs w:val="22"/>
        </w:rPr>
      </w:pPr>
    </w:p>
    <w:p w:rsidR="00FC3F7C" w:rsidRDefault="00EE0AE9" w:rsidP="00D17540">
      <w:pPr>
        <w:rPr>
          <w:rFonts w:asciiTheme="minorHAnsi" w:hAnsiTheme="minorHAnsi"/>
          <w:b/>
          <w:bCs/>
          <w:sz w:val="22"/>
          <w:szCs w:val="22"/>
        </w:rPr>
      </w:pPr>
      <w:r w:rsidRPr="00F76770">
        <w:rPr>
          <w:rFonts w:asciiTheme="minorHAnsi" w:hAnsiTheme="minorHAnsi"/>
          <w:sz w:val="22"/>
          <w:szCs w:val="22"/>
        </w:rPr>
        <w:t>We have no comments on this issue.</w:t>
      </w:r>
    </w:p>
    <w:p w:rsidR="00EE0AE9" w:rsidRDefault="00EE0AE9">
      <w:pPr>
        <w:rPr>
          <w:rFonts w:asciiTheme="minorHAnsi" w:hAnsiTheme="minorHAnsi"/>
          <w:b/>
          <w:bCs/>
          <w:color w:val="1F497D"/>
          <w:sz w:val="22"/>
          <w:szCs w:val="22"/>
        </w:rPr>
      </w:pPr>
    </w:p>
    <w:p w:rsidR="00F76770" w:rsidRDefault="00F76770">
      <w:pPr>
        <w:rPr>
          <w:rFonts w:asciiTheme="minorHAnsi" w:hAnsiTheme="minorHAnsi"/>
          <w:b/>
          <w:bCs/>
          <w:sz w:val="22"/>
          <w:szCs w:val="22"/>
          <w:u w:val="single"/>
        </w:rPr>
      </w:pPr>
    </w:p>
    <w:p w:rsidR="00FC3F7C" w:rsidRDefault="00EE0AE9" w:rsidP="00D17540">
      <w:pPr>
        <w:rPr>
          <w:rFonts w:asciiTheme="minorHAnsi" w:hAnsiTheme="minorHAnsi"/>
          <w:b/>
          <w:bCs/>
          <w:sz w:val="22"/>
          <w:szCs w:val="22"/>
          <w:u w:val="single"/>
        </w:rPr>
      </w:pPr>
      <w:r w:rsidRPr="00F76770">
        <w:rPr>
          <w:rFonts w:asciiTheme="minorHAnsi" w:hAnsiTheme="minorHAnsi"/>
          <w:b/>
          <w:bCs/>
          <w:sz w:val="22"/>
          <w:szCs w:val="22"/>
          <w:u w:val="single"/>
        </w:rPr>
        <w:t>Transparency and data availability (Article 67)</w:t>
      </w:r>
    </w:p>
    <w:p w:rsidR="00EE0AE9" w:rsidRPr="00F76770" w:rsidRDefault="00EE0AE9">
      <w:pPr>
        <w:rPr>
          <w:rFonts w:asciiTheme="minorHAnsi" w:hAnsiTheme="minorHAnsi"/>
          <w:b/>
          <w:bCs/>
          <w:sz w:val="22"/>
          <w:szCs w:val="22"/>
        </w:rPr>
      </w:pPr>
    </w:p>
    <w:p w:rsidR="00FC3F7C" w:rsidRDefault="00EE0AE9" w:rsidP="00D17540">
      <w:pPr>
        <w:pStyle w:val="Default"/>
        <w:rPr>
          <w:rFonts w:asciiTheme="minorHAnsi" w:hAnsiTheme="minorHAnsi"/>
          <w:sz w:val="22"/>
          <w:szCs w:val="22"/>
        </w:rPr>
      </w:pPr>
      <w:r w:rsidRPr="00F76770">
        <w:rPr>
          <w:rFonts w:asciiTheme="minorHAnsi" w:hAnsiTheme="minorHAnsi"/>
          <w:b/>
          <w:bCs/>
          <w:sz w:val="22"/>
          <w:szCs w:val="22"/>
        </w:rPr>
        <w:t xml:space="preserve">Q82: What level of aggregation should be considered for data being disclosed to the public? </w:t>
      </w:r>
    </w:p>
    <w:p w:rsidR="00EE0AE9" w:rsidRPr="00F76770" w:rsidRDefault="00EE0AE9" w:rsidP="00EE0AE9">
      <w:pPr>
        <w:rPr>
          <w:rFonts w:asciiTheme="minorHAnsi" w:hAnsiTheme="minorHAnsi"/>
          <w:b/>
          <w:bCs/>
          <w:sz w:val="22"/>
          <w:szCs w:val="22"/>
        </w:rPr>
      </w:pPr>
    </w:p>
    <w:p w:rsidR="00FC3F7C" w:rsidRDefault="00EE0AE9" w:rsidP="00D17540">
      <w:pPr>
        <w:rPr>
          <w:rFonts w:asciiTheme="minorHAnsi" w:hAnsiTheme="minorHAnsi"/>
          <w:b/>
          <w:bCs/>
          <w:color w:val="1F497D"/>
          <w:sz w:val="22"/>
          <w:szCs w:val="22"/>
        </w:rPr>
      </w:pPr>
      <w:r w:rsidRPr="00F76770">
        <w:rPr>
          <w:rFonts w:asciiTheme="minorHAnsi" w:hAnsiTheme="minorHAnsi"/>
          <w:b/>
          <w:bCs/>
          <w:sz w:val="22"/>
          <w:szCs w:val="22"/>
        </w:rPr>
        <w:t>Q83: What should the frequency of public disclosure be (weekly? monthly?); and should it vary depending on the class of derivatives or liquidity impact concerns; if yes, how?</w:t>
      </w:r>
    </w:p>
    <w:p w:rsidR="00EE0AE9" w:rsidRPr="00F76770" w:rsidRDefault="00EE0AE9">
      <w:pPr>
        <w:rPr>
          <w:rFonts w:asciiTheme="minorHAnsi" w:hAnsiTheme="minorHAnsi"/>
          <w:b/>
          <w:bCs/>
          <w:color w:val="1F497D"/>
          <w:sz w:val="22"/>
          <w:szCs w:val="22"/>
        </w:rPr>
      </w:pPr>
    </w:p>
    <w:p w:rsidR="00FC3F7C" w:rsidRDefault="00F76770" w:rsidP="00D17540">
      <w:pPr>
        <w:rPr>
          <w:rFonts w:asciiTheme="minorHAnsi" w:hAnsiTheme="minorHAnsi"/>
          <w:bCs/>
          <w:sz w:val="22"/>
          <w:szCs w:val="22"/>
        </w:rPr>
      </w:pPr>
      <w:r w:rsidRPr="00F76770">
        <w:rPr>
          <w:rFonts w:asciiTheme="minorHAnsi" w:hAnsiTheme="minorHAnsi"/>
          <w:bCs/>
          <w:sz w:val="22"/>
          <w:szCs w:val="22"/>
        </w:rPr>
        <w:lastRenderedPageBreak/>
        <w:t>Information</w:t>
      </w:r>
      <w:r w:rsidR="00EE0AE9" w:rsidRPr="00F76770">
        <w:rPr>
          <w:rFonts w:asciiTheme="minorHAnsi" w:hAnsiTheme="minorHAnsi"/>
          <w:bCs/>
          <w:sz w:val="22"/>
          <w:szCs w:val="22"/>
        </w:rPr>
        <w:t xml:space="preserve"> should be aggregated at a level that ensures no commercially confidential information is</w:t>
      </w:r>
      <w:r w:rsidRPr="00F76770">
        <w:rPr>
          <w:rFonts w:asciiTheme="minorHAnsi" w:hAnsiTheme="minorHAnsi"/>
          <w:bCs/>
          <w:sz w:val="22"/>
          <w:szCs w:val="22"/>
        </w:rPr>
        <w:t xml:space="preserve"> revealed.  The CPP should consult with relevant clearing members on the appropriate level of aggregation where there is a risk of </w:t>
      </w:r>
      <w:r>
        <w:rPr>
          <w:rFonts w:asciiTheme="minorHAnsi" w:hAnsiTheme="minorHAnsi"/>
          <w:bCs/>
          <w:sz w:val="22"/>
          <w:szCs w:val="22"/>
        </w:rPr>
        <w:t>revealing</w:t>
      </w:r>
      <w:r w:rsidRPr="00F76770">
        <w:rPr>
          <w:rFonts w:asciiTheme="minorHAnsi" w:hAnsiTheme="minorHAnsi"/>
          <w:bCs/>
          <w:sz w:val="22"/>
          <w:szCs w:val="22"/>
        </w:rPr>
        <w:t xml:space="preserve"> commercially confidential information (e.g. on products with low liquidity, or low number of</w:t>
      </w:r>
      <w:r>
        <w:rPr>
          <w:rFonts w:asciiTheme="minorHAnsi" w:hAnsiTheme="minorHAnsi"/>
          <w:bCs/>
          <w:sz w:val="22"/>
          <w:szCs w:val="22"/>
        </w:rPr>
        <w:t xml:space="preserve"> counterparts</w:t>
      </w:r>
      <w:r w:rsidRPr="00F76770">
        <w:rPr>
          <w:rFonts w:asciiTheme="minorHAnsi" w:hAnsiTheme="minorHAnsi"/>
          <w:bCs/>
          <w:sz w:val="22"/>
          <w:szCs w:val="22"/>
        </w:rPr>
        <w:t>).</w:t>
      </w:r>
    </w:p>
    <w:p w:rsidR="00F76770" w:rsidRPr="00F76770" w:rsidRDefault="00F76770" w:rsidP="00804BFE">
      <w:pPr>
        <w:rPr>
          <w:rFonts w:asciiTheme="minorHAnsi" w:hAnsiTheme="minorHAnsi"/>
          <w:b/>
          <w:bCs/>
          <w:sz w:val="22"/>
          <w:szCs w:val="22"/>
        </w:rPr>
      </w:pPr>
    </w:p>
    <w:p w:rsidR="00FC3F7C" w:rsidRDefault="00F76770" w:rsidP="00D17540">
      <w:pPr>
        <w:rPr>
          <w:rFonts w:asciiTheme="minorHAnsi" w:hAnsiTheme="minorHAnsi"/>
          <w:bCs/>
          <w:sz w:val="22"/>
          <w:szCs w:val="22"/>
        </w:rPr>
      </w:pPr>
      <w:r w:rsidRPr="00F76770">
        <w:rPr>
          <w:rFonts w:asciiTheme="minorHAnsi" w:hAnsiTheme="minorHAnsi"/>
          <w:bCs/>
          <w:sz w:val="22"/>
          <w:szCs w:val="22"/>
        </w:rPr>
        <w:t>We support transparency and would advocate weekly publication of relevant information</w:t>
      </w:r>
      <w:r w:rsidR="00B477B0">
        <w:rPr>
          <w:rFonts w:asciiTheme="minorHAnsi" w:hAnsiTheme="minorHAnsi"/>
          <w:bCs/>
          <w:sz w:val="22"/>
          <w:szCs w:val="22"/>
        </w:rPr>
        <w:t>,</w:t>
      </w:r>
      <w:r w:rsidRPr="00F76770">
        <w:rPr>
          <w:rFonts w:asciiTheme="minorHAnsi" w:hAnsiTheme="minorHAnsi"/>
          <w:bCs/>
          <w:sz w:val="22"/>
          <w:szCs w:val="22"/>
        </w:rPr>
        <w:t xml:space="preserve"> which should only be adjusted in the event of low liquidity in a </w:t>
      </w:r>
      <w:r>
        <w:rPr>
          <w:rFonts w:asciiTheme="minorHAnsi" w:hAnsiTheme="minorHAnsi"/>
          <w:bCs/>
          <w:sz w:val="22"/>
          <w:szCs w:val="22"/>
        </w:rPr>
        <w:t>particular</w:t>
      </w:r>
      <w:r w:rsidRPr="00F76770">
        <w:rPr>
          <w:rFonts w:asciiTheme="minorHAnsi" w:hAnsiTheme="minorHAnsi"/>
          <w:bCs/>
          <w:sz w:val="22"/>
          <w:szCs w:val="22"/>
        </w:rPr>
        <w:t xml:space="preserve"> product.</w:t>
      </w:r>
    </w:p>
    <w:p w:rsidR="00F76770" w:rsidRPr="00F76770" w:rsidRDefault="00F76770" w:rsidP="00804BFE">
      <w:pPr>
        <w:rPr>
          <w:rFonts w:asciiTheme="minorHAnsi" w:hAnsiTheme="minorHAnsi"/>
          <w:bCs/>
          <w:sz w:val="22"/>
          <w:szCs w:val="22"/>
        </w:rPr>
      </w:pPr>
      <w:r w:rsidRPr="00F76770">
        <w:rPr>
          <w:rFonts w:asciiTheme="minorHAnsi" w:hAnsiTheme="minorHAnsi"/>
          <w:bCs/>
          <w:sz w:val="22"/>
          <w:szCs w:val="22"/>
        </w:rPr>
        <w:t xml:space="preserve"> </w:t>
      </w:r>
    </w:p>
    <w:p w:rsidR="00F76770" w:rsidRDefault="00F76770">
      <w:pPr>
        <w:rPr>
          <w:rFonts w:asciiTheme="minorHAnsi" w:hAnsiTheme="minorHAnsi"/>
          <w:b/>
          <w:bCs/>
          <w:sz w:val="22"/>
          <w:szCs w:val="22"/>
        </w:rPr>
      </w:pPr>
      <w:r>
        <w:rPr>
          <w:rFonts w:asciiTheme="minorHAnsi" w:hAnsiTheme="minorHAnsi"/>
          <w:b/>
          <w:bCs/>
          <w:sz w:val="22"/>
          <w:szCs w:val="22"/>
        </w:rPr>
        <w:br w:type="page"/>
      </w:r>
    </w:p>
    <w:p w:rsidR="00CC1383" w:rsidRPr="00CC1383" w:rsidRDefault="00CC1383" w:rsidP="00804BFE">
      <w:pPr>
        <w:rPr>
          <w:rFonts w:asciiTheme="minorHAnsi" w:hAnsiTheme="minorHAnsi"/>
          <w:b/>
          <w:bCs/>
          <w:sz w:val="22"/>
          <w:szCs w:val="22"/>
        </w:rPr>
      </w:pPr>
      <w:r w:rsidRPr="00CC1383">
        <w:rPr>
          <w:rFonts w:asciiTheme="minorHAnsi" w:hAnsiTheme="minorHAnsi"/>
          <w:b/>
          <w:bCs/>
          <w:sz w:val="22"/>
          <w:szCs w:val="22"/>
        </w:rPr>
        <w:lastRenderedPageBreak/>
        <w:t>Annex 2: Detailed comments on the proposed ESMA reporting template</w:t>
      </w:r>
    </w:p>
    <w:p w:rsidR="00495207" w:rsidRPr="00CC1383" w:rsidRDefault="00495207" w:rsidP="00CC1383">
      <w:pPr>
        <w:jc w:val="both"/>
        <w:rPr>
          <w:rFonts w:asciiTheme="minorHAnsi" w:hAnsiTheme="minorHAnsi"/>
          <w:sz w:val="22"/>
          <w:szCs w:val="22"/>
        </w:rPr>
      </w:pPr>
    </w:p>
    <w:p w:rsidR="005E6C94" w:rsidRPr="005E6C94" w:rsidRDefault="00CC1383" w:rsidP="00CC1383">
      <w:pPr>
        <w:jc w:val="both"/>
        <w:rPr>
          <w:rFonts w:asciiTheme="minorHAnsi" w:hAnsiTheme="minorHAnsi"/>
          <w:sz w:val="22"/>
          <w:szCs w:val="22"/>
        </w:rPr>
      </w:pPr>
      <w:r w:rsidRPr="005E6C94">
        <w:rPr>
          <w:rFonts w:asciiTheme="minorHAnsi" w:hAnsiTheme="minorHAnsi"/>
          <w:sz w:val="22"/>
          <w:szCs w:val="22"/>
        </w:rPr>
        <w:t xml:space="preserve">The </w:t>
      </w:r>
      <w:r w:rsidR="005E6C94" w:rsidRPr="005E6C94">
        <w:rPr>
          <w:rFonts w:asciiTheme="minorHAnsi" w:hAnsiTheme="minorHAnsi"/>
          <w:sz w:val="22"/>
          <w:szCs w:val="22"/>
        </w:rPr>
        <w:t xml:space="preserve">draft reporting template includes an </w:t>
      </w:r>
      <w:r w:rsidRPr="005E6C94">
        <w:rPr>
          <w:rFonts w:asciiTheme="minorHAnsi" w:hAnsiTheme="minorHAnsi"/>
          <w:sz w:val="22"/>
          <w:szCs w:val="22"/>
        </w:rPr>
        <w:t>extensive list of fields</w:t>
      </w:r>
      <w:r w:rsidR="005E6C94" w:rsidRPr="005E6C94">
        <w:rPr>
          <w:rFonts w:asciiTheme="minorHAnsi" w:hAnsiTheme="minorHAnsi"/>
          <w:sz w:val="22"/>
          <w:szCs w:val="22"/>
        </w:rPr>
        <w:t xml:space="preserve">.  </w:t>
      </w:r>
      <w:r w:rsidRPr="005E6C94">
        <w:rPr>
          <w:rFonts w:asciiTheme="minorHAnsi" w:hAnsiTheme="minorHAnsi"/>
          <w:sz w:val="22"/>
          <w:szCs w:val="22"/>
        </w:rPr>
        <w:t xml:space="preserve">We have identified a number of areas of ambiguity </w:t>
      </w:r>
      <w:r w:rsidR="005E6C94" w:rsidRPr="005E6C94">
        <w:rPr>
          <w:rFonts w:asciiTheme="minorHAnsi" w:hAnsiTheme="minorHAnsi"/>
          <w:sz w:val="22"/>
          <w:szCs w:val="22"/>
        </w:rPr>
        <w:t>i</w:t>
      </w:r>
      <w:r w:rsidRPr="005E6C94">
        <w:rPr>
          <w:rFonts w:asciiTheme="minorHAnsi" w:hAnsiTheme="minorHAnsi"/>
          <w:sz w:val="22"/>
          <w:szCs w:val="22"/>
        </w:rPr>
        <w:t xml:space="preserve">n the data fields identified for reporting that requires </w:t>
      </w:r>
      <w:r w:rsidR="005E6C94" w:rsidRPr="005E6C94">
        <w:rPr>
          <w:rFonts w:asciiTheme="minorHAnsi" w:hAnsiTheme="minorHAnsi"/>
          <w:sz w:val="22"/>
          <w:szCs w:val="22"/>
        </w:rPr>
        <w:t xml:space="preserve">further </w:t>
      </w:r>
      <w:r w:rsidRPr="005E6C94">
        <w:rPr>
          <w:rFonts w:asciiTheme="minorHAnsi" w:hAnsiTheme="minorHAnsi"/>
          <w:sz w:val="22"/>
          <w:szCs w:val="22"/>
        </w:rPr>
        <w:t xml:space="preserve">clarification.  </w:t>
      </w:r>
      <w:r w:rsidR="005E6C94" w:rsidRPr="005E6C94">
        <w:rPr>
          <w:rFonts w:asciiTheme="minorHAnsi" w:hAnsiTheme="minorHAnsi"/>
          <w:sz w:val="22"/>
          <w:szCs w:val="22"/>
        </w:rPr>
        <w:t>In</w:t>
      </w:r>
      <w:r w:rsidR="00993A15">
        <w:rPr>
          <w:rFonts w:asciiTheme="minorHAnsi" w:hAnsiTheme="minorHAnsi"/>
          <w:sz w:val="22"/>
          <w:szCs w:val="22"/>
        </w:rPr>
        <w:t xml:space="preserve"> addition, in</w:t>
      </w:r>
      <w:r w:rsidR="005E6C94" w:rsidRPr="005E6C94">
        <w:rPr>
          <w:rFonts w:asciiTheme="minorHAnsi" w:hAnsiTheme="minorHAnsi"/>
          <w:sz w:val="22"/>
          <w:szCs w:val="22"/>
        </w:rPr>
        <w:t xml:space="preserve"> order to facilitate effective and timely implementation by firms it is crucial that all static data requirements are defined at an early stage of the process to allow sufficient lead time to develop existing systems.</w:t>
      </w:r>
    </w:p>
    <w:p w:rsidR="00CC1383" w:rsidRPr="00CC1383" w:rsidRDefault="00CC1383" w:rsidP="00CC1383">
      <w:pPr>
        <w:jc w:val="both"/>
        <w:rPr>
          <w:rFonts w:asciiTheme="minorHAnsi" w:hAnsiTheme="minorHAnsi"/>
          <w:sz w:val="22"/>
          <w:szCs w:val="22"/>
        </w:rPr>
      </w:pPr>
    </w:p>
    <w:tbl>
      <w:tblPr>
        <w:tblStyle w:val="TableGrid"/>
        <w:tblW w:w="10456" w:type="dxa"/>
        <w:tblLook w:val="04A0"/>
      </w:tblPr>
      <w:tblGrid>
        <w:gridCol w:w="2376"/>
        <w:gridCol w:w="8080"/>
      </w:tblGrid>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Field</w:t>
            </w:r>
          </w:p>
        </w:tc>
        <w:tc>
          <w:tcPr>
            <w:tcW w:w="8080" w:type="dxa"/>
          </w:tcPr>
          <w:p w:rsidR="00CC1383" w:rsidRPr="00CC1383" w:rsidRDefault="00CC1383" w:rsidP="003C246E">
            <w:pPr>
              <w:jc w:val="both"/>
              <w:rPr>
                <w:rFonts w:asciiTheme="minorHAnsi" w:hAnsiTheme="minorHAnsi"/>
                <w:sz w:val="22"/>
                <w:szCs w:val="22"/>
              </w:rPr>
            </w:pPr>
            <w:r w:rsidRPr="00CC1383">
              <w:rPr>
                <w:rFonts w:asciiTheme="minorHAnsi" w:hAnsiTheme="minorHAnsi"/>
                <w:sz w:val="22"/>
                <w:szCs w:val="22"/>
              </w:rPr>
              <w:t xml:space="preserve">EDFT </w:t>
            </w:r>
            <w:r w:rsidR="003C246E">
              <w:rPr>
                <w:rFonts w:asciiTheme="minorHAnsi" w:hAnsiTheme="minorHAnsi"/>
                <w:sz w:val="22"/>
                <w:szCs w:val="22"/>
              </w:rPr>
              <w:t>comments</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ID of Counterparty</w:t>
            </w:r>
          </w:p>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ID of the other Counterparty</w:t>
            </w:r>
          </w:p>
        </w:tc>
        <w:tc>
          <w:tcPr>
            <w:tcW w:w="8080" w:type="dxa"/>
          </w:tcPr>
          <w:p w:rsidR="00CC1383" w:rsidRPr="00CC1383" w:rsidRDefault="00CC1383" w:rsidP="00993A15">
            <w:pPr>
              <w:jc w:val="both"/>
              <w:rPr>
                <w:rFonts w:asciiTheme="minorHAnsi" w:hAnsiTheme="minorHAnsi"/>
                <w:sz w:val="22"/>
                <w:szCs w:val="22"/>
              </w:rPr>
            </w:pPr>
            <w:r w:rsidRPr="00CC1383">
              <w:rPr>
                <w:rFonts w:asciiTheme="minorHAnsi" w:hAnsiTheme="minorHAnsi"/>
                <w:sz w:val="22"/>
                <w:szCs w:val="22"/>
              </w:rPr>
              <w:t>Reporting counterparties will be identified by a unique code identifier.  No guidance is given on the naming convention.  EDFT advises ESMA to use EIC codes in line with existing protocols for EFET confirmation matching and E</w:t>
            </w:r>
            <w:r w:rsidR="00BA4700">
              <w:rPr>
                <w:rFonts w:asciiTheme="minorHAnsi" w:hAnsiTheme="minorHAnsi"/>
                <w:sz w:val="22"/>
                <w:szCs w:val="22"/>
              </w:rPr>
              <w:t xml:space="preserve">uropean </w:t>
            </w:r>
            <w:r w:rsidRPr="00CC1383">
              <w:rPr>
                <w:rFonts w:asciiTheme="minorHAnsi" w:hAnsiTheme="minorHAnsi"/>
                <w:sz w:val="22"/>
                <w:szCs w:val="22"/>
              </w:rPr>
              <w:t>T</w:t>
            </w:r>
            <w:r w:rsidR="00BA4700">
              <w:rPr>
                <w:rFonts w:asciiTheme="minorHAnsi" w:hAnsiTheme="minorHAnsi"/>
                <w:sz w:val="22"/>
                <w:szCs w:val="22"/>
              </w:rPr>
              <w:t xml:space="preserve">ransmission </w:t>
            </w:r>
            <w:r w:rsidRPr="00CC1383">
              <w:rPr>
                <w:rFonts w:asciiTheme="minorHAnsi" w:hAnsiTheme="minorHAnsi"/>
                <w:sz w:val="22"/>
                <w:szCs w:val="22"/>
              </w:rPr>
              <w:t>S</w:t>
            </w:r>
            <w:r w:rsidR="00BA4700">
              <w:rPr>
                <w:rFonts w:asciiTheme="minorHAnsi" w:hAnsiTheme="minorHAnsi"/>
                <w:sz w:val="22"/>
                <w:szCs w:val="22"/>
              </w:rPr>
              <w:t xml:space="preserve">ystem </w:t>
            </w:r>
            <w:r w:rsidRPr="00CC1383">
              <w:rPr>
                <w:rFonts w:asciiTheme="minorHAnsi" w:hAnsiTheme="minorHAnsi"/>
                <w:sz w:val="22"/>
                <w:szCs w:val="22"/>
              </w:rPr>
              <w:t>O</w:t>
            </w:r>
            <w:r w:rsidR="00BA4700">
              <w:rPr>
                <w:rFonts w:asciiTheme="minorHAnsi" w:hAnsiTheme="minorHAnsi"/>
                <w:sz w:val="22"/>
                <w:szCs w:val="22"/>
              </w:rPr>
              <w:t>perator (ETSO)</w:t>
            </w:r>
            <w:r w:rsidRPr="00CC1383">
              <w:rPr>
                <w:rFonts w:asciiTheme="minorHAnsi" w:hAnsiTheme="minorHAnsi"/>
                <w:sz w:val="22"/>
                <w:szCs w:val="22"/>
              </w:rPr>
              <w:t xml:space="preserve"> nomination standards.  A new counterparty ID distinct to EIC codes will generate significant development</w:t>
            </w:r>
            <w:r w:rsidR="00BA4700">
              <w:rPr>
                <w:rFonts w:asciiTheme="minorHAnsi" w:hAnsiTheme="minorHAnsi"/>
                <w:sz w:val="22"/>
                <w:szCs w:val="22"/>
              </w:rPr>
              <w:t xml:space="preserve"> for firms’ existing systems.   </w:t>
            </w:r>
            <w:r w:rsidRPr="00CC1383">
              <w:rPr>
                <w:rFonts w:asciiTheme="minorHAnsi" w:hAnsiTheme="minorHAnsi"/>
                <w:sz w:val="22"/>
                <w:szCs w:val="22"/>
              </w:rPr>
              <w:t xml:space="preserve"> </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ID of broker  of Counterparty</w:t>
            </w:r>
          </w:p>
        </w:tc>
        <w:tc>
          <w:tcPr>
            <w:tcW w:w="8080" w:type="dxa"/>
          </w:tcPr>
          <w:p w:rsidR="00CC1383" w:rsidRPr="00CC1383" w:rsidRDefault="00993A15" w:rsidP="00993A15">
            <w:pPr>
              <w:jc w:val="both"/>
              <w:rPr>
                <w:rFonts w:asciiTheme="minorHAnsi" w:hAnsiTheme="minorHAnsi"/>
                <w:sz w:val="22"/>
                <w:szCs w:val="22"/>
              </w:rPr>
            </w:pPr>
            <w:r>
              <w:rPr>
                <w:rFonts w:asciiTheme="minorHAnsi" w:hAnsiTheme="minorHAnsi"/>
                <w:sz w:val="22"/>
                <w:szCs w:val="22"/>
              </w:rPr>
              <w:t xml:space="preserve">Where </w:t>
            </w:r>
            <w:r w:rsidR="00CC1383" w:rsidRPr="00CC1383">
              <w:rPr>
                <w:rFonts w:asciiTheme="minorHAnsi" w:hAnsiTheme="minorHAnsi"/>
                <w:sz w:val="22"/>
                <w:szCs w:val="22"/>
              </w:rPr>
              <w:t>a counterparty uses a broker to execute the transaction this will be identified by a unique code.  No guidance is given as to the naming convention</w:t>
            </w:r>
            <w:r>
              <w:rPr>
                <w:rFonts w:asciiTheme="minorHAnsi" w:hAnsiTheme="minorHAnsi"/>
                <w:sz w:val="22"/>
                <w:szCs w:val="22"/>
              </w:rPr>
              <w:t xml:space="preserve"> that should be used</w:t>
            </w:r>
            <w:r w:rsidR="00CC1383" w:rsidRPr="00CC1383">
              <w:rPr>
                <w:rFonts w:asciiTheme="minorHAnsi" w:hAnsiTheme="minorHAnsi"/>
                <w:sz w:val="22"/>
                <w:szCs w:val="22"/>
              </w:rPr>
              <w:t xml:space="preserve">.  EDFT advises ESMA to use EIC codes in line with existing protocols for EFET confirmation matching.  A new broker ID distinct to EIC codes will generate significant development to </w:t>
            </w:r>
            <w:r>
              <w:rPr>
                <w:rFonts w:asciiTheme="minorHAnsi" w:hAnsiTheme="minorHAnsi"/>
                <w:sz w:val="22"/>
                <w:szCs w:val="22"/>
              </w:rPr>
              <w:t xml:space="preserve">existing systems. </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ID of clearing member</w:t>
            </w:r>
          </w:p>
        </w:tc>
        <w:tc>
          <w:tcPr>
            <w:tcW w:w="8080" w:type="dxa"/>
          </w:tcPr>
          <w:p w:rsidR="00CC1383" w:rsidRPr="00CC1383" w:rsidRDefault="00CC1383" w:rsidP="00993A15">
            <w:pPr>
              <w:jc w:val="both"/>
              <w:rPr>
                <w:rFonts w:asciiTheme="minorHAnsi" w:hAnsiTheme="minorHAnsi"/>
                <w:sz w:val="22"/>
                <w:szCs w:val="22"/>
              </w:rPr>
            </w:pPr>
            <w:r w:rsidRPr="00CC1383">
              <w:rPr>
                <w:rFonts w:asciiTheme="minorHAnsi" w:hAnsiTheme="minorHAnsi"/>
                <w:sz w:val="22"/>
                <w:szCs w:val="22"/>
              </w:rPr>
              <w:t>No details have been provided on the identifier for the naming convention.  Modification</w:t>
            </w:r>
            <w:r w:rsidR="00993A15">
              <w:rPr>
                <w:rFonts w:asciiTheme="minorHAnsi" w:hAnsiTheme="minorHAnsi"/>
                <w:sz w:val="22"/>
                <w:szCs w:val="22"/>
              </w:rPr>
              <w:t>s</w:t>
            </w:r>
            <w:r w:rsidRPr="00CC1383">
              <w:rPr>
                <w:rFonts w:asciiTheme="minorHAnsi" w:hAnsiTheme="minorHAnsi"/>
                <w:sz w:val="22"/>
                <w:szCs w:val="22"/>
              </w:rPr>
              <w:t xml:space="preserve"> </w:t>
            </w:r>
            <w:r w:rsidR="0078613A" w:rsidRPr="00CC1383">
              <w:rPr>
                <w:rFonts w:asciiTheme="minorHAnsi" w:hAnsiTheme="minorHAnsi"/>
                <w:sz w:val="22"/>
                <w:szCs w:val="22"/>
              </w:rPr>
              <w:t>to third</w:t>
            </w:r>
            <w:r w:rsidRPr="00CC1383">
              <w:rPr>
                <w:rFonts w:asciiTheme="minorHAnsi" w:hAnsiTheme="minorHAnsi"/>
                <w:sz w:val="22"/>
                <w:szCs w:val="22"/>
              </w:rPr>
              <w:t xml:space="preserve"> party exchange traded platform</w:t>
            </w:r>
            <w:r w:rsidR="00993A15">
              <w:rPr>
                <w:rFonts w:asciiTheme="minorHAnsi" w:hAnsiTheme="minorHAnsi"/>
                <w:sz w:val="22"/>
                <w:szCs w:val="22"/>
              </w:rPr>
              <w:t>s</w:t>
            </w:r>
            <w:r w:rsidRPr="00CC1383">
              <w:rPr>
                <w:rFonts w:asciiTheme="minorHAnsi" w:hAnsiTheme="minorHAnsi"/>
                <w:sz w:val="22"/>
                <w:szCs w:val="22"/>
              </w:rPr>
              <w:t xml:space="preserve"> used by </w:t>
            </w:r>
            <w:r w:rsidR="00993A15">
              <w:rPr>
                <w:rFonts w:asciiTheme="minorHAnsi" w:hAnsiTheme="minorHAnsi"/>
                <w:sz w:val="22"/>
                <w:szCs w:val="22"/>
              </w:rPr>
              <w:t xml:space="preserve">market </w:t>
            </w:r>
            <w:r w:rsidR="0078613A">
              <w:rPr>
                <w:rFonts w:asciiTheme="minorHAnsi" w:hAnsiTheme="minorHAnsi"/>
                <w:sz w:val="22"/>
                <w:szCs w:val="22"/>
              </w:rPr>
              <w:t xml:space="preserve">participants </w:t>
            </w:r>
            <w:r w:rsidR="0078613A" w:rsidRPr="00CC1383">
              <w:rPr>
                <w:rFonts w:asciiTheme="minorHAnsi" w:hAnsiTheme="minorHAnsi"/>
                <w:sz w:val="22"/>
                <w:szCs w:val="22"/>
              </w:rPr>
              <w:t>for</w:t>
            </w:r>
            <w:r w:rsidRPr="00CC1383">
              <w:rPr>
                <w:rFonts w:asciiTheme="minorHAnsi" w:hAnsiTheme="minorHAnsi"/>
                <w:sz w:val="22"/>
                <w:szCs w:val="22"/>
              </w:rPr>
              <w:t xml:space="preserve"> the trade capture of cleared products will be required to identify and report the ID of the clearing member.  This information is currently not held and will require </w:t>
            </w:r>
            <w:r w:rsidR="00993A15">
              <w:rPr>
                <w:rFonts w:asciiTheme="minorHAnsi" w:hAnsiTheme="minorHAnsi"/>
                <w:sz w:val="22"/>
                <w:szCs w:val="22"/>
              </w:rPr>
              <w:t xml:space="preserve">significant systems </w:t>
            </w:r>
            <w:r w:rsidRPr="00CC1383">
              <w:rPr>
                <w:rFonts w:asciiTheme="minorHAnsi" w:hAnsiTheme="minorHAnsi"/>
                <w:sz w:val="22"/>
                <w:szCs w:val="22"/>
              </w:rPr>
              <w:t xml:space="preserve">development.  </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Trading Capacity</w:t>
            </w:r>
          </w:p>
        </w:tc>
        <w:tc>
          <w:tcPr>
            <w:tcW w:w="8080" w:type="dxa"/>
          </w:tcPr>
          <w:p w:rsidR="00CC1383" w:rsidRPr="00CC1383" w:rsidRDefault="001D22F7" w:rsidP="006056ED">
            <w:pPr>
              <w:jc w:val="both"/>
              <w:rPr>
                <w:rFonts w:asciiTheme="minorHAnsi" w:hAnsiTheme="minorHAnsi"/>
                <w:sz w:val="22"/>
                <w:szCs w:val="22"/>
              </w:rPr>
            </w:pPr>
            <w:r w:rsidRPr="00CC1383">
              <w:rPr>
                <w:rFonts w:asciiTheme="minorHAnsi" w:hAnsiTheme="minorHAnsi"/>
                <w:sz w:val="22"/>
                <w:szCs w:val="22"/>
              </w:rPr>
              <w:t xml:space="preserve">EDFT </w:t>
            </w:r>
            <w:r>
              <w:rPr>
                <w:rFonts w:asciiTheme="minorHAnsi" w:hAnsiTheme="minorHAnsi"/>
                <w:sz w:val="22"/>
                <w:szCs w:val="22"/>
              </w:rPr>
              <w:t xml:space="preserve">does not currently </w:t>
            </w:r>
            <w:r w:rsidRPr="00CC1383">
              <w:rPr>
                <w:rFonts w:asciiTheme="minorHAnsi" w:hAnsiTheme="minorHAnsi"/>
                <w:sz w:val="22"/>
                <w:szCs w:val="22"/>
              </w:rPr>
              <w:t>classify or</w:t>
            </w:r>
            <w:r>
              <w:rPr>
                <w:rFonts w:asciiTheme="minorHAnsi" w:hAnsiTheme="minorHAnsi"/>
                <w:sz w:val="22"/>
                <w:szCs w:val="22"/>
              </w:rPr>
              <w:t xml:space="preserve"> </w:t>
            </w:r>
            <w:r w:rsidRPr="00CC1383">
              <w:rPr>
                <w:rFonts w:asciiTheme="minorHAnsi" w:hAnsiTheme="minorHAnsi"/>
                <w:sz w:val="22"/>
                <w:szCs w:val="22"/>
              </w:rPr>
              <w:t>tag a transaction as to who the Principle and Agent is</w:t>
            </w:r>
            <w:r>
              <w:rPr>
                <w:rFonts w:asciiTheme="minorHAnsi" w:hAnsiTheme="minorHAnsi"/>
                <w:sz w:val="22"/>
                <w:szCs w:val="22"/>
              </w:rPr>
              <w:t xml:space="preserve"> – fields which will require further definition with significant new systems development to capture the expected information</w:t>
            </w:r>
            <w:r w:rsidRPr="00CC1383">
              <w:rPr>
                <w:rFonts w:asciiTheme="minorHAnsi" w:hAnsiTheme="minorHAnsi"/>
                <w:sz w:val="22"/>
                <w:szCs w:val="22"/>
              </w:rPr>
              <w:t xml:space="preserve">.  </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Trade with non-EEA Counterparty</w:t>
            </w:r>
          </w:p>
        </w:tc>
        <w:tc>
          <w:tcPr>
            <w:tcW w:w="8080" w:type="dxa"/>
          </w:tcPr>
          <w:p w:rsidR="00CC1383" w:rsidRPr="00CC1383" w:rsidRDefault="008E76A3" w:rsidP="008E76A3">
            <w:pPr>
              <w:jc w:val="both"/>
              <w:rPr>
                <w:rFonts w:asciiTheme="minorHAnsi" w:hAnsiTheme="minorHAnsi"/>
                <w:sz w:val="22"/>
                <w:szCs w:val="22"/>
              </w:rPr>
            </w:pPr>
            <w:r>
              <w:rPr>
                <w:rFonts w:asciiTheme="minorHAnsi" w:hAnsiTheme="minorHAnsi"/>
                <w:sz w:val="22"/>
                <w:szCs w:val="22"/>
              </w:rPr>
              <w:t>I is difficult to see how r</w:t>
            </w:r>
            <w:r w:rsidR="00CC1383" w:rsidRPr="00CC1383">
              <w:rPr>
                <w:rFonts w:asciiTheme="minorHAnsi" w:hAnsiTheme="minorHAnsi"/>
                <w:sz w:val="22"/>
                <w:szCs w:val="22"/>
              </w:rPr>
              <w:t xml:space="preserve">eporting of non-EEA counterparties and determining whether </w:t>
            </w:r>
            <w:r>
              <w:rPr>
                <w:rFonts w:asciiTheme="minorHAnsi" w:hAnsiTheme="minorHAnsi"/>
                <w:sz w:val="22"/>
                <w:szCs w:val="22"/>
              </w:rPr>
              <w:t xml:space="preserve">they are </w:t>
            </w:r>
            <w:r w:rsidR="00CC1383" w:rsidRPr="00CC1383">
              <w:rPr>
                <w:rFonts w:asciiTheme="minorHAnsi" w:hAnsiTheme="minorHAnsi"/>
                <w:sz w:val="22"/>
                <w:szCs w:val="22"/>
              </w:rPr>
              <w:t>subject to reporting</w:t>
            </w:r>
            <w:r>
              <w:rPr>
                <w:rFonts w:asciiTheme="minorHAnsi" w:hAnsiTheme="minorHAnsi"/>
                <w:sz w:val="22"/>
                <w:szCs w:val="22"/>
              </w:rPr>
              <w:t xml:space="preserve"> will work as we will not be a database of reporting </w:t>
            </w:r>
            <w:r w:rsidR="001D22F7">
              <w:rPr>
                <w:rFonts w:asciiTheme="minorHAnsi" w:hAnsiTheme="minorHAnsi"/>
                <w:sz w:val="22"/>
                <w:szCs w:val="22"/>
              </w:rPr>
              <w:t>eligible</w:t>
            </w:r>
            <w:r>
              <w:rPr>
                <w:rFonts w:asciiTheme="minorHAnsi" w:hAnsiTheme="minorHAnsi"/>
                <w:sz w:val="22"/>
                <w:szCs w:val="22"/>
              </w:rPr>
              <w:t xml:space="preserve"> counterparts.   </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Directly linked to commercial activity or treasury financing</w:t>
            </w:r>
          </w:p>
        </w:tc>
        <w:tc>
          <w:tcPr>
            <w:tcW w:w="8080" w:type="dxa"/>
          </w:tcPr>
          <w:p w:rsidR="00CC1383" w:rsidRPr="00CC1383" w:rsidRDefault="008E76A3" w:rsidP="008E76A3">
            <w:pPr>
              <w:jc w:val="both"/>
              <w:rPr>
                <w:rFonts w:asciiTheme="minorHAnsi" w:hAnsiTheme="minorHAnsi"/>
                <w:sz w:val="22"/>
                <w:szCs w:val="22"/>
              </w:rPr>
            </w:pPr>
            <w:r>
              <w:rPr>
                <w:rFonts w:asciiTheme="minorHAnsi" w:hAnsiTheme="minorHAnsi"/>
                <w:sz w:val="22"/>
                <w:szCs w:val="22"/>
              </w:rPr>
              <w:t xml:space="preserve">It is not possible to identify individual trades in this way as hedging is generally undertaken at a portfolio level.  </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Clearing threshold</w:t>
            </w:r>
          </w:p>
        </w:tc>
        <w:tc>
          <w:tcPr>
            <w:tcW w:w="8080" w:type="dxa"/>
          </w:tcPr>
          <w:p w:rsidR="00CC1383" w:rsidRPr="00CC1383" w:rsidRDefault="008E76A3" w:rsidP="001D22F7">
            <w:pPr>
              <w:jc w:val="both"/>
              <w:rPr>
                <w:rFonts w:asciiTheme="minorHAnsi" w:hAnsiTheme="minorHAnsi"/>
                <w:sz w:val="22"/>
                <w:szCs w:val="22"/>
              </w:rPr>
            </w:pPr>
            <w:r>
              <w:rPr>
                <w:rFonts w:asciiTheme="minorHAnsi" w:hAnsiTheme="minorHAnsi"/>
                <w:sz w:val="22"/>
                <w:szCs w:val="22"/>
              </w:rPr>
              <w:t xml:space="preserve">This will only be possible if firms monitor their position against the threshold </w:t>
            </w:r>
            <w:r w:rsidR="001D22F7">
              <w:rPr>
                <w:rFonts w:asciiTheme="minorHAnsi" w:hAnsiTheme="minorHAnsi"/>
                <w:sz w:val="22"/>
                <w:szCs w:val="22"/>
              </w:rPr>
              <w:t xml:space="preserve">on a real time (or daily basis) which will generally be </w:t>
            </w:r>
            <w:r w:rsidR="0078613A">
              <w:rPr>
                <w:rFonts w:asciiTheme="minorHAnsi" w:hAnsiTheme="minorHAnsi"/>
                <w:sz w:val="22"/>
                <w:szCs w:val="22"/>
              </w:rPr>
              <w:t>dependent</w:t>
            </w:r>
            <w:r w:rsidR="001D22F7">
              <w:rPr>
                <w:rFonts w:asciiTheme="minorHAnsi" w:hAnsiTheme="minorHAnsi"/>
                <w:sz w:val="22"/>
                <w:szCs w:val="22"/>
              </w:rPr>
              <w:t xml:space="preserve"> on how they implement the definition of hedging.  As pointed out in our main response firms need to retain flexibility and as such it would not be appropriate to force companies to a particular solution through the reporting requirements. </w:t>
            </w:r>
          </w:p>
        </w:tc>
      </w:tr>
    </w:tbl>
    <w:p w:rsidR="00CC1383" w:rsidRDefault="00CC1383" w:rsidP="00CC1383">
      <w:pPr>
        <w:rPr>
          <w:rFonts w:asciiTheme="minorHAnsi" w:hAnsiTheme="minorHAnsi" w:cs="Arial"/>
          <w:b/>
          <w:bCs/>
          <w:color w:val="548DD4"/>
          <w:sz w:val="22"/>
          <w:szCs w:val="22"/>
          <w:lang w:val="en-GB"/>
        </w:rPr>
      </w:pPr>
    </w:p>
    <w:p w:rsidR="00CC1383" w:rsidRPr="00495207" w:rsidRDefault="00CC1383" w:rsidP="00CC1383">
      <w:pPr>
        <w:jc w:val="both"/>
        <w:rPr>
          <w:rFonts w:asciiTheme="minorHAnsi" w:hAnsiTheme="minorHAnsi"/>
          <w:sz w:val="22"/>
          <w:szCs w:val="22"/>
          <w:lang w:val="en-GB"/>
        </w:rPr>
      </w:pPr>
    </w:p>
    <w:tbl>
      <w:tblPr>
        <w:tblStyle w:val="TableGrid"/>
        <w:tblW w:w="10456" w:type="dxa"/>
        <w:tblLook w:val="04A0"/>
      </w:tblPr>
      <w:tblGrid>
        <w:gridCol w:w="2376"/>
        <w:gridCol w:w="8080"/>
      </w:tblGrid>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Field</w:t>
            </w:r>
          </w:p>
        </w:tc>
        <w:tc>
          <w:tcPr>
            <w:tcW w:w="8080" w:type="dxa"/>
          </w:tcPr>
          <w:p w:rsidR="00CC1383" w:rsidRPr="00CC1383" w:rsidRDefault="00CC1383" w:rsidP="003C246E">
            <w:pPr>
              <w:jc w:val="both"/>
              <w:rPr>
                <w:rFonts w:asciiTheme="minorHAnsi" w:hAnsiTheme="minorHAnsi"/>
                <w:sz w:val="22"/>
                <w:szCs w:val="22"/>
              </w:rPr>
            </w:pPr>
            <w:r w:rsidRPr="00CC1383">
              <w:rPr>
                <w:rFonts w:asciiTheme="minorHAnsi" w:hAnsiTheme="minorHAnsi"/>
                <w:sz w:val="22"/>
                <w:szCs w:val="22"/>
              </w:rPr>
              <w:t xml:space="preserve">EDFT </w:t>
            </w:r>
            <w:r w:rsidR="003C246E">
              <w:rPr>
                <w:rFonts w:asciiTheme="minorHAnsi" w:hAnsiTheme="minorHAnsi"/>
                <w:sz w:val="22"/>
                <w:szCs w:val="22"/>
              </w:rPr>
              <w:t>comments</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Taxonomy</w:t>
            </w:r>
          </w:p>
        </w:tc>
        <w:tc>
          <w:tcPr>
            <w:tcW w:w="8080" w:type="dxa"/>
          </w:tcPr>
          <w:p w:rsidR="00CC1383" w:rsidRPr="00CC1383" w:rsidRDefault="00CC1383" w:rsidP="00D278B0">
            <w:pPr>
              <w:jc w:val="both"/>
              <w:rPr>
                <w:rFonts w:asciiTheme="minorHAnsi" w:hAnsiTheme="minorHAnsi"/>
                <w:sz w:val="22"/>
                <w:szCs w:val="22"/>
              </w:rPr>
            </w:pPr>
            <w:r w:rsidRPr="00CC1383">
              <w:rPr>
                <w:rFonts w:asciiTheme="minorHAnsi" w:hAnsiTheme="minorHAnsi"/>
                <w:sz w:val="22"/>
                <w:szCs w:val="22"/>
              </w:rPr>
              <w:t xml:space="preserve">Reporting counterparties are requested to use taxonomy for describing the classification of the reported contract.  No guidance is given on the naming convention which states it has to be defined either by the industry or ESMA. </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Product ID</w:t>
            </w:r>
          </w:p>
        </w:tc>
        <w:tc>
          <w:tcPr>
            <w:tcW w:w="8080" w:type="dxa"/>
          </w:tcPr>
          <w:p w:rsidR="00CC1383" w:rsidRPr="00CC1383" w:rsidRDefault="00CC1383" w:rsidP="00641B5F">
            <w:pPr>
              <w:jc w:val="both"/>
              <w:rPr>
                <w:rFonts w:asciiTheme="minorHAnsi" w:hAnsiTheme="minorHAnsi"/>
                <w:sz w:val="22"/>
                <w:szCs w:val="22"/>
              </w:rPr>
            </w:pPr>
            <w:r w:rsidRPr="00CC1383">
              <w:rPr>
                <w:rFonts w:asciiTheme="minorHAnsi" w:hAnsiTheme="minorHAnsi"/>
                <w:sz w:val="22"/>
                <w:szCs w:val="22"/>
              </w:rPr>
              <w:t>Reporting counterparties are requested that contracts are identified by unequivocal identifiers.  No guidance is provided on this</w:t>
            </w:r>
            <w:r w:rsidR="00641B5F">
              <w:rPr>
                <w:rFonts w:asciiTheme="minorHAnsi" w:hAnsiTheme="minorHAnsi"/>
                <w:sz w:val="22"/>
                <w:szCs w:val="22"/>
              </w:rPr>
              <w:t xml:space="preserve"> – please see our main response for a potential way forward on this issue. </w:t>
            </w:r>
            <w:r w:rsidRPr="00CC1383">
              <w:rPr>
                <w:rFonts w:asciiTheme="minorHAnsi" w:hAnsiTheme="minorHAnsi"/>
                <w:sz w:val="22"/>
                <w:szCs w:val="22"/>
              </w:rPr>
              <w:t xml:space="preserve">. </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Underlying</w:t>
            </w:r>
          </w:p>
        </w:tc>
        <w:tc>
          <w:tcPr>
            <w:tcW w:w="8080" w:type="dxa"/>
          </w:tcPr>
          <w:p w:rsidR="00CC1383" w:rsidRPr="00CC1383" w:rsidRDefault="00CC1383" w:rsidP="00641B5F">
            <w:pPr>
              <w:jc w:val="both"/>
              <w:rPr>
                <w:rFonts w:asciiTheme="minorHAnsi" w:hAnsiTheme="minorHAnsi"/>
                <w:sz w:val="22"/>
                <w:szCs w:val="22"/>
              </w:rPr>
            </w:pPr>
            <w:r w:rsidRPr="00CC1383">
              <w:rPr>
                <w:rFonts w:asciiTheme="minorHAnsi" w:hAnsiTheme="minorHAnsi"/>
                <w:sz w:val="22"/>
                <w:szCs w:val="22"/>
              </w:rPr>
              <w:t xml:space="preserve">Limited guidance is provided </w:t>
            </w:r>
            <w:r w:rsidR="00641B5F">
              <w:rPr>
                <w:rFonts w:asciiTheme="minorHAnsi" w:hAnsiTheme="minorHAnsi"/>
                <w:sz w:val="22"/>
                <w:szCs w:val="22"/>
              </w:rPr>
              <w:t xml:space="preserve">and it is not clear how </w:t>
            </w:r>
            <w:r w:rsidRPr="00CC1383">
              <w:rPr>
                <w:rFonts w:asciiTheme="minorHAnsi" w:hAnsiTheme="minorHAnsi"/>
                <w:sz w:val="22"/>
                <w:szCs w:val="22"/>
              </w:rPr>
              <w:t>ISO 6166</w:t>
            </w:r>
            <w:r w:rsidR="00641B5F">
              <w:rPr>
                <w:rFonts w:asciiTheme="minorHAnsi" w:hAnsiTheme="minorHAnsi"/>
                <w:sz w:val="22"/>
                <w:szCs w:val="22"/>
              </w:rPr>
              <w:t xml:space="preserve"> could be utilised</w:t>
            </w:r>
            <w:r w:rsidRPr="00CC1383">
              <w:rPr>
                <w:rFonts w:asciiTheme="minorHAnsi" w:hAnsiTheme="minorHAnsi"/>
                <w:sz w:val="22"/>
                <w:szCs w:val="22"/>
              </w:rPr>
              <w:t xml:space="preserve">. For baskets and indices ESMA advises to use an indication as the identifier.  This is open to ambiguity and interpretation and clear guidance </w:t>
            </w:r>
            <w:r w:rsidR="00641B5F">
              <w:rPr>
                <w:rFonts w:asciiTheme="minorHAnsi" w:hAnsiTheme="minorHAnsi"/>
                <w:sz w:val="22"/>
                <w:szCs w:val="22"/>
              </w:rPr>
              <w:t xml:space="preserve">from ESMA </w:t>
            </w:r>
            <w:r w:rsidRPr="00CC1383">
              <w:rPr>
                <w:rFonts w:asciiTheme="minorHAnsi" w:hAnsiTheme="minorHAnsi"/>
                <w:sz w:val="22"/>
                <w:szCs w:val="22"/>
              </w:rPr>
              <w:t>is required</w:t>
            </w:r>
            <w:r w:rsidR="00641B5F">
              <w:rPr>
                <w:rFonts w:asciiTheme="minorHAnsi" w:hAnsiTheme="minorHAnsi"/>
                <w:sz w:val="22"/>
                <w:szCs w:val="22"/>
              </w:rPr>
              <w:t xml:space="preserve"> in order to implement this requirement</w:t>
            </w:r>
            <w:r w:rsidRPr="00CC1383">
              <w:rPr>
                <w:rFonts w:asciiTheme="minorHAnsi" w:hAnsiTheme="minorHAnsi"/>
                <w:sz w:val="22"/>
                <w:szCs w:val="22"/>
              </w:rPr>
              <w:t xml:space="preserve">.  </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Trade ID</w:t>
            </w:r>
          </w:p>
        </w:tc>
        <w:tc>
          <w:tcPr>
            <w:tcW w:w="8080" w:type="dxa"/>
          </w:tcPr>
          <w:p w:rsidR="00CC1383" w:rsidRPr="00CC1383" w:rsidRDefault="00641B5F" w:rsidP="00D24E6F">
            <w:pPr>
              <w:jc w:val="both"/>
              <w:rPr>
                <w:rFonts w:asciiTheme="minorHAnsi" w:hAnsiTheme="minorHAnsi"/>
                <w:sz w:val="22"/>
                <w:szCs w:val="22"/>
              </w:rPr>
            </w:pPr>
            <w:r>
              <w:rPr>
                <w:rFonts w:asciiTheme="minorHAnsi" w:hAnsiTheme="minorHAnsi"/>
                <w:sz w:val="22"/>
                <w:szCs w:val="22"/>
              </w:rPr>
              <w:t xml:space="preserve">Generally, the trading platforms used by firms will </w:t>
            </w:r>
            <w:r w:rsidR="0078613A">
              <w:rPr>
                <w:rFonts w:asciiTheme="minorHAnsi" w:hAnsiTheme="minorHAnsi"/>
                <w:sz w:val="22"/>
                <w:szCs w:val="22"/>
              </w:rPr>
              <w:t>generate their</w:t>
            </w:r>
            <w:r>
              <w:rPr>
                <w:rFonts w:asciiTheme="minorHAnsi" w:hAnsiTheme="minorHAnsi"/>
                <w:sz w:val="22"/>
                <w:szCs w:val="22"/>
              </w:rPr>
              <w:t xml:space="preserve"> </w:t>
            </w:r>
            <w:r w:rsidR="00CC1383" w:rsidRPr="00CC1383">
              <w:rPr>
                <w:rFonts w:asciiTheme="minorHAnsi" w:hAnsiTheme="minorHAnsi"/>
                <w:sz w:val="22"/>
                <w:szCs w:val="22"/>
              </w:rPr>
              <w:t xml:space="preserve">own unique trade ID.  This will not correlate back to the counterparty.  Therefore to come up with a unique identifier for a trade shared between two counterparties will require a fundamental change in current business process and systems.  </w:t>
            </w:r>
            <w:r w:rsidR="00D24E6F">
              <w:rPr>
                <w:rFonts w:asciiTheme="minorHAnsi" w:hAnsiTheme="minorHAnsi"/>
                <w:sz w:val="22"/>
                <w:szCs w:val="22"/>
              </w:rPr>
              <w:t>An industry wide process and system to achieve a uniform approach would also take more time to develop and implement.</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Venue of Execution</w:t>
            </w:r>
          </w:p>
        </w:tc>
        <w:tc>
          <w:tcPr>
            <w:tcW w:w="8080" w:type="dxa"/>
          </w:tcPr>
          <w:p w:rsidR="00CC1383" w:rsidRPr="00CC1383" w:rsidRDefault="00CC1383" w:rsidP="0025230B">
            <w:pPr>
              <w:jc w:val="both"/>
              <w:rPr>
                <w:rFonts w:asciiTheme="minorHAnsi" w:hAnsiTheme="minorHAnsi"/>
                <w:sz w:val="22"/>
                <w:szCs w:val="22"/>
              </w:rPr>
            </w:pPr>
            <w:r w:rsidRPr="00CC1383">
              <w:rPr>
                <w:rFonts w:asciiTheme="minorHAnsi" w:hAnsiTheme="minorHAnsi"/>
                <w:sz w:val="22"/>
                <w:szCs w:val="22"/>
              </w:rPr>
              <w:t xml:space="preserve">EDFT will need to </w:t>
            </w:r>
            <w:r w:rsidR="0025230B">
              <w:rPr>
                <w:rFonts w:asciiTheme="minorHAnsi" w:hAnsiTheme="minorHAnsi"/>
                <w:sz w:val="22"/>
                <w:szCs w:val="22"/>
              </w:rPr>
              <w:t xml:space="preserve">further </w:t>
            </w:r>
            <w:r w:rsidRPr="00CC1383">
              <w:rPr>
                <w:rFonts w:asciiTheme="minorHAnsi" w:hAnsiTheme="minorHAnsi"/>
                <w:sz w:val="22"/>
                <w:szCs w:val="22"/>
              </w:rPr>
              <w:t xml:space="preserve">investigate whether the code is consistent with current standards defined for market definition under the EFET EIC rules. </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Type of venue of execution</w:t>
            </w:r>
          </w:p>
        </w:tc>
        <w:tc>
          <w:tcPr>
            <w:tcW w:w="8080" w:type="dxa"/>
          </w:tcPr>
          <w:p w:rsidR="00CC1383" w:rsidRPr="00CC1383" w:rsidRDefault="00CC1383" w:rsidP="0025230B">
            <w:pPr>
              <w:jc w:val="both"/>
              <w:rPr>
                <w:rFonts w:asciiTheme="minorHAnsi" w:hAnsiTheme="minorHAnsi"/>
                <w:sz w:val="22"/>
                <w:szCs w:val="22"/>
              </w:rPr>
            </w:pPr>
            <w:r w:rsidRPr="00CC1383">
              <w:rPr>
                <w:rFonts w:asciiTheme="minorHAnsi" w:hAnsiTheme="minorHAnsi"/>
                <w:sz w:val="22"/>
                <w:szCs w:val="22"/>
              </w:rPr>
              <w:t xml:space="preserve">Limited guidance has been provided on this however EDFT’s </w:t>
            </w:r>
            <w:r w:rsidR="0025230B">
              <w:rPr>
                <w:rFonts w:asciiTheme="minorHAnsi" w:hAnsiTheme="minorHAnsi"/>
                <w:sz w:val="22"/>
                <w:szCs w:val="22"/>
              </w:rPr>
              <w:t xml:space="preserve">existing </w:t>
            </w:r>
            <w:r w:rsidRPr="00CC1383">
              <w:rPr>
                <w:rFonts w:asciiTheme="minorHAnsi" w:hAnsiTheme="minorHAnsi"/>
                <w:sz w:val="22"/>
                <w:szCs w:val="22"/>
              </w:rPr>
              <w:t>system</w:t>
            </w:r>
            <w:r w:rsidR="0025230B">
              <w:rPr>
                <w:rFonts w:asciiTheme="minorHAnsi" w:hAnsiTheme="minorHAnsi"/>
                <w:sz w:val="22"/>
                <w:szCs w:val="22"/>
              </w:rPr>
              <w:t>s</w:t>
            </w:r>
            <w:r w:rsidRPr="00CC1383">
              <w:rPr>
                <w:rFonts w:asciiTheme="minorHAnsi" w:hAnsiTheme="minorHAnsi"/>
                <w:sz w:val="22"/>
                <w:szCs w:val="22"/>
              </w:rPr>
              <w:t xml:space="preserve"> including the data model for trades and markets will </w:t>
            </w:r>
            <w:r w:rsidR="0025230B">
              <w:rPr>
                <w:rFonts w:asciiTheme="minorHAnsi" w:hAnsiTheme="minorHAnsi"/>
                <w:sz w:val="22"/>
                <w:szCs w:val="22"/>
              </w:rPr>
              <w:t xml:space="preserve">need </w:t>
            </w:r>
            <w:r w:rsidRPr="00CC1383">
              <w:rPr>
                <w:rFonts w:asciiTheme="minorHAnsi" w:hAnsiTheme="minorHAnsi"/>
                <w:sz w:val="22"/>
                <w:szCs w:val="22"/>
              </w:rPr>
              <w:t xml:space="preserve">to be enhanced with appropriate mappings of data to comply with EMIR’s requirements. </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Master Agreement Type</w:t>
            </w:r>
          </w:p>
        </w:tc>
        <w:tc>
          <w:tcPr>
            <w:tcW w:w="8080" w:type="dxa"/>
          </w:tcPr>
          <w:p w:rsidR="00CC1383" w:rsidRPr="00CC1383" w:rsidRDefault="00CC1383" w:rsidP="0025230B">
            <w:pPr>
              <w:jc w:val="both"/>
              <w:rPr>
                <w:rFonts w:asciiTheme="minorHAnsi" w:hAnsiTheme="minorHAnsi"/>
                <w:sz w:val="22"/>
                <w:szCs w:val="22"/>
              </w:rPr>
            </w:pPr>
            <w:r w:rsidRPr="00CC1383">
              <w:rPr>
                <w:rFonts w:asciiTheme="minorHAnsi" w:hAnsiTheme="minorHAnsi"/>
                <w:sz w:val="22"/>
                <w:szCs w:val="22"/>
              </w:rPr>
              <w:t>No guidance is provided whether this is a unique identifier for different master agreements.   ESMA needs to clarify the reporting</w:t>
            </w:r>
            <w:r w:rsidR="0025230B">
              <w:rPr>
                <w:rFonts w:asciiTheme="minorHAnsi" w:hAnsiTheme="minorHAnsi"/>
                <w:sz w:val="22"/>
                <w:szCs w:val="22"/>
              </w:rPr>
              <w:t xml:space="preserve"> requirement for this </w:t>
            </w:r>
            <w:r w:rsidR="0078613A">
              <w:rPr>
                <w:rFonts w:asciiTheme="minorHAnsi" w:hAnsiTheme="minorHAnsi"/>
                <w:sz w:val="22"/>
                <w:szCs w:val="22"/>
              </w:rPr>
              <w:t>field.</w:t>
            </w:r>
            <w:r w:rsidRPr="00CC1383">
              <w:rPr>
                <w:rFonts w:asciiTheme="minorHAnsi" w:hAnsiTheme="minorHAnsi"/>
                <w:sz w:val="22"/>
                <w:szCs w:val="22"/>
              </w:rPr>
              <w:t xml:space="preserve"> </w:t>
            </w:r>
            <w:r w:rsidR="0025230B">
              <w:rPr>
                <w:rFonts w:asciiTheme="minorHAnsi" w:hAnsiTheme="minorHAnsi"/>
                <w:sz w:val="22"/>
                <w:szCs w:val="22"/>
              </w:rPr>
              <w:t xml:space="preserve"> </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Confirmation</w:t>
            </w:r>
          </w:p>
        </w:tc>
        <w:tc>
          <w:tcPr>
            <w:tcW w:w="8080" w:type="dxa"/>
          </w:tcPr>
          <w:p w:rsidR="00CC1383" w:rsidRPr="00CC1383" w:rsidRDefault="00CC1383" w:rsidP="0025230B">
            <w:pPr>
              <w:jc w:val="both"/>
              <w:rPr>
                <w:rFonts w:asciiTheme="minorHAnsi" w:hAnsiTheme="minorHAnsi"/>
                <w:sz w:val="22"/>
                <w:szCs w:val="22"/>
              </w:rPr>
            </w:pPr>
            <w:r w:rsidRPr="00CC1383">
              <w:rPr>
                <w:rFonts w:asciiTheme="minorHAnsi" w:hAnsiTheme="minorHAnsi"/>
                <w:sz w:val="22"/>
                <w:szCs w:val="22"/>
              </w:rPr>
              <w:t>Most industry participants that comply with EFET electronic confirmation matching adhere to a</w:t>
            </w:r>
            <w:r w:rsidR="0025230B">
              <w:rPr>
                <w:rFonts w:asciiTheme="minorHAnsi" w:hAnsiTheme="minorHAnsi"/>
                <w:sz w:val="22"/>
                <w:szCs w:val="22"/>
              </w:rPr>
              <w:t>n industry standard</w:t>
            </w:r>
            <w:r w:rsidRPr="00CC1383">
              <w:rPr>
                <w:rFonts w:asciiTheme="minorHAnsi" w:hAnsiTheme="minorHAnsi"/>
                <w:sz w:val="22"/>
                <w:szCs w:val="22"/>
              </w:rPr>
              <w:t xml:space="preserve"> 3 day confirmation generation and matching rule.    In light of this it is probable that most trades at the time of reporting will be unconfirmed.   </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Collateralisation</w:t>
            </w:r>
          </w:p>
        </w:tc>
        <w:tc>
          <w:tcPr>
            <w:tcW w:w="8080" w:type="dxa"/>
          </w:tcPr>
          <w:p w:rsidR="00CC1383" w:rsidRPr="00CC1383" w:rsidRDefault="0025230B" w:rsidP="0025230B">
            <w:pPr>
              <w:jc w:val="both"/>
              <w:rPr>
                <w:rFonts w:asciiTheme="minorHAnsi" w:hAnsiTheme="minorHAnsi"/>
                <w:sz w:val="22"/>
                <w:szCs w:val="22"/>
              </w:rPr>
            </w:pPr>
            <w:r>
              <w:rPr>
                <w:rFonts w:asciiTheme="minorHAnsi" w:hAnsiTheme="minorHAnsi"/>
                <w:sz w:val="22"/>
                <w:szCs w:val="22"/>
              </w:rPr>
              <w:t>S</w:t>
            </w:r>
            <w:r w:rsidR="00CC1383" w:rsidRPr="00CC1383">
              <w:rPr>
                <w:rFonts w:asciiTheme="minorHAnsi" w:hAnsiTheme="minorHAnsi"/>
                <w:sz w:val="22"/>
                <w:szCs w:val="22"/>
              </w:rPr>
              <w:t>tructural changes to</w:t>
            </w:r>
            <w:r>
              <w:rPr>
                <w:rFonts w:asciiTheme="minorHAnsi" w:hAnsiTheme="minorHAnsi"/>
                <w:sz w:val="22"/>
                <w:szCs w:val="22"/>
              </w:rPr>
              <w:t xml:space="preserve"> its s</w:t>
            </w:r>
            <w:r w:rsidR="00CC1383" w:rsidRPr="00CC1383">
              <w:rPr>
                <w:rFonts w:asciiTheme="minorHAnsi" w:hAnsiTheme="minorHAnsi"/>
                <w:sz w:val="22"/>
                <w:szCs w:val="22"/>
              </w:rPr>
              <w:t>ystem</w:t>
            </w:r>
            <w:r>
              <w:rPr>
                <w:rFonts w:asciiTheme="minorHAnsi" w:hAnsiTheme="minorHAnsi"/>
                <w:sz w:val="22"/>
                <w:szCs w:val="22"/>
              </w:rPr>
              <w:t>s</w:t>
            </w:r>
            <w:r w:rsidR="00CC1383" w:rsidRPr="00CC1383">
              <w:rPr>
                <w:rFonts w:asciiTheme="minorHAnsi" w:hAnsiTheme="minorHAnsi"/>
                <w:sz w:val="22"/>
                <w:szCs w:val="22"/>
              </w:rPr>
              <w:t xml:space="preserve"> and data model</w:t>
            </w:r>
            <w:r>
              <w:rPr>
                <w:rFonts w:asciiTheme="minorHAnsi" w:hAnsiTheme="minorHAnsi"/>
                <w:sz w:val="22"/>
                <w:szCs w:val="22"/>
              </w:rPr>
              <w:t xml:space="preserve">s will be necessary to record and report this data field. </w:t>
            </w:r>
            <w:r w:rsidR="00CC1383" w:rsidRPr="00CC1383">
              <w:rPr>
                <w:rFonts w:asciiTheme="minorHAnsi" w:hAnsiTheme="minorHAnsi"/>
                <w:sz w:val="22"/>
                <w:szCs w:val="22"/>
              </w:rPr>
              <w:t xml:space="preserve"> </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t xml:space="preserve">Clearing Obligation </w:t>
            </w:r>
          </w:p>
        </w:tc>
        <w:tc>
          <w:tcPr>
            <w:tcW w:w="8080" w:type="dxa"/>
          </w:tcPr>
          <w:p w:rsidR="00CC1383" w:rsidRPr="00CC1383" w:rsidRDefault="0025230B" w:rsidP="0025230B">
            <w:pPr>
              <w:jc w:val="both"/>
              <w:rPr>
                <w:rFonts w:asciiTheme="minorHAnsi" w:hAnsiTheme="minorHAnsi"/>
                <w:sz w:val="22"/>
                <w:szCs w:val="22"/>
              </w:rPr>
            </w:pPr>
            <w:r>
              <w:rPr>
                <w:rFonts w:asciiTheme="minorHAnsi" w:hAnsiTheme="minorHAnsi"/>
                <w:sz w:val="22"/>
                <w:szCs w:val="22"/>
              </w:rPr>
              <w:t xml:space="preserve">As above, this will only be possible where firms monitor the position against the clearing threshold on a real time (or daily basis).  It may be easier therefore to simply classify whether a trade has been cleared or not (either voluntarily or due to being subject to the clearing obligation). If the more aggregated approach is taken this will still require developments to systems to capture this information. </w:t>
            </w:r>
            <w:r w:rsidR="00CC1383" w:rsidRPr="00CC1383">
              <w:rPr>
                <w:rFonts w:asciiTheme="minorHAnsi" w:hAnsiTheme="minorHAnsi"/>
                <w:sz w:val="22"/>
                <w:szCs w:val="22"/>
              </w:rPr>
              <w:t xml:space="preserve">For OTC give-up </w:t>
            </w:r>
            <w:r w:rsidR="00CC1383" w:rsidRPr="00CC1383">
              <w:rPr>
                <w:rFonts w:asciiTheme="minorHAnsi" w:hAnsiTheme="minorHAnsi"/>
                <w:sz w:val="22"/>
                <w:szCs w:val="22"/>
              </w:rPr>
              <w:lastRenderedPageBreak/>
              <w:t xml:space="preserve">trades to the Exchange </w:t>
            </w:r>
            <w:r w:rsidR="00EE0AE9" w:rsidRPr="00CC1383">
              <w:rPr>
                <w:rFonts w:asciiTheme="minorHAnsi" w:hAnsiTheme="minorHAnsi"/>
                <w:sz w:val="22"/>
                <w:szCs w:val="22"/>
              </w:rPr>
              <w:t>the</w:t>
            </w:r>
            <w:r w:rsidR="00CC1383" w:rsidRPr="00CC1383">
              <w:rPr>
                <w:rFonts w:asciiTheme="minorHAnsi" w:hAnsiTheme="minorHAnsi"/>
                <w:sz w:val="22"/>
                <w:szCs w:val="22"/>
              </w:rPr>
              <w:t xml:space="preserve"> trade life cycle will require to be tracked and the clearing status updated.  </w:t>
            </w:r>
          </w:p>
        </w:tc>
      </w:tr>
      <w:tr w:rsidR="00CC1383" w:rsidRPr="00CC1383" w:rsidTr="008476A0">
        <w:tc>
          <w:tcPr>
            <w:tcW w:w="2376" w:type="dxa"/>
          </w:tcPr>
          <w:p w:rsidR="00CC1383" w:rsidRPr="00CC1383" w:rsidRDefault="00CC1383" w:rsidP="00CC1383">
            <w:pPr>
              <w:jc w:val="both"/>
              <w:rPr>
                <w:rFonts w:asciiTheme="minorHAnsi" w:hAnsiTheme="minorHAnsi"/>
                <w:sz w:val="22"/>
                <w:szCs w:val="22"/>
              </w:rPr>
            </w:pPr>
            <w:r w:rsidRPr="00CC1383">
              <w:rPr>
                <w:rFonts w:asciiTheme="minorHAnsi" w:hAnsiTheme="minorHAnsi"/>
                <w:sz w:val="22"/>
                <w:szCs w:val="22"/>
              </w:rPr>
              <w:lastRenderedPageBreak/>
              <w:t>Log</w:t>
            </w:r>
          </w:p>
        </w:tc>
        <w:tc>
          <w:tcPr>
            <w:tcW w:w="8080" w:type="dxa"/>
          </w:tcPr>
          <w:p w:rsidR="00CC1383" w:rsidRPr="00CC1383" w:rsidRDefault="00CC1383" w:rsidP="0025230B">
            <w:pPr>
              <w:jc w:val="both"/>
              <w:rPr>
                <w:rFonts w:asciiTheme="minorHAnsi" w:hAnsiTheme="minorHAnsi"/>
                <w:sz w:val="22"/>
                <w:szCs w:val="22"/>
              </w:rPr>
            </w:pPr>
            <w:r w:rsidRPr="00CC1383">
              <w:rPr>
                <w:rFonts w:asciiTheme="minorHAnsi" w:hAnsiTheme="minorHAnsi"/>
                <w:sz w:val="22"/>
                <w:szCs w:val="22"/>
              </w:rPr>
              <w:t>EMIR requests for market participants to build a trail of amendments with relevant supporting information retained in a log to a previously registered trade.  No information is provided to the level of detail required in the log.  There is also no mention of trade versioning to track each amendment</w:t>
            </w:r>
            <w:r w:rsidR="0025230B">
              <w:rPr>
                <w:rFonts w:asciiTheme="minorHAnsi" w:hAnsiTheme="minorHAnsi"/>
                <w:sz w:val="22"/>
                <w:szCs w:val="22"/>
              </w:rPr>
              <w:t xml:space="preserve">. </w:t>
            </w:r>
            <w:r w:rsidRPr="00CC1383">
              <w:rPr>
                <w:rFonts w:asciiTheme="minorHAnsi" w:hAnsiTheme="minorHAnsi"/>
                <w:sz w:val="22"/>
                <w:szCs w:val="22"/>
              </w:rPr>
              <w:t xml:space="preserve"> </w:t>
            </w:r>
            <w:r w:rsidR="0025230B">
              <w:rPr>
                <w:rFonts w:asciiTheme="minorHAnsi" w:hAnsiTheme="minorHAnsi"/>
                <w:sz w:val="22"/>
                <w:szCs w:val="22"/>
              </w:rPr>
              <w:t>The</w:t>
            </w:r>
            <w:r w:rsidRPr="00CC1383">
              <w:rPr>
                <w:rFonts w:asciiTheme="minorHAnsi" w:hAnsiTheme="minorHAnsi"/>
                <w:sz w:val="22"/>
                <w:szCs w:val="22"/>
              </w:rPr>
              <w:t xml:space="preserve"> extensive and broad trade repository reporting requirements</w:t>
            </w:r>
            <w:r w:rsidR="0025230B">
              <w:rPr>
                <w:rFonts w:asciiTheme="minorHAnsi" w:hAnsiTheme="minorHAnsi"/>
                <w:sz w:val="22"/>
                <w:szCs w:val="22"/>
              </w:rPr>
              <w:t xml:space="preserve"> will mean </w:t>
            </w:r>
            <w:r w:rsidRPr="00CC1383">
              <w:rPr>
                <w:rFonts w:asciiTheme="minorHAnsi" w:hAnsiTheme="minorHAnsi"/>
                <w:sz w:val="22"/>
                <w:szCs w:val="22"/>
              </w:rPr>
              <w:t>there will be frequent amendments to report</w:t>
            </w:r>
            <w:r w:rsidR="0025230B">
              <w:rPr>
                <w:rFonts w:asciiTheme="minorHAnsi" w:hAnsiTheme="minorHAnsi"/>
                <w:sz w:val="22"/>
                <w:szCs w:val="22"/>
              </w:rPr>
              <w:t xml:space="preserve"> significantly increasing the reporting obligation on firms</w:t>
            </w:r>
            <w:r w:rsidRPr="00CC1383">
              <w:rPr>
                <w:rFonts w:asciiTheme="minorHAnsi" w:hAnsiTheme="minorHAnsi"/>
                <w:sz w:val="22"/>
                <w:szCs w:val="22"/>
              </w:rPr>
              <w:t>.  In light of this a more prudent view should be undertaken of limiting the number of fields for the trade reporting requirements to the commercial terms of the trade only and therefore exclud</w:t>
            </w:r>
            <w:r w:rsidR="0025230B">
              <w:rPr>
                <w:rFonts w:asciiTheme="minorHAnsi" w:hAnsiTheme="minorHAnsi"/>
                <w:sz w:val="22"/>
                <w:szCs w:val="22"/>
              </w:rPr>
              <w:t>ing</w:t>
            </w:r>
            <w:r w:rsidRPr="00CC1383">
              <w:rPr>
                <w:rFonts w:asciiTheme="minorHAnsi" w:hAnsiTheme="minorHAnsi"/>
                <w:sz w:val="22"/>
                <w:szCs w:val="22"/>
              </w:rPr>
              <w:t xml:space="preserve"> such fields as confirmation and master agreement type. </w:t>
            </w:r>
          </w:p>
        </w:tc>
      </w:tr>
    </w:tbl>
    <w:p w:rsidR="00CC1383" w:rsidRDefault="00CC1383" w:rsidP="00804BFE">
      <w:pPr>
        <w:rPr>
          <w:rFonts w:asciiTheme="minorHAnsi" w:hAnsiTheme="minorHAnsi"/>
          <w:b/>
          <w:bCs/>
          <w:color w:val="1F497D"/>
          <w:sz w:val="22"/>
          <w:szCs w:val="22"/>
        </w:rPr>
      </w:pPr>
    </w:p>
    <w:p w:rsidR="00107A01" w:rsidRDefault="00107A01" w:rsidP="00804BFE">
      <w:pPr>
        <w:rPr>
          <w:rFonts w:asciiTheme="minorHAnsi" w:hAnsiTheme="minorHAnsi"/>
          <w:b/>
          <w:bCs/>
          <w:color w:val="1F497D"/>
          <w:sz w:val="22"/>
          <w:szCs w:val="22"/>
        </w:rPr>
      </w:pPr>
    </w:p>
    <w:p w:rsidR="00107A01" w:rsidRDefault="00107A01" w:rsidP="00804BFE">
      <w:pPr>
        <w:rPr>
          <w:rFonts w:asciiTheme="minorHAnsi" w:hAnsiTheme="minorHAnsi"/>
          <w:b/>
          <w:bCs/>
          <w:color w:val="1F497D"/>
          <w:sz w:val="22"/>
          <w:szCs w:val="22"/>
        </w:rPr>
      </w:pPr>
    </w:p>
    <w:p w:rsidR="00804BFE" w:rsidRPr="009E600C" w:rsidRDefault="00804BFE" w:rsidP="00804BFE">
      <w:pPr>
        <w:rPr>
          <w:rFonts w:asciiTheme="minorHAnsi" w:hAnsiTheme="minorHAnsi"/>
          <w:color w:val="1F497D"/>
          <w:sz w:val="22"/>
          <w:szCs w:val="22"/>
        </w:rPr>
      </w:pPr>
    </w:p>
    <w:p w:rsidR="002F79C2" w:rsidRPr="009E600C" w:rsidRDefault="002F79C2" w:rsidP="00CD2E66">
      <w:pPr>
        <w:ind w:left="360"/>
        <w:rPr>
          <w:rFonts w:asciiTheme="minorHAnsi" w:hAnsiTheme="minorHAnsi"/>
          <w:b/>
          <w:sz w:val="22"/>
          <w:szCs w:val="22"/>
        </w:rPr>
      </w:pPr>
    </w:p>
    <w:p w:rsidR="00EA136A" w:rsidRPr="00EA136A" w:rsidRDefault="002F79C2" w:rsidP="00CD2E66">
      <w:pPr>
        <w:ind w:left="360"/>
        <w:rPr>
          <w:rFonts w:asciiTheme="minorHAnsi" w:hAnsiTheme="minorHAnsi"/>
          <w:b/>
          <w:sz w:val="22"/>
          <w:szCs w:val="22"/>
          <w:lang w:val="en-GB"/>
        </w:rPr>
      </w:pPr>
      <w:r>
        <w:rPr>
          <w:rFonts w:asciiTheme="minorHAnsi" w:hAnsiTheme="minorHAnsi"/>
          <w:b/>
          <w:sz w:val="22"/>
          <w:szCs w:val="22"/>
          <w:lang w:val="en-GB"/>
        </w:rPr>
        <w:t xml:space="preserve"> </w:t>
      </w:r>
    </w:p>
    <w:sectPr w:rsidR="00EA136A" w:rsidRPr="00EA136A" w:rsidSect="003B0D7D">
      <w:headerReference w:type="default" r:id="rId8"/>
      <w:headerReference w:type="first" r:id="rId9"/>
      <w:pgSz w:w="11900" w:h="16840"/>
      <w:pgMar w:top="3235" w:right="822" w:bottom="1440" w:left="68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794E" w:rsidRDefault="007C794E">
      <w:r>
        <w:separator/>
      </w:r>
    </w:p>
  </w:endnote>
  <w:endnote w:type="continuationSeparator" w:id="0">
    <w:p w:rsidR="007C794E" w:rsidRDefault="007C79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794E" w:rsidRDefault="007C794E">
      <w:r>
        <w:separator/>
      </w:r>
    </w:p>
  </w:footnote>
  <w:footnote w:type="continuationSeparator" w:id="0">
    <w:p w:rsidR="007C794E" w:rsidRDefault="007C79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94E" w:rsidRDefault="007C794E">
    <w:pPr>
      <w:pStyle w:val="Header"/>
    </w:pPr>
    <w:r>
      <w:rPr>
        <w:noProof/>
        <w:szCs w:val="20"/>
        <w:lang w:val="en-GB" w:eastAsia="en-GB"/>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69200" cy="10693400"/>
          <wp:effectExtent l="19050" t="0" r="0" b="0"/>
          <wp:wrapNone/>
          <wp:docPr id="51" name="Picture 51" descr="fond pages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ond pages 01"/>
                  <pic:cNvPicPr>
                    <a:picLocks noChangeAspect="1" noChangeArrowheads="1"/>
                  </pic:cNvPicPr>
                </pic:nvPicPr>
                <pic:blipFill>
                  <a:blip r:embed="rId1"/>
                  <a:srcRect/>
                  <a:stretch>
                    <a:fillRect/>
                  </a:stretch>
                </pic:blipFill>
                <pic:spPr bwMode="auto">
                  <a:xfrm>
                    <a:off x="0" y="0"/>
                    <a:ext cx="7569200" cy="106934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94E" w:rsidRDefault="00456B66">
    <w:pPr>
      <w:pStyle w:val="Header"/>
    </w:pPr>
    <w:r w:rsidRPr="00456B66">
      <w:rPr>
        <w:szCs w:val="20"/>
        <w:lang w:val="en-GB" w:eastAsia="en-GB"/>
      </w:rPr>
      <w:pict>
        <v:shapetype id="_x0000_t202" coordsize="21600,21600" o:spt="202" path="m,l,21600r21600,l21600,xe">
          <v:stroke joinstyle="miter"/>
          <v:path gradientshapeok="t" o:connecttype="rect"/>
        </v:shapetype>
        <v:shape id="_x0000_s2101" type="#_x0000_t202" style="position:absolute;margin-left:34.2pt;margin-top:778.65pt;width:367.15pt;height:24.85pt;z-index:-251657216;mso-wrap-edited:f;mso-position-horizontal-relative:page;mso-position-vertical-relative:page" wrapcoords="0 0 21600 0 21600 21600 0 21600 0 0" filled="f" stroked="f">
          <v:textbox inset="0,0,0,0">
            <w:txbxContent>
              <w:p w:rsidR="007C794E" w:rsidRPr="000A1DCF" w:rsidRDefault="007C794E" w:rsidP="003B0D7D">
                <w:pPr>
                  <w:rPr>
                    <w:rFonts w:ascii="Arial" w:hAnsi="Arial"/>
                    <w:b/>
                    <w:color w:val="005BBB"/>
                    <w:sz w:val="14"/>
                  </w:rPr>
                </w:pPr>
                <w:r w:rsidRPr="000A1DCF">
                  <w:rPr>
                    <w:rFonts w:ascii="Arial" w:hAnsi="Arial"/>
                    <w:b/>
                    <w:color w:val="005BBB"/>
                    <w:sz w:val="14"/>
                  </w:rPr>
                  <w:t>www.edftrading.com</w:t>
                </w:r>
              </w:p>
              <w:p w:rsidR="007C794E" w:rsidRPr="00D17B51" w:rsidRDefault="007C794E" w:rsidP="003B0D7D">
                <w:pPr>
                  <w:rPr>
                    <w:rFonts w:ascii="Arial" w:hAnsi="Arial"/>
                    <w:color w:val="005BBB"/>
                    <w:sz w:val="11"/>
                  </w:rPr>
                </w:pPr>
                <w:r w:rsidRPr="00D17B51">
                  <w:rPr>
                    <w:rFonts w:ascii="Arial" w:hAnsi="Arial"/>
                    <w:color w:val="005BBB"/>
                    <w:sz w:val="11"/>
                  </w:rPr>
                  <w:t>EDF Trading Markets Limited</w:t>
                </w:r>
              </w:p>
              <w:p w:rsidR="007C794E" w:rsidRPr="00D17B51" w:rsidRDefault="007C794E" w:rsidP="003B0D7D">
                <w:pPr>
                  <w:rPr>
                    <w:rFonts w:ascii="Arial" w:hAnsi="Arial"/>
                    <w:color w:val="005BBB"/>
                    <w:sz w:val="11"/>
                  </w:rPr>
                </w:pPr>
                <w:r w:rsidRPr="00D17B51">
                  <w:rPr>
                    <w:rFonts w:ascii="Arial" w:hAnsi="Arial"/>
                    <w:color w:val="005BBB"/>
                    <w:sz w:val="11"/>
                  </w:rPr>
                  <w:t xml:space="preserve">A company registered in </w:t>
                </w:r>
                <w:smartTag w:uri="urn:schemas-microsoft-com:office:smarttags" w:element="country-region">
                  <w:smartTag w:uri="urn:schemas-microsoft-com:office:smarttags" w:element="place">
                    <w:r w:rsidRPr="00D17B51">
                      <w:rPr>
                        <w:rFonts w:ascii="Arial" w:hAnsi="Arial"/>
                        <w:color w:val="005BBB"/>
                        <w:sz w:val="11"/>
                      </w:rPr>
                      <w:t>England</w:t>
                    </w:r>
                  </w:smartTag>
                </w:smartTag>
                <w:r w:rsidRPr="00D17B51">
                  <w:rPr>
                    <w:rFonts w:ascii="Arial" w:hAnsi="Arial"/>
                    <w:color w:val="005BBB"/>
                    <w:sz w:val="11"/>
                  </w:rPr>
                  <w:t xml:space="preserve"> - Registration Number 4255974 - Regulated by the Financial Services Authority</w:t>
                </w:r>
              </w:p>
            </w:txbxContent>
          </v:textbox>
          <w10:wrap anchorx="page" anchory="page"/>
        </v:shape>
      </w:pict>
    </w:r>
    <w:r w:rsidRPr="00456B66">
      <w:rPr>
        <w:szCs w:val="20"/>
        <w:lang w:val="en-GB" w:eastAsia="en-GB"/>
      </w:rPr>
      <w:pict>
        <v:shape id="_x0000_s2100" type="#_x0000_t202" style="position:absolute;margin-left:34.2pt;margin-top:104.2pt;width:180pt;height:54pt;z-index:-251658240;mso-wrap-edited:f;mso-position-horizontal-relative:page;mso-position-vertical-relative:page" wrapcoords="0 0 21600 0 21600 21600 0 21600 0 0" filled="f" stroked="f">
          <v:textbox inset="0,0,0,0">
            <w:txbxContent>
              <w:p w:rsidR="007C794E" w:rsidRPr="00274895" w:rsidRDefault="007C794E" w:rsidP="003B0D7D">
                <w:pPr>
                  <w:spacing w:line="160" w:lineRule="atLeast"/>
                  <w:rPr>
                    <w:rFonts w:ascii="Arial" w:hAnsi="Arial"/>
                    <w:b/>
                    <w:color w:val="005BBB"/>
                    <w:sz w:val="13"/>
                  </w:rPr>
                </w:pPr>
                <w:smartTag w:uri="urn:schemas-microsoft-com:office:smarttags" w:element="Street">
                  <w:smartTag w:uri="urn:schemas-microsoft-com:office:smarttags" w:element="address">
                    <w:r w:rsidRPr="00274895">
                      <w:rPr>
                        <w:rFonts w:ascii="Arial" w:hAnsi="Arial"/>
                        <w:b/>
                        <w:color w:val="005BBB"/>
                        <w:sz w:val="13"/>
                      </w:rPr>
                      <w:t>80 Victoria Street</w:t>
                    </w:r>
                  </w:smartTag>
                </w:smartTag>
              </w:p>
              <w:p w:rsidR="007C794E" w:rsidRPr="00274895" w:rsidRDefault="007C794E" w:rsidP="003B0D7D">
                <w:pPr>
                  <w:spacing w:line="160" w:lineRule="atLeast"/>
                  <w:rPr>
                    <w:rFonts w:ascii="Arial" w:hAnsi="Arial"/>
                    <w:b/>
                    <w:color w:val="005BBB"/>
                    <w:sz w:val="13"/>
                  </w:rPr>
                </w:pPr>
                <w:r w:rsidRPr="00274895">
                  <w:rPr>
                    <w:rFonts w:ascii="Arial" w:hAnsi="Arial"/>
                    <w:b/>
                    <w:color w:val="005BBB"/>
                    <w:sz w:val="13"/>
                  </w:rPr>
                  <w:t>Cardinal Place, 3rd floor</w:t>
                </w:r>
              </w:p>
              <w:p w:rsidR="007C794E" w:rsidRPr="00274895" w:rsidRDefault="007C794E" w:rsidP="003B0D7D">
                <w:pPr>
                  <w:spacing w:line="160" w:lineRule="atLeast"/>
                  <w:rPr>
                    <w:rFonts w:ascii="Arial" w:hAnsi="Arial"/>
                    <w:b/>
                    <w:color w:val="005BBB"/>
                    <w:sz w:val="13"/>
                  </w:rPr>
                </w:pPr>
                <w:smartTag w:uri="urn:schemas-microsoft-com:office:smarttags" w:element="City">
                  <w:smartTag w:uri="urn:schemas-microsoft-com:office:smarttags" w:element="place">
                    <w:r w:rsidRPr="00274895">
                      <w:rPr>
                        <w:rFonts w:ascii="Arial" w:hAnsi="Arial"/>
                        <w:b/>
                        <w:color w:val="005BBB"/>
                        <w:sz w:val="13"/>
                      </w:rPr>
                      <w:t>London</w:t>
                    </w:r>
                  </w:smartTag>
                </w:smartTag>
                <w:r w:rsidRPr="00274895">
                  <w:rPr>
                    <w:rFonts w:ascii="Arial" w:hAnsi="Arial"/>
                    <w:b/>
                    <w:color w:val="005BBB"/>
                    <w:sz w:val="13"/>
                  </w:rPr>
                  <w:t xml:space="preserve"> SW1E 5JL</w:t>
                </w:r>
              </w:p>
              <w:p w:rsidR="007C794E" w:rsidRPr="00274895" w:rsidRDefault="007C794E" w:rsidP="003B0D7D">
                <w:pPr>
                  <w:spacing w:before="80" w:line="160" w:lineRule="atLeast"/>
                  <w:rPr>
                    <w:rFonts w:ascii="Arial" w:hAnsi="Arial"/>
                    <w:b/>
                    <w:color w:val="005BBB"/>
                    <w:sz w:val="13"/>
                  </w:rPr>
                </w:pPr>
                <w:r w:rsidRPr="00274895">
                  <w:rPr>
                    <w:rFonts w:ascii="Arial" w:hAnsi="Arial"/>
                    <w:b/>
                    <w:color w:val="005BBB"/>
                    <w:sz w:val="13"/>
                  </w:rPr>
                  <w:t>T +44 (0)20 7061 4000</w:t>
                </w:r>
              </w:p>
              <w:p w:rsidR="007C794E" w:rsidRPr="00274895" w:rsidRDefault="007C794E" w:rsidP="003B0D7D">
                <w:pPr>
                  <w:spacing w:line="160" w:lineRule="atLeast"/>
                  <w:rPr>
                    <w:rFonts w:ascii="Arial" w:hAnsi="Arial"/>
                    <w:b/>
                    <w:color w:val="005BBB"/>
                    <w:sz w:val="13"/>
                  </w:rPr>
                </w:pPr>
                <w:r w:rsidRPr="00274895">
                  <w:rPr>
                    <w:rFonts w:ascii="Arial" w:hAnsi="Arial"/>
                    <w:b/>
                    <w:color w:val="005BBB"/>
                    <w:sz w:val="13"/>
                  </w:rPr>
                  <w:t>F +44 (0)20 7061 5000</w:t>
                </w:r>
              </w:p>
            </w:txbxContent>
          </v:textbox>
          <w10:wrap anchorx="page" anchory="page"/>
        </v:shape>
      </w:pict>
    </w:r>
    <w:r w:rsidR="007C794E">
      <w:rPr>
        <w:noProof/>
        <w:szCs w:val="20"/>
        <w:lang w:val="en-GB" w:eastAsia="en-GB"/>
      </w:rPr>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548880" cy="10696575"/>
          <wp:effectExtent l="19050" t="0" r="0" b="0"/>
          <wp:wrapNone/>
          <wp:docPr id="54" name="Picture 54" descr="fond pages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ond pages 01"/>
                  <pic:cNvPicPr>
                    <a:picLocks noChangeAspect="1" noChangeArrowheads="1"/>
                  </pic:cNvPicPr>
                </pic:nvPicPr>
                <pic:blipFill>
                  <a:blip r:embed="rId1"/>
                  <a:srcRect/>
                  <a:stretch>
                    <a:fillRect/>
                  </a:stretch>
                </pic:blipFill>
                <pic:spPr bwMode="auto">
                  <a:xfrm>
                    <a:off x="0" y="0"/>
                    <a:ext cx="7548880" cy="106965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3E416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01E57F6"/>
    <w:lvl w:ilvl="0">
      <w:start w:val="1"/>
      <w:numFmt w:val="decimal"/>
      <w:lvlText w:val="%1."/>
      <w:lvlJc w:val="left"/>
      <w:pPr>
        <w:tabs>
          <w:tab w:val="num" w:pos="1492"/>
        </w:tabs>
        <w:ind w:left="1492" w:hanging="360"/>
      </w:pPr>
    </w:lvl>
  </w:abstractNum>
  <w:abstractNum w:abstractNumId="2">
    <w:nsid w:val="FFFFFF7D"/>
    <w:multiLevelType w:val="singleLevel"/>
    <w:tmpl w:val="B97E84C4"/>
    <w:lvl w:ilvl="0">
      <w:start w:val="1"/>
      <w:numFmt w:val="decimal"/>
      <w:lvlText w:val="%1."/>
      <w:lvlJc w:val="left"/>
      <w:pPr>
        <w:tabs>
          <w:tab w:val="num" w:pos="1209"/>
        </w:tabs>
        <w:ind w:left="1209" w:hanging="360"/>
      </w:pPr>
    </w:lvl>
  </w:abstractNum>
  <w:abstractNum w:abstractNumId="3">
    <w:nsid w:val="FFFFFF7E"/>
    <w:multiLevelType w:val="singleLevel"/>
    <w:tmpl w:val="6DAA9D18"/>
    <w:lvl w:ilvl="0">
      <w:start w:val="1"/>
      <w:numFmt w:val="decimal"/>
      <w:lvlText w:val="%1."/>
      <w:lvlJc w:val="left"/>
      <w:pPr>
        <w:tabs>
          <w:tab w:val="num" w:pos="926"/>
        </w:tabs>
        <w:ind w:left="926" w:hanging="360"/>
      </w:pPr>
    </w:lvl>
  </w:abstractNum>
  <w:abstractNum w:abstractNumId="4">
    <w:nsid w:val="FFFFFF7F"/>
    <w:multiLevelType w:val="singleLevel"/>
    <w:tmpl w:val="1F1AA282"/>
    <w:lvl w:ilvl="0">
      <w:start w:val="1"/>
      <w:numFmt w:val="decimal"/>
      <w:lvlText w:val="%1."/>
      <w:lvlJc w:val="left"/>
      <w:pPr>
        <w:tabs>
          <w:tab w:val="num" w:pos="643"/>
        </w:tabs>
        <w:ind w:left="643" w:hanging="360"/>
      </w:pPr>
    </w:lvl>
  </w:abstractNum>
  <w:abstractNum w:abstractNumId="5">
    <w:nsid w:val="FFFFFF80"/>
    <w:multiLevelType w:val="singleLevel"/>
    <w:tmpl w:val="A952306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B7A606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B4E70B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44109EC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68A27D72"/>
    <w:lvl w:ilvl="0">
      <w:start w:val="1"/>
      <w:numFmt w:val="decimal"/>
      <w:lvlText w:val="%1."/>
      <w:lvlJc w:val="left"/>
      <w:pPr>
        <w:tabs>
          <w:tab w:val="num" w:pos="360"/>
        </w:tabs>
        <w:ind w:left="360" w:hanging="360"/>
      </w:pPr>
    </w:lvl>
  </w:abstractNum>
  <w:abstractNum w:abstractNumId="10">
    <w:nsid w:val="FFFFFF89"/>
    <w:multiLevelType w:val="singleLevel"/>
    <w:tmpl w:val="428C406A"/>
    <w:lvl w:ilvl="0">
      <w:start w:val="1"/>
      <w:numFmt w:val="bullet"/>
      <w:lvlText w:val=""/>
      <w:lvlJc w:val="left"/>
      <w:pPr>
        <w:tabs>
          <w:tab w:val="num" w:pos="360"/>
        </w:tabs>
        <w:ind w:left="360" w:hanging="360"/>
      </w:pPr>
      <w:rPr>
        <w:rFonts w:ascii="Symbol" w:hAnsi="Symbol" w:hint="default"/>
      </w:rPr>
    </w:lvl>
  </w:abstractNum>
  <w:abstractNum w:abstractNumId="11">
    <w:nsid w:val="130E351D"/>
    <w:multiLevelType w:val="hybridMultilevel"/>
    <w:tmpl w:val="B9EC498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nsid w:val="1AB4310E"/>
    <w:multiLevelType w:val="hybridMultilevel"/>
    <w:tmpl w:val="2F04F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06D0086"/>
    <w:multiLevelType w:val="multilevel"/>
    <w:tmpl w:val="1A8E3BE0"/>
    <w:lvl w:ilvl="0">
      <w:start w:val="1"/>
      <w:numFmt w:val="decimal"/>
      <w:pStyle w:val="Heading1"/>
      <w:lvlText w:val="%1"/>
      <w:lvlJc w:val="left"/>
      <w:pPr>
        <w:tabs>
          <w:tab w:val="num" w:pos="613"/>
        </w:tabs>
        <w:ind w:left="613" w:hanging="432"/>
      </w:pPr>
    </w:lvl>
    <w:lvl w:ilvl="1">
      <w:start w:val="1"/>
      <w:numFmt w:val="decimal"/>
      <w:pStyle w:val="Heading2"/>
      <w:lvlText w:val="%1.%2"/>
      <w:lvlJc w:val="left"/>
      <w:pPr>
        <w:tabs>
          <w:tab w:val="num" w:pos="1300"/>
        </w:tabs>
        <w:ind w:left="1300"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nsid w:val="33EB0EB2"/>
    <w:multiLevelType w:val="hybridMultilevel"/>
    <w:tmpl w:val="955E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8101B2"/>
    <w:multiLevelType w:val="hybridMultilevel"/>
    <w:tmpl w:val="555C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3374A1"/>
    <w:multiLevelType w:val="hybridMultilevel"/>
    <w:tmpl w:val="330A97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613B531A"/>
    <w:multiLevelType w:val="hybridMultilevel"/>
    <w:tmpl w:val="85EE7E6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6355728B"/>
    <w:multiLevelType w:val="hybridMultilevel"/>
    <w:tmpl w:val="289C7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744D725A"/>
    <w:multiLevelType w:val="hybridMultilevel"/>
    <w:tmpl w:val="7A98B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11"/>
  </w:num>
  <w:num w:numId="13">
    <w:abstractNumId w:val="15"/>
  </w:num>
  <w:num w:numId="14">
    <w:abstractNumId w:val="1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2"/>
  </w:num>
  <w:num w:numId="19">
    <w:abstractNumId w:val="13"/>
  </w:num>
  <w:num w:numId="20">
    <w:abstractNumId w:val="14"/>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rsids>
    <w:rsidRoot w:val="00FD166F"/>
    <w:rsid w:val="00044501"/>
    <w:rsid w:val="00054B5C"/>
    <w:rsid w:val="00055891"/>
    <w:rsid w:val="00090F3B"/>
    <w:rsid w:val="000C5B04"/>
    <w:rsid w:val="000C6F49"/>
    <w:rsid w:val="000D0ED5"/>
    <w:rsid w:val="000E694F"/>
    <w:rsid w:val="00107A01"/>
    <w:rsid w:val="00140C00"/>
    <w:rsid w:val="00147307"/>
    <w:rsid w:val="001640D5"/>
    <w:rsid w:val="001A3D58"/>
    <w:rsid w:val="001C59D0"/>
    <w:rsid w:val="001C7473"/>
    <w:rsid w:val="001D22F7"/>
    <w:rsid w:val="002005C5"/>
    <w:rsid w:val="002102BB"/>
    <w:rsid w:val="00215527"/>
    <w:rsid w:val="0023089E"/>
    <w:rsid w:val="002317A0"/>
    <w:rsid w:val="002425D1"/>
    <w:rsid w:val="0025230B"/>
    <w:rsid w:val="002630BC"/>
    <w:rsid w:val="00265A9D"/>
    <w:rsid w:val="00274895"/>
    <w:rsid w:val="002C0981"/>
    <w:rsid w:val="002C7117"/>
    <w:rsid w:val="002D705B"/>
    <w:rsid w:val="002E0847"/>
    <w:rsid w:val="002E6D07"/>
    <w:rsid w:val="002F79C2"/>
    <w:rsid w:val="003004FE"/>
    <w:rsid w:val="00315D81"/>
    <w:rsid w:val="00333F80"/>
    <w:rsid w:val="00351306"/>
    <w:rsid w:val="003674AA"/>
    <w:rsid w:val="003867BB"/>
    <w:rsid w:val="003A631B"/>
    <w:rsid w:val="003B0D7D"/>
    <w:rsid w:val="003C246E"/>
    <w:rsid w:val="003E4DAE"/>
    <w:rsid w:val="003F133C"/>
    <w:rsid w:val="003F347A"/>
    <w:rsid w:val="00444CF5"/>
    <w:rsid w:val="00456B66"/>
    <w:rsid w:val="00495207"/>
    <w:rsid w:val="004B1C55"/>
    <w:rsid w:val="00517049"/>
    <w:rsid w:val="00525D8F"/>
    <w:rsid w:val="005657B6"/>
    <w:rsid w:val="005663F6"/>
    <w:rsid w:val="00571AB7"/>
    <w:rsid w:val="00573E55"/>
    <w:rsid w:val="00585345"/>
    <w:rsid w:val="00590349"/>
    <w:rsid w:val="005E6C94"/>
    <w:rsid w:val="0060491B"/>
    <w:rsid w:val="006056ED"/>
    <w:rsid w:val="00641B5F"/>
    <w:rsid w:val="0065424A"/>
    <w:rsid w:val="006821CF"/>
    <w:rsid w:val="006834FA"/>
    <w:rsid w:val="00691D2D"/>
    <w:rsid w:val="00696E56"/>
    <w:rsid w:val="006A5611"/>
    <w:rsid w:val="006B7201"/>
    <w:rsid w:val="006D39A4"/>
    <w:rsid w:val="00706D53"/>
    <w:rsid w:val="00712DA7"/>
    <w:rsid w:val="00755B51"/>
    <w:rsid w:val="00765E53"/>
    <w:rsid w:val="00776FCA"/>
    <w:rsid w:val="00784070"/>
    <w:rsid w:val="0078613A"/>
    <w:rsid w:val="00795C9F"/>
    <w:rsid w:val="007A1527"/>
    <w:rsid w:val="007B6913"/>
    <w:rsid w:val="007C794E"/>
    <w:rsid w:val="007D1790"/>
    <w:rsid w:val="007D4028"/>
    <w:rsid w:val="00803945"/>
    <w:rsid w:val="00804BFE"/>
    <w:rsid w:val="00804F88"/>
    <w:rsid w:val="00826135"/>
    <w:rsid w:val="00843926"/>
    <w:rsid w:val="008476A0"/>
    <w:rsid w:val="00851924"/>
    <w:rsid w:val="00886833"/>
    <w:rsid w:val="008A4CB5"/>
    <w:rsid w:val="008A7E93"/>
    <w:rsid w:val="008B3545"/>
    <w:rsid w:val="008E76A3"/>
    <w:rsid w:val="008F0C72"/>
    <w:rsid w:val="009156CC"/>
    <w:rsid w:val="00950C08"/>
    <w:rsid w:val="0095428E"/>
    <w:rsid w:val="00966291"/>
    <w:rsid w:val="00981A3B"/>
    <w:rsid w:val="00993A15"/>
    <w:rsid w:val="009A7C2F"/>
    <w:rsid w:val="009C54F2"/>
    <w:rsid w:val="009E001F"/>
    <w:rsid w:val="009E600C"/>
    <w:rsid w:val="00A33E11"/>
    <w:rsid w:val="00A87CD7"/>
    <w:rsid w:val="00A950A9"/>
    <w:rsid w:val="00AB65E3"/>
    <w:rsid w:val="00AC1870"/>
    <w:rsid w:val="00AD1057"/>
    <w:rsid w:val="00AD2700"/>
    <w:rsid w:val="00AE5BA7"/>
    <w:rsid w:val="00AF4C83"/>
    <w:rsid w:val="00B07D52"/>
    <w:rsid w:val="00B35378"/>
    <w:rsid w:val="00B364F2"/>
    <w:rsid w:val="00B477B0"/>
    <w:rsid w:val="00B901E8"/>
    <w:rsid w:val="00BA4700"/>
    <w:rsid w:val="00BA559A"/>
    <w:rsid w:val="00BC2E73"/>
    <w:rsid w:val="00BF2225"/>
    <w:rsid w:val="00C16181"/>
    <w:rsid w:val="00C16210"/>
    <w:rsid w:val="00C16AE9"/>
    <w:rsid w:val="00C66A26"/>
    <w:rsid w:val="00C7352A"/>
    <w:rsid w:val="00C74E58"/>
    <w:rsid w:val="00CC1383"/>
    <w:rsid w:val="00CD2E66"/>
    <w:rsid w:val="00CE2CFB"/>
    <w:rsid w:val="00D17540"/>
    <w:rsid w:val="00D24E6F"/>
    <w:rsid w:val="00D278B0"/>
    <w:rsid w:val="00D3606B"/>
    <w:rsid w:val="00D61565"/>
    <w:rsid w:val="00D67833"/>
    <w:rsid w:val="00D8171E"/>
    <w:rsid w:val="00D83BFE"/>
    <w:rsid w:val="00D924D2"/>
    <w:rsid w:val="00DA3C29"/>
    <w:rsid w:val="00DE5326"/>
    <w:rsid w:val="00E02AC7"/>
    <w:rsid w:val="00E239B3"/>
    <w:rsid w:val="00E57FEB"/>
    <w:rsid w:val="00E71CED"/>
    <w:rsid w:val="00E71DF7"/>
    <w:rsid w:val="00E840E6"/>
    <w:rsid w:val="00EA136A"/>
    <w:rsid w:val="00EE0AE9"/>
    <w:rsid w:val="00EF35EA"/>
    <w:rsid w:val="00EF5280"/>
    <w:rsid w:val="00F04006"/>
    <w:rsid w:val="00F314D4"/>
    <w:rsid w:val="00F67C34"/>
    <w:rsid w:val="00F74D0C"/>
    <w:rsid w:val="00F76770"/>
    <w:rsid w:val="00FB7125"/>
    <w:rsid w:val="00FC3F7C"/>
    <w:rsid w:val="00FD166F"/>
    <w:rsid w:val="00FE4C91"/>
    <w:rsid w:val="00FF6B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Street"/>
  <w:smartTagType w:namespaceuri="urn:schemas-microsoft-com:office:smarttags" w:name="City"/>
  <w:smartTagType w:namespaceuri="urn:schemas-microsoft-com:office:smarttags" w:name="place"/>
  <w:shapeDefaults>
    <o:shapedefaults v:ext="edit" spidmax="2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DB4"/>
    <w:rPr>
      <w:sz w:val="24"/>
      <w:szCs w:val="24"/>
      <w:lang w:val="en-US" w:eastAsia="en-US"/>
    </w:rPr>
  </w:style>
  <w:style w:type="paragraph" w:styleId="Heading1">
    <w:name w:val="heading 1"/>
    <w:basedOn w:val="Normal"/>
    <w:next w:val="Normal"/>
    <w:link w:val="Heading1Char"/>
    <w:autoRedefine/>
    <w:qFormat/>
    <w:rsid w:val="00CC1383"/>
    <w:pPr>
      <w:keepNext/>
      <w:numPr>
        <w:numId w:val="19"/>
      </w:numPr>
      <w:tabs>
        <w:tab w:val="clear" w:pos="613"/>
        <w:tab w:val="num" w:pos="567"/>
      </w:tabs>
      <w:spacing w:before="240" w:after="60"/>
      <w:ind w:hanging="613"/>
      <w:jc w:val="both"/>
      <w:outlineLvl w:val="0"/>
    </w:pPr>
    <w:rPr>
      <w:rFonts w:ascii="Calibri" w:hAnsi="Calibri" w:cs="Arial"/>
      <w:b/>
      <w:bCs/>
      <w:caps/>
      <w:color w:val="548DD4"/>
      <w:kern w:val="32"/>
      <w:sz w:val="28"/>
      <w:szCs w:val="28"/>
      <w:lang w:val="en-GB"/>
    </w:rPr>
  </w:style>
  <w:style w:type="paragraph" w:styleId="Heading2">
    <w:name w:val="heading 2"/>
    <w:aliases w:val="IS Heading 2"/>
    <w:basedOn w:val="Normal"/>
    <w:next w:val="Normal"/>
    <w:link w:val="Heading2Char"/>
    <w:autoRedefine/>
    <w:qFormat/>
    <w:rsid w:val="00CC1383"/>
    <w:pPr>
      <w:numPr>
        <w:ilvl w:val="1"/>
        <w:numId w:val="19"/>
      </w:numPr>
      <w:tabs>
        <w:tab w:val="clear" w:pos="1300"/>
        <w:tab w:val="num" w:pos="709"/>
      </w:tabs>
      <w:spacing w:before="240" w:after="60"/>
      <w:ind w:hanging="1300"/>
      <w:jc w:val="both"/>
      <w:outlineLvl w:val="1"/>
    </w:pPr>
    <w:rPr>
      <w:rFonts w:ascii="Calibri" w:hAnsi="Calibri" w:cs="Arial"/>
      <w:b/>
      <w:bCs/>
      <w:iCs/>
      <w:caps/>
      <w:color w:val="548DD4"/>
      <w:lang w:val="en-GB"/>
    </w:rPr>
  </w:style>
  <w:style w:type="paragraph" w:styleId="Heading3">
    <w:name w:val="heading 3"/>
    <w:basedOn w:val="Normal"/>
    <w:next w:val="Normal"/>
    <w:link w:val="Heading3Char"/>
    <w:autoRedefine/>
    <w:qFormat/>
    <w:rsid w:val="00CC1383"/>
    <w:pPr>
      <w:keepNext/>
      <w:numPr>
        <w:ilvl w:val="2"/>
        <w:numId w:val="19"/>
      </w:numPr>
      <w:spacing w:before="240" w:after="60"/>
      <w:outlineLvl w:val="2"/>
    </w:pPr>
    <w:rPr>
      <w:rFonts w:ascii="Calibri" w:hAnsi="Calibri" w:cs="Arial"/>
      <w:b/>
      <w:bCs/>
      <w:color w:val="548DD4"/>
      <w:sz w:val="22"/>
      <w:szCs w:val="20"/>
      <w:lang w:val="en-GB"/>
    </w:rPr>
  </w:style>
  <w:style w:type="paragraph" w:styleId="Heading4">
    <w:name w:val="heading 4"/>
    <w:basedOn w:val="Normal"/>
    <w:next w:val="Normal"/>
    <w:link w:val="Heading4Char"/>
    <w:qFormat/>
    <w:rsid w:val="00CC1383"/>
    <w:pPr>
      <w:keepNext/>
      <w:numPr>
        <w:ilvl w:val="3"/>
        <w:numId w:val="19"/>
      </w:numPr>
      <w:spacing w:before="240" w:after="60"/>
      <w:outlineLvl w:val="3"/>
    </w:pPr>
    <w:rPr>
      <w:rFonts w:ascii="Calibri" w:hAnsi="Calibri"/>
      <w:b/>
      <w:bCs/>
      <w:sz w:val="28"/>
      <w:szCs w:val="28"/>
      <w:lang w:val="en-GB"/>
    </w:rPr>
  </w:style>
  <w:style w:type="paragraph" w:styleId="Heading5">
    <w:name w:val="heading 5"/>
    <w:basedOn w:val="Normal"/>
    <w:next w:val="Normal"/>
    <w:link w:val="Heading5Char"/>
    <w:qFormat/>
    <w:rsid w:val="00CC1383"/>
    <w:pPr>
      <w:numPr>
        <w:ilvl w:val="4"/>
        <w:numId w:val="19"/>
      </w:numPr>
      <w:spacing w:before="240" w:after="60"/>
      <w:outlineLvl w:val="4"/>
    </w:pPr>
    <w:rPr>
      <w:rFonts w:ascii="Calibri" w:hAnsi="Calibri"/>
      <w:b/>
      <w:bCs/>
      <w:i/>
      <w:iCs/>
      <w:sz w:val="26"/>
      <w:szCs w:val="26"/>
      <w:lang w:val="en-GB"/>
    </w:rPr>
  </w:style>
  <w:style w:type="paragraph" w:styleId="Heading6">
    <w:name w:val="heading 6"/>
    <w:basedOn w:val="Normal"/>
    <w:next w:val="Normal"/>
    <w:link w:val="Heading6Char"/>
    <w:qFormat/>
    <w:rsid w:val="00CC1383"/>
    <w:pPr>
      <w:numPr>
        <w:ilvl w:val="5"/>
        <w:numId w:val="19"/>
      </w:numPr>
      <w:spacing w:before="240" w:after="60"/>
      <w:outlineLvl w:val="5"/>
    </w:pPr>
    <w:rPr>
      <w:b/>
      <w:bCs/>
      <w:sz w:val="22"/>
      <w:szCs w:val="22"/>
      <w:lang w:val="en-GB"/>
    </w:rPr>
  </w:style>
  <w:style w:type="paragraph" w:styleId="Heading7">
    <w:name w:val="heading 7"/>
    <w:basedOn w:val="Normal"/>
    <w:next w:val="Normal"/>
    <w:link w:val="Heading7Char"/>
    <w:qFormat/>
    <w:rsid w:val="00CC1383"/>
    <w:pPr>
      <w:numPr>
        <w:ilvl w:val="6"/>
        <w:numId w:val="19"/>
      </w:numPr>
      <w:spacing w:before="240" w:after="60"/>
      <w:outlineLvl w:val="6"/>
    </w:pPr>
    <w:rPr>
      <w:sz w:val="22"/>
      <w:szCs w:val="20"/>
      <w:lang w:val="en-GB"/>
    </w:rPr>
  </w:style>
  <w:style w:type="paragraph" w:styleId="Heading8">
    <w:name w:val="heading 8"/>
    <w:basedOn w:val="Normal"/>
    <w:next w:val="Normal"/>
    <w:link w:val="Heading8Char"/>
    <w:qFormat/>
    <w:rsid w:val="00CC1383"/>
    <w:pPr>
      <w:numPr>
        <w:ilvl w:val="7"/>
        <w:numId w:val="19"/>
      </w:numPr>
      <w:spacing w:before="240" w:after="60"/>
      <w:outlineLvl w:val="7"/>
    </w:pPr>
    <w:rPr>
      <w:i/>
      <w:iCs/>
      <w:sz w:val="22"/>
      <w:szCs w:val="20"/>
      <w:lang w:val="en-GB"/>
    </w:rPr>
  </w:style>
  <w:style w:type="paragraph" w:styleId="Heading9">
    <w:name w:val="heading 9"/>
    <w:basedOn w:val="Normal"/>
    <w:next w:val="Normal"/>
    <w:link w:val="Heading9Char"/>
    <w:qFormat/>
    <w:rsid w:val="00CC1383"/>
    <w:pPr>
      <w:numPr>
        <w:ilvl w:val="8"/>
        <w:numId w:val="19"/>
      </w:num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2088"/>
    <w:pPr>
      <w:tabs>
        <w:tab w:val="center" w:pos="4320"/>
        <w:tab w:val="right" w:pos="8640"/>
      </w:tabs>
    </w:pPr>
  </w:style>
  <w:style w:type="paragraph" w:styleId="Footer">
    <w:name w:val="footer"/>
    <w:basedOn w:val="Normal"/>
    <w:semiHidden/>
    <w:rsid w:val="00B52088"/>
    <w:pPr>
      <w:tabs>
        <w:tab w:val="center" w:pos="4320"/>
        <w:tab w:val="right" w:pos="8640"/>
      </w:tabs>
    </w:pPr>
  </w:style>
  <w:style w:type="paragraph" w:customStyle="1" w:styleId="01Coordonees">
    <w:name w:val="01_Coordonees"/>
    <w:basedOn w:val="Normal"/>
    <w:rsid w:val="00B52088"/>
    <w:pPr>
      <w:spacing w:line="264" w:lineRule="auto"/>
    </w:pPr>
    <w:rPr>
      <w:rFonts w:ascii="Arial" w:hAnsi="Arial"/>
      <w:sz w:val="16"/>
    </w:rPr>
  </w:style>
  <w:style w:type="paragraph" w:customStyle="1" w:styleId="05Textecourant">
    <w:name w:val="05_Texte courant"/>
    <w:basedOn w:val="Normal"/>
    <w:rsid w:val="00B52088"/>
    <w:pPr>
      <w:spacing w:line="264" w:lineRule="auto"/>
    </w:pPr>
    <w:rPr>
      <w:rFonts w:ascii="Arial" w:hAnsi="Arial"/>
      <w:sz w:val="18"/>
    </w:rPr>
  </w:style>
  <w:style w:type="paragraph" w:customStyle="1" w:styleId="06SignatureNom">
    <w:name w:val="06_Signature Nom"/>
    <w:basedOn w:val="05Textecourant"/>
    <w:rsid w:val="00B52088"/>
    <w:pPr>
      <w:tabs>
        <w:tab w:val="left" w:pos="3408"/>
      </w:tabs>
    </w:pPr>
    <w:rPr>
      <w:lang w:val="fr-FR"/>
    </w:rPr>
  </w:style>
  <w:style w:type="paragraph" w:customStyle="1" w:styleId="07SignatureFonction">
    <w:name w:val="07_Signature Fonction"/>
    <w:basedOn w:val="05Textecourant"/>
    <w:rsid w:val="00B52088"/>
    <w:pPr>
      <w:tabs>
        <w:tab w:val="left" w:pos="3408"/>
      </w:tabs>
    </w:pPr>
    <w:rPr>
      <w:sz w:val="12"/>
      <w:lang w:val="fr-FR"/>
    </w:rPr>
  </w:style>
  <w:style w:type="character" w:styleId="PageNumber">
    <w:name w:val="page number"/>
    <w:basedOn w:val="DefaultParagraphFont"/>
    <w:rsid w:val="00B52088"/>
    <w:rPr>
      <w:rFonts w:ascii="Arial" w:hAnsi="Arial"/>
      <w:sz w:val="16"/>
    </w:rPr>
  </w:style>
  <w:style w:type="paragraph" w:styleId="BodyText">
    <w:name w:val="Body Text"/>
    <w:basedOn w:val="Normal"/>
    <w:rsid w:val="00BC2E73"/>
    <w:pPr>
      <w:spacing w:line="270" w:lineRule="exact"/>
    </w:pPr>
    <w:rPr>
      <w:rFonts w:ascii="Arial" w:hAnsi="Arial"/>
      <w:sz w:val="20"/>
      <w:szCs w:val="20"/>
      <w:lang w:val="en-GB"/>
    </w:rPr>
  </w:style>
  <w:style w:type="paragraph" w:customStyle="1" w:styleId="Addressee">
    <w:name w:val="Addressee"/>
    <w:basedOn w:val="BodyText"/>
    <w:link w:val="AddresseeChar"/>
    <w:rsid w:val="00BC2E73"/>
    <w:pPr>
      <w:tabs>
        <w:tab w:val="right" w:pos="9356"/>
      </w:tabs>
      <w:spacing w:line="270" w:lineRule="atLeast"/>
      <w:ind w:right="-1"/>
      <w:jc w:val="both"/>
    </w:pPr>
  </w:style>
  <w:style w:type="character" w:customStyle="1" w:styleId="AddresseeChar">
    <w:name w:val="Addressee Char"/>
    <w:basedOn w:val="DefaultParagraphFont"/>
    <w:link w:val="Addressee"/>
    <w:rsid w:val="00BC2E73"/>
    <w:rPr>
      <w:rFonts w:ascii="Arial" w:hAnsi="Arial"/>
      <w:lang w:val="en-GB" w:eastAsia="en-US" w:bidi="ar-SA"/>
    </w:rPr>
  </w:style>
  <w:style w:type="paragraph" w:styleId="ListParagraph">
    <w:name w:val="List Paragraph"/>
    <w:basedOn w:val="Normal"/>
    <w:uiPriority w:val="99"/>
    <w:qFormat/>
    <w:rsid w:val="00E840E6"/>
    <w:pPr>
      <w:ind w:left="720"/>
      <w:contextualSpacing/>
    </w:pPr>
  </w:style>
  <w:style w:type="character" w:styleId="CommentReference">
    <w:name w:val="annotation reference"/>
    <w:basedOn w:val="DefaultParagraphFont"/>
    <w:uiPriority w:val="99"/>
    <w:rsid w:val="001C7473"/>
    <w:rPr>
      <w:sz w:val="16"/>
      <w:szCs w:val="16"/>
    </w:rPr>
  </w:style>
  <w:style w:type="paragraph" w:styleId="CommentText">
    <w:name w:val="annotation text"/>
    <w:basedOn w:val="Normal"/>
    <w:link w:val="CommentTextChar"/>
    <w:uiPriority w:val="99"/>
    <w:rsid w:val="001C7473"/>
    <w:rPr>
      <w:sz w:val="20"/>
      <w:szCs w:val="20"/>
    </w:rPr>
  </w:style>
  <w:style w:type="character" w:customStyle="1" w:styleId="CommentTextChar">
    <w:name w:val="Comment Text Char"/>
    <w:basedOn w:val="DefaultParagraphFont"/>
    <w:link w:val="CommentText"/>
    <w:uiPriority w:val="99"/>
    <w:rsid w:val="001C7473"/>
    <w:rPr>
      <w:lang w:val="en-US" w:eastAsia="en-US"/>
    </w:rPr>
  </w:style>
  <w:style w:type="paragraph" w:styleId="CommentSubject">
    <w:name w:val="annotation subject"/>
    <w:basedOn w:val="CommentText"/>
    <w:next w:val="CommentText"/>
    <w:link w:val="CommentSubjectChar"/>
    <w:rsid w:val="001C7473"/>
    <w:rPr>
      <w:b/>
      <w:bCs/>
    </w:rPr>
  </w:style>
  <w:style w:type="character" w:customStyle="1" w:styleId="CommentSubjectChar">
    <w:name w:val="Comment Subject Char"/>
    <w:basedOn w:val="CommentTextChar"/>
    <w:link w:val="CommentSubject"/>
    <w:rsid w:val="001C7473"/>
    <w:rPr>
      <w:b/>
      <w:bCs/>
    </w:rPr>
  </w:style>
  <w:style w:type="paragraph" w:styleId="BalloonText">
    <w:name w:val="Balloon Text"/>
    <w:basedOn w:val="Normal"/>
    <w:link w:val="BalloonTextChar"/>
    <w:rsid w:val="001C7473"/>
    <w:rPr>
      <w:rFonts w:ascii="Tahoma" w:hAnsi="Tahoma" w:cs="Tahoma"/>
      <w:sz w:val="16"/>
      <w:szCs w:val="16"/>
    </w:rPr>
  </w:style>
  <w:style w:type="character" w:customStyle="1" w:styleId="BalloonTextChar">
    <w:name w:val="Balloon Text Char"/>
    <w:basedOn w:val="DefaultParagraphFont"/>
    <w:link w:val="BalloonText"/>
    <w:rsid w:val="001C7473"/>
    <w:rPr>
      <w:rFonts w:ascii="Tahoma" w:hAnsi="Tahoma" w:cs="Tahoma"/>
      <w:sz w:val="16"/>
      <w:szCs w:val="16"/>
      <w:lang w:val="en-US" w:eastAsia="en-US"/>
    </w:rPr>
  </w:style>
  <w:style w:type="paragraph" w:customStyle="1" w:styleId="Default">
    <w:name w:val="Default"/>
    <w:rsid w:val="00696E56"/>
    <w:pPr>
      <w:autoSpaceDE w:val="0"/>
      <w:autoSpaceDN w:val="0"/>
      <w:adjustRightInd w:val="0"/>
    </w:pPr>
    <w:rPr>
      <w:rFonts w:ascii="Georgia" w:hAnsi="Georgia" w:cs="Georgia"/>
      <w:color w:val="000000"/>
      <w:sz w:val="24"/>
      <w:szCs w:val="24"/>
    </w:rPr>
  </w:style>
  <w:style w:type="character" w:customStyle="1" w:styleId="Heading1Char">
    <w:name w:val="Heading 1 Char"/>
    <w:basedOn w:val="DefaultParagraphFont"/>
    <w:link w:val="Heading1"/>
    <w:rsid w:val="00CC1383"/>
    <w:rPr>
      <w:rFonts w:ascii="Calibri" w:hAnsi="Calibri" w:cs="Arial"/>
      <w:b/>
      <w:bCs/>
      <w:caps/>
      <w:color w:val="548DD4"/>
      <w:kern w:val="32"/>
      <w:sz w:val="28"/>
      <w:szCs w:val="28"/>
      <w:lang w:eastAsia="en-US"/>
    </w:rPr>
  </w:style>
  <w:style w:type="character" w:customStyle="1" w:styleId="Heading2Char">
    <w:name w:val="Heading 2 Char"/>
    <w:aliases w:val="IS Heading 2 Char"/>
    <w:basedOn w:val="DefaultParagraphFont"/>
    <w:link w:val="Heading2"/>
    <w:rsid w:val="00CC1383"/>
    <w:rPr>
      <w:rFonts w:ascii="Calibri" w:hAnsi="Calibri" w:cs="Arial"/>
      <w:b/>
      <w:bCs/>
      <w:iCs/>
      <w:caps/>
      <w:color w:val="548DD4"/>
      <w:sz w:val="24"/>
      <w:szCs w:val="24"/>
      <w:lang w:eastAsia="en-US"/>
    </w:rPr>
  </w:style>
  <w:style w:type="character" w:customStyle="1" w:styleId="Heading3Char">
    <w:name w:val="Heading 3 Char"/>
    <w:basedOn w:val="DefaultParagraphFont"/>
    <w:link w:val="Heading3"/>
    <w:rsid w:val="00CC1383"/>
    <w:rPr>
      <w:rFonts w:ascii="Calibri" w:hAnsi="Calibri" w:cs="Arial"/>
      <w:b/>
      <w:bCs/>
      <w:color w:val="548DD4"/>
      <w:sz w:val="22"/>
      <w:lang w:eastAsia="en-US"/>
    </w:rPr>
  </w:style>
  <w:style w:type="character" w:customStyle="1" w:styleId="Heading4Char">
    <w:name w:val="Heading 4 Char"/>
    <w:basedOn w:val="DefaultParagraphFont"/>
    <w:link w:val="Heading4"/>
    <w:rsid w:val="00CC1383"/>
    <w:rPr>
      <w:rFonts w:ascii="Calibri" w:hAnsi="Calibri"/>
      <w:b/>
      <w:bCs/>
      <w:sz w:val="28"/>
      <w:szCs w:val="28"/>
      <w:lang w:eastAsia="en-US"/>
    </w:rPr>
  </w:style>
  <w:style w:type="character" w:customStyle="1" w:styleId="Heading5Char">
    <w:name w:val="Heading 5 Char"/>
    <w:basedOn w:val="DefaultParagraphFont"/>
    <w:link w:val="Heading5"/>
    <w:rsid w:val="00CC1383"/>
    <w:rPr>
      <w:rFonts w:ascii="Calibri" w:hAnsi="Calibri"/>
      <w:b/>
      <w:bCs/>
      <w:i/>
      <w:iCs/>
      <w:sz w:val="26"/>
      <w:szCs w:val="26"/>
      <w:lang w:eastAsia="en-US"/>
    </w:rPr>
  </w:style>
  <w:style w:type="character" w:customStyle="1" w:styleId="Heading6Char">
    <w:name w:val="Heading 6 Char"/>
    <w:basedOn w:val="DefaultParagraphFont"/>
    <w:link w:val="Heading6"/>
    <w:rsid w:val="00CC1383"/>
    <w:rPr>
      <w:b/>
      <w:bCs/>
      <w:sz w:val="22"/>
      <w:szCs w:val="22"/>
      <w:lang w:eastAsia="en-US"/>
    </w:rPr>
  </w:style>
  <w:style w:type="character" w:customStyle="1" w:styleId="Heading7Char">
    <w:name w:val="Heading 7 Char"/>
    <w:basedOn w:val="DefaultParagraphFont"/>
    <w:link w:val="Heading7"/>
    <w:rsid w:val="00CC1383"/>
    <w:rPr>
      <w:sz w:val="22"/>
      <w:lang w:eastAsia="en-US"/>
    </w:rPr>
  </w:style>
  <w:style w:type="character" w:customStyle="1" w:styleId="Heading8Char">
    <w:name w:val="Heading 8 Char"/>
    <w:basedOn w:val="DefaultParagraphFont"/>
    <w:link w:val="Heading8"/>
    <w:rsid w:val="00CC1383"/>
    <w:rPr>
      <w:i/>
      <w:iCs/>
      <w:sz w:val="22"/>
      <w:lang w:eastAsia="en-US"/>
    </w:rPr>
  </w:style>
  <w:style w:type="character" w:customStyle="1" w:styleId="Heading9Char">
    <w:name w:val="Heading 9 Char"/>
    <w:basedOn w:val="DefaultParagraphFont"/>
    <w:link w:val="Heading9"/>
    <w:rsid w:val="00CC1383"/>
    <w:rPr>
      <w:rFonts w:ascii="Arial" w:hAnsi="Arial" w:cs="Arial"/>
      <w:sz w:val="22"/>
      <w:szCs w:val="22"/>
      <w:lang w:eastAsia="en-US"/>
    </w:rPr>
  </w:style>
  <w:style w:type="table" w:styleId="TableGrid">
    <w:name w:val="Table Grid"/>
    <w:basedOn w:val="TableNormal"/>
    <w:rsid w:val="00CC1383"/>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733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sdeploy\apps\EDFT%20Templates\London%20LH%20word%20ver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AA986-06D6-482A-963F-891185189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London LH word version</Template>
  <TotalTime>8</TotalTime>
  <Pages>23</Pages>
  <Words>9048</Words>
  <Characters>48463</Characters>
  <Application>Microsoft Office Word</Application>
  <DocSecurity>0</DocSecurity>
  <Lines>403</Lines>
  <Paragraphs>114</Paragraphs>
  <ScaleCrop>false</ScaleCrop>
  <HeadingPairs>
    <vt:vector size="2" baseType="variant">
      <vt:variant>
        <vt:lpstr>Title</vt:lpstr>
      </vt:variant>
      <vt:variant>
        <vt:i4>1</vt:i4>
      </vt:variant>
    </vt:vector>
  </HeadingPairs>
  <TitlesOfParts>
    <vt:vector size="1" baseType="lpstr">
      <vt:lpstr>Le tramway jaune avance lentement dans le brouillard laiteux et surchauffé </vt:lpstr>
    </vt:vector>
  </TitlesOfParts>
  <Company>Planet7</Company>
  <LinksUpToDate>false</LinksUpToDate>
  <CharactersWithSpaces>57397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tramway jaune avance lentement dans le brouillard laiteux et surchauffé </dc:title>
  <dc:subject/>
  <dc:creator>altinc</dc:creator>
  <cp:keywords/>
  <dc:description/>
  <cp:lastModifiedBy>_</cp:lastModifiedBy>
  <cp:revision>2</cp:revision>
  <cp:lastPrinted>2012-03-16T10:43:00Z</cp:lastPrinted>
  <dcterms:created xsi:type="dcterms:W3CDTF">2012-03-18T17:51:00Z</dcterms:created>
  <dcterms:modified xsi:type="dcterms:W3CDTF">2012-03-18T17:51:00Z</dcterms:modified>
</cp:coreProperties>
</file>