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C849" w14:textId="77777777" w:rsidR="00CF35E4" w:rsidRPr="000C2706" w:rsidRDefault="00CF35E4" w:rsidP="00CF35E4">
      <w:pPr>
        <w:rPr>
          <w:rFonts w:ascii="Times New Roman" w:hAnsi="Times New Roman"/>
        </w:rPr>
      </w:pPr>
    </w:p>
    <w:p w14:paraId="46B67475" w14:textId="77777777" w:rsidR="00CF35E4" w:rsidRPr="000C2706" w:rsidRDefault="00CF35E4" w:rsidP="00CF35E4">
      <w:pPr>
        <w:pStyle w:val="Header"/>
        <w:spacing w:line="276" w:lineRule="auto"/>
        <w:jc w:val="right"/>
        <w:rPr>
          <w:rFonts w:ascii="Times New Roman" w:hAnsi="Times New Roman"/>
          <w:color w:val="000000"/>
          <w:szCs w:val="24"/>
        </w:rPr>
      </w:pPr>
      <w:r w:rsidRPr="000C2706">
        <w:rPr>
          <w:rFonts w:ascii="Times New Roman" w:hAnsi="Times New Roman"/>
          <w:color w:val="000000"/>
          <w:szCs w:val="24"/>
        </w:rPr>
        <w:t>KK/RB</w:t>
      </w:r>
    </w:p>
    <w:p w14:paraId="609E8179" w14:textId="77777777" w:rsidR="00CF35E4" w:rsidRPr="000C2706" w:rsidRDefault="00CF35E4" w:rsidP="00CF35E4">
      <w:pPr>
        <w:pStyle w:val="Header"/>
        <w:spacing w:line="276" w:lineRule="auto"/>
        <w:jc w:val="right"/>
        <w:rPr>
          <w:rFonts w:ascii="Times New Roman" w:hAnsi="Times New Roman"/>
          <w:color w:val="000000"/>
          <w:szCs w:val="24"/>
        </w:rPr>
      </w:pPr>
      <w:r w:rsidRPr="000C2706">
        <w:rPr>
          <w:rFonts w:ascii="Times New Roman" w:hAnsi="Times New Roman"/>
          <w:color w:val="000000"/>
          <w:szCs w:val="24"/>
        </w:rPr>
        <w:t>Ref.:</w:t>
      </w:r>
      <w:r w:rsidRPr="000C2706">
        <w:rPr>
          <w:rFonts w:ascii="Times New Roman" w:hAnsi="Times New Roman"/>
          <w:i/>
          <w:color w:val="000000" w:themeColor="text1"/>
          <w:szCs w:val="24"/>
        </w:rPr>
        <w:t xml:space="preserve"> </w:t>
      </w:r>
      <w:r w:rsidRPr="000C2706">
        <w:rPr>
          <w:rStyle w:val="SubtitleChar"/>
          <w:rFonts w:ascii="Times New Roman" w:eastAsia="Calibri" w:hAnsi="Times New Roman"/>
          <w:i/>
          <w:color w:val="000000" w:themeColor="text1"/>
          <w:sz w:val="24"/>
        </w:rPr>
        <w:t>JC-CP-2013-03 / EBF_006249</w:t>
      </w:r>
    </w:p>
    <w:p w14:paraId="3BD9D80C" w14:textId="77777777" w:rsidR="00CF35E4" w:rsidRPr="000C2706" w:rsidRDefault="00CF35E4" w:rsidP="00CF35E4">
      <w:pPr>
        <w:pStyle w:val="Header"/>
        <w:spacing w:line="276" w:lineRule="auto"/>
        <w:jc w:val="right"/>
        <w:rPr>
          <w:rFonts w:ascii="Times New Roman" w:hAnsi="Times New Roman"/>
          <w:color w:val="C2CF00"/>
          <w:szCs w:val="24"/>
        </w:rPr>
      </w:pPr>
    </w:p>
    <w:p w14:paraId="2F421D13" w14:textId="31F474F2" w:rsidR="00CF35E4" w:rsidRPr="000C2706" w:rsidRDefault="00A05409" w:rsidP="00CF35E4">
      <w:pPr>
        <w:pStyle w:val="Header"/>
        <w:spacing w:line="276" w:lineRule="auto"/>
        <w:jc w:val="right"/>
        <w:rPr>
          <w:rFonts w:ascii="Times New Roman" w:hAnsi="Times New Roman"/>
          <w:color w:val="000000"/>
          <w:szCs w:val="24"/>
        </w:rPr>
      </w:pPr>
      <w:r>
        <w:rPr>
          <w:rFonts w:ascii="Times New Roman" w:hAnsi="Times New Roman"/>
          <w:color w:val="000000"/>
          <w:szCs w:val="24"/>
        </w:rPr>
        <w:t>Brussels, 5 Febru</w:t>
      </w:r>
      <w:r w:rsidR="00CF35E4" w:rsidRPr="000C2706">
        <w:rPr>
          <w:rFonts w:ascii="Times New Roman" w:hAnsi="Times New Roman"/>
          <w:color w:val="000000"/>
          <w:szCs w:val="24"/>
        </w:rPr>
        <w:t>ary 2014</w:t>
      </w:r>
    </w:p>
    <w:p w14:paraId="16623E24" w14:textId="77777777" w:rsidR="00CF35E4" w:rsidRPr="000C2706" w:rsidRDefault="00CF35E4" w:rsidP="00CF35E4">
      <w:pPr>
        <w:pStyle w:val="Header"/>
        <w:spacing w:line="276" w:lineRule="auto"/>
        <w:jc w:val="both"/>
        <w:rPr>
          <w:rFonts w:ascii="Times New Roman" w:hAnsi="Times New Roman"/>
          <w:color w:val="F8CE68"/>
          <w:szCs w:val="24"/>
          <w:u w:val="single"/>
        </w:rPr>
      </w:pPr>
    </w:p>
    <w:p w14:paraId="51F6B58E" w14:textId="77777777" w:rsidR="00CF35E4" w:rsidRPr="000C2706" w:rsidRDefault="00CF35E4" w:rsidP="00CF35E4">
      <w:pPr>
        <w:pStyle w:val="Header"/>
        <w:spacing w:line="276" w:lineRule="auto"/>
        <w:jc w:val="both"/>
        <w:rPr>
          <w:rFonts w:ascii="Times New Roman" w:hAnsi="Times New Roman"/>
          <w:b/>
          <w:bCs/>
          <w:i/>
          <w:iCs/>
          <w:szCs w:val="24"/>
        </w:rPr>
      </w:pPr>
      <w:r w:rsidRPr="000C2706">
        <w:rPr>
          <w:rFonts w:ascii="Times New Roman" w:hAnsi="Times New Roman"/>
          <w:b/>
          <w:bCs/>
          <w:i/>
          <w:iCs/>
          <w:szCs w:val="24"/>
        </w:rPr>
        <w:t>Launched in 1960, the European Banking Federation (EBF)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009FF78F" w14:textId="77777777" w:rsidR="00CF35E4" w:rsidRPr="000C2706" w:rsidRDefault="00CF35E4" w:rsidP="00CF35E4">
      <w:pPr>
        <w:pStyle w:val="Header"/>
        <w:spacing w:line="276" w:lineRule="auto"/>
        <w:jc w:val="both"/>
        <w:rPr>
          <w:rFonts w:ascii="Times New Roman" w:hAnsi="Times New Roman"/>
          <w:color w:val="C2CF00"/>
          <w:szCs w:val="24"/>
        </w:rPr>
      </w:pPr>
    </w:p>
    <w:p w14:paraId="13E8DCCD" w14:textId="77777777" w:rsidR="00CF35E4" w:rsidRPr="000C2706" w:rsidRDefault="00CF35E4" w:rsidP="00CF35E4">
      <w:pPr>
        <w:pStyle w:val="Subtitle"/>
        <w:jc w:val="both"/>
        <w:rPr>
          <w:rFonts w:ascii="Times New Roman" w:hAnsi="Times New Roman"/>
        </w:rPr>
      </w:pPr>
      <w:r w:rsidRPr="000C2706">
        <w:rPr>
          <w:rFonts w:ascii="Times New Roman" w:hAnsi="Times New Roman"/>
          <w:b/>
          <w:szCs w:val="28"/>
        </w:rPr>
        <w:t>EBF response to the ESMA-EBA Joint Committee Consultation Paper on Draft Guidelines for complaints-handling for the securities (ESMA) and banking (EBA) sectors</w:t>
      </w:r>
    </w:p>
    <w:p w14:paraId="676B729F" w14:textId="77777777" w:rsidR="00CF35E4" w:rsidRPr="000C2706" w:rsidRDefault="00CF35E4" w:rsidP="00CF35E4">
      <w:pPr>
        <w:pStyle w:val="NoSpacing"/>
        <w:spacing w:line="276" w:lineRule="auto"/>
        <w:jc w:val="both"/>
        <w:rPr>
          <w:rFonts w:ascii="Times New Roman" w:hAnsi="Times New Roman"/>
          <w:lang w:val="en-GB"/>
        </w:rPr>
      </w:pPr>
    </w:p>
    <w:p w14:paraId="2019346A" w14:textId="77777777" w:rsidR="00CF35E4" w:rsidRPr="000C2706" w:rsidRDefault="00CF35E4" w:rsidP="00CF35E4">
      <w:pPr>
        <w:spacing w:after="120"/>
        <w:jc w:val="both"/>
        <w:rPr>
          <w:rFonts w:ascii="Times New Roman" w:eastAsiaTheme="minorHAnsi" w:hAnsi="Times New Roman"/>
          <w:b/>
          <w:sz w:val="28"/>
          <w:szCs w:val="28"/>
          <w:u w:val="single"/>
        </w:rPr>
      </w:pPr>
      <w:r w:rsidRPr="000C2706">
        <w:rPr>
          <w:rFonts w:ascii="Times New Roman" w:eastAsiaTheme="minorHAnsi" w:hAnsi="Times New Roman"/>
          <w:b/>
          <w:sz w:val="28"/>
          <w:szCs w:val="28"/>
          <w:u w:val="single"/>
        </w:rPr>
        <w:t>Main remarks</w:t>
      </w:r>
    </w:p>
    <w:p w14:paraId="01FC7EDC" w14:textId="77777777" w:rsidR="00CF35E4" w:rsidRDefault="00CF35E4" w:rsidP="00CF35E4">
      <w:pPr>
        <w:pStyle w:val="ListParagraph"/>
        <w:numPr>
          <w:ilvl w:val="0"/>
          <w:numId w:val="15"/>
        </w:numPr>
        <w:spacing w:before="240" w:after="120"/>
        <w:ind w:left="426"/>
        <w:jc w:val="both"/>
        <w:rPr>
          <w:rFonts w:ascii="Times New Roman" w:eastAsiaTheme="minorHAnsi" w:hAnsi="Times New Roman"/>
          <w:szCs w:val="24"/>
        </w:rPr>
      </w:pPr>
      <w:r w:rsidRPr="00DF5915">
        <w:rPr>
          <w:rFonts w:ascii="Times New Roman" w:eastAsiaTheme="minorHAnsi" w:hAnsi="Times New Roman"/>
          <w:szCs w:val="24"/>
        </w:rPr>
        <w:t>The EBF welcomes the opportunity to comment on the draft guidelines. Effective complaints-handling policies can improve the relationship between the firms and the clients, as well as convey to the customers that their complaints and concerns are taken into consideration. Hence, EBF supports the proposals, which largely reflect the processes already in place in several Member States.</w:t>
      </w:r>
    </w:p>
    <w:p w14:paraId="4E9B61D0" w14:textId="77777777" w:rsidR="00CF35E4" w:rsidRDefault="00CF35E4" w:rsidP="00CF35E4">
      <w:pPr>
        <w:pStyle w:val="ListParagraph"/>
        <w:spacing w:after="120"/>
        <w:ind w:left="426"/>
        <w:jc w:val="both"/>
        <w:rPr>
          <w:rFonts w:ascii="Times New Roman" w:eastAsiaTheme="minorHAnsi" w:hAnsi="Times New Roman"/>
          <w:szCs w:val="24"/>
        </w:rPr>
      </w:pPr>
    </w:p>
    <w:p w14:paraId="3A0442A1" w14:textId="77777777" w:rsidR="00CF35E4" w:rsidRPr="00DF5915" w:rsidRDefault="00CF35E4" w:rsidP="00CF35E4">
      <w:pPr>
        <w:pStyle w:val="ListParagraph"/>
        <w:numPr>
          <w:ilvl w:val="0"/>
          <w:numId w:val="15"/>
        </w:numPr>
        <w:spacing w:after="120"/>
        <w:ind w:left="426"/>
        <w:jc w:val="both"/>
        <w:rPr>
          <w:rFonts w:ascii="Times New Roman" w:eastAsiaTheme="minorHAnsi" w:hAnsi="Times New Roman"/>
          <w:szCs w:val="24"/>
        </w:rPr>
      </w:pPr>
      <w:r w:rsidRPr="00DF5915">
        <w:rPr>
          <w:rFonts w:ascii="Times New Roman" w:eastAsiaTheme="minorHAnsi" w:hAnsi="Times New Roman"/>
          <w:szCs w:val="24"/>
        </w:rPr>
        <w:t xml:space="preserve">In general, we would advise against overly detailed requirements to harmonise the firms’ arrangements to handle complaints. The way complaints </w:t>
      </w:r>
      <w:r>
        <w:rPr>
          <w:rFonts w:ascii="Times New Roman" w:eastAsiaTheme="minorHAnsi" w:hAnsi="Times New Roman"/>
          <w:szCs w:val="24"/>
        </w:rPr>
        <w:t>are managed in practice may</w:t>
      </w:r>
      <w:r w:rsidRPr="00DF5915">
        <w:rPr>
          <w:rFonts w:ascii="Times New Roman" w:eastAsiaTheme="minorHAnsi" w:hAnsi="Times New Roman"/>
          <w:szCs w:val="24"/>
        </w:rPr>
        <w:t xml:space="preserve"> differ between firms. For some firms it may be more efficient to have a network of complaints handling functions covering branches separately, while for others a single complaints function would be more appropriate.</w:t>
      </w:r>
    </w:p>
    <w:p w14:paraId="507CF1B4" w14:textId="77777777" w:rsidR="00CF35E4" w:rsidRPr="00DF5915" w:rsidRDefault="00CF35E4" w:rsidP="00CF35E4">
      <w:pPr>
        <w:pStyle w:val="ListParagraph"/>
        <w:spacing w:after="120"/>
        <w:ind w:left="426"/>
        <w:jc w:val="both"/>
        <w:rPr>
          <w:rFonts w:ascii="Times New Roman" w:eastAsiaTheme="minorHAnsi" w:hAnsi="Times New Roman"/>
          <w:szCs w:val="24"/>
        </w:rPr>
      </w:pPr>
    </w:p>
    <w:p w14:paraId="645170B6" w14:textId="0A3725A9" w:rsidR="00CF35E4" w:rsidRPr="00DF5915" w:rsidRDefault="00CF35E4" w:rsidP="00CF35E4">
      <w:pPr>
        <w:pStyle w:val="ListParagraph"/>
        <w:numPr>
          <w:ilvl w:val="0"/>
          <w:numId w:val="15"/>
        </w:numPr>
        <w:spacing w:after="120"/>
        <w:ind w:left="426"/>
        <w:jc w:val="both"/>
        <w:rPr>
          <w:rFonts w:ascii="Times New Roman" w:eastAsiaTheme="minorHAnsi" w:hAnsi="Times New Roman"/>
          <w:szCs w:val="24"/>
        </w:rPr>
      </w:pPr>
      <w:r w:rsidRPr="00DF5915">
        <w:rPr>
          <w:rFonts w:ascii="Times New Roman" w:eastAsiaTheme="minorHAnsi" w:hAnsi="Times New Roman"/>
          <w:szCs w:val="24"/>
        </w:rPr>
        <w:t>EBF feels that a distinction between client categories is missing. For instance, for purposes of MiFID, there is a clear distinction between complaints by retail clients and by other clients. As set forth in the consultation paper (paragraph 11a.ii</w:t>
      </w:r>
      <w:r w:rsidR="00A05409">
        <w:rPr>
          <w:rFonts w:ascii="Times New Roman" w:eastAsiaTheme="minorHAnsi" w:hAnsi="Times New Roman"/>
          <w:szCs w:val="24"/>
        </w:rPr>
        <w:t>.</w:t>
      </w:r>
      <w:r w:rsidRPr="00DF5915">
        <w:rPr>
          <w:rFonts w:ascii="Times New Roman" w:eastAsiaTheme="minorHAnsi" w:hAnsi="Times New Roman"/>
          <w:szCs w:val="24"/>
        </w:rPr>
        <w:t>): “</w:t>
      </w:r>
      <w:r w:rsidRPr="00DF5915">
        <w:rPr>
          <w:rFonts w:ascii="Times New Roman" w:eastAsiaTheme="minorHAnsi" w:hAnsi="Times New Roman"/>
          <w:i/>
          <w:szCs w:val="24"/>
        </w:rPr>
        <w:t xml:space="preserve">Article 10 of the MiFID Implementing Directive which sets out the obligations on firms in respect of complaints-handling and states that: “Member States shall require investment firms to establish, implement and maintain effective and transparent procedures for the reasonable and prompt handling of complaints </w:t>
      </w:r>
      <w:r w:rsidRPr="00DF5915">
        <w:rPr>
          <w:rFonts w:ascii="Times New Roman" w:eastAsiaTheme="minorHAnsi" w:hAnsi="Times New Roman"/>
          <w:i/>
          <w:szCs w:val="24"/>
          <w:u w:val="single"/>
        </w:rPr>
        <w:t>received from retail clients or potential retail clients</w:t>
      </w:r>
      <w:r w:rsidRPr="00DF5915">
        <w:rPr>
          <w:rFonts w:ascii="Times New Roman" w:eastAsiaTheme="minorHAnsi" w:hAnsi="Times New Roman"/>
          <w:i/>
          <w:szCs w:val="24"/>
        </w:rPr>
        <w:t>, and to keep a record of each complaint and the measures taken for its resolution</w:t>
      </w:r>
      <w:r w:rsidRPr="00DF5915">
        <w:rPr>
          <w:rFonts w:ascii="Times New Roman" w:eastAsiaTheme="minorHAnsi" w:hAnsi="Times New Roman"/>
          <w:szCs w:val="24"/>
        </w:rPr>
        <w:t xml:space="preserve">”.” Therefore, the draft guidelines should establish a distinction between client categories for each relevant financial </w:t>
      </w:r>
      <w:r w:rsidRPr="00DF5915">
        <w:rPr>
          <w:rFonts w:ascii="Times New Roman" w:eastAsiaTheme="minorHAnsi" w:hAnsi="Times New Roman"/>
          <w:szCs w:val="24"/>
        </w:rPr>
        <w:lastRenderedPageBreak/>
        <w:t>sector firm, otherwise the</w:t>
      </w:r>
      <w:r>
        <w:rPr>
          <w:rFonts w:ascii="Times New Roman" w:eastAsiaTheme="minorHAnsi" w:hAnsi="Times New Roman"/>
          <w:szCs w:val="24"/>
        </w:rPr>
        <w:t>y</w:t>
      </w:r>
      <w:r w:rsidRPr="00DF5915">
        <w:rPr>
          <w:rFonts w:ascii="Times New Roman" w:eastAsiaTheme="minorHAnsi" w:hAnsi="Times New Roman"/>
          <w:szCs w:val="24"/>
        </w:rPr>
        <w:t xml:space="preserve"> would go beyond the relevant Directives and their implementing national legislation.</w:t>
      </w:r>
    </w:p>
    <w:p w14:paraId="235DECA8" w14:textId="77777777" w:rsidR="00CF35E4" w:rsidRPr="00DF5915" w:rsidRDefault="00CF35E4" w:rsidP="00CF35E4">
      <w:pPr>
        <w:pStyle w:val="ListParagraph"/>
        <w:spacing w:after="120"/>
        <w:ind w:left="426"/>
        <w:jc w:val="both"/>
        <w:rPr>
          <w:rFonts w:ascii="Times New Roman" w:eastAsiaTheme="minorHAnsi" w:hAnsi="Times New Roman"/>
          <w:szCs w:val="24"/>
        </w:rPr>
      </w:pPr>
    </w:p>
    <w:p w14:paraId="654CAA24" w14:textId="1DE9D056" w:rsidR="00CF35E4" w:rsidRPr="00DF5915" w:rsidRDefault="00A05409" w:rsidP="00CF35E4">
      <w:pPr>
        <w:pStyle w:val="ListParagraph"/>
        <w:numPr>
          <w:ilvl w:val="0"/>
          <w:numId w:val="15"/>
        </w:numPr>
        <w:spacing w:after="120"/>
        <w:ind w:left="426"/>
        <w:jc w:val="both"/>
        <w:rPr>
          <w:rFonts w:ascii="Times New Roman" w:eastAsiaTheme="minorHAnsi" w:hAnsi="Times New Roman"/>
          <w:szCs w:val="24"/>
        </w:rPr>
      </w:pPr>
      <w:r>
        <w:rPr>
          <w:rFonts w:ascii="Times New Roman" w:eastAsiaTheme="minorHAnsi" w:hAnsi="Times New Roman"/>
          <w:szCs w:val="24"/>
        </w:rPr>
        <w:t>Particular attention should</w:t>
      </w:r>
      <w:r w:rsidR="00CF35E4" w:rsidRPr="00DF5915">
        <w:rPr>
          <w:rFonts w:ascii="Times New Roman" w:eastAsiaTheme="minorHAnsi" w:hAnsi="Times New Roman"/>
          <w:szCs w:val="24"/>
        </w:rPr>
        <w:t xml:space="preserve"> be</w:t>
      </w:r>
      <w:r>
        <w:rPr>
          <w:rFonts w:ascii="Times New Roman" w:eastAsiaTheme="minorHAnsi" w:hAnsi="Times New Roman"/>
          <w:szCs w:val="24"/>
        </w:rPr>
        <w:t xml:space="preserve"> also</w:t>
      </w:r>
      <w:r w:rsidR="00CF35E4" w:rsidRPr="00DF5915">
        <w:rPr>
          <w:rFonts w:ascii="Times New Roman" w:eastAsiaTheme="minorHAnsi" w:hAnsi="Times New Roman"/>
          <w:szCs w:val="24"/>
        </w:rPr>
        <w:t xml:space="preserve"> given to the correlation of the draft guidelines with the current work at the European Parliament and the Council on the data protection legislation. The data protection regulation (once approved) is likely to considerably increase the level of protection of personal data, and set sanctions to all types of violations. Therefore, it is vital for the service providers to have a strong legal basis when collecting and submitting information of their customers. It should be further examined whether the draft guidelines provide the necessary legal basis.</w:t>
      </w:r>
    </w:p>
    <w:p w14:paraId="4928215C" w14:textId="77777777" w:rsidR="00CF35E4" w:rsidRDefault="00CF35E4" w:rsidP="00CF35E4">
      <w:pPr>
        <w:pStyle w:val="ListParagraph"/>
        <w:spacing w:after="120"/>
        <w:ind w:left="426"/>
        <w:jc w:val="both"/>
        <w:rPr>
          <w:rFonts w:ascii="Times New Roman" w:eastAsiaTheme="minorHAnsi" w:hAnsi="Times New Roman"/>
          <w:szCs w:val="24"/>
        </w:rPr>
      </w:pPr>
    </w:p>
    <w:p w14:paraId="2394B10C" w14:textId="0CED1AB9" w:rsidR="00CF35E4" w:rsidRPr="00DF5915" w:rsidRDefault="00CF35E4" w:rsidP="00CF35E4">
      <w:pPr>
        <w:pStyle w:val="ListParagraph"/>
        <w:numPr>
          <w:ilvl w:val="0"/>
          <w:numId w:val="15"/>
        </w:numPr>
        <w:spacing w:after="120"/>
        <w:ind w:left="426"/>
        <w:jc w:val="both"/>
        <w:rPr>
          <w:rFonts w:ascii="Times New Roman" w:eastAsiaTheme="minorHAnsi" w:hAnsi="Times New Roman"/>
          <w:szCs w:val="24"/>
        </w:rPr>
      </w:pPr>
      <w:r w:rsidRPr="00DF5915">
        <w:rPr>
          <w:rFonts w:ascii="Times New Roman" w:eastAsiaTheme="minorHAnsi" w:hAnsi="Times New Roman"/>
          <w:szCs w:val="24"/>
        </w:rPr>
        <w:t>Furthermore, we believe that the concept of a complaint is currently too wide and vague. If any statement of dissatisfaction addressed to the firm is to be regarded as such, lot of unnecessary</w:t>
      </w:r>
      <w:r w:rsidR="00A05409">
        <w:rPr>
          <w:rFonts w:ascii="Times New Roman" w:eastAsiaTheme="minorHAnsi" w:hAnsi="Times New Roman"/>
          <w:szCs w:val="24"/>
        </w:rPr>
        <w:t xml:space="preserve"> information will be included in</w:t>
      </w:r>
      <w:r w:rsidRPr="00DF5915">
        <w:rPr>
          <w:rFonts w:ascii="Times New Roman" w:eastAsiaTheme="minorHAnsi" w:hAnsi="Times New Roman"/>
          <w:szCs w:val="24"/>
        </w:rPr>
        <w:t xml:space="preserve"> the reporting, thus, rendering it dysfunctional and creating a heavy administrative burden for the firms. Therefore, we suggest that the concept be narrowed down in a clear and reasonable way. </w:t>
      </w:r>
    </w:p>
    <w:p w14:paraId="1A58DF0C" w14:textId="77777777" w:rsidR="00CF35E4" w:rsidRDefault="00CF35E4" w:rsidP="00CF35E4">
      <w:pPr>
        <w:pStyle w:val="ListParagraph"/>
        <w:spacing w:after="120"/>
        <w:ind w:left="426"/>
        <w:jc w:val="both"/>
        <w:rPr>
          <w:rFonts w:ascii="Times New Roman" w:eastAsiaTheme="minorHAnsi" w:hAnsi="Times New Roman"/>
          <w:szCs w:val="24"/>
        </w:rPr>
      </w:pPr>
    </w:p>
    <w:p w14:paraId="5E717FFC" w14:textId="77777777" w:rsidR="00CF35E4" w:rsidRPr="00DF5915" w:rsidRDefault="00CF35E4" w:rsidP="00CF35E4">
      <w:pPr>
        <w:pStyle w:val="ListParagraph"/>
        <w:numPr>
          <w:ilvl w:val="0"/>
          <w:numId w:val="15"/>
        </w:numPr>
        <w:spacing w:after="120"/>
        <w:ind w:left="426"/>
        <w:jc w:val="both"/>
        <w:rPr>
          <w:rFonts w:ascii="Times New Roman" w:eastAsiaTheme="minorHAnsi" w:hAnsi="Times New Roman"/>
          <w:szCs w:val="24"/>
        </w:rPr>
      </w:pPr>
      <w:r w:rsidRPr="00DF5915">
        <w:rPr>
          <w:rFonts w:ascii="Times New Roman" w:eastAsiaTheme="minorHAnsi" w:hAnsi="Times New Roman"/>
          <w:szCs w:val="24"/>
        </w:rPr>
        <w:t xml:space="preserve">Similarly, under the current draft, the definitions allow for a complaint to be addressed by a person, even if he/she is not a client of the firm, as long as the service: (i) has been provided under MiFID, the UCITS Directive or the AIFMD; or (ii) is a banking service listed in Annex I to the CRD; or (iii) is a service of collective portfolio management under the UCITS Directive. We suggest the following definition, in line with the EIOPA guidelines: </w:t>
      </w:r>
      <w:r w:rsidRPr="00DF5915">
        <w:rPr>
          <w:rFonts w:ascii="Times New Roman" w:eastAsiaTheme="minorHAnsi" w:hAnsi="Times New Roman"/>
          <w:i/>
          <w:szCs w:val="24"/>
        </w:rPr>
        <w:t xml:space="preserve">“A </w:t>
      </w:r>
      <w:r w:rsidRPr="00DF5915">
        <w:rPr>
          <w:rFonts w:ascii="Times New Roman" w:eastAsiaTheme="minorHAnsi" w:hAnsi="Times New Roman"/>
          <w:b/>
          <w:i/>
          <w:szCs w:val="24"/>
        </w:rPr>
        <w:t>written</w:t>
      </w:r>
      <w:r w:rsidRPr="00DF5915">
        <w:rPr>
          <w:rFonts w:ascii="Times New Roman" w:eastAsiaTheme="minorHAnsi" w:hAnsi="Times New Roman"/>
          <w:i/>
          <w:szCs w:val="24"/>
        </w:rPr>
        <w:t xml:space="preserve"> statement of dissatisfaction </w:t>
      </w:r>
      <w:r w:rsidRPr="00DF5915">
        <w:rPr>
          <w:rFonts w:ascii="Times New Roman" w:eastAsiaTheme="minorHAnsi" w:hAnsi="Times New Roman"/>
          <w:b/>
          <w:i/>
          <w:szCs w:val="24"/>
        </w:rPr>
        <w:t>regarding a behaviour or an omission</w:t>
      </w:r>
      <w:r w:rsidRPr="00DF5915">
        <w:rPr>
          <w:rFonts w:ascii="Times New Roman" w:eastAsiaTheme="minorHAnsi" w:hAnsi="Times New Roman"/>
          <w:i/>
          <w:szCs w:val="24"/>
        </w:rPr>
        <w:t xml:space="preserve">, addressed to a firm by a natural or legal person </w:t>
      </w:r>
      <w:r w:rsidRPr="00DF5915">
        <w:rPr>
          <w:rFonts w:ascii="Times New Roman" w:eastAsiaTheme="minorHAnsi" w:hAnsi="Times New Roman"/>
          <w:b/>
          <w:i/>
          <w:szCs w:val="24"/>
        </w:rPr>
        <w:t>clearly identifiable as a client</w:t>
      </w:r>
      <w:r w:rsidRPr="00DF5915">
        <w:rPr>
          <w:rFonts w:ascii="Times New Roman" w:eastAsiaTheme="minorHAnsi" w:hAnsi="Times New Roman"/>
          <w:i/>
          <w:szCs w:val="24"/>
        </w:rPr>
        <w:t xml:space="preserve">, relating to the provision of (i) an investment service provided under MiFID, the UCITS Directive or the AIFMD; or (ii) a banking service listed in Annex I to the CRD; or (iii) a service of collective portfolio management under the UCITS Directive </w:t>
      </w:r>
      <w:r w:rsidRPr="00DF5915">
        <w:rPr>
          <w:rFonts w:ascii="Times New Roman" w:eastAsiaTheme="minorHAnsi" w:hAnsi="Times New Roman"/>
          <w:b/>
          <w:i/>
          <w:szCs w:val="24"/>
        </w:rPr>
        <w:t>he/she was provided with by that firm</w:t>
      </w:r>
      <w:r w:rsidRPr="00DF5915">
        <w:rPr>
          <w:rFonts w:ascii="Times New Roman" w:eastAsiaTheme="minorHAnsi" w:hAnsi="Times New Roman"/>
          <w:i/>
          <w:szCs w:val="24"/>
        </w:rPr>
        <w:t>.”</w:t>
      </w:r>
    </w:p>
    <w:p w14:paraId="4347E254" w14:textId="77777777" w:rsidR="00CF35E4" w:rsidRPr="000C2706" w:rsidRDefault="00CF35E4" w:rsidP="00CF35E4">
      <w:pPr>
        <w:spacing w:after="120"/>
        <w:jc w:val="both"/>
        <w:rPr>
          <w:rFonts w:ascii="Times New Roman" w:eastAsiaTheme="minorHAnsi" w:hAnsi="Times New Roman"/>
          <w:szCs w:val="24"/>
        </w:rPr>
      </w:pPr>
    </w:p>
    <w:p w14:paraId="37C28D0E" w14:textId="77777777" w:rsidR="00CF35E4" w:rsidRPr="000C2706" w:rsidRDefault="00CF35E4" w:rsidP="00CF35E4">
      <w:pPr>
        <w:rPr>
          <w:rFonts w:ascii="Times New Roman" w:hAnsi="Times New Roman"/>
          <w:b/>
          <w:sz w:val="28"/>
          <w:szCs w:val="24"/>
          <w:u w:val="single"/>
        </w:rPr>
      </w:pPr>
      <w:r w:rsidRPr="000C2706">
        <w:rPr>
          <w:rFonts w:ascii="Times New Roman" w:hAnsi="Times New Roman"/>
          <w:b/>
          <w:sz w:val="28"/>
          <w:szCs w:val="24"/>
          <w:u w:val="single"/>
        </w:rPr>
        <w:t>Responses to questions</w:t>
      </w:r>
    </w:p>
    <w:p w14:paraId="3DAA1213" w14:textId="77777777" w:rsidR="00CF35E4" w:rsidRPr="000C2706" w:rsidRDefault="00CF35E4" w:rsidP="00CF35E4">
      <w:pPr>
        <w:jc w:val="both"/>
        <w:rPr>
          <w:rFonts w:ascii="Times New Roman" w:hAnsi="Times New Roman"/>
          <w:b/>
        </w:rPr>
      </w:pPr>
      <w:r w:rsidRPr="000C2706">
        <w:rPr>
          <w:rFonts w:ascii="Times New Roman" w:hAnsi="Times New Roman"/>
          <w:b/>
        </w:rPr>
        <w:t>Q1: Do you agree that complaints-handling is an opportunity for further supervisory convergence? Please also state the reasons for your answer.</w:t>
      </w:r>
    </w:p>
    <w:p w14:paraId="40844163" w14:textId="7F26E739" w:rsidR="00CF35E4" w:rsidRPr="000C2706" w:rsidRDefault="00CF35E4" w:rsidP="00CF35E4">
      <w:pPr>
        <w:jc w:val="both"/>
        <w:rPr>
          <w:rFonts w:ascii="Times New Roman" w:hAnsi="Times New Roman"/>
        </w:rPr>
      </w:pPr>
      <w:r w:rsidRPr="000C2706">
        <w:rPr>
          <w:rFonts w:ascii="Times New Roman" w:hAnsi="Times New Roman"/>
        </w:rPr>
        <w:t>European banks support a consistent approach to complaints handling across the financial services sector as a key objective of the supervisory model. This will enable the development of uniform practices and procedures among financial services providers</w:t>
      </w:r>
      <w:r w:rsidR="00A05409">
        <w:rPr>
          <w:rFonts w:ascii="Times New Roman" w:hAnsi="Times New Roman"/>
        </w:rPr>
        <w:t>,</w:t>
      </w:r>
      <w:r w:rsidRPr="000C2706">
        <w:rPr>
          <w:rFonts w:ascii="Times New Roman" w:hAnsi="Times New Roman"/>
        </w:rPr>
        <w:t xml:space="preserve"> as well as a transparent and consistent complaints model for use by consumers, which should encourage participation when issues arise in relation to financial services.</w:t>
      </w:r>
    </w:p>
    <w:p w14:paraId="2CCD4EAE" w14:textId="77777777" w:rsidR="00CF35E4" w:rsidRPr="000C2706" w:rsidRDefault="00CF35E4" w:rsidP="00CF35E4">
      <w:pPr>
        <w:jc w:val="both"/>
        <w:rPr>
          <w:rFonts w:ascii="Times New Roman" w:hAnsi="Times New Roman"/>
        </w:rPr>
      </w:pPr>
      <w:r w:rsidRPr="000C2706">
        <w:rPr>
          <w:rFonts w:ascii="Times New Roman" w:hAnsi="Times New Roman"/>
          <w:color w:val="000000"/>
        </w:rPr>
        <w:lastRenderedPageBreak/>
        <w:t xml:space="preserve">However, whilst a high level of consistency is certainly welcomed, the supervision of complaints-handling should take into account the differences across the various financial services. In this respect, banks should remain free to tailor complaint-handling procedures to specific business cases. </w:t>
      </w:r>
    </w:p>
    <w:p w14:paraId="5B502946" w14:textId="77777777" w:rsidR="00CF35E4" w:rsidRPr="000C2706" w:rsidRDefault="00CF35E4" w:rsidP="00CF35E4">
      <w:pPr>
        <w:jc w:val="both"/>
        <w:rPr>
          <w:rFonts w:ascii="Times New Roman" w:hAnsi="Times New Roman"/>
          <w:b/>
        </w:rPr>
      </w:pPr>
      <w:r w:rsidRPr="000C2706">
        <w:rPr>
          <w:rFonts w:ascii="Times New Roman" w:hAnsi="Times New Roman"/>
          <w:b/>
        </w:rPr>
        <w:t>Q2: Please comment on each of the guidelines, clearly indicating the number of the guideline (there are 7 guidelines) to which your comments relate.</w:t>
      </w:r>
    </w:p>
    <w:p w14:paraId="2D4C47E2" w14:textId="77777777" w:rsidR="00CF35E4" w:rsidRPr="000C2706" w:rsidRDefault="00CF35E4" w:rsidP="00CF35E4">
      <w:pPr>
        <w:jc w:val="both"/>
        <w:rPr>
          <w:rFonts w:ascii="Times New Roman" w:hAnsi="Times New Roman"/>
          <w:b/>
        </w:rPr>
      </w:pPr>
      <w:r w:rsidRPr="000C2706">
        <w:rPr>
          <w:rFonts w:ascii="Times New Roman" w:hAnsi="Times New Roman"/>
          <w:b/>
        </w:rPr>
        <w:t xml:space="preserve">Guideline 1: </w:t>
      </w:r>
      <w:r w:rsidRPr="000C2706">
        <w:rPr>
          <w:rFonts w:ascii="Times New Roman" w:hAnsi="Times New Roman"/>
        </w:rPr>
        <w:t>Banks agree that a complaints management policy put in place by the firms is crucial in order to avoid the instigation of legal proceedings and the production of unnecessary expenses. It is also important that the complaints management policy is set out in a written document and conveyed to all relevant staff. However, banks strongly feel it would be more beneficial to leave the operational choices on how to structure the complaints management policy in each Member State to the national supervisor and the firms, taking into account the size and types of clients in each particular firm.</w:t>
      </w:r>
    </w:p>
    <w:p w14:paraId="626E80B1" w14:textId="77777777" w:rsidR="00CF35E4" w:rsidRPr="000C2706" w:rsidRDefault="00CF35E4" w:rsidP="00CF35E4">
      <w:pPr>
        <w:jc w:val="both"/>
        <w:rPr>
          <w:rFonts w:ascii="Times New Roman" w:hAnsi="Times New Roman"/>
        </w:rPr>
      </w:pPr>
      <w:r w:rsidRPr="000C2706">
        <w:rPr>
          <w:rFonts w:ascii="Times New Roman" w:hAnsi="Times New Roman"/>
          <w:b/>
        </w:rPr>
        <w:t xml:space="preserve">Guideline 2: </w:t>
      </w:r>
      <w:r w:rsidRPr="000C2706">
        <w:rPr>
          <w:rFonts w:ascii="Times New Roman" w:hAnsi="Times New Roman"/>
        </w:rPr>
        <w:t xml:space="preserve">The existence of a complaints management function, which enables complaints to be investigated fairly and possible conflict of interests to be identified and mitigated within the firms, is necessary in order to assist the competent authorities in the exercise of their supervisory powers. We believe that each firm should have the choice (rather than an obligation) to create a client ombudsman office with operational autonomy, so that it provides the client with a second, impartial analysis of the complaint. </w:t>
      </w:r>
    </w:p>
    <w:p w14:paraId="444BED1A" w14:textId="77777777" w:rsidR="00CF35E4" w:rsidRPr="000C2706" w:rsidRDefault="00CF35E4" w:rsidP="00CF35E4">
      <w:pPr>
        <w:jc w:val="both"/>
        <w:rPr>
          <w:rFonts w:ascii="Times New Roman" w:hAnsi="Times New Roman"/>
        </w:rPr>
      </w:pPr>
      <w:r w:rsidRPr="000C2706">
        <w:rPr>
          <w:rFonts w:ascii="Times New Roman" w:hAnsi="Times New Roman"/>
        </w:rPr>
        <w:t>In addition, the importance of setting national timing requirements (e.g. for the processing and response to a complaint) should be decided by the national competent authority, which should be able to intervene on the complaints-handling process if the firm does not provide the client with a response within the time frame.</w:t>
      </w:r>
    </w:p>
    <w:p w14:paraId="2FD3E061" w14:textId="77777777" w:rsidR="00CF35E4" w:rsidRPr="000C2706" w:rsidRDefault="00CF35E4" w:rsidP="00CF35E4">
      <w:pPr>
        <w:jc w:val="both"/>
        <w:rPr>
          <w:rFonts w:ascii="Times New Roman" w:hAnsi="Times New Roman"/>
        </w:rPr>
      </w:pPr>
      <w:r w:rsidRPr="000C2706">
        <w:rPr>
          <w:rFonts w:ascii="Times New Roman" w:hAnsi="Times New Roman"/>
          <w:b/>
        </w:rPr>
        <w:t xml:space="preserve">Guideline 3: </w:t>
      </w:r>
      <w:r w:rsidRPr="000C2706">
        <w:rPr>
          <w:rFonts w:ascii="Times New Roman" w:hAnsi="Times New Roman"/>
        </w:rPr>
        <w:t xml:space="preserve">Whilst we agree that a record of complaints should be kept in order to ease communication with the competent authorities, nonetheless, we fear that the obligation to create and maintain centralised record of complaints would be overly costly and run against the principle of proportionality. </w:t>
      </w:r>
    </w:p>
    <w:p w14:paraId="6E53AC39" w14:textId="47935167" w:rsidR="00CF35E4" w:rsidRPr="000C2706" w:rsidRDefault="00CF35E4" w:rsidP="00CF35E4">
      <w:pPr>
        <w:jc w:val="both"/>
        <w:rPr>
          <w:rFonts w:ascii="Times New Roman" w:hAnsi="Times New Roman"/>
        </w:rPr>
      </w:pPr>
      <w:r w:rsidRPr="000C2706">
        <w:rPr>
          <w:rFonts w:ascii="Times New Roman" w:hAnsi="Times New Roman"/>
          <w:b/>
        </w:rPr>
        <w:t xml:space="preserve">Guideline 4: </w:t>
      </w:r>
      <w:r w:rsidRPr="000C2706">
        <w:rPr>
          <w:rFonts w:ascii="Times New Roman" w:hAnsi="Times New Roman"/>
        </w:rPr>
        <w:t>This draft guideline broadly works towards supervisory convergence, however, the need for some of the obligations contained within is unclear. In particular, we are concerned about the costs related to the frequency of reporting required, as well as the definition of complaint, as mentioned above. The need for competent authorities to be able to review complaint procedures and - if relevant - request to be provided with the number of complaints received is clear. Given the fact though that complaints will be registered whether or not they are reasonable and proven to relate to a default, the number of complaints is not per se a relevant figure. Many clients choose not to complain to an ombudsman, but rather focus on their contractual partner and, in particular, their relevant investment advisor or other person within the financ</w:t>
      </w:r>
      <w:r w:rsidR="00A05409">
        <w:rPr>
          <w:rFonts w:ascii="Times New Roman" w:hAnsi="Times New Roman"/>
        </w:rPr>
        <w:t>ial services provider. In Member States where legislation requiring</w:t>
      </w:r>
      <w:r w:rsidRPr="000C2706">
        <w:rPr>
          <w:rFonts w:ascii="Times New Roman" w:hAnsi="Times New Roman"/>
        </w:rPr>
        <w:t xml:space="preserve"> the reporting of retail </w:t>
      </w:r>
      <w:r w:rsidRPr="000C2706">
        <w:rPr>
          <w:rFonts w:ascii="Times New Roman" w:hAnsi="Times New Roman"/>
        </w:rPr>
        <w:lastRenderedPageBreak/>
        <w:t>clients’ complaints</w:t>
      </w:r>
      <w:r w:rsidR="0099332A">
        <w:rPr>
          <w:rFonts w:ascii="Times New Roman" w:hAnsi="Times New Roman"/>
        </w:rPr>
        <w:t xml:space="preserve"> is</w:t>
      </w:r>
      <w:r w:rsidR="00A05409">
        <w:rPr>
          <w:rFonts w:ascii="Times New Roman" w:hAnsi="Times New Roman"/>
        </w:rPr>
        <w:t xml:space="preserve"> in place</w:t>
      </w:r>
      <w:r w:rsidRPr="000C2706">
        <w:rPr>
          <w:rFonts w:ascii="Times New Roman" w:hAnsi="Times New Roman"/>
        </w:rPr>
        <w:t>, clients have reacted by enquiring whether their names are reported and have stressed that they would like to have their service provider deal with the complaints.</w:t>
      </w:r>
    </w:p>
    <w:p w14:paraId="1B02EF62" w14:textId="4B815027" w:rsidR="00CF35E4" w:rsidRPr="000C2706" w:rsidRDefault="00CF35E4" w:rsidP="00CF35E4">
      <w:pPr>
        <w:jc w:val="both"/>
        <w:rPr>
          <w:rFonts w:ascii="Times New Roman" w:hAnsi="Times New Roman"/>
        </w:rPr>
      </w:pPr>
      <w:r w:rsidRPr="000C2706">
        <w:rPr>
          <w:rFonts w:ascii="Times New Roman" w:hAnsi="Times New Roman"/>
        </w:rPr>
        <w:t>Therefor</w:t>
      </w:r>
      <w:r w:rsidR="0099332A">
        <w:rPr>
          <w:rFonts w:ascii="Times New Roman" w:hAnsi="Times New Roman"/>
        </w:rPr>
        <w:t>e, we recommend that the draft g</w:t>
      </w:r>
      <w:r w:rsidRPr="000C2706">
        <w:rPr>
          <w:rFonts w:ascii="Times New Roman" w:hAnsi="Times New Roman"/>
        </w:rPr>
        <w:t>uidelines focus on reporting upon request of the relevant competent authority, rather than set forth a regular reporting requirement to a competent authority or</w:t>
      </w:r>
      <w:r w:rsidR="00A05409">
        <w:rPr>
          <w:rFonts w:ascii="Times New Roman" w:hAnsi="Times New Roman"/>
        </w:rPr>
        <w:t xml:space="preserve"> an ombudsman. There should</w:t>
      </w:r>
      <w:r w:rsidRPr="000C2706">
        <w:rPr>
          <w:rFonts w:ascii="Times New Roman" w:hAnsi="Times New Roman"/>
        </w:rPr>
        <w:t xml:space="preserve"> be</w:t>
      </w:r>
      <w:r w:rsidR="00A05409">
        <w:rPr>
          <w:rFonts w:ascii="Times New Roman" w:hAnsi="Times New Roman"/>
        </w:rPr>
        <w:t xml:space="preserve"> also no requirement to report</w:t>
      </w:r>
      <w:r w:rsidRPr="000C2706">
        <w:rPr>
          <w:rFonts w:ascii="Times New Roman" w:hAnsi="Times New Roman"/>
        </w:rPr>
        <w:t xml:space="preserve"> cases that have already been reported by ano</w:t>
      </w:r>
      <w:bookmarkStart w:id="0" w:name="_GoBack"/>
      <w:bookmarkEnd w:id="0"/>
      <w:r w:rsidRPr="000C2706">
        <w:rPr>
          <w:rFonts w:ascii="Times New Roman" w:hAnsi="Times New Roman"/>
        </w:rPr>
        <w:t>ther party.</w:t>
      </w:r>
    </w:p>
    <w:p w14:paraId="5AA65300" w14:textId="77777777" w:rsidR="00CF35E4" w:rsidRPr="000C2706" w:rsidRDefault="00CF35E4" w:rsidP="00CF35E4">
      <w:pPr>
        <w:jc w:val="both"/>
        <w:rPr>
          <w:rFonts w:ascii="Times New Roman" w:hAnsi="Times New Roman"/>
        </w:rPr>
      </w:pPr>
      <w:r w:rsidRPr="000C2706">
        <w:rPr>
          <w:rFonts w:ascii="Times New Roman" w:hAnsi="Times New Roman"/>
          <w:b/>
        </w:rPr>
        <w:t xml:space="preserve">Guideline 5: </w:t>
      </w:r>
      <w:r w:rsidRPr="000C2706">
        <w:rPr>
          <w:rFonts w:ascii="Times New Roman" w:hAnsi="Times New Roman"/>
        </w:rPr>
        <w:t>We recognise the need for an obligation for the firms to analyse, on an on-going basis, the complaints-handling data collected directly, in order not only to identify the common factor of dissatisfaction between the complaints, but also to promptly correct some of the flagged issues. However, it should not be mandatory for firms to create a specialised department or a client ombudsman office to internally process the collected data. The creation of a specialised department would imply costs and the firms are the most competent to assess such costs and decide on the value of such department.</w:t>
      </w:r>
    </w:p>
    <w:p w14:paraId="39CAFD05" w14:textId="77777777" w:rsidR="00CF35E4" w:rsidRPr="000C2706" w:rsidRDefault="00CF35E4" w:rsidP="00CF35E4">
      <w:pPr>
        <w:jc w:val="both"/>
        <w:rPr>
          <w:rFonts w:ascii="Times New Roman" w:hAnsi="Times New Roman"/>
          <w:b/>
        </w:rPr>
      </w:pPr>
      <w:r w:rsidRPr="000C2706">
        <w:rPr>
          <w:rFonts w:ascii="Times New Roman" w:hAnsi="Times New Roman"/>
          <w:b/>
        </w:rPr>
        <w:t xml:space="preserve">Guideline 6: </w:t>
      </w:r>
      <w:r w:rsidRPr="000C2706">
        <w:rPr>
          <w:rFonts w:ascii="Times New Roman" w:hAnsi="Times New Roman"/>
        </w:rPr>
        <w:t xml:space="preserve">Clients need to understand complaint procedures and, to this end, we agree in particular with the use of the firms’ websites to provide general information on complaint procedures. Should clients wish for further information or an update on the process, they should always be provided with contact information and receive further information upon request. Any other general information does not seem feasible for a big organisation that is subject to various other legal requirements, not least of all, market practices and civil law requirements which may differ across different products and business lines. Therefore, we propose using a wording along the following lines: </w:t>
      </w:r>
    </w:p>
    <w:p w14:paraId="3B597060" w14:textId="77777777" w:rsidR="00CF35E4" w:rsidRPr="000C2706" w:rsidRDefault="00CF35E4" w:rsidP="00CF35E4">
      <w:pPr>
        <w:spacing w:after="0"/>
        <w:jc w:val="both"/>
        <w:rPr>
          <w:rFonts w:ascii="Times New Roman" w:hAnsi="Times New Roman"/>
          <w:i/>
        </w:rPr>
      </w:pPr>
      <w:r w:rsidRPr="000C2706">
        <w:rPr>
          <w:rFonts w:ascii="Times New Roman" w:hAnsi="Times New Roman"/>
          <w:i/>
        </w:rPr>
        <w:t>“6. Competent authorities should ensure that firms:</w:t>
      </w:r>
    </w:p>
    <w:p w14:paraId="7138D842" w14:textId="77777777" w:rsidR="00CF35E4" w:rsidRPr="000C2706" w:rsidRDefault="00CF35E4" w:rsidP="00CF35E4">
      <w:pPr>
        <w:spacing w:after="0"/>
        <w:jc w:val="both"/>
        <w:rPr>
          <w:rFonts w:ascii="Times New Roman" w:hAnsi="Times New Roman"/>
          <w:i/>
        </w:rPr>
      </w:pPr>
      <w:r w:rsidRPr="000C2706">
        <w:rPr>
          <w:rFonts w:ascii="Times New Roman" w:hAnsi="Times New Roman"/>
          <w:i/>
        </w:rPr>
        <w:t>a) On request, provide written information regarding their complaints-handling process.</w:t>
      </w:r>
    </w:p>
    <w:p w14:paraId="2CCD3D76" w14:textId="77777777" w:rsidR="00CF35E4" w:rsidRDefault="00CF35E4" w:rsidP="00CF35E4">
      <w:pPr>
        <w:spacing w:after="0"/>
        <w:jc w:val="both"/>
        <w:rPr>
          <w:rFonts w:ascii="Times New Roman" w:hAnsi="Times New Roman"/>
          <w:i/>
        </w:rPr>
      </w:pPr>
      <w:r w:rsidRPr="000C2706">
        <w:rPr>
          <w:rFonts w:ascii="Times New Roman" w:hAnsi="Times New Roman"/>
          <w:i/>
        </w:rPr>
        <w:t>b) Publish details of their complaints-handling process in an easily accessible manner, for example, via the firm’s website.</w:t>
      </w:r>
    </w:p>
    <w:p w14:paraId="58BB977B" w14:textId="77777777" w:rsidR="00CF35E4" w:rsidRPr="000C2706" w:rsidRDefault="00CF35E4" w:rsidP="00CF35E4">
      <w:pPr>
        <w:spacing w:after="0"/>
        <w:jc w:val="both"/>
        <w:rPr>
          <w:rFonts w:ascii="Times New Roman" w:hAnsi="Times New Roman"/>
          <w:i/>
        </w:rPr>
      </w:pPr>
      <w:r>
        <w:rPr>
          <w:rFonts w:ascii="Times New Roman" w:hAnsi="Times New Roman"/>
          <w:i/>
        </w:rPr>
        <w:t>[…]</w:t>
      </w:r>
    </w:p>
    <w:p w14:paraId="2FAF2BB1" w14:textId="77777777" w:rsidR="00CF35E4" w:rsidRPr="000C2706" w:rsidRDefault="00CF35E4" w:rsidP="00CF35E4">
      <w:pPr>
        <w:jc w:val="both"/>
        <w:rPr>
          <w:rFonts w:ascii="Times New Roman" w:hAnsi="Times New Roman"/>
          <w:i/>
        </w:rPr>
      </w:pPr>
      <w:r>
        <w:rPr>
          <w:rFonts w:ascii="Times New Roman" w:hAnsi="Times New Roman"/>
          <w:i/>
        </w:rPr>
        <w:t>d</w:t>
      </w:r>
      <w:r w:rsidRPr="000C2706">
        <w:rPr>
          <w:rFonts w:ascii="Times New Roman" w:hAnsi="Times New Roman"/>
          <w:i/>
        </w:rPr>
        <w:t>) Keep the complainant informed about further handling of the complaint.”</w:t>
      </w:r>
    </w:p>
    <w:p w14:paraId="6E2BEF41" w14:textId="07628D36" w:rsidR="00CF35E4" w:rsidRPr="000C2706" w:rsidRDefault="00CF35E4" w:rsidP="00CF35E4">
      <w:pPr>
        <w:jc w:val="both"/>
        <w:rPr>
          <w:rFonts w:ascii="Times New Roman" w:hAnsi="Times New Roman"/>
        </w:rPr>
      </w:pPr>
      <w:r w:rsidRPr="000C2706">
        <w:rPr>
          <w:rFonts w:ascii="Times New Roman" w:hAnsi="Times New Roman"/>
          <w:b/>
        </w:rPr>
        <w:t xml:space="preserve">Guideline 7: </w:t>
      </w:r>
      <w:r w:rsidRPr="000C2706">
        <w:rPr>
          <w:rFonts w:ascii="Times New Roman" w:hAnsi="Times New Roman"/>
        </w:rPr>
        <w:t>EBF agrees that, following a complaint, firms should gather and investigate relevant fa</w:t>
      </w:r>
      <w:r>
        <w:rPr>
          <w:rFonts w:ascii="Times New Roman" w:hAnsi="Times New Roman"/>
        </w:rPr>
        <w:t xml:space="preserve">cts, in order not only to fully </w:t>
      </w:r>
      <w:r w:rsidR="0099332A">
        <w:rPr>
          <w:rFonts w:ascii="Times New Roman" w:hAnsi="Times New Roman"/>
        </w:rPr>
        <w:t>assess</w:t>
      </w:r>
      <w:r>
        <w:rPr>
          <w:rFonts w:ascii="Times New Roman" w:hAnsi="Times New Roman"/>
        </w:rPr>
        <w:t xml:space="preserve"> the issue</w:t>
      </w:r>
      <w:r w:rsidRPr="000C2706">
        <w:rPr>
          <w:rFonts w:ascii="Times New Roman" w:hAnsi="Times New Roman"/>
        </w:rPr>
        <w:t xml:space="preserve"> but also to substantiate their response. More importantly, the clients must be able to fully comprehend the response given to their complaint, especially when their </w:t>
      </w:r>
      <w:r>
        <w:rPr>
          <w:rFonts w:ascii="Times New Roman" w:hAnsi="Times New Roman"/>
        </w:rPr>
        <w:t>demand was not fully satisfied.</w:t>
      </w:r>
    </w:p>
    <w:p w14:paraId="2686752B" w14:textId="77777777" w:rsidR="00CF35E4" w:rsidRPr="000C2706" w:rsidRDefault="00CF35E4" w:rsidP="00CF35E4">
      <w:pPr>
        <w:jc w:val="both"/>
        <w:rPr>
          <w:rFonts w:ascii="Times New Roman" w:hAnsi="Times New Roman"/>
        </w:rPr>
      </w:pPr>
      <w:r w:rsidRPr="000C2706">
        <w:rPr>
          <w:rFonts w:ascii="Times New Roman" w:hAnsi="Times New Roman"/>
        </w:rPr>
        <w:t>As regards draft guideline 7(c), we believe that there should not be any fixed timeframe for dealing with a complaint. Complaints vary in nature and often refer to complex issues which date back in time as the case may be. Therefore, a response within a reasonable timeframe without any unnecessary delay seems the most sensible way to proceed.</w:t>
      </w:r>
    </w:p>
    <w:p w14:paraId="0F49C379" w14:textId="77777777" w:rsidR="00CF35E4" w:rsidRPr="000C2706" w:rsidRDefault="00CF35E4" w:rsidP="00CF35E4">
      <w:pPr>
        <w:jc w:val="both"/>
        <w:rPr>
          <w:rFonts w:ascii="Times New Roman" w:hAnsi="Times New Roman"/>
          <w:b/>
        </w:rPr>
      </w:pPr>
      <w:r w:rsidRPr="000C2706">
        <w:rPr>
          <w:rFonts w:ascii="Times New Roman" w:hAnsi="Times New Roman"/>
          <w:b/>
        </w:rPr>
        <w:lastRenderedPageBreak/>
        <w:t>Q3: Do you agree with the analysis of the cost and benefit impact of the proposals?</w:t>
      </w:r>
    </w:p>
    <w:p w14:paraId="1BDCAC10" w14:textId="3FD4ED51" w:rsidR="00CF35E4" w:rsidRPr="00BE43C5" w:rsidRDefault="00CF35E4" w:rsidP="00CF35E4">
      <w:pPr>
        <w:jc w:val="both"/>
        <w:rPr>
          <w:rFonts w:ascii="Times New Roman" w:hAnsi="Times New Roman"/>
        </w:rPr>
      </w:pPr>
      <w:r w:rsidRPr="000C2706">
        <w:rPr>
          <w:rFonts w:ascii="Times New Roman" w:hAnsi="Times New Roman"/>
        </w:rPr>
        <w:t>In Member States where firms’ complaints-handling procedures are already in place, few additional costs would be associated with t</w:t>
      </w:r>
      <w:r w:rsidR="0099332A">
        <w:rPr>
          <w:rFonts w:ascii="Times New Roman" w:hAnsi="Times New Roman"/>
        </w:rPr>
        <w:t>he implementation of the draft g</w:t>
      </w:r>
      <w:r w:rsidRPr="000C2706">
        <w:rPr>
          <w:rFonts w:ascii="Times New Roman" w:hAnsi="Times New Roman"/>
        </w:rPr>
        <w:t>uidelines. This does not seem to be the case in Member States where no such regulation has been enacted. For those Memb</w:t>
      </w:r>
      <w:r w:rsidR="0099332A">
        <w:rPr>
          <w:rFonts w:ascii="Times New Roman" w:hAnsi="Times New Roman"/>
        </w:rPr>
        <w:t>er States, the cost-benefit</w:t>
      </w:r>
      <w:r w:rsidRPr="000C2706">
        <w:rPr>
          <w:rFonts w:ascii="Times New Roman" w:hAnsi="Times New Roman"/>
        </w:rPr>
        <w:t xml:space="preserve"> analysis underestimate</w:t>
      </w:r>
      <w:r w:rsidR="0099332A">
        <w:rPr>
          <w:rFonts w:ascii="Times New Roman" w:hAnsi="Times New Roman"/>
        </w:rPr>
        <w:t>s the possible costs the draft g</w:t>
      </w:r>
      <w:r w:rsidRPr="000C2706">
        <w:rPr>
          <w:rFonts w:ascii="Times New Roman" w:hAnsi="Times New Roman"/>
        </w:rPr>
        <w:t xml:space="preserve">uidelines would cause, due to the reorganisation requirements, the definition of the procedures and education. Most costs would, however, result from reporting requirements in a uniform and detailed form. Besides, when considering the costs associated </w:t>
      </w:r>
      <w:r w:rsidR="0099332A">
        <w:rPr>
          <w:rFonts w:ascii="Times New Roman" w:hAnsi="Times New Roman"/>
        </w:rPr>
        <w:t>with implementation, the draft g</w:t>
      </w:r>
      <w:r w:rsidRPr="000C2706">
        <w:rPr>
          <w:rFonts w:ascii="Times New Roman" w:hAnsi="Times New Roman"/>
        </w:rPr>
        <w:t>uidelines could perhaps require from the national competent authorities to analyse the collected data and to provide the results of this analysis to the banks. By placing this obligation with the authorities, there would be a more balanced approach to the cost-benefit evaluation.</w:t>
      </w:r>
    </w:p>
    <w:p w14:paraId="7BC190A4" w14:textId="77777777" w:rsidR="00CF35E4" w:rsidRPr="000C2706" w:rsidRDefault="00CF35E4" w:rsidP="00CF35E4">
      <w:pPr>
        <w:rPr>
          <w:rFonts w:ascii="Times New Roman" w:hAnsi="Times New Roman"/>
        </w:rPr>
      </w:pPr>
    </w:p>
    <w:p w14:paraId="474A0984" w14:textId="77777777" w:rsidR="00813E8A" w:rsidRPr="000C2706" w:rsidRDefault="00813E8A" w:rsidP="00813E8A">
      <w:pPr>
        <w:rPr>
          <w:rFonts w:ascii="Times New Roman" w:hAnsi="Times New Roman"/>
        </w:rPr>
      </w:pPr>
    </w:p>
    <w:sectPr w:rsidR="00813E8A" w:rsidRPr="000C2706" w:rsidSect="00B60D0B">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64446" w14:textId="77777777" w:rsidR="00B664E7" w:rsidRDefault="00B664E7" w:rsidP="00091567">
      <w:pPr>
        <w:spacing w:after="0" w:line="240" w:lineRule="auto"/>
      </w:pPr>
      <w:r>
        <w:separator/>
      </w:r>
    </w:p>
  </w:endnote>
  <w:endnote w:type="continuationSeparator" w:id="0">
    <w:p w14:paraId="2818DAF4" w14:textId="77777777" w:rsidR="00B664E7" w:rsidRDefault="00B664E7" w:rsidP="0009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098C" w14:textId="77777777" w:rsidR="00D556B8" w:rsidRDefault="008D588E">
    <w:pPr>
      <w:pStyle w:val="Footer"/>
      <w:jc w:val="right"/>
    </w:pPr>
    <w:r>
      <w:rPr>
        <w:noProof/>
        <w:lang w:val="nl-BE" w:eastAsia="nl-BE"/>
      </w:rPr>
      <w:drawing>
        <wp:anchor distT="0" distB="0" distL="114300" distR="114300" simplePos="0" relativeHeight="251658240" behindDoc="1" locked="0" layoutInCell="1" allowOverlap="1" wp14:anchorId="474A0990" wp14:editId="474A0991">
          <wp:simplePos x="0" y="0"/>
          <wp:positionH relativeFrom="column">
            <wp:posOffset>-788472</wp:posOffset>
          </wp:positionH>
          <wp:positionV relativeFrom="paragraph">
            <wp:posOffset>-2743002</wp:posOffset>
          </wp:positionV>
          <wp:extent cx="384711" cy="3396343"/>
          <wp:effectExtent l="19050" t="0" r="0" b="0"/>
          <wp:wrapNone/>
          <wp:docPr id="1"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4E5C9F">
      <w:fldChar w:fldCharType="begin"/>
    </w:r>
    <w:r w:rsidR="004E5C9F">
      <w:instrText xml:space="preserve"> PAGE   \* MERGEFORMAT </w:instrText>
    </w:r>
    <w:r w:rsidR="004E5C9F">
      <w:fldChar w:fldCharType="separate"/>
    </w:r>
    <w:r w:rsidR="0099332A">
      <w:rPr>
        <w:noProof/>
      </w:rPr>
      <w:t>2</w:t>
    </w:r>
    <w:r w:rsidR="004E5C9F">
      <w:rPr>
        <w:noProof/>
      </w:rPr>
      <w:fldChar w:fldCharType="end"/>
    </w:r>
  </w:p>
  <w:p w14:paraId="474A098D" w14:textId="77777777" w:rsidR="00D556B8" w:rsidRDefault="00D556B8" w:rsidP="008D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098F" w14:textId="2D15E20B" w:rsidR="00D556B8" w:rsidRDefault="008D588E">
    <w:pPr>
      <w:pStyle w:val="Footer"/>
    </w:pPr>
    <w:r>
      <w:rPr>
        <w:noProof/>
        <w:lang w:val="nl-BE" w:eastAsia="nl-BE"/>
      </w:rPr>
      <w:drawing>
        <wp:anchor distT="0" distB="0" distL="114300" distR="114300" simplePos="0" relativeHeight="251656192" behindDoc="1" locked="0" layoutInCell="1" allowOverlap="1" wp14:anchorId="474A0994" wp14:editId="474A0995">
          <wp:simplePos x="0" y="0"/>
          <wp:positionH relativeFrom="column">
            <wp:posOffset>-729096</wp:posOffset>
          </wp:positionH>
          <wp:positionV relativeFrom="paragraph">
            <wp:posOffset>-2906387</wp:posOffset>
          </wp:positionV>
          <wp:extent cx="384711" cy="3396343"/>
          <wp:effectExtent l="19050" t="0" r="0" b="0"/>
          <wp:wrapNone/>
          <wp:docPr id="4"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99332A">
      <w:rPr>
        <w:noProof/>
        <w:lang w:val="nl-BE" w:eastAsia="nl-BE"/>
      </w:rPr>
      <mc:AlternateContent>
        <mc:Choice Requires="wps">
          <w:drawing>
            <wp:anchor distT="0" distB="0" distL="114300" distR="114300" simplePos="0" relativeHeight="251659264" behindDoc="1" locked="0" layoutInCell="1" allowOverlap="1" wp14:anchorId="474A0996" wp14:editId="12539F60">
              <wp:simplePos x="0" y="0"/>
              <wp:positionH relativeFrom="column">
                <wp:posOffset>-342900</wp:posOffset>
              </wp:positionH>
              <wp:positionV relativeFrom="paragraph">
                <wp:posOffset>-297180</wp:posOffset>
              </wp:positionV>
              <wp:extent cx="2377440" cy="1085850"/>
              <wp:effectExtent l="0" t="0" r="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0997" w14:textId="77777777" w:rsidR="004E5C9F" w:rsidRDefault="004E5C9F" w:rsidP="004E5C9F">
                          <w:pPr>
                            <w:rPr>
                              <w:rFonts w:ascii="Tahoma" w:hAnsi="Tahoma" w:cs="Tahoma"/>
                              <w:color w:val="A6A6A6"/>
                              <w:sz w:val="14"/>
                            </w:rPr>
                          </w:pPr>
                          <w:r>
                            <w:rPr>
                              <w:rFonts w:ascii="Tahoma" w:hAnsi="Tahoma" w:cs="Tahoma"/>
                              <w:color w:val="A6A6A6"/>
                              <w:sz w:val="14"/>
                            </w:rPr>
                            <w:t>EBF a.i.s.b.l</w:t>
                          </w:r>
                          <w:r>
                            <w:rPr>
                              <w:rFonts w:ascii="Tahoma" w:hAnsi="Tahoma" w:cs="Tahoma"/>
                              <w:color w:val="A6A6A6"/>
                              <w:sz w:val="14"/>
                            </w:rPr>
                            <w:br/>
                            <w:t>Avenue des Arts 56, B-1000 Brussels</w:t>
                          </w:r>
                          <w:r>
                            <w:rPr>
                              <w:rFonts w:ascii="Tahoma" w:hAnsi="Tahoma" w:cs="Tahoma"/>
                              <w:color w:val="A6A6A6"/>
                              <w:sz w:val="14"/>
                            </w:rPr>
                            <w:br/>
                            <w:t>+32 (0)2 508 37 11 Phone</w:t>
                          </w:r>
                          <w:r>
                            <w:rPr>
                              <w:rFonts w:ascii="Tahoma" w:hAnsi="Tahoma" w:cs="Tahoma"/>
                              <w:color w:val="A6A6A6"/>
                              <w:sz w:val="14"/>
                            </w:rPr>
                            <w:br/>
                            <w:t>+32 (0)2 511 23 28 Fax</w:t>
                          </w:r>
                          <w:r>
                            <w:rPr>
                              <w:rFonts w:ascii="Tahoma" w:hAnsi="Tahoma" w:cs="Tahoma"/>
                              <w:color w:val="A6A6A6"/>
                              <w:sz w:val="14"/>
                            </w:rPr>
                            <w:br/>
                          </w:r>
                          <w:hyperlink r:id="rId2" w:history="1">
                            <w:r>
                              <w:rPr>
                                <w:rStyle w:val="Hyperlink"/>
                                <w:rFonts w:ascii="Tahoma" w:hAnsi="Tahoma" w:cs="Tahoma"/>
                                <w:sz w:val="14"/>
                              </w:rPr>
                              <w:t>www.ebf-fbe.eu</w:t>
                            </w:r>
                          </w:hyperlink>
                        </w:p>
                        <w:p w14:paraId="474A0998" w14:textId="77777777" w:rsidR="008D588E" w:rsidRPr="0047451B" w:rsidRDefault="008D588E" w:rsidP="008D588E">
                          <w:pPr>
                            <w:rPr>
                              <w:rFonts w:ascii="Tahoma" w:hAnsi="Tahoma" w:cs="Tahoma"/>
                              <w:color w:val="A6A6A6"/>
                              <w:sz w:val="1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74A0996" id="_x0000_t202" coordsize="21600,21600" o:spt="202" path="m,l,21600r21600,l21600,xe">
              <v:stroke joinstyle="miter"/>
              <v:path gradientshapeok="t" o:connecttype="rect"/>
            </v:shapetype>
            <v:shape id="Text Box 16" o:spid="_x0000_s1026" type="#_x0000_t202" style="position:absolute;margin-left:-27pt;margin-top:-23.4pt;width:187.2pt;height:8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YAt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" filled="f" stroked="f">
              <v:textbox style="mso-fit-shape-to-text:t">
                <w:txbxContent>
                  <w:p w14:paraId="474A0997" w14:textId="77777777" w:rsidR="004E5C9F" w:rsidRDefault="004E5C9F" w:rsidP="004E5C9F">
                    <w:pPr>
                      <w:rPr>
                        <w:rFonts w:ascii="Tahoma" w:hAnsi="Tahoma" w:cs="Tahoma"/>
                        <w:color w:val="A6A6A6"/>
                        <w:sz w:val="14"/>
                      </w:rPr>
                    </w:pPr>
                    <w:r>
                      <w:rPr>
                        <w:rFonts w:ascii="Tahoma" w:hAnsi="Tahoma" w:cs="Tahoma"/>
                        <w:color w:val="A6A6A6"/>
                        <w:sz w:val="14"/>
                      </w:rPr>
                      <w:t>EBF a.i.s.b.l</w:t>
                    </w:r>
                    <w:r>
                      <w:rPr>
                        <w:rFonts w:ascii="Tahoma" w:hAnsi="Tahoma" w:cs="Tahoma"/>
                        <w:color w:val="A6A6A6"/>
                        <w:sz w:val="14"/>
                      </w:rPr>
                      <w:br/>
                      <w:t>Avenue des Arts 56, B-1000 Brussels</w:t>
                    </w:r>
                    <w:r>
                      <w:rPr>
                        <w:rFonts w:ascii="Tahoma" w:hAnsi="Tahoma" w:cs="Tahoma"/>
                        <w:color w:val="A6A6A6"/>
                        <w:sz w:val="14"/>
                      </w:rPr>
                      <w:br/>
                      <w:t>+32 (0)2 508 37 11 Phone</w:t>
                    </w:r>
                    <w:r>
                      <w:rPr>
                        <w:rFonts w:ascii="Tahoma" w:hAnsi="Tahoma" w:cs="Tahoma"/>
                        <w:color w:val="A6A6A6"/>
                        <w:sz w:val="14"/>
                      </w:rPr>
                      <w:br/>
                      <w:t>+32 (0)2 511 23 28 Fax</w:t>
                    </w:r>
                    <w:r>
                      <w:rPr>
                        <w:rFonts w:ascii="Tahoma" w:hAnsi="Tahoma" w:cs="Tahoma"/>
                        <w:color w:val="A6A6A6"/>
                        <w:sz w:val="14"/>
                      </w:rPr>
                      <w:br/>
                    </w:r>
                    <w:hyperlink r:id="rId3" w:history="1">
                      <w:r>
                        <w:rPr>
                          <w:rStyle w:val="Hyperlink"/>
                          <w:rFonts w:ascii="Tahoma" w:hAnsi="Tahoma" w:cs="Tahoma"/>
                          <w:sz w:val="14"/>
                        </w:rPr>
                        <w:t>www.ebf-fbe.eu</w:t>
                      </w:r>
                    </w:hyperlink>
                  </w:p>
                  <w:p w14:paraId="474A0998" w14:textId="77777777" w:rsidR="008D588E" w:rsidRPr="0047451B" w:rsidRDefault="008D588E" w:rsidP="008D588E">
                    <w:pPr>
                      <w:rPr>
                        <w:rFonts w:ascii="Tahoma" w:hAnsi="Tahoma" w:cs="Tahoma"/>
                        <w:color w:val="A6A6A6"/>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A2DC" w14:textId="77777777" w:rsidR="00B664E7" w:rsidRDefault="00B664E7" w:rsidP="00091567">
      <w:pPr>
        <w:spacing w:after="0" w:line="240" w:lineRule="auto"/>
      </w:pPr>
      <w:r>
        <w:separator/>
      </w:r>
    </w:p>
  </w:footnote>
  <w:footnote w:type="continuationSeparator" w:id="0">
    <w:p w14:paraId="395E6FFB" w14:textId="77777777" w:rsidR="00B664E7" w:rsidRDefault="00B664E7" w:rsidP="00091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098E" w14:textId="77777777" w:rsidR="00D556B8" w:rsidRDefault="008D588E" w:rsidP="00D556B8">
    <w:pPr>
      <w:pStyle w:val="Header"/>
    </w:pPr>
    <w:r>
      <w:rPr>
        <w:noProof/>
        <w:lang w:val="nl-BE" w:eastAsia="nl-BE"/>
      </w:rPr>
      <w:drawing>
        <wp:anchor distT="0" distB="0" distL="114300" distR="114300" simplePos="0" relativeHeight="251657216" behindDoc="1" locked="0" layoutInCell="1" allowOverlap="1" wp14:anchorId="474A0992" wp14:editId="474A0993">
          <wp:simplePos x="0" y="0"/>
          <wp:positionH relativeFrom="column">
            <wp:posOffset>-314325</wp:posOffset>
          </wp:positionH>
          <wp:positionV relativeFrom="paragraph">
            <wp:posOffset>-219075</wp:posOffset>
          </wp:positionV>
          <wp:extent cx="1543050" cy="876300"/>
          <wp:effectExtent l="19050" t="0" r="0" b="0"/>
          <wp:wrapNone/>
          <wp:docPr id="3" name="Picture 2" descr="logo et carr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 carre orange.jpg"/>
                  <pic:cNvPicPr/>
                </pic:nvPicPr>
                <pic:blipFill>
                  <a:blip r:embed="rId1"/>
                  <a:stretch>
                    <a:fillRect/>
                  </a:stretch>
                </pic:blipFill>
                <pic:spPr>
                  <a:xfrm>
                    <a:off x="0" y="0"/>
                    <a:ext cx="1543050" cy="876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103"/>
    <w:multiLevelType w:val="hybridMultilevel"/>
    <w:tmpl w:val="339069B2"/>
    <w:lvl w:ilvl="0" w:tplc="F85CAC02">
      <w:start w:val="1"/>
      <w:numFmt w:val="bullet"/>
      <w:lvlText w:val=""/>
      <w:lvlJc w:val="left"/>
      <w:pPr>
        <w:ind w:left="1350" w:hanging="360"/>
      </w:pPr>
      <w:rPr>
        <w:rFonts w:ascii="Wingdings" w:hAnsi="Wingding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8A42AF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D13186"/>
    <w:multiLevelType w:val="hybridMultilevel"/>
    <w:tmpl w:val="455099A6"/>
    <w:lvl w:ilvl="0" w:tplc="B8D69C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2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9B3419"/>
    <w:multiLevelType w:val="hybridMultilevel"/>
    <w:tmpl w:val="E61C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341"/>
    <w:multiLevelType w:val="multilevel"/>
    <w:tmpl w:val="C9323F7E"/>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806219C"/>
    <w:multiLevelType w:val="hybridMultilevel"/>
    <w:tmpl w:val="35486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A7E21"/>
    <w:multiLevelType w:val="hybridMultilevel"/>
    <w:tmpl w:val="0FA47974"/>
    <w:lvl w:ilvl="0" w:tplc="F85CAC02">
      <w:start w:val="1"/>
      <w:numFmt w:val="bullet"/>
      <w:lvlText w:val=""/>
      <w:lvlJc w:val="left"/>
      <w:pPr>
        <w:ind w:left="2148" w:hanging="360"/>
      </w:pPr>
      <w:rPr>
        <w:rFonts w:ascii="Wingdings" w:hAnsi="Wingdings" w:hint="default"/>
        <w:color w:val="auto"/>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8">
    <w:nsid w:val="36213E13"/>
    <w:multiLevelType w:val="hybridMultilevel"/>
    <w:tmpl w:val="2F8C99F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65C0B10"/>
    <w:multiLevelType w:val="hybridMultilevel"/>
    <w:tmpl w:val="178E2BB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B3901AE"/>
    <w:multiLevelType w:val="multilevel"/>
    <w:tmpl w:val="4BA0C66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48E1742"/>
    <w:multiLevelType w:val="hybridMultilevel"/>
    <w:tmpl w:val="F9885FD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C613C6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E0C2FDD"/>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08228A0"/>
    <w:multiLevelType w:val="hybridMultilevel"/>
    <w:tmpl w:val="7FB6D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13"/>
  </w:num>
  <w:num w:numId="5">
    <w:abstractNumId w:val="2"/>
  </w:num>
  <w:num w:numId="6">
    <w:abstractNumId w:val="4"/>
  </w:num>
  <w:num w:numId="7">
    <w:abstractNumId w:val="3"/>
  </w:num>
  <w:num w:numId="8">
    <w:abstractNumId w:val="1"/>
  </w:num>
  <w:num w:numId="9">
    <w:abstractNumId w:val="5"/>
  </w:num>
  <w:num w:numId="10">
    <w:abstractNumId w:val="9"/>
  </w:num>
  <w:num w:numId="11">
    <w:abstractNumId w:val="11"/>
  </w:num>
  <w:num w:numId="12">
    <w:abstractNumId w:val="8"/>
  </w:num>
  <w:num w:numId="13">
    <w:abstractNumId w:val="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efaultTableStyle w:val="LightList-Accent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67"/>
    <w:rsid w:val="00042D74"/>
    <w:rsid w:val="00091567"/>
    <w:rsid w:val="000A614C"/>
    <w:rsid w:val="000A7AA6"/>
    <w:rsid w:val="000C2706"/>
    <w:rsid w:val="000C27E8"/>
    <w:rsid w:val="000C3F62"/>
    <w:rsid w:val="00173060"/>
    <w:rsid w:val="001B7339"/>
    <w:rsid w:val="001F336D"/>
    <w:rsid w:val="002075DF"/>
    <w:rsid w:val="00263B11"/>
    <w:rsid w:val="00263C0D"/>
    <w:rsid w:val="00263D97"/>
    <w:rsid w:val="002660A7"/>
    <w:rsid w:val="00281908"/>
    <w:rsid w:val="0034372D"/>
    <w:rsid w:val="00361A4C"/>
    <w:rsid w:val="00381CC9"/>
    <w:rsid w:val="00421569"/>
    <w:rsid w:val="00426913"/>
    <w:rsid w:val="0048212A"/>
    <w:rsid w:val="00487A10"/>
    <w:rsid w:val="004C58B7"/>
    <w:rsid w:val="004C7715"/>
    <w:rsid w:val="004D0F9A"/>
    <w:rsid w:val="004E5C9F"/>
    <w:rsid w:val="00510DC6"/>
    <w:rsid w:val="00524A26"/>
    <w:rsid w:val="0059549F"/>
    <w:rsid w:val="005957B9"/>
    <w:rsid w:val="005C2A78"/>
    <w:rsid w:val="005F02BE"/>
    <w:rsid w:val="00610FD8"/>
    <w:rsid w:val="006138E9"/>
    <w:rsid w:val="0064607C"/>
    <w:rsid w:val="006C6E35"/>
    <w:rsid w:val="006F54EC"/>
    <w:rsid w:val="007774DB"/>
    <w:rsid w:val="007D5B13"/>
    <w:rsid w:val="00812F32"/>
    <w:rsid w:val="00813E8A"/>
    <w:rsid w:val="008D588E"/>
    <w:rsid w:val="009318F0"/>
    <w:rsid w:val="0099332A"/>
    <w:rsid w:val="009E40AC"/>
    <w:rsid w:val="00A05409"/>
    <w:rsid w:val="00A72BF7"/>
    <w:rsid w:val="00AA341D"/>
    <w:rsid w:val="00AB11F7"/>
    <w:rsid w:val="00AF02CA"/>
    <w:rsid w:val="00B0472B"/>
    <w:rsid w:val="00B52094"/>
    <w:rsid w:val="00B60D0B"/>
    <w:rsid w:val="00B664E7"/>
    <w:rsid w:val="00BB6E75"/>
    <w:rsid w:val="00BF79FF"/>
    <w:rsid w:val="00C11EFA"/>
    <w:rsid w:val="00C32582"/>
    <w:rsid w:val="00C42256"/>
    <w:rsid w:val="00CA5E85"/>
    <w:rsid w:val="00CF35E4"/>
    <w:rsid w:val="00D556B8"/>
    <w:rsid w:val="00D736E2"/>
    <w:rsid w:val="00DF53E4"/>
    <w:rsid w:val="00E2757C"/>
    <w:rsid w:val="00E3647B"/>
    <w:rsid w:val="00E71FF5"/>
    <w:rsid w:val="00E801A3"/>
    <w:rsid w:val="00EC4EFF"/>
    <w:rsid w:val="00EE0D84"/>
    <w:rsid w:val="00F32A55"/>
    <w:rsid w:val="00F70807"/>
    <w:rsid w:val="00FB604C"/>
    <w:rsid w:val="00FE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097A"/>
  <w15:docId w15:val="{06D6FE0C-6054-438B-B2FA-AA8475D5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C0D"/>
    <w:pPr>
      <w:spacing w:after="200" w:line="276" w:lineRule="auto"/>
    </w:pPr>
    <w:rPr>
      <w:rFonts w:ascii="Times" w:hAnsi="Times"/>
      <w:sz w:val="24"/>
      <w:szCs w:val="22"/>
    </w:rPr>
  </w:style>
  <w:style w:type="paragraph" w:styleId="Heading1">
    <w:name w:val="heading 1"/>
    <w:basedOn w:val="Normal"/>
    <w:next w:val="Normal"/>
    <w:link w:val="Heading1Char"/>
    <w:uiPriority w:val="9"/>
    <w:rsid w:val="00263C0D"/>
    <w:pPr>
      <w:keepNext/>
      <w:spacing w:before="240" w:after="60"/>
      <w:outlineLvl w:val="0"/>
    </w:pPr>
    <w:rPr>
      <w:rFonts w:ascii="Calibri" w:eastAsia="Times New Roman" w:hAnsi="Calibri"/>
      <w:bCs/>
      <w:color w:val="F8CE68"/>
      <w:kern w:val="32"/>
      <w:sz w:val="48"/>
      <w:szCs w:val="32"/>
    </w:rPr>
  </w:style>
  <w:style w:type="paragraph" w:styleId="Heading2">
    <w:name w:val="heading 2"/>
    <w:aliases w:val="Subtitle-level2"/>
    <w:basedOn w:val="Normal"/>
    <w:next w:val="Normal"/>
    <w:link w:val="Heading2Char"/>
    <w:uiPriority w:val="9"/>
    <w:unhideWhenUsed/>
    <w:qFormat/>
    <w:rsid w:val="00263C0D"/>
    <w:pPr>
      <w:keepNext/>
      <w:spacing w:before="240" w:after="60"/>
      <w:ind w:left="720"/>
      <w:outlineLvl w:val="1"/>
    </w:pPr>
    <w:rPr>
      <w:rFonts w:ascii="Calibri" w:eastAsia="Times New Roman" w:hAnsi="Calibri"/>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1567"/>
    <w:pPr>
      <w:tabs>
        <w:tab w:val="center" w:pos="4680"/>
        <w:tab w:val="right" w:pos="9360"/>
      </w:tabs>
      <w:spacing w:after="0" w:line="240" w:lineRule="auto"/>
    </w:pPr>
  </w:style>
  <w:style w:type="character" w:customStyle="1" w:styleId="HeaderChar">
    <w:name w:val="Header Char"/>
    <w:basedOn w:val="DefaultParagraphFont"/>
    <w:link w:val="Header"/>
    <w:rsid w:val="00091567"/>
  </w:style>
  <w:style w:type="paragraph" w:styleId="Footer">
    <w:name w:val="footer"/>
    <w:basedOn w:val="Normal"/>
    <w:link w:val="FooterChar"/>
    <w:uiPriority w:val="99"/>
    <w:unhideWhenUsed/>
    <w:rsid w:val="0009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67"/>
  </w:style>
  <w:style w:type="paragraph" w:styleId="BalloonText">
    <w:name w:val="Balloon Text"/>
    <w:basedOn w:val="Normal"/>
    <w:link w:val="BalloonTextChar"/>
    <w:uiPriority w:val="99"/>
    <w:semiHidden/>
    <w:unhideWhenUsed/>
    <w:rsid w:val="0009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67"/>
    <w:rPr>
      <w:rFonts w:ascii="Tahoma" w:hAnsi="Tahoma" w:cs="Tahoma"/>
      <w:sz w:val="16"/>
      <w:szCs w:val="16"/>
    </w:rPr>
  </w:style>
  <w:style w:type="paragraph" w:styleId="ListParagraph">
    <w:name w:val="List Paragraph"/>
    <w:basedOn w:val="Normal"/>
    <w:uiPriority w:val="34"/>
    <w:rsid w:val="00091567"/>
    <w:pPr>
      <w:ind w:left="720"/>
      <w:contextualSpacing/>
    </w:pPr>
  </w:style>
  <w:style w:type="paragraph" w:styleId="NormalWeb">
    <w:name w:val="Normal (Web)"/>
    <w:basedOn w:val="Normal"/>
    <w:uiPriority w:val="99"/>
    <w:unhideWhenUsed/>
    <w:rsid w:val="00091567"/>
    <w:pPr>
      <w:spacing w:after="210" w:line="210" w:lineRule="atLeast"/>
      <w:jc w:val="both"/>
    </w:pPr>
    <w:rPr>
      <w:rFonts w:ascii="Times New Roman" w:eastAsia="Times New Roman" w:hAnsi="Times New Roman"/>
      <w:sz w:val="17"/>
      <w:szCs w:val="17"/>
    </w:rPr>
  </w:style>
  <w:style w:type="character" w:customStyle="1" w:styleId="Heading1Char">
    <w:name w:val="Heading 1 Char"/>
    <w:basedOn w:val="DefaultParagraphFont"/>
    <w:link w:val="Heading1"/>
    <w:uiPriority w:val="9"/>
    <w:rsid w:val="00263C0D"/>
    <w:rPr>
      <w:rFonts w:ascii="Calibri" w:eastAsia="Times New Roman" w:hAnsi="Calibri" w:cs="Times New Roman"/>
      <w:bCs/>
      <w:color w:val="F8CE68"/>
      <w:kern w:val="32"/>
      <w:sz w:val="48"/>
      <w:szCs w:val="32"/>
    </w:rPr>
  </w:style>
  <w:style w:type="paragraph" w:styleId="Title">
    <w:name w:val="Title"/>
    <w:basedOn w:val="Normal"/>
    <w:next w:val="Normal"/>
    <w:link w:val="TitleChar"/>
    <w:uiPriority w:val="10"/>
    <w:qFormat/>
    <w:rsid w:val="008D588E"/>
    <w:pPr>
      <w:spacing w:before="240" w:after="60"/>
      <w:jc w:val="center"/>
      <w:outlineLvl w:val="0"/>
    </w:pPr>
    <w:rPr>
      <w:rFonts w:ascii="Calibri" w:eastAsia="Times New Roman" w:hAnsi="Calibri"/>
      <w:bCs/>
      <w:color w:val="F57709"/>
      <w:kern w:val="28"/>
      <w:sz w:val="36"/>
      <w:szCs w:val="32"/>
    </w:rPr>
  </w:style>
  <w:style w:type="character" w:customStyle="1" w:styleId="TitleChar">
    <w:name w:val="Title Char"/>
    <w:basedOn w:val="DefaultParagraphFont"/>
    <w:link w:val="Title"/>
    <w:uiPriority w:val="10"/>
    <w:rsid w:val="008D588E"/>
    <w:rPr>
      <w:rFonts w:eastAsia="Times New Roman"/>
      <w:bCs/>
      <w:color w:val="F57709"/>
      <w:kern w:val="28"/>
      <w:sz w:val="36"/>
      <w:szCs w:val="32"/>
    </w:rPr>
  </w:style>
  <w:style w:type="paragraph" w:styleId="Subtitle">
    <w:name w:val="Subtitle"/>
    <w:basedOn w:val="Normal"/>
    <w:next w:val="Normal"/>
    <w:link w:val="SubtitleChar"/>
    <w:uiPriority w:val="11"/>
    <w:qFormat/>
    <w:rsid w:val="008D588E"/>
    <w:pPr>
      <w:spacing w:after="60"/>
      <w:outlineLvl w:val="1"/>
    </w:pPr>
    <w:rPr>
      <w:rFonts w:ascii="Calibri" w:eastAsia="Times New Roman" w:hAnsi="Calibri"/>
      <w:color w:val="F57709"/>
      <w:sz w:val="28"/>
      <w:szCs w:val="24"/>
    </w:rPr>
  </w:style>
  <w:style w:type="character" w:customStyle="1" w:styleId="SubtitleChar">
    <w:name w:val="Subtitle Char"/>
    <w:basedOn w:val="DefaultParagraphFont"/>
    <w:link w:val="Subtitle"/>
    <w:uiPriority w:val="11"/>
    <w:rsid w:val="008D588E"/>
    <w:rPr>
      <w:rFonts w:eastAsia="Times New Roman"/>
      <w:color w:val="F57709"/>
      <w:sz w:val="28"/>
      <w:szCs w:val="24"/>
    </w:rPr>
  </w:style>
  <w:style w:type="character" w:styleId="SubtleEmphasis">
    <w:name w:val="Subtle Emphasis"/>
    <w:aliases w:val="Subtitle level2"/>
    <w:basedOn w:val="DefaultParagraphFont"/>
    <w:uiPriority w:val="19"/>
    <w:rsid w:val="00263C0D"/>
    <w:rPr>
      <w:i/>
      <w:iCs/>
      <w:color w:val="808080"/>
    </w:rPr>
  </w:style>
  <w:style w:type="character" w:customStyle="1" w:styleId="Heading2Char">
    <w:name w:val="Heading 2 Char"/>
    <w:aliases w:val="Subtitle-level2 Char"/>
    <w:basedOn w:val="DefaultParagraphFont"/>
    <w:link w:val="Heading2"/>
    <w:uiPriority w:val="9"/>
    <w:rsid w:val="00263C0D"/>
    <w:rPr>
      <w:rFonts w:ascii="Calibri" w:eastAsia="Times New Roman" w:hAnsi="Calibri" w:cs="Times New Roman"/>
      <w:bCs/>
      <w:iCs/>
      <w:sz w:val="28"/>
      <w:szCs w:val="28"/>
    </w:rPr>
  </w:style>
  <w:style w:type="paragraph" w:styleId="NoSpacing">
    <w:name w:val="No Spacing"/>
    <w:aliases w:val="text"/>
    <w:uiPriority w:val="1"/>
    <w:qFormat/>
    <w:rsid w:val="00813E8A"/>
    <w:rPr>
      <w:rFonts w:ascii="Times" w:hAnsi="Times"/>
      <w:sz w:val="24"/>
      <w:szCs w:val="22"/>
    </w:rPr>
  </w:style>
  <w:style w:type="table" w:styleId="TableGrid">
    <w:name w:val="Table Grid"/>
    <w:basedOn w:val="TableNormal"/>
    <w:uiPriority w:val="59"/>
    <w:rsid w:val="000C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8190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7709"/>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DF5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ebf-fbe.eu" TargetMode="External"/><Relationship Id="rId2" Type="http://schemas.openxmlformats.org/officeDocument/2006/relationships/hyperlink" Target="http://www.ebf-fbe.eu"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07406D38E8E77A4180D1BCE6C1BA88D8" ma:contentTypeVersion="13" ma:contentTypeDescription="Create a new document." ma:contentTypeScope="" ma:versionID="0154ae24a823304b0b38fc3f6c89433f">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EBF_006249</DocRef>
    <DocSnippet xmlns="8b76e640-9ff4-4d3b-a80d-ae743ace85eb">Agenda</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Props1.xml><?xml version="1.0" encoding="utf-8"?>
<ds:datastoreItem xmlns:ds="http://schemas.openxmlformats.org/officeDocument/2006/customXml" ds:itemID="{73196633-E8B4-4C76-8421-426A1D51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257D5-F3B1-4A81-AB32-DC183BEE7AA0}">
  <ds:schemaRefs>
    <ds:schemaRef ds:uri="http://schemas.microsoft.com/sharepoint/v3/contenttype/forms"/>
  </ds:schemaRefs>
</ds:datastoreItem>
</file>

<file path=customXml/itemProps3.xml><?xml version="1.0" encoding="utf-8"?>
<ds:datastoreItem xmlns:ds="http://schemas.openxmlformats.org/officeDocument/2006/customXml" ds:itemID="{2EA013CD-1251-499E-8186-244329AA7EA7}">
  <ds:schemaRefs>
    <ds:schemaRef ds:uri="http://schemas.microsoft.com/office/2006/metadata/properties"/>
    <ds:schemaRef ds:uri="http://schemas.microsoft.com/office/infopath/2007/PartnerControls"/>
    <ds:schemaRef ds:uri="8b76e640-9ff4-4d3b-a80d-ae743ace85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Dieu</dc:creator>
  <cp:lastModifiedBy>Konstantinos Karountzos</cp:lastModifiedBy>
  <cp:revision>2</cp:revision>
  <cp:lastPrinted>2010-11-15T13:52:00Z</cp:lastPrinted>
  <dcterms:created xsi:type="dcterms:W3CDTF">2014-02-06T11:31:00Z</dcterms:created>
  <dcterms:modified xsi:type="dcterms:W3CDTF">2014-02-06T11:31:00Z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0x0101004BE274EDB6DB4922B212C2A6A2929FFF0007406D38E8E77A4180D1BCE6C1BA88D8</vt:lpwstr>
  </property>
</Properties>
</file>