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38B" w:rsidRDefault="00D8338B" w:rsidP="00D8338B">
      <w:pPr>
        <w:spacing w:line="240" w:lineRule="auto"/>
        <w:jc w:val="center"/>
        <w:rPr>
          <w:rFonts w:ascii="Tahoma" w:hAnsi="Tahoma" w:cs="Tahoma"/>
          <w:b/>
        </w:rPr>
      </w:pPr>
      <w:bookmarkStart w:id="0" w:name="_GoBack"/>
      <w:bookmarkEnd w:id="0"/>
      <w:r>
        <w:rPr>
          <w:rFonts w:ascii="Tahoma" w:hAnsi="Tahoma" w:cs="Tahoma"/>
          <w:b/>
          <w:noProof/>
        </w:rPr>
        <w:drawing>
          <wp:inline distT="0" distB="0" distL="0" distR="0" wp14:anchorId="0B654D22" wp14:editId="484CC8B9">
            <wp:extent cx="2560320" cy="2200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2200910"/>
                    </a:xfrm>
                    <a:prstGeom prst="rect">
                      <a:avLst/>
                    </a:prstGeom>
                    <a:noFill/>
                  </pic:spPr>
                </pic:pic>
              </a:graphicData>
            </a:graphic>
          </wp:inline>
        </w:drawing>
      </w:r>
    </w:p>
    <w:p w:rsidR="00D8338B" w:rsidRPr="00D8338B" w:rsidRDefault="00D8338B" w:rsidP="00D8338B">
      <w:pPr>
        <w:spacing w:after="0" w:line="240" w:lineRule="auto"/>
        <w:jc w:val="both"/>
        <w:rPr>
          <w:rFonts w:ascii="Tahoma" w:hAnsi="Tahoma" w:cs="Tahoma"/>
        </w:rPr>
      </w:pPr>
      <w:r w:rsidRPr="00D8338B">
        <w:rPr>
          <w:rFonts w:ascii="Tahoma" w:hAnsi="Tahoma" w:cs="Tahoma"/>
        </w:rPr>
        <w:t xml:space="preserve">ESMA </w:t>
      </w:r>
    </w:p>
    <w:p w:rsidR="00D8338B" w:rsidRPr="00D8338B" w:rsidRDefault="00D8338B" w:rsidP="00D8338B">
      <w:pPr>
        <w:spacing w:after="0" w:line="240" w:lineRule="auto"/>
        <w:jc w:val="both"/>
        <w:rPr>
          <w:rFonts w:ascii="Tahoma" w:hAnsi="Tahoma" w:cs="Tahoma"/>
        </w:rPr>
      </w:pPr>
      <w:r w:rsidRPr="00D8338B">
        <w:rPr>
          <w:rFonts w:ascii="Tahoma" w:hAnsi="Tahoma" w:cs="Tahoma"/>
        </w:rPr>
        <w:t xml:space="preserve">103 rue de </w:t>
      </w:r>
      <w:proofErr w:type="spellStart"/>
      <w:r w:rsidRPr="00D8338B">
        <w:rPr>
          <w:rFonts w:ascii="Tahoma" w:hAnsi="Tahoma" w:cs="Tahoma"/>
        </w:rPr>
        <w:t>Grenelle</w:t>
      </w:r>
      <w:proofErr w:type="spellEnd"/>
      <w:r w:rsidRPr="00D8338B">
        <w:rPr>
          <w:rFonts w:ascii="Tahoma" w:hAnsi="Tahoma" w:cs="Tahoma"/>
        </w:rPr>
        <w:t>,</w:t>
      </w:r>
    </w:p>
    <w:p w:rsidR="00D8338B" w:rsidRPr="00D8338B" w:rsidRDefault="00D8338B" w:rsidP="00D8338B">
      <w:pPr>
        <w:spacing w:after="0" w:line="240" w:lineRule="auto"/>
        <w:jc w:val="both"/>
        <w:rPr>
          <w:rFonts w:ascii="Tahoma" w:hAnsi="Tahoma" w:cs="Tahoma"/>
        </w:rPr>
      </w:pPr>
      <w:r w:rsidRPr="00D8338B">
        <w:rPr>
          <w:rFonts w:ascii="Tahoma" w:hAnsi="Tahoma" w:cs="Tahoma"/>
        </w:rPr>
        <w:t>75007 Paris</w:t>
      </w:r>
    </w:p>
    <w:p w:rsidR="00D8338B" w:rsidRPr="00D8338B" w:rsidRDefault="00D8338B" w:rsidP="00D8338B">
      <w:pPr>
        <w:spacing w:after="0" w:line="240" w:lineRule="auto"/>
        <w:jc w:val="both"/>
        <w:rPr>
          <w:rFonts w:ascii="Tahoma" w:hAnsi="Tahoma" w:cs="Tahoma"/>
        </w:rPr>
      </w:pPr>
      <w:r w:rsidRPr="00D8338B">
        <w:rPr>
          <w:rFonts w:ascii="Tahoma" w:hAnsi="Tahoma" w:cs="Tahoma"/>
        </w:rPr>
        <w:t>France</w:t>
      </w:r>
    </w:p>
    <w:p w:rsidR="00D8338B" w:rsidRPr="00D8338B" w:rsidRDefault="00D8338B" w:rsidP="00D8338B">
      <w:pPr>
        <w:spacing w:after="0" w:line="240" w:lineRule="auto"/>
        <w:jc w:val="both"/>
        <w:rPr>
          <w:rFonts w:ascii="Tahoma" w:hAnsi="Tahoma" w:cs="Tahoma"/>
        </w:rPr>
      </w:pPr>
    </w:p>
    <w:p w:rsidR="00D8338B" w:rsidRPr="00D8338B" w:rsidRDefault="00D8338B" w:rsidP="00D8338B">
      <w:pPr>
        <w:spacing w:after="0" w:line="240" w:lineRule="auto"/>
        <w:jc w:val="both"/>
        <w:rPr>
          <w:rFonts w:ascii="Tahoma" w:hAnsi="Tahoma" w:cs="Tahoma"/>
        </w:rPr>
      </w:pPr>
      <w:r w:rsidRPr="00D8338B">
        <w:rPr>
          <w:rFonts w:ascii="Tahoma" w:hAnsi="Tahoma" w:cs="Tahoma"/>
        </w:rPr>
        <w:t>3</w:t>
      </w:r>
      <w:r>
        <w:rPr>
          <w:rFonts w:ascii="Tahoma" w:hAnsi="Tahoma" w:cs="Tahoma"/>
        </w:rPr>
        <w:t>1</w:t>
      </w:r>
      <w:r w:rsidRPr="00D8338B">
        <w:rPr>
          <w:rFonts w:ascii="Tahoma" w:hAnsi="Tahoma" w:cs="Tahoma"/>
        </w:rPr>
        <w:t xml:space="preserve"> January 2014</w:t>
      </w:r>
    </w:p>
    <w:p w:rsidR="00D8338B" w:rsidRPr="00D8338B" w:rsidRDefault="00D8338B" w:rsidP="00D8338B">
      <w:pPr>
        <w:spacing w:after="0" w:line="240" w:lineRule="auto"/>
        <w:jc w:val="both"/>
        <w:rPr>
          <w:rFonts w:ascii="Tahoma" w:hAnsi="Tahoma" w:cs="Tahoma"/>
        </w:rPr>
      </w:pPr>
    </w:p>
    <w:p w:rsidR="00D8338B" w:rsidRDefault="00D8338B" w:rsidP="00D8338B">
      <w:pPr>
        <w:spacing w:after="0" w:line="240" w:lineRule="auto"/>
        <w:jc w:val="both"/>
        <w:rPr>
          <w:rFonts w:ascii="Tahoma" w:hAnsi="Tahoma" w:cs="Tahoma"/>
        </w:rPr>
      </w:pPr>
    </w:p>
    <w:p w:rsidR="00D8338B" w:rsidRPr="00D8338B" w:rsidRDefault="00D8338B" w:rsidP="00D8338B">
      <w:pPr>
        <w:spacing w:after="0" w:line="240" w:lineRule="auto"/>
        <w:jc w:val="both"/>
        <w:rPr>
          <w:rFonts w:ascii="Tahoma" w:hAnsi="Tahoma" w:cs="Tahoma"/>
        </w:rPr>
      </w:pPr>
      <w:r w:rsidRPr="00D8338B">
        <w:rPr>
          <w:rFonts w:ascii="Tahoma" w:hAnsi="Tahoma" w:cs="Tahoma"/>
        </w:rPr>
        <w:t>Dear Sir/Madam</w:t>
      </w:r>
    </w:p>
    <w:p w:rsidR="00D8338B" w:rsidRPr="00D8338B" w:rsidRDefault="00D8338B" w:rsidP="00D8338B">
      <w:pPr>
        <w:spacing w:after="0" w:line="240" w:lineRule="auto"/>
        <w:jc w:val="both"/>
        <w:rPr>
          <w:rFonts w:ascii="Tahoma" w:hAnsi="Tahoma" w:cs="Tahoma"/>
        </w:rPr>
      </w:pPr>
    </w:p>
    <w:p w:rsidR="00D8338B" w:rsidRDefault="00D8338B" w:rsidP="00D8338B">
      <w:pPr>
        <w:spacing w:after="0" w:line="240" w:lineRule="auto"/>
        <w:jc w:val="both"/>
        <w:rPr>
          <w:rFonts w:ascii="Tahoma" w:hAnsi="Tahoma" w:cs="Tahoma"/>
        </w:rPr>
      </w:pPr>
    </w:p>
    <w:p w:rsidR="00D8338B" w:rsidRPr="00D8338B" w:rsidRDefault="00D8338B" w:rsidP="00D8338B">
      <w:pPr>
        <w:spacing w:after="0" w:line="240" w:lineRule="auto"/>
        <w:jc w:val="both"/>
        <w:rPr>
          <w:rFonts w:ascii="Tahoma" w:hAnsi="Tahoma" w:cs="Tahoma"/>
          <w:b/>
        </w:rPr>
      </w:pPr>
      <w:r w:rsidRPr="00D8338B">
        <w:rPr>
          <w:rFonts w:ascii="Tahoma" w:hAnsi="Tahoma" w:cs="Tahoma"/>
          <w:b/>
        </w:rPr>
        <w:t>ESMA Consultation paper on the Revision of the provisions on diversification of collateral in ESMA’s guidelines on ETFs and other UCITS issues</w:t>
      </w:r>
    </w:p>
    <w:p w:rsidR="00D8338B" w:rsidRDefault="00D8338B" w:rsidP="00D8338B">
      <w:pPr>
        <w:spacing w:after="0" w:line="240" w:lineRule="auto"/>
        <w:jc w:val="both"/>
        <w:rPr>
          <w:rFonts w:ascii="Tahoma" w:hAnsi="Tahoma" w:cs="Tahoma"/>
          <w:b/>
        </w:rPr>
      </w:pPr>
    </w:p>
    <w:p w:rsidR="00D8338B" w:rsidRPr="00D8338B" w:rsidRDefault="00D8338B" w:rsidP="005D4402">
      <w:pPr>
        <w:spacing w:line="240" w:lineRule="auto"/>
        <w:jc w:val="both"/>
        <w:rPr>
          <w:rFonts w:ascii="Tahoma" w:hAnsi="Tahoma" w:cs="Tahoma"/>
        </w:rPr>
      </w:pPr>
      <w:r w:rsidRPr="00D8338B">
        <w:rPr>
          <w:rFonts w:ascii="Tahoma" w:hAnsi="Tahoma" w:cs="Tahoma"/>
        </w:rPr>
        <w:t>The Depositary and Trustee Association (“DATA”) represents all depositaries and trustees of UK based authorised funds.  At the end of</w:t>
      </w:r>
      <w:r w:rsidR="006F4ABF">
        <w:rPr>
          <w:rFonts w:ascii="Tahoma" w:hAnsi="Tahoma" w:cs="Tahoma"/>
        </w:rPr>
        <w:t xml:space="preserve"> December</w:t>
      </w:r>
      <w:r w:rsidRPr="00D8338B">
        <w:rPr>
          <w:rFonts w:ascii="Tahoma" w:hAnsi="Tahoma" w:cs="Tahoma"/>
        </w:rPr>
        <w:t xml:space="preserve"> 2013, the members of DATA were responsible for safeguarding £7</w:t>
      </w:r>
      <w:r w:rsidR="006F4ABF">
        <w:rPr>
          <w:rFonts w:ascii="Tahoma" w:hAnsi="Tahoma" w:cs="Tahoma"/>
        </w:rPr>
        <w:t>70</w:t>
      </w:r>
      <w:r w:rsidRPr="00D8338B">
        <w:rPr>
          <w:rFonts w:ascii="Tahoma" w:hAnsi="Tahoma" w:cs="Tahoma"/>
        </w:rPr>
        <w:t xml:space="preserve"> billion of fund assets.  </w:t>
      </w:r>
    </w:p>
    <w:p w:rsidR="00D8338B" w:rsidRPr="00D8338B" w:rsidRDefault="006F4ABF" w:rsidP="005D4402">
      <w:pPr>
        <w:spacing w:line="240" w:lineRule="auto"/>
        <w:jc w:val="both"/>
        <w:rPr>
          <w:rFonts w:ascii="Tahoma" w:hAnsi="Tahoma" w:cs="Tahoma"/>
        </w:rPr>
      </w:pPr>
      <w:r w:rsidRPr="006F4ABF">
        <w:rPr>
          <w:rFonts w:ascii="Tahoma" w:hAnsi="Tahoma" w:cs="Tahoma"/>
        </w:rPr>
        <w:t xml:space="preserve">Please find enclosed DATA’s response to </w:t>
      </w:r>
      <w:r>
        <w:rPr>
          <w:rFonts w:ascii="Tahoma" w:hAnsi="Tahoma" w:cs="Tahoma"/>
        </w:rPr>
        <w:t xml:space="preserve">questions raised. </w:t>
      </w:r>
    </w:p>
    <w:p w:rsidR="00D8338B" w:rsidRPr="00D8338B" w:rsidRDefault="00D8338B" w:rsidP="00D8338B">
      <w:pPr>
        <w:spacing w:line="240" w:lineRule="auto"/>
        <w:jc w:val="both"/>
        <w:rPr>
          <w:rFonts w:ascii="Tahoma" w:hAnsi="Tahoma" w:cs="Tahoma"/>
        </w:rPr>
      </w:pPr>
    </w:p>
    <w:p w:rsidR="00D8338B" w:rsidRPr="00D8338B" w:rsidRDefault="00D8338B" w:rsidP="00D8338B">
      <w:pPr>
        <w:spacing w:after="0" w:line="240" w:lineRule="auto"/>
        <w:jc w:val="both"/>
        <w:rPr>
          <w:rFonts w:ascii="Tahoma" w:hAnsi="Tahoma" w:cs="Tahoma"/>
        </w:rPr>
      </w:pPr>
      <w:r w:rsidRPr="00D8338B">
        <w:rPr>
          <w:rFonts w:ascii="Tahoma" w:hAnsi="Tahoma" w:cs="Tahoma"/>
        </w:rPr>
        <w:t>Yours sincerely</w:t>
      </w:r>
    </w:p>
    <w:p w:rsidR="00D8338B" w:rsidRPr="00D8338B" w:rsidRDefault="00D8338B" w:rsidP="00D8338B">
      <w:pPr>
        <w:spacing w:after="0" w:line="240" w:lineRule="auto"/>
        <w:jc w:val="both"/>
        <w:rPr>
          <w:rFonts w:ascii="Tahoma" w:hAnsi="Tahoma" w:cs="Tahoma"/>
        </w:rPr>
      </w:pPr>
      <w:r w:rsidRPr="00D8338B">
        <w:rPr>
          <w:rFonts w:ascii="Tahoma" w:hAnsi="Tahoma" w:cs="Tahoma"/>
        </w:rPr>
        <w:t xml:space="preserve"> </w:t>
      </w:r>
    </w:p>
    <w:p w:rsidR="00D8338B" w:rsidRPr="00D8338B" w:rsidRDefault="00FB29D9" w:rsidP="00D8338B">
      <w:pPr>
        <w:spacing w:after="0" w:line="240" w:lineRule="auto"/>
        <w:jc w:val="both"/>
        <w:rPr>
          <w:rFonts w:ascii="Tahoma" w:hAnsi="Tahoma" w:cs="Tahoma"/>
        </w:rPr>
      </w:pPr>
      <w:r>
        <w:rPr>
          <w:rFonts w:ascii="Tahoma" w:hAnsi="Tahoma" w:cs="Tahoma"/>
          <w:noProof/>
        </w:rPr>
        <w:drawing>
          <wp:inline distT="0" distB="0" distL="0" distR="0" wp14:anchorId="33BD724D" wp14:editId="05D6BEC1">
            <wp:extent cx="1926590"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6590" cy="664210"/>
                    </a:xfrm>
                    <a:prstGeom prst="rect">
                      <a:avLst/>
                    </a:prstGeom>
                    <a:noFill/>
                  </pic:spPr>
                </pic:pic>
              </a:graphicData>
            </a:graphic>
          </wp:inline>
        </w:drawing>
      </w:r>
    </w:p>
    <w:p w:rsidR="00D8338B" w:rsidRPr="00D8338B" w:rsidRDefault="00D8338B" w:rsidP="00D8338B">
      <w:pPr>
        <w:spacing w:after="0" w:line="240" w:lineRule="auto"/>
        <w:jc w:val="both"/>
        <w:rPr>
          <w:rFonts w:ascii="Tahoma" w:hAnsi="Tahoma" w:cs="Tahoma"/>
        </w:rPr>
      </w:pPr>
      <w:r w:rsidRPr="00D8338B">
        <w:rPr>
          <w:rFonts w:ascii="Tahoma" w:hAnsi="Tahoma" w:cs="Tahoma"/>
        </w:rPr>
        <w:t>Alan Davies</w:t>
      </w:r>
    </w:p>
    <w:p w:rsidR="00D8338B" w:rsidRPr="00D8338B" w:rsidRDefault="00D8338B" w:rsidP="00D8338B">
      <w:pPr>
        <w:spacing w:after="0" w:line="240" w:lineRule="auto"/>
        <w:jc w:val="both"/>
        <w:rPr>
          <w:rFonts w:ascii="Tahoma" w:hAnsi="Tahoma" w:cs="Tahoma"/>
        </w:rPr>
      </w:pPr>
      <w:r w:rsidRPr="00D8338B">
        <w:rPr>
          <w:rFonts w:ascii="Tahoma" w:hAnsi="Tahoma" w:cs="Tahoma"/>
        </w:rPr>
        <w:t>DATA Chairman</w:t>
      </w:r>
    </w:p>
    <w:p w:rsidR="00D8338B" w:rsidRDefault="00D8338B" w:rsidP="005D4402">
      <w:pPr>
        <w:spacing w:line="240" w:lineRule="auto"/>
        <w:jc w:val="both"/>
        <w:rPr>
          <w:rFonts w:ascii="Tahoma" w:hAnsi="Tahoma" w:cs="Tahoma"/>
          <w:b/>
        </w:rPr>
      </w:pPr>
    </w:p>
    <w:p w:rsidR="00DC3899" w:rsidRPr="002504B3" w:rsidRDefault="00DC3899" w:rsidP="005D4402">
      <w:pPr>
        <w:spacing w:line="240" w:lineRule="auto"/>
        <w:jc w:val="both"/>
        <w:rPr>
          <w:rFonts w:ascii="Tahoma" w:hAnsi="Tahoma" w:cs="Tahoma"/>
          <w:b/>
        </w:rPr>
      </w:pPr>
      <w:r>
        <w:rPr>
          <w:rFonts w:ascii="Tahoma" w:hAnsi="Tahoma" w:cs="Tahoma"/>
          <w:b/>
        </w:rPr>
        <w:lastRenderedPageBreak/>
        <w:t xml:space="preserve">DATA </w:t>
      </w:r>
      <w:r w:rsidRPr="002504B3">
        <w:rPr>
          <w:rFonts w:ascii="Tahoma" w:hAnsi="Tahoma" w:cs="Tahoma"/>
          <w:b/>
        </w:rPr>
        <w:t>response to ESMA consultation on “Revision of the provisions on diversification of collateral in ESMA’s guidelines on ETFs and other UCITS issues”</w:t>
      </w:r>
      <w:r w:rsidRPr="002504B3" w:rsidDel="002504B3">
        <w:rPr>
          <w:rFonts w:ascii="Tahoma" w:hAnsi="Tahoma" w:cs="Tahoma"/>
          <w:b/>
        </w:rPr>
        <w:t xml:space="preserve"> </w:t>
      </w:r>
    </w:p>
    <w:p w:rsidR="00DC3899" w:rsidRPr="002504B3" w:rsidRDefault="00DC3899" w:rsidP="005D4402">
      <w:pPr>
        <w:spacing w:line="240" w:lineRule="auto"/>
        <w:jc w:val="both"/>
        <w:rPr>
          <w:rFonts w:ascii="Tahoma" w:hAnsi="Tahoma" w:cs="Tahoma"/>
          <w:b/>
          <w:i/>
        </w:rPr>
      </w:pPr>
      <w:r w:rsidRPr="002504B3">
        <w:rPr>
          <w:rFonts w:ascii="Tahoma" w:hAnsi="Tahoma" w:cs="Tahoma"/>
          <w:b/>
          <w:i/>
        </w:rPr>
        <w:t>Q1 Do you believe that ESMA should revise the rules for the diversification of collateral received by UCITS that take the form of Money Market Funds in the context of efficient portfolio management  techniques and OTC transactions?  If yes, do you agree with ESMA’s proposal?</w:t>
      </w:r>
    </w:p>
    <w:p w:rsidR="00DC3899" w:rsidRPr="00623CE0" w:rsidRDefault="00DC3899" w:rsidP="005D4402">
      <w:pPr>
        <w:spacing w:line="240" w:lineRule="auto"/>
        <w:jc w:val="both"/>
        <w:rPr>
          <w:rFonts w:ascii="Tahoma" w:hAnsi="Tahoma" w:cs="Tahoma"/>
        </w:rPr>
      </w:pPr>
      <w:r w:rsidRPr="00623CE0">
        <w:rPr>
          <w:rFonts w:ascii="Tahoma" w:hAnsi="Tahoma" w:cs="Tahoma"/>
        </w:rPr>
        <w:t xml:space="preserve">We support the proposed revision of the provisions on diversification of collateral.  This will increase the flexibility of money market funds (MMFs) (and other UCITS) to engage in reverse repurchase agreement transactions collateralised by government securities.  </w:t>
      </w:r>
      <w:r w:rsidR="00D8338B" w:rsidRPr="00D8338B">
        <w:rPr>
          <w:rFonts w:ascii="Tahoma" w:hAnsi="Tahoma" w:cs="Tahoma"/>
        </w:rPr>
        <w:t>Whilst we support collateral diversification in principle, we believe that it is important to have a level playing field between all schemes that accept collateral and for that reason our preference is for Option 2, as this would enable all UCITS to receive the benefit of the derogation</w:t>
      </w:r>
      <w:r w:rsidR="00D8338B">
        <w:rPr>
          <w:rFonts w:ascii="Tahoma" w:hAnsi="Tahoma" w:cs="Tahoma"/>
        </w:rPr>
        <w:t xml:space="preserve">.  </w:t>
      </w:r>
      <w:r w:rsidRPr="00623CE0">
        <w:rPr>
          <w:rFonts w:ascii="Tahoma" w:hAnsi="Tahoma" w:cs="Tahoma"/>
        </w:rPr>
        <w:t>If there is to be a distinction, ESMA should conduct an impact assessment to clarify the reason for its preference for Option 1.</w:t>
      </w:r>
    </w:p>
    <w:p w:rsidR="00DC3899" w:rsidRPr="00623CE0" w:rsidRDefault="00DC3899" w:rsidP="005D4402">
      <w:pPr>
        <w:spacing w:line="240" w:lineRule="auto"/>
        <w:jc w:val="both"/>
        <w:rPr>
          <w:rFonts w:ascii="Tahoma" w:hAnsi="Tahoma" w:cs="Tahoma"/>
        </w:rPr>
      </w:pPr>
      <w:r w:rsidRPr="00623CE0">
        <w:rPr>
          <w:rFonts w:ascii="Tahoma" w:hAnsi="Tahoma" w:cs="Tahoma"/>
        </w:rPr>
        <w:t xml:space="preserve">All UCITS funds are impacted by </w:t>
      </w:r>
      <w:r>
        <w:rPr>
          <w:rFonts w:ascii="Tahoma" w:hAnsi="Tahoma" w:cs="Tahoma"/>
        </w:rPr>
        <w:t>the current</w:t>
      </w:r>
      <w:r w:rsidRPr="00623CE0">
        <w:rPr>
          <w:rFonts w:ascii="Tahoma" w:hAnsi="Tahoma" w:cs="Tahoma"/>
        </w:rPr>
        <w:t xml:space="preserve"> restriction</w:t>
      </w:r>
      <w:r>
        <w:rPr>
          <w:rFonts w:ascii="Tahoma" w:hAnsi="Tahoma" w:cs="Tahoma"/>
        </w:rPr>
        <w:t xml:space="preserve"> within paragraph 43(e), so</w:t>
      </w:r>
      <w:r w:rsidRPr="00623CE0">
        <w:rPr>
          <w:rFonts w:ascii="Tahoma" w:hAnsi="Tahoma" w:cs="Tahoma"/>
        </w:rPr>
        <w:t xml:space="preserve"> there does not appear to be a market rationale for distinguishing between MMFs and other types of UCITS. Any UCITS that utilises efficient portfolio management techniques such as securities lending or repurchase agreements or receives collateral from counterparties in relation to OTC derivative transactions, should benefit from the derogation.  </w:t>
      </w:r>
    </w:p>
    <w:p w:rsidR="00DC3899" w:rsidRDefault="00DC3899" w:rsidP="00623CE0">
      <w:pPr>
        <w:pStyle w:val="ListParagraph"/>
        <w:spacing w:line="240" w:lineRule="auto"/>
        <w:ind w:left="0"/>
        <w:jc w:val="both"/>
        <w:rPr>
          <w:rFonts w:ascii="Tahoma" w:hAnsi="Tahoma" w:cs="Tahoma"/>
        </w:rPr>
      </w:pPr>
      <w:r w:rsidRPr="00E7191E">
        <w:rPr>
          <w:rFonts w:ascii="Tahoma" w:hAnsi="Tahoma" w:cs="Tahoma"/>
        </w:rPr>
        <w:t>The primary criteria</w:t>
      </w:r>
      <w:r>
        <w:rPr>
          <w:rFonts w:ascii="Tahoma" w:hAnsi="Tahoma" w:cs="Tahoma"/>
        </w:rPr>
        <w:t xml:space="preserve"> for </w:t>
      </w:r>
      <w:r w:rsidRPr="00E7191E">
        <w:rPr>
          <w:rFonts w:ascii="Tahoma" w:hAnsi="Tahoma" w:cs="Tahoma"/>
        </w:rPr>
        <w:t xml:space="preserve">collateral </w:t>
      </w:r>
      <w:r>
        <w:rPr>
          <w:rFonts w:ascii="Tahoma" w:hAnsi="Tahoma" w:cs="Tahoma"/>
        </w:rPr>
        <w:t xml:space="preserve">in relation to </w:t>
      </w:r>
      <w:r w:rsidRPr="00E7191E">
        <w:rPr>
          <w:rFonts w:ascii="Tahoma" w:hAnsi="Tahoma" w:cs="Tahoma"/>
        </w:rPr>
        <w:t>EPM techniques such as securities lending, repo and reverse repo is liquidity and stability in times of market stress.  That is why sovereign debt has always been and continues to be seen as the most desirable form of collateral.</w:t>
      </w:r>
      <w:r>
        <w:rPr>
          <w:rFonts w:ascii="Tahoma" w:hAnsi="Tahoma" w:cs="Tahoma"/>
        </w:rPr>
        <w:t xml:space="preserve">  </w:t>
      </w:r>
      <w:r w:rsidRPr="00E7191E">
        <w:rPr>
          <w:rFonts w:ascii="Tahoma" w:hAnsi="Tahoma" w:cs="Tahoma"/>
        </w:rPr>
        <w:t xml:space="preserve">As currently drafted, the ESMA Guidelines which come into force from 18 February 2014 will force UCITS funds engaging in EPM techniques to restrict the amount of sovereign debt they can accept as collateral from a single government issuer.  To obtain appropriate levels of diversification in high quality government issuers as required by Guideline 43 (j), managers in many cases would be forced to take on exposure to currencies other than those of the base currency of the fund.  To avoid taking on this currency risk </w:t>
      </w:r>
      <w:r>
        <w:rPr>
          <w:rFonts w:ascii="Tahoma" w:hAnsi="Tahoma" w:cs="Tahoma"/>
        </w:rPr>
        <w:t>an</w:t>
      </w:r>
      <w:r w:rsidRPr="00E7191E">
        <w:rPr>
          <w:rFonts w:ascii="Tahoma" w:hAnsi="Tahoma" w:cs="Tahoma"/>
        </w:rPr>
        <w:t xml:space="preserve"> alternative is to hold higher levels of cash deposits </w:t>
      </w:r>
      <w:r>
        <w:rPr>
          <w:rFonts w:ascii="Tahoma" w:hAnsi="Tahoma" w:cs="Tahoma"/>
        </w:rPr>
        <w:t>which could result in i</w:t>
      </w:r>
      <w:r w:rsidRPr="00E7191E">
        <w:rPr>
          <w:rFonts w:ascii="Tahoma" w:hAnsi="Tahoma" w:cs="Tahoma"/>
        </w:rPr>
        <w:t xml:space="preserve">ncreased credit risk </w:t>
      </w:r>
      <w:r>
        <w:rPr>
          <w:rFonts w:ascii="Tahoma" w:hAnsi="Tahoma" w:cs="Tahoma"/>
        </w:rPr>
        <w:t>for</w:t>
      </w:r>
      <w:r w:rsidRPr="00E7191E">
        <w:rPr>
          <w:rFonts w:ascii="Tahoma" w:hAnsi="Tahoma" w:cs="Tahoma"/>
        </w:rPr>
        <w:t xml:space="preserve"> </w:t>
      </w:r>
      <w:r>
        <w:rPr>
          <w:rFonts w:ascii="Tahoma" w:hAnsi="Tahoma" w:cs="Tahoma"/>
        </w:rPr>
        <w:t>UCITS funds.</w:t>
      </w:r>
      <w:r w:rsidRPr="0073760D">
        <w:rPr>
          <w:rFonts w:ascii="Tahoma" w:hAnsi="Tahoma" w:cs="Tahoma"/>
        </w:rPr>
        <w:t xml:space="preserve"> </w:t>
      </w:r>
    </w:p>
    <w:p w:rsidR="00DC3899" w:rsidRDefault="00DC3899" w:rsidP="00623CE0">
      <w:pPr>
        <w:pStyle w:val="ListParagraph"/>
        <w:spacing w:line="240" w:lineRule="auto"/>
        <w:ind w:left="0"/>
        <w:jc w:val="both"/>
        <w:rPr>
          <w:rFonts w:ascii="Tahoma" w:hAnsi="Tahoma" w:cs="Tahoma"/>
        </w:rPr>
      </w:pPr>
    </w:p>
    <w:p w:rsidR="00DC3899" w:rsidRPr="002504B3" w:rsidRDefault="00DC3899" w:rsidP="005D4402">
      <w:pPr>
        <w:spacing w:line="240" w:lineRule="auto"/>
        <w:jc w:val="both"/>
        <w:rPr>
          <w:rFonts w:ascii="Tahoma" w:hAnsi="Tahoma" w:cs="Tahoma"/>
          <w:b/>
          <w:i/>
        </w:rPr>
      </w:pPr>
      <w:r w:rsidRPr="002504B3">
        <w:rPr>
          <w:rFonts w:ascii="Tahoma" w:hAnsi="Tahoma" w:cs="Tahoma"/>
          <w:b/>
          <w:i/>
        </w:rPr>
        <w:t>Q2 Do you think that ESMA should introduce additional safeguards for government bonds received as collateral (such as a specific issuer limit) in order to ensure a certain level of diversification?  Please give reasons for your answer.</w:t>
      </w:r>
    </w:p>
    <w:p w:rsidR="00D8338B" w:rsidRDefault="00D8338B" w:rsidP="005D4402">
      <w:pPr>
        <w:spacing w:line="240" w:lineRule="auto"/>
        <w:jc w:val="both"/>
        <w:rPr>
          <w:rFonts w:ascii="Tahoma" w:hAnsi="Tahoma" w:cs="Tahoma"/>
        </w:rPr>
      </w:pPr>
      <w:r w:rsidRPr="00D8338B">
        <w:rPr>
          <w:rFonts w:ascii="Tahoma" w:hAnsi="Tahoma" w:cs="Tahoma"/>
        </w:rPr>
        <w:t>The purpose of collateral is to mitigate counterparty risk and the critical characteristic of acceptable collateral is that it is of good quality, maintain</w:t>
      </w:r>
      <w:r>
        <w:rPr>
          <w:rFonts w:ascii="Tahoma" w:hAnsi="Tahoma" w:cs="Tahoma"/>
        </w:rPr>
        <w:t>s a stable value and is liquid.  A</w:t>
      </w:r>
      <w:r w:rsidRPr="00D8338B">
        <w:rPr>
          <w:rFonts w:ascii="Tahoma" w:hAnsi="Tahoma" w:cs="Tahoma"/>
        </w:rPr>
        <w:t xml:space="preserve"> UCITS must satisfy the other requirements in paragraph 43 </w:t>
      </w:r>
      <w:r>
        <w:rPr>
          <w:rFonts w:ascii="Tahoma" w:hAnsi="Tahoma" w:cs="Tahoma"/>
        </w:rPr>
        <w:t xml:space="preserve">of ESMA’s Guidelines </w:t>
      </w:r>
      <w:r w:rsidRPr="00D8338B">
        <w:rPr>
          <w:rFonts w:ascii="Tahoma" w:hAnsi="Tahoma" w:cs="Tahoma"/>
        </w:rPr>
        <w:t xml:space="preserve">and </w:t>
      </w:r>
      <w:r>
        <w:rPr>
          <w:rFonts w:ascii="Tahoma" w:hAnsi="Tahoma" w:cs="Tahoma"/>
        </w:rPr>
        <w:t xml:space="preserve">must </w:t>
      </w:r>
      <w:r w:rsidRPr="00D8338B">
        <w:rPr>
          <w:rFonts w:ascii="Tahoma" w:hAnsi="Tahoma" w:cs="Tahoma"/>
        </w:rPr>
        <w:t>make appropriate disclosures to investors in accordance with paragraph 47</w:t>
      </w:r>
      <w:r>
        <w:rPr>
          <w:rFonts w:ascii="Tahoma" w:hAnsi="Tahoma" w:cs="Tahoma"/>
        </w:rPr>
        <w:t xml:space="preserve">.  </w:t>
      </w:r>
    </w:p>
    <w:p w:rsidR="00DC3899" w:rsidRPr="002504B3" w:rsidRDefault="00DC3899" w:rsidP="005D4402">
      <w:pPr>
        <w:spacing w:line="240" w:lineRule="auto"/>
        <w:jc w:val="both"/>
        <w:rPr>
          <w:rFonts w:ascii="Tahoma" w:hAnsi="Tahoma" w:cs="Tahoma"/>
        </w:rPr>
      </w:pPr>
      <w:r w:rsidRPr="00220A71">
        <w:rPr>
          <w:rFonts w:ascii="Tahoma" w:hAnsi="Tahoma" w:cs="Tahoma"/>
        </w:rPr>
        <w:t>Given the existing standards for selecting counterparties and monitoring collateral</w:t>
      </w:r>
      <w:r>
        <w:rPr>
          <w:rFonts w:ascii="Tahoma" w:hAnsi="Tahoma" w:cs="Tahoma"/>
        </w:rPr>
        <w:t xml:space="preserve">, </w:t>
      </w:r>
      <w:r w:rsidRPr="00220A71">
        <w:rPr>
          <w:rFonts w:ascii="Tahoma" w:hAnsi="Tahoma" w:cs="Tahoma"/>
        </w:rPr>
        <w:t xml:space="preserve">additional safeguards </w:t>
      </w:r>
      <w:r>
        <w:rPr>
          <w:rFonts w:ascii="Tahoma" w:hAnsi="Tahoma" w:cs="Tahoma"/>
        </w:rPr>
        <w:t xml:space="preserve">would not </w:t>
      </w:r>
      <w:r w:rsidR="00666D4A">
        <w:rPr>
          <w:rFonts w:ascii="Tahoma" w:hAnsi="Tahoma" w:cs="Tahoma"/>
        </w:rPr>
        <w:t xml:space="preserve">automatically </w:t>
      </w:r>
      <w:r w:rsidRPr="00220A71">
        <w:rPr>
          <w:rFonts w:ascii="Tahoma" w:hAnsi="Tahoma" w:cs="Tahoma"/>
        </w:rPr>
        <w:t xml:space="preserve">enhance risk management or </w:t>
      </w:r>
      <w:r w:rsidR="00666D4A">
        <w:rPr>
          <w:rFonts w:ascii="Tahoma" w:hAnsi="Tahoma" w:cs="Tahoma"/>
        </w:rPr>
        <w:t xml:space="preserve">necessarily </w:t>
      </w:r>
      <w:r w:rsidRPr="00220A71">
        <w:rPr>
          <w:rFonts w:ascii="Tahoma" w:hAnsi="Tahoma" w:cs="Tahoma"/>
        </w:rPr>
        <w:t xml:space="preserve">better protect the assets of the end-investor.  </w:t>
      </w:r>
      <w:r w:rsidR="00666D4A">
        <w:rPr>
          <w:rFonts w:ascii="Tahoma" w:hAnsi="Tahoma" w:cs="Tahoma"/>
        </w:rPr>
        <w:t xml:space="preserve">However, we believe that any proposed measure that seeks to </w:t>
      </w:r>
      <w:r w:rsidR="00666D4A">
        <w:rPr>
          <w:rFonts w:ascii="Tahoma" w:hAnsi="Tahoma" w:cs="Tahoma"/>
        </w:rPr>
        <w:lastRenderedPageBreak/>
        <w:t>diversify risk exposures should be considered providing it does not have any unintended consequences</w:t>
      </w:r>
      <w:r w:rsidR="002950B8">
        <w:rPr>
          <w:rFonts w:ascii="Tahoma" w:hAnsi="Tahoma" w:cs="Tahoma"/>
        </w:rPr>
        <w:t>,</w:t>
      </w:r>
      <w:r w:rsidR="00666D4A">
        <w:rPr>
          <w:rFonts w:ascii="Tahoma" w:hAnsi="Tahoma" w:cs="Tahoma"/>
        </w:rPr>
        <w:t xml:space="preserve"> such as increasing cost or increasing risks elsewhere. </w:t>
      </w:r>
    </w:p>
    <w:p w:rsidR="00DC3899" w:rsidRPr="00506475" w:rsidRDefault="00DC3899" w:rsidP="005D4402">
      <w:pPr>
        <w:spacing w:line="240" w:lineRule="auto"/>
        <w:jc w:val="both"/>
        <w:rPr>
          <w:rFonts w:ascii="Tahoma" w:hAnsi="Tahoma" w:cs="Tahoma"/>
          <w:b/>
          <w:i/>
        </w:rPr>
      </w:pPr>
      <w:r w:rsidRPr="00506475">
        <w:rPr>
          <w:rFonts w:ascii="Tahoma" w:hAnsi="Tahoma" w:cs="Tahoma"/>
          <w:b/>
          <w:i/>
        </w:rPr>
        <w:t>Q3 Do you agree with the proposed requirement to diversify the government securities across at least six different issues?</w:t>
      </w:r>
    </w:p>
    <w:p w:rsidR="00D8338B" w:rsidRDefault="00D8338B" w:rsidP="005D4402">
      <w:pPr>
        <w:spacing w:line="240" w:lineRule="auto"/>
        <w:jc w:val="both"/>
        <w:rPr>
          <w:rFonts w:ascii="Tahoma" w:hAnsi="Tahoma" w:cs="Tahoma"/>
        </w:rPr>
      </w:pPr>
      <w:r w:rsidRPr="00D8338B">
        <w:rPr>
          <w:rFonts w:ascii="Tahoma" w:hAnsi="Tahoma" w:cs="Tahoma"/>
        </w:rPr>
        <w:t xml:space="preserve">Whilst we support collateral diversification in principle we understand that the proposal may present some practical difficulties for </w:t>
      </w:r>
      <w:r>
        <w:rPr>
          <w:rFonts w:ascii="Tahoma" w:hAnsi="Tahoma" w:cs="Tahoma"/>
        </w:rPr>
        <w:t>UCITS</w:t>
      </w:r>
      <w:r w:rsidRPr="00D8338B">
        <w:rPr>
          <w:rFonts w:ascii="Tahoma" w:hAnsi="Tahoma" w:cs="Tahoma"/>
        </w:rPr>
        <w:t xml:space="preserve"> managers seeking to comply with these requirements</w:t>
      </w:r>
      <w:r>
        <w:rPr>
          <w:rFonts w:ascii="Tahoma" w:hAnsi="Tahoma" w:cs="Tahoma"/>
        </w:rPr>
        <w:t>.</w:t>
      </w:r>
    </w:p>
    <w:p w:rsidR="00DC3899" w:rsidRDefault="00D8338B" w:rsidP="005D4402">
      <w:pPr>
        <w:spacing w:line="240" w:lineRule="auto"/>
        <w:jc w:val="both"/>
        <w:rPr>
          <w:rFonts w:ascii="Tahoma" w:hAnsi="Tahoma" w:cs="Tahoma"/>
        </w:rPr>
      </w:pPr>
      <w:r>
        <w:rPr>
          <w:rFonts w:ascii="Tahoma" w:hAnsi="Tahoma" w:cs="Tahoma"/>
        </w:rPr>
        <w:t>T</w:t>
      </w:r>
      <w:r w:rsidR="00DC3899" w:rsidRPr="00623CE0">
        <w:rPr>
          <w:rFonts w:ascii="Tahoma" w:hAnsi="Tahoma" w:cs="Tahoma"/>
        </w:rPr>
        <w:t>he requirement that UCITS must receive collateral comprised of at least 6 different issues</w:t>
      </w:r>
      <w:r>
        <w:rPr>
          <w:rFonts w:ascii="Tahoma" w:hAnsi="Tahoma" w:cs="Tahoma"/>
        </w:rPr>
        <w:t xml:space="preserve"> </w:t>
      </w:r>
      <w:r w:rsidR="00DC3899" w:rsidRPr="00623CE0">
        <w:rPr>
          <w:rFonts w:ascii="Tahoma" w:hAnsi="Tahoma" w:cs="Tahoma"/>
        </w:rPr>
        <w:t xml:space="preserve">would have the effect of restricting a UCITS’ otherwise reasonable use of </w:t>
      </w:r>
      <w:r w:rsidR="00DC3899">
        <w:rPr>
          <w:rFonts w:ascii="Tahoma" w:hAnsi="Tahoma" w:cs="Tahoma"/>
        </w:rPr>
        <w:t>government debt</w:t>
      </w:r>
      <w:r w:rsidR="00DC3899" w:rsidRPr="00623CE0">
        <w:rPr>
          <w:rFonts w:ascii="Tahoma" w:hAnsi="Tahoma" w:cs="Tahoma"/>
        </w:rPr>
        <w:t xml:space="preserve"> reverse-repo without enhancing potential liquidity.</w:t>
      </w:r>
      <w:r w:rsidR="00666D4A">
        <w:rPr>
          <w:rFonts w:ascii="Tahoma" w:hAnsi="Tahoma" w:cs="Tahoma"/>
        </w:rPr>
        <w:t xml:space="preserve"> Instead, as an example, it may be more appropriate to introduce a proposal that considers the current credit rating of the issuer with less diversification of holdings required for higher rated issuers</w:t>
      </w:r>
      <w:r w:rsidR="001005B0">
        <w:rPr>
          <w:rFonts w:ascii="Tahoma" w:hAnsi="Tahoma" w:cs="Tahoma"/>
        </w:rPr>
        <w:t xml:space="preserve">. </w:t>
      </w:r>
    </w:p>
    <w:p w:rsidR="00DC3899" w:rsidRPr="00453A34" w:rsidRDefault="00DC3899" w:rsidP="00453A34">
      <w:pPr>
        <w:spacing w:line="240" w:lineRule="auto"/>
        <w:jc w:val="both"/>
        <w:rPr>
          <w:rFonts w:ascii="Tahoma" w:hAnsi="Tahoma" w:cs="Tahoma"/>
        </w:rPr>
      </w:pPr>
      <w:r w:rsidRPr="00453A34">
        <w:rPr>
          <w:rFonts w:ascii="Tahoma" w:hAnsi="Tahoma" w:cs="Tahoma"/>
        </w:rPr>
        <w:t xml:space="preserve">The industry </w:t>
      </w:r>
      <w:r w:rsidR="00666D4A">
        <w:rPr>
          <w:rFonts w:ascii="Tahoma" w:hAnsi="Tahoma" w:cs="Tahoma"/>
        </w:rPr>
        <w:t>would</w:t>
      </w:r>
      <w:r w:rsidR="00666D4A" w:rsidRPr="00453A34">
        <w:rPr>
          <w:rFonts w:ascii="Tahoma" w:hAnsi="Tahoma" w:cs="Tahoma"/>
        </w:rPr>
        <w:t xml:space="preserve"> </w:t>
      </w:r>
      <w:r w:rsidRPr="00453A34">
        <w:rPr>
          <w:rFonts w:ascii="Tahoma" w:hAnsi="Tahoma" w:cs="Tahoma"/>
        </w:rPr>
        <w:t xml:space="preserve">be challenged to </w:t>
      </w:r>
      <w:r>
        <w:rPr>
          <w:rFonts w:ascii="Tahoma" w:hAnsi="Tahoma" w:cs="Tahoma"/>
        </w:rPr>
        <w:t>comply</w:t>
      </w:r>
      <w:r w:rsidRPr="00453A34">
        <w:rPr>
          <w:rFonts w:ascii="Tahoma" w:hAnsi="Tahoma" w:cs="Tahoma"/>
        </w:rPr>
        <w:t xml:space="preserve"> with a “minimum number of positions” requirement.  If ESMA perseveres with this aspect of the proposal, it should allow sufficient lead time to facilitate compliance.  Otherwise, the guideline will have unforeseen, negative consequences</w:t>
      </w:r>
      <w:r>
        <w:rPr>
          <w:rFonts w:ascii="Tahoma" w:hAnsi="Tahoma" w:cs="Tahoma"/>
        </w:rPr>
        <w:t xml:space="preserve">.  This </w:t>
      </w:r>
      <w:r w:rsidRPr="00453A34">
        <w:rPr>
          <w:rFonts w:ascii="Tahoma" w:hAnsi="Tahoma" w:cs="Tahoma"/>
        </w:rPr>
        <w:t>would cause UCITS to have to revert to an issue limitation that is likely to be more restrictive than the 30% “safe harbour” for a single issue (as proposed).  The operational difficulties could impact the ability of UCITS managers to manage their funds effectively to the detriment of investors</w:t>
      </w:r>
    </w:p>
    <w:p w:rsidR="00DC3899" w:rsidRPr="002504B3" w:rsidRDefault="00DC3899" w:rsidP="00453A34">
      <w:pPr>
        <w:spacing w:line="240" w:lineRule="auto"/>
        <w:jc w:val="both"/>
        <w:rPr>
          <w:rFonts w:ascii="Tahoma" w:hAnsi="Tahoma" w:cs="Tahoma"/>
        </w:rPr>
      </w:pPr>
      <w:r>
        <w:rPr>
          <w:rFonts w:ascii="Tahoma" w:hAnsi="Tahoma" w:cs="Tahoma"/>
        </w:rPr>
        <w:t>The proposed</w:t>
      </w:r>
      <w:r w:rsidRPr="00453A34">
        <w:rPr>
          <w:rFonts w:ascii="Tahoma" w:hAnsi="Tahoma" w:cs="Tahoma"/>
        </w:rPr>
        <w:t xml:space="preserve"> diversification requirement would also necessitate a major revision of current arrangements, which would be costly and resource intensive.  </w:t>
      </w:r>
    </w:p>
    <w:p w:rsidR="00DC3899" w:rsidRPr="002504B3" w:rsidRDefault="00DC3899" w:rsidP="005D4402">
      <w:pPr>
        <w:spacing w:line="240" w:lineRule="auto"/>
        <w:jc w:val="both"/>
        <w:rPr>
          <w:rFonts w:ascii="Tahoma" w:hAnsi="Tahoma" w:cs="Tahoma"/>
        </w:rPr>
      </w:pPr>
    </w:p>
    <w:p w:rsidR="00DC3899" w:rsidRPr="002504B3" w:rsidRDefault="00DC3899" w:rsidP="005D4402">
      <w:pPr>
        <w:spacing w:line="240" w:lineRule="auto"/>
        <w:jc w:val="both"/>
        <w:rPr>
          <w:rFonts w:ascii="Tahoma" w:hAnsi="Tahoma" w:cs="Tahoma"/>
        </w:rPr>
      </w:pPr>
    </w:p>
    <w:sectPr w:rsidR="00DC3899" w:rsidRPr="002504B3" w:rsidSect="00F76A6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38B" w:rsidRDefault="00D8338B" w:rsidP="00D8338B">
      <w:pPr>
        <w:spacing w:after="0" w:line="240" w:lineRule="auto"/>
      </w:pPr>
      <w:r>
        <w:separator/>
      </w:r>
    </w:p>
  </w:endnote>
  <w:endnote w:type="continuationSeparator" w:id="0">
    <w:p w:rsidR="00D8338B" w:rsidRDefault="00D8338B" w:rsidP="00D83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8B" w:rsidRPr="00D8338B" w:rsidRDefault="00D8338B" w:rsidP="00D8338B">
    <w:pPr>
      <w:autoSpaceDE w:val="0"/>
      <w:autoSpaceDN w:val="0"/>
      <w:adjustRightInd w:val="0"/>
      <w:spacing w:after="0" w:line="240" w:lineRule="auto"/>
      <w:ind w:firstLine="720"/>
      <w:jc w:val="center"/>
      <w:rPr>
        <w:rFonts w:ascii="BookmanOldStyle" w:eastAsia="Calibri" w:hAnsi="BookmanOldStyle" w:cs="BookmanOldStyle"/>
        <w:sz w:val="19"/>
        <w:szCs w:val="19"/>
      </w:rPr>
    </w:pPr>
    <w:r w:rsidRPr="00D8338B">
      <w:rPr>
        <w:rFonts w:ascii="BookmanOldStyle" w:eastAsia="Calibri" w:hAnsi="BookmanOldStyle" w:cs="BookmanOldStyle"/>
        <w:sz w:val="19"/>
        <w:szCs w:val="19"/>
      </w:rPr>
      <w:t>65 KINGSWAY LONDON WC2B 6TD TEL: +44 (0)20 7831 5873</w:t>
    </w:r>
  </w:p>
  <w:p w:rsidR="00D8338B" w:rsidRPr="00D8338B" w:rsidRDefault="00D8338B" w:rsidP="00D8338B">
    <w:pPr>
      <w:autoSpaceDE w:val="0"/>
      <w:autoSpaceDN w:val="0"/>
      <w:adjustRightInd w:val="0"/>
      <w:spacing w:after="0" w:line="240" w:lineRule="auto"/>
      <w:jc w:val="center"/>
      <w:rPr>
        <w:rFonts w:ascii="BookmanOldStyle" w:eastAsia="Calibri" w:hAnsi="BookmanOldStyle" w:cs="BookmanOldStyle"/>
        <w:sz w:val="17"/>
        <w:szCs w:val="17"/>
      </w:rPr>
    </w:pPr>
    <w:r w:rsidRPr="00D8338B">
      <w:rPr>
        <w:rFonts w:ascii="BookmanOldStyle" w:eastAsia="Calibri" w:hAnsi="BookmanOldStyle" w:cs="BookmanOldStyle"/>
        <w:sz w:val="17"/>
        <w:szCs w:val="17"/>
      </w:rPr>
      <w:t>WEBSITE: www.datasoc.co.uk</w:t>
    </w:r>
  </w:p>
  <w:p w:rsidR="00D8338B" w:rsidRPr="00D8338B" w:rsidRDefault="00D8338B" w:rsidP="00D8338B">
    <w:pPr>
      <w:autoSpaceDE w:val="0"/>
      <w:autoSpaceDN w:val="0"/>
      <w:adjustRightInd w:val="0"/>
      <w:spacing w:after="0" w:line="240" w:lineRule="auto"/>
      <w:jc w:val="center"/>
      <w:rPr>
        <w:rFonts w:ascii="BookmanOldStyle" w:eastAsia="Calibri" w:hAnsi="BookmanOldStyle" w:cs="BookmanOldStyle"/>
        <w:sz w:val="16"/>
        <w:szCs w:val="16"/>
      </w:rPr>
    </w:pPr>
    <w:r w:rsidRPr="00D8338B">
      <w:rPr>
        <w:rFonts w:ascii="BookmanOldStyle" w:eastAsia="Calibri" w:hAnsi="BookmanOldStyle" w:cs="BookmanOldStyle"/>
        <w:sz w:val="16"/>
        <w:szCs w:val="16"/>
      </w:rPr>
      <w:t>Company limited by guarantee. Registered in England and Wales No. 3822966.</w:t>
    </w:r>
  </w:p>
  <w:p w:rsidR="00D8338B" w:rsidRPr="00D8338B" w:rsidRDefault="00D8338B" w:rsidP="00D8338B">
    <w:pPr>
      <w:autoSpaceDE w:val="0"/>
      <w:autoSpaceDN w:val="0"/>
      <w:adjustRightInd w:val="0"/>
      <w:spacing w:after="0" w:line="240" w:lineRule="auto"/>
      <w:jc w:val="center"/>
      <w:rPr>
        <w:rFonts w:ascii="BookmanOldStyle" w:eastAsia="Calibri" w:hAnsi="BookmanOldStyle" w:cs="BookmanOldStyle"/>
        <w:sz w:val="14"/>
        <w:szCs w:val="14"/>
      </w:rPr>
    </w:pPr>
  </w:p>
  <w:p w:rsidR="00D8338B" w:rsidRPr="00D8338B" w:rsidRDefault="00D8338B" w:rsidP="00D8338B">
    <w:pPr>
      <w:autoSpaceDE w:val="0"/>
      <w:autoSpaceDN w:val="0"/>
      <w:adjustRightInd w:val="0"/>
      <w:spacing w:after="0" w:line="240" w:lineRule="auto"/>
      <w:jc w:val="center"/>
      <w:rPr>
        <w:rFonts w:ascii="BookmanOldStyle" w:eastAsia="Calibri" w:hAnsi="BookmanOldStyle" w:cs="BookmanOldStyle"/>
        <w:sz w:val="14"/>
        <w:szCs w:val="14"/>
      </w:rPr>
    </w:pPr>
    <w:r w:rsidRPr="00D8338B">
      <w:rPr>
        <w:rFonts w:ascii="BookmanOldStyle" w:eastAsia="Calibri" w:hAnsi="BookmanOldStyle" w:cs="BookmanOldStyle"/>
        <w:sz w:val="14"/>
        <w:szCs w:val="14"/>
      </w:rPr>
      <w:t>No responsibility can be accepted by the Association for action taken which is the result of information contained in this correspondence.</w:t>
    </w:r>
  </w:p>
  <w:p w:rsidR="00D8338B" w:rsidRPr="00D8338B" w:rsidRDefault="00D8338B" w:rsidP="00D8338B">
    <w:pPr>
      <w:autoSpaceDE w:val="0"/>
      <w:autoSpaceDN w:val="0"/>
      <w:adjustRightInd w:val="0"/>
      <w:spacing w:after="0" w:line="240" w:lineRule="auto"/>
      <w:jc w:val="center"/>
      <w:rPr>
        <w:rFonts w:ascii="Tahoma" w:eastAsia="Calibri" w:hAnsi="Tahoma"/>
        <w:b/>
        <w:szCs w:val="24"/>
        <w:lang w:eastAsia="en-US"/>
      </w:rPr>
    </w:pPr>
    <w:r w:rsidRPr="00D8338B">
      <w:rPr>
        <w:rFonts w:ascii="BookmanOldStyle" w:eastAsia="Calibri" w:hAnsi="BookmanOldStyle" w:cs="BookmanOldStyle"/>
        <w:sz w:val="14"/>
        <w:szCs w:val="14"/>
      </w:rPr>
      <w:t xml:space="preserve"> Recipients should take specific advice when dealing with specific situations</w:t>
    </w:r>
  </w:p>
  <w:p w:rsidR="00D8338B" w:rsidRPr="00D8338B" w:rsidRDefault="00D8338B" w:rsidP="00D8338B">
    <w:pPr>
      <w:tabs>
        <w:tab w:val="center" w:pos="4320"/>
        <w:tab w:val="right" w:pos="8640"/>
      </w:tabs>
      <w:spacing w:after="0" w:line="240" w:lineRule="auto"/>
      <w:jc w:val="center"/>
      <w:rPr>
        <w:rFonts w:ascii="Tahoma" w:eastAsia="Calibri" w:hAnsi="Tahoma"/>
        <w:szCs w:val="24"/>
        <w:lang w:eastAsia="en-US"/>
      </w:rPr>
    </w:pPr>
  </w:p>
  <w:p w:rsidR="00D8338B" w:rsidRPr="00D8338B" w:rsidRDefault="00D8338B" w:rsidP="00D83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38B" w:rsidRDefault="00D8338B" w:rsidP="00D8338B">
      <w:pPr>
        <w:spacing w:after="0" w:line="240" w:lineRule="auto"/>
      </w:pPr>
      <w:r>
        <w:separator/>
      </w:r>
    </w:p>
  </w:footnote>
  <w:footnote w:type="continuationSeparator" w:id="0">
    <w:p w:rsidR="00D8338B" w:rsidRDefault="00D8338B" w:rsidP="00D83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C5718"/>
    <w:multiLevelType w:val="hybridMultilevel"/>
    <w:tmpl w:val="73DC1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7BC16768"/>
    <w:multiLevelType w:val="hybridMultilevel"/>
    <w:tmpl w:val="D426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FF"/>
    <w:rsid w:val="0006083D"/>
    <w:rsid w:val="00066B81"/>
    <w:rsid w:val="000A17ED"/>
    <w:rsid w:val="001005B0"/>
    <w:rsid w:val="001705FF"/>
    <w:rsid w:val="00174F46"/>
    <w:rsid w:val="00182BAF"/>
    <w:rsid w:val="00185929"/>
    <w:rsid w:val="001A2BEE"/>
    <w:rsid w:val="001D25FD"/>
    <w:rsid w:val="0021309B"/>
    <w:rsid w:val="00220A71"/>
    <w:rsid w:val="00243256"/>
    <w:rsid w:val="002440AA"/>
    <w:rsid w:val="002504B3"/>
    <w:rsid w:val="002950B8"/>
    <w:rsid w:val="00300A9D"/>
    <w:rsid w:val="00301CCC"/>
    <w:rsid w:val="00305EE5"/>
    <w:rsid w:val="003301CD"/>
    <w:rsid w:val="0034183A"/>
    <w:rsid w:val="0036145F"/>
    <w:rsid w:val="00366DB5"/>
    <w:rsid w:val="003B0DE2"/>
    <w:rsid w:val="00415138"/>
    <w:rsid w:val="00447EC9"/>
    <w:rsid w:val="00450479"/>
    <w:rsid w:val="00453A34"/>
    <w:rsid w:val="00464961"/>
    <w:rsid w:val="004810AF"/>
    <w:rsid w:val="004823F6"/>
    <w:rsid w:val="00483917"/>
    <w:rsid w:val="004F7488"/>
    <w:rsid w:val="00506475"/>
    <w:rsid w:val="00537E51"/>
    <w:rsid w:val="005514EC"/>
    <w:rsid w:val="00566D5D"/>
    <w:rsid w:val="005704BB"/>
    <w:rsid w:val="005752DB"/>
    <w:rsid w:val="00581CF5"/>
    <w:rsid w:val="005D4402"/>
    <w:rsid w:val="005E521F"/>
    <w:rsid w:val="005E7DBE"/>
    <w:rsid w:val="00623CE0"/>
    <w:rsid w:val="00640CFB"/>
    <w:rsid w:val="00654CFC"/>
    <w:rsid w:val="00660078"/>
    <w:rsid w:val="00666D4A"/>
    <w:rsid w:val="0067220B"/>
    <w:rsid w:val="00673553"/>
    <w:rsid w:val="00687442"/>
    <w:rsid w:val="00694FCB"/>
    <w:rsid w:val="006963F1"/>
    <w:rsid w:val="006C4F75"/>
    <w:rsid w:val="006E0EEE"/>
    <w:rsid w:val="006F4ABF"/>
    <w:rsid w:val="006F6C8E"/>
    <w:rsid w:val="00711F57"/>
    <w:rsid w:val="0073760D"/>
    <w:rsid w:val="0077194F"/>
    <w:rsid w:val="00787539"/>
    <w:rsid w:val="00787568"/>
    <w:rsid w:val="007D0A5B"/>
    <w:rsid w:val="007F03B6"/>
    <w:rsid w:val="00830F1C"/>
    <w:rsid w:val="00837F3A"/>
    <w:rsid w:val="00854454"/>
    <w:rsid w:val="008562E4"/>
    <w:rsid w:val="00887D01"/>
    <w:rsid w:val="008B724F"/>
    <w:rsid w:val="009657F0"/>
    <w:rsid w:val="00970A87"/>
    <w:rsid w:val="009E28C5"/>
    <w:rsid w:val="009E2E73"/>
    <w:rsid w:val="009F041D"/>
    <w:rsid w:val="009F6AB5"/>
    <w:rsid w:val="00A116C7"/>
    <w:rsid w:val="00A469A6"/>
    <w:rsid w:val="00A47EEB"/>
    <w:rsid w:val="00A56846"/>
    <w:rsid w:val="00A6227C"/>
    <w:rsid w:val="00AF3956"/>
    <w:rsid w:val="00B0579D"/>
    <w:rsid w:val="00B379CB"/>
    <w:rsid w:val="00BB03DB"/>
    <w:rsid w:val="00BE1E5E"/>
    <w:rsid w:val="00C4446E"/>
    <w:rsid w:val="00C6332F"/>
    <w:rsid w:val="00C76104"/>
    <w:rsid w:val="00CB68A4"/>
    <w:rsid w:val="00CC02CA"/>
    <w:rsid w:val="00CC22FD"/>
    <w:rsid w:val="00CF14E3"/>
    <w:rsid w:val="00CF6D33"/>
    <w:rsid w:val="00D53155"/>
    <w:rsid w:val="00D673F2"/>
    <w:rsid w:val="00D7712F"/>
    <w:rsid w:val="00D8338B"/>
    <w:rsid w:val="00DC3899"/>
    <w:rsid w:val="00E006AE"/>
    <w:rsid w:val="00E20B1B"/>
    <w:rsid w:val="00E30EE7"/>
    <w:rsid w:val="00E6708B"/>
    <w:rsid w:val="00E7191E"/>
    <w:rsid w:val="00E73D1C"/>
    <w:rsid w:val="00E77BCB"/>
    <w:rsid w:val="00F03E9E"/>
    <w:rsid w:val="00F53156"/>
    <w:rsid w:val="00F76A6B"/>
    <w:rsid w:val="00F91BC1"/>
    <w:rsid w:val="00FB29D9"/>
    <w:rsid w:val="00FF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E2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8C5"/>
    <w:rPr>
      <w:rFonts w:ascii="Tahoma" w:hAnsi="Tahoma" w:cs="Tahoma"/>
      <w:sz w:val="16"/>
      <w:szCs w:val="16"/>
    </w:rPr>
  </w:style>
  <w:style w:type="paragraph" w:styleId="Revision">
    <w:name w:val="Revision"/>
    <w:hidden/>
    <w:uiPriority w:val="99"/>
    <w:semiHidden/>
    <w:rsid w:val="00CF14E3"/>
  </w:style>
  <w:style w:type="paragraph" w:styleId="ListParagraph">
    <w:name w:val="List Paragraph"/>
    <w:basedOn w:val="Normal"/>
    <w:uiPriority w:val="99"/>
    <w:qFormat/>
    <w:rsid w:val="00E7191E"/>
    <w:pPr>
      <w:ind w:left="720"/>
      <w:contextualSpacing/>
    </w:pPr>
  </w:style>
  <w:style w:type="character" w:styleId="CommentReference">
    <w:name w:val="annotation reference"/>
    <w:basedOn w:val="DefaultParagraphFont"/>
    <w:uiPriority w:val="99"/>
    <w:semiHidden/>
    <w:rsid w:val="00D673F2"/>
    <w:rPr>
      <w:rFonts w:cs="Times New Roman"/>
      <w:sz w:val="16"/>
      <w:szCs w:val="16"/>
    </w:rPr>
  </w:style>
  <w:style w:type="paragraph" w:styleId="CommentText">
    <w:name w:val="annotation text"/>
    <w:basedOn w:val="Normal"/>
    <w:link w:val="CommentTextChar"/>
    <w:uiPriority w:val="99"/>
    <w:semiHidden/>
    <w:rsid w:val="00D673F2"/>
    <w:rPr>
      <w:sz w:val="20"/>
      <w:szCs w:val="20"/>
    </w:rPr>
  </w:style>
  <w:style w:type="character" w:customStyle="1" w:styleId="CommentTextChar">
    <w:name w:val="Comment Text Char"/>
    <w:basedOn w:val="DefaultParagraphFont"/>
    <w:link w:val="CommentText"/>
    <w:uiPriority w:val="99"/>
    <w:semiHidden/>
    <w:locked/>
    <w:rsid w:val="00654CFC"/>
    <w:rPr>
      <w:rFonts w:cs="Times New Roman"/>
      <w:sz w:val="20"/>
      <w:szCs w:val="20"/>
    </w:rPr>
  </w:style>
  <w:style w:type="paragraph" w:styleId="CommentSubject">
    <w:name w:val="annotation subject"/>
    <w:basedOn w:val="CommentText"/>
    <w:next w:val="CommentText"/>
    <w:link w:val="CommentSubjectChar"/>
    <w:uiPriority w:val="99"/>
    <w:semiHidden/>
    <w:rsid w:val="00D673F2"/>
    <w:rPr>
      <w:b/>
      <w:bCs/>
    </w:rPr>
  </w:style>
  <w:style w:type="character" w:customStyle="1" w:styleId="CommentSubjectChar">
    <w:name w:val="Comment Subject Char"/>
    <w:basedOn w:val="CommentTextChar"/>
    <w:link w:val="CommentSubject"/>
    <w:uiPriority w:val="99"/>
    <w:semiHidden/>
    <w:locked/>
    <w:rsid w:val="00654CFC"/>
    <w:rPr>
      <w:rFonts w:cs="Times New Roman"/>
      <w:b/>
      <w:bCs/>
      <w:sz w:val="20"/>
      <w:szCs w:val="20"/>
    </w:rPr>
  </w:style>
  <w:style w:type="paragraph" w:styleId="Header">
    <w:name w:val="header"/>
    <w:basedOn w:val="Normal"/>
    <w:link w:val="HeaderChar"/>
    <w:uiPriority w:val="99"/>
    <w:unhideWhenUsed/>
    <w:rsid w:val="00D83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38B"/>
  </w:style>
  <w:style w:type="paragraph" w:styleId="Footer">
    <w:name w:val="footer"/>
    <w:basedOn w:val="Normal"/>
    <w:link w:val="FooterChar"/>
    <w:uiPriority w:val="99"/>
    <w:unhideWhenUsed/>
    <w:rsid w:val="00D83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E2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8C5"/>
    <w:rPr>
      <w:rFonts w:ascii="Tahoma" w:hAnsi="Tahoma" w:cs="Tahoma"/>
      <w:sz w:val="16"/>
      <w:szCs w:val="16"/>
    </w:rPr>
  </w:style>
  <w:style w:type="paragraph" w:styleId="Revision">
    <w:name w:val="Revision"/>
    <w:hidden/>
    <w:uiPriority w:val="99"/>
    <w:semiHidden/>
    <w:rsid w:val="00CF14E3"/>
  </w:style>
  <w:style w:type="paragraph" w:styleId="ListParagraph">
    <w:name w:val="List Paragraph"/>
    <w:basedOn w:val="Normal"/>
    <w:uiPriority w:val="99"/>
    <w:qFormat/>
    <w:rsid w:val="00E7191E"/>
    <w:pPr>
      <w:ind w:left="720"/>
      <w:contextualSpacing/>
    </w:pPr>
  </w:style>
  <w:style w:type="character" w:styleId="CommentReference">
    <w:name w:val="annotation reference"/>
    <w:basedOn w:val="DefaultParagraphFont"/>
    <w:uiPriority w:val="99"/>
    <w:semiHidden/>
    <w:rsid w:val="00D673F2"/>
    <w:rPr>
      <w:rFonts w:cs="Times New Roman"/>
      <w:sz w:val="16"/>
      <w:szCs w:val="16"/>
    </w:rPr>
  </w:style>
  <w:style w:type="paragraph" w:styleId="CommentText">
    <w:name w:val="annotation text"/>
    <w:basedOn w:val="Normal"/>
    <w:link w:val="CommentTextChar"/>
    <w:uiPriority w:val="99"/>
    <w:semiHidden/>
    <w:rsid w:val="00D673F2"/>
    <w:rPr>
      <w:sz w:val="20"/>
      <w:szCs w:val="20"/>
    </w:rPr>
  </w:style>
  <w:style w:type="character" w:customStyle="1" w:styleId="CommentTextChar">
    <w:name w:val="Comment Text Char"/>
    <w:basedOn w:val="DefaultParagraphFont"/>
    <w:link w:val="CommentText"/>
    <w:uiPriority w:val="99"/>
    <w:semiHidden/>
    <w:locked/>
    <w:rsid w:val="00654CFC"/>
    <w:rPr>
      <w:rFonts w:cs="Times New Roman"/>
      <w:sz w:val="20"/>
      <w:szCs w:val="20"/>
    </w:rPr>
  </w:style>
  <w:style w:type="paragraph" w:styleId="CommentSubject">
    <w:name w:val="annotation subject"/>
    <w:basedOn w:val="CommentText"/>
    <w:next w:val="CommentText"/>
    <w:link w:val="CommentSubjectChar"/>
    <w:uiPriority w:val="99"/>
    <w:semiHidden/>
    <w:rsid w:val="00D673F2"/>
    <w:rPr>
      <w:b/>
      <w:bCs/>
    </w:rPr>
  </w:style>
  <w:style w:type="character" w:customStyle="1" w:styleId="CommentSubjectChar">
    <w:name w:val="Comment Subject Char"/>
    <w:basedOn w:val="CommentTextChar"/>
    <w:link w:val="CommentSubject"/>
    <w:uiPriority w:val="99"/>
    <w:semiHidden/>
    <w:locked/>
    <w:rsid w:val="00654CFC"/>
    <w:rPr>
      <w:rFonts w:cs="Times New Roman"/>
      <w:b/>
      <w:bCs/>
      <w:sz w:val="20"/>
      <w:szCs w:val="20"/>
    </w:rPr>
  </w:style>
  <w:style w:type="paragraph" w:styleId="Header">
    <w:name w:val="header"/>
    <w:basedOn w:val="Normal"/>
    <w:link w:val="HeaderChar"/>
    <w:uiPriority w:val="99"/>
    <w:unhideWhenUsed/>
    <w:rsid w:val="00D83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38B"/>
  </w:style>
  <w:style w:type="paragraph" w:styleId="Footer">
    <w:name w:val="footer"/>
    <w:basedOn w:val="Normal"/>
    <w:link w:val="FooterChar"/>
    <w:uiPriority w:val="99"/>
    <w:unhideWhenUsed/>
    <w:rsid w:val="00D83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E77103D0</Template>
  <TotalTime>1</TotalTime>
  <Pages>3</Pages>
  <Words>845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Draft DATA response to ESMA consultation on “Revision of the provisions on diversification of collateral in ESMA’s guidelines on ETFs and other UCITS issues”</vt:lpstr>
    </vt:vector>
  </TitlesOfParts>
  <Company>JPMorgan Chase and Co.</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DATA response to ESMA consultation on “Revision of the provisions on diversification of collateral in ESMA’s guidelines on ETFs and other UCITS issues”</dc:title>
  <dc:creator>JPMorgan Chase &amp; Co.</dc:creator>
  <cp:keywords>NOT-APPL</cp:keywords>
  <dc:description>NOT-APPL</dc:description>
  <cp:lastModifiedBy>Karen Bowie</cp:lastModifiedBy>
  <cp:revision>2</cp:revision>
  <cp:lastPrinted>2014-01-24T17:27:00Z</cp:lastPrinted>
  <dcterms:created xsi:type="dcterms:W3CDTF">2014-01-31T15:07:00Z</dcterms:created>
  <dcterms:modified xsi:type="dcterms:W3CDTF">2014-01-31T15:07:00Z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NOT-APPL</vt:lpwstr>
  </property>
  <property fmtid="{D5CDD505-2E9C-101B-9397-08002B2CF9AE}" pid="3" name="Source">
    <vt:lpwstr>External</vt:lpwstr>
  </property>
  <property fmtid="{D5CDD505-2E9C-101B-9397-08002B2CF9AE}" pid="4" name="Footers">
    <vt:lpwstr>External No Footers</vt:lpwstr>
  </property>
  <property fmtid="{D5CDD505-2E9C-101B-9397-08002B2CF9AE}" pid="5" name="DocClassification">
    <vt:lpwstr>CLANOTAPP</vt:lpwstr>
  </property>
</Properties>
</file>