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47565B"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723286375" w:edGrp="everyone"/>
                <w:r w:rsidR="007776BA">
                  <w:rPr>
                    <w:rFonts w:cs="Arial"/>
                    <w:szCs w:val="22"/>
                  </w:rPr>
                  <w:t>No</w:t>
                </w:r>
                <w:permEnd w:id="723286375"/>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47565B"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446977986" w:edGrp="everyone"/>
                <w:r w:rsidR="007776BA">
                  <w:rPr>
                    <w:rFonts w:cs="Arial"/>
                    <w:szCs w:val="22"/>
                  </w:rPr>
                  <w:t>Central Counterparty</w:t>
                </w:r>
                <w:permEnd w:id="1446977986"/>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993147011" w:edGrp="everyone" w:displacedByCustomXml="prev"/>
            <w:tc>
              <w:tcPr>
                <w:tcW w:w="6118" w:type="dxa"/>
              </w:tcPr>
              <w:p w:rsidR="00473916" w:rsidRPr="0026621B" w:rsidRDefault="007776BA" w:rsidP="008127AB">
                <w:pPr>
                  <w:rPr>
                    <w:rFonts w:cs="Arial"/>
                    <w:szCs w:val="22"/>
                  </w:rPr>
                </w:pPr>
                <w:r>
                  <w:rPr>
                    <w:rFonts w:cs="Arial"/>
                    <w:szCs w:val="22"/>
                  </w:rPr>
                  <w:t>Germany</w:t>
                </w:r>
              </w:p>
            </w:tc>
            <w:permEnd w:id="993147011" w:displacedByCustomXml="next"/>
          </w:sdtContent>
        </w:sdt>
      </w:tr>
    </w:tbl>
    <w:p w:rsidR="007F4106" w:rsidRDefault="007F4106">
      <w:pPr>
        <w:rPr>
          <w:b/>
        </w:rPr>
      </w:pPr>
      <w:r>
        <w:br w:type="page"/>
      </w:r>
    </w:p>
    <w:p w:rsidR="00D12AFD" w:rsidRDefault="00D12AFD" w:rsidP="00965B03">
      <w:pPr>
        <w:pStyle w:val="Heading5"/>
        <w:ind w:left="567" w:hanging="567"/>
      </w:pPr>
      <w:r w:rsidRPr="002C4F00">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7776BA" w:rsidP="00D12AFD">
      <w:permStart w:id="747592340" w:edGrp="everyone"/>
      <w:r>
        <w:t xml:space="preserve">1.) </w:t>
      </w:r>
      <w:r w:rsidRPr="00D72B70">
        <w:t>Central counterparties are not subject to obligations set forth in Article 6 para 1 CSDR</w:t>
      </w:r>
      <w:r w:rsidRPr="001246BC">
        <w:t xml:space="preserve"> co</w:t>
      </w:r>
      <w:r w:rsidRPr="001246BC">
        <w:t>n</w:t>
      </w:r>
      <w:r w:rsidRPr="001246BC">
        <w:t>sidering that</w:t>
      </w:r>
      <w:r w:rsidRPr="002C2F24">
        <w:t xml:space="preserve"> a central counterparty is not an investment firm authorised pursuant to Article 5 of Directive 2014/65/EU. </w:t>
      </w:r>
      <w:r w:rsidRPr="001246BC">
        <w:t xml:space="preserve">In consequence, </w:t>
      </w:r>
      <w:r>
        <w:t>t</w:t>
      </w:r>
      <w:r w:rsidRPr="00D72B70">
        <w:t xml:space="preserve">his requirement for investment firms </w:t>
      </w:r>
      <w:r>
        <w:t>is – to the unde</w:t>
      </w:r>
      <w:r>
        <w:t>r</w:t>
      </w:r>
      <w:r>
        <w:t xml:space="preserve">standing of </w:t>
      </w:r>
      <w:proofErr w:type="spellStart"/>
      <w:r w:rsidRPr="00D72B70">
        <w:t>Eurex</w:t>
      </w:r>
      <w:proofErr w:type="spellEnd"/>
      <w:r w:rsidRPr="00D72B70">
        <w:t xml:space="preserve"> Clearing</w:t>
      </w:r>
      <w:r>
        <w:t xml:space="preserve"> – not applying for central counterparties</w:t>
      </w:r>
      <w:r w:rsidRPr="00D72B70">
        <w:t>.</w:t>
      </w:r>
      <w:r w:rsidRPr="00D72B70" w:rsidDel="00D72B70">
        <w:t xml:space="preserve"> </w:t>
      </w:r>
      <w:r w:rsidR="00D12AFD">
        <w:t>TYPE YOUR TEXT HERE</w:t>
      </w:r>
    </w:p>
    <w:permEnd w:id="747592340"/>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7776BA" w:rsidRDefault="007776BA" w:rsidP="007776BA">
      <w:permStart w:id="854340745" w:edGrp="everyone"/>
      <w:r>
        <w:t xml:space="preserve">2.) </w:t>
      </w:r>
      <w:proofErr w:type="spellStart"/>
      <w:r>
        <w:t>Eurex</w:t>
      </w:r>
      <w:proofErr w:type="spellEnd"/>
      <w:r>
        <w:t xml:space="preserve"> Clearing supports the measures to facilitate STP given that efficiency will be increased in general. Hence, </w:t>
      </w:r>
      <w:proofErr w:type="spellStart"/>
      <w:r>
        <w:t>Eurex</w:t>
      </w:r>
      <w:proofErr w:type="spellEnd"/>
      <w:r>
        <w:t xml:space="preserve"> Clearing understood the recommendation of some participants to propose the usage of “already matched” settlement instructions.</w:t>
      </w:r>
    </w:p>
    <w:p w:rsidR="007776BA" w:rsidRDefault="007776BA" w:rsidP="007776BA"/>
    <w:p w:rsidR="007776BA" w:rsidRDefault="007776BA" w:rsidP="007776BA">
      <w:r>
        <w:t>In that regard some elements require consideration:</w:t>
      </w:r>
    </w:p>
    <w:p w:rsidR="007776BA" w:rsidRDefault="007776BA" w:rsidP="007776BA"/>
    <w:p w:rsidR="007776BA" w:rsidRDefault="007776BA" w:rsidP="007776BA">
      <w:pPr>
        <w:pStyle w:val="ListParagraph"/>
        <w:numPr>
          <w:ilvl w:val="0"/>
          <w:numId w:val="42"/>
        </w:numPr>
      </w:pPr>
      <w:r>
        <w:t>The requirement to use “already matched” settlement instructions is to our understanding only referring to settlement instructions initiating the transfer of securities from one legal entity to another. This requirement is not applying to settlement instructions if the same legal entity is re-balancing its holdings on settlement accounts in one or two CSDs.</w:t>
      </w:r>
    </w:p>
    <w:p w:rsidR="007776BA" w:rsidRDefault="007776BA" w:rsidP="007776BA">
      <w:pPr>
        <w:pStyle w:val="ListParagraph"/>
        <w:numPr>
          <w:ilvl w:val="0"/>
          <w:numId w:val="42"/>
        </w:numPr>
      </w:pPr>
      <w:r>
        <w:t>The functionality to receive and process “already matched” settlement instructions is to our understanding neither available in all CSDs nor supported without limitations when available in a CSD’s technical infrastructure.</w:t>
      </w:r>
      <w:r w:rsidDel="00DB5C55">
        <w:t xml:space="preserve"> </w:t>
      </w:r>
      <w:r>
        <w:br/>
        <w:t>Subsequently, we want to make that transparent considering the functionality T2S will o</w:t>
      </w:r>
      <w:r>
        <w:t>f</w:t>
      </w:r>
      <w:r>
        <w:t>fer to the participating CSDs and their participants. T2S is aiming to support the pr</w:t>
      </w:r>
      <w:r>
        <w:t>o</w:t>
      </w:r>
      <w:r>
        <w:t>cessing of “already matched” settlement instructions but only for intra-CSD settlement i</w:t>
      </w:r>
      <w:r>
        <w:t>n</w:t>
      </w:r>
      <w:r>
        <w:t>structions. Instructions aiming to initiate settlement between 2 CSD participants operating their accounts in 2 different CSDs cannot be treated as already matched (i.e. matching must take place on the T2S platform as an inter-CSD settlement instruction) and, in co</w:t>
      </w:r>
      <w:r>
        <w:t>n</w:t>
      </w:r>
      <w:r>
        <w:t>sequence, the provision of such “already matched” settlement instructions is not poss</w:t>
      </w:r>
      <w:r>
        <w:t>i</w:t>
      </w:r>
      <w:r>
        <w:t>ble.</w:t>
      </w:r>
    </w:p>
    <w:p w:rsidR="007776BA" w:rsidRDefault="007776BA" w:rsidP="007776BA">
      <w:pPr>
        <w:pStyle w:val="ListParagraph"/>
        <w:numPr>
          <w:ilvl w:val="0"/>
          <w:numId w:val="42"/>
        </w:numPr>
      </w:pPr>
      <w:r>
        <w:t>The introduction of T2S will presumably increase the ability of market participants to freely choose the CSD they want to use for holdings and for the settlement of security settlement instructions. Hence, trading venues and the CCPs have to connect and ope</w:t>
      </w:r>
      <w:r>
        <w:t>r</w:t>
      </w:r>
      <w:r>
        <w:t>ate settlement accounts with an increased number of CSDs.</w:t>
      </w:r>
    </w:p>
    <w:p w:rsidR="007776BA" w:rsidRDefault="007776BA" w:rsidP="007776BA">
      <w:pPr>
        <w:pStyle w:val="ListParagraph"/>
        <w:numPr>
          <w:ilvl w:val="0"/>
          <w:numId w:val="42"/>
        </w:numPr>
      </w:pPr>
      <w:r>
        <w:t>A CCP becomes buyer to every seller and seller to every buyer holding the role of an i</w:t>
      </w:r>
      <w:r>
        <w:t>n</w:t>
      </w:r>
      <w:r>
        <w:t>termediary in the delivery process which needs to be completed as quick and cost effe</w:t>
      </w:r>
      <w:r>
        <w:t>c</w:t>
      </w:r>
      <w:r>
        <w:t>tive as possible.</w:t>
      </w:r>
    </w:p>
    <w:p w:rsidR="007776BA" w:rsidRDefault="007776BA" w:rsidP="007776BA"/>
    <w:p w:rsidR="007776BA" w:rsidRDefault="007776BA" w:rsidP="007776BA">
      <w:r>
        <w:t xml:space="preserve">Given this situation a CCP </w:t>
      </w:r>
    </w:p>
    <w:p w:rsidR="007776BA" w:rsidRDefault="007776BA" w:rsidP="007776BA">
      <w:r>
        <w:t>(a) will be required to operate a settlement account in each CSD in which at least one of its Clearing Members (e.g. the seller) holds its settlement account and</w:t>
      </w:r>
    </w:p>
    <w:p w:rsidR="007776BA" w:rsidRDefault="007776BA" w:rsidP="007776BA">
      <w:r>
        <w:t>(b) is required to arrange the necessary re-alignment delivery from such CSD to the CSD of the other Clearing Member (e.g. the buyer).</w:t>
      </w:r>
    </w:p>
    <w:p w:rsidR="007776BA" w:rsidRDefault="007776BA" w:rsidP="007776BA"/>
    <w:p w:rsidR="007776BA" w:rsidRDefault="007776BA" w:rsidP="007776BA">
      <w:r>
        <w:t>In consequence, the number of settlement accounts required to be used by a CCP is significan</w:t>
      </w:r>
      <w:r>
        <w:t>t</w:t>
      </w:r>
      <w:r>
        <w:t>ly increased, re-alignment deliveries become necessary which will increase costs and decrease operational efficiency and, last but not least, the idea of T2S to allow a market participant (and therefore also a CCP) the concentration of its entire activity within one CSD is contradicted.</w:t>
      </w:r>
    </w:p>
    <w:p w:rsidR="007776BA" w:rsidRDefault="007776BA" w:rsidP="007776BA"/>
    <w:p w:rsidR="007776BA" w:rsidRDefault="007776BA" w:rsidP="007776BA">
      <w:r>
        <w:t xml:space="preserve">Subsequently, the background of </w:t>
      </w:r>
      <w:proofErr w:type="spellStart"/>
      <w:r>
        <w:t>Eurex</w:t>
      </w:r>
      <w:proofErr w:type="spellEnd"/>
      <w:r>
        <w:t xml:space="preserve"> Clearing’s concern on costs and settlement efficiency should be made transparent:</w:t>
      </w:r>
    </w:p>
    <w:p w:rsidR="007776BA" w:rsidRDefault="007776BA" w:rsidP="007776BA"/>
    <w:p w:rsidR="007776BA" w:rsidRDefault="007776BA" w:rsidP="007776BA">
      <w:r w:rsidRPr="00113A94">
        <w:rPr>
          <w:b/>
          <w:u w:val="single"/>
        </w:rPr>
        <w:t>Cost Impact:</w:t>
      </w:r>
      <w:r>
        <w:br/>
        <w:t xml:space="preserve">Example: 2 Clearing Members (CM A, CM B) have chosen 2 CSDs (CSD A, CSD B) where they want to operate their settlement accounts; the CCP is concentrating its activity in CSD B. </w:t>
      </w:r>
    </w:p>
    <w:p w:rsidR="007776BA" w:rsidRDefault="007776BA" w:rsidP="007776BA"/>
    <w:p w:rsidR="007776BA" w:rsidRDefault="007776BA" w:rsidP="007776BA">
      <w:pPr>
        <w:pStyle w:val="ListParagraph"/>
        <w:numPr>
          <w:ilvl w:val="0"/>
          <w:numId w:val="44"/>
        </w:numPr>
      </w:pPr>
      <w:r>
        <w:t>Current processing</w:t>
      </w:r>
    </w:p>
    <w:p w:rsidR="007776BA" w:rsidRDefault="007776BA" w:rsidP="007776BA">
      <w:pPr>
        <w:pStyle w:val="ListParagraph"/>
      </w:pPr>
    </w:p>
    <w:p w:rsidR="007776BA" w:rsidRDefault="007776BA" w:rsidP="007776BA"/>
    <w:p w:rsidR="007776BA" w:rsidRDefault="007776BA" w:rsidP="007776BA">
      <w:pPr>
        <w:pStyle w:val="ListParagraph"/>
        <w:rPr>
          <w:u w:val="single"/>
        </w:rPr>
      </w:pPr>
      <w:r w:rsidRPr="00113A94">
        <w:rPr>
          <w:u w:val="single"/>
        </w:rPr>
        <w:t>Delivery chain for 1</w:t>
      </w:r>
    </w:p>
    <w:p w:rsidR="007776BA" w:rsidRPr="00113A94" w:rsidRDefault="007776BA" w:rsidP="007776BA">
      <w:pPr>
        <w:pStyle w:val="ListParagraph"/>
        <w:rPr>
          <w:u w:val="single"/>
        </w:rPr>
      </w:pPr>
    </w:p>
    <w:p w:rsidR="007776BA" w:rsidRDefault="007776BA" w:rsidP="007776BA">
      <w:pPr>
        <w:pStyle w:val="ListParagraph"/>
      </w:pPr>
      <w:r>
        <w:t>- CCP instructs – on-behalf of CM A and based on a Power-of-Attorney – CSD A to d</w:t>
      </w:r>
      <w:r>
        <w:t>e</w:t>
      </w:r>
      <w:r>
        <w:t>liver to CSD B for the CCP in CSD B</w:t>
      </w:r>
      <w:r>
        <w:br/>
        <w:t xml:space="preserve">- CCP instructs CSD B that he – the CCP – will receive securities from CM A in CSD A </w:t>
      </w:r>
      <w:r>
        <w:br/>
      </w:r>
      <w:r>
        <w:sym w:font="Wingdings" w:char="F0E8"/>
      </w:r>
      <w:r>
        <w:t xml:space="preserve"> those inter-CSD settlement instructions both sent by the CCP to the respective CSD</w:t>
      </w:r>
    </w:p>
    <w:p w:rsidR="007776BA" w:rsidRDefault="007776BA" w:rsidP="007776BA">
      <w:pPr>
        <w:pStyle w:val="ListParagraph"/>
      </w:pPr>
      <w:r>
        <w:t>will match in T2S and result in the respective delivery</w:t>
      </w:r>
    </w:p>
    <w:p w:rsidR="007776BA" w:rsidRDefault="007776BA" w:rsidP="007776BA">
      <w:pPr>
        <w:pStyle w:val="ListParagraph"/>
      </w:pPr>
    </w:p>
    <w:p w:rsidR="007776BA" w:rsidRDefault="007776BA" w:rsidP="007776BA">
      <w:pPr>
        <w:pStyle w:val="ListParagraph"/>
        <w:rPr>
          <w:u w:val="single"/>
        </w:rPr>
      </w:pPr>
      <w:r w:rsidRPr="00113A94">
        <w:rPr>
          <w:u w:val="single"/>
        </w:rPr>
        <w:t>Delivery chain for 2:</w:t>
      </w:r>
    </w:p>
    <w:p w:rsidR="007776BA" w:rsidRDefault="007776BA" w:rsidP="007776BA">
      <w:pPr>
        <w:pStyle w:val="ListParagraph"/>
      </w:pPr>
    </w:p>
    <w:p w:rsidR="007776BA" w:rsidRDefault="007776BA" w:rsidP="007776BA">
      <w:pPr>
        <w:pStyle w:val="ListParagraph"/>
      </w:pPr>
      <w:r>
        <w:t>- CCP instructs CSD B that he – the CCP – will deliver securities to CM B in CSD B</w:t>
      </w:r>
      <w:r>
        <w:br/>
        <w:t>- CCP instructs – on-behalf of CM B and based on a Power-of-Attorney – CSD B to r</w:t>
      </w:r>
      <w:r>
        <w:t>e</w:t>
      </w:r>
      <w:r>
        <w:t>ceive securities for CM B</w:t>
      </w:r>
      <w:r>
        <w:br/>
      </w:r>
      <w:r>
        <w:sym w:font="Wingdings" w:char="F0E8"/>
      </w:r>
      <w:r>
        <w:t xml:space="preserve"> those intra-CSD settlement instructions both sent by the CCP to CSD B will match in T2S and result in the respective delivery. Alternatively and considering the functionality T2S will offer this settlement instructions sent for matching in CSD B can be replaced by one “already matched” settlement instruction provided by the CCP</w:t>
      </w:r>
    </w:p>
    <w:p w:rsidR="007776BA" w:rsidRDefault="007776BA" w:rsidP="007776BA">
      <w:pPr>
        <w:pStyle w:val="ListParagraph"/>
      </w:pPr>
      <w:r>
        <w:br/>
        <w:t xml:space="preserve">Enabling this delivery requires 4 settlement instructions (2 to complete delivery chain 1 and 2 to complete delivery chain 2) to be processed in the settlement environments of both </w:t>
      </w:r>
      <w:proofErr w:type="spellStart"/>
      <w:r>
        <w:t>CSDs.Alternatively</w:t>
      </w:r>
      <w:proofErr w:type="spellEnd"/>
      <w:r>
        <w:t>, in case the option to use already matched in T2S is used, only 3 settlement instructions are required.</w:t>
      </w:r>
    </w:p>
    <w:p w:rsidR="007776BA" w:rsidRDefault="007776BA" w:rsidP="007776BA">
      <w:pPr>
        <w:pStyle w:val="ListParagraph"/>
      </w:pPr>
    </w:p>
    <w:p w:rsidR="007776BA" w:rsidRDefault="007776BA" w:rsidP="007776BA">
      <w:pPr>
        <w:pStyle w:val="ListParagraph"/>
      </w:pPr>
      <w:r>
        <w:t>The settlement costs to complete the delivery from CM A to CM B via the CCP are the same, irrespective of the numbers of technical settlement instructions.</w:t>
      </w:r>
      <w:r>
        <w:br/>
        <w:t>- CM A needs to pay for one settlement in CSD A</w:t>
      </w:r>
      <w:r>
        <w:br/>
        <w:t>- CM B needs to pay for one settlement in CSD B</w:t>
      </w:r>
      <w:r>
        <w:br/>
        <w:t>- CCP needs to pay for one settlement in CSD A and for one settlement in CSD B</w:t>
      </w:r>
      <w:r>
        <w:br/>
      </w:r>
    </w:p>
    <w:p w:rsidR="007776BA" w:rsidRPr="00113A94" w:rsidRDefault="007776BA" w:rsidP="007776BA">
      <w:pPr>
        <w:pStyle w:val="ListParagraph"/>
        <w:numPr>
          <w:ilvl w:val="0"/>
          <w:numId w:val="44"/>
        </w:numPr>
        <w:rPr>
          <w:lang w:val="en-US"/>
        </w:rPr>
      </w:pPr>
      <w:r>
        <w:t xml:space="preserve">Future processing </w:t>
      </w:r>
      <w:r>
        <w:br/>
        <w:t>(i.e. assuming already matched becomes mandatory for a CCP)</w:t>
      </w:r>
      <w:r>
        <w:br/>
      </w:r>
    </w:p>
    <w:p w:rsidR="007776BA" w:rsidRDefault="007776BA" w:rsidP="007776BA">
      <w:pPr>
        <w:pStyle w:val="ListParagraph"/>
        <w:rPr>
          <w:u w:val="single"/>
          <w:lang w:val="en-US"/>
        </w:rPr>
      </w:pPr>
      <w:r w:rsidRPr="00113A94">
        <w:rPr>
          <w:u w:val="single"/>
        </w:rPr>
        <w:t>Delivery chain 1:</w:t>
      </w:r>
    </w:p>
    <w:p w:rsidR="007776BA" w:rsidRDefault="007776BA" w:rsidP="007776BA">
      <w:pPr>
        <w:pStyle w:val="ListParagraph"/>
        <w:rPr>
          <w:u w:val="single"/>
          <w:lang w:val="en-US"/>
        </w:rPr>
      </w:pPr>
    </w:p>
    <w:p w:rsidR="007776BA" w:rsidRDefault="007776BA" w:rsidP="007776BA">
      <w:pPr>
        <w:pStyle w:val="ListParagraph"/>
      </w:pPr>
      <w:r>
        <w:t>- CCP instructs – on-behalf of CM A and based on a Power-of-Attorney – CSD A to d</w:t>
      </w:r>
      <w:r>
        <w:t>e</w:t>
      </w:r>
      <w:r>
        <w:t>liver to the CCP account in CSD A</w:t>
      </w:r>
      <w:r>
        <w:br/>
        <w:t>- CCP instructs CSD A that he – the CCP – will receive securities from CM A in CSD A</w:t>
      </w:r>
    </w:p>
    <w:p w:rsidR="007776BA" w:rsidRDefault="007776BA" w:rsidP="007776BA">
      <w:pPr>
        <w:pStyle w:val="ListParagraph"/>
      </w:pPr>
      <w:r>
        <w:sym w:font="Wingdings" w:char="F0E8"/>
      </w:r>
      <w:r>
        <w:t xml:space="preserve"> this already matched intra-CSD settlement instruction will be sent by the CCP to CSD A</w:t>
      </w:r>
    </w:p>
    <w:p w:rsidR="007776BA" w:rsidRDefault="007776BA" w:rsidP="007776BA">
      <w:pPr>
        <w:pStyle w:val="ListParagraph"/>
      </w:pPr>
    </w:p>
    <w:p w:rsidR="007776BA" w:rsidRDefault="007776BA" w:rsidP="007776BA">
      <w:pPr>
        <w:pStyle w:val="ListParagraph"/>
        <w:rPr>
          <w:u w:val="single"/>
        </w:rPr>
      </w:pPr>
      <w:r w:rsidRPr="00113A94">
        <w:rPr>
          <w:u w:val="single"/>
        </w:rPr>
        <w:t>Delivery chain 2:</w:t>
      </w:r>
    </w:p>
    <w:p w:rsidR="007776BA" w:rsidRDefault="007776BA" w:rsidP="007776BA">
      <w:pPr>
        <w:pStyle w:val="ListParagraph"/>
      </w:pPr>
    </w:p>
    <w:p w:rsidR="007776BA" w:rsidRDefault="007776BA" w:rsidP="007776BA">
      <w:pPr>
        <w:pStyle w:val="ListParagraph"/>
        <w:rPr>
          <w:u w:val="single"/>
          <w:lang w:val="en-US"/>
        </w:rPr>
      </w:pPr>
      <w:r>
        <w:t>- CCP instructs CSD A to deliver to CSD B for the CCP</w:t>
      </w:r>
      <w:r>
        <w:br/>
        <w:t>- CCP instructs CSD B to receive from CSD A for the CCP</w:t>
      </w:r>
      <w:r>
        <w:br/>
      </w:r>
      <w:r>
        <w:sym w:font="Wingdings" w:char="F0E8"/>
      </w:r>
      <w:r>
        <w:t xml:space="preserve"> those inter-CSD settlement instructions will be sent by the CCP to CSD A and CSD B for matching in T2S</w:t>
      </w:r>
    </w:p>
    <w:p w:rsidR="007776BA" w:rsidRDefault="007776BA" w:rsidP="007776BA">
      <w:pPr>
        <w:pStyle w:val="ListParagraph"/>
        <w:rPr>
          <w:u w:val="single"/>
          <w:lang w:val="en-US"/>
        </w:rPr>
      </w:pPr>
    </w:p>
    <w:p w:rsidR="007776BA" w:rsidRDefault="007776BA" w:rsidP="007776BA">
      <w:pPr>
        <w:pStyle w:val="ListParagraph"/>
        <w:rPr>
          <w:u w:val="single"/>
          <w:lang w:val="en-US"/>
        </w:rPr>
      </w:pPr>
      <w:r w:rsidRPr="00113A94">
        <w:rPr>
          <w:u w:val="single"/>
        </w:rPr>
        <w:t>Delivery chain 3:</w:t>
      </w:r>
    </w:p>
    <w:p w:rsidR="007776BA" w:rsidRDefault="007776BA" w:rsidP="007776BA">
      <w:pPr>
        <w:pStyle w:val="ListParagraph"/>
        <w:rPr>
          <w:u w:val="single"/>
          <w:lang w:val="en-US"/>
        </w:rPr>
      </w:pPr>
    </w:p>
    <w:p w:rsidR="007776BA" w:rsidRPr="00113A94" w:rsidRDefault="007776BA" w:rsidP="007776BA">
      <w:pPr>
        <w:pStyle w:val="ListParagraph"/>
        <w:rPr>
          <w:u w:val="single"/>
          <w:lang w:val="en-US"/>
        </w:rPr>
      </w:pPr>
      <w:r>
        <w:t xml:space="preserve">- CCP instructs CSD B that he – the CCP – will deliver securities to CM B in CSD B </w:t>
      </w:r>
    </w:p>
    <w:p w:rsidR="007776BA" w:rsidRDefault="007776BA" w:rsidP="007776BA">
      <w:pPr>
        <w:pStyle w:val="ListParagraph"/>
      </w:pPr>
      <w:r>
        <w:t>- CCP instructs – on-behalf of CM B and based on a Power-of-Attorney – CSD B to r</w:t>
      </w:r>
      <w:r>
        <w:t>e</w:t>
      </w:r>
      <w:r>
        <w:t>ceive securities for CM B</w:t>
      </w:r>
      <w:r>
        <w:br/>
      </w:r>
      <w:r>
        <w:sym w:font="Wingdings" w:char="F0E8"/>
      </w:r>
      <w:r>
        <w:t xml:space="preserve"> this already matched intra-CSD settlement instruction will be sent by the CCP to CSD B</w:t>
      </w:r>
    </w:p>
    <w:p w:rsidR="007776BA" w:rsidRDefault="007776BA" w:rsidP="007776BA">
      <w:pPr>
        <w:pStyle w:val="ListParagraph"/>
      </w:pPr>
    </w:p>
    <w:p w:rsidR="007776BA" w:rsidRDefault="007776BA" w:rsidP="007776BA">
      <w:pPr>
        <w:pStyle w:val="ListParagraph"/>
      </w:pPr>
      <w:r>
        <w:t>Enabling this delivery requires 4 settlement instructions (1 to complete delivery chain 1, 2 to complete delivery chain 2 and 1 to complete delivery chain 3) to be processed in the settlement environments of both CSDs.</w:t>
      </w:r>
    </w:p>
    <w:p w:rsidR="007776BA" w:rsidRDefault="007776BA" w:rsidP="007776BA">
      <w:pPr>
        <w:pStyle w:val="ListParagraph"/>
      </w:pPr>
    </w:p>
    <w:p w:rsidR="007776BA" w:rsidRDefault="007776BA" w:rsidP="007776BA">
      <w:pPr>
        <w:pStyle w:val="ListParagraph"/>
      </w:pPr>
      <w:r>
        <w:t>The settlement costs to complete the delivery from CM A to CM B via the CCP are the same, irrespective of the numbers of technical settlement instructions.</w:t>
      </w:r>
    </w:p>
    <w:p w:rsidR="007776BA" w:rsidRDefault="007776BA" w:rsidP="007776BA">
      <w:pPr>
        <w:pStyle w:val="ListParagraph"/>
      </w:pPr>
      <w:r>
        <w:t>- CM A needs to pay for one settlement in CSD A</w:t>
      </w:r>
    </w:p>
    <w:p w:rsidR="007776BA" w:rsidRDefault="007776BA" w:rsidP="007776BA">
      <w:pPr>
        <w:pStyle w:val="ListParagraph"/>
      </w:pPr>
      <w:r>
        <w:t>- CM B needs to pay for one settlement in CSD B</w:t>
      </w:r>
    </w:p>
    <w:p w:rsidR="007776BA" w:rsidRDefault="007776BA" w:rsidP="007776BA">
      <w:pPr>
        <w:pStyle w:val="ListParagraph"/>
      </w:pPr>
      <w:r>
        <w:t>- CCP needs to pay for two settlements in CSD A and for two settlements in CSD B</w:t>
      </w:r>
    </w:p>
    <w:p w:rsidR="007776BA" w:rsidRDefault="007776BA" w:rsidP="007776BA">
      <w:pPr>
        <w:pStyle w:val="ListParagraph"/>
        <w:ind w:left="1440"/>
      </w:pPr>
    </w:p>
    <w:p w:rsidR="007776BA" w:rsidRDefault="007776BA" w:rsidP="007776BA">
      <w:pPr>
        <w:pStyle w:val="ListParagraph"/>
        <w:ind w:left="1440"/>
      </w:pPr>
    </w:p>
    <w:p w:rsidR="007776BA" w:rsidRDefault="007776BA" w:rsidP="007776BA">
      <w:pPr>
        <w:rPr>
          <w:b/>
          <w:u w:val="single"/>
        </w:rPr>
      </w:pPr>
      <w:r w:rsidRPr="00113A94">
        <w:rPr>
          <w:b/>
          <w:u w:val="single"/>
        </w:rPr>
        <w:t>Settlement efficiency</w:t>
      </w:r>
    </w:p>
    <w:p w:rsidR="007776BA" w:rsidRDefault="007776BA" w:rsidP="007776BA">
      <w:r>
        <w:t>Split liquidity will be the result from the requirement that the CCP operates a settlement account in each CSD and, subsequently, an increasing number of re-alignment deliveries will become necessary to ensure that the securities can be made available in the CSD where the buyer(s) is (are) located.</w:t>
      </w:r>
      <w:r>
        <w:br/>
        <w:t>Taking up the example before and assuming another CM C in CSD C will be added, 2 additional settlement instructions are necessary to ensure delivery to such CM C in the current processing environment but 3 become necessary in the future environment. Similar also the costs are i</w:t>
      </w:r>
      <w:r>
        <w:t>n</w:t>
      </w:r>
      <w:r>
        <w:t>creased</w:t>
      </w:r>
      <w:r>
        <w:br/>
        <w:t>Current processing: CM C needs to pay for one settlement in CSD C</w:t>
      </w:r>
      <w:r>
        <w:br/>
        <w:t>Future processing: CCP, in addition, needs to pay for one settlement in CSD A or CSD B d</w:t>
      </w:r>
      <w:r>
        <w:t>e</w:t>
      </w:r>
      <w:r>
        <w:t>pending where the securities are located and for two settlements in CSD C</w:t>
      </w:r>
      <w:r>
        <w:br/>
      </w:r>
      <w:r>
        <w:br/>
        <w:t xml:space="preserve">In that regard it needs to be mentioned that the CCP needs to implement a calculation algorithm which allows for a prediction whether the securities have to be delivered from CSD A or CSD B. Any intra-day adaption of those originally predicted deliveries requires cancellation and re-instruction which is costly and time-consuming. </w:t>
      </w:r>
    </w:p>
    <w:p w:rsidR="007776BA" w:rsidRDefault="007776BA" w:rsidP="007776BA"/>
    <w:p w:rsidR="007776BA" w:rsidRPr="00113A94" w:rsidRDefault="007776BA" w:rsidP="007776BA">
      <w:pPr>
        <w:rPr>
          <w:b/>
          <w:u w:val="single"/>
        </w:rPr>
      </w:pPr>
      <w:r>
        <w:t>The more Clearing Members are participating in a CCP and the more CSDs are chosen for settlement, the more the complexity of such prediction algorithm will increase. Cost will increase, the timely re-alignment of securities will become less and less possible and, in consequence, overall settlement efficiency will be decreased.</w:t>
      </w:r>
    </w:p>
    <w:p w:rsidR="007776BA" w:rsidRDefault="007776BA" w:rsidP="007776BA"/>
    <w:p w:rsidR="007776BA" w:rsidRDefault="007776BA" w:rsidP="007776BA">
      <w:r>
        <w:t>Considering,</w:t>
      </w:r>
    </w:p>
    <w:p w:rsidR="007776BA" w:rsidRDefault="007776BA" w:rsidP="007776BA">
      <w:pPr>
        <w:pStyle w:val="ListParagraph"/>
        <w:numPr>
          <w:ilvl w:val="0"/>
          <w:numId w:val="43"/>
        </w:numPr>
      </w:pPr>
      <w:r>
        <w:t>the limitations within the settlement environment (e.g. its limited availability within T2S),</w:t>
      </w:r>
    </w:p>
    <w:p w:rsidR="007776BA" w:rsidRDefault="007776BA" w:rsidP="007776BA">
      <w:pPr>
        <w:pStyle w:val="ListParagraph"/>
        <w:numPr>
          <w:ilvl w:val="0"/>
          <w:numId w:val="43"/>
        </w:numPr>
      </w:pPr>
      <w:r>
        <w:t>the expectable development of the market (i.e. the number of inter-CSD settlements will presumably increase resulting from the introduction of T2S),</w:t>
      </w:r>
    </w:p>
    <w:p w:rsidR="007776BA" w:rsidRDefault="007776BA" w:rsidP="007776BA">
      <w:pPr>
        <w:pStyle w:val="ListParagraph"/>
        <w:numPr>
          <w:ilvl w:val="0"/>
          <w:numId w:val="43"/>
        </w:numPr>
      </w:pPr>
      <w:r>
        <w:t>the special role of a CCP (i.e. being buyer to each seller and seller to each buyer),</w:t>
      </w:r>
    </w:p>
    <w:p w:rsidR="007776BA" w:rsidRDefault="007776BA" w:rsidP="007776BA">
      <w:pPr>
        <w:pStyle w:val="ListParagraph"/>
        <w:numPr>
          <w:ilvl w:val="0"/>
          <w:numId w:val="43"/>
        </w:numPr>
      </w:pPr>
      <w:r>
        <w:t>the interrelated costs resulting from the intra-CCP re-alignments and</w:t>
      </w:r>
    </w:p>
    <w:p w:rsidR="007776BA" w:rsidRDefault="007776BA" w:rsidP="007776BA">
      <w:pPr>
        <w:pStyle w:val="ListParagraph"/>
        <w:numPr>
          <w:ilvl w:val="0"/>
          <w:numId w:val="43"/>
        </w:numPr>
      </w:pPr>
      <w:r>
        <w:t>the issue which will presumably arise with settlement efficiency (resulting from a increa</w:t>
      </w:r>
      <w:r>
        <w:t>s</w:t>
      </w:r>
      <w:r>
        <w:t>ing number of re-alignment deliveries across CSDs)</w:t>
      </w:r>
    </w:p>
    <w:p w:rsidR="007776BA" w:rsidRDefault="007776BA" w:rsidP="007776BA">
      <w:r>
        <w:t>the requirement that a CCP must always process its settlement instructions as “already matched” should be clarified.</w:t>
      </w:r>
    </w:p>
    <w:p w:rsidR="007776BA" w:rsidRDefault="007776BA" w:rsidP="007776BA"/>
    <w:p w:rsidR="007776BA" w:rsidRDefault="007776BA" w:rsidP="007776BA">
      <w:r>
        <w:t xml:space="preserve">Considering the processing of </w:t>
      </w:r>
      <w:proofErr w:type="spellStart"/>
      <w:r>
        <w:t>Eurex</w:t>
      </w:r>
      <w:proofErr w:type="spellEnd"/>
      <w:r>
        <w:t xml:space="preserve"> Clearing – and to our understanding of CCPs in general – have in place, </w:t>
      </w:r>
      <w:proofErr w:type="spellStart"/>
      <w:r>
        <w:t>Eurex</w:t>
      </w:r>
      <w:proofErr w:type="spellEnd"/>
      <w:r>
        <w:t xml:space="preserve"> Clearing already ensures that settlement instructions (for the selling or buying Clearing Member but also for </w:t>
      </w:r>
      <w:proofErr w:type="spellStart"/>
      <w:r>
        <w:t>Eurex</w:t>
      </w:r>
      <w:proofErr w:type="spellEnd"/>
      <w:r>
        <w:t xml:space="preserve"> Clearing) will match in the CSD without any issues. This is resulting from the fact that they are entirely prepared and sent by </w:t>
      </w:r>
      <w:proofErr w:type="spellStart"/>
      <w:r>
        <w:t>Eurex</w:t>
      </w:r>
      <w:proofErr w:type="spellEnd"/>
      <w:r>
        <w:t xml:space="preserve"> Clearing.</w:t>
      </w:r>
    </w:p>
    <w:p w:rsidR="007776BA" w:rsidRDefault="007776BA" w:rsidP="007776BA">
      <w:r>
        <w:t>The following paragraph is aimed to make that transparent.</w:t>
      </w:r>
    </w:p>
    <w:p w:rsidR="007776BA" w:rsidRDefault="007776BA" w:rsidP="007776BA"/>
    <w:p w:rsidR="007776BA" w:rsidRDefault="007776BA" w:rsidP="007776BA">
      <w:r>
        <w:t xml:space="preserve">In general, </w:t>
      </w:r>
      <w:proofErr w:type="spellStart"/>
      <w:r>
        <w:t>Eurex</w:t>
      </w:r>
      <w:proofErr w:type="spellEnd"/>
      <w:r>
        <w:t xml:space="preserve"> Clearing is using the Power-of-Attorney principle when providing settlement instructions to CSDs. This principle foresees that </w:t>
      </w:r>
      <w:proofErr w:type="spellStart"/>
      <w:r>
        <w:t>Eurex</w:t>
      </w:r>
      <w:proofErr w:type="spellEnd"/>
      <w:r>
        <w:t xml:space="preserve"> Clearing produces the settlement i</w:t>
      </w:r>
      <w:r>
        <w:t>n</w:t>
      </w:r>
      <w:r>
        <w:t xml:space="preserve">structions to be sent to the relevant CSDs and, subsequently, provides the instruction for its side of a settlement and also for the side of the selling or buying Clearing Member to the relevant CSD. The instructions for the selling of buying Clearing Member are provided to the CSD by using the Power-of-Attorney principle. Considering that the settlement instructions for the selling and buying Clearing Member as well as the matching settlement instructions for the </w:t>
      </w:r>
      <w:proofErr w:type="spellStart"/>
      <w:r>
        <w:t>Eurex</w:t>
      </w:r>
      <w:proofErr w:type="spellEnd"/>
      <w:r>
        <w:t xml:space="preserve"> Clea</w:t>
      </w:r>
      <w:r>
        <w:t>r</w:t>
      </w:r>
      <w:r>
        <w:t xml:space="preserve">ing are produced by </w:t>
      </w:r>
      <w:proofErr w:type="spellStart"/>
      <w:r>
        <w:t>Eurex</w:t>
      </w:r>
      <w:proofErr w:type="spellEnd"/>
      <w:r>
        <w:t xml:space="preserve"> Clearing, it can be assured that they “fit together” and the subsequent settlement process taking place in the CSD is not disturbed.</w:t>
      </w:r>
    </w:p>
    <w:p w:rsidR="007776BA" w:rsidRDefault="007776BA" w:rsidP="007776BA"/>
    <w:p w:rsidR="007776BA" w:rsidRDefault="007776BA" w:rsidP="007776BA">
      <w:r>
        <w:t xml:space="preserve">In cases where the Power-of-Attorney principle is not required the settlement instruction are sent to the CSD by </w:t>
      </w:r>
      <w:proofErr w:type="spellStart"/>
      <w:r>
        <w:t>Eurex</w:t>
      </w:r>
      <w:proofErr w:type="spellEnd"/>
      <w:r>
        <w:t xml:space="preserve"> Clearing and by the Clearing Members. In theses cases the CSD is r</w:t>
      </w:r>
      <w:r>
        <w:t>e</w:t>
      </w:r>
      <w:r>
        <w:t>quired to conduct the matching of settlement instructions.</w:t>
      </w:r>
    </w:p>
    <w:p w:rsidR="007776BA" w:rsidRDefault="007776BA" w:rsidP="007776BA"/>
    <w:p w:rsidR="007776BA" w:rsidRDefault="007776BA" w:rsidP="007776BA">
      <w:r>
        <w:t xml:space="preserve">Hence, </w:t>
      </w:r>
      <w:proofErr w:type="spellStart"/>
      <w:r>
        <w:t>Eurex</w:t>
      </w:r>
      <w:proofErr w:type="spellEnd"/>
      <w:r>
        <w:t xml:space="preserve"> Clearing proposes a clarification on Article 3, 2, 2</w:t>
      </w:r>
      <w:r w:rsidRPr="00FC762D">
        <w:rPr>
          <w:vertAlign w:val="superscript"/>
        </w:rPr>
        <w:t>nd</w:t>
      </w:r>
      <w:r>
        <w:t xml:space="preserve"> paragraph making transparent that “already matched” settlement instructions should be provided where this is technically su</w:t>
      </w:r>
      <w:r>
        <w:t>p</w:t>
      </w:r>
      <w:r>
        <w:t>ported and overall settlement efficiency is not harmed in the following way:</w:t>
      </w:r>
    </w:p>
    <w:p w:rsidR="007776BA" w:rsidRDefault="007776BA" w:rsidP="007776BA">
      <w:pPr>
        <w:jc w:val="both"/>
      </w:pPr>
    </w:p>
    <w:p w:rsidR="007776BA" w:rsidRPr="00F949F9" w:rsidRDefault="007776BA" w:rsidP="007776BA">
      <w:pPr>
        <w:jc w:val="both"/>
        <w:rPr>
          <w:i/>
        </w:rPr>
      </w:pPr>
      <w:r>
        <w:rPr>
          <w:i/>
        </w:rPr>
        <w:t xml:space="preserve">3.) </w:t>
      </w:r>
      <w:r w:rsidRPr="00F949F9">
        <w:rPr>
          <w:i/>
        </w:rPr>
        <w:t>Concrete redrafting proposal</w:t>
      </w:r>
      <w:r>
        <w:rPr>
          <w:i/>
        </w:rPr>
        <w:t xml:space="preserve"> of Article 3 para 2:</w:t>
      </w:r>
    </w:p>
    <w:p w:rsidR="00124278" w:rsidRDefault="007776BA" w:rsidP="007776BA">
      <w:r w:rsidRPr="00B41A18">
        <w:rPr>
          <w:b/>
          <w:i/>
          <w:lang w:val="en-US"/>
        </w:rPr>
        <w:t>For intra-CSD settlement instruction (specified in point f) of Article 4(2))</w:t>
      </w:r>
      <w:r w:rsidRPr="00B41A18">
        <w:rPr>
          <w:i/>
          <w:lang w:val="en-US"/>
        </w:rPr>
        <w:t xml:space="preserve"> CSDs shall require that CCPs send already matched settlement instructions into the securities settlement system operated by a CSD</w:t>
      </w:r>
      <w:r>
        <w:rPr>
          <w:i/>
          <w:lang w:val="en-US"/>
        </w:rPr>
        <w:t xml:space="preserve"> </w:t>
      </w:r>
      <w:r w:rsidRPr="008A27E3">
        <w:rPr>
          <w:b/>
          <w:i/>
          <w:lang w:val="en-US"/>
        </w:rPr>
        <w:t>which technically supports such functionality</w:t>
      </w:r>
      <w:r w:rsidRPr="00B41A18">
        <w:rPr>
          <w:i/>
          <w:lang w:val="en-US"/>
        </w:rPr>
        <w:t>, unless letter b) of subpa</w:t>
      </w:r>
      <w:r w:rsidRPr="00B41A18">
        <w:rPr>
          <w:i/>
          <w:lang w:val="en-US"/>
        </w:rPr>
        <w:t>r</w:t>
      </w:r>
      <w:r w:rsidRPr="00B41A18">
        <w:rPr>
          <w:i/>
          <w:lang w:val="en-US"/>
        </w:rPr>
        <w:t>agraph 1 applies.</w:t>
      </w:r>
    </w:p>
    <w:permEnd w:id="854340745"/>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7776BA" w:rsidRDefault="007776BA" w:rsidP="007776BA">
      <w:pPr>
        <w:jc w:val="both"/>
        <w:rPr>
          <w:lang w:val="en-US"/>
        </w:rPr>
      </w:pPr>
      <w:permStart w:id="1386761629" w:edGrp="everyone"/>
      <w:r>
        <w:t>4.) The CSD is obliged to recycle settlement instructions as long as these have not been bilate</w:t>
      </w:r>
      <w:r>
        <w:t>r</w:t>
      </w:r>
      <w:r>
        <w:t xml:space="preserve">ally cancelled. </w:t>
      </w:r>
      <w:r>
        <w:rPr>
          <w:lang w:val="en-US"/>
        </w:rPr>
        <w:t>In line with the anti-circumvention rules set forth in Article 19 of draft RTS on settlement discipline a CCP is entitled to use netting models such as continuous net settlement in which bilateral cancellation is also performed for already sent but not settled settlement i</w:t>
      </w:r>
      <w:r>
        <w:rPr>
          <w:lang w:val="en-US"/>
        </w:rPr>
        <w:t>n</w:t>
      </w:r>
      <w:r>
        <w:rPr>
          <w:lang w:val="en-US"/>
        </w:rPr>
        <w:t>structions.</w:t>
      </w:r>
    </w:p>
    <w:p w:rsidR="007776BA" w:rsidRDefault="007776BA" w:rsidP="007776BA"/>
    <w:p w:rsidR="00124278" w:rsidRDefault="007776BA" w:rsidP="007776BA">
      <w:r>
        <w:t>5.) We like to point out from a CCP perspective that the introduction of crucial system functional</w:t>
      </w:r>
      <w:r>
        <w:t>i</w:t>
      </w:r>
      <w:r>
        <w:t>ties is dependent on the implementation effort that includes an adequate build and diligent tes</w:t>
      </w:r>
      <w:r>
        <w:t>t</w:t>
      </w:r>
      <w:r>
        <w:t>ing phase for the adaptions in the core system and therefore may take considerably more than 3 months.</w:t>
      </w:r>
    </w:p>
    <w:permEnd w:id="1386761629"/>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7776BA" w:rsidP="00124278">
      <w:permStart w:id="1816936231" w:edGrp="everyone"/>
      <w:r>
        <w:t xml:space="preserve">6.) </w:t>
      </w:r>
      <w:proofErr w:type="spellStart"/>
      <w:r>
        <w:t>Eurex</w:t>
      </w:r>
      <w:proofErr w:type="spellEnd"/>
      <w:r>
        <w:t xml:space="preserve"> Clearing has no comment on these provisions.</w:t>
      </w:r>
    </w:p>
    <w:permEnd w:id="1816936231"/>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7776BA" w:rsidRDefault="007776BA" w:rsidP="007776BA">
      <w:pPr>
        <w:jc w:val="both"/>
        <w:rPr>
          <w:lang w:val="en-US"/>
        </w:rPr>
      </w:pPr>
      <w:permStart w:id="666926149" w:edGrp="everyone"/>
      <w:r>
        <w:rPr>
          <w:lang w:val="en-US"/>
        </w:rPr>
        <w:t xml:space="preserve">7.) </w:t>
      </w:r>
      <w:r w:rsidRPr="00EE1C82">
        <w:rPr>
          <w:lang w:val="en-US"/>
        </w:rPr>
        <w:t>As</w:t>
      </w:r>
      <w:r>
        <w:rPr>
          <w:lang w:val="en-US"/>
        </w:rPr>
        <w:t xml:space="preserve"> pointed out earlier, according to the anti-circumvention rules set forth in Article 19 of draft RTS on settlement discipline a CCP is entitled to use netting models such as continuous net settlement in which bilateral cancellation is performed for already sent but not settled settlement instructions. </w:t>
      </w:r>
    </w:p>
    <w:p w:rsidR="007776BA" w:rsidRPr="00EE1C82" w:rsidRDefault="007776BA" w:rsidP="007776BA">
      <w:pPr>
        <w:jc w:val="both"/>
        <w:rPr>
          <w:lang w:val="en-US"/>
        </w:rPr>
      </w:pPr>
      <w:r>
        <w:rPr>
          <w:lang w:val="en-US"/>
        </w:rPr>
        <w:t>However Eurex Clearing will make a copy available in addition to our standard procedure that will be provided to the relevant CSD(s) and enable the CSD(s) to monitor settlement fails of cleared transactions.</w:t>
      </w:r>
    </w:p>
    <w:p w:rsidR="007776BA" w:rsidRPr="00395A03" w:rsidRDefault="007776BA" w:rsidP="007776BA">
      <w:pPr>
        <w:jc w:val="both"/>
        <w:rPr>
          <w:i/>
          <w:lang w:val="en-US"/>
        </w:rPr>
      </w:pPr>
    </w:p>
    <w:p w:rsidR="007776BA" w:rsidRDefault="007776BA" w:rsidP="007776BA">
      <w:pPr>
        <w:jc w:val="both"/>
      </w:pPr>
      <w:r>
        <w:t>8.) ESMA aims to facilitate the monitoring of settlement fails and asks for a market wide working flow across trading venues, central counterparties and security settlement systems to blacklist the top ten participants with the highest rates of settlement fails in Article 4 para 3 RTS on se</w:t>
      </w:r>
      <w:r>
        <w:t>t</w:t>
      </w:r>
      <w:r>
        <w:t xml:space="preserve">tlement discipline. </w:t>
      </w:r>
      <w:proofErr w:type="spellStart"/>
      <w:r>
        <w:t>Eurex</w:t>
      </w:r>
      <w:proofErr w:type="spellEnd"/>
      <w:r>
        <w:t xml:space="preserve"> Clearing is bound to carefully consider European and national data protection requirements. The working flow has not been further detailed by ESMA. Additionally the communication to inform these participants has to be structured and should not contradict with other legal obligations. </w:t>
      </w:r>
    </w:p>
    <w:p w:rsidR="00124278" w:rsidRDefault="00124278" w:rsidP="00124278"/>
    <w:permEnd w:id="666926149"/>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7776BA" w:rsidRDefault="007776BA" w:rsidP="007776BA">
      <w:pPr>
        <w:jc w:val="both"/>
      </w:pPr>
      <w:permStart w:id="117718416" w:edGrp="everyone"/>
      <w:r>
        <w:t>9.</w:t>
      </w:r>
      <w:r w:rsidRPr="003A5791">
        <w:t xml:space="preserve">) It is </w:t>
      </w:r>
      <w:proofErr w:type="spellStart"/>
      <w:r w:rsidRPr="003A5791">
        <w:t>Eurex</w:t>
      </w:r>
      <w:proofErr w:type="spellEnd"/>
      <w:r w:rsidRPr="003A5791">
        <w:t xml:space="preserve"> Clearing’s understanding </w:t>
      </w:r>
      <w:r>
        <w:t>that a CSD may provide the CCP with the cash penalty. We appreciate that the CCP can then collect and redistribute the penalties in order to maintain the penalty regime directly with Clearing Members. A CCP would not be able to analyse a bus</w:t>
      </w:r>
      <w:r>
        <w:t>i</w:t>
      </w:r>
      <w:r>
        <w:t>ness relationship of a CSD as well as a CSD will not be able to trace all business relationships of a CCP. We point out that a recalculation will be required to align with the CSD’s calculation of penalties since the settlement participants can be different from the clearing members. Neve</w:t>
      </w:r>
      <w:r>
        <w:t>r</w:t>
      </w:r>
      <w:r>
        <w:t>theless, we would also like to point out that this redistribution, required because of legal rel</w:t>
      </w:r>
      <w:r>
        <w:t>a</w:t>
      </w:r>
      <w:r>
        <w:t>tions, should not affect the total amount of cash penalties originally calculated by the CSD and provided to the CCP for collection and redistribution.</w:t>
      </w:r>
    </w:p>
    <w:p w:rsidR="007776BA" w:rsidRDefault="007776BA" w:rsidP="007776BA">
      <w:pPr>
        <w:jc w:val="both"/>
      </w:pPr>
    </w:p>
    <w:p w:rsidR="007776BA" w:rsidRDefault="007776BA" w:rsidP="007776BA">
      <w:pPr>
        <w:jc w:val="both"/>
      </w:pPr>
      <w:r>
        <w:t>10.) Further it is important to note that EU-wide unique reference prices used for penalty calcul</w:t>
      </w:r>
      <w:r>
        <w:t>a</w:t>
      </w:r>
      <w:r>
        <w:t>tion need to be available per ISIN</w:t>
      </w:r>
      <w:r w:rsidRPr="00367B79">
        <w:t xml:space="preserve"> irrespective if the compensated trade is CCP cleared or bila</w:t>
      </w:r>
      <w:r w:rsidRPr="00367B79">
        <w:t>t</w:t>
      </w:r>
      <w:r w:rsidRPr="00367B79">
        <w:t>eral</w:t>
      </w:r>
      <w:r>
        <w:t xml:space="preserve"> processed. This is to avoid the occurrence of different penalties within a harmonized Eur</w:t>
      </w:r>
      <w:r>
        <w:t>o</w:t>
      </w:r>
      <w:r>
        <w:t>pean penalty regime.</w:t>
      </w:r>
    </w:p>
    <w:p w:rsidR="007776BA" w:rsidRDefault="007776BA" w:rsidP="007776BA">
      <w:pPr>
        <w:jc w:val="both"/>
      </w:pPr>
    </w:p>
    <w:p w:rsidR="007776BA" w:rsidRPr="003A5791" w:rsidRDefault="007776BA" w:rsidP="007776BA">
      <w:pPr>
        <w:jc w:val="both"/>
      </w:pPr>
      <w:r>
        <w:t>11.) Additionally, the classification of ISINs should be determined in a distinctive way to prevent the application of different penalty rates on the same ISIN, i.e. per ISIN the asset class must be given or ideally a penalty rate directly per ISIN.</w:t>
      </w:r>
    </w:p>
    <w:p w:rsidR="007776BA" w:rsidRDefault="007776BA" w:rsidP="007776BA">
      <w:pPr>
        <w:jc w:val="both"/>
      </w:pPr>
    </w:p>
    <w:p w:rsidR="007776BA" w:rsidRDefault="007776BA" w:rsidP="007776BA">
      <w:pPr>
        <w:jc w:val="both"/>
      </w:pPr>
      <w:r>
        <w:t>12.) In any case enough lead time is needed to establish and test a penalty redistribution mec</w:t>
      </w:r>
      <w:r>
        <w:t>h</w:t>
      </w:r>
      <w:r>
        <w:t>anism that allows collecting and forwarding penalties. Moreover, the CSDR penalty regime covers many more asset classes than the existing Short Selling Regulation. As a result many market participants will take a considerable effort to set up the legal documentation and new system functionalities.</w:t>
      </w:r>
    </w:p>
    <w:p w:rsidR="00124278" w:rsidRDefault="00124278" w:rsidP="00124278"/>
    <w:permEnd w:id="117718416"/>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7776BA" w:rsidRDefault="007776BA" w:rsidP="007776BA">
      <w:pPr>
        <w:jc w:val="both"/>
      </w:pPr>
      <w:permStart w:id="325665226" w:edGrp="everyone"/>
      <w:r>
        <w:t xml:space="preserve">13.) The buy-in process requires an agreed legal framework and therefore such a buy-in process can be executed only between contractual counterparties. We appreciate that ESMA clarifies this in Article 11 of the draft RTS on settlement discipline. </w:t>
      </w:r>
    </w:p>
    <w:p w:rsidR="007776BA" w:rsidRDefault="007776BA" w:rsidP="007776BA">
      <w:pPr>
        <w:jc w:val="both"/>
        <w:rPr>
          <w:lang w:val="en-US"/>
        </w:rPr>
      </w:pPr>
    </w:p>
    <w:p w:rsidR="007776BA" w:rsidRDefault="007776BA" w:rsidP="007776BA">
      <w:pPr>
        <w:jc w:val="both"/>
        <w:rPr>
          <w:lang w:val="en-US"/>
        </w:rPr>
      </w:pPr>
      <w:r>
        <w:rPr>
          <w:lang w:val="en-US"/>
        </w:rPr>
        <w:t xml:space="preserve">14.)As Eurex Clearing currently employs an auction model, we appreciate that the CCP is not required to add additional risk by outsourcing buy-ins to a buy-in agent. We also appreciate a </w:t>
      </w:r>
      <w:r>
        <w:t>clarification that recurring partial buy-ins are not possible.</w:t>
      </w:r>
    </w:p>
    <w:p w:rsidR="007776BA" w:rsidRDefault="007776BA" w:rsidP="007776BA">
      <w:pPr>
        <w:jc w:val="both"/>
        <w:rPr>
          <w:lang w:val="en-US"/>
        </w:rPr>
      </w:pPr>
    </w:p>
    <w:p w:rsidR="007776BA" w:rsidRPr="006E3628" w:rsidRDefault="007776BA" w:rsidP="007776BA">
      <w:pPr>
        <w:jc w:val="both"/>
        <w:rPr>
          <w:lang w:val="en-US"/>
        </w:rPr>
      </w:pPr>
      <w:r>
        <w:rPr>
          <w:lang w:val="en-US"/>
        </w:rPr>
        <w:t xml:space="preserve">15.) </w:t>
      </w:r>
      <w:r w:rsidRPr="00DB0B2D">
        <w:rPr>
          <w:lang w:val="en-US"/>
        </w:rPr>
        <w:t>Eurex Clearing supports the suggested approach of a cash compensat</w:t>
      </w:r>
      <w:r>
        <w:rPr>
          <w:lang w:val="en-US"/>
        </w:rPr>
        <w:t>i</w:t>
      </w:r>
      <w:r w:rsidRPr="00DB0B2D">
        <w:rPr>
          <w:lang w:val="en-US"/>
        </w:rPr>
        <w:t>on following a buy-in fail</w:t>
      </w:r>
      <w:r>
        <w:rPr>
          <w:lang w:val="en-US"/>
        </w:rPr>
        <w:t xml:space="preserve"> to facilitate an EU-wide approach harmonized for the cash compensation.</w:t>
      </w:r>
    </w:p>
    <w:p w:rsidR="007776BA" w:rsidRPr="006E3628" w:rsidRDefault="007776BA" w:rsidP="007776BA">
      <w:pPr>
        <w:jc w:val="both"/>
        <w:rPr>
          <w:lang w:val="en-US"/>
        </w:rPr>
      </w:pPr>
    </w:p>
    <w:p w:rsidR="007776BA" w:rsidRDefault="007776BA" w:rsidP="007776BA">
      <w:pPr>
        <w:jc w:val="both"/>
        <w:rPr>
          <w:lang w:val="en-US"/>
        </w:rPr>
      </w:pPr>
      <w:r>
        <w:rPr>
          <w:lang w:val="en-US"/>
        </w:rPr>
        <w:t>16.) In article 11 para 7 draft RTS on settlement discipline ESMA referrers to Article 9 draft RTS on settlement discipline for the “timeframe established” to limit the deferral period. However the reference to Article 9 is misleading. We wonder whether ESMA stipulated the deadline for a deferral as described in recital 23 in Article 13. If the deferral period was ultimately 4 to 7 days, we would appreciate ESMA to further detail how this timeframe was set.</w:t>
      </w:r>
    </w:p>
    <w:p w:rsidR="007776BA" w:rsidRDefault="007776BA" w:rsidP="007776BA">
      <w:pPr>
        <w:jc w:val="both"/>
        <w:rPr>
          <w:lang w:val="en-US"/>
        </w:rPr>
      </w:pPr>
    </w:p>
    <w:p w:rsidR="007776BA" w:rsidRDefault="007776BA" w:rsidP="007776BA">
      <w:pPr>
        <w:jc w:val="both"/>
        <w:rPr>
          <w:rFonts w:eastAsiaTheme="minorHAnsi" w:cs="Arial"/>
          <w:color w:val="000000"/>
          <w:szCs w:val="22"/>
          <w:lang w:val="en-US" w:eastAsia="en-US"/>
        </w:rPr>
      </w:pPr>
      <w:r>
        <w:rPr>
          <w:rFonts w:eastAsiaTheme="minorHAnsi" w:cs="Arial"/>
          <w:color w:val="000000"/>
          <w:szCs w:val="22"/>
          <w:lang w:val="en-US" w:eastAsia="en-US"/>
        </w:rPr>
        <w:t>17.) We point out that the partial settlement functionality as required cannot oblige CSD partic</w:t>
      </w:r>
      <w:r>
        <w:rPr>
          <w:rFonts w:eastAsiaTheme="minorHAnsi" w:cs="Arial"/>
          <w:color w:val="000000"/>
          <w:szCs w:val="22"/>
          <w:lang w:val="en-US" w:eastAsia="en-US"/>
        </w:rPr>
        <w:t>i</w:t>
      </w:r>
      <w:r>
        <w:rPr>
          <w:rFonts w:eastAsiaTheme="minorHAnsi" w:cs="Arial"/>
          <w:color w:val="000000"/>
          <w:szCs w:val="22"/>
          <w:lang w:val="en-US" w:eastAsia="en-US"/>
        </w:rPr>
        <w:t>pants to disclose their remaining holdings as this would contradict German provisions regarding data protection and depository activities. Such information is highly sensible and is not disclosed to the CCP in cleared business or to our understanding to the bilateral counterparty in non-cleared business. In consequence, CCPs can only perform a buy-in considering the outstanding delivery obligation of a Clearing Member towards the CCP. Eurex Clearing provides its Clearing Members with trade management functionalities that allows to (partially) block transactions and prevent their settlement. Only the Clearing Member has access to this information either directly or via the custodian.</w:t>
      </w:r>
    </w:p>
    <w:p w:rsidR="00124278" w:rsidRPr="007776BA" w:rsidRDefault="00124278" w:rsidP="00124278">
      <w:pPr>
        <w:rPr>
          <w:lang w:val="en-US"/>
        </w:rPr>
      </w:pPr>
    </w:p>
    <w:permEnd w:id="325665226"/>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7776BA" w:rsidP="00124278">
      <w:permStart w:id="1893095365" w:edGrp="everyone"/>
      <w:r>
        <w:t>18.) We like to point out for less and low liquid instrument the buy in timeframe might not be sufficient.</w:t>
      </w:r>
    </w:p>
    <w:permEnd w:id="1893095365"/>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7776BA" w:rsidRDefault="007776BA" w:rsidP="007776BA">
      <w:pPr>
        <w:jc w:val="both"/>
      </w:pPr>
      <w:permStart w:id="1512250164" w:edGrp="everyone"/>
      <w:r>
        <w:t xml:space="preserve">19.) </w:t>
      </w:r>
      <w:proofErr w:type="spellStart"/>
      <w:r>
        <w:t>Eurex</w:t>
      </w:r>
      <w:proofErr w:type="spellEnd"/>
      <w:r>
        <w:t xml:space="preserve"> Clearing would like a clearer provision in Article 14 for the definition of the type of operations such as the settlement of repurchase agreements and security lending transactions, i.e. security financed transactions. ESMA makes an illustrative case starting on page 31 of the consultation paper to explain when a buy-in is rendered ineffective. </w:t>
      </w:r>
    </w:p>
    <w:p w:rsidR="007776BA" w:rsidRDefault="007776BA" w:rsidP="007776BA">
      <w:pPr>
        <w:jc w:val="both"/>
      </w:pPr>
      <w:r>
        <w:t>We would appreciate an addition that any buy-in cannot be deemed ineffective as long as a buy-in has not been started. This would avoid any doubt that the deferral of a buy-in for bonds pos</w:t>
      </w:r>
      <w:r>
        <w:t>t</w:t>
      </w:r>
      <w:r>
        <w:t>pones the relevant time of the buy-in attempt for the first leg. According to CSDR Level 1 the specific time-frames have to be specified for such operations. We would appreciate if ESMA chooses to further clarify in Article 14 para 2 of the RTS on settlement discipline that a delivery can be expected to take place</w:t>
      </w:r>
      <w:r w:rsidRPr="00A953AD">
        <w:t xml:space="preserve"> </w:t>
      </w:r>
      <w:r>
        <w:t xml:space="preserve">for the number of business days that a buy-in can be deferred. </w:t>
      </w:r>
    </w:p>
    <w:p w:rsidR="007776BA" w:rsidRDefault="007776BA" w:rsidP="007776BA">
      <w:pPr>
        <w:jc w:val="both"/>
      </w:pPr>
    </w:p>
    <w:p w:rsidR="007776BA" w:rsidRDefault="007776BA" w:rsidP="007776BA">
      <w:pPr>
        <w:jc w:val="both"/>
      </w:pPr>
      <w:r>
        <w:t xml:space="preserve">20.) </w:t>
      </w:r>
      <w:proofErr w:type="spellStart"/>
      <w:r>
        <w:t>Eurex</w:t>
      </w:r>
      <w:proofErr w:type="spellEnd"/>
      <w:r>
        <w:t xml:space="preserve"> Clearing also assumes that the qualification of the liquidity of a market – as stipulated in Article 12 RTS on settlement discipline – of a bond can only be relevant at the time of the buy-in attempt. As a result, market participants are obliged to take into account for security financing transactions based bonds that have a market considered not liquid a timeframe to deliver the bonds of seven business days instead of four business days in accordance with Article 12 RTS on settlement discipline.</w:t>
      </w:r>
    </w:p>
    <w:p w:rsidR="00124278" w:rsidRDefault="00124278" w:rsidP="00124278"/>
    <w:permEnd w:id="1512250164"/>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7776BA" w:rsidRDefault="007776BA" w:rsidP="007776BA">
      <w:pPr>
        <w:jc w:val="both"/>
      </w:pPr>
      <w:permStart w:id="1649684655" w:edGrp="everyone"/>
      <w:r>
        <w:t>21.) We appreciate that the calculation of cash compensation can be based on a “pre-agreed price to settle</w:t>
      </w:r>
      <w:r w:rsidRPr="00F86914">
        <w:t>(d)</w:t>
      </w:r>
      <w:r>
        <w:t xml:space="preserve"> cash compensation” as stipulated in Article 15 para 1 </w:t>
      </w:r>
      <w:r>
        <w:rPr>
          <w:lang w:val="en-US"/>
        </w:rPr>
        <w:t>of the draft RTS on se</w:t>
      </w:r>
      <w:r>
        <w:rPr>
          <w:lang w:val="en-US"/>
        </w:rPr>
        <w:t>t</w:t>
      </w:r>
      <w:r>
        <w:rPr>
          <w:lang w:val="en-US"/>
        </w:rPr>
        <w:t xml:space="preserve">tlement discipline. </w:t>
      </w:r>
    </w:p>
    <w:p w:rsidR="00124278" w:rsidRDefault="00124278" w:rsidP="00124278"/>
    <w:permEnd w:id="1649684655"/>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7776BA" w:rsidP="00124278">
      <w:permStart w:id="260144196" w:edGrp="everyone"/>
      <w:r>
        <w:t xml:space="preserve">22.) </w:t>
      </w:r>
      <w:proofErr w:type="spellStart"/>
      <w:r>
        <w:t>Eurex</w:t>
      </w:r>
      <w:proofErr w:type="spellEnd"/>
      <w:r>
        <w:t xml:space="preserve"> Clearing has no comment on these provisions.</w:t>
      </w:r>
    </w:p>
    <w:permEnd w:id="260144196"/>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7776BA" w:rsidP="00124278">
      <w:permStart w:id="1426484313" w:edGrp="everyone"/>
      <w:r>
        <w:t xml:space="preserve">23.) </w:t>
      </w:r>
      <w:proofErr w:type="spellStart"/>
      <w:r>
        <w:t>Eurex</w:t>
      </w:r>
      <w:proofErr w:type="spellEnd"/>
      <w:r>
        <w:t xml:space="preserve"> Clearing has no comment on these provisions.</w:t>
      </w:r>
    </w:p>
    <w:permEnd w:id="1426484313"/>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7776BA" w:rsidRDefault="007776BA" w:rsidP="007776BA">
      <w:pPr>
        <w:rPr>
          <w:lang w:val="en-US"/>
        </w:rPr>
      </w:pPr>
      <w:permStart w:id="292885535" w:edGrp="everyone"/>
      <w:r>
        <w:rPr>
          <w:lang w:val="en-US"/>
        </w:rPr>
        <w:t xml:space="preserve">24.) </w:t>
      </w:r>
      <w:r w:rsidRPr="00732449">
        <w:rPr>
          <w:lang w:val="en-US"/>
        </w:rPr>
        <w:t>Eurex Clearing</w:t>
      </w:r>
      <w:r>
        <w:rPr>
          <w:lang w:val="en-US"/>
        </w:rPr>
        <w:t xml:space="preserve"> acknowledges </w:t>
      </w:r>
      <w:r w:rsidRPr="00732449">
        <w:rPr>
          <w:lang w:val="en-US"/>
        </w:rPr>
        <w:t xml:space="preserve">that </w:t>
      </w:r>
      <w:r>
        <w:rPr>
          <w:lang w:val="en-US"/>
        </w:rPr>
        <w:t>a netting model such as C</w:t>
      </w:r>
      <w:r w:rsidRPr="00732449">
        <w:rPr>
          <w:lang w:val="en-US"/>
        </w:rPr>
        <w:t>ontin</w:t>
      </w:r>
      <w:r>
        <w:rPr>
          <w:lang w:val="en-US"/>
        </w:rPr>
        <w:t>u</w:t>
      </w:r>
      <w:r w:rsidRPr="00732449">
        <w:rPr>
          <w:lang w:val="en-US"/>
        </w:rPr>
        <w:t xml:space="preserve">ous </w:t>
      </w:r>
      <w:r>
        <w:rPr>
          <w:lang w:val="en-US"/>
        </w:rPr>
        <w:t>N</w:t>
      </w:r>
      <w:r w:rsidRPr="00732449">
        <w:rPr>
          <w:lang w:val="en-US"/>
        </w:rPr>
        <w:t>et</w:t>
      </w:r>
      <w:r>
        <w:rPr>
          <w:lang w:val="en-US"/>
        </w:rPr>
        <w:t xml:space="preserve"> Settlement</w:t>
      </w:r>
      <w:r w:rsidRPr="00732449">
        <w:rPr>
          <w:lang w:val="en-US"/>
        </w:rPr>
        <w:t xml:space="preserve"> </w:t>
      </w:r>
      <w:r>
        <w:rPr>
          <w:lang w:val="en-US"/>
        </w:rPr>
        <w:t xml:space="preserve">(CNS) </w:t>
      </w:r>
      <w:r w:rsidRPr="00732449">
        <w:rPr>
          <w:lang w:val="en-US"/>
        </w:rPr>
        <w:t>is not disc</w:t>
      </w:r>
      <w:r>
        <w:rPr>
          <w:lang w:val="en-US"/>
        </w:rPr>
        <w:t>riminated by ESMA’s standards. Nevertheless, Eurex Clearing would request for clarification whether this understanding is correct.</w:t>
      </w:r>
    </w:p>
    <w:p w:rsidR="007776BA" w:rsidRDefault="007776BA" w:rsidP="007776BA">
      <w:pPr>
        <w:rPr>
          <w:lang w:val="en-US"/>
        </w:rPr>
      </w:pPr>
    </w:p>
    <w:p w:rsidR="007776BA" w:rsidRDefault="007776BA" w:rsidP="007776BA">
      <w:pPr>
        <w:rPr>
          <w:lang w:val="en-US"/>
        </w:rPr>
      </w:pPr>
      <w:r>
        <w:rPr>
          <w:lang w:val="en-US"/>
        </w:rPr>
        <w:t xml:space="preserve">25.) According to the anti-circumvention rules set forth in Article 19 of draft RTS on settlement discipline a CCP is entitled to use netting models such as CNS in which bilateral cancellation is also performed for already sent but not settled settlement instructions. </w:t>
      </w:r>
    </w:p>
    <w:p w:rsidR="00124278" w:rsidRPr="007776BA" w:rsidRDefault="00124278" w:rsidP="00124278">
      <w:pPr>
        <w:rPr>
          <w:lang w:val="en-US"/>
        </w:rPr>
      </w:pPr>
    </w:p>
    <w:permEnd w:id="292885535"/>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7776BA" w:rsidRDefault="007776BA" w:rsidP="007776BA">
      <w:pPr>
        <w:rPr>
          <w:lang w:val="en-US"/>
        </w:rPr>
      </w:pPr>
      <w:permStart w:id="1343453977" w:edGrp="everyone"/>
      <w:r>
        <w:t xml:space="preserve">26.) The provisions in the </w:t>
      </w:r>
      <w:r>
        <w:rPr>
          <w:lang w:val="en-US"/>
        </w:rPr>
        <w:t>draft RTS on settlement discipline require a technical implementation within Eurex Clearing and an interaction with Clearing Members. We deem that a project phase of at least 18 months is necessary.</w:t>
      </w:r>
    </w:p>
    <w:p w:rsidR="007776BA" w:rsidRDefault="007776BA" w:rsidP="007776BA">
      <w:pPr>
        <w:rPr>
          <w:lang w:val="en-US"/>
        </w:rPr>
      </w:pPr>
    </w:p>
    <w:p w:rsidR="007776BA" w:rsidRDefault="007776BA" w:rsidP="007776BA">
      <w:pPr>
        <w:rPr>
          <w:lang w:val="en-US"/>
        </w:rPr>
      </w:pPr>
      <w:r>
        <w:rPr>
          <w:lang w:val="en-US"/>
        </w:rPr>
        <w:t>27.) A clear and reliable timetable for the implementation phase should be announced as early as possible. In order to avoid disruptions in the market, this implementation phase should not be subject to discussion once these have been set in ESMA’s final draft. Eurex Clearing is asking to ensure certainty of these provisions as far as possible in the political process.</w:t>
      </w:r>
    </w:p>
    <w:p w:rsidR="00124278" w:rsidRPr="007776BA" w:rsidRDefault="00124278" w:rsidP="00124278">
      <w:pPr>
        <w:rPr>
          <w:lang w:val="en-US"/>
        </w:rPr>
      </w:pPr>
    </w:p>
    <w:permEnd w:id="1343453977"/>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584328394" w:edGrp="everyone"/>
      <w:r>
        <w:t>TYPE YOUR TEXT HERE</w:t>
      </w:r>
    </w:p>
    <w:permEnd w:id="584328394"/>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272980247" w:edGrp="everyone"/>
      <w:r>
        <w:t>TYPE YOUR TEXT HERE</w:t>
      </w:r>
    </w:p>
    <w:permEnd w:id="272980247"/>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709724459" w:edGrp="everyone"/>
      <w:r>
        <w:t>TYPE YOUR TEXT HERE</w:t>
      </w:r>
    </w:p>
    <w:permEnd w:id="1709724459"/>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1499214389" w:edGrp="everyone"/>
      <w:r>
        <w:t>TYPE YOUR TEXT HERE</w:t>
      </w:r>
    </w:p>
    <w:permEnd w:id="1499214389"/>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34902081" w:edGrp="everyone"/>
      <w:r>
        <w:t>TYPE YOUR TEXT HERE</w:t>
      </w:r>
    </w:p>
    <w:permEnd w:id="134902081"/>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242426728" w:edGrp="everyone"/>
      <w:r>
        <w:t>TYPE YOUR TEXT HERE</w:t>
      </w:r>
    </w:p>
    <w:permEnd w:id="242426728"/>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963187136" w:edGrp="everyone"/>
      <w:r>
        <w:t>TYPE YOUR TEXT HERE</w:t>
      </w:r>
    </w:p>
    <w:permEnd w:id="963187136"/>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1836463156" w:edGrp="everyone"/>
      <w:r>
        <w:t>TYPE YOUR TEXT HERE</w:t>
      </w:r>
    </w:p>
    <w:permEnd w:id="1836463156"/>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1817059605" w:edGrp="everyone"/>
      <w:r>
        <w:t>TYPE YOUR TEXT HERE</w:t>
      </w:r>
    </w:p>
    <w:permEnd w:id="1817059605"/>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1154035389" w:edGrp="everyone"/>
      <w:r>
        <w:t>TYPE YOUR TEXT HERE</w:t>
      </w:r>
    </w:p>
    <w:permEnd w:id="1154035389"/>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2094531596" w:edGrp="everyone"/>
      <w:r>
        <w:t>TYPE YOUR TEXT HERE</w:t>
      </w:r>
    </w:p>
    <w:permEnd w:id="2094531596"/>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722354267" w:edGrp="everyone"/>
      <w:r>
        <w:t>TYPE YOUR TEXT HERE</w:t>
      </w:r>
    </w:p>
    <w:permEnd w:id="722354267"/>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590480387" w:edGrp="everyone"/>
      <w:r>
        <w:t>TYPE YOUR TEXT HERE</w:t>
      </w:r>
    </w:p>
    <w:permEnd w:id="590480387"/>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110732982" w:edGrp="everyone"/>
      <w:r>
        <w:t>TYPE YOUR TEXT HERE</w:t>
      </w:r>
    </w:p>
    <w:permEnd w:id="1110732982"/>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2022638951" w:edGrp="everyone"/>
      <w:r>
        <w:t>TYPE YOUR TEXT HERE</w:t>
      </w:r>
    </w:p>
    <w:permEnd w:id="2022638951"/>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47565B" w:rsidRDefault="0047565B" w:rsidP="0047565B">
      <w:pPr>
        <w:jc w:val="both"/>
      </w:pPr>
      <w:permStart w:id="2088526967" w:edGrp="everyone"/>
      <w:r>
        <w:t>28</w:t>
      </w:r>
      <w:r>
        <w:t xml:space="preserve">.) Given the nature of </w:t>
      </w:r>
      <w:proofErr w:type="spellStart"/>
      <w:r>
        <w:t>Eurex</w:t>
      </w:r>
      <w:proofErr w:type="spellEnd"/>
      <w:r>
        <w:t xml:space="preserve"> Clearing as a leading Clearing House in Europe operating a Ce</w:t>
      </w:r>
      <w:r>
        <w:t>n</w:t>
      </w:r>
      <w:r>
        <w:t>tral Counterparty (CCP), the comments will concentrate on the necessary provisions which focus on access requests f</w:t>
      </w:r>
      <w:r w:rsidRPr="007B64E1">
        <w:t xml:space="preserve">rom CSDs towards a CCP. </w:t>
      </w:r>
    </w:p>
    <w:p w:rsidR="0047565B" w:rsidRDefault="0047565B" w:rsidP="0047565B">
      <w:pPr>
        <w:jc w:val="both"/>
      </w:pPr>
    </w:p>
    <w:p w:rsidR="0047565B" w:rsidRDefault="0047565B" w:rsidP="0047565B">
      <w:pPr>
        <w:jc w:val="both"/>
      </w:pPr>
      <w:r>
        <w:t>29</w:t>
      </w:r>
      <w:r>
        <w:t>.) Formal adjustments</w:t>
      </w:r>
    </w:p>
    <w:p w:rsidR="0047565B" w:rsidRDefault="0047565B" w:rsidP="0047565B">
      <w:pPr>
        <w:jc w:val="both"/>
      </w:pPr>
      <w:r w:rsidRPr="007B64E1">
        <w:t>The proposed draft RTS on access are currently not consistently reflecting the required prov</w:t>
      </w:r>
      <w:r w:rsidRPr="007B64E1">
        <w:t>i</w:t>
      </w:r>
      <w:r>
        <w:t>sions i</w:t>
      </w:r>
      <w:r w:rsidRPr="007B64E1">
        <w:t xml:space="preserve">n the case in which a CSD requests access to a CCP. </w:t>
      </w:r>
      <w:r>
        <w:t>There is only one exception in Article 1 of the draft RTS on Access and Links:  “</w:t>
      </w:r>
      <w:r w:rsidRPr="007B64E1">
        <w:t xml:space="preserve"> Definitions - b) ‘requesting party’ means one of the following entities, as appropriate: (…) “(iii) a CSD which requests access to the trading feed of a CCP;”</w:t>
      </w:r>
      <w:r>
        <w:t xml:space="preserve">. However, </w:t>
      </w:r>
      <w:r w:rsidRPr="007B64E1">
        <w:t>there is no further mentioning of a CCP as the party receiving a request, or furthermore how a CCP is supposed to analyse and implement such a request.</w:t>
      </w:r>
      <w:r>
        <w:t xml:space="preserve"> Moreover, C</w:t>
      </w:r>
      <w:r w:rsidRPr="007B64E1">
        <w:t>ha</w:t>
      </w:r>
      <w:r w:rsidRPr="007B64E1">
        <w:t>p</w:t>
      </w:r>
      <w:r w:rsidRPr="007B64E1">
        <w:t>ter 2</w:t>
      </w:r>
      <w:r w:rsidRPr="00D554E1">
        <w:t xml:space="preserve"> </w:t>
      </w:r>
      <w:r>
        <w:t>of the draft RTS on Access and Links</w:t>
      </w:r>
      <w:r w:rsidRPr="007B64E1">
        <w:t xml:space="preserve"> deals exclusively with “Access to a CSD” – a CSD as the receiving party.</w:t>
      </w:r>
      <w:r>
        <w:t xml:space="preserve"> </w:t>
      </w:r>
      <w:r w:rsidRPr="007B64E1">
        <w:t>We recommend including a Chapter describing provisions “Access to a CCP” with a CCP as the receiving party.</w:t>
      </w:r>
      <w:r>
        <w:t xml:space="preserve"> The proposed draft ITS on access, in contrast, in Cha</w:t>
      </w:r>
      <w:r>
        <w:t>p</w:t>
      </w:r>
      <w:r>
        <w:t>ter II, Article 2, 3. and 4., foresee procedures for the case that a CCP is a receiving party.</w:t>
      </w:r>
    </w:p>
    <w:p w:rsidR="0047565B" w:rsidRDefault="0047565B" w:rsidP="0047565B">
      <w:pPr>
        <w:jc w:val="both"/>
      </w:pPr>
    </w:p>
    <w:p w:rsidR="0047565B" w:rsidRDefault="0047565B" w:rsidP="0047565B">
      <w:pPr>
        <w:jc w:val="both"/>
      </w:pPr>
      <w:r>
        <w:t>30</w:t>
      </w:r>
      <w:r>
        <w:t>.) Assessment of necessary risks to be included</w:t>
      </w:r>
    </w:p>
    <w:p w:rsidR="0047565B" w:rsidRDefault="0047565B" w:rsidP="0047565B">
      <w:pPr>
        <w:jc w:val="both"/>
      </w:pPr>
      <w:r>
        <w:t>We agree to include the risk assessment as set out in Chapter II, Article 2, 1</w:t>
      </w:r>
      <w:r w:rsidRPr="00D554E1">
        <w:t xml:space="preserve"> </w:t>
      </w:r>
      <w:r>
        <w:t xml:space="preserve">of the draft RTS on Access and Links, which comprises </w:t>
      </w:r>
    </w:p>
    <w:p w:rsidR="0047565B" w:rsidRDefault="0047565B" w:rsidP="0047565B">
      <w:pPr>
        <w:jc w:val="both"/>
      </w:pPr>
      <w:r>
        <w:t>(a) the legal risks;</w:t>
      </w:r>
    </w:p>
    <w:p w:rsidR="0047565B" w:rsidRDefault="0047565B" w:rsidP="0047565B">
      <w:pPr>
        <w:jc w:val="both"/>
      </w:pPr>
      <w:r>
        <w:t>(b) the financial risks;</w:t>
      </w:r>
    </w:p>
    <w:p w:rsidR="0047565B" w:rsidRDefault="0047565B" w:rsidP="0047565B">
      <w:pPr>
        <w:jc w:val="both"/>
      </w:pPr>
      <w:r>
        <w:t xml:space="preserve">(c) the operational risks. </w:t>
      </w:r>
    </w:p>
    <w:p w:rsidR="0047565B" w:rsidRDefault="0047565B" w:rsidP="0047565B">
      <w:pPr>
        <w:jc w:val="both"/>
      </w:pPr>
    </w:p>
    <w:p w:rsidR="0047565B" w:rsidRDefault="0047565B" w:rsidP="0047565B">
      <w:pPr>
        <w:jc w:val="both"/>
      </w:pPr>
      <w:r>
        <w:t>31</w:t>
      </w:r>
      <w:r>
        <w:t>.) Adaptation of assessment of risks for a CCP</w:t>
      </w:r>
    </w:p>
    <w:p w:rsidR="0047565B" w:rsidRDefault="0047565B" w:rsidP="0047565B">
      <w:pPr>
        <w:jc w:val="both"/>
      </w:pPr>
      <w:r>
        <w:t>Although we generally agree to include an assessment of the risks as set out in Chapter II, Article 2, 1 of the draft RTS on Access and Links, some of the considerations will not apply to the specifics of a CCP compared to those of a CSD.  Additionally, there are some considerations which need to be included from our point of view before accepting or refusing a request for access from a CSD to a CCP. We deem the following paragraphs in Chapter II, Article 2 of the draft RTS on Access and Links as also appropriate for a risk assessment of a CCP as receiving party in case a CSD requests access:</w:t>
      </w:r>
    </w:p>
    <w:p w:rsidR="0047565B" w:rsidRDefault="0047565B" w:rsidP="0047565B">
      <w:pPr>
        <w:jc w:val="both"/>
      </w:pPr>
      <w:r>
        <w:t>1. General provisions for a risk assessment</w:t>
      </w:r>
    </w:p>
    <w:p w:rsidR="0047565B" w:rsidRDefault="0047565B" w:rsidP="0047565B">
      <w:pPr>
        <w:jc w:val="both"/>
      </w:pPr>
      <w:r>
        <w:t>2. Legal risks: a), b), and c) (replace “securities settlement system” by “central counterparty system”)</w:t>
      </w:r>
    </w:p>
    <w:p w:rsidR="0047565B" w:rsidRDefault="0047565B" w:rsidP="0047565B">
      <w:pPr>
        <w:jc w:val="both"/>
      </w:pPr>
      <w:r>
        <w:t>(3. Custody services – not applicable)</w:t>
      </w:r>
    </w:p>
    <w:p w:rsidR="0047565B" w:rsidRDefault="0047565B" w:rsidP="0047565B">
      <w:pPr>
        <w:jc w:val="both"/>
      </w:pPr>
      <w:r>
        <w:t>4. Legal risks assessment with competent authority</w:t>
      </w:r>
    </w:p>
    <w:p w:rsidR="0047565B" w:rsidRDefault="0047565B" w:rsidP="0047565B">
      <w:pPr>
        <w:jc w:val="both"/>
      </w:pPr>
      <w:r>
        <w:t>(5. Access request from a CCP – not applicable)</w:t>
      </w:r>
    </w:p>
    <w:p w:rsidR="0047565B" w:rsidRDefault="0047565B" w:rsidP="0047565B">
      <w:pPr>
        <w:jc w:val="both"/>
      </w:pPr>
      <w:r>
        <w:t>6. Financial risks</w:t>
      </w:r>
    </w:p>
    <w:p w:rsidR="0047565B" w:rsidRDefault="0047565B" w:rsidP="0047565B">
      <w:pPr>
        <w:jc w:val="both"/>
      </w:pPr>
      <w:r>
        <w:t>7. Financial risks assessment with competent authority</w:t>
      </w:r>
    </w:p>
    <w:p w:rsidR="0047565B" w:rsidRDefault="0047565B" w:rsidP="0047565B">
      <w:pPr>
        <w:jc w:val="both"/>
      </w:pPr>
      <w:r>
        <w:t>8. Financial risks assessment with competent authority regarding fees</w:t>
      </w:r>
    </w:p>
    <w:p w:rsidR="0047565B" w:rsidRDefault="0047565B" w:rsidP="0047565B">
      <w:pPr>
        <w:jc w:val="both"/>
      </w:pPr>
      <w:r>
        <w:t>9. Financial risks assessment with competent authority regarding connectivity cost</w:t>
      </w:r>
    </w:p>
    <w:p w:rsidR="0047565B" w:rsidRDefault="0047565B" w:rsidP="0047565B">
      <w:pPr>
        <w:jc w:val="both"/>
      </w:pPr>
      <w:r>
        <w:t xml:space="preserve">10. Operational risks assessment: a) to e) </w:t>
      </w:r>
    </w:p>
    <w:p w:rsidR="0047565B" w:rsidRDefault="0047565B" w:rsidP="0047565B">
      <w:pPr>
        <w:jc w:val="both"/>
      </w:pPr>
      <w:r>
        <w:t>(11. Custody services – not applicable)</w:t>
      </w:r>
    </w:p>
    <w:p w:rsidR="0047565B" w:rsidRDefault="0047565B" w:rsidP="0047565B">
      <w:pPr>
        <w:jc w:val="both"/>
      </w:pPr>
      <w:r>
        <w:t>12. Operational risks assessment with competent authority</w:t>
      </w:r>
    </w:p>
    <w:p w:rsidR="0047565B" w:rsidRDefault="0047565B" w:rsidP="0047565B">
      <w:pPr>
        <w:jc w:val="both"/>
      </w:pPr>
      <w:r>
        <w:t>13. Refusal provisions</w:t>
      </w:r>
    </w:p>
    <w:p w:rsidR="0047565B" w:rsidRDefault="0047565B" w:rsidP="0047565B">
      <w:pPr>
        <w:jc w:val="both"/>
      </w:pPr>
      <w:r>
        <w:t>14. Ongoing compliance provisions</w:t>
      </w:r>
    </w:p>
    <w:p w:rsidR="0047565B" w:rsidRDefault="0047565B" w:rsidP="0047565B">
      <w:pPr>
        <w:jc w:val="both"/>
      </w:pPr>
    </w:p>
    <w:p w:rsidR="0047565B" w:rsidRDefault="0047565B" w:rsidP="0047565B">
      <w:pPr>
        <w:jc w:val="both"/>
      </w:pPr>
      <w:r>
        <w:t>32</w:t>
      </w:r>
      <w:r>
        <w:t xml:space="preserve">.) Additionally to the risk assessment provisions as set out above, </w:t>
      </w:r>
      <w:proofErr w:type="spellStart"/>
      <w:r>
        <w:t>Eurex</w:t>
      </w:r>
      <w:proofErr w:type="spellEnd"/>
      <w:r>
        <w:t xml:space="preserve"> Clearing deems the assessment of the following risks as necessary accepting or refusing a request for access from a CSD to a CCP:</w:t>
      </w:r>
    </w:p>
    <w:p w:rsidR="0047565B" w:rsidRDefault="0047565B" w:rsidP="0047565B">
      <w:pPr>
        <w:pStyle w:val="ListParagraph"/>
        <w:numPr>
          <w:ilvl w:val="0"/>
          <w:numId w:val="45"/>
        </w:numPr>
        <w:spacing w:after="200" w:line="276" w:lineRule="auto"/>
        <w:jc w:val="both"/>
      </w:pPr>
      <w:proofErr w:type="spellStart"/>
      <w:r>
        <w:t>Eurex</w:t>
      </w:r>
      <w:proofErr w:type="spellEnd"/>
      <w:r>
        <w:t xml:space="preserve"> Clearing as CCP under EMIR must not be forced to file an application for a service extension pursuant to Article 14 EMIR.</w:t>
      </w:r>
    </w:p>
    <w:p w:rsidR="0047565B" w:rsidRDefault="0047565B" w:rsidP="0047565B">
      <w:pPr>
        <w:pStyle w:val="ListParagraph"/>
        <w:numPr>
          <w:ilvl w:val="0"/>
          <w:numId w:val="45"/>
        </w:numPr>
        <w:spacing w:after="200" w:line="276" w:lineRule="auto"/>
        <w:jc w:val="both"/>
      </w:pPr>
      <w:r>
        <w:t xml:space="preserve">the legal risk assessment must include that a requesting CSD complies with the Default Management Process of </w:t>
      </w:r>
      <w:proofErr w:type="spellStart"/>
      <w:r>
        <w:t>Eurex</w:t>
      </w:r>
      <w:proofErr w:type="spellEnd"/>
      <w:r>
        <w:t xml:space="preserve"> Clearing</w:t>
      </w:r>
    </w:p>
    <w:p w:rsidR="0047565B" w:rsidRDefault="0047565B" w:rsidP="0047565B">
      <w:pPr>
        <w:pStyle w:val="ListParagraph"/>
        <w:numPr>
          <w:ilvl w:val="0"/>
          <w:numId w:val="45"/>
        </w:numPr>
        <w:spacing w:after="200" w:line="276" w:lineRule="auto"/>
        <w:jc w:val="both"/>
      </w:pPr>
      <w:r>
        <w:t>Besides the operational risks assessment, the technical connectivity requires that i</w:t>
      </w:r>
      <w:r w:rsidRPr="00F6336D">
        <w:t>n case a requesting C</w:t>
      </w:r>
      <w:r>
        <w:t>SD</w:t>
      </w:r>
      <w:r w:rsidRPr="00F6336D">
        <w:t xml:space="preserve"> </w:t>
      </w:r>
      <w:r>
        <w:t>requests access to the trading feed of</w:t>
      </w:r>
      <w:r w:rsidRPr="00F6336D">
        <w:t xml:space="preserve"> </w:t>
      </w:r>
      <w:proofErr w:type="spellStart"/>
      <w:r w:rsidRPr="00F6336D">
        <w:t>Eurex</w:t>
      </w:r>
      <w:proofErr w:type="spellEnd"/>
      <w:r w:rsidRPr="00F6336D">
        <w:t xml:space="preserve"> Clearing the requesting C</w:t>
      </w:r>
      <w:r>
        <w:t>SD</w:t>
      </w:r>
      <w:r w:rsidRPr="00F6336D">
        <w:t xml:space="preserve"> shall </w:t>
      </w:r>
      <w:r>
        <w:t xml:space="preserve">also </w:t>
      </w:r>
      <w:r w:rsidRPr="00F6336D">
        <w:t xml:space="preserve">comply with the technical </w:t>
      </w:r>
      <w:r>
        <w:t xml:space="preserve">and functional </w:t>
      </w:r>
      <w:r w:rsidRPr="00F6336D">
        <w:t xml:space="preserve">requirements established by </w:t>
      </w:r>
      <w:r>
        <w:t>the CCP</w:t>
      </w:r>
      <w:r w:rsidRPr="00F6336D">
        <w:t>.</w:t>
      </w:r>
      <w:r>
        <w:t xml:space="preserve"> This includes the settlement of the full scope of securities and also the necessary payments infrastructure. </w:t>
      </w:r>
    </w:p>
    <w:p w:rsidR="0047565B" w:rsidRDefault="0047565B" w:rsidP="0047565B">
      <w:pPr>
        <w:pStyle w:val="ListParagraph"/>
        <w:numPr>
          <w:ilvl w:val="0"/>
          <w:numId w:val="45"/>
        </w:numPr>
        <w:spacing w:after="200" w:line="276" w:lineRule="auto"/>
        <w:jc w:val="both"/>
      </w:pPr>
      <w:r>
        <w:t>Further considerations may be necessary if the access is requested not only to the tra</w:t>
      </w:r>
      <w:r>
        <w:t>d</w:t>
      </w:r>
      <w:r>
        <w:t xml:space="preserve">ing feed of a CCP but also to the collateral positions of a CCP by a CSD. Collateral for clearing purposes of </w:t>
      </w:r>
      <w:proofErr w:type="spellStart"/>
      <w:r>
        <w:t>Eurex</w:t>
      </w:r>
      <w:proofErr w:type="spellEnd"/>
      <w:r>
        <w:t xml:space="preserve"> Clearing can only be held at eligible CSDs as defined by </w:t>
      </w:r>
      <w:proofErr w:type="spellStart"/>
      <w:r>
        <w:t>E</w:t>
      </w:r>
      <w:r>
        <w:t>u</w:t>
      </w:r>
      <w:r>
        <w:t>rex</w:t>
      </w:r>
      <w:proofErr w:type="spellEnd"/>
      <w:r>
        <w:t xml:space="preserve"> Clearing.</w:t>
      </w:r>
    </w:p>
    <w:p w:rsidR="0047565B" w:rsidRDefault="0047565B" w:rsidP="0047565B">
      <w:pPr>
        <w:jc w:val="both"/>
      </w:pPr>
      <w:r>
        <w:t>33</w:t>
      </w:r>
      <w:r>
        <w:t xml:space="preserve">.) </w:t>
      </w:r>
      <w:r w:rsidRPr="00C55928">
        <w:t>Refusal process</w:t>
      </w:r>
    </w:p>
    <w:p w:rsidR="0047565B" w:rsidRDefault="0047565B" w:rsidP="0047565B">
      <w:pPr>
        <w:jc w:val="both"/>
      </w:pPr>
      <w:r>
        <w:t>The provisions as set out in the draft RTS on access regarding Chapter III, Article 3, Procedure for Refusal of Access in our view are generally applicable for CCPs as well.</w:t>
      </w:r>
    </w:p>
    <w:p w:rsidR="0047565B" w:rsidRDefault="0047565B" w:rsidP="0047565B">
      <w:pPr>
        <w:jc w:val="both"/>
      </w:pPr>
    </w:p>
    <w:p w:rsidR="0047565B" w:rsidRDefault="0047565B" w:rsidP="0047565B">
      <w:pPr>
        <w:jc w:val="both"/>
      </w:pPr>
      <w:r>
        <w:t>34</w:t>
      </w:r>
      <w:bookmarkStart w:id="3" w:name="_GoBack"/>
      <w:bookmarkEnd w:id="3"/>
      <w:r>
        <w:t xml:space="preserve">.) Draft ITS on Access (Annex VIII) </w:t>
      </w:r>
    </w:p>
    <w:p w:rsidR="0047565B" w:rsidRDefault="0047565B" w:rsidP="0047565B">
      <w:pPr>
        <w:jc w:val="both"/>
      </w:pPr>
      <w:r>
        <w:t xml:space="preserve">We generally agree to the provisions as set out in the </w:t>
      </w:r>
      <w:r w:rsidRPr="006360DF">
        <w:t>Draft ITS on Access (Annex VIII)</w:t>
      </w:r>
      <w:r>
        <w:t xml:space="preserve">. Annex II – Template for the Response to the Request for Access should be updated in section </w:t>
      </w:r>
      <w:r w:rsidRPr="006360DF">
        <w:t>IV. Risk analysis of the request for access</w:t>
      </w:r>
      <w:r>
        <w:t>, to reflect the additional requirements of a CCP as described in the preceding paragraph.</w:t>
      </w:r>
    </w:p>
    <w:p w:rsidR="00124278" w:rsidRDefault="00124278" w:rsidP="00124278"/>
    <w:permEnd w:id="2088526967"/>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419038648" w:edGrp="everyone"/>
      <w:r>
        <w:t>TYPE YOUR TEXT HERE</w:t>
      </w:r>
    </w:p>
    <w:permEnd w:id="419038648"/>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181949111" w:edGrp="everyone"/>
      <w:r>
        <w:t>TYPE YOUR TEXT HERE</w:t>
      </w:r>
    </w:p>
    <w:permEnd w:id="181949111"/>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C" w:rsidRDefault="007A3DCC">
      <w:r>
        <w:separator/>
      </w:r>
    </w:p>
    <w:p w:rsidR="007A3DCC" w:rsidRDefault="007A3DCC"/>
  </w:endnote>
  <w:endnote w:type="continuationSeparator" w:id="0">
    <w:p w:rsidR="007A3DCC" w:rsidRDefault="007A3DCC">
      <w:r>
        <w:continuationSeparator/>
      </w:r>
    </w:p>
    <w:p w:rsidR="007A3DCC" w:rsidRDefault="007A3DCC"/>
  </w:endnote>
  <w:endnote w:type="continuationNotice" w:id="1">
    <w:p w:rsidR="007A3DCC" w:rsidRDefault="007A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47565B">
            <w:rPr>
              <w:noProof/>
            </w:rPr>
            <w:t>16</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C" w:rsidRDefault="007A3DCC">
      <w:r>
        <w:separator/>
      </w:r>
    </w:p>
    <w:p w:rsidR="007A3DCC" w:rsidRDefault="007A3DCC"/>
  </w:footnote>
  <w:footnote w:type="continuationSeparator" w:id="0">
    <w:p w:rsidR="007A3DCC" w:rsidRDefault="007A3DCC">
      <w:r>
        <w:continuationSeparator/>
      </w:r>
    </w:p>
    <w:p w:rsidR="007A3DCC" w:rsidRDefault="007A3DCC"/>
  </w:footnote>
  <w:footnote w:type="continuationNotice" w:id="1">
    <w:p w:rsidR="007A3DCC" w:rsidRDefault="007A3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DC39E2"/>
    <w:multiLevelType w:val="hybridMultilevel"/>
    <w:tmpl w:val="0CB86C4E"/>
    <w:lvl w:ilvl="0" w:tplc="A6547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AED2CE4"/>
    <w:multiLevelType w:val="hybridMultilevel"/>
    <w:tmpl w:val="9EF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94F7A9C"/>
    <w:multiLevelType w:val="hybridMultilevel"/>
    <w:tmpl w:val="E76A8B26"/>
    <w:lvl w:ilvl="0" w:tplc="7DB2A17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C201526"/>
    <w:multiLevelType w:val="hybridMultilevel"/>
    <w:tmpl w:val="BEB4887C"/>
    <w:lvl w:ilvl="0" w:tplc="164820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24"/>
  </w:num>
  <w:num w:numId="3">
    <w:abstractNumId w:val="17"/>
  </w:num>
  <w:num w:numId="4">
    <w:abstractNumId w:val="28"/>
  </w:num>
  <w:num w:numId="5">
    <w:abstractNumId w:val="3"/>
  </w:num>
  <w:num w:numId="6">
    <w:abstractNumId w:val="30"/>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5"/>
  </w:num>
  <w:num w:numId="15">
    <w:abstractNumId w:val="27"/>
  </w:num>
  <w:num w:numId="16">
    <w:abstractNumId w:val="14"/>
  </w:num>
  <w:num w:numId="17">
    <w:abstractNumId w:val="1"/>
  </w:num>
  <w:num w:numId="18">
    <w:abstractNumId w:val="19"/>
  </w:num>
  <w:num w:numId="19">
    <w:abstractNumId w:val="20"/>
  </w:num>
  <w:num w:numId="20">
    <w:abstractNumId w:val="22"/>
  </w:num>
  <w:num w:numId="21">
    <w:abstractNumId w:val="31"/>
  </w:num>
  <w:num w:numId="22">
    <w:abstractNumId w:val="38"/>
  </w:num>
  <w:num w:numId="23">
    <w:abstractNumId w:val="29"/>
  </w:num>
  <w:num w:numId="24">
    <w:abstractNumId w:val="13"/>
  </w:num>
  <w:num w:numId="25">
    <w:abstractNumId w:val="34"/>
  </w:num>
  <w:num w:numId="26">
    <w:abstractNumId w:val="33"/>
  </w:num>
  <w:num w:numId="27">
    <w:abstractNumId w:val="25"/>
  </w:num>
  <w:num w:numId="28">
    <w:abstractNumId w:val="37"/>
  </w:num>
  <w:num w:numId="29">
    <w:abstractNumId w:val="40"/>
  </w:num>
  <w:num w:numId="30">
    <w:abstractNumId w:val="10"/>
  </w:num>
  <w:num w:numId="31">
    <w:abstractNumId w:val="4"/>
  </w:num>
  <w:num w:numId="32">
    <w:abstractNumId w:val="26"/>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6"/>
  </w:num>
  <w:num w:numId="3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6"/>
  </w:num>
  <w:num w:numId="42">
    <w:abstractNumId w:val="12"/>
  </w:num>
  <w:num w:numId="43">
    <w:abstractNumId w:val="7"/>
  </w:num>
  <w:num w:numId="44">
    <w:abstractNumId w:val="15"/>
  </w:num>
  <w:num w:numId="4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65B"/>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776B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4A9"/>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0C6"/>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311A-7B40-4D6F-8957-EC9B379A2DD0}">
  <ds:schemaRefs>
    <ds:schemaRef ds:uri="http://schemas.openxmlformats.org/officeDocument/2006/bibliography"/>
  </ds:schemaRefs>
</ds:datastoreItem>
</file>

<file path=customXml/itemProps2.xml><?xml version="1.0" encoding="utf-8"?>
<ds:datastoreItem xmlns:ds="http://schemas.openxmlformats.org/officeDocument/2006/customXml" ds:itemID="{F0494573-2CC4-47C4-AE97-BDA08B99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5396</Words>
  <Characters>28808</Characters>
  <Application>Microsoft Office Word</Application>
  <DocSecurity>8</DocSecurity>
  <Lines>240</Lines>
  <Paragraphs>68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34136</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patrick.ladon@eurexclearing.com;Hohmann Michael</dc:creator>
  <cp:lastModifiedBy>Ladon Patrick</cp:lastModifiedBy>
  <cp:revision>4</cp:revision>
  <cp:lastPrinted>2014-05-08T16:06:00Z</cp:lastPrinted>
  <dcterms:created xsi:type="dcterms:W3CDTF">2015-02-18T15:45:00Z</dcterms:created>
  <dcterms:modified xsi:type="dcterms:W3CDTF">2015-02-18T16:22:00Z</dcterms:modified>
</cp:coreProperties>
</file>