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F4535" w:rsidP="006F4535">
            <w:pPr>
              <w:pStyle w:val="00bDBInfo"/>
              <w:rPr>
                <w:rFonts w:cs="Arial"/>
              </w:rPr>
            </w:pPr>
            <w:r>
              <w:rPr>
                <w:rFonts w:cs="Arial"/>
              </w:rPr>
              <w:t>14</w:t>
            </w:r>
            <w:r w:rsidR="003A5DAC">
              <w:rPr>
                <w:rFonts w:cs="Arial"/>
              </w:rPr>
              <w:t xml:space="preserve"> </w:t>
            </w:r>
            <w:r>
              <w:rPr>
                <w:rFonts w:cs="Arial"/>
              </w:rPr>
              <w:t xml:space="preserve">December </w:t>
            </w:r>
            <w:r w:rsidR="006F4B04" w:rsidRPr="004E49B0">
              <w:rPr>
                <w:rFonts w:cs="Arial"/>
              </w:rPr>
              <w:t>20</w:t>
            </w:r>
            <w:r w:rsidR="003A5DAC">
              <w:rPr>
                <w:rFonts w:cs="Arial"/>
              </w:rPr>
              <w:t>1</w:t>
            </w:r>
            <w:r>
              <w:rPr>
                <w:rFonts w:cs="Arial"/>
              </w:rPr>
              <w:t>6</w:t>
            </w:r>
          </w:p>
        </w:tc>
      </w:tr>
    </w:tbl>
    <w:p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rsidTr="006F4535">
        <w:trPr>
          <w:trHeight w:hRule="exact" w:val="1912"/>
        </w:trPr>
        <w:tc>
          <w:tcPr>
            <w:tcW w:w="9586" w:type="dxa"/>
            <w:vAlign w:val="bottom"/>
          </w:tcPr>
          <w:p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rsidR="006F4535" w:rsidRPr="009A053D" w:rsidRDefault="006F4535" w:rsidP="006F4535">
            <w:pPr>
              <w:pStyle w:val="01aDBTitle"/>
              <w:rPr>
                <w:rFonts w:cs="Arial"/>
                <w:sz w:val="32"/>
              </w:rPr>
            </w:pPr>
            <w:r w:rsidRPr="006F4535">
              <w:rPr>
                <w:rFonts w:cs="Arial"/>
                <w:sz w:val="32"/>
              </w:rPr>
              <w:t xml:space="preserve">Draft technical standards on data to be made publicly available by TRs under Article 81 of EMIR </w:t>
            </w:r>
          </w:p>
        </w:tc>
      </w:tr>
      <w:tr w:rsidR="006F4535" w:rsidRPr="00616B9B" w:rsidTr="006F4535">
        <w:trPr>
          <w:trHeight w:hRule="exact" w:val="956"/>
        </w:trPr>
        <w:tc>
          <w:tcPr>
            <w:tcW w:w="958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F4535">
            <w:pPr>
              <w:pStyle w:val="02Date"/>
              <w:rPr>
                <w:rFonts w:cs="Arial"/>
              </w:rPr>
            </w:pPr>
            <w:r w:rsidRPr="004E49B0">
              <w:rPr>
                <w:rFonts w:cs="Arial"/>
              </w:rPr>
              <w:lastRenderedPageBreak/>
              <w:t xml:space="preserve">Date: </w:t>
            </w:r>
            <w:r w:rsidR="006F4535">
              <w:rPr>
                <w:rFonts w:cs="Arial"/>
              </w:rPr>
              <w:t>14 December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6F4535" w:rsidRPr="006F4535">
        <w:rPr>
          <w:rFonts w:cs="Arial"/>
        </w:rPr>
        <w:t>Draft technical standards on data to be made publicly available</w:t>
      </w:r>
      <w:r w:rsidR="006F4535" w:rsidRPr="006F4535">
        <w:t xml:space="preserve"> </w:t>
      </w:r>
      <w:r w:rsidR="006F4535" w:rsidRPr="006F4535">
        <w:rPr>
          <w:rFonts w:cs="Arial"/>
        </w:rPr>
        <w:t xml:space="preserve">by TRs under Article 81 of EMIR </w:t>
      </w:r>
      <w:r w:rsidR="008701E5" w:rsidRPr="008701E5">
        <w:rPr>
          <w:rFonts w:cs="Arial"/>
        </w:rPr>
        <w:t>(</w:t>
      </w:r>
      <w:r w:rsidR="006F4535">
        <w:rPr>
          <w:rFonts w:cs="Arial"/>
        </w:rPr>
        <w:t>DMPA</w:t>
      </w:r>
      <w:r w:rsidR="008701E5" w:rsidRPr="008701E5">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6F4535" w:rsidRPr="006F4535">
        <w:t>DMPA</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proofErr w:type="gramStart"/>
      <w:r w:rsidRPr="00EF0769">
        <w:rPr>
          <w:rFonts w:cs="Arial"/>
        </w:rPr>
        <w:t>if</w:t>
      </w:r>
      <w:proofErr w:type="gramEnd"/>
      <w:r w:rsidRPr="00EF0769">
        <w:rPr>
          <w:rFonts w:cs="Arial"/>
        </w:rPr>
        <w:t xml:space="preserve">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proofErr w:type="gramStart"/>
      <w:r w:rsidRPr="00EF0769">
        <w:rPr>
          <w:rFonts w:cs="Arial"/>
        </w:rPr>
        <w:t>ESMA_</w:t>
      </w:r>
      <w:r w:rsidR="006F4535" w:rsidRPr="006F4535">
        <w:t>DMPA</w:t>
      </w:r>
      <w:r w:rsidRPr="00EF0769">
        <w:rPr>
          <w:rFonts w:cs="Arial"/>
        </w:rPr>
        <w:t>_NAMEOFCOMPANY_NAMEOFDOCUMENT</w:t>
      </w:r>
      <w:r w:rsidR="000D17AA" w:rsidRPr="00EF0769">
        <w:rPr>
          <w:rFonts w:cs="Arial"/>
        </w:rPr>
        <w:t>.</w:t>
      </w:r>
      <w:proofErr w:type="gramEnd"/>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6F4535" w:rsidRPr="006F4535">
        <w:t>DMPA</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ESMA_</w:t>
      </w:r>
      <w:r w:rsidR="006F4535" w:rsidRPr="006F4535">
        <w:t>DMPA</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705C4">
        <w:rPr>
          <w:b/>
        </w:rPr>
        <w:t>15</w:t>
      </w:r>
      <w:r w:rsidR="00B705C4" w:rsidRPr="0085738F">
        <w:rPr>
          <w:b/>
        </w:rPr>
        <w:t xml:space="preserve"> </w:t>
      </w:r>
      <w:r w:rsidR="00B705C4">
        <w:rPr>
          <w:b/>
        </w:rPr>
        <w:t>February</w:t>
      </w:r>
      <w:r w:rsidR="00B705C4" w:rsidRPr="0085738F">
        <w:rPr>
          <w:b/>
        </w:rPr>
        <w:t xml:space="preserve"> 2017</w:t>
      </w:r>
      <w:r w:rsidR="00B705C4">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804271465"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D34282" w:rsidRPr="00AB6D88" w:rsidRDefault="00F60416" w:rsidP="00F60416">
                <w:pPr>
                  <w:rPr>
                    <w:rStyle w:val="PlaceholderText"/>
                    <w:rFonts w:cs="Arial"/>
                  </w:rPr>
                </w:pPr>
                <w:r>
                  <w:rPr>
                    <w:rStyle w:val="PlaceholderText"/>
                    <w:rFonts w:cs="Arial"/>
                  </w:rPr>
                  <w:t>European Federation of Energy Traders (EFET)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573074736" w:edGrp="everyone" w:colFirst="1" w:colLast="1"/>
            <w:permEnd w:id="804271465"/>
            <w:r w:rsidRPr="00AB6D88">
              <w:rPr>
                <w:rFonts w:cs="Arial"/>
              </w:rPr>
              <w:t>Activity</w:t>
            </w:r>
          </w:p>
        </w:tc>
        <w:tc>
          <w:tcPr>
            <w:tcW w:w="5595" w:type="dxa"/>
            <w:shd w:val="clear" w:color="auto" w:fill="auto"/>
          </w:tcPr>
          <w:p w:rsidR="00D34282" w:rsidRPr="00AB6D88" w:rsidRDefault="00BF5EC7"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60416">
                  <w:rPr>
                    <w:rFonts w:cs="Arial"/>
                  </w:rPr>
                  <w:t>Non-financial counterparty</w:t>
                </w:r>
              </w:sdtContent>
            </w:sdt>
          </w:p>
        </w:tc>
      </w:tr>
      <w:tr w:rsidR="00D34282" w:rsidRPr="00AB6D88" w:rsidTr="001F03CA">
        <w:tc>
          <w:tcPr>
            <w:tcW w:w="3929" w:type="dxa"/>
            <w:shd w:val="clear" w:color="auto" w:fill="auto"/>
          </w:tcPr>
          <w:p w:rsidR="00D34282" w:rsidRPr="00AB6D88" w:rsidRDefault="00D34282" w:rsidP="001F03CA">
            <w:pPr>
              <w:rPr>
                <w:rFonts w:cs="Arial"/>
              </w:rPr>
            </w:pPr>
            <w:permStart w:id="1176127864" w:edGrp="everyone" w:colFirst="1" w:colLast="1"/>
            <w:permEnd w:id="1573074736"/>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F60416"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521619146" w:edGrp="everyone" w:colFirst="1" w:colLast="1"/>
            <w:permEnd w:id="1176127864"/>
            <w:r w:rsidRPr="00AB6D88">
              <w:rPr>
                <w:rFonts w:cs="Arial"/>
              </w:rPr>
              <w:t>Country/Region</w:t>
            </w:r>
          </w:p>
        </w:tc>
        <w:permStart w:id="473370044"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F60416" w:rsidP="001F03CA">
                <w:pPr>
                  <w:rPr>
                    <w:rFonts w:cs="Arial"/>
                  </w:rPr>
                </w:pPr>
                <w:r>
                  <w:rPr>
                    <w:rFonts w:cs="Arial"/>
                  </w:rPr>
                  <w:t>Europe</w:t>
                </w:r>
              </w:p>
            </w:tc>
          </w:sdtContent>
        </w:sdt>
        <w:permEnd w:id="473370044" w:displacedByCustomXml="prev"/>
      </w:tr>
      <w:permEnd w:id="1521619146"/>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6F4535" w:rsidRDefault="00D34282" w:rsidP="00D34282">
      <w:r w:rsidRPr="006F4535">
        <w:t>&lt;</w:t>
      </w:r>
      <w:r w:rsidR="00D61A37" w:rsidRPr="006F4535">
        <w:t>ESMA_COMMENT_</w:t>
      </w:r>
      <w:r w:rsidR="006F4535" w:rsidRPr="006F4535">
        <w:t>DMPA</w:t>
      </w:r>
      <w:r w:rsidR="00D61A37" w:rsidRPr="006F4535">
        <w:t>_1</w:t>
      </w:r>
      <w:r w:rsidRPr="006F4535">
        <w:t>&gt;</w:t>
      </w:r>
    </w:p>
    <w:p w:rsidR="00F60416" w:rsidRDefault="00F60416" w:rsidP="00D34282">
      <w:permStart w:id="1040263088" w:edGrp="everyone"/>
    </w:p>
    <w:p w:rsidR="00F60416" w:rsidRDefault="00F60416" w:rsidP="00F60416">
      <w:pPr>
        <w:pStyle w:val="ListParagraph"/>
        <w:numPr>
          <w:ilvl w:val="0"/>
          <w:numId w:val="54"/>
        </w:numPr>
        <w:spacing w:after="160" w:line="259" w:lineRule="auto"/>
        <w:rPr>
          <w:lang w:val="en-US"/>
        </w:rPr>
      </w:pPr>
      <w:r>
        <w:rPr>
          <w:lang w:val="en-US"/>
        </w:rPr>
        <w:t xml:space="preserve">The EFET reply to this consultation is focused on the proposals for </w:t>
      </w:r>
      <w:r w:rsidRPr="000717CA">
        <w:rPr>
          <w:lang w:val="en-US"/>
        </w:rPr>
        <w:t>the</w:t>
      </w:r>
      <w:r w:rsidRPr="000717CA">
        <w:rPr>
          <w:b/>
          <w:lang w:val="en-US"/>
        </w:rPr>
        <w:t xml:space="preserve"> aggregation on commodity derivatives</w:t>
      </w:r>
      <w:r w:rsidRPr="000717CA">
        <w:rPr>
          <w:lang w:val="en-US"/>
        </w:rPr>
        <w:t>.</w:t>
      </w:r>
    </w:p>
    <w:p w:rsidR="00F60416" w:rsidRDefault="00F60416" w:rsidP="00F60416">
      <w:pPr>
        <w:pStyle w:val="ListParagraph"/>
        <w:ind w:left="360"/>
        <w:rPr>
          <w:lang w:val="en-US"/>
        </w:rPr>
      </w:pPr>
    </w:p>
    <w:p w:rsidR="00F60416" w:rsidRPr="000717CA" w:rsidRDefault="00F60416" w:rsidP="00F60416">
      <w:pPr>
        <w:pStyle w:val="ListParagraph"/>
        <w:numPr>
          <w:ilvl w:val="0"/>
          <w:numId w:val="54"/>
        </w:numPr>
        <w:spacing w:after="160" w:line="259" w:lineRule="auto"/>
        <w:rPr>
          <w:lang w:val="en-US"/>
        </w:rPr>
      </w:pPr>
      <w:r w:rsidRPr="000717CA">
        <w:t xml:space="preserve">It is essential to acknowledge that </w:t>
      </w:r>
      <w:r w:rsidRPr="000717CA">
        <w:rPr>
          <w:lang w:val="en-US"/>
        </w:rPr>
        <w:t>when calculating the market size of trading activities, market parti</w:t>
      </w:r>
      <w:r w:rsidRPr="000717CA">
        <w:rPr>
          <w:lang w:val="en-US"/>
        </w:rPr>
        <w:t>c</w:t>
      </w:r>
      <w:r w:rsidRPr="000717CA">
        <w:rPr>
          <w:lang w:val="en-US"/>
        </w:rPr>
        <w:t xml:space="preserve">ipants are required to use </w:t>
      </w:r>
      <w:r w:rsidRPr="000717CA">
        <w:rPr>
          <w:b/>
          <w:lang w:val="en-US"/>
        </w:rPr>
        <w:t>comparable figures</w:t>
      </w:r>
      <w:r w:rsidRPr="000717CA">
        <w:rPr>
          <w:lang w:val="en-US"/>
        </w:rPr>
        <w:t>. There are a number of proposal made in the CP that can be inconsistent and may have the unintended outcome of reducing the size</w:t>
      </w:r>
      <w:r>
        <w:rPr>
          <w:lang w:val="en-US"/>
        </w:rPr>
        <w:t xml:space="preserve"> of the market instead</w:t>
      </w:r>
      <w:r w:rsidRPr="000717CA">
        <w:rPr>
          <w:lang w:val="en-US"/>
        </w:rPr>
        <w:t>. These are addressed in the respon</w:t>
      </w:r>
      <w:r>
        <w:rPr>
          <w:lang w:val="en-US"/>
        </w:rPr>
        <w:t>ses to the individual questions.</w:t>
      </w:r>
    </w:p>
    <w:p w:rsidR="00F60416" w:rsidRPr="000717CA" w:rsidRDefault="00F60416" w:rsidP="00F60416">
      <w:pPr>
        <w:pStyle w:val="ListParagraph"/>
        <w:rPr>
          <w:lang w:val="en-US"/>
        </w:rPr>
      </w:pPr>
    </w:p>
    <w:p w:rsidR="00F60416" w:rsidRDefault="00F60416" w:rsidP="00F60416">
      <w:pPr>
        <w:pStyle w:val="ListParagraph"/>
        <w:numPr>
          <w:ilvl w:val="0"/>
          <w:numId w:val="54"/>
        </w:numPr>
        <w:spacing w:after="160" w:line="259" w:lineRule="auto"/>
        <w:rPr>
          <w:lang w:val="en-US"/>
        </w:rPr>
      </w:pPr>
      <w:r w:rsidRPr="000717CA">
        <w:rPr>
          <w:lang w:val="en-US"/>
        </w:rPr>
        <w:t>For the purposes of MiFID II</w:t>
      </w:r>
      <w:bookmarkStart w:id="3" w:name="_GoBack"/>
      <w:bookmarkEnd w:id="3"/>
      <w:r w:rsidRPr="000717CA">
        <w:rPr>
          <w:lang w:val="en-US"/>
        </w:rPr>
        <w:t xml:space="preserve"> and the Trading Activity test (in RTS 20) the </w:t>
      </w:r>
      <w:r w:rsidRPr="000717CA">
        <w:rPr>
          <w:b/>
          <w:lang w:val="en-US"/>
        </w:rPr>
        <w:t>accuracy of the data</w:t>
      </w:r>
      <w:r w:rsidRPr="000717CA">
        <w:rPr>
          <w:lang w:val="en-US"/>
        </w:rPr>
        <w:t xml:space="preserve"> that will be published will be </w:t>
      </w:r>
      <w:proofErr w:type="gramStart"/>
      <w:r w:rsidRPr="000717CA">
        <w:rPr>
          <w:lang w:val="en-US"/>
        </w:rPr>
        <w:t>key</w:t>
      </w:r>
      <w:proofErr w:type="gramEnd"/>
      <w:r w:rsidRPr="000717CA">
        <w:rPr>
          <w:lang w:val="en-US"/>
        </w:rPr>
        <w:t xml:space="preserve"> in determining whether a Non-financial counterparty (NFC) is eligible for the ancillary activity exemptions. However </w:t>
      </w:r>
      <w:proofErr w:type="spellStart"/>
      <w:r>
        <w:rPr>
          <w:lang w:val="en-US"/>
        </w:rPr>
        <w:t>i</w:t>
      </w:r>
      <w:proofErr w:type="spellEnd"/>
      <w:r w:rsidRPr="000717CA">
        <w:rPr>
          <w:bCs/>
        </w:rPr>
        <w:t>t</w:t>
      </w:r>
      <w:r w:rsidRPr="000717CA">
        <w:rPr>
          <w:lang w:val="en-US"/>
        </w:rPr>
        <w:t xml:space="preserve"> has been </w:t>
      </w:r>
      <w:proofErr w:type="spellStart"/>
      <w:r w:rsidRPr="000717CA">
        <w:rPr>
          <w:lang w:val="en-US"/>
        </w:rPr>
        <w:t>recognised</w:t>
      </w:r>
      <w:proofErr w:type="spellEnd"/>
      <w:r w:rsidRPr="000717CA">
        <w:rPr>
          <w:lang w:val="en-US"/>
        </w:rPr>
        <w:t xml:space="preserve"> in the CP and through the EMIR Review process that the data currently in the TRs are of</w:t>
      </w:r>
      <w:r w:rsidRPr="000717CA">
        <w:rPr>
          <w:b/>
          <w:lang w:val="en-US"/>
        </w:rPr>
        <w:t xml:space="preserve"> insufficient quality</w:t>
      </w:r>
      <w:r w:rsidRPr="000717CA">
        <w:rPr>
          <w:lang w:val="en-US"/>
        </w:rPr>
        <w:t xml:space="preserve">. </w:t>
      </w:r>
    </w:p>
    <w:p w:rsidR="00F60416" w:rsidRPr="000717CA" w:rsidRDefault="00F60416" w:rsidP="00F60416">
      <w:pPr>
        <w:pStyle w:val="ListParagraph"/>
        <w:rPr>
          <w:lang w:val="en-US"/>
        </w:rPr>
      </w:pPr>
    </w:p>
    <w:p w:rsidR="00A24A1F" w:rsidRPr="00A24A1F" w:rsidRDefault="00F60416" w:rsidP="00F60416">
      <w:pPr>
        <w:pStyle w:val="ListParagraph"/>
        <w:numPr>
          <w:ilvl w:val="0"/>
          <w:numId w:val="54"/>
        </w:numPr>
        <w:spacing w:after="160" w:line="259" w:lineRule="auto"/>
        <w:rPr>
          <w:lang w:val="en-US"/>
        </w:rPr>
      </w:pPr>
      <w:r>
        <w:rPr>
          <w:lang w:val="en-US"/>
        </w:rPr>
        <w:t>T</w:t>
      </w:r>
      <w:r w:rsidRPr="000717CA">
        <w:rPr>
          <w:bCs/>
        </w:rPr>
        <w:t xml:space="preserve">he best and </w:t>
      </w:r>
      <w:r w:rsidRPr="000717CA">
        <w:rPr>
          <w:b/>
          <w:bCs/>
        </w:rPr>
        <w:t>most pragmatic approach</w:t>
      </w:r>
      <w:r w:rsidRPr="000717CA">
        <w:rPr>
          <w:bCs/>
        </w:rPr>
        <w:t xml:space="preserve"> for the aggregation of ETDs is to request the regulated markets </w:t>
      </w:r>
      <w:r>
        <w:rPr>
          <w:bCs/>
        </w:rPr>
        <w:t xml:space="preserve">to </w:t>
      </w:r>
      <w:r w:rsidRPr="000717CA">
        <w:rPr>
          <w:bCs/>
        </w:rPr>
        <w:t xml:space="preserve">assess the market size until the period ending in 2017 or when the quality of data from TRs will be improved. </w:t>
      </w:r>
    </w:p>
    <w:p w:rsidR="00A24A1F" w:rsidRPr="00A24A1F" w:rsidRDefault="00A24A1F" w:rsidP="00A24A1F">
      <w:pPr>
        <w:pStyle w:val="ListParagraph"/>
        <w:rPr>
          <w:lang w:val="en-US"/>
        </w:rPr>
      </w:pPr>
    </w:p>
    <w:p w:rsidR="00D34282" w:rsidRPr="00A24A1F" w:rsidRDefault="00F60416" w:rsidP="00F60416">
      <w:pPr>
        <w:pStyle w:val="ListParagraph"/>
        <w:numPr>
          <w:ilvl w:val="0"/>
          <w:numId w:val="54"/>
        </w:numPr>
        <w:spacing w:after="160" w:line="259" w:lineRule="auto"/>
        <w:rPr>
          <w:lang w:val="en-US"/>
        </w:rPr>
      </w:pPr>
      <w:r w:rsidRPr="00A24A1F">
        <w:rPr>
          <w:lang w:val="en-US"/>
        </w:rPr>
        <w:t xml:space="preserve">There is a need for ESMA to take </w:t>
      </w:r>
      <w:r w:rsidRPr="00A24A1F">
        <w:rPr>
          <w:b/>
          <w:lang w:val="en-US"/>
        </w:rPr>
        <w:t>ownership and accountability</w:t>
      </w:r>
      <w:r w:rsidRPr="00A24A1F">
        <w:rPr>
          <w:lang w:val="en-US"/>
        </w:rPr>
        <w:t xml:space="preserve"> of the aggregation function to ensure that the data required under RTS 20 is published on an annual basis for a 36 month period. We believe it is not appropriate for ESMA to delegate all responsibility for aggregation of TR data and monitoring of its’ accuracy as appears to be proposed in this CP.</w:t>
      </w:r>
    </w:p>
    <w:permEnd w:id="1040263088"/>
    <w:p w:rsidR="00D34282" w:rsidRPr="00BF28DA" w:rsidRDefault="00D34282" w:rsidP="00D34282">
      <w:r w:rsidRPr="00BF28DA">
        <w:t>&lt;</w:t>
      </w:r>
      <w:r w:rsidR="00D61A37" w:rsidRPr="00BF28DA">
        <w:t>ESMA_COMMENT_</w:t>
      </w:r>
      <w:r w:rsidR="006F4535" w:rsidRPr="006F4535">
        <w:t>DMPA</w:t>
      </w:r>
      <w:r w:rsidR="00D61A37" w:rsidRPr="00BF28DA">
        <w:t>_1</w:t>
      </w:r>
      <w:r w:rsidRPr="00BF28DA">
        <w:t>&gt;</w:t>
      </w:r>
    </w:p>
    <w:p w:rsidR="00F31E57" w:rsidRPr="00BF28DA" w:rsidRDefault="00F31E57" w:rsidP="00D34282"/>
    <w:p w:rsidR="008701E5" w:rsidRDefault="00F31E57" w:rsidP="00835B01">
      <w:pPr>
        <w:pStyle w:val="Questionstyle"/>
        <w:rPr>
          <w:b w:val="0"/>
        </w:rPr>
      </w:pPr>
      <w:r w:rsidRPr="0075015C">
        <w:br w:type="page"/>
      </w:r>
    </w:p>
    <w:p w:rsidR="00835B01" w:rsidRDefault="00835B01" w:rsidP="00835B01">
      <w:pPr>
        <w:pStyle w:val="Questionstyle"/>
        <w:numPr>
          <w:ilvl w:val="0"/>
          <w:numId w:val="53"/>
        </w:numPr>
      </w:pPr>
      <w:r>
        <w:lastRenderedPageBreak/>
        <w:t>For the purpose of more accurate aggregation of ETD volumes between the CM and its clients should only the trades where the CM is reporting counterparty be taken into account or should all trades where CM is on either side of the ETDs be considered? Please elaborate.</w:t>
      </w:r>
    </w:p>
    <w:p w:rsidR="00835B01" w:rsidRDefault="00835B01" w:rsidP="00835B01">
      <w:r>
        <w:t>&lt;ESMA_QUESTION_DMPA_1&gt;</w:t>
      </w:r>
    </w:p>
    <w:p w:rsidR="00A24A1F" w:rsidRDefault="00A24A1F" w:rsidP="00A24A1F">
      <w:pPr>
        <w:rPr>
          <w:bCs/>
        </w:rPr>
      </w:pPr>
      <w:permStart w:id="1412525935" w:edGrp="everyone"/>
      <w:r>
        <w:rPr>
          <w:bCs/>
        </w:rPr>
        <w:t>In a context of high level of matching and pairing of data reported to TRs, the preferred option is to include a</w:t>
      </w:r>
      <w:r w:rsidRPr="00214DD6">
        <w:rPr>
          <w:bCs/>
        </w:rPr>
        <w:t xml:space="preserve">ll trades where there is a clearing member on either side of the trade </w:t>
      </w:r>
      <w:r>
        <w:rPr>
          <w:bCs/>
        </w:rPr>
        <w:t xml:space="preserve">rather than </w:t>
      </w:r>
      <w:r w:rsidRPr="00214DD6">
        <w:rPr>
          <w:bCs/>
        </w:rPr>
        <w:t xml:space="preserve">just those where the CM is the reporting party. </w:t>
      </w:r>
    </w:p>
    <w:p w:rsidR="00A24A1F" w:rsidRDefault="00A24A1F" w:rsidP="00A24A1F">
      <w:pPr>
        <w:rPr>
          <w:bCs/>
        </w:rPr>
      </w:pPr>
    </w:p>
    <w:p w:rsidR="00835B01" w:rsidRPr="00A24A1F" w:rsidRDefault="00A24A1F" w:rsidP="00835B01">
      <w:pPr>
        <w:rPr>
          <w:bCs/>
        </w:rPr>
      </w:pPr>
      <w:r>
        <w:rPr>
          <w:bCs/>
        </w:rPr>
        <w:t>We believe that this proposal would still be subject to some level of inaccuracy for all those cases when at least one of the CMs is not established in the EU and therefore</w:t>
      </w:r>
      <w:r>
        <w:rPr>
          <w:bCs/>
        </w:rPr>
        <w:t xml:space="preserve"> not subject to EMIR reporting.</w:t>
      </w:r>
    </w:p>
    <w:permEnd w:id="1412525935"/>
    <w:p w:rsidR="00835B01" w:rsidRDefault="00835B01" w:rsidP="00835B01">
      <w:r>
        <w:t>&lt;ESMA_QUESTION_DMPA_1&gt;</w:t>
      </w:r>
    </w:p>
    <w:p w:rsidR="00835B01" w:rsidRDefault="00835B01" w:rsidP="00835B01"/>
    <w:p w:rsidR="00835B01" w:rsidRDefault="00835B01" w:rsidP="00835B01">
      <w:pPr>
        <w:pStyle w:val="Questionstyle"/>
        <w:numPr>
          <w:ilvl w:val="0"/>
          <w:numId w:val="53"/>
        </w:numPr>
      </w:pPr>
      <w:r>
        <w:t>For the purpose of more accurate aggregation of ETD volumes between the CM and the CCP, is the “Beneficiary ID” the appropriate field or the “Transaction reference number/Report trac</w:t>
      </w:r>
      <w:r>
        <w:t>k</w:t>
      </w:r>
      <w:r>
        <w:t>ing number” field should be used? Do you envisage any other alternative at this stage? What are the potential costs and benefits of implementing any of the proposed options? Please elaborate on the reasons for your response.</w:t>
      </w:r>
    </w:p>
    <w:p w:rsidR="00835B01" w:rsidRDefault="00835B01" w:rsidP="00835B01">
      <w:r>
        <w:t>&lt;ESMA_QUESTION_DMPA_2&gt;</w:t>
      </w:r>
    </w:p>
    <w:p w:rsidR="00835B01" w:rsidRDefault="00835B01" w:rsidP="00835B01">
      <w:permStart w:id="1866737255" w:edGrp="everyone"/>
      <w:r>
        <w:t>TYPE YOUR TEXT HERE</w:t>
      </w:r>
    </w:p>
    <w:permEnd w:id="1866737255"/>
    <w:p w:rsidR="00835B01" w:rsidRDefault="00835B01" w:rsidP="00835B01">
      <w:r>
        <w:t>&lt;ESMA_QUESTION_DMPA_2&gt;</w:t>
      </w:r>
    </w:p>
    <w:p w:rsidR="00835B01" w:rsidRDefault="00835B01" w:rsidP="00835B01"/>
    <w:p w:rsidR="00835B01" w:rsidRDefault="00835B01" w:rsidP="00835B01">
      <w:pPr>
        <w:pStyle w:val="Questionstyle"/>
        <w:numPr>
          <w:ilvl w:val="0"/>
          <w:numId w:val="53"/>
        </w:numPr>
      </w:pPr>
      <w:r>
        <w:t>For the purposes of more accurate aggregation of ETD market volume, do you agree with the proposed approach to take into account only the original ETD executions, i.e. those that are reported under the current RTS on reporting with action types “N” which would be reported under the amended TS on reporting with action type “P”? Please elaborate on the reasons for your response.</w:t>
      </w:r>
    </w:p>
    <w:p w:rsidR="00835B01" w:rsidRDefault="00835B01" w:rsidP="00835B01">
      <w:r>
        <w:t>&lt;ESMA_QUESTION_DMPA_3&gt;</w:t>
      </w:r>
    </w:p>
    <w:p w:rsidR="00835B01" w:rsidRDefault="00A24A1F" w:rsidP="00835B01">
      <w:permStart w:id="2067613409" w:edGrp="everyone"/>
      <w:r>
        <w:rPr>
          <w:bCs/>
        </w:rPr>
        <w:t>No, we disagree. In general, in consideration of the low level of pairing and matching of EMIR reported trades, EFET believes that the best and most pragmatic approach possible for the aggregation of ETDs is to request the regulated markets to assess the market size at least until the period ending in 2017. See also our answer to Q19 for more detailed comments on the methodology to take into account both buy/sell side of each trade.</w:t>
      </w:r>
    </w:p>
    <w:permEnd w:id="2067613409"/>
    <w:p w:rsidR="00835B01" w:rsidRDefault="00835B01" w:rsidP="00835B01">
      <w:r>
        <w:t>&lt;ESMA_QUESTION_DMPA_3&gt;</w:t>
      </w:r>
    </w:p>
    <w:p w:rsidR="00835B01" w:rsidRDefault="00835B01" w:rsidP="00835B01"/>
    <w:p w:rsidR="00835B01" w:rsidRDefault="00835B01" w:rsidP="00835B01">
      <w:pPr>
        <w:pStyle w:val="Questionstyle"/>
        <w:numPr>
          <w:ilvl w:val="0"/>
          <w:numId w:val="53"/>
        </w:numPr>
      </w:pPr>
      <w:r>
        <w:t>For the purposes of calculating ETD market volume, do you agree with the proposed approach to divide by 2 the resulting aggregations in order to cater for the inherent duplication of tra</w:t>
      </w:r>
      <w:r>
        <w:t>d</w:t>
      </w:r>
      <w:r>
        <w:t>ing volume of ETDs? Please elaborate on the reasons for your response.</w:t>
      </w:r>
    </w:p>
    <w:p w:rsidR="00835B01" w:rsidRDefault="00835B01" w:rsidP="00835B01">
      <w:r>
        <w:t>&lt;ESMA_QUESTION_DMPA_4&gt;</w:t>
      </w:r>
    </w:p>
    <w:p w:rsidR="00835B01" w:rsidRDefault="00835B01" w:rsidP="00835B01">
      <w:permStart w:id="1050615921" w:edGrp="everyone"/>
      <w:r>
        <w:t>TYPE YOUR TEXT HERE</w:t>
      </w:r>
    </w:p>
    <w:permEnd w:id="1050615921"/>
    <w:p w:rsidR="00835B01" w:rsidRDefault="00835B01" w:rsidP="00835B01">
      <w:r>
        <w:t>&lt;ESMA_QUESTION_DMPA_4&gt;</w:t>
      </w:r>
    </w:p>
    <w:p w:rsidR="00835B01" w:rsidRDefault="00835B01" w:rsidP="00835B01"/>
    <w:p w:rsidR="00835B01" w:rsidRDefault="00835B01" w:rsidP="00835B01">
      <w:pPr>
        <w:pStyle w:val="Questionstyle"/>
        <w:numPr>
          <w:ilvl w:val="0"/>
          <w:numId w:val="53"/>
        </w:numPr>
      </w:pPr>
      <w:r>
        <w:t>For the purpose of aggregating more accurately OTC derivatives volume of market activity, do you agree with the proposed approach to take into account only the original bilateral OTC and XOFF trades, i.e. those that are reported with action type “N”? Please elaborate on the reasons for your response.</w:t>
      </w:r>
    </w:p>
    <w:p w:rsidR="00835B01" w:rsidRDefault="00835B01" w:rsidP="00835B01">
      <w:r>
        <w:lastRenderedPageBreak/>
        <w:t>&lt;ESMA_QUESTION_DMPA_5&gt;</w:t>
      </w:r>
    </w:p>
    <w:p w:rsidR="00A24A1F" w:rsidRDefault="00A24A1F" w:rsidP="00A24A1F">
      <w:pPr>
        <w:rPr>
          <w:lang w:val="en-US"/>
        </w:rPr>
      </w:pPr>
      <w:permStart w:id="250092242" w:edGrp="everyone"/>
      <w:r>
        <w:rPr>
          <w:lang w:val="en-US"/>
        </w:rPr>
        <w:t xml:space="preserve">No, we disagree. We believe the instruction must be explained more in detail. </w:t>
      </w:r>
    </w:p>
    <w:p w:rsidR="00A24A1F" w:rsidRDefault="00A24A1F" w:rsidP="00A24A1F">
      <w:pPr>
        <w:rPr>
          <w:lang w:val="en-US"/>
        </w:rPr>
      </w:pPr>
      <w:r w:rsidRPr="00364471">
        <w:t xml:space="preserve">The chain </w:t>
      </w:r>
      <w:r>
        <w:t xml:space="preserve">of </w:t>
      </w:r>
      <w:r w:rsidRPr="00364471">
        <w:t xml:space="preserve">this </w:t>
      </w:r>
      <w:r>
        <w:t xml:space="preserve">relatively </w:t>
      </w:r>
      <w:r w:rsidRPr="00364471">
        <w:t>simple scenario</w:t>
      </w:r>
      <w:r>
        <w:t>,</w:t>
      </w:r>
      <w:r w:rsidRPr="00364471">
        <w:t xml:space="preserve"> </w:t>
      </w:r>
      <w:r>
        <w:t>where clearing occurs indirectly, via a Clearing Member, shows that there are 8 legs in total that are reported, 4 for each side (buy and sell) for one trade</w:t>
      </w:r>
      <w:r>
        <w:rPr>
          <w:rStyle w:val="FootnoteReference"/>
        </w:rPr>
        <w:footnoteReference w:id="2"/>
      </w:r>
      <w:r>
        <w:t>.</w:t>
      </w:r>
    </w:p>
    <w:p w:rsidR="00A24A1F" w:rsidRPr="00214DD6" w:rsidRDefault="00A24A1F" w:rsidP="00A24A1F">
      <w:pPr>
        <w:jc w:val="center"/>
        <w:rPr>
          <w:lang w:val="it-IT"/>
        </w:rPr>
      </w:pPr>
      <w:r>
        <w:rPr>
          <w:noProof/>
          <w:lang w:eastAsia="en-GB"/>
        </w:rPr>
        <w:drawing>
          <wp:inline distT="0" distB="0" distL="0" distR="0" wp14:anchorId="05C677BD" wp14:editId="29EC5212">
            <wp:extent cx="3932555" cy="16579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2555" cy="1657985"/>
                    </a:xfrm>
                    <a:prstGeom prst="rect">
                      <a:avLst/>
                    </a:prstGeom>
                    <a:noFill/>
                  </pic:spPr>
                </pic:pic>
              </a:graphicData>
            </a:graphic>
          </wp:inline>
        </w:drawing>
      </w:r>
    </w:p>
    <w:p w:rsidR="00A24A1F" w:rsidRPr="00214DD6" w:rsidRDefault="00A24A1F" w:rsidP="00A24A1F">
      <w:pPr>
        <w:jc w:val="center"/>
      </w:pPr>
      <w:proofErr w:type="gramStart"/>
      <w:r w:rsidRPr="00214DD6">
        <w:rPr>
          <w:sz w:val="16"/>
        </w:rPr>
        <w:t>Scenario 1.</w:t>
      </w:r>
      <w:proofErr w:type="gramEnd"/>
      <w:r w:rsidRPr="00214DD6">
        <w:rPr>
          <w:sz w:val="16"/>
        </w:rPr>
        <w:t xml:space="preserve"> EMIR reports in case of an ETD with buyer and seller which are NOT clearing members and without the involvement of investment firm.</w:t>
      </w:r>
    </w:p>
    <w:p w:rsidR="00A24A1F" w:rsidRDefault="00A24A1F" w:rsidP="00A24A1F">
      <w:r>
        <w:t>One reading of the ESMA proposal is that by aggregating only trades where a CM is counterparty only the legs 1, 2, 5 and 6 in the scenario above are taken into account.</w:t>
      </w:r>
    </w:p>
    <w:p w:rsidR="00A24A1F" w:rsidRDefault="00A24A1F" w:rsidP="00A24A1F">
      <w:r>
        <w:t xml:space="preserve"> </w:t>
      </w:r>
    </w:p>
    <w:p w:rsidR="00A24A1F" w:rsidRDefault="00A24A1F" w:rsidP="00A24A1F">
      <w:r>
        <w:t xml:space="preserve">Under this assumption it would be appropriate to divide by two, which would give the correct notional value of a single traded ETD e.g. 100, reported for both buy- and sell-side e.g. 200 (rather than 400). </w:t>
      </w:r>
    </w:p>
    <w:p w:rsidR="00A24A1F" w:rsidRDefault="00A24A1F" w:rsidP="00A24A1F">
      <w:r>
        <w:t xml:space="preserve">Another reading (see also reply to Question 14), is that only the notional value exchanged (i.e. 100 in the example) is accounted for the aggregation of ETDs. We strongly disagree with this interpretation and proposal because it would require </w:t>
      </w:r>
      <w:proofErr w:type="gramStart"/>
      <w:r>
        <w:t>to compare</w:t>
      </w:r>
      <w:proofErr w:type="gramEnd"/>
      <w:r>
        <w:t xml:space="preserve"> inconsistent figures at the numerator and denominator of the market size test under RTS 20. Therefore ESMA should clarify more in detail the methodology and support the first reading above, where possible also providing quantitative examples.</w:t>
      </w:r>
    </w:p>
    <w:p w:rsidR="00A24A1F" w:rsidRDefault="00A24A1F" w:rsidP="00A24A1F"/>
    <w:p w:rsidR="00A24A1F" w:rsidRDefault="00A24A1F" w:rsidP="00A24A1F">
      <w:pPr>
        <w:rPr>
          <w:lang w:val="en-US"/>
        </w:rPr>
      </w:pPr>
      <w:r>
        <w:t xml:space="preserve">It is essential to acknowledge that </w:t>
      </w:r>
      <w:r>
        <w:rPr>
          <w:lang w:val="en-US"/>
        </w:rPr>
        <w:t>w</w:t>
      </w:r>
      <w:r w:rsidRPr="00C04BD3">
        <w:rPr>
          <w:lang w:val="en-US"/>
        </w:rPr>
        <w:t>hen calculating the market size of trading, market participant</w:t>
      </w:r>
      <w:r>
        <w:rPr>
          <w:lang w:val="en-US"/>
        </w:rPr>
        <w:t>s</w:t>
      </w:r>
      <w:r w:rsidRPr="00C04BD3">
        <w:rPr>
          <w:lang w:val="en-US"/>
        </w:rPr>
        <w:t xml:space="preserve"> </w:t>
      </w:r>
      <w:r>
        <w:rPr>
          <w:lang w:val="en-US"/>
        </w:rPr>
        <w:t>should be</w:t>
      </w:r>
      <w:r w:rsidRPr="00C04BD3">
        <w:rPr>
          <w:lang w:val="en-US"/>
        </w:rPr>
        <w:t xml:space="preserve"> required to use </w:t>
      </w:r>
      <w:r w:rsidRPr="00C304C5">
        <w:rPr>
          <w:lang w:val="en-US"/>
        </w:rPr>
        <w:t>comparable</w:t>
      </w:r>
      <w:r w:rsidRPr="00C04BD3">
        <w:rPr>
          <w:lang w:val="en-US"/>
        </w:rPr>
        <w:t xml:space="preserve"> figures</w:t>
      </w:r>
      <w:r>
        <w:rPr>
          <w:lang w:val="en-US"/>
        </w:rPr>
        <w:t>. Hence</w:t>
      </w:r>
      <w:r w:rsidRPr="004B70AF">
        <w:t xml:space="preserve"> </w:t>
      </w:r>
      <w:r>
        <w:t xml:space="preserve">the size of the market should be calculated by aggregating </w:t>
      </w:r>
      <w:r w:rsidRPr="00C04BD3">
        <w:t>the individual transactions traded by all persons in the market</w:t>
      </w:r>
      <w:r>
        <w:t xml:space="preserve">: this entails the two legs (buy and sell) of each trade. </w:t>
      </w:r>
      <w:r>
        <w:rPr>
          <w:lang w:val="en-US"/>
        </w:rPr>
        <w:t>The methodology to calculate the market size should be clear and consistent to allow persons availing of the ancillary activity exemption to calculate their size compared with the market on the same scale.</w:t>
      </w:r>
    </w:p>
    <w:p w:rsidR="00A24A1F" w:rsidRPr="004A23B1" w:rsidRDefault="00A24A1F" w:rsidP="00A24A1F"/>
    <w:p w:rsidR="00A24A1F" w:rsidRDefault="00A24A1F" w:rsidP="00A24A1F">
      <w:r>
        <w:rPr>
          <w:lang w:val="en-US"/>
        </w:rPr>
        <w:t>Especially concerning commodity derivatives, the draft RTS 20 states that the “</w:t>
      </w:r>
      <w:r w:rsidRPr="0008038C">
        <w:rPr>
          <w:i/>
        </w:rPr>
        <w:t xml:space="preserve">overall market trading activity in each of the asset classes shall be calculated by aggregating the gross notional value of all contracts that are not traded on a trading venue within the relevant asset class </w:t>
      </w:r>
      <w:r w:rsidRPr="0008038C">
        <w:rPr>
          <w:b/>
          <w:i/>
          <w:u w:val="single"/>
        </w:rPr>
        <w:t>to which any person</w:t>
      </w:r>
      <w:r w:rsidRPr="0008038C">
        <w:rPr>
          <w:i/>
        </w:rPr>
        <w:t xml:space="preserve"> </w:t>
      </w:r>
      <w:r>
        <w:rPr>
          <w:i/>
        </w:rPr>
        <w:t xml:space="preserve">(emphasis added) </w:t>
      </w:r>
      <w:r w:rsidRPr="0008038C">
        <w:rPr>
          <w:i/>
        </w:rPr>
        <w:t>located in a Member State is a party and of any other contract within that asset class that is traded on a trading venue located in a Member State</w:t>
      </w:r>
      <w:r>
        <w:t>”.</w:t>
      </w:r>
    </w:p>
    <w:p w:rsidR="00A24A1F" w:rsidRDefault="00A24A1F" w:rsidP="00A24A1F">
      <w:pPr>
        <w:rPr>
          <w:lang w:val="en-US"/>
        </w:rPr>
      </w:pPr>
    </w:p>
    <w:p w:rsidR="00A24A1F" w:rsidRDefault="00A24A1F" w:rsidP="00A24A1F">
      <w:r>
        <w:t xml:space="preserve">This means that the size of the market in each commodity derivative is calculated by aggregating </w:t>
      </w:r>
      <w:r w:rsidRPr="00C04BD3">
        <w:t>the individual transactions traded by all persons in the market</w:t>
      </w:r>
      <w:r>
        <w:t>. This entails the two legs (buy and sell) of each trade.</w:t>
      </w:r>
      <w:r w:rsidRPr="00C04BD3">
        <w:t xml:space="preserve"> </w:t>
      </w:r>
      <w:r>
        <w:t xml:space="preserve">This is </w:t>
      </w:r>
      <w:r w:rsidRPr="00C04BD3">
        <w:t>different from determining the value of the commodity deriv</w:t>
      </w:r>
      <w:r>
        <w:t xml:space="preserve">atives that has been exchanged, which considers the two legs (buy/sell) of a trade as one single figure. A numeric example is provided in reply to Question 19. </w:t>
      </w:r>
    </w:p>
    <w:p w:rsidR="00A24A1F" w:rsidRDefault="00A24A1F" w:rsidP="00A24A1F"/>
    <w:p w:rsidR="00835B01" w:rsidRDefault="00A24A1F" w:rsidP="00835B01">
      <w:r>
        <w:t>Finally we note that the ESMA proposal would not consider the situation where the C</w:t>
      </w:r>
      <w:r>
        <w:t>M is not established in the EU.</w:t>
      </w:r>
    </w:p>
    <w:permEnd w:id="250092242"/>
    <w:p w:rsidR="00835B01" w:rsidRDefault="00835B01" w:rsidP="00835B01">
      <w:r>
        <w:t>&lt;ESMA_QUESTION_DMPA_5&gt;</w:t>
      </w:r>
    </w:p>
    <w:p w:rsidR="00835B01" w:rsidRDefault="00835B01" w:rsidP="00835B01"/>
    <w:p w:rsidR="00835B01" w:rsidRDefault="00835B01" w:rsidP="00835B01">
      <w:pPr>
        <w:pStyle w:val="Questionstyle"/>
        <w:numPr>
          <w:ilvl w:val="0"/>
          <w:numId w:val="53"/>
        </w:numPr>
      </w:pPr>
      <w:r>
        <w:lastRenderedPageBreak/>
        <w:t>Do you consider that the approaches outlined in sections 3.1 and 3.2 should be taken into a</w:t>
      </w:r>
      <w:r>
        <w:t>c</w:t>
      </w:r>
      <w:r>
        <w:t>count for the purposes of calculating also total volumes of reported transactions? Please ela</w:t>
      </w:r>
      <w:r>
        <w:t>b</w:t>
      </w:r>
      <w:r>
        <w:t>orate on the reasons for your response.</w:t>
      </w:r>
    </w:p>
    <w:p w:rsidR="00835B01" w:rsidRDefault="00835B01" w:rsidP="00835B01">
      <w:r>
        <w:t>&lt;ESMA_QUESTION_DMPA_6&gt;</w:t>
      </w:r>
    </w:p>
    <w:p w:rsidR="00835B01" w:rsidRDefault="00835B01" w:rsidP="00835B01">
      <w:permStart w:id="222500561" w:edGrp="everyone"/>
      <w:r>
        <w:t>TYPE YOUR TEXT HERE</w:t>
      </w:r>
    </w:p>
    <w:permEnd w:id="222500561"/>
    <w:p w:rsidR="00835B01" w:rsidRDefault="00835B01" w:rsidP="00835B01">
      <w:r>
        <w:t>&lt;ESMA_QUESTION_DMPA_6&gt;</w:t>
      </w:r>
    </w:p>
    <w:p w:rsidR="00835B01" w:rsidRDefault="00835B01" w:rsidP="00835B01"/>
    <w:p w:rsidR="00835B01" w:rsidRDefault="00835B01" w:rsidP="00835B01">
      <w:pPr>
        <w:pStyle w:val="Questionstyle"/>
        <w:numPr>
          <w:ilvl w:val="0"/>
          <w:numId w:val="53"/>
        </w:numPr>
      </w:pPr>
      <w:r>
        <w:t>Do you agree with the proposed cut-off and publication times? If not, what other aspects need to be considered? Please elaborate.</w:t>
      </w:r>
    </w:p>
    <w:p w:rsidR="00835B01" w:rsidRDefault="00835B01" w:rsidP="00835B01">
      <w:r>
        <w:t>&lt;ESMA_QUESTION_DMPA_7&gt;</w:t>
      </w:r>
    </w:p>
    <w:p w:rsidR="00835B01" w:rsidRDefault="00835B01" w:rsidP="00835B01">
      <w:permStart w:id="1896375955" w:edGrp="everyone"/>
      <w:r>
        <w:t>TYPE YOUR TEXT HERE</w:t>
      </w:r>
    </w:p>
    <w:permEnd w:id="1896375955"/>
    <w:p w:rsidR="00835B01" w:rsidRDefault="00835B01" w:rsidP="00835B01">
      <w:r>
        <w:t>&lt;ESMA_QUESTION_DMPA_7&gt;</w:t>
      </w:r>
    </w:p>
    <w:p w:rsidR="00835B01" w:rsidRDefault="00835B01" w:rsidP="00835B01"/>
    <w:p w:rsidR="00835B01" w:rsidRDefault="00835B01" w:rsidP="00835B01">
      <w:pPr>
        <w:pStyle w:val="Questionstyle"/>
        <w:numPr>
          <w:ilvl w:val="0"/>
          <w:numId w:val="53"/>
        </w:numPr>
      </w:pPr>
      <w:r>
        <w:t>Are there any further specific additional conditions that need to be included? Please elaborate on the reasons for your response.</w:t>
      </w:r>
    </w:p>
    <w:p w:rsidR="00835B01" w:rsidRDefault="00835B01" w:rsidP="00835B01">
      <w:r>
        <w:t>&lt;ESMA_QUESTION_DMPA_8&gt;</w:t>
      </w:r>
    </w:p>
    <w:p w:rsidR="00835B01" w:rsidRDefault="00835B01" w:rsidP="00835B01">
      <w:permStart w:id="216867525" w:edGrp="everyone"/>
      <w:r>
        <w:t>TYPE YOUR TEXT HERE</w:t>
      </w:r>
    </w:p>
    <w:permEnd w:id="216867525"/>
    <w:p w:rsidR="00835B01" w:rsidRDefault="00835B01" w:rsidP="00835B01">
      <w:r>
        <w:t>&lt;ESMA_QUESTION_DMPA_8&gt;</w:t>
      </w:r>
    </w:p>
    <w:p w:rsidR="00835B01" w:rsidRDefault="00835B01" w:rsidP="00835B01"/>
    <w:p w:rsidR="00835B01" w:rsidRDefault="00835B01" w:rsidP="00835B01">
      <w:pPr>
        <w:pStyle w:val="Questionstyle"/>
        <w:numPr>
          <w:ilvl w:val="0"/>
          <w:numId w:val="53"/>
        </w:numPr>
      </w:pPr>
      <w:r>
        <w:t>Further to products and currencies, what other data elements need to be taken into account to correctly identify outliers from the aggregate position data? How should the outliers be trea</w:t>
      </w:r>
      <w:r>
        <w:t>t</w:t>
      </w:r>
      <w:r>
        <w:t>ed – not at all included in data aggregations or included in a raw data aggregation, but r</w:t>
      </w:r>
      <w:r>
        <w:t>e</w:t>
      </w:r>
      <w:r>
        <w:t>moved from a cleansed one? Please elaborate on the reasons for your response.</w:t>
      </w:r>
    </w:p>
    <w:p w:rsidR="00835B01" w:rsidRDefault="00835B01" w:rsidP="00835B01">
      <w:r>
        <w:t>&lt;ESMA_QUESTION_DMPA_9&gt;</w:t>
      </w:r>
    </w:p>
    <w:p w:rsidR="00835B01" w:rsidRDefault="00835B01" w:rsidP="00835B01">
      <w:permStart w:id="1519001653" w:edGrp="everyone"/>
      <w:r>
        <w:t>TYPE YOUR TEXT HERE</w:t>
      </w:r>
    </w:p>
    <w:permEnd w:id="1519001653"/>
    <w:p w:rsidR="00835B01" w:rsidRDefault="00835B01" w:rsidP="00835B01">
      <w:r>
        <w:t>&lt;ESMA_QUESTION_DMPA_9&gt;</w:t>
      </w:r>
    </w:p>
    <w:p w:rsidR="00835B01" w:rsidRDefault="00835B01" w:rsidP="00835B01"/>
    <w:p w:rsidR="00835B01" w:rsidRDefault="00835B01" w:rsidP="00835B01">
      <w:pPr>
        <w:pStyle w:val="Questionstyle"/>
        <w:numPr>
          <w:ilvl w:val="0"/>
          <w:numId w:val="53"/>
        </w:numPr>
      </w:pPr>
      <w:r>
        <w:t>Should the reconciliation status be taken into account? Should only reconciled trades be included? Please elaborate.</w:t>
      </w:r>
    </w:p>
    <w:p w:rsidR="00835B01" w:rsidRDefault="00835B01" w:rsidP="00835B01">
      <w:r>
        <w:t>&lt;ESMA_QUESTION_DMPA_10&gt;</w:t>
      </w:r>
    </w:p>
    <w:p w:rsidR="00A24A1F" w:rsidRDefault="00A24A1F" w:rsidP="00A24A1F">
      <w:pPr>
        <w:rPr>
          <w:lang w:val="en-US"/>
        </w:rPr>
      </w:pPr>
      <w:permStart w:id="1589983768" w:edGrp="everyone"/>
      <w:r>
        <w:rPr>
          <w:lang w:val="en-US"/>
        </w:rPr>
        <w:t xml:space="preserve">We believe that </w:t>
      </w:r>
      <w:r w:rsidRPr="00214DD6">
        <w:rPr>
          <w:lang w:val="en-US"/>
        </w:rPr>
        <w:t xml:space="preserve">ESMA </w:t>
      </w:r>
      <w:r>
        <w:rPr>
          <w:lang w:val="en-US"/>
        </w:rPr>
        <w:t xml:space="preserve">must take accountability </w:t>
      </w:r>
      <w:r w:rsidRPr="00214DD6">
        <w:rPr>
          <w:lang w:val="en-US"/>
        </w:rPr>
        <w:t xml:space="preserve">in the verification </w:t>
      </w:r>
      <w:r>
        <w:rPr>
          <w:lang w:val="en-US"/>
        </w:rPr>
        <w:t xml:space="preserve">and the publication </w:t>
      </w:r>
      <w:r w:rsidRPr="00214DD6">
        <w:rPr>
          <w:lang w:val="en-US"/>
        </w:rPr>
        <w:t xml:space="preserve">of the data </w:t>
      </w:r>
      <w:r>
        <w:rPr>
          <w:lang w:val="en-US"/>
        </w:rPr>
        <w:t>aggr</w:t>
      </w:r>
      <w:r>
        <w:rPr>
          <w:lang w:val="en-US"/>
        </w:rPr>
        <w:t>e</w:t>
      </w:r>
      <w:r>
        <w:rPr>
          <w:lang w:val="en-US"/>
        </w:rPr>
        <w:t xml:space="preserve">gated </w:t>
      </w:r>
      <w:r w:rsidRPr="00214DD6">
        <w:rPr>
          <w:lang w:val="en-US"/>
        </w:rPr>
        <w:t xml:space="preserve">by the TRs for the purposes of RTS 20 of MiFID II. </w:t>
      </w:r>
    </w:p>
    <w:p w:rsidR="00A24A1F" w:rsidRDefault="00A24A1F" w:rsidP="00A24A1F">
      <w:pPr>
        <w:rPr>
          <w:lang w:val="en-US"/>
        </w:rPr>
      </w:pPr>
    </w:p>
    <w:p w:rsidR="00835B01" w:rsidRDefault="00A24A1F" w:rsidP="00835B01">
      <w:r w:rsidRPr="00214DD6">
        <w:rPr>
          <w:lang w:val="en-US"/>
        </w:rPr>
        <w:t xml:space="preserve">It has been stated by ESMA and the European Commission that the data being reported </w:t>
      </w:r>
      <w:r>
        <w:rPr>
          <w:lang w:val="en-US"/>
        </w:rPr>
        <w:t>to</w:t>
      </w:r>
      <w:r w:rsidRPr="00214DD6">
        <w:rPr>
          <w:lang w:val="en-US"/>
        </w:rPr>
        <w:t xml:space="preserve"> TRs is of inconsistent quality. As a result there is a need for ESMA to monitor and intervene in these reporting processes before it delegates all accountability to the TRs</w:t>
      </w:r>
      <w:r>
        <w:rPr>
          <w:lang w:val="en-US"/>
        </w:rPr>
        <w:t>. This will ensure the trust from the market and regulatory authorities in the quality of the data to be published</w:t>
      </w:r>
      <w:r w:rsidRPr="00214DD6">
        <w:rPr>
          <w:lang w:val="en-US"/>
        </w:rPr>
        <w:t>.</w:t>
      </w:r>
    </w:p>
    <w:permEnd w:id="1589983768"/>
    <w:p w:rsidR="00835B01" w:rsidRDefault="00835B01" w:rsidP="00835B01">
      <w:r>
        <w:t>&lt;ESMA_QUESTION_DMPA_10&gt;</w:t>
      </w:r>
    </w:p>
    <w:p w:rsidR="00835B01" w:rsidRDefault="00835B01" w:rsidP="00835B01"/>
    <w:p w:rsidR="00835B01" w:rsidRDefault="00835B01" w:rsidP="00835B01">
      <w:pPr>
        <w:pStyle w:val="Questionstyle"/>
        <w:numPr>
          <w:ilvl w:val="0"/>
          <w:numId w:val="53"/>
        </w:numPr>
      </w:pPr>
      <w:r>
        <w:t>Do you agree with the suggested aggregation per type of “Venue of execution”?</w:t>
      </w:r>
    </w:p>
    <w:p w:rsidR="00835B01" w:rsidRDefault="00835B01" w:rsidP="00835B01">
      <w:r>
        <w:t>&lt;ESMA_QUESTION_DMPA_11&gt;</w:t>
      </w:r>
    </w:p>
    <w:p w:rsidR="00A24A1F" w:rsidRDefault="00A24A1F" w:rsidP="00A24A1F">
      <w:pPr>
        <w:rPr>
          <w:lang w:val="en-US"/>
        </w:rPr>
      </w:pPr>
      <w:permStart w:id="1398016038" w:edGrp="everyone"/>
      <w:r>
        <w:rPr>
          <w:lang w:val="en-US"/>
        </w:rPr>
        <w:t>In consideration of the low level of reconciliation of data reported to TRs as also acknowledged through the two levels of validations introduced in 2014 and 2015 and a further changes to EMIR’s RTS on data to be reported to improve data quality, we believe that</w:t>
      </w:r>
      <w:r w:rsidRPr="00214DD6">
        <w:rPr>
          <w:lang w:val="en-US"/>
        </w:rPr>
        <w:t xml:space="preserve"> unreconciled trades should be included in the aggr</w:t>
      </w:r>
      <w:r w:rsidRPr="00214DD6">
        <w:rPr>
          <w:lang w:val="en-US"/>
        </w:rPr>
        <w:t>e</w:t>
      </w:r>
      <w:r w:rsidRPr="00214DD6">
        <w:rPr>
          <w:lang w:val="en-US"/>
        </w:rPr>
        <w:t>gated reports</w:t>
      </w:r>
      <w:r>
        <w:rPr>
          <w:lang w:val="en-US"/>
        </w:rPr>
        <w:t>. Otherwise the dimension of the market would be largely underestimated.</w:t>
      </w:r>
    </w:p>
    <w:p w:rsidR="00A24A1F" w:rsidRDefault="00A24A1F" w:rsidP="00A24A1F">
      <w:pPr>
        <w:rPr>
          <w:lang w:val="en-US"/>
        </w:rPr>
      </w:pPr>
    </w:p>
    <w:p w:rsidR="00A24A1F" w:rsidRDefault="00A24A1F" w:rsidP="00A24A1F">
      <w:pPr>
        <w:rPr>
          <w:lang w:val="en-US"/>
        </w:rPr>
      </w:pPr>
      <w:r>
        <w:rPr>
          <w:lang w:val="en-US"/>
        </w:rPr>
        <w:lastRenderedPageBreak/>
        <w:t xml:space="preserve">However </w:t>
      </w:r>
      <w:r w:rsidRPr="00214DD6">
        <w:rPr>
          <w:lang w:val="en-US"/>
        </w:rPr>
        <w:t xml:space="preserve">the root causes </w:t>
      </w:r>
      <w:r>
        <w:rPr>
          <w:lang w:val="en-US"/>
        </w:rPr>
        <w:t xml:space="preserve">of non-reconciliation </w:t>
      </w:r>
      <w:r w:rsidRPr="00214DD6">
        <w:rPr>
          <w:lang w:val="en-US"/>
        </w:rPr>
        <w:t xml:space="preserve">should be monitored and resolved in future reports through feedback to the relevant market participants or TRs. The regulatory impacts of understating the size of the market for MiFID II will be more severe than over stating it. </w:t>
      </w:r>
    </w:p>
    <w:p w:rsidR="00A24A1F" w:rsidRDefault="00A24A1F" w:rsidP="00A24A1F">
      <w:pPr>
        <w:rPr>
          <w:lang w:val="en-US"/>
        </w:rPr>
      </w:pPr>
    </w:p>
    <w:p w:rsidR="00835B01" w:rsidRDefault="00A24A1F" w:rsidP="00A24A1F">
      <w:r>
        <w:rPr>
          <w:lang w:val="en-US"/>
        </w:rPr>
        <w:t>We reiterate the suggestion that for periods until the end of 2017, or when the quality of data is measur</w:t>
      </w:r>
      <w:r>
        <w:rPr>
          <w:lang w:val="en-US"/>
        </w:rPr>
        <w:t>a</w:t>
      </w:r>
      <w:r>
        <w:rPr>
          <w:lang w:val="en-US"/>
        </w:rPr>
        <w:t xml:space="preserve">ble as acceptable, </w:t>
      </w:r>
      <w:r>
        <w:rPr>
          <w:bCs/>
        </w:rPr>
        <w:t>the best and most pragmatic approach for the aggregation of ETDs is to request the regulated markets to assess the market size in each commodity derivative asset class.</w:t>
      </w:r>
    </w:p>
    <w:permEnd w:id="1398016038"/>
    <w:p w:rsidR="00835B01" w:rsidRDefault="00835B01" w:rsidP="00835B01">
      <w:r>
        <w:t>&lt;ESMA_QUESTION_DMPA_11&gt;</w:t>
      </w:r>
    </w:p>
    <w:p w:rsidR="00835B01" w:rsidRDefault="00835B01" w:rsidP="00835B01"/>
    <w:p w:rsidR="00835B01" w:rsidRDefault="00835B01" w:rsidP="00835B01">
      <w:pPr>
        <w:pStyle w:val="Questionstyle"/>
        <w:numPr>
          <w:ilvl w:val="0"/>
          <w:numId w:val="53"/>
        </w:numPr>
      </w:pPr>
      <w:r>
        <w:t>What other aggregations could be provided? What additional aspects should be taken into account? Please elaborate.</w:t>
      </w:r>
    </w:p>
    <w:p w:rsidR="00835B01" w:rsidRDefault="00835B01" w:rsidP="00835B01">
      <w:r>
        <w:t>&lt;ESMA_QUESTION_DMPA_12&gt;</w:t>
      </w:r>
    </w:p>
    <w:p w:rsidR="00835B01" w:rsidRDefault="00835B01" w:rsidP="00835B01">
      <w:permStart w:id="113901974" w:edGrp="everyone"/>
      <w:r>
        <w:t>TYPE YOUR TEXT HERE</w:t>
      </w:r>
    </w:p>
    <w:permEnd w:id="113901974"/>
    <w:p w:rsidR="00835B01" w:rsidRDefault="00835B01" w:rsidP="00835B01">
      <w:r>
        <w:t>&lt;ESMA_QUESTION_DMPA_12&gt;</w:t>
      </w:r>
    </w:p>
    <w:p w:rsidR="00835B01" w:rsidRDefault="00835B01" w:rsidP="00835B01"/>
    <w:p w:rsidR="00835B01" w:rsidRDefault="00835B01" w:rsidP="00835B01">
      <w:pPr>
        <w:pStyle w:val="Questionstyle"/>
        <w:numPr>
          <w:ilvl w:val="0"/>
          <w:numId w:val="53"/>
        </w:numPr>
      </w:pPr>
      <w:r>
        <w:t>Do you agree with the suggested categories? If not, what other aspects should be ta</w:t>
      </w:r>
      <w:r>
        <w:t>k</w:t>
      </w:r>
      <w:r>
        <w:t>en into account? Please elaborate on the reasons for your response.</w:t>
      </w:r>
    </w:p>
    <w:p w:rsidR="00835B01" w:rsidRDefault="00835B01" w:rsidP="00835B01">
      <w:r>
        <w:t>&lt;ESMA_QUESTION_DMPA_13&gt;</w:t>
      </w:r>
    </w:p>
    <w:p w:rsidR="00835B01" w:rsidRDefault="00835B01" w:rsidP="00835B01">
      <w:permStart w:id="1897017589" w:edGrp="everyone"/>
      <w:r>
        <w:t>TYPE YOUR TEXT HERE</w:t>
      </w:r>
    </w:p>
    <w:permEnd w:id="1897017589"/>
    <w:p w:rsidR="00835B01" w:rsidRDefault="00835B01" w:rsidP="00835B01">
      <w:r>
        <w:t>&lt;ESMA_QUESTION_DMPA_13&gt;</w:t>
      </w:r>
    </w:p>
    <w:p w:rsidR="00835B01" w:rsidRDefault="00835B01" w:rsidP="00835B01"/>
    <w:p w:rsidR="00835B01" w:rsidRDefault="00835B01" w:rsidP="00835B01">
      <w:pPr>
        <w:pStyle w:val="Questionstyle"/>
        <w:numPr>
          <w:ilvl w:val="0"/>
          <w:numId w:val="53"/>
        </w:numPr>
      </w:pPr>
      <w:r>
        <w:t>Should ESMA establish a longer period of time for keeping publicly available aggr</w:t>
      </w:r>
      <w:r>
        <w:t>e</w:t>
      </w:r>
      <w:r>
        <w:t>gates? What are the costs and benefits of a longer availability? Please elaborate.</w:t>
      </w:r>
    </w:p>
    <w:p w:rsidR="00835B01" w:rsidRDefault="00835B01" w:rsidP="00835B01">
      <w:r>
        <w:t>&lt;ESMA_QUESTION_DMPA_14&gt;</w:t>
      </w:r>
    </w:p>
    <w:p w:rsidR="00A24A1F" w:rsidRDefault="00A24A1F" w:rsidP="00A24A1F">
      <w:permStart w:id="1858281583" w:edGrp="everyone"/>
      <w:r>
        <w:t>We agree with the suggested categories to identify granular information. However we disagree with a potential reading of the proposals from point 74 to 77, where ESMA says that when two counterparties report to the same TR, then the quantitative aggregates ‘should be halved to show the actual aggregate per unique UTI’.</w:t>
      </w:r>
    </w:p>
    <w:p w:rsidR="00A24A1F" w:rsidRDefault="00A24A1F" w:rsidP="00A24A1F">
      <w:r>
        <w:t xml:space="preserve">  </w:t>
      </w:r>
    </w:p>
    <w:p w:rsidR="00A24A1F" w:rsidRDefault="00A24A1F" w:rsidP="00A24A1F">
      <w:r>
        <w:t>As described in the diagram in response to Question 5, it is essential that when the aggregation takes place to calculate the dimension of the market, both the buy and the sell side are accounted for because for commodity derivatives market participants will be required to compare both buy/sales with the dime</w:t>
      </w:r>
      <w:r>
        <w:t>n</w:t>
      </w:r>
      <w:r>
        <w:t>sion of the market and not one of them only.</w:t>
      </w:r>
    </w:p>
    <w:p w:rsidR="00A24A1F" w:rsidRDefault="00A24A1F" w:rsidP="00A24A1F"/>
    <w:p w:rsidR="00835B01" w:rsidRDefault="00A24A1F" w:rsidP="00835B01">
      <w:r>
        <w:t>More details and a numeric example of this issue are prese</w:t>
      </w:r>
      <w:r>
        <w:t>nted in response to Question 19.</w:t>
      </w:r>
    </w:p>
    <w:permEnd w:id="1858281583"/>
    <w:p w:rsidR="00835B01" w:rsidRDefault="00835B01" w:rsidP="00835B01">
      <w:r>
        <w:t>&lt;ESMA_QUESTION_DMPA_14&gt;</w:t>
      </w:r>
    </w:p>
    <w:p w:rsidR="00835B01" w:rsidRDefault="00835B01" w:rsidP="00835B01"/>
    <w:p w:rsidR="00835B01" w:rsidRDefault="00835B01" w:rsidP="00835B01">
      <w:pPr>
        <w:pStyle w:val="Questionstyle"/>
        <w:numPr>
          <w:ilvl w:val="0"/>
          <w:numId w:val="53"/>
        </w:numPr>
      </w:pPr>
      <w:r>
        <w:t>Should the data made published by the TRs be in pivoted table form or in tabular form? What are the potential costs and benefits of each alternative?</w:t>
      </w:r>
    </w:p>
    <w:p w:rsidR="00835B01" w:rsidRDefault="00835B01" w:rsidP="00835B01">
      <w:r>
        <w:t>&lt;ESMA_QUESTION_DMPA_15&gt;</w:t>
      </w:r>
    </w:p>
    <w:p w:rsidR="00835B01" w:rsidRDefault="00835B01" w:rsidP="00835B01">
      <w:permStart w:id="1640039002" w:edGrp="everyone"/>
      <w:r>
        <w:t>TYPE YOUR TEXT HERE</w:t>
      </w:r>
    </w:p>
    <w:permEnd w:id="1640039002"/>
    <w:p w:rsidR="00835B01" w:rsidRDefault="00835B01" w:rsidP="00835B01">
      <w:r>
        <w:t>&lt;ESMA_QUESTION_DMPA_15&gt;</w:t>
      </w:r>
    </w:p>
    <w:p w:rsidR="00835B01" w:rsidRDefault="00835B01" w:rsidP="00835B01"/>
    <w:p w:rsidR="00835B01" w:rsidRDefault="00835B01" w:rsidP="00835B01">
      <w:pPr>
        <w:pStyle w:val="Questionstyle"/>
        <w:numPr>
          <w:ilvl w:val="0"/>
          <w:numId w:val="53"/>
        </w:numPr>
      </w:pPr>
      <w:r>
        <w:t xml:space="preserve">Do you agree with the proposed treatment of legacy trades? Please </w:t>
      </w:r>
      <w:proofErr w:type="spellStart"/>
      <w:r>
        <w:t>elaboarate</w:t>
      </w:r>
      <w:proofErr w:type="spellEnd"/>
      <w:r>
        <w:t xml:space="preserve"> on the reasons for your response.</w:t>
      </w:r>
    </w:p>
    <w:p w:rsidR="00835B01" w:rsidRDefault="00835B01" w:rsidP="00835B01">
      <w:r>
        <w:t>&lt;ESMA_QUESTION_DMPA_16&gt;</w:t>
      </w:r>
    </w:p>
    <w:p w:rsidR="00A24A1F" w:rsidRDefault="00A24A1F" w:rsidP="00A24A1F">
      <w:pPr>
        <w:rPr>
          <w:lang w:val="en-US"/>
        </w:rPr>
      </w:pPr>
      <w:permStart w:id="1347290770" w:edGrp="everyone"/>
      <w:r w:rsidRPr="00214DD6">
        <w:rPr>
          <w:lang w:val="en-US"/>
        </w:rPr>
        <w:lastRenderedPageBreak/>
        <w:t xml:space="preserve">There is a requirement for publication of the data in </w:t>
      </w:r>
      <w:r>
        <w:rPr>
          <w:lang w:val="en-US"/>
        </w:rPr>
        <w:t>simple tables e.g. spreadsheets but also in dow</w:t>
      </w:r>
      <w:r>
        <w:rPr>
          <w:lang w:val="en-US"/>
        </w:rPr>
        <w:t>n</w:t>
      </w:r>
      <w:r>
        <w:rPr>
          <w:lang w:val="en-US"/>
        </w:rPr>
        <w:t xml:space="preserve">loadable and reusable </w:t>
      </w:r>
      <w:r w:rsidRPr="00214DD6">
        <w:rPr>
          <w:lang w:val="en-US"/>
        </w:rPr>
        <w:t xml:space="preserve">xml </w:t>
      </w:r>
      <w:r>
        <w:rPr>
          <w:lang w:val="en-US"/>
        </w:rPr>
        <w:t>format</w:t>
      </w:r>
      <w:r w:rsidRPr="00214DD6">
        <w:rPr>
          <w:lang w:val="en-US"/>
        </w:rPr>
        <w:t xml:space="preserve"> so that the data can be integrated for analysis in market partic</w:t>
      </w:r>
      <w:r w:rsidRPr="00214DD6">
        <w:rPr>
          <w:lang w:val="en-US"/>
        </w:rPr>
        <w:t>i</w:t>
      </w:r>
      <w:r w:rsidRPr="00214DD6">
        <w:rPr>
          <w:lang w:val="en-US"/>
        </w:rPr>
        <w:t>pants systems.</w:t>
      </w:r>
    </w:p>
    <w:p w:rsidR="00A24A1F" w:rsidRDefault="00A24A1F" w:rsidP="00A24A1F">
      <w:pPr>
        <w:rPr>
          <w:lang w:val="en-US"/>
        </w:rPr>
      </w:pPr>
    </w:p>
    <w:p w:rsidR="00835B01" w:rsidRPr="00A24A1F" w:rsidRDefault="00A24A1F" w:rsidP="00835B01">
      <w:pPr>
        <w:rPr>
          <w:b/>
          <w:lang w:val="en-US"/>
        </w:rPr>
      </w:pPr>
      <w:r>
        <w:rPr>
          <w:lang w:val="en-US"/>
        </w:rPr>
        <w:t>Should ESMA decide to proceed with the publication task assigned to the TRs, it is crucial that ESMA is much more prescriptive in its instructions and that such instructions are consulted upon with market parti</w:t>
      </w:r>
      <w:r>
        <w:rPr>
          <w:lang w:val="en-US"/>
        </w:rPr>
        <w:t>c</w:t>
      </w:r>
      <w:r>
        <w:rPr>
          <w:lang w:val="en-US"/>
        </w:rPr>
        <w:t>ipants.</w:t>
      </w:r>
    </w:p>
    <w:permEnd w:id="1347290770"/>
    <w:p w:rsidR="00835B01" w:rsidRDefault="00835B01" w:rsidP="00835B01">
      <w:r>
        <w:t>&lt;ESMA_QUESTION_DMPA_16&gt;</w:t>
      </w:r>
    </w:p>
    <w:p w:rsidR="00835B01" w:rsidRDefault="00835B01" w:rsidP="00835B01"/>
    <w:p w:rsidR="00835B01" w:rsidRDefault="00835B01" w:rsidP="00835B01">
      <w:pPr>
        <w:pStyle w:val="Questionstyle"/>
        <w:numPr>
          <w:ilvl w:val="0"/>
          <w:numId w:val="53"/>
        </w:numPr>
      </w:pPr>
      <w:r>
        <w:t>What other aspects should be taken into account for the purposes of publication of d</w:t>
      </w:r>
      <w:r>
        <w:t>a</w:t>
      </w:r>
      <w:r>
        <w:t>ta? Please elaborate.</w:t>
      </w:r>
    </w:p>
    <w:p w:rsidR="00835B01" w:rsidRDefault="00835B01" w:rsidP="00835B01">
      <w:r>
        <w:t>&lt;ESMA_QUESTION_DMPA_17&gt;</w:t>
      </w:r>
    </w:p>
    <w:p w:rsidR="00A24A1F" w:rsidRPr="00214DD6" w:rsidRDefault="00A24A1F" w:rsidP="00A24A1F">
      <w:permStart w:id="990316788" w:edGrp="everyone"/>
      <w:r w:rsidRPr="00214DD6">
        <w:t>We understand that ESMA is aware of the data quality issues related to EMIR reporting and that these are being gradually addressed. We also understand that there are specific reporting fields under EMIR tec</w:t>
      </w:r>
      <w:r w:rsidRPr="00214DD6">
        <w:t>h</w:t>
      </w:r>
      <w:r w:rsidRPr="00214DD6">
        <w:t xml:space="preserve">nical standards to identify the relevant commodity base (field 45) and commodity details (field 46). </w:t>
      </w:r>
    </w:p>
    <w:p w:rsidR="00A24A1F" w:rsidRDefault="00A24A1F" w:rsidP="00A24A1F"/>
    <w:p w:rsidR="00A24A1F" w:rsidRPr="00A31AA4" w:rsidRDefault="00A24A1F" w:rsidP="00A24A1F">
      <w:pPr>
        <w:rPr>
          <w:b/>
        </w:rPr>
      </w:pPr>
      <w:r w:rsidRPr="00214DD6">
        <w:t>However these fields were not mandatory under level 1 validation rules (Dec-14) and have been made mandatory fields for commodity derivatives only under Level 2 validation rules</w:t>
      </w:r>
      <w:r w:rsidRPr="00214DD6">
        <w:rPr>
          <w:vertAlign w:val="superscript"/>
        </w:rPr>
        <w:footnoteReference w:id="3"/>
      </w:r>
      <w:r w:rsidRPr="00214DD6">
        <w:t xml:space="preserve"> starting from November 2015. Therefore we have reason to believe that quality of the data collected by Trade Repositories for the year 2015 may not be sufficiently reliable to ensure correct aggregation</w:t>
      </w:r>
      <w:r w:rsidRPr="00A31AA4">
        <w:rPr>
          <w:b/>
        </w:rPr>
        <w:t xml:space="preserve">. </w:t>
      </w:r>
    </w:p>
    <w:p w:rsidR="00A24A1F" w:rsidRDefault="00A24A1F" w:rsidP="00A24A1F">
      <w:pPr>
        <w:rPr>
          <w:lang w:val="en-US"/>
        </w:rPr>
      </w:pPr>
    </w:p>
    <w:p w:rsidR="00835B01" w:rsidRDefault="00A24A1F" w:rsidP="00A24A1F">
      <w:r w:rsidRPr="00214DD6">
        <w:rPr>
          <w:lang w:val="en-US"/>
        </w:rPr>
        <w:t>This point is also made in the context of Q19.</w:t>
      </w:r>
    </w:p>
    <w:permEnd w:id="990316788"/>
    <w:p w:rsidR="00835B01" w:rsidRDefault="00835B01" w:rsidP="00835B01">
      <w:r>
        <w:t>&lt;ESMA_QUESTION_DMPA_17&gt;</w:t>
      </w:r>
    </w:p>
    <w:p w:rsidR="00835B01" w:rsidRDefault="00835B01" w:rsidP="00835B01"/>
    <w:p w:rsidR="00835B01" w:rsidRDefault="00835B01" w:rsidP="00835B01">
      <w:pPr>
        <w:pStyle w:val="Questionstyle"/>
        <w:numPr>
          <w:ilvl w:val="0"/>
          <w:numId w:val="53"/>
        </w:numPr>
      </w:pPr>
      <w:r>
        <w:t>Do you foresee any potential issues with identifying correctly the data to be included in the commodity derivatives aggregations? If so, please provide concrete examples of cases where you would not be able to identify the trades in scope of the aggregation. Please elab</w:t>
      </w:r>
      <w:r>
        <w:t>o</w:t>
      </w:r>
      <w:r>
        <w:t>rate.</w:t>
      </w:r>
    </w:p>
    <w:p w:rsidR="00835B01" w:rsidRDefault="00835B01" w:rsidP="00835B01">
      <w:r>
        <w:t>&lt;ESMA_QUESTION_DMPA_18&gt;</w:t>
      </w:r>
    </w:p>
    <w:p w:rsidR="00835B01" w:rsidRDefault="00835B01" w:rsidP="00835B01">
      <w:permStart w:id="1927758101" w:edGrp="everyone"/>
      <w:r>
        <w:t>TYPE YOUR TEXT HERE</w:t>
      </w:r>
    </w:p>
    <w:permEnd w:id="1927758101"/>
    <w:p w:rsidR="00835B01" w:rsidRDefault="00835B01" w:rsidP="00835B01">
      <w:r>
        <w:t>&lt;ESMA_QUESTION_DMPA_18&gt;</w:t>
      </w:r>
    </w:p>
    <w:p w:rsidR="00835B01" w:rsidRDefault="00835B01" w:rsidP="00835B01"/>
    <w:p w:rsidR="00835B01" w:rsidRDefault="00835B01" w:rsidP="00835B01">
      <w:pPr>
        <w:pStyle w:val="Questionstyle"/>
        <w:numPr>
          <w:ilvl w:val="0"/>
          <w:numId w:val="53"/>
        </w:numPr>
      </w:pPr>
      <w:r>
        <w:t>Do you agree with the proposed types of aggregation of commodities derivatives? If not, what other aspects should be taken into account? Please elaborate.</w:t>
      </w:r>
    </w:p>
    <w:p w:rsidR="00835B01" w:rsidRDefault="00835B01" w:rsidP="00835B01">
      <w:r>
        <w:t>&lt;ESMA_QUESTION_DMPA_19&gt;</w:t>
      </w:r>
    </w:p>
    <w:p w:rsidR="00A24A1F" w:rsidRDefault="00A24A1F" w:rsidP="00A24A1F">
      <w:pPr>
        <w:rPr>
          <w:lang w:val="en-US"/>
        </w:rPr>
      </w:pPr>
      <w:permStart w:id="174220891" w:edGrp="everyone"/>
      <w:r>
        <w:rPr>
          <w:lang w:val="en-US"/>
        </w:rPr>
        <w:t xml:space="preserve">Yes, </w:t>
      </w:r>
      <w:r>
        <w:rPr>
          <w:lang w:val="en-US"/>
        </w:rPr>
        <w:t xml:space="preserve">we believe that the approach proposed by ESMA should be clarified and we also see some potential issues concerning the completeness of the data to be aggregated. </w:t>
      </w:r>
    </w:p>
    <w:p w:rsidR="00A24A1F" w:rsidRDefault="00A24A1F" w:rsidP="00A24A1F">
      <w:pPr>
        <w:pStyle w:val="Default"/>
        <w:rPr>
          <w:rFonts w:asciiTheme="minorHAnsi" w:hAnsiTheme="minorHAnsi" w:cstheme="minorBidi"/>
          <w:b/>
          <w:color w:val="auto"/>
          <w:sz w:val="22"/>
          <w:szCs w:val="22"/>
        </w:rPr>
      </w:pPr>
    </w:p>
    <w:p w:rsidR="00A24A1F" w:rsidRPr="00DC5D2E" w:rsidRDefault="00A24A1F" w:rsidP="00A24A1F">
      <w:pPr>
        <w:spacing w:after="305"/>
        <w:rPr>
          <w:b/>
        </w:rPr>
      </w:pPr>
      <w:r w:rsidRPr="00CB797C">
        <w:rPr>
          <w:b/>
        </w:rPr>
        <w:t>Aggregation requirement</w:t>
      </w:r>
      <w:r w:rsidRPr="00DC5D2E">
        <w:rPr>
          <w:b/>
        </w:rPr>
        <w:t xml:space="preserve"> </w:t>
      </w:r>
    </w:p>
    <w:p w:rsidR="00A24A1F" w:rsidRPr="009B61CD" w:rsidRDefault="00A24A1F" w:rsidP="00A24A1F">
      <w:pPr>
        <w:rPr>
          <w:lang w:val="en-US"/>
        </w:rPr>
      </w:pPr>
      <w:r w:rsidRPr="00C304C5">
        <w:rPr>
          <w:lang w:val="en-US"/>
        </w:rPr>
        <w:t>EFET agrees with ESMA</w:t>
      </w:r>
      <w:r w:rsidRPr="00876080">
        <w:rPr>
          <w:lang w:val="en-US"/>
        </w:rPr>
        <w:t xml:space="preserve"> </w:t>
      </w:r>
      <w:r>
        <w:rPr>
          <w:lang w:val="en-US"/>
        </w:rPr>
        <w:t>that</w:t>
      </w:r>
      <w:r w:rsidRPr="00C304C5">
        <w:rPr>
          <w:lang w:val="en-US"/>
        </w:rPr>
        <w:t xml:space="preserve"> TRs have granular and comprehensive derivatives data and that TRs collect and they specialize on data management and processing. In addition, TRs are the only source of info</w:t>
      </w:r>
      <w:r w:rsidRPr="00C304C5">
        <w:rPr>
          <w:lang w:val="en-US"/>
        </w:rPr>
        <w:t>r</w:t>
      </w:r>
      <w:r w:rsidRPr="00C304C5">
        <w:rPr>
          <w:lang w:val="en-US"/>
        </w:rPr>
        <w:t>mation for OTC derivative</w:t>
      </w:r>
      <w:r>
        <w:rPr>
          <w:lang w:val="en-US"/>
        </w:rPr>
        <w:t>s</w:t>
      </w:r>
      <w:r>
        <w:rPr>
          <w:rStyle w:val="FootnoteReference"/>
          <w:lang w:val="en-US"/>
        </w:rPr>
        <w:footnoteReference w:id="4"/>
      </w:r>
      <w:r w:rsidRPr="00C304C5">
        <w:rPr>
          <w:lang w:val="en-US"/>
        </w:rPr>
        <w:t>. However</w:t>
      </w:r>
      <w:r>
        <w:rPr>
          <w:lang w:val="en-US"/>
        </w:rPr>
        <w:t xml:space="preserve">, </w:t>
      </w:r>
      <w:r w:rsidRPr="00C304C5">
        <w:rPr>
          <w:lang w:val="en-US"/>
        </w:rPr>
        <w:t>EFET believes that ESMA should take ownership of the task to aggregate and to publish overal</w:t>
      </w:r>
      <w:r>
        <w:rPr>
          <w:lang w:val="en-US"/>
        </w:rPr>
        <w:t xml:space="preserve">l market sizes at the EU level </w:t>
      </w:r>
      <w:r>
        <w:t xml:space="preserve">rather than requiring TRs to aggregate and publish aggregate position data for eight classes of commodity derivatives. </w:t>
      </w:r>
    </w:p>
    <w:p w:rsidR="00A24A1F" w:rsidRDefault="00A24A1F" w:rsidP="00A24A1F">
      <w:pPr>
        <w:rPr>
          <w:lang w:val="en-US"/>
        </w:rPr>
      </w:pPr>
    </w:p>
    <w:p w:rsidR="00A24A1F" w:rsidRDefault="00A24A1F" w:rsidP="00A24A1F">
      <w:pPr>
        <w:rPr>
          <w:lang w:val="en-US"/>
        </w:rPr>
      </w:pPr>
      <w:r>
        <w:rPr>
          <w:lang w:val="en-US"/>
        </w:rPr>
        <w:t xml:space="preserve">In the EFET view, this solution is the most efficient </w:t>
      </w:r>
      <w:r>
        <w:t>to enable any person wanting to benefit from the MiFID II exemption to identify the total market size</w:t>
      </w:r>
      <w:r>
        <w:rPr>
          <w:lang w:val="en-US"/>
        </w:rPr>
        <w:t xml:space="preserve"> because it would</w:t>
      </w:r>
    </w:p>
    <w:p w:rsidR="00A24A1F" w:rsidRDefault="00A24A1F" w:rsidP="00A24A1F">
      <w:pPr>
        <w:pStyle w:val="ListParagraph"/>
        <w:numPr>
          <w:ilvl w:val="0"/>
          <w:numId w:val="55"/>
        </w:numPr>
        <w:spacing w:after="160" w:line="259" w:lineRule="auto"/>
        <w:rPr>
          <w:lang w:val="en-US"/>
        </w:rPr>
      </w:pPr>
      <w:r w:rsidRPr="008D0CAA">
        <w:rPr>
          <w:lang w:val="en-US"/>
        </w:rPr>
        <w:t>ensure a single</w:t>
      </w:r>
      <w:r>
        <w:rPr>
          <w:lang w:val="en-US"/>
        </w:rPr>
        <w:t xml:space="preserve"> and consistent</w:t>
      </w:r>
      <w:r w:rsidRPr="008D0CAA">
        <w:rPr>
          <w:lang w:val="en-US"/>
        </w:rPr>
        <w:t xml:space="preserve"> source of information</w:t>
      </w:r>
      <w:r>
        <w:rPr>
          <w:lang w:val="en-US"/>
        </w:rPr>
        <w:t>;</w:t>
      </w:r>
      <w:r w:rsidRPr="008D0CAA">
        <w:rPr>
          <w:lang w:val="en-US"/>
        </w:rPr>
        <w:t xml:space="preserve"> </w:t>
      </w:r>
    </w:p>
    <w:p w:rsidR="00A24A1F" w:rsidRPr="008D0CAA" w:rsidRDefault="00A24A1F" w:rsidP="00A24A1F">
      <w:pPr>
        <w:pStyle w:val="ListParagraph"/>
        <w:numPr>
          <w:ilvl w:val="0"/>
          <w:numId w:val="55"/>
        </w:numPr>
        <w:spacing w:after="160" w:line="259" w:lineRule="auto"/>
        <w:rPr>
          <w:lang w:val="en-US"/>
        </w:rPr>
      </w:pPr>
      <w:r w:rsidRPr="008D0CAA">
        <w:rPr>
          <w:lang w:val="en-US"/>
        </w:rPr>
        <w:t>avoid unnecessary burden for non-financial companies</w:t>
      </w:r>
      <w:r>
        <w:rPr>
          <w:lang w:val="en-US"/>
        </w:rPr>
        <w:t xml:space="preserve"> and duplication of </w:t>
      </w:r>
      <w:r w:rsidRPr="008D0CAA">
        <w:rPr>
          <w:lang w:val="en-US"/>
        </w:rPr>
        <w:t xml:space="preserve">costs </w:t>
      </w:r>
      <w:r>
        <w:rPr>
          <w:lang w:val="en-US"/>
        </w:rPr>
        <w:t xml:space="preserve">requiring these non-financial entities </w:t>
      </w:r>
      <w:r w:rsidRPr="008D0CAA">
        <w:rPr>
          <w:lang w:val="en-US"/>
        </w:rPr>
        <w:t xml:space="preserve">having to aggregate publications by different TRs; </w:t>
      </w:r>
    </w:p>
    <w:p w:rsidR="00A24A1F" w:rsidRDefault="00A24A1F" w:rsidP="00A24A1F">
      <w:pPr>
        <w:pStyle w:val="ListParagraph"/>
        <w:numPr>
          <w:ilvl w:val="0"/>
          <w:numId w:val="55"/>
        </w:numPr>
        <w:spacing w:after="160" w:line="259" w:lineRule="auto"/>
        <w:rPr>
          <w:lang w:val="en-US"/>
        </w:rPr>
      </w:pPr>
      <w:r>
        <w:rPr>
          <w:lang w:val="en-US"/>
        </w:rPr>
        <w:t>enable ESMA to apply sense-checks and ensure a single format for publication;</w:t>
      </w:r>
    </w:p>
    <w:p w:rsidR="00A24A1F" w:rsidRPr="008D0CAA" w:rsidRDefault="00A24A1F" w:rsidP="00A24A1F">
      <w:pPr>
        <w:pStyle w:val="ListParagraph"/>
        <w:numPr>
          <w:ilvl w:val="0"/>
          <w:numId w:val="55"/>
        </w:numPr>
        <w:spacing w:after="160" w:line="259" w:lineRule="auto"/>
        <w:rPr>
          <w:lang w:val="en-US"/>
        </w:rPr>
      </w:pPr>
      <w:r w:rsidRPr="008D0CAA">
        <w:rPr>
          <w:lang w:val="en-US"/>
        </w:rPr>
        <w:t xml:space="preserve">reduce operational </w:t>
      </w:r>
      <w:r>
        <w:rPr>
          <w:lang w:val="en-US"/>
        </w:rPr>
        <w:t>risks</w:t>
      </w:r>
    </w:p>
    <w:p w:rsidR="00A24A1F" w:rsidRDefault="00A24A1F" w:rsidP="00A24A1F">
      <w:pPr>
        <w:rPr>
          <w:lang w:val="en-US"/>
        </w:rPr>
      </w:pPr>
      <w:r w:rsidRPr="0023633B">
        <w:rPr>
          <w:lang w:val="en-US"/>
        </w:rPr>
        <w:t>In terms of data quality ESMA should design a set of metrics that will provide a transparent view of the quality of the data being reported by all of the contributors to this process so that key issues can be r</w:t>
      </w:r>
      <w:r w:rsidRPr="0023633B">
        <w:rPr>
          <w:lang w:val="en-US"/>
        </w:rPr>
        <w:t>e</w:t>
      </w:r>
      <w:r w:rsidRPr="0023633B">
        <w:rPr>
          <w:lang w:val="en-US"/>
        </w:rPr>
        <w:t>solved. This data should not be used for the purposes of MiFID until a minimum level of accuracy is pro</w:t>
      </w:r>
      <w:r w:rsidRPr="0023633B">
        <w:rPr>
          <w:lang w:val="en-US"/>
        </w:rPr>
        <w:t>v</w:t>
      </w:r>
      <w:r w:rsidRPr="0023633B">
        <w:rPr>
          <w:lang w:val="en-US"/>
        </w:rPr>
        <w:t>en. It will not be in keeping with the mandate of ESMA to delegate all responsibility to the TRs without first ensuring that the data to be used for the purposes of MiFID is robust and will provide the intended regul</w:t>
      </w:r>
      <w:r w:rsidRPr="0023633B">
        <w:rPr>
          <w:lang w:val="en-US"/>
        </w:rPr>
        <w:t>a</w:t>
      </w:r>
      <w:r w:rsidRPr="0023633B">
        <w:rPr>
          <w:lang w:val="en-US"/>
        </w:rPr>
        <w:t>tory outcomes.</w:t>
      </w:r>
    </w:p>
    <w:p w:rsidR="00A24A1F" w:rsidRDefault="00A24A1F" w:rsidP="00A24A1F">
      <w:pPr>
        <w:rPr>
          <w:lang w:val="en-US"/>
        </w:rPr>
      </w:pPr>
    </w:p>
    <w:p w:rsidR="00A24A1F" w:rsidRDefault="00A24A1F" w:rsidP="00A24A1F">
      <w:pPr>
        <w:rPr>
          <w:lang w:val="en-US"/>
        </w:rPr>
      </w:pPr>
      <w:r>
        <w:rPr>
          <w:lang w:val="en-US"/>
        </w:rPr>
        <w:t>Most importantly, on the methodology applicable to apply the aggregations, EFET believes w</w:t>
      </w:r>
      <w:r w:rsidRPr="00C04BD3">
        <w:rPr>
          <w:lang w:val="en-US"/>
        </w:rPr>
        <w:t>hen calcula</w:t>
      </w:r>
      <w:r w:rsidRPr="00C04BD3">
        <w:rPr>
          <w:lang w:val="en-US"/>
        </w:rPr>
        <w:t>t</w:t>
      </w:r>
      <w:r w:rsidRPr="00C04BD3">
        <w:rPr>
          <w:lang w:val="en-US"/>
        </w:rPr>
        <w:t>ing the market size of trading, market participant</w:t>
      </w:r>
      <w:r>
        <w:rPr>
          <w:lang w:val="en-US"/>
        </w:rPr>
        <w:t>s</w:t>
      </w:r>
      <w:r w:rsidRPr="00C04BD3">
        <w:rPr>
          <w:lang w:val="en-US"/>
        </w:rPr>
        <w:t xml:space="preserve"> are required to use </w:t>
      </w:r>
      <w:r w:rsidRPr="00C304C5">
        <w:rPr>
          <w:lang w:val="en-US"/>
        </w:rPr>
        <w:t>comparable</w:t>
      </w:r>
      <w:r w:rsidRPr="00C04BD3">
        <w:rPr>
          <w:lang w:val="en-US"/>
        </w:rPr>
        <w:t xml:space="preserve"> figures</w:t>
      </w:r>
      <w:r>
        <w:rPr>
          <w:lang w:val="en-US"/>
        </w:rPr>
        <w:t>. Therefore the methodology to calculate the market size should be clear and consistent to allow persons availing of the ancillary activity exemption to calculate their size compared with the market on the same scale.</w:t>
      </w:r>
    </w:p>
    <w:p w:rsidR="00A24A1F" w:rsidRDefault="00A24A1F" w:rsidP="00A24A1F">
      <w:pPr>
        <w:rPr>
          <w:lang w:val="en-US"/>
        </w:rPr>
      </w:pPr>
    </w:p>
    <w:p w:rsidR="00A24A1F" w:rsidRDefault="00A24A1F" w:rsidP="00A24A1F">
      <w:pPr>
        <w:rPr>
          <w:lang w:val="en-US"/>
        </w:rPr>
      </w:pPr>
      <w:r>
        <w:rPr>
          <w:lang w:val="en-US"/>
        </w:rPr>
        <w:t>The draft RTS 20 states that the “</w:t>
      </w:r>
      <w:r w:rsidRPr="0008038C">
        <w:rPr>
          <w:i/>
        </w:rPr>
        <w:t xml:space="preserve">overall market trading activity in each of the asset classes shall be calculated by aggregating the gross notional value of all contracts that are not traded on a trading venue within the relevant asset class </w:t>
      </w:r>
      <w:r w:rsidRPr="0008038C">
        <w:rPr>
          <w:b/>
          <w:i/>
          <w:u w:val="single"/>
        </w:rPr>
        <w:t>to which any person</w:t>
      </w:r>
      <w:r w:rsidRPr="0008038C">
        <w:rPr>
          <w:i/>
        </w:rPr>
        <w:t xml:space="preserve"> </w:t>
      </w:r>
      <w:r>
        <w:rPr>
          <w:i/>
        </w:rPr>
        <w:t xml:space="preserve">(emphasis added) </w:t>
      </w:r>
      <w:r w:rsidRPr="0008038C">
        <w:rPr>
          <w:i/>
        </w:rPr>
        <w:t>located in a Member State is a party and of any other contract within that asset class that is traded on a trading venue located in a Me</w:t>
      </w:r>
      <w:r w:rsidRPr="0008038C">
        <w:rPr>
          <w:i/>
        </w:rPr>
        <w:t>m</w:t>
      </w:r>
      <w:r w:rsidRPr="0008038C">
        <w:rPr>
          <w:i/>
        </w:rPr>
        <w:t>ber State</w:t>
      </w:r>
      <w:r>
        <w:t>”.</w:t>
      </w:r>
    </w:p>
    <w:p w:rsidR="00A24A1F" w:rsidRDefault="00A24A1F" w:rsidP="00A24A1F"/>
    <w:p w:rsidR="00A24A1F" w:rsidRDefault="00A24A1F" w:rsidP="00A24A1F">
      <w:r>
        <w:t xml:space="preserve">This means that the size of the market in each commodity derivative is calculated by aggregating </w:t>
      </w:r>
      <w:r w:rsidRPr="00C04BD3">
        <w:t>the individual transactions traded by all persons in the market</w:t>
      </w:r>
      <w:r>
        <w:t>. This entails the two legs (buy and sell) of each trade.</w:t>
      </w:r>
      <w:r w:rsidRPr="00C04BD3">
        <w:t xml:space="preserve"> </w:t>
      </w:r>
      <w:r>
        <w:t xml:space="preserve">This is </w:t>
      </w:r>
      <w:r w:rsidRPr="00C04BD3">
        <w:t>different from determining the value of the commodity deriv</w:t>
      </w:r>
      <w:r>
        <w:t xml:space="preserve">atives that has been exchanged, which considers the two legs (buy/sell) of a trade as one single figure. </w:t>
      </w:r>
    </w:p>
    <w:p w:rsidR="00A24A1F" w:rsidRDefault="00A24A1F" w:rsidP="00A24A1F"/>
    <w:p w:rsidR="00A24A1F" w:rsidRDefault="00A24A1F" w:rsidP="00A24A1F">
      <w:r>
        <w:t>This can be explained with a short example. Let’s assume that for a commodity derivative asset class in a given period there are only 4 parties and 4 transactions are taking place:</w:t>
      </w:r>
    </w:p>
    <w:p w:rsidR="00A24A1F" w:rsidRPr="006805B3" w:rsidRDefault="00A24A1F" w:rsidP="00A24A1F">
      <w:pPr>
        <w:pStyle w:val="ListParagraph"/>
        <w:numPr>
          <w:ilvl w:val="0"/>
          <w:numId w:val="56"/>
        </w:numPr>
        <w:spacing w:after="200" w:line="276" w:lineRule="auto"/>
        <w:ind w:left="851" w:hanging="284"/>
        <w:rPr>
          <w:color w:val="000000" w:themeColor="text1"/>
        </w:rPr>
      </w:pPr>
      <w:r w:rsidRPr="00A64082">
        <w:t xml:space="preserve">Transaction 1: A sells </w:t>
      </w:r>
      <w:r>
        <w:t xml:space="preserve">for a value of </w:t>
      </w:r>
      <w:r w:rsidRPr="00A64082">
        <w:t xml:space="preserve">100 to B  – B buys </w:t>
      </w:r>
      <w:r>
        <w:t xml:space="preserve">for a value of </w:t>
      </w:r>
      <w:r w:rsidRPr="00A64082">
        <w:t xml:space="preserve">100 from A; </w:t>
      </w:r>
    </w:p>
    <w:p w:rsidR="00A24A1F" w:rsidRPr="006805B3" w:rsidRDefault="00A24A1F" w:rsidP="00A24A1F">
      <w:pPr>
        <w:pStyle w:val="ListParagraph"/>
        <w:numPr>
          <w:ilvl w:val="0"/>
          <w:numId w:val="56"/>
        </w:numPr>
        <w:spacing w:after="200" w:line="276" w:lineRule="auto"/>
        <w:ind w:left="851" w:hanging="284"/>
        <w:rPr>
          <w:color w:val="000000" w:themeColor="text1"/>
        </w:rPr>
      </w:pPr>
      <w:r w:rsidRPr="006805B3">
        <w:rPr>
          <w:color w:val="000000" w:themeColor="text1"/>
        </w:rPr>
        <w:t xml:space="preserve">Transaction 2: A buys </w:t>
      </w:r>
      <w:r>
        <w:t xml:space="preserve">for a value of </w:t>
      </w:r>
      <w:r w:rsidRPr="006805B3">
        <w:rPr>
          <w:color w:val="000000" w:themeColor="text1"/>
        </w:rPr>
        <w:t xml:space="preserve">150 from C – C sells 150 to A; </w:t>
      </w:r>
    </w:p>
    <w:p w:rsidR="00A24A1F" w:rsidRPr="006805B3" w:rsidRDefault="00A24A1F" w:rsidP="00A24A1F">
      <w:pPr>
        <w:pStyle w:val="ListParagraph"/>
        <w:numPr>
          <w:ilvl w:val="0"/>
          <w:numId w:val="56"/>
        </w:numPr>
        <w:spacing w:after="200" w:line="276" w:lineRule="auto"/>
        <w:ind w:left="851" w:hanging="284"/>
        <w:rPr>
          <w:color w:val="000000" w:themeColor="text1"/>
        </w:rPr>
      </w:pPr>
      <w:r w:rsidRPr="006805B3">
        <w:rPr>
          <w:color w:val="000000" w:themeColor="text1"/>
        </w:rPr>
        <w:t xml:space="preserve">Transaction 3: D sells </w:t>
      </w:r>
      <w:r>
        <w:t xml:space="preserve">for a value of </w:t>
      </w:r>
      <w:r w:rsidRPr="006805B3">
        <w:rPr>
          <w:color w:val="000000" w:themeColor="text1"/>
        </w:rPr>
        <w:t xml:space="preserve">75 to B – B buys </w:t>
      </w:r>
      <w:r>
        <w:t xml:space="preserve">for a value of </w:t>
      </w:r>
      <w:r w:rsidRPr="006805B3">
        <w:rPr>
          <w:color w:val="000000" w:themeColor="text1"/>
        </w:rPr>
        <w:t xml:space="preserve">75 from D; </w:t>
      </w:r>
    </w:p>
    <w:p w:rsidR="00A24A1F" w:rsidRPr="006805B3" w:rsidRDefault="00A24A1F" w:rsidP="00A24A1F">
      <w:pPr>
        <w:pStyle w:val="ListParagraph"/>
        <w:numPr>
          <w:ilvl w:val="0"/>
          <w:numId w:val="56"/>
        </w:numPr>
        <w:spacing w:after="200" w:line="276" w:lineRule="auto"/>
        <w:ind w:left="851" w:hanging="284"/>
        <w:rPr>
          <w:color w:val="000000" w:themeColor="text1"/>
        </w:rPr>
      </w:pPr>
      <w:r w:rsidRPr="006805B3">
        <w:rPr>
          <w:color w:val="000000" w:themeColor="text1"/>
        </w:rPr>
        <w:t xml:space="preserve">Transaction 4: B sells </w:t>
      </w:r>
      <w:r>
        <w:t xml:space="preserve">for a value of </w:t>
      </w:r>
      <w:r w:rsidRPr="006805B3">
        <w:rPr>
          <w:color w:val="000000" w:themeColor="text1"/>
        </w:rPr>
        <w:t xml:space="preserve">75 to C – C buys 75 </w:t>
      </w:r>
      <w:r>
        <w:t xml:space="preserve">for a value of </w:t>
      </w:r>
      <w:r w:rsidRPr="006805B3">
        <w:rPr>
          <w:color w:val="000000" w:themeColor="text1"/>
        </w:rPr>
        <w:t xml:space="preserve">from B; </w:t>
      </w:r>
    </w:p>
    <w:p w:rsidR="00A24A1F" w:rsidRPr="00A64082" w:rsidRDefault="00A24A1F" w:rsidP="00A24A1F">
      <w:r w:rsidRPr="00A64082">
        <w:t xml:space="preserve">The total </w:t>
      </w:r>
      <w:r>
        <w:t xml:space="preserve">notional value of the commodity derivatives exchanged is </w:t>
      </w:r>
      <w:r w:rsidRPr="00297897">
        <w:t>400 (100+150+75+</w:t>
      </w:r>
      <w:r>
        <w:t>75</w:t>
      </w:r>
      <w:r w:rsidRPr="00297897">
        <w:t>)</w:t>
      </w:r>
      <w:r w:rsidRPr="00A64082">
        <w:t>.</w:t>
      </w:r>
      <w:r>
        <w:t xml:space="preserve"> However if the total market is calculated as the sum of the individual transaction “</w:t>
      </w:r>
      <w:r w:rsidRPr="00297897">
        <w:t>to which any person is a party</w:t>
      </w:r>
      <w:r>
        <w:t>”, as per RTS 20, the overall</w:t>
      </w:r>
      <w:r w:rsidRPr="00AB530D">
        <w:t xml:space="preserve"> </w:t>
      </w:r>
      <w:r>
        <w:t xml:space="preserve">market size should be </w:t>
      </w:r>
      <w:r w:rsidRPr="00D20FFE">
        <w:rPr>
          <w:u w:val="single"/>
        </w:rPr>
        <w:t>800</w:t>
      </w:r>
      <w:r w:rsidRPr="00297897">
        <w:t>.</w:t>
      </w:r>
    </w:p>
    <w:p w:rsidR="00A24A1F" w:rsidRDefault="00A24A1F" w:rsidP="00A24A1F"/>
    <w:p w:rsidR="00A24A1F" w:rsidRDefault="00A24A1F" w:rsidP="00A24A1F">
      <w:r>
        <w:t>I</w:t>
      </w:r>
      <w:r w:rsidRPr="00AB530D">
        <w:t xml:space="preserve">f each </w:t>
      </w:r>
      <w:r>
        <w:t xml:space="preserve">of the </w:t>
      </w:r>
      <w:r w:rsidRPr="00AB530D">
        <w:t>counterpart</w:t>
      </w:r>
      <w:r>
        <w:t>ies uses the total value of the commodity derivatives exchanged (as is ESMA’s proposal) when calculating their size compared with the notional exchanged, the result is the following: A (250/400</w:t>
      </w:r>
      <w:proofErr w:type="gramStart"/>
      <w:r>
        <w:t>)=</w:t>
      </w:r>
      <w:proofErr w:type="gramEnd"/>
      <w:r>
        <w:t xml:space="preserve"> 62.5%; B (250/400)= 62.5%; D (75/400)= 18.75%; C (225/400)= 56.25%. </w:t>
      </w:r>
      <w:proofErr w:type="gramStart"/>
      <w:r>
        <w:t xml:space="preserve">The sum of the market ‘shares’ is </w:t>
      </w:r>
      <w:r w:rsidRPr="00D20FFE">
        <w:rPr>
          <w:u w:val="single"/>
        </w:rPr>
        <w:t>200%</w:t>
      </w:r>
      <w:r>
        <w:t>, which is obviously inconsistent.</w:t>
      </w:r>
      <w:proofErr w:type="gramEnd"/>
    </w:p>
    <w:p w:rsidR="00A24A1F" w:rsidRDefault="00A24A1F" w:rsidP="00A24A1F"/>
    <w:p w:rsidR="00A24A1F" w:rsidRPr="00AA4AAB" w:rsidRDefault="00A24A1F" w:rsidP="00A24A1F">
      <w:r w:rsidRPr="00AA4AAB">
        <w:t xml:space="preserve">Effectively the aggregation of the market shares of all the </w:t>
      </w:r>
      <w:proofErr w:type="gramStart"/>
      <w:r w:rsidRPr="00AA4AAB">
        <w:t>counterparties is</w:t>
      </w:r>
      <w:proofErr w:type="gramEnd"/>
      <w:r w:rsidRPr="00AA4AAB">
        <w:t xml:space="preserve"> </w:t>
      </w:r>
      <w:r w:rsidRPr="008D2114">
        <w:t xml:space="preserve">two times </w:t>
      </w:r>
      <w:r>
        <w:t xml:space="preserve">(800) </w:t>
      </w:r>
      <w:r w:rsidRPr="008D2114">
        <w:t xml:space="preserve">the </w:t>
      </w:r>
      <w:r>
        <w:t xml:space="preserve">notional </w:t>
      </w:r>
      <w:r w:rsidRPr="008D2114">
        <w:t>value that has been exchanged</w:t>
      </w:r>
      <w:r>
        <w:t xml:space="preserve"> (400)</w:t>
      </w:r>
      <w:r w:rsidRPr="00AA4AAB">
        <w:t xml:space="preserve">.  This </w:t>
      </w:r>
      <w:r>
        <w:t xml:space="preserve">allows to the </w:t>
      </w:r>
      <w:r w:rsidRPr="00AA4AAB">
        <w:t xml:space="preserve">figure at the </w:t>
      </w:r>
      <w:r>
        <w:t>denominator</w:t>
      </w:r>
      <w:r w:rsidRPr="00AA4AAB">
        <w:t xml:space="preserve"> </w:t>
      </w:r>
      <w:r>
        <w:t xml:space="preserve">(market size) to be comparable with a consistent figure </w:t>
      </w:r>
      <w:r w:rsidRPr="00AA4AAB">
        <w:t xml:space="preserve">at the </w:t>
      </w:r>
      <w:r>
        <w:t>numerator (market share, including both buy and sell)</w:t>
      </w:r>
      <w:r w:rsidRPr="00AA4AAB">
        <w:t>.</w:t>
      </w:r>
    </w:p>
    <w:p w:rsidR="00A24A1F" w:rsidRDefault="00A24A1F" w:rsidP="00A24A1F"/>
    <w:p w:rsidR="00A24A1F" w:rsidRPr="00297897" w:rsidRDefault="00A24A1F" w:rsidP="00A24A1F">
      <w:r w:rsidRPr="00297897">
        <w:t>In essence it is important that when calculating the market size of trading, market participant are required to utilise comparable figures.</w:t>
      </w:r>
    </w:p>
    <w:p w:rsidR="00A24A1F" w:rsidRDefault="00A24A1F" w:rsidP="00A24A1F"/>
    <w:p w:rsidR="00A24A1F" w:rsidRDefault="00A24A1F" w:rsidP="00A24A1F">
      <w:r w:rsidRPr="00297897">
        <w:t xml:space="preserve">There </w:t>
      </w:r>
      <w:r>
        <w:t xml:space="preserve">is also at least an </w:t>
      </w:r>
      <w:r w:rsidRPr="00297897">
        <w:t>alternative prox</w:t>
      </w:r>
      <w:r>
        <w:t>y</w:t>
      </w:r>
      <w:r w:rsidRPr="00297897">
        <w:t xml:space="preserve"> to this methodology to ensure consistency in the approach and obtain comparable figures for the numerator and the denominator like for instance an average of both </w:t>
      </w:r>
      <w:r w:rsidRPr="00297897">
        <w:lastRenderedPageBreak/>
        <w:t>sales and purchases, by dividing the individual company total buys-sells figure by 2 to normalise the analysis</w:t>
      </w:r>
      <w:r>
        <w:t>.</w:t>
      </w:r>
    </w:p>
    <w:p w:rsidR="00A24A1F" w:rsidRDefault="00A24A1F" w:rsidP="00A24A1F">
      <w:pPr>
        <w:rPr>
          <w:lang w:val="en-US"/>
        </w:rPr>
      </w:pPr>
    </w:p>
    <w:p w:rsidR="00A24A1F" w:rsidRDefault="00A24A1F" w:rsidP="00A24A1F">
      <w:pPr>
        <w:rPr>
          <w:lang w:val="en-US"/>
        </w:rPr>
      </w:pPr>
      <w:r w:rsidRPr="00150A49">
        <w:rPr>
          <w:lang w:val="en-US"/>
        </w:rPr>
        <w:t xml:space="preserve">Finally </w:t>
      </w:r>
      <w:r>
        <w:rPr>
          <w:lang w:val="en-US"/>
        </w:rPr>
        <w:t>ESMA should clearly identify the requirement that data should be published in EUR.</w:t>
      </w:r>
    </w:p>
    <w:p w:rsidR="00A24A1F" w:rsidRPr="00150A49" w:rsidRDefault="00A24A1F" w:rsidP="00A24A1F">
      <w:pPr>
        <w:rPr>
          <w:lang w:val="en-US"/>
        </w:rPr>
      </w:pPr>
    </w:p>
    <w:p w:rsidR="00A24A1F" w:rsidRDefault="00A24A1F" w:rsidP="00A24A1F">
      <w:pPr>
        <w:spacing w:after="305"/>
        <w:rPr>
          <w:b/>
        </w:rPr>
      </w:pPr>
      <w:r>
        <w:rPr>
          <w:b/>
        </w:rPr>
        <w:t xml:space="preserve">Commodity derivative trades in the EU between two non-EU counterparties </w:t>
      </w:r>
    </w:p>
    <w:p w:rsidR="00A24A1F" w:rsidRDefault="00A24A1F" w:rsidP="00A24A1F">
      <w:r w:rsidRPr="00BD3EBF">
        <w:t>ESMA states that the market size would exclude all those trades where two non-EU counterparties co</w:t>
      </w:r>
      <w:r w:rsidRPr="00BD3EBF">
        <w:t>n</w:t>
      </w:r>
      <w:r w:rsidRPr="00BD3EBF">
        <w:t xml:space="preserve">clude a commodity derivative trade in the EU. We believe that this </w:t>
      </w:r>
      <w:r>
        <w:t xml:space="preserve">statement </w:t>
      </w:r>
      <w:r w:rsidRPr="00BD3EBF">
        <w:t>needs</w:t>
      </w:r>
      <w:r>
        <w:t xml:space="preserve"> further consideration to identify a potential solution.</w:t>
      </w:r>
    </w:p>
    <w:p w:rsidR="00A24A1F" w:rsidRDefault="00A24A1F" w:rsidP="00A24A1F"/>
    <w:p w:rsidR="00A24A1F" w:rsidRDefault="00A24A1F" w:rsidP="00A24A1F">
      <w:r>
        <w:t xml:space="preserve">In case two counterparties not established in the EU are trading OTC derivatives, under no circumstance can it be considered as ‘trading in the EU’ for the purpose of RTS 20. Therefore the issue exists only for ETDs. In case of ETDs, under the assumption that a CCP is authorised in the EU, the CCP will always be subject to reporting for at least one leg of the trade (see EMIR Q&amp;A scenario at p.101-102 of version XIX). </w:t>
      </w:r>
    </w:p>
    <w:p w:rsidR="00A24A1F" w:rsidRDefault="00A24A1F" w:rsidP="00A24A1F"/>
    <w:p w:rsidR="00A24A1F" w:rsidRDefault="00A24A1F" w:rsidP="00A24A1F">
      <w:r>
        <w:t xml:space="preserve">In this context, we believe that it is more appropriate for ETDs requiring the TRs to aggregate ETDs where at least one of the counterparties is the CCP. This solution is opposite to the proposal of ESMA in the CP in sections 3.1 at 3.2 (point 43). </w:t>
      </w:r>
    </w:p>
    <w:p w:rsidR="00A24A1F" w:rsidRDefault="00A24A1F" w:rsidP="00A24A1F"/>
    <w:p w:rsidR="00835B01" w:rsidRDefault="00A24A1F" w:rsidP="00A24A1F">
      <w:r>
        <w:t>In our view this solution would give a more accurate and complete result of commodity derivatives ‘traded in the EU’ and it would overcome the issue that one of both the Clearing Members may not be subject to EMIR reporting.</w:t>
      </w:r>
    </w:p>
    <w:permEnd w:id="174220891"/>
    <w:p w:rsidR="00835B01" w:rsidRDefault="00835B01" w:rsidP="00835B01">
      <w:r>
        <w:t>&lt;ESMA_QUESTION_DMPA_19&gt;</w:t>
      </w:r>
    </w:p>
    <w:p w:rsidR="00835B01" w:rsidRDefault="00835B01" w:rsidP="00835B01"/>
    <w:p w:rsidR="00835B01" w:rsidRDefault="00835B01" w:rsidP="00835B01">
      <w:pPr>
        <w:pStyle w:val="Questionstyle"/>
        <w:numPr>
          <w:ilvl w:val="0"/>
          <w:numId w:val="53"/>
        </w:numPr>
      </w:pPr>
      <w:r>
        <w:t>Is there any issue that could potentially prevent TRs from performing aggregation on classes of commodity derivatives on historical data reported before the date of application of the amended TS on reporting? Please provide concrete examples.</w:t>
      </w:r>
    </w:p>
    <w:p w:rsidR="00835B01" w:rsidRDefault="00835B01" w:rsidP="00835B01">
      <w:r>
        <w:t>&lt;ESMA_QUESTION_DMPA_20&gt;</w:t>
      </w:r>
    </w:p>
    <w:p w:rsidR="00A24A1F" w:rsidRDefault="00A24A1F" w:rsidP="00A24A1F">
      <w:pPr>
        <w:spacing w:after="305"/>
      </w:pPr>
      <w:permStart w:id="35353350" w:edGrp="everyone"/>
      <w:r>
        <w:t>We partially agree with the approach proposed and we would like ESMA to take into account some co</w:t>
      </w:r>
      <w:r>
        <w:t>n</w:t>
      </w:r>
      <w:r>
        <w:t>siderations and proposed solutions.</w:t>
      </w:r>
    </w:p>
    <w:p w:rsidR="00A24A1F" w:rsidRPr="00632B78" w:rsidRDefault="00A24A1F" w:rsidP="00A24A1F">
      <w:pPr>
        <w:spacing w:after="305"/>
        <w:rPr>
          <w:b/>
        </w:rPr>
      </w:pPr>
      <w:r w:rsidRPr="00632B78">
        <w:rPr>
          <w:b/>
        </w:rPr>
        <w:t>Non-EEA trades</w:t>
      </w:r>
    </w:p>
    <w:p w:rsidR="00A24A1F" w:rsidRDefault="00A24A1F" w:rsidP="00A24A1F">
      <w:r>
        <w:t>ESMA requires that the transactions concluded on non-EEA venues should be provided in a separate aggregation. ESMA also considers that this classification “is independent from the fact whether the venue is covered by an equivalence decision of the Commission or not”.</w:t>
      </w:r>
    </w:p>
    <w:p w:rsidR="00A24A1F" w:rsidRDefault="00A24A1F" w:rsidP="00A24A1F"/>
    <w:p w:rsidR="00A24A1F" w:rsidRDefault="00A24A1F" w:rsidP="00A24A1F">
      <w:r>
        <w:t xml:space="preserve">From the CP it is unclear if the intention of ESMA is to consider such transactions, which are reported by persons established in the EU, as part of the market size. Also it is clear that in this way ESMA would have only part of what is exchanged on such markets therefore very partial.  </w:t>
      </w:r>
    </w:p>
    <w:p w:rsidR="00A24A1F" w:rsidRDefault="00A24A1F" w:rsidP="00A24A1F"/>
    <w:p w:rsidR="00A24A1F" w:rsidRDefault="00A24A1F" w:rsidP="00A24A1F">
      <w:r w:rsidRPr="00D63C81">
        <w:t xml:space="preserve">The clear wording </w:t>
      </w:r>
      <w:r>
        <w:t>of RTS20 provides under article 2.2,</w:t>
      </w:r>
      <w:r w:rsidRPr="00D63C81">
        <w:t xml:space="preserve"> first and second subpara</w:t>
      </w:r>
      <w:r>
        <w:t xml:space="preserve">graph </w:t>
      </w:r>
      <w:r w:rsidRPr="00D63C81">
        <w:t xml:space="preserve">that this test is calculated based on </w:t>
      </w:r>
      <w:r>
        <w:t xml:space="preserve">trading </w:t>
      </w:r>
      <w:r w:rsidRPr="00D63C81">
        <w:t xml:space="preserve">activities </w:t>
      </w:r>
      <w:r>
        <w:t xml:space="preserve">undertaken </w:t>
      </w:r>
      <w:r w:rsidRPr="00D63C81">
        <w:t>“</w:t>
      </w:r>
      <w:r w:rsidRPr="00D63C81">
        <w:rPr>
          <w:i/>
        </w:rPr>
        <w:t>in the Union</w:t>
      </w:r>
      <w:r w:rsidRPr="00D63C81">
        <w:t xml:space="preserve">”. </w:t>
      </w:r>
      <w:r>
        <w:t>Therefore we believe that non-EEA trades (such as trades in Singapore or the USA for example) should not be considered neither for the calculation of the market size, nor accounted by the persons testing their trading activity against the size of the market.</w:t>
      </w:r>
    </w:p>
    <w:p w:rsidR="00A24A1F" w:rsidRDefault="00A24A1F" w:rsidP="00A24A1F"/>
    <w:p w:rsidR="00A24A1F" w:rsidRPr="00B04048" w:rsidRDefault="00A24A1F" w:rsidP="00A24A1F">
      <w:pPr>
        <w:spacing w:after="305"/>
        <w:rPr>
          <w:b/>
        </w:rPr>
      </w:pPr>
      <w:r w:rsidRPr="00B04048">
        <w:rPr>
          <w:b/>
        </w:rPr>
        <w:t>Single and dual-sided EEA trades</w:t>
      </w:r>
    </w:p>
    <w:p w:rsidR="00A24A1F" w:rsidRPr="00B04048" w:rsidRDefault="00A24A1F" w:rsidP="00A24A1F">
      <w:r w:rsidRPr="00B04048">
        <w:t>ESMA requires the division per dual-sided and single-sided EEA and non-EEA trades. ESMA motivates this granularity “to avoid double counting of trades that are reported by both contractual sides” (point 100).</w:t>
      </w:r>
    </w:p>
    <w:p w:rsidR="00835B01" w:rsidRDefault="00A24A1F" w:rsidP="00A24A1F">
      <w:r w:rsidRPr="00B04048">
        <w:lastRenderedPageBreak/>
        <w:t>We do not agree with this later comment and we recall our comments and example in response to Q19 (aggregation requirement). It is essential that persons comparing their trading activities with the market size are required to compare consistent figures.</w:t>
      </w:r>
    </w:p>
    <w:permEnd w:id="35353350"/>
    <w:p w:rsidR="00835B01" w:rsidRDefault="00835B01" w:rsidP="00835B01">
      <w:r>
        <w:t>&lt;ESMA_QUESTION_DMPA_20&gt;</w:t>
      </w:r>
    </w:p>
    <w:p w:rsidR="00835B01" w:rsidRDefault="00835B01" w:rsidP="00835B01"/>
    <w:p w:rsidR="00835B01" w:rsidRDefault="00835B01" w:rsidP="00835B01">
      <w:pPr>
        <w:pStyle w:val="Questionstyle"/>
        <w:numPr>
          <w:ilvl w:val="0"/>
          <w:numId w:val="53"/>
        </w:numPr>
      </w:pPr>
      <w:r>
        <w:t>Do you foresee any issues in publishing a single aggregate figure per class of commod</w:t>
      </w:r>
      <w:r>
        <w:t>i</w:t>
      </w:r>
      <w:r>
        <w:t>ty derivative and a TR in accordance with the aforementioned rules?</w:t>
      </w:r>
    </w:p>
    <w:p w:rsidR="00835B01" w:rsidRDefault="00835B01" w:rsidP="00835B01">
      <w:r>
        <w:t>&lt;ESMA_QUESTION_DMPA_21&gt;</w:t>
      </w:r>
    </w:p>
    <w:p w:rsidR="00A24A1F" w:rsidRDefault="00A24A1F" w:rsidP="00A24A1F">
      <w:permStart w:id="895317351" w:edGrp="everyone"/>
      <w:r>
        <w:t>We understand that ESMA is aware of the data quality issues related to EMIR reporting and that these are being gradually addressed. We also understand that there are specific reporting fields under EMIR tec</w:t>
      </w:r>
      <w:r>
        <w:t>h</w:t>
      </w:r>
      <w:r>
        <w:t xml:space="preserve">nical standards to identify the </w:t>
      </w:r>
      <w:r w:rsidRPr="001D1DE5">
        <w:t xml:space="preserve">relevant commodity </w:t>
      </w:r>
      <w:r>
        <w:t xml:space="preserve">base (field 45) and commodity details (field 46). </w:t>
      </w:r>
    </w:p>
    <w:p w:rsidR="00A24A1F" w:rsidRDefault="00A24A1F" w:rsidP="00A24A1F"/>
    <w:p w:rsidR="00A24A1F" w:rsidRDefault="00A24A1F" w:rsidP="00A24A1F">
      <w:r>
        <w:t>However these fields were not mandatory under level 1 validation rules (Dec-14) and have been made mandatory fields for commodity derivatives only under Level 2 validation rules</w:t>
      </w:r>
      <w:r w:rsidRPr="00632B78">
        <w:rPr>
          <w:vertAlign w:val="superscript"/>
        </w:rPr>
        <w:footnoteReference w:id="5"/>
      </w:r>
      <w:r>
        <w:t xml:space="preserve"> starting from November 2015. Therefore we have reason to believe that quality of the data collected by Trade Repositories for the year 2015 may not be sufficiently reliable to ensure correct aggregation. </w:t>
      </w:r>
    </w:p>
    <w:p w:rsidR="00A24A1F" w:rsidRDefault="00A24A1F" w:rsidP="00A24A1F"/>
    <w:p w:rsidR="00A24A1F" w:rsidRDefault="00A24A1F" w:rsidP="00A24A1F">
      <w:r>
        <w:t>For the years 2016 onwards there is a need for ESMA to be involved in the verification of the data pu</w:t>
      </w:r>
      <w:r>
        <w:t>b</w:t>
      </w:r>
      <w:r>
        <w:t xml:space="preserve">lished by the TRs for the purposes of RTS 20 of MiFID II. </w:t>
      </w:r>
    </w:p>
    <w:p w:rsidR="00A24A1F" w:rsidRDefault="00A24A1F" w:rsidP="00A24A1F">
      <w:pPr>
        <w:rPr>
          <w:lang w:val="en-US"/>
        </w:rPr>
      </w:pPr>
    </w:p>
    <w:p w:rsidR="00A24A1F" w:rsidRDefault="00A24A1F" w:rsidP="00A24A1F">
      <w:r w:rsidRPr="003843A2">
        <w:rPr>
          <w:lang w:val="en-US"/>
        </w:rPr>
        <w:t xml:space="preserve">It has been stated by ESMA and the European Commission that the data being reported </w:t>
      </w:r>
      <w:r>
        <w:rPr>
          <w:lang w:val="en-US"/>
        </w:rPr>
        <w:t>to</w:t>
      </w:r>
      <w:r w:rsidRPr="003843A2">
        <w:rPr>
          <w:lang w:val="en-US"/>
        </w:rPr>
        <w:t xml:space="preserve"> TRs is of inconsistent quality. </w:t>
      </w:r>
      <w:r>
        <w:t>As a result there is a need for ESMA to monitor and intervene in these reporting processes before it delegates all accountability to the TRs and focuses only on an aggregation function as requested in the answer to Q.19.</w:t>
      </w:r>
    </w:p>
    <w:p w:rsidR="00A24A1F" w:rsidRDefault="00A24A1F" w:rsidP="00A24A1F"/>
    <w:p w:rsidR="00A24A1F" w:rsidRDefault="00A24A1F" w:rsidP="00A24A1F">
      <w:r>
        <w:t>To this end we believe that ESMA should be open to consider data from industry sources for the asses</w:t>
      </w:r>
      <w:r>
        <w:t>s</w:t>
      </w:r>
      <w:r>
        <w:t>ment of the size of ETD markets for the ancillary activity exemption and especially until the new validation rules will become effective</w:t>
      </w:r>
      <w:proofErr w:type="gramStart"/>
      <w:r>
        <w:t>..</w:t>
      </w:r>
      <w:proofErr w:type="gramEnd"/>
    </w:p>
    <w:p w:rsidR="00A24A1F" w:rsidRDefault="00A24A1F" w:rsidP="00A24A1F"/>
    <w:p w:rsidR="00A24A1F" w:rsidRDefault="00A24A1F" w:rsidP="00A24A1F">
      <w:r>
        <w:t xml:space="preserve">More generally it is insufficient for data to be published without any indication of its quality. ESMA should design a set of metrics that will provide a transparent view of the quality of the data being reported by all of the contributors to this process so that key issues can be resolved. This data should not be used for the purposes of MiFID until a minimum level of accuracy is proven. </w:t>
      </w:r>
    </w:p>
    <w:p w:rsidR="00A24A1F" w:rsidRDefault="00A24A1F" w:rsidP="00A24A1F"/>
    <w:p w:rsidR="00835B01" w:rsidRDefault="00A24A1F" w:rsidP="00835B01">
      <w:r>
        <w:t>It will not be in keeping with the mandate of ESMA to delegate all responsibility to the TRs without first ensuring that the data to be used for the purposes of MiFID is robust and will provide the intended regul</w:t>
      </w:r>
      <w:r>
        <w:t>a</w:t>
      </w:r>
      <w:r>
        <w:t>tory outcomes.</w:t>
      </w:r>
    </w:p>
    <w:permEnd w:id="895317351"/>
    <w:p w:rsidR="00835B01" w:rsidRDefault="00835B01" w:rsidP="00835B01">
      <w:r>
        <w:t>&lt;ESMA_QUESTION_DMPA_21&gt;</w:t>
      </w:r>
    </w:p>
    <w:p w:rsidR="00835B01" w:rsidRDefault="00835B01" w:rsidP="00835B01"/>
    <w:p w:rsidR="00835B01" w:rsidRDefault="00835B01" w:rsidP="00835B01">
      <w:pPr>
        <w:pStyle w:val="Questionstyle"/>
        <w:numPr>
          <w:ilvl w:val="0"/>
          <w:numId w:val="53"/>
        </w:numPr>
      </w:pPr>
      <w:r>
        <w:t xml:space="preserve">Which alternative, weekly or lower </w:t>
      </w:r>
      <w:proofErr w:type="gramStart"/>
      <w:r>
        <w:t>frequency,</w:t>
      </w:r>
      <w:proofErr w:type="gramEnd"/>
      <w:r>
        <w:t xml:space="preserve"> is more accurate and useful to the ent</w:t>
      </w:r>
      <w:r>
        <w:t>i</w:t>
      </w:r>
      <w:r>
        <w:t>ties relying on the data? What are the potential costs and benefits of aligning the frequency of publication of commodity derivatives data with other data aggregations? Please elaborate on the reasons for your response.</w:t>
      </w:r>
    </w:p>
    <w:p w:rsidR="00835B01" w:rsidRDefault="00835B01" w:rsidP="00835B01">
      <w:r>
        <w:t>&lt;ESMA_QUESTION_DMPA_22&gt;</w:t>
      </w:r>
    </w:p>
    <w:p w:rsidR="00835B01" w:rsidRDefault="00A24A1F" w:rsidP="00835B01">
      <w:permStart w:id="1278963964" w:edGrp="everyone"/>
      <w:r>
        <w:t>Yes, as replied to Q19 we believe that ESMA should take the accountability for the publication of the data for the reasons explained in above.</w:t>
      </w:r>
    </w:p>
    <w:permEnd w:id="1278963964"/>
    <w:p w:rsidR="00835B01" w:rsidRDefault="00835B01" w:rsidP="00835B01">
      <w:r>
        <w:t>&lt;ESMA_QUESTION_DMPA_22&gt;</w:t>
      </w:r>
    </w:p>
    <w:p w:rsidR="00835B01" w:rsidRDefault="00835B01" w:rsidP="00835B01"/>
    <w:p w:rsidR="00835B01" w:rsidRDefault="00835B01" w:rsidP="00835B01">
      <w:pPr>
        <w:pStyle w:val="Questionstyle"/>
        <w:numPr>
          <w:ilvl w:val="0"/>
          <w:numId w:val="53"/>
        </w:numPr>
      </w:pPr>
      <w:r>
        <w:lastRenderedPageBreak/>
        <w:t>Are there any other types of derivatives than those mentioned in paragraph 117 that need to be taken into account in order to provide more comprehensive aggregations of deriv</w:t>
      </w:r>
      <w:r>
        <w:t>a</w:t>
      </w:r>
      <w:r>
        <w:t>tives that reference indexes? Please provide concrete examples. Please elaborate.</w:t>
      </w:r>
    </w:p>
    <w:p w:rsidR="00835B01" w:rsidRDefault="00835B01" w:rsidP="00835B01">
      <w:r>
        <w:t>&lt;ESMA_QUESTION_DMPA_23&gt;</w:t>
      </w:r>
    </w:p>
    <w:p w:rsidR="00A24A1F" w:rsidRDefault="00A24A1F" w:rsidP="00A24A1F">
      <w:permStart w:id="2132818333" w:edGrp="everyone"/>
      <w:r>
        <w:t xml:space="preserve">The requirement under the RTS 20 is that the </w:t>
      </w:r>
      <w:r w:rsidRPr="00F03948">
        <w:t>calculations shall be carried out annually in the first quarter of the calendar year that follows an annual calculation period</w:t>
      </w:r>
      <w:r>
        <w:t>.</w:t>
      </w:r>
    </w:p>
    <w:p w:rsidR="00A24A1F" w:rsidRDefault="00A24A1F" w:rsidP="00A24A1F"/>
    <w:p w:rsidR="00A24A1F" w:rsidRDefault="00A24A1F" w:rsidP="00A24A1F">
      <w:r>
        <w:t xml:space="preserve">Therefore we believe that a weekly publication by ESMA should be sufficient to offer persons monitoring the ancillary activity thresholds a regular flow of data to assess their position against the market size. </w:t>
      </w:r>
    </w:p>
    <w:p w:rsidR="00A24A1F" w:rsidRDefault="00A24A1F" w:rsidP="00A24A1F"/>
    <w:p w:rsidR="00A24A1F" w:rsidRDefault="00A24A1F" w:rsidP="00A24A1F">
      <w:r>
        <w:t xml:space="preserve">However, differently from what mentioned in the CP, the RTS20 published on 1 December 2016 identify the first three-annual period starting from January 2015. In addition, the period for which ESMA or the TRs should made available data is up to 156 weeks, therefore not a period of two but three years of activity. </w:t>
      </w:r>
    </w:p>
    <w:p w:rsidR="00A24A1F" w:rsidRDefault="00A24A1F" w:rsidP="00A24A1F"/>
    <w:p w:rsidR="00A24A1F" w:rsidRDefault="00A24A1F" w:rsidP="00A24A1F">
      <w:r>
        <w:t xml:space="preserve">In addition the weekly reports should not be restricted to one report per TR. There should be one weekly report published that aggregates all TR data and annual and tri-annual reporting on the same basis in order to support the requirements of RTS 20. </w:t>
      </w:r>
    </w:p>
    <w:p w:rsidR="00A24A1F" w:rsidRDefault="00A24A1F" w:rsidP="00A24A1F"/>
    <w:p w:rsidR="00835B01" w:rsidRDefault="00A24A1F" w:rsidP="00A24A1F">
      <w:r>
        <w:t>Finally ESMA does not propose a starting point for the publication of the aggregated figures which is concerning and should be clarified shortly after the closing of this consultation period.</w:t>
      </w:r>
    </w:p>
    <w:permEnd w:id="2132818333"/>
    <w:p w:rsidR="00835B01" w:rsidRDefault="00835B01" w:rsidP="00835B01">
      <w:r>
        <w:t>&lt;ESMA_QUESTION_DMPA_23&gt;</w:t>
      </w:r>
    </w:p>
    <w:p w:rsidR="00835B01" w:rsidRDefault="00835B01" w:rsidP="00835B01"/>
    <w:p w:rsidR="00835B01" w:rsidRDefault="00835B01" w:rsidP="00835B01">
      <w:pPr>
        <w:pStyle w:val="Questionstyle"/>
        <w:numPr>
          <w:ilvl w:val="0"/>
          <w:numId w:val="53"/>
        </w:numPr>
      </w:pPr>
      <w:r>
        <w:t>What practical issues would you foresee in aggregating data on interest rate indexes? What mechanisms should be put in place to ensure that a TR is in a possession of accurate re</w:t>
      </w:r>
      <w:r>
        <w:t>f</w:t>
      </w:r>
      <w:r>
        <w:t>erence data to identify derivatives that have an underlying interest rate index? How the obje</w:t>
      </w:r>
      <w:r>
        <w:t>c</w:t>
      </w:r>
      <w:r>
        <w:t>tive of publishing accurate aggregations can be achieved in the most efficient way? Please elaborate</w:t>
      </w:r>
    </w:p>
    <w:p w:rsidR="00835B01" w:rsidRDefault="00835B01" w:rsidP="00835B01">
      <w:r>
        <w:t>&lt;ESMA_QUESTION_DMPA_24&gt;</w:t>
      </w:r>
    </w:p>
    <w:p w:rsidR="00835B01" w:rsidRDefault="00835B01" w:rsidP="00835B01">
      <w:permStart w:id="1455567810" w:edGrp="everyone"/>
      <w:r>
        <w:t>TYPE YOUR TEXT HERE</w:t>
      </w:r>
    </w:p>
    <w:permEnd w:id="1455567810"/>
    <w:p w:rsidR="00835B01" w:rsidRDefault="00835B01" w:rsidP="00835B01">
      <w:r>
        <w:t>&lt;ESMA_QUESTION_DMPA_24&gt;</w:t>
      </w:r>
    </w:p>
    <w:p w:rsidR="00835B01" w:rsidRDefault="00835B01" w:rsidP="00835B01"/>
    <w:p w:rsidR="00835B01" w:rsidRDefault="00835B01" w:rsidP="00835B01">
      <w:pPr>
        <w:pStyle w:val="Questionstyle"/>
        <w:numPr>
          <w:ilvl w:val="0"/>
          <w:numId w:val="53"/>
        </w:numPr>
      </w:pPr>
      <w:r>
        <w:t>Do you consider this approach feasible? What type of information should be provided by the benchmark administrators? Which other entities should be involved in the reference data collection? How timely should be the provision of reference data to update the ISO 20022 data catalogue? What are the potential costs of such solution? Please elaborate.</w:t>
      </w:r>
    </w:p>
    <w:p w:rsidR="00835B01" w:rsidRDefault="00835B01" w:rsidP="00835B01">
      <w:r>
        <w:t>&lt;ESMA_QUESTION_DMPA_25&gt;</w:t>
      </w:r>
    </w:p>
    <w:p w:rsidR="00835B01" w:rsidRDefault="00835B01" w:rsidP="00835B01">
      <w:permStart w:id="1325542347" w:edGrp="everyone"/>
      <w:r>
        <w:t>TYPE YOUR TEXT HERE</w:t>
      </w:r>
    </w:p>
    <w:permEnd w:id="1325542347"/>
    <w:p w:rsidR="00835B01" w:rsidRDefault="00835B01" w:rsidP="00835B01">
      <w:r>
        <w:t>&lt;ESMA_QUESTION_DMPA_25&gt;</w:t>
      </w:r>
    </w:p>
    <w:p w:rsidR="00835B01" w:rsidRDefault="00835B01" w:rsidP="00835B01"/>
    <w:p w:rsidR="00835B01" w:rsidRDefault="00835B01" w:rsidP="00835B01">
      <w:pPr>
        <w:pStyle w:val="Questionstyle"/>
        <w:numPr>
          <w:ilvl w:val="0"/>
          <w:numId w:val="53"/>
        </w:numPr>
      </w:pPr>
      <w:r>
        <w:t>What alternative solutions are available? Please elaborate.</w:t>
      </w:r>
    </w:p>
    <w:p w:rsidR="00835B01" w:rsidRDefault="00835B01" w:rsidP="00835B01">
      <w:r>
        <w:t>&lt;ESMA_QUESTION_DMPA_26&gt;</w:t>
      </w:r>
    </w:p>
    <w:p w:rsidR="00835B01" w:rsidRDefault="00835B01" w:rsidP="00835B01">
      <w:permStart w:id="763582096" w:edGrp="everyone"/>
      <w:r>
        <w:t>TYPE YOUR TEXT HERE</w:t>
      </w:r>
    </w:p>
    <w:permEnd w:id="763582096"/>
    <w:p w:rsidR="00835B01" w:rsidRDefault="00835B01" w:rsidP="00835B01">
      <w:r>
        <w:t>&lt;ESMA_QUESTION_DMPA_26&gt;</w:t>
      </w:r>
    </w:p>
    <w:p w:rsidR="00835B01" w:rsidRDefault="00835B01" w:rsidP="00835B01"/>
    <w:p w:rsidR="00835B01" w:rsidRDefault="00835B01" w:rsidP="00835B01">
      <w:pPr>
        <w:pStyle w:val="Questionstyle"/>
        <w:numPr>
          <w:ilvl w:val="0"/>
          <w:numId w:val="53"/>
        </w:numPr>
      </w:pPr>
      <w:r>
        <w:t>Do you foresee any difficulties in implementing the suggested approach on data aggr</w:t>
      </w:r>
      <w:r>
        <w:t>e</w:t>
      </w:r>
      <w:r>
        <w:t>gation in the case of baskets? Please elaborate on the reasons for your response.</w:t>
      </w:r>
    </w:p>
    <w:p w:rsidR="00835B01" w:rsidRDefault="00835B01" w:rsidP="00835B01">
      <w:r>
        <w:t>&lt;ESMA_QUESTION_DMPA_27&gt;</w:t>
      </w:r>
    </w:p>
    <w:p w:rsidR="00835B01" w:rsidRDefault="00835B01" w:rsidP="00835B01">
      <w:permStart w:id="922565566" w:edGrp="everyone"/>
      <w:r>
        <w:lastRenderedPageBreak/>
        <w:t>TYPE YOUR TEXT HERE</w:t>
      </w:r>
    </w:p>
    <w:permEnd w:id="922565566"/>
    <w:p w:rsidR="00835B01" w:rsidRDefault="00835B01" w:rsidP="00835B01">
      <w:r>
        <w:t>&lt;ESMA_QUESTION_DMPA_27&gt;</w:t>
      </w:r>
    </w:p>
    <w:p w:rsidR="00835B01" w:rsidRDefault="00835B01" w:rsidP="00835B01"/>
    <w:p w:rsidR="00835B01" w:rsidRDefault="00835B01" w:rsidP="00835B01">
      <w:pPr>
        <w:pStyle w:val="Questionstyle"/>
        <w:numPr>
          <w:ilvl w:val="0"/>
          <w:numId w:val="53"/>
        </w:numPr>
      </w:pPr>
      <w:r>
        <w:t>Is the limit of 5 billion EUR per index and TR, where there are at least 6 different cou</w:t>
      </w:r>
      <w:r>
        <w:t>n</w:t>
      </w:r>
      <w:r>
        <w:t>terparties to trades, sufficient to provide the sufficient transparency over those transactions, while not undermining the confidentiality of the data? Please elaborate on the reasons for your response.</w:t>
      </w:r>
    </w:p>
    <w:p w:rsidR="00835B01" w:rsidRDefault="00835B01" w:rsidP="00835B01">
      <w:r>
        <w:t>&lt;ESMA_QUESTION_DMPA_28&gt;</w:t>
      </w:r>
    </w:p>
    <w:p w:rsidR="00835B01" w:rsidRDefault="00835B01" w:rsidP="00835B01">
      <w:permStart w:id="1330992278" w:edGrp="everyone"/>
      <w:r>
        <w:t>TYPE YOUR TEXT HERE</w:t>
      </w:r>
    </w:p>
    <w:permEnd w:id="1330992278"/>
    <w:p w:rsidR="00835B01" w:rsidRDefault="00835B01" w:rsidP="00835B01">
      <w:r>
        <w:t>&lt;ESMA_QUESTION_DMPA_28&gt;</w:t>
      </w:r>
    </w:p>
    <w:p w:rsidR="00835B01" w:rsidRDefault="00835B01" w:rsidP="00835B01"/>
    <w:p w:rsidR="00835B01" w:rsidRPr="00943DDF" w:rsidRDefault="00835B01" w:rsidP="00835B01">
      <w:pPr>
        <w:pStyle w:val="Questionstyle"/>
        <w:numPr>
          <w:ilvl w:val="0"/>
          <w:numId w:val="53"/>
        </w:numPr>
      </w:pPr>
      <w:r>
        <w:t>Do you foresee any issues in publishing a single aggregate figure per index and a TR in accordance with the aforementioned rules?</w:t>
      </w:r>
    </w:p>
    <w:p w:rsidR="00835B01" w:rsidRDefault="00835B01" w:rsidP="00835B01">
      <w:r>
        <w:t>&lt;ESMA_QUESTION_DMPA_29&gt;</w:t>
      </w:r>
    </w:p>
    <w:p w:rsidR="00835B01" w:rsidRDefault="00835B01" w:rsidP="00835B01">
      <w:permStart w:id="718879685" w:edGrp="everyone"/>
      <w:r>
        <w:t>TYPE YOUR TEXT HERE</w:t>
      </w:r>
    </w:p>
    <w:permEnd w:id="718879685"/>
    <w:p w:rsidR="00835B01" w:rsidRDefault="00835B01" w:rsidP="00835B01">
      <w:r>
        <w:t>&lt;ESMA_QUESTION_DMPA_29&gt;</w:t>
      </w:r>
    </w:p>
    <w:p w:rsidR="00835B01" w:rsidRDefault="00835B01" w:rsidP="00835B01"/>
    <w:p w:rsidR="00835B01" w:rsidRDefault="00835B01" w:rsidP="00835B01"/>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EC7" w:rsidRDefault="00BF5EC7">
      <w:r>
        <w:separator/>
      </w:r>
    </w:p>
    <w:p w:rsidR="00BF5EC7" w:rsidRDefault="00BF5EC7"/>
  </w:endnote>
  <w:endnote w:type="continuationSeparator" w:id="0">
    <w:p w:rsidR="00BF5EC7" w:rsidRDefault="00BF5EC7">
      <w:r>
        <w:continuationSeparator/>
      </w:r>
    </w:p>
    <w:p w:rsidR="00BF5EC7" w:rsidRDefault="00BF5EC7"/>
  </w:endnote>
  <w:endnote w:type="continuationNotice" w:id="1">
    <w:p w:rsidR="00BF5EC7" w:rsidRDefault="00BF5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551EA">
            <w:rPr>
              <w:rFonts w:cs="Arial"/>
              <w:noProof/>
              <w:sz w:val="22"/>
              <w:szCs w:val="22"/>
            </w:rPr>
            <w:t>3</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EC7" w:rsidRDefault="00BF5EC7">
      <w:r>
        <w:separator/>
      </w:r>
    </w:p>
    <w:p w:rsidR="00BF5EC7" w:rsidRDefault="00BF5EC7"/>
  </w:footnote>
  <w:footnote w:type="continuationSeparator" w:id="0">
    <w:p w:rsidR="00BF5EC7" w:rsidRDefault="00BF5EC7">
      <w:r>
        <w:continuationSeparator/>
      </w:r>
    </w:p>
    <w:p w:rsidR="00BF5EC7" w:rsidRDefault="00BF5EC7"/>
  </w:footnote>
  <w:footnote w:type="continuationNotice" w:id="1">
    <w:p w:rsidR="00BF5EC7" w:rsidRDefault="00BF5EC7"/>
  </w:footnote>
  <w:footnote w:id="2">
    <w:p w:rsidR="00A24A1F" w:rsidRPr="000F4B90" w:rsidRDefault="00A24A1F" w:rsidP="00A24A1F">
      <w:pPr>
        <w:pStyle w:val="FootnoteText"/>
      </w:pPr>
      <w:r>
        <w:rPr>
          <w:rStyle w:val="FootnoteReference"/>
        </w:rPr>
        <w:footnoteRef/>
      </w:r>
      <w:r>
        <w:t xml:space="preserve"> The same would apply if the buyer and the seller are also CMs</w:t>
      </w:r>
    </w:p>
  </w:footnote>
  <w:footnote w:id="3">
    <w:p w:rsidR="00A24A1F" w:rsidRPr="0044106B" w:rsidRDefault="00A24A1F" w:rsidP="00A24A1F">
      <w:pPr>
        <w:pStyle w:val="FootnoteText"/>
      </w:pPr>
      <w:r>
        <w:rPr>
          <w:rStyle w:val="FootnoteReference"/>
        </w:rPr>
        <w:footnoteRef/>
      </w:r>
      <w:r>
        <w:t xml:space="preserve"> EMIR Validation table </w:t>
      </w:r>
      <w:hyperlink r:id="rId1" w:history="1">
        <w:r w:rsidRPr="00924986">
          <w:rPr>
            <w:rStyle w:val="Hyperlink"/>
          </w:rPr>
          <w:t>https://www.esma.europa.eu/sites/default/files/library/emir_validation_table.xlsx</w:t>
        </w:r>
      </w:hyperlink>
      <w:r>
        <w:t xml:space="preserve"> </w:t>
      </w:r>
    </w:p>
  </w:footnote>
  <w:footnote w:id="4">
    <w:p w:rsidR="00A24A1F" w:rsidRPr="00962560" w:rsidRDefault="00A24A1F" w:rsidP="00A24A1F">
      <w:pPr>
        <w:pStyle w:val="FootnoteText"/>
      </w:pPr>
      <w:r>
        <w:rPr>
          <w:rStyle w:val="FootnoteReference"/>
        </w:rPr>
        <w:footnoteRef/>
      </w:r>
      <w:r>
        <w:t xml:space="preserve"> As defined in article 2(7) of EMIR i.e. ‘</w:t>
      </w:r>
      <w:r w:rsidRPr="00962560">
        <w:t>OTC derivative’ or ‘OTC derivative contract’ means a derivative contract the execution of which does not take place on a regulated market</w:t>
      </w:r>
      <w:r>
        <w:t>.</w:t>
      </w:r>
    </w:p>
  </w:footnote>
  <w:footnote w:id="5">
    <w:p w:rsidR="00A24A1F" w:rsidRPr="0044106B" w:rsidRDefault="00A24A1F" w:rsidP="00A24A1F">
      <w:pPr>
        <w:pStyle w:val="FootnoteText"/>
      </w:pPr>
      <w:r>
        <w:rPr>
          <w:rStyle w:val="FootnoteReference"/>
        </w:rPr>
        <w:footnoteRef/>
      </w:r>
      <w:r>
        <w:t xml:space="preserve"> EMIR Validation table </w:t>
      </w:r>
      <w:hyperlink r:id="rId2" w:history="1">
        <w:r w:rsidRPr="00924986">
          <w:rPr>
            <w:rStyle w:val="Hyperlink"/>
          </w:rPr>
          <w:t>https://www.esma.europa.eu/sites/default/files/library/emir_validation_table.xlsx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CA8F8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542B1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9251AC"/>
    <w:multiLevelType w:val="hybridMultilevel"/>
    <w:tmpl w:val="7E528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3916E60"/>
    <w:multiLevelType w:val="hybridMultilevel"/>
    <w:tmpl w:val="45FE883A"/>
    <w:lvl w:ilvl="0" w:tplc="49661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854D5E"/>
    <w:multiLevelType w:val="hybridMultilevel"/>
    <w:tmpl w:val="8F262C22"/>
    <w:lvl w:ilvl="0" w:tplc="0809000F">
      <w:start w:val="1"/>
      <w:numFmt w:val="decimal"/>
      <w:lvlText w:val="%1."/>
      <w:lvlJc w:val="left"/>
      <w:pPr>
        <w:ind w:left="-2322" w:hanging="720"/>
      </w:pPr>
      <w:rPr>
        <w:rFonts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1242" w:hanging="360"/>
      </w:pPr>
      <w:rPr>
        <w:rFonts w:ascii="Wingdings" w:hAnsi="Wingdings" w:hint="default"/>
      </w:rPr>
    </w:lvl>
    <w:lvl w:ilvl="3" w:tplc="08090001" w:tentative="1">
      <w:start w:val="1"/>
      <w:numFmt w:val="bullet"/>
      <w:lvlText w:val=""/>
      <w:lvlJc w:val="left"/>
      <w:pPr>
        <w:ind w:left="-522" w:hanging="360"/>
      </w:pPr>
      <w:rPr>
        <w:rFonts w:ascii="Symbol" w:hAnsi="Symbol" w:hint="default"/>
      </w:rPr>
    </w:lvl>
    <w:lvl w:ilvl="4" w:tplc="08090003" w:tentative="1">
      <w:start w:val="1"/>
      <w:numFmt w:val="bullet"/>
      <w:lvlText w:val="o"/>
      <w:lvlJc w:val="left"/>
      <w:pPr>
        <w:ind w:left="198" w:hanging="360"/>
      </w:pPr>
      <w:rPr>
        <w:rFonts w:ascii="Courier New" w:hAnsi="Courier New" w:cs="Courier New" w:hint="default"/>
      </w:rPr>
    </w:lvl>
    <w:lvl w:ilvl="5" w:tplc="08090005" w:tentative="1">
      <w:start w:val="1"/>
      <w:numFmt w:val="bullet"/>
      <w:lvlText w:val=""/>
      <w:lvlJc w:val="left"/>
      <w:pPr>
        <w:ind w:left="918" w:hanging="360"/>
      </w:pPr>
      <w:rPr>
        <w:rFonts w:ascii="Wingdings" w:hAnsi="Wingdings" w:hint="default"/>
      </w:rPr>
    </w:lvl>
    <w:lvl w:ilvl="6" w:tplc="08090001" w:tentative="1">
      <w:start w:val="1"/>
      <w:numFmt w:val="bullet"/>
      <w:lvlText w:val=""/>
      <w:lvlJc w:val="left"/>
      <w:pPr>
        <w:ind w:left="1638" w:hanging="360"/>
      </w:pPr>
      <w:rPr>
        <w:rFonts w:ascii="Symbol" w:hAnsi="Symbol" w:hint="default"/>
      </w:rPr>
    </w:lvl>
    <w:lvl w:ilvl="7" w:tplc="08090003" w:tentative="1">
      <w:start w:val="1"/>
      <w:numFmt w:val="bullet"/>
      <w:lvlText w:val="o"/>
      <w:lvlJc w:val="left"/>
      <w:pPr>
        <w:ind w:left="2358" w:hanging="360"/>
      </w:pPr>
      <w:rPr>
        <w:rFonts w:ascii="Courier New" w:hAnsi="Courier New" w:cs="Courier New" w:hint="default"/>
      </w:rPr>
    </w:lvl>
    <w:lvl w:ilvl="8" w:tplc="08090005" w:tentative="1">
      <w:start w:val="1"/>
      <w:numFmt w:val="bullet"/>
      <w:lvlText w:val=""/>
      <w:lvlJc w:val="left"/>
      <w:pPr>
        <w:ind w:left="3078" w:hanging="360"/>
      </w:pPr>
      <w:rPr>
        <w:rFonts w:ascii="Wingdings" w:hAnsi="Wingdings" w:hint="default"/>
      </w:rPr>
    </w:lvl>
  </w:abstractNum>
  <w:abstractNum w:abstractNumId="16">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0"/>
  </w:num>
  <w:num w:numId="2">
    <w:abstractNumId w:val="22"/>
  </w:num>
  <w:num w:numId="3">
    <w:abstractNumId w:val="16"/>
  </w:num>
  <w:num w:numId="4">
    <w:abstractNumId w:val="27"/>
  </w:num>
  <w:num w:numId="5">
    <w:abstractNumId w:val="29"/>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6"/>
  </w:num>
  <w:num w:numId="14">
    <w:abstractNumId w:val="26"/>
  </w:num>
  <w:num w:numId="15">
    <w:abstractNumId w:val="12"/>
  </w:num>
  <w:num w:numId="16">
    <w:abstractNumId w:val="1"/>
  </w:num>
  <w:num w:numId="17">
    <w:abstractNumId w:val="18"/>
  </w:num>
  <w:num w:numId="18">
    <w:abstractNumId w:val="19"/>
  </w:num>
  <w:num w:numId="19">
    <w:abstractNumId w:val="21"/>
  </w:num>
  <w:num w:numId="20">
    <w:abstractNumId w:val="30"/>
  </w:num>
  <w:num w:numId="21">
    <w:abstractNumId w:val="41"/>
  </w:num>
  <w:num w:numId="22">
    <w:abstractNumId w:val="28"/>
  </w:num>
  <w:num w:numId="23">
    <w:abstractNumId w:val="11"/>
  </w:num>
  <w:num w:numId="24">
    <w:abstractNumId w:val="35"/>
  </w:num>
  <w:num w:numId="25">
    <w:abstractNumId w:val="34"/>
  </w:num>
  <w:num w:numId="26">
    <w:abstractNumId w:val="23"/>
  </w:num>
  <w:num w:numId="27">
    <w:abstractNumId w:val="38"/>
  </w:num>
  <w:num w:numId="28">
    <w:abstractNumId w:val="43"/>
  </w:num>
  <w:num w:numId="29">
    <w:abstractNumId w:val="9"/>
  </w:num>
  <w:num w:numId="30">
    <w:abstractNumId w:val="4"/>
  </w:num>
  <w:num w:numId="31">
    <w:abstractNumId w:val="25"/>
  </w:num>
  <w:num w:numId="32">
    <w:abstractNumId w:val="3"/>
  </w:num>
  <w:num w:numId="33">
    <w:abstractNumId w:val="8"/>
  </w:num>
  <w:num w:numId="34">
    <w:abstractNumId w:val="24"/>
  </w:num>
  <w:num w:numId="35">
    <w:abstractNumId w:val="40"/>
  </w:num>
  <w:num w:numId="36">
    <w:abstractNumId w:val="40"/>
    <w:lvlOverride w:ilvl="0">
      <w:startOverride w:val="1"/>
    </w:lvlOverride>
  </w:num>
  <w:num w:numId="37">
    <w:abstractNumId w:val="40"/>
    <w:lvlOverride w:ilvl="0">
      <w:startOverride w:val="1"/>
    </w:lvlOverride>
  </w:num>
  <w:num w:numId="38">
    <w:abstractNumId w:val="40"/>
    <w:lvlOverride w:ilvl="0">
      <w:startOverride w:val="1"/>
    </w:lvlOverride>
  </w:num>
  <w:num w:numId="39">
    <w:abstractNumId w:val="40"/>
    <w:lvlOverride w:ilvl="0">
      <w:startOverride w:val="1"/>
    </w:lvlOverride>
  </w:num>
  <w:num w:numId="40">
    <w:abstractNumId w:val="40"/>
    <w:lvlOverride w:ilvl="0">
      <w:startOverride w:val="1"/>
    </w:lvlOverride>
  </w:num>
  <w:num w:numId="41">
    <w:abstractNumId w:val="40"/>
  </w:num>
  <w:num w:numId="42">
    <w:abstractNumId w:val="40"/>
    <w:lvlOverride w:ilvl="0">
      <w:startOverride w:val="1"/>
    </w:lvlOverride>
  </w:num>
  <w:num w:numId="43">
    <w:abstractNumId w:val="40"/>
    <w:lvlOverride w:ilvl="0">
      <w:startOverride w:val="1"/>
    </w:lvlOverride>
  </w:num>
  <w:num w:numId="44">
    <w:abstractNumId w:val="40"/>
    <w:lvlOverride w:ilvl="0">
      <w:startOverride w:val="1"/>
    </w:lvlOverride>
  </w:num>
  <w:num w:numId="45">
    <w:abstractNumId w:val="40"/>
    <w:lvlOverride w:ilvl="0">
      <w:startOverride w:val="1"/>
    </w:lvlOverride>
  </w:num>
  <w:num w:numId="46">
    <w:abstractNumId w:val="40"/>
    <w:lvlOverride w:ilvl="0">
      <w:startOverride w:val="1"/>
    </w:lvlOverride>
  </w:num>
  <w:num w:numId="47">
    <w:abstractNumId w:val="39"/>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6"/>
  </w:num>
  <w:num w:numId="53">
    <w:abstractNumId w:val="33"/>
  </w:num>
  <w:num w:numId="54">
    <w:abstractNumId w:val="2"/>
  </w:num>
  <w:num w:numId="55">
    <w:abstractNumId w:val="14"/>
  </w:num>
  <w:num w:numId="56">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2CB"/>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4DD8"/>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4A1F"/>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1EA"/>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5EC7"/>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0416"/>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library/emir_validation_table.xlsx" TargetMode="External"/><Relationship Id="rId1" Type="http://schemas.openxmlformats.org/officeDocument/2006/relationships/hyperlink" Target="https://www.esma.europa.eu/sites/default/files/library/emir_validation_table.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3421-1DD4-4345-80C7-0683985F854C}">
  <ds:schemaRefs>
    <ds:schemaRef ds:uri="http://schemas.openxmlformats.org/officeDocument/2006/bibliography"/>
  </ds:schemaRefs>
</ds:datastoreItem>
</file>

<file path=customXml/itemProps2.xml><?xml version="1.0" encoding="utf-8"?>
<ds:datastoreItem xmlns:ds="http://schemas.openxmlformats.org/officeDocument/2006/customXml" ds:itemID="{38F88B01-9EF2-4AD4-A996-C4F0CBCF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4624</Words>
  <Characters>26358</Characters>
  <Application>Microsoft Office Word</Application>
  <DocSecurity>0</DocSecurity>
  <Lines>219</Lines>
  <Paragraphs>61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30921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Maria</cp:lastModifiedBy>
  <cp:revision>2</cp:revision>
  <cp:lastPrinted>2015-02-18T11:01:00Z</cp:lastPrinted>
  <dcterms:created xsi:type="dcterms:W3CDTF">2017-02-15T17:58:00Z</dcterms:created>
  <dcterms:modified xsi:type="dcterms:W3CDTF">2017-02-15T17:58:00Z</dcterms:modified>
</cp:coreProperties>
</file>