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10931" w14:textId="134DEE26" w:rsidR="008B6C7A" w:rsidRDefault="000647B1" w:rsidP="00D70AEE">
      <w:pPr>
        <w:pStyle w:val="Date"/>
      </w:pPr>
      <w:sdt>
        <w:sdtPr>
          <w:id w:val="-1035578483"/>
          <w:placeholder>
            <w:docPart w:val="A38D8E8C6FDB4D178D2F5F8BF883C42F"/>
          </w:placeholder>
          <w:date w:fullDate="2017-01-05T00:00:00Z">
            <w:dateFormat w:val="dd MMMM yyyy"/>
            <w:lid w:val="en-GB"/>
            <w:storeMappedDataAs w:val="dateTime"/>
            <w:calendar w:val="gregorian"/>
          </w:date>
        </w:sdtPr>
        <w:sdtEndPr/>
        <w:sdtContent>
          <w:r w:rsidR="00F17173">
            <w:t>05 January 2017</w:t>
          </w:r>
        </w:sdtContent>
      </w:sdt>
    </w:p>
    <w:p w14:paraId="7123B100" w14:textId="40EA7EC1" w:rsidR="00110FB0" w:rsidRDefault="007F5DD0" w:rsidP="00110FB0">
      <w:pPr>
        <w:spacing w:after="0"/>
        <w:rPr>
          <w:rFonts w:ascii="Arial" w:hAnsi="Arial" w:cs="Arial"/>
          <w:lang w:val="en-US" w:eastAsia="en-GB"/>
        </w:rPr>
      </w:pPr>
      <w:r>
        <w:rPr>
          <w:rFonts w:ascii="Arial" w:hAnsi="Arial" w:cs="Arial"/>
          <w:lang w:val="en-US" w:eastAsia="en-GB"/>
        </w:rPr>
        <w:t>European Securities and Markets Authority</w:t>
      </w:r>
    </w:p>
    <w:p w14:paraId="0967926E" w14:textId="77777777" w:rsidR="00DE6979" w:rsidRDefault="00673A17" w:rsidP="00110FB0">
      <w:pPr>
        <w:spacing w:after="0"/>
        <w:rPr>
          <w:rFonts w:ascii="Arial" w:hAnsi="Arial" w:cs="Arial"/>
          <w:lang w:eastAsia="en-GB"/>
        </w:rPr>
      </w:pPr>
      <w:r>
        <w:rPr>
          <w:rFonts w:ascii="Arial" w:hAnsi="Arial" w:cs="Arial"/>
          <w:lang w:eastAsia="en-GB"/>
        </w:rPr>
        <w:t>103 rue de Grenelle</w:t>
      </w:r>
    </w:p>
    <w:p w14:paraId="031350DF" w14:textId="1390E14E" w:rsidR="00110FB0" w:rsidRPr="00110FB0" w:rsidRDefault="00523D4B" w:rsidP="00110FB0">
      <w:pPr>
        <w:spacing w:after="0"/>
        <w:rPr>
          <w:rFonts w:ascii="Arial" w:hAnsi="Arial" w:cs="Arial"/>
          <w:lang w:val="en-US" w:eastAsia="en-GB"/>
        </w:rPr>
      </w:pPr>
      <w:r>
        <w:rPr>
          <w:rFonts w:ascii="Arial" w:hAnsi="Arial" w:cs="Arial"/>
          <w:lang w:eastAsia="en-GB"/>
        </w:rPr>
        <w:t xml:space="preserve">75007 </w:t>
      </w:r>
      <w:r w:rsidR="007F5DD0">
        <w:rPr>
          <w:rFonts w:ascii="Arial" w:hAnsi="Arial" w:cs="Arial"/>
          <w:lang w:val="en-US" w:eastAsia="en-GB"/>
        </w:rPr>
        <w:t>Paris</w:t>
      </w:r>
    </w:p>
    <w:p w14:paraId="73FEE700" w14:textId="14DD7F92" w:rsidR="00110FB0" w:rsidRDefault="007F5DD0" w:rsidP="00110FB0">
      <w:pPr>
        <w:spacing w:after="0"/>
        <w:rPr>
          <w:rFonts w:ascii="Arial" w:hAnsi="Arial" w:cs="Arial"/>
          <w:lang w:val="en-US" w:eastAsia="en-GB"/>
        </w:rPr>
      </w:pPr>
      <w:r>
        <w:rPr>
          <w:rFonts w:ascii="Arial" w:hAnsi="Arial" w:cs="Arial"/>
          <w:lang w:val="en-US" w:eastAsia="en-GB"/>
        </w:rPr>
        <w:t>France</w:t>
      </w:r>
    </w:p>
    <w:p w14:paraId="4D347971" w14:textId="77777777" w:rsidR="00110FB0" w:rsidRPr="00110FB0" w:rsidRDefault="00110FB0" w:rsidP="00110FB0">
      <w:pPr>
        <w:spacing w:after="0"/>
        <w:rPr>
          <w:rFonts w:ascii="Arial" w:hAnsi="Arial" w:cs="Arial"/>
          <w:lang w:val="en-US" w:eastAsia="en-GB"/>
        </w:rPr>
      </w:pPr>
    </w:p>
    <w:p w14:paraId="6E9BC3A0" w14:textId="46708530" w:rsidR="00D70AEE" w:rsidRDefault="00D70AEE" w:rsidP="00090CC2">
      <w:pPr>
        <w:pStyle w:val="Salutation"/>
        <w:spacing w:before="0" w:after="0" w:line="240" w:lineRule="auto"/>
        <w:ind w:left="720" w:hanging="720"/>
        <w:rPr>
          <w:b/>
        </w:rPr>
      </w:pPr>
      <w:r w:rsidRPr="005A0EB2">
        <w:rPr>
          <w:b/>
        </w:rPr>
        <w:t xml:space="preserve">Re: </w:t>
      </w:r>
      <w:r w:rsidR="00090CC2">
        <w:rPr>
          <w:b/>
        </w:rPr>
        <w:tab/>
      </w:r>
      <w:r w:rsidR="007F5DD0">
        <w:rPr>
          <w:b/>
        </w:rPr>
        <w:t xml:space="preserve">Consultation on </w:t>
      </w:r>
      <w:r w:rsidR="00760E8B">
        <w:rPr>
          <w:b/>
        </w:rPr>
        <w:t>draft guidelines on MiFID II product governance requirements</w:t>
      </w:r>
    </w:p>
    <w:p w14:paraId="477765D1" w14:textId="195E26EC" w:rsidR="008B22B0" w:rsidRDefault="008B22B0" w:rsidP="00D70AEE">
      <w:pPr>
        <w:spacing w:after="0" w:line="240" w:lineRule="auto"/>
      </w:pPr>
    </w:p>
    <w:p w14:paraId="4C07E235" w14:textId="77777777" w:rsidR="00367F01" w:rsidRDefault="00367F01" w:rsidP="00D70AEE">
      <w:pPr>
        <w:spacing w:after="0" w:line="240" w:lineRule="auto"/>
      </w:pPr>
    </w:p>
    <w:p w14:paraId="4A89D9B1" w14:textId="147666A1" w:rsidR="008B22B0" w:rsidRPr="00D70AEE" w:rsidRDefault="008B22B0" w:rsidP="00D70AEE">
      <w:pPr>
        <w:spacing w:after="0" w:line="240" w:lineRule="auto"/>
      </w:pPr>
      <w:r>
        <w:t>Dear</w:t>
      </w:r>
      <w:r w:rsidR="001E79B4">
        <w:t xml:space="preserve"> </w:t>
      </w:r>
      <w:r w:rsidR="00BF2FB4">
        <w:t>Sir or Madam</w:t>
      </w:r>
      <w:r>
        <w:t>,</w:t>
      </w:r>
    </w:p>
    <w:p w14:paraId="2571422E" w14:textId="77777777" w:rsidR="008B6C7A" w:rsidRPr="008B6C7A" w:rsidRDefault="008B6C7A" w:rsidP="008B22B0">
      <w:pPr>
        <w:pStyle w:val="NoSpacing"/>
      </w:pPr>
    </w:p>
    <w:p w14:paraId="0504A140" w14:textId="76CBEF4A" w:rsidR="008B6C7A" w:rsidRPr="00110FB0" w:rsidRDefault="0036666F" w:rsidP="0036666F">
      <w:pPr>
        <w:autoSpaceDE w:val="0"/>
        <w:autoSpaceDN w:val="0"/>
        <w:adjustRightInd w:val="0"/>
        <w:jc w:val="both"/>
        <w:rPr>
          <w:rFonts w:ascii="Arial" w:hAnsi="Arial" w:cs="Arial"/>
          <w:lang w:val="en-US" w:eastAsia="en-GB"/>
        </w:rPr>
      </w:pPr>
      <w:r w:rsidRPr="00E72DA8">
        <w:rPr>
          <w:rFonts w:ascii="Arial" w:hAnsi="Arial" w:cs="Arial"/>
          <w:lang w:val="en-US" w:eastAsia="en-GB"/>
        </w:rPr>
        <w:t xml:space="preserve">CFA Institute appreciates the opportunity to respond to </w:t>
      </w:r>
      <w:r w:rsidR="00B019AB" w:rsidRPr="00E72DA8">
        <w:rPr>
          <w:rFonts w:ascii="Arial" w:hAnsi="Arial" w:cs="Arial"/>
          <w:lang w:val="en-US" w:eastAsia="en-GB"/>
        </w:rPr>
        <w:t xml:space="preserve">this </w:t>
      </w:r>
      <w:r w:rsidR="007F5DD0">
        <w:rPr>
          <w:rFonts w:ascii="Arial" w:hAnsi="Arial" w:cs="Arial"/>
          <w:lang w:val="en-US" w:eastAsia="en-GB"/>
        </w:rPr>
        <w:t xml:space="preserve">consultation paper on </w:t>
      </w:r>
      <w:r w:rsidR="00F2622F">
        <w:rPr>
          <w:rFonts w:ascii="Arial" w:hAnsi="Arial" w:cs="Arial"/>
          <w:lang w:val="en-US" w:eastAsia="en-GB"/>
        </w:rPr>
        <w:t>draft guidelines on MiFID II product governance requirements</w:t>
      </w:r>
      <w:r w:rsidR="007F5DD0">
        <w:rPr>
          <w:rFonts w:ascii="Arial" w:hAnsi="Arial" w:cs="Arial"/>
          <w:lang w:val="en-US" w:eastAsia="en-GB"/>
        </w:rPr>
        <w:t>.</w:t>
      </w:r>
      <w:r w:rsidR="00C20883" w:rsidRPr="00E72DA8">
        <w:t xml:space="preserve"> </w:t>
      </w:r>
    </w:p>
    <w:p w14:paraId="44099E5D" w14:textId="77777777" w:rsidR="00BF2FB4" w:rsidRDefault="008C5035" w:rsidP="00C01105">
      <w:pPr>
        <w:jc w:val="both"/>
      </w:pPr>
      <w:r w:rsidRPr="008C5035">
        <w:t>CFA Institute is the global association of investment professionals that sets the standard for professional excellence and credentials. The organization is a champion for ethical behaviour in investment markets and a respected source of knowledge in the global financial community. The end goal: to create an environment where investors’ interests come first, markets function at their best, and economies grow. CFA Institute has more than 140,000 members in 150 countries and territories, including 133,000 Chartered Financial Analyst® charterholders, and 147 member societies.</w:t>
      </w:r>
    </w:p>
    <w:p w14:paraId="36472DFB" w14:textId="77777777" w:rsidR="006B6E2B" w:rsidRDefault="00F25E84" w:rsidP="0036666F">
      <w:pPr>
        <w:jc w:val="both"/>
        <w:rPr>
          <w:b/>
        </w:rPr>
      </w:pPr>
      <w:r>
        <w:rPr>
          <w:b/>
        </w:rPr>
        <w:t>S</w:t>
      </w:r>
      <w:r w:rsidR="002C1F83" w:rsidRPr="002C1F83">
        <w:rPr>
          <w:b/>
        </w:rPr>
        <w:t>pecific</w:t>
      </w:r>
      <w:r w:rsidR="006B6E2B" w:rsidRPr="002C1F83">
        <w:rPr>
          <w:b/>
        </w:rPr>
        <w:t xml:space="preserve"> </w:t>
      </w:r>
      <w:r w:rsidR="006B6E2B">
        <w:rPr>
          <w:b/>
        </w:rPr>
        <w:t>Comments</w:t>
      </w:r>
    </w:p>
    <w:p w14:paraId="0051AD04" w14:textId="50A87C2D" w:rsidR="00C265AD" w:rsidRPr="004335BA" w:rsidRDefault="004335BA" w:rsidP="00666366">
      <w:pPr>
        <w:jc w:val="both"/>
        <w:rPr>
          <w:b/>
        </w:rPr>
      </w:pPr>
      <w:r w:rsidRPr="004335BA">
        <w:rPr>
          <w:b/>
        </w:rPr>
        <w:t>Question 1</w:t>
      </w:r>
      <w:r>
        <w:rPr>
          <w:b/>
        </w:rPr>
        <w:t xml:space="preserve"> – Do you </w:t>
      </w:r>
      <w:r w:rsidR="002C4A50">
        <w:rPr>
          <w:b/>
        </w:rPr>
        <w:t>agree on the list of categories that manufacturers should use as a basis for defining the target market for their products? If not, please explain what changes should be made to the list and why.</w:t>
      </w:r>
    </w:p>
    <w:p w14:paraId="5F9E7B59" w14:textId="1B3F8755" w:rsidR="0009624A" w:rsidRDefault="0009624A" w:rsidP="0036666F">
      <w:pPr>
        <w:jc w:val="both"/>
      </w:pPr>
      <w:r>
        <w:t xml:space="preserve">When </w:t>
      </w:r>
      <w:r w:rsidR="00FF5344">
        <w:t>identifying</w:t>
      </w:r>
      <w:r>
        <w:t xml:space="preserve"> the potential target market for their products, ESMA suggests that manufacturers consider the following categories in making this determination:</w:t>
      </w:r>
    </w:p>
    <w:p w14:paraId="6212226A" w14:textId="187BF732" w:rsidR="0009624A" w:rsidRDefault="0009624A" w:rsidP="0009624A">
      <w:pPr>
        <w:pStyle w:val="ListParagraph"/>
        <w:numPr>
          <w:ilvl w:val="0"/>
          <w:numId w:val="16"/>
        </w:numPr>
        <w:jc w:val="both"/>
      </w:pPr>
      <w:r>
        <w:t>The type of clients to whom the product is targeted (e.g. retail, professional or eligible counterparty).</w:t>
      </w:r>
    </w:p>
    <w:p w14:paraId="5DAC0726" w14:textId="477D1068" w:rsidR="0009624A" w:rsidRDefault="0009624A" w:rsidP="0009624A">
      <w:pPr>
        <w:pStyle w:val="ListParagraph"/>
        <w:numPr>
          <w:ilvl w:val="0"/>
          <w:numId w:val="16"/>
        </w:numPr>
        <w:jc w:val="both"/>
      </w:pPr>
      <w:r>
        <w:t>The knowledge and experience of the client.</w:t>
      </w:r>
    </w:p>
    <w:p w14:paraId="23EB3223" w14:textId="401F313D" w:rsidR="0009624A" w:rsidRDefault="00FF5344" w:rsidP="0009624A">
      <w:pPr>
        <w:pStyle w:val="ListParagraph"/>
        <w:numPr>
          <w:ilvl w:val="0"/>
          <w:numId w:val="16"/>
        </w:numPr>
        <w:jc w:val="both"/>
      </w:pPr>
      <w:r>
        <w:t>The financial situation of the client, in particular, their ability to bear losses.</w:t>
      </w:r>
    </w:p>
    <w:p w14:paraId="10EF1FB7" w14:textId="196B87E0" w:rsidR="0009624A" w:rsidRDefault="0009624A" w:rsidP="0009624A">
      <w:pPr>
        <w:pStyle w:val="ListParagraph"/>
        <w:numPr>
          <w:ilvl w:val="0"/>
          <w:numId w:val="16"/>
        </w:numPr>
        <w:jc w:val="both"/>
      </w:pPr>
      <w:r>
        <w:t>The risk tolerance of the client and the compat</w:t>
      </w:r>
      <w:r w:rsidR="00650288">
        <w:t>i</w:t>
      </w:r>
      <w:r>
        <w:t>bility of the risk/reward profile of the product.</w:t>
      </w:r>
    </w:p>
    <w:p w14:paraId="14860174" w14:textId="7A194545" w:rsidR="0009624A" w:rsidRDefault="0009624A" w:rsidP="0009624A">
      <w:pPr>
        <w:pStyle w:val="ListParagraph"/>
        <w:numPr>
          <w:ilvl w:val="0"/>
          <w:numId w:val="16"/>
        </w:numPr>
        <w:jc w:val="both"/>
      </w:pPr>
      <w:r>
        <w:t>The clients’ objectives</w:t>
      </w:r>
      <w:r w:rsidR="00AE4D54">
        <w:t>.</w:t>
      </w:r>
      <w:r>
        <w:t xml:space="preserve"> </w:t>
      </w:r>
    </w:p>
    <w:p w14:paraId="5D7A5CBF" w14:textId="2FE0DA2C" w:rsidR="0009624A" w:rsidRDefault="0009624A" w:rsidP="0009624A">
      <w:pPr>
        <w:pStyle w:val="ListParagraph"/>
        <w:numPr>
          <w:ilvl w:val="0"/>
          <w:numId w:val="16"/>
        </w:numPr>
        <w:jc w:val="both"/>
      </w:pPr>
      <w:r>
        <w:t>The clients’ needs</w:t>
      </w:r>
      <w:r w:rsidR="00AE4D54">
        <w:t>.</w:t>
      </w:r>
      <w:r>
        <w:t xml:space="preserve"> </w:t>
      </w:r>
    </w:p>
    <w:p w14:paraId="5624FF63" w14:textId="35161811" w:rsidR="0089252C" w:rsidRDefault="0009624A" w:rsidP="0009624A">
      <w:pPr>
        <w:jc w:val="both"/>
      </w:pPr>
      <w:r>
        <w:t xml:space="preserve">CFA Institute agrees that the six categories above comprise a holistic approach to identifying the target market. However, </w:t>
      </w:r>
      <w:r w:rsidR="0089252C">
        <w:t>we have a</w:t>
      </w:r>
      <w:r>
        <w:t xml:space="preserve"> concern that</w:t>
      </w:r>
      <w:r w:rsidR="002249AD">
        <w:t xml:space="preserve">, whilst </w:t>
      </w:r>
      <w:r>
        <w:t xml:space="preserve">these categories are suitable for distributors of </w:t>
      </w:r>
      <w:r w:rsidR="002249AD">
        <w:t>investment</w:t>
      </w:r>
      <w:r>
        <w:t xml:space="preserve"> products who have direct links with end-clients</w:t>
      </w:r>
      <w:r w:rsidR="002249AD">
        <w:t xml:space="preserve">, </w:t>
      </w:r>
      <w:r w:rsidR="00F7493F">
        <w:t>some of the criteria may</w:t>
      </w:r>
      <w:r>
        <w:t xml:space="preserve"> not</w:t>
      </w:r>
      <w:r w:rsidR="00FA10CF">
        <w:t xml:space="preserve"> be applicable for</w:t>
      </w:r>
      <w:r>
        <w:t xml:space="preserve"> manufacturers</w:t>
      </w:r>
      <w:r w:rsidR="009B5813">
        <w:t>.</w:t>
      </w:r>
      <w:r>
        <w:t xml:space="preserve"> </w:t>
      </w:r>
      <w:r w:rsidR="009B5813">
        <w:t>T</w:t>
      </w:r>
      <w:r>
        <w:t>ypically</w:t>
      </w:r>
      <w:r w:rsidR="009B5813">
        <w:t>, manufacturers</w:t>
      </w:r>
      <w:r>
        <w:t xml:space="preserve"> do not have relationships</w:t>
      </w:r>
      <w:r w:rsidR="009B5813">
        <w:t xml:space="preserve"> with end-investors and thus are not well placed to asses </w:t>
      </w:r>
      <w:r w:rsidR="00531425">
        <w:t xml:space="preserve">specific </w:t>
      </w:r>
      <w:r w:rsidR="009B5813">
        <w:t xml:space="preserve">client needs and </w:t>
      </w:r>
      <w:r w:rsidR="00A25C66">
        <w:t>circumstances</w:t>
      </w:r>
      <w:r>
        <w:t>.</w:t>
      </w:r>
      <w:r w:rsidR="006F7AD5">
        <w:t xml:space="preserve"> That does not preclude manufacturers from </w:t>
      </w:r>
      <w:r w:rsidR="00DB3F0F">
        <w:t>working with distributors to understand</w:t>
      </w:r>
      <w:r w:rsidR="006F7AD5">
        <w:t xml:space="preserve"> the typ</w:t>
      </w:r>
      <w:r w:rsidR="00CB02D4">
        <w:t>e</w:t>
      </w:r>
      <w:r w:rsidR="006F7AD5">
        <w:t xml:space="preserve"> of clients that </w:t>
      </w:r>
      <w:r w:rsidR="00365451">
        <w:t>distributors</w:t>
      </w:r>
      <w:r w:rsidR="00CB02D4">
        <w:t xml:space="preserve"> would market certain</w:t>
      </w:r>
      <w:r w:rsidR="00365451">
        <w:t xml:space="preserve"> </w:t>
      </w:r>
      <w:r w:rsidR="005B182B">
        <w:t xml:space="preserve">categories of </w:t>
      </w:r>
      <w:r w:rsidR="00365451">
        <w:t xml:space="preserve">products to, </w:t>
      </w:r>
      <w:r w:rsidR="00492618">
        <w:t>and incorporating that information into product development.</w:t>
      </w:r>
      <w:r w:rsidR="00CB02D4">
        <w:t xml:space="preserve"> </w:t>
      </w:r>
      <w:r w:rsidR="00091435">
        <w:t>This</w:t>
      </w:r>
      <w:r w:rsidR="003F20A0">
        <w:t xml:space="preserve"> approach helps to align </w:t>
      </w:r>
      <w:r w:rsidR="0005023F">
        <w:t>interests and expectations between manufacturers and distributors and supports investor protection.</w:t>
      </w:r>
      <w:r>
        <w:t xml:space="preserve"> </w:t>
      </w:r>
    </w:p>
    <w:p w14:paraId="23442E64" w14:textId="7374A21B" w:rsidR="0089252C" w:rsidRDefault="0089252C" w:rsidP="00AD10BA">
      <w:pPr>
        <w:pStyle w:val="p1"/>
      </w:pPr>
      <w:r>
        <w:rPr>
          <w:rFonts w:asciiTheme="minorHAnsi" w:hAnsiTheme="minorHAnsi" w:cstheme="minorBidi"/>
          <w:sz w:val="20"/>
          <w:szCs w:val="20"/>
          <w:lang w:eastAsia="en-US"/>
        </w:rPr>
        <w:lastRenderedPageBreak/>
        <w:t>However,</w:t>
      </w:r>
      <w:r w:rsidR="005B182B">
        <w:rPr>
          <w:rFonts w:asciiTheme="minorHAnsi" w:hAnsiTheme="minorHAnsi" w:cstheme="minorBidi"/>
          <w:sz w:val="20"/>
          <w:szCs w:val="20"/>
          <w:lang w:eastAsia="en-US"/>
        </w:rPr>
        <w:t xml:space="preserve"> on balance, </w:t>
      </w:r>
      <w:r w:rsidR="003E42BA">
        <w:rPr>
          <w:rFonts w:asciiTheme="minorHAnsi" w:hAnsiTheme="minorHAnsi" w:cstheme="minorBidi"/>
          <w:sz w:val="20"/>
          <w:szCs w:val="20"/>
          <w:lang w:eastAsia="en-US"/>
        </w:rPr>
        <w:t>we believe point</w:t>
      </w:r>
      <w:r w:rsidRPr="00402775">
        <w:rPr>
          <w:rFonts w:asciiTheme="minorHAnsi" w:hAnsiTheme="minorHAnsi" w:cstheme="minorBidi"/>
          <w:sz w:val="20"/>
          <w:szCs w:val="20"/>
          <w:lang w:eastAsia="en-US"/>
        </w:rPr>
        <w:t xml:space="preserve"> 3 (financial situation of the client</w:t>
      </w:r>
      <w:r w:rsidR="00451671">
        <w:rPr>
          <w:rFonts w:asciiTheme="minorHAnsi" w:hAnsiTheme="minorHAnsi" w:cstheme="minorBidi"/>
          <w:sz w:val="20"/>
          <w:szCs w:val="20"/>
          <w:lang w:eastAsia="en-US"/>
        </w:rPr>
        <w:t>, i.e. the ability to withstand losses</w:t>
      </w:r>
      <w:r w:rsidRPr="00402775">
        <w:rPr>
          <w:rFonts w:asciiTheme="minorHAnsi" w:hAnsiTheme="minorHAnsi" w:cstheme="minorBidi"/>
          <w:sz w:val="20"/>
          <w:szCs w:val="20"/>
          <w:lang w:eastAsia="en-US"/>
        </w:rPr>
        <w:t>), 4 (</w:t>
      </w:r>
      <w:r w:rsidR="00451671">
        <w:rPr>
          <w:rFonts w:asciiTheme="minorHAnsi" w:hAnsiTheme="minorHAnsi" w:cstheme="minorBidi"/>
          <w:sz w:val="20"/>
          <w:szCs w:val="20"/>
          <w:lang w:eastAsia="en-US"/>
        </w:rPr>
        <w:t xml:space="preserve">the </w:t>
      </w:r>
      <w:r w:rsidRPr="00402775">
        <w:rPr>
          <w:rFonts w:asciiTheme="minorHAnsi" w:hAnsiTheme="minorHAnsi" w:cstheme="minorBidi"/>
          <w:sz w:val="20"/>
          <w:szCs w:val="20"/>
          <w:lang w:eastAsia="en-US"/>
        </w:rPr>
        <w:t>risk tolerance of the client</w:t>
      </w:r>
      <w:r w:rsidR="00451671">
        <w:rPr>
          <w:rFonts w:asciiTheme="minorHAnsi" w:hAnsiTheme="minorHAnsi" w:cstheme="minorBidi"/>
          <w:sz w:val="20"/>
          <w:szCs w:val="20"/>
          <w:lang w:eastAsia="en-US"/>
        </w:rPr>
        <w:t>, i.e. t</w:t>
      </w:r>
      <w:r w:rsidR="005D4AE6">
        <w:rPr>
          <w:rFonts w:asciiTheme="minorHAnsi" w:hAnsiTheme="minorHAnsi" w:cstheme="minorBidi"/>
          <w:sz w:val="20"/>
          <w:szCs w:val="20"/>
          <w:lang w:eastAsia="en-US"/>
        </w:rPr>
        <w:t xml:space="preserve">he willingness to withstand losses), and 6 (other specific </w:t>
      </w:r>
      <w:r w:rsidRPr="00402775">
        <w:rPr>
          <w:rFonts w:asciiTheme="minorHAnsi" w:hAnsiTheme="minorHAnsi" w:cstheme="minorBidi"/>
          <w:sz w:val="20"/>
          <w:szCs w:val="20"/>
          <w:lang w:eastAsia="en-US"/>
        </w:rPr>
        <w:t xml:space="preserve">client needs) </w:t>
      </w:r>
      <w:r>
        <w:rPr>
          <w:rFonts w:asciiTheme="minorHAnsi" w:hAnsiTheme="minorHAnsi" w:cstheme="minorBidi"/>
          <w:sz w:val="20"/>
          <w:szCs w:val="20"/>
          <w:lang w:eastAsia="en-US"/>
        </w:rPr>
        <w:t>may be</w:t>
      </w:r>
      <w:r w:rsidRPr="00402775">
        <w:rPr>
          <w:rFonts w:asciiTheme="minorHAnsi" w:hAnsiTheme="minorHAnsi" w:cstheme="minorBidi"/>
          <w:sz w:val="20"/>
          <w:szCs w:val="20"/>
          <w:lang w:eastAsia="en-US"/>
        </w:rPr>
        <w:t xml:space="preserve"> too granular for a manufacturer to take into account</w:t>
      </w:r>
      <w:r w:rsidR="003E42BA">
        <w:rPr>
          <w:rFonts w:asciiTheme="minorHAnsi" w:hAnsiTheme="minorHAnsi" w:cstheme="minorBidi"/>
          <w:sz w:val="20"/>
          <w:szCs w:val="20"/>
          <w:lang w:eastAsia="en-US"/>
        </w:rPr>
        <w:t xml:space="preserve"> effectively</w:t>
      </w:r>
      <w:r w:rsidRPr="00402775">
        <w:rPr>
          <w:rFonts w:asciiTheme="minorHAnsi" w:hAnsiTheme="minorHAnsi" w:cstheme="minorBidi"/>
          <w:sz w:val="20"/>
          <w:szCs w:val="20"/>
          <w:lang w:eastAsia="en-US"/>
        </w:rPr>
        <w:t xml:space="preserve"> when designing the product. </w:t>
      </w:r>
      <w:r w:rsidR="005D4AE6">
        <w:rPr>
          <w:rFonts w:asciiTheme="minorHAnsi" w:hAnsiTheme="minorHAnsi" w:cstheme="minorBidi"/>
          <w:sz w:val="20"/>
          <w:szCs w:val="20"/>
          <w:lang w:eastAsia="en-US"/>
        </w:rPr>
        <w:t>These points can only be fully considered</w:t>
      </w:r>
      <w:r w:rsidR="0034235F">
        <w:rPr>
          <w:rFonts w:asciiTheme="minorHAnsi" w:hAnsiTheme="minorHAnsi" w:cstheme="minorBidi"/>
          <w:sz w:val="20"/>
          <w:szCs w:val="20"/>
          <w:lang w:eastAsia="en-US"/>
        </w:rPr>
        <w:t xml:space="preserve"> with detailed knowledge of</w:t>
      </w:r>
      <w:r w:rsidR="005D4AE6">
        <w:rPr>
          <w:rFonts w:asciiTheme="minorHAnsi" w:hAnsiTheme="minorHAnsi" w:cstheme="minorBidi"/>
          <w:sz w:val="20"/>
          <w:szCs w:val="20"/>
          <w:lang w:eastAsia="en-US"/>
        </w:rPr>
        <w:t xml:space="preserve"> client</w:t>
      </w:r>
      <w:r w:rsidR="00A25C66">
        <w:rPr>
          <w:rFonts w:asciiTheme="minorHAnsi" w:hAnsiTheme="minorHAnsi" w:cstheme="minorBidi"/>
          <w:sz w:val="20"/>
          <w:szCs w:val="20"/>
          <w:lang w:eastAsia="en-US"/>
        </w:rPr>
        <w:t xml:space="preserve"> </w:t>
      </w:r>
      <w:r w:rsidR="005A340C">
        <w:rPr>
          <w:rFonts w:asciiTheme="minorHAnsi" w:hAnsiTheme="minorHAnsi" w:cstheme="minorBidi"/>
          <w:sz w:val="20"/>
          <w:szCs w:val="20"/>
          <w:lang w:eastAsia="en-US"/>
        </w:rPr>
        <w:t>circumstances, a</w:t>
      </w:r>
      <w:r w:rsidR="005D4AE6">
        <w:rPr>
          <w:rFonts w:asciiTheme="minorHAnsi" w:hAnsiTheme="minorHAnsi" w:cstheme="minorBidi"/>
          <w:sz w:val="20"/>
          <w:szCs w:val="20"/>
          <w:lang w:eastAsia="en-US"/>
        </w:rPr>
        <w:t xml:space="preserve">nd </w:t>
      </w:r>
      <w:r w:rsidR="0034235F">
        <w:rPr>
          <w:rFonts w:asciiTheme="minorHAnsi" w:hAnsiTheme="minorHAnsi" w:cstheme="minorBidi"/>
          <w:sz w:val="20"/>
          <w:szCs w:val="20"/>
          <w:lang w:eastAsia="en-US"/>
        </w:rPr>
        <w:t>are therefore</w:t>
      </w:r>
      <w:r w:rsidR="005D4AE6">
        <w:rPr>
          <w:rFonts w:asciiTheme="minorHAnsi" w:hAnsiTheme="minorHAnsi" w:cstheme="minorBidi"/>
          <w:sz w:val="20"/>
          <w:szCs w:val="20"/>
          <w:lang w:eastAsia="en-US"/>
        </w:rPr>
        <w:t xml:space="preserve"> difficult for </w:t>
      </w:r>
      <w:r w:rsidR="00832EA6">
        <w:rPr>
          <w:rFonts w:asciiTheme="minorHAnsi" w:hAnsiTheme="minorHAnsi" w:cstheme="minorBidi"/>
          <w:sz w:val="20"/>
          <w:szCs w:val="20"/>
          <w:lang w:eastAsia="en-US"/>
        </w:rPr>
        <w:t>manufacturers to incorporate into their product development</w:t>
      </w:r>
      <w:r w:rsidR="0034235F">
        <w:rPr>
          <w:rFonts w:asciiTheme="minorHAnsi" w:hAnsiTheme="minorHAnsi" w:cstheme="minorBidi"/>
          <w:sz w:val="20"/>
          <w:szCs w:val="20"/>
          <w:lang w:eastAsia="en-US"/>
        </w:rPr>
        <w:t xml:space="preserve"> processes</w:t>
      </w:r>
      <w:r w:rsidR="00832EA6">
        <w:rPr>
          <w:rFonts w:asciiTheme="minorHAnsi" w:hAnsiTheme="minorHAnsi" w:cstheme="minorBidi"/>
          <w:sz w:val="20"/>
          <w:szCs w:val="20"/>
          <w:lang w:eastAsia="en-US"/>
        </w:rPr>
        <w:t xml:space="preserve">. </w:t>
      </w:r>
      <w:r w:rsidR="00954A7C">
        <w:rPr>
          <w:rFonts w:asciiTheme="minorHAnsi" w:hAnsiTheme="minorHAnsi" w:cstheme="minorBidi"/>
          <w:sz w:val="20"/>
          <w:szCs w:val="20"/>
          <w:lang w:eastAsia="en-US"/>
        </w:rPr>
        <w:t>Furthermore, d</w:t>
      </w:r>
      <w:r w:rsidRPr="00402775">
        <w:rPr>
          <w:rFonts w:asciiTheme="minorHAnsi" w:hAnsiTheme="minorHAnsi" w:cstheme="minorBidi"/>
          <w:sz w:val="20"/>
          <w:szCs w:val="20"/>
          <w:lang w:eastAsia="en-US"/>
        </w:rPr>
        <w:t xml:space="preserve">iscussions with investment professionals have revealed that the risk tolerance of a client can meaningfully differ from their ex-ante stated ability to sustain a loss, and </w:t>
      </w:r>
      <w:r w:rsidR="00954A7C">
        <w:rPr>
          <w:rFonts w:asciiTheme="minorHAnsi" w:hAnsiTheme="minorHAnsi" w:cstheme="minorBidi"/>
          <w:sz w:val="20"/>
          <w:szCs w:val="20"/>
          <w:lang w:eastAsia="en-US"/>
        </w:rPr>
        <w:t xml:space="preserve">can </w:t>
      </w:r>
      <w:r w:rsidRPr="00402775">
        <w:rPr>
          <w:rFonts w:asciiTheme="minorHAnsi" w:hAnsiTheme="minorHAnsi" w:cstheme="minorBidi"/>
          <w:sz w:val="20"/>
          <w:szCs w:val="20"/>
          <w:lang w:eastAsia="en-US"/>
        </w:rPr>
        <w:t>evolve over time depending on changes in their private, professional or financial situation</w:t>
      </w:r>
      <w:r w:rsidR="00832EA6">
        <w:rPr>
          <w:rFonts w:asciiTheme="minorHAnsi" w:hAnsiTheme="minorHAnsi" w:cstheme="minorBidi"/>
          <w:sz w:val="20"/>
          <w:szCs w:val="20"/>
          <w:lang w:eastAsia="en-US"/>
        </w:rPr>
        <w:t>, implying that only advisers can truly understand the individual needs and nuances of the end-client.</w:t>
      </w:r>
      <w:r>
        <w:rPr>
          <w:rFonts w:asciiTheme="minorHAnsi" w:hAnsiTheme="minorHAnsi" w:cstheme="minorBidi"/>
          <w:sz w:val="20"/>
          <w:szCs w:val="20"/>
          <w:lang w:eastAsia="en-US"/>
        </w:rPr>
        <w:t xml:space="preserve"> </w:t>
      </w:r>
    </w:p>
    <w:p w14:paraId="514BD7FA" w14:textId="77777777" w:rsidR="005A340C" w:rsidRPr="005A340C" w:rsidRDefault="005A340C" w:rsidP="00AD10BA">
      <w:pPr>
        <w:pStyle w:val="p1"/>
      </w:pPr>
    </w:p>
    <w:p w14:paraId="52C2B57B" w14:textId="3D0C5FB5" w:rsidR="00721222" w:rsidRDefault="0009624A" w:rsidP="0009624A">
      <w:pPr>
        <w:jc w:val="both"/>
      </w:pPr>
      <w:r>
        <w:t xml:space="preserve">ESMA does acknowledge this </w:t>
      </w:r>
      <w:r w:rsidR="00F1734A">
        <w:t>difficulty for manufacturers in its consultation paper,</w:t>
      </w:r>
      <w:r>
        <w:t xml:space="preserve"> and suggests manufacturers </w:t>
      </w:r>
      <w:r w:rsidR="0088226D">
        <w:t>use theoretical knowledge and past experience of the product</w:t>
      </w:r>
      <w:r w:rsidR="00095AC8">
        <w:t>. Nevertheless,</w:t>
      </w:r>
      <w:r w:rsidR="0088226D">
        <w:t xml:space="preserve"> we still have concerns </w:t>
      </w:r>
      <w:r w:rsidR="00095AC8">
        <w:t>about</w:t>
      </w:r>
      <w:r w:rsidR="009C2921">
        <w:t xml:space="preserve"> the </w:t>
      </w:r>
      <w:r w:rsidR="005A340C">
        <w:t xml:space="preserve">application and thus </w:t>
      </w:r>
      <w:r w:rsidR="009C2921">
        <w:t>meaningfulness of the specific points raised for manufacturers</w:t>
      </w:r>
      <w:r w:rsidR="0029409E">
        <w:t>.</w:t>
      </w:r>
      <w:r w:rsidR="004F234A">
        <w:t xml:space="preserve"> </w:t>
      </w:r>
    </w:p>
    <w:p w14:paraId="48C0EC1C" w14:textId="637B0982" w:rsidR="004335BA" w:rsidRDefault="0037036F" w:rsidP="0036666F">
      <w:pPr>
        <w:jc w:val="both"/>
      </w:pPr>
      <w:r>
        <w:t>In sum, we believe t</w:t>
      </w:r>
      <w:r w:rsidR="0088226D">
        <w:t xml:space="preserve">he design of a product, </w:t>
      </w:r>
      <w:r w:rsidR="00E478C8">
        <w:t xml:space="preserve">for a manufacturer, </w:t>
      </w:r>
      <w:r w:rsidR="0088226D">
        <w:t xml:space="preserve">should depend on a basic distinction between client types (point 1), product complexity (point 2) and the </w:t>
      </w:r>
      <w:r w:rsidR="00E24A67">
        <w:t xml:space="preserve">expected </w:t>
      </w:r>
      <w:r w:rsidR="004C6951">
        <w:t xml:space="preserve">objectives </w:t>
      </w:r>
      <w:r w:rsidR="0088226D">
        <w:t xml:space="preserve">of </w:t>
      </w:r>
      <w:r w:rsidR="004C6951">
        <w:t>potential</w:t>
      </w:r>
      <w:r w:rsidR="0088226D">
        <w:t xml:space="preserve"> </w:t>
      </w:r>
      <w:r w:rsidR="004C6951">
        <w:t>investors</w:t>
      </w:r>
      <w:r w:rsidR="0088226D">
        <w:t xml:space="preserve"> (point 5). </w:t>
      </w:r>
      <w:r w:rsidR="001D6756">
        <w:t>Risk tolerance, financial situation and client needs are</w:t>
      </w:r>
      <w:r w:rsidR="00C53751">
        <w:t>, or course,</w:t>
      </w:r>
      <w:r w:rsidR="001D6756">
        <w:t xml:space="preserve"> critical considerations</w:t>
      </w:r>
      <w:r w:rsidR="00C53751">
        <w:t xml:space="preserve">, but </w:t>
      </w:r>
      <w:r w:rsidR="001D6756">
        <w:t>are best made at the distributor level</w:t>
      </w:r>
      <w:r>
        <w:t>.</w:t>
      </w:r>
    </w:p>
    <w:p w14:paraId="7974145C" w14:textId="674D4F0C" w:rsidR="004335BA" w:rsidRDefault="004335BA" w:rsidP="0036666F">
      <w:pPr>
        <w:jc w:val="both"/>
        <w:rPr>
          <w:b/>
        </w:rPr>
      </w:pPr>
      <w:r>
        <w:rPr>
          <w:b/>
        </w:rPr>
        <w:t>Question 2</w:t>
      </w:r>
      <w:r w:rsidR="00707530">
        <w:rPr>
          <w:b/>
        </w:rPr>
        <w:t xml:space="preserve"> – </w:t>
      </w:r>
      <w:r w:rsidR="0055461A">
        <w:rPr>
          <w:b/>
        </w:rPr>
        <w:t>Do you agree with the approach proposed in paragraphs 18-20 of the draft guidelines on how to take the products’ nature into account? If not, please explain what changes should be made and why</w:t>
      </w:r>
      <w:r w:rsidR="00707530">
        <w:rPr>
          <w:b/>
        </w:rPr>
        <w:t>.</w:t>
      </w:r>
    </w:p>
    <w:p w14:paraId="7067D986" w14:textId="77777777" w:rsidR="00E91D79" w:rsidRDefault="00E80B2E" w:rsidP="0036666F">
      <w:pPr>
        <w:jc w:val="both"/>
      </w:pPr>
      <w:r>
        <w:t xml:space="preserve">Paragraphs 18-20 of the draft guidelines propose that the identification of the target market assessment should be done in “an appropriate and proportionate manner, considering the nature of the investment product.” As elaborated on in the background to the draft guidelines, this suggests that for simpler, more common products, the target market could likely be identified with less detail. </w:t>
      </w:r>
    </w:p>
    <w:p w14:paraId="331FF278" w14:textId="2EC7B680" w:rsidR="00E91D79" w:rsidRDefault="008D0AD0" w:rsidP="0036666F">
      <w:pPr>
        <w:jc w:val="both"/>
      </w:pPr>
      <w:r>
        <w:t>H</w:t>
      </w:r>
      <w:r w:rsidR="00E947FC">
        <w:t xml:space="preserve">owever, we caution that the target market assessment for seemingly </w:t>
      </w:r>
      <w:r w:rsidR="00915265">
        <w:t>non-complex</w:t>
      </w:r>
      <w:r w:rsidR="00E947FC">
        <w:t xml:space="preserve"> products </w:t>
      </w:r>
      <w:r w:rsidR="00E91D79" w:rsidRPr="00AD10BA">
        <w:t xml:space="preserve">is not always straightforward. For </w:t>
      </w:r>
      <w:r w:rsidR="00E91D79">
        <w:t>example</w:t>
      </w:r>
      <w:r w:rsidR="00E91D79" w:rsidRPr="00AD10BA">
        <w:t>,</w:t>
      </w:r>
      <w:r w:rsidR="00E52525">
        <w:t xml:space="preserve"> the </w:t>
      </w:r>
      <w:r w:rsidR="00927C81">
        <w:t>complexity of</w:t>
      </w:r>
      <w:r w:rsidR="00E91D79">
        <w:t xml:space="preserve"> a </w:t>
      </w:r>
      <w:r w:rsidR="00E91D79" w:rsidRPr="00AD10BA">
        <w:t xml:space="preserve">passive equity ETF </w:t>
      </w:r>
      <w:r w:rsidR="00915265">
        <w:t xml:space="preserve">(e.g. a UCITS) </w:t>
      </w:r>
      <w:r w:rsidR="00E91D79">
        <w:t xml:space="preserve">may depend on factors such as </w:t>
      </w:r>
      <w:r w:rsidR="00E91D79" w:rsidRPr="00AD10BA">
        <w:t xml:space="preserve">replication methodology (e.g. full replication vs. optimization), instruments </w:t>
      </w:r>
      <w:r w:rsidR="00E91D79">
        <w:t xml:space="preserve">used </w:t>
      </w:r>
      <w:r w:rsidR="00E91D79" w:rsidRPr="00AD10BA">
        <w:t xml:space="preserve">(e.g. cash equities vs. derivatives), counterparty risk </w:t>
      </w:r>
      <w:r w:rsidR="00E91D79">
        <w:t>(</w:t>
      </w:r>
      <w:r w:rsidR="00E91D79" w:rsidRPr="00AD10BA">
        <w:t>if done through derivatives</w:t>
      </w:r>
      <w:r w:rsidR="00E91D79">
        <w:t>)</w:t>
      </w:r>
      <w:r w:rsidR="00E91D79" w:rsidRPr="00AD10BA">
        <w:t xml:space="preserve">, </w:t>
      </w:r>
      <w:r w:rsidR="00E91D79">
        <w:t xml:space="preserve">the </w:t>
      </w:r>
      <w:r w:rsidR="00E91D79" w:rsidRPr="00E91D79">
        <w:t>use of leverage or</w:t>
      </w:r>
      <w:r w:rsidR="00E91D79" w:rsidRPr="00AD10BA">
        <w:t xml:space="preserve"> securities lending</w:t>
      </w:r>
      <w:r w:rsidR="00927C81">
        <w:t>,</w:t>
      </w:r>
      <w:r w:rsidR="00E91D79">
        <w:t xml:space="preserve"> and so on. </w:t>
      </w:r>
      <w:r w:rsidR="00927C81">
        <w:t xml:space="preserve">In this regard, the </w:t>
      </w:r>
      <w:r w:rsidR="007402D1">
        <w:t>aspects relating to proportionality of the target market assessment could be linked to ESMA’s guidance on complex prod</w:t>
      </w:r>
      <w:r w:rsidR="00C17DE0">
        <w:t xml:space="preserve">ucts. </w:t>
      </w:r>
    </w:p>
    <w:p w14:paraId="1CEC908B" w14:textId="4ED04D04" w:rsidR="00AB4BAD" w:rsidRDefault="00AB4BAD" w:rsidP="0036666F">
      <w:pPr>
        <w:jc w:val="both"/>
        <w:rPr>
          <w:b/>
        </w:rPr>
      </w:pPr>
      <w:r>
        <w:rPr>
          <w:b/>
        </w:rPr>
        <w:t xml:space="preserve">Question 3 – </w:t>
      </w:r>
      <w:r w:rsidR="00E80B2E">
        <w:rPr>
          <w:b/>
        </w:rPr>
        <w:t>Do you agree with the proposed method for the identification of the target market by the distributor?</w:t>
      </w:r>
    </w:p>
    <w:p w14:paraId="53F84671" w14:textId="711F7403" w:rsidR="00A1318C" w:rsidRDefault="001C74BA" w:rsidP="0036666F">
      <w:pPr>
        <w:jc w:val="both"/>
      </w:pPr>
      <w:r>
        <w:t xml:space="preserve">Under ESMA’s proposals, distributors would </w:t>
      </w:r>
      <w:r w:rsidR="00DE11C9">
        <w:t xml:space="preserve">be required to </w:t>
      </w:r>
      <w:r w:rsidR="00FF5344">
        <w:t>identify the target market using the six categories described in Question 1 as a starting point. Due to their closer relationship to clients, it is expected that distributors would be able to define the target market in a more granular way, including by using analysis of current and potential clients, as well as other data that may be useful, such as suitability questionnaires, customer relationship management activities, anti-money laundering questionnaires, and so on.</w:t>
      </w:r>
    </w:p>
    <w:p w14:paraId="5BABABD0" w14:textId="605C31DC" w:rsidR="00FF5344" w:rsidRDefault="00FF5344" w:rsidP="0036666F">
      <w:pPr>
        <w:jc w:val="both"/>
      </w:pPr>
      <w:r>
        <w:t>CFA Institute agrees with the proposed method for the identification of the target market by the distributor and reiterates its belief that distributors are better suited to this role than manufacturers. The comprehensive target market assessment expected to be carried out by dist</w:t>
      </w:r>
      <w:r w:rsidR="006D1B77">
        <w:t>ributors seems to us to justify our concerns about burdening manufacturers with detailed target market assessments summarised in the response to Question 1.</w:t>
      </w:r>
    </w:p>
    <w:p w14:paraId="1CAA1D7B" w14:textId="0E8608D5" w:rsidR="00A1318C" w:rsidRDefault="00816F5C" w:rsidP="0036666F">
      <w:pPr>
        <w:jc w:val="both"/>
        <w:rPr>
          <w:b/>
        </w:rPr>
      </w:pPr>
      <w:r>
        <w:rPr>
          <w:b/>
        </w:rPr>
        <w:lastRenderedPageBreak/>
        <w:t xml:space="preserve">Question 4 – </w:t>
      </w:r>
      <w:r w:rsidR="00E80B2E">
        <w:rPr>
          <w:b/>
        </w:rPr>
        <w:t>Do you agree with the suggested approach on hedging and portfolio diversification aspects? If not, please explain what changes should be made and why.</w:t>
      </w:r>
    </w:p>
    <w:p w14:paraId="1A81058B" w14:textId="3E33C4CE" w:rsidR="00D90255" w:rsidRDefault="00D90255" w:rsidP="0036666F">
      <w:pPr>
        <w:jc w:val="both"/>
      </w:pPr>
      <w:r>
        <w:t xml:space="preserve">ESMA notes that some products may be desirable for investors not necessarily for their own sake but in the context of a broader portfolio strategy. The target market assessment proposed by ESMA is, however, product-related and any unique features of clients should be considered at the individual point of sale. In some </w:t>
      </w:r>
      <w:r w:rsidR="00FF5344">
        <w:t>instances,</w:t>
      </w:r>
      <w:r>
        <w:t xml:space="preserve"> it may be determined that a product is suitable for investors outside the identified target market. ESMA’s proposal is to allow these deviations but notes that these should be justified by the individual facts of the case and should not occur on a regular basis. </w:t>
      </w:r>
      <w:r w:rsidR="004F4C5F">
        <w:t xml:space="preserve">Sales outside this target market should be reported to the manufacturer so that they may reconsider, if necessary, the design of the product. </w:t>
      </w:r>
    </w:p>
    <w:p w14:paraId="63392E5A" w14:textId="5EBD32EC" w:rsidR="004F4C5F" w:rsidRPr="00D90255" w:rsidRDefault="004F4C5F" w:rsidP="0036666F">
      <w:pPr>
        <w:jc w:val="both"/>
      </w:pPr>
      <w:r>
        <w:t>CFA Institute broadly agrees with this proposed approach to permitting, on a case-by-case basis, deviations from the target market. However, we note that this approach appears susceptible to abuse</w:t>
      </w:r>
      <w:r w:rsidR="007A6600">
        <w:t>. We therefore</w:t>
      </w:r>
      <w:r>
        <w:t xml:space="preserve"> suggest that a threshold be considered (e.g. an immateriality threshold) so that sales outside the target market cannot breach a certain proportion of overall sales of the product, or, cannot constitute some proportion of the investors’ invested capital.</w:t>
      </w:r>
      <w:r w:rsidR="007F6A87">
        <w:t xml:space="preserve"> </w:t>
      </w:r>
    </w:p>
    <w:p w14:paraId="537D7EAE" w14:textId="6FC43128" w:rsidR="00AC3D4B" w:rsidRDefault="00AC3D4B" w:rsidP="0036666F">
      <w:pPr>
        <w:jc w:val="both"/>
        <w:rPr>
          <w:b/>
        </w:rPr>
      </w:pPr>
      <w:r>
        <w:rPr>
          <w:b/>
        </w:rPr>
        <w:t xml:space="preserve">Question 5 – </w:t>
      </w:r>
      <w:r w:rsidR="00E80B2E">
        <w:rPr>
          <w:b/>
        </w:rPr>
        <w:t>Do you believe further guidance is needed on how distributors should apply product governance requirements for products manufactured by entities falling outside the scope of MiFID II</w:t>
      </w:r>
      <w:r>
        <w:rPr>
          <w:b/>
        </w:rPr>
        <w:t>.</w:t>
      </w:r>
    </w:p>
    <w:p w14:paraId="44897EF1" w14:textId="1B63078D" w:rsidR="00AC3D4B" w:rsidRDefault="00786DF7" w:rsidP="0036666F">
      <w:pPr>
        <w:jc w:val="both"/>
      </w:pPr>
      <w:r>
        <w:t>ESMA proposes that in cases where firms are distributing products manufactured by entities not subject to the MiFID II product governance requirements, the distributing firm is expected to perform the necessary due diligence, including target market assessment, before distributing the product. CFA Institute agrees with this position.</w:t>
      </w:r>
    </w:p>
    <w:p w14:paraId="2D8C7193" w14:textId="4CD6F91B" w:rsidR="00AC3D4B" w:rsidRDefault="00AC3D4B" w:rsidP="0036666F">
      <w:pPr>
        <w:jc w:val="both"/>
        <w:rPr>
          <w:b/>
        </w:rPr>
      </w:pPr>
      <w:r>
        <w:rPr>
          <w:b/>
        </w:rPr>
        <w:t xml:space="preserve">Question 6 – </w:t>
      </w:r>
      <w:r w:rsidR="00E80B2E">
        <w:rPr>
          <w:b/>
        </w:rPr>
        <w:t>Do you agree with the proposed approach for the identification of the ‘negative’ target market?</w:t>
      </w:r>
    </w:p>
    <w:p w14:paraId="6E1F5B78" w14:textId="36991B67" w:rsidR="00DF2776" w:rsidRDefault="0077172F" w:rsidP="0036666F">
      <w:pPr>
        <w:jc w:val="both"/>
      </w:pPr>
      <w:r>
        <w:t xml:space="preserve">ESMA proposes that as part of the target market assessment by </w:t>
      </w:r>
      <w:r w:rsidR="00FF5344">
        <w:t>manufacturers</w:t>
      </w:r>
      <w:r>
        <w:t xml:space="preserve"> and distributors, a ‘negative’ target market is also determined using the same categories listed for the positive target market assessment. The purpose of the negative target market is to explicitly identify investors for </w:t>
      </w:r>
      <w:r w:rsidR="00FF5344">
        <w:t>whom</w:t>
      </w:r>
      <w:r>
        <w:t xml:space="preserve"> the product is not suitable. Sales of the product to investors in this category should </w:t>
      </w:r>
      <w:r w:rsidR="00F11806">
        <w:t>not occur.</w:t>
      </w:r>
      <w:r>
        <w:t xml:space="preserve"> In summary, the target market identification process would result in a positive target market, which is the priority for distribution, ‘other investors’ that may be eligible to purchase the product on a case-by-case basis (e.g. for hedging purposes as in Question 4), and a negative target market, which should not be purchasing the product.</w:t>
      </w:r>
    </w:p>
    <w:p w14:paraId="358056A5" w14:textId="197B6E3D" w:rsidR="0077172F" w:rsidRPr="0077172F" w:rsidRDefault="0077172F" w:rsidP="0036666F">
      <w:pPr>
        <w:jc w:val="both"/>
      </w:pPr>
      <w:r>
        <w:t>CFA Institute supports the identification of a negative target market</w:t>
      </w:r>
      <w:r w:rsidR="001D4344">
        <w:t>.</w:t>
      </w:r>
      <w:r w:rsidR="00552869">
        <w:t xml:space="preserve"> We believe that</w:t>
      </w:r>
      <w:r>
        <w:t xml:space="preserve"> explicitly identifying an essentially not-eligible subset of investors should reduce the case-by-case subjectivity involved in sales to non-positive-target market investors.</w:t>
      </w:r>
    </w:p>
    <w:p w14:paraId="54815618" w14:textId="1EB802F2" w:rsidR="00AC3D4B" w:rsidRDefault="00AC3D4B" w:rsidP="0036666F">
      <w:pPr>
        <w:jc w:val="both"/>
        <w:rPr>
          <w:b/>
        </w:rPr>
      </w:pPr>
      <w:r>
        <w:rPr>
          <w:b/>
        </w:rPr>
        <w:t xml:space="preserve">Question 7 – </w:t>
      </w:r>
      <w:r w:rsidR="00DF2776">
        <w:rPr>
          <w:b/>
        </w:rPr>
        <w:t>Do you agree with this treatment of professional clients and eligible counterparties in the wholesale market?</w:t>
      </w:r>
    </w:p>
    <w:p w14:paraId="6EAC0945" w14:textId="0087C3F1" w:rsidR="008A307A" w:rsidRPr="00077918" w:rsidRDefault="008A307A" w:rsidP="0036666F">
      <w:pPr>
        <w:jc w:val="both"/>
      </w:pPr>
      <w:r>
        <w:t>CFA Institute agrees with ESMA’s treatment of professional clients and eligible counterparties in the wholesale market.</w:t>
      </w:r>
    </w:p>
    <w:p w14:paraId="0FE51C63" w14:textId="6E1DFC76" w:rsidR="00DF2776" w:rsidRPr="00AC3D4B" w:rsidRDefault="00DF2776" w:rsidP="00DF2776">
      <w:pPr>
        <w:jc w:val="both"/>
      </w:pPr>
      <w:r>
        <w:rPr>
          <w:b/>
        </w:rPr>
        <w:t xml:space="preserve">Question 8 – Do you have any </w:t>
      </w:r>
      <w:r w:rsidR="00FF5344">
        <w:rPr>
          <w:b/>
        </w:rPr>
        <w:t>further</w:t>
      </w:r>
      <w:r>
        <w:rPr>
          <w:b/>
        </w:rPr>
        <w:t xml:space="preserve"> comment or input on the draft guidelines?</w:t>
      </w:r>
    </w:p>
    <w:p w14:paraId="3E639DF5" w14:textId="7CDB71B6" w:rsidR="00DF2776" w:rsidRDefault="005E5EEF" w:rsidP="0036666F">
      <w:pPr>
        <w:jc w:val="both"/>
      </w:pPr>
      <w:r>
        <w:lastRenderedPageBreak/>
        <w:t xml:space="preserve">CFA Institute wishes to express some reservations about the direction of travel </w:t>
      </w:r>
      <w:r w:rsidR="00BA3EF2">
        <w:t>in product governance. The regulatory approach has tended to continuously place ever increasing emphasis on obligations of the firms manufacturing and distributing financial products. While this is a correct area on which to focus</w:t>
      </w:r>
      <w:r w:rsidR="002D37B8">
        <w:t xml:space="preserve"> and is necessary for investor protection, </w:t>
      </w:r>
      <w:r w:rsidR="00BA3EF2">
        <w:t>we believe there may be diminishing returns to this approach, especially if it</w:t>
      </w:r>
      <w:r w:rsidR="00C8098D">
        <w:t xml:space="preserve"> were to</w:t>
      </w:r>
      <w:r w:rsidR="00BA3EF2">
        <w:t xml:space="preserve"> crowd</w:t>
      </w:r>
      <w:r w:rsidR="00C8098D">
        <w:t>-</w:t>
      </w:r>
      <w:r w:rsidR="00BA3EF2">
        <w:t xml:space="preserve">out regulatory efforts to address the underlying issue of (a lack of) customer knowledge. We believe that improving investor knowledge is an unavoidable necessity if we wish to improve investors’ ability to protect themselves from unsuitable investments and are concerned that, at some </w:t>
      </w:r>
      <w:r w:rsidR="008277DC">
        <w:t xml:space="preserve">future </w:t>
      </w:r>
      <w:r w:rsidR="00BA3EF2">
        <w:t xml:space="preserve">point, layering ever more stringent product governance obligations on manufacturers and distributors will yield </w:t>
      </w:r>
      <w:r w:rsidR="000D6010">
        <w:t>little marginal benefit</w:t>
      </w:r>
      <w:r w:rsidR="00BA3EF2">
        <w:t>.</w:t>
      </w:r>
      <w:bookmarkStart w:id="0" w:name="_GoBack"/>
      <w:bookmarkEnd w:id="0"/>
    </w:p>
    <w:p w14:paraId="153D5A57" w14:textId="09929A6A" w:rsidR="005A3ECF" w:rsidRPr="00A90861" w:rsidRDefault="005A3ECF" w:rsidP="0036666F">
      <w:pPr>
        <w:jc w:val="both"/>
      </w:pPr>
      <w:r w:rsidRPr="00287ED5">
        <w:rPr>
          <w:b/>
        </w:rPr>
        <w:t>Concluding Remarks</w:t>
      </w:r>
    </w:p>
    <w:p w14:paraId="6DBF6749" w14:textId="11D673EB" w:rsidR="005A3ECF" w:rsidRDefault="00F416F8" w:rsidP="0036666F">
      <w:pPr>
        <w:jc w:val="both"/>
      </w:pPr>
      <w:r>
        <w:t>CFA Institute welcomes</w:t>
      </w:r>
      <w:r w:rsidR="00A01D98">
        <w:t xml:space="preserve"> the</w:t>
      </w:r>
      <w:r w:rsidR="00287ED5">
        <w:t xml:space="preserve"> opportunity</w:t>
      </w:r>
      <w:r w:rsidR="00A01D98">
        <w:t xml:space="preserve"> to </w:t>
      </w:r>
      <w:r w:rsidR="00287ED5">
        <w:t xml:space="preserve">comment on </w:t>
      </w:r>
      <w:r w:rsidR="004C52B9">
        <w:rPr>
          <w:rFonts w:ascii="Arial" w:hAnsi="Arial" w:cs="Arial"/>
          <w:lang w:val="en-US" w:eastAsia="en-GB"/>
        </w:rPr>
        <w:t>draft guidelines on MiFID II product governance requirements</w:t>
      </w:r>
      <w:r w:rsidR="00480A06">
        <w:t>.</w:t>
      </w:r>
      <w:r w:rsidR="00287ED5">
        <w:t xml:space="preserve"> </w:t>
      </w:r>
      <w:r w:rsidR="005A3ECF">
        <w:t>Please do not hesitate to contact us should you wish further elaboration of the points raised.</w:t>
      </w:r>
    </w:p>
    <w:p w14:paraId="62EA57C0" w14:textId="77777777" w:rsidR="00431C03" w:rsidRDefault="00431C03" w:rsidP="005A3ECF">
      <w:pPr>
        <w:jc w:val="both"/>
      </w:pPr>
    </w:p>
    <w:p w14:paraId="533540E2" w14:textId="77777777" w:rsidR="00361FA6" w:rsidRDefault="005A3ECF" w:rsidP="005A3ECF">
      <w:pPr>
        <w:jc w:val="both"/>
      </w:pPr>
      <w:r>
        <w:t>Yours faithfully,</w:t>
      </w:r>
      <w:r w:rsidR="00361FA6" w:rsidRPr="009B0703">
        <w:rPr>
          <w:noProof/>
          <w:lang w:eastAsia="en-GB"/>
        </w:rPr>
        <w:drawing>
          <wp:anchor distT="0" distB="0" distL="114300" distR="114300" simplePos="0" relativeHeight="251658240" behindDoc="1" locked="0" layoutInCell="1" allowOverlap="1" wp14:anchorId="40AC2362" wp14:editId="26D6483C">
            <wp:simplePos x="0" y="0"/>
            <wp:positionH relativeFrom="column">
              <wp:posOffset>3648075</wp:posOffset>
            </wp:positionH>
            <wp:positionV relativeFrom="paragraph">
              <wp:posOffset>181227</wp:posOffset>
            </wp:positionV>
            <wp:extent cx="1230630" cy="73025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0630"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06F9AA" w14:textId="77777777" w:rsidR="005A3ECF" w:rsidRDefault="00361FA6" w:rsidP="005A3ECF">
      <w:pPr>
        <w:jc w:val="both"/>
      </w:pPr>
      <w:r w:rsidRPr="00361FA6">
        <w:rPr>
          <w:noProof/>
          <w:lang w:eastAsia="en-GB"/>
        </w:rPr>
        <w:drawing>
          <wp:anchor distT="0" distB="0" distL="114300" distR="114300" simplePos="0" relativeHeight="251659264" behindDoc="1" locked="0" layoutInCell="1" allowOverlap="1" wp14:anchorId="059DF347" wp14:editId="178A973A">
            <wp:simplePos x="0" y="0"/>
            <wp:positionH relativeFrom="margin">
              <wp:align>left</wp:align>
            </wp:positionH>
            <wp:positionV relativeFrom="paragraph">
              <wp:posOffset>9704</wp:posOffset>
            </wp:positionV>
            <wp:extent cx="2012400" cy="583200"/>
            <wp:effectExtent l="0" t="0" r="698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2400" cy="58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3ECF">
        <w:tab/>
      </w:r>
      <w:r w:rsidR="005A3ECF">
        <w:tab/>
      </w:r>
      <w:r w:rsidR="005A3ECF">
        <w:tab/>
      </w:r>
      <w:r w:rsidR="005A3ECF">
        <w:tab/>
      </w:r>
      <w:r w:rsidR="005A3ECF">
        <w:tab/>
      </w:r>
      <w:r w:rsidR="005A3ECF">
        <w:tab/>
      </w:r>
      <w:r w:rsidR="009B0703">
        <w:t xml:space="preserve">   </w:t>
      </w:r>
      <w:r w:rsidR="005A3ECF">
        <w:tab/>
      </w:r>
    </w:p>
    <w:p w14:paraId="4FA4C73F" w14:textId="77777777" w:rsidR="009B0703" w:rsidRDefault="009B0703" w:rsidP="005A3ECF">
      <w:pPr>
        <w:jc w:val="both"/>
      </w:pPr>
    </w:p>
    <w:p w14:paraId="7F7CA994" w14:textId="77777777" w:rsidR="009B0703" w:rsidRDefault="009B0703" w:rsidP="005A3ECF">
      <w:pPr>
        <w:jc w:val="both"/>
      </w:pPr>
    </w:p>
    <w:p w14:paraId="6C828FF8" w14:textId="64A774A0" w:rsidR="005A3ECF" w:rsidRDefault="002B733A" w:rsidP="005A3ECF">
      <w:pPr>
        <w:pStyle w:val="Signature"/>
        <w:spacing w:after="0" w:line="264" w:lineRule="auto"/>
      </w:pPr>
      <w:r>
        <w:t>Sviatoslav Rosov</w:t>
      </w:r>
      <w:r w:rsidR="002C0F2A">
        <w:t>, PhD</w:t>
      </w:r>
      <w:r w:rsidR="00731F29">
        <w:t>, CFA</w:t>
      </w:r>
      <w:r w:rsidR="005A3ECF">
        <w:tab/>
      </w:r>
      <w:r w:rsidR="005A3ECF">
        <w:tab/>
      </w:r>
      <w:r w:rsidR="005A3ECF">
        <w:tab/>
      </w:r>
      <w:r w:rsidR="005A3ECF">
        <w:tab/>
      </w:r>
      <w:r w:rsidR="005A3ECF">
        <w:tab/>
        <w:t>Rhodri Preece, CFA</w:t>
      </w:r>
    </w:p>
    <w:p w14:paraId="67DA0B03" w14:textId="77777777" w:rsidR="005A3ECF" w:rsidRDefault="002B733A" w:rsidP="005A3ECF">
      <w:pPr>
        <w:spacing w:after="0"/>
      </w:pPr>
      <w:r>
        <w:t>Analyst, Capital Markets Policy, EMEA</w:t>
      </w:r>
      <w:r>
        <w:tab/>
      </w:r>
      <w:r>
        <w:tab/>
      </w:r>
      <w:r w:rsidR="005A3ECF">
        <w:tab/>
      </w:r>
      <w:r w:rsidR="005A3ECF">
        <w:tab/>
      </w:r>
      <w:r>
        <w:t>Head</w:t>
      </w:r>
      <w:r w:rsidR="005A3ECF">
        <w:t>, Capital Markets Policy</w:t>
      </w:r>
      <w:r>
        <w:t>, EMEA</w:t>
      </w:r>
    </w:p>
    <w:p w14:paraId="32E55DEA" w14:textId="77777777" w:rsidR="005A3ECF" w:rsidRDefault="005A3ECF" w:rsidP="005A3ECF">
      <w:pPr>
        <w:spacing w:after="0"/>
      </w:pPr>
      <w:r>
        <w:t>CFA Institute</w:t>
      </w:r>
      <w:r>
        <w:tab/>
      </w:r>
      <w:r>
        <w:tab/>
      </w:r>
      <w:r>
        <w:tab/>
      </w:r>
      <w:r>
        <w:tab/>
      </w:r>
      <w:r>
        <w:tab/>
      </w:r>
      <w:r>
        <w:tab/>
      </w:r>
      <w:r>
        <w:tab/>
        <w:t>CFA Institute</w:t>
      </w:r>
    </w:p>
    <w:p w14:paraId="24509C19" w14:textId="77777777" w:rsidR="005A3ECF" w:rsidRDefault="005A3ECF" w:rsidP="005A3ECF">
      <w:pPr>
        <w:spacing w:after="0"/>
      </w:pPr>
    </w:p>
    <w:p w14:paraId="43812680" w14:textId="77777777" w:rsidR="005A3ECF" w:rsidRDefault="005A3ECF" w:rsidP="005A3ECF">
      <w:pPr>
        <w:spacing w:after="0"/>
      </w:pPr>
      <w:r>
        <w:t xml:space="preserve">+44 20 7330 </w:t>
      </w:r>
      <w:r w:rsidR="002B733A">
        <w:t>9558</w:t>
      </w:r>
      <w:r>
        <w:tab/>
      </w:r>
      <w:r>
        <w:tab/>
      </w:r>
      <w:r>
        <w:tab/>
      </w:r>
      <w:r>
        <w:tab/>
      </w:r>
      <w:r>
        <w:tab/>
      </w:r>
      <w:r>
        <w:tab/>
        <w:t xml:space="preserve">+44 20 7330 9522 </w:t>
      </w:r>
    </w:p>
    <w:p w14:paraId="4CAED7E9" w14:textId="77777777" w:rsidR="005A3ECF" w:rsidRDefault="000647B1" w:rsidP="005A3ECF">
      <w:pPr>
        <w:spacing w:after="0"/>
      </w:pPr>
      <w:hyperlink r:id="rId13" w:history="1">
        <w:r w:rsidR="002B733A" w:rsidRPr="00F136F3">
          <w:rPr>
            <w:rStyle w:val="Hyperlink"/>
          </w:rPr>
          <w:t>sviatoslav.rosov@cfainstitute.org</w:t>
        </w:r>
      </w:hyperlink>
      <w:r w:rsidR="005A3ECF">
        <w:t xml:space="preserve"> </w:t>
      </w:r>
      <w:r w:rsidR="005A3ECF">
        <w:tab/>
      </w:r>
      <w:r w:rsidR="005A3ECF">
        <w:tab/>
      </w:r>
      <w:r w:rsidR="005A3ECF">
        <w:tab/>
      </w:r>
      <w:r w:rsidR="005A3ECF">
        <w:tab/>
      </w:r>
      <w:hyperlink r:id="rId14" w:history="1">
        <w:r w:rsidR="005A3ECF" w:rsidRPr="00A72CB2">
          <w:rPr>
            <w:rStyle w:val="Hyperlink"/>
          </w:rPr>
          <w:t>rhodri.preece@cfainstitute.org</w:t>
        </w:r>
      </w:hyperlink>
      <w:r w:rsidR="005A3ECF">
        <w:t xml:space="preserve"> </w:t>
      </w:r>
    </w:p>
    <w:p w14:paraId="4EB2E947" w14:textId="5C1D32C3" w:rsidR="00D27D95" w:rsidRDefault="00D27D95" w:rsidP="003D0D2D">
      <w:pPr>
        <w:rPr>
          <w:b/>
        </w:rPr>
      </w:pPr>
    </w:p>
    <w:sectPr w:rsidR="00D27D95" w:rsidSect="00F03C82">
      <w:headerReference w:type="default" r:id="rId15"/>
      <w:footerReference w:type="default" r:id="rId16"/>
      <w:pgSz w:w="11907" w:h="1683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FC368" w14:textId="77777777" w:rsidR="00F04EFB" w:rsidRDefault="00F04EFB" w:rsidP="00626081">
      <w:pPr>
        <w:spacing w:after="0" w:line="240" w:lineRule="auto"/>
      </w:pPr>
      <w:r>
        <w:separator/>
      </w:r>
    </w:p>
  </w:endnote>
  <w:endnote w:type="continuationSeparator" w:id="0">
    <w:p w14:paraId="2117C07F" w14:textId="77777777" w:rsidR="00F04EFB" w:rsidRDefault="00F04EFB" w:rsidP="0062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PGothic">
    <w:altName w:val="ＭＳ Ｐゴシック"/>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279E2" w14:textId="6A7A7115" w:rsidR="0065054C" w:rsidRDefault="0065054C">
    <w:pPr>
      <w:pStyle w:val="Footer"/>
      <w:jc w:val="right"/>
    </w:pPr>
  </w:p>
  <w:p w14:paraId="4C3AA1ED" w14:textId="77777777" w:rsidR="0065054C" w:rsidRDefault="00650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826F7" w14:textId="77777777" w:rsidR="00F04EFB" w:rsidRDefault="00F04EFB" w:rsidP="00626081">
      <w:pPr>
        <w:spacing w:after="0" w:line="240" w:lineRule="auto"/>
      </w:pPr>
      <w:r>
        <w:separator/>
      </w:r>
    </w:p>
  </w:footnote>
  <w:footnote w:type="continuationSeparator" w:id="0">
    <w:p w14:paraId="5901FD38" w14:textId="77777777" w:rsidR="00F04EFB" w:rsidRDefault="00F04EFB" w:rsidP="00626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C8027" w14:textId="77777777" w:rsidR="0065054C" w:rsidRDefault="0065054C">
    <w:pPr>
      <w:pStyle w:val="Header"/>
    </w:pPr>
    <w:r>
      <w:rPr>
        <w:noProof/>
        <w:lang w:eastAsia="en-GB"/>
      </w:rPr>
      <w:drawing>
        <wp:inline distT="0" distB="0" distL="0" distR="0" wp14:anchorId="2A26E79D" wp14:editId="319049ED">
          <wp:extent cx="2133604" cy="460249"/>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604" cy="4602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74C091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9A02B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F718B4"/>
    <w:multiLevelType w:val="hybridMultilevel"/>
    <w:tmpl w:val="CC1C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53F0E"/>
    <w:multiLevelType w:val="hybridMultilevel"/>
    <w:tmpl w:val="A8BA7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786DF5"/>
    <w:multiLevelType w:val="hybridMultilevel"/>
    <w:tmpl w:val="2F008A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607AF0"/>
    <w:multiLevelType w:val="hybridMultilevel"/>
    <w:tmpl w:val="32E0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F5FD4"/>
    <w:multiLevelType w:val="hybridMultilevel"/>
    <w:tmpl w:val="8FFC6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B3305"/>
    <w:multiLevelType w:val="hybridMultilevel"/>
    <w:tmpl w:val="F7E8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A476F"/>
    <w:multiLevelType w:val="multilevel"/>
    <w:tmpl w:val="73D8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E51CE"/>
    <w:multiLevelType w:val="hybridMultilevel"/>
    <w:tmpl w:val="11C62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4E7495"/>
    <w:multiLevelType w:val="hybridMultilevel"/>
    <w:tmpl w:val="E32804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6D2EA6"/>
    <w:multiLevelType w:val="hybridMultilevel"/>
    <w:tmpl w:val="CAF8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4230B"/>
    <w:multiLevelType w:val="hybridMultilevel"/>
    <w:tmpl w:val="04B4B1E0"/>
    <w:lvl w:ilvl="0" w:tplc="D4B824A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139C6"/>
    <w:multiLevelType w:val="hybridMultilevel"/>
    <w:tmpl w:val="1A76A8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A43762"/>
    <w:multiLevelType w:val="hybridMultilevel"/>
    <w:tmpl w:val="58400D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336EE3"/>
    <w:multiLevelType w:val="hybridMultilevel"/>
    <w:tmpl w:val="86C2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13"/>
  </w:num>
  <w:num w:numId="5">
    <w:abstractNumId w:val="10"/>
  </w:num>
  <w:num w:numId="6">
    <w:abstractNumId w:val="3"/>
  </w:num>
  <w:num w:numId="7">
    <w:abstractNumId w:val="4"/>
  </w:num>
  <w:num w:numId="8">
    <w:abstractNumId w:val="15"/>
  </w:num>
  <w:num w:numId="9">
    <w:abstractNumId w:val="8"/>
  </w:num>
  <w:num w:numId="10">
    <w:abstractNumId w:val="12"/>
  </w:num>
  <w:num w:numId="11">
    <w:abstractNumId w:val="5"/>
  </w:num>
  <w:num w:numId="12">
    <w:abstractNumId w:val="14"/>
  </w:num>
  <w:num w:numId="13">
    <w:abstractNumId w:val="7"/>
  </w:num>
  <w:num w:numId="14">
    <w:abstractNumId w:val="11"/>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AE"/>
    <w:rsid w:val="00000EF9"/>
    <w:rsid w:val="000067C0"/>
    <w:rsid w:val="000072E3"/>
    <w:rsid w:val="000079F7"/>
    <w:rsid w:val="00010C01"/>
    <w:rsid w:val="000114B2"/>
    <w:rsid w:val="000146E9"/>
    <w:rsid w:val="00020E3D"/>
    <w:rsid w:val="00023966"/>
    <w:rsid w:val="00023CEC"/>
    <w:rsid w:val="000266E3"/>
    <w:rsid w:val="000271AA"/>
    <w:rsid w:val="00031209"/>
    <w:rsid w:val="000335DD"/>
    <w:rsid w:val="00034711"/>
    <w:rsid w:val="000347A8"/>
    <w:rsid w:val="00043A8A"/>
    <w:rsid w:val="0004642D"/>
    <w:rsid w:val="00046851"/>
    <w:rsid w:val="0005023F"/>
    <w:rsid w:val="0005241A"/>
    <w:rsid w:val="00061911"/>
    <w:rsid w:val="000647B1"/>
    <w:rsid w:val="00067B24"/>
    <w:rsid w:val="0007351C"/>
    <w:rsid w:val="000763E0"/>
    <w:rsid w:val="00077581"/>
    <w:rsid w:val="00077918"/>
    <w:rsid w:val="0008408C"/>
    <w:rsid w:val="00090CC2"/>
    <w:rsid w:val="00091435"/>
    <w:rsid w:val="00095AC8"/>
    <w:rsid w:val="00095FFA"/>
    <w:rsid w:val="0009624A"/>
    <w:rsid w:val="00097544"/>
    <w:rsid w:val="000A6BCF"/>
    <w:rsid w:val="000B1661"/>
    <w:rsid w:val="000B2156"/>
    <w:rsid w:val="000B2224"/>
    <w:rsid w:val="000B5293"/>
    <w:rsid w:val="000B6E3B"/>
    <w:rsid w:val="000C19C4"/>
    <w:rsid w:val="000C7D68"/>
    <w:rsid w:val="000D48D6"/>
    <w:rsid w:val="000D6010"/>
    <w:rsid w:val="000E1DE3"/>
    <w:rsid w:val="000E2467"/>
    <w:rsid w:val="000E3097"/>
    <w:rsid w:val="000E356D"/>
    <w:rsid w:val="000F651F"/>
    <w:rsid w:val="000F6634"/>
    <w:rsid w:val="00100A9E"/>
    <w:rsid w:val="00103A51"/>
    <w:rsid w:val="00105996"/>
    <w:rsid w:val="001079A1"/>
    <w:rsid w:val="00110FB0"/>
    <w:rsid w:val="0011467E"/>
    <w:rsid w:val="00115995"/>
    <w:rsid w:val="0012062C"/>
    <w:rsid w:val="001308C2"/>
    <w:rsid w:val="00130C9A"/>
    <w:rsid w:val="00131E57"/>
    <w:rsid w:val="001360B4"/>
    <w:rsid w:val="0014238A"/>
    <w:rsid w:val="0014341E"/>
    <w:rsid w:val="00144034"/>
    <w:rsid w:val="0014551A"/>
    <w:rsid w:val="0014593B"/>
    <w:rsid w:val="001478B3"/>
    <w:rsid w:val="0015016C"/>
    <w:rsid w:val="00152046"/>
    <w:rsid w:val="00154E50"/>
    <w:rsid w:val="00161884"/>
    <w:rsid w:val="00162BD5"/>
    <w:rsid w:val="00164FFF"/>
    <w:rsid w:val="0016637E"/>
    <w:rsid w:val="001667C5"/>
    <w:rsid w:val="0018195D"/>
    <w:rsid w:val="001819A4"/>
    <w:rsid w:val="00183C25"/>
    <w:rsid w:val="00184FFC"/>
    <w:rsid w:val="00187874"/>
    <w:rsid w:val="0019493F"/>
    <w:rsid w:val="00196074"/>
    <w:rsid w:val="001A47DB"/>
    <w:rsid w:val="001B2F71"/>
    <w:rsid w:val="001B4996"/>
    <w:rsid w:val="001B6A30"/>
    <w:rsid w:val="001C46B9"/>
    <w:rsid w:val="001C4D05"/>
    <w:rsid w:val="001C74BA"/>
    <w:rsid w:val="001D3806"/>
    <w:rsid w:val="001D4344"/>
    <w:rsid w:val="001D4F32"/>
    <w:rsid w:val="001D6756"/>
    <w:rsid w:val="001E3E96"/>
    <w:rsid w:val="001E4C3C"/>
    <w:rsid w:val="001E6434"/>
    <w:rsid w:val="001E6505"/>
    <w:rsid w:val="001E7271"/>
    <w:rsid w:val="001E79B4"/>
    <w:rsid w:val="001F01A4"/>
    <w:rsid w:val="001F74B8"/>
    <w:rsid w:val="001F74F6"/>
    <w:rsid w:val="002046E8"/>
    <w:rsid w:val="002048F4"/>
    <w:rsid w:val="0020776F"/>
    <w:rsid w:val="00216D3A"/>
    <w:rsid w:val="0021701D"/>
    <w:rsid w:val="0021792A"/>
    <w:rsid w:val="00217DB5"/>
    <w:rsid w:val="00220BD7"/>
    <w:rsid w:val="0022116A"/>
    <w:rsid w:val="00221831"/>
    <w:rsid w:val="002249AD"/>
    <w:rsid w:val="002323A7"/>
    <w:rsid w:val="002331E0"/>
    <w:rsid w:val="00235C78"/>
    <w:rsid w:val="00240705"/>
    <w:rsid w:val="002429A7"/>
    <w:rsid w:val="00243B23"/>
    <w:rsid w:val="00244DDE"/>
    <w:rsid w:val="0025182D"/>
    <w:rsid w:val="0026130B"/>
    <w:rsid w:val="002718F3"/>
    <w:rsid w:val="0027472E"/>
    <w:rsid w:val="00274952"/>
    <w:rsid w:val="00276AC5"/>
    <w:rsid w:val="00287A33"/>
    <w:rsid w:val="00287ED5"/>
    <w:rsid w:val="0029200C"/>
    <w:rsid w:val="0029409E"/>
    <w:rsid w:val="002A2B39"/>
    <w:rsid w:val="002B202F"/>
    <w:rsid w:val="002B45BA"/>
    <w:rsid w:val="002B49D6"/>
    <w:rsid w:val="002B733A"/>
    <w:rsid w:val="002C0F2A"/>
    <w:rsid w:val="002C1BE9"/>
    <w:rsid w:val="002C1F83"/>
    <w:rsid w:val="002C453E"/>
    <w:rsid w:val="002C4A50"/>
    <w:rsid w:val="002C54FD"/>
    <w:rsid w:val="002C744D"/>
    <w:rsid w:val="002D328C"/>
    <w:rsid w:val="002D37B8"/>
    <w:rsid w:val="002D3E67"/>
    <w:rsid w:val="002D4734"/>
    <w:rsid w:val="002D5C41"/>
    <w:rsid w:val="002D7580"/>
    <w:rsid w:val="002E1D31"/>
    <w:rsid w:val="002E2A2F"/>
    <w:rsid w:val="002E362F"/>
    <w:rsid w:val="00300431"/>
    <w:rsid w:val="00302478"/>
    <w:rsid w:val="0031530D"/>
    <w:rsid w:val="00315E12"/>
    <w:rsid w:val="00320F15"/>
    <w:rsid w:val="00323172"/>
    <w:rsid w:val="00324478"/>
    <w:rsid w:val="003304C2"/>
    <w:rsid w:val="003321C1"/>
    <w:rsid w:val="0034235F"/>
    <w:rsid w:val="00343F65"/>
    <w:rsid w:val="00355698"/>
    <w:rsid w:val="00357925"/>
    <w:rsid w:val="00360417"/>
    <w:rsid w:val="003607C8"/>
    <w:rsid w:val="00361FA6"/>
    <w:rsid w:val="00365451"/>
    <w:rsid w:val="0036666F"/>
    <w:rsid w:val="00367F01"/>
    <w:rsid w:val="0037036F"/>
    <w:rsid w:val="00371612"/>
    <w:rsid w:val="00374019"/>
    <w:rsid w:val="0039098D"/>
    <w:rsid w:val="003948C3"/>
    <w:rsid w:val="003964CB"/>
    <w:rsid w:val="003A1BEF"/>
    <w:rsid w:val="003A6051"/>
    <w:rsid w:val="003B3621"/>
    <w:rsid w:val="003C1677"/>
    <w:rsid w:val="003C2837"/>
    <w:rsid w:val="003C41C7"/>
    <w:rsid w:val="003D0D1F"/>
    <w:rsid w:val="003D0D2D"/>
    <w:rsid w:val="003D1EF2"/>
    <w:rsid w:val="003D4386"/>
    <w:rsid w:val="003D5457"/>
    <w:rsid w:val="003D7900"/>
    <w:rsid w:val="003E3003"/>
    <w:rsid w:val="003E3285"/>
    <w:rsid w:val="003E42BA"/>
    <w:rsid w:val="003F0A60"/>
    <w:rsid w:val="003F20A0"/>
    <w:rsid w:val="003F248F"/>
    <w:rsid w:val="003F3B06"/>
    <w:rsid w:val="003F49C3"/>
    <w:rsid w:val="003F6D58"/>
    <w:rsid w:val="00410E40"/>
    <w:rsid w:val="00431C03"/>
    <w:rsid w:val="004335BA"/>
    <w:rsid w:val="004347EC"/>
    <w:rsid w:val="00441396"/>
    <w:rsid w:val="00451671"/>
    <w:rsid w:val="0045335D"/>
    <w:rsid w:val="00454A1A"/>
    <w:rsid w:val="00455390"/>
    <w:rsid w:val="0045674A"/>
    <w:rsid w:val="00461953"/>
    <w:rsid w:val="004701CF"/>
    <w:rsid w:val="004711CB"/>
    <w:rsid w:val="004728BC"/>
    <w:rsid w:val="00474F31"/>
    <w:rsid w:val="00475F19"/>
    <w:rsid w:val="00480A06"/>
    <w:rsid w:val="00492618"/>
    <w:rsid w:val="004A42C0"/>
    <w:rsid w:val="004A43B2"/>
    <w:rsid w:val="004A4D99"/>
    <w:rsid w:val="004B3BE8"/>
    <w:rsid w:val="004C0566"/>
    <w:rsid w:val="004C2C27"/>
    <w:rsid w:val="004C3494"/>
    <w:rsid w:val="004C52B9"/>
    <w:rsid w:val="004C6951"/>
    <w:rsid w:val="004D3B01"/>
    <w:rsid w:val="004D6680"/>
    <w:rsid w:val="004F0415"/>
    <w:rsid w:val="004F234A"/>
    <w:rsid w:val="004F2495"/>
    <w:rsid w:val="004F2630"/>
    <w:rsid w:val="004F4C5F"/>
    <w:rsid w:val="004F6478"/>
    <w:rsid w:val="004F7290"/>
    <w:rsid w:val="00503250"/>
    <w:rsid w:val="00517F6B"/>
    <w:rsid w:val="00521122"/>
    <w:rsid w:val="00521B16"/>
    <w:rsid w:val="00521FE6"/>
    <w:rsid w:val="00522074"/>
    <w:rsid w:val="00523D4B"/>
    <w:rsid w:val="00531425"/>
    <w:rsid w:val="00532779"/>
    <w:rsid w:val="0053652D"/>
    <w:rsid w:val="00552869"/>
    <w:rsid w:val="0055461A"/>
    <w:rsid w:val="00556D4D"/>
    <w:rsid w:val="005573D2"/>
    <w:rsid w:val="005670A2"/>
    <w:rsid w:val="005743A2"/>
    <w:rsid w:val="00587BFA"/>
    <w:rsid w:val="005949FB"/>
    <w:rsid w:val="00595A86"/>
    <w:rsid w:val="00596BB7"/>
    <w:rsid w:val="005A188B"/>
    <w:rsid w:val="005A340C"/>
    <w:rsid w:val="005A3CB8"/>
    <w:rsid w:val="005A3ECF"/>
    <w:rsid w:val="005A3F9E"/>
    <w:rsid w:val="005A4EDC"/>
    <w:rsid w:val="005A61EB"/>
    <w:rsid w:val="005A65A3"/>
    <w:rsid w:val="005B182B"/>
    <w:rsid w:val="005B45C0"/>
    <w:rsid w:val="005B5004"/>
    <w:rsid w:val="005C4DDA"/>
    <w:rsid w:val="005C61D4"/>
    <w:rsid w:val="005D261D"/>
    <w:rsid w:val="005D31D5"/>
    <w:rsid w:val="005D4AE6"/>
    <w:rsid w:val="005D5988"/>
    <w:rsid w:val="005D6F48"/>
    <w:rsid w:val="005E096F"/>
    <w:rsid w:val="005E5EEF"/>
    <w:rsid w:val="005F3343"/>
    <w:rsid w:val="005F5B63"/>
    <w:rsid w:val="00606B17"/>
    <w:rsid w:val="006147B8"/>
    <w:rsid w:val="00622188"/>
    <w:rsid w:val="00624E03"/>
    <w:rsid w:val="00626081"/>
    <w:rsid w:val="006273F8"/>
    <w:rsid w:val="00635E23"/>
    <w:rsid w:val="00641CB6"/>
    <w:rsid w:val="006424AF"/>
    <w:rsid w:val="006426B4"/>
    <w:rsid w:val="00642744"/>
    <w:rsid w:val="00642E65"/>
    <w:rsid w:val="006446FA"/>
    <w:rsid w:val="0064758A"/>
    <w:rsid w:val="00650288"/>
    <w:rsid w:val="0065054C"/>
    <w:rsid w:val="00651B5A"/>
    <w:rsid w:val="0066372F"/>
    <w:rsid w:val="00665C2C"/>
    <w:rsid w:val="00666366"/>
    <w:rsid w:val="006672B1"/>
    <w:rsid w:val="00673A17"/>
    <w:rsid w:val="0067500F"/>
    <w:rsid w:val="0067714D"/>
    <w:rsid w:val="00680B1C"/>
    <w:rsid w:val="0069124F"/>
    <w:rsid w:val="00695463"/>
    <w:rsid w:val="006957FE"/>
    <w:rsid w:val="00696D2D"/>
    <w:rsid w:val="006978E9"/>
    <w:rsid w:val="006A4EDD"/>
    <w:rsid w:val="006B6E2B"/>
    <w:rsid w:val="006C529D"/>
    <w:rsid w:val="006D1B77"/>
    <w:rsid w:val="006D307E"/>
    <w:rsid w:val="006E041B"/>
    <w:rsid w:val="006E28D5"/>
    <w:rsid w:val="006E368F"/>
    <w:rsid w:val="006E39AE"/>
    <w:rsid w:val="006E6EF1"/>
    <w:rsid w:val="006F06A1"/>
    <w:rsid w:val="006F27DA"/>
    <w:rsid w:val="006F7AD5"/>
    <w:rsid w:val="006F7B92"/>
    <w:rsid w:val="006F7F8A"/>
    <w:rsid w:val="0070287B"/>
    <w:rsid w:val="00702B6D"/>
    <w:rsid w:val="00703966"/>
    <w:rsid w:val="007055C4"/>
    <w:rsid w:val="00707530"/>
    <w:rsid w:val="00712928"/>
    <w:rsid w:val="00713309"/>
    <w:rsid w:val="00721222"/>
    <w:rsid w:val="00731F29"/>
    <w:rsid w:val="00732BC9"/>
    <w:rsid w:val="007351BA"/>
    <w:rsid w:val="007402D1"/>
    <w:rsid w:val="00742B90"/>
    <w:rsid w:val="00743DC0"/>
    <w:rsid w:val="00745C75"/>
    <w:rsid w:val="00747E80"/>
    <w:rsid w:val="00750BD1"/>
    <w:rsid w:val="007554BB"/>
    <w:rsid w:val="00757D87"/>
    <w:rsid w:val="00760E8B"/>
    <w:rsid w:val="00767949"/>
    <w:rsid w:val="0077172F"/>
    <w:rsid w:val="007761CD"/>
    <w:rsid w:val="00786DF7"/>
    <w:rsid w:val="00792288"/>
    <w:rsid w:val="00793D3B"/>
    <w:rsid w:val="00796910"/>
    <w:rsid w:val="00796F76"/>
    <w:rsid w:val="007A09E5"/>
    <w:rsid w:val="007A3217"/>
    <w:rsid w:val="007A34C2"/>
    <w:rsid w:val="007A6600"/>
    <w:rsid w:val="007C2389"/>
    <w:rsid w:val="007C7DCE"/>
    <w:rsid w:val="007E261A"/>
    <w:rsid w:val="007E700D"/>
    <w:rsid w:val="007F039F"/>
    <w:rsid w:val="007F14E7"/>
    <w:rsid w:val="007F5DD0"/>
    <w:rsid w:val="007F6A87"/>
    <w:rsid w:val="0080299D"/>
    <w:rsid w:val="00805916"/>
    <w:rsid w:val="00807DEC"/>
    <w:rsid w:val="0081129F"/>
    <w:rsid w:val="008112B4"/>
    <w:rsid w:val="00813EE5"/>
    <w:rsid w:val="00816F5C"/>
    <w:rsid w:val="0082634A"/>
    <w:rsid w:val="008277DC"/>
    <w:rsid w:val="0083288C"/>
    <w:rsid w:val="00832EA6"/>
    <w:rsid w:val="00834486"/>
    <w:rsid w:val="00835E25"/>
    <w:rsid w:val="0084315B"/>
    <w:rsid w:val="00846C48"/>
    <w:rsid w:val="008500E9"/>
    <w:rsid w:val="00850EEC"/>
    <w:rsid w:val="0085230F"/>
    <w:rsid w:val="00853D9E"/>
    <w:rsid w:val="008563FB"/>
    <w:rsid w:val="00857BC8"/>
    <w:rsid w:val="00863166"/>
    <w:rsid w:val="0086499C"/>
    <w:rsid w:val="00866365"/>
    <w:rsid w:val="008702AE"/>
    <w:rsid w:val="00871555"/>
    <w:rsid w:val="008762C0"/>
    <w:rsid w:val="00876E94"/>
    <w:rsid w:val="0088027B"/>
    <w:rsid w:val="0088091E"/>
    <w:rsid w:val="00881FCA"/>
    <w:rsid w:val="0088226D"/>
    <w:rsid w:val="00882DC3"/>
    <w:rsid w:val="00886F47"/>
    <w:rsid w:val="0089252C"/>
    <w:rsid w:val="00895468"/>
    <w:rsid w:val="008A307A"/>
    <w:rsid w:val="008A4646"/>
    <w:rsid w:val="008A54BF"/>
    <w:rsid w:val="008A656F"/>
    <w:rsid w:val="008B22B0"/>
    <w:rsid w:val="008B6C7A"/>
    <w:rsid w:val="008B6EB7"/>
    <w:rsid w:val="008C1F2E"/>
    <w:rsid w:val="008C5035"/>
    <w:rsid w:val="008C78DA"/>
    <w:rsid w:val="008D0AD0"/>
    <w:rsid w:val="008D33F2"/>
    <w:rsid w:val="008D45A6"/>
    <w:rsid w:val="008D4895"/>
    <w:rsid w:val="008D596D"/>
    <w:rsid w:val="008D5D34"/>
    <w:rsid w:val="008E4A06"/>
    <w:rsid w:val="008F233D"/>
    <w:rsid w:val="008F383E"/>
    <w:rsid w:val="0090642E"/>
    <w:rsid w:val="00906C48"/>
    <w:rsid w:val="00912945"/>
    <w:rsid w:val="00912A42"/>
    <w:rsid w:val="00912EEF"/>
    <w:rsid w:val="009137E3"/>
    <w:rsid w:val="00915265"/>
    <w:rsid w:val="0092214F"/>
    <w:rsid w:val="00927C81"/>
    <w:rsid w:val="0093049E"/>
    <w:rsid w:val="00933E07"/>
    <w:rsid w:val="0093506E"/>
    <w:rsid w:val="009414F4"/>
    <w:rsid w:val="00942087"/>
    <w:rsid w:val="0094389E"/>
    <w:rsid w:val="00946C45"/>
    <w:rsid w:val="00951C12"/>
    <w:rsid w:val="00954A7C"/>
    <w:rsid w:val="00956E30"/>
    <w:rsid w:val="00964A74"/>
    <w:rsid w:val="0096651D"/>
    <w:rsid w:val="0096667D"/>
    <w:rsid w:val="0097165F"/>
    <w:rsid w:val="009763F6"/>
    <w:rsid w:val="00976B34"/>
    <w:rsid w:val="00980745"/>
    <w:rsid w:val="00984A2C"/>
    <w:rsid w:val="009903FC"/>
    <w:rsid w:val="0099114E"/>
    <w:rsid w:val="00996AF4"/>
    <w:rsid w:val="009A11DB"/>
    <w:rsid w:val="009A1380"/>
    <w:rsid w:val="009A28A1"/>
    <w:rsid w:val="009A4049"/>
    <w:rsid w:val="009A7929"/>
    <w:rsid w:val="009B0703"/>
    <w:rsid w:val="009B1B89"/>
    <w:rsid w:val="009B20C5"/>
    <w:rsid w:val="009B22D3"/>
    <w:rsid w:val="009B28ED"/>
    <w:rsid w:val="009B2BE6"/>
    <w:rsid w:val="009B357E"/>
    <w:rsid w:val="009B45C7"/>
    <w:rsid w:val="009B5813"/>
    <w:rsid w:val="009B7092"/>
    <w:rsid w:val="009B75CD"/>
    <w:rsid w:val="009B77CC"/>
    <w:rsid w:val="009C0365"/>
    <w:rsid w:val="009C23D8"/>
    <w:rsid w:val="009C2921"/>
    <w:rsid w:val="009C7061"/>
    <w:rsid w:val="009D38E5"/>
    <w:rsid w:val="009E4145"/>
    <w:rsid w:val="009E6FAB"/>
    <w:rsid w:val="009F5E58"/>
    <w:rsid w:val="00A00C95"/>
    <w:rsid w:val="00A01B74"/>
    <w:rsid w:val="00A01D98"/>
    <w:rsid w:val="00A02A2C"/>
    <w:rsid w:val="00A03036"/>
    <w:rsid w:val="00A04CBB"/>
    <w:rsid w:val="00A06F6F"/>
    <w:rsid w:val="00A10BDB"/>
    <w:rsid w:val="00A1318C"/>
    <w:rsid w:val="00A163EC"/>
    <w:rsid w:val="00A17615"/>
    <w:rsid w:val="00A20724"/>
    <w:rsid w:val="00A238EA"/>
    <w:rsid w:val="00A25C66"/>
    <w:rsid w:val="00A26D1C"/>
    <w:rsid w:val="00A30D96"/>
    <w:rsid w:val="00A30F1D"/>
    <w:rsid w:val="00A35A9B"/>
    <w:rsid w:val="00A36F78"/>
    <w:rsid w:val="00A435CE"/>
    <w:rsid w:val="00A43A43"/>
    <w:rsid w:val="00A604FD"/>
    <w:rsid w:val="00A66955"/>
    <w:rsid w:val="00A7619E"/>
    <w:rsid w:val="00A82DBB"/>
    <w:rsid w:val="00A85704"/>
    <w:rsid w:val="00A87317"/>
    <w:rsid w:val="00A90861"/>
    <w:rsid w:val="00A91322"/>
    <w:rsid w:val="00A91743"/>
    <w:rsid w:val="00A94E68"/>
    <w:rsid w:val="00A967FE"/>
    <w:rsid w:val="00AA4FDE"/>
    <w:rsid w:val="00AA5B69"/>
    <w:rsid w:val="00AA7077"/>
    <w:rsid w:val="00AB1A72"/>
    <w:rsid w:val="00AB202E"/>
    <w:rsid w:val="00AB23BB"/>
    <w:rsid w:val="00AB4693"/>
    <w:rsid w:val="00AB4BAD"/>
    <w:rsid w:val="00AC0C44"/>
    <w:rsid w:val="00AC244A"/>
    <w:rsid w:val="00AC374F"/>
    <w:rsid w:val="00AC3D4B"/>
    <w:rsid w:val="00AC756D"/>
    <w:rsid w:val="00AD10BA"/>
    <w:rsid w:val="00AD69B3"/>
    <w:rsid w:val="00AE31EC"/>
    <w:rsid w:val="00AE34C4"/>
    <w:rsid w:val="00AE4D54"/>
    <w:rsid w:val="00AF281E"/>
    <w:rsid w:val="00AF3CD8"/>
    <w:rsid w:val="00AF5233"/>
    <w:rsid w:val="00B0115A"/>
    <w:rsid w:val="00B019AB"/>
    <w:rsid w:val="00B01A70"/>
    <w:rsid w:val="00B04850"/>
    <w:rsid w:val="00B05259"/>
    <w:rsid w:val="00B14FD2"/>
    <w:rsid w:val="00B15C90"/>
    <w:rsid w:val="00B421DB"/>
    <w:rsid w:val="00B44AB8"/>
    <w:rsid w:val="00B47254"/>
    <w:rsid w:val="00B5181E"/>
    <w:rsid w:val="00B53DB1"/>
    <w:rsid w:val="00B55343"/>
    <w:rsid w:val="00B64997"/>
    <w:rsid w:val="00B70D4D"/>
    <w:rsid w:val="00B9072D"/>
    <w:rsid w:val="00B92A99"/>
    <w:rsid w:val="00B96949"/>
    <w:rsid w:val="00BA3EF2"/>
    <w:rsid w:val="00BB35C6"/>
    <w:rsid w:val="00BB4142"/>
    <w:rsid w:val="00BB4FE6"/>
    <w:rsid w:val="00BB5FBA"/>
    <w:rsid w:val="00BB6FDD"/>
    <w:rsid w:val="00BC248B"/>
    <w:rsid w:val="00BC380A"/>
    <w:rsid w:val="00BC5ECD"/>
    <w:rsid w:val="00BC6980"/>
    <w:rsid w:val="00BD5CFA"/>
    <w:rsid w:val="00BE15F9"/>
    <w:rsid w:val="00BE170E"/>
    <w:rsid w:val="00BF2FB4"/>
    <w:rsid w:val="00C00DA1"/>
    <w:rsid w:val="00C01105"/>
    <w:rsid w:val="00C013B5"/>
    <w:rsid w:val="00C079CC"/>
    <w:rsid w:val="00C112A7"/>
    <w:rsid w:val="00C1175F"/>
    <w:rsid w:val="00C11A92"/>
    <w:rsid w:val="00C17DE0"/>
    <w:rsid w:val="00C20883"/>
    <w:rsid w:val="00C25128"/>
    <w:rsid w:val="00C265AD"/>
    <w:rsid w:val="00C31676"/>
    <w:rsid w:val="00C32867"/>
    <w:rsid w:val="00C358A8"/>
    <w:rsid w:val="00C36CF6"/>
    <w:rsid w:val="00C373E7"/>
    <w:rsid w:val="00C40210"/>
    <w:rsid w:val="00C417FB"/>
    <w:rsid w:val="00C44035"/>
    <w:rsid w:val="00C445B7"/>
    <w:rsid w:val="00C456D8"/>
    <w:rsid w:val="00C53751"/>
    <w:rsid w:val="00C579CE"/>
    <w:rsid w:val="00C6118D"/>
    <w:rsid w:val="00C65B6F"/>
    <w:rsid w:val="00C65CE1"/>
    <w:rsid w:val="00C70EB4"/>
    <w:rsid w:val="00C71AD8"/>
    <w:rsid w:val="00C73A74"/>
    <w:rsid w:val="00C756E3"/>
    <w:rsid w:val="00C802E2"/>
    <w:rsid w:val="00C8098D"/>
    <w:rsid w:val="00C80FC1"/>
    <w:rsid w:val="00C8164A"/>
    <w:rsid w:val="00C92DC2"/>
    <w:rsid w:val="00C93185"/>
    <w:rsid w:val="00CA6E19"/>
    <w:rsid w:val="00CA7088"/>
    <w:rsid w:val="00CB02D4"/>
    <w:rsid w:val="00CB4460"/>
    <w:rsid w:val="00CB7B82"/>
    <w:rsid w:val="00CC254C"/>
    <w:rsid w:val="00CC2AB6"/>
    <w:rsid w:val="00CC4D76"/>
    <w:rsid w:val="00CD0D77"/>
    <w:rsid w:val="00CD0FEA"/>
    <w:rsid w:val="00CD122E"/>
    <w:rsid w:val="00CD1C75"/>
    <w:rsid w:val="00CD4334"/>
    <w:rsid w:val="00CD6455"/>
    <w:rsid w:val="00CE4673"/>
    <w:rsid w:val="00CE65FD"/>
    <w:rsid w:val="00CE6ECB"/>
    <w:rsid w:val="00CF1962"/>
    <w:rsid w:val="00CF1B10"/>
    <w:rsid w:val="00CF6911"/>
    <w:rsid w:val="00CF7BAA"/>
    <w:rsid w:val="00D013BF"/>
    <w:rsid w:val="00D03887"/>
    <w:rsid w:val="00D049BA"/>
    <w:rsid w:val="00D101FC"/>
    <w:rsid w:val="00D11F02"/>
    <w:rsid w:val="00D1740A"/>
    <w:rsid w:val="00D20886"/>
    <w:rsid w:val="00D23210"/>
    <w:rsid w:val="00D27D95"/>
    <w:rsid w:val="00D37D29"/>
    <w:rsid w:val="00D415BA"/>
    <w:rsid w:val="00D419C6"/>
    <w:rsid w:val="00D41FCD"/>
    <w:rsid w:val="00D62B66"/>
    <w:rsid w:val="00D635A1"/>
    <w:rsid w:val="00D70AEE"/>
    <w:rsid w:val="00D70ECB"/>
    <w:rsid w:val="00D73ABC"/>
    <w:rsid w:val="00D75076"/>
    <w:rsid w:val="00D76DD7"/>
    <w:rsid w:val="00D770A8"/>
    <w:rsid w:val="00D81018"/>
    <w:rsid w:val="00D81518"/>
    <w:rsid w:val="00D816BA"/>
    <w:rsid w:val="00D81C3D"/>
    <w:rsid w:val="00D8300A"/>
    <w:rsid w:val="00D8688B"/>
    <w:rsid w:val="00D87C28"/>
    <w:rsid w:val="00D90255"/>
    <w:rsid w:val="00D9780A"/>
    <w:rsid w:val="00DA282E"/>
    <w:rsid w:val="00DA7150"/>
    <w:rsid w:val="00DB3F0F"/>
    <w:rsid w:val="00DB5E48"/>
    <w:rsid w:val="00DB7C09"/>
    <w:rsid w:val="00DC2498"/>
    <w:rsid w:val="00DC568E"/>
    <w:rsid w:val="00DC5840"/>
    <w:rsid w:val="00DE11C9"/>
    <w:rsid w:val="00DE6979"/>
    <w:rsid w:val="00DE6F89"/>
    <w:rsid w:val="00DE734B"/>
    <w:rsid w:val="00DE7691"/>
    <w:rsid w:val="00DF0644"/>
    <w:rsid w:val="00DF16DD"/>
    <w:rsid w:val="00DF260B"/>
    <w:rsid w:val="00DF2776"/>
    <w:rsid w:val="00DF66CB"/>
    <w:rsid w:val="00E20DDD"/>
    <w:rsid w:val="00E23338"/>
    <w:rsid w:val="00E24A67"/>
    <w:rsid w:val="00E25A3D"/>
    <w:rsid w:val="00E2681E"/>
    <w:rsid w:val="00E301D5"/>
    <w:rsid w:val="00E318D9"/>
    <w:rsid w:val="00E33F8E"/>
    <w:rsid w:val="00E34730"/>
    <w:rsid w:val="00E478C8"/>
    <w:rsid w:val="00E52525"/>
    <w:rsid w:val="00E7107D"/>
    <w:rsid w:val="00E72DA8"/>
    <w:rsid w:val="00E75289"/>
    <w:rsid w:val="00E761CF"/>
    <w:rsid w:val="00E80B2E"/>
    <w:rsid w:val="00E86E6B"/>
    <w:rsid w:val="00E874B2"/>
    <w:rsid w:val="00E91B3A"/>
    <w:rsid w:val="00E91D79"/>
    <w:rsid w:val="00E92782"/>
    <w:rsid w:val="00E92DFA"/>
    <w:rsid w:val="00E947FC"/>
    <w:rsid w:val="00E977E6"/>
    <w:rsid w:val="00EA4A29"/>
    <w:rsid w:val="00EA77EF"/>
    <w:rsid w:val="00EB4DA5"/>
    <w:rsid w:val="00EC13C5"/>
    <w:rsid w:val="00EC2B17"/>
    <w:rsid w:val="00EC2BEE"/>
    <w:rsid w:val="00EC5AA0"/>
    <w:rsid w:val="00ED1302"/>
    <w:rsid w:val="00ED1816"/>
    <w:rsid w:val="00EE092E"/>
    <w:rsid w:val="00EE4313"/>
    <w:rsid w:val="00EF1907"/>
    <w:rsid w:val="00EF1AC6"/>
    <w:rsid w:val="00EF2DEA"/>
    <w:rsid w:val="00EF7279"/>
    <w:rsid w:val="00F03C82"/>
    <w:rsid w:val="00F04EFB"/>
    <w:rsid w:val="00F109AB"/>
    <w:rsid w:val="00F11806"/>
    <w:rsid w:val="00F144C2"/>
    <w:rsid w:val="00F17173"/>
    <w:rsid w:val="00F1734A"/>
    <w:rsid w:val="00F25E84"/>
    <w:rsid w:val="00F2622F"/>
    <w:rsid w:val="00F26267"/>
    <w:rsid w:val="00F41554"/>
    <w:rsid w:val="00F416F8"/>
    <w:rsid w:val="00F42040"/>
    <w:rsid w:val="00F4408D"/>
    <w:rsid w:val="00F44D16"/>
    <w:rsid w:val="00F450D5"/>
    <w:rsid w:val="00F4591F"/>
    <w:rsid w:val="00F55336"/>
    <w:rsid w:val="00F64FC2"/>
    <w:rsid w:val="00F73253"/>
    <w:rsid w:val="00F739A4"/>
    <w:rsid w:val="00F7493F"/>
    <w:rsid w:val="00F75F68"/>
    <w:rsid w:val="00F80D6C"/>
    <w:rsid w:val="00FA10CF"/>
    <w:rsid w:val="00FA234F"/>
    <w:rsid w:val="00FA7650"/>
    <w:rsid w:val="00FA7F51"/>
    <w:rsid w:val="00FB5F69"/>
    <w:rsid w:val="00FB61D5"/>
    <w:rsid w:val="00FC28BB"/>
    <w:rsid w:val="00FD0525"/>
    <w:rsid w:val="00FD5B97"/>
    <w:rsid w:val="00FE36BB"/>
    <w:rsid w:val="00FE68AA"/>
    <w:rsid w:val="00FE6A9E"/>
    <w:rsid w:val="00FF0C5B"/>
    <w:rsid w:val="00FF21EC"/>
    <w:rsid w:val="00FF32D4"/>
    <w:rsid w:val="00FF53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5380FA"/>
  <w15:docId w15:val="{360E3C02-991C-4A6C-82E0-60676194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00" w:line="264"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2"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88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2B1"/>
    <w:pPr>
      <w:spacing w:after="480" w:line="240" w:lineRule="auto"/>
    </w:pPr>
  </w:style>
  <w:style w:type="character" w:customStyle="1" w:styleId="HeaderChar">
    <w:name w:val="Header Char"/>
    <w:basedOn w:val="DefaultParagraphFont"/>
    <w:link w:val="Header"/>
    <w:uiPriority w:val="99"/>
    <w:rsid w:val="006672B1"/>
  </w:style>
  <w:style w:type="paragraph" w:styleId="Footer">
    <w:name w:val="footer"/>
    <w:basedOn w:val="Normal"/>
    <w:link w:val="FooterChar"/>
    <w:uiPriority w:val="99"/>
    <w:unhideWhenUsed/>
    <w:rsid w:val="00626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081"/>
  </w:style>
  <w:style w:type="paragraph" w:styleId="BalloonText">
    <w:name w:val="Balloon Text"/>
    <w:basedOn w:val="Normal"/>
    <w:link w:val="BalloonTextChar"/>
    <w:uiPriority w:val="99"/>
    <w:semiHidden/>
    <w:unhideWhenUsed/>
    <w:rsid w:val="00626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081"/>
    <w:rPr>
      <w:rFonts w:ascii="Tahoma" w:hAnsi="Tahoma" w:cs="Tahoma"/>
      <w:sz w:val="16"/>
      <w:szCs w:val="16"/>
    </w:rPr>
  </w:style>
  <w:style w:type="character" w:styleId="PlaceholderText">
    <w:name w:val="Placeholder Text"/>
    <w:basedOn w:val="DefaultParagraphFont"/>
    <w:uiPriority w:val="99"/>
    <w:semiHidden/>
    <w:rsid w:val="00C756E3"/>
    <w:rPr>
      <w:color w:val="808080"/>
    </w:rPr>
  </w:style>
  <w:style w:type="paragraph" w:styleId="Date">
    <w:name w:val="Date"/>
    <w:basedOn w:val="Normal"/>
    <w:next w:val="Normal"/>
    <w:link w:val="DateChar"/>
    <w:uiPriority w:val="99"/>
    <w:unhideWhenUsed/>
    <w:rsid w:val="00C756E3"/>
    <w:pPr>
      <w:spacing w:after="400"/>
    </w:pPr>
  </w:style>
  <w:style w:type="character" w:customStyle="1" w:styleId="DateChar">
    <w:name w:val="Date Char"/>
    <w:basedOn w:val="DefaultParagraphFont"/>
    <w:link w:val="Date"/>
    <w:uiPriority w:val="99"/>
    <w:rsid w:val="00C756E3"/>
  </w:style>
  <w:style w:type="paragraph" w:styleId="Salutation">
    <w:name w:val="Salutation"/>
    <w:basedOn w:val="Normal"/>
    <w:next w:val="Normal"/>
    <w:link w:val="SalutationChar"/>
    <w:uiPriority w:val="2"/>
    <w:unhideWhenUsed/>
    <w:qFormat/>
    <w:rsid w:val="00C756E3"/>
    <w:pPr>
      <w:spacing w:before="400" w:after="600"/>
    </w:pPr>
  </w:style>
  <w:style w:type="character" w:customStyle="1" w:styleId="SalutationChar">
    <w:name w:val="Salutation Char"/>
    <w:basedOn w:val="DefaultParagraphFont"/>
    <w:link w:val="Salutation"/>
    <w:uiPriority w:val="2"/>
    <w:rsid w:val="00D8300A"/>
  </w:style>
  <w:style w:type="paragraph" w:styleId="Closing">
    <w:name w:val="Closing"/>
    <w:basedOn w:val="Normal"/>
    <w:next w:val="Signature"/>
    <w:link w:val="ClosingChar"/>
    <w:uiPriority w:val="2"/>
    <w:unhideWhenUsed/>
    <w:qFormat/>
    <w:rsid w:val="005670A2"/>
    <w:pPr>
      <w:spacing w:before="600" w:after="960" w:line="240" w:lineRule="auto"/>
    </w:pPr>
  </w:style>
  <w:style w:type="character" w:customStyle="1" w:styleId="ClosingChar">
    <w:name w:val="Closing Char"/>
    <w:basedOn w:val="DefaultParagraphFont"/>
    <w:link w:val="Closing"/>
    <w:uiPriority w:val="2"/>
    <w:rsid w:val="00D8300A"/>
  </w:style>
  <w:style w:type="paragraph" w:styleId="Signature">
    <w:name w:val="Signature"/>
    <w:basedOn w:val="Normal"/>
    <w:next w:val="Normal"/>
    <w:link w:val="SignatureChar"/>
    <w:uiPriority w:val="2"/>
    <w:unhideWhenUsed/>
    <w:qFormat/>
    <w:rsid w:val="005670A2"/>
    <w:pPr>
      <w:spacing w:after="600" w:line="240" w:lineRule="auto"/>
    </w:pPr>
  </w:style>
  <w:style w:type="character" w:customStyle="1" w:styleId="SignatureChar">
    <w:name w:val="Signature Char"/>
    <w:basedOn w:val="DefaultParagraphFont"/>
    <w:link w:val="Signature"/>
    <w:uiPriority w:val="2"/>
    <w:rsid w:val="00D8300A"/>
  </w:style>
  <w:style w:type="paragraph" w:customStyle="1" w:styleId="CC">
    <w:name w:val="CC"/>
    <w:basedOn w:val="Signature"/>
    <w:uiPriority w:val="2"/>
    <w:qFormat/>
    <w:rsid w:val="0080299D"/>
    <w:pPr>
      <w:tabs>
        <w:tab w:val="left" w:pos="360"/>
      </w:tabs>
      <w:ind w:left="360" w:hanging="360"/>
    </w:pPr>
  </w:style>
  <w:style w:type="paragraph" w:styleId="NoSpacing">
    <w:name w:val="No Spacing"/>
    <w:uiPriority w:val="1"/>
    <w:qFormat/>
    <w:rsid w:val="00D8300A"/>
    <w:pPr>
      <w:spacing w:after="0"/>
    </w:pPr>
    <w:rPr>
      <w:lang w:val="en-GB"/>
    </w:rPr>
  </w:style>
  <w:style w:type="table" w:styleId="TableGrid">
    <w:name w:val="Table Grid"/>
    <w:basedOn w:val="TableNormal"/>
    <w:uiPriority w:val="59"/>
    <w:rsid w:val="00034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0347A8"/>
    <w:pPr>
      <w:spacing w:after="0" w:line="240" w:lineRule="auto"/>
    </w:pPr>
    <w:tblPr>
      <w:tblStyleRowBandSize w:val="1"/>
      <w:tblStyleColBandSize w:val="1"/>
      <w:tblBorders>
        <w:top w:val="single" w:sz="8" w:space="0" w:color="00B5E2" w:themeColor="accent2"/>
        <w:left w:val="single" w:sz="8" w:space="0" w:color="00B5E2" w:themeColor="accent2"/>
        <w:bottom w:val="single" w:sz="8" w:space="0" w:color="00B5E2" w:themeColor="accent2"/>
        <w:right w:val="single" w:sz="8" w:space="0" w:color="00B5E2" w:themeColor="accent2"/>
      </w:tblBorders>
    </w:tblPr>
    <w:tblStylePr w:type="firstRow">
      <w:pPr>
        <w:spacing w:before="0" w:after="0" w:line="240" w:lineRule="auto"/>
      </w:pPr>
      <w:rPr>
        <w:b/>
        <w:bCs/>
        <w:color w:val="FFFFFF" w:themeColor="background1"/>
      </w:rPr>
      <w:tblPr/>
      <w:tcPr>
        <w:shd w:val="clear" w:color="auto" w:fill="00B5E2" w:themeFill="accent2"/>
      </w:tcPr>
    </w:tblStylePr>
    <w:tblStylePr w:type="lastRow">
      <w:pPr>
        <w:spacing w:before="0" w:after="0" w:line="240" w:lineRule="auto"/>
      </w:pPr>
      <w:rPr>
        <w:b/>
        <w:bCs/>
      </w:rPr>
      <w:tblPr/>
      <w:tcPr>
        <w:tcBorders>
          <w:top w:val="double" w:sz="6" w:space="0" w:color="00B5E2" w:themeColor="accent2"/>
          <w:left w:val="single" w:sz="8" w:space="0" w:color="00B5E2" w:themeColor="accent2"/>
          <w:bottom w:val="single" w:sz="8" w:space="0" w:color="00B5E2" w:themeColor="accent2"/>
          <w:right w:val="single" w:sz="8" w:space="0" w:color="00B5E2" w:themeColor="accent2"/>
        </w:tcBorders>
      </w:tcPr>
    </w:tblStylePr>
    <w:tblStylePr w:type="firstCol">
      <w:rPr>
        <w:b/>
        <w:bCs/>
      </w:rPr>
    </w:tblStylePr>
    <w:tblStylePr w:type="lastCol">
      <w:rPr>
        <w:b/>
        <w:bCs/>
      </w:rPr>
    </w:tblStylePr>
    <w:tblStylePr w:type="band1Vert">
      <w:tblPr/>
      <w:tcPr>
        <w:tcBorders>
          <w:top w:val="single" w:sz="8" w:space="0" w:color="00B5E2" w:themeColor="accent2"/>
          <w:left w:val="single" w:sz="8" w:space="0" w:color="00B5E2" w:themeColor="accent2"/>
          <w:bottom w:val="single" w:sz="8" w:space="0" w:color="00B5E2" w:themeColor="accent2"/>
          <w:right w:val="single" w:sz="8" w:space="0" w:color="00B5E2" w:themeColor="accent2"/>
        </w:tcBorders>
      </w:tcPr>
    </w:tblStylePr>
    <w:tblStylePr w:type="band1Horz">
      <w:tblPr/>
      <w:tcPr>
        <w:tcBorders>
          <w:top w:val="single" w:sz="8" w:space="0" w:color="00B5E2" w:themeColor="accent2"/>
          <w:left w:val="single" w:sz="8" w:space="0" w:color="00B5E2" w:themeColor="accent2"/>
          <w:bottom w:val="single" w:sz="8" w:space="0" w:color="00B5E2" w:themeColor="accent2"/>
          <w:right w:val="single" w:sz="8" w:space="0" w:color="00B5E2" w:themeColor="accent2"/>
        </w:tcBorders>
      </w:tcPr>
    </w:tblStylePr>
  </w:style>
  <w:style w:type="table" w:styleId="LightShading-Accent1">
    <w:name w:val="Light Shading Accent 1"/>
    <w:basedOn w:val="TableNormal"/>
    <w:uiPriority w:val="60"/>
    <w:rsid w:val="000347A8"/>
    <w:pPr>
      <w:spacing w:after="0" w:line="240" w:lineRule="auto"/>
    </w:pPr>
    <w:rPr>
      <w:color w:val="00724C" w:themeColor="accent1" w:themeShade="BF"/>
    </w:rPr>
    <w:tblPr>
      <w:tblStyleRowBandSize w:val="1"/>
      <w:tblStyleColBandSize w:val="1"/>
      <w:tblBorders>
        <w:top w:val="single" w:sz="8" w:space="0" w:color="009966" w:themeColor="accent1"/>
        <w:bottom w:val="single" w:sz="8" w:space="0" w:color="009966" w:themeColor="accent1"/>
      </w:tblBorders>
    </w:tblPr>
    <w:tblStylePr w:type="firstRow">
      <w:pPr>
        <w:spacing w:before="0" w:after="0" w:line="240" w:lineRule="auto"/>
      </w:pPr>
      <w:rPr>
        <w:b/>
        <w:bCs/>
      </w:rPr>
      <w:tblPr/>
      <w:tcPr>
        <w:tcBorders>
          <w:top w:val="single" w:sz="8" w:space="0" w:color="009966" w:themeColor="accent1"/>
          <w:left w:val="nil"/>
          <w:bottom w:val="single" w:sz="8" w:space="0" w:color="009966" w:themeColor="accent1"/>
          <w:right w:val="nil"/>
          <w:insideH w:val="nil"/>
          <w:insideV w:val="nil"/>
        </w:tcBorders>
      </w:tcPr>
    </w:tblStylePr>
    <w:tblStylePr w:type="lastRow">
      <w:pPr>
        <w:spacing w:before="0" w:after="0" w:line="240" w:lineRule="auto"/>
      </w:pPr>
      <w:rPr>
        <w:b/>
        <w:bCs/>
      </w:rPr>
      <w:tblPr/>
      <w:tcPr>
        <w:tcBorders>
          <w:top w:val="single" w:sz="8" w:space="0" w:color="009966" w:themeColor="accent1"/>
          <w:left w:val="nil"/>
          <w:bottom w:val="single" w:sz="8" w:space="0" w:color="0099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E1" w:themeFill="accent1" w:themeFillTint="3F"/>
      </w:tcPr>
    </w:tblStylePr>
    <w:tblStylePr w:type="band1Horz">
      <w:tblPr/>
      <w:tcPr>
        <w:tcBorders>
          <w:left w:val="nil"/>
          <w:right w:val="nil"/>
          <w:insideH w:val="nil"/>
          <w:insideV w:val="nil"/>
        </w:tcBorders>
        <w:shd w:val="clear" w:color="auto" w:fill="A6FFE1" w:themeFill="accent1" w:themeFillTint="3F"/>
      </w:tcPr>
    </w:tblStylePr>
  </w:style>
  <w:style w:type="table" w:styleId="LightList-Accent1">
    <w:name w:val="Light List Accent 1"/>
    <w:basedOn w:val="TableNormal"/>
    <w:uiPriority w:val="61"/>
    <w:rsid w:val="000347A8"/>
    <w:pPr>
      <w:spacing w:after="0" w:line="240" w:lineRule="auto"/>
    </w:pPr>
    <w:tblPr>
      <w:tblStyleRowBandSize w:val="1"/>
      <w:tblStyleColBandSize w:val="1"/>
      <w:tblBorders>
        <w:top w:val="single" w:sz="8" w:space="0" w:color="009966" w:themeColor="accent1"/>
        <w:left w:val="single" w:sz="8" w:space="0" w:color="009966" w:themeColor="accent1"/>
        <w:bottom w:val="single" w:sz="8" w:space="0" w:color="009966" w:themeColor="accent1"/>
        <w:right w:val="single" w:sz="8" w:space="0" w:color="009966" w:themeColor="accent1"/>
      </w:tblBorders>
    </w:tblPr>
    <w:tblStylePr w:type="firstRow">
      <w:pPr>
        <w:spacing w:before="0" w:after="0" w:line="240" w:lineRule="auto"/>
      </w:pPr>
      <w:rPr>
        <w:b/>
        <w:bCs/>
        <w:color w:val="FFFFFF" w:themeColor="background1"/>
      </w:rPr>
      <w:tblPr/>
      <w:tcPr>
        <w:shd w:val="clear" w:color="auto" w:fill="009966" w:themeFill="accent1"/>
      </w:tcPr>
    </w:tblStylePr>
    <w:tblStylePr w:type="lastRow">
      <w:pPr>
        <w:spacing w:before="0" w:after="0" w:line="240" w:lineRule="auto"/>
      </w:pPr>
      <w:rPr>
        <w:b/>
        <w:bCs/>
      </w:rPr>
      <w:tblPr/>
      <w:tcPr>
        <w:tcBorders>
          <w:top w:val="double" w:sz="6" w:space="0" w:color="009966" w:themeColor="accent1"/>
          <w:left w:val="single" w:sz="8" w:space="0" w:color="009966" w:themeColor="accent1"/>
          <w:bottom w:val="single" w:sz="8" w:space="0" w:color="009966" w:themeColor="accent1"/>
          <w:right w:val="single" w:sz="8" w:space="0" w:color="009966" w:themeColor="accent1"/>
        </w:tcBorders>
      </w:tcPr>
    </w:tblStylePr>
    <w:tblStylePr w:type="firstCol">
      <w:rPr>
        <w:b/>
        <w:bCs/>
      </w:rPr>
    </w:tblStylePr>
    <w:tblStylePr w:type="lastCol">
      <w:rPr>
        <w:b/>
        <w:bCs/>
      </w:rPr>
    </w:tblStylePr>
    <w:tblStylePr w:type="band1Vert">
      <w:tblPr/>
      <w:tcPr>
        <w:tcBorders>
          <w:top w:val="single" w:sz="8" w:space="0" w:color="009966" w:themeColor="accent1"/>
          <w:left w:val="single" w:sz="8" w:space="0" w:color="009966" w:themeColor="accent1"/>
          <w:bottom w:val="single" w:sz="8" w:space="0" w:color="009966" w:themeColor="accent1"/>
          <w:right w:val="single" w:sz="8" w:space="0" w:color="009966" w:themeColor="accent1"/>
        </w:tcBorders>
      </w:tcPr>
    </w:tblStylePr>
    <w:tblStylePr w:type="band1Horz">
      <w:tblPr/>
      <w:tcPr>
        <w:tcBorders>
          <w:top w:val="single" w:sz="8" w:space="0" w:color="009966" w:themeColor="accent1"/>
          <w:left w:val="single" w:sz="8" w:space="0" w:color="009966" w:themeColor="accent1"/>
          <w:bottom w:val="single" w:sz="8" w:space="0" w:color="009966" w:themeColor="accent1"/>
          <w:right w:val="single" w:sz="8" w:space="0" w:color="009966" w:themeColor="accent1"/>
        </w:tcBorders>
      </w:tcPr>
    </w:tblStylePr>
  </w:style>
  <w:style w:type="paragraph" w:styleId="ListBullet">
    <w:name w:val="List Bullet"/>
    <w:basedOn w:val="Normal"/>
    <w:uiPriority w:val="3"/>
    <w:unhideWhenUsed/>
    <w:qFormat/>
    <w:rsid w:val="005A188B"/>
    <w:pPr>
      <w:numPr>
        <w:numId w:val="1"/>
      </w:numPr>
      <w:contextualSpacing/>
    </w:pPr>
  </w:style>
  <w:style w:type="paragraph" w:styleId="ListNumber">
    <w:name w:val="List Number"/>
    <w:basedOn w:val="Normal"/>
    <w:uiPriority w:val="3"/>
    <w:unhideWhenUsed/>
    <w:qFormat/>
    <w:rsid w:val="005A188B"/>
    <w:pPr>
      <w:numPr>
        <w:numId w:val="2"/>
      </w:numPr>
      <w:contextualSpacing/>
    </w:pPr>
  </w:style>
  <w:style w:type="table" w:customStyle="1" w:styleId="CFA">
    <w:name w:val="CFA"/>
    <w:basedOn w:val="TableNormal"/>
    <w:uiPriority w:val="99"/>
    <w:rsid w:val="00DB7C09"/>
    <w:pPr>
      <w:spacing w:after="0" w:line="240" w:lineRule="auto"/>
    </w:pPr>
    <w:tblPr>
      <w:tblBorders>
        <w:top w:val="single" w:sz="8" w:space="0" w:color="008ED6" w:themeColor="background2"/>
        <w:left w:val="single" w:sz="8" w:space="0" w:color="008ED6" w:themeColor="background2"/>
        <w:bottom w:val="single" w:sz="8" w:space="0" w:color="008ED6" w:themeColor="background2"/>
        <w:right w:val="single" w:sz="8" w:space="0" w:color="008ED6" w:themeColor="background2"/>
        <w:insideH w:val="single" w:sz="8" w:space="0" w:color="008ED6" w:themeColor="background2"/>
      </w:tblBorders>
    </w:tblPr>
    <w:tblStylePr w:type="firstRow">
      <w:rPr>
        <w:color w:val="FFFFFF" w:themeColor="background1"/>
      </w:rPr>
      <w:tblPr/>
      <w:tcPr>
        <w:shd w:val="clear" w:color="auto" w:fill="008ED6" w:themeFill="background2"/>
      </w:tcPr>
    </w:tblStylePr>
    <w:tblStylePr w:type="firstCol">
      <w:rPr>
        <w:b/>
      </w:rPr>
    </w:tblStylePr>
  </w:style>
  <w:style w:type="character" w:styleId="Hyperlink">
    <w:name w:val="Hyperlink"/>
    <w:basedOn w:val="DefaultParagraphFont"/>
    <w:uiPriority w:val="99"/>
    <w:unhideWhenUsed/>
    <w:rsid w:val="00AB202E"/>
    <w:rPr>
      <w:color w:val="5B77CC" w:themeColor="hyperlink"/>
      <w:u w:val="single"/>
    </w:rPr>
  </w:style>
  <w:style w:type="character" w:styleId="CommentReference">
    <w:name w:val="annotation reference"/>
    <w:basedOn w:val="DefaultParagraphFont"/>
    <w:uiPriority w:val="99"/>
    <w:semiHidden/>
    <w:unhideWhenUsed/>
    <w:rsid w:val="003D0D1F"/>
    <w:rPr>
      <w:sz w:val="16"/>
      <w:szCs w:val="16"/>
    </w:rPr>
  </w:style>
  <w:style w:type="paragraph" w:styleId="CommentText">
    <w:name w:val="annotation text"/>
    <w:basedOn w:val="Normal"/>
    <w:link w:val="CommentTextChar"/>
    <w:uiPriority w:val="99"/>
    <w:semiHidden/>
    <w:unhideWhenUsed/>
    <w:rsid w:val="003D0D1F"/>
    <w:pPr>
      <w:spacing w:line="240" w:lineRule="auto"/>
    </w:pPr>
  </w:style>
  <w:style w:type="character" w:customStyle="1" w:styleId="CommentTextChar">
    <w:name w:val="Comment Text Char"/>
    <w:basedOn w:val="DefaultParagraphFont"/>
    <w:link w:val="CommentText"/>
    <w:uiPriority w:val="99"/>
    <w:semiHidden/>
    <w:rsid w:val="003D0D1F"/>
    <w:rPr>
      <w:lang w:val="en-GB"/>
    </w:rPr>
  </w:style>
  <w:style w:type="paragraph" w:styleId="CommentSubject">
    <w:name w:val="annotation subject"/>
    <w:basedOn w:val="CommentText"/>
    <w:next w:val="CommentText"/>
    <w:link w:val="CommentSubjectChar"/>
    <w:uiPriority w:val="99"/>
    <w:semiHidden/>
    <w:unhideWhenUsed/>
    <w:rsid w:val="003D0D1F"/>
    <w:rPr>
      <w:b/>
      <w:bCs/>
    </w:rPr>
  </w:style>
  <w:style w:type="character" w:customStyle="1" w:styleId="CommentSubjectChar">
    <w:name w:val="Comment Subject Char"/>
    <w:basedOn w:val="CommentTextChar"/>
    <w:link w:val="CommentSubject"/>
    <w:uiPriority w:val="99"/>
    <w:semiHidden/>
    <w:rsid w:val="003D0D1F"/>
    <w:rPr>
      <w:b/>
      <w:bCs/>
      <w:lang w:val="en-GB"/>
    </w:rPr>
  </w:style>
  <w:style w:type="paragraph" w:styleId="ListParagraph">
    <w:name w:val="List Paragraph"/>
    <w:basedOn w:val="Normal"/>
    <w:uiPriority w:val="34"/>
    <w:unhideWhenUsed/>
    <w:qFormat/>
    <w:rsid w:val="00DE6F89"/>
    <w:pPr>
      <w:ind w:left="720"/>
      <w:contextualSpacing/>
    </w:pPr>
  </w:style>
  <w:style w:type="paragraph" w:styleId="FootnoteText">
    <w:name w:val="footnote text"/>
    <w:basedOn w:val="Normal"/>
    <w:link w:val="FootnoteTextChar"/>
    <w:uiPriority w:val="99"/>
    <w:semiHidden/>
    <w:unhideWhenUsed/>
    <w:rsid w:val="00596BB7"/>
    <w:pPr>
      <w:spacing w:after="0" w:line="240" w:lineRule="auto"/>
    </w:pPr>
  </w:style>
  <w:style w:type="character" w:customStyle="1" w:styleId="FootnoteTextChar">
    <w:name w:val="Footnote Text Char"/>
    <w:basedOn w:val="DefaultParagraphFont"/>
    <w:link w:val="FootnoteText"/>
    <w:uiPriority w:val="99"/>
    <w:semiHidden/>
    <w:rsid w:val="00596BB7"/>
    <w:rPr>
      <w:lang w:val="en-GB"/>
    </w:rPr>
  </w:style>
  <w:style w:type="character" w:styleId="FootnoteReference">
    <w:name w:val="footnote reference"/>
    <w:basedOn w:val="DefaultParagraphFont"/>
    <w:uiPriority w:val="99"/>
    <w:semiHidden/>
    <w:unhideWhenUsed/>
    <w:rsid w:val="00596BB7"/>
    <w:rPr>
      <w:vertAlign w:val="superscript"/>
    </w:rPr>
  </w:style>
  <w:style w:type="character" w:styleId="FollowedHyperlink">
    <w:name w:val="FollowedHyperlink"/>
    <w:basedOn w:val="DefaultParagraphFont"/>
    <w:uiPriority w:val="99"/>
    <w:semiHidden/>
    <w:unhideWhenUsed/>
    <w:rsid w:val="009A11DB"/>
    <w:rPr>
      <w:color w:val="5C068C" w:themeColor="followedHyperlink"/>
      <w:u w:val="single"/>
    </w:rPr>
  </w:style>
  <w:style w:type="paragraph" w:styleId="NormalWeb">
    <w:name w:val="Normal (Web)"/>
    <w:basedOn w:val="Normal"/>
    <w:uiPriority w:val="99"/>
    <w:semiHidden/>
    <w:unhideWhenUsed/>
    <w:rsid w:val="006F7B92"/>
    <w:rPr>
      <w:rFonts w:ascii="Times New Roman" w:hAnsi="Times New Roman" w:cs="Times New Roman"/>
      <w:sz w:val="24"/>
      <w:szCs w:val="24"/>
    </w:rPr>
  </w:style>
  <w:style w:type="paragraph" w:customStyle="1" w:styleId="Default">
    <w:name w:val="Default"/>
    <w:rsid w:val="00D27D95"/>
    <w:pPr>
      <w:autoSpaceDE w:val="0"/>
      <w:autoSpaceDN w:val="0"/>
      <w:adjustRightInd w:val="0"/>
      <w:spacing w:after="0" w:line="240" w:lineRule="auto"/>
    </w:pPr>
    <w:rPr>
      <w:rFonts w:ascii="Segoe UI" w:hAnsi="Segoe UI" w:cs="Segoe UI"/>
      <w:color w:val="000000"/>
      <w:sz w:val="24"/>
      <w:szCs w:val="24"/>
    </w:rPr>
  </w:style>
  <w:style w:type="paragraph" w:styleId="Revision">
    <w:name w:val="Revision"/>
    <w:hidden/>
    <w:uiPriority w:val="99"/>
    <w:semiHidden/>
    <w:rsid w:val="00BC248B"/>
    <w:pPr>
      <w:spacing w:after="0" w:line="240" w:lineRule="auto"/>
    </w:pPr>
    <w:rPr>
      <w:lang w:val="en-GB"/>
    </w:rPr>
  </w:style>
  <w:style w:type="paragraph" w:customStyle="1" w:styleId="p1">
    <w:name w:val="p1"/>
    <w:basedOn w:val="Normal"/>
    <w:rsid w:val="00C456D8"/>
    <w:pPr>
      <w:spacing w:after="0" w:line="240" w:lineRule="auto"/>
    </w:pPr>
    <w:rPr>
      <w:rFonts w:ascii="Arial" w:hAnsi="Arial" w:cs="Arial"/>
      <w:sz w:val="17"/>
      <w:szCs w:val="17"/>
      <w:lang w:eastAsia="en-GB"/>
    </w:rPr>
  </w:style>
  <w:style w:type="character" w:customStyle="1" w:styleId="s1">
    <w:name w:val="s1"/>
    <w:basedOn w:val="DefaultParagraphFont"/>
    <w:rsid w:val="00C456D8"/>
  </w:style>
  <w:style w:type="character" w:customStyle="1" w:styleId="apple-converted-space">
    <w:name w:val="apple-converted-space"/>
    <w:basedOn w:val="DefaultParagraphFont"/>
    <w:rsid w:val="00C45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9680">
      <w:bodyDiv w:val="1"/>
      <w:marLeft w:val="0"/>
      <w:marRight w:val="0"/>
      <w:marTop w:val="0"/>
      <w:marBottom w:val="0"/>
      <w:divBdr>
        <w:top w:val="none" w:sz="0" w:space="0" w:color="auto"/>
        <w:left w:val="none" w:sz="0" w:space="0" w:color="auto"/>
        <w:bottom w:val="none" w:sz="0" w:space="0" w:color="auto"/>
        <w:right w:val="none" w:sz="0" w:space="0" w:color="auto"/>
      </w:divBdr>
    </w:div>
    <w:div w:id="681054638">
      <w:bodyDiv w:val="1"/>
      <w:marLeft w:val="0"/>
      <w:marRight w:val="0"/>
      <w:marTop w:val="0"/>
      <w:marBottom w:val="0"/>
      <w:divBdr>
        <w:top w:val="none" w:sz="0" w:space="0" w:color="auto"/>
        <w:left w:val="none" w:sz="0" w:space="0" w:color="auto"/>
        <w:bottom w:val="none" w:sz="0" w:space="0" w:color="auto"/>
        <w:right w:val="none" w:sz="0" w:space="0" w:color="auto"/>
      </w:divBdr>
      <w:divsChild>
        <w:div w:id="839660225">
          <w:marLeft w:val="0"/>
          <w:marRight w:val="0"/>
          <w:marTop w:val="0"/>
          <w:marBottom w:val="0"/>
          <w:divBdr>
            <w:top w:val="none" w:sz="0" w:space="0" w:color="auto"/>
            <w:left w:val="none" w:sz="0" w:space="0" w:color="auto"/>
            <w:bottom w:val="none" w:sz="0" w:space="0" w:color="auto"/>
            <w:right w:val="none" w:sz="0" w:space="0" w:color="auto"/>
          </w:divBdr>
          <w:divsChild>
            <w:div w:id="1952665090">
              <w:marLeft w:val="0"/>
              <w:marRight w:val="0"/>
              <w:marTop w:val="0"/>
              <w:marBottom w:val="0"/>
              <w:divBdr>
                <w:top w:val="none" w:sz="0" w:space="0" w:color="auto"/>
                <w:left w:val="none" w:sz="0" w:space="0" w:color="auto"/>
                <w:bottom w:val="none" w:sz="0" w:space="0" w:color="auto"/>
                <w:right w:val="none" w:sz="0" w:space="0" w:color="auto"/>
              </w:divBdr>
              <w:divsChild>
                <w:div w:id="1229917405">
                  <w:marLeft w:val="0"/>
                  <w:marRight w:val="0"/>
                  <w:marTop w:val="0"/>
                  <w:marBottom w:val="0"/>
                  <w:divBdr>
                    <w:top w:val="none" w:sz="0" w:space="0" w:color="auto"/>
                    <w:left w:val="none" w:sz="0" w:space="0" w:color="auto"/>
                    <w:bottom w:val="none" w:sz="0" w:space="0" w:color="auto"/>
                    <w:right w:val="none" w:sz="0" w:space="0" w:color="auto"/>
                  </w:divBdr>
                  <w:divsChild>
                    <w:div w:id="579632002">
                      <w:marLeft w:val="0"/>
                      <w:marRight w:val="0"/>
                      <w:marTop w:val="0"/>
                      <w:marBottom w:val="0"/>
                      <w:divBdr>
                        <w:top w:val="none" w:sz="0" w:space="0" w:color="auto"/>
                        <w:left w:val="none" w:sz="0" w:space="0" w:color="auto"/>
                        <w:bottom w:val="none" w:sz="0" w:space="0" w:color="auto"/>
                        <w:right w:val="none" w:sz="0" w:space="0" w:color="auto"/>
                      </w:divBdr>
                      <w:divsChild>
                        <w:div w:id="1730760997">
                          <w:marLeft w:val="0"/>
                          <w:marRight w:val="0"/>
                          <w:marTop w:val="0"/>
                          <w:marBottom w:val="0"/>
                          <w:divBdr>
                            <w:top w:val="none" w:sz="0" w:space="0" w:color="auto"/>
                            <w:left w:val="none" w:sz="0" w:space="0" w:color="auto"/>
                            <w:bottom w:val="none" w:sz="0" w:space="0" w:color="auto"/>
                            <w:right w:val="none" w:sz="0" w:space="0" w:color="auto"/>
                          </w:divBdr>
                          <w:divsChild>
                            <w:div w:id="9687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869179">
      <w:bodyDiv w:val="1"/>
      <w:marLeft w:val="0"/>
      <w:marRight w:val="0"/>
      <w:marTop w:val="0"/>
      <w:marBottom w:val="0"/>
      <w:divBdr>
        <w:top w:val="none" w:sz="0" w:space="0" w:color="auto"/>
        <w:left w:val="none" w:sz="0" w:space="0" w:color="auto"/>
        <w:bottom w:val="none" w:sz="0" w:space="0" w:color="auto"/>
        <w:right w:val="none" w:sz="0" w:space="0" w:color="auto"/>
      </w:divBdr>
    </w:div>
    <w:div w:id="1151412063">
      <w:bodyDiv w:val="1"/>
      <w:marLeft w:val="0"/>
      <w:marRight w:val="0"/>
      <w:marTop w:val="0"/>
      <w:marBottom w:val="0"/>
      <w:divBdr>
        <w:top w:val="none" w:sz="0" w:space="0" w:color="auto"/>
        <w:left w:val="none" w:sz="0" w:space="0" w:color="auto"/>
        <w:bottom w:val="none" w:sz="0" w:space="0" w:color="auto"/>
        <w:right w:val="none" w:sz="0" w:space="0" w:color="auto"/>
      </w:divBdr>
      <w:divsChild>
        <w:div w:id="548148390">
          <w:marLeft w:val="0"/>
          <w:marRight w:val="0"/>
          <w:marTop w:val="0"/>
          <w:marBottom w:val="0"/>
          <w:divBdr>
            <w:top w:val="none" w:sz="0" w:space="0" w:color="auto"/>
            <w:left w:val="none" w:sz="0" w:space="0" w:color="auto"/>
            <w:bottom w:val="none" w:sz="0" w:space="0" w:color="auto"/>
            <w:right w:val="none" w:sz="0" w:space="0" w:color="auto"/>
          </w:divBdr>
          <w:divsChild>
            <w:div w:id="1802915319">
              <w:marLeft w:val="0"/>
              <w:marRight w:val="0"/>
              <w:marTop w:val="0"/>
              <w:marBottom w:val="0"/>
              <w:divBdr>
                <w:top w:val="none" w:sz="0" w:space="0" w:color="auto"/>
                <w:left w:val="none" w:sz="0" w:space="0" w:color="auto"/>
                <w:bottom w:val="none" w:sz="0" w:space="0" w:color="auto"/>
                <w:right w:val="none" w:sz="0" w:space="0" w:color="auto"/>
              </w:divBdr>
              <w:divsChild>
                <w:div w:id="207886514">
                  <w:marLeft w:val="0"/>
                  <w:marRight w:val="0"/>
                  <w:marTop w:val="0"/>
                  <w:marBottom w:val="0"/>
                  <w:divBdr>
                    <w:top w:val="none" w:sz="0" w:space="0" w:color="auto"/>
                    <w:left w:val="none" w:sz="0" w:space="0" w:color="auto"/>
                    <w:bottom w:val="none" w:sz="0" w:space="0" w:color="auto"/>
                    <w:right w:val="none" w:sz="0" w:space="0" w:color="auto"/>
                  </w:divBdr>
                  <w:divsChild>
                    <w:div w:id="2141143562">
                      <w:marLeft w:val="0"/>
                      <w:marRight w:val="0"/>
                      <w:marTop w:val="0"/>
                      <w:marBottom w:val="0"/>
                      <w:divBdr>
                        <w:top w:val="none" w:sz="0" w:space="0" w:color="auto"/>
                        <w:left w:val="none" w:sz="0" w:space="0" w:color="auto"/>
                        <w:bottom w:val="none" w:sz="0" w:space="0" w:color="auto"/>
                        <w:right w:val="none" w:sz="0" w:space="0" w:color="auto"/>
                      </w:divBdr>
                      <w:divsChild>
                        <w:div w:id="1869760577">
                          <w:marLeft w:val="0"/>
                          <w:marRight w:val="0"/>
                          <w:marTop w:val="0"/>
                          <w:marBottom w:val="0"/>
                          <w:divBdr>
                            <w:top w:val="none" w:sz="0" w:space="0" w:color="auto"/>
                            <w:left w:val="none" w:sz="0" w:space="0" w:color="auto"/>
                            <w:bottom w:val="none" w:sz="0" w:space="0" w:color="auto"/>
                            <w:right w:val="none" w:sz="0" w:space="0" w:color="auto"/>
                          </w:divBdr>
                          <w:divsChild>
                            <w:div w:id="9591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334698">
      <w:bodyDiv w:val="1"/>
      <w:marLeft w:val="0"/>
      <w:marRight w:val="0"/>
      <w:marTop w:val="0"/>
      <w:marBottom w:val="0"/>
      <w:divBdr>
        <w:top w:val="none" w:sz="0" w:space="0" w:color="auto"/>
        <w:left w:val="none" w:sz="0" w:space="0" w:color="auto"/>
        <w:bottom w:val="none" w:sz="0" w:space="0" w:color="auto"/>
        <w:right w:val="none" w:sz="0" w:space="0" w:color="auto"/>
      </w:divBdr>
    </w:div>
    <w:div w:id="21103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viatoslav.rosov@cfainstitute.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hodri.preece@cfainstitut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r\AppData\Roaming\Microsoft\Templates\CFA%20Letterhea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8D8E8C6FDB4D178D2F5F8BF883C42F"/>
        <w:category>
          <w:name w:val="General"/>
          <w:gallery w:val="placeholder"/>
        </w:category>
        <w:types>
          <w:type w:val="bbPlcHdr"/>
        </w:types>
        <w:behaviors>
          <w:behavior w:val="content"/>
        </w:behaviors>
        <w:guid w:val="{5D3AA1F8-C2B9-4DE7-8B63-7474B6DB0CA6}"/>
      </w:docPartPr>
      <w:docPartBody>
        <w:p w:rsidR="00554B1E" w:rsidRDefault="00554B1E" w:rsidP="00554B1E">
          <w:pPr>
            <w:pStyle w:val="A38D8E8C6FDB4D178D2F5F8BF883C42F"/>
          </w:pPr>
          <w:r>
            <w:t>[Click here to 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PGothic">
    <w:altName w:val="ＭＳ Ｐゴシック"/>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Yu Mincho">
    <w:charset w:val="80"/>
    <w:family w:val="auto"/>
    <w:pitch w:val="variable"/>
    <w:sig w:usb0="800002E7" w:usb1="2AC7FCFF" w:usb2="00000012" w:usb3="00000000" w:csb0="0002009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554B1E"/>
    <w:rsid w:val="0005366A"/>
    <w:rsid w:val="00162118"/>
    <w:rsid w:val="00164247"/>
    <w:rsid w:val="001D3F58"/>
    <w:rsid w:val="0021253C"/>
    <w:rsid w:val="00284072"/>
    <w:rsid w:val="00292844"/>
    <w:rsid w:val="002B3FD0"/>
    <w:rsid w:val="002E0074"/>
    <w:rsid w:val="002E1011"/>
    <w:rsid w:val="003950A8"/>
    <w:rsid w:val="003F45E4"/>
    <w:rsid w:val="00432031"/>
    <w:rsid w:val="00436322"/>
    <w:rsid w:val="00493A9A"/>
    <w:rsid w:val="00554B1E"/>
    <w:rsid w:val="0059386D"/>
    <w:rsid w:val="00611635"/>
    <w:rsid w:val="006C679F"/>
    <w:rsid w:val="006F742A"/>
    <w:rsid w:val="00974920"/>
    <w:rsid w:val="00994857"/>
    <w:rsid w:val="009A6448"/>
    <w:rsid w:val="009D3313"/>
    <w:rsid w:val="00A64820"/>
    <w:rsid w:val="00A90E24"/>
    <w:rsid w:val="00AE7649"/>
    <w:rsid w:val="00B437BD"/>
    <w:rsid w:val="00BE0728"/>
    <w:rsid w:val="00C7366E"/>
    <w:rsid w:val="00D52097"/>
    <w:rsid w:val="00D62237"/>
    <w:rsid w:val="00D779BE"/>
    <w:rsid w:val="00E34FCB"/>
    <w:rsid w:val="00E4268F"/>
    <w:rsid w:val="00E65007"/>
    <w:rsid w:val="00F41A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BC3264BDE644CAB3E7F22435B68C49">
    <w:name w:val="B9BC3264BDE644CAB3E7F22435B68C49"/>
    <w:rsid w:val="00E34FCB"/>
  </w:style>
  <w:style w:type="paragraph" w:customStyle="1" w:styleId="11D6B26200D1448A850F85CCF52112D3">
    <w:name w:val="11D6B26200D1448A850F85CCF52112D3"/>
    <w:rsid w:val="00E34FCB"/>
  </w:style>
  <w:style w:type="paragraph" w:customStyle="1" w:styleId="9B5AAD2D6D214653A7F540216B66B30C">
    <w:name w:val="9B5AAD2D6D214653A7F540216B66B30C"/>
    <w:rsid w:val="00E34FCB"/>
  </w:style>
  <w:style w:type="paragraph" w:customStyle="1" w:styleId="DB6D16998E404A78AF2B05AA94A1F10C">
    <w:name w:val="DB6D16998E404A78AF2B05AA94A1F10C"/>
    <w:rsid w:val="00E34FCB"/>
  </w:style>
  <w:style w:type="paragraph" w:customStyle="1" w:styleId="0072F5879DEC489195C0792EBCEB589A">
    <w:name w:val="0072F5879DEC489195C0792EBCEB589A"/>
    <w:rsid w:val="00E34FCB"/>
  </w:style>
  <w:style w:type="paragraph" w:customStyle="1" w:styleId="BA06E4D1310F4E4195B4D1FDE8911F0A">
    <w:name w:val="BA06E4D1310F4E4195B4D1FDE8911F0A"/>
    <w:rsid w:val="00E34FCB"/>
  </w:style>
  <w:style w:type="paragraph" w:customStyle="1" w:styleId="F43D48E5053F45E8A648ECC19C4E0717">
    <w:name w:val="F43D48E5053F45E8A648ECC19C4E0717"/>
    <w:rsid w:val="00E34FCB"/>
  </w:style>
  <w:style w:type="paragraph" w:customStyle="1" w:styleId="D571B9A5931C4551BE870A2273EE165E">
    <w:name w:val="D571B9A5931C4551BE870A2273EE165E"/>
    <w:rsid w:val="00E34FCB"/>
  </w:style>
  <w:style w:type="paragraph" w:customStyle="1" w:styleId="41D2D046DB104D8C834E82245DAA2261">
    <w:name w:val="41D2D046DB104D8C834E82245DAA2261"/>
    <w:rsid w:val="00E34FCB"/>
  </w:style>
  <w:style w:type="paragraph" w:customStyle="1" w:styleId="A38D8E8C6FDB4D178D2F5F8BF883C42F">
    <w:name w:val="A38D8E8C6FDB4D178D2F5F8BF883C42F"/>
    <w:rsid w:val="00554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FA">
  <a:themeElements>
    <a:clrScheme name="CFA">
      <a:dk1>
        <a:srgbClr val="000000"/>
      </a:dk1>
      <a:lt1>
        <a:srgbClr val="FFFFFF"/>
      </a:lt1>
      <a:dk2>
        <a:srgbClr val="777777"/>
      </a:dk2>
      <a:lt2>
        <a:srgbClr val="008ED6"/>
      </a:lt2>
      <a:accent1>
        <a:srgbClr val="009966"/>
      </a:accent1>
      <a:accent2>
        <a:srgbClr val="00B5E2"/>
      </a:accent2>
      <a:accent3>
        <a:srgbClr val="5B77CC"/>
      </a:accent3>
      <a:accent4>
        <a:srgbClr val="5C068C"/>
      </a:accent4>
      <a:accent5>
        <a:srgbClr val="FFD100"/>
      </a:accent5>
      <a:accent6>
        <a:srgbClr val="5A4522"/>
      </a:accent6>
      <a:hlink>
        <a:srgbClr val="5B77CC"/>
      </a:hlink>
      <a:folHlink>
        <a:srgbClr val="5C068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FA">
      <a:fillStyleLst>
        <a:solidFill>
          <a:schemeClr val="phClr"/>
        </a:solidFill>
        <a:solidFill>
          <a:schemeClr val="phClr"/>
        </a:solidFill>
        <a:solidFill>
          <a:schemeClr val="phClr"/>
        </a:solidFill>
      </a:fillStyleLst>
      <a:lnStyleLst>
        <a:ln w="12700" cap="flat" cmpd="sng" algn="ctr">
          <a:solidFill>
            <a:schemeClr val="phClr"/>
          </a:solidFill>
          <a:miter lim="800000"/>
        </a:ln>
        <a:ln w="12700" cap="flat" cmpd="sng" algn="ctr">
          <a:solidFill>
            <a:schemeClr val="phClr"/>
          </a:solidFill>
          <a:miter lim="800000"/>
        </a:ln>
        <a:ln w="12700" cap="flat" cmpd="sng" algn="ctr">
          <a:solidFill>
            <a:schemeClr val="phClr"/>
          </a:solidFill>
          <a:miter lim="800000"/>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bg2"/>
          </a:solidFill>
          <a:miter lim="800000"/>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noAutofit/>
      </a:bodyPr>
      <a:lstStyle>
        <a:defPPr>
          <a:defRPr/>
        </a:defPPr>
      </a:lstStyle>
    </a:txDef>
  </a:objectDefaults>
  <a:extraClrSchemeLst/>
  <a:custClrLst>
    <a:custClr name="Cool Gray 6">
      <a:srgbClr val="A7A8AA"/>
    </a:custClr>
    <a:custClr name="Pantone 368">
      <a:srgbClr val="78BE20"/>
    </a:custClr>
    <a:custClr name="Pantone 293">
      <a:srgbClr val="003DA5"/>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37550671E2B24C9F044B939A9848DB" ma:contentTypeVersion="0" ma:contentTypeDescription="Create a new document." ma:contentTypeScope="" ma:versionID="03900a8eb19fb04e274b8b2b56b16704">
  <xsd:schema xmlns:xsd="http://www.w3.org/2001/XMLSchema" xmlns:xs="http://www.w3.org/2001/XMLSchema" xmlns:p="http://schemas.microsoft.com/office/2006/metadata/properties" targetNamespace="http://schemas.microsoft.com/office/2006/metadata/properties" ma:root="true" ma:fieldsID="c6d994b93ca1435d89b2af8f56e979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6A7E8-A8B5-427D-A46E-B101455FF1E2}">
  <ds:schemaRefs>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0D9BDFB-7A34-4175-8C4B-E0A053BF4297}">
  <ds:schemaRefs>
    <ds:schemaRef ds:uri="http://schemas.microsoft.com/sharepoint/v3/contenttype/forms"/>
  </ds:schemaRefs>
</ds:datastoreItem>
</file>

<file path=customXml/itemProps3.xml><?xml version="1.0" encoding="utf-8"?>
<ds:datastoreItem xmlns:ds="http://schemas.openxmlformats.org/officeDocument/2006/customXml" ds:itemID="{63DB74F9-7BEE-46B6-9670-DC859F93E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FA495A-067F-49A5-AC7A-EDB5C02A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CFA Letterhead</Template>
  <TotalTime>124</TotalTime>
  <Pages>4</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CFA Institute</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rgp</dc:creator>
  <cp:lastModifiedBy>Sviatoslav Rosov</cp:lastModifiedBy>
  <cp:revision>94</cp:revision>
  <cp:lastPrinted>2012-06-01T10:10:00Z</cp:lastPrinted>
  <dcterms:created xsi:type="dcterms:W3CDTF">2017-01-05T12:08:00Z</dcterms:created>
  <dcterms:modified xsi:type="dcterms:W3CDTF">2017-01-05T14:50:00Z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0x0101006737550671E2B24C9F044B939A9848DB</vt:lpwstr>
  </property>
</Properties>
</file>