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583885">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w:t>
            </w:r>
            <w:r w:rsidR="002C0642" w:rsidRPr="002C0642">
              <w:rPr>
                <w:rFonts w:cs="Arial"/>
              </w:rPr>
              <w:t>q</w:t>
            </w:r>
            <w:r w:rsidR="002C0642" w:rsidRPr="002C0642">
              <w:rPr>
                <w:rFonts w:cs="Arial"/>
              </w:rPr>
              <w:t>uid market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583885">
            <w:pPr>
              <w:pStyle w:val="02Date"/>
              <w:rPr>
                <w:rFonts w:cs="Arial"/>
              </w:rPr>
            </w:pPr>
            <w:r w:rsidRPr="00A52EBB">
              <w:rPr>
                <w:rFonts w:cs="Arial"/>
              </w:rPr>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2D6B67" w:rsidRPr="000B0523" w:rsidRDefault="002D6B67" w:rsidP="002D6B67">
      <w:pPr>
        <w:jc w:val="both"/>
        <w:rPr>
          <w:rFonts w:cs="Arial"/>
          <w:szCs w:val="20"/>
        </w:rPr>
      </w:pPr>
      <w:permStart w:id="402335963" w:edGrp="everyone"/>
      <w:r w:rsidRPr="000B0523">
        <w:rPr>
          <w:rFonts w:cs="Arial"/>
          <w:szCs w:val="20"/>
        </w:rPr>
        <w:t>London Stock Exchange Group (</w:t>
      </w:r>
      <w:r w:rsidRPr="000B0523">
        <w:rPr>
          <w:rFonts w:cs="Arial"/>
          <w:b/>
          <w:szCs w:val="20"/>
        </w:rPr>
        <w:t>LSEG</w:t>
      </w:r>
      <w:r w:rsidRPr="000B0523">
        <w:rPr>
          <w:rFonts w:cs="Arial"/>
          <w:szCs w:val="20"/>
        </w:rPr>
        <w:t>) is a financial market infrastructure provider, headquartered in London, with significant operations in Europe, North America and Asia.  Its diversified global business focuses on capital formation, intellectual property and risk and balance sheet management. LSEG ope</w:t>
      </w:r>
      <w:r w:rsidRPr="000B0523">
        <w:rPr>
          <w:rFonts w:cs="Arial"/>
          <w:szCs w:val="20"/>
        </w:rPr>
        <w:t>r</w:t>
      </w:r>
      <w:r w:rsidRPr="000B0523">
        <w:rPr>
          <w:rFonts w:cs="Arial"/>
          <w:szCs w:val="20"/>
        </w:rPr>
        <w:t xml:space="preserve">ates an open access model, offering choice and partnership to customers across all of its businesses. </w:t>
      </w:r>
    </w:p>
    <w:p w:rsidR="002D6B67" w:rsidRPr="000B0523" w:rsidRDefault="002D6B67" w:rsidP="002D6B67">
      <w:pPr>
        <w:jc w:val="both"/>
        <w:rPr>
          <w:rFonts w:cs="Arial"/>
          <w:szCs w:val="20"/>
        </w:rPr>
      </w:pPr>
    </w:p>
    <w:p w:rsidR="002D6B67" w:rsidRPr="000B0523" w:rsidRDefault="002D6B67" w:rsidP="002D6B67">
      <w:pPr>
        <w:jc w:val="both"/>
        <w:rPr>
          <w:rFonts w:cs="Arial"/>
          <w:szCs w:val="20"/>
        </w:rPr>
      </w:pPr>
      <w:r w:rsidRPr="000B0523">
        <w:rPr>
          <w:rFonts w:cs="Arial"/>
          <w:szCs w:val="20"/>
        </w:rPr>
        <w:t>LSEG operates a broad range of international equity, ETF, bond and derivatives markets, including Lo</w:t>
      </w:r>
      <w:r w:rsidRPr="000B0523">
        <w:rPr>
          <w:rFonts w:cs="Arial"/>
          <w:szCs w:val="20"/>
        </w:rPr>
        <w:t>n</w:t>
      </w:r>
      <w:r w:rsidRPr="000B0523">
        <w:rPr>
          <w:rFonts w:cs="Arial"/>
          <w:szCs w:val="20"/>
        </w:rPr>
        <w:t xml:space="preserve">don Stock Exchange; </w:t>
      </w:r>
      <w:proofErr w:type="spellStart"/>
      <w:r w:rsidRPr="000B0523">
        <w:rPr>
          <w:rFonts w:cs="Arial"/>
          <w:szCs w:val="20"/>
        </w:rPr>
        <w:t>Borsa</w:t>
      </w:r>
      <w:proofErr w:type="spellEnd"/>
      <w:r w:rsidRPr="000B0523">
        <w:rPr>
          <w:rFonts w:cs="Arial"/>
          <w:szCs w:val="20"/>
        </w:rPr>
        <w:t xml:space="preserve"> </w:t>
      </w:r>
      <w:proofErr w:type="spellStart"/>
      <w:r w:rsidRPr="000B0523">
        <w:rPr>
          <w:rFonts w:cs="Arial"/>
          <w:szCs w:val="20"/>
        </w:rPr>
        <w:t>Italiana</w:t>
      </w:r>
      <w:proofErr w:type="spellEnd"/>
      <w:r w:rsidRPr="000B0523">
        <w:rPr>
          <w:rFonts w:cs="Arial"/>
          <w:szCs w:val="20"/>
        </w:rPr>
        <w:t>; MTS (Europe's leading fixed income market); and Turquoise (a pan-European equities MTF). Through its platforms, LSEG offers market participants, including retail investors, institutions and SMEs unrivalled access to Europe’s capital markets. The Group also plays a vital econo</w:t>
      </w:r>
      <w:r w:rsidRPr="000B0523">
        <w:rPr>
          <w:rFonts w:cs="Arial"/>
          <w:szCs w:val="20"/>
        </w:rPr>
        <w:t>m</w:t>
      </w:r>
      <w:r w:rsidRPr="000B0523">
        <w:rPr>
          <w:rFonts w:cs="Arial"/>
          <w:szCs w:val="20"/>
        </w:rPr>
        <w:t>ic and social role, enabling companies to access funds for growth and development.</w:t>
      </w:r>
    </w:p>
    <w:p w:rsidR="002D6B67" w:rsidRPr="000B0523" w:rsidRDefault="002D6B67" w:rsidP="002D6B67">
      <w:pPr>
        <w:jc w:val="both"/>
        <w:rPr>
          <w:rFonts w:cs="Arial"/>
          <w:szCs w:val="20"/>
        </w:rPr>
      </w:pPr>
    </w:p>
    <w:p w:rsidR="002D6B67" w:rsidRPr="000B0523" w:rsidRDefault="002D6B67" w:rsidP="002D6B67">
      <w:pPr>
        <w:jc w:val="both"/>
        <w:rPr>
          <w:rFonts w:cs="Arial"/>
          <w:szCs w:val="20"/>
        </w:rPr>
      </w:pPr>
      <w:r w:rsidRPr="000B0523">
        <w:rPr>
          <w:rFonts w:cs="Arial"/>
          <w:szCs w:val="20"/>
        </w:rPr>
        <w:t xml:space="preserve">Through FTSE Russell, the Group is a global leader in financial indexing, benchmarking and analytic services with approximately $10 trillion benchmarked to its indexes. LSEG also provides customers with an extensive range of real time and reference data products, including SEDOL, </w:t>
      </w:r>
      <w:proofErr w:type="spellStart"/>
      <w:r w:rsidRPr="000B0523">
        <w:rPr>
          <w:rFonts w:cs="Arial"/>
          <w:szCs w:val="20"/>
        </w:rPr>
        <w:t>UnaVista</w:t>
      </w:r>
      <w:proofErr w:type="spellEnd"/>
      <w:r w:rsidRPr="000B0523">
        <w:rPr>
          <w:rFonts w:cs="Arial"/>
          <w:szCs w:val="20"/>
        </w:rPr>
        <w:t>, XTF and RNS.</w:t>
      </w:r>
    </w:p>
    <w:p w:rsidR="002D6B67" w:rsidRPr="000B0523" w:rsidRDefault="002D6B67" w:rsidP="002D6B67">
      <w:pPr>
        <w:jc w:val="both"/>
        <w:rPr>
          <w:rFonts w:cs="Arial"/>
          <w:szCs w:val="20"/>
        </w:rPr>
      </w:pPr>
    </w:p>
    <w:p w:rsidR="002D6B67" w:rsidRPr="000B0523" w:rsidRDefault="002D6B67" w:rsidP="002D6B67">
      <w:pPr>
        <w:jc w:val="both"/>
        <w:rPr>
          <w:rFonts w:cs="Arial"/>
          <w:szCs w:val="20"/>
        </w:rPr>
      </w:pPr>
      <w:r w:rsidRPr="000B0523">
        <w:rPr>
          <w:rFonts w:cs="Arial"/>
          <w:szCs w:val="20"/>
        </w:rPr>
        <w:t xml:space="preserve">Post trade and risk management services are a significant part of the Group’s business operations. In addition to majority ownership of LCH, a multi-asset global CCP operator, LSEG owns CC&amp;G, the Italian clearing house; </w:t>
      </w:r>
      <w:r w:rsidR="00D56225">
        <w:rPr>
          <w:rFonts w:cs="Arial"/>
          <w:szCs w:val="20"/>
        </w:rPr>
        <w:t xml:space="preserve">and </w:t>
      </w:r>
      <w:r w:rsidRPr="000B0523">
        <w:rPr>
          <w:rFonts w:cs="Arial"/>
          <w:szCs w:val="20"/>
        </w:rPr>
        <w:t xml:space="preserve">Monte </w:t>
      </w:r>
      <w:proofErr w:type="spellStart"/>
      <w:r w:rsidRPr="000B0523">
        <w:rPr>
          <w:rFonts w:cs="Arial"/>
          <w:szCs w:val="20"/>
        </w:rPr>
        <w:t>Titoli</w:t>
      </w:r>
      <w:proofErr w:type="spellEnd"/>
      <w:r w:rsidRPr="000B0523">
        <w:rPr>
          <w:rFonts w:cs="Arial"/>
          <w:szCs w:val="20"/>
        </w:rPr>
        <w:t xml:space="preserve">, a leading European custody and settlement business. </w:t>
      </w:r>
    </w:p>
    <w:p w:rsidR="002D6B67" w:rsidRPr="000B0523" w:rsidRDefault="002D6B67" w:rsidP="002D6B67">
      <w:pPr>
        <w:jc w:val="both"/>
        <w:rPr>
          <w:rFonts w:cs="Arial"/>
          <w:szCs w:val="20"/>
        </w:rPr>
      </w:pPr>
    </w:p>
    <w:p w:rsidR="002D6B67" w:rsidRPr="000B0523" w:rsidRDefault="002D6B67" w:rsidP="002D6B67">
      <w:pPr>
        <w:jc w:val="both"/>
        <w:rPr>
          <w:rFonts w:cs="Arial"/>
          <w:szCs w:val="20"/>
        </w:rPr>
      </w:pPr>
      <w:r w:rsidRPr="000B0523">
        <w:rPr>
          <w:rFonts w:cs="Arial"/>
          <w:szCs w:val="20"/>
        </w:rPr>
        <w:t xml:space="preserve">LSEG is a leading developer and operator of high performance technology solutions, including trading, market surveillance and post trade systems for over 40 organisations and exchanges, including the Group’s own markets. Additional services include network connectivity, hosting and quality assurance testing. </w:t>
      </w:r>
      <w:proofErr w:type="spellStart"/>
      <w:r w:rsidRPr="000B0523">
        <w:rPr>
          <w:rFonts w:cs="Arial"/>
          <w:szCs w:val="20"/>
        </w:rPr>
        <w:t>MillenniumIT</w:t>
      </w:r>
      <w:proofErr w:type="spellEnd"/>
      <w:r w:rsidRPr="000B0523">
        <w:rPr>
          <w:rFonts w:cs="Arial"/>
          <w:szCs w:val="20"/>
        </w:rPr>
        <w:t xml:space="preserve">, </w:t>
      </w:r>
      <w:proofErr w:type="spellStart"/>
      <w:r w:rsidRPr="000B0523">
        <w:rPr>
          <w:rFonts w:cs="Arial"/>
          <w:szCs w:val="20"/>
        </w:rPr>
        <w:t>GATElab</w:t>
      </w:r>
      <w:proofErr w:type="spellEnd"/>
      <w:r w:rsidRPr="000B0523">
        <w:rPr>
          <w:rFonts w:cs="Arial"/>
          <w:szCs w:val="20"/>
        </w:rPr>
        <w:t xml:space="preserve"> and </w:t>
      </w:r>
      <w:proofErr w:type="spellStart"/>
      <w:r w:rsidRPr="000B0523">
        <w:rPr>
          <w:rFonts w:cs="Arial"/>
          <w:szCs w:val="20"/>
        </w:rPr>
        <w:t>Exactpro</w:t>
      </w:r>
      <w:proofErr w:type="spellEnd"/>
      <w:r w:rsidRPr="000B0523">
        <w:rPr>
          <w:rFonts w:cs="Arial"/>
          <w:szCs w:val="20"/>
        </w:rPr>
        <w:t xml:space="preserve"> are among the Group’s technology companies.</w:t>
      </w:r>
    </w:p>
    <w:p w:rsidR="002D6B67" w:rsidRPr="000B0523" w:rsidRDefault="002D6B67" w:rsidP="002D6B67">
      <w:pPr>
        <w:jc w:val="both"/>
        <w:rPr>
          <w:rFonts w:cs="Arial"/>
          <w:szCs w:val="20"/>
        </w:rPr>
      </w:pPr>
    </w:p>
    <w:p w:rsidR="002D6B67" w:rsidRPr="000B0523" w:rsidRDefault="002D6B67" w:rsidP="002D6B67">
      <w:pPr>
        <w:pStyle w:val="Heading6"/>
        <w:numPr>
          <w:ilvl w:val="0"/>
          <w:numId w:val="0"/>
        </w:numPr>
        <w:rPr>
          <w:rFonts w:ascii="Arial" w:hAnsi="Arial" w:cs="Arial"/>
          <w:szCs w:val="20"/>
        </w:rPr>
      </w:pPr>
      <w:r w:rsidRPr="000B0523">
        <w:rPr>
          <w:rFonts w:ascii="Arial" w:hAnsi="Arial" w:cs="Arial"/>
          <w:szCs w:val="20"/>
        </w:rPr>
        <w:t>Executive Summary</w:t>
      </w:r>
    </w:p>
    <w:p w:rsidR="002D6B67" w:rsidRPr="000B0523" w:rsidRDefault="002D6B67" w:rsidP="002D6B67">
      <w:pPr>
        <w:rPr>
          <w:rFonts w:cs="Arial"/>
          <w:i/>
          <w:szCs w:val="20"/>
        </w:rPr>
      </w:pPr>
    </w:p>
    <w:p w:rsidR="002D6B67" w:rsidRPr="000B0523" w:rsidRDefault="002D6B67" w:rsidP="002D6B67">
      <w:pPr>
        <w:rPr>
          <w:rFonts w:cs="Arial"/>
          <w:szCs w:val="20"/>
        </w:rPr>
      </w:pPr>
      <w:r w:rsidRPr="000B0523">
        <w:rPr>
          <w:rFonts w:cs="Arial"/>
          <w:szCs w:val="20"/>
        </w:rPr>
        <w:t xml:space="preserve">LSEG welcomes the opportunity to comment on ESMA’s consultation on the “Draft RTS on package orders for which there is a liquid market”. We understand that the draft RTS reflects ESMA’s preliminary views on this topic and ESMA said that it might significantly amend the draft RTS in view of feedback that it receives.  We have considered ESMA’s draft RTS very carefully and hope that LSEG’s comments may assist ESMA in preparing the final RTS for submission in this very complex area for submission to the Commission by the end of February. </w:t>
      </w:r>
    </w:p>
    <w:p w:rsidR="002D6B67" w:rsidRPr="000B0523" w:rsidRDefault="002D6B67" w:rsidP="002D6B67">
      <w:pPr>
        <w:rPr>
          <w:rFonts w:cs="Arial"/>
          <w:szCs w:val="20"/>
        </w:rPr>
      </w:pPr>
    </w:p>
    <w:p w:rsidR="00AE4CFA" w:rsidRDefault="002D6B67" w:rsidP="002D6B67">
      <w:pPr>
        <w:rPr>
          <w:rFonts w:cs="Arial"/>
          <w:szCs w:val="20"/>
        </w:rPr>
      </w:pPr>
      <w:r w:rsidRPr="000B0523">
        <w:rPr>
          <w:rFonts w:cs="Arial"/>
          <w:szCs w:val="20"/>
        </w:rPr>
        <w:t>We agree with ESMA that the methodology for determining whether a specific package order has a liquid market as a whole should be based on a holistic approach taking into account both quantitative and qual</w:t>
      </w:r>
      <w:r w:rsidRPr="000B0523">
        <w:rPr>
          <w:rFonts w:cs="Arial"/>
          <w:szCs w:val="20"/>
        </w:rPr>
        <w:t>i</w:t>
      </w:r>
      <w:r w:rsidRPr="000B0523">
        <w:rPr>
          <w:rFonts w:cs="Arial"/>
          <w:szCs w:val="20"/>
        </w:rPr>
        <w:t xml:space="preserve">tative criteria.  There are some areas where we have certain concerns (explained in more detail in our responses to the questions) which we would like to share with you. </w:t>
      </w:r>
    </w:p>
    <w:p w:rsidR="00AE4CFA" w:rsidRDefault="00AE4CFA" w:rsidP="002D6B67">
      <w:pPr>
        <w:rPr>
          <w:rFonts w:cs="Arial"/>
          <w:szCs w:val="20"/>
        </w:rPr>
      </w:pPr>
    </w:p>
    <w:p w:rsidR="00AE4CFA" w:rsidRPr="00AE4CFA" w:rsidRDefault="00AE4CFA" w:rsidP="00AE4CFA">
      <w:pPr>
        <w:rPr>
          <w:rFonts w:cs="Arial"/>
          <w:szCs w:val="20"/>
        </w:rPr>
      </w:pPr>
      <w:r w:rsidRPr="00AE4CFA">
        <w:rPr>
          <w:rFonts w:cs="Arial"/>
          <w:szCs w:val="20"/>
        </w:rPr>
        <w:t>In terms of general clarification</w:t>
      </w:r>
      <w:r>
        <w:rPr>
          <w:rFonts w:cs="Arial"/>
          <w:szCs w:val="20"/>
        </w:rPr>
        <w:t>,</w:t>
      </w:r>
      <w:r w:rsidRPr="00AE4CFA">
        <w:rPr>
          <w:rFonts w:cs="Arial"/>
          <w:szCs w:val="20"/>
        </w:rPr>
        <w:t xml:space="preserve"> it would appear to us that package orders do not have a liquid market as a whole where </w:t>
      </w:r>
      <w:r w:rsidRPr="00AE4CFA">
        <w:rPr>
          <w:rFonts w:cs="Arial"/>
          <w:szCs w:val="20"/>
          <w:u w:val="single"/>
        </w:rPr>
        <w:t>all</w:t>
      </w:r>
      <w:r w:rsidRPr="00AE4CFA">
        <w:rPr>
          <w:rFonts w:cs="Arial"/>
          <w:szCs w:val="20"/>
        </w:rPr>
        <w:t xml:space="preserve"> components are financial instruments for which there is no liquid market or where </w:t>
      </w:r>
      <w:r w:rsidRPr="00AE4CFA">
        <w:rPr>
          <w:rFonts w:cs="Arial"/>
          <w:szCs w:val="20"/>
          <w:u w:val="single"/>
        </w:rPr>
        <w:t>all</w:t>
      </w:r>
      <w:r w:rsidRPr="00AE4CFA">
        <w:rPr>
          <w:rFonts w:cs="Arial"/>
          <w:szCs w:val="20"/>
        </w:rPr>
        <w:t xml:space="preserve"> components are large in scale or where the </w:t>
      </w:r>
      <w:r>
        <w:rPr>
          <w:rFonts w:cs="Arial"/>
          <w:szCs w:val="20"/>
        </w:rPr>
        <w:t>package order</w:t>
      </w:r>
      <w:r w:rsidRPr="00AE4CFA">
        <w:rPr>
          <w:rFonts w:cs="Arial"/>
          <w:szCs w:val="20"/>
        </w:rPr>
        <w:t xml:space="preserve"> consists of a combination thereof, i.e. where one or more of its components are financial instruments for which there is no liquid market whilst all other components are large in scale.  We think that in these circumstances the simultaneous and contingent execution of all components each one of which is either not liquid or large in scale means that, in practice, the package order as a whole would also be illiquid.  A clarification to this effect would be welcome and, as we believe, appropriately reflect the legislator’s intention to make waivers from pre-trade transparency requirements available for package orders that meet the above descriptions. </w:t>
      </w:r>
    </w:p>
    <w:p w:rsidR="00AE4CFA" w:rsidRDefault="00AE4CFA" w:rsidP="002D6B67">
      <w:pPr>
        <w:rPr>
          <w:rFonts w:cs="Arial"/>
          <w:szCs w:val="20"/>
        </w:rPr>
      </w:pPr>
    </w:p>
    <w:p w:rsidR="002D6B67" w:rsidRPr="000B0523" w:rsidRDefault="002D6B67" w:rsidP="002D6B67">
      <w:pPr>
        <w:rPr>
          <w:rFonts w:cs="Arial"/>
          <w:szCs w:val="20"/>
        </w:rPr>
      </w:pPr>
      <w:r w:rsidRPr="000B0523">
        <w:rPr>
          <w:rFonts w:cs="Arial"/>
          <w:szCs w:val="20"/>
        </w:rPr>
        <w:t xml:space="preserve">With regards to the </w:t>
      </w:r>
      <w:r w:rsidR="00AE4CFA" w:rsidRPr="00BF748E">
        <w:rPr>
          <w:rFonts w:cs="Arial"/>
          <w:b/>
          <w:szCs w:val="20"/>
        </w:rPr>
        <w:t xml:space="preserve">proposed </w:t>
      </w:r>
      <w:r w:rsidRPr="00BF748E">
        <w:rPr>
          <w:rFonts w:cs="Arial"/>
          <w:b/>
          <w:szCs w:val="20"/>
        </w:rPr>
        <w:t>general criteria</w:t>
      </w:r>
      <w:r w:rsidRPr="000B0523">
        <w:rPr>
          <w:rFonts w:cs="Arial"/>
          <w:szCs w:val="20"/>
        </w:rPr>
        <w:t xml:space="preserve"> we believe that market participants may find it challenging from an operational point of view to determine with the necessary degree of certainty which comp</w:t>
      </w:r>
      <w:r w:rsidRPr="000B0523">
        <w:rPr>
          <w:rFonts w:cs="Arial"/>
          <w:szCs w:val="20"/>
        </w:rPr>
        <w:t>o</w:t>
      </w:r>
      <w:r w:rsidRPr="000B0523">
        <w:rPr>
          <w:rFonts w:cs="Arial"/>
          <w:szCs w:val="20"/>
        </w:rPr>
        <w:t>nents/contracts are “available for clearing” and we can see how similar difficulties may arise for purposes of establishing if a component is trading/admitted to trading on a MiFID II trading venue</w:t>
      </w:r>
      <w:r w:rsidR="00AE4CFA">
        <w:rPr>
          <w:rFonts w:cs="Arial"/>
          <w:szCs w:val="20"/>
        </w:rPr>
        <w:t>, in particular with regards to OTFs</w:t>
      </w:r>
      <w:r w:rsidRPr="000B0523">
        <w:rPr>
          <w:rFonts w:cs="Arial"/>
          <w:szCs w:val="20"/>
        </w:rPr>
        <w:t xml:space="preserve">.  </w:t>
      </w:r>
      <w:r w:rsidR="00AE4CFA">
        <w:rPr>
          <w:rFonts w:cs="Arial"/>
          <w:szCs w:val="20"/>
        </w:rPr>
        <w:t xml:space="preserve">Engaging in on-going and real-time monitoring is likely to strain the resources of most market participants and it is unclear to what extent consistent results can be achieved across the industry. </w:t>
      </w:r>
      <w:r w:rsidRPr="000B0523">
        <w:rPr>
          <w:rFonts w:cs="Arial"/>
          <w:szCs w:val="20"/>
        </w:rPr>
        <w:t xml:space="preserve">Against this background and in order to avoid any unintended consequences by excluding those package orders from pre-trade transparency waivers which do not actually have a liquid market as a whole, we believe it would be prudent to act with a degree of caution when developing a methodology for assessing the liquidity of a package order.  </w:t>
      </w:r>
    </w:p>
    <w:p w:rsidR="002D6B67" w:rsidRPr="000B0523" w:rsidRDefault="002D6B67" w:rsidP="002D6B67">
      <w:pPr>
        <w:rPr>
          <w:rFonts w:cs="Arial"/>
          <w:szCs w:val="20"/>
        </w:rPr>
      </w:pPr>
    </w:p>
    <w:p w:rsidR="002D6B67" w:rsidRPr="000B0523" w:rsidRDefault="002D6B67" w:rsidP="002D6B67">
      <w:pPr>
        <w:rPr>
          <w:rFonts w:cs="Arial"/>
          <w:szCs w:val="20"/>
        </w:rPr>
      </w:pPr>
      <w:proofErr w:type="gramStart"/>
      <w:r w:rsidRPr="000B0523">
        <w:rPr>
          <w:rFonts w:cs="Arial"/>
          <w:szCs w:val="20"/>
        </w:rPr>
        <w:t>In this spirit we have picked up and developed our thinking around the criteria used by ESMA under Article 1(a) of the draft RTS.</w:t>
      </w:r>
      <w:proofErr w:type="gramEnd"/>
      <w:r w:rsidRPr="000B0523">
        <w:rPr>
          <w:rFonts w:cs="Arial"/>
          <w:szCs w:val="20"/>
        </w:rPr>
        <w:t xml:space="preserve">  We think that it is possible to strike the right balance between liquid and illiquid package orders by looking at possible combinations of package components and assessing the </w:t>
      </w:r>
      <w:r w:rsidRPr="000B0523">
        <w:rPr>
          <w:rFonts w:cs="Arial"/>
          <w:szCs w:val="20"/>
          <w:u w:val="single"/>
        </w:rPr>
        <w:t xml:space="preserve">potential </w:t>
      </w:r>
      <w:r w:rsidRPr="000B0523">
        <w:rPr>
          <w:rFonts w:cs="Arial"/>
          <w:szCs w:val="20"/>
        </w:rPr>
        <w:t xml:space="preserve">liquidity of the package order as a whole at the level of the </w:t>
      </w:r>
      <w:r w:rsidRPr="000B0523">
        <w:rPr>
          <w:rFonts w:cs="Arial"/>
          <w:b/>
          <w:szCs w:val="20"/>
        </w:rPr>
        <w:t>general criteria</w:t>
      </w:r>
      <w:r w:rsidRPr="000B0523">
        <w:rPr>
          <w:rFonts w:cs="Arial"/>
          <w:szCs w:val="20"/>
        </w:rPr>
        <w:t xml:space="preserve"> on the basis of their classific</w:t>
      </w:r>
      <w:r w:rsidRPr="000B0523">
        <w:rPr>
          <w:rFonts w:cs="Arial"/>
          <w:szCs w:val="20"/>
        </w:rPr>
        <w:t>a</w:t>
      </w:r>
      <w:r w:rsidRPr="000B0523">
        <w:rPr>
          <w:rFonts w:cs="Arial"/>
          <w:szCs w:val="20"/>
        </w:rPr>
        <w:t xml:space="preserve">tion as </w:t>
      </w:r>
    </w:p>
    <w:p w:rsidR="002D6B67" w:rsidRPr="000B0523" w:rsidRDefault="002D6B67" w:rsidP="0083012B">
      <w:pPr>
        <w:pStyle w:val="ListParagraph"/>
        <w:widowControl w:val="0"/>
        <w:numPr>
          <w:ilvl w:val="0"/>
          <w:numId w:val="37"/>
        </w:numPr>
        <w:autoSpaceDE w:val="0"/>
        <w:autoSpaceDN w:val="0"/>
        <w:contextualSpacing w:val="0"/>
        <w:jc w:val="both"/>
        <w:rPr>
          <w:rFonts w:cs="Arial"/>
          <w:szCs w:val="20"/>
        </w:rPr>
      </w:pPr>
      <w:r w:rsidRPr="000B0523">
        <w:rPr>
          <w:rFonts w:cs="Arial"/>
          <w:szCs w:val="20"/>
        </w:rPr>
        <w:t>OTC derivatives within the meaning of EMIR that are, or are not, subject to the clearing obligation and/or the trading obligation;</w:t>
      </w:r>
    </w:p>
    <w:p w:rsidR="002D6B67" w:rsidRPr="000B0523" w:rsidRDefault="002D6B67" w:rsidP="0083012B">
      <w:pPr>
        <w:pStyle w:val="ListParagraph"/>
        <w:widowControl w:val="0"/>
        <w:numPr>
          <w:ilvl w:val="0"/>
          <w:numId w:val="37"/>
        </w:numPr>
        <w:autoSpaceDE w:val="0"/>
        <w:autoSpaceDN w:val="0"/>
        <w:contextualSpacing w:val="0"/>
        <w:jc w:val="both"/>
        <w:rPr>
          <w:rFonts w:cs="Arial"/>
          <w:szCs w:val="20"/>
        </w:rPr>
      </w:pPr>
      <w:r w:rsidRPr="000B0523">
        <w:rPr>
          <w:rFonts w:cs="Arial"/>
          <w:szCs w:val="20"/>
        </w:rPr>
        <w:t>derivatives that are not OTC derivatives under EMIR, i.e. derivatives traded on a regulated market; and</w:t>
      </w:r>
    </w:p>
    <w:p w:rsidR="002D6B67" w:rsidRPr="000B0523" w:rsidRDefault="002D6B67" w:rsidP="0083012B">
      <w:pPr>
        <w:pStyle w:val="ListParagraph"/>
        <w:widowControl w:val="0"/>
        <w:numPr>
          <w:ilvl w:val="0"/>
          <w:numId w:val="37"/>
        </w:numPr>
        <w:autoSpaceDE w:val="0"/>
        <w:autoSpaceDN w:val="0"/>
        <w:contextualSpacing w:val="0"/>
        <w:jc w:val="both"/>
        <w:rPr>
          <w:rFonts w:cs="Arial"/>
          <w:szCs w:val="20"/>
        </w:rPr>
      </w:pPr>
      <w:proofErr w:type="gramStart"/>
      <w:r w:rsidRPr="000B0523">
        <w:rPr>
          <w:rFonts w:cs="Arial"/>
          <w:szCs w:val="20"/>
        </w:rPr>
        <w:t>cash</w:t>
      </w:r>
      <w:proofErr w:type="gramEnd"/>
      <w:r w:rsidRPr="000B0523">
        <w:rPr>
          <w:rFonts w:cs="Arial"/>
          <w:szCs w:val="20"/>
        </w:rPr>
        <w:t xml:space="preserve"> instruments. </w:t>
      </w:r>
    </w:p>
    <w:p w:rsidR="002D6B67" w:rsidRPr="000B0523" w:rsidRDefault="002D6B67" w:rsidP="002D6B67">
      <w:pPr>
        <w:rPr>
          <w:rFonts w:cs="Arial"/>
          <w:szCs w:val="20"/>
        </w:rPr>
      </w:pPr>
    </w:p>
    <w:p w:rsidR="00AE4CFA" w:rsidRDefault="002D6B67" w:rsidP="002D6B67">
      <w:pPr>
        <w:rPr>
          <w:rFonts w:cs="Arial"/>
          <w:szCs w:val="20"/>
        </w:rPr>
      </w:pPr>
      <w:r w:rsidRPr="000B0523">
        <w:rPr>
          <w:rFonts w:cs="Arial"/>
          <w:szCs w:val="20"/>
        </w:rPr>
        <w:t xml:space="preserve">In addition we believe it would be helpful if the general criteria were supplemented by certain restrictions relating to </w:t>
      </w:r>
    </w:p>
    <w:p w:rsidR="00AE4CFA" w:rsidRDefault="002D6B67" w:rsidP="00AE4CFA">
      <w:pPr>
        <w:pStyle w:val="ListParagraph"/>
        <w:numPr>
          <w:ilvl w:val="0"/>
          <w:numId w:val="50"/>
        </w:numPr>
        <w:rPr>
          <w:rFonts w:cs="Arial"/>
          <w:szCs w:val="20"/>
        </w:rPr>
      </w:pPr>
      <w:r w:rsidRPr="00AE4CFA">
        <w:rPr>
          <w:rFonts w:cs="Arial"/>
          <w:szCs w:val="20"/>
        </w:rPr>
        <w:t xml:space="preserve">the number of </w:t>
      </w:r>
      <w:r w:rsidR="00AE4CFA">
        <w:rPr>
          <w:rFonts w:cs="Arial"/>
          <w:szCs w:val="20"/>
        </w:rPr>
        <w:t>possible components (we think there should be no more than 3 components generally whilst further restrictions might apply at the level of the asset-class specific criteria);</w:t>
      </w:r>
      <w:r w:rsidRPr="00AE4CFA">
        <w:rPr>
          <w:rFonts w:cs="Arial"/>
          <w:szCs w:val="20"/>
        </w:rPr>
        <w:t xml:space="preserve"> </w:t>
      </w:r>
    </w:p>
    <w:p w:rsidR="00AE4CFA" w:rsidRDefault="002D6B67" w:rsidP="00AE4CFA">
      <w:pPr>
        <w:pStyle w:val="ListParagraph"/>
        <w:numPr>
          <w:ilvl w:val="0"/>
          <w:numId w:val="50"/>
        </w:numPr>
        <w:rPr>
          <w:rFonts w:cs="Arial"/>
          <w:szCs w:val="20"/>
        </w:rPr>
      </w:pPr>
      <w:r w:rsidRPr="00AE4CFA">
        <w:rPr>
          <w:rFonts w:cs="Arial"/>
          <w:szCs w:val="20"/>
        </w:rPr>
        <w:t>the number of possible instrument classifications comprised in a package order</w:t>
      </w:r>
      <w:r w:rsidR="00AE4CFA">
        <w:rPr>
          <w:rFonts w:cs="Arial"/>
          <w:szCs w:val="20"/>
        </w:rPr>
        <w:t xml:space="preserve"> (limiting the number to no more than 2 different instrument classifications per package order would appear to us to be appr</w:t>
      </w:r>
      <w:r w:rsidR="00AE4CFA">
        <w:rPr>
          <w:rFonts w:cs="Arial"/>
          <w:szCs w:val="20"/>
        </w:rPr>
        <w:t>o</w:t>
      </w:r>
      <w:r w:rsidR="00AE4CFA">
        <w:rPr>
          <w:rFonts w:cs="Arial"/>
          <w:szCs w:val="20"/>
        </w:rPr>
        <w:t>priate);</w:t>
      </w:r>
      <w:r w:rsidRPr="00AE4CFA">
        <w:rPr>
          <w:rFonts w:cs="Arial"/>
          <w:szCs w:val="20"/>
        </w:rPr>
        <w:t xml:space="preserve"> </w:t>
      </w:r>
    </w:p>
    <w:p w:rsidR="002D6B67" w:rsidRPr="00AE4CFA" w:rsidRDefault="002D6B67" w:rsidP="00AE4CFA">
      <w:pPr>
        <w:rPr>
          <w:rFonts w:cs="Arial"/>
          <w:szCs w:val="20"/>
        </w:rPr>
      </w:pPr>
      <w:proofErr w:type="gramStart"/>
      <w:r w:rsidRPr="00AE4CFA">
        <w:rPr>
          <w:rFonts w:cs="Arial"/>
          <w:szCs w:val="20"/>
        </w:rPr>
        <w:t>and</w:t>
      </w:r>
      <w:proofErr w:type="gramEnd"/>
      <w:r w:rsidRPr="00AE4CFA">
        <w:rPr>
          <w:rFonts w:cs="Arial"/>
          <w:szCs w:val="20"/>
        </w:rPr>
        <w:t xml:space="preserve"> by requiring that all components are denominated in the same notional currency of EUR, USD or GBP.  Please refer to our detailed response under question 2 for a description of how we think this can work.   </w:t>
      </w:r>
    </w:p>
    <w:p w:rsidR="002D6B67" w:rsidRPr="000B0523" w:rsidRDefault="002D6B67" w:rsidP="002D6B67">
      <w:pPr>
        <w:rPr>
          <w:rFonts w:cs="Arial"/>
          <w:szCs w:val="20"/>
        </w:rPr>
      </w:pPr>
    </w:p>
    <w:p w:rsidR="002D6B67" w:rsidRPr="000B0523" w:rsidRDefault="002D6B67" w:rsidP="002D6B67">
      <w:pPr>
        <w:rPr>
          <w:rFonts w:cs="Arial"/>
          <w:szCs w:val="20"/>
        </w:rPr>
      </w:pPr>
      <w:r w:rsidRPr="000B0523">
        <w:rPr>
          <w:rFonts w:cs="Arial"/>
          <w:szCs w:val="20"/>
        </w:rPr>
        <w:t xml:space="preserve">As regards the </w:t>
      </w:r>
      <w:r w:rsidRPr="000B0523">
        <w:rPr>
          <w:rFonts w:cs="Arial"/>
          <w:b/>
          <w:szCs w:val="20"/>
        </w:rPr>
        <w:t>specific criteria</w:t>
      </w:r>
      <w:r w:rsidRPr="000B0523">
        <w:rPr>
          <w:rFonts w:cs="Arial"/>
          <w:szCs w:val="20"/>
        </w:rPr>
        <w:t xml:space="preserve"> in the context of the wider approach summarised above, we consider that an asset-class specific liquidity assessment would only be needed in respect of any components traded on a regulated market (the “exc</w:t>
      </w:r>
      <w:r w:rsidRPr="00AE4CFA">
        <w:rPr>
          <w:rFonts w:cs="Arial"/>
          <w:szCs w:val="20"/>
        </w:rPr>
        <w:t xml:space="preserve">hange leg”). </w:t>
      </w:r>
      <w:r w:rsidR="00AE4CFA" w:rsidRPr="00AE4CFA">
        <w:rPr>
          <w:rFonts w:cs="Arial"/>
          <w:szCs w:val="20"/>
        </w:rPr>
        <w:t>The specific criteria would also assist assessing the actual “standardisation” of a package order as they would ensure that only those package orders are classed as having a liquid market as a whole which are automatically pre-packaged/defined by the regulated market’s trading system to the exclusion of those package orders that are, by nature, bespoke due to being negot</w:t>
      </w:r>
      <w:r w:rsidR="00AE4CFA" w:rsidRPr="00AE4CFA">
        <w:rPr>
          <w:rFonts w:cs="Arial"/>
          <w:szCs w:val="20"/>
        </w:rPr>
        <w:t>i</w:t>
      </w:r>
      <w:r w:rsidR="00AE4CFA" w:rsidRPr="00AE4CFA">
        <w:rPr>
          <w:rFonts w:cs="Arial"/>
          <w:szCs w:val="20"/>
        </w:rPr>
        <w:t xml:space="preserve">ated by the counterparties to the transaction and configured by the trading system upon request. </w:t>
      </w:r>
      <w:r w:rsidRPr="000B0523">
        <w:rPr>
          <w:rFonts w:cs="Arial"/>
          <w:szCs w:val="20"/>
        </w:rPr>
        <w:t>Again, please refer to our more detailed description in relation to package orders including interest rate deriv</w:t>
      </w:r>
      <w:r w:rsidRPr="000B0523">
        <w:rPr>
          <w:rFonts w:cs="Arial"/>
          <w:szCs w:val="20"/>
        </w:rPr>
        <w:t>a</w:t>
      </w:r>
      <w:r w:rsidRPr="000B0523">
        <w:rPr>
          <w:rFonts w:cs="Arial"/>
          <w:szCs w:val="20"/>
        </w:rPr>
        <w:t xml:space="preserve">tives, equity derivatives and commodity derivatives as set out in our responses to questions 5, 10 and 16 respectively. </w:t>
      </w:r>
    </w:p>
    <w:p w:rsidR="002D6B67" w:rsidRPr="000B0523" w:rsidRDefault="002D6B67" w:rsidP="002D6B67">
      <w:pPr>
        <w:rPr>
          <w:rFonts w:cs="Arial"/>
          <w:szCs w:val="20"/>
        </w:rPr>
      </w:pPr>
    </w:p>
    <w:p w:rsidR="00D34282" w:rsidRDefault="002D6B67" w:rsidP="00D34282">
      <w:pPr>
        <w:rPr>
          <w:rFonts w:cs="Arial"/>
          <w:szCs w:val="20"/>
        </w:rPr>
      </w:pPr>
      <w:r w:rsidRPr="000B0523">
        <w:rPr>
          <w:rFonts w:cs="Arial"/>
          <w:szCs w:val="20"/>
        </w:rPr>
        <w:t xml:space="preserve">Finally, LSEG has undertaken some internal analysis to get a better understanding of the possible number of combinations across package orders that include basic </w:t>
      </w:r>
      <w:r w:rsidRPr="000B0523">
        <w:rPr>
          <w:rFonts w:cs="Arial"/>
          <w:b/>
          <w:szCs w:val="20"/>
        </w:rPr>
        <w:t>option strategies</w:t>
      </w:r>
      <w:r w:rsidRPr="000B0523">
        <w:rPr>
          <w:rFonts w:cs="Arial"/>
          <w:szCs w:val="20"/>
        </w:rPr>
        <w:t>, taking into account different maturities but a maximum of two components only.  On the basis of these statistics it is very difficult to see how any one option strategy can in practice be classed as having a liquid market.  We have provided the relevant data for illustration in our response to question 2.</w:t>
      </w:r>
    </w:p>
    <w:p w:rsidR="00D34282" w:rsidRDefault="00D34282" w:rsidP="00D34282">
      <w:pPr>
        <w:rPr>
          <w:rFonts w:cs="Arial"/>
          <w:szCs w:val="20"/>
        </w:rPr>
      </w:pPr>
    </w:p>
    <w:p w:rsidR="009A6191" w:rsidRPr="006969FB" w:rsidRDefault="009A6191" w:rsidP="009A6191">
      <w:pPr>
        <w:pStyle w:val="Default"/>
        <w:rPr>
          <w:rFonts w:ascii="Arial" w:hAnsi="Arial" w:cs="Arial"/>
          <w:b/>
          <w:color w:val="auto"/>
          <w:sz w:val="20"/>
          <w:szCs w:val="20"/>
        </w:rPr>
      </w:pPr>
      <w:r w:rsidRPr="006969FB">
        <w:rPr>
          <w:rFonts w:ascii="Arial" w:hAnsi="Arial" w:cs="Arial"/>
          <w:b/>
          <w:color w:val="auto"/>
          <w:sz w:val="20"/>
          <w:szCs w:val="20"/>
        </w:rPr>
        <w:t>Contacts:</w:t>
      </w:r>
    </w:p>
    <w:p w:rsidR="009A6191" w:rsidRPr="009A6191" w:rsidRDefault="009A6191" w:rsidP="009A6191">
      <w:pPr>
        <w:pStyle w:val="Default"/>
        <w:numPr>
          <w:ilvl w:val="0"/>
          <w:numId w:val="51"/>
        </w:numPr>
        <w:rPr>
          <w:rFonts w:ascii="Arial" w:hAnsi="Arial" w:cs="Arial"/>
          <w:color w:val="auto"/>
          <w:sz w:val="20"/>
          <w:szCs w:val="20"/>
        </w:rPr>
      </w:pPr>
      <w:r w:rsidRPr="009A6191">
        <w:rPr>
          <w:rFonts w:ascii="Arial" w:hAnsi="Arial" w:cs="Arial"/>
          <w:color w:val="auto"/>
          <w:sz w:val="20"/>
          <w:szCs w:val="20"/>
        </w:rPr>
        <w:t xml:space="preserve">Jonathan </w:t>
      </w:r>
      <w:proofErr w:type="spellStart"/>
      <w:r w:rsidRPr="009A6191">
        <w:rPr>
          <w:rFonts w:ascii="Arial" w:hAnsi="Arial" w:cs="Arial"/>
          <w:color w:val="auto"/>
          <w:sz w:val="20"/>
          <w:szCs w:val="20"/>
        </w:rPr>
        <w:t>Farrimond</w:t>
      </w:r>
      <w:proofErr w:type="spellEnd"/>
      <w:r w:rsidRPr="009A6191">
        <w:rPr>
          <w:rFonts w:ascii="Arial" w:hAnsi="Arial" w:cs="Arial"/>
          <w:color w:val="auto"/>
          <w:sz w:val="20"/>
          <w:szCs w:val="20"/>
        </w:rPr>
        <w:t>,</w:t>
      </w:r>
      <w:r>
        <w:rPr>
          <w:rFonts w:ascii="Arial" w:hAnsi="Arial" w:cs="Arial"/>
          <w:color w:val="auto"/>
          <w:sz w:val="20"/>
          <w:szCs w:val="20"/>
        </w:rPr>
        <w:t xml:space="preserve"> LSE</w:t>
      </w:r>
      <w:r w:rsidRPr="009A6191">
        <w:rPr>
          <w:rFonts w:ascii="Arial" w:hAnsi="Arial" w:cs="Arial"/>
          <w:color w:val="auto"/>
          <w:sz w:val="20"/>
          <w:szCs w:val="20"/>
        </w:rPr>
        <w:t xml:space="preserve"> Senior </w:t>
      </w:r>
      <w:proofErr w:type="spellStart"/>
      <w:r w:rsidRPr="009A6191">
        <w:rPr>
          <w:rFonts w:ascii="Arial" w:hAnsi="Arial" w:cs="Arial"/>
          <w:color w:val="auto"/>
          <w:sz w:val="20"/>
          <w:szCs w:val="20"/>
        </w:rPr>
        <w:t>Rules</w:t>
      </w:r>
      <w:proofErr w:type="spellEnd"/>
      <w:r w:rsidRPr="009A6191">
        <w:rPr>
          <w:rFonts w:ascii="Arial" w:hAnsi="Arial" w:cs="Arial"/>
          <w:color w:val="auto"/>
          <w:sz w:val="20"/>
          <w:szCs w:val="20"/>
        </w:rPr>
        <w:t xml:space="preserve"> and Compliance </w:t>
      </w:r>
      <w:proofErr w:type="spellStart"/>
      <w:r w:rsidRPr="009A6191">
        <w:rPr>
          <w:rFonts w:ascii="Arial" w:hAnsi="Arial" w:cs="Arial"/>
          <w:color w:val="auto"/>
          <w:sz w:val="20"/>
          <w:szCs w:val="20"/>
        </w:rPr>
        <w:t>Officer</w:t>
      </w:r>
      <w:proofErr w:type="spellEnd"/>
      <w:r>
        <w:rPr>
          <w:rFonts w:ascii="Arial" w:hAnsi="Arial" w:cs="Arial"/>
          <w:color w:val="auto"/>
          <w:sz w:val="20"/>
          <w:szCs w:val="20"/>
        </w:rPr>
        <w:t>,</w:t>
      </w:r>
      <w:r w:rsidRPr="009A6191">
        <w:rPr>
          <w:rFonts w:ascii="Arial" w:hAnsi="Arial" w:cs="Arial"/>
          <w:color w:val="auto"/>
          <w:sz w:val="20"/>
          <w:szCs w:val="20"/>
        </w:rPr>
        <w:t xml:space="preserve"> </w:t>
      </w:r>
      <w:hyperlink r:id="rId19" w:history="1">
        <w:r w:rsidRPr="009A6191">
          <w:rPr>
            <w:rStyle w:val="Hyperlink"/>
            <w:rFonts w:ascii="Arial" w:hAnsi="Arial" w:cs="Arial"/>
            <w:color w:val="auto"/>
            <w:sz w:val="20"/>
            <w:szCs w:val="20"/>
          </w:rPr>
          <w:t>JFarrimond@lseg.com</w:t>
        </w:r>
      </w:hyperlink>
      <w:r>
        <w:rPr>
          <w:rFonts w:ascii="Arial" w:hAnsi="Arial" w:cs="Arial"/>
          <w:color w:val="auto"/>
          <w:sz w:val="20"/>
          <w:szCs w:val="20"/>
        </w:rPr>
        <w:t>;</w:t>
      </w:r>
      <w:r w:rsidRPr="009A6191">
        <w:rPr>
          <w:rFonts w:ascii="Arial" w:hAnsi="Arial" w:cs="Arial"/>
          <w:color w:val="auto"/>
          <w:sz w:val="20"/>
          <w:szCs w:val="20"/>
        </w:rPr>
        <w:t xml:space="preserve"> </w:t>
      </w:r>
    </w:p>
    <w:p w:rsidR="0020217F" w:rsidRPr="009A6191" w:rsidRDefault="0020217F" w:rsidP="0020217F">
      <w:pPr>
        <w:pStyle w:val="ListParagraph"/>
        <w:numPr>
          <w:ilvl w:val="0"/>
          <w:numId w:val="51"/>
        </w:numPr>
        <w:rPr>
          <w:rFonts w:cs="Arial"/>
          <w:szCs w:val="20"/>
          <w:lang w:eastAsia="en-GB"/>
        </w:rPr>
      </w:pPr>
      <w:r w:rsidRPr="009A6191">
        <w:rPr>
          <w:rStyle w:val="Hyperlink"/>
          <w:rFonts w:cs="Arial"/>
          <w:color w:val="auto"/>
          <w:szCs w:val="20"/>
          <w:u w:val="none"/>
        </w:rPr>
        <w:t>Corentine Poilvet-Clediere,</w:t>
      </w:r>
      <w:r w:rsidRPr="009A6191">
        <w:rPr>
          <w:rFonts w:cs="Arial"/>
          <w:szCs w:val="20"/>
        </w:rPr>
        <w:t xml:space="preserve"> LSEG Head of Regulatory Strategy and Post</w:t>
      </w:r>
      <w:r>
        <w:rPr>
          <w:rFonts w:cs="Arial"/>
          <w:szCs w:val="20"/>
        </w:rPr>
        <w:t xml:space="preserve"> Trade Policy</w:t>
      </w:r>
      <w:r w:rsidRPr="009A6191">
        <w:rPr>
          <w:rFonts w:cs="Arial"/>
          <w:szCs w:val="20"/>
        </w:rPr>
        <w:t>, Europe</w:t>
      </w:r>
    </w:p>
    <w:p w:rsidR="0020217F" w:rsidRPr="0020217F" w:rsidRDefault="00370151" w:rsidP="0020217F">
      <w:pPr>
        <w:pStyle w:val="Default"/>
        <w:ind w:left="360"/>
        <w:rPr>
          <w:rFonts w:ascii="Arial" w:hAnsi="Arial" w:cs="Arial"/>
          <w:color w:val="auto"/>
          <w:sz w:val="20"/>
          <w:szCs w:val="20"/>
          <w:u w:val="single"/>
          <w:lang w:val="en-GB" w:eastAsia="de-DE"/>
        </w:rPr>
      </w:pPr>
      <w:hyperlink r:id="rId20" w:history="1">
        <w:r w:rsidR="0020217F" w:rsidRPr="0020217F">
          <w:rPr>
            <w:rStyle w:val="Hyperlink"/>
            <w:rFonts w:ascii="Arial" w:hAnsi="Arial" w:cs="Arial"/>
            <w:color w:val="auto"/>
            <w:sz w:val="20"/>
            <w:szCs w:val="20"/>
          </w:rPr>
          <w:t>CPoilvetClediere@lseg.com</w:t>
        </w:r>
      </w:hyperlink>
      <w:r w:rsidR="0020217F">
        <w:rPr>
          <w:rStyle w:val="Hyperlink"/>
          <w:rFonts w:ascii="Arial" w:hAnsi="Arial" w:cs="Arial"/>
          <w:color w:val="auto"/>
          <w:sz w:val="20"/>
          <w:szCs w:val="20"/>
        </w:rPr>
        <w:t>;</w:t>
      </w:r>
    </w:p>
    <w:p w:rsidR="009A6191" w:rsidRPr="009A6191" w:rsidRDefault="009A6191" w:rsidP="009A6191">
      <w:pPr>
        <w:pStyle w:val="Default"/>
        <w:numPr>
          <w:ilvl w:val="0"/>
          <w:numId w:val="51"/>
        </w:numPr>
        <w:rPr>
          <w:rStyle w:val="Hyperlink"/>
          <w:rFonts w:ascii="Arial" w:hAnsi="Arial" w:cs="Arial"/>
          <w:color w:val="auto"/>
          <w:sz w:val="20"/>
          <w:szCs w:val="20"/>
          <w:lang w:val="en-GB" w:eastAsia="de-DE"/>
        </w:rPr>
      </w:pPr>
      <w:r w:rsidRPr="009A6191">
        <w:rPr>
          <w:rFonts w:ascii="Arial" w:hAnsi="Arial" w:cs="Arial"/>
          <w:color w:val="auto"/>
          <w:sz w:val="20"/>
          <w:szCs w:val="20"/>
        </w:rPr>
        <w:t xml:space="preserve">Lucia </w:t>
      </w:r>
      <w:proofErr w:type="spellStart"/>
      <w:r w:rsidRPr="009A6191">
        <w:rPr>
          <w:rFonts w:ascii="Arial" w:hAnsi="Arial" w:cs="Arial"/>
          <w:color w:val="auto"/>
          <w:sz w:val="20"/>
          <w:szCs w:val="20"/>
        </w:rPr>
        <w:t>Bordigato</w:t>
      </w:r>
      <w:proofErr w:type="spellEnd"/>
      <w:r w:rsidRPr="009A6191">
        <w:rPr>
          <w:rFonts w:ascii="Arial" w:hAnsi="Arial" w:cs="Arial"/>
          <w:color w:val="auto"/>
          <w:sz w:val="20"/>
          <w:szCs w:val="20"/>
        </w:rPr>
        <w:t xml:space="preserve">, </w:t>
      </w:r>
      <w:proofErr w:type="spellStart"/>
      <w:r w:rsidRPr="009A6191">
        <w:rPr>
          <w:rStyle w:val="Hyperlink"/>
          <w:rFonts w:ascii="Arial" w:hAnsi="Arial" w:cs="Arial"/>
          <w:color w:val="auto"/>
          <w:sz w:val="20"/>
          <w:szCs w:val="20"/>
          <w:u w:val="none"/>
          <w:lang w:eastAsia="de-DE"/>
        </w:rPr>
        <w:t>Secondary</w:t>
      </w:r>
      <w:proofErr w:type="spellEnd"/>
      <w:r w:rsidRPr="009A6191">
        <w:rPr>
          <w:rStyle w:val="Hyperlink"/>
          <w:rFonts w:ascii="Arial" w:hAnsi="Arial" w:cs="Arial"/>
          <w:color w:val="auto"/>
          <w:sz w:val="20"/>
          <w:szCs w:val="20"/>
          <w:u w:val="none"/>
          <w:lang w:eastAsia="de-DE"/>
        </w:rPr>
        <w:t xml:space="preserve"> </w:t>
      </w:r>
      <w:proofErr w:type="spellStart"/>
      <w:r w:rsidRPr="009A6191">
        <w:rPr>
          <w:rStyle w:val="Hyperlink"/>
          <w:rFonts w:ascii="Arial" w:hAnsi="Arial" w:cs="Arial"/>
          <w:color w:val="auto"/>
          <w:sz w:val="20"/>
          <w:szCs w:val="20"/>
          <w:u w:val="none"/>
          <w:lang w:eastAsia="de-DE"/>
        </w:rPr>
        <w:t>Markets</w:t>
      </w:r>
      <w:proofErr w:type="spellEnd"/>
      <w:r w:rsidRPr="009A6191">
        <w:rPr>
          <w:rStyle w:val="Hyperlink"/>
          <w:rFonts w:ascii="Arial" w:hAnsi="Arial" w:cs="Arial"/>
          <w:color w:val="auto"/>
          <w:sz w:val="20"/>
          <w:szCs w:val="20"/>
          <w:u w:val="none"/>
          <w:lang w:eastAsia="de-DE"/>
        </w:rPr>
        <w:t xml:space="preserve"> and Infrastructure </w:t>
      </w:r>
      <w:proofErr w:type="spellStart"/>
      <w:r w:rsidRPr="009A6191">
        <w:rPr>
          <w:rStyle w:val="Hyperlink"/>
          <w:rFonts w:ascii="Arial" w:hAnsi="Arial" w:cs="Arial"/>
          <w:color w:val="auto"/>
          <w:sz w:val="20"/>
          <w:szCs w:val="20"/>
          <w:u w:val="none"/>
          <w:lang w:eastAsia="de-DE"/>
        </w:rPr>
        <w:t>Regulation</w:t>
      </w:r>
      <w:proofErr w:type="spellEnd"/>
      <w:r w:rsidRPr="009A6191">
        <w:rPr>
          <w:rFonts w:ascii="Arial" w:hAnsi="Arial" w:cs="Arial"/>
          <w:color w:val="auto"/>
          <w:sz w:val="20"/>
          <w:szCs w:val="20"/>
        </w:rPr>
        <w:t xml:space="preserve">, </w:t>
      </w:r>
      <w:hyperlink r:id="rId21" w:history="1">
        <w:r w:rsidRPr="009A6191">
          <w:rPr>
            <w:rStyle w:val="Hyperlink"/>
            <w:rFonts w:ascii="Arial" w:hAnsi="Arial" w:cs="Arial"/>
            <w:color w:val="auto"/>
            <w:sz w:val="20"/>
            <w:szCs w:val="20"/>
          </w:rPr>
          <w:t>Lucia.Bordigato@borsaitaliana.it</w:t>
        </w:r>
      </w:hyperlink>
      <w:r>
        <w:rPr>
          <w:rStyle w:val="Hyperlink"/>
          <w:rFonts w:ascii="Arial" w:hAnsi="Arial" w:cs="Arial"/>
          <w:color w:val="auto"/>
          <w:sz w:val="20"/>
          <w:szCs w:val="20"/>
          <w:lang w:eastAsia="de-DE"/>
        </w:rPr>
        <w:t>;</w:t>
      </w:r>
    </w:p>
    <w:p w:rsidR="009A6191" w:rsidRDefault="009A6191" w:rsidP="00D34282">
      <w:pPr>
        <w:pStyle w:val="ListParagraph"/>
        <w:numPr>
          <w:ilvl w:val="0"/>
          <w:numId w:val="51"/>
        </w:numPr>
        <w:rPr>
          <w:rFonts w:cs="Arial"/>
          <w:szCs w:val="20"/>
        </w:rPr>
      </w:pPr>
      <w:proofErr w:type="spellStart"/>
      <w:r w:rsidRPr="009A6191">
        <w:rPr>
          <w:rFonts w:cs="Arial"/>
          <w:szCs w:val="20"/>
        </w:rPr>
        <w:t>Fabrizio</w:t>
      </w:r>
      <w:proofErr w:type="spellEnd"/>
      <w:r w:rsidRPr="009A6191">
        <w:rPr>
          <w:rFonts w:cs="Arial"/>
          <w:szCs w:val="20"/>
        </w:rPr>
        <w:t xml:space="preserve"> </w:t>
      </w:r>
      <w:proofErr w:type="spellStart"/>
      <w:r w:rsidRPr="009A6191">
        <w:rPr>
          <w:rFonts w:cs="Arial"/>
          <w:szCs w:val="20"/>
        </w:rPr>
        <w:t>Plateroti</w:t>
      </w:r>
      <w:proofErr w:type="spellEnd"/>
      <w:r w:rsidRPr="009A6191">
        <w:rPr>
          <w:rFonts w:cs="Arial"/>
          <w:szCs w:val="20"/>
        </w:rPr>
        <w:t xml:space="preserve">, Head of Capital Markets and Post-trade Regulation, </w:t>
      </w:r>
    </w:p>
    <w:p w:rsidR="00D34282" w:rsidRPr="009A6191" w:rsidRDefault="00370151" w:rsidP="009A6191">
      <w:pPr>
        <w:pStyle w:val="ListParagraph"/>
        <w:ind w:left="360"/>
        <w:rPr>
          <w:rFonts w:cs="Arial"/>
          <w:szCs w:val="20"/>
        </w:rPr>
      </w:pPr>
      <w:hyperlink r:id="rId22" w:history="1">
        <w:r w:rsidR="009A6191" w:rsidRPr="009A6191">
          <w:rPr>
            <w:rStyle w:val="Hyperlink"/>
            <w:rFonts w:cs="Arial"/>
            <w:color w:val="auto"/>
            <w:szCs w:val="20"/>
          </w:rPr>
          <w:t>Fabrizio.Plateroti@borsaitaliana.it</w:t>
        </w:r>
      </w:hyperlink>
      <w:r w:rsidR="009A6191" w:rsidRPr="009A6191">
        <w:rPr>
          <w:rFonts w:cs="Arial"/>
          <w:szCs w:val="20"/>
        </w:rPr>
        <w:t>.</w:t>
      </w:r>
    </w:p>
    <w:permEnd w:id="402335963"/>
    <w:p w:rsidR="00D34282" w:rsidRDefault="00D34282" w:rsidP="00D34282"/>
    <w:p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rsidR="00A8728B" w:rsidRPr="00070630" w:rsidRDefault="00F32462" w:rsidP="00932478">
      <w:pPr>
        <w:pStyle w:val="CPQuestions"/>
      </w:pPr>
      <w:r>
        <w:rPr>
          <w:rFonts w:cs="Arial"/>
          <w:szCs w:val="22"/>
        </w:rPr>
        <w:br w:type="page"/>
      </w:r>
      <w:r w:rsidR="00932478" w:rsidRPr="00932478">
        <w:t>Do you agree with ESMA’s proposal to apply the SI obligations at the package order level where the investment firm is an SI in at least one component i</w:t>
      </w:r>
      <w:r w:rsidR="00932478" w:rsidRPr="00932478">
        <w:t>n</w:t>
      </w:r>
      <w:r w:rsidR="00932478" w:rsidRPr="00932478">
        <w:t>strument of the package order? If not, please explain why and propose an a</w:t>
      </w:r>
      <w:r w:rsidR="00932478" w:rsidRPr="00932478">
        <w:t>l</w:t>
      </w:r>
      <w:r w:rsidR="00932478" w:rsidRPr="00932478">
        <w:t>ternative</w:t>
      </w:r>
      <w:r w:rsidR="00BC6A9F">
        <w:t>.</w:t>
      </w:r>
    </w:p>
    <w:p w:rsidR="00A8728B" w:rsidRDefault="00A8728B" w:rsidP="00A8728B">
      <w:r>
        <w:t>&lt;ESMA_QUESTION</w:t>
      </w:r>
      <w:r w:rsidR="00D920D1">
        <w:t>_</w:t>
      </w:r>
      <w:r w:rsidR="002C0642">
        <w:t>MIFID_PO</w:t>
      </w:r>
      <w:r w:rsidR="00AB4824">
        <w:t>_</w:t>
      </w:r>
      <w:r>
        <w:t>1&gt;</w:t>
      </w:r>
    </w:p>
    <w:p w:rsidR="00A8728B" w:rsidRDefault="00A8728B" w:rsidP="00A8728B">
      <w:permStart w:id="803813660" w:edGrp="everyone"/>
      <w:r>
        <w:t>TYPE YOUR TEXT HERE</w:t>
      </w:r>
      <w:permEnd w:id="803813660"/>
    </w:p>
    <w:p w:rsidR="00A8728B" w:rsidRDefault="00A8728B" w:rsidP="00A8728B">
      <w:r>
        <w:t>&lt;ESMA_QUESTION</w:t>
      </w:r>
      <w:r w:rsidR="00D920D1">
        <w:t>_</w:t>
      </w:r>
      <w:r w:rsidR="002C0642">
        <w:t>MIFID_PO</w:t>
      </w:r>
      <w:r w:rsidR="00AB4824">
        <w:t>_</w:t>
      </w:r>
      <w:r>
        <w:t>1&gt;</w:t>
      </w:r>
    </w:p>
    <w:p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rsidR="00A8728B" w:rsidRDefault="00A8728B" w:rsidP="00A8728B">
      <w:r>
        <w:t>&lt;ESMA_QUESTION</w:t>
      </w:r>
      <w:r w:rsidR="00D920D1">
        <w:t>_</w:t>
      </w:r>
      <w:r w:rsidR="002C0642">
        <w:t>MIFID_PO</w:t>
      </w:r>
      <w:r w:rsidR="00AB4824">
        <w:t>_</w:t>
      </w:r>
      <w:r>
        <w:t>2&gt;</w:t>
      </w:r>
    </w:p>
    <w:p w:rsidR="002D6B67" w:rsidRPr="00CB7A48" w:rsidRDefault="002D6B67" w:rsidP="002D6B67">
      <w:pPr>
        <w:jc w:val="both"/>
        <w:rPr>
          <w:rFonts w:cs="Arial"/>
          <w:szCs w:val="20"/>
        </w:rPr>
      </w:pPr>
      <w:permStart w:id="626801161" w:edGrp="everyone"/>
      <w:r w:rsidRPr="00CB7A48">
        <w:rPr>
          <w:rFonts w:cs="Arial"/>
          <w:szCs w:val="20"/>
        </w:rPr>
        <w:t>We agree with ESMA that the methodology for determining whether a specific package order has a liquid market as a whole should be based on a holistic approach taking into account both quantitative and qual</w:t>
      </w:r>
      <w:r w:rsidRPr="00CB7A48">
        <w:rPr>
          <w:rFonts w:cs="Arial"/>
          <w:szCs w:val="20"/>
        </w:rPr>
        <w:t>i</w:t>
      </w:r>
      <w:r w:rsidRPr="00CB7A48">
        <w:rPr>
          <w:rFonts w:cs="Arial"/>
          <w:szCs w:val="20"/>
        </w:rPr>
        <w:t>tative criteria.  We also agree with the split between “general” and “specific” criteria. However on the basis of the general and asset-class specific criteria as currently proposed, we would like to share the following concerns and suggestions regarding the current proposal:</w:t>
      </w:r>
    </w:p>
    <w:p w:rsidR="002D6B67" w:rsidRPr="00CB7A48" w:rsidRDefault="002D6B67" w:rsidP="002D6B67">
      <w:pPr>
        <w:rPr>
          <w:rFonts w:cs="Arial"/>
          <w:szCs w:val="20"/>
        </w:rPr>
      </w:pPr>
    </w:p>
    <w:p w:rsidR="002D6B67" w:rsidRPr="006969FB" w:rsidRDefault="002D6B67" w:rsidP="002D6B67">
      <w:pPr>
        <w:pStyle w:val="ListParagraph"/>
        <w:widowControl w:val="0"/>
        <w:numPr>
          <w:ilvl w:val="0"/>
          <w:numId w:val="38"/>
        </w:numPr>
        <w:autoSpaceDE w:val="0"/>
        <w:autoSpaceDN w:val="0"/>
        <w:ind w:left="360"/>
        <w:contextualSpacing w:val="0"/>
        <w:jc w:val="both"/>
        <w:rPr>
          <w:rFonts w:cs="Arial"/>
          <w:szCs w:val="20"/>
        </w:rPr>
      </w:pPr>
      <w:r w:rsidRPr="006969FB">
        <w:rPr>
          <w:rFonts w:cs="Arial"/>
          <w:szCs w:val="20"/>
        </w:rPr>
        <w:t>We fear that there might be a risk that certain package orders would be deemed to have a liquid market and therefore subject to the pre-trade transparency regime, whilst they were not actually i</w:t>
      </w:r>
      <w:r w:rsidRPr="006969FB">
        <w:rPr>
          <w:rFonts w:cs="Arial"/>
          <w:szCs w:val="20"/>
        </w:rPr>
        <w:t>n</w:t>
      </w:r>
      <w:r w:rsidRPr="006969FB">
        <w:rPr>
          <w:rFonts w:cs="Arial"/>
          <w:szCs w:val="20"/>
        </w:rPr>
        <w:t>tended to be captured. Indeed, we believe that in circumstances where all components of the package are illiquid or all components are large in scale (LIS), then the package as a whole should be consi</w:t>
      </w:r>
      <w:r w:rsidRPr="006969FB">
        <w:rPr>
          <w:rFonts w:cs="Arial"/>
          <w:szCs w:val="20"/>
        </w:rPr>
        <w:t>d</w:t>
      </w:r>
      <w:r w:rsidRPr="006969FB">
        <w:rPr>
          <w:rFonts w:cs="Arial"/>
          <w:szCs w:val="20"/>
        </w:rPr>
        <w:t xml:space="preserve">ered illiquid. Similarly, </w:t>
      </w:r>
      <w:r w:rsidR="006969FB" w:rsidRPr="006969FB">
        <w:rPr>
          <w:rFonts w:cs="Arial"/>
          <w:szCs w:val="20"/>
        </w:rPr>
        <w:t xml:space="preserve">where the package order consists of a combination of the above, i.e. where one or more of its components are financial instruments for which there is no liquid market whilst all other components are large in scale, </w:t>
      </w:r>
      <w:r w:rsidRPr="006969FB">
        <w:rPr>
          <w:rFonts w:cs="Arial"/>
          <w:szCs w:val="20"/>
        </w:rPr>
        <w:t>then again the package as a whole should be treated as not having a liquid market. We would recommend that ESMA include in the proposed RTS a clarification that in the cases above, the package order as a whole would be considered illiquid. This would provide co</w:t>
      </w:r>
      <w:r w:rsidRPr="006969FB">
        <w:rPr>
          <w:rFonts w:cs="Arial"/>
          <w:szCs w:val="20"/>
        </w:rPr>
        <w:t>n</w:t>
      </w:r>
      <w:r w:rsidRPr="006969FB">
        <w:rPr>
          <w:rFonts w:cs="Arial"/>
          <w:szCs w:val="20"/>
        </w:rPr>
        <w:t>sistency and would be in line with a purposive interpretation of Article 9(e</w:t>
      </w:r>
      <w:proofErr w:type="gramStart"/>
      <w:r w:rsidRPr="006969FB">
        <w:rPr>
          <w:rFonts w:cs="Arial"/>
          <w:szCs w:val="20"/>
        </w:rPr>
        <w:t>)(</w:t>
      </w:r>
      <w:proofErr w:type="spellStart"/>
      <w:proofErr w:type="gramEnd"/>
      <w:r w:rsidRPr="006969FB">
        <w:rPr>
          <w:rFonts w:cs="Arial"/>
          <w:szCs w:val="20"/>
        </w:rPr>
        <w:t>i</w:t>
      </w:r>
      <w:proofErr w:type="spellEnd"/>
      <w:r w:rsidRPr="006969FB">
        <w:rPr>
          <w:rFonts w:cs="Arial"/>
          <w:szCs w:val="20"/>
        </w:rPr>
        <w:t>) and (ii) of the “Quick Fix Regulation” (as this has been defined in ESMA’s consultation paper).</w:t>
      </w:r>
      <w:r w:rsidRPr="006969FB" w:rsidDel="00674352">
        <w:rPr>
          <w:rFonts w:cs="Arial"/>
          <w:szCs w:val="20"/>
        </w:rPr>
        <w:t xml:space="preserve"> </w:t>
      </w:r>
    </w:p>
    <w:p w:rsidR="002D6B67" w:rsidRPr="00CB7A48" w:rsidRDefault="002D6B67" w:rsidP="002D6B67">
      <w:pPr>
        <w:rPr>
          <w:rFonts w:cs="Arial"/>
          <w:szCs w:val="20"/>
        </w:rPr>
      </w:pPr>
    </w:p>
    <w:p w:rsidR="002D6B67" w:rsidRPr="00CB7A48" w:rsidRDefault="002D6B67" w:rsidP="0083012B">
      <w:pPr>
        <w:pStyle w:val="ListParagraph"/>
        <w:widowControl w:val="0"/>
        <w:numPr>
          <w:ilvl w:val="0"/>
          <w:numId w:val="38"/>
        </w:numPr>
        <w:autoSpaceDE w:val="0"/>
        <w:autoSpaceDN w:val="0"/>
        <w:ind w:left="360"/>
        <w:contextualSpacing w:val="0"/>
        <w:jc w:val="both"/>
        <w:rPr>
          <w:rFonts w:cs="Arial"/>
          <w:szCs w:val="20"/>
        </w:rPr>
      </w:pPr>
      <w:r w:rsidRPr="00CB7A48">
        <w:rPr>
          <w:rFonts w:cs="Arial"/>
          <w:szCs w:val="20"/>
        </w:rPr>
        <w:t>So far as the “general criteria” are concerned we fully agree with ESMA that the assessment of whether a package order is potentially eligible to be classed as having a liquid market should conce</w:t>
      </w:r>
      <w:r w:rsidRPr="00CB7A48">
        <w:rPr>
          <w:rFonts w:cs="Arial"/>
          <w:szCs w:val="20"/>
        </w:rPr>
        <w:t>p</w:t>
      </w:r>
      <w:r w:rsidRPr="00CB7A48">
        <w:rPr>
          <w:rFonts w:cs="Arial"/>
          <w:szCs w:val="20"/>
        </w:rPr>
        <w:t>tually be linked to “on venue trading”, “standardisation” and “</w:t>
      </w:r>
      <w:proofErr w:type="spellStart"/>
      <w:r w:rsidRPr="00CB7A48">
        <w:rPr>
          <w:rFonts w:cs="Arial"/>
          <w:szCs w:val="20"/>
        </w:rPr>
        <w:t>clearability</w:t>
      </w:r>
      <w:proofErr w:type="spellEnd"/>
      <w:r w:rsidRPr="00CB7A48">
        <w:rPr>
          <w:rFonts w:cs="Arial"/>
          <w:szCs w:val="20"/>
        </w:rPr>
        <w:t>”. On the other hand it would appear that the application of these criteria is likely to be challenging for market participants in pra</w:t>
      </w:r>
      <w:r w:rsidRPr="00CB7A48">
        <w:rPr>
          <w:rFonts w:cs="Arial"/>
          <w:szCs w:val="20"/>
        </w:rPr>
        <w:t>c</w:t>
      </w:r>
      <w:r w:rsidRPr="00CB7A48">
        <w:rPr>
          <w:rFonts w:cs="Arial"/>
          <w:szCs w:val="20"/>
        </w:rPr>
        <w:t xml:space="preserve">tice.  We believe that there are operational issues associated with monitoring whether the individual components of a package order are traded on certain trading venues and cleared/eligible for clearing as, strictly speaking, such monitoring would have to occur on an ongoing basis and in real time. We can also see how the assessment could be particularly difficult where the component is traded on a regulated market but the regulated market itself is not connected to the particular CCP(s) on which the component is eligible for clearing.  </w:t>
      </w:r>
    </w:p>
    <w:p w:rsidR="002D6B67" w:rsidRPr="00CB7A48" w:rsidRDefault="002D6B67" w:rsidP="002D6B67">
      <w:pPr>
        <w:pStyle w:val="ListParagraph"/>
        <w:rPr>
          <w:rFonts w:cs="Arial"/>
          <w:szCs w:val="20"/>
        </w:rPr>
      </w:pPr>
    </w:p>
    <w:p w:rsidR="002D6B67" w:rsidRPr="00CB7A48" w:rsidRDefault="002D6B67" w:rsidP="002D6B67">
      <w:pPr>
        <w:pStyle w:val="ListParagraph"/>
        <w:ind w:left="360"/>
        <w:rPr>
          <w:rFonts w:cs="Arial"/>
          <w:szCs w:val="20"/>
        </w:rPr>
      </w:pPr>
      <w:r w:rsidRPr="00CB7A48">
        <w:rPr>
          <w:rFonts w:cs="Arial"/>
          <w:szCs w:val="20"/>
        </w:rPr>
        <w:t xml:space="preserve">Against this background we gave careful consideration as to which general criteria could be used that are similar but likely to raise </w:t>
      </w:r>
      <w:proofErr w:type="gramStart"/>
      <w:r w:rsidRPr="00CB7A48">
        <w:rPr>
          <w:rFonts w:cs="Arial"/>
          <w:szCs w:val="20"/>
        </w:rPr>
        <w:t>less complexities</w:t>
      </w:r>
      <w:proofErr w:type="gramEnd"/>
      <w:r w:rsidRPr="00CB7A48">
        <w:rPr>
          <w:rFonts w:cs="Arial"/>
          <w:szCs w:val="20"/>
        </w:rPr>
        <w:t xml:space="preserve"> in this regard.  We consider that the well-established distinction between those derivatives that are traded on a regulated market and those traded OTC might be a helpful base for the criteria and we set out our thoughts in further detail below.      </w:t>
      </w:r>
    </w:p>
    <w:p w:rsidR="002D6B67" w:rsidRPr="00CB7A48" w:rsidRDefault="002D6B67" w:rsidP="002D6B67">
      <w:pPr>
        <w:pStyle w:val="ListParagraph"/>
        <w:rPr>
          <w:rFonts w:cs="Arial"/>
          <w:szCs w:val="20"/>
        </w:rPr>
      </w:pPr>
    </w:p>
    <w:p w:rsidR="002D6B67" w:rsidRPr="00CB7A48" w:rsidRDefault="002D6B67" w:rsidP="002D6B67">
      <w:pPr>
        <w:jc w:val="both"/>
        <w:rPr>
          <w:rFonts w:cs="Arial"/>
          <w:szCs w:val="20"/>
        </w:rPr>
      </w:pPr>
      <w:r w:rsidRPr="00CB7A48">
        <w:rPr>
          <w:rFonts w:cs="Arial"/>
          <w:b/>
          <w:i/>
          <w:szCs w:val="20"/>
        </w:rPr>
        <w:t>General criteria</w:t>
      </w:r>
      <w:r w:rsidRPr="00CB7A48">
        <w:rPr>
          <w:rFonts w:cs="Arial"/>
          <w:szCs w:val="20"/>
        </w:rPr>
        <w:t xml:space="preserve"> </w:t>
      </w:r>
    </w:p>
    <w:p w:rsidR="002D6B67" w:rsidRPr="00CB7A48" w:rsidRDefault="002D6B67" w:rsidP="002D6B67">
      <w:pPr>
        <w:jc w:val="both"/>
        <w:rPr>
          <w:rFonts w:cs="Arial"/>
          <w:szCs w:val="20"/>
        </w:rPr>
      </w:pPr>
    </w:p>
    <w:p w:rsidR="002D6B67" w:rsidRPr="00CB7A48" w:rsidRDefault="002D6B67" w:rsidP="002D6B67">
      <w:pPr>
        <w:jc w:val="both"/>
        <w:rPr>
          <w:rFonts w:cs="Arial"/>
          <w:szCs w:val="20"/>
        </w:rPr>
      </w:pPr>
      <w:r w:rsidRPr="00CB7A48">
        <w:rPr>
          <w:rFonts w:cs="Arial"/>
          <w:szCs w:val="20"/>
        </w:rPr>
        <w:t>We have tried to define an approach that would allow ESMA to “assess whether packages are standar</w:t>
      </w:r>
      <w:r w:rsidRPr="00CB7A48">
        <w:rPr>
          <w:rFonts w:cs="Arial"/>
          <w:szCs w:val="20"/>
        </w:rPr>
        <w:t>d</w:t>
      </w:r>
      <w:r w:rsidRPr="00CB7A48">
        <w:rPr>
          <w:rFonts w:cs="Arial"/>
          <w:szCs w:val="20"/>
        </w:rPr>
        <w:t>ised and frequently traded” as required by MiFID Article 9(6</w:t>
      </w:r>
      <w:proofErr w:type="gramStart"/>
      <w:r w:rsidRPr="00CB7A48">
        <w:rPr>
          <w:rFonts w:cs="Arial"/>
          <w:szCs w:val="20"/>
        </w:rPr>
        <w:t>)(</w:t>
      </w:r>
      <w:proofErr w:type="gramEnd"/>
      <w:r w:rsidRPr="00CB7A48">
        <w:rPr>
          <w:rFonts w:cs="Arial"/>
          <w:szCs w:val="20"/>
        </w:rPr>
        <w:t xml:space="preserve">c).  </w:t>
      </w:r>
      <w:proofErr w:type="gramStart"/>
      <w:r w:rsidRPr="00CB7A48">
        <w:rPr>
          <w:rFonts w:cs="Arial"/>
          <w:szCs w:val="20"/>
        </w:rPr>
        <w:t>To do so, we have used and built on ESMA’s proposal set out in Article 1(a) of the draft RTS which applies the clearing obligation and the trading obligation in combination.</w:t>
      </w:r>
      <w:proofErr w:type="gramEnd"/>
      <w:r w:rsidRPr="00CB7A48">
        <w:rPr>
          <w:rFonts w:cs="Arial"/>
          <w:szCs w:val="20"/>
        </w:rPr>
        <w:t xml:space="preserve">  This principle underpins the below matrix in so far as it suggests that a package order to be considered liquid as a whole, the </w:t>
      </w:r>
      <w:r w:rsidRPr="00CB7A48">
        <w:rPr>
          <w:rFonts w:cs="Arial"/>
          <w:i/>
          <w:szCs w:val="20"/>
        </w:rPr>
        <w:t>individual legs</w:t>
      </w:r>
      <w:r w:rsidRPr="00CB7A48">
        <w:rPr>
          <w:rFonts w:cs="Arial"/>
          <w:szCs w:val="20"/>
        </w:rPr>
        <w:t xml:space="preserve"> must first have a proven degree of standardisation and liquidity. A package order consisting of a number of individual legs would generally be more specialised and bespoke by virtue of being traded simultaneously and contingently (either as a basis trade or as a hedge trade), meaning that the package order as a whole is probably unlikely to be liquid without proven standardisation and liquidity</w:t>
      </w:r>
      <w:r w:rsidR="0020217F">
        <w:rPr>
          <w:rFonts w:cs="Arial"/>
          <w:szCs w:val="20"/>
        </w:rPr>
        <w:t xml:space="preserve"> first in the individual legs. </w:t>
      </w:r>
      <w:r w:rsidRPr="00CB7A48">
        <w:rPr>
          <w:rFonts w:cs="Arial"/>
          <w:szCs w:val="20"/>
        </w:rPr>
        <w:t>Whilst we acknowledge that the individual legs/contracts might well be liquid in the absence of being subject to the clearing obligation, we think that</w:t>
      </w:r>
      <w:r w:rsidR="0020217F">
        <w:rPr>
          <w:rFonts w:cs="Arial"/>
          <w:szCs w:val="20"/>
        </w:rPr>
        <w:t>, for reasons of simplicity and legal certainty,</w:t>
      </w:r>
      <w:r w:rsidRPr="00CB7A48">
        <w:rPr>
          <w:rFonts w:cs="Arial"/>
          <w:szCs w:val="20"/>
        </w:rPr>
        <w:t xml:space="preserve"> there is merit in using the clearing obligation as a means to determine the liquidity potential of the package order as a whole at general criteria level. The main benefit associated with this approach is that it would enable market participants to rely on publicly available information (i.e. the public register for the clearing obligation under EMIR) in assessing the potential liquidity of a package order, and it is likely to be welcome by both the market and regulators for the level of legal certainty it delivers. Based on ESMA’s comments at paragraphs 60-64 of the consultation paper and the overriding criterion set out in Article 1 of the draft RTS, we believe that this is something that ESMA continues to look at as a viable approach.  </w:t>
      </w:r>
    </w:p>
    <w:p w:rsidR="002D6B67" w:rsidRPr="00CB7A48" w:rsidRDefault="002D6B67" w:rsidP="002D6B67">
      <w:pPr>
        <w:jc w:val="both"/>
        <w:rPr>
          <w:rFonts w:cs="Arial"/>
          <w:szCs w:val="20"/>
        </w:rPr>
      </w:pPr>
    </w:p>
    <w:p w:rsidR="002D6B67" w:rsidRPr="00CB7A48" w:rsidRDefault="002D6B67" w:rsidP="002D6B67">
      <w:pPr>
        <w:jc w:val="both"/>
        <w:rPr>
          <w:rFonts w:cs="Arial"/>
          <w:szCs w:val="20"/>
        </w:rPr>
      </w:pPr>
      <w:r w:rsidRPr="00CB7A48">
        <w:rPr>
          <w:rFonts w:cs="Arial"/>
          <w:szCs w:val="20"/>
        </w:rPr>
        <w:t xml:space="preserve">In this spirit we would propose that a package order may be considered as potentially liquid only when there is a nexus between: </w:t>
      </w:r>
    </w:p>
    <w:p w:rsidR="002D6B67" w:rsidRPr="00CB7A48" w:rsidRDefault="002D6B67" w:rsidP="002D6B67">
      <w:pPr>
        <w:jc w:val="both"/>
        <w:rPr>
          <w:rFonts w:cs="Arial"/>
          <w:szCs w:val="20"/>
        </w:rPr>
      </w:pPr>
    </w:p>
    <w:p w:rsidR="002D6B67" w:rsidRPr="00CB7A48" w:rsidRDefault="002D6B67" w:rsidP="0083012B">
      <w:pPr>
        <w:pStyle w:val="ListParagraph"/>
        <w:widowControl w:val="0"/>
        <w:numPr>
          <w:ilvl w:val="0"/>
          <w:numId w:val="42"/>
        </w:numPr>
        <w:autoSpaceDE w:val="0"/>
        <w:autoSpaceDN w:val="0"/>
        <w:contextualSpacing w:val="0"/>
        <w:jc w:val="both"/>
        <w:rPr>
          <w:rFonts w:cs="Arial"/>
          <w:szCs w:val="20"/>
        </w:rPr>
      </w:pPr>
      <w:r w:rsidRPr="00CB7A48">
        <w:rPr>
          <w:rFonts w:cs="Arial"/>
          <w:szCs w:val="20"/>
        </w:rPr>
        <w:t xml:space="preserve">OTC legs subject to the clearing and/or trading obligation; </w:t>
      </w:r>
    </w:p>
    <w:p w:rsidR="002D6B67" w:rsidRPr="00CB7A48" w:rsidRDefault="002D6B67" w:rsidP="0083012B">
      <w:pPr>
        <w:pStyle w:val="ListParagraph"/>
        <w:widowControl w:val="0"/>
        <w:numPr>
          <w:ilvl w:val="0"/>
          <w:numId w:val="42"/>
        </w:numPr>
        <w:autoSpaceDE w:val="0"/>
        <w:autoSpaceDN w:val="0"/>
        <w:contextualSpacing w:val="0"/>
        <w:jc w:val="both"/>
        <w:rPr>
          <w:rFonts w:cs="Arial"/>
          <w:szCs w:val="20"/>
        </w:rPr>
      </w:pPr>
      <w:r w:rsidRPr="00CB7A48">
        <w:rPr>
          <w:rFonts w:cs="Arial"/>
          <w:szCs w:val="20"/>
        </w:rPr>
        <w:t xml:space="preserve">exchange legs that pass certain asset-class specific criteria; </w:t>
      </w:r>
    </w:p>
    <w:p w:rsidR="002D6B67" w:rsidRPr="00CB7A48" w:rsidRDefault="002D6B67" w:rsidP="0083012B">
      <w:pPr>
        <w:pStyle w:val="ListParagraph"/>
        <w:widowControl w:val="0"/>
        <w:numPr>
          <w:ilvl w:val="0"/>
          <w:numId w:val="42"/>
        </w:numPr>
        <w:autoSpaceDE w:val="0"/>
        <w:autoSpaceDN w:val="0"/>
        <w:contextualSpacing w:val="0"/>
        <w:jc w:val="both"/>
        <w:rPr>
          <w:rFonts w:cs="Arial"/>
          <w:szCs w:val="20"/>
        </w:rPr>
      </w:pPr>
      <w:proofErr w:type="gramStart"/>
      <w:r w:rsidRPr="00CB7A48">
        <w:rPr>
          <w:rFonts w:cs="Arial"/>
          <w:szCs w:val="20"/>
        </w:rPr>
        <w:t>and</w:t>
      </w:r>
      <w:proofErr w:type="gramEnd"/>
      <w:r w:rsidRPr="00CB7A48">
        <w:rPr>
          <w:rFonts w:cs="Arial"/>
          <w:szCs w:val="20"/>
        </w:rPr>
        <w:t xml:space="preserve"> liquid sovereign bonds.  </w:t>
      </w:r>
    </w:p>
    <w:p w:rsidR="002D6B67" w:rsidRPr="00CB7A48" w:rsidRDefault="002D6B67" w:rsidP="002D6B67">
      <w:pPr>
        <w:pStyle w:val="ListParagraph"/>
        <w:ind w:left="360"/>
        <w:rPr>
          <w:rFonts w:cs="Arial"/>
          <w:szCs w:val="20"/>
        </w:rPr>
      </w:pPr>
    </w:p>
    <w:p w:rsidR="002D6B67" w:rsidRPr="00CB7A48" w:rsidRDefault="002D6B67" w:rsidP="002D6B67">
      <w:pPr>
        <w:jc w:val="both"/>
        <w:rPr>
          <w:rFonts w:cs="Arial"/>
          <w:szCs w:val="20"/>
        </w:rPr>
      </w:pPr>
      <w:r w:rsidRPr="00CB7A48">
        <w:rPr>
          <w:rFonts w:cs="Arial"/>
          <w:szCs w:val="20"/>
        </w:rPr>
        <w:t xml:space="preserve">We, therefore, think it is possible to distinguish between the following categories: </w:t>
      </w:r>
    </w:p>
    <w:p w:rsidR="002D6B67" w:rsidRPr="00CB7A48" w:rsidRDefault="002D6B67" w:rsidP="002D6B67">
      <w:pPr>
        <w:jc w:val="both"/>
        <w:rPr>
          <w:rFonts w:cs="Arial"/>
          <w:szCs w:val="20"/>
        </w:rPr>
      </w:pPr>
    </w:p>
    <w:p w:rsidR="002D6B67" w:rsidRPr="00CB7A48" w:rsidRDefault="002D6B67" w:rsidP="0083012B">
      <w:pPr>
        <w:pStyle w:val="ListParagraph"/>
        <w:widowControl w:val="0"/>
        <w:numPr>
          <w:ilvl w:val="0"/>
          <w:numId w:val="39"/>
        </w:numPr>
        <w:autoSpaceDE w:val="0"/>
        <w:autoSpaceDN w:val="0"/>
        <w:contextualSpacing w:val="0"/>
        <w:jc w:val="both"/>
        <w:rPr>
          <w:rFonts w:cs="Arial"/>
          <w:szCs w:val="20"/>
        </w:rPr>
      </w:pPr>
      <w:r w:rsidRPr="00CB7A48">
        <w:rPr>
          <w:rFonts w:cs="Arial"/>
          <w:szCs w:val="20"/>
        </w:rPr>
        <w:t>OTC derivatives defined under Regulation (EU) No 648/2012 (EMIR) not subject to the clearing obl</w:t>
      </w:r>
      <w:r w:rsidRPr="00CB7A48">
        <w:rPr>
          <w:rFonts w:cs="Arial"/>
          <w:szCs w:val="20"/>
        </w:rPr>
        <w:t>i</w:t>
      </w:r>
      <w:r w:rsidRPr="00CB7A48">
        <w:rPr>
          <w:rFonts w:cs="Arial"/>
          <w:szCs w:val="20"/>
        </w:rPr>
        <w:t>gation / trading obligation;</w:t>
      </w:r>
    </w:p>
    <w:p w:rsidR="002D6B67" w:rsidRPr="00CB7A48" w:rsidRDefault="002D6B67" w:rsidP="0083012B">
      <w:pPr>
        <w:pStyle w:val="ListParagraph"/>
        <w:widowControl w:val="0"/>
        <w:numPr>
          <w:ilvl w:val="0"/>
          <w:numId w:val="39"/>
        </w:numPr>
        <w:autoSpaceDE w:val="0"/>
        <w:autoSpaceDN w:val="0"/>
        <w:contextualSpacing w:val="0"/>
        <w:jc w:val="both"/>
        <w:rPr>
          <w:rFonts w:cs="Arial"/>
          <w:szCs w:val="20"/>
        </w:rPr>
      </w:pPr>
      <w:r w:rsidRPr="00CB7A48">
        <w:rPr>
          <w:rFonts w:cs="Arial"/>
          <w:szCs w:val="20"/>
        </w:rPr>
        <w:t>OTC derivatives defined under Regulation (EU) No 648/2012 (EMIR) subject to the clearing obligation but not the trading obligation;</w:t>
      </w:r>
    </w:p>
    <w:p w:rsidR="002D6B67" w:rsidRPr="00CB7A48" w:rsidRDefault="002D6B67" w:rsidP="0083012B">
      <w:pPr>
        <w:pStyle w:val="ListParagraph"/>
        <w:widowControl w:val="0"/>
        <w:numPr>
          <w:ilvl w:val="0"/>
          <w:numId w:val="39"/>
        </w:numPr>
        <w:autoSpaceDE w:val="0"/>
        <w:autoSpaceDN w:val="0"/>
        <w:contextualSpacing w:val="0"/>
        <w:jc w:val="both"/>
        <w:rPr>
          <w:rFonts w:cs="Arial"/>
          <w:szCs w:val="20"/>
        </w:rPr>
      </w:pPr>
      <w:r w:rsidRPr="00CB7A48">
        <w:rPr>
          <w:rFonts w:cs="Arial"/>
          <w:szCs w:val="20"/>
        </w:rPr>
        <w:t>OTC derivatives defined under Regulation (EU) No 648/2012 (EMIR) subject to the trading obligation;</w:t>
      </w:r>
    </w:p>
    <w:p w:rsidR="002D6B67" w:rsidRPr="00CB7A48" w:rsidRDefault="002D6B67" w:rsidP="0083012B">
      <w:pPr>
        <w:pStyle w:val="ListParagraph"/>
        <w:widowControl w:val="0"/>
        <w:numPr>
          <w:ilvl w:val="0"/>
          <w:numId w:val="39"/>
        </w:numPr>
        <w:autoSpaceDE w:val="0"/>
        <w:autoSpaceDN w:val="0"/>
        <w:contextualSpacing w:val="0"/>
        <w:jc w:val="both"/>
        <w:rPr>
          <w:rFonts w:cs="Arial"/>
          <w:szCs w:val="20"/>
        </w:rPr>
      </w:pPr>
      <w:r w:rsidRPr="00CB7A48">
        <w:rPr>
          <w:rFonts w:cs="Arial"/>
          <w:szCs w:val="20"/>
        </w:rPr>
        <w:t>Derivatives that are not OTC derivatives defined under Regulation (EU) No 648/2012 (EMIR) (i.e. derivatives on regulated markets);</w:t>
      </w:r>
    </w:p>
    <w:p w:rsidR="002D6B67" w:rsidRPr="00CB7A48" w:rsidRDefault="002D6B67" w:rsidP="0083012B">
      <w:pPr>
        <w:pStyle w:val="ListParagraph"/>
        <w:widowControl w:val="0"/>
        <w:numPr>
          <w:ilvl w:val="0"/>
          <w:numId w:val="39"/>
        </w:numPr>
        <w:autoSpaceDE w:val="0"/>
        <w:autoSpaceDN w:val="0"/>
        <w:contextualSpacing w:val="0"/>
        <w:jc w:val="both"/>
        <w:rPr>
          <w:rFonts w:cs="Arial"/>
          <w:szCs w:val="20"/>
        </w:rPr>
      </w:pPr>
      <w:r w:rsidRPr="00CB7A48">
        <w:rPr>
          <w:rFonts w:cs="Arial"/>
          <w:szCs w:val="20"/>
        </w:rPr>
        <w:t>Cash instruments (such as cash bonds).</w:t>
      </w:r>
    </w:p>
    <w:p w:rsidR="002D6B67" w:rsidRPr="00CB7A48" w:rsidRDefault="002D6B67" w:rsidP="002D6B67">
      <w:pPr>
        <w:jc w:val="both"/>
        <w:rPr>
          <w:rFonts w:cs="Arial"/>
          <w:szCs w:val="20"/>
        </w:rPr>
      </w:pPr>
    </w:p>
    <w:p w:rsidR="002D6B67" w:rsidRPr="00CB7A48" w:rsidRDefault="002D6B67" w:rsidP="002D6B67">
      <w:pPr>
        <w:jc w:val="both"/>
        <w:rPr>
          <w:rFonts w:cs="Arial"/>
          <w:szCs w:val="20"/>
        </w:rPr>
      </w:pPr>
      <w:r w:rsidRPr="00CB7A48">
        <w:rPr>
          <w:rFonts w:cs="Arial"/>
          <w:szCs w:val="20"/>
        </w:rPr>
        <w:t>As pointed out by ESMA in the consultation paper, because a precondition under EMIR is that derivatives are sufficiently standardised and liquid, the clearing obligation lends itself to be used as one of the para</w:t>
      </w:r>
      <w:r w:rsidRPr="00CB7A48">
        <w:rPr>
          <w:rFonts w:cs="Arial"/>
          <w:szCs w:val="20"/>
        </w:rPr>
        <w:t>m</w:t>
      </w:r>
      <w:r w:rsidRPr="00CB7A48">
        <w:rPr>
          <w:rFonts w:cs="Arial"/>
          <w:szCs w:val="20"/>
        </w:rPr>
        <w:t>eters at general criteria level. Following on from this, and as also flagged by ESMA itself, because the clearing obligation is a precondition to the trading obligation it makes sense to deploy the trading oblig</w:t>
      </w:r>
      <w:r w:rsidRPr="00CB7A48">
        <w:rPr>
          <w:rFonts w:cs="Arial"/>
          <w:szCs w:val="20"/>
        </w:rPr>
        <w:t>a</w:t>
      </w:r>
      <w:r w:rsidRPr="00CB7A48">
        <w:rPr>
          <w:rFonts w:cs="Arial"/>
          <w:szCs w:val="20"/>
        </w:rPr>
        <w:t xml:space="preserve">tion as a further parameter in the assessment.  </w:t>
      </w:r>
    </w:p>
    <w:p w:rsidR="002D6B67" w:rsidRPr="00CB7A48" w:rsidRDefault="002D6B67" w:rsidP="002D6B67">
      <w:pPr>
        <w:jc w:val="both"/>
        <w:rPr>
          <w:rFonts w:cs="Arial"/>
          <w:szCs w:val="20"/>
        </w:rPr>
      </w:pPr>
    </w:p>
    <w:p w:rsidR="002D6B67" w:rsidRPr="00CB7A48" w:rsidRDefault="002D6B67" w:rsidP="002D6B67">
      <w:pPr>
        <w:jc w:val="both"/>
        <w:rPr>
          <w:rFonts w:cs="Arial"/>
          <w:szCs w:val="20"/>
        </w:rPr>
      </w:pPr>
      <w:r w:rsidRPr="00CB7A48">
        <w:rPr>
          <w:rFonts w:cs="Arial"/>
          <w:szCs w:val="20"/>
        </w:rPr>
        <w:t>With these thoughts in mind and taking the above mentioned broad categories, we think that it is possible to create a two-way matrix showing all the possible combinations across the two types of instruments listed above:</w:t>
      </w:r>
    </w:p>
    <w:p w:rsidR="002D6B67" w:rsidRPr="00510836" w:rsidRDefault="002D6B67" w:rsidP="002D6B67">
      <w:pPr>
        <w:jc w:val="both"/>
        <w:rPr>
          <w:rFonts w:cs="Arial"/>
          <w:szCs w:val="20"/>
        </w:rPr>
      </w:pPr>
    </w:p>
    <w:tbl>
      <w:tblPr>
        <w:tblStyle w:val="TableGrid"/>
        <w:tblW w:w="0" w:type="auto"/>
        <w:tblLook w:val="04A0" w:firstRow="1" w:lastRow="0" w:firstColumn="1" w:lastColumn="0" w:noHBand="0" w:noVBand="1"/>
      </w:tblPr>
      <w:tblGrid>
        <w:gridCol w:w="1587"/>
        <w:gridCol w:w="1587"/>
        <w:gridCol w:w="1588"/>
        <w:gridCol w:w="1588"/>
        <w:gridCol w:w="1588"/>
        <w:gridCol w:w="1588"/>
      </w:tblGrid>
      <w:tr w:rsidR="002D6B67" w:rsidRPr="00510836" w:rsidTr="002D6B67">
        <w:tc>
          <w:tcPr>
            <w:tcW w:w="1587" w:type="dxa"/>
          </w:tcPr>
          <w:p w:rsidR="002D6B67" w:rsidRPr="00510836" w:rsidRDefault="002D6B67" w:rsidP="002D6B67">
            <w:pPr>
              <w:rPr>
                <w:rFonts w:cs="Arial"/>
                <w:b/>
                <w:szCs w:val="20"/>
              </w:rPr>
            </w:pPr>
          </w:p>
        </w:tc>
        <w:tc>
          <w:tcPr>
            <w:tcW w:w="1587" w:type="dxa"/>
          </w:tcPr>
          <w:p w:rsidR="002D6B67" w:rsidRPr="00510836" w:rsidRDefault="002D6B67" w:rsidP="002D6B67">
            <w:pPr>
              <w:rPr>
                <w:rFonts w:cs="Arial"/>
                <w:b/>
                <w:szCs w:val="20"/>
              </w:rPr>
            </w:pPr>
            <w:r w:rsidRPr="00510836">
              <w:rPr>
                <w:rFonts w:cs="Arial"/>
                <w:b/>
                <w:szCs w:val="20"/>
              </w:rPr>
              <w:t>Derivatives on a regulated market</w:t>
            </w:r>
          </w:p>
        </w:tc>
        <w:tc>
          <w:tcPr>
            <w:tcW w:w="1588" w:type="dxa"/>
          </w:tcPr>
          <w:p w:rsidR="002D6B67" w:rsidRPr="00510836" w:rsidRDefault="002D6B67" w:rsidP="002D6B67">
            <w:pPr>
              <w:rPr>
                <w:rFonts w:cs="Arial"/>
                <w:b/>
                <w:szCs w:val="20"/>
              </w:rPr>
            </w:pPr>
            <w:r w:rsidRPr="00510836">
              <w:rPr>
                <w:rFonts w:cs="Arial"/>
                <w:b/>
                <w:szCs w:val="20"/>
              </w:rPr>
              <w:t>OTC deriv</w:t>
            </w:r>
            <w:r w:rsidRPr="00510836">
              <w:rPr>
                <w:rFonts w:cs="Arial"/>
                <w:b/>
                <w:szCs w:val="20"/>
              </w:rPr>
              <w:t>a</w:t>
            </w:r>
            <w:r w:rsidRPr="00510836">
              <w:rPr>
                <w:rFonts w:cs="Arial"/>
                <w:b/>
                <w:szCs w:val="20"/>
              </w:rPr>
              <w:t>tives not subject to CO/TO</w:t>
            </w:r>
          </w:p>
        </w:tc>
        <w:tc>
          <w:tcPr>
            <w:tcW w:w="1588" w:type="dxa"/>
          </w:tcPr>
          <w:p w:rsidR="002D6B67" w:rsidRPr="00510836" w:rsidRDefault="002D6B67" w:rsidP="002D6B67">
            <w:pPr>
              <w:rPr>
                <w:rFonts w:cs="Arial"/>
                <w:b/>
                <w:szCs w:val="20"/>
              </w:rPr>
            </w:pPr>
            <w:r w:rsidRPr="00510836">
              <w:rPr>
                <w:rFonts w:cs="Arial"/>
                <w:b/>
                <w:szCs w:val="20"/>
              </w:rPr>
              <w:t>OTC deriv</w:t>
            </w:r>
            <w:r w:rsidRPr="00510836">
              <w:rPr>
                <w:rFonts w:cs="Arial"/>
                <w:b/>
                <w:szCs w:val="20"/>
              </w:rPr>
              <w:t>a</w:t>
            </w:r>
            <w:r w:rsidRPr="00510836">
              <w:rPr>
                <w:rFonts w:cs="Arial"/>
                <w:b/>
                <w:szCs w:val="20"/>
              </w:rPr>
              <w:t>tives subject to CO</w:t>
            </w:r>
          </w:p>
        </w:tc>
        <w:tc>
          <w:tcPr>
            <w:tcW w:w="1588" w:type="dxa"/>
          </w:tcPr>
          <w:p w:rsidR="002D6B67" w:rsidRPr="00510836" w:rsidRDefault="002D6B67" w:rsidP="002D6B67">
            <w:pPr>
              <w:rPr>
                <w:rFonts w:cs="Arial"/>
                <w:b/>
                <w:szCs w:val="20"/>
              </w:rPr>
            </w:pPr>
            <w:r w:rsidRPr="00510836">
              <w:rPr>
                <w:rFonts w:cs="Arial"/>
                <w:b/>
                <w:szCs w:val="20"/>
              </w:rPr>
              <w:t>OTC deriv</w:t>
            </w:r>
            <w:r w:rsidRPr="00510836">
              <w:rPr>
                <w:rFonts w:cs="Arial"/>
                <w:b/>
                <w:szCs w:val="20"/>
              </w:rPr>
              <w:t>a</w:t>
            </w:r>
            <w:r w:rsidRPr="00510836">
              <w:rPr>
                <w:rFonts w:cs="Arial"/>
                <w:b/>
                <w:szCs w:val="20"/>
              </w:rPr>
              <w:t xml:space="preserve">tives subject to </w:t>
            </w:r>
            <w:proofErr w:type="spellStart"/>
            <w:r w:rsidRPr="00510836">
              <w:rPr>
                <w:rFonts w:cs="Arial"/>
                <w:b/>
                <w:szCs w:val="20"/>
              </w:rPr>
              <w:t>TO</w:t>
            </w:r>
            <w:proofErr w:type="spellEnd"/>
          </w:p>
        </w:tc>
        <w:tc>
          <w:tcPr>
            <w:tcW w:w="1588" w:type="dxa"/>
          </w:tcPr>
          <w:p w:rsidR="002D6B67" w:rsidRPr="00510836" w:rsidRDefault="002D6B67" w:rsidP="002D6B67">
            <w:pPr>
              <w:rPr>
                <w:rFonts w:cs="Arial"/>
                <w:b/>
                <w:szCs w:val="20"/>
              </w:rPr>
            </w:pPr>
            <w:r w:rsidRPr="00510836">
              <w:rPr>
                <w:rFonts w:cs="Arial"/>
                <w:b/>
                <w:szCs w:val="20"/>
              </w:rPr>
              <w:t>Cash instr</w:t>
            </w:r>
            <w:r w:rsidRPr="00510836">
              <w:rPr>
                <w:rFonts w:cs="Arial"/>
                <w:b/>
                <w:szCs w:val="20"/>
              </w:rPr>
              <w:t>u</w:t>
            </w:r>
            <w:r w:rsidRPr="00510836">
              <w:rPr>
                <w:rFonts w:cs="Arial"/>
                <w:b/>
                <w:szCs w:val="20"/>
              </w:rPr>
              <w:t>ments</w:t>
            </w:r>
          </w:p>
        </w:tc>
      </w:tr>
      <w:tr w:rsidR="002D6B67" w:rsidRPr="00510836" w:rsidTr="002D6B67">
        <w:tc>
          <w:tcPr>
            <w:tcW w:w="1587" w:type="dxa"/>
          </w:tcPr>
          <w:p w:rsidR="002D6B67" w:rsidRPr="00510836" w:rsidRDefault="002D6B67" w:rsidP="002D6B67">
            <w:pPr>
              <w:rPr>
                <w:rFonts w:cs="Arial"/>
                <w:b/>
                <w:szCs w:val="20"/>
              </w:rPr>
            </w:pPr>
            <w:r w:rsidRPr="00510836">
              <w:rPr>
                <w:rFonts w:cs="Arial"/>
                <w:b/>
                <w:szCs w:val="20"/>
              </w:rPr>
              <w:t>Derivatives on a regulated market</w:t>
            </w:r>
          </w:p>
        </w:tc>
        <w:tc>
          <w:tcPr>
            <w:tcW w:w="1587" w:type="dxa"/>
            <w:shd w:val="clear" w:color="auto" w:fill="D6F2D9"/>
          </w:tcPr>
          <w:p w:rsidR="002D6B67" w:rsidRPr="00510836" w:rsidRDefault="002D6B67" w:rsidP="002D6B67">
            <w:pPr>
              <w:rPr>
                <w:rFonts w:cs="Arial"/>
                <w:szCs w:val="20"/>
              </w:rPr>
            </w:pPr>
            <w:r w:rsidRPr="00510836">
              <w:rPr>
                <w:rFonts w:cs="Arial"/>
                <w:szCs w:val="20"/>
              </w:rPr>
              <w:t>Standardised and potentially liquid but further asset class specific liquidity a</w:t>
            </w:r>
            <w:r w:rsidRPr="00510836">
              <w:rPr>
                <w:rFonts w:cs="Arial"/>
                <w:szCs w:val="20"/>
              </w:rPr>
              <w:t>s</w:t>
            </w:r>
            <w:r w:rsidRPr="00510836">
              <w:rPr>
                <w:rFonts w:cs="Arial"/>
                <w:szCs w:val="20"/>
              </w:rPr>
              <w:t xml:space="preserve">sessment needed </w:t>
            </w:r>
            <w:r w:rsidRPr="00510836">
              <w:rPr>
                <w:rFonts w:cs="Arial"/>
                <w:b/>
                <w:szCs w:val="20"/>
              </w:rPr>
              <w:t xml:space="preserve">for exchange leg(s).  </w:t>
            </w:r>
          </w:p>
        </w:tc>
        <w:tc>
          <w:tcPr>
            <w:tcW w:w="1588" w:type="dxa"/>
            <w:shd w:val="clear" w:color="auto" w:fill="EBBBBB"/>
          </w:tcPr>
          <w:p w:rsidR="002D6B67" w:rsidRPr="00510836" w:rsidRDefault="002D6B67" w:rsidP="002D6B67">
            <w:pPr>
              <w:rPr>
                <w:rFonts w:cs="Arial"/>
                <w:szCs w:val="20"/>
              </w:rPr>
            </w:pPr>
            <w:r w:rsidRPr="00510836">
              <w:rPr>
                <w:rFonts w:cs="Arial"/>
                <w:szCs w:val="20"/>
              </w:rPr>
              <w:t>Not liquid on the basis the OTC leg is less likely to be liquid.</w:t>
            </w:r>
          </w:p>
        </w:tc>
        <w:tc>
          <w:tcPr>
            <w:tcW w:w="1588" w:type="dxa"/>
            <w:shd w:val="clear" w:color="auto" w:fill="EBBBBB"/>
          </w:tcPr>
          <w:p w:rsidR="002D6B67" w:rsidRPr="00510836" w:rsidRDefault="002D6B67" w:rsidP="002D6B67">
            <w:pPr>
              <w:rPr>
                <w:rFonts w:cs="Arial"/>
                <w:szCs w:val="20"/>
              </w:rPr>
            </w:pPr>
            <w:r w:rsidRPr="00510836">
              <w:rPr>
                <w:rFonts w:cs="Arial"/>
                <w:szCs w:val="20"/>
              </w:rPr>
              <w:t>Not liquid on the basis the OTC leg is standardised but likely to not be liquid enough to be traded on a venue.</w:t>
            </w:r>
          </w:p>
        </w:tc>
        <w:tc>
          <w:tcPr>
            <w:tcW w:w="1588" w:type="dxa"/>
            <w:shd w:val="clear" w:color="auto" w:fill="D6F2D9"/>
          </w:tcPr>
          <w:p w:rsidR="002D6B67" w:rsidRPr="00510836" w:rsidRDefault="002D6B67" w:rsidP="002D6B67">
            <w:pPr>
              <w:rPr>
                <w:rFonts w:cs="Arial"/>
                <w:szCs w:val="20"/>
              </w:rPr>
            </w:pPr>
            <w:r w:rsidRPr="00510836">
              <w:rPr>
                <w:rFonts w:cs="Arial"/>
                <w:szCs w:val="20"/>
              </w:rPr>
              <w:t>Standardised and potentially liquid on the basis the OTC leg is liquid enough to be traded on a venue, but further asset class specific liquidity a</w:t>
            </w:r>
            <w:r w:rsidRPr="00510836">
              <w:rPr>
                <w:rFonts w:cs="Arial"/>
                <w:szCs w:val="20"/>
              </w:rPr>
              <w:t>s</w:t>
            </w:r>
            <w:r w:rsidRPr="00510836">
              <w:rPr>
                <w:rFonts w:cs="Arial"/>
                <w:szCs w:val="20"/>
              </w:rPr>
              <w:t xml:space="preserve">sessment needed </w:t>
            </w:r>
            <w:r w:rsidRPr="00510836">
              <w:rPr>
                <w:rFonts w:cs="Arial"/>
                <w:b/>
                <w:szCs w:val="20"/>
              </w:rPr>
              <w:t xml:space="preserve">for exchange leg(s).  </w:t>
            </w:r>
          </w:p>
        </w:tc>
        <w:tc>
          <w:tcPr>
            <w:tcW w:w="1588" w:type="dxa"/>
            <w:shd w:val="clear" w:color="auto" w:fill="FBD4B4" w:themeFill="accent6" w:themeFillTint="66"/>
          </w:tcPr>
          <w:p w:rsidR="002D6B67" w:rsidRPr="00510836" w:rsidRDefault="002D6B67" w:rsidP="002D6B67">
            <w:pPr>
              <w:rPr>
                <w:rFonts w:cs="Arial"/>
                <w:szCs w:val="20"/>
              </w:rPr>
            </w:pPr>
            <w:r w:rsidRPr="00510836">
              <w:rPr>
                <w:rFonts w:cs="Arial"/>
                <w:szCs w:val="20"/>
              </w:rPr>
              <w:t>For the most part not liquid, except: (</w:t>
            </w:r>
            <w:proofErr w:type="spellStart"/>
            <w:r w:rsidRPr="00510836">
              <w:rPr>
                <w:rFonts w:cs="Arial"/>
                <w:szCs w:val="20"/>
              </w:rPr>
              <w:t>i</w:t>
            </w:r>
            <w:proofErr w:type="spellEnd"/>
            <w:r w:rsidRPr="00510836">
              <w:rPr>
                <w:rFonts w:cs="Arial"/>
                <w:szCs w:val="20"/>
              </w:rPr>
              <w:t>) where this includes a liquid sove</w:t>
            </w:r>
            <w:r w:rsidRPr="00510836">
              <w:rPr>
                <w:rFonts w:cs="Arial"/>
                <w:szCs w:val="20"/>
              </w:rPr>
              <w:t>r</w:t>
            </w:r>
            <w:r w:rsidRPr="00510836">
              <w:rPr>
                <w:rFonts w:cs="Arial"/>
                <w:szCs w:val="20"/>
              </w:rPr>
              <w:t xml:space="preserve">eign bond (per RTS 2); and (ii) </w:t>
            </w:r>
            <w:r w:rsidRPr="00510836">
              <w:rPr>
                <w:rFonts w:cs="Arial"/>
                <w:b/>
                <w:szCs w:val="20"/>
              </w:rPr>
              <w:t>the exchange leg(s)</w:t>
            </w:r>
            <w:r w:rsidRPr="00510836">
              <w:rPr>
                <w:rFonts w:cs="Arial"/>
                <w:szCs w:val="20"/>
              </w:rPr>
              <w:t xml:space="preserve"> meet(s</w:t>
            </w:r>
            <w:proofErr w:type="gramStart"/>
            <w:r w:rsidRPr="00510836">
              <w:rPr>
                <w:rFonts w:cs="Arial"/>
                <w:szCs w:val="20"/>
              </w:rPr>
              <w:t>)  further</w:t>
            </w:r>
            <w:proofErr w:type="gramEnd"/>
            <w:r w:rsidRPr="00510836">
              <w:rPr>
                <w:rFonts w:cs="Arial"/>
                <w:szCs w:val="20"/>
              </w:rPr>
              <w:t xml:space="preserve"> asset class specific liquidity test. </w:t>
            </w:r>
          </w:p>
        </w:tc>
      </w:tr>
      <w:tr w:rsidR="002D6B67" w:rsidRPr="00510836" w:rsidTr="002D6B67">
        <w:tc>
          <w:tcPr>
            <w:tcW w:w="1587" w:type="dxa"/>
          </w:tcPr>
          <w:p w:rsidR="002D6B67" w:rsidRPr="00510836" w:rsidRDefault="002D6B67" w:rsidP="002D6B67">
            <w:pPr>
              <w:rPr>
                <w:rFonts w:cs="Arial"/>
                <w:b/>
                <w:szCs w:val="20"/>
              </w:rPr>
            </w:pPr>
            <w:r w:rsidRPr="00510836">
              <w:rPr>
                <w:rFonts w:cs="Arial"/>
                <w:b/>
                <w:szCs w:val="20"/>
              </w:rPr>
              <w:t>OTC deriv</w:t>
            </w:r>
            <w:r w:rsidRPr="00510836">
              <w:rPr>
                <w:rFonts w:cs="Arial"/>
                <w:b/>
                <w:szCs w:val="20"/>
              </w:rPr>
              <w:t>a</w:t>
            </w:r>
            <w:r w:rsidRPr="00510836">
              <w:rPr>
                <w:rFonts w:cs="Arial"/>
                <w:b/>
                <w:szCs w:val="20"/>
              </w:rPr>
              <w:t>tives not subject to CO/TO</w:t>
            </w:r>
          </w:p>
        </w:tc>
        <w:tc>
          <w:tcPr>
            <w:tcW w:w="1587"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EBBBBB"/>
          </w:tcPr>
          <w:p w:rsidR="002D6B67" w:rsidRPr="00510836" w:rsidRDefault="002D6B67" w:rsidP="002D6B67">
            <w:pPr>
              <w:jc w:val="both"/>
              <w:rPr>
                <w:rFonts w:cs="Arial"/>
                <w:szCs w:val="20"/>
              </w:rPr>
            </w:pPr>
            <w:r w:rsidRPr="00510836">
              <w:rPr>
                <w:rFonts w:cs="Arial"/>
                <w:szCs w:val="20"/>
              </w:rPr>
              <w:t>Not liquid on the basis the OTC legs are less likely to be liquid.</w:t>
            </w:r>
          </w:p>
        </w:tc>
        <w:tc>
          <w:tcPr>
            <w:tcW w:w="1588" w:type="dxa"/>
            <w:shd w:val="clear" w:color="auto" w:fill="EBBBBB"/>
          </w:tcPr>
          <w:p w:rsidR="002D6B67" w:rsidRPr="00510836" w:rsidRDefault="002D6B67" w:rsidP="002D6B67">
            <w:pPr>
              <w:jc w:val="both"/>
              <w:rPr>
                <w:rFonts w:cs="Arial"/>
                <w:szCs w:val="20"/>
              </w:rPr>
            </w:pPr>
            <w:r w:rsidRPr="00510836">
              <w:rPr>
                <w:rFonts w:cs="Arial"/>
                <w:szCs w:val="20"/>
              </w:rPr>
              <w:t>Not liquid on the basis the OTC legs are less likely to be liquid.</w:t>
            </w:r>
          </w:p>
        </w:tc>
        <w:tc>
          <w:tcPr>
            <w:tcW w:w="1588" w:type="dxa"/>
            <w:shd w:val="clear" w:color="auto" w:fill="EBBBBB"/>
          </w:tcPr>
          <w:p w:rsidR="002D6B67" w:rsidRPr="00510836" w:rsidRDefault="002D6B67" w:rsidP="002D6B67">
            <w:pPr>
              <w:jc w:val="both"/>
              <w:rPr>
                <w:rFonts w:cs="Arial"/>
                <w:szCs w:val="20"/>
              </w:rPr>
            </w:pPr>
            <w:r w:rsidRPr="00510836">
              <w:rPr>
                <w:rFonts w:cs="Arial"/>
                <w:szCs w:val="20"/>
              </w:rPr>
              <w:t>Not liquid on the basis the OTC legs are less likely to be liquid.</w:t>
            </w:r>
          </w:p>
        </w:tc>
        <w:tc>
          <w:tcPr>
            <w:tcW w:w="1588" w:type="dxa"/>
            <w:shd w:val="clear" w:color="auto" w:fill="EBBBBB"/>
          </w:tcPr>
          <w:p w:rsidR="002D6B67" w:rsidRPr="00510836" w:rsidRDefault="002D6B67" w:rsidP="002D6B67">
            <w:pPr>
              <w:jc w:val="both"/>
              <w:rPr>
                <w:rFonts w:cs="Arial"/>
                <w:szCs w:val="20"/>
              </w:rPr>
            </w:pPr>
            <w:r w:rsidRPr="00510836">
              <w:rPr>
                <w:rFonts w:cs="Arial"/>
                <w:szCs w:val="20"/>
              </w:rPr>
              <w:t>Not liquid on the basis the OTC legs are less likely to be liquid.</w:t>
            </w:r>
          </w:p>
        </w:tc>
      </w:tr>
      <w:tr w:rsidR="002D6B67" w:rsidRPr="00510836" w:rsidTr="002D6B67">
        <w:tc>
          <w:tcPr>
            <w:tcW w:w="1587" w:type="dxa"/>
          </w:tcPr>
          <w:p w:rsidR="002D6B67" w:rsidRPr="00510836" w:rsidRDefault="002D6B67" w:rsidP="002D6B67">
            <w:pPr>
              <w:rPr>
                <w:rFonts w:cs="Arial"/>
                <w:b/>
                <w:szCs w:val="20"/>
              </w:rPr>
            </w:pPr>
            <w:r w:rsidRPr="00510836">
              <w:rPr>
                <w:rFonts w:cs="Arial"/>
                <w:b/>
                <w:szCs w:val="20"/>
              </w:rPr>
              <w:t>OTC deriv</w:t>
            </w:r>
            <w:r w:rsidRPr="00510836">
              <w:rPr>
                <w:rFonts w:cs="Arial"/>
                <w:b/>
                <w:szCs w:val="20"/>
              </w:rPr>
              <w:t>a</w:t>
            </w:r>
            <w:r w:rsidRPr="00510836">
              <w:rPr>
                <w:rFonts w:cs="Arial"/>
                <w:b/>
                <w:szCs w:val="20"/>
              </w:rPr>
              <w:t>tives subject to CO</w:t>
            </w:r>
          </w:p>
        </w:tc>
        <w:tc>
          <w:tcPr>
            <w:tcW w:w="1587"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EBBBBB"/>
          </w:tcPr>
          <w:p w:rsidR="002D6B67" w:rsidRPr="00510836" w:rsidRDefault="002D6B67" w:rsidP="002D6B67">
            <w:pPr>
              <w:jc w:val="both"/>
              <w:rPr>
                <w:rFonts w:cs="Arial"/>
                <w:szCs w:val="20"/>
              </w:rPr>
            </w:pPr>
            <w:r w:rsidRPr="00510836">
              <w:rPr>
                <w:rFonts w:cs="Arial"/>
                <w:szCs w:val="20"/>
              </w:rPr>
              <w:t>Not liquid on the basis the OTC leg is standardised but likely to not be liquid enough to be traded on a venue.</w:t>
            </w:r>
          </w:p>
        </w:tc>
        <w:tc>
          <w:tcPr>
            <w:tcW w:w="1588" w:type="dxa"/>
            <w:shd w:val="clear" w:color="auto" w:fill="76D47F"/>
          </w:tcPr>
          <w:p w:rsidR="002D6B67" w:rsidRPr="00510836" w:rsidRDefault="002D6B67" w:rsidP="002D6B67">
            <w:pPr>
              <w:jc w:val="both"/>
              <w:rPr>
                <w:rFonts w:cs="Arial"/>
                <w:szCs w:val="20"/>
              </w:rPr>
            </w:pPr>
            <w:r w:rsidRPr="00510836">
              <w:rPr>
                <w:rFonts w:cs="Arial"/>
                <w:szCs w:val="20"/>
              </w:rPr>
              <w:t>Liquid</w:t>
            </w:r>
          </w:p>
        </w:tc>
        <w:tc>
          <w:tcPr>
            <w:tcW w:w="1588" w:type="dxa"/>
            <w:shd w:val="clear" w:color="auto" w:fill="FBD4B4" w:themeFill="accent6" w:themeFillTint="66"/>
          </w:tcPr>
          <w:p w:rsidR="002D6B67" w:rsidRPr="00510836" w:rsidRDefault="002D6B67" w:rsidP="002D6B67">
            <w:pPr>
              <w:rPr>
                <w:rFonts w:cs="Arial"/>
                <w:szCs w:val="20"/>
              </w:rPr>
            </w:pPr>
            <w:r w:rsidRPr="00510836">
              <w:rPr>
                <w:rFonts w:cs="Arial"/>
                <w:szCs w:val="20"/>
              </w:rPr>
              <w:t>Liquid only where this includes a liquid sove</w:t>
            </w:r>
            <w:r w:rsidRPr="00510836">
              <w:rPr>
                <w:rFonts w:cs="Arial"/>
                <w:szCs w:val="20"/>
              </w:rPr>
              <w:t>r</w:t>
            </w:r>
            <w:r w:rsidRPr="00510836">
              <w:rPr>
                <w:rFonts w:cs="Arial"/>
                <w:szCs w:val="20"/>
              </w:rPr>
              <w:t>eign bond (per RTS 2)</w:t>
            </w:r>
          </w:p>
        </w:tc>
      </w:tr>
      <w:tr w:rsidR="002D6B67" w:rsidRPr="00510836" w:rsidTr="002D6B67">
        <w:tc>
          <w:tcPr>
            <w:tcW w:w="1587" w:type="dxa"/>
          </w:tcPr>
          <w:p w:rsidR="002D6B67" w:rsidRPr="00510836" w:rsidRDefault="002D6B67" w:rsidP="002D6B67">
            <w:pPr>
              <w:rPr>
                <w:rFonts w:cs="Arial"/>
                <w:b/>
                <w:szCs w:val="20"/>
              </w:rPr>
            </w:pPr>
            <w:r w:rsidRPr="00510836">
              <w:rPr>
                <w:rFonts w:cs="Arial"/>
                <w:b/>
                <w:szCs w:val="20"/>
              </w:rPr>
              <w:t>OTC deriv</w:t>
            </w:r>
            <w:r w:rsidRPr="00510836">
              <w:rPr>
                <w:rFonts w:cs="Arial"/>
                <w:b/>
                <w:szCs w:val="20"/>
              </w:rPr>
              <w:t>a</w:t>
            </w:r>
            <w:r w:rsidRPr="00510836">
              <w:rPr>
                <w:rFonts w:cs="Arial"/>
                <w:b/>
                <w:szCs w:val="20"/>
              </w:rPr>
              <w:t xml:space="preserve">tives subject to </w:t>
            </w:r>
            <w:proofErr w:type="spellStart"/>
            <w:r w:rsidRPr="00510836">
              <w:rPr>
                <w:rFonts w:cs="Arial"/>
                <w:b/>
                <w:szCs w:val="20"/>
              </w:rPr>
              <w:t>TO</w:t>
            </w:r>
            <w:proofErr w:type="spellEnd"/>
          </w:p>
        </w:tc>
        <w:tc>
          <w:tcPr>
            <w:tcW w:w="1587"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76D47F"/>
          </w:tcPr>
          <w:p w:rsidR="002D6B67" w:rsidRPr="00510836" w:rsidRDefault="002D6B67" w:rsidP="002D6B67">
            <w:pPr>
              <w:jc w:val="both"/>
              <w:rPr>
                <w:rFonts w:cs="Arial"/>
                <w:szCs w:val="20"/>
              </w:rPr>
            </w:pPr>
            <w:r w:rsidRPr="00510836">
              <w:rPr>
                <w:rFonts w:cs="Arial"/>
                <w:szCs w:val="20"/>
              </w:rPr>
              <w:t>Liquid</w:t>
            </w:r>
          </w:p>
        </w:tc>
        <w:tc>
          <w:tcPr>
            <w:tcW w:w="1588" w:type="dxa"/>
            <w:shd w:val="clear" w:color="auto" w:fill="FBD4B4" w:themeFill="accent6" w:themeFillTint="66"/>
          </w:tcPr>
          <w:p w:rsidR="002D6B67" w:rsidRPr="00510836" w:rsidRDefault="002D6B67" w:rsidP="002D6B67">
            <w:pPr>
              <w:jc w:val="both"/>
              <w:rPr>
                <w:rFonts w:cs="Arial"/>
                <w:szCs w:val="20"/>
              </w:rPr>
            </w:pPr>
            <w:r w:rsidRPr="00510836">
              <w:rPr>
                <w:rFonts w:cs="Arial"/>
                <w:szCs w:val="20"/>
              </w:rPr>
              <w:t>Liquid only where this includes a liquid sove</w:t>
            </w:r>
            <w:r w:rsidRPr="00510836">
              <w:rPr>
                <w:rFonts w:cs="Arial"/>
                <w:szCs w:val="20"/>
              </w:rPr>
              <w:t>r</w:t>
            </w:r>
            <w:r w:rsidRPr="00510836">
              <w:rPr>
                <w:rFonts w:cs="Arial"/>
                <w:szCs w:val="20"/>
              </w:rPr>
              <w:t>eign bond (per RTS 2)</w:t>
            </w:r>
          </w:p>
        </w:tc>
      </w:tr>
      <w:tr w:rsidR="002D6B67" w:rsidRPr="00510836" w:rsidTr="002D6B67">
        <w:tc>
          <w:tcPr>
            <w:tcW w:w="1587" w:type="dxa"/>
          </w:tcPr>
          <w:p w:rsidR="002D6B67" w:rsidRPr="00510836" w:rsidRDefault="002D6B67" w:rsidP="002D6B67">
            <w:pPr>
              <w:rPr>
                <w:rFonts w:cs="Arial"/>
                <w:b/>
                <w:szCs w:val="20"/>
              </w:rPr>
            </w:pPr>
            <w:r w:rsidRPr="00510836">
              <w:rPr>
                <w:rFonts w:cs="Arial"/>
                <w:b/>
                <w:szCs w:val="20"/>
              </w:rPr>
              <w:t>Cash instr</w:t>
            </w:r>
            <w:r w:rsidRPr="00510836">
              <w:rPr>
                <w:rFonts w:cs="Arial"/>
                <w:b/>
                <w:szCs w:val="20"/>
              </w:rPr>
              <w:t>u</w:t>
            </w:r>
            <w:r w:rsidRPr="00510836">
              <w:rPr>
                <w:rFonts w:cs="Arial"/>
                <w:b/>
                <w:szCs w:val="20"/>
              </w:rPr>
              <w:t>ments</w:t>
            </w:r>
          </w:p>
        </w:tc>
        <w:tc>
          <w:tcPr>
            <w:tcW w:w="1587"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D9D9D9" w:themeFill="background1" w:themeFillShade="D9"/>
          </w:tcPr>
          <w:p w:rsidR="002D6B67" w:rsidRPr="00510836" w:rsidRDefault="002D6B67" w:rsidP="002D6B67">
            <w:pPr>
              <w:jc w:val="both"/>
              <w:rPr>
                <w:rFonts w:cs="Arial"/>
                <w:szCs w:val="20"/>
              </w:rPr>
            </w:pPr>
          </w:p>
        </w:tc>
        <w:tc>
          <w:tcPr>
            <w:tcW w:w="1588" w:type="dxa"/>
            <w:shd w:val="clear" w:color="auto" w:fill="FBD4B4" w:themeFill="accent6" w:themeFillTint="66"/>
          </w:tcPr>
          <w:p w:rsidR="002D6B67" w:rsidRPr="00510836" w:rsidRDefault="002D6B67" w:rsidP="002D6B67">
            <w:pPr>
              <w:jc w:val="both"/>
              <w:rPr>
                <w:rFonts w:cs="Arial"/>
                <w:szCs w:val="20"/>
              </w:rPr>
            </w:pPr>
            <w:r w:rsidRPr="00510836">
              <w:rPr>
                <w:rFonts w:cs="Arial"/>
                <w:szCs w:val="20"/>
              </w:rPr>
              <w:t>More analysis needed</w:t>
            </w:r>
          </w:p>
        </w:tc>
      </w:tr>
    </w:tbl>
    <w:p w:rsidR="002D6B67" w:rsidRPr="00510836" w:rsidRDefault="002D6B67" w:rsidP="002D6B67">
      <w:pPr>
        <w:jc w:val="both"/>
        <w:rPr>
          <w:rFonts w:cs="Arial"/>
          <w:szCs w:val="20"/>
        </w:rPr>
      </w:pPr>
    </w:p>
    <w:p w:rsidR="002D6B67" w:rsidRPr="00510836" w:rsidRDefault="002D6B67" w:rsidP="002D6B67">
      <w:pPr>
        <w:jc w:val="both"/>
        <w:rPr>
          <w:rFonts w:cs="Arial"/>
          <w:szCs w:val="20"/>
        </w:rPr>
      </w:pPr>
    </w:p>
    <w:p w:rsidR="002D6B67" w:rsidRPr="00510836" w:rsidRDefault="002D6B67" w:rsidP="002D6B67">
      <w:pPr>
        <w:jc w:val="both"/>
        <w:rPr>
          <w:rFonts w:cs="Arial"/>
          <w:szCs w:val="20"/>
        </w:rPr>
      </w:pPr>
      <w:r w:rsidRPr="00510836">
        <w:rPr>
          <w:rFonts w:cs="Arial"/>
          <w:szCs w:val="20"/>
        </w:rPr>
        <w:t xml:space="preserve">We think that the parameters set out in the matrix table could be used as </w:t>
      </w:r>
      <w:r w:rsidRPr="00510836">
        <w:rPr>
          <w:rFonts w:cs="Arial"/>
          <w:b/>
          <w:szCs w:val="20"/>
        </w:rPr>
        <w:t>general criteria</w:t>
      </w:r>
      <w:r w:rsidRPr="00510836">
        <w:rPr>
          <w:rFonts w:cs="Arial"/>
          <w:szCs w:val="20"/>
        </w:rPr>
        <w:t xml:space="preserve"> to assess whether a package is considered liquid as a whole.  In addition, we would propose that the general criteria are further supplemented in the following way:</w:t>
      </w:r>
    </w:p>
    <w:p w:rsidR="002D6B67" w:rsidRPr="00510836" w:rsidRDefault="002D6B67" w:rsidP="002D6B67">
      <w:pPr>
        <w:jc w:val="both"/>
        <w:rPr>
          <w:rFonts w:cs="Arial"/>
          <w:szCs w:val="20"/>
        </w:rPr>
      </w:pPr>
    </w:p>
    <w:p w:rsidR="002D6B67" w:rsidRPr="00510836" w:rsidRDefault="002D6B67" w:rsidP="0083012B">
      <w:pPr>
        <w:pStyle w:val="ListParagraph"/>
        <w:widowControl w:val="0"/>
        <w:numPr>
          <w:ilvl w:val="0"/>
          <w:numId w:val="40"/>
        </w:numPr>
        <w:autoSpaceDE w:val="0"/>
        <w:autoSpaceDN w:val="0"/>
        <w:ind w:left="360"/>
        <w:contextualSpacing w:val="0"/>
        <w:jc w:val="both"/>
        <w:rPr>
          <w:rFonts w:cs="Arial"/>
          <w:szCs w:val="20"/>
        </w:rPr>
      </w:pPr>
      <w:r w:rsidRPr="00510836">
        <w:rPr>
          <w:rFonts w:cs="Arial"/>
          <w:szCs w:val="20"/>
        </w:rPr>
        <w:t xml:space="preserve">For a package order to be considered liquid as a whole we believe that it should contain </w:t>
      </w:r>
      <w:r w:rsidRPr="00510836">
        <w:rPr>
          <w:rFonts w:cs="Arial"/>
          <w:b/>
          <w:szCs w:val="20"/>
        </w:rPr>
        <w:t>no more than 2 of the 5 instrument classifications</w:t>
      </w:r>
      <w:r w:rsidRPr="00510836">
        <w:rPr>
          <w:rFonts w:cs="Arial"/>
          <w:szCs w:val="20"/>
        </w:rPr>
        <w:t xml:space="preserve"> in the matrix table. A package order containing 3 or more types of instrument classifications is likely to be bespoke and customised, and therefore not liquid.</w:t>
      </w:r>
    </w:p>
    <w:p w:rsidR="002D6B67" w:rsidRPr="00510836" w:rsidRDefault="002D6B67" w:rsidP="002D6B67">
      <w:pPr>
        <w:pStyle w:val="ListParagraph"/>
        <w:ind w:left="360"/>
        <w:rPr>
          <w:rFonts w:cs="Arial"/>
          <w:szCs w:val="20"/>
        </w:rPr>
      </w:pPr>
    </w:p>
    <w:p w:rsidR="002D6B67" w:rsidRPr="00510836" w:rsidRDefault="002D6B67" w:rsidP="0083012B">
      <w:pPr>
        <w:pStyle w:val="ListParagraph"/>
        <w:widowControl w:val="0"/>
        <w:numPr>
          <w:ilvl w:val="0"/>
          <w:numId w:val="40"/>
        </w:numPr>
        <w:autoSpaceDE w:val="0"/>
        <w:autoSpaceDN w:val="0"/>
        <w:ind w:left="360"/>
        <w:contextualSpacing w:val="0"/>
        <w:jc w:val="both"/>
        <w:rPr>
          <w:rFonts w:cs="Arial"/>
          <w:szCs w:val="20"/>
        </w:rPr>
      </w:pPr>
      <w:r w:rsidRPr="00510836">
        <w:rPr>
          <w:rFonts w:cs="Arial"/>
          <w:szCs w:val="20"/>
        </w:rPr>
        <w:t xml:space="preserve">For a package order to be considered liquid as a whole we consider that it would be reasonable to say that it should contain </w:t>
      </w:r>
      <w:r w:rsidRPr="00510836">
        <w:rPr>
          <w:rFonts w:cs="Arial"/>
          <w:b/>
          <w:szCs w:val="20"/>
        </w:rPr>
        <w:t>no more than 3 legs in total</w:t>
      </w:r>
      <w:r w:rsidRPr="00510836">
        <w:rPr>
          <w:rFonts w:cs="Arial"/>
          <w:szCs w:val="20"/>
        </w:rPr>
        <w:t xml:space="preserve">. The greater </w:t>
      </w:r>
      <w:r w:rsidR="008C4538">
        <w:rPr>
          <w:rFonts w:cs="Arial"/>
          <w:szCs w:val="20"/>
        </w:rPr>
        <w:t xml:space="preserve">the </w:t>
      </w:r>
      <w:r w:rsidRPr="00510836">
        <w:rPr>
          <w:rFonts w:cs="Arial"/>
          <w:szCs w:val="20"/>
        </w:rPr>
        <w:t xml:space="preserve">number of legs, the greater the possible combinations across maturities and contracts. It is difficult to see how package orders with 4 or more legs would in practice have a liquid market as a whole.  </w:t>
      </w:r>
    </w:p>
    <w:p w:rsidR="002D6B67" w:rsidRPr="00510836" w:rsidRDefault="002D6B67" w:rsidP="002D6B67">
      <w:pPr>
        <w:rPr>
          <w:rFonts w:cs="Arial"/>
          <w:szCs w:val="20"/>
        </w:rPr>
      </w:pPr>
    </w:p>
    <w:p w:rsidR="002D6B67" w:rsidRPr="00510836" w:rsidRDefault="002D6B67" w:rsidP="0083012B">
      <w:pPr>
        <w:pStyle w:val="ListParagraph"/>
        <w:widowControl w:val="0"/>
        <w:numPr>
          <w:ilvl w:val="0"/>
          <w:numId w:val="40"/>
        </w:numPr>
        <w:autoSpaceDE w:val="0"/>
        <w:autoSpaceDN w:val="0"/>
        <w:ind w:left="360"/>
        <w:contextualSpacing w:val="0"/>
        <w:jc w:val="both"/>
        <w:rPr>
          <w:rFonts w:cs="Arial"/>
          <w:szCs w:val="20"/>
        </w:rPr>
      </w:pPr>
      <w:r w:rsidRPr="00510836">
        <w:rPr>
          <w:rFonts w:cs="Arial"/>
          <w:szCs w:val="20"/>
        </w:rPr>
        <w:t xml:space="preserve">Only packages where all the legs are traded in a </w:t>
      </w:r>
      <w:r w:rsidRPr="00510836">
        <w:rPr>
          <w:rFonts w:cs="Arial"/>
          <w:b/>
          <w:szCs w:val="20"/>
        </w:rPr>
        <w:t>single currency</w:t>
      </w:r>
      <w:r w:rsidRPr="00510836">
        <w:rPr>
          <w:rFonts w:cs="Arial"/>
          <w:szCs w:val="20"/>
        </w:rPr>
        <w:t xml:space="preserve"> should be deemed liquid and standardised. Although the existing wording in Article 3(1</w:t>
      </w:r>
      <w:proofErr w:type="gramStart"/>
      <w:r w:rsidRPr="00510836">
        <w:rPr>
          <w:rFonts w:cs="Arial"/>
          <w:szCs w:val="20"/>
        </w:rPr>
        <w:t>)(</w:t>
      </w:r>
      <w:proofErr w:type="gramEnd"/>
      <w:r w:rsidRPr="00510836">
        <w:rPr>
          <w:rFonts w:cs="Arial"/>
          <w:szCs w:val="20"/>
        </w:rPr>
        <w:t xml:space="preserve">b) of the draft RTS is slightly ambiguous we believe that ESMA intended to require all components of the package order to have a single notional currency denominated in either EUR, USD or GBP. </w:t>
      </w:r>
    </w:p>
    <w:p w:rsidR="002D6B67" w:rsidRPr="00510836" w:rsidRDefault="002D6B67" w:rsidP="002D6B67">
      <w:pPr>
        <w:pStyle w:val="ListParagraph"/>
        <w:ind w:left="183"/>
        <w:rPr>
          <w:rFonts w:cs="Arial"/>
          <w:szCs w:val="20"/>
        </w:rPr>
      </w:pPr>
    </w:p>
    <w:p w:rsidR="002D6B67" w:rsidRPr="00510836" w:rsidRDefault="002D6B67" w:rsidP="0083012B">
      <w:pPr>
        <w:pStyle w:val="ListParagraph"/>
        <w:widowControl w:val="0"/>
        <w:numPr>
          <w:ilvl w:val="0"/>
          <w:numId w:val="40"/>
        </w:numPr>
        <w:autoSpaceDE w:val="0"/>
        <w:autoSpaceDN w:val="0"/>
        <w:ind w:left="360"/>
        <w:contextualSpacing w:val="0"/>
        <w:jc w:val="both"/>
        <w:rPr>
          <w:rFonts w:cs="Arial"/>
          <w:szCs w:val="20"/>
        </w:rPr>
      </w:pPr>
      <w:r w:rsidRPr="00510836">
        <w:rPr>
          <w:rFonts w:cs="Arial"/>
          <w:szCs w:val="20"/>
        </w:rPr>
        <w:t xml:space="preserve">In terms of </w:t>
      </w:r>
      <w:r w:rsidRPr="00510836">
        <w:rPr>
          <w:rFonts w:cs="Arial"/>
          <w:b/>
          <w:szCs w:val="20"/>
        </w:rPr>
        <w:t>cross-asset class package orders</w:t>
      </w:r>
      <w:r w:rsidRPr="00510836">
        <w:rPr>
          <w:rFonts w:cs="Arial"/>
          <w:szCs w:val="20"/>
        </w:rPr>
        <w:t xml:space="preserve"> we consider that these should be largely excluded on the basis that these are more specialised, complex trades and unlikely to be liquid to any large d</w:t>
      </w:r>
      <w:r w:rsidRPr="00510836">
        <w:rPr>
          <w:rFonts w:cs="Arial"/>
          <w:szCs w:val="20"/>
        </w:rPr>
        <w:t>e</w:t>
      </w:r>
      <w:r w:rsidRPr="00510836">
        <w:rPr>
          <w:rFonts w:cs="Arial"/>
          <w:szCs w:val="20"/>
        </w:rPr>
        <w:t>gree, with one exception: sovereign cash bonds vs. certain derivatives (as set out in the matrix above) which can trade frequently. Certain other cross-asset class package orders could be brought into scope at a later stage in the light of further assessment and practical experience of applying the wai</w:t>
      </w:r>
      <w:r w:rsidRPr="00510836">
        <w:rPr>
          <w:rFonts w:cs="Arial"/>
          <w:szCs w:val="20"/>
        </w:rPr>
        <w:t>v</w:t>
      </w:r>
      <w:r w:rsidRPr="00510836">
        <w:rPr>
          <w:rFonts w:cs="Arial"/>
          <w:szCs w:val="20"/>
        </w:rPr>
        <w:t xml:space="preserve">er regime. </w:t>
      </w:r>
    </w:p>
    <w:p w:rsidR="002D6B67" w:rsidRPr="00510836" w:rsidRDefault="002D6B67" w:rsidP="002D6B67">
      <w:pPr>
        <w:pStyle w:val="ListParagraph"/>
        <w:rPr>
          <w:rFonts w:cs="Arial"/>
          <w:szCs w:val="20"/>
        </w:rPr>
      </w:pPr>
    </w:p>
    <w:p w:rsidR="002D6B67" w:rsidRPr="00510836" w:rsidRDefault="002D6B67" w:rsidP="002D6B67">
      <w:pPr>
        <w:jc w:val="both"/>
        <w:rPr>
          <w:rFonts w:cs="Arial"/>
          <w:szCs w:val="20"/>
        </w:rPr>
      </w:pPr>
      <w:r w:rsidRPr="00510836">
        <w:rPr>
          <w:rFonts w:cs="Arial"/>
          <w:szCs w:val="20"/>
        </w:rPr>
        <w:t xml:space="preserve">As explained by ESMA, we agree that the general criteria should be a first step in scoping whether a package order could be deemed standardised or liquid. Failure to pass the general criteria stage means the package should not be considered liquid as a whole. </w:t>
      </w:r>
    </w:p>
    <w:p w:rsidR="002D6B67" w:rsidRPr="00510836" w:rsidRDefault="002D6B67" w:rsidP="002D6B67">
      <w:pPr>
        <w:jc w:val="both"/>
        <w:rPr>
          <w:rFonts w:cs="Arial"/>
          <w:szCs w:val="20"/>
        </w:rPr>
      </w:pPr>
    </w:p>
    <w:p w:rsidR="002D6B67" w:rsidRPr="00510836" w:rsidRDefault="002D6B67" w:rsidP="002D6B67">
      <w:pPr>
        <w:jc w:val="both"/>
        <w:rPr>
          <w:rFonts w:cs="Arial"/>
          <w:b/>
          <w:i/>
          <w:szCs w:val="20"/>
        </w:rPr>
      </w:pPr>
      <w:r w:rsidRPr="00510836">
        <w:rPr>
          <w:rFonts w:cs="Arial"/>
          <w:b/>
          <w:i/>
          <w:szCs w:val="20"/>
        </w:rPr>
        <w:t>Specific criteria</w:t>
      </w:r>
    </w:p>
    <w:p w:rsidR="002D6B67" w:rsidRPr="00510836" w:rsidRDefault="002D6B67" w:rsidP="002D6B67">
      <w:pPr>
        <w:jc w:val="both"/>
        <w:rPr>
          <w:rFonts w:cs="Arial"/>
          <w:szCs w:val="20"/>
        </w:rPr>
      </w:pPr>
    </w:p>
    <w:p w:rsidR="002D6B67" w:rsidRPr="00510836" w:rsidRDefault="002D6B67" w:rsidP="002D6B67">
      <w:pPr>
        <w:jc w:val="both"/>
        <w:rPr>
          <w:rFonts w:cs="Arial"/>
          <w:szCs w:val="20"/>
        </w:rPr>
      </w:pPr>
      <w:r w:rsidRPr="00510836">
        <w:rPr>
          <w:rFonts w:cs="Arial"/>
          <w:szCs w:val="20"/>
        </w:rPr>
        <w:t xml:space="preserve">As reflected in the matrix above, for certain package orders that include one or more exchange legs we propose a further </w:t>
      </w:r>
      <w:r w:rsidRPr="00510836">
        <w:rPr>
          <w:rFonts w:cs="Arial"/>
          <w:b/>
          <w:szCs w:val="20"/>
        </w:rPr>
        <w:t>asset-class specific liquidity assessment</w:t>
      </w:r>
      <w:r w:rsidRPr="00510836">
        <w:rPr>
          <w:rFonts w:cs="Arial"/>
          <w:szCs w:val="20"/>
        </w:rPr>
        <w:t xml:space="preserve"> </w:t>
      </w:r>
      <w:r w:rsidRPr="00510836">
        <w:rPr>
          <w:rFonts w:cs="Arial"/>
          <w:b/>
          <w:szCs w:val="20"/>
          <w:u w:val="single"/>
        </w:rPr>
        <w:t>in respect of the exchange leg(s) only</w:t>
      </w:r>
      <w:r w:rsidRPr="00510836">
        <w:rPr>
          <w:rFonts w:cs="Arial"/>
          <w:szCs w:val="20"/>
        </w:rPr>
        <w:t xml:space="preserve">. Although the exchange leg(s) can be considered standardised, by virtue of being listed according to a standard contract specification, we agree with ESMA that the final determination of liquidity depends on various other factors relevant to the specific contract. Our thoughts on this are set out in more detail in our responses to questions 5, 10 and 16.  </w:t>
      </w:r>
    </w:p>
    <w:p w:rsidR="002D6B67" w:rsidRPr="00510836" w:rsidRDefault="002D6B67" w:rsidP="002D6B67">
      <w:pPr>
        <w:jc w:val="both"/>
        <w:rPr>
          <w:rFonts w:cs="Arial"/>
          <w:szCs w:val="20"/>
        </w:rPr>
      </w:pPr>
    </w:p>
    <w:p w:rsidR="002D6B67" w:rsidRPr="00510836" w:rsidRDefault="002D6B67" w:rsidP="002D6B67">
      <w:pPr>
        <w:jc w:val="both"/>
        <w:rPr>
          <w:rFonts w:cs="Arial"/>
          <w:b/>
          <w:i/>
          <w:szCs w:val="20"/>
        </w:rPr>
      </w:pPr>
      <w:r w:rsidRPr="00510836">
        <w:rPr>
          <w:rFonts w:cs="Arial"/>
          <w:b/>
          <w:i/>
          <w:szCs w:val="20"/>
        </w:rPr>
        <w:t xml:space="preserve">Options excluded </w:t>
      </w:r>
    </w:p>
    <w:p w:rsidR="002D6B67" w:rsidRPr="00510836" w:rsidRDefault="002D6B67" w:rsidP="002D6B67">
      <w:pPr>
        <w:jc w:val="both"/>
        <w:rPr>
          <w:rFonts w:cs="Arial"/>
          <w:szCs w:val="20"/>
        </w:rPr>
      </w:pPr>
    </w:p>
    <w:p w:rsidR="002D6B67" w:rsidRPr="00510836" w:rsidRDefault="002D6B67" w:rsidP="002D6B67">
      <w:pPr>
        <w:jc w:val="both"/>
        <w:rPr>
          <w:rFonts w:cs="Arial"/>
          <w:szCs w:val="20"/>
        </w:rPr>
      </w:pPr>
      <w:r w:rsidRPr="00510836">
        <w:rPr>
          <w:rFonts w:cs="Arial"/>
          <w:szCs w:val="20"/>
        </w:rPr>
        <w:t>In relation to package orders that include option strategies, LSEG has looked at a range of data to esta</w:t>
      </w:r>
      <w:r w:rsidRPr="00510836">
        <w:rPr>
          <w:rFonts w:cs="Arial"/>
          <w:szCs w:val="20"/>
        </w:rPr>
        <w:t>b</w:t>
      </w:r>
      <w:r w:rsidRPr="00510836">
        <w:rPr>
          <w:rFonts w:cs="Arial"/>
          <w:szCs w:val="20"/>
        </w:rPr>
        <w:t>lish if/under what circumstances these could be classed liquid.  Following our analysis, we would propose completely to exclude options from the liquidity assessment because there does not seem to be a single strike price that can be considered liquid. By way of illustration, we have provided some statistics on the FTSE MIB options market (all data correct at the time of writing):</w:t>
      </w:r>
    </w:p>
    <w:p w:rsidR="002D6B67" w:rsidRPr="00510836" w:rsidRDefault="002D6B67" w:rsidP="002D6B67">
      <w:pPr>
        <w:jc w:val="both"/>
        <w:rPr>
          <w:rFonts w:cs="Arial"/>
          <w:szCs w:val="20"/>
        </w:rPr>
      </w:pPr>
    </w:p>
    <w:p w:rsidR="002D6B67" w:rsidRPr="00510836" w:rsidRDefault="002D6B67" w:rsidP="0083012B">
      <w:pPr>
        <w:pStyle w:val="ListParagraph"/>
        <w:widowControl w:val="0"/>
        <w:numPr>
          <w:ilvl w:val="0"/>
          <w:numId w:val="41"/>
        </w:numPr>
        <w:autoSpaceDE w:val="0"/>
        <w:autoSpaceDN w:val="0"/>
        <w:contextualSpacing w:val="0"/>
        <w:jc w:val="both"/>
        <w:rPr>
          <w:rFonts w:cs="Arial"/>
          <w:szCs w:val="20"/>
        </w:rPr>
      </w:pPr>
      <w:r w:rsidRPr="00510836">
        <w:rPr>
          <w:rFonts w:cs="Arial"/>
          <w:szCs w:val="20"/>
        </w:rPr>
        <w:t xml:space="preserve">Across various maturities there are </w:t>
      </w:r>
      <w:r w:rsidRPr="00510836">
        <w:rPr>
          <w:rFonts w:cs="Arial"/>
          <w:b/>
          <w:szCs w:val="20"/>
        </w:rPr>
        <w:t>419</w:t>
      </w:r>
      <w:r w:rsidRPr="00510836">
        <w:rPr>
          <w:rFonts w:cs="Arial"/>
          <w:szCs w:val="20"/>
        </w:rPr>
        <w:t xml:space="preserve"> puts and </w:t>
      </w:r>
      <w:r w:rsidRPr="00510836">
        <w:rPr>
          <w:rFonts w:cs="Arial"/>
          <w:b/>
          <w:szCs w:val="20"/>
        </w:rPr>
        <w:t>419</w:t>
      </w:r>
      <w:r w:rsidRPr="00510836">
        <w:rPr>
          <w:rFonts w:cs="Arial"/>
          <w:szCs w:val="20"/>
        </w:rPr>
        <w:t xml:space="preserve"> calls listed in the on IDEM, LSEG’s Italian deri</w:t>
      </w:r>
      <w:r w:rsidRPr="00510836">
        <w:rPr>
          <w:rFonts w:cs="Arial"/>
          <w:szCs w:val="20"/>
        </w:rPr>
        <w:t>v</w:t>
      </w:r>
      <w:r w:rsidRPr="00510836">
        <w:rPr>
          <w:rFonts w:cs="Arial"/>
          <w:szCs w:val="20"/>
        </w:rPr>
        <w:t xml:space="preserve">ative markets.  That is a total of </w:t>
      </w:r>
      <w:r w:rsidRPr="00510836">
        <w:rPr>
          <w:rFonts w:cs="Arial"/>
          <w:b/>
          <w:szCs w:val="20"/>
          <w:u w:val="single"/>
        </w:rPr>
        <w:t>838</w:t>
      </w:r>
      <w:r w:rsidRPr="00510836">
        <w:rPr>
          <w:rFonts w:cs="Arial"/>
          <w:szCs w:val="20"/>
        </w:rPr>
        <w:t xml:space="preserve"> possible strike prices in just one contract. </w:t>
      </w:r>
    </w:p>
    <w:p w:rsidR="002D6B67" w:rsidRPr="00510836" w:rsidRDefault="002D6B67" w:rsidP="0083012B">
      <w:pPr>
        <w:pStyle w:val="ListParagraph"/>
        <w:widowControl w:val="0"/>
        <w:numPr>
          <w:ilvl w:val="0"/>
          <w:numId w:val="41"/>
        </w:numPr>
        <w:autoSpaceDE w:val="0"/>
        <w:autoSpaceDN w:val="0"/>
        <w:contextualSpacing w:val="0"/>
        <w:jc w:val="both"/>
        <w:rPr>
          <w:rFonts w:cs="Arial"/>
          <w:szCs w:val="20"/>
        </w:rPr>
      </w:pPr>
      <w:r w:rsidRPr="00510836">
        <w:rPr>
          <w:rFonts w:cs="Arial"/>
          <w:szCs w:val="20"/>
        </w:rPr>
        <w:t xml:space="preserve">Even taking the simplest 2-legged strategy, a straddle (+1 call +1 put, same expiry and same strike), this would result in </w:t>
      </w:r>
      <w:r w:rsidRPr="00510836">
        <w:rPr>
          <w:rFonts w:cs="Arial"/>
          <w:b/>
          <w:szCs w:val="20"/>
          <w:u w:val="single"/>
        </w:rPr>
        <w:t>100</w:t>
      </w:r>
      <w:r w:rsidRPr="00510836">
        <w:rPr>
          <w:rFonts w:cs="Arial"/>
          <w:szCs w:val="20"/>
        </w:rPr>
        <w:t xml:space="preserve"> different straddles on the December 2016 expiry alone, and </w:t>
      </w:r>
      <w:r w:rsidRPr="00510836">
        <w:rPr>
          <w:rFonts w:cs="Arial"/>
          <w:b/>
          <w:szCs w:val="20"/>
          <w:u w:val="single"/>
        </w:rPr>
        <w:t>419</w:t>
      </w:r>
      <w:r w:rsidRPr="00510836">
        <w:rPr>
          <w:rFonts w:cs="Arial"/>
          <w:szCs w:val="20"/>
        </w:rPr>
        <w:t xml:space="preserve"> straddles overall across all the available expiries. </w:t>
      </w:r>
    </w:p>
    <w:p w:rsidR="002D6B67" w:rsidRPr="00510836" w:rsidRDefault="002D6B67" w:rsidP="0083012B">
      <w:pPr>
        <w:pStyle w:val="ListParagraph"/>
        <w:widowControl w:val="0"/>
        <w:numPr>
          <w:ilvl w:val="0"/>
          <w:numId w:val="41"/>
        </w:numPr>
        <w:autoSpaceDE w:val="0"/>
        <w:autoSpaceDN w:val="0"/>
        <w:contextualSpacing w:val="0"/>
        <w:jc w:val="both"/>
        <w:rPr>
          <w:rFonts w:cs="Arial"/>
          <w:szCs w:val="20"/>
        </w:rPr>
      </w:pPr>
      <w:r w:rsidRPr="00510836">
        <w:rPr>
          <w:rFonts w:cs="Arial"/>
          <w:szCs w:val="20"/>
        </w:rPr>
        <w:t xml:space="preserve">Another 2-leg strategy, </w:t>
      </w:r>
      <w:proofErr w:type="gramStart"/>
      <w:r w:rsidRPr="00510836">
        <w:rPr>
          <w:rFonts w:cs="Arial"/>
          <w:szCs w:val="20"/>
        </w:rPr>
        <w:t>a strangle</w:t>
      </w:r>
      <w:proofErr w:type="gramEnd"/>
      <w:r w:rsidR="008C4538">
        <w:rPr>
          <w:rFonts w:cs="Arial"/>
          <w:szCs w:val="20"/>
        </w:rPr>
        <w:t>,</w:t>
      </w:r>
      <w:r w:rsidRPr="00510836">
        <w:rPr>
          <w:rFonts w:cs="Arial"/>
          <w:szCs w:val="20"/>
        </w:rPr>
        <w:t xml:space="preserve"> would result in </w:t>
      </w:r>
      <w:r w:rsidRPr="00510836">
        <w:rPr>
          <w:rFonts w:cs="Arial"/>
          <w:b/>
          <w:szCs w:val="20"/>
          <w:u w:val="single"/>
        </w:rPr>
        <w:t>4,950</w:t>
      </w:r>
      <w:r w:rsidRPr="00510836">
        <w:rPr>
          <w:rFonts w:cs="Arial"/>
          <w:szCs w:val="20"/>
        </w:rPr>
        <w:t xml:space="preserve"> strangles on the December 2016 expiry alone, and </w:t>
      </w:r>
      <w:r w:rsidRPr="00510836">
        <w:rPr>
          <w:rFonts w:cs="Arial"/>
          <w:b/>
          <w:szCs w:val="20"/>
          <w:u w:val="single"/>
        </w:rPr>
        <w:t>9,223</w:t>
      </w:r>
      <w:r w:rsidRPr="00510836">
        <w:rPr>
          <w:rFonts w:cs="Arial"/>
          <w:szCs w:val="20"/>
        </w:rPr>
        <w:t xml:space="preserve"> strangles overall across all the available expiries. </w:t>
      </w:r>
    </w:p>
    <w:p w:rsidR="002D6B67" w:rsidRPr="00510836" w:rsidRDefault="002D6B67" w:rsidP="002D6B67">
      <w:pPr>
        <w:rPr>
          <w:rFonts w:cs="Arial"/>
          <w:szCs w:val="20"/>
        </w:rPr>
      </w:pPr>
    </w:p>
    <w:p w:rsidR="002D6B67" w:rsidRPr="00510836" w:rsidRDefault="002D6B67" w:rsidP="002D6B67">
      <w:pPr>
        <w:jc w:val="both"/>
        <w:rPr>
          <w:rFonts w:cs="Arial"/>
          <w:szCs w:val="20"/>
        </w:rPr>
      </w:pPr>
      <w:r w:rsidRPr="00510836">
        <w:rPr>
          <w:rFonts w:cs="Arial"/>
          <w:szCs w:val="20"/>
        </w:rPr>
        <w:t>These figures demonstrate how large the number of possible combinations across basic options strategies is. The number of possible combinations increases exponentially as the number of legs increase</w:t>
      </w:r>
      <w:r w:rsidR="008C4538">
        <w:rPr>
          <w:rFonts w:cs="Arial"/>
          <w:szCs w:val="20"/>
        </w:rPr>
        <w:t>s</w:t>
      </w:r>
      <w:r w:rsidRPr="00510836">
        <w:rPr>
          <w:rFonts w:cs="Arial"/>
          <w:szCs w:val="20"/>
        </w:rPr>
        <w:t>, such as for 3-legged strategies (e.g. butterflies, collars, spreads) and 4-legged strategies (e.g. condors). So whilst “standard strategies” in options do exist, the number of possible permutations across different maturities, puts and calls, means that liquidity is dispersed at multiple points (including for a single maturity).  Add</w:t>
      </w:r>
      <w:r w:rsidRPr="00510836">
        <w:rPr>
          <w:rFonts w:cs="Arial"/>
          <w:szCs w:val="20"/>
        </w:rPr>
        <w:t>i</w:t>
      </w:r>
      <w:r w:rsidRPr="00510836">
        <w:rPr>
          <w:rFonts w:cs="Arial"/>
          <w:szCs w:val="20"/>
        </w:rPr>
        <w:t>tionally, the likelihood of an option being traded at its strike price heavily depends on the movement in its underlying; what may have once been a liquid strike price because it was at</w:t>
      </w:r>
      <w:r w:rsidRPr="00510836">
        <w:rPr>
          <w:rFonts w:cs="Arial"/>
          <w:szCs w:val="20"/>
        </w:rPr>
        <w:noBreakHyphen/>
        <w:t>the</w:t>
      </w:r>
      <w:r w:rsidRPr="00510836">
        <w:rPr>
          <w:rFonts w:cs="Arial"/>
          <w:szCs w:val="20"/>
        </w:rPr>
        <w:noBreakHyphen/>
      </w:r>
      <w:proofErr w:type="gramStart"/>
      <w:r w:rsidRPr="00510836">
        <w:rPr>
          <w:rFonts w:cs="Arial"/>
          <w:szCs w:val="20"/>
        </w:rPr>
        <w:t>money,</w:t>
      </w:r>
      <w:proofErr w:type="gramEnd"/>
      <w:r w:rsidRPr="00510836">
        <w:rPr>
          <w:rFonts w:cs="Arial"/>
          <w:szCs w:val="20"/>
        </w:rPr>
        <w:t xml:space="preserve"> may </w:t>
      </w:r>
      <w:proofErr w:type="spellStart"/>
      <w:r w:rsidRPr="00510836">
        <w:rPr>
          <w:rFonts w:cs="Arial"/>
          <w:szCs w:val="20"/>
        </w:rPr>
        <w:t>not longer</w:t>
      </w:r>
      <w:proofErr w:type="spellEnd"/>
      <w:r w:rsidRPr="00510836">
        <w:rPr>
          <w:rFonts w:cs="Arial"/>
          <w:szCs w:val="20"/>
        </w:rPr>
        <w:t xml:space="preserve"> be if the underlying has moved away from that strike. This would suggest to us that </w:t>
      </w:r>
      <w:r w:rsidRPr="00510836">
        <w:rPr>
          <w:rFonts w:cs="Arial"/>
          <w:b/>
          <w:szCs w:val="20"/>
        </w:rPr>
        <w:t>realistically no single options strategy can be considered liquid</w:t>
      </w:r>
      <w:r w:rsidRPr="00510836">
        <w:rPr>
          <w:rFonts w:cs="Arial"/>
          <w:szCs w:val="20"/>
        </w:rPr>
        <w:t xml:space="preserve">. We hope that ESMA will find the data useful and that it will assist ESMA in forming a view on whether or not option strategies should be excluded from the liquidity assessment.  </w:t>
      </w:r>
    </w:p>
    <w:p w:rsidR="002D6B67" w:rsidRPr="00510836" w:rsidRDefault="002D6B67" w:rsidP="002D6B67">
      <w:pPr>
        <w:jc w:val="both"/>
        <w:rPr>
          <w:rFonts w:cs="Arial"/>
          <w:szCs w:val="20"/>
        </w:rPr>
      </w:pPr>
    </w:p>
    <w:p w:rsidR="002D6B67" w:rsidRPr="00AE4CFA" w:rsidRDefault="002D6B67" w:rsidP="002D6B67">
      <w:pPr>
        <w:jc w:val="both"/>
        <w:rPr>
          <w:rFonts w:cs="Arial"/>
          <w:b/>
          <w:i/>
          <w:szCs w:val="20"/>
        </w:rPr>
      </w:pPr>
      <w:r w:rsidRPr="00AE4CFA">
        <w:rPr>
          <w:rFonts w:cs="Arial"/>
          <w:b/>
          <w:i/>
          <w:szCs w:val="20"/>
        </w:rPr>
        <w:t xml:space="preserve">Impact of a package order being classed as liquid </w:t>
      </w:r>
    </w:p>
    <w:p w:rsidR="002D6B67" w:rsidRPr="00AE4CFA" w:rsidRDefault="002D6B67" w:rsidP="002D6B67">
      <w:pPr>
        <w:jc w:val="both"/>
        <w:rPr>
          <w:rFonts w:cs="Arial"/>
          <w:b/>
          <w:i/>
          <w:szCs w:val="20"/>
        </w:rPr>
      </w:pPr>
    </w:p>
    <w:p w:rsidR="002D6B67" w:rsidRPr="00AE4CFA" w:rsidRDefault="002D6B67" w:rsidP="002D6B67">
      <w:pPr>
        <w:jc w:val="both"/>
        <w:rPr>
          <w:rFonts w:cs="Arial"/>
          <w:szCs w:val="20"/>
        </w:rPr>
      </w:pPr>
      <w:r w:rsidRPr="00AE4CFA">
        <w:rPr>
          <w:rFonts w:cs="Arial"/>
          <w:szCs w:val="20"/>
        </w:rPr>
        <w:t xml:space="preserve">We have come across one point of ambiguity which we would like to share with ESMA arising from the particular nature of package orders that include multiple legs traded across </w:t>
      </w:r>
      <w:r w:rsidRPr="00AE4CFA">
        <w:rPr>
          <w:rFonts w:cs="Arial"/>
          <w:b/>
          <w:szCs w:val="20"/>
        </w:rPr>
        <w:t>different venues</w:t>
      </w:r>
      <w:r w:rsidRPr="00AE4CFA">
        <w:rPr>
          <w:rFonts w:cs="Arial"/>
          <w:szCs w:val="20"/>
        </w:rPr>
        <w:t xml:space="preserve">. Given the example of a package order containing an exchange traded future vs. a related OTC swap, the exchange traded future is listed on a regulated market, but the OTC swap is unlisted and traded “OTC” (although under MiFID II, it could be possible for the swap to be “traded on a trading venue” if typically executed on an OTF, for example). </w:t>
      </w:r>
    </w:p>
    <w:p w:rsidR="002D6B67" w:rsidRPr="00AE4CFA" w:rsidRDefault="002D6B67" w:rsidP="002D6B67">
      <w:pPr>
        <w:jc w:val="both"/>
        <w:rPr>
          <w:rFonts w:cs="Arial"/>
          <w:szCs w:val="20"/>
        </w:rPr>
      </w:pPr>
    </w:p>
    <w:p w:rsidR="002D6B67" w:rsidRPr="00AE4CFA" w:rsidRDefault="002D6B67" w:rsidP="002D6B67">
      <w:pPr>
        <w:jc w:val="both"/>
        <w:rPr>
          <w:rFonts w:cs="Arial"/>
          <w:szCs w:val="20"/>
        </w:rPr>
      </w:pPr>
      <w:r w:rsidRPr="00AE4CFA">
        <w:rPr>
          <w:rFonts w:cs="Arial"/>
          <w:szCs w:val="20"/>
        </w:rPr>
        <w:t xml:space="preserve">If this package order was to be considered liquid as a whole, we recognise that the waivers listed under </w:t>
      </w:r>
      <w:proofErr w:type="spellStart"/>
      <w:r w:rsidRPr="00AE4CFA">
        <w:rPr>
          <w:rFonts w:cs="Arial"/>
          <w:szCs w:val="20"/>
        </w:rPr>
        <w:t>MiFIR</w:t>
      </w:r>
      <w:proofErr w:type="spellEnd"/>
      <w:r w:rsidRPr="00AE4CFA">
        <w:rPr>
          <w:rFonts w:cs="Arial"/>
          <w:szCs w:val="20"/>
        </w:rPr>
        <w:t xml:space="preserve"> Articles 9(e</w:t>
      </w:r>
      <w:proofErr w:type="gramStart"/>
      <w:r w:rsidRPr="00AE4CFA">
        <w:rPr>
          <w:rFonts w:cs="Arial"/>
          <w:szCs w:val="20"/>
        </w:rPr>
        <w:t>)(</w:t>
      </w:r>
      <w:proofErr w:type="spellStart"/>
      <w:proofErr w:type="gramEnd"/>
      <w:r w:rsidRPr="00AE4CFA">
        <w:rPr>
          <w:rFonts w:cs="Arial"/>
          <w:szCs w:val="20"/>
        </w:rPr>
        <w:t>i</w:t>
      </w:r>
      <w:proofErr w:type="spellEnd"/>
      <w:r w:rsidRPr="00AE4CFA">
        <w:rPr>
          <w:rFonts w:cs="Arial"/>
          <w:szCs w:val="20"/>
        </w:rPr>
        <w:t xml:space="preserve">) and 9(e)(ii) would not be available. Therefore, unless the package order could be executed in accordance with the waiver under </w:t>
      </w:r>
      <w:proofErr w:type="spellStart"/>
      <w:r w:rsidRPr="00AE4CFA">
        <w:rPr>
          <w:rFonts w:cs="Arial"/>
          <w:szCs w:val="20"/>
        </w:rPr>
        <w:t>MiFIR</w:t>
      </w:r>
      <w:proofErr w:type="spellEnd"/>
      <w:r w:rsidRPr="00AE4CFA">
        <w:rPr>
          <w:rFonts w:cs="Arial"/>
          <w:szCs w:val="20"/>
        </w:rPr>
        <w:t xml:space="preserve"> Article 9(e</w:t>
      </w:r>
      <w:proofErr w:type="gramStart"/>
      <w:r w:rsidRPr="00AE4CFA">
        <w:rPr>
          <w:rFonts w:cs="Arial"/>
          <w:szCs w:val="20"/>
        </w:rPr>
        <w:t>)(</w:t>
      </w:r>
      <w:proofErr w:type="gramEnd"/>
      <w:r w:rsidRPr="00AE4CFA">
        <w:rPr>
          <w:rFonts w:cs="Arial"/>
          <w:szCs w:val="20"/>
        </w:rPr>
        <w:t xml:space="preserve">iii), then pre-trade transparency must be applied to the package order in accordance with </w:t>
      </w:r>
      <w:proofErr w:type="spellStart"/>
      <w:r w:rsidRPr="00AE4CFA">
        <w:rPr>
          <w:rFonts w:cs="Arial"/>
          <w:szCs w:val="20"/>
        </w:rPr>
        <w:t>MiFIR</w:t>
      </w:r>
      <w:proofErr w:type="spellEnd"/>
      <w:r w:rsidRPr="00AE4CFA">
        <w:rPr>
          <w:rFonts w:cs="Arial"/>
          <w:szCs w:val="20"/>
        </w:rPr>
        <w:t xml:space="preserve"> Article 8. </w:t>
      </w:r>
    </w:p>
    <w:p w:rsidR="002D6B67" w:rsidRPr="00AE4CFA" w:rsidRDefault="002D6B67" w:rsidP="002D6B67">
      <w:pPr>
        <w:jc w:val="both"/>
        <w:rPr>
          <w:rFonts w:cs="Arial"/>
          <w:szCs w:val="20"/>
        </w:rPr>
      </w:pPr>
      <w:r w:rsidRPr="00AE4CFA">
        <w:rPr>
          <w:rFonts w:cs="Arial"/>
          <w:szCs w:val="20"/>
        </w:rPr>
        <w:t xml:space="preserve"> </w:t>
      </w:r>
    </w:p>
    <w:p w:rsidR="002D6B67" w:rsidRPr="00AE4CFA" w:rsidRDefault="002D6B67" w:rsidP="00AE4CFA">
      <w:pPr>
        <w:jc w:val="both"/>
        <w:rPr>
          <w:rFonts w:cs="Arial"/>
          <w:szCs w:val="20"/>
        </w:rPr>
      </w:pPr>
      <w:r w:rsidRPr="00AE4CFA">
        <w:rPr>
          <w:rFonts w:cs="Arial"/>
          <w:szCs w:val="20"/>
        </w:rPr>
        <w:t>In the example stated above</w:t>
      </w:r>
      <w:r w:rsidR="00AE4CFA">
        <w:rPr>
          <w:rFonts w:cs="Arial"/>
          <w:szCs w:val="20"/>
        </w:rPr>
        <w:t xml:space="preserve"> w</w:t>
      </w:r>
      <w:r w:rsidRPr="00AE4CFA">
        <w:rPr>
          <w:rFonts w:cs="Arial"/>
          <w:szCs w:val="20"/>
        </w:rPr>
        <w:t xml:space="preserve">here the package order </w:t>
      </w:r>
      <w:r w:rsidRPr="00AE4CFA">
        <w:rPr>
          <w:rFonts w:cs="Arial"/>
          <w:b/>
          <w:szCs w:val="20"/>
        </w:rPr>
        <w:t>was not</w:t>
      </w:r>
      <w:r w:rsidRPr="00AE4CFA">
        <w:rPr>
          <w:rFonts w:cs="Arial"/>
          <w:szCs w:val="20"/>
        </w:rPr>
        <w:t xml:space="preserve"> considered liquid as a whole, the waivers under </w:t>
      </w:r>
      <w:proofErr w:type="spellStart"/>
      <w:r w:rsidRPr="00AE4CFA">
        <w:rPr>
          <w:rFonts w:cs="Arial"/>
          <w:szCs w:val="20"/>
        </w:rPr>
        <w:t>MiFIR</w:t>
      </w:r>
      <w:proofErr w:type="spellEnd"/>
      <w:r w:rsidRPr="00AE4CFA">
        <w:rPr>
          <w:rFonts w:cs="Arial"/>
          <w:szCs w:val="20"/>
        </w:rPr>
        <w:t xml:space="preserve"> </w:t>
      </w:r>
      <w:r w:rsidR="00A25AC2">
        <w:rPr>
          <w:rFonts w:cs="Arial"/>
          <w:szCs w:val="20"/>
        </w:rPr>
        <w:t>A</w:t>
      </w:r>
      <w:r w:rsidRPr="00AE4CFA">
        <w:rPr>
          <w:rFonts w:cs="Arial"/>
          <w:szCs w:val="20"/>
        </w:rPr>
        <w:t>rticle 9(e</w:t>
      </w:r>
      <w:proofErr w:type="gramStart"/>
      <w:r w:rsidRPr="00AE4CFA">
        <w:rPr>
          <w:rFonts w:cs="Arial"/>
          <w:szCs w:val="20"/>
        </w:rPr>
        <w:t>)(</w:t>
      </w:r>
      <w:proofErr w:type="spellStart"/>
      <w:proofErr w:type="gramEnd"/>
      <w:r w:rsidRPr="00AE4CFA">
        <w:rPr>
          <w:rFonts w:cs="Arial"/>
          <w:szCs w:val="20"/>
        </w:rPr>
        <w:t>i</w:t>
      </w:r>
      <w:proofErr w:type="spellEnd"/>
      <w:r w:rsidRPr="00AE4CFA">
        <w:rPr>
          <w:rFonts w:cs="Arial"/>
          <w:szCs w:val="20"/>
        </w:rPr>
        <w:t xml:space="preserve">) and 9(e)(ii) </w:t>
      </w:r>
      <w:r w:rsidRPr="00AE4CFA">
        <w:rPr>
          <w:rFonts w:cs="Arial"/>
          <w:b/>
          <w:szCs w:val="20"/>
        </w:rPr>
        <w:t>would</w:t>
      </w:r>
      <w:r w:rsidRPr="00AE4CFA">
        <w:rPr>
          <w:rFonts w:cs="Arial"/>
          <w:szCs w:val="20"/>
        </w:rPr>
        <w:t xml:space="preserve"> be available. However, which venue would be required to apply for the waiver? The regulated market or the OTF? We would suggest that where there is an e</w:t>
      </w:r>
      <w:r w:rsidRPr="00AE4CFA">
        <w:rPr>
          <w:rFonts w:cs="Arial"/>
          <w:szCs w:val="20"/>
        </w:rPr>
        <w:t>x</w:t>
      </w:r>
      <w:r w:rsidRPr="00AE4CFA">
        <w:rPr>
          <w:rFonts w:cs="Arial"/>
          <w:szCs w:val="20"/>
        </w:rPr>
        <w:t xml:space="preserve">change leg to a package order, </w:t>
      </w:r>
      <w:r w:rsidRPr="00AE4CFA">
        <w:rPr>
          <w:rFonts w:cs="Arial"/>
          <w:b/>
          <w:szCs w:val="20"/>
        </w:rPr>
        <w:t>the responsibility should rest with the regulated market.</w:t>
      </w:r>
    </w:p>
    <w:permEnd w:id="626801161"/>
    <w:p w:rsidR="00A8728B" w:rsidRDefault="00A8728B" w:rsidP="00A8728B"/>
    <w:p w:rsidR="00A8728B" w:rsidRDefault="00A8728B" w:rsidP="00A8728B">
      <w:r>
        <w:t>&lt;ESMA_QUESTION</w:t>
      </w:r>
      <w:r w:rsidR="00D920D1">
        <w:t>_</w:t>
      </w:r>
      <w:r w:rsidR="002C0642">
        <w:t>MIFID_PO</w:t>
      </w:r>
      <w:r w:rsidR="00AB4824">
        <w:t>_</w:t>
      </w:r>
      <w:r>
        <w:t>2&gt;</w:t>
      </w:r>
    </w:p>
    <w:p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w:t>
      </w:r>
      <w:r w:rsidRPr="00BC6A9F">
        <w:t>r</w:t>
      </w:r>
      <w:r w:rsidRPr="00BC6A9F">
        <w:t>ther criteria or to remove any of the criteria proposed? Please explain</w:t>
      </w:r>
      <w:r>
        <w:t>.</w:t>
      </w:r>
    </w:p>
    <w:p w:rsidR="00A8728B" w:rsidRDefault="00A8728B" w:rsidP="00A8728B">
      <w:r>
        <w:t>&lt;ESMA_QUESTION</w:t>
      </w:r>
      <w:r w:rsidR="00D920D1">
        <w:t>_</w:t>
      </w:r>
      <w:r w:rsidR="002C0642">
        <w:t>MIFID_PO</w:t>
      </w:r>
      <w:r w:rsidR="00AB4824">
        <w:t>_</w:t>
      </w:r>
      <w:r>
        <w:t>3&gt;</w:t>
      </w:r>
    </w:p>
    <w:p w:rsidR="00A8728B" w:rsidRDefault="002D6B67" w:rsidP="00A8728B">
      <w:permStart w:id="1926659973" w:edGrp="everyone"/>
      <w:r w:rsidRPr="00510836">
        <w:rPr>
          <w:rFonts w:cs="Arial"/>
          <w:szCs w:val="20"/>
        </w:rPr>
        <w:t>Please refer to our response to question 2</w:t>
      </w:r>
      <w:r>
        <w:rPr>
          <w:rFonts w:ascii="Times New Roman" w:hAnsi="Times New Roman"/>
          <w:sz w:val="24"/>
        </w:rPr>
        <w:t>.</w:t>
      </w:r>
      <w:permEnd w:id="1926659973"/>
    </w:p>
    <w:p w:rsidR="00A8728B" w:rsidRDefault="00A8728B" w:rsidP="00A8728B">
      <w:r>
        <w:t>&lt;ESMA_QUESTION</w:t>
      </w:r>
      <w:r w:rsidR="00D920D1">
        <w:t>_</w:t>
      </w:r>
      <w:r w:rsidR="002C0642">
        <w:t>MIFID_PO</w:t>
      </w:r>
      <w:r w:rsidR="00AB4824">
        <w:t>_</w:t>
      </w:r>
      <w:r>
        <w:t>3&gt;</w:t>
      </w:r>
    </w:p>
    <w:p w:rsidR="00A8728B" w:rsidRPr="00B62727" w:rsidRDefault="00BC6A9F" w:rsidP="00BC6A9F">
      <w:pPr>
        <w:pStyle w:val="CPQuestions"/>
      </w:pPr>
      <w:r w:rsidRPr="00BC6A9F">
        <w:t>Do you consider it necessary to further specify the first criterion on the stan</w:t>
      </w:r>
      <w:r w:rsidRPr="00BC6A9F">
        <w:t>d</w:t>
      </w:r>
      <w:r w:rsidRPr="00BC6A9F">
        <w:t>ardisation of components? If yes, which characteristics should be considered to specify the standardised components of packages</w:t>
      </w:r>
      <w:r>
        <w:t>?</w:t>
      </w:r>
    </w:p>
    <w:p w:rsidR="00A8728B" w:rsidRDefault="00A8728B" w:rsidP="00A8728B">
      <w:r>
        <w:t>&lt;ESMA_QUESTION</w:t>
      </w:r>
      <w:r w:rsidR="00D920D1">
        <w:t>_</w:t>
      </w:r>
      <w:r w:rsidR="002C0642">
        <w:t>MIFID_PO</w:t>
      </w:r>
      <w:r w:rsidR="00AB4824">
        <w:t>_</w:t>
      </w:r>
      <w:r>
        <w:t>4&gt;</w:t>
      </w:r>
    </w:p>
    <w:p w:rsidR="00A8728B" w:rsidRDefault="002D6B67" w:rsidP="00A8728B">
      <w:permStart w:id="695360752" w:edGrp="everyone"/>
      <w:r w:rsidRPr="00510836">
        <w:rPr>
          <w:rFonts w:cs="Arial"/>
          <w:szCs w:val="20"/>
        </w:rPr>
        <w:t>Please refer to our response to question 2</w:t>
      </w:r>
      <w:r w:rsidRPr="00C87937">
        <w:rPr>
          <w:rFonts w:ascii="Times New Roman" w:hAnsi="Times New Roman"/>
          <w:sz w:val="24"/>
        </w:rPr>
        <w:t>.</w:t>
      </w:r>
      <w:permEnd w:id="695360752"/>
    </w:p>
    <w:p w:rsidR="00A8728B" w:rsidRDefault="00A8728B" w:rsidP="00A8728B">
      <w:r>
        <w:t>&lt;ESMA_QUESTION</w:t>
      </w:r>
      <w:r w:rsidR="00D920D1">
        <w:t>_</w:t>
      </w:r>
      <w:r w:rsidR="002C0642">
        <w:t>MIFID_PO</w:t>
      </w:r>
      <w:r w:rsidR="00AB4824">
        <w:t>_</w:t>
      </w:r>
      <w:r>
        <w:t>4&gt;</w:t>
      </w:r>
    </w:p>
    <w:p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rsidR="00A8728B" w:rsidRDefault="00A8728B" w:rsidP="00A8728B">
      <w:r>
        <w:t>&lt;ESMA_QUESTION</w:t>
      </w:r>
      <w:r w:rsidR="00D920D1">
        <w:t>_</w:t>
      </w:r>
      <w:r w:rsidR="002C0642">
        <w:t>MIFID_PO</w:t>
      </w:r>
      <w:r w:rsidR="00AB4824">
        <w:t>_</w:t>
      </w:r>
      <w:r>
        <w:t>5&gt;</w:t>
      </w:r>
    </w:p>
    <w:p w:rsidR="002D6B67" w:rsidRPr="00510836" w:rsidRDefault="002D6B67" w:rsidP="002D6B67">
      <w:pPr>
        <w:jc w:val="both"/>
        <w:rPr>
          <w:rFonts w:cs="Arial"/>
          <w:szCs w:val="20"/>
        </w:rPr>
      </w:pPr>
      <w:permStart w:id="253767969" w:edGrp="everyone"/>
      <w:r w:rsidRPr="00510836">
        <w:rPr>
          <w:rFonts w:cs="Arial"/>
          <w:szCs w:val="20"/>
        </w:rPr>
        <w:t>We agree with all the factors identified by ESMA as being relevant but would like to seek some clarific</w:t>
      </w:r>
      <w:r w:rsidRPr="00510836">
        <w:rPr>
          <w:rFonts w:cs="Arial"/>
          <w:szCs w:val="20"/>
        </w:rPr>
        <w:t>a</w:t>
      </w:r>
      <w:r w:rsidRPr="00510836">
        <w:rPr>
          <w:rFonts w:cs="Arial"/>
          <w:szCs w:val="20"/>
        </w:rPr>
        <w:t>tion on certain aspects:</w:t>
      </w:r>
    </w:p>
    <w:p w:rsidR="002D6B67" w:rsidRPr="00510836" w:rsidRDefault="002D6B67" w:rsidP="002D6B67">
      <w:pPr>
        <w:rPr>
          <w:rFonts w:cs="Arial"/>
          <w:szCs w:val="20"/>
        </w:rPr>
      </w:pPr>
    </w:p>
    <w:p w:rsidR="002D6B67" w:rsidRPr="00510836" w:rsidRDefault="002D6B67" w:rsidP="0083012B">
      <w:pPr>
        <w:pStyle w:val="ListParagraph"/>
        <w:widowControl w:val="0"/>
        <w:numPr>
          <w:ilvl w:val="0"/>
          <w:numId w:val="45"/>
        </w:numPr>
        <w:autoSpaceDE w:val="0"/>
        <w:autoSpaceDN w:val="0"/>
        <w:ind w:left="360"/>
        <w:contextualSpacing w:val="0"/>
        <w:jc w:val="both"/>
        <w:rPr>
          <w:rFonts w:cs="Arial"/>
          <w:szCs w:val="20"/>
        </w:rPr>
      </w:pPr>
      <w:r w:rsidRPr="00510836">
        <w:rPr>
          <w:rFonts w:cs="Arial"/>
          <w:szCs w:val="20"/>
        </w:rPr>
        <w:t>We think that the language related to maturity “tenors” is more specific to the OTC market and there is a level of uncertainty as to how this applies in an exchange-traded derivative context.  We think it would be preferable to apply the asset-class specific liquidity assessment only to exchange-traded d</w:t>
      </w:r>
      <w:r w:rsidRPr="00510836">
        <w:rPr>
          <w:rFonts w:cs="Arial"/>
          <w:szCs w:val="20"/>
        </w:rPr>
        <w:t>e</w:t>
      </w:r>
      <w:r w:rsidRPr="00510836">
        <w:rPr>
          <w:rFonts w:cs="Arial"/>
          <w:szCs w:val="20"/>
        </w:rPr>
        <w:t xml:space="preserve">rivatives where these are eligible for assessment under the matrix approach (i.e. either where all legs were ETDs, or where the package contained ETD leg(s) vs. an </w:t>
      </w:r>
      <w:r w:rsidR="00A25AC2">
        <w:rPr>
          <w:rFonts w:cs="Arial"/>
          <w:szCs w:val="20"/>
        </w:rPr>
        <w:t>OTC derivative subject to the trading obligation</w:t>
      </w:r>
      <w:r w:rsidRPr="00510836">
        <w:rPr>
          <w:rFonts w:cs="Arial"/>
          <w:szCs w:val="20"/>
        </w:rPr>
        <w:t xml:space="preserve"> or liquid sovereign cash bond). In that context, we also think the maturities stated are too broad and there might be a risk that package orders are brought within scope where they are likely to be illiquid in practice. </w:t>
      </w:r>
    </w:p>
    <w:p w:rsidR="002D6B67" w:rsidRPr="00510836" w:rsidRDefault="002D6B67" w:rsidP="002D6B67">
      <w:pPr>
        <w:pStyle w:val="ListParagraph"/>
        <w:ind w:left="360"/>
        <w:rPr>
          <w:rFonts w:cs="Arial"/>
          <w:szCs w:val="20"/>
        </w:rPr>
      </w:pPr>
    </w:p>
    <w:p w:rsidR="002D6B67" w:rsidRPr="00510836" w:rsidRDefault="002D6B67" w:rsidP="0083012B">
      <w:pPr>
        <w:pStyle w:val="ListParagraph"/>
        <w:widowControl w:val="0"/>
        <w:numPr>
          <w:ilvl w:val="0"/>
          <w:numId w:val="45"/>
        </w:numPr>
        <w:autoSpaceDE w:val="0"/>
        <w:autoSpaceDN w:val="0"/>
        <w:ind w:left="360"/>
        <w:contextualSpacing w:val="0"/>
        <w:jc w:val="both"/>
        <w:rPr>
          <w:rFonts w:cs="Arial"/>
          <w:szCs w:val="20"/>
        </w:rPr>
      </w:pPr>
      <w:r w:rsidRPr="00510836">
        <w:rPr>
          <w:rFonts w:cs="Arial"/>
          <w:szCs w:val="20"/>
        </w:rPr>
        <w:t>Assuming that the asset-class specific criteria would only apply to the exchange leg(s) of a package order, we believe that the proposed number of components (up to 3) is too broad and would capture strategies that were not liquid. As set out in our response to question 2, whilst there are “standard strategies” of 3 legs, it does not necessarily mean that these strategies are liquid; the number of co</w:t>
      </w:r>
      <w:r w:rsidRPr="00510836">
        <w:rPr>
          <w:rFonts w:cs="Arial"/>
          <w:szCs w:val="20"/>
        </w:rPr>
        <w:t>m</w:t>
      </w:r>
      <w:r w:rsidRPr="00510836">
        <w:rPr>
          <w:rFonts w:cs="Arial"/>
          <w:szCs w:val="20"/>
        </w:rPr>
        <w:t>binations across 3 different contracts / maturities is high and a 3-legged strategy would appear to be bespoke in its particular terms.</w:t>
      </w:r>
    </w:p>
    <w:p w:rsidR="002D6B67" w:rsidRPr="00510836" w:rsidRDefault="002D6B67" w:rsidP="002D6B67">
      <w:pPr>
        <w:pStyle w:val="ListParagraph"/>
        <w:ind w:left="183"/>
        <w:rPr>
          <w:rFonts w:cs="Arial"/>
          <w:szCs w:val="20"/>
        </w:rPr>
      </w:pPr>
    </w:p>
    <w:p w:rsidR="002D6B67" w:rsidRPr="00510836" w:rsidRDefault="002D6B67" w:rsidP="0083012B">
      <w:pPr>
        <w:pStyle w:val="ListParagraph"/>
        <w:widowControl w:val="0"/>
        <w:numPr>
          <w:ilvl w:val="0"/>
          <w:numId w:val="45"/>
        </w:numPr>
        <w:autoSpaceDE w:val="0"/>
        <w:autoSpaceDN w:val="0"/>
        <w:ind w:left="360"/>
        <w:contextualSpacing w:val="0"/>
        <w:jc w:val="both"/>
        <w:rPr>
          <w:rFonts w:cs="Arial"/>
          <w:szCs w:val="20"/>
        </w:rPr>
      </w:pPr>
      <w:r w:rsidRPr="00510836">
        <w:rPr>
          <w:rFonts w:cs="Arial"/>
          <w:szCs w:val="20"/>
        </w:rPr>
        <w:t xml:space="preserve">As mentioned under the general criteria in question 2, it would be helpful if ESMA could clarify that all the legs of the package order should be denominated in the same currency. </w:t>
      </w:r>
    </w:p>
    <w:p w:rsidR="002D6B67" w:rsidRPr="00510836" w:rsidRDefault="002D6B67" w:rsidP="002D6B67">
      <w:pPr>
        <w:rPr>
          <w:rFonts w:cs="Arial"/>
          <w:szCs w:val="20"/>
        </w:rPr>
      </w:pPr>
    </w:p>
    <w:p w:rsidR="002D6B67" w:rsidRPr="00510836" w:rsidRDefault="002D6B67" w:rsidP="002D6B67">
      <w:pPr>
        <w:jc w:val="both"/>
        <w:rPr>
          <w:rFonts w:cs="Arial"/>
          <w:szCs w:val="20"/>
        </w:rPr>
      </w:pPr>
      <w:r w:rsidRPr="00510836">
        <w:rPr>
          <w:rFonts w:cs="Arial"/>
          <w:szCs w:val="20"/>
        </w:rPr>
        <w:t>In light of these comments ESMA may want to consider the following changes to the asset-class specific criteria relating to package orders in interest rate derivatives:</w:t>
      </w:r>
    </w:p>
    <w:p w:rsidR="002D6B67" w:rsidRPr="00510836" w:rsidRDefault="002D6B67" w:rsidP="002D6B67">
      <w:pPr>
        <w:jc w:val="both"/>
        <w:rPr>
          <w:rFonts w:cs="Arial"/>
          <w:szCs w:val="20"/>
        </w:rPr>
      </w:pPr>
    </w:p>
    <w:p w:rsidR="002D6B67" w:rsidRPr="00510836" w:rsidRDefault="002D6B67" w:rsidP="0083012B">
      <w:pPr>
        <w:pStyle w:val="ListParagraph"/>
        <w:numPr>
          <w:ilvl w:val="1"/>
          <w:numId w:val="44"/>
        </w:numPr>
        <w:ind w:left="360"/>
        <w:jc w:val="both"/>
        <w:rPr>
          <w:rFonts w:cs="Arial"/>
          <w:szCs w:val="20"/>
        </w:rPr>
      </w:pPr>
      <w:r w:rsidRPr="00510836">
        <w:rPr>
          <w:rFonts w:cs="Arial"/>
          <w:szCs w:val="20"/>
        </w:rPr>
        <w:t xml:space="preserve">The asset-class specific criteria for the liquidity assessment should apply to packages containing exchange traded derivatives </w:t>
      </w:r>
      <w:r w:rsidRPr="00510836">
        <w:rPr>
          <w:rFonts w:cs="Arial"/>
          <w:b/>
          <w:szCs w:val="20"/>
          <w:u w:val="single"/>
        </w:rPr>
        <w:t>only</w:t>
      </w:r>
      <w:r w:rsidRPr="00510836">
        <w:rPr>
          <w:rFonts w:cs="Arial"/>
          <w:szCs w:val="20"/>
        </w:rPr>
        <w:t>, where dictated by the general criteria matrix;</w:t>
      </w:r>
    </w:p>
    <w:p w:rsidR="002D6B67" w:rsidRPr="00510836" w:rsidRDefault="002D6B67" w:rsidP="002D6B67">
      <w:pPr>
        <w:pStyle w:val="ListParagraph"/>
        <w:ind w:left="360"/>
        <w:rPr>
          <w:rFonts w:cs="Arial"/>
          <w:szCs w:val="20"/>
        </w:rPr>
      </w:pPr>
    </w:p>
    <w:p w:rsidR="002D6B67" w:rsidRPr="00510836" w:rsidRDefault="002D6B67" w:rsidP="0083012B">
      <w:pPr>
        <w:pStyle w:val="ListParagraph"/>
        <w:numPr>
          <w:ilvl w:val="1"/>
          <w:numId w:val="44"/>
        </w:numPr>
        <w:ind w:left="360"/>
        <w:jc w:val="both"/>
        <w:rPr>
          <w:rFonts w:cs="Arial"/>
          <w:szCs w:val="20"/>
        </w:rPr>
      </w:pPr>
      <w:r w:rsidRPr="00510836">
        <w:rPr>
          <w:rFonts w:cs="Arial"/>
          <w:szCs w:val="20"/>
        </w:rPr>
        <w:t xml:space="preserve">The </w:t>
      </w:r>
      <w:r w:rsidRPr="00510836">
        <w:rPr>
          <w:rFonts w:cs="Arial"/>
          <w:b/>
          <w:szCs w:val="20"/>
        </w:rPr>
        <w:t>exchange legs</w:t>
      </w:r>
      <w:r w:rsidRPr="00510836">
        <w:rPr>
          <w:rFonts w:cs="Arial"/>
          <w:szCs w:val="20"/>
        </w:rPr>
        <w:t xml:space="preserve"> should have </w:t>
      </w:r>
      <w:r w:rsidRPr="00510836">
        <w:rPr>
          <w:rFonts w:cs="Arial"/>
          <w:b/>
          <w:szCs w:val="20"/>
        </w:rPr>
        <w:t>no more than two components</w:t>
      </w:r>
      <w:r w:rsidRPr="00510836">
        <w:rPr>
          <w:rFonts w:cs="Arial"/>
          <w:szCs w:val="20"/>
        </w:rPr>
        <w:t xml:space="preserve">; </w:t>
      </w:r>
    </w:p>
    <w:p w:rsidR="002D6B67" w:rsidRPr="00510836" w:rsidRDefault="002D6B67" w:rsidP="002D6B67">
      <w:pPr>
        <w:pStyle w:val="ListParagraph"/>
        <w:ind w:left="360"/>
        <w:rPr>
          <w:rFonts w:cs="Arial"/>
          <w:szCs w:val="20"/>
        </w:rPr>
      </w:pPr>
    </w:p>
    <w:p w:rsidR="002D6B67" w:rsidRPr="00510836" w:rsidRDefault="002D6B67" w:rsidP="0083012B">
      <w:pPr>
        <w:pStyle w:val="ListParagraph"/>
        <w:numPr>
          <w:ilvl w:val="1"/>
          <w:numId w:val="44"/>
        </w:numPr>
        <w:ind w:left="360"/>
        <w:jc w:val="both"/>
        <w:rPr>
          <w:rFonts w:cs="Arial"/>
          <w:szCs w:val="20"/>
        </w:rPr>
      </w:pPr>
      <w:r w:rsidRPr="00510836">
        <w:rPr>
          <w:rFonts w:cs="Arial"/>
          <w:b/>
          <w:szCs w:val="20"/>
          <w:u w:val="single"/>
        </w:rPr>
        <w:t>All</w:t>
      </w:r>
      <w:r w:rsidRPr="00510836">
        <w:rPr>
          <w:rFonts w:cs="Arial"/>
          <w:szCs w:val="20"/>
        </w:rPr>
        <w:t xml:space="preserve"> components of the package order have the </w:t>
      </w:r>
      <w:r w:rsidRPr="00510836">
        <w:rPr>
          <w:rFonts w:cs="Arial"/>
          <w:b/>
          <w:szCs w:val="20"/>
          <w:u w:val="single"/>
        </w:rPr>
        <w:t>same</w:t>
      </w:r>
      <w:r w:rsidRPr="00510836">
        <w:rPr>
          <w:rFonts w:cs="Arial"/>
          <w:szCs w:val="20"/>
        </w:rPr>
        <w:t xml:space="preserve"> notional currency of EUR, USD or GBP;</w:t>
      </w:r>
    </w:p>
    <w:p w:rsidR="002D6B67" w:rsidRPr="00510836" w:rsidRDefault="002D6B67" w:rsidP="002D6B67">
      <w:pPr>
        <w:contextualSpacing/>
        <w:jc w:val="both"/>
        <w:rPr>
          <w:rFonts w:cs="Arial"/>
          <w:szCs w:val="20"/>
        </w:rPr>
      </w:pPr>
    </w:p>
    <w:p w:rsidR="002D6B67" w:rsidRPr="00510836" w:rsidRDefault="002D6B67" w:rsidP="0083012B">
      <w:pPr>
        <w:pStyle w:val="ListParagraph"/>
        <w:numPr>
          <w:ilvl w:val="1"/>
          <w:numId w:val="44"/>
        </w:numPr>
        <w:ind w:left="360"/>
        <w:jc w:val="both"/>
        <w:rPr>
          <w:rFonts w:cs="Arial"/>
          <w:szCs w:val="20"/>
        </w:rPr>
      </w:pPr>
      <w:r w:rsidRPr="00510836">
        <w:rPr>
          <w:rFonts w:cs="Arial"/>
          <w:szCs w:val="20"/>
        </w:rPr>
        <w:t>Each of the exchange legs should fall within one of the following maturities:</w:t>
      </w:r>
    </w:p>
    <w:p w:rsidR="002D6B67" w:rsidRPr="00510836" w:rsidRDefault="002D6B67" w:rsidP="002D6B67">
      <w:pPr>
        <w:contextualSpacing/>
        <w:jc w:val="both"/>
        <w:rPr>
          <w:rFonts w:cs="Arial"/>
          <w:szCs w:val="20"/>
        </w:rPr>
      </w:pPr>
    </w:p>
    <w:p w:rsidR="002D6B67" w:rsidRPr="00510836" w:rsidRDefault="002D6B67" w:rsidP="0083012B">
      <w:pPr>
        <w:pStyle w:val="ListParagraph"/>
        <w:numPr>
          <w:ilvl w:val="0"/>
          <w:numId w:val="46"/>
        </w:numPr>
        <w:jc w:val="both"/>
        <w:rPr>
          <w:rFonts w:cs="Arial"/>
          <w:szCs w:val="20"/>
        </w:rPr>
      </w:pPr>
      <w:r w:rsidRPr="00510836">
        <w:rPr>
          <w:rFonts w:cs="Arial"/>
          <w:szCs w:val="20"/>
        </w:rPr>
        <w:t>For derivatives based on 3 month rates, contracts with a 6 month maturity or less;</w:t>
      </w:r>
    </w:p>
    <w:p w:rsidR="002D6B67" w:rsidRPr="00510836" w:rsidRDefault="002D6B67" w:rsidP="0083012B">
      <w:pPr>
        <w:pStyle w:val="ListParagraph"/>
        <w:numPr>
          <w:ilvl w:val="0"/>
          <w:numId w:val="46"/>
        </w:numPr>
        <w:jc w:val="both"/>
        <w:rPr>
          <w:rFonts w:cs="Arial"/>
          <w:szCs w:val="20"/>
        </w:rPr>
      </w:pPr>
      <w:r w:rsidRPr="00510836">
        <w:rPr>
          <w:rFonts w:cs="Arial"/>
          <w:szCs w:val="20"/>
        </w:rPr>
        <w:t>For derivatives based on 2 year rates, front month listed contract only;</w:t>
      </w:r>
    </w:p>
    <w:p w:rsidR="002D6B67" w:rsidRDefault="002D6B67" w:rsidP="0083012B">
      <w:pPr>
        <w:pStyle w:val="ListParagraph"/>
        <w:numPr>
          <w:ilvl w:val="0"/>
          <w:numId w:val="46"/>
        </w:numPr>
        <w:jc w:val="both"/>
        <w:rPr>
          <w:rFonts w:cs="Arial"/>
          <w:szCs w:val="20"/>
        </w:rPr>
      </w:pPr>
      <w:r w:rsidRPr="00510836">
        <w:rPr>
          <w:rFonts w:cs="Arial"/>
          <w:szCs w:val="20"/>
        </w:rPr>
        <w:t>For derivatives based on 5 year rates, front month listed contract only;</w:t>
      </w:r>
    </w:p>
    <w:p w:rsidR="0092597A" w:rsidRDefault="0092597A" w:rsidP="0083012B">
      <w:pPr>
        <w:pStyle w:val="ListParagraph"/>
        <w:numPr>
          <w:ilvl w:val="0"/>
          <w:numId w:val="46"/>
        </w:numPr>
        <w:jc w:val="both"/>
        <w:rPr>
          <w:rFonts w:cs="Arial"/>
          <w:szCs w:val="20"/>
        </w:rPr>
      </w:pPr>
      <w:r w:rsidRPr="0092597A">
        <w:rPr>
          <w:rFonts w:cs="Arial"/>
          <w:szCs w:val="20"/>
        </w:rPr>
        <w:t>For derivatives based on 10 year rates, front month listed contract only</w:t>
      </w:r>
      <w:r>
        <w:rPr>
          <w:rFonts w:cs="Arial"/>
          <w:szCs w:val="20"/>
        </w:rPr>
        <w:t>.</w:t>
      </w:r>
    </w:p>
    <w:permEnd w:id="253767969"/>
    <w:p w:rsidR="00A8728B" w:rsidRDefault="00A8728B" w:rsidP="00A8728B"/>
    <w:p w:rsidR="00A8728B" w:rsidRDefault="00A8728B" w:rsidP="00A8728B">
      <w:r>
        <w:t>&lt;ESMA_QUESTION</w:t>
      </w:r>
      <w:r w:rsidR="00D920D1">
        <w:t>_</w:t>
      </w:r>
      <w:r w:rsidR="002C0642">
        <w:t>MIFID_PO</w:t>
      </w:r>
      <w:r w:rsidR="00AB4824">
        <w:t>_</w:t>
      </w:r>
      <w:r>
        <w:t>5&gt;</w:t>
      </w:r>
    </w:p>
    <w:p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rsidR="00A8728B" w:rsidRDefault="00A8728B" w:rsidP="00A8728B">
      <w:r>
        <w:t>&lt;ESMA_QUESTION</w:t>
      </w:r>
      <w:r w:rsidR="00D920D1">
        <w:t>_</w:t>
      </w:r>
      <w:r w:rsidR="002C0642">
        <w:t>MIFID_PO</w:t>
      </w:r>
      <w:r w:rsidR="00AB4824">
        <w:t>_</w:t>
      </w:r>
      <w:r>
        <w:t>6&gt;</w:t>
      </w:r>
    </w:p>
    <w:p w:rsidR="00A8728B" w:rsidRDefault="002D6B67" w:rsidP="00A8728B">
      <w:permStart w:id="1124692150" w:edGrp="everyone"/>
      <w:r w:rsidRPr="0092597A">
        <w:rPr>
          <w:rFonts w:cs="Arial"/>
          <w:szCs w:val="20"/>
        </w:rPr>
        <w:t>No.  Extending the currencies risks illiquid package orders being classified as liquid</w:t>
      </w:r>
      <w:r w:rsidRPr="00C87937">
        <w:rPr>
          <w:rFonts w:ascii="Times New Roman" w:hAnsi="Times New Roman"/>
          <w:sz w:val="24"/>
        </w:rPr>
        <w:t>.</w:t>
      </w:r>
      <w:permEnd w:id="1124692150"/>
    </w:p>
    <w:p w:rsidR="00A8728B" w:rsidRDefault="00A8728B" w:rsidP="00A8728B">
      <w:r>
        <w:t>&lt;ESMA_QUESTION</w:t>
      </w:r>
      <w:r w:rsidR="00D920D1">
        <w:t>_</w:t>
      </w:r>
      <w:r w:rsidR="002C0642">
        <w:t>MIFID_PO</w:t>
      </w:r>
      <w:r w:rsidR="00AB4824">
        <w:t>_</w:t>
      </w:r>
      <w:r>
        <w:t>6&gt;</w:t>
      </w:r>
    </w:p>
    <w:p w:rsidR="00F32462" w:rsidRDefault="00F32462">
      <w:pPr>
        <w:rPr>
          <w:rFonts w:cs="Arial"/>
          <w:b/>
          <w:sz w:val="22"/>
          <w:szCs w:val="22"/>
          <w:lang w:eastAsia="en-US"/>
        </w:rPr>
      </w:pPr>
    </w:p>
    <w:p w:rsidR="00070630" w:rsidRPr="000E6B5B" w:rsidRDefault="00BC6A9F" w:rsidP="00BC6A9F">
      <w:pPr>
        <w:pStyle w:val="CPQuestions"/>
      </w:pPr>
      <w:r w:rsidRPr="00BC6A9F">
        <w:t>Do you agree that only packages with derivative components with the above mentioned benchmark dates should be considered liquid? If not, please e</w:t>
      </w:r>
      <w:r w:rsidRPr="00BC6A9F">
        <w:t>x</w:t>
      </w:r>
      <w:r w:rsidRPr="00BC6A9F">
        <w:t>plain. Which other or additional benchmark dates do you suggest</w:t>
      </w:r>
      <w:r>
        <w:t>?</w:t>
      </w:r>
    </w:p>
    <w:p w:rsidR="00070630" w:rsidRDefault="00070630" w:rsidP="00070630">
      <w:r>
        <w:t>&lt;ESMA_QUESTION_</w:t>
      </w:r>
      <w:r w:rsidR="002C0642">
        <w:t>MIFID_PO</w:t>
      </w:r>
      <w:r w:rsidR="00AB4824">
        <w:t>_</w:t>
      </w:r>
      <w:r>
        <w:t>7&gt;</w:t>
      </w:r>
    </w:p>
    <w:p w:rsidR="00070630" w:rsidRDefault="002D6B67" w:rsidP="00070630">
      <w:permStart w:id="1083664896" w:edGrp="everyone"/>
      <w:r w:rsidRPr="0092597A">
        <w:rPr>
          <w:rFonts w:cs="Arial"/>
          <w:szCs w:val="20"/>
        </w:rPr>
        <w:t>We think that the tenors should be limited to key reference rates (6 month maturities for 3 month rates, and front month maturities for 2 year, 5 year and 10 year rates).  Please see our answer to question 5</w:t>
      </w:r>
      <w:r w:rsidRPr="00C87937">
        <w:rPr>
          <w:rFonts w:ascii="Times New Roman" w:hAnsi="Times New Roman"/>
          <w:sz w:val="24"/>
        </w:rPr>
        <w:t>.</w:t>
      </w:r>
      <w:permEnd w:id="1083664896"/>
    </w:p>
    <w:p w:rsidR="00070630" w:rsidRDefault="00070630" w:rsidP="00070630">
      <w:r>
        <w:t>&lt;ESMA_QUESTION_</w:t>
      </w:r>
      <w:r w:rsidR="002C0642">
        <w:t>MIFID_PO</w:t>
      </w:r>
      <w:r w:rsidR="00AB4824">
        <w:t>_</w:t>
      </w:r>
      <w:r>
        <w:t>7&gt;</w:t>
      </w:r>
    </w:p>
    <w:p w:rsidR="00070630" w:rsidRDefault="00070630">
      <w:pPr>
        <w:rPr>
          <w:rFonts w:cs="Arial"/>
          <w:b/>
          <w:sz w:val="22"/>
          <w:szCs w:val="22"/>
          <w:lang w:eastAsia="en-US"/>
        </w:rPr>
      </w:pPr>
    </w:p>
    <w:p w:rsidR="00EF314C" w:rsidRPr="000E6B5B" w:rsidRDefault="00BC6A9F" w:rsidP="00BC6A9F">
      <w:pPr>
        <w:pStyle w:val="CPQuestions"/>
      </w:pPr>
      <w:r w:rsidRPr="00BC6A9F">
        <w:t>Do you consider that for certain types of packages derivative components that have broken dates (e.g. invoice spreads) or which are traded on IMM and MAC dates (e.g. rolls) have a liquid market?</w:t>
      </w:r>
    </w:p>
    <w:p w:rsidR="00EF314C" w:rsidRDefault="00EF314C" w:rsidP="00EF314C">
      <w:r>
        <w:t>&lt;ESMA_QUESTION_</w:t>
      </w:r>
      <w:r w:rsidR="002C0642">
        <w:t>MIFID_PO</w:t>
      </w:r>
      <w:r>
        <w:t>_</w:t>
      </w:r>
      <w:r w:rsidR="00273633">
        <w:t>8</w:t>
      </w:r>
      <w:r>
        <w:t>&gt;</w:t>
      </w:r>
    </w:p>
    <w:p w:rsidR="002D6B67" w:rsidRPr="0092597A" w:rsidRDefault="002D6B67" w:rsidP="002D6B67">
      <w:pPr>
        <w:pStyle w:val="Heading6"/>
        <w:numPr>
          <w:ilvl w:val="0"/>
          <w:numId w:val="0"/>
        </w:numPr>
        <w:ind w:right="113"/>
        <w:rPr>
          <w:rFonts w:ascii="Arial" w:hAnsi="Arial" w:cs="Arial"/>
          <w:b w:val="0"/>
          <w:szCs w:val="20"/>
        </w:rPr>
      </w:pPr>
      <w:permStart w:id="864693668" w:edGrp="everyone"/>
      <w:r w:rsidRPr="0092597A">
        <w:rPr>
          <w:rFonts w:ascii="Arial" w:hAnsi="Arial" w:cs="Arial"/>
          <w:b w:val="0"/>
          <w:szCs w:val="20"/>
        </w:rPr>
        <w:t xml:space="preserve">We consider the only maturity assessment should be in relation to the exchange leg and limited to key reference rates (6 month maturities for 3 month rates, and front month maturities for 2 year, 5 year and 10 year rates). Please see our answer to question 5.  </w:t>
      </w:r>
    </w:p>
    <w:p w:rsidR="00EF314C" w:rsidRDefault="002D6B67" w:rsidP="00EF314C">
      <w:r w:rsidRPr="0092597A">
        <w:rPr>
          <w:rFonts w:cs="Arial"/>
          <w:szCs w:val="20"/>
        </w:rPr>
        <w:t>The liquidity assessment of the OTC leg should be entirely dependent on the trading obligation and clea</w:t>
      </w:r>
      <w:r w:rsidRPr="0092597A">
        <w:rPr>
          <w:rFonts w:cs="Arial"/>
          <w:szCs w:val="20"/>
        </w:rPr>
        <w:t>r</w:t>
      </w:r>
      <w:r w:rsidRPr="0092597A">
        <w:rPr>
          <w:rFonts w:cs="Arial"/>
          <w:szCs w:val="20"/>
        </w:rPr>
        <w:t>ing obligation – please see our matrix approach set out under question 2</w:t>
      </w:r>
      <w:r w:rsidRPr="00C87937">
        <w:rPr>
          <w:rFonts w:ascii="Times New Roman" w:hAnsi="Times New Roman"/>
          <w:sz w:val="24"/>
        </w:rPr>
        <w:t>.</w:t>
      </w:r>
      <w:permEnd w:id="864693668"/>
    </w:p>
    <w:p w:rsidR="00EF314C" w:rsidRDefault="00EF314C" w:rsidP="00EF314C">
      <w:r>
        <w:t>&lt;ESMA_QUESTION_</w:t>
      </w:r>
      <w:r w:rsidR="002C0642">
        <w:t>MIFID_PO</w:t>
      </w:r>
      <w:r>
        <w:t>_</w:t>
      </w:r>
      <w:r w:rsidR="00273633">
        <w:t>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criteria for non-derivative components of packages? If yes, which criteria would you suggest and why?</w:t>
      </w:r>
    </w:p>
    <w:p w:rsidR="00EF314C" w:rsidRDefault="00EF314C" w:rsidP="00EF314C">
      <w:r>
        <w:t>&lt;ESMA_QUESTION_</w:t>
      </w:r>
      <w:r w:rsidR="002C0642">
        <w:t>MIFID_PO</w:t>
      </w:r>
      <w:r>
        <w:t>_</w:t>
      </w:r>
      <w:r w:rsidR="00273633">
        <w:t>9</w:t>
      </w:r>
      <w:r>
        <w:t>&gt;</w:t>
      </w:r>
    </w:p>
    <w:p w:rsidR="002D6B67" w:rsidRPr="0092597A" w:rsidRDefault="002D6B67" w:rsidP="002D6B67">
      <w:pPr>
        <w:pStyle w:val="BodyText"/>
        <w:numPr>
          <w:ilvl w:val="0"/>
          <w:numId w:val="0"/>
        </w:numPr>
        <w:spacing w:before="8"/>
        <w:rPr>
          <w:rFonts w:ascii="Arial" w:hAnsi="Arial" w:cs="Arial"/>
          <w:sz w:val="20"/>
        </w:rPr>
      </w:pPr>
      <w:permStart w:id="434045108" w:edGrp="everyone"/>
      <w:r w:rsidRPr="0092597A">
        <w:rPr>
          <w:rFonts w:ascii="Arial" w:hAnsi="Arial" w:cs="Arial"/>
          <w:sz w:val="20"/>
        </w:rPr>
        <w:t>Yes, we think it would be useful to specify criteria in this regard. We have included non-derivative comp</w:t>
      </w:r>
      <w:r w:rsidRPr="0092597A">
        <w:rPr>
          <w:rFonts w:ascii="Arial" w:hAnsi="Arial" w:cs="Arial"/>
          <w:sz w:val="20"/>
        </w:rPr>
        <w:t>o</w:t>
      </w:r>
      <w:r w:rsidRPr="0092597A">
        <w:rPr>
          <w:rFonts w:ascii="Arial" w:hAnsi="Arial" w:cs="Arial"/>
          <w:sz w:val="20"/>
        </w:rPr>
        <w:t>nents in our matrix and suggest that where a liquid sovereign bond under RTS 2 is traded as a package order against:</w:t>
      </w:r>
    </w:p>
    <w:p w:rsidR="002D6B67" w:rsidRPr="0092597A" w:rsidRDefault="002D6B67" w:rsidP="0083012B">
      <w:pPr>
        <w:pStyle w:val="BodyText"/>
        <w:numPr>
          <w:ilvl w:val="0"/>
          <w:numId w:val="48"/>
        </w:numPr>
        <w:spacing w:before="8"/>
        <w:rPr>
          <w:rFonts w:ascii="Arial" w:hAnsi="Arial" w:cs="Arial"/>
          <w:sz w:val="20"/>
        </w:rPr>
      </w:pPr>
      <w:r w:rsidRPr="0092597A">
        <w:rPr>
          <w:rFonts w:ascii="Arial" w:hAnsi="Arial" w:cs="Arial"/>
          <w:sz w:val="20"/>
        </w:rPr>
        <w:t>a derivative subject to the trading or clearing obligation, then this should be classed as a package order that is liquid as a whole; or</w:t>
      </w:r>
    </w:p>
    <w:p w:rsidR="002D6B67" w:rsidRPr="0092597A" w:rsidRDefault="002D6B67" w:rsidP="0083012B">
      <w:pPr>
        <w:pStyle w:val="BodyText"/>
        <w:widowControl w:val="0"/>
        <w:numPr>
          <w:ilvl w:val="0"/>
          <w:numId w:val="47"/>
        </w:numPr>
        <w:autoSpaceDE w:val="0"/>
        <w:autoSpaceDN w:val="0"/>
        <w:spacing w:before="8" w:after="0"/>
        <w:ind w:left="360"/>
        <w:rPr>
          <w:rFonts w:ascii="Arial" w:hAnsi="Arial" w:cs="Arial"/>
          <w:sz w:val="20"/>
        </w:rPr>
      </w:pPr>
      <w:r w:rsidRPr="0092597A">
        <w:rPr>
          <w:rFonts w:ascii="Arial" w:hAnsi="Arial" w:cs="Arial"/>
          <w:sz w:val="20"/>
        </w:rPr>
        <w:t xml:space="preserve">an exchange traded derivative, then this should only be classed as liquid </w:t>
      </w:r>
      <w:r w:rsidRPr="0092597A">
        <w:rPr>
          <w:rFonts w:ascii="Arial" w:hAnsi="Arial" w:cs="Arial"/>
          <w:b/>
          <w:sz w:val="20"/>
        </w:rPr>
        <w:t>where the exchange leg(s) is/are deemed liquid</w:t>
      </w:r>
      <w:r w:rsidRPr="0092597A">
        <w:rPr>
          <w:rFonts w:ascii="Arial" w:hAnsi="Arial" w:cs="Arial"/>
          <w:sz w:val="20"/>
        </w:rPr>
        <w:t xml:space="preserve"> in accordance with the asset-class specific criteria set out under question 5. </w:t>
      </w:r>
    </w:p>
    <w:p w:rsidR="002D6B67" w:rsidRPr="0092597A" w:rsidRDefault="002D6B67" w:rsidP="002D6B67">
      <w:pPr>
        <w:pStyle w:val="BodyText"/>
        <w:widowControl w:val="0"/>
        <w:numPr>
          <w:ilvl w:val="0"/>
          <w:numId w:val="0"/>
        </w:numPr>
        <w:autoSpaceDE w:val="0"/>
        <w:autoSpaceDN w:val="0"/>
        <w:spacing w:before="8" w:after="0"/>
        <w:ind w:left="360"/>
        <w:rPr>
          <w:rFonts w:ascii="Arial" w:hAnsi="Arial" w:cs="Arial"/>
          <w:sz w:val="20"/>
        </w:rPr>
      </w:pPr>
    </w:p>
    <w:p w:rsidR="00EF314C" w:rsidRDefault="002D6B67" w:rsidP="00EF314C">
      <w:r w:rsidRPr="0092597A">
        <w:rPr>
          <w:rFonts w:cs="Arial"/>
          <w:szCs w:val="20"/>
        </w:rPr>
        <w:t>However further work would be required to assess whether a package order made up exclusively of cash instruments (such as two cash bonds traded simultaneously) would be liquid as a whole, but we would suggest some reference to the individual liquidity assessment of the bonds per RTS 2 could work.  We would be happy to look into this in more detail if requested by ESMA</w:t>
      </w:r>
      <w:r w:rsidRPr="002D6B67">
        <w:rPr>
          <w:rFonts w:ascii="Times New Roman" w:hAnsi="Times New Roman"/>
          <w:sz w:val="24"/>
        </w:rPr>
        <w:t>.</w:t>
      </w:r>
      <w:permEnd w:id="434045108"/>
    </w:p>
    <w:p w:rsidR="00EF314C" w:rsidRDefault="00EF314C" w:rsidP="00EF314C">
      <w:r>
        <w:t>&lt;ESMA_QUESTION_</w:t>
      </w:r>
      <w:r w:rsidR="002C0642">
        <w:t>MIFID_PO</w:t>
      </w:r>
      <w:r>
        <w:t>_</w:t>
      </w:r>
      <w:r w:rsidR="00273633">
        <w:t>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10</w:t>
      </w:r>
      <w:r>
        <w:t>&gt;</w:t>
      </w:r>
    </w:p>
    <w:p w:rsidR="002D6B67" w:rsidRPr="0092597A" w:rsidRDefault="002D6B67" w:rsidP="002D6B67">
      <w:pPr>
        <w:jc w:val="both"/>
        <w:rPr>
          <w:rFonts w:cs="Arial"/>
          <w:szCs w:val="20"/>
        </w:rPr>
      </w:pPr>
      <w:permStart w:id="1525362539" w:edGrp="everyone"/>
      <w:r w:rsidRPr="0092597A">
        <w:rPr>
          <w:rFonts w:cs="Arial"/>
          <w:szCs w:val="20"/>
        </w:rPr>
        <w:t>Again, we agree with all the factors identified by ESMA as being relevant but would like to seek some clarification on certain aspects:</w:t>
      </w:r>
    </w:p>
    <w:p w:rsidR="002D6B67" w:rsidRPr="0092597A" w:rsidRDefault="002D6B67" w:rsidP="002D6B67">
      <w:pPr>
        <w:jc w:val="both"/>
        <w:rPr>
          <w:rFonts w:cs="Arial"/>
          <w:szCs w:val="20"/>
        </w:rPr>
      </w:pPr>
    </w:p>
    <w:p w:rsidR="002D6B67" w:rsidRPr="0092597A" w:rsidRDefault="002D6B67" w:rsidP="0083012B">
      <w:pPr>
        <w:pStyle w:val="ListParagraph"/>
        <w:widowControl w:val="0"/>
        <w:numPr>
          <w:ilvl w:val="0"/>
          <w:numId w:val="45"/>
        </w:numPr>
        <w:autoSpaceDE w:val="0"/>
        <w:autoSpaceDN w:val="0"/>
        <w:ind w:left="360"/>
        <w:contextualSpacing w:val="0"/>
        <w:jc w:val="both"/>
        <w:rPr>
          <w:rFonts w:cs="Arial"/>
          <w:szCs w:val="20"/>
        </w:rPr>
      </w:pPr>
      <w:r w:rsidRPr="0092597A">
        <w:rPr>
          <w:rFonts w:cs="Arial"/>
          <w:szCs w:val="20"/>
        </w:rPr>
        <w:t>We note that there is no reference to maturities. We think this is an oversight and the maturities should be restricted to the front end of the futures curve. We believe that such statement would be compatible with the fact that the liquidity assessment under RTS 2 has deemed all equity derivatives liquid; this is because the exchange traded legs that make up a package order, when traded as a package, are not liquid all the way along the futures curve.</w:t>
      </w:r>
    </w:p>
    <w:p w:rsidR="002D6B67" w:rsidRPr="0092597A" w:rsidRDefault="002D6B67" w:rsidP="002D6B67">
      <w:pPr>
        <w:pStyle w:val="ListParagraph"/>
        <w:ind w:left="360"/>
        <w:rPr>
          <w:rFonts w:cs="Arial"/>
          <w:szCs w:val="20"/>
        </w:rPr>
      </w:pPr>
    </w:p>
    <w:p w:rsidR="002D6B67" w:rsidRPr="00AE4CFA" w:rsidRDefault="002D6B67" w:rsidP="00AE4CFA">
      <w:pPr>
        <w:pStyle w:val="ListParagraph"/>
        <w:widowControl w:val="0"/>
        <w:numPr>
          <w:ilvl w:val="0"/>
          <w:numId w:val="45"/>
        </w:numPr>
        <w:autoSpaceDE w:val="0"/>
        <w:autoSpaceDN w:val="0"/>
        <w:ind w:left="360"/>
        <w:contextualSpacing w:val="0"/>
        <w:jc w:val="both"/>
        <w:rPr>
          <w:rFonts w:ascii="Times New Roman" w:hAnsi="Times New Roman"/>
          <w:sz w:val="24"/>
        </w:rPr>
      </w:pPr>
      <w:r w:rsidRPr="0092597A">
        <w:rPr>
          <w:rFonts w:cs="Arial"/>
          <w:szCs w:val="20"/>
        </w:rPr>
        <w:t>Assuming that the asset-class specific criteria would only apply to the exchange legs of a package order, we believe that the proposed number of components (up to 4) is too broad and would capture strategies that were not liquid. As set out in our response to question 2, whilst there are “standard strategies” of 4 legs, it does not necessarily mean that these strategies are liquid; the number of co</w:t>
      </w:r>
      <w:r w:rsidRPr="0092597A">
        <w:rPr>
          <w:rFonts w:cs="Arial"/>
          <w:szCs w:val="20"/>
        </w:rPr>
        <w:t>m</w:t>
      </w:r>
      <w:r w:rsidRPr="0092597A">
        <w:rPr>
          <w:rFonts w:cs="Arial"/>
          <w:szCs w:val="20"/>
        </w:rPr>
        <w:t>binations across 4 different contracts / mat</w:t>
      </w:r>
      <w:r w:rsidRPr="00AE4CFA">
        <w:rPr>
          <w:rFonts w:cs="Arial"/>
          <w:szCs w:val="20"/>
        </w:rPr>
        <w:t>urities is high and a 4-legged strategy would appear to be bespoke in its particular terms.</w:t>
      </w:r>
      <w:r w:rsidR="00AE4CFA" w:rsidRPr="00AE4CFA">
        <w:rPr>
          <w:rFonts w:cs="Arial"/>
          <w:szCs w:val="20"/>
        </w:rPr>
        <w:t xml:space="preserve"> We consider that package orders with more than 2 components are bespoke and typically negotiated away from the order book because of the number of variables that need to be agreed bilaterally.</w:t>
      </w:r>
    </w:p>
    <w:p w:rsidR="002D6B67" w:rsidRPr="0092597A" w:rsidRDefault="002D6B67" w:rsidP="002D6B67">
      <w:pPr>
        <w:pStyle w:val="ListParagraph"/>
        <w:ind w:left="360"/>
        <w:rPr>
          <w:rFonts w:cs="Arial"/>
          <w:szCs w:val="20"/>
        </w:rPr>
      </w:pPr>
    </w:p>
    <w:p w:rsidR="002D6B67" w:rsidRPr="0092597A" w:rsidRDefault="002D6B67" w:rsidP="0083012B">
      <w:pPr>
        <w:pStyle w:val="ListParagraph"/>
        <w:widowControl w:val="0"/>
        <w:numPr>
          <w:ilvl w:val="0"/>
          <w:numId w:val="45"/>
        </w:numPr>
        <w:autoSpaceDE w:val="0"/>
        <w:autoSpaceDN w:val="0"/>
        <w:ind w:left="360"/>
        <w:contextualSpacing w:val="0"/>
        <w:jc w:val="both"/>
        <w:rPr>
          <w:rFonts w:cs="Arial"/>
          <w:szCs w:val="20"/>
        </w:rPr>
      </w:pPr>
      <w:r w:rsidRPr="0092597A">
        <w:rPr>
          <w:rFonts w:cs="Arial"/>
          <w:szCs w:val="20"/>
        </w:rPr>
        <w:t xml:space="preserve">As mentioned under the general criteria in question 2, it would be helpful if ESMA could clarify that all the legs of the package order should be denominated in the same currency. </w:t>
      </w:r>
    </w:p>
    <w:p w:rsidR="002D6B67" w:rsidRPr="0092597A" w:rsidRDefault="002D6B67" w:rsidP="002D6B67">
      <w:pPr>
        <w:jc w:val="both"/>
        <w:rPr>
          <w:rFonts w:cs="Arial"/>
          <w:szCs w:val="20"/>
        </w:rPr>
      </w:pPr>
    </w:p>
    <w:p w:rsidR="002D6B67" w:rsidRPr="0092597A" w:rsidRDefault="002D6B67" w:rsidP="002D6B67">
      <w:pPr>
        <w:jc w:val="both"/>
        <w:rPr>
          <w:rFonts w:cs="Arial"/>
          <w:szCs w:val="20"/>
        </w:rPr>
      </w:pPr>
      <w:r w:rsidRPr="0092597A">
        <w:rPr>
          <w:rFonts w:cs="Arial"/>
          <w:szCs w:val="20"/>
        </w:rPr>
        <w:t>We consider that changes to the asset-class specific criteria for package orders in equity derivatives along the following lines would be useful:</w:t>
      </w:r>
    </w:p>
    <w:p w:rsidR="002D6B67" w:rsidRPr="0092597A" w:rsidRDefault="002D6B67" w:rsidP="002D6B67">
      <w:pPr>
        <w:jc w:val="both"/>
        <w:rPr>
          <w:rFonts w:cs="Arial"/>
          <w:szCs w:val="20"/>
        </w:rPr>
      </w:pPr>
    </w:p>
    <w:p w:rsidR="002D6B67" w:rsidRPr="0092597A" w:rsidRDefault="002D6B67" w:rsidP="0083012B">
      <w:pPr>
        <w:pStyle w:val="ListParagraph"/>
        <w:numPr>
          <w:ilvl w:val="1"/>
          <w:numId w:val="44"/>
        </w:numPr>
        <w:ind w:left="360"/>
        <w:jc w:val="both"/>
        <w:rPr>
          <w:rFonts w:cs="Arial"/>
          <w:szCs w:val="20"/>
        </w:rPr>
      </w:pPr>
      <w:r w:rsidRPr="0092597A">
        <w:rPr>
          <w:rFonts w:cs="Arial"/>
          <w:szCs w:val="20"/>
        </w:rPr>
        <w:t xml:space="preserve">The asset-class specific criteria for the liquidity assessment should apply to packages containing exchange traded derivatives </w:t>
      </w:r>
      <w:r w:rsidRPr="0092597A">
        <w:rPr>
          <w:rFonts w:cs="Arial"/>
          <w:b/>
          <w:szCs w:val="20"/>
          <w:u w:val="single"/>
        </w:rPr>
        <w:t>only</w:t>
      </w:r>
      <w:r w:rsidRPr="0092597A">
        <w:rPr>
          <w:rFonts w:cs="Arial"/>
          <w:szCs w:val="20"/>
        </w:rPr>
        <w:t>, where dictated by the general criteria matrix;</w:t>
      </w:r>
    </w:p>
    <w:p w:rsidR="002D6B67" w:rsidRPr="0092597A" w:rsidRDefault="002D6B67" w:rsidP="002D6B67">
      <w:pPr>
        <w:pStyle w:val="ListParagraph"/>
        <w:ind w:left="360"/>
        <w:rPr>
          <w:rFonts w:cs="Arial"/>
          <w:szCs w:val="20"/>
        </w:rPr>
      </w:pPr>
    </w:p>
    <w:p w:rsidR="002D6B67" w:rsidRPr="0092597A" w:rsidRDefault="002D6B67" w:rsidP="0083012B">
      <w:pPr>
        <w:pStyle w:val="ListParagraph"/>
        <w:numPr>
          <w:ilvl w:val="1"/>
          <w:numId w:val="44"/>
        </w:numPr>
        <w:ind w:left="360"/>
        <w:jc w:val="both"/>
        <w:rPr>
          <w:rFonts w:cs="Arial"/>
          <w:szCs w:val="20"/>
        </w:rPr>
      </w:pPr>
      <w:r w:rsidRPr="0092597A">
        <w:rPr>
          <w:rFonts w:cs="Arial"/>
          <w:szCs w:val="20"/>
        </w:rPr>
        <w:t xml:space="preserve">The </w:t>
      </w:r>
      <w:r w:rsidRPr="0092597A">
        <w:rPr>
          <w:rFonts w:cs="Arial"/>
          <w:b/>
          <w:szCs w:val="20"/>
        </w:rPr>
        <w:t>exchange legs</w:t>
      </w:r>
      <w:r w:rsidRPr="0092597A">
        <w:rPr>
          <w:rFonts w:cs="Arial"/>
          <w:szCs w:val="20"/>
        </w:rPr>
        <w:t xml:space="preserve"> should have </w:t>
      </w:r>
      <w:r w:rsidRPr="0092597A">
        <w:rPr>
          <w:rFonts w:cs="Arial"/>
          <w:b/>
          <w:szCs w:val="20"/>
        </w:rPr>
        <w:t>no more than two components</w:t>
      </w:r>
      <w:r w:rsidRPr="0092597A">
        <w:rPr>
          <w:rFonts w:cs="Arial"/>
          <w:szCs w:val="20"/>
        </w:rPr>
        <w:t xml:space="preserve">; </w:t>
      </w:r>
    </w:p>
    <w:p w:rsidR="002D6B67" w:rsidRPr="0092597A" w:rsidRDefault="002D6B67" w:rsidP="002D6B67">
      <w:pPr>
        <w:pStyle w:val="ListParagraph"/>
        <w:ind w:left="360"/>
        <w:rPr>
          <w:rFonts w:cs="Arial"/>
          <w:szCs w:val="20"/>
        </w:rPr>
      </w:pPr>
    </w:p>
    <w:p w:rsidR="002D6B67" w:rsidRPr="0092597A" w:rsidRDefault="002D6B67" w:rsidP="0083012B">
      <w:pPr>
        <w:pStyle w:val="ListParagraph"/>
        <w:numPr>
          <w:ilvl w:val="1"/>
          <w:numId w:val="44"/>
        </w:numPr>
        <w:ind w:left="360"/>
        <w:jc w:val="both"/>
        <w:rPr>
          <w:rFonts w:cs="Arial"/>
          <w:szCs w:val="20"/>
        </w:rPr>
      </w:pPr>
      <w:r w:rsidRPr="0092597A">
        <w:rPr>
          <w:rFonts w:cs="Arial"/>
          <w:b/>
          <w:szCs w:val="20"/>
          <w:u w:val="single"/>
        </w:rPr>
        <w:t>All</w:t>
      </w:r>
      <w:r w:rsidRPr="0092597A">
        <w:rPr>
          <w:rFonts w:cs="Arial"/>
          <w:szCs w:val="20"/>
        </w:rPr>
        <w:t xml:space="preserve"> components of the package order have the </w:t>
      </w:r>
      <w:r w:rsidRPr="0092597A">
        <w:rPr>
          <w:rFonts w:cs="Arial"/>
          <w:b/>
          <w:szCs w:val="20"/>
          <w:u w:val="single"/>
        </w:rPr>
        <w:t>same</w:t>
      </w:r>
      <w:r w:rsidRPr="0092597A">
        <w:rPr>
          <w:rFonts w:cs="Arial"/>
          <w:szCs w:val="20"/>
        </w:rPr>
        <w:t xml:space="preserve"> notional currency of EUR, USD or GBP;</w:t>
      </w:r>
    </w:p>
    <w:p w:rsidR="002D6B67" w:rsidRPr="0092597A" w:rsidRDefault="002D6B67" w:rsidP="002D6B67">
      <w:pPr>
        <w:contextualSpacing/>
        <w:jc w:val="both"/>
        <w:rPr>
          <w:rFonts w:cs="Arial"/>
          <w:szCs w:val="20"/>
        </w:rPr>
      </w:pPr>
    </w:p>
    <w:p w:rsidR="002D6B67" w:rsidRPr="00C87937" w:rsidRDefault="002D6B67" w:rsidP="0083012B">
      <w:pPr>
        <w:pStyle w:val="ListParagraph"/>
        <w:numPr>
          <w:ilvl w:val="1"/>
          <w:numId w:val="44"/>
        </w:numPr>
        <w:ind w:left="360"/>
        <w:jc w:val="both"/>
        <w:rPr>
          <w:rFonts w:ascii="Times New Roman" w:hAnsi="Times New Roman"/>
          <w:sz w:val="24"/>
        </w:rPr>
      </w:pPr>
      <w:r w:rsidRPr="0092597A">
        <w:rPr>
          <w:rFonts w:cs="Arial"/>
          <w:szCs w:val="20"/>
        </w:rPr>
        <w:t xml:space="preserve">Each of the exchange legs must be in contracts with the </w:t>
      </w:r>
      <w:r w:rsidRPr="0092597A">
        <w:rPr>
          <w:rFonts w:cs="Arial"/>
          <w:b/>
          <w:szCs w:val="20"/>
          <w:u w:val="single"/>
        </w:rPr>
        <w:t>same underlying</w:t>
      </w:r>
      <w:r w:rsidRPr="0092597A">
        <w:rPr>
          <w:rFonts w:cs="Arial"/>
          <w:szCs w:val="20"/>
        </w:rPr>
        <w:t xml:space="preserve"> and have 6 month maturity or less.</w:t>
      </w:r>
    </w:p>
    <w:permEnd w:id="1525362539"/>
    <w:p w:rsidR="00EF314C" w:rsidRDefault="00EF314C" w:rsidP="00EF314C"/>
    <w:p w:rsidR="00EF314C" w:rsidRDefault="00EF314C" w:rsidP="00EF314C">
      <w:r>
        <w:t>&lt;ESMA_QUESTION_</w:t>
      </w:r>
      <w:r w:rsidR="002C0642">
        <w:t>MIFID_PO</w:t>
      </w:r>
      <w:r>
        <w:t>_</w:t>
      </w:r>
      <w:r w:rsidR="00273633">
        <w:t>10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p>
    <w:p w:rsidR="00EF314C" w:rsidRDefault="00EF314C" w:rsidP="00EF314C">
      <w:r>
        <w:t>&lt;ESMA_QUESTION_</w:t>
      </w:r>
      <w:r w:rsidR="002C0642">
        <w:t>MIFID_PO</w:t>
      </w:r>
      <w:r>
        <w:t>_</w:t>
      </w:r>
      <w:r w:rsidR="00273633">
        <w:t>11</w:t>
      </w:r>
      <w:r>
        <w:t>&gt;</w:t>
      </w:r>
    </w:p>
    <w:p w:rsidR="00EF314C" w:rsidRDefault="002D6B67" w:rsidP="00EF314C">
      <w:permStart w:id="422787386" w:edGrp="everyone"/>
      <w:r w:rsidRPr="00A25AC2">
        <w:rPr>
          <w:rFonts w:cs="Arial"/>
          <w:szCs w:val="20"/>
        </w:rPr>
        <w:t>No.  Extending the currencies risks illiquid package orders being classified as liquid</w:t>
      </w:r>
      <w:r w:rsidRPr="00C87937">
        <w:rPr>
          <w:rFonts w:ascii="Times New Roman" w:hAnsi="Times New Roman"/>
          <w:sz w:val="24"/>
        </w:rPr>
        <w:t>.</w:t>
      </w:r>
      <w:permEnd w:id="422787386"/>
    </w:p>
    <w:p w:rsidR="00EF314C" w:rsidRDefault="00EF314C" w:rsidP="00EF314C">
      <w:r>
        <w:t>&lt;ESMA_QUESTION_</w:t>
      </w:r>
      <w:r w:rsidR="002C0642">
        <w:t>MIFID_PO</w:t>
      </w:r>
      <w:r>
        <w:t>_</w:t>
      </w:r>
      <w:r w:rsidR="00273633">
        <w:t>11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w:t>
      </w:r>
      <w:r w:rsidRPr="00BC6A9F">
        <w:t>r</w:t>
      </w:r>
      <w:r w:rsidRPr="00BC6A9F">
        <w:t>der should have the same underlying? If yes, please explain.</w:t>
      </w:r>
    </w:p>
    <w:p w:rsidR="00EF314C" w:rsidRDefault="00EF314C" w:rsidP="00EF314C">
      <w:r>
        <w:t>&lt;ESMA_QUESTION_</w:t>
      </w:r>
      <w:r w:rsidR="002C0642">
        <w:t>MIFID_PO</w:t>
      </w:r>
      <w:r>
        <w:t>_</w:t>
      </w:r>
      <w:r w:rsidR="00273633">
        <w:t>12</w:t>
      </w:r>
      <w:r>
        <w:t>&gt;</w:t>
      </w:r>
    </w:p>
    <w:p w:rsidR="002D6B67" w:rsidRPr="0092597A" w:rsidRDefault="002D6B67" w:rsidP="002D6B67">
      <w:pPr>
        <w:jc w:val="both"/>
        <w:rPr>
          <w:rFonts w:cs="Arial"/>
          <w:szCs w:val="20"/>
        </w:rPr>
      </w:pPr>
      <w:permStart w:id="1112569011" w:edGrp="everyone"/>
      <w:r w:rsidRPr="0092597A">
        <w:rPr>
          <w:rFonts w:cs="Arial"/>
          <w:szCs w:val="20"/>
        </w:rPr>
        <w:t xml:space="preserve">Yes, we consider that this should be the case. We do not think that package orders traded across different </w:t>
      </w:r>
      <w:r w:rsidRPr="0092597A">
        <w:rPr>
          <w:rFonts w:cs="Arial"/>
          <w:b/>
          <w:szCs w:val="20"/>
        </w:rPr>
        <w:t>on-exchange</w:t>
      </w:r>
      <w:r w:rsidRPr="0092597A">
        <w:rPr>
          <w:rFonts w:cs="Arial"/>
          <w:szCs w:val="20"/>
        </w:rPr>
        <w:t xml:space="preserve"> equity derivative products can be considered liquid. As explained under question 10 this would however only be relevant for the exchange legs as the OTC legs are subject to their own liquidity assessment. </w:t>
      </w:r>
    </w:p>
    <w:p w:rsidR="002D6B67" w:rsidRPr="0092597A" w:rsidRDefault="002D6B67" w:rsidP="002D6B67">
      <w:pPr>
        <w:jc w:val="both"/>
        <w:rPr>
          <w:rFonts w:cs="Arial"/>
          <w:szCs w:val="20"/>
        </w:rPr>
      </w:pPr>
    </w:p>
    <w:p w:rsidR="00EF314C" w:rsidRDefault="002D6B67" w:rsidP="00EF314C">
      <w:r w:rsidRPr="0092597A">
        <w:rPr>
          <w:rFonts w:cs="Arial"/>
          <w:szCs w:val="20"/>
        </w:rPr>
        <w:t>We would also like to flag that the restriction for exchange legs to be traded in the same product would not be needed for interest rate derivatives because the liquidity assessment for package orders in interest rate derivatives takes account of the key tenors (effectively the key contracts) and maturities that should be considered liquid.  This would not be possible in relation to equity derivatives (because the types of co</w:t>
      </w:r>
      <w:r w:rsidRPr="0092597A">
        <w:rPr>
          <w:rFonts w:cs="Arial"/>
          <w:szCs w:val="20"/>
        </w:rPr>
        <w:t>n</w:t>
      </w:r>
      <w:r w:rsidRPr="0092597A">
        <w:rPr>
          <w:rFonts w:cs="Arial"/>
          <w:szCs w:val="20"/>
        </w:rPr>
        <w:t>tracts are more diverse), so a proportionate limitation to a single product is needed here</w:t>
      </w:r>
      <w:r w:rsidRPr="00C87937">
        <w:rPr>
          <w:rFonts w:ascii="Times New Roman" w:hAnsi="Times New Roman"/>
          <w:sz w:val="24"/>
        </w:rPr>
        <w:t>.</w:t>
      </w:r>
      <w:permEnd w:id="1112569011"/>
    </w:p>
    <w:p w:rsidR="00EF314C" w:rsidRDefault="00EF314C" w:rsidP="00EF314C">
      <w:r>
        <w:t>&lt;ESMA_QUESTION_</w:t>
      </w:r>
      <w:r w:rsidR="002C0642">
        <w:t>MIFID_PO</w:t>
      </w:r>
      <w:r>
        <w:t>_</w:t>
      </w:r>
      <w:r w:rsidR="00273633">
        <w:t>12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credit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13</w:t>
      </w:r>
      <w:r>
        <w:t>&gt;</w:t>
      </w:r>
    </w:p>
    <w:p w:rsidR="00EF314C" w:rsidRDefault="00EF314C" w:rsidP="00EF314C">
      <w:permStart w:id="798372371" w:edGrp="everyone"/>
      <w:r>
        <w:t>TYPE YOUR TEXT HERE</w:t>
      </w:r>
      <w:permEnd w:id="798372371"/>
    </w:p>
    <w:p w:rsidR="00EF314C" w:rsidRDefault="00EF314C" w:rsidP="00EF314C">
      <w:r>
        <w:t>&lt;ESMA_QUESTION_</w:t>
      </w:r>
      <w:r w:rsidR="002C0642">
        <w:t>MIFID_PO</w:t>
      </w:r>
      <w:r>
        <w:t>_</w:t>
      </w:r>
      <w:r w:rsidR="00273633">
        <w:t>13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derivative components in USD, EUR or GBP should be co</w:t>
      </w:r>
      <w:r w:rsidRPr="00BC6A9F">
        <w:t>n</w:t>
      </w:r>
      <w:r w:rsidRPr="00BC6A9F">
        <w:t>sidered sufficiently liquid for the purpose of this RTS? Do you consider that d</w:t>
      </w:r>
      <w:r w:rsidRPr="00BC6A9F">
        <w:t>e</w:t>
      </w:r>
      <w:r w:rsidRPr="00BC6A9F">
        <w:t>rivative components in other currencies (e.g. other EEA currencies, JPY) should be included? If yes, which ones?</w:t>
      </w:r>
    </w:p>
    <w:p w:rsidR="00EF314C" w:rsidRDefault="00EF314C" w:rsidP="00EF314C">
      <w:r>
        <w:t>&lt;ESMA_QUESTION_</w:t>
      </w:r>
      <w:r w:rsidR="002C0642">
        <w:t>MIFID_PO</w:t>
      </w:r>
      <w:r>
        <w:t>_</w:t>
      </w:r>
      <w:r w:rsidR="00273633">
        <w:t>14</w:t>
      </w:r>
      <w:r>
        <w:t>&gt;</w:t>
      </w:r>
    </w:p>
    <w:p w:rsidR="00EF314C" w:rsidRDefault="00EF314C" w:rsidP="00EF314C">
      <w:permStart w:id="519521378" w:edGrp="everyone"/>
      <w:r>
        <w:t>TYPE YOUR TEXT HERE</w:t>
      </w:r>
      <w:permEnd w:id="519521378"/>
    </w:p>
    <w:p w:rsidR="00EF314C" w:rsidRDefault="00EF314C" w:rsidP="00EF314C">
      <w:r>
        <w:t>&lt;ESMA_QUESTION_</w:t>
      </w:r>
      <w:r w:rsidR="002C0642">
        <w:t>MIFID_PO</w:t>
      </w:r>
      <w:r>
        <w:t>_</w:t>
      </w:r>
      <w:r w:rsidR="00273633">
        <w:t>14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further specify the indices that are eligible? If yes, please specify which specific indices should be included. Do you consider it necessary to specify the maturity dates of the underlying indices</w:t>
      </w:r>
      <w:r w:rsidR="00EF314C" w:rsidRPr="00070630">
        <w:t>?</w:t>
      </w:r>
    </w:p>
    <w:p w:rsidR="00EF314C" w:rsidRDefault="00EF314C" w:rsidP="00EF314C">
      <w:r>
        <w:t>&lt;ESMA_QUESTION_</w:t>
      </w:r>
      <w:r w:rsidR="002C0642">
        <w:t>MIFID_PO</w:t>
      </w:r>
      <w:r>
        <w:t>_</w:t>
      </w:r>
      <w:r w:rsidR="00273633">
        <w:t>15</w:t>
      </w:r>
      <w:r>
        <w:t>&gt;</w:t>
      </w:r>
    </w:p>
    <w:p w:rsidR="00EF314C" w:rsidRDefault="00EF314C" w:rsidP="00EF314C">
      <w:permStart w:id="767369519" w:edGrp="everyone"/>
      <w:r>
        <w:t>TYPE YOUR TEXT HERE</w:t>
      </w:r>
      <w:permEnd w:id="767369519"/>
    </w:p>
    <w:p w:rsidR="00EF314C" w:rsidRDefault="00EF314C" w:rsidP="00EF314C">
      <w:r>
        <w:t>&lt;ESMA_QUESTION_</w:t>
      </w:r>
      <w:r w:rsidR="002C0642">
        <w:t>MIFID_PO</w:t>
      </w:r>
      <w:r>
        <w:t>_</w:t>
      </w:r>
      <w:r w:rsidR="00273633">
        <w:t>15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rsidR="00EF314C" w:rsidRDefault="00EF314C" w:rsidP="00EF314C">
      <w:r>
        <w:t>&lt;ESMA_QUESTION_</w:t>
      </w:r>
      <w:r w:rsidR="002C0642">
        <w:t>MIFID_PO</w:t>
      </w:r>
      <w:r>
        <w:t>_</w:t>
      </w:r>
      <w:r w:rsidR="00273633">
        <w:t>16</w:t>
      </w:r>
      <w:r>
        <w:t>&gt;</w:t>
      </w:r>
    </w:p>
    <w:p w:rsidR="002D6B67" w:rsidRPr="0092597A" w:rsidRDefault="002D6B67" w:rsidP="002D6B67">
      <w:pPr>
        <w:jc w:val="both"/>
        <w:rPr>
          <w:rFonts w:cs="Arial"/>
          <w:szCs w:val="20"/>
        </w:rPr>
      </w:pPr>
      <w:permStart w:id="648112672" w:edGrp="everyone"/>
      <w:r w:rsidRPr="0092597A">
        <w:rPr>
          <w:rFonts w:cs="Arial"/>
          <w:szCs w:val="20"/>
        </w:rPr>
        <w:t>We agree with all the factors identified by ESMA as being relevant but would like to seek some clarific</w:t>
      </w:r>
      <w:r w:rsidRPr="0092597A">
        <w:rPr>
          <w:rFonts w:cs="Arial"/>
          <w:szCs w:val="20"/>
        </w:rPr>
        <w:t>a</w:t>
      </w:r>
      <w:r w:rsidRPr="0092597A">
        <w:rPr>
          <w:rFonts w:cs="Arial"/>
          <w:szCs w:val="20"/>
        </w:rPr>
        <w:t>tion on certain aspects:</w:t>
      </w:r>
    </w:p>
    <w:p w:rsidR="002D6B67" w:rsidRPr="0092597A" w:rsidRDefault="002D6B67" w:rsidP="002D6B67">
      <w:pPr>
        <w:rPr>
          <w:rFonts w:cs="Arial"/>
          <w:szCs w:val="20"/>
        </w:rPr>
      </w:pPr>
    </w:p>
    <w:p w:rsidR="002D6B67" w:rsidRPr="0092597A" w:rsidRDefault="002D6B67" w:rsidP="0083012B">
      <w:pPr>
        <w:pStyle w:val="ListParagraph"/>
        <w:widowControl w:val="0"/>
        <w:numPr>
          <w:ilvl w:val="0"/>
          <w:numId w:val="45"/>
        </w:numPr>
        <w:autoSpaceDE w:val="0"/>
        <w:autoSpaceDN w:val="0"/>
        <w:ind w:left="360"/>
        <w:contextualSpacing w:val="0"/>
        <w:jc w:val="both"/>
        <w:rPr>
          <w:rFonts w:cs="Arial"/>
          <w:szCs w:val="20"/>
        </w:rPr>
      </w:pPr>
      <w:r w:rsidRPr="0092597A">
        <w:rPr>
          <w:rFonts w:cs="Arial"/>
          <w:szCs w:val="20"/>
        </w:rPr>
        <w:t>The reference to maturities seems to be focusing on “rolls”. Whilst we agree that certain rolls are liquid, in practice they are not liquid all the way along the futures curve; this would suggest that there is a need to limit maturity to the front end of the curve. It might also be the case that a package order does not have a roll component and therefore it would probably be better if the maturity aspect did not specify “rolls” and simply focus on the front end of the futures curve (i.e. liquid end) for the exchange legs only; any OTC leg would be subject to its own inherent liquidity assessment as set out in the m</w:t>
      </w:r>
      <w:r w:rsidRPr="0092597A">
        <w:rPr>
          <w:rFonts w:cs="Arial"/>
          <w:szCs w:val="20"/>
        </w:rPr>
        <w:t>a</w:t>
      </w:r>
      <w:r w:rsidRPr="0092597A">
        <w:rPr>
          <w:rFonts w:cs="Arial"/>
          <w:szCs w:val="20"/>
        </w:rPr>
        <w:t>trix at the general criteria level.</w:t>
      </w:r>
    </w:p>
    <w:p w:rsidR="002D6B67" w:rsidRPr="0092597A" w:rsidRDefault="002D6B67" w:rsidP="002D6B67">
      <w:pPr>
        <w:pStyle w:val="ListParagraph"/>
        <w:ind w:left="360"/>
        <w:rPr>
          <w:rFonts w:cs="Arial"/>
          <w:szCs w:val="20"/>
        </w:rPr>
      </w:pPr>
    </w:p>
    <w:p w:rsidR="002D6B67" w:rsidRPr="0092597A" w:rsidRDefault="002D6B67" w:rsidP="0083012B">
      <w:pPr>
        <w:pStyle w:val="ListParagraph"/>
        <w:widowControl w:val="0"/>
        <w:numPr>
          <w:ilvl w:val="0"/>
          <w:numId w:val="45"/>
        </w:numPr>
        <w:autoSpaceDE w:val="0"/>
        <w:autoSpaceDN w:val="0"/>
        <w:ind w:left="360"/>
        <w:contextualSpacing w:val="0"/>
        <w:jc w:val="both"/>
        <w:rPr>
          <w:rFonts w:cs="Arial"/>
          <w:szCs w:val="20"/>
        </w:rPr>
      </w:pPr>
      <w:r w:rsidRPr="0092597A">
        <w:rPr>
          <w:rFonts w:cs="Arial"/>
          <w:szCs w:val="20"/>
        </w:rPr>
        <w:t xml:space="preserve">As mentioned under the general criteria in Q2, it would be helpful if ESMA could clarify that all the legs of the package order should be denominated in the same currency. </w:t>
      </w:r>
    </w:p>
    <w:p w:rsidR="002D6B67" w:rsidRPr="0092597A" w:rsidRDefault="002D6B67" w:rsidP="002D6B67">
      <w:pPr>
        <w:pStyle w:val="ListParagraph"/>
        <w:ind w:left="183"/>
        <w:rPr>
          <w:rFonts w:cs="Arial"/>
          <w:szCs w:val="20"/>
        </w:rPr>
      </w:pPr>
    </w:p>
    <w:p w:rsidR="002D6B67" w:rsidRPr="0092597A" w:rsidRDefault="002D6B67" w:rsidP="0083012B">
      <w:pPr>
        <w:pStyle w:val="ListParagraph"/>
        <w:widowControl w:val="0"/>
        <w:numPr>
          <w:ilvl w:val="0"/>
          <w:numId w:val="45"/>
        </w:numPr>
        <w:autoSpaceDE w:val="0"/>
        <w:autoSpaceDN w:val="0"/>
        <w:ind w:left="360"/>
        <w:contextualSpacing w:val="0"/>
        <w:jc w:val="both"/>
        <w:rPr>
          <w:rFonts w:cs="Arial"/>
          <w:szCs w:val="20"/>
        </w:rPr>
      </w:pPr>
      <w:r w:rsidRPr="0092597A">
        <w:rPr>
          <w:rFonts w:cs="Arial"/>
          <w:szCs w:val="20"/>
        </w:rPr>
        <w:t>For completeness we agree that the package order should have no more than two components pr</w:t>
      </w:r>
      <w:r w:rsidRPr="0092597A">
        <w:rPr>
          <w:rFonts w:cs="Arial"/>
          <w:szCs w:val="20"/>
        </w:rPr>
        <w:t>o</w:t>
      </w:r>
      <w:r w:rsidRPr="0092597A">
        <w:rPr>
          <w:rFonts w:cs="Arial"/>
          <w:szCs w:val="20"/>
        </w:rPr>
        <w:t xml:space="preserve">vided this is </w:t>
      </w:r>
      <w:r w:rsidRPr="0092597A">
        <w:rPr>
          <w:rFonts w:cs="Arial"/>
          <w:b/>
          <w:szCs w:val="20"/>
        </w:rPr>
        <w:t>in relation to the exchange legs</w:t>
      </w:r>
      <w:r w:rsidRPr="0092597A">
        <w:rPr>
          <w:rFonts w:cs="Arial"/>
          <w:szCs w:val="20"/>
        </w:rPr>
        <w:t xml:space="preserve">; it should be possible to have up to 3 legs in total (where the package contained other OTC or cash legs for example – see our response to question 2).  </w:t>
      </w:r>
    </w:p>
    <w:p w:rsidR="002D6B67" w:rsidRPr="0092597A" w:rsidRDefault="002D6B67" w:rsidP="002D6B67">
      <w:pPr>
        <w:rPr>
          <w:rFonts w:cs="Arial"/>
          <w:szCs w:val="20"/>
        </w:rPr>
      </w:pPr>
    </w:p>
    <w:p w:rsidR="002D6B67" w:rsidRPr="0092597A" w:rsidRDefault="002D6B67" w:rsidP="002D6B67">
      <w:pPr>
        <w:rPr>
          <w:rFonts w:cs="Arial"/>
          <w:szCs w:val="20"/>
        </w:rPr>
      </w:pPr>
      <w:r w:rsidRPr="0092597A">
        <w:rPr>
          <w:rFonts w:cs="Arial"/>
          <w:szCs w:val="20"/>
        </w:rPr>
        <w:t>Against this background our thoughts are that the asset-class specific criteria for commodity derivatives could be amended along the following lines:</w:t>
      </w:r>
    </w:p>
    <w:p w:rsidR="002D6B67" w:rsidRPr="0092597A" w:rsidRDefault="002D6B67" w:rsidP="002D6B67">
      <w:pPr>
        <w:jc w:val="both"/>
        <w:rPr>
          <w:rFonts w:cs="Arial"/>
          <w:szCs w:val="20"/>
        </w:rPr>
      </w:pPr>
    </w:p>
    <w:p w:rsidR="002D6B67" w:rsidRPr="0092597A" w:rsidRDefault="002D6B67" w:rsidP="0083012B">
      <w:pPr>
        <w:pStyle w:val="ListParagraph"/>
        <w:numPr>
          <w:ilvl w:val="1"/>
          <w:numId w:val="44"/>
        </w:numPr>
        <w:ind w:left="360"/>
        <w:jc w:val="both"/>
        <w:rPr>
          <w:rFonts w:cs="Arial"/>
          <w:szCs w:val="20"/>
        </w:rPr>
      </w:pPr>
      <w:r w:rsidRPr="0092597A">
        <w:rPr>
          <w:rFonts w:cs="Arial"/>
          <w:szCs w:val="20"/>
        </w:rPr>
        <w:t xml:space="preserve">The asset-class specific criteria for the liquidity assessment should apply to packages containing exchange traded derivatives </w:t>
      </w:r>
      <w:r w:rsidRPr="0092597A">
        <w:rPr>
          <w:rFonts w:cs="Arial"/>
          <w:b/>
          <w:szCs w:val="20"/>
          <w:u w:val="single"/>
        </w:rPr>
        <w:t>only</w:t>
      </w:r>
      <w:r w:rsidRPr="0092597A">
        <w:rPr>
          <w:rFonts w:cs="Arial"/>
          <w:szCs w:val="20"/>
        </w:rPr>
        <w:t>, where dictated by the general criteria matrix;</w:t>
      </w:r>
    </w:p>
    <w:p w:rsidR="002D6B67" w:rsidRPr="0092597A" w:rsidRDefault="002D6B67" w:rsidP="002D6B67">
      <w:pPr>
        <w:pStyle w:val="ListParagraph"/>
        <w:ind w:left="360"/>
        <w:rPr>
          <w:rFonts w:cs="Arial"/>
          <w:szCs w:val="20"/>
        </w:rPr>
      </w:pPr>
    </w:p>
    <w:p w:rsidR="002D6B67" w:rsidRPr="0092597A" w:rsidRDefault="002D6B67" w:rsidP="0083012B">
      <w:pPr>
        <w:pStyle w:val="ListParagraph"/>
        <w:numPr>
          <w:ilvl w:val="1"/>
          <w:numId w:val="44"/>
        </w:numPr>
        <w:ind w:left="360"/>
        <w:jc w:val="both"/>
        <w:rPr>
          <w:rFonts w:cs="Arial"/>
          <w:szCs w:val="20"/>
        </w:rPr>
      </w:pPr>
      <w:r w:rsidRPr="0092597A">
        <w:rPr>
          <w:rFonts w:cs="Arial"/>
          <w:szCs w:val="20"/>
        </w:rPr>
        <w:t xml:space="preserve">The </w:t>
      </w:r>
      <w:r w:rsidRPr="0092597A">
        <w:rPr>
          <w:rFonts w:cs="Arial"/>
          <w:b/>
          <w:szCs w:val="20"/>
        </w:rPr>
        <w:t>exchange legs</w:t>
      </w:r>
      <w:r w:rsidRPr="0092597A">
        <w:rPr>
          <w:rFonts w:cs="Arial"/>
          <w:szCs w:val="20"/>
        </w:rPr>
        <w:t xml:space="preserve"> should have </w:t>
      </w:r>
      <w:r w:rsidRPr="0092597A">
        <w:rPr>
          <w:rFonts w:cs="Arial"/>
          <w:b/>
          <w:szCs w:val="20"/>
        </w:rPr>
        <w:t>no more than two components</w:t>
      </w:r>
      <w:r w:rsidRPr="0092597A">
        <w:rPr>
          <w:rFonts w:cs="Arial"/>
          <w:szCs w:val="20"/>
        </w:rPr>
        <w:t xml:space="preserve">; </w:t>
      </w:r>
    </w:p>
    <w:p w:rsidR="002D6B67" w:rsidRPr="0092597A" w:rsidRDefault="002D6B67" w:rsidP="002D6B67">
      <w:pPr>
        <w:pStyle w:val="ListParagraph"/>
        <w:ind w:left="360"/>
        <w:rPr>
          <w:rFonts w:cs="Arial"/>
          <w:szCs w:val="20"/>
        </w:rPr>
      </w:pPr>
    </w:p>
    <w:p w:rsidR="002D6B67" w:rsidRPr="0092597A" w:rsidRDefault="002D6B67" w:rsidP="0083012B">
      <w:pPr>
        <w:pStyle w:val="ListParagraph"/>
        <w:numPr>
          <w:ilvl w:val="1"/>
          <w:numId w:val="44"/>
        </w:numPr>
        <w:ind w:left="360"/>
        <w:jc w:val="both"/>
        <w:rPr>
          <w:rFonts w:cs="Arial"/>
          <w:szCs w:val="20"/>
        </w:rPr>
      </w:pPr>
      <w:r w:rsidRPr="0092597A">
        <w:rPr>
          <w:rFonts w:cs="Arial"/>
          <w:b/>
          <w:szCs w:val="20"/>
          <w:u w:val="single"/>
        </w:rPr>
        <w:t>All</w:t>
      </w:r>
      <w:r w:rsidRPr="0092597A">
        <w:rPr>
          <w:rFonts w:cs="Arial"/>
          <w:szCs w:val="20"/>
        </w:rPr>
        <w:t xml:space="preserve"> components of the package order have the </w:t>
      </w:r>
      <w:r w:rsidRPr="0092597A">
        <w:rPr>
          <w:rFonts w:cs="Arial"/>
          <w:b/>
          <w:szCs w:val="20"/>
          <w:u w:val="single"/>
        </w:rPr>
        <w:t>same</w:t>
      </w:r>
      <w:r w:rsidRPr="0092597A">
        <w:rPr>
          <w:rFonts w:cs="Arial"/>
          <w:szCs w:val="20"/>
        </w:rPr>
        <w:t xml:space="preserve"> notional currency of EUR, USD or GBP;</w:t>
      </w:r>
    </w:p>
    <w:p w:rsidR="002D6B67" w:rsidRPr="0092597A" w:rsidRDefault="002D6B67" w:rsidP="002D6B67">
      <w:pPr>
        <w:contextualSpacing/>
        <w:jc w:val="both"/>
        <w:rPr>
          <w:rFonts w:cs="Arial"/>
          <w:szCs w:val="20"/>
        </w:rPr>
      </w:pPr>
    </w:p>
    <w:p w:rsidR="002D6B67" w:rsidRPr="00C87937" w:rsidRDefault="002D6B67" w:rsidP="0083012B">
      <w:pPr>
        <w:pStyle w:val="ListParagraph"/>
        <w:numPr>
          <w:ilvl w:val="1"/>
          <w:numId w:val="44"/>
        </w:numPr>
        <w:ind w:left="360"/>
        <w:jc w:val="both"/>
        <w:rPr>
          <w:rFonts w:ascii="Times New Roman" w:hAnsi="Times New Roman"/>
          <w:sz w:val="24"/>
        </w:rPr>
      </w:pPr>
      <w:r w:rsidRPr="0092597A">
        <w:rPr>
          <w:rFonts w:cs="Arial"/>
          <w:szCs w:val="20"/>
        </w:rPr>
        <w:t xml:space="preserve">Each of the exchange legs must be in contracts with the </w:t>
      </w:r>
      <w:r w:rsidRPr="0092597A">
        <w:rPr>
          <w:rFonts w:cs="Arial"/>
          <w:b/>
          <w:szCs w:val="20"/>
          <w:u w:val="single"/>
        </w:rPr>
        <w:t>same underlying</w:t>
      </w:r>
      <w:r w:rsidRPr="0092597A">
        <w:rPr>
          <w:rFonts w:cs="Arial"/>
          <w:szCs w:val="20"/>
        </w:rPr>
        <w:t xml:space="preserve"> and have 6 month maturity or less.</w:t>
      </w:r>
    </w:p>
    <w:permEnd w:id="648112672"/>
    <w:p w:rsidR="00EF314C" w:rsidRDefault="00EF314C" w:rsidP="00EF314C"/>
    <w:p w:rsidR="00EF314C" w:rsidRDefault="00EF314C" w:rsidP="00EF314C">
      <w:r>
        <w:t>&lt;ESMA_QUESTION_</w:t>
      </w:r>
      <w:r w:rsidR="002C0642">
        <w:t>MIFID_PO</w:t>
      </w:r>
      <w:r>
        <w:t>_</w:t>
      </w:r>
      <w:r w:rsidR="00273633">
        <w:t>16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derivative components in other currencies (e.g. other EEA currencies, JPY) should be included? If yes, which ones</w:t>
      </w:r>
      <w:r>
        <w:t>.</w:t>
      </w:r>
    </w:p>
    <w:p w:rsidR="00EF314C" w:rsidRDefault="00EF314C" w:rsidP="00EF314C">
      <w:r>
        <w:t>&lt;ESMA_QUESTION_</w:t>
      </w:r>
      <w:r w:rsidR="002C0642">
        <w:t>MIFID_PO</w:t>
      </w:r>
      <w:r>
        <w:t>_</w:t>
      </w:r>
      <w:r w:rsidR="00273633">
        <w:t>1</w:t>
      </w:r>
      <w:r>
        <w:t>7&gt;</w:t>
      </w:r>
    </w:p>
    <w:p w:rsidR="00EF314C" w:rsidRDefault="00EF314C" w:rsidP="00EF314C">
      <w:permStart w:id="1424242596" w:edGrp="everyone"/>
      <w:r>
        <w:t>TYPE YOUR TEXT HERE</w:t>
      </w:r>
      <w:permEnd w:id="1424242596"/>
    </w:p>
    <w:p w:rsidR="00EF314C" w:rsidRDefault="00EF314C" w:rsidP="00EF314C">
      <w:r>
        <w:t>&lt;ESMA_QUESTION_</w:t>
      </w:r>
      <w:r w:rsidR="002C0642">
        <w:t>MIFID_PO</w:t>
      </w:r>
      <w:r>
        <w:t>_</w:t>
      </w:r>
      <w:r w:rsidR="00273633">
        <w:t>1</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In which types of contracts do package orders in commodity derivatives mostly occur? Do you consider it necessary to provide for asset class specific criteria that take option and future/forward contracts into account? If yes, please e</w:t>
      </w:r>
      <w:r w:rsidRPr="00BC6A9F">
        <w:t>x</w:t>
      </w:r>
      <w:r w:rsidRPr="00BC6A9F">
        <w:t>plain</w:t>
      </w:r>
      <w:r>
        <w:t>.</w:t>
      </w:r>
    </w:p>
    <w:p w:rsidR="00EF314C" w:rsidRDefault="00EF314C" w:rsidP="00EF314C">
      <w:r>
        <w:t>&lt;ESMA_QUESTION_</w:t>
      </w:r>
      <w:r w:rsidR="002C0642">
        <w:t>MIFID_PO</w:t>
      </w:r>
      <w:r>
        <w:t>_</w:t>
      </w:r>
      <w:r w:rsidR="00273633">
        <w:t>18</w:t>
      </w:r>
      <w:r>
        <w:t>&gt;</w:t>
      </w:r>
    </w:p>
    <w:p w:rsidR="00EF314C" w:rsidRDefault="00EF314C" w:rsidP="00EF314C">
      <w:permStart w:id="508363329" w:edGrp="everyone"/>
      <w:r>
        <w:t>TYPE YOUR TEXT HERE</w:t>
      </w:r>
      <w:permEnd w:id="508363329"/>
    </w:p>
    <w:p w:rsidR="00EF314C" w:rsidRDefault="00EF314C" w:rsidP="00EF314C">
      <w:r>
        <w:t>&lt;ESMA_QUESTION_</w:t>
      </w:r>
      <w:r w:rsidR="002C0642">
        <w:t>MIFID_PO</w:t>
      </w:r>
      <w:r>
        <w:t>_</w:t>
      </w:r>
      <w:r w:rsidR="00273633">
        <w:t>18</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rsidR="00EF314C" w:rsidRDefault="00EF314C" w:rsidP="00EF314C">
      <w:r>
        <w:t>&lt;ESMA_QUESTION_</w:t>
      </w:r>
      <w:r w:rsidR="002C0642">
        <w:t>MIFID_PO</w:t>
      </w:r>
      <w:r>
        <w:t>_</w:t>
      </w:r>
      <w:r w:rsidR="00273633">
        <w:t>19</w:t>
      </w:r>
      <w:r>
        <w:t>&gt;</w:t>
      </w:r>
    </w:p>
    <w:p w:rsidR="00EF314C" w:rsidRDefault="00EF314C" w:rsidP="00EF314C">
      <w:permStart w:id="342168977" w:edGrp="everyone"/>
      <w:r>
        <w:t>TYPE YOUR TEXT HERE</w:t>
      </w:r>
      <w:permEnd w:id="342168977"/>
    </w:p>
    <w:p w:rsidR="00EF314C" w:rsidRDefault="00EF314C" w:rsidP="00EF314C">
      <w:r>
        <w:t>&lt;ESMA_QUESTION_</w:t>
      </w:r>
      <w:r w:rsidR="002C0642">
        <w:t>MIFID_PO</w:t>
      </w:r>
      <w:r>
        <w:t>_</w:t>
      </w:r>
      <w:r w:rsidR="00273633">
        <w:t>19</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it necessary to specify that all components of the package o</w:t>
      </w:r>
      <w:r w:rsidRPr="00BC6A9F">
        <w:t>r</w:t>
      </w:r>
      <w:r w:rsidRPr="00BC6A9F">
        <w:t>der should have the same underlying? If yes, please explain at which level this concept of “same underlying” should apply (e.g. same asset class, same sub-asset class, same sub-class – as per Annex III of RTS 2 – or at or more granular level).</w:t>
      </w:r>
    </w:p>
    <w:p w:rsidR="00EF314C" w:rsidRDefault="00EF314C" w:rsidP="00EF314C">
      <w:r>
        <w:t>&lt;ESMA_QUESTION_</w:t>
      </w:r>
      <w:r w:rsidR="002C0642">
        <w:t>MIFID_PO</w:t>
      </w:r>
      <w:r>
        <w:t>_</w:t>
      </w:r>
      <w:r w:rsidR="00273633">
        <w:t>20</w:t>
      </w:r>
      <w:r>
        <w:t>&gt;</w:t>
      </w:r>
    </w:p>
    <w:p w:rsidR="002D6B67" w:rsidRPr="0092597A" w:rsidRDefault="002D6B67" w:rsidP="002D6B67">
      <w:pPr>
        <w:jc w:val="both"/>
        <w:rPr>
          <w:rFonts w:cs="Arial"/>
          <w:szCs w:val="20"/>
        </w:rPr>
      </w:pPr>
      <w:permStart w:id="1194070358" w:edGrp="everyone"/>
      <w:r w:rsidRPr="0092597A">
        <w:rPr>
          <w:rFonts w:cs="Arial"/>
          <w:szCs w:val="20"/>
        </w:rPr>
        <w:t xml:space="preserve">Yes, we consider that this should be the case. We do not think that package orders traded across different </w:t>
      </w:r>
      <w:r w:rsidRPr="0092597A">
        <w:rPr>
          <w:rFonts w:cs="Arial"/>
          <w:b/>
          <w:szCs w:val="20"/>
        </w:rPr>
        <w:t>on-exchange</w:t>
      </w:r>
      <w:r w:rsidRPr="0092597A">
        <w:rPr>
          <w:rFonts w:cs="Arial"/>
          <w:szCs w:val="20"/>
        </w:rPr>
        <w:t xml:space="preserve"> commodity derivative products can be considered liquid. As explained under question 16 this would however only be relevant for the exchange legs as the OTC legs are subject to their own liquid</w:t>
      </w:r>
      <w:r w:rsidRPr="0092597A">
        <w:rPr>
          <w:rFonts w:cs="Arial"/>
          <w:szCs w:val="20"/>
        </w:rPr>
        <w:t>i</w:t>
      </w:r>
      <w:r w:rsidRPr="0092597A">
        <w:rPr>
          <w:rFonts w:cs="Arial"/>
          <w:szCs w:val="20"/>
        </w:rPr>
        <w:t xml:space="preserve">ty assessment. </w:t>
      </w:r>
    </w:p>
    <w:p w:rsidR="002D6B67" w:rsidRPr="0092597A" w:rsidRDefault="002D6B67" w:rsidP="002D6B67">
      <w:pPr>
        <w:jc w:val="both"/>
        <w:rPr>
          <w:rFonts w:cs="Arial"/>
          <w:szCs w:val="20"/>
        </w:rPr>
      </w:pPr>
    </w:p>
    <w:p w:rsidR="00EF314C" w:rsidRDefault="002D6B67" w:rsidP="00EF314C">
      <w:r w:rsidRPr="0092597A">
        <w:rPr>
          <w:rFonts w:cs="Arial"/>
          <w:szCs w:val="20"/>
        </w:rPr>
        <w:t>We would also like to flag that the restriction for exchange legs to be traded in the same product would not be needed for interest rate derivatives because the liquidity assessment for package orders in interest rate derivatives takes account of the key tenors (effectively the key contracts) and maturities that should be considered liquid.  This would not be possible in relation to equity derivatives (because the types of co</w:t>
      </w:r>
      <w:r w:rsidRPr="0092597A">
        <w:rPr>
          <w:rFonts w:cs="Arial"/>
          <w:szCs w:val="20"/>
        </w:rPr>
        <w:t>n</w:t>
      </w:r>
      <w:r w:rsidRPr="0092597A">
        <w:rPr>
          <w:rFonts w:cs="Arial"/>
          <w:szCs w:val="20"/>
        </w:rPr>
        <w:t>tracts are more diverse), so a proportionate limitation to a single product is needed here.</w:t>
      </w:r>
      <w:r w:rsidRPr="00C87937">
        <w:rPr>
          <w:rFonts w:ascii="Times New Roman" w:hAnsi="Times New Roman"/>
          <w:sz w:val="24"/>
        </w:rPr>
        <w:t xml:space="preserve"> </w:t>
      </w:r>
      <w:permEnd w:id="1194070358"/>
    </w:p>
    <w:p w:rsidR="00EF314C" w:rsidRDefault="00EF314C" w:rsidP="00EF314C">
      <w:r>
        <w:t>&lt;ESMA_QUESTION_</w:t>
      </w:r>
      <w:r w:rsidR="002C0642">
        <w:t>MIFID_PO</w:t>
      </w:r>
      <w:r>
        <w:t>_</w:t>
      </w:r>
      <w:r w:rsidR="00273633">
        <w:t>20</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w:t>
      </w:r>
      <w:r w:rsidRPr="00BC6A9F">
        <w:t>g</w:t>
      </w:r>
      <w:r w:rsidRPr="00BC6A9F">
        <w:t>gest for those?</w:t>
      </w:r>
    </w:p>
    <w:p w:rsidR="00EF314C" w:rsidRDefault="00EF314C" w:rsidP="00EF314C">
      <w:r>
        <w:t>&lt;ESMA_QUESTION_</w:t>
      </w:r>
      <w:r w:rsidR="002C0642">
        <w:t>MIFID_PO</w:t>
      </w:r>
      <w:r>
        <w:t>_</w:t>
      </w:r>
      <w:r w:rsidR="00273633">
        <w:t>21</w:t>
      </w:r>
      <w:r>
        <w:t>&gt;</w:t>
      </w:r>
    </w:p>
    <w:p w:rsidR="00EF314C" w:rsidRDefault="00EF314C" w:rsidP="00EF314C">
      <w:permStart w:id="843060102" w:edGrp="everyone"/>
      <w:r>
        <w:t>TYPE YOUR TEXT HERE</w:t>
      </w:r>
      <w:permEnd w:id="843060102"/>
    </w:p>
    <w:p w:rsidR="00EF314C" w:rsidRDefault="00EF314C" w:rsidP="00EF314C">
      <w:r>
        <w:t>&lt;ESMA_QUESTION_</w:t>
      </w:r>
      <w:r w:rsidR="002C0642">
        <w:t>MIFID_PO</w:t>
      </w:r>
      <w:r>
        <w:t>_</w:t>
      </w:r>
      <w:r w:rsidR="00273633">
        <w:t>21</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approach proposed for FX derivatives or do you consi</w:t>
      </w:r>
      <w:r w:rsidRPr="00BC6A9F">
        <w:t>d</w:t>
      </w:r>
      <w:r w:rsidRPr="00BC6A9F">
        <w:t>er it necessary to include an asset-class specific approach for FX derivatives</w:t>
      </w:r>
      <w:r>
        <w:t>?</w:t>
      </w:r>
    </w:p>
    <w:p w:rsidR="00EF314C" w:rsidRDefault="00EF314C" w:rsidP="00EF314C">
      <w:r>
        <w:t>&lt;ESMA_QUESTION_</w:t>
      </w:r>
      <w:r w:rsidR="002C0642">
        <w:t>MIFID_PO</w:t>
      </w:r>
      <w:r>
        <w:t>_</w:t>
      </w:r>
      <w:r w:rsidR="00273633">
        <w:t>22</w:t>
      </w:r>
      <w:r>
        <w:t>&gt;</w:t>
      </w:r>
    </w:p>
    <w:p w:rsidR="00EF314C" w:rsidRDefault="00EF314C" w:rsidP="00EF314C">
      <w:permStart w:id="289241846" w:edGrp="everyone"/>
      <w:r>
        <w:t>TYPE YOUR TEXT HERE</w:t>
      </w:r>
      <w:permEnd w:id="289241846"/>
    </w:p>
    <w:p w:rsidR="00EF314C" w:rsidRDefault="00EF314C" w:rsidP="00EF314C">
      <w:r>
        <w:t>&lt;ESMA_QUESTION_</w:t>
      </w:r>
      <w:r w:rsidR="002C0642">
        <w:t>MIFID_PO</w:t>
      </w:r>
      <w:r>
        <w:t>_</w:t>
      </w:r>
      <w:r w:rsidR="00273633">
        <w:t>22</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How should ESMA deal with cross-asset class package orders? Should ESMA develop cross-asset class specific criteria? If yes, please specify those. Alte</w:t>
      </w:r>
      <w:r w:rsidRPr="00BC6A9F">
        <w:t>r</w:t>
      </w:r>
      <w:r w:rsidRPr="00BC6A9F">
        <w:t>natively, should cross-asset class package orders be allocated to only one a</w:t>
      </w:r>
      <w:r w:rsidRPr="00BC6A9F">
        <w:t>s</w:t>
      </w:r>
      <w:r w:rsidRPr="00BC6A9F">
        <w:t>set class? If yes, how?</w:t>
      </w:r>
    </w:p>
    <w:p w:rsidR="00EF314C" w:rsidRDefault="00EF314C" w:rsidP="00EF314C">
      <w:r>
        <w:t>&lt;ESMA_QUESTION_</w:t>
      </w:r>
      <w:r w:rsidR="002C0642">
        <w:t>MIFID_PO</w:t>
      </w:r>
      <w:r>
        <w:t>_</w:t>
      </w:r>
      <w:r w:rsidR="00273633">
        <w:t>23</w:t>
      </w:r>
      <w:r>
        <w:t>&gt;</w:t>
      </w:r>
    </w:p>
    <w:p w:rsidR="002D6B67" w:rsidRPr="0092597A" w:rsidRDefault="002D6B67" w:rsidP="002D6B67">
      <w:pPr>
        <w:jc w:val="both"/>
        <w:rPr>
          <w:rFonts w:cs="Arial"/>
          <w:szCs w:val="20"/>
        </w:rPr>
      </w:pPr>
      <w:permStart w:id="94966067" w:edGrp="everyone"/>
      <w:r w:rsidRPr="0092597A">
        <w:rPr>
          <w:rFonts w:cs="Arial"/>
          <w:szCs w:val="20"/>
        </w:rPr>
        <w:t xml:space="preserve">As ESMA will appreciate, the regime for package order waivers is a complex area which requires careful consideration, and ideally criteria would be developed once market impact analysis data has become available. We think that there is a risk that the development of cross asset-class criteria at this stage could lead to package orders that do not have a liquid market as a whole being classed as liquid. Therefore we consider that ESMA should not at this time develop cross-asset class specific criteria. </w:t>
      </w:r>
    </w:p>
    <w:p w:rsidR="002D6B67" w:rsidRPr="0092597A" w:rsidRDefault="002D6B67" w:rsidP="002D6B67">
      <w:pPr>
        <w:jc w:val="both"/>
        <w:rPr>
          <w:rFonts w:cs="Arial"/>
          <w:szCs w:val="20"/>
        </w:rPr>
      </w:pPr>
    </w:p>
    <w:p w:rsidR="002D6B67" w:rsidRPr="0092597A" w:rsidRDefault="002D6B67" w:rsidP="002D6B67">
      <w:pPr>
        <w:jc w:val="both"/>
        <w:rPr>
          <w:rFonts w:cs="Arial"/>
          <w:szCs w:val="20"/>
        </w:rPr>
      </w:pPr>
      <w:r w:rsidRPr="0092597A">
        <w:rPr>
          <w:rFonts w:cs="Arial"/>
          <w:szCs w:val="20"/>
        </w:rPr>
        <w:t xml:space="preserve">Our current thinking is that cross-asset class package orders should largely be excluded on the basis that these are more specialised, complex trades and therefore not liquid to any significant degree, with one exception: liquid sovereign cash bonds vs. certain derivatives (as set out in the matrix under question 2). This approach would be consistent with the regime for EFPs, which have a separate waiver under </w:t>
      </w:r>
      <w:proofErr w:type="spellStart"/>
      <w:r w:rsidRPr="0092597A">
        <w:rPr>
          <w:rFonts w:cs="Arial"/>
          <w:szCs w:val="20"/>
        </w:rPr>
        <w:t>MiFIR</w:t>
      </w:r>
      <w:proofErr w:type="spellEnd"/>
      <w:r w:rsidRPr="0092597A">
        <w:rPr>
          <w:rFonts w:cs="Arial"/>
          <w:szCs w:val="20"/>
        </w:rPr>
        <w:t xml:space="preserve"> </w:t>
      </w:r>
      <w:r w:rsidR="000C10A9">
        <w:rPr>
          <w:rFonts w:cs="Arial"/>
          <w:szCs w:val="20"/>
        </w:rPr>
        <w:t>A</w:t>
      </w:r>
      <w:r w:rsidRPr="0092597A">
        <w:rPr>
          <w:rFonts w:cs="Arial"/>
          <w:szCs w:val="20"/>
        </w:rPr>
        <w:t>rticle 9(d), with no conditions attached. EFPs do in many ways have very similar features to package orders that contain a derivative component vs. a cash (spot) financial instrument. Both types of trades effectively represent a time spread between the spot and the derivative. On the basis that EFP transa</w:t>
      </w:r>
      <w:r w:rsidRPr="0092597A">
        <w:rPr>
          <w:rFonts w:cs="Arial"/>
          <w:szCs w:val="20"/>
        </w:rPr>
        <w:t>c</w:t>
      </w:r>
      <w:r w:rsidRPr="0092597A">
        <w:rPr>
          <w:rFonts w:cs="Arial"/>
          <w:szCs w:val="20"/>
        </w:rPr>
        <w:t>tions may benefit from a waiver from pre-trade transparency without any conditions, we believe a broadly similar approach should apply to package orders containing derivatives and a cash (spot) financial instr</w:t>
      </w:r>
      <w:r w:rsidRPr="0092597A">
        <w:rPr>
          <w:rFonts w:cs="Arial"/>
          <w:szCs w:val="20"/>
        </w:rPr>
        <w:t>u</w:t>
      </w:r>
      <w:r w:rsidRPr="0092597A">
        <w:rPr>
          <w:rFonts w:cs="Arial"/>
          <w:szCs w:val="20"/>
        </w:rPr>
        <w:t xml:space="preserve">ment component (barring the one exception set out in the matrix under question 2).  </w:t>
      </w:r>
    </w:p>
    <w:p w:rsidR="002D6B67" w:rsidRPr="0092597A" w:rsidRDefault="002D6B67" w:rsidP="002D6B67">
      <w:pPr>
        <w:jc w:val="both"/>
        <w:rPr>
          <w:rFonts w:cs="Arial"/>
          <w:szCs w:val="20"/>
        </w:rPr>
      </w:pPr>
    </w:p>
    <w:p w:rsidR="00EF314C" w:rsidRDefault="002D6B67" w:rsidP="00EF314C">
      <w:r w:rsidRPr="0092597A">
        <w:rPr>
          <w:rFonts w:cs="Arial"/>
          <w:szCs w:val="20"/>
        </w:rPr>
        <w:t>We would note that certain other cross-asset class package orders could in the course of time be brought into scope and qualified as having a liquid market if practical experience of applying the waiver regime was to demonstrate a need for this, but from the outset a cautious approach is most prudent.</w:t>
      </w:r>
      <w:permEnd w:id="94966067"/>
    </w:p>
    <w:p w:rsidR="00EF314C" w:rsidRDefault="00EF314C" w:rsidP="00EF314C">
      <w:r>
        <w:t>&lt;ESMA_QUESTION_</w:t>
      </w:r>
      <w:r w:rsidR="002C0642">
        <w:t>MIFID_PO</w:t>
      </w:r>
      <w:r>
        <w:t>_</w:t>
      </w:r>
      <w:r w:rsidR="00273633">
        <w:t>23</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rsidR="00EF314C" w:rsidRDefault="00EF314C" w:rsidP="00EF314C">
      <w:r>
        <w:t>&lt;ESMA_QUESTION_</w:t>
      </w:r>
      <w:r w:rsidR="002C0642">
        <w:t>MIFID_PO</w:t>
      </w:r>
      <w:r>
        <w:t>_</w:t>
      </w:r>
      <w:r w:rsidR="00273633">
        <w:t>24</w:t>
      </w:r>
      <w:r>
        <w:t>&gt;</w:t>
      </w:r>
    </w:p>
    <w:p w:rsidR="00EF314C" w:rsidRDefault="002D6B67" w:rsidP="00EF314C">
      <w:permStart w:id="11621364" w:edGrp="everyone"/>
      <w:r w:rsidRPr="0092597A">
        <w:rPr>
          <w:rFonts w:cs="Arial"/>
          <w:szCs w:val="20"/>
        </w:rPr>
        <w:t>Yes, we agree. The matrix approach as described in our response to question 2 (and taking into account a maximum of 3 legs overall) would deliver the same result</w:t>
      </w:r>
      <w:r w:rsidRPr="002D6B67">
        <w:rPr>
          <w:rFonts w:ascii="Times New Roman" w:hAnsi="Times New Roman"/>
          <w:sz w:val="24"/>
        </w:rPr>
        <w:t xml:space="preserve">. </w:t>
      </w:r>
      <w:permEnd w:id="11621364"/>
    </w:p>
    <w:p w:rsidR="00EF314C" w:rsidRDefault="00EF314C" w:rsidP="00EF314C">
      <w:r>
        <w:t>&lt;ESMA_QUESTION_</w:t>
      </w:r>
      <w:r w:rsidR="002C0642">
        <w:t>MIFID_PO</w:t>
      </w:r>
      <w:r>
        <w:t>_</w:t>
      </w:r>
      <w:r w:rsidR="00273633">
        <w:t>24</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rsidR="00EF314C" w:rsidRDefault="00EF314C" w:rsidP="00EF314C">
      <w:r>
        <w:t>&lt;ESMA_QUESTION_</w:t>
      </w:r>
      <w:r w:rsidR="002C0642">
        <w:t>MIFID_PO</w:t>
      </w:r>
      <w:r>
        <w:t>_</w:t>
      </w:r>
      <w:r w:rsidR="00273633">
        <w:t>25</w:t>
      </w:r>
      <w:r>
        <w:t>&gt;</w:t>
      </w:r>
    </w:p>
    <w:p w:rsidR="00EF314C" w:rsidRDefault="002D6B67" w:rsidP="00EF314C">
      <w:permStart w:id="1615080843" w:edGrp="everyone"/>
      <w:r w:rsidRPr="0092597A">
        <w:rPr>
          <w:rFonts w:cs="Arial"/>
          <w:szCs w:val="20"/>
        </w:rPr>
        <w:t>Yes, we agree.  The matrix approach as described in our response to question 2 (and taking into account a maximum of 3 legs overall) would deliver the same result</w:t>
      </w:r>
      <w:r w:rsidRPr="00C87937">
        <w:rPr>
          <w:rFonts w:ascii="Times New Roman" w:hAnsi="Times New Roman"/>
          <w:sz w:val="24"/>
        </w:rPr>
        <w:t>.</w:t>
      </w:r>
      <w:permEnd w:id="1615080843"/>
    </w:p>
    <w:p w:rsidR="00EF314C" w:rsidRDefault="00EF314C" w:rsidP="00EF314C">
      <w:r>
        <w:t>&lt;ESMA_QUESTION_</w:t>
      </w:r>
      <w:r w:rsidR="002C0642">
        <w:t>MIFID_PO</w:t>
      </w:r>
      <w:r>
        <w:t>_</w:t>
      </w:r>
      <w:r w:rsidR="00273633">
        <w:t>25</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rsidR="00EF314C" w:rsidRDefault="00EF314C" w:rsidP="00EF314C">
      <w:r>
        <w:t>&lt;ESMA_QUESTION_</w:t>
      </w:r>
      <w:r w:rsidR="002C0642">
        <w:t>MIFID_PO</w:t>
      </w:r>
      <w:r>
        <w:t>_</w:t>
      </w:r>
      <w:r w:rsidR="00273633">
        <w:t>26</w:t>
      </w:r>
      <w:r>
        <w:t>&gt;</w:t>
      </w:r>
    </w:p>
    <w:p w:rsidR="002D6B67" w:rsidRPr="0092597A" w:rsidRDefault="002D6B67" w:rsidP="002D6B67">
      <w:pPr>
        <w:pStyle w:val="Heading6"/>
        <w:numPr>
          <w:ilvl w:val="0"/>
          <w:numId w:val="0"/>
        </w:numPr>
        <w:ind w:right="109"/>
        <w:rPr>
          <w:rFonts w:ascii="Arial" w:hAnsi="Arial" w:cs="Arial"/>
          <w:b w:val="0"/>
          <w:szCs w:val="20"/>
        </w:rPr>
      </w:pPr>
      <w:permStart w:id="1488743810" w:edGrp="everyone"/>
      <w:r w:rsidRPr="0092597A">
        <w:rPr>
          <w:rFonts w:ascii="Arial" w:hAnsi="Arial" w:cs="Arial"/>
          <w:b w:val="0"/>
          <w:szCs w:val="20"/>
        </w:rPr>
        <w:t>We have applied the matrix/general criteria and the asset-class specific criteria which we have described in our responses to this consultation and illustrate below what this means in terms of liquidity for the specific package type in question:</w:t>
      </w:r>
    </w:p>
    <w:tbl>
      <w:tblPr>
        <w:tblStyle w:val="TableGrid"/>
        <w:tblW w:w="0" w:type="auto"/>
        <w:tblLook w:val="04A0" w:firstRow="1" w:lastRow="0" w:firstColumn="1" w:lastColumn="0" w:noHBand="0" w:noVBand="1"/>
      </w:tblPr>
      <w:tblGrid>
        <w:gridCol w:w="3175"/>
        <w:gridCol w:w="3175"/>
        <w:gridCol w:w="3176"/>
      </w:tblGrid>
      <w:tr w:rsidR="002D6B67" w:rsidRPr="00C37AA6" w:rsidTr="002D6B67">
        <w:trPr>
          <w:tblHeader/>
        </w:trPr>
        <w:tc>
          <w:tcPr>
            <w:tcW w:w="3175" w:type="dxa"/>
            <w:shd w:val="clear" w:color="auto" w:fill="DBE5F1" w:themeFill="accent1" w:themeFillTint="33"/>
          </w:tcPr>
          <w:p w:rsidR="002D6B67" w:rsidRPr="0092597A" w:rsidRDefault="002D6B67" w:rsidP="002D6B67">
            <w:pPr>
              <w:pStyle w:val="Heading6"/>
              <w:ind w:left="0" w:right="109"/>
              <w:rPr>
                <w:rFonts w:ascii="Arial" w:hAnsi="Arial" w:cs="Arial"/>
                <w:szCs w:val="20"/>
              </w:rPr>
            </w:pPr>
            <w:r w:rsidRPr="0092597A">
              <w:rPr>
                <w:rFonts w:ascii="Arial" w:hAnsi="Arial" w:cs="Arial"/>
                <w:szCs w:val="20"/>
              </w:rPr>
              <w:t>Package type</w:t>
            </w:r>
          </w:p>
        </w:tc>
        <w:tc>
          <w:tcPr>
            <w:tcW w:w="3175" w:type="dxa"/>
            <w:shd w:val="clear" w:color="auto" w:fill="F2DBDB" w:themeFill="accent2" w:themeFillTint="33"/>
          </w:tcPr>
          <w:p w:rsidR="002D6B67" w:rsidRPr="0092597A" w:rsidRDefault="002D6B67" w:rsidP="002D6B67">
            <w:pPr>
              <w:pStyle w:val="Heading6"/>
              <w:ind w:left="0" w:right="109"/>
              <w:rPr>
                <w:rFonts w:ascii="Arial" w:hAnsi="Arial" w:cs="Arial"/>
                <w:szCs w:val="20"/>
              </w:rPr>
            </w:pPr>
            <w:r w:rsidRPr="0092597A">
              <w:rPr>
                <w:rFonts w:ascii="Arial" w:hAnsi="Arial" w:cs="Arial"/>
                <w:szCs w:val="20"/>
              </w:rPr>
              <w:t xml:space="preserve">LSEG Comment </w:t>
            </w:r>
          </w:p>
        </w:tc>
        <w:tc>
          <w:tcPr>
            <w:tcW w:w="3176" w:type="dxa"/>
            <w:shd w:val="clear" w:color="auto" w:fill="EAF1DD" w:themeFill="accent3" w:themeFillTint="33"/>
          </w:tcPr>
          <w:p w:rsidR="002D6B67" w:rsidRPr="0092597A" w:rsidRDefault="002D6B67" w:rsidP="002D6B67">
            <w:pPr>
              <w:pStyle w:val="Heading6"/>
              <w:ind w:left="0" w:right="109"/>
              <w:rPr>
                <w:rFonts w:ascii="Arial" w:hAnsi="Arial" w:cs="Arial"/>
                <w:szCs w:val="20"/>
              </w:rPr>
            </w:pPr>
            <w:r w:rsidRPr="0092597A">
              <w:rPr>
                <w:rFonts w:ascii="Arial" w:hAnsi="Arial" w:cs="Arial"/>
                <w:szCs w:val="20"/>
              </w:rPr>
              <w:t>Liquidity assessment per LSEG revised approach</w:t>
            </w:r>
          </w:p>
        </w:tc>
      </w:tr>
      <w:tr w:rsidR="002D6B67" w:rsidRPr="00C37AA6" w:rsidTr="002D6B67">
        <w:tc>
          <w:tcPr>
            <w:tcW w:w="9526" w:type="dxa"/>
            <w:gridSpan w:val="3"/>
            <w:shd w:val="clear" w:color="auto" w:fill="FDE9D9" w:themeFill="accent6" w:themeFillTint="33"/>
          </w:tcPr>
          <w:p w:rsidR="002D6B67" w:rsidRPr="0092597A" w:rsidRDefault="002D6B67" w:rsidP="002D6B67">
            <w:pPr>
              <w:pStyle w:val="Heading6"/>
              <w:ind w:left="0" w:right="109"/>
              <w:rPr>
                <w:rFonts w:ascii="Arial" w:hAnsi="Arial" w:cs="Arial"/>
                <w:szCs w:val="20"/>
              </w:rPr>
            </w:pPr>
            <w:r w:rsidRPr="0092597A">
              <w:rPr>
                <w:rFonts w:ascii="Arial" w:hAnsi="Arial" w:cs="Arial"/>
                <w:szCs w:val="20"/>
              </w:rPr>
              <w:t>Interest rate derivatives</w:t>
            </w:r>
          </w:p>
        </w:tc>
      </w:tr>
      <w:tr w:rsidR="002D6B67" w:rsidRPr="00C37AA6" w:rsidTr="002D6B67">
        <w:tc>
          <w:tcPr>
            <w:tcW w:w="3175" w:type="dxa"/>
          </w:tcPr>
          <w:p w:rsidR="002D6B67" w:rsidRPr="0092597A" w:rsidRDefault="002D6B67" w:rsidP="002D6B67">
            <w:pPr>
              <w:pStyle w:val="Heading6"/>
              <w:ind w:left="0" w:right="109"/>
              <w:rPr>
                <w:rFonts w:ascii="Arial" w:hAnsi="Arial" w:cs="Arial"/>
                <w:b w:val="0"/>
                <w:szCs w:val="20"/>
              </w:rPr>
            </w:pPr>
            <w:r w:rsidRPr="0092597A">
              <w:rPr>
                <w:rFonts w:ascii="Arial" w:hAnsi="Arial" w:cs="Arial"/>
                <w:b w:val="0"/>
                <w:szCs w:val="20"/>
              </w:rPr>
              <w:t>Interest rate swap (IRS) curves</w:t>
            </w:r>
          </w:p>
        </w:tc>
        <w:tc>
          <w:tcPr>
            <w:tcW w:w="3175" w:type="dxa"/>
          </w:tcPr>
          <w:p w:rsidR="002D6B67" w:rsidRPr="0092597A" w:rsidRDefault="002D6B67" w:rsidP="002D6B67">
            <w:pPr>
              <w:pStyle w:val="Heading6"/>
              <w:ind w:left="0" w:right="109"/>
              <w:rPr>
                <w:rFonts w:ascii="Arial" w:hAnsi="Arial" w:cs="Arial"/>
                <w:b w:val="0"/>
                <w:szCs w:val="20"/>
              </w:rPr>
            </w:pPr>
            <w:r w:rsidRPr="0092597A">
              <w:rPr>
                <w:rFonts w:ascii="Arial" w:hAnsi="Arial" w:cs="Arial"/>
                <w:b w:val="0"/>
                <w:szCs w:val="20"/>
              </w:rPr>
              <w:t xml:space="preserve">All legs are “OTC” per the general criteria matrix under question 2. </w:t>
            </w:r>
          </w:p>
        </w:tc>
        <w:tc>
          <w:tcPr>
            <w:tcW w:w="3176" w:type="dxa"/>
          </w:tcPr>
          <w:p w:rsidR="002D6B67" w:rsidRPr="0092597A" w:rsidRDefault="002D6B67" w:rsidP="002D6B67">
            <w:pPr>
              <w:pStyle w:val="Heading6"/>
              <w:numPr>
                <w:ilvl w:val="0"/>
                <w:numId w:val="0"/>
              </w:numPr>
              <w:ind w:right="109"/>
              <w:rPr>
                <w:rFonts w:ascii="Arial" w:hAnsi="Arial" w:cs="Arial"/>
                <w:b w:val="0"/>
                <w:szCs w:val="20"/>
              </w:rPr>
            </w:pPr>
            <w:r w:rsidRPr="0092597A">
              <w:rPr>
                <w:rFonts w:ascii="Arial" w:hAnsi="Arial" w:cs="Arial"/>
                <w:b w:val="0"/>
                <w:szCs w:val="20"/>
              </w:rPr>
              <w:t xml:space="preserve">Liquid, assuming all legs are either subject to the trading obligation or clearing obligation; however where one of the legs does not meet this criteria, the package is illiquid as a whole. </w:t>
            </w:r>
          </w:p>
        </w:tc>
      </w:tr>
      <w:tr w:rsidR="002D6B67" w:rsidRPr="00C37AA6" w:rsidTr="002D6B67">
        <w:tc>
          <w:tcPr>
            <w:tcW w:w="3175" w:type="dxa"/>
          </w:tcPr>
          <w:p w:rsidR="002D6B67" w:rsidRPr="0092597A" w:rsidRDefault="002D6B67" w:rsidP="002D6B67">
            <w:pPr>
              <w:pStyle w:val="Heading6"/>
              <w:ind w:left="0" w:right="109"/>
              <w:rPr>
                <w:rFonts w:ascii="Arial" w:hAnsi="Arial" w:cs="Arial"/>
                <w:b w:val="0"/>
                <w:szCs w:val="20"/>
              </w:rPr>
            </w:pPr>
            <w:r w:rsidRPr="0092597A">
              <w:rPr>
                <w:rFonts w:ascii="Arial" w:hAnsi="Arial" w:cs="Arial"/>
                <w:b w:val="0"/>
                <w:szCs w:val="20"/>
              </w:rPr>
              <w:t>IRS butterflies</w:t>
            </w:r>
          </w:p>
        </w:tc>
        <w:tc>
          <w:tcPr>
            <w:tcW w:w="3175" w:type="dxa"/>
          </w:tcPr>
          <w:p w:rsidR="002D6B67" w:rsidRPr="0092597A" w:rsidRDefault="002D6B67" w:rsidP="002D6B67">
            <w:pPr>
              <w:pStyle w:val="Heading6"/>
              <w:ind w:left="0" w:right="109"/>
              <w:rPr>
                <w:rFonts w:ascii="Arial" w:hAnsi="Arial" w:cs="Arial"/>
                <w:b w:val="0"/>
                <w:szCs w:val="20"/>
              </w:rPr>
            </w:pPr>
            <w:r w:rsidRPr="0092597A">
              <w:rPr>
                <w:rFonts w:ascii="Arial" w:hAnsi="Arial" w:cs="Arial"/>
                <w:b w:val="0"/>
                <w:szCs w:val="20"/>
              </w:rPr>
              <w:t>All legs are “OTC” per the general criteria matrix under question 2.</w:t>
            </w:r>
          </w:p>
        </w:tc>
        <w:tc>
          <w:tcPr>
            <w:tcW w:w="3176" w:type="dxa"/>
          </w:tcPr>
          <w:p w:rsidR="002D6B67" w:rsidRPr="0092597A" w:rsidRDefault="002D6B67" w:rsidP="002D6B67">
            <w:pPr>
              <w:pStyle w:val="Heading6"/>
              <w:numPr>
                <w:ilvl w:val="0"/>
                <w:numId w:val="0"/>
              </w:numPr>
              <w:ind w:right="109"/>
              <w:rPr>
                <w:rFonts w:ascii="Arial" w:hAnsi="Arial" w:cs="Arial"/>
                <w:b w:val="0"/>
                <w:szCs w:val="20"/>
              </w:rPr>
            </w:pPr>
            <w:r w:rsidRPr="0092597A">
              <w:rPr>
                <w:rFonts w:ascii="Arial" w:hAnsi="Arial" w:cs="Arial"/>
                <w:b w:val="0"/>
                <w:szCs w:val="20"/>
              </w:rPr>
              <w:t>Liquid, assuming all legs are either subject to 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2D6B67">
            <w:pPr>
              <w:pStyle w:val="Heading6"/>
              <w:ind w:left="0" w:right="109"/>
              <w:rPr>
                <w:rFonts w:ascii="Arial" w:hAnsi="Arial" w:cs="Arial"/>
                <w:b w:val="0"/>
                <w:szCs w:val="20"/>
              </w:rPr>
            </w:pPr>
            <w:r w:rsidRPr="0092597A">
              <w:rPr>
                <w:rFonts w:ascii="Arial" w:hAnsi="Arial" w:cs="Arial"/>
                <w:b w:val="0"/>
                <w:szCs w:val="20"/>
              </w:rPr>
              <w:t>Invoice spreads</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n/a</w:t>
            </w:r>
          </w:p>
        </w:tc>
        <w:tc>
          <w:tcPr>
            <w:tcW w:w="3176" w:type="dxa"/>
          </w:tcPr>
          <w:p w:rsidR="002D6B67" w:rsidRPr="0092597A" w:rsidRDefault="002D6B67" w:rsidP="002D6B67">
            <w:pPr>
              <w:pStyle w:val="Heading6"/>
              <w:numPr>
                <w:ilvl w:val="0"/>
                <w:numId w:val="0"/>
              </w:numPr>
              <w:ind w:right="109"/>
              <w:rPr>
                <w:rFonts w:ascii="Arial" w:hAnsi="Arial" w:cs="Arial"/>
                <w:b w:val="0"/>
                <w:szCs w:val="20"/>
              </w:rPr>
            </w:pPr>
            <w:r w:rsidRPr="0092597A">
              <w:rPr>
                <w:rFonts w:ascii="Arial" w:hAnsi="Arial" w:cs="Arial"/>
                <w:b w:val="0"/>
                <w:szCs w:val="20"/>
              </w:rPr>
              <w:t xml:space="preserve">Liquid </w:t>
            </w:r>
            <w:r w:rsidRPr="0092597A">
              <w:rPr>
                <w:rFonts w:ascii="Arial" w:hAnsi="Arial" w:cs="Arial"/>
                <w:szCs w:val="20"/>
                <w:u w:val="single"/>
              </w:rPr>
              <w:t>only</w:t>
            </w:r>
            <w:r w:rsidRPr="0092597A">
              <w:rPr>
                <w:rFonts w:ascii="Arial" w:hAnsi="Arial" w:cs="Arial"/>
                <w:b w:val="0"/>
                <w:szCs w:val="20"/>
              </w:rPr>
              <w:t xml:space="preserve"> where: (</w:t>
            </w:r>
            <w:proofErr w:type="spellStart"/>
            <w:r w:rsidRPr="0092597A">
              <w:rPr>
                <w:rFonts w:ascii="Arial" w:hAnsi="Arial" w:cs="Arial"/>
                <w:b w:val="0"/>
                <w:szCs w:val="20"/>
              </w:rPr>
              <w:t>i</w:t>
            </w:r>
            <w:proofErr w:type="spellEnd"/>
            <w:r w:rsidRPr="0092597A">
              <w:rPr>
                <w:rFonts w:ascii="Arial" w:hAnsi="Arial" w:cs="Arial"/>
                <w:b w:val="0"/>
                <w:szCs w:val="20"/>
              </w:rPr>
              <w:t>) this includes a liquid sovereign bond (per RTS 2); and (ii) the e</w:t>
            </w:r>
            <w:r w:rsidRPr="0092597A">
              <w:rPr>
                <w:rFonts w:ascii="Arial" w:hAnsi="Arial" w:cs="Arial"/>
                <w:b w:val="0"/>
                <w:szCs w:val="20"/>
              </w:rPr>
              <w:t>x</w:t>
            </w:r>
            <w:r w:rsidRPr="0092597A">
              <w:rPr>
                <w:rFonts w:ascii="Arial" w:hAnsi="Arial" w:cs="Arial"/>
                <w:b w:val="0"/>
                <w:szCs w:val="20"/>
              </w:rPr>
              <w:t>change leg(s) meet</w:t>
            </w:r>
            <w:r w:rsidR="000C10A9">
              <w:rPr>
                <w:rFonts w:ascii="Arial" w:hAnsi="Arial" w:cs="Arial"/>
                <w:b w:val="0"/>
                <w:szCs w:val="20"/>
              </w:rPr>
              <w:t>(</w:t>
            </w:r>
            <w:r w:rsidRPr="0092597A">
              <w:rPr>
                <w:rFonts w:ascii="Arial" w:hAnsi="Arial" w:cs="Arial"/>
                <w:b w:val="0"/>
                <w:szCs w:val="20"/>
              </w:rPr>
              <w:t>s</w:t>
            </w:r>
            <w:r w:rsidR="000C10A9">
              <w:rPr>
                <w:rFonts w:ascii="Arial" w:hAnsi="Arial" w:cs="Arial"/>
                <w:b w:val="0"/>
                <w:szCs w:val="20"/>
              </w:rPr>
              <w:t>)</w:t>
            </w:r>
            <w:r w:rsidRPr="0092597A">
              <w:rPr>
                <w:rFonts w:ascii="Arial" w:hAnsi="Arial" w:cs="Arial"/>
                <w:b w:val="0"/>
                <w:szCs w:val="20"/>
              </w:rPr>
              <w:t xml:space="preserve"> further asset-class specific liquidity test.</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CCP basis swaps</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All legs are “OTC” per the general criteria matrix under question 2.</w:t>
            </w:r>
          </w:p>
        </w:tc>
        <w:tc>
          <w:tcPr>
            <w:tcW w:w="3176" w:type="dxa"/>
          </w:tcPr>
          <w:p w:rsidR="002D6B67" w:rsidRPr="0092597A" w:rsidRDefault="002D6B67" w:rsidP="002D6B67">
            <w:pPr>
              <w:pStyle w:val="Heading6"/>
              <w:numPr>
                <w:ilvl w:val="0"/>
                <w:numId w:val="0"/>
              </w:numPr>
              <w:ind w:right="109"/>
              <w:rPr>
                <w:rFonts w:ascii="Arial" w:hAnsi="Arial" w:cs="Arial"/>
                <w:b w:val="0"/>
                <w:szCs w:val="20"/>
              </w:rPr>
            </w:pPr>
            <w:r w:rsidRPr="0092597A">
              <w:rPr>
                <w:rFonts w:ascii="Arial" w:hAnsi="Arial" w:cs="Arial"/>
                <w:b w:val="0"/>
                <w:szCs w:val="20"/>
              </w:rPr>
              <w:t>Liquid, assuming all legs are either subject to 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Rolls</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 xml:space="preserve">This could apply to either OTC contracts or contracts listed on an exchange, as defined per the general criteria matrix under question 2. </w:t>
            </w:r>
          </w:p>
        </w:tc>
        <w:tc>
          <w:tcPr>
            <w:tcW w:w="3176" w:type="dxa"/>
          </w:tcPr>
          <w:p w:rsidR="002D6B67" w:rsidRPr="0092597A" w:rsidRDefault="002D6B67" w:rsidP="002D6B67">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w:t>
            </w:r>
            <w:r w:rsidR="000C10A9">
              <w:rPr>
                <w:rFonts w:ascii="Arial" w:hAnsi="Arial" w:cs="Arial"/>
                <w:szCs w:val="20"/>
                <w:u w:val="single"/>
              </w:rPr>
              <w:t>(</w:t>
            </w:r>
            <w:r w:rsidRPr="0092597A">
              <w:rPr>
                <w:rFonts w:ascii="Arial" w:hAnsi="Arial" w:cs="Arial"/>
                <w:szCs w:val="20"/>
                <w:u w:val="single"/>
              </w:rPr>
              <w:t>s</w:t>
            </w:r>
            <w:r w:rsidR="000C10A9">
              <w:rPr>
                <w:rFonts w:ascii="Arial" w:hAnsi="Arial" w:cs="Arial"/>
                <w:szCs w:val="20"/>
                <w:u w:val="single"/>
              </w:rPr>
              <w:t>)</w:t>
            </w:r>
            <w:r w:rsidRPr="0092597A">
              <w:rPr>
                <w:rFonts w:ascii="Arial" w:hAnsi="Arial" w:cs="Arial"/>
                <w:szCs w:val="20"/>
                <w:u w:val="single"/>
              </w:rPr>
              <w:t xml:space="preserve"> meet</w:t>
            </w:r>
            <w:r w:rsidR="000C10A9">
              <w:rPr>
                <w:rFonts w:ascii="Arial" w:hAnsi="Arial" w:cs="Arial"/>
                <w:szCs w:val="20"/>
                <w:u w:val="single"/>
              </w:rPr>
              <w:t>(s)</w:t>
            </w:r>
            <w:r w:rsidRPr="0092597A">
              <w:rPr>
                <w:rFonts w:ascii="Arial" w:hAnsi="Arial" w:cs="Arial"/>
                <w:szCs w:val="20"/>
                <w:u w:val="single"/>
              </w:rPr>
              <w:t xml:space="preserve"> further asset-class specific liquidity test.</w:t>
            </w:r>
          </w:p>
          <w:p w:rsidR="002D6B67" w:rsidRPr="0092597A" w:rsidRDefault="002D6B67" w:rsidP="002D6B67">
            <w:pPr>
              <w:pStyle w:val="Heading6"/>
              <w:numPr>
                <w:ilvl w:val="0"/>
                <w:numId w:val="0"/>
              </w:numPr>
              <w:ind w:right="109"/>
              <w:rPr>
                <w:rFonts w:ascii="Arial" w:hAnsi="Arial" w:cs="Arial"/>
                <w:b w:val="0"/>
                <w:szCs w:val="20"/>
              </w:rPr>
            </w:pPr>
            <w:r w:rsidRPr="0092597A">
              <w:rPr>
                <w:rFonts w:ascii="Arial" w:hAnsi="Arial" w:cs="Arial"/>
                <w:b w:val="0"/>
                <w:szCs w:val="20"/>
              </w:rPr>
              <w:t>Where this applies to OTC instruments, such as IRS, this would be liquid, assuming all legs are either subject to the trading obligation or clearing obligation; however where one of the legs does not meet this criteria, the package is illiquid as a whole.</w:t>
            </w:r>
          </w:p>
        </w:tc>
      </w:tr>
      <w:tr w:rsidR="002D6B67" w:rsidRPr="00C37AA6" w:rsidTr="002D6B67">
        <w:tc>
          <w:tcPr>
            <w:tcW w:w="9526" w:type="dxa"/>
            <w:gridSpan w:val="3"/>
            <w:shd w:val="clear" w:color="auto" w:fill="FDE9D9" w:themeFill="accent6" w:themeFillTint="33"/>
          </w:tcPr>
          <w:p w:rsidR="002D6B67" w:rsidRPr="0092597A" w:rsidRDefault="002D6B67" w:rsidP="002D6B67">
            <w:pPr>
              <w:pStyle w:val="Heading6"/>
              <w:numPr>
                <w:ilvl w:val="0"/>
                <w:numId w:val="0"/>
              </w:numPr>
              <w:ind w:right="109"/>
              <w:rPr>
                <w:rFonts w:ascii="Arial" w:hAnsi="Arial" w:cs="Arial"/>
                <w:szCs w:val="20"/>
              </w:rPr>
            </w:pPr>
            <w:r w:rsidRPr="0092597A">
              <w:rPr>
                <w:rFonts w:ascii="Arial" w:hAnsi="Arial" w:cs="Arial"/>
                <w:szCs w:val="20"/>
              </w:rPr>
              <w:t>Equity derivatives</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Time spread</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We are assuming these spreads exclude options</w:t>
            </w:r>
          </w:p>
        </w:tc>
        <w:tc>
          <w:tcPr>
            <w:tcW w:w="3176" w:type="dxa"/>
          </w:tcPr>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 xml:space="preserve">Where this applies to OTC instruments, such as IRS, this would be liquid, assuming all legs are either subject </w:t>
            </w:r>
            <w:r w:rsidR="0083012B" w:rsidRPr="0092597A">
              <w:rPr>
                <w:rFonts w:ascii="Arial" w:hAnsi="Arial" w:cs="Arial"/>
                <w:b w:val="0"/>
                <w:szCs w:val="20"/>
              </w:rPr>
              <w:t xml:space="preserve">to </w:t>
            </w:r>
            <w:r w:rsidRPr="0092597A">
              <w:rPr>
                <w:rFonts w:ascii="Arial" w:hAnsi="Arial" w:cs="Arial"/>
                <w:b w:val="0"/>
                <w:szCs w:val="20"/>
              </w:rPr>
              <w:t>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Straddle</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We are assuming these spreads exclude options</w:t>
            </w:r>
          </w:p>
        </w:tc>
        <w:tc>
          <w:tcPr>
            <w:tcW w:w="3176" w:type="dxa"/>
          </w:tcPr>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 xml:space="preserve">Where this applies to OTC instruments, this would be liquid, assuming all legs are either subject </w:t>
            </w:r>
            <w:r w:rsidR="0083012B" w:rsidRPr="0092597A">
              <w:rPr>
                <w:rFonts w:ascii="Arial" w:hAnsi="Arial" w:cs="Arial"/>
                <w:b w:val="0"/>
                <w:szCs w:val="20"/>
              </w:rPr>
              <w:t xml:space="preserve">to </w:t>
            </w:r>
            <w:r w:rsidRPr="0092597A">
              <w:rPr>
                <w:rFonts w:ascii="Arial" w:hAnsi="Arial" w:cs="Arial"/>
                <w:b w:val="0"/>
                <w:szCs w:val="20"/>
              </w:rPr>
              <w:t>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Butterfly</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We are assuming these spreads exclude options</w:t>
            </w:r>
          </w:p>
        </w:tc>
        <w:tc>
          <w:tcPr>
            <w:tcW w:w="3176" w:type="dxa"/>
          </w:tcPr>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 xml:space="preserve">Where this applies to OTC instruments, this would be liquid, assuming all legs are either subject </w:t>
            </w:r>
            <w:r w:rsidR="0083012B" w:rsidRPr="0092597A">
              <w:rPr>
                <w:rFonts w:ascii="Arial" w:hAnsi="Arial" w:cs="Arial"/>
                <w:b w:val="0"/>
                <w:szCs w:val="20"/>
              </w:rPr>
              <w:t xml:space="preserve">to </w:t>
            </w:r>
            <w:r w:rsidRPr="0092597A">
              <w:rPr>
                <w:rFonts w:ascii="Arial" w:hAnsi="Arial" w:cs="Arial"/>
                <w:b w:val="0"/>
                <w:szCs w:val="20"/>
              </w:rPr>
              <w:t>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Bear Spread</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We are assuming these spreads exclude options</w:t>
            </w:r>
          </w:p>
        </w:tc>
        <w:tc>
          <w:tcPr>
            <w:tcW w:w="3176" w:type="dxa"/>
          </w:tcPr>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OTC instruments, this would be liquid, assuming all legs are either subject </w:t>
            </w:r>
            <w:r w:rsidR="0083012B" w:rsidRPr="0092597A">
              <w:rPr>
                <w:rFonts w:ascii="Arial" w:hAnsi="Arial" w:cs="Arial"/>
                <w:b w:val="0"/>
                <w:szCs w:val="20"/>
              </w:rPr>
              <w:t xml:space="preserve">to </w:t>
            </w:r>
            <w:r w:rsidRPr="0092597A">
              <w:rPr>
                <w:rFonts w:ascii="Arial" w:hAnsi="Arial" w:cs="Arial"/>
                <w:b w:val="0"/>
                <w:szCs w:val="20"/>
              </w:rPr>
              <w:t>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Bull spread</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We are assuming these spreads exclude options</w:t>
            </w:r>
          </w:p>
        </w:tc>
        <w:tc>
          <w:tcPr>
            <w:tcW w:w="3176" w:type="dxa"/>
          </w:tcPr>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OTC instruments, this would be liquid, assuming all legs are either subject </w:t>
            </w:r>
            <w:r w:rsidR="0083012B" w:rsidRPr="0092597A">
              <w:rPr>
                <w:rFonts w:ascii="Arial" w:hAnsi="Arial" w:cs="Arial"/>
                <w:b w:val="0"/>
                <w:szCs w:val="20"/>
              </w:rPr>
              <w:t xml:space="preserve">to </w:t>
            </w:r>
            <w:r w:rsidRPr="0092597A">
              <w:rPr>
                <w:rFonts w:ascii="Arial" w:hAnsi="Arial" w:cs="Arial"/>
                <w:b w:val="0"/>
                <w:szCs w:val="20"/>
              </w:rPr>
              <w:t>the trading obligation or clearing obligation; however where one of the legs does not meet this criteria, the package is illiquid as a whole.</w:t>
            </w:r>
          </w:p>
        </w:tc>
      </w:tr>
      <w:tr w:rsidR="002D6B67" w:rsidRPr="00C37AA6" w:rsidTr="002D6B67">
        <w:tc>
          <w:tcPr>
            <w:tcW w:w="9526" w:type="dxa"/>
            <w:gridSpan w:val="3"/>
            <w:shd w:val="clear" w:color="auto" w:fill="FDE9D9" w:themeFill="accent6" w:themeFillTint="33"/>
          </w:tcPr>
          <w:p w:rsidR="002D6B67" w:rsidRPr="0092597A" w:rsidRDefault="002D6B67" w:rsidP="0083012B">
            <w:pPr>
              <w:pStyle w:val="Heading6"/>
              <w:numPr>
                <w:ilvl w:val="0"/>
                <w:numId w:val="0"/>
              </w:numPr>
              <w:ind w:right="109"/>
              <w:rPr>
                <w:rFonts w:ascii="Arial" w:hAnsi="Arial" w:cs="Arial"/>
                <w:szCs w:val="20"/>
              </w:rPr>
            </w:pPr>
            <w:r w:rsidRPr="0092597A">
              <w:rPr>
                <w:rFonts w:ascii="Arial" w:hAnsi="Arial" w:cs="Arial"/>
                <w:szCs w:val="20"/>
              </w:rPr>
              <w:t>Credit derivatives</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Commodity derivative rolls</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This could apply to either OTC contracts or contracts listed on an exchange, as defined per the general criteria matrix under question 2.</w:t>
            </w:r>
          </w:p>
        </w:tc>
        <w:tc>
          <w:tcPr>
            <w:tcW w:w="3176" w:type="dxa"/>
          </w:tcPr>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OTC instruments, this would be liquid, assuming all legs are either subject </w:t>
            </w:r>
            <w:r w:rsidR="0083012B" w:rsidRPr="0092597A">
              <w:rPr>
                <w:rFonts w:ascii="Arial" w:hAnsi="Arial" w:cs="Arial"/>
                <w:b w:val="0"/>
                <w:szCs w:val="20"/>
              </w:rPr>
              <w:t xml:space="preserve">to </w:t>
            </w:r>
            <w:r w:rsidRPr="0092597A">
              <w:rPr>
                <w:rFonts w:ascii="Arial" w:hAnsi="Arial" w:cs="Arial"/>
                <w:b w:val="0"/>
                <w:szCs w:val="20"/>
              </w:rPr>
              <w:t>the trading obligation or clearing obligation; however where one of the legs does not meet this criteria, the package is illiquid as a whole.</w:t>
            </w:r>
          </w:p>
        </w:tc>
      </w:tr>
      <w:tr w:rsidR="002D6B67" w:rsidRPr="00C37AA6" w:rsidTr="002D6B67">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Calendar spreads</w:t>
            </w:r>
          </w:p>
        </w:tc>
        <w:tc>
          <w:tcPr>
            <w:tcW w:w="3175" w:type="dxa"/>
          </w:tcPr>
          <w:p w:rsidR="002D6B67" w:rsidRPr="0092597A" w:rsidRDefault="002D6B67" w:rsidP="0083012B">
            <w:pPr>
              <w:pStyle w:val="Heading6"/>
              <w:numPr>
                <w:ilvl w:val="0"/>
                <w:numId w:val="0"/>
              </w:numPr>
              <w:ind w:right="109"/>
              <w:rPr>
                <w:rFonts w:ascii="Arial" w:hAnsi="Arial" w:cs="Arial"/>
                <w:b w:val="0"/>
                <w:szCs w:val="20"/>
              </w:rPr>
            </w:pPr>
            <w:r w:rsidRPr="0092597A">
              <w:rPr>
                <w:rFonts w:ascii="Arial" w:hAnsi="Arial" w:cs="Arial"/>
                <w:b w:val="0"/>
                <w:szCs w:val="20"/>
              </w:rPr>
              <w:t xml:space="preserve">In reality, the calendar spread is a general type of strategy of which “rolls” are a part.  </w:t>
            </w:r>
          </w:p>
          <w:p w:rsidR="002D6B67" w:rsidRPr="0092597A" w:rsidRDefault="002D6B67" w:rsidP="002D6B67">
            <w:pPr>
              <w:pStyle w:val="Heading6"/>
              <w:ind w:left="0" w:right="109"/>
              <w:rPr>
                <w:rFonts w:ascii="Arial" w:hAnsi="Arial" w:cs="Arial"/>
                <w:b w:val="0"/>
                <w:szCs w:val="20"/>
              </w:rPr>
            </w:pPr>
          </w:p>
          <w:p w:rsidR="002D6B67" w:rsidRPr="0092597A" w:rsidRDefault="002D6B67" w:rsidP="002D6B67">
            <w:pPr>
              <w:pStyle w:val="Heading6"/>
              <w:ind w:left="0" w:right="109"/>
              <w:rPr>
                <w:rFonts w:ascii="Arial" w:hAnsi="Arial" w:cs="Arial"/>
                <w:b w:val="0"/>
                <w:szCs w:val="20"/>
              </w:rPr>
            </w:pPr>
            <w:r w:rsidRPr="0092597A">
              <w:rPr>
                <w:rFonts w:ascii="Arial" w:hAnsi="Arial" w:cs="Arial"/>
                <w:b w:val="0"/>
                <w:szCs w:val="20"/>
              </w:rPr>
              <w:t>Where are assuming this could apply to either OTC contracts or contracts listed on an e</w:t>
            </w:r>
            <w:r w:rsidRPr="0092597A">
              <w:rPr>
                <w:rFonts w:ascii="Arial" w:hAnsi="Arial" w:cs="Arial"/>
                <w:b w:val="0"/>
                <w:szCs w:val="20"/>
              </w:rPr>
              <w:t>x</w:t>
            </w:r>
            <w:r w:rsidRPr="0092597A">
              <w:rPr>
                <w:rFonts w:ascii="Arial" w:hAnsi="Arial" w:cs="Arial"/>
                <w:b w:val="0"/>
                <w:szCs w:val="20"/>
              </w:rPr>
              <w:t>change, as defined per the general criteria matrix under question 2 (although for OTC spreads, they typically wouldn’t be referred to as “calendar spreads”).</w:t>
            </w:r>
          </w:p>
        </w:tc>
        <w:tc>
          <w:tcPr>
            <w:tcW w:w="3176" w:type="dxa"/>
          </w:tcPr>
          <w:p w:rsidR="0083012B"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 xml:space="preserve">Where this applies to exchange traded futures, this would be liquid </w:t>
            </w:r>
            <w:r w:rsidRPr="0092597A">
              <w:rPr>
                <w:rFonts w:ascii="Arial" w:hAnsi="Arial" w:cs="Arial"/>
                <w:szCs w:val="20"/>
                <w:u w:val="single"/>
              </w:rPr>
              <w:t>only where the e</w:t>
            </w:r>
            <w:r w:rsidRPr="0092597A">
              <w:rPr>
                <w:rFonts w:ascii="Arial" w:hAnsi="Arial" w:cs="Arial"/>
                <w:szCs w:val="20"/>
                <w:u w:val="single"/>
              </w:rPr>
              <w:t>x</w:t>
            </w:r>
            <w:r w:rsidRPr="0092597A">
              <w:rPr>
                <w:rFonts w:ascii="Arial" w:hAnsi="Arial" w:cs="Arial"/>
                <w:szCs w:val="20"/>
                <w:u w:val="single"/>
              </w:rPr>
              <w:t>change leg(s) meet</w:t>
            </w:r>
            <w:r w:rsidR="0083012B" w:rsidRPr="0092597A">
              <w:rPr>
                <w:rFonts w:ascii="Arial" w:hAnsi="Arial" w:cs="Arial"/>
                <w:szCs w:val="20"/>
                <w:u w:val="single"/>
              </w:rPr>
              <w:t>(</w:t>
            </w:r>
            <w:r w:rsidRPr="0092597A">
              <w:rPr>
                <w:rFonts w:ascii="Arial" w:hAnsi="Arial" w:cs="Arial"/>
                <w:szCs w:val="20"/>
                <w:u w:val="single"/>
              </w:rPr>
              <w:t>s</w:t>
            </w:r>
            <w:r w:rsidR="0083012B" w:rsidRPr="0092597A">
              <w:rPr>
                <w:rFonts w:ascii="Arial" w:hAnsi="Arial" w:cs="Arial"/>
                <w:szCs w:val="20"/>
                <w:u w:val="single"/>
              </w:rPr>
              <w:t>)</w:t>
            </w:r>
            <w:r w:rsidRPr="0092597A">
              <w:rPr>
                <w:rFonts w:ascii="Arial" w:hAnsi="Arial" w:cs="Arial"/>
                <w:szCs w:val="20"/>
                <w:u w:val="single"/>
              </w:rPr>
              <w:t xml:space="preserve"> further asset-class specific liquidity test.</w:t>
            </w:r>
          </w:p>
          <w:p w:rsidR="002D6B67" w:rsidRPr="0092597A" w:rsidRDefault="002D6B67" w:rsidP="0083012B">
            <w:pPr>
              <w:pStyle w:val="Heading6"/>
              <w:numPr>
                <w:ilvl w:val="0"/>
                <w:numId w:val="0"/>
              </w:numPr>
              <w:ind w:right="109"/>
              <w:rPr>
                <w:rFonts w:ascii="Arial" w:hAnsi="Arial" w:cs="Arial"/>
                <w:szCs w:val="20"/>
                <w:u w:val="single"/>
              </w:rPr>
            </w:pPr>
            <w:r w:rsidRPr="0092597A">
              <w:rPr>
                <w:rFonts w:ascii="Arial" w:hAnsi="Arial" w:cs="Arial"/>
                <w:b w:val="0"/>
                <w:szCs w:val="20"/>
              </w:rPr>
              <w:t>Where this applies to OTC instruments, this would be liquid, assuming all legs are either subject the trading oblig</w:t>
            </w:r>
            <w:r w:rsidRPr="0092597A">
              <w:rPr>
                <w:rFonts w:ascii="Arial" w:hAnsi="Arial" w:cs="Arial"/>
                <w:b w:val="0"/>
                <w:szCs w:val="20"/>
              </w:rPr>
              <w:t>a</w:t>
            </w:r>
            <w:r w:rsidRPr="0092597A">
              <w:rPr>
                <w:rFonts w:ascii="Arial" w:hAnsi="Arial" w:cs="Arial"/>
                <w:b w:val="0"/>
                <w:szCs w:val="20"/>
              </w:rPr>
              <w:t>tion or clearing obligation; however where one of the legs does not meet this criteria, the package is illiquid as a whole.</w:t>
            </w:r>
          </w:p>
        </w:tc>
      </w:tr>
      <w:permEnd w:id="1488743810"/>
    </w:tbl>
    <w:p w:rsidR="00EF314C" w:rsidRDefault="00EF314C" w:rsidP="00EF314C"/>
    <w:p w:rsidR="00EF314C" w:rsidRDefault="00EF314C" w:rsidP="00EF314C">
      <w:r>
        <w:t>&lt;ESMA_QUESTION_</w:t>
      </w:r>
      <w:r w:rsidR="002C0642">
        <w:t>MIFID_PO</w:t>
      </w:r>
      <w:r>
        <w:t>_</w:t>
      </w:r>
      <w:r w:rsidR="00273633">
        <w:t>26</w:t>
      </w:r>
      <w:r>
        <w:t>&gt;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rsidR="00EF314C" w:rsidRDefault="00EF314C" w:rsidP="00EF314C">
      <w:r>
        <w:t>&lt;ESMA_QUESTION_</w:t>
      </w:r>
      <w:r w:rsidR="002C0642">
        <w:t>MIFID_PO</w:t>
      </w:r>
      <w:r>
        <w:t>_</w:t>
      </w:r>
      <w:r w:rsidR="00273633">
        <w:t>2</w:t>
      </w:r>
      <w:r>
        <w:t>7&gt;</w:t>
      </w:r>
    </w:p>
    <w:p w:rsidR="00EF314C" w:rsidRDefault="008E1EBE" w:rsidP="00EF314C">
      <w:permStart w:id="1582918331" w:edGrp="everyone"/>
      <w:r w:rsidRPr="0092597A">
        <w:rPr>
          <w:rFonts w:cs="Arial"/>
          <w:szCs w:val="20"/>
        </w:rPr>
        <w:t>No, we do not think so.  We believe that our approach put forward under question 2, together with the asset-class specific criteria described under questions 5, 10 and 16, is fully scalable and applicable to any package order</w:t>
      </w:r>
      <w:r w:rsidRPr="00C87937">
        <w:rPr>
          <w:rFonts w:ascii="Times New Roman" w:hAnsi="Times New Roman"/>
          <w:sz w:val="24"/>
        </w:rPr>
        <w:t>.</w:t>
      </w:r>
      <w:permEnd w:id="1582918331"/>
    </w:p>
    <w:p w:rsidR="00EF314C" w:rsidRDefault="00EF314C" w:rsidP="00EF314C">
      <w:r>
        <w:t>&lt;ESMA_QUESTION_</w:t>
      </w:r>
      <w:r w:rsidR="002C0642">
        <w:t>MIFID_PO</w:t>
      </w:r>
      <w:r>
        <w:t>_</w:t>
      </w:r>
      <w:r w:rsidR="00273633">
        <w:t>2</w:t>
      </w:r>
      <w:r>
        <w:t>7&gt;</w:t>
      </w:r>
    </w:p>
    <w:p w:rsidR="00EF314C" w:rsidRDefault="00EF314C" w:rsidP="00EF314C">
      <w:pPr>
        <w:rPr>
          <w:rFonts w:cs="Arial"/>
          <w:b/>
          <w:sz w:val="22"/>
          <w:szCs w:val="22"/>
          <w:lang w:eastAsia="en-US"/>
        </w:rPr>
      </w:pPr>
    </w:p>
    <w:p w:rsidR="00EF314C" w:rsidRPr="000E6B5B" w:rsidRDefault="00BC6A9F" w:rsidP="00BC6A9F">
      <w:pPr>
        <w:pStyle w:val="CPQuestions"/>
      </w:pPr>
      <w:r w:rsidRPr="00BC6A9F">
        <w:t>Do you agree with the draft RTS in annex IV? If not, please explain</w:t>
      </w:r>
      <w:r w:rsidR="00FF5939">
        <w:t>.</w:t>
      </w:r>
    </w:p>
    <w:p w:rsidR="00EF314C" w:rsidRDefault="00EF314C" w:rsidP="00EF314C">
      <w:r>
        <w:t>&lt;ESMA_QUESTION_</w:t>
      </w:r>
      <w:r w:rsidR="002C0642">
        <w:t>MIFID_PO</w:t>
      </w:r>
      <w:r>
        <w:t>_</w:t>
      </w:r>
      <w:r w:rsidR="00273633">
        <w:t>28</w:t>
      </w:r>
      <w:r>
        <w:t>&gt;</w:t>
      </w:r>
    </w:p>
    <w:p w:rsidR="00EF314C" w:rsidRDefault="008E1EBE" w:rsidP="00EF314C">
      <w:permStart w:id="899104563" w:edGrp="everyone"/>
      <w:r w:rsidRPr="0092597A">
        <w:rPr>
          <w:rFonts w:cs="Arial"/>
          <w:szCs w:val="20"/>
        </w:rPr>
        <w:t>If it would be helpful for ESMA to see the proposed matrix/general</w:t>
      </w:r>
      <w:r w:rsidR="000C10A9">
        <w:rPr>
          <w:rFonts w:cs="Arial"/>
          <w:szCs w:val="20"/>
        </w:rPr>
        <w:t xml:space="preserve"> criteria and asset-class specif</w:t>
      </w:r>
      <w:r w:rsidRPr="0092597A">
        <w:rPr>
          <w:rFonts w:cs="Arial"/>
          <w:szCs w:val="20"/>
        </w:rPr>
        <w:t xml:space="preserve">ic criteria “translated” </w:t>
      </w:r>
      <w:r w:rsidR="000C10A9">
        <w:rPr>
          <w:rFonts w:cs="Arial"/>
          <w:szCs w:val="20"/>
        </w:rPr>
        <w:t xml:space="preserve">into RTS text, we would be </w:t>
      </w:r>
      <w:r w:rsidRPr="0092597A">
        <w:rPr>
          <w:rFonts w:cs="Arial"/>
          <w:szCs w:val="20"/>
        </w:rPr>
        <w:t>happy to provide you with a draft.  Please do let us know if this would be of interest</w:t>
      </w:r>
      <w:r w:rsidRPr="00C87937">
        <w:rPr>
          <w:rFonts w:ascii="Times New Roman" w:hAnsi="Times New Roman"/>
          <w:sz w:val="24"/>
        </w:rPr>
        <w:t>.</w:t>
      </w:r>
      <w:permEnd w:id="899104563"/>
    </w:p>
    <w:p w:rsidR="00EF314C" w:rsidRDefault="00EF314C" w:rsidP="00EF314C">
      <w:r>
        <w:t>&lt;ESMA_QUESTION_</w:t>
      </w:r>
      <w:r w:rsidR="002C0642">
        <w:t>MIFID_PO</w:t>
      </w:r>
      <w:r>
        <w:t>_</w:t>
      </w:r>
      <w:r w:rsidR="00273633">
        <w:t>28</w:t>
      </w:r>
      <w:r>
        <w:t>&gt;</w:t>
      </w:r>
    </w:p>
    <w:p w:rsidR="00EF314C" w:rsidRDefault="00EF314C"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BC6A9F" w:rsidRDefault="00BC6A9F" w:rsidP="00EF314C">
      <w:pPr>
        <w:rPr>
          <w:rFonts w:cs="Arial"/>
          <w:b/>
          <w:sz w:val="22"/>
          <w:szCs w:val="22"/>
          <w:lang w:eastAsia="en-US"/>
        </w:rPr>
      </w:pPr>
    </w:p>
    <w:p w:rsidR="00EF314C" w:rsidRPr="000E6B5B" w:rsidRDefault="00522B01" w:rsidP="00522B01">
      <w:pPr>
        <w:pStyle w:val="CPQuestions"/>
      </w:pPr>
      <w:r>
        <w:t>CBAQ1: Please identify, per asset class and per currency, the total nominal amount traded (including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rsidR="00EF314C" w:rsidRDefault="00EF314C" w:rsidP="00EF314C">
      <w:r>
        <w:t>&lt;ESMA_QUESTION_</w:t>
      </w:r>
      <w:r w:rsidR="002C0642">
        <w:t>MIFID_PO</w:t>
      </w:r>
      <w:r>
        <w:t>_</w:t>
      </w:r>
      <w:r w:rsidR="00273633">
        <w:t>29</w:t>
      </w:r>
      <w:r>
        <w:t>&gt;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522B01" w:rsidTr="002D6B67">
        <w:tc>
          <w:tcPr>
            <w:tcW w:w="1610" w:type="dxa"/>
            <w:vMerge w:val="restart"/>
            <w:shd w:val="clear" w:color="auto" w:fill="B8CCE4" w:themeFill="accent1" w:themeFillTint="66"/>
          </w:tcPr>
          <w:p w:rsidR="00522B01" w:rsidRDefault="00522B01" w:rsidP="002D6B67">
            <w:pPr>
              <w:rPr>
                <w:rFonts w:cstheme="minorHAnsi"/>
                <w:szCs w:val="22"/>
                <w:lang w:eastAsia="fr-FR"/>
              </w:rPr>
            </w:pPr>
          </w:p>
        </w:tc>
        <w:tc>
          <w:tcPr>
            <w:tcW w:w="2765" w:type="dxa"/>
            <w:gridSpan w:val="2"/>
            <w:shd w:val="clear" w:color="auto" w:fill="B8CCE4" w:themeFill="accent1" w:themeFillTint="66"/>
          </w:tcPr>
          <w:p w:rsidR="00522B01" w:rsidRPr="00A43BC6" w:rsidRDefault="00522B01" w:rsidP="002D6B67">
            <w:pPr>
              <w:rPr>
                <w:rFonts w:cstheme="minorHAnsi"/>
                <w:b/>
                <w:szCs w:val="22"/>
                <w:lang w:eastAsia="fr-FR"/>
              </w:rPr>
            </w:pPr>
            <w:r w:rsidRPr="00A43BC6">
              <w:rPr>
                <w:rFonts w:cstheme="minorHAnsi"/>
                <w:b/>
                <w:szCs w:val="22"/>
                <w:lang w:eastAsia="fr-FR"/>
              </w:rPr>
              <w:t>Total Nominal amount traded, including packa</w:t>
            </w:r>
            <w:r w:rsidRPr="00A43BC6">
              <w:rPr>
                <w:rFonts w:cstheme="minorHAnsi"/>
                <w:b/>
                <w:szCs w:val="22"/>
                <w:lang w:eastAsia="fr-FR"/>
              </w:rPr>
              <w:t>g</w:t>
            </w:r>
            <w:r w:rsidRPr="00A43BC6">
              <w:rPr>
                <w:rFonts w:cstheme="minorHAnsi"/>
                <w:b/>
                <w:szCs w:val="22"/>
                <w:lang w:eastAsia="fr-FR"/>
              </w:rPr>
              <w:t xml:space="preserve">es (in euros) </w:t>
            </w:r>
          </w:p>
          <w:p w:rsidR="00522B01" w:rsidRDefault="00522B01" w:rsidP="002D6B67">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522B01" w:rsidRPr="00A43BC6" w:rsidRDefault="00522B01" w:rsidP="002D6B67">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w:t>
            </w:r>
            <w:r>
              <w:rPr>
                <w:rFonts w:cstheme="minorHAnsi"/>
                <w:b/>
                <w:szCs w:val="22"/>
                <w:lang w:eastAsia="fr-FR"/>
              </w:rPr>
              <w:t>n</w:t>
            </w:r>
            <w:r w:rsidRPr="00A43BC6">
              <w:rPr>
                <w:rFonts w:cstheme="minorHAnsi"/>
                <w:b/>
                <w:szCs w:val="22"/>
                <w:lang w:eastAsia="fr-FR"/>
              </w:rPr>
              <w:t xml:space="preserve">cluding EFPs)   </w:t>
            </w:r>
          </w:p>
        </w:tc>
        <w:tc>
          <w:tcPr>
            <w:tcW w:w="2330" w:type="dxa"/>
            <w:gridSpan w:val="2"/>
            <w:shd w:val="clear" w:color="auto" w:fill="B8CCE4" w:themeFill="accent1" w:themeFillTint="66"/>
          </w:tcPr>
          <w:p w:rsidR="00522B01" w:rsidRPr="00A43BC6" w:rsidRDefault="00522B01" w:rsidP="002D6B67">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w:t>
            </w:r>
            <w:r>
              <w:rPr>
                <w:rFonts w:cstheme="minorHAnsi"/>
                <w:b/>
                <w:szCs w:val="22"/>
                <w:lang w:eastAsia="fr-FR"/>
              </w:rPr>
              <w:t>u</w:t>
            </w:r>
            <w:r>
              <w:rPr>
                <w:rFonts w:cstheme="minorHAnsi"/>
                <w:b/>
                <w:szCs w:val="22"/>
                <w:lang w:eastAsia="fr-FR"/>
              </w:rPr>
              <w:t>ments as comp</w:t>
            </w:r>
            <w:r>
              <w:rPr>
                <w:rFonts w:cstheme="minorHAnsi"/>
                <w:b/>
                <w:szCs w:val="22"/>
                <w:lang w:eastAsia="fr-FR"/>
              </w:rPr>
              <w:t>o</w:t>
            </w:r>
            <w:r>
              <w:rPr>
                <w:rFonts w:cstheme="minorHAnsi"/>
                <w:b/>
                <w:szCs w:val="22"/>
                <w:lang w:eastAsia="fr-FR"/>
              </w:rPr>
              <w:t>nents)</w:t>
            </w:r>
            <w:r w:rsidRPr="00A43BC6">
              <w:rPr>
                <w:rFonts w:cstheme="minorHAnsi"/>
                <w:b/>
                <w:szCs w:val="22"/>
                <w:lang w:eastAsia="fr-FR"/>
              </w:rPr>
              <w:t xml:space="preserve">  </w:t>
            </w:r>
          </w:p>
        </w:tc>
      </w:tr>
      <w:tr w:rsidR="00522B01" w:rsidTr="002D6B67">
        <w:trPr>
          <w:trHeight w:val="893"/>
        </w:trPr>
        <w:tc>
          <w:tcPr>
            <w:tcW w:w="1610" w:type="dxa"/>
            <w:vMerge/>
          </w:tcPr>
          <w:p w:rsidR="00522B01" w:rsidRDefault="00522B01" w:rsidP="002D6B67">
            <w:pPr>
              <w:rPr>
                <w:rFonts w:cstheme="minorHAnsi"/>
                <w:szCs w:val="22"/>
                <w:lang w:eastAsia="fr-FR"/>
              </w:rPr>
            </w:pPr>
          </w:p>
        </w:tc>
        <w:tc>
          <w:tcPr>
            <w:tcW w:w="1438" w:type="dxa"/>
            <w:shd w:val="clear" w:color="auto" w:fill="B8CCE4" w:themeFill="accent1" w:themeFillTint="66"/>
          </w:tcPr>
          <w:p w:rsidR="00522B01" w:rsidRDefault="00522B01" w:rsidP="002D6B67">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522B01" w:rsidRDefault="00522B01" w:rsidP="002D6B67">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522B01" w:rsidRDefault="00522B01" w:rsidP="002D6B67">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522B01" w:rsidRDefault="00522B01" w:rsidP="002D6B67">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522B01" w:rsidRDefault="00522B01" w:rsidP="002D6B67">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522B01" w:rsidRDefault="00522B01" w:rsidP="002D6B67">
            <w:pPr>
              <w:rPr>
                <w:rFonts w:cstheme="minorHAnsi"/>
                <w:szCs w:val="22"/>
                <w:lang w:eastAsia="fr-FR"/>
              </w:rPr>
            </w:pPr>
            <w:r>
              <w:rPr>
                <w:rFonts w:cstheme="minorHAnsi"/>
                <w:szCs w:val="22"/>
                <w:lang w:eastAsia="fr-FR"/>
              </w:rPr>
              <w:t>OTC</w:t>
            </w:r>
          </w:p>
        </w:tc>
      </w:tr>
      <w:tr w:rsidR="00522B01" w:rsidTr="002D6B67">
        <w:trPr>
          <w:trHeight w:val="555"/>
        </w:trPr>
        <w:tc>
          <w:tcPr>
            <w:tcW w:w="1610" w:type="dxa"/>
            <w:shd w:val="clear" w:color="auto" w:fill="DBE5F1" w:themeFill="accent1" w:themeFillTint="33"/>
          </w:tcPr>
          <w:p w:rsidR="00522B01" w:rsidRPr="00A43BC6" w:rsidRDefault="00522B01" w:rsidP="002D6B67">
            <w:pPr>
              <w:rPr>
                <w:rFonts w:cstheme="minorHAnsi"/>
                <w:b/>
                <w:szCs w:val="22"/>
                <w:lang w:eastAsia="fr-FR"/>
              </w:rPr>
            </w:pPr>
            <w:permStart w:id="1612713389" w:edGrp="everyone" w:colFirst="1" w:colLast="1"/>
            <w:permStart w:id="1271950698" w:edGrp="everyone" w:colFirst="2" w:colLast="2"/>
            <w:permStart w:id="268313395" w:edGrp="everyone" w:colFirst="3" w:colLast="3"/>
            <w:permStart w:id="545340487" w:edGrp="everyone" w:colFirst="4" w:colLast="4"/>
            <w:permStart w:id="266805610" w:edGrp="everyone" w:colFirst="5" w:colLast="5"/>
            <w:permStart w:id="84559506"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rsidR="00522B01" w:rsidRDefault="00522B01" w:rsidP="002D6B67">
            <w:pPr>
              <w:rPr>
                <w:rFonts w:cstheme="minorHAnsi"/>
                <w:szCs w:val="22"/>
                <w:lang w:eastAsia="fr-FR"/>
              </w:rPr>
            </w:pPr>
          </w:p>
        </w:tc>
        <w:tc>
          <w:tcPr>
            <w:tcW w:w="1327" w:type="dxa"/>
            <w:shd w:val="clear" w:color="auto" w:fill="DBE5F1" w:themeFill="accent1" w:themeFillTint="33"/>
          </w:tcPr>
          <w:p w:rsidR="00522B01" w:rsidRDefault="00522B01" w:rsidP="002D6B67">
            <w:pPr>
              <w:rPr>
                <w:rFonts w:cstheme="minorHAnsi"/>
                <w:szCs w:val="22"/>
                <w:lang w:eastAsia="fr-FR"/>
              </w:rPr>
            </w:pPr>
          </w:p>
        </w:tc>
        <w:tc>
          <w:tcPr>
            <w:tcW w:w="1168" w:type="dxa"/>
            <w:shd w:val="clear" w:color="auto" w:fill="DBE5F1" w:themeFill="accent1" w:themeFillTint="33"/>
          </w:tcPr>
          <w:p w:rsidR="00522B01" w:rsidRDefault="00522B01" w:rsidP="002D6B67">
            <w:pPr>
              <w:rPr>
                <w:rFonts w:cstheme="minorHAnsi"/>
                <w:szCs w:val="22"/>
                <w:lang w:eastAsia="fr-FR"/>
              </w:rPr>
            </w:pPr>
          </w:p>
        </w:tc>
        <w:tc>
          <w:tcPr>
            <w:tcW w:w="1194" w:type="dxa"/>
            <w:shd w:val="clear" w:color="auto" w:fill="DBE5F1" w:themeFill="accent1" w:themeFillTint="33"/>
          </w:tcPr>
          <w:p w:rsidR="00522B01" w:rsidRDefault="00522B01" w:rsidP="002D6B67">
            <w:pPr>
              <w:rPr>
                <w:rFonts w:cstheme="minorHAnsi"/>
                <w:szCs w:val="22"/>
                <w:lang w:eastAsia="fr-FR"/>
              </w:rPr>
            </w:pPr>
          </w:p>
        </w:tc>
        <w:tc>
          <w:tcPr>
            <w:tcW w:w="1073" w:type="dxa"/>
            <w:shd w:val="clear" w:color="auto" w:fill="DBE5F1" w:themeFill="accent1" w:themeFillTint="33"/>
          </w:tcPr>
          <w:p w:rsidR="00522B01" w:rsidRDefault="00522B01" w:rsidP="002D6B67">
            <w:pPr>
              <w:rPr>
                <w:rFonts w:cstheme="minorHAnsi"/>
                <w:szCs w:val="22"/>
                <w:lang w:eastAsia="fr-FR"/>
              </w:rPr>
            </w:pPr>
          </w:p>
        </w:tc>
        <w:tc>
          <w:tcPr>
            <w:tcW w:w="1257" w:type="dxa"/>
            <w:shd w:val="clear" w:color="auto" w:fill="DBE5F1" w:themeFill="accent1" w:themeFillTint="33"/>
          </w:tcPr>
          <w:p w:rsidR="00522B01" w:rsidRDefault="00522B01" w:rsidP="002D6B67">
            <w:pPr>
              <w:rPr>
                <w:rFonts w:cstheme="minorHAnsi"/>
                <w:szCs w:val="22"/>
                <w:lang w:eastAsia="fr-FR"/>
              </w:rPr>
            </w:pPr>
          </w:p>
        </w:tc>
      </w:tr>
      <w:tr w:rsidR="00522B01" w:rsidTr="002D6B67">
        <w:trPr>
          <w:trHeight w:val="416"/>
        </w:trPr>
        <w:tc>
          <w:tcPr>
            <w:tcW w:w="1610" w:type="dxa"/>
          </w:tcPr>
          <w:p w:rsidR="00522B01" w:rsidRDefault="00522B01" w:rsidP="002D6B67">
            <w:pPr>
              <w:rPr>
                <w:rFonts w:cstheme="minorHAnsi"/>
                <w:szCs w:val="22"/>
                <w:lang w:eastAsia="fr-FR"/>
              </w:rPr>
            </w:pPr>
            <w:permStart w:id="1894056845" w:edGrp="everyone" w:colFirst="1" w:colLast="1"/>
            <w:permStart w:id="23090127" w:edGrp="everyone" w:colFirst="2" w:colLast="2"/>
            <w:permStart w:id="644508863" w:edGrp="everyone" w:colFirst="3" w:colLast="3"/>
            <w:permStart w:id="1133533324" w:edGrp="everyone" w:colFirst="4" w:colLast="4"/>
            <w:permStart w:id="1400316848" w:edGrp="everyone" w:colFirst="5" w:colLast="5"/>
            <w:permStart w:id="1172654469" w:edGrp="everyone" w:colFirst="6" w:colLast="6"/>
            <w:permEnd w:id="1612713389"/>
            <w:permEnd w:id="1271950698"/>
            <w:permEnd w:id="268313395"/>
            <w:permEnd w:id="545340487"/>
            <w:permEnd w:id="266805610"/>
            <w:permEnd w:id="84559506"/>
            <w:r>
              <w:rPr>
                <w:rFonts w:cstheme="minorHAnsi"/>
                <w:szCs w:val="22"/>
                <w:lang w:eastAsia="fr-FR"/>
              </w:rPr>
              <w:t>Euro</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rPr>
          <w:trHeight w:val="416"/>
        </w:trPr>
        <w:tc>
          <w:tcPr>
            <w:tcW w:w="1610" w:type="dxa"/>
          </w:tcPr>
          <w:p w:rsidR="00522B01" w:rsidRDefault="00522B01" w:rsidP="002D6B67">
            <w:pPr>
              <w:rPr>
                <w:rFonts w:cstheme="minorHAnsi"/>
                <w:szCs w:val="22"/>
                <w:lang w:eastAsia="fr-FR"/>
              </w:rPr>
            </w:pPr>
            <w:permStart w:id="530851586" w:edGrp="everyone" w:colFirst="1" w:colLast="1"/>
            <w:permStart w:id="166658711" w:edGrp="everyone" w:colFirst="2" w:colLast="2"/>
            <w:permStart w:id="332813551" w:edGrp="everyone" w:colFirst="3" w:colLast="3"/>
            <w:permStart w:id="1479486865" w:edGrp="everyone" w:colFirst="4" w:colLast="4"/>
            <w:permStart w:id="1770671688" w:edGrp="everyone" w:colFirst="5" w:colLast="5"/>
            <w:permStart w:id="142544419" w:edGrp="everyone" w:colFirst="6" w:colLast="6"/>
            <w:permEnd w:id="1894056845"/>
            <w:permEnd w:id="23090127"/>
            <w:permEnd w:id="644508863"/>
            <w:permEnd w:id="1133533324"/>
            <w:permEnd w:id="1400316848"/>
            <w:permEnd w:id="1172654469"/>
            <w:r>
              <w:rPr>
                <w:rFonts w:cstheme="minorHAnsi"/>
                <w:szCs w:val="22"/>
                <w:lang w:eastAsia="fr-FR"/>
              </w:rPr>
              <w:t>USD</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399388905" w:edGrp="everyone" w:colFirst="1" w:colLast="1"/>
            <w:permStart w:id="1834777567" w:edGrp="everyone" w:colFirst="2" w:colLast="2"/>
            <w:permStart w:id="325791296" w:edGrp="everyone" w:colFirst="3" w:colLast="3"/>
            <w:permStart w:id="1411717893" w:edGrp="everyone" w:colFirst="4" w:colLast="4"/>
            <w:permStart w:id="2130205384" w:edGrp="everyone" w:colFirst="5" w:colLast="5"/>
            <w:permStart w:id="1392984353" w:edGrp="everyone" w:colFirst="6" w:colLast="6"/>
            <w:permEnd w:id="530851586"/>
            <w:permEnd w:id="166658711"/>
            <w:permEnd w:id="332813551"/>
            <w:permEnd w:id="1479486865"/>
            <w:permEnd w:id="1770671688"/>
            <w:permEnd w:id="142544419"/>
            <w:r>
              <w:rPr>
                <w:rFonts w:cstheme="minorHAnsi"/>
                <w:szCs w:val="22"/>
                <w:lang w:eastAsia="fr-FR"/>
              </w:rPr>
              <w:t>GBP</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1788216282" w:edGrp="everyone" w:colFirst="1" w:colLast="1"/>
            <w:permStart w:id="1035292138" w:edGrp="everyone" w:colFirst="2" w:colLast="2"/>
            <w:permStart w:id="1085079699" w:edGrp="everyone" w:colFirst="3" w:colLast="3"/>
            <w:permStart w:id="1156546166" w:edGrp="everyone" w:colFirst="4" w:colLast="4"/>
            <w:permStart w:id="292771659" w:edGrp="everyone" w:colFirst="5" w:colLast="5"/>
            <w:permStart w:id="524687702" w:edGrp="everyone" w:colFirst="6" w:colLast="6"/>
            <w:permEnd w:id="399388905"/>
            <w:permEnd w:id="1834777567"/>
            <w:permEnd w:id="325791296"/>
            <w:permEnd w:id="1411717893"/>
            <w:permEnd w:id="2130205384"/>
            <w:permEnd w:id="1392984353"/>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shd w:val="clear" w:color="auto" w:fill="DBE5F1" w:themeFill="accent1" w:themeFillTint="33"/>
          </w:tcPr>
          <w:p w:rsidR="00522B01" w:rsidRPr="00A43BC6" w:rsidRDefault="00522B01" w:rsidP="002D6B67">
            <w:pPr>
              <w:rPr>
                <w:rFonts w:cstheme="minorHAnsi"/>
                <w:b/>
                <w:szCs w:val="22"/>
                <w:lang w:eastAsia="fr-FR"/>
              </w:rPr>
            </w:pPr>
            <w:permStart w:id="118451817" w:edGrp="everyone" w:colFirst="1" w:colLast="1"/>
            <w:permStart w:id="1303278181" w:edGrp="everyone" w:colFirst="2" w:colLast="2"/>
            <w:permStart w:id="777338885" w:edGrp="everyone" w:colFirst="3" w:colLast="3"/>
            <w:permStart w:id="1945705589" w:edGrp="everyone" w:colFirst="4" w:colLast="4"/>
            <w:permStart w:id="717321611" w:edGrp="everyone" w:colFirst="5" w:colLast="5"/>
            <w:permStart w:id="1951294356" w:edGrp="everyone" w:colFirst="6" w:colLast="6"/>
            <w:permEnd w:id="1788216282"/>
            <w:permEnd w:id="1035292138"/>
            <w:permEnd w:id="1085079699"/>
            <w:permEnd w:id="1156546166"/>
            <w:permEnd w:id="292771659"/>
            <w:permEnd w:id="524687702"/>
            <w:r w:rsidRPr="00A43BC6">
              <w:rPr>
                <w:rFonts w:cstheme="minorHAnsi"/>
                <w:b/>
                <w:szCs w:val="22"/>
                <w:lang w:eastAsia="fr-FR"/>
              </w:rPr>
              <w:t>Equity deriv</w:t>
            </w:r>
            <w:r w:rsidRPr="00A43BC6">
              <w:rPr>
                <w:rFonts w:cstheme="minorHAnsi"/>
                <w:b/>
                <w:szCs w:val="22"/>
                <w:lang w:eastAsia="fr-FR"/>
              </w:rPr>
              <w:t>a</w:t>
            </w:r>
            <w:r w:rsidRPr="00A43BC6">
              <w:rPr>
                <w:rFonts w:cstheme="minorHAnsi"/>
                <w:b/>
                <w:szCs w:val="22"/>
                <w:lang w:eastAsia="fr-FR"/>
              </w:rPr>
              <w:t>tives</w:t>
            </w:r>
          </w:p>
        </w:tc>
        <w:tc>
          <w:tcPr>
            <w:tcW w:w="1438" w:type="dxa"/>
            <w:shd w:val="clear" w:color="auto" w:fill="DBE5F1" w:themeFill="accent1" w:themeFillTint="33"/>
          </w:tcPr>
          <w:p w:rsidR="00522B01" w:rsidRDefault="00522B01" w:rsidP="002D6B67">
            <w:pPr>
              <w:rPr>
                <w:rFonts w:cstheme="minorHAnsi"/>
                <w:szCs w:val="22"/>
                <w:lang w:eastAsia="fr-FR"/>
              </w:rPr>
            </w:pPr>
          </w:p>
        </w:tc>
        <w:tc>
          <w:tcPr>
            <w:tcW w:w="1327" w:type="dxa"/>
            <w:shd w:val="clear" w:color="auto" w:fill="DBE5F1" w:themeFill="accent1" w:themeFillTint="33"/>
          </w:tcPr>
          <w:p w:rsidR="00522B01" w:rsidRDefault="00522B01" w:rsidP="002D6B67">
            <w:pPr>
              <w:rPr>
                <w:rFonts w:cstheme="minorHAnsi"/>
                <w:szCs w:val="22"/>
                <w:lang w:eastAsia="fr-FR"/>
              </w:rPr>
            </w:pPr>
          </w:p>
        </w:tc>
        <w:tc>
          <w:tcPr>
            <w:tcW w:w="1168" w:type="dxa"/>
            <w:shd w:val="clear" w:color="auto" w:fill="DBE5F1" w:themeFill="accent1" w:themeFillTint="33"/>
          </w:tcPr>
          <w:p w:rsidR="00522B01" w:rsidRDefault="00522B01" w:rsidP="002D6B67">
            <w:pPr>
              <w:rPr>
                <w:rFonts w:cstheme="minorHAnsi"/>
                <w:szCs w:val="22"/>
                <w:lang w:eastAsia="fr-FR"/>
              </w:rPr>
            </w:pPr>
          </w:p>
        </w:tc>
        <w:tc>
          <w:tcPr>
            <w:tcW w:w="1194" w:type="dxa"/>
            <w:shd w:val="clear" w:color="auto" w:fill="DBE5F1" w:themeFill="accent1" w:themeFillTint="33"/>
          </w:tcPr>
          <w:p w:rsidR="00522B01" w:rsidRDefault="00522B01" w:rsidP="002D6B67">
            <w:pPr>
              <w:rPr>
                <w:rFonts w:cstheme="minorHAnsi"/>
                <w:szCs w:val="22"/>
                <w:lang w:eastAsia="fr-FR"/>
              </w:rPr>
            </w:pPr>
          </w:p>
        </w:tc>
        <w:tc>
          <w:tcPr>
            <w:tcW w:w="1073" w:type="dxa"/>
            <w:shd w:val="clear" w:color="auto" w:fill="DBE5F1" w:themeFill="accent1" w:themeFillTint="33"/>
          </w:tcPr>
          <w:p w:rsidR="00522B01" w:rsidRDefault="00522B01" w:rsidP="002D6B67">
            <w:pPr>
              <w:rPr>
                <w:rFonts w:cstheme="minorHAnsi"/>
                <w:szCs w:val="22"/>
                <w:lang w:eastAsia="fr-FR"/>
              </w:rPr>
            </w:pPr>
          </w:p>
        </w:tc>
        <w:tc>
          <w:tcPr>
            <w:tcW w:w="1257" w:type="dxa"/>
            <w:shd w:val="clear" w:color="auto" w:fill="DBE5F1" w:themeFill="accent1" w:themeFillTint="33"/>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331230117" w:edGrp="everyone" w:colFirst="1" w:colLast="1"/>
            <w:permStart w:id="96076783" w:edGrp="everyone" w:colFirst="2" w:colLast="2"/>
            <w:permStart w:id="1698649909" w:edGrp="everyone" w:colFirst="3" w:colLast="3"/>
            <w:permStart w:id="1426291758" w:edGrp="everyone" w:colFirst="4" w:colLast="4"/>
            <w:permStart w:id="741745173" w:edGrp="everyone" w:colFirst="5" w:colLast="5"/>
            <w:permStart w:id="559564394" w:edGrp="everyone" w:colFirst="6" w:colLast="6"/>
            <w:permEnd w:id="118451817"/>
            <w:permEnd w:id="1303278181"/>
            <w:permEnd w:id="777338885"/>
            <w:permEnd w:id="1945705589"/>
            <w:permEnd w:id="717321611"/>
            <w:permEnd w:id="1951294356"/>
            <w:r>
              <w:rPr>
                <w:rFonts w:cstheme="minorHAnsi"/>
                <w:szCs w:val="22"/>
                <w:lang w:eastAsia="fr-FR"/>
              </w:rPr>
              <w:t>Euro</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1727479704" w:edGrp="everyone" w:colFirst="1" w:colLast="1"/>
            <w:permStart w:id="1389653051" w:edGrp="everyone" w:colFirst="2" w:colLast="2"/>
            <w:permStart w:id="642539320" w:edGrp="everyone" w:colFirst="3" w:colLast="3"/>
            <w:permStart w:id="2112777826" w:edGrp="everyone" w:colFirst="4" w:colLast="4"/>
            <w:permStart w:id="1157131119" w:edGrp="everyone" w:colFirst="5" w:colLast="5"/>
            <w:permStart w:id="1083844041" w:edGrp="everyone" w:colFirst="6" w:colLast="6"/>
            <w:permEnd w:id="331230117"/>
            <w:permEnd w:id="96076783"/>
            <w:permEnd w:id="1698649909"/>
            <w:permEnd w:id="1426291758"/>
            <w:permEnd w:id="741745173"/>
            <w:permEnd w:id="559564394"/>
            <w:r>
              <w:rPr>
                <w:rFonts w:cstheme="minorHAnsi"/>
                <w:szCs w:val="22"/>
                <w:lang w:eastAsia="fr-FR"/>
              </w:rPr>
              <w:t>USD</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841880624" w:edGrp="everyone" w:colFirst="1" w:colLast="1"/>
            <w:permStart w:id="1449280134" w:edGrp="everyone" w:colFirst="2" w:colLast="2"/>
            <w:permStart w:id="1807167426" w:edGrp="everyone" w:colFirst="3" w:colLast="3"/>
            <w:permStart w:id="808455206" w:edGrp="everyone" w:colFirst="4" w:colLast="4"/>
            <w:permStart w:id="928997597" w:edGrp="everyone" w:colFirst="5" w:colLast="5"/>
            <w:permStart w:id="411989447" w:edGrp="everyone" w:colFirst="6" w:colLast="6"/>
            <w:permEnd w:id="1727479704"/>
            <w:permEnd w:id="1389653051"/>
            <w:permEnd w:id="642539320"/>
            <w:permEnd w:id="2112777826"/>
            <w:permEnd w:id="1157131119"/>
            <w:permEnd w:id="1083844041"/>
            <w:r>
              <w:rPr>
                <w:rFonts w:cstheme="minorHAnsi"/>
                <w:szCs w:val="22"/>
                <w:lang w:eastAsia="fr-FR"/>
              </w:rPr>
              <w:t>GBP</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1581790990" w:edGrp="everyone" w:colFirst="1" w:colLast="1"/>
            <w:permStart w:id="666714106" w:edGrp="everyone" w:colFirst="2" w:colLast="2"/>
            <w:permStart w:id="192561930" w:edGrp="everyone" w:colFirst="3" w:colLast="3"/>
            <w:permStart w:id="307329055" w:edGrp="everyone" w:colFirst="4" w:colLast="4"/>
            <w:permStart w:id="1336301632" w:edGrp="everyone" w:colFirst="5" w:colLast="5"/>
            <w:permStart w:id="379473785" w:edGrp="everyone" w:colFirst="6" w:colLast="6"/>
            <w:permEnd w:id="841880624"/>
            <w:permEnd w:id="1449280134"/>
            <w:permEnd w:id="1807167426"/>
            <w:permEnd w:id="808455206"/>
            <w:permEnd w:id="928997597"/>
            <w:permEnd w:id="411989447"/>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shd w:val="clear" w:color="auto" w:fill="DBE5F1" w:themeFill="accent1" w:themeFillTint="33"/>
          </w:tcPr>
          <w:p w:rsidR="00522B01" w:rsidRPr="00A43BC6" w:rsidRDefault="00522B01" w:rsidP="002D6B67">
            <w:pPr>
              <w:rPr>
                <w:rFonts w:cstheme="minorHAnsi"/>
                <w:b/>
                <w:szCs w:val="22"/>
                <w:lang w:eastAsia="fr-FR"/>
              </w:rPr>
            </w:pPr>
            <w:permStart w:id="579039763" w:edGrp="everyone" w:colFirst="1" w:colLast="1"/>
            <w:permStart w:id="1060449827" w:edGrp="everyone" w:colFirst="2" w:colLast="2"/>
            <w:permStart w:id="456860601" w:edGrp="everyone" w:colFirst="3" w:colLast="3"/>
            <w:permStart w:id="2078362515" w:edGrp="everyone" w:colFirst="4" w:colLast="4"/>
            <w:permStart w:id="551630992" w:edGrp="everyone" w:colFirst="5" w:colLast="5"/>
            <w:permStart w:id="840304697" w:edGrp="everyone" w:colFirst="6" w:colLast="6"/>
            <w:permEnd w:id="1581790990"/>
            <w:permEnd w:id="666714106"/>
            <w:permEnd w:id="192561930"/>
            <w:permEnd w:id="307329055"/>
            <w:permEnd w:id="1336301632"/>
            <w:permEnd w:id="379473785"/>
            <w:r>
              <w:rPr>
                <w:rFonts w:cstheme="minorHAnsi"/>
                <w:b/>
                <w:szCs w:val="22"/>
                <w:lang w:eastAsia="fr-FR"/>
              </w:rPr>
              <w:t>Credit deriv</w:t>
            </w:r>
            <w:r>
              <w:rPr>
                <w:rFonts w:cstheme="minorHAnsi"/>
                <w:b/>
                <w:szCs w:val="22"/>
                <w:lang w:eastAsia="fr-FR"/>
              </w:rPr>
              <w:t>a</w:t>
            </w:r>
            <w:r>
              <w:rPr>
                <w:rFonts w:cstheme="minorHAnsi"/>
                <w:b/>
                <w:szCs w:val="22"/>
                <w:lang w:eastAsia="fr-FR"/>
              </w:rPr>
              <w:t>tives</w:t>
            </w:r>
          </w:p>
        </w:tc>
        <w:tc>
          <w:tcPr>
            <w:tcW w:w="1438" w:type="dxa"/>
            <w:shd w:val="clear" w:color="auto" w:fill="DBE5F1" w:themeFill="accent1" w:themeFillTint="33"/>
          </w:tcPr>
          <w:p w:rsidR="00522B01" w:rsidRDefault="00522B01" w:rsidP="002D6B67">
            <w:pPr>
              <w:rPr>
                <w:rFonts w:cstheme="minorHAnsi"/>
                <w:szCs w:val="22"/>
                <w:lang w:eastAsia="fr-FR"/>
              </w:rPr>
            </w:pPr>
          </w:p>
        </w:tc>
        <w:tc>
          <w:tcPr>
            <w:tcW w:w="1327" w:type="dxa"/>
            <w:shd w:val="clear" w:color="auto" w:fill="DBE5F1" w:themeFill="accent1" w:themeFillTint="33"/>
          </w:tcPr>
          <w:p w:rsidR="00522B01" w:rsidRDefault="00522B01" w:rsidP="002D6B67">
            <w:pPr>
              <w:rPr>
                <w:rFonts w:cstheme="minorHAnsi"/>
                <w:szCs w:val="22"/>
                <w:lang w:eastAsia="fr-FR"/>
              </w:rPr>
            </w:pPr>
          </w:p>
        </w:tc>
        <w:tc>
          <w:tcPr>
            <w:tcW w:w="1168" w:type="dxa"/>
            <w:shd w:val="clear" w:color="auto" w:fill="DBE5F1" w:themeFill="accent1" w:themeFillTint="33"/>
          </w:tcPr>
          <w:p w:rsidR="00522B01" w:rsidRDefault="00522B01" w:rsidP="002D6B67">
            <w:pPr>
              <w:rPr>
                <w:rFonts w:cstheme="minorHAnsi"/>
                <w:szCs w:val="22"/>
                <w:lang w:eastAsia="fr-FR"/>
              </w:rPr>
            </w:pPr>
          </w:p>
        </w:tc>
        <w:tc>
          <w:tcPr>
            <w:tcW w:w="1194" w:type="dxa"/>
            <w:shd w:val="clear" w:color="auto" w:fill="DBE5F1" w:themeFill="accent1" w:themeFillTint="33"/>
          </w:tcPr>
          <w:p w:rsidR="00522B01" w:rsidRDefault="00522B01" w:rsidP="002D6B67">
            <w:pPr>
              <w:rPr>
                <w:rFonts w:cstheme="minorHAnsi"/>
                <w:szCs w:val="22"/>
                <w:lang w:eastAsia="fr-FR"/>
              </w:rPr>
            </w:pPr>
          </w:p>
        </w:tc>
        <w:tc>
          <w:tcPr>
            <w:tcW w:w="1073" w:type="dxa"/>
            <w:shd w:val="clear" w:color="auto" w:fill="DBE5F1" w:themeFill="accent1" w:themeFillTint="33"/>
          </w:tcPr>
          <w:p w:rsidR="00522B01" w:rsidRDefault="00522B01" w:rsidP="002D6B67">
            <w:pPr>
              <w:rPr>
                <w:rFonts w:cstheme="minorHAnsi"/>
                <w:szCs w:val="22"/>
                <w:lang w:eastAsia="fr-FR"/>
              </w:rPr>
            </w:pPr>
          </w:p>
        </w:tc>
        <w:tc>
          <w:tcPr>
            <w:tcW w:w="1257" w:type="dxa"/>
            <w:shd w:val="clear" w:color="auto" w:fill="DBE5F1" w:themeFill="accent1" w:themeFillTint="33"/>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992971" w:edGrp="everyone" w:colFirst="1" w:colLast="1"/>
            <w:permStart w:id="781935143" w:edGrp="everyone" w:colFirst="2" w:colLast="2"/>
            <w:permStart w:id="1231560437" w:edGrp="everyone" w:colFirst="3" w:colLast="3"/>
            <w:permStart w:id="1736008065" w:edGrp="everyone" w:colFirst="4" w:colLast="4"/>
            <w:permStart w:id="932276785" w:edGrp="everyone" w:colFirst="5" w:colLast="5"/>
            <w:permStart w:id="1859485353" w:edGrp="everyone" w:colFirst="6" w:colLast="6"/>
            <w:permEnd w:id="579039763"/>
            <w:permEnd w:id="1060449827"/>
            <w:permEnd w:id="456860601"/>
            <w:permEnd w:id="2078362515"/>
            <w:permEnd w:id="551630992"/>
            <w:permEnd w:id="840304697"/>
            <w:r>
              <w:rPr>
                <w:rFonts w:cstheme="minorHAnsi"/>
                <w:szCs w:val="22"/>
                <w:lang w:eastAsia="fr-FR"/>
              </w:rPr>
              <w:t>Euro</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602283587" w:edGrp="everyone" w:colFirst="1" w:colLast="1"/>
            <w:permStart w:id="1366324810" w:edGrp="everyone" w:colFirst="2" w:colLast="2"/>
            <w:permStart w:id="407637830" w:edGrp="everyone" w:colFirst="3" w:colLast="3"/>
            <w:permStart w:id="1477203555" w:edGrp="everyone" w:colFirst="4" w:colLast="4"/>
            <w:permStart w:id="232787635" w:edGrp="everyone" w:colFirst="5" w:colLast="5"/>
            <w:permStart w:id="879824040" w:edGrp="everyone" w:colFirst="6" w:colLast="6"/>
            <w:permEnd w:id="992971"/>
            <w:permEnd w:id="781935143"/>
            <w:permEnd w:id="1231560437"/>
            <w:permEnd w:id="1736008065"/>
            <w:permEnd w:id="932276785"/>
            <w:permEnd w:id="1859485353"/>
            <w:r>
              <w:rPr>
                <w:rFonts w:cstheme="minorHAnsi"/>
                <w:szCs w:val="22"/>
                <w:lang w:eastAsia="fr-FR"/>
              </w:rPr>
              <w:t>USD</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1901468762" w:edGrp="everyone" w:colFirst="1" w:colLast="1"/>
            <w:permStart w:id="1665675953" w:edGrp="everyone" w:colFirst="2" w:colLast="2"/>
            <w:permStart w:id="1958742075" w:edGrp="everyone" w:colFirst="3" w:colLast="3"/>
            <w:permStart w:id="1806909887" w:edGrp="everyone" w:colFirst="4" w:colLast="4"/>
            <w:permStart w:id="401476185" w:edGrp="everyone" w:colFirst="5" w:colLast="5"/>
            <w:permStart w:id="1413299986" w:edGrp="everyone" w:colFirst="6" w:colLast="6"/>
            <w:permEnd w:id="602283587"/>
            <w:permEnd w:id="1366324810"/>
            <w:permEnd w:id="407637830"/>
            <w:permEnd w:id="1477203555"/>
            <w:permEnd w:id="232787635"/>
            <w:permEnd w:id="879824040"/>
            <w:r>
              <w:rPr>
                <w:rFonts w:cstheme="minorHAnsi"/>
                <w:szCs w:val="22"/>
                <w:lang w:eastAsia="fr-FR"/>
              </w:rPr>
              <w:t>GBP</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1079535257" w:edGrp="everyone" w:colFirst="1" w:colLast="1"/>
            <w:permStart w:id="1805071372" w:edGrp="everyone" w:colFirst="2" w:colLast="2"/>
            <w:permStart w:id="1193295323" w:edGrp="everyone" w:colFirst="3" w:colLast="3"/>
            <w:permStart w:id="1192193116" w:edGrp="everyone" w:colFirst="4" w:colLast="4"/>
            <w:permStart w:id="1278360945" w:edGrp="everyone" w:colFirst="5" w:colLast="5"/>
            <w:permStart w:id="157832741" w:edGrp="everyone" w:colFirst="6" w:colLast="6"/>
            <w:permEnd w:id="1901468762"/>
            <w:permEnd w:id="1665675953"/>
            <w:permEnd w:id="1958742075"/>
            <w:permEnd w:id="1806909887"/>
            <w:permEnd w:id="401476185"/>
            <w:permEnd w:id="1413299986"/>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shd w:val="clear" w:color="auto" w:fill="DBE5F1" w:themeFill="accent1" w:themeFillTint="33"/>
          </w:tcPr>
          <w:p w:rsidR="00522B01" w:rsidRPr="00A43BC6" w:rsidRDefault="00522B01" w:rsidP="002D6B67">
            <w:pPr>
              <w:rPr>
                <w:rFonts w:cstheme="minorHAnsi"/>
                <w:b/>
                <w:szCs w:val="22"/>
                <w:lang w:eastAsia="fr-FR"/>
              </w:rPr>
            </w:pPr>
            <w:permStart w:id="1685850975" w:edGrp="everyone" w:colFirst="1" w:colLast="1"/>
            <w:permStart w:id="1720989648" w:edGrp="everyone" w:colFirst="2" w:colLast="2"/>
            <w:permStart w:id="270277083" w:edGrp="everyone" w:colFirst="3" w:colLast="3"/>
            <w:permStart w:id="1370172844" w:edGrp="everyone" w:colFirst="4" w:colLast="4"/>
            <w:permStart w:id="214914176" w:edGrp="everyone" w:colFirst="5" w:colLast="5"/>
            <w:permStart w:id="508433926" w:edGrp="everyone" w:colFirst="6" w:colLast="6"/>
            <w:permEnd w:id="1079535257"/>
            <w:permEnd w:id="1805071372"/>
            <w:permEnd w:id="1193295323"/>
            <w:permEnd w:id="1192193116"/>
            <w:permEnd w:id="1278360945"/>
            <w:permEnd w:id="157832741"/>
            <w:r w:rsidRPr="00A43BC6">
              <w:rPr>
                <w:rFonts w:cstheme="minorHAnsi"/>
                <w:b/>
                <w:szCs w:val="22"/>
                <w:lang w:eastAsia="fr-FR"/>
              </w:rPr>
              <w:t>Commodity derivatives</w:t>
            </w:r>
          </w:p>
        </w:tc>
        <w:tc>
          <w:tcPr>
            <w:tcW w:w="1438" w:type="dxa"/>
            <w:shd w:val="clear" w:color="auto" w:fill="DBE5F1" w:themeFill="accent1" w:themeFillTint="33"/>
          </w:tcPr>
          <w:p w:rsidR="00522B01" w:rsidRDefault="00522B01" w:rsidP="002D6B67">
            <w:pPr>
              <w:rPr>
                <w:rFonts w:cstheme="minorHAnsi"/>
                <w:szCs w:val="22"/>
                <w:lang w:eastAsia="fr-FR"/>
              </w:rPr>
            </w:pPr>
          </w:p>
        </w:tc>
        <w:tc>
          <w:tcPr>
            <w:tcW w:w="1327" w:type="dxa"/>
            <w:shd w:val="clear" w:color="auto" w:fill="DBE5F1" w:themeFill="accent1" w:themeFillTint="33"/>
          </w:tcPr>
          <w:p w:rsidR="00522B01" w:rsidRDefault="00522B01" w:rsidP="002D6B67">
            <w:pPr>
              <w:rPr>
                <w:rFonts w:cstheme="minorHAnsi"/>
                <w:szCs w:val="22"/>
                <w:lang w:eastAsia="fr-FR"/>
              </w:rPr>
            </w:pPr>
          </w:p>
        </w:tc>
        <w:tc>
          <w:tcPr>
            <w:tcW w:w="1168" w:type="dxa"/>
            <w:shd w:val="clear" w:color="auto" w:fill="DBE5F1" w:themeFill="accent1" w:themeFillTint="33"/>
          </w:tcPr>
          <w:p w:rsidR="00522B01" w:rsidRDefault="00522B01" w:rsidP="002D6B67">
            <w:pPr>
              <w:rPr>
                <w:rFonts w:cstheme="minorHAnsi"/>
                <w:szCs w:val="22"/>
                <w:lang w:eastAsia="fr-FR"/>
              </w:rPr>
            </w:pPr>
          </w:p>
        </w:tc>
        <w:tc>
          <w:tcPr>
            <w:tcW w:w="1194" w:type="dxa"/>
            <w:shd w:val="clear" w:color="auto" w:fill="DBE5F1" w:themeFill="accent1" w:themeFillTint="33"/>
          </w:tcPr>
          <w:p w:rsidR="00522B01" w:rsidRDefault="00522B01" w:rsidP="002D6B67">
            <w:pPr>
              <w:rPr>
                <w:rFonts w:cstheme="minorHAnsi"/>
                <w:szCs w:val="22"/>
                <w:lang w:eastAsia="fr-FR"/>
              </w:rPr>
            </w:pPr>
          </w:p>
        </w:tc>
        <w:tc>
          <w:tcPr>
            <w:tcW w:w="1073" w:type="dxa"/>
            <w:shd w:val="clear" w:color="auto" w:fill="DBE5F1" w:themeFill="accent1" w:themeFillTint="33"/>
          </w:tcPr>
          <w:p w:rsidR="00522B01" w:rsidRDefault="00522B01" w:rsidP="002D6B67">
            <w:pPr>
              <w:rPr>
                <w:rFonts w:cstheme="minorHAnsi"/>
                <w:szCs w:val="22"/>
                <w:lang w:eastAsia="fr-FR"/>
              </w:rPr>
            </w:pPr>
          </w:p>
        </w:tc>
        <w:tc>
          <w:tcPr>
            <w:tcW w:w="1257" w:type="dxa"/>
            <w:shd w:val="clear" w:color="auto" w:fill="DBE5F1" w:themeFill="accent1" w:themeFillTint="33"/>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1897217721" w:edGrp="everyone" w:colFirst="1" w:colLast="1"/>
            <w:permStart w:id="256996733" w:edGrp="everyone" w:colFirst="2" w:colLast="2"/>
            <w:permStart w:id="2064398942" w:edGrp="everyone" w:colFirst="3" w:colLast="3"/>
            <w:permStart w:id="1597525853" w:edGrp="everyone" w:colFirst="4" w:colLast="4"/>
            <w:permStart w:id="813449150" w:edGrp="everyone" w:colFirst="5" w:colLast="5"/>
            <w:permStart w:id="603275919" w:edGrp="everyone" w:colFirst="6" w:colLast="6"/>
            <w:permEnd w:id="1685850975"/>
            <w:permEnd w:id="1720989648"/>
            <w:permEnd w:id="270277083"/>
            <w:permEnd w:id="1370172844"/>
            <w:permEnd w:id="214914176"/>
            <w:permEnd w:id="508433926"/>
            <w:r>
              <w:rPr>
                <w:rFonts w:cstheme="minorHAnsi"/>
                <w:szCs w:val="22"/>
                <w:lang w:eastAsia="fr-FR"/>
              </w:rPr>
              <w:t>Euro</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rPr>
          <w:trHeight w:val="410"/>
        </w:trPr>
        <w:tc>
          <w:tcPr>
            <w:tcW w:w="1610" w:type="dxa"/>
          </w:tcPr>
          <w:p w:rsidR="00522B01" w:rsidRDefault="00522B01" w:rsidP="002D6B67">
            <w:pPr>
              <w:rPr>
                <w:rFonts w:cstheme="minorHAnsi"/>
                <w:szCs w:val="22"/>
                <w:lang w:eastAsia="fr-FR"/>
              </w:rPr>
            </w:pPr>
            <w:permStart w:id="281487042" w:edGrp="everyone" w:colFirst="1" w:colLast="1"/>
            <w:permStart w:id="849693021" w:edGrp="everyone" w:colFirst="2" w:colLast="2"/>
            <w:permStart w:id="1325475497" w:edGrp="everyone" w:colFirst="3" w:colLast="3"/>
            <w:permStart w:id="516495288" w:edGrp="everyone" w:colFirst="4" w:colLast="4"/>
            <w:permStart w:id="1764438428" w:edGrp="everyone" w:colFirst="5" w:colLast="5"/>
            <w:permStart w:id="2122018169" w:edGrp="everyone" w:colFirst="6" w:colLast="6"/>
            <w:permEnd w:id="1897217721"/>
            <w:permEnd w:id="256996733"/>
            <w:permEnd w:id="2064398942"/>
            <w:permEnd w:id="1597525853"/>
            <w:permEnd w:id="813449150"/>
            <w:permEnd w:id="603275919"/>
            <w:r>
              <w:rPr>
                <w:rFonts w:cstheme="minorHAnsi"/>
                <w:szCs w:val="22"/>
                <w:lang w:eastAsia="fr-FR"/>
              </w:rPr>
              <w:t>USD</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2028340637" w:edGrp="everyone" w:colFirst="1" w:colLast="1"/>
            <w:permStart w:id="1473927312" w:edGrp="everyone" w:colFirst="2" w:colLast="2"/>
            <w:permStart w:id="1801616618" w:edGrp="everyone" w:colFirst="3" w:colLast="3"/>
            <w:permStart w:id="2109825386" w:edGrp="everyone" w:colFirst="4" w:colLast="4"/>
            <w:permStart w:id="814421704" w:edGrp="everyone" w:colFirst="5" w:colLast="5"/>
            <w:permStart w:id="1246432274" w:edGrp="everyone" w:colFirst="6" w:colLast="6"/>
            <w:permEnd w:id="281487042"/>
            <w:permEnd w:id="849693021"/>
            <w:permEnd w:id="1325475497"/>
            <w:permEnd w:id="516495288"/>
            <w:permEnd w:id="1764438428"/>
            <w:permEnd w:id="2122018169"/>
            <w:r>
              <w:rPr>
                <w:rFonts w:cstheme="minorHAnsi"/>
                <w:szCs w:val="22"/>
                <w:lang w:eastAsia="fr-FR"/>
              </w:rPr>
              <w:t>GBP</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r w:rsidR="00522B01" w:rsidTr="002D6B67">
        <w:tc>
          <w:tcPr>
            <w:tcW w:w="1610" w:type="dxa"/>
          </w:tcPr>
          <w:p w:rsidR="00522B01" w:rsidRDefault="00522B01" w:rsidP="002D6B67">
            <w:pPr>
              <w:rPr>
                <w:rFonts w:cstheme="minorHAnsi"/>
                <w:szCs w:val="22"/>
                <w:lang w:eastAsia="fr-FR"/>
              </w:rPr>
            </w:pPr>
            <w:permStart w:id="2068079955" w:edGrp="everyone" w:colFirst="1" w:colLast="1"/>
            <w:permStart w:id="763573932" w:edGrp="everyone" w:colFirst="2" w:colLast="2"/>
            <w:permStart w:id="518403913" w:edGrp="everyone" w:colFirst="3" w:colLast="3"/>
            <w:permStart w:id="237310303" w:edGrp="everyone" w:colFirst="4" w:colLast="4"/>
            <w:permStart w:id="2084980209" w:edGrp="everyone" w:colFirst="5" w:colLast="5"/>
            <w:permStart w:id="724789395" w:edGrp="everyone" w:colFirst="6" w:colLast="6"/>
            <w:permEnd w:id="2028340637"/>
            <w:permEnd w:id="1473927312"/>
            <w:permEnd w:id="1801616618"/>
            <w:permEnd w:id="2109825386"/>
            <w:permEnd w:id="814421704"/>
            <w:permEnd w:id="1246432274"/>
            <w:r>
              <w:rPr>
                <w:rFonts w:cstheme="minorHAnsi"/>
                <w:szCs w:val="22"/>
                <w:lang w:eastAsia="fr-FR"/>
              </w:rPr>
              <w:t>Other curre</w:t>
            </w:r>
            <w:r>
              <w:rPr>
                <w:rFonts w:cstheme="minorHAnsi"/>
                <w:szCs w:val="22"/>
                <w:lang w:eastAsia="fr-FR"/>
              </w:rPr>
              <w:t>n</w:t>
            </w:r>
            <w:r>
              <w:rPr>
                <w:rFonts w:cstheme="minorHAnsi"/>
                <w:szCs w:val="22"/>
                <w:lang w:eastAsia="fr-FR"/>
              </w:rPr>
              <w:t>cies (please specify)</w:t>
            </w:r>
          </w:p>
        </w:tc>
        <w:tc>
          <w:tcPr>
            <w:tcW w:w="1438" w:type="dxa"/>
          </w:tcPr>
          <w:p w:rsidR="00522B01" w:rsidRDefault="00522B01" w:rsidP="002D6B67">
            <w:pPr>
              <w:rPr>
                <w:rFonts w:cstheme="minorHAnsi"/>
                <w:szCs w:val="22"/>
                <w:lang w:eastAsia="fr-FR"/>
              </w:rPr>
            </w:pPr>
          </w:p>
        </w:tc>
        <w:tc>
          <w:tcPr>
            <w:tcW w:w="1327" w:type="dxa"/>
          </w:tcPr>
          <w:p w:rsidR="00522B01" w:rsidRDefault="00522B01" w:rsidP="002D6B67">
            <w:pPr>
              <w:rPr>
                <w:rFonts w:cstheme="minorHAnsi"/>
                <w:szCs w:val="22"/>
                <w:lang w:eastAsia="fr-FR"/>
              </w:rPr>
            </w:pPr>
          </w:p>
        </w:tc>
        <w:tc>
          <w:tcPr>
            <w:tcW w:w="1168" w:type="dxa"/>
          </w:tcPr>
          <w:p w:rsidR="00522B01" w:rsidRDefault="00522B01" w:rsidP="002D6B67">
            <w:pPr>
              <w:rPr>
                <w:rFonts w:cstheme="minorHAnsi"/>
                <w:szCs w:val="22"/>
                <w:lang w:eastAsia="fr-FR"/>
              </w:rPr>
            </w:pPr>
          </w:p>
        </w:tc>
        <w:tc>
          <w:tcPr>
            <w:tcW w:w="1194" w:type="dxa"/>
          </w:tcPr>
          <w:p w:rsidR="00522B01" w:rsidRDefault="00522B01" w:rsidP="002D6B67">
            <w:pPr>
              <w:rPr>
                <w:rFonts w:cstheme="minorHAnsi"/>
                <w:szCs w:val="22"/>
                <w:lang w:eastAsia="fr-FR"/>
              </w:rPr>
            </w:pPr>
          </w:p>
        </w:tc>
        <w:tc>
          <w:tcPr>
            <w:tcW w:w="1073" w:type="dxa"/>
          </w:tcPr>
          <w:p w:rsidR="00522B01" w:rsidRDefault="00522B01" w:rsidP="002D6B67">
            <w:pPr>
              <w:rPr>
                <w:rFonts w:cstheme="minorHAnsi"/>
                <w:szCs w:val="22"/>
                <w:lang w:eastAsia="fr-FR"/>
              </w:rPr>
            </w:pPr>
          </w:p>
        </w:tc>
        <w:tc>
          <w:tcPr>
            <w:tcW w:w="1257" w:type="dxa"/>
          </w:tcPr>
          <w:p w:rsidR="00522B01" w:rsidRDefault="00522B01" w:rsidP="002D6B67">
            <w:pPr>
              <w:rPr>
                <w:rFonts w:cstheme="minorHAnsi"/>
                <w:szCs w:val="22"/>
                <w:lang w:eastAsia="fr-FR"/>
              </w:rPr>
            </w:pPr>
          </w:p>
        </w:tc>
      </w:tr>
    </w:tbl>
    <w:permEnd w:id="2068079955"/>
    <w:permEnd w:id="763573932"/>
    <w:permEnd w:id="518403913"/>
    <w:permEnd w:id="237310303"/>
    <w:permEnd w:id="2084980209"/>
    <w:permEnd w:id="724789395"/>
    <w:p w:rsidR="00EF314C" w:rsidRDefault="00EF314C" w:rsidP="00EF314C">
      <w:r>
        <w:t>&lt;ESMA_QUESTION_</w:t>
      </w:r>
      <w:r w:rsidR="002C0642">
        <w:t>MIFID_PO</w:t>
      </w:r>
      <w:r>
        <w:t>_</w:t>
      </w:r>
      <w:r w:rsidR="00273633">
        <w:t>29</w:t>
      </w:r>
      <w:r>
        <w:t>&gt;</w:t>
      </w:r>
    </w:p>
    <w:p w:rsidR="00EF314C" w:rsidRDefault="00EF314C" w:rsidP="00EF314C">
      <w:pPr>
        <w:rPr>
          <w:rFonts w:cs="Arial"/>
          <w:b/>
          <w:sz w:val="22"/>
          <w:szCs w:val="22"/>
          <w:lang w:eastAsia="en-US"/>
        </w:rPr>
      </w:pPr>
    </w:p>
    <w:p w:rsidR="00EF314C" w:rsidRDefault="00522B01" w:rsidP="00522B01">
      <w:pPr>
        <w:pStyle w:val="CPQuestions"/>
      </w:pPr>
      <w:r w:rsidRPr="00522B01">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rsidR="00EF314C" w:rsidRDefault="00EF314C" w:rsidP="00EF314C">
      <w:r>
        <w:t>&lt;ESMA_QUESTION_</w:t>
      </w:r>
      <w:r w:rsidR="002C0642">
        <w:t>MIFID_PO</w:t>
      </w:r>
      <w:r>
        <w:t>_</w:t>
      </w:r>
      <w:r w:rsidR="00273633">
        <w:t>30</w:t>
      </w:r>
      <w:r>
        <w:t>&gt;</w:t>
      </w:r>
    </w:p>
    <w:p w:rsidR="00EF314C" w:rsidRDefault="00EF314C" w:rsidP="00EF314C">
      <w:permStart w:id="1371632305" w:edGrp="everyone"/>
      <w:r>
        <w:t xml:space="preserve">TYPE </w:t>
      </w:r>
      <w:r w:rsidR="009934BB">
        <w:t>YOUR TEXT</w:t>
      </w:r>
      <w:r>
        <w:t xml:space="preserve"> HERE</w:t>
      </w:r>
      <w:permEnd w:id="1371632305"/>
    </w:p>
    <w:p w:rsidR="00EF314C" w:rsidRDefault="00EF314C" w:rsidP="00EF314C">
      <w:r>
        <w:t>&lt;ESMA_QUESTION_</w:t>
      </w:r>
      <w:r w:rsidR="002C0642">
        <w:t>MIFID_PO</w:t>
      </w:r>
      <w:r>
        <w:t>_</w:t>
      </w:r>
      <w:r w:rsidR="00273633">
        <w:t>30</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CBAQ3: In which area do you anticipate the costs of complying with ESMA’ draft RTS to stem from (e.g. IT, training)?</w:t>
      </w:r>
    </w:p>
    <w:p w:rsidR="00EF314C" w:rsidRDefault="00EF314C" w:rsidP="00EF314C">
      <w:r>
        <w:t>&lt;ESMA_QUESTION_</w:t>
      </w:r>
      <w:r w:rsidR="002C0642">
        <w:t>MIFID_PO</w:t>
      </w:r>
      <w:r>
        <w:t>_</w:t>
      </w:r>
      <w:r w:rsidR="00273633">
        <w:t>31</w:t>
      </w:r>
      <w:r>
        <w:t>&gt;</w:t>
      </w:r>
    </w:p>
    <w:p w:rsidR="00EF314C" w:rsidRDefault="00EF314C" w:rsidP="00EF314C">
      <w:permStart w:id="1543056038" w:edGrp="everyone"/>
      <w:r>
        <w:t>TYPE YOUR TEXT HERE</w:t>
      </w:r>
      <w:permEnd w:id="1543056038"/>
    </w:p>
    <w:p w:rsidR="00EF314C" w:rsidRDefault="00EF314C" w:rsidP="00EF314C">
      <w:r>
        <w:t>&lt;ESMA_QUESTION_</w:t>
      </w:r>
      <w:r w:rsidR="002C0642">
        <w:t>MIFID_PO</w:t>
      </w:r>
      <w:r>
        <w:t>_</w:t>
      </w:r>
      <w:r w:rsidR="00273633">
        <w:t>31</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rsidR="00EF314C" w:rsidRDefault="00EF314C" w:rsidP="00EF314C">
      <w:r>
        <w:t>&lt;ESMA_QUESTION_</w:t>
      </w:r>
      <w:r w:rsidR="002C0642">
        <w:t>MIFID_PO</w:t>
      </w:r>
      <w:r>
        <w:t>_</w:t>
      </w:r>
      <w:r w:rsidR="00273633">
        <w:t>32</w:t>
      </w:r>
      <w:r>
        <w:t>&gt;</w:t>
      </w:r>
    </w:p>
    <w:p w:rsidR="00EF314C" w:rsidRDefault="00EF314C" w:rsidP="00EF314C">
      <w:permStart w:id="491592012" w:edGrp="everyone"/>
      <w:r>
        <w:t>TYPE YOUR TEXT HERE</w:t>
      </w:r>
      <w:permEnd w:id="491592012"/>
    </w:p>
    <w:p w:rsidR="00EF314C" w:rsidRDefault="00EF314C" w:rsidP="00EF314C">
      <w:r>
        <w:t>&lt;ESMA_QUESTION_</w:t>
      </w:r>
      <w:r w:rsidR="002C0642">
        <w:t>MIFID_PO</w:t>
      </w:r>
      <w:r>
        <w:t>_</w:t>
      </w:r>
      <w:r w:rsidR="00273633">
        <w:t>32</w:t>
      </w:r>
      <w:r>
        <w:t>&gt;</w:t>
      </w:r>
    </w:p>
    <w:p w:rsidR="00EF314C" w:rsidRDefault="00EF314C" w:rsidP="00EF314C">
      <w:pPr>
        <w:rPr>
          <w:rFonts w:cs="Arial"/>
          <w:b/>
          <w:sz w:val="22"/>
          <w:szCs w:val="22"/>
          <w:lang w:eastAsia="en-US"/>
        </w:rPr>
      </w:pPr>
    </w:p>
    <w:p w:rsidR="00EF314C" w:rsidRDefault="00522B01" w:rsidP="00522B01">
      <w:pPr>
        <w:pStyle w:val="CPQuestions"/>
      </w:pPr>
      <w:r w:rsidRPr="00522B01">
        <w:t>CBAQ5: In relation to the size of your business, do you expect those costs to be:</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rsidR="00522B01" w:rsidRPr="000E6B5B" w:rsidRDefault="00522B01" w:rsidP="00522B01">
      <w:pPr>
        <w:pStyle w:val="CPQuestions"/>
        <w:numPr>
          <w:ilvl w:val="0"/>
          <w:numId w:val="0"/>
        </w:numPr>
        <w:ind w:left="360"/>
      </w:pPr>
    </w:p>
    <w:p w:rsidR="00EF314C" w:rsidRDefault="00EF314C" w:rsidP="00EF314C">
      <w:r>
        <w:t>&lt;ESMA_QUESTION_</w:t>
      </w:r>
      <w:r w:rsidR="002C0642">
        <w:t>MIFID_PO</w:t>
      </w:r>
      <w:r>
        <w:t>_</w:t>
      </w:r>
      <w:r w:rsidR="00273633">
        <w:t>33</w:t>
      </w:r>
      <w:r>
        <w:t>&gt;</w:t>
      </w:r>
    </w:p>
    <w:p w:rsidR="00EF314C" w:rsidRDefault="00EF314C" w:rsidP="00EF314C">
      <w:permStart w:id="1600273600" w:edGrp="everyone"/>
      <w:r>
        <w:t>TYPE YOUR TEXT HERE</w:t>
      </w:r>
      <w:permEnd w:id="1600273600"/>
    </w:p>
    <w:p w:rsidR="00EF314C" w:rsidRDefault="00EF314C" w:rsidP="00EF314C">
      <w:r>
        <w:t>&lt;ESMA_QUESTION_</w:t>
      </w:r>
      <w:r w:rsidR="002C0642">
        <w:t>MIFID_PO</w:t>
      </w:r>
      <w:r>
        <w:t>_</w:t>
      </w:r>
      <w:r w:rsidR="00273633">
        <w:t>33</w:t>
      </w:r>
      <w:r>
        <w:t>&gt;</w:t>
      </w:r>
    </w:p>
    <w:p w:rsidR="00EF314C" w:rsidRDefault="00EF314C" w:rsidP="00EF314C">
      <w:pPr>
        <w:rPr>
          <w:rFonts w:cs="Arial"/>
          <w:b/>
          <w:sz w:val="22"/>
          <w:szCs w:val="22"/>
          <w:lang w:eastAsia="en-US"/>
        </w:rPr>
      </w:pPr>
    </w:p>
    <w:p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rsidR="00273633" w:rsidRDefault="00EF314C" w:rsidP="00273633">
      <w:pPr>
        <w:pStyle w:val="00bDBInfo"/>
        <w:framePr w:hSpace="142" w:wrap="around" w:vAnchor="page" w:hAnchor="page" w:x="1248" w:y="15820"/>
        <w:suppressOverlap/>
      </w:pPr>
      <w:r>
        <w:t>&lt;ESMA_QUESTION_</w:t>
      </w:r>
      <w:r w:rsidR="002C0642">
        <w:t>MIFID_PO</w:t>
      </w:r>
    </w:p>
    <w:p w:rsidR="00273633" w:rsidRDefault="00273633" w:rsidP="00273633">
      <w:r>
        <w:t>&lt;ESMA_QUESTION_</w:t>
      </w:r>
      <w:r w:rsidR="002C0642">
        <w:t>MIFID_PO</w:t>
      </w:r>
      <w:r>
        <w:t>_34&gt;</w:t>
      </w:r>
    </w:p>
    <w:p w:rsidR="00273633" w:rsidRDefault="00273633" w:rsidP="00273633">
      <w:permStart w:id="636619376" w:edGrp="everyone"/>
      <w:r>
        <w:t>TYPE YOUR TEXT HERE</w:t>
      </w:r>
      <w:permEnd w:id="636619376"/>
    </w:p>
    <w:p w:rsidR="00273633" w:rsidRDefault="00273633" w:rsidP="00273633">
      <w:r>
        <w:t>&lt;ESMA_QUESTION_</w:t>
      </w:r>
      <w:r w:rsidR="002C0642">
        <w:t>MIFID_PO</w:t>
      </w:r>
      <w:r>
        <w:t>_34&gt;</w:t>
      </w:r>
    </w:p>
    <w:p w:rsidR="00EF314C" w:rsidRDefault="00EF314C" w:rsidP="00EF314C">
      <w:pPr>
        <w:rPr>
          <w:rFonts w:cs="Arial"/>
          <w:b/>
          <w:sz w:val="22"/>
          <w:szCs w:val="22"/>
          <w:lang w:eastAsia="en-US"/>
        </w:rPr>
      </w:pPr>
    </w:p>
    <w:p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rsidR="00EF314C" w:rsidRDefault="00EF314C" w:rsidP="00EF314C">
      <w:r>
        <w:t>&lt;ESMA_QUESTION_</w:t>
      </w:r>
      <w:r w:rsidR="002C0642">
        <w:t>MIFID_PO</w:t>
      </w:r>
      <w:r>
        <w:t>_35&gt;</w:t>
      </w:r>
    </w:p>
    <w:p w:rsidR="00EF314C" w:rsidRDefault="00EF314C" w:rsidP="00EF314C">
      <w:permStart w:id="1482912877" w:edGrp="everyone"/>
      <w:r>
        <w:t>TYPE YOUR TEXT HERE</w:t>
      </w:r>
      <w:permEnd w:id="1482912877"/>
    </w:p>
    <w:p w:rsidR="00EF314C" w:rsidRDefault="00EF314C" w:rsidP="00EF314C">
      <w:r>
        <w:t>&lt;ESMA_QUESTION_</w:t>
      </w:r>
      <w:r w:rsidR="002C0642">
        <w:t>MIFID_PO</w:t>
      </w:r>
      <w:r>
        <w:t>_35&gt;</w:t>
      </w:r>
    </w:p>
    <w:p w:rsidR="00EF314C" w:rsidRDefault="00EF314C"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rsidR="00522B01" w:rsidRDefault="00522B01" w:rsidP="00522B01">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522B01" w:rsidTr="002D6B67">
        <w:tc>
          <w:tcPr>
            <w:tcW w:w="2547" w:type="dxa"/>
            <w:shd w:val="clear" w:color="auto" w:fill="B8CCE4" w:themeFill="accent1" w:themeFillTint="66"/>
          </w:tcPr>
          <w:p w:rsidR="00522B01" w:rsidRPr="002D2676" w:rsidRDefault="00522B01" w:rsidP="002D6B67">
            <w:pPr>
              <w:rPr>
                <w:b/>
                <w:lang w:eastAsia="fr-FR"/>
              </w:rPr>
            </w:pPr>
            <w:r w:rsidRPr="002D2676">
              <w:rPr>
                <w:b/>
                <w:lang w:eastAsia="fr-FR"/>
              </w:rPr>
              <w:t>Expected Impact on</w:t>
            </w:r>
          </w:p>
        </w:tc>
        <w:tc>
          <w:tcPr>
            <w:tcW w:w="1417" w:type="dxa"/>
            <w:shd w:val="clear" w:color="auto" w:fill="B8CCE4" w:themeFill="accent1" w:themeFillTint="66"/>
          </w:tcPr>
          <w:p w:rsidR="00522B01" w:rsidRPr="002D2676" w:rsidRDefault="00522B01" w:rsidP="002D6B67">
            <w:pPr>
              <w:rPr>
                <w:b/>
                <w:lang w:eastAsia="fr-FR"/>
              </w:rPr>
            </w:pPr>
            <w:r w:rsidRPr="002D2676">
              <w:rPr>
                <w:b/>
                <w:lang w:eastAsia="fr-FR"/>
              </w:rPr>
              <w:t xml:space="preserve">Yes/No/NA </w:t>
            </w:r>
          </w:p>
        </w:tc>
        <w:tc>
          <w:tcPr>
            <w:tcW w:w="2552" w:type="dxa"/>
            <w:shd w:val="clear" w:color="auto" w:fill="B8CCE4" w:themeFill="accent1" w:themeFillTint="66"/>
          </w:tcPr>
          <w:p w:rsidR="00522B01" w:rsidRPr="002D2676" w:rsidRDefault="00522B01" w:rsidP="002D6B67">
            <w:pPr>
              <w:rPr>
                <w:b/>
                <w:lang w:eastAsia="fr-FR"/>
              </w:rPr>
            </w:pPr>
            <w:r w:rsidRPr="002D2676">
              <w:rPr>
                <w:b/>
                <w:lang w:eastAsia="fr-FR"/>
              </w:rPr>
              <w:t>Positive Impact</w:t>
            </w:r>
          </w:p>
        </w:tc>
        <w:tc>
          <w:tcPr>
            <w:tcW w:w="2835" w:type="dxa"/>
            <w:shd w:val="clear" w:color="auto" w:fill="B8CCE4" w:themeFill="accent1" w:themeFillTint="66"/>
          </w:tcPr>
          <w:p w:rsidR="00522B01" w:rsidRPr="002D2676" w:rsidRDefault="00522B01" w:rsidP="002D6B67">
            <w:pPr>
              <w:rPr>
                <w:b/>
                <w:lang w:eastAsia="fr-FR"/>
              </w:rPr>
            </w:pPr>
            <w:r w:rsidRPr="002D2676">
              <w:rPr>
                <w:b/>
                <w:lang w:eastAsia="fr-FR"/>
              </w:rPr>
              <w:t>Negative impact</w:t>
            </w:r>
          </w:p>
        </w:tc>
      </w:tr>
      <w:tr w:rsidR="00522B01" w:rsidTr="002D6B67">
        <w:tc>
          <w:tcPr>
            <w:tcW w:w="2547" w:type="dxa"/>
            <w:shd w:val="clear" w:color="auto" w:fill="DBE5F1" w:themeFill="accent1" w:themeFillTint="33"/>
          </w:tcPr>
          <w:p w:rsidR="00522B01" w:rsidRPr="002D2676" w:rsidRDefault="00522B01" w:rsidP="002D6B67">
            <w:pPr>
              <w:rPr>
                <w:b/>
                <w:lang w:eastAsia="fr-FR"/>
              </w:rPr>
            </w:pPr>
            <w:permStart w:id="1787562643" w:edGrp="everyone" w:colFirst="1" w:colLast="1"/>
            <w:permStart w:id="484723860" w:edGrp="everyone" w:colFirst="2" w:colLast="2"/>
            <w:permStart w:id="1956122230" w:edGrp="everyone" w:colFirst="3" w:colLast="3"/>
            <w:r w:rsidRPr="002D2676">
              <w:rPr>
                <w:b/>
                <w:lang w:eastAsia="fr-FR"/>
              </w:rPr>
              <w:t xml:space="preserve">Market structure (changes in trading models, in trading strategies…) </w:t>
            </w:r>
          </w:p>
        </w:tc>
        <w:tc>
          <w:tcPr>
            <w:tcW w:w="1417" w:type="dxa"/>
          </w:tcPr>
          <w:p w:rsidR="00522B01" w:rsidRDefault="00522B01" w:rsidP="002D6B67">
            <w:pPr>
              <w:rPr>
                <w:lang w:eastAsia="fr-FR"/>
              </w:rPr>
            </w:pPr>
          </w:p>
        </w:tc>
        <w:tc>
          <w:tcPr>
            <w:tcW w:w="2552" w:type="dxa"/>
          </w:tcPr>
          <w:p w:rsidR="00522B01" w:rsidRDefault="00522B01" w:rsidP="002D6B67">
            <w:pPr>
              <w:rPr>
                <w:lang w:eastAsia="fr-FR"/>
              </w:rPr>
            </w:pPr>
          </w:p>
        </w:tc>
        <w:tc>
          <w:tcPr>
            <w:tcW w:w="2835" w:type="dxa"/>
          </w:tcPr>
          <w:p w:rsidR="00522B01" w:rsidRDefault="00522B01" w:rsidP="002D6B67">
            <w:pPr>
              <w:rPr>
                <w:lang w:eastAsia="fr-FR"/>
              </w:rPr>
            </w:pPr>
          </w:p>
        </w:tc>
      </w:tr>
      <w:tr w:rsidR="00522B01" w:rsidTr="002D6B67">
        <w:trPr>
          <w:trHeight w:val="1185"/>
        </w:trPr>
        <w:tc>
          <w:tcPr>
            <w:tcW w:w="2547" w:type="dxa"/>
            <w:shd w:val="clear" w:color="auto" w:fill="DBE5F1" w:themeFill="accent1" w:themeFillTint="33"/>
          </w:tcPr>
          <w:p w:rsidR="00522B01" w:rsidRPr="002D2676" w:rsidRDefault="00522B01" w:rsidP="002D6B67">
            <w:pPr>
              <w:rPr>
                <w:b/>
                <w:lang w:eastAsia="fr-FR"/>
              </w:rPr>
            </w:pPr>
            <w:permStart w:id="563954349" w:edGrp="everyone" w:colFirst="1" w:colLast="1"/>
            <w:permStart w:id="565594877" w:edGrp="everyone" w:colFirst="2" w:colLast="2"/>
            <w:permStart w:id="1096641758" w:edGrp="everyone" w:colFirst="3" w:colLast="3"/>
            <w:permEnd w:id="1787562643"/>
            <w:permEnd w:id="484723860"/>
            <w:permEnd w:id="1956122230"/>
            <w:r w:rsidRPr="002D2676">
              <w:rPr>
                <w:b/>
                <w:lang w:eastAsia="fr-FR"/>
              </w:rPr>
              <w:t>Liquidity</w:t>
            </w:r>
          </w:p>
          <w:p w:rsidR="00522B01" w:rsidRPr="002D2676" w:rsidRDefault="00522B01" w:rsidP="002D6B67">
            <w:pPr>
              <w:rPr>
                <w:b/>
                <w:lang w:eastAsia="fr-FR"/>
              </w:rPr>
            </w:pPr>
            <w:r w:rsidRPr="002D2676">
              <w:rPr>
                <w:b/>
                <w:lang w:eastAsia="fr-FR"/>
              </w:rPr>
              <w:t>(please explain how you measure liquidity)</w:t>
            </w:r>
          </w:p>
        </w:tc>
        <w:tc>
          <w:tcPr>
            <w:tcW w:w="1417" w:type="dxa"/>
          </w:tcPr>
          <w:p w:rsidR="00522B01" w:rsidRDefault="00522B01" w:rsidP="002D6B67">
            <w:pPr>
              <w:rPr>
                <w:lang w:eastAsia="fr-FR"/>
              </w:rPr>
            </w:pPr>
          </w:p>
        </w:tc>
        <w:tc>
          <w:tcPr>
            <w:tcW w:w="2552" w:type="dxa"/>
          </w:tcPr>
          <w:p w:rsidR="00522B01" w:rsidRDefault="00522B01" w:rsidP="002D6B67">
            <w:pPr>
              <w:rPr>
                <w:lang w:eastAsia="fr-FR"/>
              </w:rPr>
            </w:pPr>
          </w:p>
        </w:tc>
        <w:tc>
          <w:tcPr>
            <w:tcW w:w="2835" w:type="dxa"/>
          </w:tcPr>
          <w:p w:rsidR="00522B01" w:rsidRDefault="00522B01" w:rsidP="002D6B67">
            <w:pPr>
              <w:rPr>
                <w:lang w:eastAsia="fr-FR"/>
              </w:rPr>
            </w:pPr>
          </w:p>
        </w:tc>
      </w:tr>
      <w:tr w:rsidR="00522B01" w:rsidTr="002D6B67">
        <w:tc>
          <w:tcPr>
            <w:tcW w:w="2547" w:type="dxa"/>
            <w:shd w:val="clear" w:color="auto" w:fill="DBE5F1" w:themeFill="accent1" w:themeFillTint="33"/>
          </w:tcPr>
          <w:p w:rsidR="00522B01" w:rsidRPr="002D2676" w:rsidRDefault="00522B01" w:rsidP="002D6B67">
            <w:pPr>
              <w:rPr>
                <w:b/>
                <w:lang w:eastAsia="fr-FR"/>
              </w:rPr>
            </w:pPr>
            <w:permStart w:id="222117818" w:edGrp="everyone" w:colFirst="1" w:colLast="1"/>
            <w:permStart w:id="1689717929" w:edGrp="everyone" w:colFirst="2" w:colLast="2"/>
            <w:permStart w:id="957512693" w:edGrp="everyone" w:colFirst="3" w:colLast="3"/>
            <w:permEnd w:id="563954349"/>
            <w:permEnd w:id="565594877"/>
            <w:permEnd w:id="1096641758"/>
            <w:r w:rsidRPr="002D2676">
              <w:rPr>
                <w:b/>
                <w:lang w:eastAsia="fr-FR"/>
              </w:rPr>
              <w:t>End users</w:t>
            </w:r>
          </w:p>
        </w:tc>
        <w:tc>
          <w:tcPr>
            <w:tcW w:w="1417" w:type="dxa"/>
          </w:tcPr>
          <w:p w:rsidR="00522B01" w:rsidRDefault="00522B01" w:rsidP="002D6B67">
            <w:pPr>
              <w:rPr>
                <w:lang w:eastAsia="fr-FR"/>
              </w:rPr>
            </w:pPr>
          </w:p>
        </w:tc>
        <w:tc>
          <w:tcPr>
            <w:tcW w:w="2552" w:type="dxa"/>
          </w:tcPr>
          <w:p w:rsidR="00522B01" w:rsidRDefault="00522B01" w:rsidP="002D6B67">
            <w:pPr>
              <w:rPr>
                <w:lang w:eastAsia="fr-FR"/>
              </w:rPr>
            </w:pPr>
          </w:p>
        </w:tc>
        <w:tc>
          <w:tcPr>
            <w:tcW w:w="2835" w:type="dxa"/>
          </w:tcPr>
          <w:p w:rsidR="00522B01" w:rsidRDefault="00522B01" w:rsidP="002D6B67">
            <w:pPr>
              <w:rPr>
                <w:lang w:eastAsia="fr-FR"/>
              </w:rPr>
            </w:pPr>
          </w:p>
        </w:tc>
      </w:tr>
      <w:tr w:rsidR="00522B01" w:rsidTr="002D6B67">
        <w:tc>
          <w:tcPr>
            <w:tcW w:w="2547" w:type="dxa"/>
            <w:shd w:val="clear" w:color="auto" w:fill="DBE5F1" w:themeFill="accent1" w:themeFillTint="33"/>
          </w:tcPr>
          <w:p w:rsidR="00522B01" w:rsidRPr="002D2676" w:rsidRDefault="00522B01" w:rsidP="002D6B67">
            <w:pPr>
              <w:rPr>
                <w:b/>
                <w:lang w:eastAsia="fr-FR"/>
              </w:rPr>
            </w:pPr>
            <w:permStart w:id="784742037" w:edGrp="everyone" w:colFirst="1" w:colLast="1"/>
            <w:permStart w:id="1230574627" w:edGrp="everyone" w:colFirst="2" w:colLast="2"/>
            <w:permStart w:id="810361979" w:edGrp="everyone" w:colFirst="3" w:colLast="3"/>
            <w:permEnd w:id="222117818"/>
            <w:permEnd w:id="1689717929"/>
            <w:permEnd w:id="957512693"/>
            <w:r w:rsidRPr="002D2676">
              <w:rPr>
                <w:b/>
                <w:lang w:eastAsia="fr-FR"/>
              </w:rPr>
              <w:t>Other (specify)</w:t>
            </w:r>
          </w:p>
        </w:tc>
        <w:tc>
          <w:tcPr>
            <w:tcW w:w="1417" w:type="dxa"/>
          </w:tcPr>
          <w:p w:rsidR="00522B01" w:rsidRDefault="00522B01" w:rsidP="002D6B67">
            <w:pPr>
              <w:rPr>
                <w:lang w:eastAsia="fr-FR"/>
              </w:rPr>
            </w:pPr>
          </w:p>
        </w:tc>
        <w:tc>
          <w:tcPr>
            <w:tcW w:w="2552" w:type="dxa"/>
          </w:tcPr>
          <w:p w:rsidR="00522B01" w:rsidRDefault="00522B01" w:rsidP="002D6B67">
            <w:pPr>
              <w:rPr>
                <w:lang w:eastAsia="fr-FR"/>
              </w:rPr>
            </w:pPr>
          </w:p>
        </w:tc>
        <w:tc>
          <w:tcPr>
            <w:tcW w:w="2835" w:type="dxa"/>
          </w:tcPr>
          <w:p w:rsidR="00522B01" w:rsidRDefault="00522B01" w:rsidP="002D6B67">
            <w:pPr>
              <w:rPr>
                <w:lang w:eastAsia="fr-FR"/>
              </w:rPr>
            </w:pPr>
          </w:p>
        </w:tc>
      </w:tr>
    </w:tbl>
    <w:permEnd w:id="784742037"/>
    <w:permEnd w:id="1230574627"/>
    <w:permEnd w:id="810361979"/>
    <w:p w:rsidR="00522B01" w:rsidRDefault="00522B01" w:rsidP="00522B01">
      <w:r>
        <w:t>&lt;ESMA_QUESTION_MIFID_PO_36&gt;</w:t>
      </w:r>
    </w:p>
    <w:p w:rsidR="00522B01" w:rsidRDefault="00522B01" w:rsidP="00522B01"/>
    <w:p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rsidR="00522B01" w:rsidRDefault="00522B01" w:rsidP="00522B01">
      <w:r>
        <w:t>&lt;ESMA_QUESTION_MIFID_PO_37&gt;</w:t>
      </w:r>
    </w:p>
    <w:p w:rsidR="00522B01" w:rsidRDefault="00522B01" w:rsidP="00522B01">
      <w:permStart w:id="610617125" w:edGrp="everyone"/>
      <w:r>
        <w:t>TYPE YOUR TEXT HERE</w:t>
      </w:r>
      <w:permEnd w:id="610617125"/>
    </w:p>
    <w:p w:rsidR="00522B01" w:rsidRDefault="00522B01" w:rsidP="00522B01">
      <w:r>
        <w:t>&lt;ESMA_QUESTION_MIFID_PO_37&gt;</w:t>
      </w:r>
    </w:p>
    <w:p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rsidR="00522B01" w:rsidRDefault="00522B01" w:rsidP="00522B01">
      <w:r>
        <w:t>&lt;ESMA_QUESTION_MIFID_PO_38&gt;</w:t>
      </w:r>
    </w:p>
    <w:p w:rsidR="00522B01" w:rsidRDefault="00522B01" w:rsidP="00522B01">
      <w:permStart w:id="889287028" w:edGrp="everyone"/>
      <w:r>
        <w:t>TYPE YOUR TEXT HERE</w:t>
      </w:r>
      <w:permEnd w:id="889287028"/>
    </w:p>
    <w:p w:rsidR="00522B01" w:rsidRDefault="00522B01" w:rsidP="00522B01">
      <w:r>
        <w:t>&lt;ESMA_QUESTION_MIFID_PO_38&gt;</w:t>
      </w:r>
    </w:p>
    <w:p w:rsidR="00522B01" w:rsidRDefault="00522B01" w:rsidP="00522B01"/>
    <w:p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rsidR="00522B01" w:rsidRPr="00522B01" w:rsidRDefault="00522B01" w:rsidP="00522B01">
      <w:pPr>
        <w:rPr>
          <w:rFonts w:cstheme="minorBidi"/>
          <w:b/>
          <w:sz w:val="22"/>
          <w:szCs w:val="20"/>
          <w:lang w:eastAsia="fr-FR"/>
        </w:rPr>
      </w:pPr>
    </w:p>
    <w:p w:rsidR="00522B01" w:rsidRPr="000E6B5B" w:rsidRDefault="00522B01" w:rsidP="00522B01">
      <w:pPr>
        <w:pStyle w:val="CPQuestions"/>
      </w:pPr>
      <w:r w:rsidRPr="00522B01">
        <w:rPr>
          <w:rFonts w:eastAsia="Times New Roman"/>
          <w:lang w:eastAsia="fr-FR"/>
        </w:rPr>
        <w:t>CBAQ11: Do you offer trading in packages?</w:t>
      </w:r>
    </w:p>
    <w:p w:rsidR="00522B01" w:rsidRDefault="00522B01" w:rsidP="00522B01">
      <w:r>
        <w:t>&lt;ESMA_QUESTION_MIFID_PO_39&gt;</w:t>
      </w:r>
    </w:p>
    <w:p w:rsidR="00522B01" w:rsidRDefault="00522B01" w:rsidP="00522B01">
      <w:permStart w:id="1989220292" w:edGrp="everyone"/>
      <w:r>
        <w:t>TYPE YOUR TEXT HERE</w:t>
      </w:r>
      <w:permEnd w:id="1989220292"/>
    </w:p>
    <w:p w:rsidR="00522B01" w:rsidRDefault="00522B01" w:rsidP="00522B01">
      <w:r>
        <w:t>&lt;ESMA_QUESTION_MIFID_PO_39&gt;</w:t>
      </w:r>
    </w:p>
    <w:p w:rsidR="00522B01" w:rsidRDefault="00522B01" w:rsidP="00EF314C">
      <w:pPr>
        <w:rPr>
          <w:rFonts w:cs="Arial"/>
          <w:b/>
          <w:sz w:val="22"/>
          <w:szCs w:val="22"/>
          <w:lang w:eastAsia="en-US"/>
        </w:rPr>
      </w:pPr>
    </w:p>
    <w:p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w:t>
      </w:r>
      <w:r w:rsidRPr="00522B01">
        <w:rPr>
          <w:rFonts w:eastAsia="Times New Roman"/>
          <w:lang w:eastAsia="fr-FR"/>
        </w:rPr>
        <w:t>c</w:t>
      </w:r>
      <w:r w:rsidRPr="00522B01">
        <w:rPr>
          <w:rFonts w:eastAsia="Times New Roman"/>
          <w:lang w:eastAsia="fr-FR"/>
        </w:rPr>
        <w:t>ipants). If no sufficient space is available to respond, please provide the info</w:t>
      </w:r>
      <w:r w:rsidRPr="00522B01">
        <w:rPr>
          <w:rFonts w:eastAsia="Times New Roman"/>
          <w:lang w:eastAsia="fr-FR"/>
        </w:rPr>
        <w:t>r</w:t>
      </w:r>
      <w:r w:rsidRPr="00522B01">
        <w:rPr>
          <w:rFonts w:eastAsia="Times New Roman"/>
          <w:lang w:eastAsia="fr-FR"/>
        </w:rPr>
        <w:t>mation in an annex</w:t>
      </w:r>
      <w:r>
        <w:rPr>
          <w:rFonts w:eastAsia="Times New Roman"/>
          <w:lang w:eastAsia="fr-FR"/>
        </w:rPr>
        <w:t>.</w:t>
      </w:r>
    </w:p>
    <w:p w:rsidR="00522B01" w:rsidRDefault="00522B01" w:rsidP="00522B01">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522B01" w:rsidTr="002D6B67">
        <w:trPr>
          <w:trHeight w:val="1130"/>
        </w:trPr>
        <w:tc>
          <w:tcPr>
            <w:tcW w:w="1638" w:type="dxa"/>
            <w:shd w:val="clear" w:color="auto" w:fill="B8CCE4" w:themeFill="accent1" w:themeFillTint="66"/>
          </w:tcPr>
          <w:p w:rsidR="00522B01" w:rsidRDefault="00522B01" w:rsidP="002D6B67">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522B01" w:rsidRDefault="00522B01" w:rsidP="002D6B67">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522B01" w:rsidRDefault="00522B01" w:rsidP="002D6B67">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522B01" w:rsidRDefault="00522B01" w:rsidP="002D6B67">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522B01" w:rsidRDefault="00522B01" w:rsidP="002D6B67">
            <w:pPr>
              <w:rPr>
                <w:rFonts w:cstheme="minorHAnsi"/>
                <w:b/>
                <w:szCs w:val="22"/>
                <w:lang w:eastAsia="fr-FR"/>
              </w:rPr>
            </w:pPr>
            <w:r>
              <w:rPr>
                <w:rFonts w:cstheme="minorHAnsi"/>
                <w:b/>
                <w:szCs w:val="22"/>
                <w:lang w:eastAsia="fr-FR"/>
              </w:rPr>
              <w:t>Other chara</w:t>
            </w:r>
            <w:r>
              <w:rPr>
                <w:rFonts w:cstheme="minorHAnsi"/>
                <w:b/>
                <w:szCs w:val="22"/>
                <w:lang w:eastAsia="fr-FR"/>
              </w:rPr>
              <w:t>c</w:t>
            </w:r>
            <w:r>
              <w:rPr>
                <w:rFonts w:cstheme="minorHAnsi"/>
                <w:b/>
                <w:szCs w:val="22"/>
                <w:lang w:eastAsia="fr-FR"/>
              </w:rPr>
              <w:t>teristics (please identify)</w:t>
            </w:r>
          </w:p>
        </w:tc>
        <w:tc>
          <w:tcPr>
            <w:tcW w:w="1905" w:type="dxa"/>
            <w:shd w:val="clear" w:color="auto" w:fill="B8CCE4" w:themeFill="accent1" w:themeFillTint="66"/>
          </w:tcPr>
          <w:p w:rsidR="00522B01" w:rsidRDefault="00522B01" w:rsidP="002D6B67">
            <w:pPr>
              <w:rPr>
                <w:rFonts w:cstheme="minorHAnsi"/>
                <w:b/>
                <w:szCs w:val="22"/>
                <w:lang w:eastAsia="fr-FR"/>
              </w:rPr>
            </w:pPr>
            <w:r>
              <w:rPr>
                <w:rFonts w:cstheme="minorHAnsi"/>
                <w:b/>
                <w:szCs w:val="22"/>
                <w:lang w:eastAsia="fr-FR"/>
              </w:rPr>
              <w:t>Liquidity a</w:t>
            </w:r>
            <w:r>
              <w:rPr>
                <w:rFonts w:cstheme="minorHAnsi"/>
                <w:b/>
                <w:szCs w:val="22"/>
                <w:lang w:eastAsia="fr-FR"/>
              </w:rPr>
              <w:t>s</w:t>
            </w:r>
            <w:r>
              <w:rPr>
                <w:rFonts w:cstheme="minorHAnsi"/>
                <w:b/>
                <w:szCs w:val="22"/>
                <w:lang w:eastAsia="fr-FR"/>
              </w:rPr>
              <w:t xml:space="preserve">sessment (Y/N) and underlying criteria </w:t>
            </w:r>
          </w:p>
        </w:tc>
      </w:tr>
      <w:tr w:rsidR="00522B01" w:rsidTr="002D6B67">
        <w:tc>
          <w:tcPr>
            <w:tcW w:w="1638" w:type="dxa"/>
            <w:shd w:val="clear" w:color="auto" w:fill="DBE5F1" w:themeFill="accent1" w:themeFillTint="33"/>
          </w:tcPr>
          <w:p w:rsidR="00522B01" w:rsidRDefault="00522B01" w:rsidP="002D6B67">
            <w:pPr>
              <w:rPr>
                <w:rFonts w:cstheme="minorHAnsi"/>
                <w:b/>
                <w:szCs w:val="22"/>
                <w:lang w:eastAsia="fr-FR"/>
              </w:rPr>
            </w:pPr>
            <w:permStart w:id="2130664680" w:edGrp="everyone" w:colFirst="1" w:colLast="1"/>
            <w:permStart w:id="1815436927" w:edGrp="everyone" w:colFirst="2" w:colLast="2"/>
            <w:permStart w:id="22638692" w:edGrp="everyone" w:colFirst="3" w:colLast="3"/>
            <w:permStart w:id="259221974" w:edGrp="everyone" w:colFirst="4" w:colLast="4"/>
            <w:permStart w:id="1740730844"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522B01" w:rsidRDefault="00522B01" w:rsidP="002D6B67">
            <w:pPr>
              <w:rPr>
                <w:rFonts w:cstheme="minorHAnsi"/>
                <w:b/>
                <w:szCs w:val="22"/>
                <w:lang w:eastAsia="fr-FR"/>
              </w:rPr>
            </w:pPr>
          </w:p>
        </w:tc>
        <w:tc>
          <w:tcPr>
            <w:tcW w:w="1398" w:type="dxa"/>
            <w:shd w:val="clear" w:color="auto" w:fill="DBE5F1" w:themeFill="accent1" w:themeFillTint="33"/>
          </w:tcPr>
          <w:p w:rsidR="00522B01" w:rsidRDefault="00522B01" w:rsidP="002D6B67">
            <w:pPr>
              <w:rPr>
                <w:rFonts w:cstheme="minorHAnsi"/>
                <w:b/>
                <w:szCs w:val="22"/>
                <w:lang w:eastAsia="fr-FR"/>
              </w:rPr>
            </w:pPr>
          </w:p>
        </w:tc>
        <w:tc>
          <w:tcPr>
            <w:tcW w:w="1376" w:type="dxa"/>
            <w:shd w:val="clear" w:color="auto" w:fill="DBE5F1" w:themeFill="accent1" w:themeFillTint="33"/>
          </w:tcPr>
          <w:p w:rsidR="00522B01" w:rsidRDefault="00522B01" w:rsidP="002D6B67">
            <w:pPr>
              <w:rPr>
                <w:rFonts w:cstheme="minorHAnsi"/>
                <w:b/>
                <w:szCs w:val="22"/>
                <w:lang w:eastAsia="fr-FR"/>
              </w:rPr>
            </w:pPr>
          </w:p>
        </w:tc>
        <w:tc>
          <w:tcPr>
            <w:tcW w:w="1770" w:type="dxa"/>
            <w:shd w:val="clear" w:color="auto" w:fill="DBE5F1" w:themeFill="accent1" w:themeFillTint="33"/>
          </w:tcPr>
          <w:p w:rsidR="00522B01" w:rsidRDefault="00522B01" w:rsidP="002D6B67">
            <w:pPr>
              <w:rPr>
                <w:rFonts w:cstheme="minorHAnsi"/>
                <w:b/>
                <w:szCs w:val="22"/>
                <w:lang w:eastAsia="fr-FR"/>
              </w:rPr>
            </w:pPr>
          </w:p>
        </w:tc>
        <w:tc>
          <w:tcPr>
            <w:tcW w:w="1905" w:type="dxa"/>
            <w:shd w:val="clear" w:color="auto" w:fill="DBE5F1" w:themeFill="accent1" w:themeFillTint="33"/>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1695624197" w:edGrp="everyone" w:colFirst="1" w:colLast="1"/>
            <w:permStart w:id="797474525" w:edGrp="everyone" w:colFirst="2" w:colLast="2"/>
            <w:permStart w:id="1390623386" w:edGrp="everyone" w:colFirst="3" w:colLast="3"/>
            <w:permStart w:id="194519228" w:edGrp="everyone" w:colFirst="4" w:colLast="4"/>
            <w:permStart w:id="1384475967" w:edGrp="everyone" w:colFirst="5" w:colLast="5"/>
            <w:permStart w:id="1482426743" w:edGrp="everyone" w:colFirst="0" w:colLast="0"/>
            <w:permEnd w:id="2130664680"/>
            <w:permEnd w:id="1815436927"/>
            <w:permEnd w:id="22638692"/>
            <w:permEnd w:id="259221974"/>
            <w:permEnd w:id="1740730844"/>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265554811" w:edGrp="everyone" w:colFirst="1" w:colLast="1"/>
            <w:permStart w:id="1461286451" w:edGrp="everyone" w:colFirst="2" w:colLast="2"/>
            <w:permStart w:id="1612393400" w:edGrp="everyone" w:colFirst="3" w:colLast="3"/>
            <w:permStart w:id="1006386711" w:edGrp="everyone" w:colFirst="4" w:colLast="4"/>
            <w:permStart w:id="735184079" w:edGrp="everyone" w:colFirst="5" w:colLast="5"/>
            <w:permStart w:id="460867779" w:edGrp="everyone" w:colFirst="0" w:colLast="0"/>
            <w:permEnd w:id="1695624197"/>
            <w:permEnd w:id="797474525"/>
            <w:permEnd w:id="1390623386"/>
            <w:permEnd w:id="194519228"/>
            <w:permEnd w:id="1384475967"/>
            <w:permEnd w:id="1482426743"/>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793774898" w:edGrp="everyone" w:colFirst="1" w:colLast="1"/>
            <w:permStart w:id="990207527" w:edGrp="everyone" w:colFirst="2" w:colLast="2"/>
            <w:permStart w:id="1799710245" w:edGrp="everyone" w:colFirst="3" w:colLast="3"/>
            <w:permStart w:id="1393259606" w:edGrp="everyone" w:colFirst="4" w:colLast="4"/>
            <w:permStart w:id="980289664" w:edGrp="everyone" w:colFirst="5" w:colLast="5"/>
            <w:permStart w:id="356729273" w:edGrp="everyone" w:colFirst="0" w:colLast="0"/>
            <w:permEnd w:id="265554811"/>
            <w:permEnd w:id="1461286451"/>
            <w:permEnd w:id="1612393400"/>
            <w:permEnd w:id="1006386711"/>
            <w:permEnd w:id="735184079"/>
            <w:permEnd w:id="460867779"/>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1142124659" w:edGrp="everyone" w:colFirst="1" w:colLast="1"/>
            <w:permStart w:id="1820474791" w:edGrp="everyone" w:colFirst="2" w:colLast="2"/>
            <w:permStart w:id="344000886" w:edGrp="everyone" w:colFirst="3" w:colLast="3"/>
            <w:permStart w:id="1346518165" w:edGrp="everyone" w:colFirst="4" w:colLast="4"/>
            <w:permStart w:id="296103408" w:edGrp="everyone" w:colFirst="5" w:colLast="5"/>
            <w:permStart w:id="903433505" w:edGrp="everyone" w:colFirst="0" w:colLast="0"/>
            <w:permEnd w:id="793774898"/>
            <w:permEnd w:id="990207527"/>
            <w:permEnd w:id="1799710245"/>
            <w:permEnd w:id="1393259606"/>
            <w:permEnd w:id="980289664"/>
            <w:permEnd w:id="356729273"/>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shd w:val="clear" w:color="auto" w:fill="DBE5F1" w:themeFill="accent1" w:themeFillTint="33"/>
          </w:tcPr>
          <w:p w:rsidR="00522B01" w:rsidRDefault="00522B01" w:rsidP="002D6B67">
            <w:pPr>
              <w:rPr>
                <w:rFonts w:cstheme="minorHAnsi"/>
                <w:b/>
                <w:szCs w:val="22"/>
                <w:lang w:eastAsia="fr-FR"/>
              </w:rPr>
            </w:pPr>
            <w:permStart w:id="1025537697" w:edGrp="everyone" w:colFirst="1" w:colLast="1"/>
            <w:permStart w:id="1671179582" w:edGrp="everyone" w:colFirst="2" w:colLast="2"/>
            <w:permStart w:id="317527241" w:edGrp="everyone" w:colFirst="3" w:colLast="3"/>
            <w:permStart w:id="372590013" w:edGrp="everyone" w:colFirst="4" w:colLast="4"/>
            <w:permStart w:id="1638997332" w:edGrp="everyone" w:colFirst="5" w:colLast="5"/>
            <w:permEnd w:id="1142124659"/>
            <w:permEnd w:id="1820474791"/>
            <w:permEnd w:id="344000886"/>
            <w:permEnd w:id="1346518165"/>
            <w:permEnd w:id="296103408"/>
            <w:permEnd w:id="903433505"/>
            <w:r>
              <w:rPr>
                <w:rFonts w:cstheme="minorHAnsi"/>
                <w:b/>
                <w:szCs w:val="22"/>
                <w:lang w:eastAsia="fr-FR"/>
              </w:rPr>
              <w:t>Equity deriv</w:t>
            </w:r>
            <w:r>
              <w:rPr>
                <w:rFonts w:cstheme="minorHAnsi"/>
                <w:b/>
                <w:szCs w:val="22"/>
                <w:lang w:eastAsia="fr-FR"/>
              </w:rPr>
              <w:t>a</w:t>
            </w:r>
            <w:r>
              <w:rPr>
                <w:rFonts w:cstheme="minorHAnsi"/>
                <w:b/>
                <w:szCs w:val="22"/>
                <w:lang w:eastAsia="fr-FR"/>
              </w:rPr>
              <w:t>tives</w:t>
            </w:r>
          </w:p>
        </w:tc>
        <w:tc>
          <w:tcPr>
            <w:tcW w:w="1547" w:type="dxa"/>
            <w:shd w:val="clear" w:color="auto" w:fill="DBE5F1" w:themeFill="accent1" w:themeFillTint="33"/>
          </w:tcPr>
          <w:p w:rsidR="00522B01" w:rsidRDefault="00522B01" w:rsidP="002D6B67">
            <w:pPr>
              <w:rPr>
                <w:rFonts w:cstheme="minorHAnsi"/>
                <w:b/>
                <w:szCs w:val="22"/>
                <w:lang w:eastAsia="fr-FR"/>
              </w:rPr>
            </w:pPr>
          </w:p>
        </w:tc>
        <w:tc>
          <w:tcPr>
            <w:tcW w:w="1398" w:type="dxa"/>
            <w:shd w:val="clear" w:color="auto" w:fill="DBE5F1" w:themeFill="accent1" w:themeFillTint="33"/>
          </w:tcPr>
          <w:p w:rsidR="00522B01" w:rsidRDefault="00522B01" w:rsidP="002D6B67">
            <w:pPr>
              <w:rPr>
                <w:rFonts w:cstheme="minorHAnsi"/>
                <w:b/>
                <w:szCs w:val="22"/>
                <w:lang w:eastAsia="fr-FR"/>
              </w:rPr>
            </w:pPr>
          </w:p>
        </w:tc>
        <w:tc>
          <w:tcPr>
            <w:tcW w:w="1376" w:type="dxa"/>
            <w:shd w:val="clear" w:color="auto" w:fill="DBE5F1" w:themeFill="accent1" w:themeFillTint="33"/>
          </w:tcPr>
          <w:p w:rsidR="00522B01" w:rsidRDefault="00522B01" w:rsidP="002D6B67">
            <w:pPr>
              <w:rPr>
                <w:rFonts w:cstheme="minorHAnsi"/>
                <w:b/>
                <w:szCs w:val="22"/>
                <w:lang w:eastAsia="fr-FR"/>
              </w:rPr>
            </w:pPr>
          </w:p>
        </w:tc>
        <w:tc>
          <w:tcPr>
            <w:tcW w:w="1770" w:type="dxa"/>
            <w:shd w:val="clear" w:color="auto" w:fill="DBE5F1" w:themeFill="accent1" w:themeFillTint="33"/>
          </w:tcPr>
          <w:p w:rsidR="00522B01" w:rsidRDefault="00522B01" w:rsidP="002D6B67">
            <w:pPr>
              <w:rPr>
                <w:rFonts w:cstheme="minorHAnsi"/>
                <w:b/>
                <w:szCs w:val="22"/>
                <w:lang w:eastAsia="fr-FR"/>
              </w:rPr>
            </w:pPr>
          </w:p>
        </w:tc>
        <w:tc>
          <w:tcPr>
            <w:tcW w:w="1905" w:type="dxa"/>
            <w:shd w:val="clear" w:color="auto" w:fill="DBE5F1" w:themeFill="accent1" w:themeFillTint="33"/>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2014517272" w:edGrp="everyone" w:colFirst="1" w:colLast="1"/>
            <w:permStart w:id="606749060" w:edGrp="everyone" w:colFirst="2" w:colLast="2"/>
            <w:permStart w:id="995826787" w:edGrp="everyone" w:colFirst="3" w:colLast="3"/>
            <w:permStart w:id="1591230927" w:edGrp="everyone" w:colFirst="4" w:colLast="4"/>
            <w:permStart w:id="1813667802" w:edGrp="everyone" w:colFirst="5" w:colLast="5"/>
            <w:permStart w:id="518873845" w:edGrp="everyone" w:colFirst="0" w:colLast="0"/>
            <w:permEnd w:id="1025537697"/>
            <w:permEnd w:id="1671179582"/>
            <w:permEnd w:id="317527241"/>
            <w:permEnd w:id="372590013"/>
            <w:permEnd w:id="1638997332"/>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6557856" w:edGrp="everyone" w:colFirst="1" w:colLast="1"/>
            <w:permStart w:id="453190264" w:edGrp="everyone" w:colFirst="2" w:colLast="2"/>
            <w:permStart w:id="1251960320" w:edGrp="everyone" w:colFirst="3" w:colLast="3"/>
            <w:permStart w:id="1462662170" w:edGrp="everyone" w:colFirst="4" w:colLast="4"/>
            <w:permStart w:id="1605253646" w:edGrp="everyone" w:colFirst="5" w:colLast="5"/>
            <w:permStart w:id="829186505" w:edGrp="everyone" w:colFirst="0" w:colLast="0"/>
            <w:permEnd w:id="2014517272"/>
            <w:permEnd w:id="606749060"/>
            <w:permEnd w:id="995826787"/>
            <w:permEnd w:id="1591230927"/>
            <w:permEnd w:id="1813667802"/>
            <w:permEnd w:id="518873845"/>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500909134" w:edGrp="everyone" w:colFirst="1" w:colLast="1"/>
            <w:permStart w:id="1226245325" w:edGrp="everyone" w:colFirst="2" w:colLast="2"/>
            <w:permStart w:id="2083602018" w:edGrp="everyone" w:colFirst="3" w:colLast="3"/>
            <w:permStart w:id="1886071529" w:edGrp="everyone" w:colFirst="4" w:colLast="4"/>
            <w:permStart w:id="744757296" w:edGrp="everyone" w:colFirst="5" w:colLast="5"/>
            <w:permStart w:id="1120090050" w:edGrp="everyone" w:colFirst="0" w:colLast="0"/>
            <w:permEnd w:id="6557856"/>
            <w:permEnd w:id="453190264"/>
            <w:permEnd w:id="1251960320"/>
            <w:permEnd w:id="1462662170"/>
            <w:permEnd w:id="1605253646"/>
            <w:permEnd w:id="829186505"/>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311321960" w:edGrp="everyone" w:colFirst="1" w:colLast="1"/>
            <w:permStart w:id="1021449488" w:edGrp="everyone" w:colFirst="2" w:colLast="2"/>
            <w:permStart w:id="530475382" w:edGrp="everyone" w:colFirst="3" w:colLast="3"/>
            <w:permStart w:id="891563712" w:edGrp="everyone" w:colFirst="4" w:colLast="4"/>
            <w:permStart w:id="305553391" w:edGrp="everyone" w:colFirst="5" w:colLast="5"/>
            <w:permStart w:id="94986513" w:edGrp="everyone" w:colFirst="0" w:colLast="0"/>
            <w:permEnd w:id="500909134"/>
            <w:permEnd w:id="1226245325"/>
            <w:permEnd w:id="2083602018"/>
            <w:permEnd w:id="1886071529"/>
            <w:permEnd w:id="744757296"/>
            <w:permEnd w:id="1120090050"/>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shd w:val="clear" w:color="auto" w:fill="DBE5F1" w:themeFill="accent1" w:themeFillTint="33"/>
          </w:tcPr>
          <w:p w:rsidR="00522B01" w:rsidRDefault="00522B01" w:rsidP="002D6B67">
            <w:pPr>
              <w:rPr>
                <w:rFonts w:cstheme="minorHAnsi"/>
                <w:b/>
                <w:szCs w:val="22"/>
                <w:lang w:eastAsia="fr-FR"/>
              </w:rPr>
            </w:pPr>
            <w:permStart w:id="142689678" w:edGrp="everyone" w:colFirst="1" w:colLast="1"/>
            <w:permStart w:id="1449424952" w:edGrp="everyone" w:colFirst="2" w:colLast="2"/>
            <w:permStart w:id="704315992" w:edGrp="everyone" w:colFirst="3" w:colLast="3"/>
            <w:permStart w:id="1999848518" w:edGrp="everyone" w:colFirst="4" w:colLast="4"/>
            <w:permStart w:id="1792548451" w:edGrp="everyone" w:colFirst="5" w:colLast="5"/>
            <w:permEnd w:id="311321960"/>
            <w:permEnd w:id="1021449488"/>
            <w:permEnd w:id="530475382"/>
            <w:permEnd w:id="891563712"/>
            <w:permEnd w:id="305553391"/>
            <w:permEnd w:id="94986513"/>
            <w:r>
              <w:rPr>
                <w:rFonts w:cstheme="minorHAnsi"/>
                <w:b/>
                <w:szCs w:val="22"/>
                <w:lang w:eastAsia="fr-FR"/>
              </w:rPr>
              <w:t>Credit deriv</w:t>
            </w:r>
            <w:r>
              <w:rPr>
                <w:rFonts w:cstheme="minorHAnsi"/>
                <w:b/>
                <w:szCs w:val="22"/>
                <w:lang w:eastAsia="fr-FR"/>
              </w:rPr>
              <w:t>a</w:t>
            </w:r>
            <w:r>
              <w:rPr>
                <w:rFonts w:cstheme="minorHAnsi"/>
                <w:b/>
                <w:szCs w:val="22"/>
                <w:lang w:eastAsia="fr-FR"/>
              </w:rPr>
              <w:t>tives</w:t>
            </w:r>
          </w:p>
        </w:tc>
        <w:tc>
          <w:tcPr>
            <w:tcW w:w="1547" w:type="dxa"/>
            <w:shd w:val="clear" w:color="auto" w:fill="DBE5F1" w:themeFill="accent1" w:themeFillTint="33"/>
          </w:tcPr>
          <w:p w:rsidR="00522B01" w:rsidRDefault="00522B01" w:rsidP="002D6B67">
            <w:pPr>
              <w:rPr>
                <w:rFonts w:cstheme="minorHAnsi"/>
                <w:b/>
                <w:szCs w:val="22"/>
                <w:lang w:eastAsia="fr-FR"/>
              </w:rPr>
            </w:pPr>
          </w:p>
        </w:tc>
        <w:tc>
          <w:tcPr>
            <w:tcW w:w="1398" w:type="dxa"/>
            <w:shd w:val="clear" w:color="auto" w:fill="DBE5F1" w:themeFill="accent1" w:themeFillTint="33"/>
          </w:tcPr>
          <w:p w:rsidR="00522B01" w:rsidRDefault="00522B01" w:rsidP="002D6B67">
            <w:pPr>
              <w:rPr>
                <w:rFonts w:cstheme="minorHAnsi"/>
                <w:b/>
                <w:szCs w:val="22"/>
                <w:lang w:eastAsia="fr-FR"/>
              </w:rPr>
            </w:pPr>
          </w:p>
        </w:tc>
        <w:tc>
          <w:tcPr>
            <w:tcW w:w="1376" w:type="dxa"/>
            <w:shd w:val="clear" w:color="auto" w:fill="DBE5F1" w:themeFill="accent1" w:themeFillTint="33"/>
          </w:tcPr>
          <w:p w:rsidR="00522B01" w:rsidRDefault="00522B01" w:rsidP="002D6B67">
            <w:pPr>
              <w:rPr>
                <w:rFonts w:cstheme="minorHAnsi"/>
                <w:b/>
                <w:szCs w:val="22"/>
                <w:lang w:eastAsia="fr-FR"/>
              </w:rPr>
            </w:pPr>
          </w:p>
        </w:tc>
        <w:tc>
          <w:tcPr>
            <w:tcW w:w="1770" w:type="dxa"/>
            <w:shd w:val="clear" w:color="auto" w:fill="DBE5F1" w:themeFill="accent1" w:themeFillTint="33"/>
          </w:tcPr>
          <w:p w:rsidR="00522B01" w:rsidRDefault="00522B01" w:rsidP="002D6B67">
            <w:pPr>
              <w:rPr>
                <w:rFonts w:cstheme="minorHAnsi"/>
                <w:b/>
                <w:szCs w:val="22"/>
                <w:lang w:eastAsia="fr-FR"/>
              </w:rPr>
            </w:pPr>
          </w:p>
        </w:tc>
        <w:tc>
          <w:tcPr>
            <w:tcW w:w="1905" w:type="dxa"/>
            <w:shd w:val="clear" w:color="auto" w:fill="DBE5F1" w:themeFill="accent1" w:themeFillTint="33"/>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600647552" w:edGrp="everyone" w:colFirst="1" w:colLast="1"/>
            <w:permStart w:id="1811295310" w:edGrp="everyone" w:colFirst="2" w:colLast="2"/>
            <w:permStart w:id="180099083" w:edGrp="everyone" w:colFirst="3" w:colLast="3"/>
            <w:permStart w:id="1962019075" w:edGrp="everyone" w:colFirst="4" w:colLast="4"/>
            <w:permStart w:id="2093238262" w:edGrp="everyone" w:colFirst="5" w:colLast="5"/>
            <w:permStart w:id="1807495797" w:edGrp="everyone" w:colFirst="0" w:colLast="0"/>
            <w:permEnd w:id="142689678"/>
            <w:permEnd w:id="1449424952"/>
            <w:permEnd w:id="704315992"/>
            <w:permEnd w:id="1999848518"/>
            <w:permEnd w:id="1792548451"/>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1611877723" w:edGrp="everyone" w:colFirst="1" w:colLast="1"/>
            <w:permStart w:id="1552446660" w:edGrp="everyone" w:colFirst="2" w:colLast="2"/>
            <w:permStart w:id="1074794931" w:edGrp="everyone" w:colFirst="3" w:colLast="3"/>
            <w:permStart w:id="160132249" w:edGrp="everyone" w:colFirst="4" w:colLast="4"/>
            <w:permStart w:id="1378107100" w:edGrp="everyone" w:colFirst="5" w:colLast="5"/>
            <w:permStart w:id="435123902" w:edGrp="everyone" w:colFirst="0" w:colLast="0"/>
            <w:permEnd w:id="600647552"/>
            <w:permEnd w:id="1811295310"/>
            <w:permEnd w:id="180099083"/>
            <w:permEnd w:id="1962019075"/>
            <w:permEnd w:id="2093238262"/>
            <w:permEnd w:id="1807495797"/>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shd w:val="clear" w:color="auto" w:fill="DBE5F1" w:themeFill="accent1" w:themeFillTint="33"/>
          </w:tcPr>
          <w:p w:rsidR="00522B01" w:rsidRDefault="00522B01" w:rsidP="002D6B67">
            <w:pPr>
              <w:rPr>
                <w:rFonts w:cstheme="minorHAnsi"/>
                <w:b/>
                <w:szCs w:val="22"/>
                <w:lang w:eastAsia="fr-FR"/>
              </w:rPr>
            </w:pPr>
            <w:permStart w:id="272964803" w:edGrp="everyone" w:colFirst="1" w:colLast="1"/>
            <w:permStart w:id="975588231" w:edGrp="everyone" w:colFirst="2" w:colLast="2"/>
            <w:permStart w:id="2078410264" w:edGrp="everyone" w:colFirst="3" w:colLast="3"/>
            <w:permStart w:id="2054251566" w:edGrp="everyone" w:colFirst="4" w:colLast="4"/>
            <w:permStart w:id="956695186" w:edGrp="everyone" w:colFirst="5" w:colLast="5"/>
            <w:permEnd w:id="1611877723"/>
            <w:permEnd w:id="1552446660"/>
            <w:permEnd w:id="1074794931"/>
            <w:permEnd w:id="160132249"/>
            <w:permEnd w:id="1378107100"/>
            <w:permEnd w:id="435123902"/>
            <w:r>
              <w:rPr>
                <w:rFonts w:cstheme="minorHAnsi"/>
                <w:b/>
                <w:szCs w:val="22"/>
                <w:lang w:eastAsia="fr-FR"/>
              </w:rPr>
              <w:t>Commodity derivatives</w:t>
            </w:r>
          </w:p>
        </w:tc>
        <w:tc>
          <w:tcPr>
            <w:tcW w:w="1547" w:type="dxa"/>
            <w:shd w:val="clear" w:color="auto" w:fill="DBE5F1" w:themeFill="accent1" w:themeFillTint="33"/>
          </w:tcPr>
          <w:p w:rsidR="00522B01" w:rsidRDefault="00522B01" w:rsidP="002D6B67">
            <w:pPr>
              <w:rPr>
                <w:rFonts w:cstheme="minorHAnsi"/>
                <w:b/>
                <w:szCs w:val="22"/>
                <w:lang w:eastAsia="fr-FR"/>
              </w:rPr>
            </w:pPr>
          </w:p>
        </w:tc>
        <w:tc>
          <w:tcPr>
            <w:tcW w:w="1398" w:type="dxa"/>
            <w:shd w:val="clear" w:color="auto" w:fill="DBE5F1" w:themeFill="accent1" w:themeFillTint="33"/>
          </w:tcPr>
          <w:p w:rsidR="00522B01" w:rsidRDefault="00522B01" w:rsidP="002D6B67">
            <w:pPr>
              <w:rPr>
                <w:rFonts w:cstheme="minorHAnsi"/>
                <w:b/>
                <w:szCs w:val="22"/>
                <w:lang w:eastAsia="fr-FR"/>
              </w:rPr>
            </w:pPr>
          </w:p>
        </w:tc>
        <w:tc>
          <w:tcPr>
            <w:tcW w:w="1376" w:type="dxa"/>
            <w:shd w:val="clear" w:color="auto" w:fill="DBE5F1" w:themeFill="accent1" w:themeFillTint="33"/>
          </w:tcPr>
          <w:p w:rsidR="00522B01" w:rsidRDefault="00522B01" w:rsidP="002D6B67">
            <w:pPr>
              <w:rPr>
                <w:rFonts w:cstheme="minorHAnsi"/>
                <w:b/>
                <w:szCs w:val="22"/>
                <w:lang w:eastAsia="fr-FR"/>
              </w:rPr>
            </w:pPr>
          </w:p>
        </w:tc>
        <w:tc>
          <w:tcPr>
            <w:tcW w:w="1770" w:type="dxa"/>
            <w:shd w:val="clear" w:color="auto" w:fill="DBE5F1" w:themeFill="accent1" w:themeFillTint="33"/>
          </w:tcPr>
          <w:p w:rsidR="00522B01" w:rsidRDefault="00522B01" w:rsidP="002D6B67">
            <w:pPr>
              <w:rPr>
                <w:rFonts w:cstheme="minorHAnsi"/>
                <w:b/>
                <w:szCs w:val="22"/>
                <w:lang w:eastAsia="fr-FR"/>
              </w:rPr>
            </w:pPr>
          </w:p>
        </w:tc>
        <w:tc>
          <w:tcPr>
            <w:tcW w:w="1905" w:type="dxa"/>
            <w:shd w:val="clear" w:color="auto" w:fill="DBE5F1" w:themeFill="accent1" w:themeFillTint="33"/>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1052658063" w:edGrp="everyone" w:colFirst="1" w:colLast="1"/>
            <w:permStart w:id="271135587" w:edGrp="everyone" w:colFirst="2" w:colLast="2"/>
            <w:permStart w:id="1896881276" w:edGrp="everyone" w:colFirst="3" w:colLast="3"/>
            <w:permStart w:id="334445782" w:edGrp="everyone" w:colFirst="4" w:colLast="4"/>
            <w:permStart w:id="909277973" w:edGrp="everyone" w:colFirst="5" w:colLast="5"/>
            <w:permStart w:id="1047089145" w:edGrp="everyone" w:colFirst="0" w:colLast="0"/>
            <w:permEnd w:id="272964803"/>
            <w:permEnd w:id="975588231"/>
            <w:permEnd w:id="2078410264"/>
            <w:permEnd w:id="2054251566"/>
            <w:permEnd w:id="956695186"/>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Borders>
              <w:bottom w:val="single" w:sz="4" w:space="0" w:color="auto"/>
            </w:tcBorders>
          </w:tcPr>
          <w:p w:rsidR="00522B01" w:rsidRDefault="00522B01" w:rsidP="002D6B67">
            <w:pPr>
              <w:rPr>
                <w:rFonts w:cstheme="minorHAnsi"/>
                <w:b/>
                <w:szCs w:val="22"/>
                <w:lang w:eastAsia="fr-FR"/>
              </w:rPr>
            </w:pPr>
            <w:permStart w:id="705236940" w:edGrp="everyone" w:colFirst="1" w:colLast="1"/>
            <w:permStart w:id="2050906083" w:edGrp="everyone" w:colFirst="2" w:colLast="2"/>
            <w:permStart w:id="14837813" w:edGrp="everyone" w:colFirst="3" w:colLast="3"/>
            <w:permStart w:id="1435178140" w:edGrp="everyone" w:colFirst="4" w:colLast="4"/>
            <w:permStart w:id="1972242818" w:edGrp="everyone" w:colFirst="5" w:colLast="5"/>
            <w:permStart w:id="367340720" w:edGrp="everyone" w:colFirst="0" w:colLast="0"/>
            <w:permEnd w:id="1052658063"/>
            <w:permEnd w:id="271135587"/>
            <w:permEnd w:id="1896881276"/>
            <w:permEnd w:id="334445782"/>
            <w:permEnd w:id="909277973"/>
            <w:permEnd w:id="1047089145"/>
          </w:p>
        </w:tc>
        <w:tc>
          <w:tcPr>
            <w:tcW w:w="1547" w:type="dxa"/>
            <w:tcBorders>
              <w:bottom w:val="single" w:sz="4" w:space="0" w:color="auto"/>
            </w:tcBorders>
          </w:tcPr>
          <w:p w:rsidR="00522B01" w:rsidRDefault="00522B01" w:rsidP="002D6B67">
            <w:pPr>
              <w:rPr>
                <w:rFonts w:cstheme="minorHAnsi"/>
                <w:b/>
                <w:szCs w:val="22"/>
                <w:lang w:eastAsia="fr-FR"/>
              </w:rPr>
            </w:pPr>
          </w:p>
        </w:tc>
        <w:tc>
          <w:tcPr>
            <w:tcW w:w="1398" w:type="dxa"/>
            <w:tcBorders>
              <w:bottom w:val="single" w:sz="4" w:space="0" w:color="auto"/>
            </w:tcBorders>
          </w:tcPr>
          <w:p w:rsidR="00522B01" w:rsidRDefault="00522B01" w:rsidP="002D6B67">
            <w:pPr>
              <w:rPr>
                <w:rFonts w:cstheme="minorHAnsi"/>
                <w:b/>
                <w:szCs w:val="22"/>
                <w:lang w:eastAsia="fr-FR"/>
              </w:rPr>
            </w:pPr>
          </w:p>
        </w:tc>
        <w:tc>
          <w:tcPr>
            <w:tcW w:w="1376" w:type="dxa"/>
            <w:tcBorders>
              <w:bottom w:val="single" w:sz="4" w:space="0" w:color="auto"/>
            </w:tcBorders>
          </w:tcPr>
          <w:p w:rsidR="00522B01" w:rsidRDefault="00522B01" w:rsidP="002D6B67">
            <w:pPr>
              <w:rPr>
                <w:rFonts w:cstheme="minorHAnsi"/>
                <w:b/>
                <w:szCs w:val="22"/>
                <w:lang w:eastAsia="fr-FR"/>
              </w:rPr>
            </w:pPr>
          </w:p>
        </w:tc>
        <w:tc>
          <w:tcPr>
            <w:tcW w:w="1770" w:type="dxa"/>
            <w:tcBorders>
              <w:bottom w:val="single" w:sz="4" w:space="0" w:color="auto"/>
            </w:tcBorders>
          </w:tcPr>
          <w:p w:rsidR="00522B01" w:rsidRDefault="00522B01" w:rsidP="002D6B67">
            <w:pPr>
              <w:rPr>
                <w:rFonts w:cstheme="minorHAnsi"/>
                <w:b/>
                <w:szCs w:val="22"/>
                <w:lang w:eastAsia="fr-FR"/>
              </w:rPr>
            </w:pPr>
          </w:p>
        </w:tc>
        <w:tc>
          <w:tcPr>
            <w:tcW w:w="1905" w:type="dxa"/>
            <w:tcBorders>
              <w:bottom w:val="single" w:sz="4" w:space="0" w:color="auto"/>
            </w:tcBorders>
          </w:tcPr>
          <w:p w:rsidR="00522B01" w:rsidRDefault="00522B01" w:rsidP="002D6B67">
            <w:pPr>
              <w:rPr>
                <w:rFonts w:cstheme="minorHAnsi"/>
                <w:b/>
                <w:szCs w:val="22"/>
                <w:lang w:eastAsia="fr-FR"/>
              </w:rPr>
            </w:pPr>
          </w:p>
        </w:tc>
      </w:tr>
      <w:tr w:rsidR="00522B01" w:rsidRPr="00E4485B" w:rsidTr="002D6B67">
        <w:tc>
          <w:tcPr>
            <w:tcW w:w="1638" w:type="dxa"/>
            <w:shd w:val="clear" w:color="auto" w:fill="DBE5F1" w:themeFill="accent1" w:themeFillTint="33"/>
          </w:tcPr>
          <w:p w:rsidR="00522B01" w:rsidRDefault="00522B01" w:rsidP="002D6B67">
            <w:pPr>
              <w:rPr>
                <w:rFonts w:cstheme="minorHAnsi"/>
                <w:b/>
                <w:szCs w:val="22"/>
                <w:lang w:eastAsia="fr-FR"/>
              </w:rPr>
            </w:pPr>
            <w:permStart w:id="937629484" w:edGrp="everyone" w:colFirst="1" w:colLast="1"/>
            <w:permStart w:id="776420370" w:edGrp="everyone" w:colFirst="2" w:colLast="2"/>
            <w:permStart w:id="381424100" w:edGrp="everyone" w:colFirst="3" w:colLast="3"/>
            <w:permStart w:id="268262723" w:edGrp="everyone" w:colFirst="4" w:colLast="4"/>
            <w:permStart w:id="1408829585" w:edGrp="everyone" w:colFirst="5" w:colLast="5"/>
            <w:permEnd w:id="705236940"/>
            <w:permEnd w:id="2050906083"/>
            <w:permEnd w:id="14837813"/>
            <w:permEnd w:id="1435178140"/>
            <w:permEnd w:id="1972242818"/>
            <w:permEnd w:id="367340720"/>
            <w:r>
              <w:rPr>
                <w:rFonts w:cstheme="minorHAnsi"/>
                <w:b/>
                <w:szCs w:val="22"/>
                <w:lang w:eastAsia="fr-FR"/>
              </w:rPr>
              <w:t>Others (please specify)</w:t>
            </w:r>
          </w:p>
        </w:tc>
        <w:tc>
          <w:tcPr>
            <w:tcW w:w="1547" w:type="dxa"/>
            <w:shd w:val="clear" w:color="auto" w:fill="DBE5F1" w:themeFill="accent1" w:themeFillTint="33"/>
          </w:tcPr>
          <w:p w:rsidR="00522B01" w:rsidRDefault="00522B01" w:rsidP="002D6B67">
            <w:pPr>
              <w:rPr>
                <w:rFonts w:cstheme="minorHAnsi"/>
                <w:b/>
                <w:szCs w:val="22"/>
                <w:lang w:eastAsia="fr-FR"/>
              </w:rPr>
            </w:pPr>
          </w:p>
        </w:tc>
        <w:tc>
          <w:tcPr>
            <w:tcW w:w="1398" w:type="dxa"/>
            <w:shd w:val="clear" w:color="auto" w:fill="DBE5F1" w:themeFill="accent1" w:themeFillTint="33"/>
          </w:tcPr>
          <w:p w:rsidR="00522B01" w:rsidRDefault="00522B01" w:rsidP="002D6B67">
            <w:pPr>
              <w:rPr>
                <w:rFonts w:cstheme="minorHAnsi"/>
                <w:b/>
                <w:szCs w:val="22"/>
                <w:lang w:eastAsia="fr-FR"/>
              </w:rPr>
            </w:pPr>
          </w:p>
        </w:tc>
        <w:tc>
          <w:tcPr>
            <w:tcW w:w="1376" w:type="dxa"/>
            <w:shd w:val="clear" w:color="auto" w:fill="DBE5F1" w:themeFill="accent1" w:themeFillTint="33"/>
          </w:tcPr>
          <w:p w:rsidR="00522B01" w:rsidRDefault="00522B01" w:rsidP="002D6B67">
            <w:pPr>
              <w:rPr>
                <w:rFonts w:cstheme="minorHAnsi"/>
                <w:b/>
                <w:szCs w:val="22"/>
                <w:lang w:eastAsia="fr-FR"/>
              </w:rPr>
            </w:pPr>
          </w:p>
        </w:tc>
        <w:tc>
          <w:tcPr>
            <w:tcW w:w="1770" w:type="dxa"/>
            <w:shd w:val="clear" w:color="auto" w:fill="DBE5F1" w:themeFill="accent1" w:themeFillTint="33"/>
          </w:tcPr>
          <w:p w:rsidR="00522B01" w:rsidRDefault="00522B01" w:rsidP="002D6B67">
            <w:pPr>
              <w:rPr>
                <w:rFonts w:cstheme="minorHAnsi"/>
                <w:b/>
                <w:szCs w:val="22"/>
                <w:lang w:eastAsia="fr-FR"/>
              </w:rPr>
            </w:pPr>
          </w:p>
        </w:tc>
        <w:tc>
          <w:tcPr>
            <w:tcW w:w="1905" w:type="dxa"/>
            <w:shd w:val="clear" w:color="auto" w:fill="DBE5F1" w:themeFill="accent1" w:themeFillTint="33"/>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559102476" w:edGrp="everyone" w:colFirst="1" w:colLast="1"/>
            <w:permStart w:id="323887566" w:edGrp="everyone" w:colFirst="2" w:colLast="2"/>
            <w:permStart w:id="67255643" w:edGrp="everyone" w:colFirst="3" w:colLast="3"/>
            <w:permStart w:id="1727230595" w:edGrp="everyone" w:colFirst="4" w:colLast="4"/>
            <w:permStart w:id="1664629676" w:edGrp="everyone" w:colFirst="5" w:colLast="5"/>
            <w:permStart w:id="1050155661" w:edGrp="everyone" w:colFirst="0" w:colLast="0"/>
            <w:permEnd w:id="937629484"/>
            <w:permEnd w:id="776420370"/>
            <w:permEnd w:id="381424100"/>
            <w:permEnd w:id="268262723"/>
            <w:permEnd w:id="1408829585"/>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r w:rsidR="00522B01" w:rsidTr="002D6B67">
        <w:tc>
          <w:tcPr>
            <w:tcW w:w="1638" w:type="dxa"/>
          </w:tcPr>
          <w:p w:rsidR="00522B01" w:rsidRDefault="00522B01" w:rsidP="002D6B67">
            <w:pPr>
              <w:rPr>
                <w:rFonts w:cstheme="minorHAnsi"/>
                <w:b/>
                <w:szCs w:val="22"/>
                <w:lang w:eastAsia="fr-FR"/>
              </w:rPr>
            </w:pPr>
            <w:permStart w:id="1306333480" w:edGrp="everyone" w:colFirst="1" w:colLast="1"/>
            <w:permStart w:id="1844402768" w:edGrp="everyone" w:colFirst="2" w:colLast="2"/>
            <w:permStart w:id="18891966" w:edGrp="everyone" w:colFirst="3" w:colLast="3"/>
            <w:permStart w:id="411061797" w:edGrp="everyone" w:colFirst="4" w:colLast="4"/>
            <w:permStart w:id="1702963768" w:edGrp="everyone" w:colFirst="5" w:colLast="5"/>
            <w:permStart w:id="1352556605" w:edGrp="everyone" w:colFirst="0" w:colLast="0"/>
            <w:permEnd w:id="559102476"/>
            <w:permEnd w:id="323887566"/>
            <w:permEnd w:id="67255643"/>
            <w:permEnd w:id="1727230595"/>
            <w:permEnd w:id="1664629676"/>
            <w:permEnd w:id="1050155661"/>
          </w:p>
        </w:tc>
        <w:tc>
          <w:tcPr>
            <w:tcW w:w="1547" w:type="dxa"/>
          </w:tcPr>
          <w:p w:rsidR="00522B01" w:rsidRDefault="00522B01" w:rsidP="002D6B67">
            <w:pPr>
              <w:rPr>
                <w:rFonts w:cstheme="minorHAnsi"/>
                <w:b/>
                <w:szCs w:val="22"/>
                <w:lang w:eastAsia="fr-FR"/>
              </w:rPr>
            </w:pPr>
          </w:p>
        </w:tc>
        <w:tc>
          <w:tcPr>
            <w:tcW w:w="1398" w:type="dxa"/>
          </w:tcPr>
          <w:p w:rsidR="00522B01" w:rsidRDefault="00522B01" w:rsidP="002D6B67">
            <w:pPr>
              <w:rPr>
                <w:rFonts w:cstheme="minorHAnsi"/>
                <w:b/>
                <w:szCs w:val="22"/>
                <w:lang w:eastAsia="fr-FR"/>
              </w:rPr>
            </w:pPr>
          </w:p>
        </w:tc>
        <w:tc>
          <w:tcPr>
            <w:tcW w:w="1376" w:type="dxa"/>
          </w:tcPr>
          <w:p w:rsidR="00522B01" w:rsidRDefault="00522B01" w:rsidP="002D6B67">
            <w:pPr>
              <w:rPr>
                <w:rFonts w:cstheme="minorHAnsi"/>
                <w:b/>
                <w:szCs w:val="22"/>
                <w:lang w:eastAsia="fr-FR"/>
              </w:rPr>
            </w:pPr>
          </w:p>
        </w:tc>
        <w:tc>
          <w:tcPr>
            <w:tcW w:w="1770" w:type="dxa"/>
          </w:tcPr>
          <w:p w:rsidR="00522B01" w:rsidRDefault="00522B01" w:rsidP="002D6B67">
            <w:pPr>
              <w:rPr>
                <w:rFonts w:cstheme="minorHAnsi"/>
                <w:b/>
                <w:szCs w:val="22"/>
                <w:lang w:eastAsia="fr-FR"/>
              </w:rPr>
            </w:pPr>
          </w:p>
        </w:tc>
        <w:tc>
          <w:tcPr>
            <w:tcW w:w="1905" w:type="dxa"/>
          </w:tcPr>
          <w:p w:rsidR="00522B01" w:rsidRDefault="00522B01" w:rsidP="002D6B67">
            <w:pPr>
              <w:rPr>
                <w:rFonts w:cstheme="minorHAnsi"/>
                <w:b/>
                <w:szCs w:val="22"/>
                <w:lang w:eastAsia="fr-FR"/>
              </w:rPr>
            </w:pPr>
          </w:p>
        </w:tc>
      </w:tr>
    </w:tbl>
    <w:permEnd w:id="1306333480"/>
    <w:permEnd w:id="1844402768"/>
    <w:permEnd w:id="18891966"/>
    <w:permEnd w:id="411061797"/>
    <w:permEnd w:id="1702963768"/>
    <w:permEnd w:id="1352556605"/>
    <w:p w:rsidR="00522B01" w:rsidRDefault="00522B01" w:rsidP="00522B01">
      <w:r>
        <w:t>&lt;ESMA_QUESTION_MIFID_PO_40&gt;</w:t>
      </w:r>
    </w:p>
    <w:p w:rsidR="00522B01" w:rsidRDefault="00522B01" w:rsidP="00EF314C">
      <w:pPr>
        <w:rPr>
          <w:rFonts w:cs="Arial"/>
          <w:b/>
          <w:sz w:val="22"/>
          <w:szCs w:val="22"/>
          <w:lang w:eastAsia="en-US"/>
        </w:rPr>
      </w:pPr>
    </w:p>
    <w:sectPr w:rsidR="00522B01"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51" w:rsidRDefault="00370151">
      <w:r>
        <w:separator/>
      </w:r>
    </w:p>
    <w:p w:rsidR="00370151" w:rsidRDefault="00370151"/>
  </w:endnote>
  <w:endnote w:type="continuationSeparator" w:id="0">
    <w:p w:rsidR="00370151" w:rsidRDefault="00370151">
      <w:r>
        <w:continuationSeparator/>
      </w:r>
    </w:p>
    <w:p w:rsidR="00370151" w:rsidRDefault="00370151"/>
  </w:endnote>
  <w:endnote w:type="continuationNotice" w:id="1">
    <w:p w:rsidR="00370151" w:rsidRDefault="00370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F748E" w:rsidRPr="00616B9B" w:rsidTr="00315E96">
      <w:trPr>
        <w:trHeight w:val="284"/>
      </w:trPr>
      <w:tc>
        <w:tcPr>
          <w:tcW w:w="8460" w:type="dxa"/>
        </w:tcPr>
        <w:p w:rsidR="00BF748E" w:rsidRPr="00315E96" w:rsidRDefault="00BF748E" w:rsidP="00315E96">
          <w:pPr>
            <w:pStyle w:val="00Footer"/>
            <w:rPr>
              <w:lang w:val="fr-FR"/>
            </w:rPr>
          </w:pPr>
        </w:p>
      </w:tc>
      <w:tc>
        <w:tcPr>
          <w:tcW w:w="952" w:type="dxa"/>
        </w:tcPr>
        <w:p w:rsidR="00BF748E" w:rsidRPr="00616B9B" w:rsidRDefault="00BF748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B06C7">
            <w:rPr>
              <w:rFonts w:cs="Arial"/>
              <w:noProof/>
              <w:sz w:val="22"/>
              <w:szCs w:val="22"/>
            </w:rPr>
            <w:t>24</w:t>
          </w:r>
          <w:r w:rsidRPr="00616B9B">
            <w:rPr>
              <w:rFonts w:cs="Arial"/>
              <w:noProof/>
              <w:sz w:val="22"/>
              <w:szCs w:val="22"/>
            </w:rPr>
            <w:fldChar w:fldCharType="end"/>
          </w:r>
        </w:p>
      </w:tc>
    </w:tr>
  </w:tbl>
  <w:p w:rsidR="00BF748E" w:rsidRDefault="00BF7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8E" w:rsidRDefault="00BF7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51" w:rsidRDefault="00370151">
      <w:r>
        <w:separator/>
      </w:r>
    </w:p>
    <w:p w:rsidR="00370151" w:rsidRDefault="00370151"/>
  </w:footnote>
  <w:footnote w:type="continuationSeparator" w:id="0">
    <w:p w:rsidR="00370151" w:rsidRDefault="00370151">
      <w:r>
        <w:continuationSeparator/>
      </w:r>
    </w:p>
    <w:p w:rsidR="00370151" w:rsidRDefault="00370151"/>
  </w:footnote>
  <w:footnote w:type="continuationNotice" w:id="1">
    <w:p w:rsidR="00370151" w:rsidRDefault="003701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8E" w:rsidRDefault="00BF748E">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8E" w:rsidRDefault="00BF748E"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48E" w:rsidRDefault="00BF74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BF748E" w:rsidRPr="002F4496" w:rsidTr="000C06C9">
      <w:trPr>
        <w:trHeight w:val="284"/>
      </w:trPr>
      <w:tc>
        <w:tcPr>
          <w:tcW w:w="8460" w:type="dxa"/>
        </w:tcPr>
        <w:p w:rsidR="00BF748E" w:rsidRPr="000C3B6D" w:rsidRDefault="00BF748E" w:rsidP="000C06C9">
          <w:pPr>
            <w:pStyle w:val="00Footer"/>
            <w:rPr>
              <w:lang w:val="fr-FR"/>
            </w:rPr>
          </w:pPr>
        </w:p>
      </w:tc>
      <w:tc>
        <w:tcPr>
          <w:tcW w:w="952" w:type="dxa"/>
        </w:tcPr>
        <w:p w:rsidR="00BF748E" w:rsidRPr="00146B34" w:rsidRDefault="00BF748E" w:rsidP="000C06C9">
          <w:pPr>
            <w:pStyle w:val="00aPagenumber"/>
            <w:rPr>
              <w:lang w:val="fr-FR"/>
            </w:rPr>
          </w:pPr>
        </w:p>
      </w:tc>
    </w:tr>
  </w:tbl>
  <w:p w:rsidR="00BF748E" w:rsidRPr="00DB46C3" w:rsidRDefault="00BF748E">
    <w:pPr>
      <w:rPr>
        <w:lang w:val="fr-FR"/>
      </w:rPr>
    </w:pPr>
  </w:p>
  <w:p w:rsidR="00BF748E" w:rsidRPr="002F4496" w:rsidRDefault="00BF748E">
    <w:pPr>
      <w:pStyle w:val="Header"/>
      <w:rPr>
        <w:lang w:val="fr-FR"/>
      </w:rPr>
    </w:pPr>
  </w:p>
  <w:p w:rsidR="00BF748E" w:rsidRPr="002F4496" w:rsidRDefault="00BF748E" w:rsidP="000C06C9">
    <w:pPr>
      <w:pStyle w:val="Header"/>
      <w:tabs>
        <w:tab w:val="clear" w:pos="4536"/>
        <w:tab w:val="clear" w:pos="9072"/>
        <w:tab w:val="left" w:pos="8227"/>
      </w:tabs>
      <w:rPr>
        <w:lang w:val="fr-FR"/>
      </w:rPr>
    </w:pPr>
  </w:p>
  <w:p w:rsidR="00BF748E" w:rsidRPr="002F4496" w:rsidRDefault="00BF748E" w:rsidP="00583885">
    <w:pPr>
      <w:pStyle w:val="Header"/>
      <w:jc w:val="right"/>
      <w:rPr>
        <w:lang w:val="fr-FR"/>
      </w:rPr>
    </w:pPr>
  </w:p>
  <w:p w:rsidR="00BF748E" w:rsidRPr="002F4496" w:rsidRDefault="00BF748E">
    <w:pPr>
      <w:pStyle w:val="Header"/>
      <w:rPr>
        <w:lang w:val="fr-FR"/>
      </w:rPr>
    </w:pPr>
  </w:p>
  <w:p w:rsidR="00BF748E" w:rsidRPr="002F4496" w:rsidRDefault="00BF748E">
    <w:pPr>
      <w:pStyle w:val="Header"/>
      <w:rPr>
        <w:lang w:val="fr-FR"/>
      </w:rPr>
    </w:pPr>
  </w:p>
  <w:p w:rsidR="00BF748E" w:rsidRPr="002F4496" w:rsidRDefault="00BF748E">
    <w:pPr>
      <w:pStyle w:val="Header"/>
      <w:rPr>
        <w:lang w:val="fr-FR"/>
      </w:rPr>
    </w:pPr>
  </w:p>
  <w:p w:rsidR="00BF748E" w:rsidRPr="002F4496" w:rsidRDefault="00BF748E">
    <w:pPr>
      <w:pStyle w:val="Header"/>
      <w:rPr>
        <w:highlight w:val="yellow"/>
        <w:lang w:val="fr-FR"/>
      </w:rPr>
    </w:pPr>
  </w:p>
  <w:p w:rsidR="00BF748E" w:rsidRDefault="00BF748E">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310FA"/>
    <w:multiLevelType w:val="hybridMultilevel"/>
    <w:tmpl w:val="ED10FD8A"/>
    <w:lvl w:ilvl="0" w:tplc="321A7E70">
      <w:start w:val="1"/>
      <w:numFmt w:val="lowerLetter"/>
      <w:lvlText w:val="(%1)"/>
      <w:lvlJc w:val="left"/>
      <w:pPr>
        <w:ind w:left="685" w:hanging="428"/>
      </w:pPr>
      <w:rPr>
        <w:rFonts w:ascii="Times New Roman" w:eastAsia="Times New Roman" w:hAnsi="Times New Roman" w:cs="Times New Roman" w:hint="default"/>
        <w:spacing w:val="-18"/>
        <w:w w:val="99"/>
        <w:sz w:val="24"/>
        <w:szCs w:val="24"/>
      </w:rPr>
    </w:lvl>
    <w:lvl w:ilvl="1" w:tplc="FEEA1B98">
      <w:numFmt w:val="bullet"/>
      <w:lvlText w:val="•"/>
      <w:lvlJc w:val="left"/>
      <w:pPr>
        <w:ind w:left="1542" w:hanging="428"/>
      </w:pPr>
      <w:rPr>
        <w:rFonts w:hint="default"/>
      </w:rPr>
    </w:lvl>
    <w:lvl w:ilvl="2" w:tplc="0FA20E5C">
      <w:numFmt w:val="bullet"/>
      <w:lvlText w:val="•"/>
      <w:lvlJc w:val="left"/>
      <w:pPr>
        <w:ind w:left="2405" w:hanging="428"/>
      </w:pPr>
      <w:rPr>
        <w:rFonts w:hint="default"/>
      </w:rPr>
    </w:lvl>
    <w:lvl w:ilvl="3" w:tplc="28F239CC">
      <w:numFmt w:val="bullet"/>
      <w:lvlText w:val="•"/>
      <w:lvlJc w:val="left"/>
      <w:pPr>
        <w:ind w:left="3267" w:hanging="428"/>
      </w:pPr>
      <w:rPr>
        <w:rFonts w:hint="default"/>
      </w:rPr>
    </w:lvl>
    <w:lvl w:ilvl="4" w:tplc="B9522A32">
      <w:numFmt w:val="bullet"/>
      <w:lvlText w:val="•"/>
      <w:lvlJc w:val="left"/>
      <w:pPr>
        <w:ind w:left="4130" w:hanging="428"/>
      </w:pPr>
      <w:rPr>
        <w:rFonts w:hint="default"/>
      </w:rPr>
    </w:lvl>
    <w:lvl w:ilvl="5" w:tplc="0302A3EA">
      <w:numFmt w:val="bullet"/>
      <w:lvlText w:val="•"/>
      <w:lvlJc w:val="left"/>
      <w:pPr>
        <w:ind w:left="4993" w:hanging="428"/>
      </w:pPr>
      <w:rPr>
        <w:rFonts w:hint="default"/>
      </w:rPr>
    </w:lvl>
    <w:lvl w:ilvl="6" w:tplc="CDB4F066">
      <w:numFmt w:val="bullet"/>
      <w:lvlText w:val="•"/>
      <w:lvlJc w:val="left"/>
      <w:pPr>
        <w:ind w:left="5855" w:hanging="428"/>
      </w:pPr>
      <w:rPr>
        <w:rFonts w:hint="default"/>
      </w:rPr>
    </w:lvl>
    <w:lvl w:ilvl="7" w:tplc="038693F4">
      <w:numFmt w:val="bullet"/>
      <w:lvlText w:val="•"/>
      <w:lvlJc w:val="left"/>
      <w:pPr>
        <w:ind w:left="6718" w:hanging="428"/>
      </w:pPr>
      <w:rPr>
        <w:rFonts w:hint="default"/>
      </w:rPr>
    </w:lvl>
    <w:lvl w:ilvl="8" w:tplc="8114571E">
      <w:numFmt w:val="bullet"/>
      <w:lvlText w:val="•"/>
      <w:lvlJc w:val="left"/>
      <w:pPr>
        <w:ind w:left="7581" w:hanging="428"/>
      </w:pPr>
      <w:rPr>
        <w:rFonts w:hint="default"/>
      </w:rPr>
    </w:lvl>
  </w:abstractNum>
  <w:abstractNum w:abstractNumId="4">
    <w:nsid w:val="0FB3036D"/>
    <w:multiLevelType w:val="hybridMultilevel"/>
    <w:tmpl w:val="43687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A40428"/>
    <w:multiLevelType w:val="hybridMultilevel"/>
    <w:tmpl w:val="2A4C1DF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CF065A1"/>
    <w:multiLevelType w:val="hybridMultilevel"/>
    <w:tmpl w:val="56C2C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1ED482E"/>
    <w:multiLevelType w:val="hybridMultilevel"/>
    <w:tmpl w:val="AE18569C"/>
    <w:lvl w:ilvl="0" w:tplc="08090017">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7">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2147551"/>
    <w:multiLevelType w:val="hybridMultilevel"/>
    <w:tmpl w:val="EB0CD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D67955"/>
    <w:multiLevelType w:val="hybridMultilevel"/>
    <w:tmpl w:val="D5826BD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9B47199"/>
    <w:multiLevelType w:val="hybridMultilevel"/>
    <w:tmpl w:val="B358E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nsid w:val="3DDB3940"/>
    <w:multiLevelType w:val="hybridMultilevel"/>
    <w:tmpl w:val="004C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083EFC"/>
    <w:multiLevelType w:val="hybridMultilevel"/>
    <w:tmpl w:val="F42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181FE1"/>
    <w:multiLevelType w:val="hybridMultilevel"/>
    <w:tmpl w:val="4E743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9">
    <w:nsid w:val="44F64D9C"/>
    <w:multiLevelType w:val="hybridMultilevel"/>
    <w:tmpl w:val="11BEE3B6"/>
    <w:lvl w:ilvl="0" w:tplc="58D2C88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4A8501C1"/>
    <w:multiLevelType w:val="hybridMultilevel"/>
    <w:tmpl w:val="9EC80AFC"/>
    <w:lvl w:ilvl="0" w:tplc="CECA9C4C">
      <w:start w:val="1"/>
      <w:numFmt w:val="decimal"/>
      <w:pStyle w:val="CPQuestions"/>
      <w:lvlText w:val="Q%1."/>
      <w:lvlJc w:val="right"/>
      <w:pPr>
        <w:ind w:left="107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8">
    <w:nsid w:val="58417B9E"/>
    <w:multiLevelType w:val="hybridMultilevel"/>
    <w:tmpl w:val="F9280DBA"/>
    <w:lvl w:ilvl="0" w:tplc="11DEBDC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5AD034CB"/>
    <w:multiLevelType w:val="hybridMultilevel"/>
    <w:tmpl w:val="0C5C6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5">
    <w:nsid w:val="68055271"/>
    <w:multiLevelType w:val="hybridMultilevel"/>
    <w:tmpl w:val="FED0F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8">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3"/>
  </w:num>
  <w:num w:numId="2">
    <w:abstractNumId w:val="28"/>
  </w:num>
  <w:num w:numId="3">
    <w:abstractNumId w:val="18"/>
  </w:num>
  <w:num w:numId="4">
    <w:abstractNumId w:val="34"/>
  </w:num>
  <w:num w:numId="5">
    <w:abstractNumId w:val="36"/>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3"/>
  </w:num>
  <w:num w:numId="14">
    <w:abstractNumId w:val="33"/>
  </w:num>
  <w:num w:numId="15">
    <w:abstractNumId w:val="15"/>
  </w:num>
  <w:num w:numId="16">
    <w:abstractNumId w:val="1"/>
  </w:num>
  <w:num w:numId="17">
    <w:abstractNumId w:val="21"/>
  </w:num>
  <w:num w:numId="18">
    <w:abstractNumId w:val="22"/>
  </w:num>
  <w:num w:numId="19">
    <w:abstractNumId w:val="24"/>
  </w:num>
  <w:num w:numId="20">
    <w:abstractNumId w:val="37"/>
  </w:num>
  <w:num w:numId="21">
    <w:abstractNumId w:val="49"/>
  </w:num>
  <w:num w:numId="22">
    <w:abstractNumId w:val="35"/>
  </w:num>
  <w:num w:numId="23">
    <w:abstractNumId w:val="14"/>
  </w:num>
  <w:num w:numId="24">
    <w:abstractNumId w:val="42"/>
  </w:num>
  <w:num w:numId="25">
    <w:abstractNumId w:val="41"/>
  </w:num>
  <w:num w:numId="26">
    <w:abstractNumId w:val="30"/>
  </w:num>
  <w:num w:numId="27">
    <w:abstractNumId w:val="46"/>
  </w:num>
  <w:num w:numId="28">
    <w:abstractNumId w:val="51"/>
  </w:num>
  <w:num w:numId="29">
    <w:abstractNumId w:val="12"/>
  </w:num>
  <w:num w:numId="30">
    <w:abstractNumId w:val="6"/>
  </w:num>
  <w:num w:numId="31">
    <w:abstractNumId w:val="32"/>
  </w:num>
  <w:num w:numId="32">
    <w:abstractNumId w:val="2"/>
  </w:num>
  <w:num w:numId="33">
    <w:abstractNumId w:val="11"/>
  </w:num>
  <w:num w:numId="34">
    <w:abstractNumId w:val="31"/>
  </w:num>
  <w:num w:numId="35">
    <w:abstractNumId w:val="48"/>
  </w:num>
  <w:num w:numId="36">
    <w:abstractNumId w:val="47"/>
  </w:num>
  <w:num w:numId="37">
    <w:abstractNumId w:val="4"/>
  </w:num>
  <w:num w:numId="38">
    <w:abstractNumId w:val="29"/>
  </w:num>
  <w:num w:numId="39">
    <w:abstractNumId w:val="45"/>
  </w:num>
  <w:num w:numId="40">
    <w:abstractNumId w:val="26"/>
  </w:num>
  <w:num w:numId="41">
    <w:abstractNumId w:val="19"/>
  </w:num>
  <w:num w:numId="42">
    <w:abstractNumId w:val="27"/>
  </w:num>
  <w:num w:numId="43">
    <w:abstractNumId w:val="25"/>
  </w:num>
  <w:num w:numId="44">
    <w:abstractNumId w:val="17"/>
  </w:num>
  <w:num w:numId="45">
    <w:abstractNumId w:val="8"/>
  </w:num>
  <w:num w:numId="46">
    <w:abstractNumId w:val="10"/>
  </w:num>
  <w:num w:numId="47">
    <w:abstractNumId w:val="5"/>
  </w:num>
  <w:num w:numId="48">
    <w:abstractNumId w:val="16"/>
  </w:num>
  <w:num w:numId="49">
    <w:abstractNumId w:val="3"/>
  </w:num>
  <w:num w:numId="50">
    <w:abstractNumId w:val="40"/>
  </w:num>
  <w:num w:numId="51">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0523"/>
    <w:rsid w:val="000B275C"/>
    <w:rsid w:val="000B2C3D"/>
    <w:rsid w:val="000B55C0"/>
    <w:rsid w:val="000B5DF2"/>
    <w:rsid w:val="000C06C9"/>
    <w:rsid w:val="000C10A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217F"/>
    <w:rsid w:val="00204CBC"/>
    <w:rsid w:val="002051F1"/>
    <w:rsid w:val="002067BA"/>
    <w:rsid w:val="0021058D"/>
    <w:rsid w:val="00211E2F"/>
    <w:rsid w:val="00211E9E"/>
    <w:rsid w:val="00214FB4"/>
    <w:rsid w:val="00215940"/>
    <w:rsid w:val="002165C4"/>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B67"/>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457"/>
    <w:rsid w:val="00347667"/>
    <w:rsid w:val="003507E2"/>
    <w:rsid w:val="003522B2"/>
    <w:rsid w:val="0035455E"/>
    <w:rsid w:val="00354A6F"/>
    <w:rsid w:val="00354B48"/>
    <w:rsid w:val="00355789"/>
    <w:rsid w:val="003609B6"/>
    <w:rsid w:val="00361119"/>
    <w:rsid w:val="0036538D"/>
    <w:rsid w:val="00365D12"/>
    <w:rsid w:val="00370151"/>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6C7"/>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51E0"/>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836"/>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1F2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69FB"/>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012B"/>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538"/>
    <w:rsid w:val="008C4BDC"/>
    <w:rsid w:val="008C50FF"/>
    <w:rsid w:val="008C5435"/>
    <w:rsid w:val="008C6BD1"/>
    <w:rsid w:val="008D2DB5"/>
    <w:rsid w:val="008D3F10"/>
    <w:rsid w:val="008D611D"/>
    <w:rsid w:val="008E1B6A"/>
    <w:rsid w:val="008E1EBE"/>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97A"/>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6191"/>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AC2"/>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5B30"/>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CFA"/>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48E"/>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B7A48"/>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225"/>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5F3"/>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uiPriority w:val="99"/>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2983052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ucia.Bordigato@borsaitaliana.it"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CPoilvetClediere@lseg.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JFarrimond@lseg.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Fabrizio.Plateroti@borsaitaliana.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4.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A73861-2D56-4C5E-8AD7-B6CD609E1D03}">
  <ds:schemaRefs>
    <ds:schemaRef ds:uri="http://schemas.openxmlformats.org/officeDocument/2006/bibliography"/>
  </ds:schemaRefs>
</ds:datastoreItem>
</file>

<file path=customXml/itemProps6.xml><?xml version="1.0" encoding="utf-8"?>
<ds:datastoreItem xmlns:ds="http://schemas.openxmlformats.org/officeDocument/2006/customXml" ds:itemID="{F5F0B62D-C97A-455E-B6DC-EB63C72A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8289</Words>
  <Characters>47251</Characters>
  <Application>Microsoft Office Word</Application>
  <DocSecurity>8</DocSecurity>
  <Lines>393</Lines>
  <Paragraphs>110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55430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Altkemper, Susann</cp:lastModifiedBy>
  <cp:revision>4</cp:revision>
  <cp:lastPrinted>2017-01-03T16:39:00Z</cp:lastPrinted>
  <dcterms:created xsi:type="dcterms:W3CDTF">2017-01-03T16:22:00Z</dcterms:created>
  <dcterms:modified xsi:type="dcterms:W3CDTF">2017-01-03T18:07:00Z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