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70" w:type="dxa"/>
          <w:right w:w="70" w:type="dxa"/>
        </w:tblCellMar>
        <w:tblLook w:val="0000" w:firstRow="0" w:lastRow="0" w:firstColumn="0" w:lastColumn="0" w:noHBand="0" w:noVBand="0"/>
      </w:tblPr>
      <w:tblGrid>
        <w:gridCol w:w="5102"/>
        <w:gridCol w:w="4649"/>
      </w:tblGrid>
      <w:tr w:rsidR="00642235" w:rsidRPr="007E1AC2" w:rsidTr="002D17FF">
        <w:trPr>
          <w:trHeight w:hRule="exact" w:val="3014"/>
        </w:trPr>
        <w:tc>
          <w:tcPr>
            <w:tcW w:w="5102" w:type="dxa"/>
          </w:tcPr>
          <w:p w:rsidR="00B51CB0" w:rsidRDefault="00650AE5" w:rsidP="00CE5D6F">
            <w:pPr>
              <w:rPr>
                <w:lang w:val="fi-FI"/>
              </w:rPr>
            </w:pPr>
            <w:r>
              <w:rPr>
                <w:lang w:val="fi-FI"/>
              </w:rPr>
              <w:br/>
            </w:r>
          </w:p>
          <w:p w:rsidR="00CB2954" w:rsidRPr="00B22761" w:rsidRDefault="00CB2954" w:rsidP="00CE5D6F">
            <w:pPr>
              <w:rPr>
                <w:sz w:val="52"/>
                <w:szCs w:val="52"/>
                <w:lang w:val="fi-FI"/>
              </w:rPr>
            </w:pPr>
          </w:p>
        </w:tc>
        <w:tc>
          <w:tcPr>
            <w:tcW w:w="4649" w:type="dxa"/>
          </w:tcPr>
          <w:p w:rsidR="00642235" w:rsidRPr="00D364F4" w:rsidRDefault="00642235" w:rsidP="00CE5D6F">
            <w:pPr>
              <w:spacing w:line="220" w:lineRule="atLeast"/>
              <w:jc w:val="right"/>
              <w:rPr>
                <w:b/>
                <w:bCs/>
                <w:color w:val="000000"/>
                <w:sz w:val="6"/>
                <w:szCs w:val="6"/>
                <w:lang w:val="fi-FI"/>
              </w:rPr>
            </w:pPr>
          </w:p>
          <w:p w:rsidR="00642235" w:rsidRPr="00D364F4" w:rsidRDefault="00642235" w:rsidP="00CE5D6F">
            <w:pPr>
              <w:spacing w:line="220" w:lineRule="atLeast"/>
              <w:jc w:val="right"/>
              <w:rPr>
                <w:b/>
                <w:bCs/>
                <w:color w:val="000000"/>
                <w:sz w:val="6"/>
                <w:szCs w:val="6"/>
                <w:lang w:val="fi-FI"/>
              </w:rPr>
            </w:pPr>
          </w:p>
          <w:p w:rsidR="00642235" w:rsidRPr="00D364F4" w:rsidRDefault="00642235" w:rsidP="00CE5D6F">
            <w:pPr>
              <w:spacing w:line="260" w:lineRule="atLeast"/>
              <w:jc w:val="right"/>
              <w:rPr>
                <w:b/>
                <w:bCs/>
                <w:noProof/>
                <w:color w:val="000000"/>
                <w:sz w:val="18"/>
                <w:szCs w:val="18"/>
                <w:lang w:val="en-GB"/>
              </w:rPr>
            </w:pPr>
            <w:r w:rsidRPr="00B55633">
              <w:rPr>
                <w:b/>
                <w:bCs/>
                <w:noProof/>
                <w:color w:val="000000"/>
                <w:sz w:val="18"/>
                <w:szCs w:val="18"/>
                <w:lang w:val="fi-FI"/>
              </w:rPr>
              <w:t xml:space="preserve"> </w:t>
            </w:r>
            <w:r w:rsidRPr="00D364F4">
              <w:rPr>
                <w:b/>
                <w:bCs/>
                <w:noProof/>
                <w:color w:val="000000"/>
                <w:sz w:val="18"/>
                <w:szCs w:val="18"/>
                <w:lang w:val="en-GB"/>
              </w:rPr>
              <w:t>Division Bank and Insurance</w:t>
            </w:r>
          </w:p>
          <w:p w:rsidR="00C47B46" w:rsidRPr="00D364F4" w:rsidRDefault="00C47B46" w:rsidP="00CE5D6F">
            <w:pPr>
              <w:spacing w:line="260" w:lineRule="atLeast"/>
              <w:jc w:val="right"/>
              <w:rPr>
                <w:bCs/>
                <w:color w:val="000000"/>
                <w:sz w:val="18"/>
                <w:szCs w:val="18"/>
                <w:lang w:val="en-GB"/>
              </w:rPr>
            </w:pPr>
            <w:r w:rsidRPr="00D364F4">
              <w:rPr>
                <w:bCs/>
                <w:noProof/>
                <w:color w:val="000000"/>
                <w:sz w:val="18"/>
                <w:szCs w:val="18"/>
                <w:lang w:val="en-GB"/>
              </w:rPr>
              <w:t>Austrian Federal Economic Chamber</w:t>
            </w:r>
          </w:p>
          <w:p w:rsidR="00642235" w:rsidRPr="00CE5D6F" w:rsidRDefault="00642235" w:rsidP="00CE5D6F">
            <w:pPr>
              <w:spacing w:line="260" w:lineRule="atLeast"/>
              <w:jc w:val="right"/>
              <w:rPr>
                <w:color w:val="000000"/>
                <w:sz w:val="18"/>
                <w:szCs w:val="18"/>
                <w:lang w:val="de-AT"/>
              </w:rPr>
            </w:pPr>
            <w:r w:rsidRPr="00CE5D6F">
              <w:rPr>
                <w:noProof/>
                <w:color w:val="000000"/>
                <w:sz w:val="18"/>
                <w:szCs w:val="18"/>
                <w:lang w:val="de-AT"/>
              </w:rPr>
              <w:t>Wiedner Hauptstraße 63 | P.O. Box 320</w:t>
            </w:r>
          </w:p>
          <w:p w:rsidR="00642235" w:rsidRPr="00CE5D6F" w:rsidRDefault="00642235" w:rsidP="00CE5D6F">
            <w:pPr>
              <w:spacing w:line="260" w:lineRule="atLeast"/>
              <w:jc w:val="right"/>
              <w:rPr>
                <w:color w:val="000000"/>
                <w:sz w:val="18"/>
                <w:szCs w:val="18"/>
                <w:lang w:val="de-AT"/>
              </w:rPr>
            </w:pPr>
            <w:r w:rsidRPr="00CE5D6F">
              <w:rPr>
                <w:noProof/>
                <w:color w:val="000000"/>
                <w:sz w:val="18"/>
                <w:szCs w:val="18"/>
                <w:lang w:val="de-AT"/>
              </w:rPr>
              <w:t>1045 Vienna</w:t>
            </w:r>
          </w:p>
          <w:p w:rsidR="00642235" w:rsidRPr="00D364F4" w:rsidRDefault="00642235" w:rsidP="00CE5D6F">
            <w:pPr>
              <w:spacing w:line="260" w:lineRule="atLeast"/>
              <w:jc w:val="right"/>
              <w:rPr>
                <w:color w:val="000000"/>
                <w:sz w:val="18"/>
                <w:szCs w:val="18"/>
              </w:rPr>
            </w:pPr>
            <w:r w:rsidRPr="00B51CB0">
              <w:rPr>
                <w:noProof/>
                <w:color w:val="000000"/>
                <w:sz w:val="18"/>
                <w:szCs w:val="18"/>
                <w:lang w:val="de-AT"/>
              </w:rPr>
              <w:t>T +43 (0)5 90 900-DW | F +43 (0)5 90 900-27</w:t>
            </w:r>
            <w:r w:rsidRPr="00D364F4">
              <w:rPr>
                <w:noProof/>
                <w:color w:val="000000"/>
                <w:sz w:val="18"/>
                <w:szCs w:val="18"/>
              </w:rPr>
              <w:t>2</w:t>
            </w:r>
          </w:p>
          <w:p w:rsidR="00642235" w:rsidRPr="00D364F4" w:rsidRDefault="00642235" w:rsidP="00CE5D6F">
            <w:pPr>
              <w:spacing w:line="260" w:lineRule="atLeast"/>
              <w:jc w:val="right"/>
              <w:rPr>
                <w:color w:val="000000"/>
                <w:sz w:val="18"/>
                <w:szCs w:val="18"/>
              </w:rPr>
            </w:pPr>
            <w:r w:rsidRPr="00D364F4">
              <w:rPr>
                <w:noProof/>
                <w:color w:val="000000"/>
                <w:sz w:val="18"/>
                <w:szCs w:val="18"/>
              </w:rPr>
              <w:t>E  bsbv@wko.at</w:t>
            </w:r>
          </w:p>
          <w:p w:rsidR="00642235" w:rsidRPr="00D364F4" w:rsidRDefault="00642235" w:rsidP="00CE5D6F">
            <w:pPr>
              <w:spacing w:line="260" w:lineRule="atLeast"/>
              <w:jc w:val="right"/>
              <w:rPr>
                <w:lang w:val="en-GB"/>
              </w:rPr>
            </w:pPr>
            <w:r w:rsidRPr="00D364F4">
              <w:rPr>
                <w:noProof/>
                <w:color w:val="000000"/>
                <w:sz w:val="18"/>
                <w:szCs w:val="18"/>
                <w:lang w:val="en-GB"/>
              </w:rPr>
              <w:t>W  http://wko.at/bsbv</w:t>
            </w:r>
          </w:p>
        </w:tc>
      </w:tr>
    </w:tbl>
    <w:p w:rsidR="00642235" w:rsidRPr="00C21BF0" w:rsidRDefault="00642235" w:rsidP="00CE5D6F">
      <w:pPr>
        <w:tabs>
          <w:tab w:val="left" w:pos="2892"/>
          <w:tab w:val="left" w:pos="5783"/>
          <w:tab w:val="left" w:pos="7655"/>
        </w:tabs>
        <w:rPr>
          <w:color w:val="000000"/>
          <w:sz w:val="16"/>
          <w:szCs w:val="16"/>
          <w:lang w:val="en-GB"/>
        </w:rPr>
      </w:pPr>
      <w:r w:rsidRPr="00C21BF0">
        <w:rPr>
          <w:noProof/>
          <w:color w:val="000000"/>
          <w:sz w:val="16"/>
          <w:szCs w:val="16"/>
          <w:lang w:val="en-GB"/>
        </w:rPr>
        <w:t>Your ref., Your message of</w:t>
      </w:r>
      <w:r w:rsidRPr="00C21BF0">
        <w:rPr>
          <w:color w:val="000000"/>
          <w:sz w:val="16"/>
          <w:szCs w:val="16"/>
          <w:lang w:val="en-GB"/>
        </w:rPr>
        <w:tab/>
      </w:r>
      <w:r w:rsidRPr="00C21BF0">
        <w:rPr>
          <w:noProof/>
          <w:color w:val="000000"/>
          <w:sz w:val="16"/>
          <w:szCs w:val="16"/>
          <w:lang w:val="en-GB"/>
        </w:rPr>
        <w:t>Our ref., person in charge</w:t>
      </w:r>
      <w:r w:rsidRPr="00C21BF0">
        <w:rPr>
          <w:color w:val="000000"/>
          <w:sz w:val="16"/>
          <w:szCs w:val="16"/>
          <w:lang w:val="en-GB"/>
        </w:rPr>
        <w:tab/>
      </w:r>
      <w:r w:rsidRPr="00C21BF0">
        <w:rPr>
          <w:noProof/>
          <w:color w:val="000000"/>
          <w:sz w:val="16"/>
          <w:szCs w:val="16"/>
          <w:lang w:val="en-GB"/>
        </w:rPr>
        <w:t>Extension</w:t>
      </w:r>
      <w:r w:rsidRPr="00C21BF0">
        <w:rPr>
          <w:color w:val="000000"/>
          <w:sz w:val="16"/>
          <w:szCs w:val="16"/>
          <w:lang w:val="en-GB"/>
        </w:rPr>
        <w:tab/>
      </w:r>
      <w:r w:rsidRPr="00C21BF0">
        <w:rPr>
          <w:noProof/>
          <w:color w:val="000000"/>
          <w:sz w:val="16"/>
          <w:szCs w:val="16"/>
          <w:lang w:val="en-GB"/>
        </w:rPr>
        <w:t>Date</w:t>
      </w:r>
    </w:p>
    <w:p w:rsidR="00642235" w:rsidRPr="00DC0A36" w:rsidRDefault="00642235" w:rsidP="00CE5D6F">
      <w:pPr>
        <w:tabs>
          <w:tab w:val="left" w:pos="2892"/>
          <w:tab w:val="left" w:pos="5783"/>
          <w:tab w:val="left" w:pos="7655"/>
        </w:tabs>
        <w:rPr>
          <w:color w:val="000000"/>
          <w:lang w:val="en-GB"/>
        </w:rPr>
      </w:pPr>
      <w:r w:rsidRPr="00C21BF0">
        <w:rPr>
          <w:color w:val="000000"/>
          <w:lang w:val="en-GB"/>
        </w:rPr>
        <w:tab/>
      </w:r>
      <w:r w:rsidRPr="00DC0A36">
        <w:rPr>
          <w:noProof/>
          <w:color w:val="000000"/>
          <w:lang w:val="en-GB"/>
        </w:rPr>
        <w:t>BSBV</w:t>
      </w:r>
      <w:r w:rsidR="00CE5D6F">
        <w:rPr>
          <w:noProof/>
          <w:color w:val="000000"/>
          <w:lang w:val="en-GB"/>
        </w:rPr>
        <w:t xml:space="preserve"> </w:t>
      </w:r>
      <w:r w:rsidR="006648A1">
        <w:rPr>
          <w:noProof/>
          <w:color w:val="000000"/>
          <w:lang w:val="en-GB"/>
        </w:rPr>
        <w:t>64</w:t>
      </w:r>
      <w:r w:rsidR="00641DC4" w:rsidRPr="00DC0A36">
        <w:rPr>
          <w:noProof/>
          <w:color w:val="000000"/>
          <w:lang w:val="en-GB"/>
        </w:rPr>
        <w:t>/</w:t>
      </w:r>
      <w:r w:rsidR="00CE5D6F">
        <w:rPr>
          <w:noProof/>
          <w:color w:val="000000"/>
          <w:lang w:val="en-GB"/>
        </w:rPr>
        <w:t>Horvath</w:t>
      </w:r>
      <w:r w:rsidR="00641DC4" w:rsidRPr="00DC0A36">
        <w:rPr>
          <w:noProof/>
          <w:color w:val="000000"/>
          <w:lang w:val="en-GB"/>
        </w:rPr>
        <w:tab/>
        <w:t>31</w:t>
      </w:r>
      <w:r w:rsidR="00CE5D6F">
        <w:rPr>
          <w:noProof/>
          <w:color w:val="000000"/>
          <w:lang w:val="en-GB"/>
        </w:rPr>
        <w:t>41</w:t>
      </w:r>
      <w:r w:rsidRPr="00DC0A36">
        <w:rPr>
          <w:color w:val="000000"/>
          <w:lang w:val="en-GB"/>
        </w:rPr>
        <w:tab/>
      </w:r>
      <w:r w:rsidR="006648A1">
        <w:rPr>
          <w:color w:val="000000"/>
          <w:lang w:val="en-GB"/>
        </w:rPr>
        <w:t>22</w:t>
      </w:r>
      <w:r w:rsidR="006648A1" w:rsidRPr="006648A1">
        <w:rPr>
          <w:color w:val="000000"/>
          <w:vertAlign w:val="superscript"/>
          <w:lang w:val="en-GB"/>
        </w:rPr>
        <w:t>nd</w:t>
      </w:r>
      <w:r w:rsidR="006648A1">
        <w:rPr>
          <w:color w:val="000000"/>
          <w:lang w:val="en-GB"/>
        </w:rPr>
        <w:t xml:space="preserve"> Dec</w:t>
      </w:r>
      <w:r w:rsidR="007E1AC2">
        <w:rPr>
          <w:color w:val="000000"/>
          <w:lang w:val="en-GB"/>
        </w:rPr>
        <w:t xml:space="preserve"> </w:t>
      </w:r>
      <w:r w:rsidR="00D82226" w:rsidRPr="00DC0A36">
        <w:rPr>
          <w:color w:val="000000"/>
          <w:lang w:val="en-GB"/>
        </w:rPr>
        <w:t>201</w:t>
      </w:r>
      <w:r w:rsidR="00CE5D6F">
        <w:rPr>
          <w:color w:val="000000"/>
          <w:lang w:val="en-GB"/>
        </w:rPr>
        <w:t>6</w:t>
      </w:r>
    </w:p>
    <w:p w:rsidR="00A82C13" w:rsidRPr="00DC0A36" w:rsidRDefault="00A82C13" w:rsidP="00CE5D6F">
      <w:pPr>
        <w:rPr>
          <w:color w:val="000000"/>
          <w:sz w:val="24"/>
          <w:szCs w:val="24"/>
          <w:lang w:val="en-GB"/>
        </w:rPr>
      </w:pPr>
    </w:p>
    <w:p w:rsidR="00711C4D" w:rsidRPr="00C37F68" w:rsidRDefault="00190D7D" w:rsidP="00190D7D">
      <w:pPr>
        <w:rPr>
          <w:b/>
          <w:sz w:val="28"/>
          <w:szCs w:val="24"/>
          <w:lang w:val="en-GB"/>
        </w:rPr>
      </w:pPr>
      <w:r w:rsidRPr="00C37F68">
        <w:rPr>
          <w:rFonts w:cs="Times New Roman"/>
          <w:b/>
          <w:bCs/>
          <w:snapToGrid/>
          <w:color w:val="000000"/>
          <w:sz w:val="24"/>
          <w:lang w:val="de-AT"/>
        </w:rPr>
        <w:t>ESMA/2016/1436</w:t>
      </w:r>
      <w:r w:rsidR="002D17FF">
        <w:rPr>
          <w:rFonts w:cs="Times New Roman"/>
          <w:b/>
          <w:bCs/>
          <w:snapToGrid/>
          <w:color w:val="000000"/>
          <w:sz w:val="24"/>
          <w:lang w:val="de-AT"/>
        </w:rPr>
        <w:t xml:space="preserve"> </w:t>
      </w:r>
      <w:r w:rsidRPr="00C37F68">
        <w:rPr>
          <w:rFonts w:cs="Times New Roman"/>
          <w:b/>
          <w:bCs/>
          <w:snapToGrid/>
          <w:color w:val="000000"/>
          <w:sz w:val="24"/>
          <w:lang w:val="de-AT"/>
        </w:rPr>
        <w:t xml:space="preserve">Consultation Paper - Draft guidelines on MiFID II product governance requirements </w:t>
      </w:r>
    </w:p>
    <w:p w:rsidR="00B22761" w:rsidRPr="002D17FF" w:rsidRDefault="00B22761" w:rsidP="00CE5D6F">
      <w:pPr>
        <w:rPr>
          <w:sz w:val="20"/>
          <w:lang w:val="en-GB"/>
        </w:rPr>
      </w:pPr>
    </w:p>
    <w:p w:rsidR="00711C4D" w:rsidRDefault="00DC0A36" w:rsidP="00545FF4">
      <w:pPr>
        <w:spacing w:before="120" w:line="264" w:lineRule="auto"/>
        <w:rPr>
          <w:rFonts w:cs="Arial"/>
          <w:color w:val="000000"/>
          <w:lang w:val="en-GB" w:eastAsia="en-US"/>
        </w:rPr>
      </w:pPr>
      <w:r w:rsidRPr="00DC0A36">
        <w:rPr>
          <w:lang w:val="en-GB"/>
        </w:rPr>
        <w:t xml:space="preserve">The Division Bank and Insurance of the Austrian Federal Economic Chamber, as </w:t>
      </w:r>
      <w:r w:rsidR="00041C1E">
        <w:rPr>
          <w:lang w:val="en-GB"/>
        </w:rPr>
        <w:t xml:space="preserve">legal </w:t>
      </w:r>
      <w:r w:rsidRPr="00DC0A36">
        <w:rPr>
          <w:lang w:val="en-GB"/>
        </w:rPr>
        <w:t>representative of the entire Austrian banking industry, appreciates the possibility to</w:t>
      </w:r>
      <w:r w:rsidR="00B467F0" w:rsidRPr="00487A00">
        <w:rPr>
          <w:rFonts w:cs="Arial"/>
          <w:color w:val="000000"/>
          <w:lang w:val="en-GB" w:eastAsia="en-US"/>
        </w:rPr>
        <w:t xml:space="preserve"> comment on </w:t>
      </w:r>
      <w:r w:rsidR="00B467F0">
        <w:rPr>
          <w:rFonts w:cs="Arial"/>
          <w:color w:val="000000"/>
          <w:lang w:val="en-GB" w:eastAsia="en-US"/>
        </w:rPr>
        <w:t xml:space="preserve">the above cited </w:t>
      </w:r>
      <w:r w:rsidR="00CE5D6F">
        <w:rPr>
          <w:rFonts w:cs="Arial"/>
          <w:color w:val="000000"/>
          <w:lang w:val="en-GB" w:eastAsia="en-US"/>
        </w:rPr>
        <w:t xml:space="preserve">consultation </w:t>
      </w:r>
      <w:r w:rsidR="005B2525">
        <w:rPr>
          <w:rFonts w:cs="Arial"/>
          <w:color w:val="000000"/>
          <w:lang w:val="en-GB" w:eastAsia="en-US"/>
        </w:rPr>
        <w:t>document</w:t>
      </w:r>
      <w:r w:rsidR="00B467F0">
        <w:rPr>
          <w:rFonts w:cs="Arial"/>
          <w:color w:val="000000"/>
          <w:lang w:val="en-GB" w:eastAsia="en-US"/>
        </w:rPr>
        <w:t xml:space="preserve"> </w:t>
      </w:r>
      <w:r w:rsidR="00B467F0" w:rsidRPr="00487A00">
        <w:rPr>
          <w:rFonts w:cs="Arial"/>
          <w:color w:val="000000"/>
          <w:lang w:val="en-GB" w:eastAsia="en-US"/>
        </w:rPr>
        <w:t>and would like to submit the following position:</w:t>
      </w:r>
      <w:bookmarkStart w:id="0" w:name="_Toc455495118"/>
      <w:bookmarkStart w:id="1" w:name="_Toc461114362"/>
    </w:p>
    <w:p w:rsidR="007E1AC2" w:rsidRPr="002D17FF" w:rsidRDefault="007E1AC2" w:rsidP="00545FF4">
      <w:pPr>
        <w:spacing w:before="120" w:line="264" w:lineRule="auto"/>
        <w:rPr>
          <w:rFonts w:cs="Arial"/>
          <w:color w:val="000000"/>
          <w:sz w:val="20"/>
          <w:lang w:val="en-GB" w:eastAsia="en-US"/>
        </w:rPr>
      </w:pPr>
    </w:p>
    <w:bookmarkEnd w:id="0"/>
    <w:bookmarkEnd w:id="1"/>
    <w:p w:rsidR="007E1AC2" w:rsidRDefault="007E1AC2" w:rsidP="00545FF4">
      <w:pPr>
        <w:pStyle w:val="berschrift1"/>
        <w:pageBreakBefore w:val="0"/>
        <w:numPr>
          <w:ilvl w:val="0"/>
          <w:numId w:val="27"/>
        </w:numPr>
        <w:spacing w:before="120" w:after="0" w:line="264" w:lineRule="auto"/>
        <w:rPr>
          <w:rFonts w:ascii="Trebuchet MS" w:hAnsi="Trebuchet MS"/>
          <w:sz w:val="28"/>
          <w:szCs w:val="28"/>
        </w:rPr>
      </w:pPr>
      <w:r w:rsidRPr="007E1AC2">
        <w:rPr>
          <w:rFonts w:ascii="Trebuchet MS" w:hAnsi="Trebuchet MS"/>
          <w:sz w:val="28"/>
          <w:szCs w:val="28"/>
        </w:rPr>
        <w:t>General remarks</w:t>
      </w:r>
    </w:p>
    <w:p w:rsidR="00190D7D" w:rsidRPr="00C37F68" w:rsidRDefault="00190D7D" w:rsidP="00545FF4">
      <w:pPr>
        <w:autoSpaceDE w:val="0"/>
        <w:autoSpaceDN w:val="0"/>
        <w:adjustRightInd w:val="0"/>
        <w:spacing w:before="120" w:line="264" w:lineRule="auto"/>
      </w:pPr>
      <w:r>
        <w:rPr>
          <w:lang w:val="en-GB"/>
        </w:rPr>
        <w:t xml:space="preserve">First of </w:t>
      </w:r>
      <w:proofErr w:type="gramStart"/>
      <w:r>
        <w:rPr>
          <w:lang w:val="en-GB"/>
        </w:rPr>
        <w:t>all</w:t>
      </w:r>
      <w:proofErr w:type="gramEnd"/>
      <w:r>
        <w:rPr>
          <w:lang w:val="en-GB"/>
        </w:rPr>
        <w:t xml:space="preserve"> the Aust</w:t>
      </w:r>
      <w:r w:rsidRPr="00C37F68">
        <w:rPr>
          <w:lang w:val="en-GB"/>
        </w:rPr>
        <w:t xml:space="preserve">rian banking </w:t>
      </w:r>
      <w:r w:rsidR="009C6302">
        <w:rPr>
          <w:lang w:val="en-GB"/>
        </w:rPr>
        <w:t>industry</w:t>
      </w:r>
      <w:r w:rsidRPr="00C37F68">
        <w:rPr>
          <w:lang w:val="en-GB"/>
        </w:rPr>
        <w:t xml:space="preserve"> wants to emphasise to fully support the</w:t>
      </w:r>
      <w:r w:rsidRPr="00C37F68">
        <w:t xml:space="preserve"> intention to introduce the MiFID II product governance regime in order to ensure a higher level of investor protection. </w:t>
      </w:r>
    </w:p>
    <w:p w:rsidR="00DF4433" w:rsidRPr="00C37F68" w:rsidRDefault="00190D7D" w:rsidP="00545FF4">
      <w:pPr>
        <w:autoSpaceDE w:val="0"/>
        <w:autoSpaceDN w:val="0"/>
        <w:adjustRightInd w:val="0"/>
        <w:spacing w:before="120" w:line="264" w:lineRule="auto"/>
      </w:pPr>
      <w:r w:rsidRPr="00C37F68">
        <w:t xml:space="preserve">At the same time, </w:t>
      </w:r>
      <w:r w:rsidR="00DF4433" w:rsidRPr="00C37F68">
        <w:t xml:space="preserve">it seems that the envisaged </w:t>
      </w:r>
      <w:r w:rsidRPr="00C37F68">
        <w:t xml:space="preserve">implementation of MiFID II could lead </w:t>
      </w:r>
      <w:r w:rsidR="00DF4433" w:rsidRPr="00C37F68">
        <w:t xml:space="preserve">in some areas </w:t>
      </w:r>
      <w:r w:rsidRPr="00C37F68">
        <w:t xml:space="preserve">to disproportionate burdens for manufacturers and distributors and to unnecessary constraints on the range of financial instruments the investor has access to. We are particularly concerned that the already extensive regulatory requirements under MiFID II (including the Level 2 measures) will be interpreted even more extensively on Level 3. </w:t>
      </w:r>
      <w:r w:rsidR="00DF4433" w:rsidRPr="00C37F68">
        <w:t xml:space="preserve">This issue has to highlighted as </w:t>
      </w:r>
      <w:r w:rsidRPr="00C37F68">
        <w:t xml:space="preserve">Level 3 measures have to </w:t>
      </w:r>
      <w:r w:rsidR="00DF4433" w:rsidRPr="00C37F68">
        <w:t xml:space="preserve">be framed by </w:t>
      </w:r>
      <w:r w:rsidRPr="00C37F68">
        <w:t xml:space="preserve">the legal framework established by Level 1 and 2 and should not go beyond. </w:t>
      </w:r>
    </w:p>
    <w:p w:rsidR="00780375" w:rsidRDefault="00780375" w:rsidP="00545FF4">
      <w:pPr>
        <w:autoSpaceDE w:val="0"/>
        <w:autoSpaceDN w:val="0"/>
        <w:adjustRightInd w:val="0"/>
        <w:spacing w:before="120" w:line="264" w:lineRule="auto"/>
      </w:pPr>
      <w:r>
        <w:t>In this response we want to highlight in particular the following key messages, which will be explained below in more detail:</w:t>
      </w:r>
    </w:p>
    <w:p w:rsidR="00780375" w:rsidRDefault="00780375" w:rsidP="00545FF4">
      <w:pPr>
        <w:autoSpaceDE w:val="0"/>
        <w:autoSpaceDN w:val="0"/>
        <w:adjustRightInd w:val="0"/>
        <w:spacing w:before="120" w:line="264" w:lineRule="auto"/>
      </w:pPr>
    </w:p>
    <w:p w:rsidR="00545FF4" w:rsidRDefault="00545FF4" w:rsidP="002D17FF">
      <w:pPr>
        <w:pStyle w:val="Listenabsatz"/>
        <w:numPr>
          <w:ilvl w:val="0"/>
          <w:numId w:val="29"/>
        </w:numPr>
        <w:autoSpaceDE w:val="0"/>
        <w:autoSpaceDN w:val="0"/>
        <w:adjustRightInd w:val="0"/>
        <w:spacing w:before="120" w:after="240" w:line="264" w:lineRule="auto"/>
        <w:ind w:left="714" w:hanging="357"/>
        <w:rPr>
          <w:b/>
        </w:rPr>
      </w:pPr>
      <w:r w:rsidRPr="00545FF4">
        <w:rPr>
          <w:b/>
        </w:rPr>
        <w:t>The applicability of the six categories should relate to the services provided</w:t>
      </w:r>
      <w:r w:rsidR="002D17FF">
        <w:rPr>
          <w:b/>
        </w:rPr>
        <w:t xml:space="preserve"> – advice/non-advice</w:t>
      </w:r>
      <w:r w:rsidRPr="00545FF4">
        <w:rPr>
          <w:b/>
        </w:rPr>
        <w:t>.</w:t>
      </w:r>
      <w:r w:rsidR="002D17FF">
        <w:rPr>
          <w:b/>
        </w:rPr>
        <w:t xml:space="preserve"> </w:t>
      </w:r>
      <w:r w:rsidR="002D17FF" w:rsidRPr="00545FF4">
        <w:rPr>
          <w:b/>
        </w:rPr>
        <w:t>(See answer to Q</w:t>
      </w:r>
      <w:r w:rsidR="002D17FF">
        <w:rPr>
          <w:b/>
        </w:rPr>
        <w:t>1 and Q3</w:t>
      </w:r>
      <w:r w:rsidR="002D17FF" w:rsidRPr="00545FF4">
        <w:rPr>
          <w:b/>
        </w:rPr>
        <w:t>.)</w:t>
      </w:r>
    </w:p>
    <w:p w:rsidR="002D17FF" w:rsidRDefault="002D17FF" w:rsidP="002D17FF">
      <w:pPr>
        <w:pStyle w:val="Listenabsatz"/>
        <w:autoSpaceDE w:val="0"/>
        <w:autoSpaceDN w:val="0"/>
        <w:adjustRightInd w:val="0"/>
        <w:spacing w:before="120" w:after="240" w:line="264" w:lineRule="auto"/>
        <w:ind w:left="714"/>
        <w:rPr>
          <w:b/>
        </w:rPr>
      </w:pPr>
    </w:p>
    <w:p w:rsidR="002D17FF" w:rsidRDefault="002D17FF" w:rsidP="002D17FF">
      <w:pPr>
        <w:pStyle w:val="Listenabsatz"/>
        <w:numPr>
          <w:ilvl w:val="0"/>
          <w:numId w:val="29"/>
        </w:numPr>
        <w:autoSpaceDE w:val="0"/>
        <w:autoSpaceDN w:val="0"/>
        <w:adjustRightInd w:val="0"/>
        <w:spacing w:before="120" w:after="240" w:line="264" w:lineRule="auto"/>
        <w:ind w:left="714" w:hanging="357"/>
        <w:rPr>
          <w:b/>
        </w:rPr>
      </w:pPr>
      <w:r w:rsidRPr="002D17FF">
        <w:rPr>
          <w:rFonts w:cs="Calibri"/>
          <w:b/>
          <w:snapToGrid/>
          <w:lang w:val="de-AT"/>
        </w:rPr>
        <w:t>The distribution strategy and the manufacturer´s proposal of the type of investment service is out of scope of the target market definition and should not be an add-on criteri</w:t>
      </w:r>
      <w:r w:rsidR="00F6287E">
        <w:rPr>
          <w:rFonts w:cs="Calibri"/>
          <w:b/>
          <w:snapToGrid/>
          <w:lang w:val="de-AT"/>
        </w:rPr>
        <w:t>on</w:t>
      </w:r>
      <w:r w:rsidRPr="002D17FF">
        <w:rPr>
          <w:rFonts w:cs="Calibri"/>
          <w:b/>
          <w:snapToGrid/>
          <w:lang w:val="de-AT"/>
        </w:rPr>
        <w:t xml:space="preserve">. </w:t>
      </w:r>
      <w:r w:rsidRPr="002D17FF">
        <w:rPr>
          <w:b/>
        </w:rPr>
        <w:t>(</w:t>
      </w:r>
      <w:r w:rsidRPr="00545FF4">
        <w:rPr>
          <w:b/>
        </w:rPr>
        <w:t>See answer to Q</w:t>
      </w:r>
      <w:r>
        <w:rPr>
          <w:b/>
        </w:rPr>
        <w:t>2 and Q3</w:t>
      </w:r>
      <w:r w:rsidRPr="00545FF4">
        <w:rPr>
          <w:b/>
        </w:rPr>
        <w:t>.)</w:t>
      </w:r>
    </w:p>
    <w:p w:rsidR="002D17FF" w:rsidRPr="00545FF4" w:rsidRDefault="002D17FF" w:rsidP="002D17FF">
      <w:pPr>
        <w:pStyle w:val="Listenabsatz"/>
        <w:autoSpaceDE w:val="0"/>
        <w:autoSpaceDN w:val="0"/>
        <w:adjustRightInd w:val="0"/>
        <w:spacing w:before="120" w:after="240" w:line="264" w:lineRule="auto"/>
        <w:ind w:left="714"/>
        <w:rPr>
          <w:b/>
        </w:rPr>
      </w:pPr>
    </w:p>
    <w:p w:rsidR="00780375" w:rsidRPr="00545FF4" w:rsidRDefault="00545FF4" w:rsidP="002D17FF">
      <w:pPr>
        <w:pStyle w:val="Listenabsatz"/>
        <w:numPr>
          <w:ilvl w:val="0"/>
          <w:numId w:val="29"/>
        </w:numPr>
        <w:autoSpaceDE w:val="0"/>
        <w:autoSpaceDN w:val="0"/>
        <w:adjustRightInd w:val="0"/>
        <w:spacing w:before="120" w:after="240" w:line="264" w:lineRule="auto"/>
        <w:ind w:left="714" w:hanging="357"/>
        <w:rPr>
          <w:b/>
        </w:rPr>
      </w:pPr>
      <w:r w:rsidRPr="00545FF4">
        <w:rPr>
          <w:b/>
        </w:rPr>
        <w:t xml:space="preserve">The proposed requirements concerning non-advisory clients would lead to a drastic reduction of eligible products for advice free models. This should </w:t>
      </w:r>
      <w:r w:rsidR="0037727E">
        <w:rPr>
          <w:b/>
        </w:rPr>
        <w:t xml:space="preserve">especially in the interest of investors </w:t>
      </w:r>
      <w:r w:rsidRPr="00545FF4">
        <w:rPr>
          <w:b/>
        </w:rPr>
        <w:t>be avoided in any case. (See answer to Q8.)</w:t>
      </w:r>
    </w:p>
    <w:p w:rsidR="00190D7D" w:rsidRDefault="00DF4433" w:rsidP="00545FF4">
      <w:pPr>
        <w:autoSpaceDE w:val="0"/>
        <w:autoSpaceDN w:val="0"/>
        <w:adjustRightInd w:val="0"/>
        <w:spacing w:before="120" w:line="264" w:lineRule="auto"/>
      </w:pPr>
      <w:r w:rsidRPr="00C37F68">
        <w:lastRenderedPageBreak/>
        <w:t>Within t</w:t>
      </w:r>
      <w:r w:rsidR="00190D7D" w:rsidRPr="00C37F68">
        <w:t xml:space="preserve">he </w:t>
      </w:r>
      <w:r w:rsidR="00780375">
        <w:t>G</w:t>
      </w:r>
      <w:r w:rsidR="00190D7D" w:rsidRPr="00C37F68">
        <w:t>uidelines on product governance</w:t>
      </w:r>
      <w:r w:rsidRPr="00C37F68">
        <w:t xml:space="preserve"> the ESMA has to find the right</w:t>
      </w:r>
      <w:r w:rsidR="00190D7D" w:rsidRPr="00C37F68">
        <w:t xml:space="preserve"> balance between </w:t>
      </w:r>
      <w:r w:rsidRPr="00C37F68">
        <w:t xml:space="preserve">tailoring </w:t>
      </w:r>
      <w:r w:rsidR="00190D7D" w:rsidRPr="00C37F68">
        <w:t xml:space="preserve">the product governance process </w:t>
      </w:r>
      <w:r w:rsidRPr="00C37F68">
        <w:t>(</w:t>
      </w:r>
      <w:r w:rsidR="00190D7D" w:rsidRPr="00C37F68">
        <w:t>in particular the target market definition</w:t>
      </w:r>
      <w:r w:rsidRPr="00C37F68">
        <w:t xml:space="preserve">) as </w:t>
      </w:r>
      <w:r w:rsidR="00190D7D" w:rsidRPr="00C37F68">
        <w:t>much as possible to individual clients on the one hand, but on the other hand ensur</w:t>
      </w:r>
      <w:r w:rsidRPr="00C37F68">
        <w:t>ing</w:t>
      </w:r>
      <w:r w:rsidR="00190D7D" w:rsidRPr="00C37F68">
        <w:t xml:space="preserve"> that investors have access to a </w:t>
      </w:r>
      <w:r w:rsidRPr="00C37F68">
        <w:t xml:space="preserve">sufficiently </w:t>
      </w:r>
      <w:r w:rsidR="00190D7D" w:rsidRPr="00C37F68">
        <w:t>broad range of financial instruments, including instruments provided by third party providers.</w:t>
      </w:r>
      <w:r w:rsidRPr="00C37F68">
        <w:t xml:space="preserve"> Bearing this in mind it should be avoided that in the end only a few standardised products </w:t>
      </w:r>
      <w:r w:rsidR="00120A2F" w:rsidRPr="00C37F68">
        <w:t>are available to the mass of clients because of overreaching requirements.</w:t>
      </w:r>
    </w:p>
    <w:p w:rsidR="00DF4433" w:rsidRPr="002D17FF" w:rsidRDefault="00DF4433" w:rsidP="00545FF4">
      <w:pPr>
        <w:autoSpaceDE w:val="0"/>
        <w:autoSpaceDN w:val="0"/>
        <w:adjustRightInd w:val="0"/>
        <w:spacing w:before="120" w:line="264" w:lineRule="auto"/>
        <w:rPr>
          <w:sz w:val="20"/>
          <w:lang w:val="en-GB"/>
        </w:rPr>
      </w:pPr>
    </w:p>
    <w:p w:rsidR="007E1AC2" w:rsidRPr="00C37F68" w:rsidRDefault="007E1AC2" w:rsidP="00545FF4">
      <w:pPr>
        <w:pStyle w:val="berschrift1"/>
        <w:pageBreakBefore w:val="0"/>
        <w:numPr>
          <w:ilvl w:val="0"/>
          <w:numId w:val="27"/>
        </w:numPr>
        <w:spacing w:before="120" w:after="0" w:line="264" w:lineRule="auto"/>
        <w:rPr>
          <w:rFonts w:ascii="Trebuchet MS" w:hAnsi="Trebuchet MS"/>
          <w:sz w:val="22"/>
          <w:szCs w:val="22"/>
        </w:rPr>
      </w:pPr>
      <w:bookmarkStart w:id="2" w:name="_Toc460827924"/>
      <w:r w:rsidRPr="00C37F68">
        <w:rPr>
          <w:rFonts w:ascii="Trebuchet MS" w:hAnsi="Trebuchet MS"/>
          <w:sz w:val="22"/>
          <w:szCs w:val="22"/>
        </w:rPr>
        <w:t>Questions and Answers</w:t>
      </w:r>
      <w:bookmarkEnd w:id="2"/>
    </w:p>
    <w:p w:rsidR="00120A2F" w:rsidRPr="00C37F68" w:rsidRDefault="00120A2F" w:rsidP="00545FF4">
      <w:pPr>
        <w:autoSpaceDE w:val="0"/>
        <w:autoSpaceDN w:val="0"/>
        <w:adjustRightInd w:val="0"/>
        <w:spacing w:before="120" w:line="264" w:lineRule="auto"/>
        <w:rPr>
          <w:rFonts w:cs="Calibri-Bold"/>
          <w:b/>
          <w:bCs/>
          <w:snapToGrid/>
          <w:lang w:val="de-AT"/>
        </w:rPr>
      </w:pPr>
      <w:r w:rsidRPr="00C37F68">
        <w:rPr>
          <w:rFonts w:cs="Calibri-Bold"/>
          <w:b/>
          <w:bCs/>
          <w:snapToGrid/>
          <w:lang w:val="de-AT"/>
        </w:rPr>
        <w:t>Q1: Do you agree on the list of categories that manufactures should use as a basis for defining the target market for their products? If not, please explain what changes should be made to the list and why.</w:t>
      </w:r>
    </w:p>
    <w:p w:rsidR="00465FC3" w:rsidRPr="00C37F68" w:rsidRDefault="00120A2F" w:rsidP="00545FF4">
      <w:pPr>
        <w:spacing w:before="120" w:after="60" w:line="264" w:lineRule="auto"/>
      </w:pPr>
      <w:r w:rsidRPr="00C37F68">
        <w:rPr>
          <w:rFonts w:cs="Calibri"/>
          <w:snapToGrid/>
          <w:lang w:val="de-AT"/>
        </w:rPr>
        <w:t>In general, we agree with the list of categories but we have some additional remarks:</w:t>
      </w:r>
      <w:r w:rsidR="00465FC3" w:rsidRPr="00C37F68">
        <w:t xml:space="preserve"> </w:t>
      </w:r>
    </w:p>
    <w:p w:rsidR="00465FC3" w:rsidRPr="00C37F68" w:rsidRDefault="00465FC3" w:rsidP="00545FF4">
      <w:pPr>
        <w:spacing w:before="120" w:after="60" w:line="264" w:lineRule="auto"/>
      </w:pPr>
      <w:r w:rsidRPr="00C37F68">
        <w:t xml:space="preserve">The applicability of the </w:t>
      </w:r>
      <w:r w:rsidR="00545FF4">
        <w:t>six</w:t>
      </w:r>
      <w:r w:rsidRPr="00C37F68">
        <w:t xml:space="preserve"> categories should relate to the services provided. The requirements of</w:t>
      </w:r>
      <w:r w:rsidR="00545FF4">
        <w:t xml:space="preserve"> MIFID II should be respected. </w:t>
      </w:r>
      <w:r w:rsidRPr="00C37F68">
        <w:t>This means that with regard to non-advisory services, only categories (a) (The type of clients to whom the product is targeted) and (b) (Knowledge and experience) should be applicable.</w:t>
      </w:r>
    </w:p>
    <w:p w:rsidR="00120A2F" w:rsidRPr="00C37F68" w:rsidRDefault="00120A2F" w:rsidP="002D17FF">
      <w:pPr>
        <w:autoSpaceDE w:val="0"/>
        <w:autoSpaceDN w:val="0"/>
        <w:adjustRightInd w:val="0"/>
        <w:spacing w:before="120" w:line="264" w:lineRule="auto"/>
        <w:rPr>
          <w:rFonts w:cs="Calibri"/>
          <w:snapToGrid/>
          <w:u w:val="single"/>
          <w:lang w:val="de-AT"/>
        </w:rPr>
      </w:pPr>
      <w:r w:rsidRPr="00C37F68">
        <w:rPr>
          <w:rFonts w:cs="Calibri"/>
          <w:snapToGrid/>
          <w:u w:val="single"/>
          <w:lang w:val="de-AT"/>
        </w:rPr>
        <w:t xml:space="preserve">The type of clients </w:t>
      </w:r>
      <w:r w:rsidR="00545FF4">
        <w:rPr>
          <w:rFonts w:cs="Calibri"/>
          <w:snapToGrid/>
          <w:u w:val="single"/>
          <w:lang w:val="de-AT"/>
        </w:rPr>
        <w:t>to whom the product is targeted</w:t>
      </w:r>
    </w:p>
    <w:p w:rsidR="00120A2F" w:rsidRPr="00C37F68" w:rsidRDefault="00120A2F" w:rsidP="002D17FF">
      <w:pPr>
        <w:autoSpaceDE w:val="0"/>
        <w:autoSpaceDN w:val="0"/>
        <w:adjustRightInd w:val="0"/>
        <w:spacing w:line="264" w:lineRule="auto"/>
        <w:rPr>
          <w:rFonts w:cs="Calibri"/>
          <w:snapToGrid/>
          <w:lang w:val="de-AT"/>
        </w:rPr>
      </w:pPr>
      <w:r w:rsidRPr="00C37F68">
        <w:rPr>
          <w:rFonts w:cs="Calibri"/>
          <w:snapToGrid/>
          <w:lang w:val="de-AT"/>
        </w:rPr>
        <w:t>From the manufacturer perspective this specification should be limited solely to the MiFID II client categorization of “Retail Client”, “Professional Client” and “Eligible Counterparty”.</w:t>
      </w:r>
    </w:p>
    <w:p w:rsidR="00120A2F" w:rsidRPr="00C37F68" w:rsidRDefault="00545FF4" w:rsidP="00545FF4">
      <w:pPr>
        <w:autoSpaceDE w:val="0"/>
        <w:autoSpaceDN w:val="0"/>
        <w:adjustRightInd w:val="0"/>
        <w:spacing w:before="120" w:line="264" w:lineRule="auto"/>
        <w:rPr>
          <w:rFonts w:cs="Calibri"/>
          <w:snapToGrid/>
          <w:u w:val="single"/>
          <w:lang w:val="de-AT"/>
        </w:rPr>
      </w:pPr>
      <w:r>
        <w:rPr>
          <w:rFonts w:cs="Calibri"/>
          <w:snapToGrid/>
          <w:u w:val="single"/>
          <w:lang w:val="de-AT"/>
        </w:rPr>
        <w:t>Knowledge and experience</w:t>
      </w:r>
    </w:p>
    <w:p w:rsidR="00120A2F" w:rsidRPr="00C37F68" w:rsidRDefault="00120A2F" w:rsidP="002D17FF">
      <w:pPr>
        <w:autoSpaceDE w:val="0"/>
        <w:autoSpaceDN w:val="0"/>
        <w:adjustRightInd w:val="0"/>
        <w:spacing w:line="264" w:lineRule="auto"/>
        <w:rPr>
          <w:rFonts w:cs="Calibri"/>
          <w:snapToGrid/>
          <w:lang w:val="de-AT"/>
        </w:rPr>
      </w:pPr>
      <w:r w:rsidRPr="00C37F68">
        <w:rPr>
          <w:rFonts w:cs="Calibri"/>
          <w:snapToGrid/>
          <w:lang w:val="de-AT"/>
        </w:rPr>
        <w:t>Only knowledge should be considered.</w:t>
      </w:r>
    </w:p>
    <w:p w:rsidR="00120A2F" w:rsidRPr="00C37F68" w:rsidRDefault="00545FF4" w:rsidP="00545FF4">
      <w:pPr>
        <w:autoSpaceDE w:val="0"/>
        <w:autoSpaceDN w:val="0"/>
        <w:adjustRightInd w:val="0"/>
        <w:spacing w:before="120" w:line="264" w:lineRule="auto"/>
        <w:rPr>
          <w:rFonts w:cs="Calibri"/>
          <w:snapToGrid/>
          <w:u w:val="single"/>
          <w:lang w:val="de-AT"/>
        </w:rPr>
      </w:pPr>
      <w:r>
        <w:rPr>
          <w:rFonts w:cs="Calibri"/>
          <w:snapToGrid/>
          <w:u w:val="single"/>
          <w:lang w:val="de-AT"/>
        </w:rPr>
        <w:t>Client needs</w:t>
      </w:r>
    </w:p>
    <w:p w:rsidR="00465FC3" w:rsidRPr="00C37F68" w:rsidRDefault="00120A2F" w:rsidP="002D17FF">
      <w:pPr>
        <w:tabs>
          <w:tab w:val="left" w:pos="3795"/>
        </w:tabs>
        <w:spacing w:after="60" w:line="264" w:lineRule="auto"/>
      </w:pPr>
      <w:r w:rsidRPr="00C37F68">
        <w:rPr>
          <w:rFonts w:cs="Calibri"/>
          <w:snapToGrid/>
          <w:lang w:val="de-AT"/>
        </w:rPr>
        <w:t xml:space="preserve">As ESMA describes </w:t>
      </w:r>
      <w:r w:rsidR="00465FC3" w:rsidRPr="00C37F68">
        <w:rPr>
          <w:rFonts w:cs="Calibri"/>
          <w:snapToGrid/>
          <w:lang w:val="de-AT"/>
        </w:rPr>
        <w:t>c</w:t>
      </w:r>
      <w:r w:rsidRPr="00C37F68">
        <w:rPr>
          <w:rFonts w:cs="Calibri"/>
          <w:snapToGrid/>
          <w:lang w:val="de-AT"/>
        </w:rPr>
        <w:t>lient needs could be used to “fine tune” the client objectives but it should not be considered mandatory. Only with regard to particular financial products like “green” or “ethical” investments this criteria should be applied.</w:t>
      </w:r>
      <w:r w:rsidR="00465FC3" w:rsidRPr="00C37F68">
        <w:t xml:space="preserve"> Certain special needs such as “green” or “ethical” investments should only be considered when a client explicitly asks for such type of investment. What is more, there are not enough established standards in order to verify “green” or “ethical” investments. It is very likely that what one client sees as “green” or “ethical” investment is unethical or “not green enough” for another.</w:t>
      </w:r>
    </w:p>
    <w:p w:rsidR="00120A2F" w:rsidRPr="00C37F68" w:rsidRDefault="00120A2F" w:rsidP="00545FF4">
      <w:pPr>
        <w:autoSpaceDE w:val="0"/>
        <w:autoSpaceDN w:val="0"/>
        <w:adjustRightInd w:val="0"/>
        <w:spacing w:before="120" w:line="264" w:lineRule="auto"/>
        <w:rPr>
          <w:b/>
          <w:bCs/>
          <w:i/>
          <w:iCs/>
          <w:lang w:val="en-GB"/>
        </w:rPr>
      </w:pPr>
    </w:p>
    <w:p w:rsidR="00120A2F" w:rsidRPr="00C37F68" w:rsidRDefault="00120A2F" w:rsidP="00545FF4">
      <w:pPr>
        <w:autoSpaceDE w:val="0"/>
        <w:autoSpaceDN w:val="0"/>
        <w:adjustRightInd w:val="0"/>
        <w:spacing w:before="120" w:line="264" w:lineRule="auto"/>
        <w:rPr>
          <w:rFonts w:cs="Calibri-Bold"/>
          <w:b/>
          <w:bCs/>
          <w:snapToGrid/>
          <w:lang w:val="de-AT"/>
        </w:rPr>
      </w:pPr>
      <w:r w:rsidRPr="00C37F68">
        <w:rPr>
          <w:rFonts w:cs="Calibri-Bold"/>
          <w:b/>
          <w:bCs/>
          <w:snapToGrid/>
          <w:lang w:val="de-AT"/>
        </w:rPr>
        <w:t>Q2: Do you agree with the approach proposed in paragraphs 18-20 of the draft guidelines on how</w:t>
      </w:r>
      <w:r w:rsidR="00465FC3" w:rsidRPr="00C37F68">
        <w:rPr>
          <w:rFonts w:cs="Calibri-Bold"/>
          <w:b/>
          <w:bCs/>
          <w:snapToGrid/>
          <w:lang w:val="de-AT"/>
        </w:rPr>
        <w:t xml:space="preserve"> </w:t>
      </w:r>
      <w:r w:rsidRPr="00C37F68">
        <w:rPr>
          <w:rFonts w:cs="Calibri-Bold"/>
          <w:b/>
          <w:bCs/>
          <w:snapToGrid/>
          <w:lang w:val="de-AT"/>
        </w:rPr>
        <w:t>to take the products’ nature into account? If not, please explain what changes should be made and</w:t>
      </w:r>
      <w:r w:rsidR="00465FC3" w:rsidRPr="00C37F68">
        <w:rPr>
          <w:rFonts w:cs="Calibri-Bold"/>
          <w:b/>
          <w:bCs/>
          <w:snapToGrid/>
          <w:lang w:val="de-AT"/>
        </w:rPr>
        <w:t xml:space="preserve"> </w:t>
      </w:r>
      <w:r w:rsidRPr="00C37F68">
        <w:rPr>
          <w:rFonts w:cs="Calibri-Bold"/>
          <w:b/>
          <w:bCs/>
          <w:snapToGrid/>
          <w:lang w:val="de-AT"/>
        </w:rPr>
        <w:t>why.</w:t>
      </w:r>
    </w:p>
    <w:p w:rsidR="00120A2F" w:rsidRPr="00C37F68" w:rsidRDefault="00120A2F" w:rsidP="00545FF4">
      <w:pPr>
        <w:autoSpaceDE w:val="0"/>
        <w:autoSpaceDN w:val="0"/>
        <w:adjustRightInd w:val="0"/>
        <w:spacing w:before="120" w:line="264" w:lineRule="auto"/>
        <w:rPr>
          <w:rFonts w:cs="Calibri"/>
          <w:snapToGrid/>
          <w:lang w:val="de-AT"/>
        </w:rPr>
      </w:pPr>
      <w:r w:rsidRPr="00C37F68">
        <w:rPr>
          <w:rFonts w:cs="Calibri"/>
          <w:snapToGrid/>
          <w:lang w:val="de-AT"/>
        </w:rPr>
        <w:t>We basically agree with the approach proposed in paragraph 18 of the Draft Guidelines. With regard</w:t>
      </w:r>
      <w:r w:rsidR="00C32178" w:rsidRPr="00C37F68">
        <w:rPr>
          <w:rFonts w:cs="Calibri"/>
          <w:snapToGrid/>
          <w:lang w:val="de-AT"/>
        </w:rPr>
        <w:t xml:space="preserve"> </w:t>
      </w:r>
      <w:r w:rsidRPr="00C37F68">
        <w:rPr>
          <w:rFonts w:cs="Calibri"/>
          <w:snapToGrid/>
          <w:lang w:val="de-AT"/>
        </w:rPr>
        <w:t xml:space="preserve">to the </w:t>
      </w:r>
      <w:r w:rsidR="00465FC3" w:rsidRPr="00C37F68">
        <w:rPr>
          <w:rFonts w:cs="Calibri"/>
          <w:snapToGrid/>
          <w:lang w:val="de-AT"/>
        </w:rPr>
        <w:t>d</w:t>
      </w:r>
      <w:r w:rsidRPr="00C37F68">
        <w:rPr>
          <w:rFonts w:cs="Calibri"/>
          <w:snapToGrid/>
          <w:lang w:val="de-AT"/>
        </w:rPr>
        <w:t>istribution strategy on manufacturer level we expect that the distribution strategy and the</w:t>
      </w:r>
      <w:r w:rsidR="00C32178" w:rsidRPr="00C37F68">
        <w:rPr>
          <w:rFonts w:cs="Calibri"/>
          <w:snapToGrid/>
          <w:lang w:val="de-AT"/>
        </w:rPr>
        <w:t xml:space="preserve"> </w:t>
      </w:r>
      <w:r w:rsidRPr="00C37F68">
        <w:rPr>
          <w:rFonts w:cs="Calibri"/>
          <w:snapToGrid/>
          <w:lang w:val="de-AT"/>
        </w:rPr>
        <w:t>manufacturer´s proposal of the type of investment service is out of scope of the target market</w:t>
      </w:r>
      <w:r w:rsidR="00C32178" w:rsidRPr="00C37F68">
        <w:rPr>
          <w:rFonts w:cs="Calibri"/>
          <w:snapToGrid/>
          <w:lang w:val="de-AT"/>
        </w:rPr>
        <w:t xml:space="preserve"> </w:t>
      </w:r>
      <w:r w:rsidRPr="00C37F68">
        <w:rPr>
          <w:rFonts w:cs="Calibri"/>
          <w:snapToGrid/>
          <w:lang w:val="de-AT"/>
        </w:rPr>
        <w:t xml:space="preserve">definition and should not be an </w:t>
      </w:r>
      <w:r w:rsidR="00465FC3" w:rsidRPr="00C37F68">
        <w:rPr>
          <w:rFonts w:cs="Calibri"/>
          <w:snapToGrid/>
          <w:lang w:val="de-AT"/>
        </w:rPr>
        <w:t>a</w:t>
      </w:r>
      <w:r w:rsidRPr="00C37F68">
        <w:rPr>
          <w:rFonts w:cs="Calibri"/>
          <w:snapToGrid/>
          <w:lang w:val="de-AT"/>
        </w:rPr>
        <w:t>dd-</w:t>
      </w:r>
      <w:r w:rsidR="00465FC3" w:rsidRPr="00C37F68">
        <w:rPr>
          <w:rFonts w:cs="Calibri"/>
          <w:snapToGrid/>
          <w:lang w:val="de-AT"/>
        </w:rPr>
        <w:t>o</w:t>
      </w:r>
      <w:r w:rsidRPr="00C37F68">
        <w:rPr>
          <w:rFonts w:cs="Calibri"/>
          <w:snapToGrid/>
          <w:lang w:val="de-AT"/>
        </w:rPr>
        <w:t>n criteri</w:t>
      </w:r>
      <w:r w:rsidR="00F6287E">
        <w:rPr>
          <w:rFonts w:cs="Calibri"/>
          <w:snapToGrid/>
          <w:lang w:val="de-AT"/>
        </w:rPr>
        <w:t>on</w:t>
      </w:r>
      <w:r w:rsidRPr="00C37F68">
        <w:rPr>
          <w:rFonts w:cs="Calibri"/>
          <w:snapToGrid/>
          <w:lang w:val="de-AT"/>
        </w:rPr>
        <w:t>.</w:t>
      </w:r>
    </w:p>
    <w:p w:rsidR="00C32178" w:rsidRPr="00C37F68" w:rsidRDefault="00C32178" w:rsidP="00545FF4">
      <w:pPr>
        <w:autoSpaceDE w:val="0"/>
        <w:autoSpaceDN w:val="0"/>
        <w:adjustRightInd w:val="0"/>
        <w:spacing w:before="120" w:line="264" w:lineRule="auto"/>
        <w:rPr>
          <w:rFonts w:cs="Calibri"/>
          <w:snapToGrid/>
          <w:lang w:val="de-AT"/>
        </w:rPr>
      </w:pPr>
    </w:p>
    <w:p w:rsidR="00120A2F" w:rsidRPr="00C37F68" w:rsidRDefault="00120A2F" w:rsidP="00545FF4">
      <w:pPr>
        <w:autoSpaceDE w:val="0"/>
        <w:autoSpaceDN w:val="0"/>
        <w:adjustRightInd w:val="0"/>
        <w:spacing w:before="120" w:line="264" w:lineRule="auto"/>
        <w:rPr>
          <w:rFonts w:cs="Calibri-Bold"/>
          <w:b/>
          <w:bCs/>
          <w:snapToGrid/>
          <w:lang w:val="de-AT"/>
        </w:rPr>
      </w:pPr>
      <w:r w:rsidRPr="00C37F68">
        <w:rPr>
          <w:rFonts w:cs="Calibri-Bold"/>
          <w:b/>
          <w:bCs/>
          <w:snapToGrid/>
          <w:lang w:val="de-AT"/>
        </w:rPr>
        <w:t>Q3: Do you agree with the proposed method for the identification of the target market by the</w:t>
      </w:r>
      <w:r w:rsidR="002D17FF">
        <w:rPr>
          <w:rFonts w:cs="Calibri-Bold"/>
          <w:b/>
          <w:bCs/>
          <w:snapToGrid/>
          <w:lang w:val="de-AT"/>
        </w:rPr>
        <w:t xml:space="preserve"> </w:t>
      </w:r>
      <w:r w:rsidRPr="00C37F68">
        <w:rPr>
          <w:rFonts w:cs="Calibri-Bold"/>
          <w:b/>
          <w:bCs/>
          <w:snapToGrid/>
          <w:lang w:val="de-AT"/>
        </w:rPr>
        <w:t>distributor?</w:t>
      </w:r>
    </w:p>
    <w:p w:rsidR="00DC16B8" w:rsidRPr="00C37F68" w:rsidRDefault="00DC16B8" w:rsidP="00545FF4">
      <w:pPr>
        <w:spacing w:before="120" w:after="60" w:line="264" w:lineRule="auto"/>
      </w:pPr>
      <w:r w:rsidRPr="00C37F68">
        <w:t>As already pointed out in the answer to Q2 the distribution strategy and the manufacturer´s proposal of the type of investment service has to be out of scope of the target market definition.</w:t>
      </w:r>
    </w:p>
    <w:p w:rsidR="00120A2F" w:rsidRPr="00C37F68" w:rsidRDefault="00120A2F" w:rsidP="00545FF4">
      <w:pPr>
        <w:autoSpaceDE w:val="0"/>
        <w:autoSpaceDN w:val="0"/>
        <w:adjustRightInd w:val="0"/>
        <w:spacing w:before="120" w:line="264" w:lineRule="auto"/>
        <w:rPr>
          <w:rFonts w:cs="Calibri"/>
          <w:snapToGrid/>
          <w:lang w:val="de-AT"/>
        </w:rPr>
      </w:pPr>
      <w:r w:rsidRPr="00C37F68">
        <w:rPr>
          <w:rFonts w:cs="Calibri"/>
          <w:snapToGrid/>
          <w:lang w:val="de-AT"/>
        </w:rPr>
        <w:lastRenderedPageBreak/>
        <w:t>We would like to point out that in our opinion for advisory business the six target market categories</w:t>
      </w:r>
      <w:r w:rsidR="00C32178" w:rsidRPr="00C37F68">
        <w:rPr>
          <w:rFonts w:cs="Calibri"/>
          <w:snapToGrid/>
          <w:lang w:val="de-AT"/>
        </w:rPr>
        <w:t xml:space="preserve"> </w:t>
      </w:r>
      <w:r w:rsidRPr="00C37F68">
        <w:rPr>
          <w:rFonts w:cs="Calibri"/>
          <w:snapToGrid/>
          <w:lang w:val="de-AT"/>
        </w:rPr>
        <w:t>should be sufficient since this criteria correlate largely with the suitability assessment.</w:t>
      </w:r>
      <w:r w:rsidR="00C32178" w:rsidRPr="00C37F68">
        <w:rPr>
          <w:rFonts w:cs="Calibri"/>
          <w:snapToGrid/>
          <w:lang w:val="de-AT"/>
        </w:rPr>
        <w:t xml:space="preserve"> </w:t>
      </w:r>
      <w:r w:rsidRPr="00C37F68">
        <w:rPr>
          <w:rFonts w:cs="Calibri"/>
          <w:snapToGrid/>
          <w:lang w:val="de-AT"/>
        </w:rPr>
        <w:t xml:space="preserve">For </w:t>
      </w:r>
      <w:r w:rsidR="00465FC3" w:rsidRPr="00C37F68">
        <w:rPr>
          <w:rFonts w:cs="Calibri"/>
          <w:snapToGrid/>
          <w:lang w:val="de-AT"/>
        </w:rPr>
        <w:t>n</w:t>
      </w:r>
      <w:r w:rsidRPr="00C37F68">
        <w:rPr>
          <w:rFonts w:cs="Calibri"/>
          <w:snapToGrid/>
          <w:lang w:val="de-AT"/>
        </w:rPr>
        <w:t>on-advisory business we assume that the categories are limited to the appropriateness</w:t>
      </w:r>
      <w:r w:rsidR="00C32178" w:rsidRPr="00C37F68">
        <w:rPr>
          <w:rFonts w:cs="Calibri"/>
          <w:snapToGrid/>
          <w:lang w:val="de-AT"/>
        </w:rPr>
        <w:t xml:space="preserve"> </w:t>
      </w:r>
      <w:r w:rsidRPr="00C37F68">
        <w:rPr>
          <w:rFonts w:cs="Calibri"/>
          <w:snapToGrid/>
          <w:lang w:val="de-AT"/>
        </w:rPr>
        <w:t>assessment.</w:t>
      </w:r>
    </w:p>
    <w:p w:rsidR="00DC16B8" w:rsidRPr="00C37F68" w:rsidRDefault="00DC16B8" w:rsidP="00545FF4">
      <w:pPr>
        <w:pStyle w:val="Kopfzeile"/>
        <w:spacing w:before="120" w:line="264" w:lineRule="auto"/>
        <w:rPr>
          <w:lang w:val="en-US"/>
        </w:rPr>
      </w:pPr>
      <w:r w:rsidRPr="00C37F68">
        <w:rPr>
          <w:lang w:val="en-US"/>
        </w:rPr>
        <w:t xml:space="preserve">Regarding Recitals 19, 20 and 21: We see it as critical that there is strong bias towards business models offering investment advice. If manufacturers are obliged to define distribution channels that are suitable for the product (and if it can be offered on an advice-free basis) it will be very difficult to deviate for distributors (as this is only possible under very strict requirements). As the manufacturer has to assess all 6 criteria, we expect a strong tendency to define channels that require information on all six criteria. Otherwise the manufacturer risks being liable for classifying a product as being eligible for advice-free distribution, when the regulator later decides that it was not. As the riskiness of products can change quickly due to geopolitical events (Greek Government Bonds), products would have to be immediately removed from the product range of advice-free distributors. Advice free models only require information on knowledge </w:t>
      </w:r>
      <w:r w:rsidR="00D94129" w:rsidRPr="00C37F68">
        <w:rPr>
          <w:lang w:val="en-US"/>
        </w:rPr>
        <w:t>and</w:t>
      </w:r>
      <w:r w:rsidRPr="00C37F68">
        <w:rPr>
          <w:lang w:val="en-US"/>
        </w:rPr>
        <w:t xml:space="preserve"> experience and therefore can and should only assess that specific information. </w:t>
      </w:r>
    </w:p>
    <w:p w:rsidR="00DC16B8" w:rsidRPr="00C37F68" w:rsidRDefault="00DC16B8" w:rsidP="00545FF4">
      <w:pPr>
        <w:pStyle w:val="Kopfzeile"/>
        <w:spacing w:before="120" w:line="264" w:lineRule="auto"/>
        <w:rPr>
          <w:lang w:val="en-US"/>
        </w:rPr>
      </w:pPr>
      <w:r w:rsidRPr="00C37F68">
        <w:rPr>
          <w:lang w:val="en-US"/>
        </w:rPr>
        <w:t xml:space="preserve">The requirements mentioned in recital 21 are also overshooting. Micromanaging how website design should look like should not be a task of the manufacturer. Distributors should be responsible for their designs and should have the freedom to do so in a way they see as fitting and is MiFID </w:t>
      </w:r>
      <w:r w:rsidR="00D94129" w:rsidRPr="00C37F68">
        <w:rPr>
          <w:lang w:val="en-US"/>
        </w:rPr>
        <w:t xml:space="preserve">II </w:t>
      </w:r>
      <w:r w:rsidRPr="00C37F68">
        <w:rPr>
          <w:lang w:val="en-US"/>
        </w:rPr>
        <w:t>compliant. We fear that such restrictions stifle innovation and would have a negative impact on competition (which we see as positive for the client).</w:t>
      </w:r>
    </w:p>
    <w:p w:rsidR="00DC16B8" w:rsidRPr="00C37F68" w:rsidRDefault="00DC16B8" w:rsidP="00545FF4">
      <w:pPr>
        <w:pStyle w:val="Kopfzeile"/>
        <w:spacing w:before="120" w:line="264" w:lineRule="auto"/>
        <w:rPr>
          <w:lang w:val="en-US"/>
        </w:rPr>
      </w:pPr>
      <w:r w:rsidRPr="00C37F68">
        <w:rPr>
          <w:lang w:val="en-US"/>
        </w:rPr>
        <w:t xml:space="preserve">In recital 27 it is said that </w:t>
      </w:r>
      <w:r w:rsidRPr="00C37F68">
        <w:rPr>
          <w:i/>
          <w:lang w:val="en-US"/>
        </w:rPr>
        <w:t>“In addition, the distributor could use any information and data deemed reasonably useful and available for this purpose that may be at the distributors’ disposal and gathered through other sources other than investment or ancillary services, such as customer relationship management activities, anti-money laundering questionnaires, clients’ complaints database, etc.”</w:t>
      </w:r>
      <w:r w:rsidRPr="00C37F68">
        <w:rPr>
          <w:lang w:val="en-US"/>
        </w:rPr>
        <w:t xml:space="preserve"> </w:t>
      </w:r>
    </w:p>
    <w:p w:rsidR="00DC16B8" w:rsidRPr="00C37F68" w:rsidRDefault="00DC16B8" w:rsidP="00545FF4">
      <w:pPr>
        <w:pStyle w:val="Kopfzeile"/>
        <w:spacing w:before="120" w:line="264" w:lineRule="auto"/>
        <w:rPr>
          <w:lang w:val="en-US"/>
        </w:rPr>
      </w:pPr>
      <w:r w:rsidRPr="00C37F68">
        <w:rPr>
          <w:lang w:val="en-US"/>
        </w:rPr>
        <w:t xml:space="preserve">It should be made clear that distributors only have to use information that is collected based on their business model. It does not make sense to define six criteria if clients only have to give information on knowledge </w:t>
      </w:r>
      <w:r w:rsidR="00D94129" w:rsidRPr="00C37F68">
        <w:rPr>
          <w:lang w:val="en-US"/>
        </w:rPr>
        <w:t>and</w:t>
      </w:r>
      <w:r w:rsidRPr="00C37F68">
        <w:rPr>
          <w:lang w:val="en-US"/>
        </w:rPr>
        <w:t xml:space="preserve"> experience when using advice free models. And using other sources of information (with often dubious value as to the client’s financial needs - like customer complaints that are open to interpretation) does not make sense this case.</w:t>
      </w:r>
    </w:p>
    <w:p w:rsidR="002D17FF" w:rsidRDefault="00D94129" w:rsidP="002D17FF">
      <w:pPr>
        <w:spacing w:before="120" w:after="60" w:line="264" w:lineRule="auto"/>
      </w:pPr>
      <w:r w:rsidRPr="00C37F68">
        <w:t>In this context w</w:t>
      </w:r>
      <w:r w:rsidR="00DC16B8" w:rsidRPr="00C37F68">
        <w:t>e question the relevance of paragraph 33 (in the guideline), according to which distributors should "conduct a thorough analysis of the characteristics of their client base" based on various databases. In our view, introducing such an extensive and unclear obligation seems not in line with Level I and II Directives. Information gathering requirements could potentially complicate digital distribution of financial instruments. This is especially the case in cross-border context.</w:t>
      </w:r>
    </w:p>
    <w:p w:rsidR="002D17FF" w:rsidRDefault="002D17FF" w:rsidP="002D17FF">
      <w:pPr>
        <w:spacing w:before="120" w:after="60" w:line="264" w:lineRule="auto"/>
      </w:pPr>
    </w:p>
    <w:p w:rsidR="002D17FF" w:rsidRDefault="00810AB2" w:rsidP="002D17FF">
      <w:pPr>
        <w:spacing w:before="120" w:after="60" w:line="264" w:lineRule="auto"/>
        <w:rPr>
          <w:b/>
        </w:rPr>
      </w:pPr>
      <w:r w:rsidRPr="00C37F68">
        <w:rPr>
          <w:b/>
        </w:rPr>
        <w:t>Q4: Do you agree with the suggested approach on hedging and portfolio diversification aspects? If not, please explain what changes should be made and why?</w:t>
      </w:r>
    </w:p>
    <w:p w:rsidR="00810AB2" w:rsidRPr="00C37F68" w:rsidRDefault="00810AB2" w:rsidP="002D17FF">
      <w:pPr>
        <w:spacing w:before="120" w:after="60" w:line="264" w:lineRule="auto"/>
      </w:pPr>
      <w:r w:rsidRPr="00C37F68">
        <w:t>Deviations from the target market that result from proper portfolio diversification objectives should not be taken as an exception but as a key element for investor protection. In this sense, target market identification should not only consider the product when individually assessed but also when part of a broader investment portfolio (as already mentioned in the “Guidelines on certain aspects of the MiFID suitability requirements”).</w:t>
      </w:r>
    </w:p>
    <w:p w:rsidR="00810AB2" w:rsidRPr="00C37F68" w:rsidRDefault="00810AB2" w:rsidP="00545FF4">
      <w:pPr>
        <w:pStyle w:val="Kopfzeile"/>
        <w:spacing w:before="120" w:line="264" w:lineRule="auto"/>
        <w:rPr>
          <w:lang w:val="en-US"/>
        </w:rPr>
      </w:pPr>
      <w:r w:rsidRPr="00C37F68">
        <w:rPr>
          <w:lang w:val="en-US"/>
        </w:rPr>
        <w:t xml:space="preserve">The suggested approach tries to accommodate the sensible idea that taking a product based approach on minimizing risks (as MiFID II does in general) is often not enough. Risks are most </w:t>
      </w:r>
      <w:r w:rsidRPr="00C37F68">
        <w:rPr>
          <w:lang w:val="en-US"/>
        </w:rPr>
        <w:lastRenderedPageBreak/>
        <w:t xml:space="preserve">often not tied to the product itself but to the use of the product. This is where hedging and portfolio diversification comes into play. Where the guidelines fall short however is in practically limiting this exception to advice-based models. The guidelines clearly have in mind traditional banks with branches and personal advice. It disregards online models where clients (with adequate knowledge &amp; experience) make their own investment decision based on their financial knowledge, their own financial planning and the ample information available on the products. This misconception ignores fundamental changes in the market tied to digitalization. </w:t>
      </w:r>
    </w:p>
    <w:p w:rsidR="00810AB2" w:rsidRPr="002D17FF" w:rsidRDefault="00810AB2" w:rsidP="00545FF4">
      <w:pPr>
        <w:keepNext/>
        <w:keepLines/>
        <w:spacing w:before="120" w:after="60" w:line="264" w:lineRule="auto"/>
        <w:rPr>
          <w:sz w:val="16"/>
        </w:rPr>
      </w:pPr>
    </w:p>
    <w:p w:rsidR="00D253A4" w:rsidRPr="00C37F68" w:rsidRDefault="00D253A4" w:rsidP="00545FF4">
      <w:pPr>
        <w:pStyle w:val="Kopfzeile"/>
        <w:spacing w:before="120" w:line="264" w:lineRule="auto"/>
        <w:rPr>
          <w:b/>
          <w:bCs/>
        </w:rPr>
      </w:pPr>
      <w:r w:rsidRPr="00C37F68">
        <w:rPr>
          <w:b/>
          <w:bCs/>
        </w:rPr>
        <w:t>Q5: Do you believe further guidance is needed on how distributors should apply product governance requirements for products manufactured by entities falling outside the scope of MiFID II?</w:t>
      </w:r>
    </w:p>
    <w:p w:rsidR="00D253A4" w:rsidRPr="00C37F68" w:rsidRDefault="00D253A4" w:rsidP="00545FF4">
      <w:pPr>
        <w:pStyle w:val="Kopfzeile"/>
        <w:spacing w:before="120" w:line="264" w:lineRule="auto"/>
        <w:rPr>
          <w:lang w:val="en-US"/>
        </w:rPr>
      </w:pPr>
      <w:r w:rsidRPr="00C37F68">
        <w:rPr>
          <w:lang w:val="en-US"/>
        </w:rPr>
        <w:t>The guidance provided is severely lacking, as it is unclear which products are considered suitable for advice-free models, where only knowledge &amp; experience are known with certainty. This is especially true as it says in recital 14 “Manufacturers should not leave out one of the six […] categories.”</w:t>
      </w:r>
    </w:p>
    <w:p w:rsidR="00D253A4" w:rsidRPr="002D17FF" w:rsidRDefault="00D253A4" w:rsidP="00545FF4">
      <w:pPr>
        <w:pStyle w:val="Kopfzeile"/>
        <w:spacing w:before="120" w:line="264" w:lineRule="auto"/>
        <w:rPr>
          <w:lang w:val="en-US"/>
        </w:rPr>
      </w:pPr>
      <w:r w:rsidRPr="00C37F68">
        <w:rPr>
          <w:lang w:val="en-US"/>
        </w:rPr>
        <w:t xml:space="preserve">If the manufacturer’s target market description includes a reference to a specific financial situation and unique objectives/needs, besides the clients’ knowledge and experience, the distributor can decide not to offer the product, even if the distributor could asses the compatibility of the client base in terms of knowledge and experience. The distributor can choose </w:t>
      </w:r>
      <w:r w:rsidRPr="002D17FF">
        <w:rPr>
          <w:lang w:val="en-US"/>
        </w:rPr>
        <w:t xml:space="preserve">to offer a product to a client group, after having warned them that a full compatibility assessment is not possible. However, the distributor still has to decide for each product and client group if the product can be offered (with a warning message) or not (based on specific financial situation and unique objectives/needs). This leaves the distributor with huge uncertainty and risks. </w:t>
      </w:r>
    </w:p>
    <w:p w:rsidR="00D253A4" w:rsidRPr="002D17FF" w:rsidRDefault="00D253A4" w:rsidP="00545FF4">
      <w:pPr>
        <w:spacing w:before="120" w:line="264" w:lineRule="auto"/>
        <w:rPr>
          <w:rFonts w:cs="Times New Roman"/>
          <w:iCs/>
          <w:snapToGrid/>
          <w:lang w:val="en-US"/>
        </w:rPr>
      </w:pPr>
      <w:r w:rsidRPr="002D17FF">
        <w:rPr>
          <w:b/>
          <w:bCs/>
          <w:iCs/>
          <w:lang w:val="en-US"/>
        </w:rPr>
        <w:t>Access to product information to manufacturer</w:t>
      </w:r>
    </w:p>
    <w:p w:rsidR="00D253A4" w:rsidRPr="002D17FF" w:rsidRDefault="00D253A4" w:rsidP="00545FF4">
      <w:pPr>
        <w:spacing w:before="120" w:line="264" w:lineRule="auto"/>
        <w:rPr>
          <w:iCs/>
          <w:lang w:val="en-US"/>
        </w:rPr>
      </w:pPr>
      <w:r w:rsidRPr="002D17FF">
        <w:rPr>
          <w:iCs/>
          <w:lang w:val="en-US"/>
        </w:rPr>
        <w:t>It is assumed that sellers need to provide information to their manufacturers according to the Draft Guidelines para 46, 49, 50 and 65 only in case of products that are actively being marketed, offered or recommended. The pure distribution via advice-free / execution only services does not imply the necessity to transfer such data even though the product has been sold outside of the target market and/or distribution strategy identified by the manufacturer.</w:t>
      </w:r>
    </w:p>
    <w:p w:rsidR="00D253A4" w:rsidRPr="002D17FF" w:rsidRDefault="00D253A4" w:rsidP="00545FF4">
      <w:pPr>
        <w:spacing w:before="120" w:line="264" w:lineRule="auto"/>
        <w:rPr>
          <w:i/>
          <w:iCs/>
          <w:lang w:val="en-US"/>
        </w:rPr>
      </w:pPr>
      <w:r w:rsidRPr="002D17FF">
        <w:rPr>
          <w:i/>
          <w:iCs/>
          <w:lang w:val="en-US"/>
        </w:rPr>
        <w:t>Does ESMA share the same view with regard to these assumptions?</w:t>
      </w:r>
    </w:p>
    <w:p w:rsidR="00D253A4" w:rsidRPr="002D17FF" w:rsidRDefault="00D253A4" w:rsidP="00545FF4">
      <w:pPr>
        <w:spacing w:before="120" w:line="264" w:lineRule="auto"/>
        <w:rPr>
          <w:b/>
          <w:iCs/>
          <w:lang w:val="en-US"/>
        </w:rPr>
      </w:pPr>
      <w:r w:rsidRPr="002D17FF">
        <w:rPr>
          <w:b/>
          <w:iCs/>
          <w:lang w:val="en-US"/>
        </w:rPr>
        <w:t>Identification and assessment of the target market by the distributor; interaction with the provision of different investment services</w:t>
      </w:r>
    </w:p>
    <w:p w:rsidR="00D253A4" w:rsidRPr="002D17FF" w:rsidRDefault="00D253A4" w:rsidP="00545FF4">
      <w:pPr>
        <w:pStyle w:val="Default"/>
        <w:spacing w:before="120" w:line="264" w:lineRule="auto"/>
        <w:rPr>
          <w:rFonts w:ascii="Trebuchet MS" w:eastAsia="Times New Roman" w:hAnsi="Trebuchet MS" w:cs="Trebuchet MS"/>
          <w:iCs/>
          <w:snapToGrid w:val="0"/>
          <w:color w:val="auto"/>
          <w:sz w:val="22"/>
          <w:szCs w:val="22"/>
          <w:lang w:val="en-US" w:eastAsia="de-AT"/>
        </w:rPr>
      </w:pPr>
      <w:r w:rsidRPr="002D17FF">
        <w:rPr>
          <w:rFonts w:ascii="Trebuchet MS" w:eastAsia="Times New Roman" w:hAnsi="Trebuchet MS" w:cs="Trebuchet MS"/>
          <w:iCs/>
          <w:snapToGrid w:val="0"/>
          <w:color w:val="auto"/>
          <w:sz w:val="22"/>
          <w:szCs w:val="22"/>
          <w:lang w:val="en-US" w:eastAsia="de-AT"/>
        </w:rPr>
        <w:t>In para 36 of the Background the ESMA proposes that when distributors define their product assortment they should pay particular attention to situations where they might not be able to conduct a thorough target market assessment by virtue of the type of services they provide. In particular, where firms only carry out execution services under appropriateness (for example through a brokerage platform), they should consider that they will usually be able to conduct an assessment of the actual target market, limited to the sole categories of knowledge and experience of clients; where they only conduct execution services under the execution-only regime, not even the assessment of clients’ knowledge and competence will usually be possible.</w:t>
      </w:r>
    </w:p>
    <w:p w:rsidR="00D253A4" w:rsidRPr="002D17FF" w:rsidRDefault="00D253A4" w:rsidP="00545FF4">
      <w:pPr>
        <w:pStyle w:val="Default"/>
        <w:spacing w:before="120" w:line="264" w:lineRule="auto"/>
        <w:rPr>
          <w:rFonts w:ascii="Trebuchet MS" w:eastAsia="Times New Roman" w:hAnsi="Trebuchet MS" w:cs="Trebuchet MS"/>
          <w:iCs/>
          <w:snapToGrid w:val="0"/>
          <w:color w:val="auto"/>
          <w:sz w:val="22"/>
          <w:szCs w:val="22"/>
          <w:lang w:val="en-US" w:eastAsia="de-AT"/>
        </w:rPr>
      </w:pPr>
      <w:r w:rsidRPr="002D17FF">
        <w:rPr>
          <w:rFonts w:ascii="Trebuchet MS" w:eastAsia="Times New Roman" w:hAnsi="Trebuchet MS" w:cs="Trebuchet MS"/>
          <w:iCs/>
          <w:snapToGrid w:val="0"/>
          <w:color w:val="auto"/>
          <w:sz w:val="22"/>
          <w:szCs w:val="22"/>
          <w:lang w:val="en-US" w:eastAsia="de-AT"/>
        </w:rPr>
        <w:t>We fully agree with ESMA and strongly recommend to directly include this approach into the final guidelines.</w:t>
      </w:r>
    </w:p>
    <w:p w:rsidR="00D253A4" w:rsidRPr="002D17FF" w:rsidRDefault="00D253A4" w:rsidP="00545FF4">
      <w:pPr>
        <w:keepNext/>
        <w:keepLines/>
        <w:spacing w:before="120" w:after="60" w:line="264" w:lineRule="auto"/>
        <w:rPr>
          <w:sz w:val="18"/>
        </w:rPr>
      </w:pPr>
    </w:p>
    <w:p w:rsidR="00120A2F" w:rsidRPr="00C37F68" w:rsidRDefault="00120A2F" w:rsidP="002D17FF">
      <w:pPr>
        <w:autoSpaceDE w:val="0"/>
        <w:autoSpaceDN w:val="0"/>
        <w:adjustRightInd w:val="0"/>
        <w:spacing w:before="120" w:line="240" w:lineRule="auto"/>
        <w:rPr>
          <w:rFonts w:cs="Calibri-Bold"/>
          <w:b/>
          <w:bCs/>
          <w:snapToGrid/>
          <w:lang w:val="de-AT"/>
        </w:rPr>
      </w:pPr>
      <w:r w:rsidRPr="00C37F68">
        <w:rPr>
          <w:rFonts w:cs="Calibri-Bold"/>
          <w:b/>
          <w:bCs/>
          <w:snapToGrid/>
          <w:lang w:val="de-AT"/>
        </w:rPr>
        <w:t>Q6: Do you agree with the proposed approach for the identification of the ‘negative’ target</w:t>
      </w:r>
      <w:r w:rsidR="002D17FF">
        <w:rPr>
          <w:rFonts w:cs="Calibri-Bold"/>
          <w:b/>
          <w:bCs/>
          <w:snapToGrid/>
          <w:lang w:val="de-AT"/>
        </w:rPr>
        <w:t xml:space="preserve"> </w:t>
      </w:r>
      <w:r w:rsidRPr="00C37F68">
        <w:rPr>
          <w:rFonts w:cs="Calibri-Bold"/>
          <w:b/>
          <w:bCs/>
          <w:snapToGrid/>
          <w:lang w:val="de-AT"/>
        </w:rPr>
        <w:t>market?</w:t>
      </w:r>
    </w:p>
    <w:p w:rsidR="00120A2F" w:rsidRPr="00C37F68" w:rsidRDefault="00120A2F" w:rsidP="00545FF4">
      <w:pPr>
        <w:autoSpaceDE w:val="0"/>
        <w:autoSpaceDN w:val="0"/>
        <w:adjustRightInd w:val="0"/>
        <w:spacing w:before="120" w:line="264" w:lineRule="auto"/>
        <w:rPr>
          <w:rFonts w:cs="Calibri"/>
          <w:snapToGrid/>
          <w:lang w:val="de-AT"/>
        </w:rPr>
      </w:pPr>
      <w:r w:rsidRPr="00C37F68">
        <w:rPr>
          <w:rFonts w:cs="Calibri"/>
          <w:snapToGrid/>
          <w:lang w:val="de-AT"/>
        </w:rPr>
        <w:t>In our opinion a negative target market is not necessary if all six positive target market categories</w:t>
      </w:r>
      <w:r w:rsidR="00C728D9" w:rsidRPr="00C37F68">
        <w:rPr>
          <w:rFonts w:cs="Calibri"/>
          <w:snapToGrid/>
          <w:lang w:val="de-AT"/>
        </w:rPr>
        <w:t xml:space="preserve"> </w:t>
      </w:r>
      <w:r w:rsidRPr="00C37F68">
        <w:rPr>
          <w:rFonts w:cs="Calibri"/>
          <w:snapToGrid/>
          <w:lang w:val="de-AT"/>
        </w:rPr>
        <w:t>are defined. At least for the majority of financial products the six positive target market categories</w:t>
      </w:r>
      <w:r w:rsidR="00C728D9" w:rsidRPr="00C37F68">
        <w:rPr>
          <w:rFonts w:cs="Calibri"/>
          <w:snapToGrid/>
          <w:lang w:val="de-AT"/>
        </w:rPr>
        <w:t xml:space="preserve"> </w:t>
      </w:r>
      <w:r w:rsidRPr="00C37F68">
        <w:rPr>
          <w:rFonts w:cs="Calibri"/>
          <w:snapToGrid/>
          <w:lang w:val="de-AT"/>
        </w:rPr>
        <w:t>should be sufficient. Furthermore a clear definition of all six positive target market categories would</w:t>
      </w:r>
      <w:r w:rsidR="00C728D9" w:rsidRPr="00C37F68">
        <w:rPr>
          <w:rFonts w:cs="Calibri"/>
          <w:snapToGrid/>
          <w:lang w:val="de-AT"/>
        </w:rPr>
        <w:t xml:space="preserve"> </w:t>
      </w:r>
      <w:r w:rsidRPr="00C37F68">
        <w:rPr>
          <w:rFonts w:cs="Calibri"/>
          <w:snapToGrid/>
          <w:lang w:val="de-AT"/>
        </w:rPr>
        <w:t>replace a “grey target market”.</w:t>
      </w:r>
    </w:p>
    <w:p w:rsidR="00120A2F" w:rsidRPr="00C37F68" w:rsidRDefault="00120A2F" w:rsidP="00545FF4">
      <w:pPr>
        <w:autoSpaceDE w:val="0"/>
        <w:autoSpaceDN w:val="0"/>
        <w:adjustRightInd w:val="0"/>
        <w:spacing w:before="120" w:line="264" w:lineRule="auto"/>
        <w:rPr>
          <w:rFonts w:cs="Calibri"/>
          <w:snapToGrid/>
          <w:lang w:val="de-AT"/>
        </w:rPr>
      </w:pPr>
      <w:r w:rsidRPr="00C37F68">
        <w:rPr>
          <w:rFonts w:cs="Calibri"/>
          <w:snapToGrid/>
          <w:lang w:val="de-AT"/>
        </w:rPr>
        <w:t>Nevertheless there should still be the possibility for the distributors to deviate from the respective</w:t>
      </w:r>
      <w:r w:rsidR="00C728D9" w:rsidRPr="00C37F68">
        <w:rPr>
          <w:rFonts w:cs="Calibri"/>
          <w:snapToGrid/>
          <w:lang w:val="de-AT"/>
        </w:rPr>
        <w:t xml:space="preserve"> </w:t>
      </w:r>
      <w:r w:rsidRPr="00C37F68">
        <w:rPr>
          <w:rFonts w:cs="Calibri"/>
          <w:snapToGrid/>
          <w:lang w:val="de-AT"/>
        </w:rPr>
        <w:t>target market criteria of the manufacturer.</w:t>
      </w:r>
    </w:p>
    <w:p w:rsidR="00C728D9" w:rsidRPr="00C37F68" w:rsidRDefault="00C728D9" w:rsidP="00545FF4">
      <w:pPr>
        <w:tabs>
          <w:tab w:val="left" w:pos="3795"/>
        </w:tabs>
        <w:spacing w:before="120" w:after="60" w:line="264" w:lineRule="auto"/>
      </w:pPr>
      <w:r w:rsidRPr="00C37F68">
        <w:t>In general it is unclear why the ESMA is inventing a "grey" target market, which is neither found in Level 1 or Level 2. On the contrary it is more sensible to determine only the positive target market and there is no need to explicitly define a negative target. A positive description gives the right indication. There can be reasons to deviate from the target market for example because of the portfolio approach. Lack of clarity could occur because of justified deviations on the one hand and negative target markets on the other hand.</w:t>
      </w:r>
    </w:p>
    <w:p w:rsidR="00C728D9" w:rsidRPr="002D17FF" w:rsidRDefault="00C728D9" w:rsidP="00545FF4">
      <w:pPr>
        <w:spacing w:before="120" w:line="264" w:lineRule="auto"/>
        <w:rPr>
          <w:rFonts w:cs="Times New Roman"/>
          <w:snapToGrid/>
          <w:lang w:val="fr-BE"/>
        </w:rPr>
      </w:pPr>
      <w:r w:rsidRPr="002D17FF">
        <w:rPr>
          <w:rFonts w:cs="Calibri"/>
          <w:snapToGrid/>
          <w:lang w:val="de-AT"/>
        </w:rPr>
        <w:t xml:space="preserve">But if </w:t>
      </w:r>
      <w:r w:rsidRPr="002D17FF">
        <w:rPr>
          <w:rFonts w:cs="Arial"/>
          <w:iCs/>
          <w:lang w:val="en-US"/>
        </w:rPr>
        <w:t xml:space="preserve">an identification of a negative target market will be included in the final Guidelines, it should at least not be foreseen in the same way as there is a definition of the positive target market. This would lead to disproportionate burdens for manufacturers and distributors. On the one hand there is already a granular definition of the positive target market so it is sufficiently transparent to every potential investor if the product may suit to him and his investment targets. On the other hand, if there is already a positive identification of a suitable group of investors, it definitely does not need a negative identification on the same granular way. It is evident, that clients outside the written definition are outside the target market. Too much definitions will lead to confusions by potential investors. </w:t>
      </w:r>
    </w:p>
    <w:p w:rsidR="00C728D9" w:rsidRPr="002D17FF" w:rsidRDefault="00C728D9" w:rsidP="00545FF4">
      <w:pPr>
        <w:spacing w:before="120" w:line="264" w:lineRule="auto"/>
        <w:rPr>
          <w:lang w:val="fr-BE"/>
        </w:rPr>
      </w:pPr>
      <w:r w:rsidRPr="002D17FF">
        <w:rPr>
          <w:rFonts w:cs="Arial"/>
          <w:iCs/>
          <w:lang w:val="en-US"/>
        </w:rPr>
        <w:t xml:space="preserve">If a manufacturer or a seller identifies an absolute negative market criterion, which might occur because of the nature of a product, then there could be a disclosure (e.g. positive criteria: long-term investment; negative: short-time </w:t>
      </w:r>
      <w:r w:rsidRPr="002D17FF">
        <w:rPr>
          <w:iCs/>
          <w:lang w:val="en-US"/>
        </w:rPr>
        <w:t>à</w:t>
      </w:r>
      <w:r w:rsidRPr="002D17FF">
        <w:rPr>
          <w:rFonts w:cs="Arial"/>
          <w:iCs/>
          <w:lang w:val="en-US"/>
        </w:rPr>
        <w:t xml:space="preserve"> possible on client level: mid-term).</w:t>
      </w:r>
    </w:p>
    <w:p w:rsidR="00C728D9" w:rsidRPr="002D17FF" w:rsidRDefault="00C728D9" w:rsidP="00545FF4">
      <w:pPr>
        <w:spacing w:before="120" w:line="264" w:lineRule="auto"/>
        <w:ind w:left="708"/>
        <w:rPr>
          <w:sz w:val="18"/>
          <w:lang w:val="fr-BE"/>
        </w:rPr>
      </w:pPr>
      <w:r w:rsidRPr="00C37F68">
        <w:rPr>
          <w:i/>
          <w:iCs/>
          <w:color w:val="1F497D"/>
          <w:lang w:val="en-US"/>
        </w:rPr>
        <w:t> </w:t>
      </w:r>
    </w:p>
    <w:p w:rsidR="00120A2F" w:rsidRPr="00C37F68" w:rsidRDefault="00120A2F" w:rsidP="00545FF4">
      <w:pPr>
        <w:autoSpaceDE w:val="0"/>
        <w:autoSpaceDN w:val="0"/>
        <w:adjustRightInd w:val="0"/>
        <w:spacing w:before="120" w:line="264" w:lineRule="auto"/>
        <w:rPr>
          <w:rFonts w:cs="Calibri-Bold"/>
          <w:b/>
          <w:bCs/>
          <w:snapToGrid/>
          <w:lang w:val="de-AT"/>
        </w:rPr>
      </w:pPr>
      <w:r w:rsidRPr="00C37F68">
        <w:rPr>
          <w:rFonts w:cs="Calibri-Bold"/>
          <w:b/>
          <w:bCs/>
          <w:snapToGrid/>
          <w:lang w:val="de-AT"/>
        </w:rPr>
        <w:t>Q8: Do you have any further comment or input on the draft guidelines?</w:t>
      </w:r>
    </w:p>
    <w:p w:rsidR="00780375" w:rsidRPr="00C37F68" w:rsidRDefault="0037727E" w:rsidP="00545FF4">
      <w:pPr>
        <w:spacing w:before="120" w:after="60" w:line="264" w:lineRule="auto"/>
      </w:pPr>
      <w:r>
        <w:rPr>
          <w:lang w:val="en-US"/>
        </w:rPr>
        <w:t>The approach in t</w:t>
      </w:r>
      <w:r w:rsidR="00DE32B7" w:rsidRPr="00C37F68">
        <w:rPr>
          <w:lang w:val="en-US"/>
        </w:rPr>
        <w:t>h</w:t>
      </w:r>
      <w:r>
        <w:rPr>
          <w:lang w:val="en-US"/>
        </w:rPr>
        <w:t>e</w:t>
      </w:r>
      <w:r w:rsidR="00DE32B7" w:rsidRPr="00C37F68">
        <w:rPr>
          <w:lang w:val="en-US"/>
        </w:rPr>
        <w:t xml:space="preserve"> consultation paper </w:t>
      </w:r>
      <w:r>
        <w:rPr>
          <w:lang w:val="en-US"/>
        </w:rPr>
        <w:t>causes</w:t>
      </w:r>
      <w:r w:rsidR="00DE32B7" w:rsidRPr="00C37F68">
        <w:rPr>
          <w:lang w:val="en-US"/>
        </w:rPr>
        <w:t xml:space="preserve"> serious </w:t>
      </w:r>
      <w:r>
        <w:rPr>
          <w:lang w:val="en-US"/>
        </w:rPr>
        <w:t>problems for</w:t>
      </w:r>
      <w:r w:rsidR="00DE32B7" w:rsidRPr="00C37F68">
        <w:rPr>
          <w:lang w:val="en-US"/>
        </w:rPr>
        <w:t xml:space="preserve"> the advice free business model, which is prevalent among </w:t>
      </w:r>
      <w:r w:rsidR="00780375">
        <w:rPr>
          <w:lang w:val="en-US"/>
        </w:rPr>
        <w:t>online</w:t>
      </w:r>
      <w:r w:rsidR="00DE32B7" w:rsidRPr="00C37F68">
        <w:rPr>
          <w:lang w:val="en-US"/>
        </w:rPr>
        <w:t xml:space="preserve"> banks. </w:t>
      </w:r>
      <w:r w:rsidR="00780375" w:rsidRPr="00C37F68">
        <w:t>From assessing the ESMA guidelines, the distributor has to be critical of the issuers’ target market and make sure on the level of protection for non-advisory clients. Direct- and online banks would have to ask about further criteria, which runs against their very business model or simply narrow down their product offering to very simple financial instruments only.</w:t>
      </w:r>
    </w:p>
    <w:p w:rsidR="00DE32B7" w:rsidRPr="00C37F68" w:rsidRDefault="00DE32B7" w:rsidP="00545FF4">
      <w:pPr>
        <w:pStyle w:val="Kopfzeile"/>
        <w:spacing w:before="120" w:line="264" w:lineRule="auto"/>
        <w:rPr>
          <w:lang w:val="en-US"/>
        </w:rPr>
      </w:pPr>
      <w:r w:rsidRPr="00C37F68">
        <w:rPr>
          <w:lang w:val="en-US"/>
        </w:rPr>
        <w:t xml:space="preserve">If distributors and manufacturers are liable for assessing correctly if products are suitable for advice-free business models it introduces new risks to them.  </w:t>
      </w:r>
    </w:p>
    <w:p w:rsidR="00DE32B7" w:rsidRPr="00C37F68" w:rsidRDefault="0037727E" w:rsidP="00545FF4">
      <w:pPr>
        <w:pStyle w:val="Kopfzeile"/>
        <w:spacing w:before="120" w:line="264" w:lineRule="auto"/>
        <w:rPr>
          <w:lang w:val="en-US"/>
        </w:rPr>
      </w:pPr>
      <w:r>
        <w:rPr>
          <w:lang w:val="en-US"/>
        </w:rPr>
        <w:t>T</w:t>
      </w:r>
      <w:r w:rsidR="00DE32B7" w:rsidRPr="00C37F68">
        <w:rPr>
          <w:lang w:val="en-US"/>
        </w:rPr>
        <w:t>his approach will lead to a drastic reduction of products eligible for advice free models. This will reduce customer choice</w:t>
      </w:r>
      <w:r>
        <w:rPr>
          <w:lang w:val="en-US"/>
        </w:rPr>
        <w:t>.</w:t>
      </w:r>
      <w:r w:rsidR="00DE32B7" w:rsidRPr="00C37F68">
        <w:rPr>
          <w:lang w:val="en-US"/>
        </w:rPr>
        <w:t xml:space="preserve">   </w:t>
      </w:r>
    </w:p>
    <w:p w:rsidR="00C37F68" w:rsidRDefault="00DE32B7" w:rsidP="00545FF4">
      <w:pPr>
        <w:pStyle w:val="Kopfzeile"/>
        <w:spacing w:before="120" w:line="264" w:lineRule="auto"/>
        <w:rPr>
          <w:lang w:val="en-US"/>
        </w:rPr>
      </w:pPr>
      <w:r w:rsidRPr="00C37F68">
        <w:rPr>
          <w:lang w:val="en-US"/>
        </w:rPr>
        <w:t>Recital 4 says “</w:t>
      </w:r>
      <w:r w:rsidRPr="00C37F68">
        <w:rPr>
          <w:i/>
          <w:lang w:val="en-US"/>
        </w:rPr>
        <w:t xml:space="preserve">MiFID II clearly notes that the requirements on product governance apply </w:t>
      </w:r>
      <w:r w:rsidRPr="00C37F68">
        <w:rPr>
          <w:i/>
          <w:u w:val="single"/>
          <w:lang w:val="en-US"/>
        </w:rPr>
        <w:t>without prejudice to any assessment</w:t>
      </w:r>
      <w:r w:rsidRPr="00C37F68">
        <w:rPr>
          <w:i/>
          <w:lang w:val="en-US"/>
        </w:rPr>
        <w:t xml:space="preserve"> of appropriateness or suitability to be subsequently carried out by the firm in the provision of investment services to each client, on the basis of their personal needs, characteristics and objectives.”</w:t>
      </w:r>
      <w:r w:rsidRPr="00C37F68">
        <w:rPr>
          <w:lang w:val="en-US"/>
        </w:rPr>
        <w:t xml:space="preserve"> </w:t>
      </w:r>
    </w:p>
    <w:p w:rsidR="00DE32B7" w:rsidRPr="00C37F68" w:rsidRDefault="00DE32B7" w:rsidP="00545FF4">
      <w:pPr>
        <w:pStyle w:val="Kopfzeile"/>
        <w:spacing w:before="120" w:line="264" w:lineRule="auto"/>
        <w:rPr>
          <w:lang w:val="en-US"/>
        </w:rPr>
      </w:pPr>
      <w:r w:rsidRPr="00C37F68">
        <w:rPr>
          <w:lang w:val="en-US"/>
        </w:rPr>
        <w:lastRenderedPageBreak/>
        <w:t>Contradictory to this statement, the guideline</w:t>
      </w:r>
      <w:r w:rsidR="00C37F68">
        <w:rPr>
          <w:lang w:val="en-US"/>
        </w:rPr>
        <w:t>s</w:t>
      </w:r>
      <w:r w:rsidRPr="00C37F68">
        <w:rPr>
          <w:lang w:val="en-US"/>
        </w:rPr>
        <w:t xml:space="preserve"> force manufacturers and distributers to perform a “generalized” suitability test, even if advice free models are only based on knowledge </w:t>
      </w:r>
      <w:r w:rsidR="00780375">
        <w:rPr>
          <w:lang w:val="en-US"/>
        </w:rPr>
        <w:t>and</w:t>
      </w:r>
      <w:r w:rsidRPr="00C37F68">
        <w:rPr>
          <w:lang w:val="en-US"/>
        </w:rPr>
        <w:t xml:space="preserve"> experience and blurs the line between advice-based and non-advice-based services. We fully support the target market concept but we suggest not to restrict advice free distribution models through limiting products that can be sold in such a way. We do not think that MiFID II supports such a far-reaching limitation of the advice-free business model.   </w:t>
      </w:r>
    </w:p>
    <w:p w:rsidR="00DE32B7" w:rsidRPr="00C37F68" w:rsidRDefault="00DE32B7" w:rsidP="00545FF4">
      <w:pPr>
        <w:spacing w:before="120" w:after="60" w:line="264" w:lineRule="auto"/>
      </w:pPr>
      <w:r w:rsidRPr="00C37F68">
        <w:t xml:space="preserve">The requirements set out in MiFID II and the </w:t>
      </w:r>
      <w:r w:rsidR="00780375">
        <w:t>Delegated D</w:t>
      </w:r>
      <w:r w:rsidRPr="00C37F68">
        <w:t xml:space="preserve">irective supplementing MiFID II with regard to product governance require the manufacturer to define a distribution strategy in relation to a product. We understand that ESMA is now considering that in case of retail clients the best distribution channel for structured products could be investment advice in order to allow evaluation of whether the client fits into the target market. We recommend </w:t>
      </w:r>
      <w:r w:rsidR="00077C70" w:rsidRPr="00C37F68">
        <w:t xml:space="preserve">the </w:t>
      </w:r>
      <w:r w:rsidRPr="00C37F68">
        <w:t xml:space="preserve">ESMA not to take such position. Such approach would mean that in case of any complex products distribution could only take place via the distribution channel of investment advice. There is no objective reason to assume that only the distribution channel of investment advice would lead to the best result for a retail investor. In Austria, there is a range of online banks distributing financial products online without advice (including structured products). </w:t>
      </w:r>
    </w:p>
    <w:p w:rsidR="00DE32B7" w:rsidRPr="00C37F68" w:rsidRDefault="00DE32B7" w:rsidP="00545FF4">
      <w:pPr>
        <w:spacing w:before="120" w:after="60" w:line="264" w:lineRule="auto"/>
      </w:pPr>
      <w:r w:rsidRPr="00C37F68">
        <w:t>Clients of these banks are used to make their decision on their own. At least some of these customers prefer to have no interaction with any advisor of the bank when concluding transactions in financial instruments. Excluding these persons by introducing the requirement of investment advice via the target market definition will deny these customers access to a broad range of services and financial products. Also, offering investors a choice as regards distribution channels is desirable, as it enhances competition among the variety of distribution channels that already exist today. Therefore, the retail investors will only be able to choose from a limited amount of financial instruments, which leads to a weakening of retail investors’ position in the marketplace. Any limitation of distribution channels may instead violate fundamental rights of these customers and also of manufacturers and distributors.</w:t>
      </w:r>
    </w:p>
    <w:p w:rsidR="00171CBF" w:rsidRPr="00171CBF" w:rsidRDefault="00171CBF" w:rsidP="00171CBF">
      <w:r>
        <w:t>Following the proposed Draft Guidelines in</w:t>
      </w:r>
      <w:r w:rsidRPr="00171CBF">
        <w:t xml:space="preserve"> the future only non-complex mass market products could be av</w:t>
      </w:r>
      <w:bookmarkStart w:id="3" w:name="_GoBack"/>
      <w:bookmarkEnd w:id="3"/>
      <w:r w:rsidRPr="00171CBF">
        <w:t>ailable in advice-free services. In that case, retail investors will only be able to choose from a limited amount of financial instruments, which leads to a weakening of retail investors’ position in the marketplace.</w:t>
      </w:r>
    </w:p>
    <w:p w:rsidR="00171CBF" w:rsidRPr="00C37F68" w:rsidRDefault="00171CBF" w:rsidP="00171CBF">
      <w:pPr>
        <w:spacing w:before="120" w:after="60" w:line="264" w:lineRule="auto"/>
      </w:pPr>
      <w:r w:rsidRPr="00C37F68">
        <w:t>Hence, free movement of capital is potentially restricted and free competition of financial instruments is jeopardized. Consequently, there will be a dramatic shift of online banking to non-EU-countries, thus weakening the European Union as a financial marketplace.</w:t>
      </w:r>
    </w:p>
    <w:p w:rsidR="00DE32B7" w:rsidRPr="00C37F68" w:rsidRDefault="00DE32B7" w:rsidP="00545FF4">
      <w:pPr>
        <w:spacing w:before="120" w:after="60" w:line="264" w:lineRule="auto"/>
      </w:pPr>
      <w:r w:rsidRPr="00C37F68">
        <w:t xml:space="preserve">The new guidance should not complicate investments in non-complex instruments, notably ordinary shares listed on regulated markets. Further red-tape would be clearly against the goals of the EU Capital Markets Union project. </w:t>
      </w:r>
    </w:p>
    <w:p w:rsidR="00DE32B7" w:rsidRPr="00C37F68" w:rsidRDefault="00DE32B7" w:rsidP="00545FF4">
      <w:pPr>
        <w:spacing w:before="120" w:after="60" w:line="264" w:lineRule="auto"/>
      </w:pPr>
      <w:r w:rsidRPr="00C37F68">
        <w:t>For listed shares and similar non-complex instruments the "distributor" (such as bank</w:t>
      </w:r>
      <w:r w:rsidR="00780375">
        <w:t>s</w:t>
      </w:r>
      <w:r w:rsidRPr="00C37F68">
        <w:t xml:space="preserve"> or investment firm</w:t>
      </w:r>
      <w:r w:rsidR="00780375">
        <w:t>s</w:t>
      </w:r>
      <w:r w:rsidRPr="00C37F68">
        <w:t xml:space="preserve"> providing online trading on listed shares) should be able to rely on publicly available information without additional "information gathering process". It should be sufficient to refer on public information based on general regulatory obligations of listed companies. For example pursuant to Prospectus Directive and forthcoming Regulation, prospectuses are available on webpages of supervisors. Furthermore, the investor should follow the ongoing disclosure of the issuer based on the EU Transparency Directive. Similar issues could potentially arise with other listed instruments, such as ETFs, warrants etc. In general, this would result in a reduction of products available. </w:t>
      </w:r>
    </w:p>
    <w:p w:rsidR="00DE32B7" w:rsidRPr="00C37F68" w:rsidRDefault="00DE32B7" w:rsidP="00545FF4">
      <w:pPr>
        <w:spacing w:before="120" w:after="60" w:line="264" w:lineRule="auto"/>
      </w:pPr>
    </w:p>
    <w:p w:rsidR="00DE32B7" w:rsidRPr="00C37F68" w:rsidRDefault="00DE32B7" w:rsidP="00545FF4">
      <w:pPr>
        <w:autoSpaceDE w:val="0"/>
        <w:autoSpaceDN w:val="0"/>
        <w:adjustRightInd w:val="0"/>
        <w:spacing w:before="120" w:line="264" w:lineRule="auto"/>
        <w:rPr>
          <w:rFonts w:cs="Calibri"/>
          <w:snapToGrid/>
          <w:lang w:val="de-AT"/>
        </w:rPr>
      </w:pPr>
      <w:r w:rsidRPr="00C37F68">
        <w:t xml:space="preserve">ESMA guidelines should be designed in a way to allow manufacturers and distributors to carry out a standardized definition of target markets based on specific criteria. </w:t>
      </w:r>
      <w:r w:rsidR="00077C70" w:rsidRPr="00C37F68">
        <w:t xml:space="preserve">The </w:t>
      </w:r>
      <w:r w:rsidRPr="00C37F68">
        <w:t xml:space="preserve">ESMA seems to describe the target market in a descriptive and detailed way, especially in the case studies. This is problematic because of the large number of financial instruments and the large number of </w:t>
      </w:r>
      <w:r w:rsidRPr="00C37F68">
        <w:lastRenderedPageBreak/>
        <w:t>market participants and does not consider the need for technical implementation of said measures.</w:t>
      </w:r>
    </w:p>
    <w:p w:rsidR="00120A2F" w:rsidRPr="00C37F68" w:rsidRDefault="00120A2F" w:rsidP="00545FF4">
      <w:pPr>
        <w:autoSpaceDE w:val="0"/>
        <w:autoSpaceDN w:val="0"/>
        <w:adjustRightInd w:val="0"/>
        <w:spacing w:before="120" w:line="264" w:lineRule="auto"/>
        <w:rPr>
          <w:rFonts w:cs="Calibri"/>
          <w:snapToGrid/>
          <w:lang w:val="de-AT"/>
        </w:rPr>
      </w:pPr>
      <w:r w:rsidRPr="00C37F68">
        <w:rPr>
          <w:rFonts w:cs="Calibri"/>
          <w:snapToGrid/>
          <w:lang w:val="de-AT"/>
        </w:rPr>
        <w:t xml:space="preserve">Going through the draft of the ESMA </w:t>
      </w:r>
      <w:r w:rsidR="00DE32B7" w:rsidRPr="00C37F68">
        <w:rPr>
          <w:rFonts w:cs="Calibri"/>
          <w:snapToGrid/>
          <w:lang w:val="de-AT"/>
        </w:rPr>
        <w:t>G</w:t>
      </w:r>
      <w:r w:rsidRPr="00C37F68">
        <w:rPr>
          <w:rFonts w:cs="Calibri"/>
          <w:snapToGrid/>
          <w:lang w:val="de-AT"/>
        </w:rPr>
        <w:t>uideline</w:t>
      </w:r>
      <w:r w:rsidR="00DE32B7" w:rsidRPr="00C37F68">
        <w:rPr>
          <w:rFonts w:cs="Calibri"/>
          <w:snapToGrid/>
          <w:lang w:val="de-AT"/>
        </w:rPr>
        <w:t>s</w:t>
      </w:r>
      <w:r w:rsidRPr="00C37F68">
        <w:rPr>
          <w:rFonts w:cs="Calibri"/>
          <w:snapToGrid/>
          <w:lang w:val="de-AT"/>
        </w:rPr>
        <w:t>, in our opinion a definition of the investment services</w:t>
      </w:r>
      <w:r w:rsidR="00780375">
        <w:rPr>
          <w:rFonts w:cs="Calibri"/>
          <w:snapToGrid/>
          <w:lang w:val="de-AT"/>
        </w:rPr>
        <w:t xml:space="preserve"> </w:t>
      </w:r>
      <w:r w:rsidRPr="00C37F68">
        <w:rPr>
          <w:rFonts w:cs="Calibri"/>
          <w:snapToGrid/>
          <w:lang w:val="de-AT"/>
        </w:rPr>
        <w:t>which are executed by the “distributor” is absolutely vital.</w:t>
      </w:r>
    </w:p>
    <w:p w:rsidR="00120A2F" w:rsidRPr="00C37F68" w:rsidRDefault="00120A2F" w:rsidP="00545FF4">
      <w:pPr>
        <w:autoSpaceDE w:val="0"/>
        <w:autoSpaceDN w:val="0"/>
        <w:adjustRightInd w:val="0"/>
        <w:spacing w:before="120" w:line="264" w:lineRule="auto"/>
        <w:rPr>
          <w:rFonts w:cs="Calibri"/>
          <w:snapToGrid/>
          <w:lang w:val="de-AT"/>
        </w:rPr>
      </w:pPr>
    </w:p>
    <w:p w:rsidR="00DE32B7" w:rsidRPr="002D17FF" w:rsidRDefault="00DE32B7" w:rsidP="00545FF4">
      <w:pPr>
        <w:pStyle w:val="Default"/>
        <w:widowControl/>
        <w:adjustRightInd/>
        <w:spacing w:before="120" w:line="264" w:lineRule="auto"/>
        <w:rPr>
          <w:rFonts w:ascii="Trebuchet MS" w:hAnsi="Trebuchet MS"/>
          <w:iCs/>
          <w:color w:val="auto"/>
          <w:sz w:val="22"/>
          <w:szCs w:val="22"/>
          <w:u w:val="single"/>
          <w:lang w:val="en-US"/>
        </w:rPr>
      </w:pPr>
      <w:r w:rsidRPr="002D17FF">
        <w:rPr>
          <w:rFonts w:ascii="Trebuchet MS" w:hAnsi="Trebuchet MS"/>
          <w:iCs/>
          <w:color w:val="auto"/>
          <w:sz w:val="22"/>
          <w:szCs w:val="22"/>
          <w:u w:val="single"/>
          <w:lang w:val="en-US"/>
        </w:rPr>
        <w:t>Annex 4 Illustrative examples and case studies related to the application of certain aspects of the guidelines</w:t>
      </w:r>
    </w:p>
    <w:p w:rsidR="00DE32B7" w:rsidRPr="002D17FF" w:rsidRDefault="00DE32B7" w:rsidP="00545FF4">
      <w:pPr>
        <w:pStyle w:val="Default"/>
        <w:spacing w:before="120" w:line="264" w:lineRule="auto"/>
        <w:rPr>
          <w:rFonts w:ascii="Trebuchet MS" w:hAnsi="Trebuchet MS"/>
          <w:iCs/>
          <w:color w:val="auto"/>
          <w:sz w:val="22"/>
          <w:szCs w:val="22"/>
          <w:lang w:val="en-US"/>
        </w:rPr>
      </w:pPr>
      <w:r w:rsidRPr="002D17FF">
        <w:rPr>
          <w:rFonts w:ascii="Trebuchet MS" w:hAnsi="Trebuchet MS"/>
          <w:iCs/>
          <w:color w:val="auto"/>
          <w:sz w:val="22"/>
          <w:szCs w:val="22"/>
          <w:lang w:val="en-US"/>
        </w:rPr>
        <w:t xml:space="preserve">The ESMA’s listed examples using a detailed narrative description of the target market definition could have counterproductive effects. We think that manufacturers and/or sellers would use their very specific ways of describing their products and defining a target market and so it may differ from manufacturer to manufacturer and from seller to seller and so after all in the whole European Union. We therefore recommend the ESMA to see these case studies as not compulsory but only as descriptive examples and not as part of the target market concept. </w:t>
      </w:r>
    </w:p>
    <w:p w:rsidR="00DE32B7" w:rsidRPr="002D17FF" w:rsidRDefault="00DE32B7" w:rsidP="00545FF4">
      <w:pPr>
        <w:spacing w:before="120" w:line="264" w:lineRule="auto"/>
        <w:rPr>
          <w:lang w:val="en-GB"/>
        </w:rPr>
      </w:pPr>
    </w:p>
    <w:p w:rsidR="00C84D8A" w:rsidRPr="00C37F68" w:rsidRDefault="00C66013" w:rsidP="00C37F68">
      <w:pPr>
        <w:spacing w:line="240" w:lineRule="auto"/>
        <w:rPr>
          <w:rFonts w:cs="Arial"/>
          <w:color w:val="000000"/>
          <w:lang w:val="en-GB" w:eastAsia="en-US"/>
        </w:rPr>
      </w:pPr>
      <w:r w:rsidRPr="00C37F68">
        <w:rPr>
          <w:rFonts w:cs="Arial"/>
          <w:color w:val="000000"/>
          <w:lang w:val="en-GB" w:eastAsia="en-US"/>
        </w:rPr>
        <w:t>We ask you to give our remarks du</w:t>
      </w:r>
      <w:r w:rsidR="00B960F5" w:rsidRPr="00C37F68">
        <w:rPr>
          <w:rFonts w:cs="Arial"/>
          <w:color w:val="000000"/>
          <w:lang w:val="en-GB" w:eastAsia="en-US"/>
        </w:rPr>
        <w:t>e consideration.</w:t>
      </w:r>
    </w:p>
    <w:p w:rsidR="00686189" w:rsidRPr="00C37F68" w:rsidRDefault="00686189" w:rsidP="00C37F68">
      <w:pPr>
        <w:spacing w:line="240" w:lineRule="auto"/>
        <w:rPr>
          <w:rFonts w:cs="Arial"/>
          <w:color w:val="000000"/>
          <w:lang w:val="en-GB" w:eastAsia="en-US"/>
        </w:rPr>
      </w:pPr>
    </w:p>
    <w:p w:rsidR="00C84D8A" w:rsidRPr="00C37F68" w:rsidRDefault="00686189" w:rsidP="00C37F68">
      <w:pPr>
        <w:spacing w:line="240" w:lineRule="auto"/>
        <w:rPr>
          <w:rFonts w:cs="Arial"/>
          <w:color w:val="000000"/>
          <w:lang w:val="en-GB" w:eastAsia="en-US"/>
        </w:rPr>
      </w:pPr>
      <w:r w:rsidRPr="00C37F68">
        <w:rPr>
          <w:rFonts w:cs="Arial"/>
          <w:color w:val="000000"/>
          <w:lang w:val="en-GB" w:eastAsia="en-US"/>
        </w:rPr>
        <w:t>Y</w:t>
      </w:r>
      <w:r w:rsidR="00C84D8A" w:rsidRPr="00C37F68">
        <w:rPr>
          <w:rFonts w:cs="Arial"/>
          <w:color w:val="000000"/>
          <w:lang w:val="en-GB" w:eastAsia="en-US"/>
        </w:rPr>
        <w:t xml:space="preserve">ours </w:t>
      </w:r>
      <w:r w:rsidR="004A01A9" w:rsidRPr="00C37F68">
        <w:rPr>
          <w:rFonts w:cs="Arial"/>
          <w:color w:val="000000"/>
          <w:lang w:val="en-GB" w:eastAsia="en-US"/>
        </w:rPr>
        <w:t>sincerely</w:t>
      </w:r>
      <w:r w:rsidR="00C84D8A" w:rsidRPr="00C37F68">
        <w:rPr>
          <w:rFonts w:cs="Arial"/>
          <w:color w:val="000000"/>
          <w:lang w:val="en-GB" w:eastAsia="en-US"/>
        </w:rPr>
        <w:t>,</w:t>
      </w:r>
    </w:p>
    <w:p w:rsidR="00F31CB0" w:rsidRPr="00767DA3" w:rsidRDefault="00F31CB0" w:rsidP="00CE5D6F">
      <w:pPr>
        <w:spacing w:line="240" w:lineRule="auto"/>
        <w:rPr>
          <w:rFonts w:cs="Arial"/>
          <w:color w:val="000000"/>
          <w:lang w:val="en-GB" w:eastAsia="en-US"/>
        </w:rPr>
      </w:pPr>
    </w:p>
    <w:p w:rsidR="00C84D8A" w:rsidRPr="00767DA3" w:rsidRDefault="00C84D8A" w:rsidP="00CE5D6F">
      <w:pPr>
        <w:spacing w:line="240" w:lineRule="auto"/>
        <w:rPr>
          <w:rFonts w:cs="Arial"/>
          <w:color w:val="000000"/>
          <w:lang w:val="en-GB" w:eastAsia="en-US"/>
        </w:rPr>
      </w:pPr>
      <w:r w:rsidRPr="00767DA3">
        <w:rPr>
          <w:rFonts w:cs="Arial"/>
          <w:color w:val="000000"/>
          <w:lang w:val="en-GB" w:eastAsia="en-US"/>
        </w:rPr>
        <w:t>Dr. Franz Rudorfer</w:t>
      </w:r>
    </w:p>
    <w:p w:rsidR="00C84D8A" w:rsidRPr="00767DA3" w:rsidRDefault="00C84D8A" w:rsidP="00CE5D6F">
      <w:pPr>
        <w:spacing w:line="240" w:lineRule="auto"/>
        <w:rPr>
          <w:rFonts w:cs="Arial"/>
          <w:color w:val="000000"/>
          <w:lang w:val="en-GB" w:eastAsia="en-US"/>
        </w:rPr>
      </w:pPr>
      <w:r w:rsidRPr="00767DA3">
        <w:rPr>
          <w:rFonts w:cs="Arial"/>
          <w:color w:val="000000"/>
          <w:lang w:val="en-GB" w:eastAsia="en-US"/>
        </w:rPr>
        <w:t>Managing Director</w:t>
      </w:r>
    </w:p>
    <w:p w:rsidR="005E1BA5" w:rsidRPr="00767DA3" w:rsidRDefault="00C84D8A" w:rsidP="00CE5D6F">
      <w:pPr>
        <w:spacing w:line="240" w:lineRule="auto"/>
        <w:rPr>
          <w:noProof/>
          <w:lang w:val="en-GB"/>
        </w:rPr>
      </w:pPr>
      <w:r w:rsidRPr="00767DA3">
        <w:rPr>
          <w:rFonts w:cs="Arial"/>
          <w:color w:val="000000"/>
          <w:lang w:val="en-GB" w:eastAsia="en-US"/>
        </w:rPr>
        <w:t>Division Bank and Insurance</w:t>
      </w:r>
    </w:p>
    <w:p w:rsidR="00346DF4" w:rsidRPr="007C2846" w:rsidRDefault="00346DF4" w:rsidP="00CE5D6F">
      <w:pPr>
        <w:spacing w:line="240" w:lineRule="auto"/>
        <w:rPr>
          <w:noProof/>
          <w:lang w:val="en-GB"/>
        </w:rPr>
      </w:pPr>
    </w:p>
    <w:sectPr w:rsidR="00346DF4" w:rsidRPr="007C2846" w:rsidSect="00F700E4">
      <w:headerReference w:type="default" r:id="rId8"/>
      <w:headerReference w:type="first" r:id="rId9"/>
      <w:pgSz w:w="11906" w:h="16838"/>
      <w:pgMar w:top="1701" w:right="851" w:bottom="1134" w:left="1418" w:header="708" w:footer="708"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12E3" w:rsidRDefault="00A912E3">
      <w:r>
        <w:separator/>
      </w:r>
    </w:p>
  </w:endnote>
  <w:endnote w:type="continuationSeparator" w:id="0">
    <w:p w:rsidR="00A912E3" w:rsidRDefault="00A91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2FF" w:usb1="0000FCFF" w:usb2="00000001" w:usb3="00000000" w:csb0="0000019F" w:csb1="00000000"/>
  </w:font>
  <w:font w:name="Calibri-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12E3" w:rsidRDefault="00A912E3">
      <w:r>
        <w:separator/>
      </w:r>
    </w:p>
  </w:footnote>
  <w:footnote w:type="continuationSeparator" w:id="0">
    <w:p w:rsidR="00A912E3" w:rsidRDefault="00A91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18E" w:rsidRDefault="0014018E">
    <w:pPr>
      <w:pStyle w:val="Kopfzeile"/>
      <w:jc w:val="center"/>
    </w:pPr>
    <w:r>
      <w:t xml:space="preserve">- </w:t>
    </w:r>
    <w:r w:rsidR="008D5D3B">
      <w:rPr>
        <w:rStyle w:val="Seitenzahl"/>
      </w:rPr>
      <w:fldChar w:fldCharType="begin"/>
    </w:r>
    <w:r>
      <w:rPr>
        <w:rStyle w:val="Seitenzahl"/>
      </w:rPr>
      <w:instrText xml:space="preserve"> PAGE </w:instrText>
    </w:r>
    <w:r w:rsidR="008D5D3B">
      <w:rPr>
        <w:rStyle w:val="Seitenzahl"/>
      </w:rPr>
      <w:fldChar w:fldCharType="separate"/>
    </w:r>
    <w:r w:rsidR="00171CBF">
      <w:rPr>
        <w:rStyle w:val="Seitenzahl"/>
        <w:noProof/>
      </w:rPr>
      <w:t>7</w:t>
    </w:r>
    <w:r w:rsidR="008D5D3B">
      <w:rPr>
        <w:rStyle w:val="Seitenzahl"/>
      </w:rPr>
      <w:fldChar w:fldCharType="end"/>
    </w:r>
    <w:r>
      <w:rPr>
        <w:rStyle w:val="Seitenzah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18E" w:rsidRDefault="0014018E">
    <w:pPr>
      <w:pStyle w:val="Kopfzeile"/>
      <w:jc w:val="right"/>
    </w:pPr>
    <w:r>
      <w:rPr>
        <w:noProof/>
        <w:snapToGrid/>
        <w:lang w:val="de-AT"/>
      </w:rPr>
      <w:drawing>
        <wp:anchor distT="0" distB="0" distL="114300" distR="114300" simplePos="0" relativeHeight="251657728" behindDoc="0" locked="1" layoutInCell="0" allowOverlap="1">
          <wp:simplePos x="0" y="0"/>
          <wp:positionH relativeFrom="page">
            <wp:posOffset>4859655</wp:posOffset>
          </wp:positionH>
          <wp:positionV relativeFrom="page">
            <wp:posOffset>197485</wp:posOffset>
          </wp:positionV>
          <wp:extent cx="2210435" cy="861695"/>
          <wp:effectExtent l="19050" t="0" r="0" b="0"/>
          <wp:wrapTopAndBottom/>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210435" cy="86169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D7379"/>
    <w:multiLevelType w:val="hybridMultilevel"/>
    <w:tmpl w:val="21AAB92E"/>
    <w:lvl w:ilvl="0" w:tplc="0C070001">
      <w:start w:val="1"/>
      <w:numFmt w:val="bullet"/>
      <w:lvlText w:val=""/>
      <w:lvlJc w:val="left"/>
      <w:pPr>
        <w:ind w:left="720" w:hanging="360"/>
      </w:pPr>
      <w:rPr>
        <w:rFonts w:ascii="Symbol" w:hAnsi="Symbol"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062F63C5"/>
    <w:multiLevelType w:val="hybridMultilevel"/>
    <w:tmpl w:val="758CF3B8"/>
    <w:lvl w:ilvl="0" w:tplc="42760B6C">
      <w:start w:val="1"/>
      <w:numFmt w:val="bullet"/>
      <w:lvlText w:val="-"/>
      <w:lvlJc w:val="left"/>
      <w:pPr>
        <w:ind w:left="1080" w:hanging="360"/>
      </w:pPr>
      <w:rPr>
        <w:rFonts w:ascii="Arial" w:eastAsia="Calibri" w:hAnsi="Arial" w:cs="Aria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2" w15:restartNumberingAfterBreak="0">
    <w:nsid w:val="0AF578A7"/>
    <w:multiLevelType w:val="hybridMultilevel"/>
    <w:tmpl w:val="A74EFC70"/>
    <w:lvl w:ilvl="0" w:tplc="719E4B78">
      <w:start w:val="1"/>
      <w:numFmt w:val="bullet"/>
      <w:lvlText w:val="-"/>
      <w:lvlJc w:val="left"/>
      <w:pPr>
        <w:ind w:left="1080" w:hanging="360"/>
      </w:pPr>
      <w:rPr>
        <w:rFonts w:ascii="Arial" w:eastAsia="Calibri" w:hAnsi="Arial" w:cs="Aria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3" w15:restartNumberingAfterBreak="0">
    <w:nsid w:val="0E8D70F6"/>
    <w:multiLevelType w:val="hybridMultilevel"/>
    <w:tmpl w:val="94E20B0E"/>
    <w:lvl w:ilvl="0" w:tplc="0C070013">
      <w:start w:val="1"/>
      <w:numFmt w:val="upperRoman"/>
      <w:lvlText w:val="%1."/>
      <w:lvlJc w:val="righ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16880E9B"/>
    <w:multiLevelType w:val="hybridMultilevel"/>
    <w:tmpl w:val="19B0B4CA"/>
    <w:lvl w:ilvl="0" w:tplc="1CD2FC34">
      <w:start w:val="1"/>
      <w:numFmt w:val="upperLetter"/>
      <w:lvlText w:val="%1."/>
      <w:lvlJc w:val="left"/>
      <w:pPr>
        <w:ind w:left="720" w:hanging="360"/>
      </w:pPr>
      <w:rPr>
        <w:rFonts w:ascii="Trebuchet MS" w:eastAsiaTheme="minorHAnsi" w:hAnsi="Trebuchet MS" w:cs="Arial" w:hint="default"/>
        <w:u w:val="single"/>
        <w:lang w:val="en-GB"/>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1ABC437B"/>
    <w:multiLevelType w:val="hybridMultilevel"/>
    <w:tmpl w:val="0340032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1D003BED"/>
    <w:multiLevelType w:val="hybridMultilevel"/>
    <w:tmpl w:val="6A6293A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20510C88"/>
    <w:multiLevelType w:val="hybridMultilevel"/>
    <w:tmpl w:val="BAFAAA72"/>
    <w:lvl w:ilvl="0" w:tplc="2A10F854">
      <w:numFmt w:val="bullet"/>
      <w:lvlText w:val="-"/>
      <w:lvlJc w:val="left"/>
      <w:pPr>
        <w:ind w:left="360" w:hanging="360"/>
      </w:pPr>
      <w:rPr>
        <w:rFonts w:ascii="Arial" w:eastAsia="Times New Roman" w:hAnsi="Arial" w:cs="Times New Roman" w:hint="default"/>
      </w:rPr>
    </w:lvl>
    <w:lvl w:ilvl="1" w:tplc="0C070003">
      <w:start w:val="1"/>
      <w:numFmt w:val="bullet"/>
      <w:lvlText w:val="o"/>
      <w:lvlJc w:val="left"/>
      <w:pPr>
        <w:ind w:left="1080" w:hanging="360"/>
      </w:pPr>
      <w:rPr>
        <w:rFonts w:ascii="Courier New" w:hAnsi="Courier New" w:cs="Times New Roman" w:hint="default"/>
      </w:rPr>
    </w:lvl>
    <w:lvl w:ilvl="2" w:tplc="0C070005">
      <w:start w:val="1"/>
      <w:numFmt w:val="bullet"/>
      <w:lvlText w:val=""/>
      <w:lvlJc w:val="left"/>
      <w:pPr>
        <w:ind w:left="1800" w:hanging="360"/>
      </w:pPr>
      <w:rPr>
        <w:rFonts w:ascii="Wingdings" w:hAnsi="Wingdings" w:hint="default"/>
      </w:rPr>
    </w:lvl>
    <w:lvl w:ilvl="3" w:tplc="0C070001">
      <w:start w:val="1"/>
      <w:numFmt w:val="bullet"/>
      <w:lvlText w:val=""/>
      <w:lvlJc w:val="left"/>
      <w:pPr>
        <w:ind w:left="2520" w:hanging="360"/>
      </w:pPr>
      <w:rPr>
        <w:rFonts w:ascii="Symbol" w:hAnsi="Symbol" w:hint="default"/>
      </w:rPr>
    </w:lvl>
    <w:lvl w:ilvl="4" w:tplc="0C070003">
      <w:start w:val="1"/>
      <w:numFmt w:val="bullet"/>
      <w:lvlText w:val="o"/>
      <w:lvlJc w:val="left"/>
      <w:pPr>
        <w:ind w:left="3240" w:hanging="360"/>
      </w:pPr>
      <w:rPr>
        <w:rFonts w:ascii="Courier New" w:hAnsi="Courier New" w:cs="Times New Roman" w:hint="default"/>
      </w:rPr>
    </w:lvl>
    <w:lvl w:ilvl="5" w:tplc="0C070005">
      <w:start w:val="1"/>
      <w:numFmt w:val="bullet"/>
      <w:lvlText w:val=""/>
      <w:lvlJc w:val="left"/>
      <w:pPr>
        <w:ind w:left="3960" w:hanging="360"/>
      </w:pPr>
      <w:rPr>
        <w:rFonts w:ascii="Wingdings" w:hAnsi="Wingdings" w:hint="default"/>
      </w:rPr>
    </w:lvl>
    <w:lvl w:ilvl="6" w:tplc="0C070001">
      <w:start w:val="1"/>
      <w:numFmt w:val="bullet"/>
      <w:lvlText w:val=""/>
      <w:lvlJc w:val="left"/>
      <w:pPr>
        <w:ind w:left="4680" w:hanging="360"/>
      </w:pPr>
      <w:rPr>
        <w:rFonts w:ascii="Symbol" w:hAnsi="Symbol" w:hint="default"/>
      </w:rPr>
    </w:lvl>
    <w:lvl w:ilvl="7" w:tplc="0C070003">
      <w:start w:val="1"/>
      <w:numFmt w:val="bullet"/>
      <w:lvlText w:val="o"/>
      <w:lvlJc w:val="left"/>
      <w:pPr>
        <w:ind w:left="5400" w:hanging="360"/>
      </w:pPr>
      <w:rPr>
        <w:rFonts w:ascii="Courier New" w:hAnsi="Courier New" w:cs="Times New Roman" w:hint="default"/>
      </w:rPr>
    </w:lvl>
    <w:lvl w:ilvl="8" w:tplc="0C070005">
      <w:start w:val="1"/>
      <w:numFmt w:val="bullet"/>
      <w:lvlText w:val=""/>
      <w:lvlJc w:val="left"/>
      <w:pPr>
        <w:ind w:left="6120" w:hanging="360"/>
      </w:pPr>
      <w:rPr>
        <w:rFonts w:ascii="Wingdings" w:hAnsi="Wingdings" w:hint="default"/>
      </w:rPr>
    </w:lvl>
  </w:abstractNum>
  <w:abstractNum w:abstractNumId="8" w15:restartNumberingAfterBreak="0">
    <w:nsid w:val="21FB435A"/>
    <w:multiLevelType w:val="hybridMultilevel"/>
    <w:tmpl w:val="430A2FC0"/>
    <w:lvl w:ilvl="0" w:tplc="C558677A">
      <w:start w:val="1"/>
      <w:numFmt w:val="bullet"/>
      <w:lvlText w:val=""/>
      <w:lvlJc w:val="left"/>
      <w:pPr>
        <w:ind w:left="360" w:hanging="360"/>
      </w:pPr>
      <w:rPr>
        <w:rFonts w:ascii="Symbol" w:hAnsi="Symbol" w:hint="default"/>
      </w:rPr>
    </w:lvl>
    <w:lvl w:ilvl="1" w:tplc="0C070003">
      <w:start w:val="1"/>
      <w:numFmt w:val="bullet"/>
      <w:lvlText w:val="o"/>
      <w:lvlJc w:val="left"/>
      <w:pPr>
        <w:ind w:left="1080" w:hanging="360"/>
      </w:pPr>
      <w:rPr>
        <w:rFonts w:ascii="Courier New" w:hAnsi="Courier New" w:cs="Courier New" w:hint="default"/>
      </w:rPr>
    </w:lvl>
    <w:lvl w:ilvl="2" w:tplc="0C070005">
      <w:start w:val="1"/>
      <w:numFmt w:val="bullet"/>
      <w:lvlText w:val=""/>
      <w:lvlJc w:val="left"/>
      <w:pPr>
        <w:ind w:left="1800" w:hanging="360"/>
      </w:pPr>
      <w:rPr>
        <w:rFonts w:ascii="Wingdings" w:hAnsi="Wingdings" w:hint="default"/>
      </w:rPr>
    </w:lvl>
    <w:lvl w:ilvl="3" w:tplc="0C070001">
      <w:start w:val="1"/>
      <w:numFmt w:val="bullet"/>
      <w:lvlText w:val=""/>
      <w:lvlJc w:val="left"/>
      <w:pPr>
        <w:ind w:left="2520" w:hanging="360"/>
      </w:pPr>
      <w:rPr>
        <w:rFonts w:ascii="Symbol" w:hAnsi="Symbol" w:hint="default"/>
      </w:rPr>
    </w:lvl>
    <w:lvl w:ilvl="4" w:tplc="0C070003">
      <w:start w:val="1"/>
      <w:numFmt w:val="bullet"/>
      <w:lvlText w:val="o"/>
      <w:lvlJc w:val="left"/>
      <w:pPr>
        <w:ind w:left="3240" w:hanging="360"/>
      </w:pPr>
      <w:rPr>
        <w:rFonts w:ascii="Courier New" w:hAnsi="Courier New" w:cs="Courier New" w:hint="default"/>
      </w:rPr>
    </w:lvl>
    <w:lvl w:ilvl="5" w:tplc="0C070005">
      <w:start w:val="1"/>
      <w:numFmt w:val="bullet"/>
      <w:lvlText w:val=""/>
      <w:lvlJc w:val="left"/>
      <w:pPr>
        <w:ind w:left="3960" w:hanging="360"/>
      </w:pPr>
      <w:rPr>
        <w:rFonts w:ascii="Wingdings" w:hAnsi="Wingdings" w:hint="default"/>
      </w:rPr>
    </w:lvl>
    <w:lvl w:ilvl="6" w:tplc="0C070001">
      <w:start w:val="1"/>
      <w:numFmt w:val="bullet"/>
      <w:lvlText w:val=""/>
      <w:lvlJc w:val="left"/>
      <w:pPr>
        <w:ind w:left="4680" w:hanging="360"/>
      </w:pPr>
      <w:rPr>
        <w:rFonts w:ascii="Symbol" w:hAnsi="Symbol" w:hint="default"/>
      </w:rPr>
    </w:lvl>
    <w:lvl w:ilvl="7" w:tplc="0C070003">
      <w:start w:val="1"/>
      <w:numFmt w:val="bullet"/>
      <w:lvlText w:val="o"/>
      <w:lvlJc w:val="left"/>
      <w:pPr>
        <w:ind w:left="5400" w:hanging="360"/>
      </w:pPr>
      <w:rPr>
        <w:rFonts w:ascii="Courier New" w:hAnsi="Courier New" w:cs="Courier New" w:hint="default"/>
      </w:rPr>
    </w:lvl>
    <w:lvl w:ilvl="8" w:tplc="0C070005">
      <w:start w:val="1"/>
      <w:numFmt w:val="bullet"/>
      <w:lvlText w:val=""/>
      <w:lvlJc w:val="left"/>
      <w:pPr>
        <w:ind w:left="6120" w:hanging="360"/>
      </w:pPr>
      <w:rPr>
        <w:rFonts w:ascii="Wingdings" w:hAnsi="Wingdings" w:hint="default"/>
      </w:rPr>
    </w:lvl>
  </w:abstractNum>
  <w:abstractNum w:abstractNumId="9" w15:restartNumberingAfterBreak="0">
    <w:nsid w:val="25920B5A"/>
    <w:multiLevelType w:val="hybridMultilevel"/>
    <w:tmpl w:val="458C926E"/>
    <w:lvl w:ilvl="0" w:tplc="15FEF840">
      <w:numFmt w:val="bullet"/>
      <w:lvlText w:val="-"/>
      <w:lvlJc w:val="left"/>
      <w:pPr>
        <w:ind w:left="1776" w:hanging="360"/>
      </w:pPr>
      <w:rPr>
        <w:rFonts w:ascii="Arial" w:eastAsia="Calibri" w:hAnsi="Arial" w:cs="Arial" w:hint="default"/>
      </w:rPr>
    </w:lvl>
    <w:lvl w:ilvl="1" w:tplc="0C070003" w:tentative="1">
      <w:start w:val="1"/>
      <w:numFmt w:val="bullet"/>
      <w:lvlText w:val="o"/>
      <w:lvlJc w:val="left"/>
      <w:pPr>
        <w:ind w:left="2496" w:hanging="360"/>
      </w:pPr>
      <w:rPr>
        <w:rFonts w:ascii="Courier New" w:hAnsi="Courier New" w:cs="Courier New" w:hint="default"/>
      </w:rPr>
    </w:lvl>
    <w:lvl w:ilvl="2" w:tplc="0C070005" w:tentative="1">
      <w:start w:val="1"/>
      <w:numFmt w:val="bullet"/>
      <w:lvlText w:val=""/>
      <w:lvlJc w:val="left"/>
      <w:pPr>
        <w:ind w:left="3216" w:hanging="360"/>
      </w:pPr>
      <w:rPr>
        <w:rFonts w:ascii="Wingdings" w:hAnsi="Wingdings" w:hint="default"/>
      </w:rPr>
    </w:lvl>
    <w:lvl w:ilvl="3" w:tplc="0C070001" w:tentative="1">
      <w:start w:val="1"/>
      <w:numFmt w:val="bullet"/>
      <w:lvlText w:val=""/>
      <w:lvlJc w:val="left"/>
      <w:pPr>
        <w:ind w:left="3936" w:hanging="360"/>
      </w:pPr>
      <w:rPr>
        <w:rFonts w:ascii="Symbol" w:hAnsi="Symbol" w:hint="default"/>
      </w:rPr>
    </w:lvl>
    <w:lvl w:ilvl="4" w:tplc="0C070003" w:tentative="1">
      <w:start w:val="1"/>
      <w:numFmt w:val="bullet"/>
      <w:lvlText w:val="o"/>
      <w:lvlJc w:val="left"/>
      <w:pPr>
        <w:ind w:left="4656" w:hanging="360"/>
      </w:pPr>
      <w:rPr>
        <w:rFonts w:ascii="Courier New" w:hAnsi="Courier New" w:cs="Courier New" w:hint="default"/>
      </w:rPr>
    </w:lvl>
    <w:lvl w:ilvl="5" w:tplc="0C070005" w:tentative="1">
      <w:start w:val="1"/>
      <w:numFmt w:val="bullet"/>
      <w:lvlText w:val=""/>
      <w:lvlJc w:val="left"/>
      <w:pPr>
        <w:ind w:left="5376" w:hanging="360"/>
      </w:pPr>
      <w:rPr>
        <w:rFonts w:ascii="Wingdings" w:hAnsi="Wingdings" w:hint="default"/>
      </w:rPr>
    </w:lvl>
    <w:lvl w:ilvl="6" w:tplc="0C070001" w:tentative="1">
      <w:start w:val="1"/>
      <w:numFmt w:val="bullet"/>
      <w:lvlText w:val=""/>
      <w:lvlJc w:val="left"/>
      <w:pPr>
        <w:ind w:left="6096" w:hanging="360"/>
      </w:pPr>
      <w:rPr>
        <w:rFonts w:ascii="Symbol" w:hAnsi="Symbol" w:hint="default"/>
      </w:rPr>
    </w:lvl>
    <w:lvl w:ilvl="7" w:tplc="0C070003" w:tentative="1">
      <w:start w:val="1"/>
      <w:numFmt w:val="bullet"/>
      <w:lvlText w:val="o"/>
      <w:lvlJc w:val="left"/>
      <w:pPr>
        <w:ind w:left="6816" w:hanging="360"/>
      </w:pPr>
      <w:rPr>
        <w:rFonts w:ascii="Courier New" w:hAnsi="Courier New" w:cs="Courier New" w:hint="default"/>
      </w:rPr>
    </w:lvl>
    <w:lvl w:ilvl="8" w:tplc="0C070005" w:tentative="1">
      <w:start w:val="1"/>
      <w:numFmt w:val="bullet"/>
      <w:lvlText w:val=""/>
      <w:lvlJc w:val="left"/>
      <w:pPr>
        <w:ind w:left="7536" w:hanging="360"/>
      </w:pPr>
      <w:rPr>
        <w:rFonts w:ascii="Wingdings" w:hAnsi="Wingdings" w:hint="default"/>
      </w:rPr>
    </w:lvl>
  </w:abstractNum>
  <w:abstractNum w:abstractNumId="10" w15:restartNumberingAfterBreak="0">
    <w:nsid w:val="2E7B5DE9"/>
    <w:multiLevelType w:val="hybridMultilevel"/>
    <w:tmpl w:val="12188C80"/>
    <w:lvl w:ilvl="0" w:tplc="2A10F854">
      <w:numFmt w:val="bullet"/>
      <w:lvlText w:val="-"/>
      <w:lvlJc w:val="left"/>
      <w:pPr>
        <w:ind w:left="360" w:hanging="360"/>
      </w:pPr>
      <w:rPr>
        <w:rFonts w:ascii="Arial" w:eastAsia="Times New Roman" w:hAnsi="Arial" w:cs="Times New Roman" w:hint="default"/>
      </w:rPr>
    </w:lvl>
    <w:lvl w:ilvl="1" w:tplc="0C070003">
      <w:start w:val="1"/>
      <w:numFmt w:val="bullet"/>
      <w:lvlText w:val="o"/>
      <w:lvlJc w:val="left"/>
      <w:pPr>
        <w:ind w:left="1080" w:hanging="360"/>
      </w:pPr>
      <w:rPr>
        <w:rFonts w:ascii="Courier New" w:hAnsi="Courier New" w:cs="Times New Roman" w:hint="default"/>
      </w:rPr>
    </w:lvl>
    <w:lvl w:ilvl="2" w:tplc="0C070005">
      <w:start w:val="1"/>
      <w:numFmt w:val="bullet"/>
      <w:lvlText w:val=""/>
      <w:lvlJc w:val="left"/>
      <w:pPr>
        <w:ind w:left="1800" w:hanging="360"/>
      </w:pPr>
      <w:rPr>
        <w:rFonts w:ascii="Wingdings" w:hAnsi="Wingdings" w:hint="default"/>
      </w:rPr>
    </w:lvl>
    <w:lvl w:ilvl="3" w:tplc="0C070001">
      <w:start w:val="1"/>
      <w:numFmt w:val="bullet"/>
      <w:lvlText w:val=""/>
      <w:lvlJc w:val="left"/>
      <w:pPr>
        <w:ind w:left="2520" w:hanging="360"/>
      </w:pPr>
      <w:rPr>
        <w:rFonts w:ascii="Symbol" w:hAnsi="Symbol" w:hint="default"/>
      </w:rPr>
    </w:lvl>
    <w:lvl w:ilvl="4" w:tplc="0C070003">
      <w:start w:val="1"/>
      <w:numFmt w:val="bullet"/>
      <w:lvlText w:val="o"/>
      <w:lvlJc w:val="left"/>
      <w:pPr>
        <w:ind w:left="3240" w:hanging="360"/>
      </w:pPr>
      <w:rPr>
        <w:rFonts w:ascii="Courier New" w:hAnsi="Courier New" w:cs="Times New Roman" w:hint="default"/>
      </w:rPr>
    </w:lvl>
    <w:lvl w:ilvl="5" w:tplc="0C070005">
      <w:start w:val="1"/>
      <w:numFmt w:val="bullet"/>
      <w:lvlText w:val=""/>
      <w:lvlJc w:val="left"/>
      <w:pPr>
        <w:ind w:left="3960" w:hanging="360"/>
      </w:pPr>
      <w:rPr>
        <w:rFonts w:ascii="Wingdings" w:hAnsi="Wingdings" w:hint="default"/>
      </w:rPr>
    </w:lvl>
    <w:lvl w:ilvl="6" w:tplc="0C070001">
      <w:start w:val="1"/>
      <w:numFmt w:val="bullet"/>
      <w:lvlText w:val=""/>
      <w:lvlJc w:val="left"/>
      <w:pPr>
        <w:ind w:left="4680" w:hanging="360"/>
      </w:pPr>
      <w:rPr>
        <w:rFonts w:ascii="Symbol" w:hAnsi="Symbol" w:hint="default"/>
      </w:rPr>
    </w:lvl>
    <w:lvl w:ilvl="7" w:tplc="0C070003">
      <w:start w:val="1"/>
      <w:numFmt w:val="bullet"/>
      <w:lvlText w:val="o"/>
      <w:lvlJc w:val="left"/>
      <w:pPr>
        <w:ind w:left="5400" w:hanging="360"/>
      </w:pPr>
      <w:rPr>
        <w:rFonts w:ascii="Courier New" w:hAnsi="Courier New" w:cs="Times New Roman" w:hint="default"/>
      </w:rPr>
    </w:lvl>
    <w:lvl w:ilvl="8" w:tplc="0C070005">
      <w:start w:val="1"/>
      <w:numFmt w:val="bullet"/>
      <w:lvlText w:val=""/>
      <w:lvlJc w:val="left"/>
      <w:pPr>
        <w:ind w:left="6120" w:hanging="360"/>
      </w:pPr>
      <w:rPr>
        <w:rFonts w:ascii="Wingdings" w:hAnsi="Wingdings" w:hint="default"/>
      </w:rPr>
    </w:lvl>
  </w:abstractNum>
  <w:abstractNum w:abstractNumId="11" w15:restartNumberingAfterBreak="0">
    <w:nsid w:val="2F7E33E9"/>
    <w:multiLevelType w:val="hybridMultilevel"/>
    <w:tmpl w:val="AE08DDC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 w15:restartNumberingAfterBreak="0">
    <w:nsid w:val="38D75D37"/>
    <w:multiLevelType w:val="hybridMultilevel"/>
    <w:tmpl w:val="A6160BC2"/>
    <w:lvl w:ilvl="0" w:tplc="0C07000B">
      <w:start w:val="1"/>
      <w:numFmt w:val="bullet"/>
      <w:lvlText w:val=""/>
      <w:lvlJc w:val="left"/>
      <w:pPr>
        <w:ind w:left="360" w:hanging="360"/>
      </w:pPr>
      <w:rPr>
        <w:rFonts w:ascii="Wingdings" w:hAnsi="Wingdings" w:hint="default"/>
      </w:rPr>
    </w:lvl>
    <w:lvl w:ilvl="1" w:tplc="0C070003">
      <w:start w:val="1"/>
      <w:numFmt w:val="bullet"/>
      <w:lvlText w:val="o"/>
      <w:lvlJc w:val="left"/>
      <w:pPr>
        <w:ind w:left="1080" w:hanging="360"/>
      </w:pPr>
      <w:rPr>
        <w:rFonts w:ascii="Courier New" w:hAnsi="Courier New" w:cs="Times New Roman" w:hint="default"/>
      </w:rPr>
    </w:lvl>
    <w:lvl w:ilvl="2" w:tplc="0C070005">
      <w:start w:val="1"/>
      <w:numFmt w:val="bullet"/>
      <w:lvlText w:val=""/>
      <w:lvlJc w:val="left"/>
      <w:pPr>
        <w:ind w:left="1800" w:hanging="360"/>
      </w:pPr>
      <w:rPr>
        <w:rFonts w:ascii="Wingdings" w:hAnsi="Wingdings" w:hint="default"/>
      </w:rPr>
    </w:lvl>
    <w:lvl w:ilvl="3" w:tplc="0C070001">
      <w:start w:val="1"/>
      <w:numFmt w:val="bullet"/>
      <w:lvlText w:val=""/>
      <w:lvlJc w:val="left"/>
      <w:pPr>
        <w:ind w:left="2520" w:hanging="360"/>
      </w:pPr>
      <w:rPr>
        <w:rFonts w:ascii="Symbol" w:hAnsi="Symbol" w:hint="default"/>
      </w:rPr>
    </w:lvl>
    <w:lvl w:ilvl="4" w:tplc="0C070003">
      <w:start w:val="1"/>
      <w:numFmt w:val="bullet"/>
      <w:lvlText w:val="o"/>
      <w:lvlJc w:val="left"/>
      <w:pPr>
        <w:ind w:left="3240" w:hanging="360"/>
      </w:pPr>
      <w:rPr>
        <w:rFonts w:ascii="Courier New" w:hAnsi="Courier New" w:cs="Times New Roman" w:hint="default"/>
      </w:rPr>
    </w:lvl>
    <w:lvl w:ilvl="5" w:tplc="0C070005">
      <w:start w:val="1"/>
      <w:numFmt w:val="bullet"/>
      <w:lvlText w:val=""/>
      <w:lvlJc w:val="left"/>
      <w:pPr>
        <w:ind w:left="3960" w:hanging="360"/>
      </w:pPr>
      <w:rPr>
        <w:rFonts w:ascii="Wingdings" w:hAnsi="Wingdings" w:hint="default"/>
      </w:rPr>
    </w:lvl>
    <w:lvl w:ilvl="6" w:tplc="0C070001">
      <w:start w:val="1"/>
      <w:numFmt w:val="bullet"/>
      <w:lvlText w:val=""/>
      <w:lvlJc w:val="left"/>
      <w:pPr>
        <w:ind w:left="4680" w:hanging="360"/>
      </w:pPr>
      <w:rPr>
        <w:rFonts w:ascii="Symbol" w:hAnsi="Symbol" w:hint="default"/>
      </w:rPr>
    </w:lvl>
    <w:lvl w:ilvl="7" w:tplc="0C070003">
      <w:start w:val="1"/>
      <w:numFmt w:val="bullet"/>
      <w:lvlText w:val="o"/>
      <w:lvlJc w:val="left"/>
      <w:pPr>
        <w:ind w:left="5400" w:hanging="360"/>
      </w:pPr>
      <w:rPr>
        <w:rFonts w:ascii="Courier New" w:hAnsi="Courier New" w:cs="Times New Roman" w:hint="default"/>
      </w:rPr>
    </w:lvl>
    <w:lvl w:ilvl="8" w:tplc="0C070005">
      <w:start w:val="1"/>
      <w:numFmt w:val="bullet"/>
      <w:lvlText w:val=""/>
      <w:lvlJc w:val="left"/>
      <w:pPr>
        <w:ind w:left="6120" w:hanging="360"/>
      </w:pPr>
      <w:rPr>
        <w:rFonts w:ascii="Wingdings" w:hAnsi="Wingdings" w:hint="default"/>
      </w:rPr>
    </w:lvl>
  </w:abstractNum>
  <w:abstractNum w:abstractNumId="13" w15:restartNumberingAfterBreak="0">
    <w:nsid w:val="3B781890"/>
    <w:multiLevelType w:val="hybridMultilevel"/>
    <w:tmpl w:val="EC4CBD48"/>
    <w:lvl w:ilvl="0" w:tplc="0C070001">
      <w:start w:val="1"/>
      <w:numFmt w:val="bullet"/>
      <w:lvlText w:val=""/>
      <w:lvlJc w:val="left"/>
      <w:pPr>
        <w:ind w:left="1428" w:hanging="360"/>
      </w:pPr>
      <w:rPr>
        <w:rFonts w:ascii="Symbol" w:hAnsi="Symbol" w:hint="default"/>
      </w:rPr>
    </w:lvl>
    <w:lvl w:ilvl="1" w:tplc="0C070003">
      <w:start w:val="1"/>
      <w:numFmt w:val="bullet"/>
      <w:lvlText w:val="o"/>
      <w:lvlJc w:val="left"/>
      <w:pPr>
        <w:ind w:left="2148" w:hanging="360"/>
      </w:pPr>
      <w:rPr>
        <w:rFonts w:ascii="Courier New" w:hAnsi="Courier New" w:cs="Courier New" w:hint="default"/>
      </w:rPr>
    </w:lvl>
    <w:lvl w:ilvl="2" w:tplc="0C070005">
      <w:start w:val="1"/>
      <w:numFmt w:val="bullet"/>
      <w:lvlText w:val=""/>
      <w:lvlJc w:val="left"/>
      <w:pPr>
        <w:ind w:left="2868" w:hanging="360"/>
      </w:pPr>
      <w:rPr>
        <w:rFonts w:ascii="Wingdings" w:hAnsi="Wingdings" w:hint="default"/>
      </w:rPr>
    </w:lvl>
    <w:lvl w:ilvl="3" w:tplc="0C070001">
      <w:start w:val="1"/>
      <w:numFmt w:val="bullet"/>
      <w:lvlText w:val=""/>
      <w:lvlJc w:val="left"/>
      <w:pPr>
        <w:ind w:left="3588" w:hanging="360"/>
      </w:pPr>
      <w:rPr>
        <w:rFonts w:ascii="Symbol" w:hAnsi="Symbol" w:hint="default"/>
      </w:rPr>
    </w:lvl>
    <w:lvl w:ilvl="4" w:tplc="0C070003">
      <w:start w:val="1"/>
      <w:numFmt w:val="bullet"/>
      <w:lvlText w:val="o"/>
      <w:lvlJc w:val="left"/>
      <w:pPr>
        <w:ind w:left="4308" w:hanging="360"/>
      </w:pPr>
      <w:rPr>
        <w:rFonts w:ascii="Courier New" w:hAnsi="Courier New" w:cs="Courier New" w:hint="default"/>
      </w:rPr>
    </w:lvl>
    <w:lvl w:ilvl="5" w:tplc="0C070005">
      <w:start w:val="1"/>
      <w:numFmt w:val="bullet"/>
      <w:lvlText w:val=""/>
      <w:lvlJc w:val="left"/>
      <w:pPr>
        <w:ind w:left="5028" w:hanging="360"/>
      </w:pPr>
      <w:rPr>
        <w:rFonts w:ascii="Wingdings" w:hAnsi="Wingdings" w:hint="default"/>
      </w:rPr>
    </w:lvl>
    <w:lvl w:ilvl="6" w:tplc="0C070001">
      <w:start w:val="1"/>
      <w:numFmt w:val="bullet"/>
      <w:lvlText w:val=""/>
      <w:lvlJc w:val="left"/>
      <w:pPr>
        <w:ind w:left="5748" w:hanging="360"/>
      </w:pPr>
      <w:rPr>
        <w:rFonts w:ascii="Symbol" w:hAnsi="Symbol" w:hint="default"/>
      </w:rPr>
    </w:lvl>
    <w:lvl w:ilvl="7" w:tplc="0C070003">
      <w:start w:val="1"/>
      <w:numFmt w:val="bullet"/>
      <w:lvlText w:val="o"/>
      <w:lvlJc w:val="left"/>
      <w:pPr>
        <w:ind w:left="6468" w:hanging="360"/>
      </w:pPr>
      <w:rPr>
        <w:rFonts w:ascii="Courier New" w:hAnsi="Courier New" w:cs="Courier New" w:hint="default"/>
      </w:rPr>
    </w:lvl>
    <w:lvl w:ilvl="8" w:tplc="0C070005">
      <w:start w:val="1"/>
      <w:numFmt w:val="bullet"/>
      <w:lvlText w:val=""/>
      <w:lvlJc w:val="left"/>
      <w:pPr>
        <w:ind w:left="7188" w:hanging="360"/>
      </w:pPr>
      <w:rPr>
        <w:rFonts w:ascii="Wingdings" w:hAnsi="Wingdings" w:hint="default"/>
      </w:rPr>
    </w:lvl>
  </w:abstractNum>
  <w:abstractNum w:abstractNumId="14" w15:restartNumberingAfterBreak="0">
    <w:nsid w:val="46A97C8C"/>
    <w:multiLevelType w:val="hybridMultilevel"/>
    <w:tmpl w:val="A09AD710"/>
    <w:lvl w:ilvl="0" w:tplc="04070001">
      <w:start w:val="1"/>
      <w:numFmt w:val="bullet"/>
      <w:lvlText w:val=""/>
      <w:lvlJc w:val="left"/>
      <w:pPr>
        <w:ind w:left="36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5" w15:restartNumberingAfterBreak="0">
    <w:nsid w:val="48D71814"/>
    <w:multiLevelType w:val="hybridMultilevel"/>
    <w:tmpl w:val="FD02C0A0"/>
    <w:lvl w:ilvl="0" w:tplc="2B72F944">
      <w:start w:val="2"/>
      <w:numFmt w:val="bullet"/>
      <w:lvlText w:val="-"/>
      <w:lvlJc w:val="left"/>
      <w:pPr>
        <w:ind w:left="720" w:hanging="360"/>
      </w:pPr>
      <w:rPr>
        <w:rFonts w:ascii="Times New Roman" w:eastAsia="Times New Roman" w:hAnsi="Times New Roman"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4B0135A3"/>
    <w:multiLevelType w:val="hybridMultilevel"/>
    <w:tmpl w:val="FACE7CFC"/>
    <w:lvl w:ilvl="0" w:tplc="E57EB9E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20774A"/>
    <w:multiLevelType w:val="hybridMultilevel"/>
    <w:tmpl w:val="6160230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51BA0C21"/>
    <w:multiLevelType w:val="hybridMultilevel"/>
    <w:tmpl w:val="EA7EAC8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536F1603"/>
    <w:multiLevelType w:val="hybridMultilevel"/>
    <w:tmpl w:val="526A3F40"/>
    <w:lvl w:ilvl="0" w:tplc="0C070013">
      <w:start w:val="1"/>
      <w:numFmt w:val="upperRoman"/>
      <w:lvlText w:val="%1."/>
      <w:lvlJc w:val="righ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0" w15:restartNumberingAfterBreak="0">
    <w:nsid w:val="587A10D2"/>
    <w:multiLevelType w:val="hybridMultilevel"/>
    <w:tmpl w:val="1D8E3446"/>
    <w:lvl w:ilvl="0" w:tplc="61902CC4">
      <w:numFmt w:val="bullet"/>
      <w:lvlText w:val="-"/>
      <w:lvlJc w:val="left"/>
      <w:pPr>
        <w:ind w:left="720" w:hanging="360"/>
      </w:pPr>
      <w:rPr>
        <w:rFonts w:ascii="Trebuchet MS" w:eastAsia="Times New Roman" w:hAnsi="Trebuchet MS" w:cs="Trebuchet M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58D53930"/>
    <w:multiLevelType w:val="hybridMultilevel"/>
    <w:tmpl w:val="4E128B8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15:restartNumberingAfterBreak="0">
    <w:nsid w:val="60A61DB9"/>
    <w:multiLevelType w:val="hybridMultilevel"/>
    <w:tmpl w:val="3A06503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65C210E1"/>
    <w:multiLevelType w:val="hybridMultilevel"/>
    <w:tmpl w:val="D2EC6886"/>
    <w:lvl w:ilvl="0" w:tplc="516AC5AA">
      <w:start w:val="1"/>
      <w:numFmt w:val="lowerRoman"/>
      <w:lvlText w:val="(%1)"/>
      <w:lvlJc w:val="left"/>
      <w:pPr>
        <w:ind w:left="1440" w:hanging="720"/>
      </w:pPr>
      <w:rPr>
        <w:rFonts w:ascii="Trebuchet MS" w:eastAsia="Calibri" w:hAnsi="Trebuchet MS" w:cs="Times New Roman"/>
      </w:rPr>
    </w:lvl>
    <w:lvl w:ilvl="1" w:tplc="0C070019">
      <w:start w:val="1"/>
      <w:numFmt w:val="lowerLetter"/>
      <w:lvlText w:val="%2."/>
      <w:lvlJc w:val="left"/>
      <w:pPr>
        <w:ind w:left="1800" w:hanging="360"/>
      </w:pPr>
    </w:lvl>
    <w:lvl w:ilvl="2" w:tplc="0C07001B">
      <w:start w:val="1"/>
      <w:numFmt w:val="lowerRoman"/>
      <w:lvlText w:val="%3."/>
      <w:lvlJc w:val="right"/>
      <w:pPr>
        <w:ind w:left="2520" w:hanging="180"/>
      </w:pPr>
    </w:lvl>
    <w:lvl w:ilvl="3" w:tplc="0C07000F">
      <w:start w:val="1"/>
      <w:numFmt w:val="decimal"/>
      <w:lvlText w:val="%4."/>
      <w:lvlJc w:val="left"/>
      <w:pPr>
        <w:ind w:left="3240" w:hanging="360"/>
      </w:pPr>
    </w:lvl>
    <w:lvl w:ilvl="4" w:tplc="0C070019">
      <w:start w:val="1"/>
      <w:numFmt w:val="lowerLetter"/>
      <w:lvlText w:val="%5."/>
      <w:lvlJc w:val="left"/>
      <w:pPr>
        <w:ind w:left="3960" w:hanging="360"/>
      </w:pPr>
    </w:lvl>
    <w:lvl w:ilvl="5" w:tplc="0C07001B">
      <w:start w:val="1"/>
      <w:numFmt w:val="lowerRoman"/>
      <w:lvlText w:val="%6."/>
      <w:lvlJc w:val="right"/>
      <w:pPr>
        <w:ind w:left="4680" w:hanging="180"/>
      </w:pPr>
    </w:lvl>
    <w:lvl w:ilvl="6" w:tplc="0C07000F">
      <w:start w:val="1"/>
      <w:numFmt w:val="decimal"/>
      <w:lvlText w:val="%7."/>
      <w:lvlJc w:val="left"/>
      <w:pPr>
        <w:ind w:left="5400" w:hanging="360"/>
      </w:pPr>
    </w:lvl>
    <w:lvl w:ilvl="7" w:tplc="0C070019">
      <w:start w:val="1"/>
      <w:numFmt w:val="lowerLetter"/>
      <w:lvlText w:val="%8."/>
      <w:lvlJc w:val="left"/>
      <w:pPr>
        <w:ind w:left="6120" w:hanging="360"/>
      </w:pPr>
    </w:lvl>
    <w:lvl w:ilvl="8" w:tplc="0C07001B">
      <w:start w:val="1"/>
      <w:numFmt w:val="lowerRoman"/>
      <w:lvlText w:val="%9."/>
      <w:lvlJc w:val="right"/>
      <w:pPr>
        <w:ind w:left="6840" w:hanging="180"/>
      </w:pPr>
    </w:lvl>
  </w:abstractNum>
  <w:abstractNum w:abstractNumId="24" w15:restartNumberingAfterBreak="0">
    <w:nsid w:val="6DFA673E"/>
    <w:multiLevelType w:val="hybridMultilevel"/>
    <w:tmpl w:val="E04C4170"/>
    <w:lvl w:ilvl="0" w:tplc="C558677A">
      <w:start w:val="1"/>
      <w:numFmt w:val="bullet"/>
      <w:lvlText w:val=""/>
      <w:lvlJc w:val="left"/>
      <w:pPr>
        <w:ind w:left="360" w:hanging="360"/>
      </w:pPr>
      <w:rPr>
        <w:rFonts w:ascii="Symbol" w:hAnsi="Symbol" w:hint="default"/>
      </w:rPr>
    </w:lvl>
    <w:lvl w:ilvl="1" w:tplc="0C070003">
      <w:start w:val="1"/>
      <w:numFmt w:val="bullet"/>
      <w:lvlText w:val="o"/>
      <w:lvlJc w:val="left"/>
      <w:pPr>
        <w:ind w:left="1080" w:hanging="360"/>
      </w:pPr>
      <w:rPr>
        <w:rFonts w:ascii="Courier New" w:hAnsi="Courier New" w:cs="Courier New" w:hint="default"/>
      </w:rPr>
    </w:lvl>
    <w:lvl w:ilvl="2" w:tplc="0C070005">
      <w:start w:val="1"/>
      <w:numFmt w:val="bullet"/>
      <w:lvlText w:val=""/>
      <w:lvlJc w:val="left"/>
      <w:pPr>
        <w:ind w:left="1800" w:hanging="360"/>
      </w:pPr>
      <w:rPr>
        <w:rFonts w:ascii="Wingdings" w:hAnsi="Wingdings" w:hint="default"/>
      </w:rPr>
    </w:lvl>
    <w:lvl w:ilvl="3" w:tplc="0C070001">
      <w:start w:val="1"/>
      <w:numFmt w:val="bullet"/>
      <w:lvlText w:val=""/>
      <w:lvlJc w:val="left"/>
      <w:pPr>
        <w:ind w:left="2520" w:hanging="360"/>
      </w:pPr>
      <w:rPr>
        <w:rFonts w:ascii="Symbol" w:hAnsi="Symbol" w:hint="default"/>
      </w:rPr>
    </w:lvl>
    <w:lvl w:ilvl="4" w:tplc="0C070003">
      <w:start w:val="1"/>
      <w:numFmt w:val="bullet"/>
      <w:lvlText w:val="o"/>
      <w:lvlJc w:val="left"/>
      <w:pPr>
        <w:ind w:left="3240" w:hanging="360"/>
      </w:pPr>
      <w:rPr>
        <w:rFonts w:ascii="Courier New" w:hAnsi="Courier New" w:cs="Courier New" w:hint="default"/>
      </w:rPr>
    </w:lvl>
    <w:lvl w:ilvl="5" w:tplc="0C070005">
      <w:start w:val="1"/>
      <w:numFmt w:val="bullet"/>
      <w:lvlText w:val=""/>
      <w:lvlJc w:val="left"/>
      <w:pPr>
        <w:ind w:left="3960" w:hanging="360"/>
      </w:pPr>
      <w:rPr>
        <w:rFonts w:ascii="Wingdings" w:hAnsi="Wingdings" w:hint="default"/>
      </w:rPr>
    </w:lvl>
    <w:lvl w:ilvl="6" w:tplc="0C070001">
      <w:start w:val="1"/>
      <w:numFmt w:val="bullet"/>
      <w:lvlText w:val=""/>
      <w:lvlJc w:val="left"/>
      <w:pPr>
        <w:ind w:left="4680" w:hanging="360"/>
      </w:pPr>
      <w:rPr>
        <w:rFonts w:ascii="Symbol" w:hAnsi="Symbol" w:hint="default"/>
      </w:rPr>
    </w:lvl>
    <w:lvl w:ilvl="7" w:tplc="0C070003">
      <w:start w:val="1"/>
      <w:numFmt w:val="bullet"/>
      <w:lvlText w:val="o"/>
      <w:lvlJc w:val="left"/>
      <w:pPr>
        <w:ind w:left="5400" w:hanging="360"/>
      </w:pPr>
      <w:rPr>
        <w:rFonts w:ascii="Courier New" w:hAnsi="Courier New" w:cs="Courier New" w:hint="default"/>
      </w:rPr>
    </w:lvl>
    <w:lvl w:ilvl="8" w:tplc="0C070005">
      <w:start w:val="1"/>
      <w:numFmt w:val="bullet"/>
      <w:lvlText w:val=""/>
      <w:lvlJc w:val="left"/>
      <w:pPr>
        <w:ind w:left="6120" w:hanging="360"/>
      </w:pPr>
      <w:rPr>
        <w:rFonts w:ascii="Wingdings" w:hAnsi="Wingdings" w:hint="default"/>
      </w:rPr>
    </w:lvl>
  </w:abstractNum>
  <w:abstractNum w:abstractNumId="25" w15:restartNumberingAfterBreak="0">
    <w:nsid w:val="6F7E1336"/>
    <w:multiLevelType w:val="hybridMultilevel"/>
    <w:tmpl w:val="CF7A093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6" w15:restartNumberingAfterBreak="0">
    <w:nsid w:val="720A428C"/>
    <w:multiLevelType w:val="hybridMultilevel"/>
    <w:tmpl w:val="9514CBB0"/>
    <w:lvl w:ilvl="0" w:tplc="567C697E">
      <w:numFmt w:val="bullet"/>
      <w:lvlText w:val="-"/>
      <w:lvlJc w:val="left"/>
      <w:pPr>
        <w:ind w:left="1080" w:hanging="360"/>
      </w:pPr>
      <w:rPr>
        <w:rFonts w:ascii="Arial" w:eastAsia="Calibri" w:hAnsi="Arial" w:cs="Aria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27" w15:restartNumberingAfterBreak="0">
    <w:nsid w:val="72462943"/>
    <w:multiLevelType w:val="hybridMultilevel"/>
    <w:tmpl w:val="384ADF18"/>
    <w:lvl w:ilvl="0" w:tplc="0C070013">
      <w:start w:val="1"/>
      <w:numFmt w:val="upperRoman"/>
      <w:lvlText w:val="%1."/>
      <w:lvlJc w:val="righ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8" w15:restartNumberingAfterBreak="0">
    <w:nsid w:val="7C004F2D"/>
    <w:multiLevelType w:val="hybridMultilevel"/>
    <w:tmpl w:val="6E82D81A"/>
    <w:lvl w:ilvl="0" w:tplc="C558677A">
      <w:start w:val="1"/>
      <w:numFmt w:val="bullet"/>
      <w:lvlText w:val=""/>
      <w:lvlJc w:val="left"/>
      <w:pPr>
        <w:ind w:left="360" w:hanging="360"/>
      </w:pPr>
      <w:rPr>
        <w:rFonts w:ascii="Symbol" w:hAnsi="Symbol" w:hint="default"/>
      </w:rPr>
    </w:lvl>
    <w:lvl w:ilvl="1" w:tplc="0C070003">
      <w:start w:val="1"/>
      <w:numFmt w:val="bullet"/>
      <w:lvlText w:val="o"/>
      <w:lvlJc w:val="left"/>
      <w:pPr>
        <w:ind w:left="1080" w:hanging="360"/>
      </w:pPr>
      <w:rPr>
        <w:rFonts w:ascii="Courier New" w:hAnsi="Courier New" w:cs="Courier New" w:hint="default"/>
      </w:rPr>
    </w:lvl>
    <w:lvl w:ilvl="2" w:tplc="0C070005">
      <w:start w:val="1"/>
      <w:numFmt w:val="bullet"/>
      <w:lvlText w:val=""/>
      <w:lvlJc w:val="left"/>
      <w:pPr>
        <w:ind w:left="1800" w:hanging="360"/>
      </w:pPr>
      <w:rPr>
        <w:rFonts w:ascii="Wingdings" w:hAnsi="Wingdings" w:hint="default"/>
      </w:rPr>
    </w:lvl>
    <w:lvl w:ilvl="3" w:tplc="0C070001">
      <w:start w:val="1"/>
      <w:numFmt w:val="bullet"/>
      <w:lvlText w:val=""/>
      <w:lvlJc w:val="left"/>
      <w:pPr>
        <w:ind w:left="2520" w:hanging="360"/>
      </w:pPr>
      <w:rPr>
        <w:rFonts w:ascii="Symbol" w:hAnsi="Symbol" w:hint="default"/>
      </w:rPr>
    </w:lvl>
    <w:lvl w:ilvl="4" w:tplc="0C070003">
      <w:start w:val="1"/>
      <w:numFmt w:val="bullet"/>
      <w:lvlText w:val="o"/>
      <w:lvlJc w:val="left"/>
      <w:pPr>
        <w:ind w:left="3240" w:hanging="360"/>
      </w:pPr>
      <w:rPr>
        <w:rFonts w:ascii="Courier New" w:hAnsi="Courier New" w:cs="Courier New" w:hint="default"/>
      </w:rPr>
    </w:lvl>
    <w:lvl w:ilvl="5" w:tplc="0C070005">
      <w:start w:val="1"/>
      <w:numFmt w:val="bullet"/>
      <w:lvlText w:val=""/>
      <w:lvlJc w:val="left"/>
      <w:pPr>
        <w:ind w:left="3960" w:hanging="360"/>
      </w:pPr>
      <w:rPr>
        <w:rFonts w:ascii="Wingdings" w:hAnsi="Wingdings" w:hint="default"/>
      </w:rPr>
    </w:lvl>
    <w:lvl w:ilvl="6" w:tplc="0C070001">
      <w:start w:val="1"/>
      <w:numFmt w:val="bullet"/>
      <w:lvlText w:val=""/>
      <w:lvlJc w:val="left"/>
      <w:pPr>
        <w:ind w:left="4680" w:hanging="360"/>
      </w:pPr>
      <w:rPr>
        <w:rFonts w:ascii="Symbol" w:hAnsi="Symbol" w:hint="default"/>
      </w:rPr>
    </w:lvl>
    <w:lvl w:ilvl="7" w:tplc="0C070003">
      <w:start w:val="1"/>
      <w:numFmt w:val="bullet"/>
      <w:lvlText w:val="o"/>
      <w:lvlJc w:val="left"/>
      <w:pPr>
        <w:ind w:left="5400" w:hanging="360"/>
      </w:pPr>
      <w:rPr>
        <w:rFonts w:ascii="Courier New" w:hAnsi="Courier New" w:cs="Courier New" w:hint="default"/>
      </w:rPr>
    </w:lvl>
    <w:lvl w:ilvl="8" w:tplc="0C070005">
      <w:start w:val="1"/>
      <w:numFmt w:val="bullet"/>
      <w:lvlText w:val=""/>
      <w:lvlJc w:val="left"/>
      <w:pPr>
        <w:ind w:left="6120" w:hanging="360"/>
      </w:pPr>
      <w:rPr>
        <w:rFonts w:ascii="Wingdings" w:hAnsi="Wingdings" w:hint="default"/>
      </w:rPr>
    </w:lvl>
  </w:abstractNum>
  <w:num w:numId="1">
    <w:abstractNumId w:val="20"/>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24"/>
  </w:num>
  <w:num w:numId="5">
    <w:abstractNumId w:val="28"/>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6"/>
  </w:num>
  <w:num w:numId="9">
    <w:abstractNumId w:val="5"/>
  </w:num>
  <w:num w:numId="10">
    <w:abstractNumId w:val="25"/>
  </w:num>
  <w:num w:numId="11">
    <w:abstractNumId w:val="21"/>
  </w:num>
  <w:num w:numId="12">
    <w:abstractNumId w:val="27"/>
  </w:num>
  <w:num w:numId="13">
    <w:abstractNumId w:val="4"/>
  </w:num>
  <w:num w:numId="14">
    <w:abstractNumId w:val="0"/>
  </w:num>
  <w:num w:numId="15">
    <w:abstractNumId w:val="22"/>
  </w:num>
  <w:num w:numId="16">
    <w:abstractNumId w:val="26"/>
  </w:num>
  <w:num w:numId="17">
    <w:abstractNumId w:val="2"/>
  </w:num>
  <w:num w:numId="18">
    <w:abstractNumId w:val="1"/>
  </w:num>
  <w:num w:numId="19">
    <w:abstractNumId w:val="9"/>
  </w:num>
  <w:num w:numId="20">
    <w:abstractNumId w:val="15"/>
  </w:num>
  <w:num w:numId="2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10"/>
  </w:num>
  <w:num w:numId="24">
    <w:abstractNumId w:val="7"/>
  </w:num>
  <w:num w:numId="25">
    <w:abstractNumId w:val="16"/>
  </w:num>
  <w:num w:numId="26">
    <w:abstractNumId w:val="18"/>
  </w:num>
  <w:num w:numId="27">
    <w:abstractNumId w:val="3"/>
  </w:num>
  <w:num w:numId="28">
    <w:abstractNumId w:val="13"/>
  </w:num>
  <w:num w:numId="29">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0CC"/>
    <w:rsid w:val="00001730"/>
    <w:rsid w:val="00013086"/>
    <w:rsid w:val="000135FB"/>
    <w:rsid w:val="000163E0"/>
    <w:rsid w:val="00021DBA"/>
    <w:rsid w:val="00024D8C"/>
    <w:rsid w:val="00026657"/>
    <w:rsid w:val="00035D58"/>
    <w:rsid w:val="00041C1E"/>
    <w:rsid w:val="00044A71"/>
    <w:rsid w:val="00053316"/>
    <w:rsid w:val="00057439"/>
    <w:rsid w:val="00061814"/>
    <w:rsid w:val="000619FB"/>
    <w:rsid w:val="0006215B"/>
    <w:rsid w:val="00071436"/>
    <w:rsid w:val="00071BF7"/>
    <w:rsid w:val="00077C70"/>
    <w:rsid w:val="00080E83"/>
    <w:rsid w:val="0008171B"/>
    <w:rsid w:val="0008527D"/>
    <w:rsid w:val="0008698A"/>
    <w:rsid w:val="00086BFB"/>
    <w:rsid w:val="000919C4"/>
    <w:rsid w:val="00094EB8"/>
    <w:rsid w:val="0009753B"/>
    <w:rsid w:val="000A0183"/>
    <w:rsid w:val="000A205C"/>
    <w:rsid w:val="000A4FC6"/>
    <w:rsid w:val="000A55AE"/>
    <w:rsid w:val="000A771B"/>
    <w:rsid w:val="000A7D13"/>
    <w:rsid w:val="000B2CE7"/>
    <w:rsid w:val="000B449E"/>
    <w:rsid w:val="000B4D96"/>
    <w:rsid w:val="000B572C"/>
    <w:rsid w:val="000D7538"/>
    <w:rsid w:val="000E511B"/>
    <w:rsid w:val="000F1070"/>
    <w:rsid w:val="000F2220"/>
    <w:rsid w:val="000F28BB"/>
    <w:rsid w:val="000F3572"/>
    <w:rsid w:val="000F74C7"/>
    <w:rsid w:val="00101144"/>
    <w:rsid w:val="00101383"/>
    <w:rsid w:val="001042B8"/>
    <w:rsid w:val="00105F0E"/>
    <w:rsid w:val="0011743A"/>
    <w:rsid w:val="00120A2F"/>
    <w:rsid w:val="00121770"/>
    <w:rsid w:val="00121CBD"/>
    <w:rsid w:val="001276A5"/>
    <w:rsid w:val="00127F3B"/>
    <w:rsid w:val="00131416"/>
    <w:rsid w:val="00131A98"/>
    <w:rsid w:val="00131AEC"/>
    <w:rsid w:val="00135A40"/>
    <w:rsid w:val="00137EF5"/>
    <w:rsid w:val="0014018E"/>
    <w:rsid w:val="0014746B"/>
    <w:rsid w:val="00151673"/>
    <w:rsid w:val="00151A78"/>
    <w:rsid w:val="00155AEE"/>
    <w:rsid w:val="00161914"/>
    <w:rsid w:val="00163CC0"/>
    <w:rsid w:val="00163DDA"/>
    <w:rsid w:val="00171CBF"/>
    <w:rsid w:val="00174D0C"/>
    <w:rsid w:val="00183969"/>
    <w:rsid w:val="00190D7D"/>
    <w:rsid w:val="00196D5C"/>
    <w:rsid w:val="00196EB4"/>
    <w:rsid w:val="001974F7"/>
    <w:rsid w:val="001B0788"/>
    <w:rsid w:val="001B4AB0"/>
    <w:rsid w:val="001C4931"/>
    <w:rsid w:val="001C49F8"/>
    <w:rsid w:val="001D40CC"/>
    <w:rsid w:val="001E0374"/>
    <w:rsid w:val="001F3545"/>
    <w:rsid w:val="002045CC"/>
    <w:rsid w:val="00205DE9"/>
    <w:rsid w:val="002061DD"/>
    <w:rsid w:val="00207AC9"/>
    <w:rsid w:val="00210FDF"/>
    <w:rsid w:val="00224981"/>
    <w:rsid w:val="00236C5A"/>
    <w:rsid w:val="00240D9B"/>
    <w:rsid w:val="00250CBA"/>
    <w:rsid w:val="0026358F"/>
    <w:rsid w:val="00264C67"/>
    <w:rsid w:val="00265C18"/>
    <w:rsid w:val="002711FC"/>
    <w:rsid w:val="00272C43"/>
    <w:rsid w:val="00280548"/>
    <w:rsid w:val="00282636"/>
    <w:rsid w:val="0028446E"/>
    <w:rsid w:val="00287819"/>
    <w:rsid w:val="00293410"/>
    <w:rsid w:val="00296269"/>
    <w:rsid w:val="002A00E4"/>
    <w:rsid w:val="002A15C7"/>
    <w:rsid w:val="002A3540"/>
    <w:rsid w:val="002B08BD"/>
    <w:rsid w:val="002B3BF4"/>
    <w:rsid w:val="002B4B41"/>
    <w:rsid w:val="002D14BF"/>
    <w:rsid w:val="002D17FF"/>
    <w:rsid w:val="002D4A90"/>
    <w:rsid w:val="002D69C4"/>
    <w:rsid w:val="002E4BD0"/>
    <w:rsid w:val="002F1DC4"/>
    <w:rsid w:val="003104AE"/>
    <w:rsid w:val="00312578"/>
    <w:rsid w:val="00316718"/>
    <w:rsid w:val="0031680D"/>
    <w:rsid w:val="00320A42"/>
    <w:rsid w:val="00325FCF"/>
    <w:rsid w:val="00327DD3"/>
    <w:rsid w:val="003303C4"/>
    <w:rsid w:val="00344DB8"/>
    <w:rsid w:val="00346DF4"/>
    <w:rsid w:val="00356254"/>
    <w:rsid w:val="003568E9"/>
    <w:rsid w:val="00361B24"/>
    <w:rsid w:val="00363612"/>
    <w:rsid w:val="0037727E"/>
    <w:rsid w:val="003814C3"/>
    <w:rsid w:val="00384948"/>
    <w:rsid w:val="00390AC7"/>
    <w:rsid w:val="003933A5"/>
    <w:rsid w:val="0039371D"/>
    <w:rsid w:val="003A5633"/>
    <w:rsid w:val="003B3D28"/>
    <w:rsid w:val="003B6B36"/>
    <w:rsid w:val="003C35DC"/>
    <w:rsid w:val="003C5804"/>
    <w:rsid w:val="003C622F"/>
    <w:rsid w:val="003C7778"/>
    <w:rsid w:val="003D07A4"/>
    <w:rsid w:val="003E09A5"/>
    <w:rsid w:val="003E6845"/>
    <w:rsid w:val="003F44A2"/>
    <w:rsid w:val="003F5EEF"/>
    <w:rsid w:val="003F6706"/>
    <w:rsid w:val="00404863"/>
    <w:rsid w:val="004235FB"/>
    <w:rsid w:val="00425684"/>
    <w:rsid w:val="00430245"/>
    <w:rsid w:val="004302FD"/>
    <w:rsid w:val="004339AE"/>
    <w:rsid w:val="004400CB"/>
    <w:rsid w:val="00445FAF"/>
    <w:rsid w:val="0044708F"/>
    <w:rsid w:val="00450B6F"/>
    <w:rsid w:val="00461F65"/>
    <w:rsid w:val="004632A4"/>
    <w:rsid w:val="00465FC3"/>
    <w:rsid w:val="00470480"/>
    <w:rsid w:val="004745CD"/>
    <w:rsid w:val="00480120"/>
    <w:rsid w:val="00482639"/>
    <w:rsid w:val="00485220"/>
    <w:rsid w:val="0048523B"/>
    <w:rsid w:val="00487A00"/>
    <w:rsid w:val="004926F1"/>
    <w:rsid w:val="004A01A9"/>
    <w:rsid w:val="004A115F"/>
    <w:rsid w:val="004B2194"/>
    <w:rsid w:val="004C0E9B"/>
    <w:rsid w:val="004C5E94"/>
    <w:rsid w:val="004C6FA4"/>
    <w:rsid w:val="004D1102"/>
    <w:rsid w:val="004D1A1E"/>
    <w:rsid w:val="004E2249"/>
    <w:rsid w:val="004E2A45"/>
    <w:rsid w:val="004E51E5"/>
    <w:rsid w:val="004F1B60"/>
    <w:rsid w:val="004F53C0"/>
    <w:rsid w:val="004F6198"/>
    <w:rsid w:val="00505343"/>
    <w:rsid w:val="0051495A"/>
    <w:rsid w:val="00517690"/>
    <w:rsid w:val="00521B7F"/>
    <w:rsid w:val="00535CF4"/>
    <w:rsid w:val="00545FF4"/>
    <w:rsid w:val="00550380"/>
    <w:rsid w:val="005548F9"/>
    <w:rsid w:val="00556359"/>
    <w:rsid w:val="00560A66"/>
    <w:rsid w:val="00562C44"/>
    <w:rsid w:val="00576F32"/>
    <w:rsid w:val="00590AAE"/>
    <w:rsid w:val="00596B5B"/>
    <w:rsid w:val="005A2D33"/>
    <w:rsid w:val="005B1218"/>
    <w:rsid w:val="005B2525"/>
    <w:rsid w:val="005B3FB7"/>
    <w:rsid w:val="005C04FF"/>
    <w:rsid w:val="005C218C"/>
    <w:rsid w:val="005C7948"/>
    <w:rsid w:val="005D0470"/>
    <w:rsid w:val="005D08DC"/>
    <w:rsid w:val="005D0B33"/>
    <w:rsid w:val="005D1620"/>
    <w:rsid w:val="005D4F47"/>
    <w:rsid w:val="005E1BA5"/>
    <w:rsid w:val="005E7180"/>
    <w:rsid w:val="005F5B48"/>
    <w:rsid w:val="005F632A"/>
    <w:rsid w:val="006065F4"/>
    <w:rsid w:val="00606AFA"/>
    <w:rsid w:val="00622B51"/>
    <w:rsid w:val="00623752"/>
    <w:rsid w:val="00623872"/>
    <w:rsid w:val="006261AF"/>
    <w:rsid w:val="00641DC4"/>
    <w:rsid w:val="00642235"/>
    <w:rsid w:val="00642A57"/>
    <w:rsid w:val="006471E3"/>
    <w:rsid w:val="00650AE5"/>
    <w:rsid w:val="006518A3"/>
    <w:rsid w:val="0065464B"/>
    <w:rsid w:val="006648A1"/>
    <w:rsid w:val="00677F47"/>
    <w:rsid w:val="00683614"/>
    <w:rsid w:val="0068403B"/>
    <w:rsid w:val="00686189"/>
    <w:rsid w:val="0069309F"/>
    <w:rsid w:val="00694B28"/>
    <w:rsid w:val="006A55B4"/>
    <w:rsid w:val="006B05A1"/>
    <w:rsid w:val="006C33D2"/>
    <w:rsid w:val="006D6427"/>
    <w:rsid w:val="006E0163"/>
    <w:rsid w:val="006E5185"/>
    <w:rsid w:val="0070253E"/>
    <w:rsid w:val="007053E7"/>
    <w:rsid w:val="007114EC"/>
    <w:rsid w:val="00711C4D"/>
    <w:rsid w:val="007203E6"/>
    <w:rsid w:val="007230AC"/>
    <w:rsid w:val="00724C39"/>
    <w:rsid w:val="0072798F"/>
    <w:rsid w:val="00732AFB"/>
    <w:rsid w:val="0073402F"/>
    <w:rsid w:val="0073440E"/>
    <w:rsid w:val="00743A63"/>
    <w:rsid w:val="00754BAF"/>
    <w:rsid w:val="00766B69"/>
    <w:rsid w:val="00767DA3"/>
    <w:rsid w:val="007755BF"/>
    <w:rsid w:val="007757A9"/>
    <w:rsid w:val="007762A4"/>
    <w:rsid w:val="00776348"/>
    <w:rsid w:val="00780375"/>
    <w:rsid w:val="007816E4"/>
    <w:rsid w:val="00782541"/>
    <w:rsid w:val="00783F4D"/>
    <w:rsid w:val="007846C2"/>
    <w:rsid w:val="00795782"/>
    <w:rsid w:val="007A01B8"/>
    <w:rsid w:val="007A1751"/>
    <w:rsid w:val="007B32D2"/>
    <w:rsid w:val="007B3A82"/>
    <w:rsid w:val="007B3EA1"/>
    <w:rsid w:val="007B641D"/>
    <w:rsid w:val="007C2846"/>
    <w:rsid w:val="007C2F92"/>
    <w:rsid w:val="007D0A79"/>
    <w:rsid w:val="007D3573"/>
    <w:rsid w:val="007D4FE3"/>
    <w:rsid w:val="007E1AC2"/>
    <w:rsid w:val="007E6B3B"/>
    <w:rsid w:val="007F5F54"/>
    <w:rsid w:val="00801234"/>
    <w:rsid w:val="0080414A"/>
    <w:rsid w:val="00810AB2"/>
    <w:rsid w:val="0081169B"/>
    <w:rsid w:val="00811CE5"/>
    <w:rsid w:val="00812F74"/>
    <w:rsid w:val="00815C5E"/>
    <w:rsid w:val="00816598"/>
    <w:rsid w:val="008255E7"/>
    <w:rsid w:val="008351DF"/>
    <w:rsid w:val="008406BB"/>
    <w:rsid w:val="0084684D"/>
    <w:rsid w:val="0086077B"/>
    <w:rsid w:val="00864AF6"/>
    <w:rsid w:val="008720A6"/>
    <w:rsid w:val="008745CD"/>
    <w:rsid w:val="00881BC0"/>
    <w:rsid w:val="00884544"/>
    <w:rsid w:val="0088500E"/>
    <w:rsid w:val="0089476E"/>
    <w:rsid w:val="008953FC"/>
    <w:rsid w:val="008B1362"/>
    <w:rsid w:val="008B1D1A"/>
    <w:rsid w:val="008C0AE8"/>
    <w:rsid w:val="008C0C66"/>
    <w:rsid w:val="008C679C"/>
    <w:rsid w:val="008D1E25"/>
    <w:rsid w:val="008D469D"/>
    <w:rsid w:val="008D5D3B"/>
    <w:rsid w:val="008D70E6"/>
    <w:rsid w:val="008D77D7"/>
    <w:rsid w:val="008E02AC"/>
    <w:rsid w:val="008F1DD3"/>
    <w:rsid w:val="008F3076"/>
    <w:rsid w:val="008F3EA3"/>
    <w:rsid w:val="008F4288"/>
    <w:rsid w:val="0091585E"/>
    <w:rsid w:val="009303DC"/>
    <w:rsid w:val="00935B03"/>
    <w:rsid w:val="00935BB6"/>
    <w:rsid w:val="0093708A"/>
    <w:rsid w:val="00942F6C"/>
    <w:rsid w:val="0094333B"/>
    <w:rsid w:val="0094518B"/>
    <w:rsid w:val="009458C0"/>
    <w:rsid w:val="009632CC"/>
    <w:rsid w:val="00965380"/>
    <w:rsid w:val="009853E1"/>
    <w:rsid w:val="009922DC"/>
    <w:rsid w:val="009A6947"/>
    <w:rsid w:val="009B6C3A"/>
    <w:rsid w:val="009C1E08"/>
    <w:rsid w:val="009C6136"/>
    <w:rsid w:val="009C6302"/>
    <w:rsid w:val="009D188F"/>
    <w:rsid w:val="009D58FA"/>
    <w:rsid w:val="009E1189"/>
    <w:rsid w:val="009E5929"/>
    <w:rsid w:val="009E5A12"/>
    <w:rsid w:val="009E66CA"/>
    <w:rsid w:val="009F4450"/>
    <w:rsid w:val="009F57DA"/>
    <w:rsid w:val="009F6A00"/>
    <w:rsid w:val="00A01B18"/>
    <w:rsid w:val="00A0265B"/>
    <w:rsid w:val="00A04A94"/>
    <w:rsid w:val="00A06DE5"/>
    <w:rsid w:val="00A07FE0"/>
    <w:rsid w:val="00A147F7"/>
    <w:rsid w:val="00A21AEC"/>
    <w:rsid w:val="00A23371"/>
    <w:rsid w:val="00A23661"/>
    <w:rsid w:val="00A36834"/>
    <w:rsid w:val="00A42F7B"/>
    <w:rsid w:val="00A437DE"/>
    <w:rsid w:val="00A44D5F"/>
    <w:rsid w:val="00A500F1"/>
    <w:rsid w:val="00A5381E"/>
    <w:rsid w:val="00A54C2F"/>
    <w:rsid w:val="00A55757"/>
    <w:rsid w:val="00A64C34"/>
    <w:rsid w:val="00A705F5"/>
    <w:rsid w:val="00A707A7"/>
    <w:rsid w:val="00A70C7D"/>
    <w:rsid w:val="00A81341"/>
    <w:rsid w:val="00A82C13"/>
    <w:rsid w:val="00A8532A"/>
    <w:rsid w:val="00A912E3"/>
    <w:rsid w:val="00A955F6"/>
    <w:rsid w:val="00A97AE7"/>
    <w:rsid w:val="00AA0432"/>
    <w:rsid w:val="00AB5857"/>
    <w:rsid w:val="00AB59B3"/>
    <w:rsid w:val="00AD053F"/>
    <w:rsid w:val="00AE02B3"/>
    <w:rsid w:val="00AE1B6A"/>
    <w:rsid w:val="00AE457B"/>
    <w:rsid w:val="00AE6511"/>
    <w:rsid w:val="00B020A3"/>
    <w:rsid w:val="00B10218"/>
    <w:rsid w:val="00B17B80"/>
    <w:rsid w:val="00B22761"/>
    <w:rsid w:val="00B32456"/>
    <w:rsid w:val="00B36C46"/>
    <w:rsid w:val="00B447AA"/>
    <w:rsid w:val="00B467F0"/>
    <w:rsid w:val="00B46C57"/>
    <w:rsid w:val="00B51CB0"/>
    <w:rsid w:val="00B532F2"/>
    <w:rsid w:val="00B55633"/>
    <w:rsid w:val="00B57C55"/>
    <w:rsid w:val="00B6209E"/>
    <w:rsid w:val="00B63C71"/>
    <w:rsid w:val="00B64838"/>
    <w:rsid w:val="00B6488D"/>
    <w:rsid w:val="00B6710C"/>
    <w:rsid w:val="00B67CEF"/>
    <w:rsid w:val="00B85379"/>
    <w:rsid w:val="00B8623F"/>
    <w:rsid w:val="00B93882"/>
    <w:rsid w:val="00B960F5"/>
    <w:rsid w:val="00BA5BEC"/>
    <w:rsid w:val="00BA5E95"/>
    <w:rsid w:val="00BA6878"/>
    <w:rsid w:val="00BA7A5E"/>
    <w:rsid w:val="00BB344D"/>
    <w:rsid w:val="00BC6569"/>
    <w:rsid w:val="00BD2D5E"/>
    <w:rsid w:val="00BD3A1D"/>
    <w:rsid w:val="00BD7362"/>
    <w:rsid w:val="00BE7A33"/>
    <w:rsid w:val="00BF1820"/>
    <w:rsid w:val="00BF2A57"/>
    <w:rsid w:val="00BF3BB7"/>
    <w:rsid w:val="00C02F42"/>
    <w:rsid w:val="00C044AE"/>
    <w:rsid w:val="00C11030"/>
    <w:rsid w:val="00C21BF0"/>
    <w:rsid w:val="00C23AED"/>
    <w:rsid w:val="00C32178"/>
    <w:rsid w:val="00C3459A"/>
    <w:rsid w:val="00C34E41"/>
    <w:rsid w:val="00C358D5"/>
    <w:rsid w:val="00C376E8"/>
    <w:rsid w:val="00C37F68"/>
    <w:rsid w:val="00C406D2"/>
    <w:rsid w:val="00C47B46"/>
    <w:rsid w:val="00C519C2"/>
    <w:rsid w:val="00C543F8"/>
    <w:rsid w:val="00C619D3"/>
    <w:rsid w:val="00C64B6E"/>
    <w:rsid w:val="00C66013"/>
    <w:rsid w:val="00C728A8"/>
    <w:rsid w:val="00C728D9"/>
    <w:rsid w:val="00C84D8A"/>
    <w:rsid w:val="00C97D15"/>
    <w:rsid w:val="00CA1356"/>
    <w:rsid w:val="00CA6A50"/>
    <w:rsid w:val="00CB2954"/>
    <w:rsid w:val="00CB797F"/>
    <w:rsid w:val="00CC1072"/>
    <w:rsid w:val="00CD2A67"/>
    <w:rsid w:val="00CD4E8C"/>
    <w:rsid w:val="00CD4ED3"/>
    <w:rsid w:val="00CE1526"/>
    <w:rsid w:val="00CE1A19"/>
    <w:rsid w:val="00CE3F94"/>
    <w:rsid w:val="00CE4DD7"/>
    <w:rsid w:val="00CE5D6F"/>
    <w:rsid w:val="00CF63BD"/>
    <w:rsid w:val="00D10757"/>
    <w:rsid w:val="00D1088D"/>
    <w:rsid w:val="00D253A4"/>
    <w:rsid w:val="00D35759"/>
    <w:rsid w:val="00D364F4"/>
    <w:rsid w:val="00D371BE"/>
    <w:rsid w:val="00D37B81"/>
    <w:rsid w:val="00D42F9C"/>
    <w:rsid w:val="00D44582"/>
    <w:rsid w:val="00D51EC2"/>
    <w:rsid w:val="00D55968"/>
    <w:rsid w:val="00D57833"/>
    <w:rsid w:val="00D614D3"/>
    <w:rsid w:val="00D61E2F"/>
    <w:rsid w:val="00D63F9C"/>
    <w:rsid w:val="00D6614C"/>
    <w:rsid w:val="00D679C5"/>
    <w:rsid w:val="00D708D7"/>
    <w:rsid w:val="00D76BDD"/>
    <w:rsid w:val="00D77C55"/>
    <w:rsid w:val="00D82226"/>
    <w:rsid w:val="00D84A26"/>
    <w:rsid w:val="00D90D34"/>
    <w:rsid w:val="00D9226A"/>
    <w:rsid w:val="00D94129"/>
    <w:rsid w:val="00DA13B9"/>
    <w:rsid w:val="00DA5251"/>
    <w:rsid w:val="00DB117B"/>
    <w:rsid w:val="00DB4FF8"/>
    <w:rsid w:val="00DC0A36"/>
    <w:rsid w:val="00DC16B8"/>
    <w:rsid w:val="00DC2F9C"/>
    <w:rsid w:val="00DD4E27"/>
    <w:rsid w:val="00DE0704"/>
    <w:rsid w:val="00DE32B7"/>
    <w:rsid w:val="00DF4433"/>
    <w:rsid w:val="00E0664D"/>
    <w:rsid w:val="00E2444D"/>
    <w:rsid w:val="00E25162"/>
    <w:rsid w:val="00E260A8"/>
    <w:rsid w:val="00E376EA"/>
    <w:rsid w:val="00E40277"/>
    <w:rsid w:val="00E41DFD"/>
    <w:rsid w:val="00E4233B"/>
    <w:rsid w:val="00E45332"/>
    <w:rsid w:val="00E505CF"/>
    <w:rsid w:val="00E51B60"/>
    <w:rsid w:val="00E72490"/>
    <w:rsid w:val="00E754C8"/>
    <w:rsid w:val="00E8006A"/>
    <w:rsid w:val="00E81371"/>
    <w:rsid w:val="00E82191"/>
    <w:rsid w:val="00E87DCD"/>
    <w:rsid w:val="00E95C5D"/>
    <w:rsid w:val="00EA1FF4"/>
    <w:rsid w:val="00EB13E2"/>
    <w:rsid w:val="00EB2182"/>
    <w:rsid w:val="00EB3B01"/>
    <w:rsid w:val="00EC6597"/>
    <w:rsid w:val="00ED0561"/>
    <w:rsid w:val="00ED171E"/>
    <w:rsid w:val="00ED2466"/>
    <w:rsid w:val="00EE33EF"/>
    <w:rsid w:val="00F039F2"/>
    <w:rsid w:val="00F06018"/>
    <w:rsid w:val="00F17F3D"/>
    <w:rsid w:val="00F21921"/>
    <w:rsid w:val="00F253EA"/>
    <w:rsid w:val="00F26986"/>
    <w:rsid w:val="00F31CB0"/>
    <w:rsid w:val="00F37341"/>
    <w:rsid w:val="00F42876"/>
    <w:rsid w:val="00F472AC"/>
    <w:rsid w:val="00F57342"/>
    <w:rsid w:val="00F6287E"/>
    <w:rsid w:val="00F700E4"/>
    <w:rsid w:val="00F71922"/>
    <w:rsid w:val="00F744E0"/>
    <w:rsid w:val="00F77CC4"/>
    <w:rsid w:val="00F77E12"/>
    <w:rsid w:val="00F8025E"/>
    <w:rsid w:val="00F83CF8"/>
    <w:rsid w:val="00F878D2"/>
    <w:rsid w:val="00F90148"/>
    <w:rsid w:val="00F9470D"/>
    <w:rsid w:val="00F9528C"/>
    <w:rsid w:val="00FB464A"/>
    <w:rsid w:val="00FB6113"/>
    <w:rsid w:val="00FC5F01"/>
    <w:rsid w:val="00FD1999"/>
    <w:rsid w:val="00FD1D18"/>
    <w:rsid w:val="00FD48B2"/>
    <w:rsid w:val="00FD4B23"/>
    <w:rsid w:val="00FE48D6"/>
    <w:rsid w:val="00FF18C9"/>
    <w:rsid w:val="00FF7EB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4:docId w14:val="1E72581F"/>
  <w15:docId w15:val="{39AEA81A-09C4-4694-82B9-DABD001E5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700E4"/>
    <w:pPr>
      <w:spacing w:line="280" w:lineRule="atLeast"/>
    </w:pPr>
    <w:rPr>
      <w:rFonts w:ascii="Trebuchet MS" w:hAnsi="Trebuchet MS" w:cs="Trebuchet MS"/>
      <w:snapToGrid w:val="0"/>
      <w:sz w:val="22"/>
      <w:szCs w:val="22"/>
      <w:lang w:val="de-DE"/>
    </w:rPr>
  </w:style>
  <w:style w:type="paragraph" w:styleId="berschrift1">
    <w:name w:val="heading 1"/>
    <w:basedOn w:val="Standard"/>
    <w:next w:val="Standard"/>
    <w:qFormat/>
    <w:rsid w:val="00F700E4"/>
    <w:pPr>
      <w:keepNext/>
      <w:pageBreakBefore/>
      <w:spacing w:after="360"/>
      <w:outlineLvl w:val="0"/>
    </w:pPr>
    <w:rPr>
      <w:rFonts w:ascii="Times New Roman" w:hAnsi="Times New Roman" w:cs="Times New Roman"/>
      <w:b/>
      <w:bCs/>
      <w:caps/>
      <w:kern w:val="28"/>
      <w:sz w:val="48"/>
      <w:szCs w:val="48"/>
    </w:rPr>
  </w:style>
  <w:style w:type="paragraph" w:styleId="berschrift2">
    <w:name w:val="heading 2"/>
    <w:basedOn w:val="Standard"/>
    <w:next w:val="Standard"/>
    <w:qFormat/>
    <w:rsid w:val="00F700E4"/>
    <w:pPr>
      <w:keepNext/>
      <w:spacing w:before="240" w:after="240"/>
      <w:outlineLvl w:val="1"/>
    </w:pPr>
    <w:rPr>
      <w:rFonts w:ascii="Times New Roman" w:hAnsi="Times New Roman" w:cs="Times New Roman"/>
      <w:b/>
      <w:bCs/>
      <w:caps/>
      <w:sz w:val="32"/>
      <w:szCs w:val="32"/>
    </w:rPr>
  </w:style>
  <w:style w:type="paragraph" w:styleId="berschrift3">
    <w:name w:val="heading 3"/>
    <w:basedOn w:val="Standard"/>
    <w:next w:val="Standard"/>
    <w:qFormat/>
    <w:rsid w:val="00F700E4"/>
    <w:pPr>
      <w:keepNext/>
      <w:spacing w:before="240" w:after="240"/>
      <w:outlineLvl w:val="2"/>
    </w:pPr>
    <w:rPr>
      <w:rFonts w:ascii="Times New Roman" w:hAnsi="Times New Roman" w:cs="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F700E4"/>
    <w:rPr>
      <w:sz w:val="18"/>
      <w:szCs w:val="18"/>
    </w:rPr>
  </w:style>
  <w:style w:type="paragraph" w:styleId="Kopfzeile">
    <w:name w:val="header"/>
    <w:aliases w:val="ING Cover Header"/>
    <w:basedOn w:val="Standard"/>
    <w:link w:val="KopfzeileZchn"/>
    <w:rsid w:val="00F700E4"/>
    <w:pPr>
      <w:tabs>
        <w:tab w:val="center" w:pos="4536"/>
        <w:tab w:val="right" w:pos="9072"/>
      </w:tabs>
    </w:pPr>
  </w:style>
  <w:style w:type="paragraph" w:styleId="Fuzeile">
    <w:name w:val="footer"/>
    <w:basedOn w:val="Standard"/>
    <w:link w:val="FuzeileZchn"/>
    <w:uiPriority w:val="99"/>
    <w:rsid w:val="00F700E4"/>
    <w:pPr>
      <w:tabs>
        <w:tab w:val="center" w:pos="4536"/>
        <w:tab w:val="right" w:pos="9072"/>
      </w:tabs>
    </w:pPr>
  </w:style>
  <w:style w:type="character" w:styleId="Seitenzahl">
    <w:name w:val="page number"/>
    <w:basedOn w:val="Absatz-Standardschriftart"/>
    <w:rsid w:val="00F700E4"/>
  </w:style>
  <w:style w:type="paragraph" w:styleId="Sprechblasentext">
    <w:name w:val="Balloon Text"/>
    <w:basedOn w:val="Standard"/>
    <w:semiHidden/>
    <w:rsid w:val="00F700E4"/>
    <w:rPr>
      <w:rFonts w:ascii="Times New Roman" w:hAnsi="Times New Roman" w:cs="Times New Roman"/>
      <w:sz w:val="16"/>
      <w:szCs w:val="16"/>
    </w:rPr>
  </w:style>
  <w:style w:type="paragraph" w:styleId="Titel">
    <w:name w:val="Title"/>
    <w:basedOn w:val="Standard"/>
    <w:qFormat/>
    <w:rsid w:val="00F700E4"/>
    <w:pPr>
      <w:spacing w:line="240" w:lineRule="auto"/>
      <w:jc w:val="center"/>
    </w:pPr>
    <w:rPr>
      <w:rFonts w:ascii="Arial" w:hAnsi="Arial" w:cs="Arial"/>
      <w:b/>
      <w:bCs/>
      <w:sz w:val="24"/>
      <w:szCs w:val="24"/>
    </w:rPr>
  </w:style>
  <w:style w:type="character" w:customStyle="1" w:styleId="tw4winMark">
    <w:name w:val="tw4winMark"/>
    <w:rsid w:val="00F700E4"/>
    <w:rPr>
      <w:rFonts w:ascii="Courier New" w:hAnsi="Courier New" w:cs="Courier New"/>
      <w:vanish/>
      <w:color w:val="800080"/>
      <w:sz w:val="24"/>
      <w:szCs w:val="24"/>
      <w:vertAlign w:val="subscript"/>
    </w:rPr>
  </w:style>
  <w:style w:type="character" w:customStyle="1" w:styleId="tw4winError">
    <w:name w:val="tw4winError"/>
    <w:rsid w:val="00F700E4"/>
    <w:rPr>
      <w:rFonts w:ascii="Courier New" w:hAnsi="Courier New" w:cs="Courier New"/>
      <w:color w:val="00FF00"/>
      <w:sz w:val="40"/>
      <w:szCs w:val="40"/>
    </w:rPr>
  </w:style>
  <w:style w:type="character" w:customStyle="1" w:styleId="tw4winTerm">
    <w:name w:val="tw4winTerm"/>
    <w:rsid w:val="00F700E4"/>
    <w:rPr>
      <w:color w:val="0000FF"/>
    </w:rPr>
  </w:style>
  <w:style w:type="character" w:customStyle="1" w:styleId="tw4winPopup">
    <w:name w:val="tw4winPopup"/>
    <w:rsid w:val="00F700E4"/>
    <w:rPr>
      <w:rFonts w:ascii="Courier New" w:hAnsi="Courier New" w:cs="Courier New"/>
      <w:noProof/>
      <w:color w:val="008000"/>
    </w:rPr>
  </w:style>
  <w:style w:type="character" w:customStyle="1" w:styleId="tw4winJump">
    <w:name w:val="tw4winJump"/>
    <w:rsid w:val="00F700E4"/>
    <w:rPr>
      <w:rFonts w:ascii="Courier New" w:hAnsi="Courier New" w:cs="Courier New"/>
      <w:noProof/>
      <w:color w:val="008080"/>
    </w:rPr>
  </w:style>
  <w:style w:type="character" w:customStyle="1" w:styleId="tw4winExternal">
    <w:name w:val="tw4winExternal"/>
    <w:rsid w:val="00F700E4"/>
    <w:rPr>
      <w:rFonts w:ascii="Courier New" w:hAnsi="Courier New" w:cs="Courier New"/>
      <w:noProof/>
      <w:color w:val="808080"/>
    </w:rPr>
  </w:style>
  <w:style w:type="character" w:customStyle="1" w:styleId="tw4winInternal">
    <w:name w:val="tw4winInternal"/>
    <w:rsid w:val="00F700E4"/>
    <w:rPr>
      <w:rFonts w:ascii="Courier New" w:hAnsi="Courier New" w:cs="Courier New"/>
      <w:noProof/>
      <w:color w:val="FF0000"/>
    </w:rPr>
  </w:style>
  <w:style w:type="character" w:customStyle="1" w:styleId="DONOTTRANSLATE">
    <w:name w:val="DO_NOT_TRANSLATE"/>
    <w:rsid w:val="00F700E4"/>
    <w:rPr>
      <w:rFonts w:ascii="Courier New" w:hAnsi="Courier New" w:cs="Courier New"/>
      <w:noProof/>
      <w:color w:val="800000"/>
    </w:rPr>
  </w:style>
  <w:style w:type="paragraph" w:styleId="NurText">
    <w:name w:val="Plain Text"/>
    <w:basedOn w:val="Standard"/>
    <w:link w:val="NurTextZchn"/>
    <w:uiPriority w:val="99"/>
    <w:unhideWhenUsed/>
    <w:rsid w:val="00B55633"/>
    <w:pPr>
      <w:spacing w:line="240" w:lineRule="auto"/>
    </w:pPr>
    <w:rPr>
      <w:rFonts w:ascii="Consolas" w:eastAsia="Calibri" w:hAnsi="Consolas" w:cs="Times New Roman"/>
      <w:snapToGrid/>
      <w:sz w:val="21"/>
      <w:szCs w:val="21"/>
      <w:lang w:val="de-AT" w:eastAsia="en-US"/>
    </w:rPr>
  </w:style>
  <w:style w:type="character" w:customStyle="1" w:styleId="NurTextZchn">
    <w:name w:val="Nur Text Zchn"/>
    <w:basedOn w:val="Absatz-Standardschriftart"/>
    <w:link w:val="NurText"/>
    <w:uiPriority w:val="99"/>
    <w:rsid w:val="00B55633"/>
    <w:rPr>
      <w:rFonts w:ascii="Consolas" w:eastAsia="Calibri" w:hAnsi="Consolas" w:cs="Times New Roman"/>
      <w:sz w:val="21"/>
      <w:szCs w:val="21"/>
      <w:lang w:eastAsia="en-US"/>
    </w:rPr>
  </w:style>
  <w:style w:type="character" w:styleId="Hervorhebung">
    <w:name w:val="Emphasis"/>
    <w:basedOn w:val="Absatz-Standardschriftart"/>
    <w:uiPriority w:val="20"/>
    <w:qFormat/>
    <w:rsid w:val="008B1362"/>
    <w:rPr>
      <w:i/>
      <w:iCs/>
    </w:rPr>
  </w:style>
  <w:style w:type="paragraph" w:styleId="Listenabsatz">
    <w:name w:val="List Paragraph"/>
    <w:aliases w:val="Paragraphe EI,Paragraphe de liste1,EC"/>
    <w:basedOn w:val="Standard"/>
    <w:link w:val="ListenabsatzZchn"/>
    <w:uiPriority w:val="34"/>
    <w:qFormat/>
    <w:rsid w:val="00CD2A67"/>
    <w:pPr>
      <w:ind w:left="720"/>
      <w:contextualSpacing/>
    </w:pPr>
  </w:style>
  <w:style w:type="paragraph" w:styleId="StandardWeb">
    <w:name w:val="Normal (Web)"/>
    <w:basedOn w:val="Standard"/>
    <w:uiPriority w:val="99"/>
    <w:unhideWhenUsed/>
    <w:rsid w:val="00B63C71"/>
    <w:pPr>
      <w:spacing w:before="100" w:beforeAutospacing="1" w:after="100" w:afterAutospacing="1" w:line="240" w:lineRule="auto"/>
    </w:pPr>
    <w:rPr>
      <w:rFonts w:ascii="Times New Roman" w:eastAsiaTheme="minorHAnsi" w:hAnsi="Times New Roman" w:cs="Times New Roman"/>
      <w:snapToGrid/>
      <w:sz w:val="24"/>
      <w:szCs w:val="24"/>
      <w:lang w:val="de-AT"/>
    </w:rPr>
  </w:style>
  <w:style w:type="character" w:styleId="Fett">
    <w:name w:val="Strong"/>
    <w:basedOn w:val="Absatz-Standardschriftart"/>
    <w:uiPriority w:val="22"/>
    <w:qFormat/>
    <w:rsid w:val="00B63C71"/>
    <w:rPr>
      <w:b/>
      <w:bCs/>
    </w:rPr>
  </w:style>
  <w:style w:type="character" w:customStyle="1" w:styleId="FuzeileZchn">
    <w:name w:val="Fußzeile Zchn"/>
    <w:basedOn w:val="Absatz-Standardschriftart"/>
    <w:link w:val="Fuzeile"/>
    <w:uiPriority w:val="99"/>
    <w:rsid w:val="00ED2466"/>
    <w:rPr>
      <w:rFonts w:ascii="Trebuchet MS" w:hAnsi="Trebuchet MS" w:cs="Trebuchet MS"/>
      <w:snapToGrid w:val="0"/>
      <w:sz w:val="22"/>
      <w:szCs w:val="22"/>
      <w:lang w:val="de-DE"/>
    </w:rPr>
  </w:style>
  <w:style w:type="character" w:styleId="Hyperlink">
    <w:name w:val="Hyperlink"/>
    <w:basedOn w:val="Absatz-Standardschriftart"/>
    <w:rsid w:val="005B3FB7"/>
    <w:rPr>
      <w:color w:val="0000FF" w:themeColor="hyperlink"/>
      <w:u w:val="single"/>
    </w:rPr>
  </w:style>
  <w:style w:type="paragraph" w:customStyle="1" w:styleId="Default">
    <w:name w:val="Default"/>
    <w:uiPriority w:val="99"/>
    <w:rsid w:val="007755BF"/>
    <w:pPr>
      <w:widowControl w:val="0"/>
      <w:autoSpaceDE w:val="0"/>
      <w:autoSpaceDN w:val="0"/>
      <w:adjustRightInd w:val="0"/>
    </w:pPr>
    <w:rPr>
      <w:rFonts w:ascii="Arial" w:eastAsiaTheme="minorHAnsi" w:hAnsi="Arial" w:cs="Arial"/>
      <w:color w:val="000000"/>
      <w:sz w:val="24"/>
      <w:szCs w:val="24"/>
      <w:lang w:val="de-DE" w:eastAsia="en-US"/>
    </w:rPr>
  </w:style>
  <w:style w:type="character" w:customStyle="1" w:styleId="ListenabsatzZchn">
    <w:name w:val="Listenabsatz Zchn"/>
    <w:aliases w:val="Paragraphe EI Zchn,Paragraphe de liste1 Zchn,EC Zchn"/>
    <w:link w:val="Listenabsatz"/>
    <w:rsid w:val="005C7948"/>
    <w:rPr>
      <w:rFonts w:ascii="Trebuchet MS" w:hAnsi="Trebuchet MS" w:cs="Trebuchet MS"/>
      <w:snapToGrid w:val="0"/>
      <w:sz w:val="22"/>
      <w:szCs w:val="22"/>
      <w:lang w:val="de-DE"/>
    </w:rPr>
  </w:style>
  <w:style w:type="character" w:customStyle="1" w:styleId="KopfzeileZchn">
    <w:name w:val="Kopfzeile Zchn"/>
    <w:aliases w:val="ING Cover Header Zchn"/>
    <w:basedOn w:val="Absatz-Standardschriftart"/>
    <w:link w:val="Kopfzeile"/>
    <w:rsid w:val="00DC16B8"/>
    <w:rPr>
      <w:rFonts w:ascii="Trebuchet MS" w:hAnsi="Trebuchet MS" w:cs="Trebuchet MS"/>
      <w:snapToGrid w:val="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54276874">
      <w:bodyDiv w:val="1"/>
      <w:marLeft w:val="0"/>
      <w:marRight w:val="0"/>
      <w:marTop w:val="0"/>
      <w:marBottom w:val="0"/>
      <w:divBdr>
        <w:top w:val="none" w:sz="0" w:space="0" w:color="auto"/>
        <w:left w:val="none" w:sz="0" w:space="0" w:color="auto"/>
        <w:bottom w:val="none" w:sz="0" w:space="0" w:color="auto"/>
        <w:right w:val="none" w:sz="0" w:space="0" w:color="auto"/>
      </w:divBdr>
    </w:div>
    <w:div w:id="70200457">
      <w:bodyDiv w:val="1"/>
      <w:marLeft w:val="0"/>
      <w:marRight w:val="0"/>
      <w:marTop w:val="0"/>
      <w:marBottom w:val="0"/>
      <w:divBdr>
        <w:top w:val="none" w:sz="0" w:space="0" w:color="auto"/>
        <w:left w:val="none" w:sz="0" w:space="0" w:color="auto"/>
        <w:bottom w:val="none" w:sz="0" w:space="0" w:color="auto"/>
        <w:right w:val="none" w:sz="0" w:space="0" w:color="auto"/>
      </w:divBdr>
    </w:div>
    <w:div w:id="78412682">
      <w:bodyDiv w:val="1"/>
      <w:marLeft w:val="0"/>
      <w:marRight w:val="0"/>
      <w:marTop w:val="0"/>
      <w:marBottom w:val="0"/>
      <w:divBdr>
        <w:top w:val="none" w:sz="0" w:space="0" w:color="auto"/>
        <w:left w:val="none" w:sz="0" w:space="0" w:color="auto"/>
        <w:bottom w:val="none" w:sz="0" w:space="0" w:color="auto"/>
        <w:right w:val="none" w:sz="0" w:space="0" w:color="auto"/>
      </w:divBdr>
    </w:div>
    <w:div w:id="117992046">
      <w:bodyDiv w:val="1"/>
      <w:marLeft w:val="0"/>
      <w:marRight w:val="0"/>
      <w:marTop w:val="0"/>
      <w:marBottom w:val="0"/>
      <w:divBdr>
        <w:top w:val="none" w:sz="0" w:space="0" w:color="auto"/>
        <w:left w:val="none" w:sz="0" w:space="0" w:color="auto"/>
        <w:bottom w:val="none" w:sz="0" w:space="0" w:color="auto"/>
        <w:right w:val="none" w:sz="0" w:space="0" w:color="auto"/>
      </w:divBdr>
    </w:div>
    <w:div w:id="161164005">
      <w:bodyDiv w:val="1"/>
      <w:marLeft w:val="0"/>
      <w:marRight w:val="0"/>
      <w:marTop w:val="0"/>
      <w:marBottom w:val="0"/>
      <w:divBdr>
        <w:top w:val="none" w:sz="0" w:space="0" w:color="auto"/>
        <w:left w:val="none" w:sz="0" w:space="0" w:color="auto"/>
        <w:bottom w:val="none" w:sz="0" w:space="0" w:color="auto"/>
        <w:right w:val="none" w:sz="0" w:space="0" w:color="auto"/>
      </w:divBdr>
    </w:div>
    <w:div w:id="198661731">
      <w:bodyDiv w:val="1"/>
      <w:marLeft w:val="0"/>
      <w:marRight w:val="0"/>
      <w:marTop w:val="0"/>
      <w:marBottom w:val="0"/>
      <w:divBdr>
        <w:top w:val="none" w:sz="0" w:space="0" w:color="auto"/>
        <w:left w:val="none" w:sz="0" w:space="0" w:color="auto"/>
        <w:bottom w:val="none" w:sz="0" w:space="0" w:color="auto"/>
        <w:right w:val="none" w:sz="0" w:space="0" w:color="auto"/>
      </w:divBdr>
    </w:div>
    <w:div w:id="224804073">
      <w:bodyDiv w:val="1"/>
      <w:marLeft w:val="0"/>
      <w:marRight w:val="0"/>
      <w:marTop w:val="0"/>
      <w:marBottom w:val="0"/>
      <w:divBdr>
        <w:top w:val="none" w:sz="0" w:space="0" w:color="auto"/>
        <w:left w:val="none" w:sz="0" w:space="0" w:color="auto"/>
        <w:bottom w:val="none" w:sz="0" w:space="0" w:color="auto"/>
        <w:right w:val="none" w:sz="0" w:space="0" w:color="auto"/>
      </w:divBdr>
    </w:div>
    <w:div w:id="234628101">
      <w:bodyDiv w:val="1"/>
      <w:marLeft w:val="0"/>
      <w:marRight w:val="0"/>
      <w:marTop w:val="0"/>
      <w:marBottom w:val="0"/>
      <w:divBdr>
        <w:top w:val="none" w:sz="0" w:space="0" w:color="auto"/>
        <w:left w:val="none" w:sz="0" w:space="0" w:color="auto"/>
        <w:bottom w:val="none" w:sz="0" w:space="0" w:color="auto"/>
        <w:right w:val="none" w:sz="0" w:space="0" w:color="auto"/>
      </w:divBdr>
    </w:div>
    <w:div w:id="302588301">
      <w:bodyDiv w:val="1"/>
      <w:marLeft w:val="0"/>
      <w:marRight w:val="0"/>
      <w:marTop w:val="0"/>
      <w:marBottom w:val="0"/>
      <w:divBdr>
        <w:top w:val="none" w:sz="0" w:space="0" w:color="auto"/>
        <w:left w:val="none" w:sz="0" w:space="0" w:color="auto"/>
        <w:bottom w:val="none" w:sz="0" w:space="0" w:color="auto"/>
        <w:right w:val="none" w:sz="0" w:space="0" w:color="auto"/>
      </w:divBdr>
    </w:div>
    <w:div w:id="337125047">
      <w:bodyDiv w:val="1"/>
      <w:marLeft w:val="0"/>
      <w:marRight w:val="0"/>
      <w:marTop w:val="0"/>
      <w:marBottom w:val="0"/>
      <w:divBdr>
        <w:top w:val="none" w:sz="0" w:space="0" w:color="auto"/>
        <w:left w:val="none" w:sz="0" w:space="0" w:color="auto"/>
        <w:bottom w:val="none" w:sz="0" w:space="0" w:color="auto"/>
        <w:right w:val="none" w:sz="0" w:space="0" w:color="auto"/>
      </w:divBdr>
    </w:div>
    <w:div w:id="351954080">
      <w:bodyDiv w:val="1"/>
      <w:marLeft w:val="0"/>
      <w:marRight w:val="0"/>
      <w:marTop w:val="0"/>
      <w:marBottom w:val="0"/>
      <w:divBdr>
        <w:top w:val="none" w:sz="0" w:space="0" w:color="auto"/>
        <w:left w:val="none" w:sz="0" w:space="0" w:color="auto"/>
        <w:bottom w:val="none" w:sz="0" w:space="0" w:color="auto"/>
        <w:right w:val="none" w:sz="0" w:space="0" w:color="auto"/>
      </w:divBdr>
    </w:div>
    <w:div w:id="427432364">
      <w:bodyDiv w:val="1"/>
      <w:marLeft w:val="0"/>
      <w:marRight w:val="0"/>
      <w:marTop w:val="0"/>
      <w:marBottom w:val="0"/>
      <w:divBdr>
        <w:top w:val="none" w:sz="0" w:space="0" w:color="auto"/>
        <w:left w:val="none" w:sz="0" w:space="0" w:color="auto"/>
        <w:bottom w:val="none" w:sz="0" w:space="0" w:color="auto"/>
        <w:right w:val="none" w:sz="0" w:space="0" w:color="auto"/>
      </w:divBdr>
    </w:div>
    <w:div w:id="450175200">
      <w:bodyDiv w:val="1"/>
      <w:marLeft w:val="0"/>
      <w:marRight w:val="0"/>
      <w:marTop w:val="0"/>
      <w:marBottom w:val="0"/>
      <w:divBdr>
        <w:top w:val="none" w:sz="0" w:space="0" w:color="auto"/>
        <w:left w:val="none" w:sz="0" w:space="0" w:color="auto"/>
        <w:bottom w:val="none" w:sz="0" w:space="0" w:color="auto"/>
        <w:right w:val="none" w:sz="0" w:space="0" w:color="auto"/>
      </w:divBdr>
    </w:div>
    <w:div w:id="464276662">
      <w:bodyDiv w:val="1"/>
      <w:marLeft w:val="0"/>
      <w:marRight w:val="0"/>
      <w:marTop w:val="0"/>
      <w:marBottom w:val="0"/>
      <w:divBdr>
        <w:top w:val="none" w:sz="0" w:space="0" w:color="auto"/>
        <w:left w:val="none" w:sz="0" w:space="0" w:color="auto"/>
        <w:bottom w:val="none" w:sz="0" w:space="0" w:color="auto"/>
        <w:right w:val="none" w:sz="0" w:space="0" w:color="auto"/>
      </w:divBdr>
    </w:div>
    <w:div w:id="537739201">
      <w:bodyDiv w:val="1"/>
      <w:marLeft w:val="0"/>
      <w:marRight w:val="0"/>
      <w:marTop w:val="0"/>
      <w:marBottom w:val="0"/>
      <w:divBdr>
        <w:top w:val="none" w:sz="0" w:space="0" w:color="auto"/>
        <w:left w:val="none" w:sz="0" w:space="0" w:color="auto"/>
        <w:bottom w:val="none" w:sz="0" w:space="0" w:color="auto"/>
        <w:right w:val="none" w:sz="0" w:space="0" w:color="auto"/>
      </w:divBdr>
    </w:div>
    <w:div w:id="546066532">
      <w:bodyDiv w:val="1"/>
      <w:marLeft w:val="0"/>
      <w:marRight w:val="0"/>
      <w:marTop w:val="0"/>
      <w:marBottom w:val="0"/>
      <w:divBdr>
        <w:top w:val="none" w:sz="0" w:space="0" w:color="auto"/>
        <w:left w:val="none" w:sz="0" w:space="0" w:color="auto"/>
        <w:bottom w:val="none" w:sz="0" w:space="0" w:color="auto"/>
        <w:right w:val="none" w:sz="0" w:space="0" w:color="auto"/>
      </w:divBdr>
    </w:div>
    <w:div w:id="601913484">
      <w:bodyDiv w:val="1"/>
      <w:marLeft w:val="0"/>
      <w:marRight w:val="0"/>
      <w:marTop w:val="0"/>
      <w:marBottom w:val="0"/>
      <w:divBdr>
        <w:top w:val="none" w:sz="0" w:space="0" w:color="auto"/>
        <w:left w:val="none" w:sz="0" w:space="0" w:color="auto"/>
        <w:bottom w:val="none" w:sz="0" w:space="0" w:color="auto"/>
        <w:right w:val="none" w:sz="0" w:space="0" w:color="auto"/>
      </w:divBdr>
    </w:div>
    <w:div w:id="674309752">
      <w:bodyDiv w:val="1"/>
      <w:marLeft w:val="0"/>
      <w:marRight w:val="0"/>
      <w:marTop w:val="0"/>
      <w:marBottom w:val="0"/>
      <w:divBdr>
        <w:top w:val="none" w:sz="0" w:space="0" w:color="auto"/>
        <w:left w:val="none" w:sz="0" w:space="0" w:color="auto"/>
        <w:bottom w:val="none" w:sz="0" w:space="0" w:color="auto"/>
        <w:right w:val="none" w:sz="0" w:space="0" w:color="auto"/>
      </w:divBdr>
    </w:div>
    <w:div w:id="678191585">
      <w:bodyDiv w:val="1"/>
      <w:marLeft w:val="0"/>
      <w:marRight w:val="0"/>
      <w:marTop w:val="0"/>
      <w:marBottom w:val="0"/>
      <w:divBdr>
        <w:top w:val="none" w:sz="0" w:space="0" w:color="auto"/>
        <w:left w:val="none" w:sz="0" w:space="0" w:color="auto"/>
        <w:bottom w:val="none" w:sz="0" w:space="0" w:color="auto"/>
        <w:right w:val="none" w:sz="0" w:space="0" w:color="auto"/>
      </w:divBdr>
    </w:div>
    <w:div w:id="769204917">
      <w:bodyDiv w:val="1"/>
      <w:marLeft w:val="0"/>
      <w:marRight w:val="0"/>
      <w:marTop w:val="0"/>
      <w:marBottom w:val="0"/>
      <w:divBdr>
        <w:top w:val="none" w:sz="0" w:space="0" w:color="auto"/>
        <w:left w:val="none" w:sz="0" w:space="0" w:color="auto"/>
        <w:bottom w:val="none" w:sz="0" w:space="0" w:color="auto"/>
        <w:right w:val="none" w:sz="0" w:space="0" w:color="auto"/>
      </w:divBdr>
    </w:div>
    <w:div w:id="771054331">
      <w:bodyDiv w:val="1"/>
      <w:marLeft w:val="0"/>
      <w:marRight w:val="0"/>
      <w:marTop w:val="0"/>
      <w:marBottom w:val="0"/>
      <w:divBdr>
        <w:top w:val="none" w:sz="0" w:space="0" w:color="auto"/>
        <w:left w:val="none" w:sz="0" w:space="0" w:color="auto"/>
        <w:bottom w:val="none" w:sz="0" w:space="0" w:color="auto"/>
        <w:right w:val="none" w:sz="0" w:space="0" w:color="auto"/>
      </w:divBdr>
    </w:div>
    <w:div w:id="815998986">
      <w:bodyDiv w:val="1"/>
      <w:marLeft w:val="0"/>
      <w:marRight w:val="0"/>
      <w:marTop w:val="0"/>
      <w:marBottom w:val="0"/>
      <w:divBdr>
        <w:top w:val="none" w:sz="0" w:space="0" w:color="auto"/>
        <w:left w:val="none" w:sz="0" w:space="0" w:color="auto"/>
        <w:bottom w:val="none" w:sz="0" w:space="0" w:color="auto"/>
        <w:right w:val="none" w:sz="0" w:space="0" w:color="auto"/>
      </w:divBdr>
    </w:div>
    <w:div w:id="855340421">
      <w:bodyDiv w:val="1"/>
      <w:marLeft w:val="0"/>
      <w:marRight w:val="0"/>
      <w:marTop w:val="0"/>
      <w:marBottom w:val="0"/>
      <w:divBdr>
        <w:top w:val="none" w:sz="0" w:space="0" w:color="auto"/>
        <w:left w:val="none" w:sz="0" w:space="0" w:color="auto"/>
        <w:bottom w:val="none" w:sz="0" w:space="0" w:color="auto"/>
        <w:right w:val="none" w:sz="0" w:space="0" w:color="auto"/>
      </w:divBdr>
    </w:div>
    <w:div w:id="862595549">
      <w:bodyDiv w:val="1"/>
      <w:marLeft w:val="0"/>
      <w:marRight w:val="0"/>
      <w:marTop w:val="0"/>
      <w:marBottom w:val="0"/>
      <w:divBdr>
        <w:top w:val="none" w:sz="0" w:space="0" w:color="auto"/>
        <w:left w:val="none" w:sz="0" w:space="0" w:color="auto"/>
        <w:bottom w:val="none" w:sz="0" w:space="0" w:color="auto"/>
        <w:right w:val="none" w:sz="0" w:space="0" w:color="auto"/>
      </w:divBdr>
    </w:div>
    <w:div w:id="883759583">
      <w:bodyDiv w:val="1"/>
      <w:marLeft w:val="0"/>
      <w:marRight w:val="0"/>
      <w:marTop w:val="0"/>
      <w:marBottom w:val="0"/>
      <w:divBdr>
        <w:top w:val="none" w:sz="0" w:space="0" w:color="auto"/>
        <w:left w:val="none" w:sz="0" w:space="0" w:color="auto"/>
        <w:bottom w:val="none" w:sz="0" w:space="0" w:color="auto"/>
        <w:right w:val="none" w:sz="0" w:space="0" w:color="auto"/>
      </w:divBdr>
    </w:div>
    <w:div w:id="903637825">
      <w:bodyDiv w:val="1"/>
      <w:marLeft w:val="0"/>
      <w:marRight w:val="0"/>
      <w:marTop w:val="0"/>
      <w:marBottom w:val="0"/>
      <w:divBdr>
        <w:top w:val="none" w:sz="0" w:space="0" w:color="auto"/>
        <w:left w:val="none" w:sz="0" w:space="0" w:color="auto"/>
        <w:bottom w:val="none" w:sz="0" w:space="0" w:color="auto"/>
        <w:right w:val="none" w:sz="0" w:space="0" w:color="auto"/>
      </w:divBdr>
    </w:div>
    <w:div w:id="914778966">
      <w:bodyDiv w:val="1"/>
      <w:marLeft w:val="0"/>
      <w:marRight w:val="0"/>
      <w:marTop w:val="0"/>
      <w:marBottom w:val="0"/>
      <w:divBdr>
        <w:top w:val="none" w:sz="0" w:space="0" w:color="auto"/>
        <w:left w:val="none" w:sz="0" w:space="0" w:color="auto"/>
        <w:bottom w:val="none" w:sz="0" w:space="0" w:color="auto"/>
        <w:right w:val="none" w:sz="0" w:space="0" w:color="auto"/>
      </w:divBdr>
    </w:div>
    <w:div w:id="958217177">
      <w:bodyDiv w:val="1"/>
      <w:marLeft w:val="0"/>
      <w:marRight w:val="0"/>
      <w:marTop w:val="0"/>
      <w:marBottom w:val="0"/>
      <w:divBdr>
        <w:top w:val="none" w:sz="0" w:space="0" w:color="auto"/>
        <w:left w:val="none" w:sz="0" w:space="0" w:color="auto"/>
        <w:bottom w:val="none" w:sz="0" w:space="0" w:color="auto"/>
        <w:right w:val="none" w:sz="0" w:space="0" w:color="auto"/>
      </w:divBdr>
    </w:div>
    <w:div w:id="978919423">
      <w:bodyDiv w:val="1"/>
      <w:marLeft w:val="0"/>
      <w:marRight w:val="0"/>
      <w:marTop w:val="0"/>
      <w:marBottom w:val="0"/>
      <w:divBdr>
        <w:top w:val="none" w:sz="0" w:space="0" w:color="auto"/>
        <w:left w:val="none" w:sz="0" w:space="0" w:color="auto"/>
        <w:bottom w:val="none" w:sz="0" w:space="0" w:color="auto"/>
        <w:right w:val="none" w:sz="0" w:space="0" w:color="auto"/>
      </w:divBdr>
    </w:div>
    <w:div w:id="1006325011">
      <w:bodyDiv w:val="1"/>
      <w:marLeft w:val="0"/>
      <w:marRight w:val="0"/>
      <w:marTop w:val="0"/>
      <w:marBottom w:val="0"/>
      <w:divBdr>
        <w:top w:val="none" w:sz="0" w:space="0" w:color="auto"/>
        <w:left w:val="none" w:sz="0" w:space="0" w:color="auto"/>
        <w:bottom w:val="none" w:sz="0" w:space="0" w:color="auto"/>
        <w:right w:val="none" w:sz="0" w:space="0" w:color="auto"/>
      </w:divBdr>
    </w:div>
    <w:div w:id="1087001069">
      <w:bodyDiv w:val="1"/>
      <w:marLeft w:val="0"/>
      <w:marRight w:val="0"/>
      <w:marTop w:val="0"/>
      <w:marBottom w:val="0"/>
      <w:divBdr>
        <w:top w:val="none" w:sz="0" w:space="0" w:color="auto"/>
        <w:left w:val="none" w:sz="0" w:space="0" w:color="auto"/>
        <w:bottom w:val="none" w:sz="0" w:space="0" w:color="auto"/>
        <w:right w:val="none" w:sz="0" w:space="0" w:color="auto"/>
      </w:divBdr>
    </w:div>
    <w:div w:id="1175993054">
      <w:bodyDiv w:val="1"/>
      <w:marLeft w:val="0"/>
      <w:marRight w:val="0"/>
      <w:marTop w:val="0"/>
      <w:marBottom w:val="0"/>
      <w:divBdr>
        <w:top w:val="none" w:sz="0" w:space="0" w:color="auto"/>
        <w:left w:val="none" w:sz="0" w:space="0" w:color="auto"/>
        <w:bottom w:val="none" w:sz="0" w:space="0" w:color="auto"/>
        <w:right w:val="none" w:sz="0" w:space="0" w:color="auto"/>
      </w:divBdr>
    </w:div>
    <w:div w:id="1209225123">
      <w:bodyDiv w:val="1"/>
      <w:marLeft w:val="0"/>
      <w:marRight w:val="0"/>
      <w:marTop w:val="0"/>
      <w:marBottom w:val="0"/>
      <w:divBdr>
        <w:top w:val="none" w:sz="0" w:space="0" w:color="auto"/>
        <w:left w:val="none" w:sz="0" w:space="0" w:color="auto"/>
        <w:bottom w:val="none" w:sz="0" w:space="0" w:color="auto"/>
        <w:right w:val="none" w:sz="0" w:space="0" w:color="auto"/>
      </w:divBdr>
    </w:div>
    <w:div w:id="1210145135">
      <w:bodyDiv w:val="1"/>
      <w:marLeft w:val="0"/>
      <w:marRight w:val="0"/>
      <w:marTop w:val="0"/>
      <w:marBottom w:val="0"/>
      <w:divBdr>
        <w:top w:val="none" w:sz="0" w:space="0" w:color="auto"/>
        <w:left w:val="none" w:sz="0" w:space="0" w:color="auto"/>
        <w:bottom w:val="none" w:sz="0" w:space="0" w:color="auto"/>
        <w:right w:val="none" w:sz="0" w:space="0" w:color="auto"/>
      </w:divBdr>
    </w:div>
    <w:div w:id="1213736892">
      <w:bodyDiv w:val="1"/>
      <w:marLeft w:val="0"/>
      <w:marRight w:val="0"/>
      <w:marTop w:val="0"/>
      <w:marBottom w:val="0"/>
      <w:divBdr>
        <w:top w:val="none" w:sz="0" w:space="0" w:color="auto"/>
        <w:left w:val="none" w:sz="0" w:space="0" w:color="auto"/>
        <w:bottom w:val="none" w:sz="0" w:space="0" w:color="auto"/>
        <w:right w:val="none" w:sz="0" w:space="0" w:color="auto"/>
      </w:divBdr>
    </w:div>
    <w:div w:id="1283347804">
      <w:bodyDiv w:val="1"/>
      <w:marLeft w:val="0"/>
      <w:marRight w:val="0"/>
      <w:marTop w:val="0"/>
      <w:marBottom w:val="0"/>
      <w:divBdr>
        <w:top w:val="none" w:sz="0" w:space="0" w:color="auto"/>
        <w:left w:val="none" w:sz="0" w:space="0" w:color="auto"/>
        <w:bottom w:val="none" w:sz="0" w:space="0" w:color="auto"/>
        <w:right w:val="none" w:sz="0" w:space="0" w:color="auto"/>
      </w:divBdr>
    </w:div>
    <w:div w:id="1285620305">
      <w:bodyDiv w:val="1"/>
      <w:marLeft w:val="0"/>
      <w:marRight w:val="0"/>
      <w:marTop w:val="0"/>
      <w:marBottom w:val="0"/>
      <w:divBdr>
        <w:top w:val="none" w:sz="0" w:space="0" w:color="auto"/>
        <w:left w:val="none" w:sz="0" w:space="0" w:color="auto"/>
        <w:bottom w:val="none" w:sz="0" w:space="0" w:color="auto"/>
        <w:right w:val="none" w:sz="0" w:space="0" w:color="auto"/>
      </w:divBdr>
    </w:div>
    <w:div w:id="1375353865">
      <w:bodyDiv w:val="1"/>
      <w:marLeft w:val="0"/>
      <w:marRight w:val="0"/>
      <w:marTop w:val="0"/>
      <w:marBottom w:val="0"/>
      <w:divBdr>
        <w:top w:val="none" w:sz="0" w:space="0" w:color="auto"/>
        <w:left w:val="none" w:sz="0" w:space="0" w:color="auto"/>
        <w:bottom w:val="none" w:sz="0" w:space="0" w:color="auto"/>
        <w:right w:val="none" w:sz="0" w:space="0" w:color="auto"/>
      </w:divBdr>
    </w:div>
    <w:div w:id="1401950921">
      <w:bodyDiv w:val="1"/>
      <w:marLeft w:val="0"/>
      <w:marRight w:val="0"/>
      <w:marTop w:val="0"/>
      <w:marBottom w:val="0"/>
      <w:divBdr>
        <w:top w:val="none" w:sz="0" w:space="0" w:color="auto"/>
        <w:left w:val="none" w:sz="0" w:space="0" w:color="auto"/>
        <w:bottom w:val="none" w:sz="0" w:space="0" w:color="auto"/>
        <w:right w:val="none" w:sz="0" w:space="0" w:color="auto"/>
      </w:divBdr>
    </w:div>
    <w:div w:id="1436289696">
      <w:bodyDiv w:val="1"/>
      <w:marLeft w:val="0"/>
      <w:marRight w:val="0"/>
      <w:marTop w:val="0"/>
      <w:marBottom w:val="0"/>
      <w:divBdr>
        <w:top w:val="none" w:sz="0" w:space="0" w:color="auto"/>
        <w:left w:val="none" w:sz="0" w:space="0" w:color="auto"/>
        <w:bottom w:val="none" w:sz="0" w:space="0" w:color="auto"/>
        <w:right w:val="none" w:sz="0" w:space="0" w:color="auto"/>
      </w:divBdr>
    </w:div>
    <w:div w:id="1557163446">
      <w:bodyDiv w:val="1"/>
      <w:marLeft w:val="0"/>
      <w:marRight w:val="0"/>
      <w:marTop w:val="0"/>
      <w:marBottom w:val="0"/>
      <w:divBdr>
        <w:top w:val="none" w:sz="0" w:space="0" w:color="auto"/>
        <w:left w:val="none" w:sz="0" w:space="0" w:color="auto"/>
        <w:bottom w:val="none" w:sz="0" w:space="0" w:color="auto"/>
        <w:right w:val="none" w:sz="0" w:space="0" w:color="auto"/>
      </w:divBdr>
    </w:div>
    <w:div w:id="1572078641">
      <w:bodyDiv w:val="1"/>
      <w:marLeft w:val="0"/>
      <w:marRight w:val="0"/>
      <w:marTop w:val="0"/>
      <w:marBottom w:val="0"/>
      <w:divBdr>
        <w:top w:val="none" w:sz="0" w:space="0" w:color="auto"/>
        <w:left w:val="none" w:sz="0" w:space="0" w:color="auto"/>
        <w:bottom w:val="none" w:sz="0" w:space="0" w:color="auto"/>
        <w:right w:val="none" w:sz="0" w:space="0" w:color="auto"/>
      </w:divBdr>
    </w:div>
    <w:div w:id="1581714927">
      <w:bodyDiv w:val="1"/>
      <w:marLeft w:val="0"/>
      <w:marRight w:val="0"/>
      <w:marTop w:val="0"/>
      <w:marBottom w:val="0"/>
      <w:divBdr>
        <w:top w:val="none" w:sz="0" w:space="0" w:color="auto"/>
        <w:left w:val="none" w:sz="0" w:space="0" w:color="auto"/>
        <w:bottom w:val="none" w:sz="0" w:space="0" w:color="auto"/>
        <w:right w:val="none" w:sz="0" w:space="0" w:color="auto"/>
      </w:divBdr>
    </w:div>
    <w:div w:id="1606305908">
      <w:bodyDiv w:val="1"/>
      <w:marLeft w:val="0"/>
      <w:marRight w:val="0"/>
      <w:marTop w:val="0"/>
      <w:marBottom w:val="0"/>
      <w:divBdr>
        <w:top w:val="none" w:sz="0" w:space="0" w:color="auto"/>
        <w:left w:val="none" w:sz="0" w:space="0" w:color="auto"/>
        <w:bottom w:val="none" w:sz="0" w:space="0" w:color="auto"/>
        <w:right w:val="none" w:sz="0" w:space="0" w:color="auto"/>
      </w:divBdr>
    </w:div>
    <w:div w:id="1660037952">
      <w:bodyDiv w:val="1"/>
      <w:marLeft w:val="0"/>
      <w:marRight w:val="0"/>
      <w:marTop w:val="0"/>
      <w:marBottom w:val="0"/>
      <w:divBdr>
        <w:top w:val="none" w:sz="0" w:space="0" w:color="auto"/>
        <w:left w:val="none" w:sz="0" w:space="0" w:color="auto"/>
        <w:bottom w:val="none" w:sz="0" w:space="0" w:color="auto"/>
        <w:right w:val="none" w:sz="0" w:space="0" w:color="auto"/>
      </w:divBdr>
    </w:div>
    <w:div w:id="1832208781">
      <w:bodyDiv w:val="1"/>
      <w:marLeft w:val="0"/>
      <w:marRight w:val="0"/>
      <w:marTop w:val="0"/>
      <w:marBottom w:val="0"/>
      <w:divBdr>
        <w:top w:val="none" w:sz="0" w:space="0" w:color="auto"/>
        <w:left w:val="none" w:sz="0" w:space="0" w:color="auto"/>
        <w:bottom w:val="none" w:sz="0" w:space="0" w:color="auto"/>
        <w:right w:val="none" w:sz="0" w:space="0" w:color="auto"/>
      </w:divBdr>
    </w:div>
    <w:div w:id="1841189066">
      <w:bodyDiv w:val="1"/>
      <w:marLeft w:val="0"/>
      <w:marRight w:val="0"/>
      <w:marTop w:val="0"/>
      <w:marBottom w:val="0"/>
      <w:divBdr>
        <w:top w:val="none" w:sz="0" w:space="0" w:color="auto"/>
        <w:left w:val="none" w:sz="0" w:space="0" w:color="auto"/>
        <w:bottom w:val="none" w:sz="0" w:space="0" w:color="auto"/>
        <w:right w:val="none" w:sz="0" w:space="0" w:color="auto"/>
      </w:divBdr>
    </w:div>
    <w:div w:id="1955208613">
      <w:bodyDiv w:val="1"/>
      <w:marLeft w:val="0"/>
      <w:marRight w:val="0"/>
      <w:marTop w:val="0"/>
      <w:marBottom w:val="0"/>
      <w:divBdr>
        <w:top w:val="none" w:sz="0" w:space="0" w:color="auto"/>
        <w:left w:val="none" w:sz="0" w:space="0" w:color="auto"/>
        <w:bottom w:val="none" w:sz="0" w:space="0" w:color="auto"/>
        <w:right w:val="none" w:sz="0" w:space="0" w:color="auto"/>
      </w:divBdr>
    </w:div>
    <w:div w:id="1970088177">
      <w:bodyDiv w:val="1"/>
      <w:marLeft w:val="0"/>
      <w:marRight w:val="0"/>
      <w:marTop w:val="0"/>
      <w:marBottom w:val="0"/>
      <w:divBdr>
        <w:top w:val="none" w:sz="0" w:space="0" w:color="auto"/>
        <w:left w:val="none" w:sz="0" w:space="0" w:color="auto"/>
        <w:bottom w:val="none" w:sz="0" w:space="0" w:color="auto"/>
        <w:right w:val="none" w:sz="0" w:space="0" w:color="auto"/>
      </w:divBdr>
    </w:div>
    <w:div w:id="1998993635">
      <w:bodyDiv w:val="1"/>
      <w:marLeft w:val="0"/>
      <w:marRight w:val="0"/>
      <w:marTop w:val="0"/>
      <w:marBottom w:val="0"/>
      <w:divBdr>
        <w:top w:val="none" w:sz="0" w:space="0" w:color="auto"/>
        <w:left w:val="none" w:sz="0" w:space="0" w:color="auto"/>
        <w:bottom w:val="none" w:sz="0" w:space="0" w:color="auto"/>
        <w:right w:val="none" w:sz="0" w:space="0" w:color="auto"/>
      </w:divBdr>
    </w:div>
    <w:div w:id="2025087811">
      <w:bodyDiv w:val="1"/>
      <w:marLeft w:val="0"/>
      <w:marRight w:val="0"/>
      <w:marTop w:val="0"/>
      <w:marBottom w:val="0"/>
      <w:divBdr>
        <w:top w:val="none" w:sz="0" w:space="0" w:color="auto"/>
        <w:left w:val="none" w:sz="0" w:space="0" w:color="auto"/>
        <w:bottom w:val="none" w:sz="0" w:space="0" w:color="auto"/>
        <w:right w:val="none" w:sz="0" w:space="0" w:color="auto"/>
      </w:divBdr>
    </w:div>
    <w:div w:id="2134983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294B70-58B1-4ECB-88DA-E8F5D6FCF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3322</Words>
  <Characters>18075</Characters>
  <Application>Microsoft Office Word</Application>
  <DocSecurity>0</DocSecurity>
  <Lines>150</Lines>
  <Paragraphs>42</Paragraphs>
  <ScaleCrop>false</ScaleCrop>
  <HeadingPairs>
    <vt:vector size="2" baseType="variant">
      <vt:variant>
        <vt:lpstr>Titel</vt:lpstr>
      </vt:variant>
      <vt:variant>
        <vt:i4>1</vt:i4>
      </vt:variant>
    </vt:vector>
  </HeadingPairs>
  <TitlesOfParts>
    <vt:vector size="1" baseType="lpstr">
      <vt:lpstr>Translation: www.brainstorm.at</vt:lpstr>
    </vt:vector>
  </TitlesOfParts>
  <Company>Translation: www.brainstorm.at</Company>
  <LinksUpToDate>false</LinksUpToDate>
  <CharactersWithSpaces>21355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Translation: www.brainstorm.at</dc:title>
  <dc:creator>Manuela Bruck</dc:creator>
  <dc:description>Translation: www.brainstorm.at</dc:description>
  <cp:lastModifiedBy>Horvath Philipp, LL.M., WKÖ BSBV</cp:lastModifiedBy>
  <cp:revision>11</cp:revision>
  <cp:lastPrinted>2016-12-22T09:47:00Z</cp:lastPrinted>
  <dcterms:created xsi:type="dcterms:W3CDTF">2016-12-22T07:06:00Z</dcterms:created>
  <dcterms:modified xsi:type="dcterms:W3CDTF">2016-12-22T10:53:00Z</dcterms:modified>
  <cp:category>Translation: www.brainstorm.at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anslation">
    <vt:lpwstr>Translation: www.brainstorm.at</vt:lpwstr>
  </property>
</Properties>
</file>