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E8" w:rsidRPr="00B50514" w:rsidRDefault="006E41E8" w:rsidP="00B50514">
      <w:pPr>
        <w:pStyle w:val="NormaleWeb"/>
        <w:spacing w:before="0" w:beforeAutospacing="0" w:after="120" w:afterAutospacing="0" w:line="280" w:lineRule="atLeast"/>
        <w:rPr>
          <w:rFonts w:asciiTheme="majorHAnsi" w:hAnsiTheme="majorHAnsi" w:cs="Arial"/>
          <w:sz w:val="22"/>
          <w:szCs w:val="22"/>
          <w:lang w:val="en-GB"/>
        </w:rPr>
      </w:pPr>
    </w:p>
    <w:p w:rsidR="006E41E8" w:rsidRPr="006E41E8" w:rsidRDefault="00B50514" w:rsidP="006E41E8">
      <w:pPr>
        <w:pStyle w:val="NormaleWeb"/>
        <w:spacing w:before="0" w:beforeAutospacing="0" w:after="120" w:afterAutospacing="0" w:line="280" w:lineRule="atLeast"/>
        <w:jc w:val="center"/>
        <w:rPr>
          <w:rFonts w:asciiTheme="majorHAnsi" w:hAnsiTheme="majorHAnsi" w:cs="Arial"/>
          <w:b/>
          <w:sz w:val="48"/>
          <w:szCs w:val="48"/>
          <w:lang w:val="en-GB"/>
        </w:rPr>
      </w:pPr>
      <w:r w:rsidRPr="006E41E8">
        <w:rPr>
          <w:rFonts w:asciiTheme="majorHAnsi" w:hAnsiTheme="majorHAnsi" w:cs="Arial"/>
          <w:b/>
          <w:sz w:val="48"/>
          <w:szCs w:val="48"/>
          <w:lang w:val="en-GB"/>
        </w:rPr>
        <w:t>FECIF Statement</w:t>
      </w:r>
      <w:r w:rsidR="006E41E8" w:rsidRPr="006E41E8">
        <w:rPr>
          <w:rFonts w:asciiTheme="majorHAnsi" w:hAnsiTheme="majorHAnsi" w:cs="Arial"/>
          <w:b/>
          <w:sz w:val="48"/>
          <w:szCs w:val="48"/>
          <w:lang w:val="en-GB"/>
        </w:rPr>
        <w:t xml:space="preserve"> </w:t>
      </w:r>
    </w:p>
    <w:p w:rsidR="00B50514" w:rsidRDefault="006E41E8" w:rsidP="006E41E8">
      <w:pPr>
        <w:pStyle w:val="NormaleWeb"/>
        <w:spacing w:before="0" w:beforeAutospacing="0" w:after="120" w:afterAutospacing="0" w:line="280" w:lineRule="atLeast"/>
        <w:jc w:val="center"/>
        <w:rPr>
          <w:rFonts w:asciiTheme="majorHAnsi" w:hAnsiTheme="majorHAnsi" w:cs="Arial"/>
          <w:b/>
          <w:i/>
          <w:lang w:val="en-GB"/>
        </w:rPr>
      </w:pPr>
      <w:r>
        <w:rPr>
          <w:rFonts w:asciiTheme="majorHAnsi" w:hAnsiTheme="majorHAnsi" w:cs="Arial"/>
          <w:b/>
          <w:i/>
          <w:lang w:val="en-GB"/>
        </w:rPr>
        <w:t>(December 2016)</w:t>
      </w:r>
    </w:p>
    <w:p w:rsidR="006E41E8" w:rsidRDefault="006E41E8" w:rsidP="006E41E8">
      <w:pPr>
        <w:pStyle w:val="NormaleWeb"/>
        <w:spacing w:before="0" w:beforeAutospacing="0" w:after="120" w:afterAutospacing="0" w:line="280" w:lineRule="atLeast"/>
        <w:jc w:val="center"/>
        <w:rPr>
          <w:rFonts w:asciiTheme="majorHAnsi" w:hAnsiTheme="majorHAnsi" w:cs="Arial"/>
          <w:b/>
          <w:lang w:val="en-GB"/>
        </w:rPr>
      </w:pPr>
    </w:p>
    <w:p w:rsidR="006E41E8" w:rsidRPr="006E41E8" w:rsidRDefault="006E41E8" w:rsidP="006E41E8">
      <w:pPr>
        <w:pStyle w:val="NormaleWeb"/>
        <w:spacing w:before="0" w:beforeAutospacing="0" w:after="120" w:afterAutospacing="0" w:line="280" w:lineRule="atLeast"/>
        <w:jc w:val="center"/>
        <w:rPr>
          <w:rFonts w:asciiTheme="majorHAnsi" w:hAnsiTheme="majorHAnsi" w:cs="Arial"/>
          <w:b/>
          <w:lang w:val="en-GB"/>
        </w:rPr>
      </w:pPr>
      <w:r w:rsidRPr="006E41E8">
        <w:rPr>
          <w:rFonts w:asciiTheme="majorHAnsi" w:hAnsiTheme="majorHAnsi" w:cs="Arial"/>
          <w:b/>
          <w:lang w:val="en-GB"/>
        </w:rPr>
        <w:t>on the</w:t>
      </w:r>
    </w:p>
    <w:p w:rsidR="00B50514" w:rsidRPr="006E41E8" w:rsidRDefault="00B50514" w:rsidP="006E41E8">
      <w:pPr>
        <w:pStyle w:val="NormaleWeb"/>
        <w:spacing w:before="0" w:beforeAutospacing="0" w:after="120" w:afterAutospacing="0" w:line="280" w:lineRule="atLeast"/>
        <w:jc w:val="center"/>
        <w:rPr>
          <w:rFonts w:asciiTheme="majorHAnsi" w:hAnsiTheme="majorHAnsi" w:cs="Arial"/>
          <w:b/>
          <w:lang w:val="en-GB"/>
        </w:rPr>
      </w:pPr>
      <w:r w:rsidRPr="006E41E8">
        <w:rPr>
          <w:rFonts w:asciiTheme="majorHAnsi" w:hAnsiTheme="majorHAnsi" w:cs="Arial"/>
          <w:b/>
          <w:lang w:val="en-GB"/>
        </w:rPr>
        <w:t xml:space="preserve">ESMA Consultation </w:t>
      </w:r>
    </w:p>
    <w:p w:rsidR="00B50514" w:rsidRPr="006E41E8" w:rsidRDefault="00B50514" w:rsidP="00B50514">
      <w:pPr>
        <w:pStyle w:val="NormaleWeb"/>
        <w:spacing w:before="0" w:beforeAutospacing="0" w:after="120" w:afterAutospacing="0" w:line="280" w:lineRule="atLeast"/>
        <w:jc w:val="center"/>
        <w:rPr>
          <w:rFonts w:asciiTheme="majorHAnsi" w:hAnsiTheme="majorHAnsi" w:cs="Arial"/>
          <w:b/>
          <w:sz w:val="48"/>
          <w:szCs w:val="48"/>
          <w:lang w:val="en-GB"/>
        </w:rPr>
      </w:pPr>
      <w:r w:rsidRPr="006E41E8">
        <w:rPr>
          <w:rFonts w:asciiTheme="majorHAnsi" w:hAnsiTheme="majorHAnsi" w:cs="Arial"/>
          <w:b/>
          <w:sz w:val="48"/>
          <w:szCs w:val="48"/>
          <w:lang w:val="en-GB"/>
        </w:rPr>
        <w:t>Draft guidelines on MiFID II product governance requirements</w:t>
      </w:r>
    </w:p>
    <w:p w:rsidR="00B50514" w:rsidRDefault="006E41E8" w:rsidP="00B50514">
      <w:pPr>
        <w:pStyle w:val="NormaleWeb"/>
        <w:spacing w:before="0" w:beforeAutospacing="0" w:after="120" w:afterAutospacing="0" w:line="280" w:lineRule="atLeast"/>
        <w:jc w:val="center"/>
        <w:rPr>
          <w:rFonts w:asciiTheme="majorHAnsi" w:hAnsiTheme="majorHAnsi" w:cs="Arial"/>
          <w:b/>
          <w:i/>
          <w:lang w:val="en-GB"/>
        </w:rPr>
      </w:pPr>
      <w:r>
        <w:rPr>
          <w:rFonts w:asciiTheme="majorHAnsi" w:hAnsiTheme="majorHAnsi" w:cs="Arial"/>
          <w:b/>
          <w:i/>
          <w:lang w:val="en-GB"/>
        </w:rPr>
        <w:t>(</w:t>
      </w:r>
      <w:r w:rsidR="00B50514">
        <w:rPr>
          <w:rFonts w:asciiTheme="majorHAnsi" w:hAnsiTheme="majorHAnsi" w:cs="Arial"/>
          <w:b/>
          <w:i/>
          <w:lang w:val="en-GB"/>
        </w:rPr>
        <w:t xml:space="preserve">5. October </w:t>
      </w:r>
      <w:r>
        <w:rPr>
          <w:rFonts w:asciiTheme="majorHAnsi" w:hAnsiTheme="majorHAnsi" w:cs="Arial"/>
          <w:b/>
          <w:i/>
          <w:lang w:val="en-GB"/>
        </w:rPr>
        <w:t>2016, ESMA/</w:t>
      </w:r>
      <w:r w:rsidR="00B50514" w:rsidRPr="00B50514">
        <w:rPr>
          <w:rFonts w:asciiTheme="majorHAnsi" w:hAnsiTheme="majorHAnsi" w:cs="Arial"/>
          <w:b/>
          <w:i/>
          <w:lang w:val="en-GB"/>
        </w:rPr>
        <w:t>2016/1436</w:t>
      </w:r>
      <w:r>
        <w:rPr>
          <w:rFonts w:asciiTheme="majorHAnsi" w:hAnsiTheme="majorHAnsi" w:cs="Arial"/>
          <w:b/>
          <w:i/>
          <w:lang w:val="en-GB"/>
        </w:rPr>
        <w:t>)</w:t>
      </w:r>
    </w:p>
    <w:p w:rsidR="00DA51E4" w:rsidRPr="00486385" w:rsidRDefault="00DA51E4" w:rsidP="00DA51E4">
      <w:pPr>
        <w:tabs>
          <w:tab w:val="num" w:pos="0"/>
        </w:tabs>
        <w:spacing w:after="120"/>
        <w:jc w:val="both"/>
        <w:rPr>
          <w:rFonts w:asciiTheme="majorHAnsi" w:hAnsiTheme="majorHAnsi" w:cs="Arial"/>
          <w:sz w:val="24"/>
          <w:szCs w:val="24"/>
          <w:u w:val="single"/>
          <w:lang w:val="en-GB" w:eastAsia="en-US"/>
        </w:rPr>
      </w:pPr>
    </w:p>
    <w:p w:rsidR="007B2621" w:rsidRPr="009625FB" w:rsidRDefault="00B50514" w:rsidP="00FA535D">
      <w:pPr>
        <w:tabs>
          <w:tab w:val="num" w:pos="0"/>
        </w:tabs>
        <w:spacing w:after="120"/>
        <w:jc w:val="both"/>
        <w:rPr>
          <w:rFonts w:asciiTheme="majorHAnsi" w:hAnsiTheme="majorHAnsi" w:cs="Arial"/>
          <w:b/>
          <w:sz w:val="24"/>
          <w:szCs w:val="24"/>
          <w:u w:val="single"/>
          <w:lang w:val="en-GB" w:eastAsia="en-US"/>
        </w:rPr>
      </w:pPr>
      <w:r w:rsidRPr="009625FB">
        <w:rPr>
          <w:rFonts w:asciiTheme="majorHAnsi" w:hAnsiTheme="majorHAnsi" w:cs="Arial"/>
          <w:b/>
          <w:sz w:val="24"/>
          <w:szCs w:val="24"/>
          <w:u w:val="single"/>
          <w:lang w:val="en-GB" w:eastAsia="en-US"/>
        </w:rPr>
        <w:t>General comments:</w:t>
      </w:r>
    </w:p>
    <w:p w:rsidR="00B50514" w:rsidRPr="009625FB" w:rsidRDefault="00CA4B63" w:rsidP="00CA4B63">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FECIF welcomes the </w:t>
      </w:r>
      <w:r w:rsidR="00CA794F">
        <w:rPr>
          <w:rFonts w:asciiTheme="majorHAnsi" w:hAnsiTheme="majorHAnsi" w:cs="Arial"/>
          <w:sz w:val="24"/>
          <w:szCs w:val="24"/>
          <w:lang w:val="en-GB" w:eastAsia="en-US"/>
        </w:rPr>
        <w:t xml:space="preserve">main </w:t>
      </w:r>
      <w:r w:rsidRPr="009625FB">
        <w:rPr>
          <w:rFonts w:asciiTheme="majorHAnsi" w:hAnsiTheme="majorHAnsi" w:cs="Arial"/>
          <w:sz w:val="24"/>
          <w:szCs w:val="24"/>
          <w:lang w:val="en-GB" w:eastAsia="en-US"/>
        </w:rPr>
        <w:t xml:space="preserve">product governance requirements </w:t>
      </w:r>
      <w:r w:rsidR="00CA794F">
        <w:rPr>
          <w:rFonts w:asciiTheme="majorHAnsi" w:hAnsiTheme="majorHAnsi" w:cs="Arial"/>
          <w:sz w:val="24"/>
          <w:szCs w:val="24"/>
          <w:lang w:val="en-GB" w:eastAsia="en-US"/>
        </w:rPr>
        <w:t xml:space="preserve">detailed </w:t>
      </w:r>
      <w:r w:rsidR="007C2255" w:rsidRPr="009625FB">
        <w:rPr>
          <w:rFonts w:asciiTheme="majorHAnsi" w:hAnsiTheme="majorHAnsi" w:cs="Arial"/>
          <w:sz w:val="24"/>
          <w:szCs w:val="24"/>
          <w:lang w:val="en-GB" w:eastAsia="en-US"/>
        </w:rPr>
        <w:t>by</w:t>
      </w:r>
      <w:r w:rsidRPr="009625FB">
        <w:rPr>
          <w:rFonts w:asciiTheme="majorHAnsi" w:hAnsiTheme="majorHAnsi" w:cs="Arial"/>
          <w:sz w:val="24"/>
          <w:szCs w:val="24"/>
          <w:lang w:val="en-GB" w:eastAsia="en-US"/>
        </w:rPr>
        <w:t xml:space="preserve"> ESMA</w:t>
      </w:r>
      <w:r w:rsidR="007C2255" w:rsidRPr="009625FB">
        <w:rPr>
          <w:rFonts w:asciiTheme="majorHAnsi" w:hAnsiTheme="majorHAnsi" w:cs="Arial"/>
          <w:sz w:val="24"/>
          <w:szCs w:val="24"/>
          <w:lang w:val="en-GB" w:eastAsia="en-US"/>
        </w:rPr>
        <w:t xml:space="preserve">, which provide </w:t>
      </w:r>
      <w:r w:rsidR="00687092" w:rsidRPr="009625FB">
        <w:rPr>
          <w:rFonts w:asciiTheme="majorHAnsi" w:hAnsiTheme="majorHAnsi" w:cs="Arial"/>
          <w:sz w:val="24"/>
          <w:szCs w:val="24"/>
          <w:lang w:val="en-GB" w:eastAsia="en-US"/>
        </w:rPr>
        <w:t>necessary</w:t>
      </w:r>
      <w:r w:rsidR="007C2255" w:rsidRPr="009625FB">
        <w:rPr>
          <w:rFonts w:asciiTheme="majorHAnsi" w:hAnsiTheme="majorHAnsi" w:cs="Arial"/>
          <w:sz w:val="24"/>
          <w:szCs w:val="24"/>
          <w:lang w:val="en-GB" w:eastAsia="en-US"/>
        </w:rPr>
        <w:t xml:space="preserve"> guidance for the daily business of practitioners. </w:t>
      </w:r>
      <w:r w:rsidR="007C2255" w:rsidRPr="009625FB">
        <w:rPr>
          <w:rFonts w:asciiTheme="majorHAnsi" w:hAnsiTheme="majorHAnsi" w:cs="Arial"/>
          <w:sz w:val="24"/>
          <w:szCs w:val="24"/>
          <w:lang w:eastAsia="en-US"/>
        </w:rPr>
        <w:t>However, widespread distribution models in many</w:t>
      </w:r>
      <w:r w:rsidR="000602A7" w:rsidRPr="009625FB">
        <w:rPr>
          <w:rFonts w:asciiTheme="majorHAnsi" w:hAnsiTheme="majorHAnsi" w:cs="Arial"/>
          <w:sz w:val="24"/>
          <w:szCs w:val="24"/>
          <w:lang w:eastAsia="en-US"/>
        </w:rPr>
        <w:t xml:space="preserve"> European</w:t>
      </w:r>
      <w:r w:rsidR="007C2255" w:rsidRPr="009625FB">
        <w:rPr>
          <w:rFonts w:asciiTheme="majorHAnsi" w:hAnsiTheme="majorHAnsi" w:cs="Arial"/>
          <w:sz w:val="24"/>
          <w:szCs w:val="24"/>
          <w:lang w:eastAsia="en-US"/>
        </w:rPr>
        <w:t xml:space="preserve"> countries have not been taken into account</w:t>
      </w:r>
      <w:r w:rsidR="000602A7" w:rsidRPr="009625FB">
        <w:rPr>
          <w:rFonts w:asciiTheme="majorHAnsi" w:hAnsiTheme="majorHAnsi" w:cs="Arial"/>
          <w:sz w:val="24"/>
          <w:szCs w:val="24"/>
          <w:lang w:val="en-GB" w:eastAsia="en-US"/>
        </w:rPr>
        <w:t>.</w:t>
      </w:r>
      <w:r w:rsidR="007C2255" w:rsidRPr="009625FB">
        <w:rPr>
          <w:rFonts w:asciiTheme="majorHAnsi" w:hAnsiTheme="majorHAnsi" w:cs="Arial"/>
          <w:sz w:val="24"/>
          <w:szCs w:val="24"/>
          <w:lang w:val="en-GB" w:eastAsia="en-US"/>
        </w:rPr>
        <w:t xml:space="preserve"> </w:t>
      </w:r>
      <w:r w:rsidR="007C2255" w:rsidRPr="009625FB">
        <w:rPr>
          <w:rFonts w:asciiTheme="majorHAnsi" w:hAnsiTheme="majorHAnsi" w:cs="Arial"/>
          <w:sz w:val="24"/>
          <w:szCs w:val="24"/>
          <w:lang w:eastAsia="en-US"/>
        </w:rPr>
        <w:t xml:space="preserve">In </w:t>
      </w:r>
      <w:proofErr w:type="spellStart"/>
      <w:r w:rsidR="007C2255" w:rsidRPr="009625FB">
        <w:rPr>
          <w:rFonts w:asciiTheme="majorHAnsi" w:hAnsiTheme="majorHAnsi" w:cs="Arial"/>
          <w:sz w:val="24"/>
          <w:szCs w:val="24"/>
          <w:lang w:eastAsia="en-US"/>
        </w:rPr>
        <w:t>particular</w:t>
      </w:r>
      <w:proofErr w:type="spellEnd"/>
      <w:r w:rsidR="007C2255" w:rsidRPr="009625FB">
        <w:rPr>
          <w:rFonts w:asciiTheme="majorHAnsi" w:hAnsiTheme="majorHAnsi" w:cs="Arial"/>
          <w:sz w:val="24"/>
          <w:szCs w:val="24"/>
          <w:lang w:eastAsia="en-US"/>
        </w:rPr>
        <w:t xml:space="preserve">, </w:t>
      </w:r>
      <w:proofErr w:type="spellStart"/>
      <w:r w:rsidR="007C2255" w:rsidRPr="009625FB">
        <w:rPr>
          <w:rFonts w:asciiTheme="majorHAnsi" w:hAnsiTheme="majorHAnsi" w:cs="Arial"/>
          <w:sz w:val="24"/>
          <w:szCs w:val="24"/>
          <w:lang w:eastAsia="en-US"/>
        </w:rPr>
        <w:t>the</w:t>
      </w:r>
      <w:r w:rsidR="00A372A2">
        <w:rPr>
          <w:rFonts w:asciiTheme="majorHAnsi" w:hAnsiTheme="majorHAnsi" w:cs="Arial"/>
          <w:sz w:val="24"/>
          <w:szCs w:val="24"/>
          <w:lang w:eastAsia="en-US"/>
        </w:rPr>
        <w:t>re</w:t>
      </w:r>
      <w:proofErr w:type="spellEnd"/>
      <w:r w:rsidR="00A372A2">
        <w:rPr>
          <w:rFonts w:asciiTheme="majorHAnsi" w:hAnsiTheme="majorHAnsi" w:cs="Arial"/>
          <w:sz w:val="24"/>
          <w:szCs w:val="24"/>
          <w:lang w:eastAsia="en-US"/>
        </w:rPr>
        <w:t xml:space="preserve"> </w:t>
      </w:r>
      <w:proofErr w:type="spellStart"/>
      <w:r w:rsidR="00A372A2">
        <w:rPr>
          <w:rFonts w:asciiTheme="majorHAnsi" w:hAnsiTheme="majorHAnsi" w:cs="Arial"/>
          <w:sz w:val="24"/>
          <w:szCs w:val="24"/>
          <w:lang w:eastAsia="en-US"/>
        </w:rPr>
        <w:t>seems</w:t>
      </w:r>
      <w:proofErr w:type="spellEnd"/>
      <w:r w:rsidR="00A372A2">
        <w:rPr>
          <w:rFonts w:asciiTheme="majorHAnsi" w:hAnsiTheme="majorHAnsi" w:cs="Arial"/>
          <w:sz w:val="24"/>
          <w:szCs w:val="24"/>
          <w:lang w:eastAsia="en-US"/>
        </w:rPr>
        <w:t xml:space="preserve"> </w:t>
      </w:r>
      <w:proofErr w:type="spellStart"/>
      <w:r w:rsidR="00A372A2">
        <w:rPr>
          <w:rFonts w:asciiTheme="majorHAnsi" w:hAnsiTheme="majorHAnsi" w:cs="Arial"/>
          <w:sz w:val="24"/>
          <w:szCs w:val="24"/>
          <w:lang w:eastAsia="en-US"/>
        </w:rPr>
        <w:t>to</w:t>
      </w:r>
      <w:proofErr w:type="spellEnd"/>
      <w:r w:rsidR="00A372A2">
        <w:rPr>
          <w:rFonts w:asciiTheme="majorHAnsi" w:hAnsiTheme="majorHAnsi" w:cs="Arial"/>
          <w:sz w:val="24"/>
          <w:szCs w:val="24"/>
          <w:lang w:eastAsia="en-US"/>
        </w:rPr>
        <w:t xml:space="preserve"> </w:t>
      </w:r>
      <w:proofErr w:type="spellStart"/>
      <w:r w:rsidR="00A372A2">
        <w:rPr>
          <w:rFonts w:asciiTheme="majorHAnsi" w:hAnsiTheme="majorHAnsi" w:cs="Arial"/>
          <w:sz w:val="24"/>
          <w:szCs w:val="24"/>
          <w:lang w:eastAsia="en-US"/>
        </w:rPr>
        <w:t>be</w:t>
      </w:r>
      <w:proofErr w:type="spellEnd"/>
      <w:r w:rsidR="00A372A2">
        <w:rPr>
          <w:rFonts w:asciiTheme="majorHAnsi" w:hAnsiTheme="majorHAnsi" w:cs="Arial"/>
          <w:sz w:val="24"/>
          <w:szCs w:val="24"/>
          <w:lang w:eastAsia="en-US"/>
        </w:rPr>
        <w:t xml:space="preserve"> little</w:t>
      </w:r>
      <w:r w:rsidR="007C2255" w:rsidRPr="009625FB">
        <w:rPr>
          <w:rFonts w:asciiTheme="majorHAnsi" w:hAnsiTheme="majorHAnsi" w:cs="Arial"/>
          <w:sz w:val="24"/>
          <w:szCs w:val="24"/>
          <w:lang w:eastAsia="en-US"/>
        </w:rPr>
        <w:t xml:space="preserve"> consideration </w:t>
      </w:r>
      <w:r w:rsidR="00A372A2">
        <w:rPr>
          <w:rFonts w:asciiTheme="majorHAnsi" w:hAnsiTheme="majorHAnsi" w:cs="Arial"/>
          <w:sz w:val="24"/>
          <w:szCs w:val="24"/>
          <w:lang w:eastAsia="en-US"/>
        </w:rPr>
        <w:t xml:space="preserve">or </w:t>
      </w:r>
      <w:proofErr w:type="spellStart"/>
      <w:r w:rsidR="00A372A2">
        <w:rPr>
          <w:rFonts w:asciiTheme="majorHAnsi" w:hAnsiTheme="majorHAnsi" w:cs="Arial"/>
          <w:sz w:val="24"/>
          <w:szCs w:val="24"/>
          <w:lang w:eastAsia="en-US"/>
        </w:rPr>
        <w:t>understanding</w:t>
      </w:r>
      <w:proofErr w:type="spellEnd"/>
      <w:r w:rsidR="00A372A2">
        <w:rPr>
          <w:rFonts w:asciiTheme="majorHAnsi" w:hAnsiTheme="majorHAnsi" w:cs="Arial"/>
          <w:sz w:val="24"/>
          <w:szCs w:val="24"/>
          <w:lang w:eastAsia="en-US"/>
        </w:rPr>
        <w:t xml:space="preserve"> </w:t>
      </w:r>
      <w:proofErr w:type="spellStart"/>
      <w:r w:rsidR="007C2255" w:rsidRPr="009625FB">
        <w:rPr>
          <w:rFonts w:asciiTheme="majorHAnsi" w:hAnsiTheme="majorHAnsi" w:cs="Arial"/>
          <w:sz w:val="24"/>
          <w:szCs w:val="24"/>
          <w:lang w:eastAsia="en-US"/>
        </w:rPr>
        <w:t>of</w:t>
      </w:r>
      <w:proofErr w:type="spellEnd"/>
      <w:r w:rsidR="007C2255" w:rsidRPr="009625FB">
        <w:rPr>
          <w:rFonts w:asciiTheme="majorHAnsi" w:hAnsiTheme="majorHAnsi" w:cs="Arial"/>
          <w:sz w:val="24"/>
          <w:szCs w:val="24"/>
          <w:lang w:eastAsia="en-US"/>
        </w:rPr>
        <w:t xml:space="preserve"> </w:t>
      </w:r>
      <w:proofErr w:type="spellStart"/>
      <w:r w:rsidR="007C2255" w:rsidRPr="009625FB">
        <w:rPr>
          <w:rFonts w:asciiTheme="majorHAnsi" w:hAnsiTheme="majorHAnsi" w:cs="Arial"/>
          <w:sz w:val="24"/>
          <w:szCs w:val="24"/>
          <w:lang w:eastAsia="en-US"/>
        </w:rPr>
        <w:t>so-called</w:t>
      </w:r>
      <w:proofErr w:type="spellEnd"/>
      <w:r w:rsidR="007C2255" w:rsidRPr="009625FB">
        <w:rPr>
          <w:rFonts w:asciiTheme="majorHAnsi" w:hAnsiTheme="majorHAnsi" w:cs="Arial"/>
          <w:sz w:val="24"/>
          <w:szCs w:val="24"/>
          <w:lang w:eastAsia="en-US"/>
        </w:rPr>
        <w:t xml:space="preserve"> "open </w:t>
      </w:r>
      <w:proofErr w:type="spellStart"/>
      <w:r w:rsidR="007C2255" w:rsidRPr="009625FB">
        <w:rPr>
          <w:rFonts w:asciiTheme="majorHAnsi" w:hAnsiTheme="majorHAnsi" w:cs="Arial"/>
          <w:sz w:val="24"/>
          <w:szCs w:val="24"/>
          <w:lang w:eastAsia="en-US"/>
        </w:rPr>
        <w:t>architecture</w:t>
      </w:r>
      <w:proofErr w:type="spellEnd"/>
      <w:r w:rsidR="007C2255" w:rsidRPr="009625FB">
        <w:rPr>
          <w:rFonts w:asciiTheme="majorHAnsi" w:hAnsiTheme="majorHAnsi" w:cs="Arial"/>
          <w:sz w:val="24"/>
          <w:szCs w:val="24"/>
          <w:lang w:eastAsia="en-US"/>
        </w:rPr>
        <w:t xml:space="preserve">" </w:t>
      </w:r>
      <w:proofErr w:type="spellStart"/>
      <w:r w:rsidR="007C2255" w:rsidRPr="009625FB">
        <w:rPr>
          <w:rFonts w:asciiTheme="majorHAnsi" w:hAnsiTheme="majorHAnsi" w:cs="Arial"/>
          <w:sz w:val="24"/>
          <w:szCs w:val="24"/>
          <w:lang w:eastAsia="en-US"/>
        </w:rPr>
        <w:t>platforms</w:t>
      </w:r>
      <w:proofErr w:type="spellEnd"/>
      <w:r w:rsidR="007C2255" w:rsidRPr="009625FB">
        <w:rPr>
          <w:rFonts w:asciiTheme="majorHAnsi" w:hAnsiTheme="majorHAnsi" w:cs="Arial"/>
          <w:sz w:val="24"/>
          <w:szCs w:val="24"/>
          <w:lang w:eastAsia="en-US"/>
        </w:rPr>
        <w:t xml:space="preserve">, which </w:t>
      </w:r>
      <w:r w:rsidR="000602A7" w:rsidRPr="009625FB">
        <w:rPr>
          <w:rFonts w:asciiTheme="majorHAnsi" w:hAnsiTheme="majorHAnsi" w:cs="Arial"/>
          <w:sz w:val="24"/>
          <w:szCs w:val="24"/>
          <w:lang w:eastAsia="en-US"/>
        </w:rPr>
        <w:t>offer services to</w:t>
      </w:r>
      <w:r w:rsidR="007C2255" w:rsidRPr="009625FB">
        <w:rPr>
          <w:rFonts w:asciiTheme="majorHAnsi" w:hAnsiTheme="majorHAnsi" w:cs="Arial"/>
          <w:sz w:val="24"/>
          <w:szCs w:val="24"/>
          <w:lang w:eastAsia="en-US"/>
        </w:rPr>
        <w:t xml:space="preserve"> both </w:t>
      </w:r>
      <w:proofErr w:type="spellStart"/>
      <w:r w:rsidR="007C2255" w:rsidRPr="009625FB">
        <w:rPr>
          <w:rFonts w:asciiTheme="majorHAnsi" w:hAnsiTheme="majorHAnsi" w:cs="Arial"/>
          <w:sz w:val="24"/>
          <w:szCs w:val="24"/>
          <w:lang w:eastAsia="en-US"/>
        </w:rPr>
        <w:t>intermediaries</w:t>
      </w:r>
      <w:proofErr w:type="spellEnd"/>
      <w:r w:rsidR="007C2255" w:rsidRPr="009625FB">
        <w:rPr>
          <w:rFonts w:asciiTheme="majorHAnsi" w:hAnsiTheme="majorHAnsi" w:cs="Arial"/>
          <w:sz w:val="24"/>
          <w:szCs w:val="24"/>
          <w:lang w:eastAsia="en-US"/>
        </w:rPr>
        <w:t xml:space="preserve"> and </w:t>
      </w:r>
      <w:proofErr w:type="spellStart"/>
      <w:r w:rsidR="007C2255" w:rsidRPr="009625FB">
        <w:rPr>
          <w:rFonts w:asciiTheme="majorHAnsi" w:hAnsiTheme="majorHAnsi" w:cs="Arial"/>
          <w:sz w:val="24"/>
          <w:szCs w:val="24"/>
          <w:lang w:eastAsia="en-US"/>
        </w:rPr>
        <w:t>investment</w:t>
      </w:r>
      <w:proofErr w:type="spellEnd"/>
      <w:r w:rsidR="007C2255" w:rsidRPr="009625FB">
        <w:rPr>
          <w:rFonts w:asciiTheme="majorHAnsi" w:hAnsiTheme="majorHAnsi" w:cs="Arial"/>
          <w:sz w:val="24"/>
          <w:szCs w:val="24"/>
          <w:lang w:eastAsia="en-US"/>
        </w:rPr>
        <w:t xml:space="preserve"> </w:t>
      </w:r>
      <w:proofErr w:type="spellStart"/>
      <w:r w:rsidR="007C2255" w:rsidRPr="009625FB">
        <w:rPr>
          <w:rFonts w:asciiTheme="majorHAnsi" w:hAnsiTheme="majorHAnsi" w:cs="Arial"/>
          <w:sz w:val="24"/>
          <w:szCs w:val="24"/>
          <w:lang w:eastAsia="en-US"/>
        </w:rPr>
        <w:t>companies</w:t>
      </w:r>
      <w:bookmarkStart w:id="0" w:name="_GoBack"/>
      <w:bookmarkEnd w:id="0"/>
      <w:proofErr w:type="spellEnd"/>
      <w:r w:rsidR="007C2255" w:rsidRPr="009625FB">
        <w:rPr>
          <w:rFonts w:asciiTheme="majorHAnsi" w:hAnsiTheme="majorHAnsi" w:cs="Arial"/>
          <w:sz w:val="24"/>
          <w:szCs w:val="24"/>
          <w:lang w:eastAsia="en-US"/>
        </w:rPr>
        <w:t xml:space="preserve">, </w:t>
      </w:r>
      <w:proofErr w:type="spellStart"/>
      <w:r w:rsidR="00A372A2">
        <w:rPr>
          <w:rFonts w:asciiTheme="majorHAnsi" w:hAnsiTheme="majorHAnsi" w:cs="Arial"/>
          <w:sz w:val="24"/>
          <w:szCs w:val="24"/>
          <w:lang w:eastAsia="en-US"/>
        </w:rPr>
        <w:t>increasingly</w:t>
      </w:r>
      <w:proofErr w:type="spellEnd"/>
      <w:r w:rsidR="00A372A2">
        <w:rPr>
          <w:rFonts w:asciiTheme="majorHAnsi" w:hAnsiTheme="majorHAnsi" w:cs="Arial"/>
          <w:sz w:val="24"/>
          <w:szCs w:val="24"/>
          <w:lang w:eastAsia="en-US"/>
        </w:rPr>
        <w:t xml:space="preserve"> </w:t>
      </w:r>
      <w:proofErr w:type="spellStart"/>
      <w:r w:rsidR="000602A7" w:rsidRPr="009625FB">
        <w:rPr>
          <w:rFonts w:asciiTheme="majorHAnsi" w:hAnsiTheme="majorHAnsi" w:cs="Arial"/>
          <w:sz w:val="24"/>
          <w:szCs w:val="24"/>
          <w:lang w:eastAsia="en-US"/>
        </w:rPr>
        <w:t>acting</w:t>
      </w:r>
      <w:proofErr w:type="spellEnd"/>
      <w:r w:rsidR="000602A7" w:rsidRPr="009625FB">
        <w:rPr>
          <w:rFonts w:asciiTheme="majorHAnsi" w:hAnsiTheme="majorHAnsi" w:cs="Arial"/>
          <w:sz w:val="24"/>
          <w:szCs w:val="24"/>
          <w:lang w:eastAsia="en-US"/>
        </w:rPr>
        <w:t xml:space="preserve"> </w:t>
      </w:r>
      <w:proofErr w:type="spellStart"/>
      <w:r w:rsidR="000602A7" w:rsidRPr="009625FB">
        <w:rPr>
          <w:rFonts w:asciiTheme="majorHAnsi" w:hAnsiTheme="majorHAnsi" w:cs="Arial"/>
          <w:sz w:val="24"/>
          <w:szCs w:val="24"/>
          <w:lang w:eastAsia="en-US"/>
        </w:rPr>
        <w:t>as</w:t>
      </w:r>
      <w:proofErr w:type="spellEnd"/>
      <w:r w:rsidR="000602A7" w:rsidRPr="009625FB">
        <w:rPr>
          <w:rFonts w:asciiTheme="majorHAnsi" w:hAnsiTheme="majorHAnsi" w:cs="Arial"/>
          <w:sz w:val="24"/>
          <w:szCs w:val="24"/>
          <w:lang w:eastAsia="en-US"/>
        </w:rPr>
        <w:t xml:space="preserve"> their</w:t>
      </w:r>
      <w:r w:rsidR="007C2255" w:rsidRPr="009625FB">
        <w:rPr>
          <w:rFonts w:asciiTheme="majorHAnsi" w:hAnsiTheme="majorHAnsi" w:cs="Arial"/>
          <w:sz w:val="24"/>
          <w:szCs w:val="24"/>
          <w:lang w:eastAsia="en-US"/>
        </w:rPr>
        <w:t xml:space="preserve"> technology and product providers.</w:t>
      </w:r>
      <w:r w:rsidR="000602A7" w:rsidRPr="009625FB">
        <w:rPr>
          <w:rFonts w:asciiTheme="majorHAnsi" w:hAnsiTheme="majorHAnsi" w:cs="Arial"/>
          <w:sz w:val="24"/>
          <w:szCs w:val="24"/>
          <w:lang w:eastAsia="en-US"/>
        </w:rPr>
        <w:t xml:space="preserve"> From our point of view</w:t>
      </w:r>
      <w:r w:rsidR="00F75880" w:rsidRPr="009625FB">
        <w:rPr>
          <w:rFonts w:asciiTheme="majorHAnsi" w:hAnsiTheme="majorHAnsi" w:cs="Arial"/>
          <w:sz w:val="24"/>
          <w:szCs w:val="24"/>
          <w:lang w:eastAsia="en-US"/>
        </w:rPr>
        <w:t>,</w:t>
      </w:r>
      <w:r w:rsidR="000602A7" w:rsidRPr="009625FB">
        <w:rPr>
          <w:rFonts w:asciiTheme="majorHAnsi" w:hAnsiTheme="majorHAnsi" w:cs="Arial"/>
          <w:sz w:val="24"/>
          <w:szCs w:val="24"/>
          <w:lang w:eastAsia="en-US"/>
        </w:rPr>
        <w:t xml:space="preserve"> POG needs a</w:t>
      </w:r>
      <w:r w:rsidR="007C2255" w:rsidRPr="009625FB">
        <w:rPr>
          <w:rFonts w:asciiTheme="majorHAnsi" w:hAnsiTheme="majorHAnsi" w:cs="Arial"/>
          <w:sz w:val="24"/>
          <w:szCs w:val="24"/>
          <w:lang w:val="en-GB" w:eastAsia="en-US"/>
        </w:rPr>
        <w:t xml:space="preserve"> consistent approach which </w:t>
      </w:r>
      <w:r w:rsidRPr="009625FB">
        <w:rPr>
          <w:rFonts w:asciiTheme="majorHAnsi" w:hAnsiTheme="majorHAnsi" w:cs="Arial"/>
          <w:sz w:val="24"/>
          <w:szCs w:val="24"/>
          <w:lang w:val="en-GB" w:eastAsia="en-US"/>
        </w:rPr>
        <w:t>takes into account the</w:t>
      </w:r>
      <w:r w:rsidR="00FF11CA" w:rsidRPr="009625FB">
        <w:rPr>
          <w:rFonts w:asciiTheme="majorHAnsi" w:hAnsiTheme="majorHAnsi" w:cs="Arial"/>
          <w:sz w:val="24"/>
          <w:szCs w:val="24"/>
          <w:lang w:val="en-GB" w:eastAsia="en-US"/>
        </w:rPr>
        <w:t xml:space="preserve"> existing</w:t>
      </w:r>
      <w:r w:rsidRPr="009625FB">
        <w:rPr>
          <w:rFonts w:asciiTheme="majorHAnsi" w:hAnsiTheme="majorHAnsi" w:cs="Arial"/>
          <w:sz w:val="24"/>
          <w:szCs w:val="24"/>
          <w:lang w:val="en-GB" w:eastAsia="en-US"/>
        </w:rPr>
        <w:t xml:space="preserve"> </w:t>
      </w:r>
      <w:r w:rsidR="00F556A5" w:rsidRPr="009625FB">
        <w:rPr>
          <w:rFonts w:asciiTheme="majorHAnsi" w:hAnsiTheme="majorHAnsi" w:cs="Arial"/>
          <w:sz w:val="24"/>
          <w:szCs w:val="24"/>
          <w:lang w:val="en-GB" w:eastAsia="en-US"/>
        </w:rPr>
        <w:t>variety</w:t>
      </w:r>
      <w:r w:rsidRPr="009625FB">
        <w:rPr>
          <w:rFonts w:asciiTheme="majorHAnsi" w:hAnsiTheme="majorHAnsi" w:cs="Arial"/>
          <w:sz w:val="24"/>
          <w:szCs w:val="24"/>
          <w:lang w:val="en-GB" w:eastAsia="en-US"/>
        </w:rPr>
        <w:t xml:space="preserve"> of business models and the</w:t>
      </w:r>
      <w:r w:rsidR="00FF11CA" w:rsidRPr="009625FB">
        <w:rPr>
          <w:rFonts w:asciiTheme="majorHAnsi" w:hAnsiTheme="majorHAnsi" w:cs="Arial"/>
          <w:sz w:val="24"/>
          <w:szCs w:val="24"/>
          <w:lang w:val="en-GB" w:eastAsia="en-US"/>
        </w:rPr>
        <w:t>ir</w:t>
      </w:r>
      <w:r w:rsidRPr="009625FB">
        <w:rPr>
          <w:rFonts w:asciiTheme="majorHAnsi" w:hAnsiTheme="majorHAnsi" w:cs="Arial"/>
          <w:sz w:val="24"/>
          <w:szCs w:val="24"/>
          <w:lang w:val="en-GB" w:eastAsia="en-US"/>
        </w:rPr>
        <w:t xml:space="preserve"> different </w:t>
      </w:r>
      <w:r w:rsidR="00FF11CA" w:rsidRPr="009625FB">
        <w:rPr>
          <w:rFonts w:asciiTheme="majorHAnsi" w:hAnsiTheme="majorHAnsi" w:cs="Arial"/>
          <w:sz w:val="24"/>
          <w:szCs w:val="24"/>
          <w:lang w:val="en-GB" w:eastAsia="en-US"/>
        </w:rPr>
        <w:t>characteristics</w:t>
      </w:r>
      <w:r w:rsidRPr="009625FB">
        <w:rPr>
          <w:rFonts w:asciiTheme="majorHAnsi" w:hAnsiTheme="majorHAnsi" w:cs="Arial"/>
          <w:sz w:val="24"/>
          <w:szCs w:val="24"/>
          <w:lang w:val="en-GB" w:eastAsia="en-US"/>
        </w:rPr>
        <w:t>.</w:t>
      </w:r>
      <w:r w:rsidR="00F556A5" w:rsidRPr="009625FB">
        <w:rPr>
          <w:rFonts w:asciiTheme="majorHAnsi" w:hAnsiTheme="majorHAnsi" w:cs="Arial"/>
          <w:sz w:val="24"/>
          <w:szCs w:val="24"/>
          <w:lang w:val="en-GB" w:eastAsia="en-US"/>
        </w:rPr>
        <w:t xml:space="preserve"> </w:t>
      </w:r>
    </w:p>
    <w:p w:rsidR="00B5550B" w:rsidRPr="009625FB" w:rsidRDefault="00B5550B" w:rsidP="00B5550B">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MiFID-2 defines </w:t>
      </w:r>
      <w:r w:rsidR="00192738" w:rsidRPr="009625FB">
        <w:rPr>
          <w:rFonts w:asciiTheme="majorHAnsi" w:hAnsiTheme="majorHAnsi" w:cs="Arial"/>
          <w:sz w:val="24"/>
          <w:szCs w:val="24"/>
          <w:lang w:val="en-GB" w:eastAsia="en-US"/>
        </w:rPr>
        <w:t>the</w:t>
      </w:r>
      <w:r w:rsidRPr="009625FB">
        <w:rPr>
          <w:rFonts w:asciiTheme="majorHAnsi" w:hAnsiTheme="majorHAnsi" w:cs="Arial"/>
          <w:sz w:val="24"/>
          <w:szCs w:val="24"/>
          <w:lang w:val="en-GB" w:eastAsia="en-US"/>
        </w:rPr>
        <w:t xml:space="preserve"> so called “target-market” which has to be taken into account by manufacturers of financial instruments within their product governance process. Distributors are obliged to gather all information about the target-market of each financial product which they intend to offer to their clients, the consumers. Based on this very concept ESMA´s draft introduces another </w:t>
      </w:r>
      <w:r w:rsidR="00F741F7" w:rsidRPr="009625FB">
        <w:rPr>
          <w:rFonts w:asciiTheme="majorHAnsi" w:hAnsiTheme="majorHAnsi" w:cs="Arial"/>
          <w:sz w:val="24"/>
          <w:szCs w:val="24"/>
          <w:lang w:val="en-GB" w:eastAsia="en-US"/>
        </w:rPr>
        <w:t xml:space="preserve">plan of </w:t>
      </w:r>
      <w:r w:rsidR="00192738" w:rsidRPr="009625FB">
        <w:rPr>
          <w:rFonts w:asciiTheme="majorHAnsi" w:hAnsiTheme="majorHAnsi" w:cs="Arial"/>
          <w:sz w:val="24"/>
          <w:szCs w:val="24"/>
          <w:lang w:val="en-GB" w:eastAsia="en-US"/>
        </w:rPr>
        <w:t xml:space="preserve">a so called </w:t>
      </w:r>
      <w:r w:rsidR="00F741F7" w:rsidRPr="009625FB">
        <w:rPr>
          <w:rFonts w:asciiTheme="majorHAnsi" w:hAnsiTheme="majorHAnsi" w:cs="Arial"/>
          <w:sz w:val="24"/>
          <w:szCs w:val="24"/>
          <w:lang w:val="en-GB" w:eastAsia="en-US"/>
        </w:rPr>
        <w:t xml:space="preserve">“distribution strategy” which was not </w:t>
      </w:r>
      <w:r w:rsidR="002623D3" w:rsidRPr="009625FB">
        <w:rPr>
          <w:rFonts w:asciiTheme="majorHAnsi" w:hAnsiTheme="majorHAnsi" w:cs="Arial"/>
          <w:sz w:val="24"/>
          <w:szCs w:val="24"/>
          <w:lang w:val="en-GB" w:eastAsia="en-US"/>
        </w:rPr>
        <w:t>the one intended</w:t>
      </w:r>
      <w:r w:rsidR="00F741F7" w:rsidRPr="009625FB">
        <w:rPr>
          <w:rFonts w:asciiTheme="majorHAnsi" w:hAnsiTheme="majorHAnsi" w:cs="Arial"/>
          <w:sz w:val="24"/>
          <w:szCs w:val="24"/>
          <w:lang w:val="en-GB" w:eastAsia="en-US"/>
        </w:rPr>
        <w:t xml:space="preserve"> in the level 1 text. Following ESMA´s deliberation</w:t>
      </w:r>
      <w:r w:rsidR="00687092" w:rsidRPr="009625FB">
        <w:rPr>
          <w:rFonts w:asciiTheme="majorHAnsi" w:hAnsiTheme="majorHAnsi" w:cs="Arial"/>
          <w:sz w:val="24"/>
          <w:szCs w:val="24"/>
          <w:lang w:val="en-GB" w:eastAsia="en-US"/>
        </w:rPr>
        <w:t>s</w:t>
      </w:r>
      <w:r w:rsidR="00F741F7" w:rsidRPr="009625FB">
        <w:rPr>
          <w:rFonts w:asciiTheme="majorHAnsi" w:hAnsiTheme="majorHAnsi" w:cs="Arial"/>
          <w:sz w:val="24"/>
          <w:szCs w:val="24"/>
          <w:lang w:val="en-GB" w:eastAsia="en-US"/>
        </w:rPr>
        <w:t xml:space="preserve"> manufacturers of financial instruments in addition to defining “target-markets” also need to define “distribution strategies” and distributors need to gather all information about the distribution strategy of each financial product which they intend to offer to their clients</w:t>
      </w:r>
      <w:r w:rsidR="00192738" w:rsidRPr="009625FB">
        <w:rPr>
          <w:rFonts w:asciiTheme="majorHAnsi" w:hAnsiTheme="majorHAnsi" w:cs="Arial"/>
          <w:sz w:val="24"/>
          <w:szCs w:val="24"/>
          <w:lang w:val="en-GB" w:eastAsia="en-US"/>
        </w:rPr>
        <w:t>, the consumers</w:t>
      </w:r>
      <w:r w:rsidR="00F741F7" w:rsidRPr="009625FB">
        <w:rPr>
          <w:rFonts w:asciiTheme="majorHAnsi" w:hAnsiTheme="majorHAnsi" w:cs="Arial"/>
          <w:sz w:val="24"/>
          <w:szCs w:val="24"/>
          <w:lang w:val="en-GB" w:eastAsia="en-US"/>
        </w:rPr>
        <w:t xml:space="preserve">. </w:t>
      </w:r>
      <w:r w:rsidR="00192738" w:rsidRPr="009625FB">
        <w:rPr>
          <w:rFonts w:asciiTheme="majorHAnsi" w:hAnsiTheme="majorHAnsi" w:cs="Arial"/>
          <w:sz w:val="24"/>
          <w:szCs w:val="24"/>
          <w:lang w:val="en-GB" w:eastAsia="en-US"/>
        </w:rPr>
        <w:t>ESMA</w:t>
      </w:r>
      <w:r w:rsidR="004256EB" w:rsidRPr="009625FB">
        <w:rPr>
          <w:rFonts w:asciiTheme="majorHAnsi" w:hAnsiTheme="majorHAnsi" w:cs="Arial"/>
          <w:sz w:val="24"/>
          <w:szCs w:val="24"/>
          <w:lang w:val="en-GB" w:eastAsia="en-US"/>
        </w:rPr>
        <w:t xml:space="preserve"> </w:t>
      </w:r>
      <w:r w:rsidR="00A372A2">
        <w:rPr>
          <w:rFonts w:asciiTheme="majorHAnsi" w:hAnsiTheme="majorHAnsi" w:cs="Arial"/>
          <w:sz w:val="24"/>
          <w:szCs w:val="24"/>
          <w:lang w:val="en-GB" w:eastAsia="en-US"/>
        </w:rPr>
        <w:t xml:space="preserve">is </w:t>
      </w:r>
      <w:r w:rsidR="004256EB" w:rsidRPr="009625FB">
        <w:rPr>
          <w:rFonts w:asciiTheme="majorHAnsi" w:hAnsiTheme="majorHAnsi" w:cs="Arial"/>
          <w:sz w:val="24"/>
          <w:szCs w:val="24"/>
          <w:lang w:val="en-GB" w:eastAsia="en-US"/>
        </w:rPr>
        <w:t>obviously</w:t>
      </w:r>
      <w:r w:rsidR="00192738" w:rsidRPr="009625FB">
        <w:rPr>
          <w:rFonts w:asciiTheme="majorHAnsi" w:hAnsiTheme="majorHAnsi" w:cs="Arial"/>
          <w:sz w:val="24"/>
          <w:szCs w:val="24"/>
          <w:lang w:val="en-GB" w:eastAsia="en-US"/>
        </w:rPr>
        <w:t xml:space="preserve"> assuming that there is always a direct relationship between </w:t>
      </w:r>
      <w:r w:rsidR="004256EB" w:rsidRPr="009625FB">
        <w:rPr>
          <w:rFonts w:asciiTheme="majorHAnsi" w:hAnsiTheme="majorHAnsi" w:cs="Arial"/>
          <w:sz w:val="24"/>
          <w:szCs w:val="24"/>
          <w:lang w:val="en-GB" w:eastAsia="en-US"/>
        </w:rPr>
        <w:t>manufacturers</w:t>
      </w:r>
      <w:r w:rsidR="00192738" w:rsidRPr="009625FB">
        <w:rPr>
          <w:rFonts w:asciiTheme="majorHAnsi" w:hAnsiTheme="majorHAnsi" w:cs="Arial"/>
          <w:sz w:val="24"/>
          <w:szCs w:val="24"/>
          <w:lang w:val="en-GB" w:eastAsia="en-US"/>
        </w:rPr>
        <w:t xml:space="preserve"> and distributors, </w:t>
      </w:r>
      <w:r w:rsidR="00A372A2">
        <w:rPr>
          <w:rFonts w:asciiTheme="majorHAnsi" w:hAnsiTheme="majorHAnsi" w:cs="Arial"/>
          <w:sz w:val="24"/>
          <w:szCs w:val="24"/>
          <w:lang w:val="en-GB" w:eastAsia="en-US"/>
        </w:rPr>
        <w:t>concluding</w:t>
      </w:r>
      <w:r w:rsidR="00192738" w:rsidRPr="009625FB">
        <w:rPr>
          <w:rFonts w:asciiTheme="majorHAnsi" w:hAnsiTheme="majorHAnsi" w:cs="Arial"/>
          <w:sz w:val="24"/>
          <w:szCs w:val="24"/>
          <w:lang w:val="en-GB" w:eastAsia="en-US"/>
        </w:rPr>
        <w:t xml:space="preserve"> that distributors </w:t>
      </w:r>
      <w:r w:rsidR="00A372A2">
        <w:rPr>
          <w:rFonts w:asciiTheme="majorHAnsi" w:hAnsiTheme="majorHAnsi" w:cs="Arial"/>
          <w:sz w:val="24"/>
          <w:szCs w:val="24"/>
          <w:lang w:val="en-GB" w:eastAsia="en-US"/>
        </w:rPr>
        <w:t>always</w:t>
      </w:r>
      <w:r w:rsidR="00B24B15" w:rsidRPr="009625FB">
        <w:rPr>
          <w:rFonts w:asciiTheme="majorHAnsi" w:hAnsiTheme="majorHAnsi" w:cs="Arial"/>
          <w:sz w:val="24"/>
          <w:szCs w:val="24"/>
          <w:lang w:val="en-GB" w:eastAsia="en-US"/>
        </w:rPr>
        <w:t xml:space="preserve"> </w:t>
      </w:r>
      <w:r w:rsidR="00192738" w:rsidRPr="009625FB">
        <w:rPr>
          <w:rFonts w:asciiTheme="majorHAnsi" w:hAnsiTheme="majorHAnsi" w:cs="Arial"/>
          <w:sz w:val="24"/>
          <w:szCs w:val="24"/>
          <w:lang w:val="en-GB" w:eastAsia="en-US"/>
        </w:rPr>
        <w:t xml:space="preserve">enter </w:t>
      </w:r>
      <w:r w:rsidR="00B24B15" w:rsidRPr="009625FB">
        <w:rPr>
          <w:rFonts w:asciiTheme="majorHAnsi" w:hAnsiTheme="majorHAnsi" w:cs="Arial"/>
          <w:sz w:val="24"/>
          <w:szCs w:val="24"/>
          <w:lang w:val="en-GB" w:eastAsia="en-US"/>
        </w:rPr>
        <w:t>into</w:t>
      </w:r>
      <w:r w:rsidR="00192738" w:rsidRPr="009625FB">
        <w:rPr>
          <w:rFonts w:asciiTheme="majorHAnsi" w:hAnsiTheme="majorHAnsi" w:cs="Arial"/>
          <w:sz w:val="24"/>
          <w:szCs w:val="24"/>
          <w:lang w:val="en-GB" w:eastAsia="en-US"/>
        </w:rPr>
        <w:t xml:space="preserve"> </w:t>
      </w:r>
      <w:r w:rsidR="00687092" w:rsidRPr="009625FB">
        <w:rPr>
          <w:rFonts w:asciiTheme="majorHAnsi" w:hAnsiTheme="majorHAnsi" w:cs="Arial"/>
          <w:sz w:val="24"/>
          <w:szCs w:val="24"/>
          <w:lang w:val="en-GB" w:eastAsia="en-US"/>
        </w:rPr>
        <w:t xml:space="preserve">direct </w:t>
      </w:r>
      <w:r w:rsidR="00192738" w:rsidRPr="009625FB">
        <w:rPr>
          <w:rFonts w:asciiTheme="majorHAnsi" w:hAnsiTheme="majorHAnsi" w:cs="Arial"/>
          <w:sz w:val="24"/>
          <w:szCs w:val="24"/>
          <w:lang w:val="en-GB" w:eastAsia="en-US"/>
        </w:rPr>
        <w:t>agreement</w:t>
      </w:r>
      <w:r w:rsidR="00B24B15" w:rsidRPr="009625FB">
        <w:rPr>
          <w:rFonts w:asciiTheme="majorHAnsi" w:hAnsiTheme="majorHAnsi" w:cs="Arial"/>
          <w:sz w:val="24"/>
          <w:szCs w:val="24"/>
          <w:lang w:val="en-GB" w:eastAsia="en-US"/>
        </w:rPr>
        <w:t>s</w:t>
      </w:r>
      <w:r w:rsidR="00192738" w:rsidRPr="009625FB">
        <w:rPr>
          <w:rFonts w:asciiTheme="majorHAnsi" w:hAnsiTheme="majorHAnsi" w:cs="Arial"/>
          <w:sz w:val="24"/>
          <w:szCs w:val="24"/>
          <w:lang w:val="en-GB" w:eastAsia="en-US"/>
        </w:rPr>
        <w:t xml:space="preserve"> with the respective manufacturers.</w:t>
      </w:r>
      <w:r w:rsidR="00B24B15" w:rsidRPr="009625FB">
        <w:rPr>
          <w:rFonts w:asciiTheme="majorHAnsi" w:hAnsiTheme="majorHAnsi" w:cs="Arial"/>
          <w:sz w:val="24"/>
          <w:szCs w:val="24"/>
          <w:lang w:val="en-GB" w:eastAsia="en-US"/>
        </w:rPr>
        <w:t xml:space="preserve"> However, this is not the case. </w:t>
      </w:r>
    </w:p>
    <w:p w:rsidR="00FF4902" w:rsidRPr="009625FB" w:rsidRDefault="00192738" w:rsidP="00B5550B">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In many European member states </w:t>
      </w:r>
      <w:r w:rsidR="00FF4902" w:rsidRPr="009625FB">
        <w:rPr>
          <w:rFonts w:asciiTheme="majorHAnsi" w:hAnsiTheme="majorHAnsi" w:cs="Arial"/>
          <w:sz w:val="24"/>
          <w:szCs w:val="24"/>
          <w:lang w:val="en-GB" w:eastAsia="en-US"/>
        </w:rPr>
        <w:t>the most</w:t>
      </w:r>
      <w:r w:rsidRPr="009625FB">
        <w:rPr>
          <w:rFonts w:asciiTheme="majorHAnsi" w:hAnsiTheme="majorHAnsi" w:cs="Arial"/>
          <w:sz w:val="24"/>
          <w:szCs w:val="24"/>
          <w:lang w:val="en-GB" w:eastAsia="en-US"/>
        </w:rPr>
        <w:t xml:space="preserve"> common business model</w:t>
      </w:r>
      <w:r w:rsidR="005F21C1">
        <w:rPr>
          <w:rFonts w:asciiTheme="majorHAnsi" w:hAnsiTheme="majorHAnsi" w:cs="Arial"/>
          <w:sz w:val="24"/>
          <w:szCs w:val="24"/>
          <w:lang w:val="en-GB" w:eastAsia="en-US"/>
        </w:rPr>
        <w:t>s</w:t>
      </w:r>
      <w:r w:rsidRPr="009625FB">
        <w:rPr>
          <w:rFonts w:asciiTheme="majorHAnsi" w:hAnsiTheme="majorHAnsi" w:cs="Arial"/>
          <w:sz w:val="24"/>
          <w:szCs w:val="24"/>
          <w:lang w:val="en-GB" w:eastAsia="en-US"/>
        </w:rPr>
        <w:t xml:space="preserve"> </w:t>
      </w:r>
      <w:r w:rsidR="00FF4902" w:rsidRPr="009625FB">
        <w:rPr>
          <w:rFonts w:asciiTheme="majorHAnsi" w:hAnsiTheme="majorHAnsi" w:cs="Arial"/>
          <w:sz w:val="24"/>
          <w:szCs w:val="24"/>
          <w:lang w:val="en-GB" w:eastAsia="en-US"/>
        </w:rPr>
        <w:t xml:space="preserve">of cooperation between manufacturers and distributors </w:t>
      </w:r>
      <w:r w:rsidR="00687092" w:rsidRPr="009625FB">
        <w:rPr>
          <w:rFonts w:asciiTheme="majorHAnsi" w:hAnsiTheme="majorHAnsi" w:cs="Arial"/>
          <w:sz w:val="24"/>
          <w:szCs w:val="24"/>
          <w:lang w:val="en-GB" w:eastAsia="en-US"/>
        </w:rPr>
        <w:t>are</w:t>
      </w:r>
      <w:r w:rsidRPr="009625FB">
        <w:rPr>
          <w:rFonts w:asciiTheme="majorHAnsi" w:hAnsiTheme="majorHAnsi" w:cs="Arial"/>
          <w:sz w:val="24"/>
          <w:szCs w:val="24"/>
          <w:lang w:val="en-GB" w:eastAsia="en-US"/>
        </w:rPr>
        <w:t xml:space="preserve"> </w:t>
      </w:r>
      <w:r w:rsidR="00A372A2">
        <w:rPr>
          <w:rFonts w:asciiTheme="majorHAnsi" w:hAnsiTheme="majorHAnsi" w:cs="Arial"/>
          <w:sz w:val="24"/>
          <w:szCs w:val="24"/>
          <w:lang w:val="en-GB" w:eastAsia="en-US"/>
        </w:rPr>
        <w:t>via</w:t>
      </w:r>
      <w:r w:rsidRPr="009625FB">
        <w:rPr>
          <w:rFonts w:asciiTheme="majorHAnsi" w:hAnsiTheme="majorHAnsi" w:cs="Arial"/>
          <w:sz w:val="24"/>
          <w:szCs w:val="24"/>
          <w:lang w:val="en-GB" w:eastAsia="en-US"/>
        </w:rPr>
        <w:t xml:space="preserve"> “open-architecture” </w:t>
      </w:r>
      <w:r w:rsidR="00FF4902" w:rsidRPr="009625FB">
        <w:rPr>
          <w:rFonts w:asciiTheme="majorHAnsi" w:hAnsiTheme="majorHAnsi" w:cs="Arial"/>
          <w:sz w:val="24"/>
          <w:szCs w:val="24"/>
          <w:lang w:val="en-GB" w:eastAsia="en-US"/>
        </w:rPr>
        <w:t>platform</w:t>
      </w:r>
      <w:r w:rsidR="00687092" w:rsidRPr="009625FB">
        <w:rPr>
          <w:rFonts w:asciiTheme="majorHAnsi" w:hAnsiTheme="majorHAnsi" w:cs="Arial"/>
          <w:sz w:val="24"/>
          <w:szCs w:val="24"/>
          <w:lang w:val="en-GB" w:eastAsia="en-US"/>
        </w:rPr>
        <w:t>s</w:t>
      </w:r>
      <w:r w:rsidR="00FF4902" w:rsidRPr="009625FB">
        <w:rPr>
          <w:rFonts w:asciiTheme="majorHAnsi" w:hAnsiTheme="majorHAnsi" w:cs="Arial"/>
          <w:sz w:val="24"/>
          <w:szCs w:val="24"/>
          <w:lang w:val="en-GB" w:eastAsia="en-US"/>
        </w:rPr>
        <w:t xml:space="preserve">. </w:t>
      </w:r>
    </w:p>
    <w:p w:rsidR="00FF4902" w:rsidRPr="009625FB" w:rsidRDefault="00FF4902">
      <w:pPr>
        <w:rPr>
          <w:rFonts w:asciiTheme="majorHAnsi" w:hAnsiTheme="majorHAnsi" w:cs="Arial"/>
          <w:sz w:val="24"/>
          <w:szCs w:val="24"/>
          <w:lang w:val="en-GB" w:eastAsia="en-US"/>
        </w:rPr>
      </w:pPr>
      <w:r w:rsidRPr="009625FB">
        <w:rPr>
          <w:rFonts w:asciiTheme="majorHAnsi" w:hAnsiTheme="majorHAnsi" w:cs="Arial"/>
          <w:sz w:val="24"/>
          <w:szCs w:val="24"/>
          <w:lang w:val="en-GB" w:eastAsia="en-US"/>
        </w:rPr>
        <w:br w:type="page"/>
      </w:r>
    </w:p>
    <w:p w:rsidR="00192738" w:rsidRPr="009625FB" w:rsidRDefault="00FF4902" w:rsidP="00B5550B">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lastRenderedPageBreak/>
        <w:t xml:space="preserve">Such platforms are independent companies offering </w:t>
      </w:r>
      <w:r w:rsidR="00687092" w:rsidRPr="009625FB">
        <w:rPr>
          <w:rFonts w:asciiTheme="majorHAnsi" w:hAnsiTheme="majorHAnsi" w:cs="Arial"/>
          <w:sz w:val="24"/>
          <w:szCs w:val="24"/>
          <w:lang w:val="en-GB" w:eastAsia="en-US"/>
        </w:rPr>
        <w:t>all kind</w:t>
      </w:r>
      <w:r w:rsidR="00A372A2">
        <w:rPr>
          <w:rFonts w:asciiTheme="majorHAnsi" w:hAnsiTheme="majorHAnsi" w:cs="Arial"/>
          <w:sz w:val="24"/>
          <w:szCs w:val="24"/>
          <w:lang w:val="en-GB" w:eastAsia="en-US"/>
        </w:rPr>
        <w:t>s</w:t>
      </w:r>
      <w:r w:rsidR="00687092" w:rsidRPr="009625FB">
        <w:rPr>
          <w:rFonts w:asciiTheme="majorHAnsi" w:hAnsiTheme="majorHAnsi" w:cs="Arial"/>
          <w:sz w:val="24"/>
          <w:szCs w:val="24"/>
          <w:lang w:val="en-GB" w:eastAsia="en-US"/>
        </w:rPr>
        <w:t xml:space="preserve"> of</w:t>
      </w:r>
      <w:r w:rsidRPr="009625FB">
        <w:rPr>
          <w:rFonts w:asciiTheme="majorHAnsi" w:hAnsiTheme="majorHAnsi" w:cs="Arial"/>
          <w:sz w:val="24"/>
          <w:szCs w:val="24"/>
          <w:lang w:val="en-GB" w:eastAsia="en-US"/>
        </w:rPr>
        <w:t xml:space="preserve"> infrastructure for ordering (buy</w:t>
      </w:r>
      <w:r w:rsidR="00A372A2">
        <w:rPr>
          <w:rFonts w:asciiTheme="majorHAnsi" w:hAnsiTheme="majorHAnsi" w:cs="Arial"/>
          <w:sz w:val="24"/>
          <w:szCs w:val="24"/>
          <w:lang w:val="en-GB" w:eastAsia="en-US"/>
        </w:rPr>
        <w:t>ing</w:t>
      </w:r>
      <w:r w:rsidRPr="009625FB">
        <w:rPr>
          <w:rFonts w:asciiTheme="majorHAnsi" w:hAnsiTheme="majorHAnsi" w:cs="Arial"/>
          <w:sz w:val="24"/>
          <w:szCs w:val="24"/>
          <w:lang w:val="en-GB" w:eastAsia="en-US"/>
        </w:rPr>
        <w:t>/sell</w:t>
      </w:r>
      <w:r w:rsidR="00A372A2">
        <w:rPr>
          <w:rFonts w:asciiTheme="majorHAnsi" w:hAnsiTheme="majorHAnsi" w:cs="Arial"/>
          <w:sz w:val="24"/>
          <w:szCs w:val="24"/>
          <w:lang w:val="en-GB" w:eastAsia="en-US"/>
        </w:rPr>
        <w:t>ing</w:t>
      </w:r>
      <w:r w:rsidRPr="009625FB">
        <w:rPr>
          <w:rFonts w:asciiTheme="majorHAnsi" w:hAnsiTheme="majorHAnsi" w:cs="Arial"/>
          <w:sz w:val="24"/>
          <w:szCs w:val="24"/>
          <w:lang w:val="en-GB" w:eastAsia="en-US"/>
        </w:rPr>
        <w:t>) financial instruments and managing securities deposits for clien</w:t>
      </w:r>
      <w:r w:rsidR="00687092" w:rsidRPr="009625FB">
        <w:rPr>
          <w:rFonts w:asciiTheme="majorHAnsi" w:hAnsiTheme="majorHAnsi" w:cs="Arial"/>
          <w:sz w:val="24"/>
          <w:szCs w:val="24"/>
          <w:lang w:val="en-GB" w:eastAsia="en-US"/>
        </w:rPr>
        <w:t>ts</w:t>
      </w:r>
      <w:r w:rsidRPr="009625FB">
        <w:rPr>
          <w:rFonts w:asciiTheme="majorHAnsi" w:hAnsiTheme="majorHAnsi" w:cs="Arial"/>
          <w:sz w:val="24"/>
          <w:szCs w:val="24"/>
          <w:lang w:val="en-GB" w:eastAsia="en-US"/>
        </w:rPr>
        <w:t xml:space="preserve">. </w:t>
      </w:r>
      <w:r w:rsidR="00687092" w:rsidRPr="009625FB">
        <w:rPr>
          <w:rFonts w:asciiTheme="majorHAnsi" w:hAnsiTheme="majorHAnsi" w:cs="Arial"/>
          <w:sz w:val="24"/>
          <w:szCs w:val="24"/>
          <w:lang w:val="en-GB" w:eastAsia="en-US"/>
        </w:rPr>
        <w:t>Some</w:t>
      </w:r>
      <w:r w:rsidR="00C12D65" w:rsidRPr="009625FB">
        <w:rPr>
          <w:rFonts w:asciiTheme="majorHAnsi" w:hAnsiTheme="majorHAnsi" w:cs="Arial"/>
          <w:sz w:val="24"/>
          <w:szCs w:val="24"/>
          <w:lang w:val="en-GB" w:eastAsia="en-US"/>
        </w:rPr>
        <w:t xml:space="preserve"> </w:t>
      </w:r>
      <w:r w:rsidR="00687092" w:rsidRPr="009625FB">
        <w:rPr>
          <w:rFonts w:asciiTheme="majorHAnsi" w:hAnsiTheme="majorHAnsi" w:cs="Arial"/>
          <w:sz w:val="24"/>
          <w:szCs w:val="24"/>
          <w:lang w:val="en-GB" w:eastAsia="en-US"/>
        </w:rPr>
        <w:t>platform</w:t>
      </w:r>
      <w:r w:rsidRPr="009625FB">
        <w:rPr>
          <w:rFonts w:asciiTheme="majorHAnsi" w:hAnsiTheme="majorHAnsi" w:cs="Arial"/>
          <w:sz w:val="24"/>
          <w:szCs w:val="24"/>
          <w:lang w:val="en-GB" w:eastAsia="en-US"/>
        </w:rPr>
        <w:t xml:space="preserve"> </w:t>
      </w:r>
      <w:r w:rsidR="00C12D65" w:rsidRPr="009625FB">
        <w:rPr>
          <w:rFonts w:asciiTheme="majorHAnsi" w:hAnsiTheme="majorHAnsi" w:cs="Arial"/>
          <w:sz w:val="24"/>
          <w:szCs w:val="24"/>
          <w:lang w:val="en-GB" w:eastAsia="en-US"/>
        </w:rPr>
        <w:t>companies</w:t>
      </w:r>
      <w:r w:rsidRPr="009625FB">
        <w:rPr>
          <w:rFonts w:asciiTheme="majorHAnsi" w:hAnsiTheme="majorHAnsi" w:cs="Arial"/>
          <w:sz w:val="24"/>
          <w:szCs w:val="24"/>
          <w:lang w:val="en-GB" w:eastAsia="en-US"/>
        </w:rPr>
        <w:t xml:space="preserve"> are </w:t>
      </w:r>
      <w:r w:rsidR="00687092" w:rsidRPr="009625FB">
        <w:rPr>
          <w:rFonts w:asciiTheme="majorHAnsi" w:hAnsiTheme="majorHAnsi" w:cs="Arial"/>
          <w:sz w:val="24"/>
          <w:szCs w:val="24"/>
          <w:lang w:val="en-GB" w:eastAsia="en-US"/>
        </w:rPr>
        <w:t xml:space="preserve">even </w:t>
      </w:r>
      <w:r w:rsidRPr="009625FB">
        <w:rPr>
          <w:rFonts w:asciiTheme="majorHAnsi" w:hAnsiTheme="majorHAnsi" w:cs="Arial"/>
          <w:sz w:val="24"/>
          <w:szCs w:val="24"/>
          <w:lang w:val="en-GB" w:eastAsia="en-US"/>
        </w:rPr>
        <w:t xml:space="preserve">affiliates of investment </w:t>
      </w:r>
      <w:r w:rsidR="00687092" w:rsidRPr="009625FB">
        <w:rPr>
          <w:rFonts w:asciiTheme="majorHAnsi" w:hAnsiTheme="majorHAnsi" w:cs="Arial"/>
          <w:sz w:val="24"/>
          <w:szCs w:val="24"/>
          <w:lang w:val="en-GB" w:eastAsia="en-US"/>
        </w:rPr>
        <w:t>firms or asset managers</w:t>
      </w:r>
      <w:r w:rsidR="00641095" w:rsidRPr="009625FB">
        <w:rPr>
          <w:rFonts w:asciiTheme="majorHAnsi" w:hAnsiTheme="majorHAnsi" w:cs="Arial"/>
          <w:sz w:val="24"/>
          <w:szCs w:val="24"/>
          <w:lang w:val="en-GB" w:eastAsia="en-US"/>
        </w:rPr>
        <w:t>. Platforms</w:t>
      </w:r>
      <w:r w:rsidRPr="009625FB">
        <w:rPr>
          <w:rFonts w:asciiTheme="majorHAnsi" w:hAnsiTheme="majorHAnsi" w:cs="Arial"/>
          <w:sz w:val="24"/>
          <w:szCs w:val="24"/>
          <w:lang w:val="en-GB" w:eastAsia="en-US"/>
        </w:rPr>
        <w:t xml:space="preserve"> usually cooperat</w:t>
      </w:r>
      <w:r w:rsidR="00641095" w:rsidRPr="009625FB">
        <w:rPr>
          <w:rFonts w:asciiTheme="majorHAnsi" w:hAnsiTheme="majorHAnsi" w:cs="Arial"/>
          <w:sz w:val="24"/>
          <w:szCs w:val="24"/>
          <w:lang w:val="en-GB" w:eastAsia="en-US"/>
        </w:rPr>
        <w:t>e</w:t>
      </w:r>
      <w:r w:rsidRPr="009625FB">
        <w:rPr>
          <w:rFonts w:asciiTheme="majorHAnsi" w:hAnsiTheme="majorHAnsi" w:cs="Arial"/>
          <w:sz w:val="24"/>
          <w:szCs w:val="24"/>
          <w:lang w:val="en-GB" w:eastAsia="en-US"/>
        </w:rPr>
        <w:t xml:space="preserve"> with hundreds or even thousands of different manufacturers</w:t>
      </w:r>
      <w:r w:rsidR="00C12D65" w:rsidRPr="009625FB">
        <w:rPr>
          <w:rFonts w:asciiTheme="majorHAnsi" w:hAnsiTheme="majorHAnsi" w:cs="Arial"/>
          <w:sz w:val="24"/>
          <w:szCs w:val="24"/>
          <w:lang w:val="en-GB" w:eastAsia="en-US"/>
        </w:rPr>
        <w:t xml:space="preserve"> and with hundreds or even thousands of distributors, all at the same time</w:t>
      </w:r>
      <w:r w:rsidRPr="009625FB">
        <w:rPr>
          <w:rFonts w:asciiTheme="majorHAnsi" w:hAnsiTheme="majorHAnsi" w:cs="Arial"/>
          <w:sz w:val="24"/>
          <w:szCs w:val="24"/>
          <w:lang w:val="en-GB" w:eastAsia="en-US"/>
        </w:rPr>
        <w:t xml:space="preserve">. Distributors which are MiFID-2 regulated entities (investment firms) contract with </w:t>
      </w:r>
      <w:r w:rsidR="005556F3" w:rsidRPr="009625FB">
        <w:rPr>
          <w:rFonts w:asciiTheme="majorHAnsi" w:hAnsiTheme="majorHAnsi" w:cs="Arial"/>
          <w:sz w:val="24"/>
          <w:szCs w:val="24"/>
          <w:lang w:val="en-GB" w:eastAsia="en-US"/>
        </w:rPr>
        <w:t xml:space="preserve">open-architecture platforms </w:t>
      </w:r>
      <w:r w:rsidR="00687092" w:rsidRPr="009625FB">
        <w:rPr>
          <w:rFonts w:asciiTheme="majorHAnsi" w:hAnsiTheme="majorHAnsi" w:cs="Arial"/>
          <w:sz w:val="24"/>
          <w:szCs w:val="24"/>
          <w:lang w:val="en-GB" w:eastAsia="en-US"/>
        </w:rPr>
        <w:t>to become</w:t>
      </w:r>
      <w:r w:rsidR="005556F3" w:rsidRPr="009625FB">
        <w:rPr>
          <w:rFonts w:asciiTheme="majorHAnsi" w:hAnsiTheme="majorHAnsi" w:cs="Arial"/>
          <w:sz w:val="24"/>
          <w:szCs w:val="24"/>
          <w:lang w:val="en-GB" w:eastAsia="en-US"/>
        </w:rPr>
        <w:t xml:space="preserve"> entitled to offer the whole range of financial instruments available on </w:t>
      </w:r>
      <w:r w:rsidR="00687092" w:rsidRPr="009625FB">
        <w:rPr>
          <w:rFonts w:asciiTheme="majorHAnsi" w:hAnsiTheme="majorHAnsi" w:cs="Arial"/>
          <w:sz w:val="24"/>
          <w:szCs w:val="24"/>
          <w:lang w:val="en-GB" w:eastAsia="en-US"/>
        </w:rPr>
        <w:t>a</w:t>
      </w:r>
      <w:r w:rsidR="005556F3" w:rsidRPr="009625FB">
        <w:rPr>
          <w:rFonts w:asciiTheme="majorHAnsi" w:hAnsiTheme="majorHAnsi" w:cs="Arial"/>
          <w:sz w:val="24"/>
          <w:szCs w:val="24"/>
          <w:lang w:val="en-GB" w:eastAsia="en-US"/>
        </w:rPr>
        <w:t xml:space="preserve"> platform</w:t>
      </w:r>
      <w:r w:rsidR="00A372A2">
        <w:rPr>
          <w:rFonts w:asciiTheme="majorHAnsi" w:hAnsiTheme="majorHAnsi" w:cs="Arial"/>
          <w:sz w:val="24"/>
          <w:szCs w:val="24"/>
          <w:lang w:val="en-GB" w:eastAsia="en-US"/>
        </w:rPr>
        <w:t>,</w:t>
      </w:r>
      <w:r w:rsidR="005556F3" w:rsidRPr="009625FB">
        <w:rPr>
          <w:rFonts w:asciiTheme="majorHAnsi" w:hAnsiTheme="majorHAnsi" w:cs="Arial"/>
          <w:sz w:val="24"/>
          <w:szCs w:val="24"/>
          <w:lang w:val="en-GB" w:eastAsia="en-US"/>
        </w:rPr>
        <w:t xml:space="preserve"> to their clients. The distributors themselves are either employing sales-staff or cooperating with self-employed sales-agents who act </w:t>
      </w:r>
      <w:r w:rsidR="00D8514F">
        <w:rPr>
          <w:rFonts w:asciiTheme="majorHAnsi" w:hAnsiTheme="majorHAnsi" w:cs="Arial"/>
          <w:sz w:val="24"/>
          <w:szCs w:val="24"/>
          <w:lang w:val="en-GB" w:eastAsia="en-US"/>
        </w:rPr>
        <w:t>at</w:t>
      </w:r>
      <w:r w:rsidR="005556F3" w:rsidRPr="009625FB">
        <w:rPr>
          <w:rFonts w:asciiTheme="majorHAnsi" w:hAnsiTheme="majorHAnsi" w:cs="Arial"/>
          <w:sz w:val="24"/>
          <w:szCs w:val="24"/>
          <w:lang w:val="en-GB" w:eastAsia="en-US"/>
        </w:rPr>
        <w:t xml:space="preserve"> the point of sale by using the technology of the open-architecture platform </w:t>
      </w:r>
      <w:r w:rsidR="00687092" w:rsidRPr="009625FB">
        <w:rPr>
          <w:rFonts w:asciiTheme="majorHAnsi" w:hAnsiTheme="majorHAnsi" w:cs="Arial"/>
          <w:sz w:val="24"/>
          <w:szCs w:val="24"/>
          <w:lang w:val="en-GB" w:eastAsia="en-US"/>
        </w:rPr>
        <w:t xml:space="preserve">as well as the infrastructure of the investment firm </w:t>
      </w:r>
      <w:r w:rsidR="005556F3" w:rsidRPr="009625FB">
        <w:rPr>
          <w:rFonts w:asciiTheme="majorHAnsi" w:hAnsiTheme="majorHAnsi" w:cs="Arial"/>
          <w:sz w:val="24"/>
          <w:szCs w:val="24"/>
          <w:lang w:val="en-GB" w:eastAsia="en-US"/>
        </w:rPr>
        <w:t>to advise client</w:t>
      </w:r>
      <w:r w:rsidR="00C12D65" w:rsidRPr="009625FB">
        <w:rPr>
          <w:rFonts w:asciiTheme="majorHAnsi" w:hAnsiTheme="majorHAnsi" w:cs="Arial"/>
          <w:sz w:val="24"/>
          <w:szCs w:val="24"/>
          <w:lang w:val="en-GB" w:eastAsia="en-US"/>
        </w:rPr>
        <w:t>s</w:t>
      </w:r>
      <w:r w:rsidR="005556F3" w:rsidRPr="009625FB">
        <w:rPr>
          <w:rFonts w:asciiTheme="majorHAnsi" w:hAnsiTheme="majorHAnsi" w:cs="Arial"/>
          <w:sz w:val="24"/>
          <w:szCs w:val="24"/>
          <w:lang w:val="en-GB" w:eastAsia="en-US"/>
        </w:rPr>
        <w:t xml:space="preserve">, to order </w:t>
      </w:r>
      <w:r w:rsidR="00C12D65" w:rsidRPr="009625FB">
        <w:rPr>
          <w:rFonts w:asciiTheme="majorHAnsi" w:hAnsiTheme="majorHAnsi" w:cs="Arial"/>
          <w:sz w:val="24"/>
          <w:szCs w:val="24"/>
          <w:lang w:val="en-GB" w:eastAsia="en-US"/>
        </w:rPr>
        <w:t xml:space="preserve">their </w:t>
      </w:r>
      <w:r w:rsidR="005556F3" w:rsidRPr="009625FB">
        <w:rPr>
          <w:rFonts w:asciiTheme="majorHAnsi" w:hAnsiTheme="majorHAnsi" w:cs="Arial"/>
          <w:sz w:val="24"/>
          <w:szCs w:val="24"/>
          <w:lang w:val="en-GB" w:eastAsia="en-US"/>
        </w:rPr>
        <w:t xml:space="preserve">financial instruments and </w:t>
      </w:r>
      <w:r w:rsidR="00C12D65" w:rsidRPr="009625FB">
        <w:rPr>
          <w:rFonts w:asciiTheme="majorHAnsi" w:hAnsiTheme="majorHAnsi" w:cs="Arial"/>
          <w:sz w:val="24"/>
          <w:szCs w:val="24"/>
          <w:lang w:val="en-GB" w:eastAsia="en-US"/>
        </w:rPr>
        <w:t xml:space="preserve">to </w:t>
      </w:r>
      <w:r w:rsidR="005556F3" w:rsidRPr="009625FB">
        <w:rPr>
          <w:rFonts w:asciiTheme="majorHAnsi" w:hAnsiTheme="majorHAnsi" w:cs="Arial"/>
          <w:sz w:val="24"/>
          <w:szCs w:val="24"/>
          <w:lang w:val="en-GB" w:eastAsia="en-US"/>
        </w:rPr>
        <w:t xml:space="preserve">constantly administrate their portfolios. </w:t>
      </w:r>
    </w:p>
    <w:p w:rsidR="002F73E8" w:rsidRPr="009625FB" w:rsidRDefault="00641095" w:rsidP="002F73E8">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From what has just been described, it is apparent that the concept of “distribution strategy” introduced by ESMA would never work within the world of open-architecture. Neither are distributors capable of permanently overseeing such strategies </w:t>
      </w:r>
      <w:r w:rsidR="00C802D0" w:rsidRPr="009625FB">
        <w:rPr>
          <w:rFonts w:asciiTheme="majorHAnsi" w:hAnsiTheme="majorHAnsi" w:cs="Arial"/>
          <w:sz w:val="24"/>
          <w:szCs w:val="24"/>
          <w:lang w:val="en-GB" w:eastAsia="en-US"/>
        </w:rPr>
        <w:t>for</w:t>
      </w:r>
      <w:r w:rsidRPr="009625FB">
        <w:rPr>
          <w:rFonts w:asciiTheme="majorHAnsi" w:hAnsiTheme="majorHAnsi" w:cs="Arial"/>
          <w:sz w:val="24"/>
          <w:szCs w:val="24"/>
          <w:lang w:val="en-GB" w:eastAsia="en-US"/>
        </w:rPr>
        <w:t xml:space="preserve"> hundreds or even thousands of financial instruments on a regular basis, nor would manufacturers be able to foresee the </w:t>
      </w:r>
      <w:r w:rsidR="00C802D0" w:rsidRPr="009625FB">
        <w:rPr>
          <w:rFonts w:asciiTheme="majorHAnsi" w:hAnsiTheme="majorHAnsi" w:cs="Arial"/>
          <w:sz w:val="24"/>
          <w:szCs w:val="24"/>
          <w:lang w:val="en-GB" w:eastAsia="en-US"/>
        </w:rPr>
        <w:t>individual d</w:t>
      </w:r>
      <w:r w:rsidRPr="009625FB">
        <w:rPr>
          <w:rFonts w:asciiTheme="majorHAnsi" w:hAnsiTheme="majorHAnsi" w:cs="Arial"/>
          <w:sz w:val="24"/>
          <w:szCs w:val="24"/>
          <w:lang w:val="en-GB" w:eastAsia="en-US"/>
        </w:rPr>
        <w:t xml:space="preserve">istribution strategies of </w:t>
      </w:r>
      <w:r w:rsidR="00C802D0" w:rsidRPr="009625FB">
        <w:rPr>
          <w:rFonts w:asciiTheme="majorHAnsi" w:hAnsiTheme="majorHAnsi" w:cs="Arial"/>
          <w:sz w:val="24"/>
          <w:szCs w:val="24"/>
          <w:lang w:val="en-GB" w:eastAsia="en-US"/>
        </w:rPr>
        <w:t xml:space="preserve">hundreds or even </w:t>
      </w:r>
      <w:r w:rsidRPr="009625FB">
        <w:rPr>
          <w:rFonts w:asciiTheme="majorHAnsi" w:hAnsiTheme="majorHAnsi" w:cs="Arial"/>
          <w:sz w:val="24"/>
          <w:szCs w:val="24"/>
          <w:lang w:val="en-GB" w:eastAsia="en-US"/>
        </w:rPr>
        <w:t xml:space="preserve">thousands of distributors </w:t>
      </w:r>
      <w:r w:rsidR="0076612D" w:rsidRPr="009625FB">
        <w:rPr>
          <w:rFonts w:asciiTheme="majorHAnsi" w:hAnsiTheme="majorHAnsi" w:cs="Arial"/>
          <w:sz w:val="24"/>
          <w:szCs w:val="24"/>
          <w:lang w:val="en-GB" w:eastAsia="en-US"/>
        </w:rPr>
        <w:t xml:space="preserve">and their sales agents </w:t>
      </w:r>
      <w:r w:rsidR="00C802D0" w:rsidRPr="009625FB">
        <w:rPr>
          <w:rFonts w:asciiTheme="majorHAnsi" w:hAnsiTheme="majorHAnsi" w:cs="Arial"/>
          <w:sz w:val="24"/>
          <w:szCs w:val="24"/>
          <w:lang w:val="en-GB" w:eastAsia="en-US"/>
        </w:rPr>
        <w:t xml:space="preserve">who are totally </w:t>
      </w:r>
      <w:r w:rsidRPr="009625FB">
        <w:rPr>
          <w:rFonts w:asciiTheme="majorHAnsi" w:hAnsiTheme="majorHAnsi" w:cs="Arial"/>
          <w:sz w:val="24"/>
          <w:szCs w:val="24"/>
          <w:lang w:val="en-GB" w:eastAsia="en-US"/>
        </w:rPr>
        <w:t xml:space="preserve">unknown to them as they are solely contracting with the open-architecture platform and never </w:t>
      </w:r>
      <w:r w:rsidR="0076612D" w:rsidRPr="009625FB">
        <w:rPr>
          <w:rFonts w:asciiTheme="majorHAnsi" w:hAnsiTheme="majorHAnsi" w:cs="Arial"/>
          <w:sz w:val="24"/>
          <w:szCs w:val="24"/>
          <w:lang w:val="en-GB" w:eastAsia="en-US"/>
        </w:rPr>
        <w:t>have</w:t>
      </w:r>
      <w:r w:rsidRPr="009625FB">
        <w:rPr>
          <w:rFonts w:asciiTheme="majorHAnsi" w:hAnsiTheme="majorHAnsi" w:cs="Arial"/>
          <w:sz w:val="24"/>
          <w:szCs w:val="24"/>
          <w:lang w:val="en-GB" w:eastAsia="en-US"/>
        </w:rPr>
        <w:t xml:space="preserve"> any direct interaction at all. </w:t>
      </w:r>
      <w:r w:rsidR="002F73E8" w:rsidRPr="009625FB">
        <w:rPr>
          <w:rFonts w:asciiTheme="majorHAnsi" w:hAnsiTheme="majorHAnsi" w:cs="Arial"/>
          <w:sz w:val="24"/>
          <w:szCs w:val="24"/>
          <w:lang w:val="en-GB" w:eastAsia="en-US"/>
        </w:rPr>
        <w:t xml:space="preserve">This is also why level 1 and 2 explicitly require distributors to take into account the </w:t>
      </w:r>
      <w:r w:rsidR="002F73E8" w:rsidRPr="009625FB">
        <w:rPr>
          <w:rFonts w:asciiTheme="majorHAnsi" w:hAnsiTheme="majorHAnsi" w:cs="Arial"/>
          <w:b/>
          <w:sz w:val="24"/>
          <w:szCs w:val="24"/>
          <w:lang w:val="en-GB" w:eastAsia="en-US"/>
        </w:rPr>
        <w:t>target-market</w:t>
      </w:r>
      <w:r w:rsidR="002F73E8" w:rsidRPr="009625FB">
        <w:rPr>
          <w:rFonts w:asciiTheme="majorHAnsi" w:hAnsiTheme="majorHAnsi" w:cs="Arial"/>
          <w:sz w:val="24"/>
          <w:szCs w:val="24"/>
          <w:lang w:val="en-GB" w:eastAsia="en-US"/>
        </w:rPr>
        <w:t xml:space="preserve"> of each financial product they intend to offer to their clients. ESMA should not do more or less than staying </w:t>
      </w:r>
      <w:r w:rsidR="00D8514F">
        <w:rPr>
          <w:rFonts w:asciiTheme="majorHAnsi" w:hAnsiTheme="majorHAnsi" w:cs="Arial"/>
          <w:sz w:val="24"/>
          <w:szCs w:val="24"/>
          <w:lang w:val="en-GB" w:eastAsia="en-US"/>
        </w:rPr>
        <w:t>with</w:t>
      </w:r>
      <w:r w:rsidR="002F73E8" w:rsidRPr="009625FB">
        <w:rPr>
          <w:rFonts w:asciiTheme="majorHAnsi" w:hAnsiTheme="majorHAnsi" w:cs="Arial"/>
          <w:sz w:val="24"/>
          <w:szCs w:val="24"/>
          <w:lang w:val="en-GB" w:eastAsia="en-US"/>
        </w:rPr>
        <w:t xml:space="preserve"> the target market concept and neither soften it nor mak</w:t>
      </w:r>
      <w:r w:rsidR="00D8514F">
        <w:rPr>
          <w:rFonts w:asciiTheme="majorHAnsi" w:hAnsiTheme="majorHAnsi" w:cs="Arial"/>
          <w:sz w:val="24"/>
          <w:szCs w:val="24"/>
          <w:lang w:val="en-GB" w:eastAsia="en-US"/>
        </w:rPr>
        <w:t>e</w:t>
      </w:r>
      <w:r w:rsidR="002F73E8" w:rsidRPr="009625FB">
        <w:rPr>
          <w:rFonts w:asciiTheme="majorHAnsi" w:hAnsiTheme="majorHAnsi" w:cs="Arial"/>
          <w:sz w:val="24"/>
          <w:szCs w:val="24"/>
          <w:lang w:val="en-GB" w:eastAsia="en-US"/>
        </w:rPr>
        <w:t xml:space="preserve"> its implementation impracticable. We therefore ask for the deletion of the concept of “distribution strategy”</w:t>
      </w:r>
      <w:r w:rsidR="00C802D0" w:rsidRPr="009625FB">
        <w:rPr>
          <w:rFonts w:asciiTheme="majorHAnsi" w:hAnsiTheme="majorHAnsi" w:cs="Arial"/>
          <w:sz w:val="24"/>
          <w:szCs w:val="24"/>
          <w:lang w:val="en-GB" w:eastAsia="en-US"/>
        </w:rPr>
        <w:t xml:space="preserve"> </w:t>
      </w:r>
      <w:r w:rsidR="0076612D" w:rsidRPr="009625FB">
        <w:rPr>
          <w:rFonts w:asciiTheme="majorHAnsi" w:hAnsiTheme="majorHAnsi" w:cs="Arial"/>
          <w:sz w:val="24"/>
          <w:szCs w:val="24"/>
          <w:lang w:val="en-GB" w:eastAsia="en-US"/>
        </w:rPr>
        <w:t>with</w:t>
      </w:r>
      <w:r w:rsidR="00C802D0" w:rsidRPr="009625FB">
        <w:rPr>
          <w:rFonts w:asciiTheme="majorHAnsi" w:hAnsiTheme="majorHAnsi" w:cs="Arial"/>
          <w:sz w:val="24"/>
          <w:szCs w:val="24"/>
          <w:lang w:val="en-GB" w:eastAsia="en-US"/>
        </w:rPr>
        <w:t>in the</w:t>
      </w:r>
      <w:r w:rsidR="0076612D" w:rsidRPr="009625FB">
        <w:rPr>
          <w:rFonts w:asciiTheme="majorHAnsi" w:hAnsiTheme="majorHAnsi" w:cs="Arial"/>
          <w:sz w:val="24"/>
          <w:szCs w:val="24"/>
          <w:lang w:val="en-GB" w:eastAsia="en-US"/>
        </w:rPr>
        <w:t xml:space="preserve"> whole</w:t>
      </w:r>
      <w:r w:rsidR="00C802D0" w:rsidRPr="009625FB">
        <w:rPr>
          <w:rFonts w:asciiTheme="majorHAnsi" w:hAnsiTheme="majorHAnsi" w:cs="Arial"/>
          <w:sz w:val="24"/>
          <w:szCs w:val="24"/>
          <w:lang w:val="en-GB" w:eastAsia="en-US"/>
        </w:rPr>
        <w:t xml:space="preserve"> guidelines. Distributors need to know the target market and it is their job by nature to implement this into their individual </w:t>
      </w:r>
      <w:r w:rsidR="00D008F8" w:rsidRPr="009625FB">
        <w:rPr>
          <w:rFonts w:asciiTheme="majorHAnsi" w:hAnsiTheme="majorHAnsi" w:cs="Arial"/>
          <w:sz w:val="24"/>
          <w:szCs w:val="24"/>
          <w:lang w:val="en-GB" w:eastAsia="en-US"/>
        </w:rPr>
        <w:t>sales</w:t>
      </w:r>
      <w:r w:rsidR="00C802D0" w:rsidRPr="009625FB">
        <w:rPr>
          <w:rFonts w:asciiTheme="majorHAnsi" w:hAnsiTheme="majorHAnsi" w:cs="Arial"/>
          <w:sz w:val="24"/>
          <w:szCs w:val="24"/>
          <w:lang w:val="en-GB" w:eastAsia="en-US"/>
        </w:rPr>
        <w:t xml:space="preserve"> </w:t>
      </w:r>
      <w:r w:rsidR="00D008F8" w:rsidRPr="009625FB">
        <w:rPr>
          <w:rFonts w:asciiTheme="majorHAnsi" w:hAnsiTheme="majorHAnsi" w:cs="Arial"/>
          <w:sz w:val="24"/>
          <w:szCs w:val="24"/>
          <w:lang w:val="en-GB" w:eastAsia="en-US"/>
        </w:rPr>
        <w:t>channels</w:t>
      </w:r>
      <w:r w:rsidR="00C802D0" w:rsidRPr="009625FB">
        <w:rPr>
          <w:rFonts w:asciiTheme="majorHAnsi" w:hAnsiTheme="majorHAnsi" w:cs="Arial"/>
          <w:sz w:val="24"/>
          <w:szCs w:val="24"/>
          <w:lang w:val="en-GB" w:eastAsia="en-US"/>
        </w:rPr>
        <w:t>.</w:t>
      </w:r>
    </w:p>
    <w:p w:rsidR="009F6F41" w:rsidRPr="009625FB" w:rsidRDefault="00051775" w:rsidP="009F6F41">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Another point of concern of FECIF members is the </w:t>
      </w:r>
      <w:r w:rsidRPr="009625FB">
        <w:rPr>
          <w:rFonts w:asciiTheme="majorHAnsi" w:hAnsiTheme="majorHAnsi" w:cs="Arial"/>
          <w:b/>
          <w:sz w:val="24"/>
          <w:szCs w:val="24"/>
          <w:lang w:val="en-GB" w:eastAsia="en-US"/>
        </w:rPr>
        <w:t>date of entry</w:t>
      </w:r>
      <w:r w:rsidRPr="009625FB">
        <w:rPr>
          <w:rFonts w:asciiTheme="majorHAnsi" w:hAnsiTheme="majorHAnsi" w:cs="Arial"/>
          <w:sz w:val="24"/>
          <w:szCs w:val="24"/>
          <w:lang w:val="en-GB" w:eastAsia="en-US"/>
        </w:rPr>
        <w:t xml:space="preserve"> of the target market. ESMA defines in their draft guidelines the 3</w:t>
      </w:r>
      <w:r w:rsidRPr="009625FB">
        <w:rPr>
          <w:rFonts w:asciiTheme="majorHAnsi" w:hAnsiTheme="majorHAnsi" w:cs="Arial"/>
          <w:sz w:val="24"/>
          <w:szCs w:val="24"/>
          <w:vertAlign w:val="superscript"/>
          <w:lang w:val="en-GB" w:eastAsia="en-US"/>
        </w:rPr>
        <w:t>rd</w:t>
      </w:r>
      <w:r w:rsidRPr="009625FB">
        <w:rPr>
          <w:rFonts w:asciiTheme="majorHAnsi" w:hAnsiTheme="majorHAnsi" w:cs="Arial"/>
          <w:sz w:val="24"/>
          <w:szCs w:val="24"/>
          <w:lang w:val="en-GB" w:eastAsia="en-US"/>
        </w:rPr>
        <w:t xml:space="preserve"> of January, 2018 as the absolutely binding deadline for distributors, but not for manufacturers. In fact, manufacturers should assign target markets following the next product review process cycle that is conducted according to Article 16(3) after the 3</w:t>
      </w:r>
      <w:r w:rsidRPr="009625FB">
        <w:rPr>
          <w:rFonts w:asciiTheme="majorHAnsi" w:hAnsiTheme="majorHAnsi" w:cs="Arial"/>
          <w:sz w:val="24"/>
          <w:szCs w:val="24"/>
          <w:vertAlign w:val="superscript"/>
          <w:lang w:val="en-GB" w:eastAsia="en-US"/>
        </w:rPr>
        <w:t>rd</w:t>
      </w:r>
      <w:r w:rsidRPr="009625FB">
        <w:rPr>
          <w:rFonts w:asciiTheme="majorHAnsi" w:hAnsiTheme="majorHAnsi" w:cs="Arial"/>
          <w:sz w:val="24"/>
          <w:szCs w:val="24"/>
          <w:lang w:val="en-GB" w:eastAsia="en-US"/>
        </w:rPr>
        <w:t xml:space="preserve"> of January, 2018.  For the period between 3</w:t>
      </w:r>
      <w:r w:rsidRPr="009625FB">
        <w:rPr>
          <w:rFonts w:asciiTheme="majorHAnsi" w:hAnsiTheme="majorHAnsi" w:cs="Arial"/>
          <w:sz w:val="24"/>
          <w:szCs w:val="24"/>
          <w:vertAlign w:val="superscript"/>
          <w:lang w:val="en-GB" w:eastAsia="en-US"/>
        </w:rPr>
        <w:t>rd</w:t>
      </w:r>
      <w:r w:rsidRPr="009625FB">
        <w:rPr>
          <w:rFonts w:asciiTheme="majorHAnsi" w:hAnsiTheme="majorHAnsi" w:cs="Arial"/>
          <w:sz w:val="24"/>
          <w:szCs w:val="24"/>
          <w:lang w:val="en-GB" w:eastAsia="en-US"/>
        </w:rPr>
        <w:t xml:space="preserve"> of January, 2018 and the undefined date on which the manufacturers will have defined a definitive target market for their products the sole responsibility of defining target-markets would be </w:t>
      </w:r>
      <w:r w:rsidR="009F6F41" w:rsidRPr="009625FB">
        <w:rPr>
          <w:rFonts w:asciiTheme="majorHAnsi" w:hAnsiTheme="majorHAnsi" w:cs="Arial"/>
          <w:sz w:val="24"/>
          <w:szCs w:val="24"/>
          <w:lang w:val="en-GB" w:eastAsia="en-US"/>
        </w:rPr>
        <w:t xml:space="preserve">transferred to the distributor who should act as if the manufacturer was an entity not subject to MiFID-2 product governance requirements. Such an approach for MiFID-2 regulated entities would be practically impossible! </w:t>
      </w:r>
    </w:p>
    <w:p w:rsidR="009F6F41" w:rsidRPr="009625FB" w:rsidRDefault="009F6F41" w:rsidP="009F6F41">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What if the distributor defines a target market and the manufacturer determines a different target market sometime later? </w:t>
      </w:r>
      <w:r w:rsidR="00C331B6" w:rsidRPr="009625FB">
        <w:rPr>
          <w:rFonts w:asciiTheme="majorHAnsi" w:hAnsiTheme="majorHAnsi" w:cs="Arial"/>
          <w:sz w:val="24"/>
          <w:szCs w:val="24"/>
          <w:lang w:val="en-GB" w:eastAsia="en-US"/>
        </w:rPr>
        <w:t>Was</w:t>
      </w:r>
      <w:r w:rsidRPr="009625FB">
        <w:rPr>
          <w:rFonts w:asciiTheme="majorHAnsi" w:hAnsiTheme="majorHAnsi" w:cs="Arial"/>
          <w:sz w:val="24"/>
          <w:szCs w:val="24"/>
          <w:lang w:val="en-GB" w:eastAsia="en-US"/>
        </w:rPr>
        <w:t xml:space="preserve"> </w:t>
      </w:r>
      <w:r w:rsidR="00C331B6" w:rsidRPr="009625FB">
        <w:rPr>
          <w:rFonts w:asciiTheme="majorHAnsi" w:hAnsiTheme="majorHAnsi" w:cs="Arial"/>
          <w:sz w:val="24"/>
          <w:szCs w:val="24"/>
          <w:lang w:val="en-GB" w:eastAsia="en-US"/>
        </w:rPr>
        <w:t>the distributor</w:t>
      </w:r>
      <w:r w:rsidRPr="009625FB">
        <w:rPr>
          <w:rFonts w:asciiTheme="majorHAnsi" w:hAnsiTheme="majorHAnsi" w:cs="Arial"/>
          <w:sz w:val="24"/>
          <w:szCs w:val="24"/>
          <w:lang w:val="en-GB" w:eastAsia="en-US"/>
        </w:rPr>
        <w:t xml:space="preserve"> then advising</w:t>
      </w:r>
      <w:r w:rsidR="004A790E">
        <w:rPr>
          <w:rFonts w:asciiTheme="majorHAnsi" w:hAnsiTheme="majorHAnsi" w:cs="Arial"/>
          <w:sz w:val="24"/>
          <w:szCs w:val="24"/>
          <w:lang w:val="en-GB" w:eastAsia="en-US"/>
        </w:rPr>
        <w:t xml:space="preserve"> inappropriately?</w:t>
      </w:r>
      <w:r w:rsidR="00D8514F">
        <w:rPr>
          <w:rFonts w:asciiTheme="majorHAnsi" w:hAnsiTheme="majorHAnsi" w:cs="Arial"/>
          <w:sz w:val="24"/>
          <w:szCs w:val="24"/>
          <w:lang w:val="en-GB" w:eastAsia="en-US"/>
        </w:rPr>
        <w:t xml:space="preserve"> From a</w:t>
      </w:r>
      <w:r w:rsidRPr="009625FB">
        <w:rPr>
          <w:rFonts w:asciiTheme="majorHAnsi" w:hAnsiTheme="majorHAnsi" w:cs="Arial"/>
          <w:sz w:val="24"/>
          <w:szCs w:val="24"/>
          <w:lang w:val="en-GB" w:eastAsia="en-US"/>
        </w:rPr>
        <w:t xml:space="preserve"> retrospective</w:t>
      </w:r>
      <w:r w:rsidR="00D8514F">
        <w:rPr>
          <w:rFonts w:asciiTheme="majorHAnsi" w:hAnsiTheme="majorHAnsi" w:cs="Arial"/>
          <w:sz w:val="24"/>
          <w:szCs w:val="24"/>
          <w:lang w:val="en-GB" w:eastAsia="en-US"/>
        </w:rPr>
        <w:t xml:space="preserve"> viewpoint</w:t>
      </w:r>
      <w:r w:rsidRPr="009625FB">
        <w:rPr>
          <w:rFonts w:asciiTheme="majorHAnsi" w:hAnsiTheme="majorHAnsi" w:cs="Arial"/>
          <w:sz w:val="24"/>
          <w:szCs w:val="24"/>
          <w:lang w:val="en-GB" w:eastAsia="en-US"/>
        </w:rPr>
        <w:t>? Do the advertised customers automatically have a right of</w:t>
      </w:r>
      <w:r w:rsidR="004A790E">
        <w:rPr>
          <w:rFonts w:asciiTheme="majorHAnsi" w:hAnsiTheme="majorHAnsi" w:cs="Arial"/>
          <w:sz w:val="24"/>
          <w:szCs w:val="24"/>
          <w:lang w:val="en-GB" w:eastAsia="en-US"/>
        </w:rPr>
        <w:t xml:space="preserve"> </w:t>
      </w:r>
      <w:r w:rsidR="00D8514F">
        <w:rPr>
          <w:rFonts w:asciiTheme="majorHAnsi" w:hAnsiTheme="majorHAnsi" w:cs="Arial"/>
          <w:sz w:val="24"/>
          <w:szCs w:val="24"/>
          <w:lang w:val="en-GB" w:eastAsia="en-US"/>
        </w:rPr>
        <w:t>cancellation</w:t>
      </w:r>
      <w:r w:rsidRPr="009625FB">
        <w:rPr>
          <w:rFonts w:asciiTheme="majorHAnsi" w:hAnsiTheme="majorHAnsi" w:cs="Arial"/>
          <w:sz w:val="24"/>
          <w:szCs w:val="24"/>
          <w:lang w:val="en-GB" w:eastAsia="en-US"/>
        </w:rPr>
        <w:t xml:space="preserve">? Does the distributor have </w:t>
      </w:r>
      <w:r w:rsidR="00C331B6" w:rsidRPr="009625FB">
        <w:rPr>
          <w:rFonts w:asciiTheme="majorHAnsi" w:hAnsiTheme="majorHAnsi" w:cs="Arial"/>
          <w:sz w:val="24"/>
          <w:szCs w:val="24"/>
          <w:lang w:val="en-GB" w:eastAsia="en-US"/>
        </w:rPr>
        <w:t>full</w:t>
      </w:r>
      <w:r w:rsidRPr="009625FB">
        <w:rPr>
          <w:rFonts w:asciiTheme="majorHAnsi" w:hAnsiTheme="majorHAnsi" w:cs="Arial"/>
          <w:sz w:val="24"/>
          <w:szCs w:val="24"/>
          <w:lang w:val="en-GB" w:eastAsia="en-US"/>
        </w:rPr>
        <w:t xml:space="preserve"> liability retroactively because it has not sold in line with the target-market? Has the </w:t>
      </w:r>
      <w:r w:rsidRPr="009625FB">
        <w:rPr>
          <w:rFonts w:asciiTheme="majorHAnsi" w:hAnsiTheme="majorHAnsi" w:cs="Arial"/>
          <w:sz w:val="24"/>
          <w:szCs w:val="24"/>
          <w:lang w:val="en-GB" w:eastAsia="en-US"/>
        </w:rPr>
        <w:lastRenderedPageBreak/>
        <w:t xml:space="preserve">management of the distributor been guilty because a future risk was not sufficiently disclosed to the customer? Or, should the distributor tell the customer </w:t>
      </w:r>
      <w:r w:rsidR="00C331B6" w:rsidRPr="009625FB">
        <w:rPr>
          <w:rFonts w:asciiTheme="majorHAnsi" w:hAnsiTheme="majorHAnsi" w:cs="Arial"/>
          <w:sz w:val="24"/>
          <w:szCs w:val="24"/>
          <w:lang w:val="en-GB" w:eastAsia="en-US"/>
        </w:rPr>
        <w:t>from the very beginning</w:t>
      </w:r>
      <w:r w:rsidRPr="009625FB">
        <w:rPr>
          <w:rFonts w:asciiTheme="majorHAnsi" w:hAnsiTheme="majorHAnsi" w:cs="Arial"/>
          <w:sz w:val="24"/>
          <w:szCs w:val="24"/>
          <w:lang w:val="en-GB" w:eastAsia="en-US"/>
        </w:rPr>
        <w:t xml:space="preserve"> that they believe </w:t>
      </w:r>
      <w:r w:rsidR="00D8514F">
        <w:rPr>
          <w:rFonts w:asciiTheme="majorHAnsi" w:hAnsiTheme="majorHAnsi" w:cs="Arial"/>
          <w:sz w:val="24"/>
          <w:szCs w:val="24"/>
          <w:lang w:val="en-GB" w:eastAsia="en-US"/>
        </w:rPr>
        <w:t>they</w:t>
      </w:r>
      <w:r w:rsidRPr="009625FB">
        <w:rPr>
          <w:rFonts w:asciiTheme="majorHAnsi" w:hAnsiTheme="majorHAnsi" w:cs="Arial"/>
          <w:sz w:val="24"/>
          <w:szCs w:val="24"/>
          <w:lang w:val="en-GB" w:eastAsia="en-US"/>
        </w:rPr>
        <w:t xml:space="preserve"> have </w:t>
      </w:r>
      <w:r w:rsidR="00D8514F">
        <w:rPr>
          <w:rFonts w:asciiTheme="majorHAnsi" w:hAnsiTheme="majorHAnsi" w:cs="Arial"/>
          <w:sz w:val="24"/>
          <w:szCs w:val="24"/>
          <w:lang w:val="en-GB" w:eastAsia="en-US"/>
        </w:rPr>
        <w:t>correctly identified the</w:t>
      </w:r>
      <w:r w:rsidRPr="009625FB">
        <w:rPr>
          <w:rFonts w:asciiTheme="majorHAnsi" w:hAnsiTheme="majorHAnsi" w:cs="Arial"/>
          <w:sz w:val="24"/>
          <w:szCs w:val="24"/>
          <w:lang w:val="en-GB" w:eastAsia="en-US"/>
        </w:rPr>
        <w:t xml:space="preserve"> </w:t>
      </w:r>
      <w:r w:rsidR="00D8514F">
        <w:rPr>
          <w:rFonts w:asciiTheme="majorHAnsi" w:hAnsiTheme="majorHAnsi" w:cs="Arial"/>
          <w:sz w:val="24"/>
          <w:szCs w:val="24"/>
          <w:lang w:val="en-GB" w:eastAsia="en-US"/>
        </w:rPr>
        <w:t xml:space="preserve">appropriate </w:t>
      </w:r>
      <w:r w:rsidRPr="009625FB">
        <w:rPr>
          <w:rFonts w:asciiTheme="majorHAnsi" w:hAnsiTheme="majorHAnsi" w:cs="Arial"/>
          <w:sz w:val="24"/>
          <w:szCs w:val="24"/>
          <w:lang w:val="en-GB" w:eastAsia="en-US"/>
        </w:rPr>
        <w:t>target market, but do not know for sure whether the manufacturer will determine the same target market or another</w:t>
      </w:r>
      <w:r w:rsidR="00D8514F">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w:t>
      </w:r>
      <w:r w:rsidR="00C331B6" w:rsidRPr="009625FB">
        <w:rPr>
          <w:rFonts w:asciiTheme="majorHAnsi" w:hAnsiTheme="majorHAnsi" w:cs="Arial"/>
          <w:sz w:val="24"/>
          <w:szCs w:val="24"/>
          <w:lang w:val="en-GB" w:eastAsia="en-US"/>
        </w:rPr>
        <w:t>sometime later</w:t>
      </w:r>
      <w:r w:rsidRPr="009625FB">
        <w:rPr>
          <w:rFonts w:asciiTheme="majorHAnsi" w:hAnsiTheme="majorHAnsi" w:cs="Arial"/>
          <w:sz w:val="24"/>
          <w:szCs w:val="24"/>
          <w:lang w:val="en-GB" w:eastAsia="en-US"/>
        </w:rPr>
        <w:t>?</w:t>
      </w:r>
    </w:p>
    <w:p w:rsidR="00051775" w:rsidRPr="009625FB" w:rsidRDefault="009F6F41" w:rsidP="009F6F41">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The target market</w:t>
      </w:r>
      <w:r w:rsidR="00C331B6" w:rsidRPr="009625FB">
        <w:rPr>
          <w:rFonts w:asciiTheme="majorHAnsi" w:hAnsiTheme="majorHAnsi" w:cs="Arial"/>
          <w:sz w:val="24"/>
          <w:szCs w:val="24"/>
          <w:lang w:val="en-GB" w:eastAsia="en-US"/>
        </w:rPr>
        <w:t xml:space="preserve"> concept</w:t>
      </w:r>
      <w:r w:rsidRPr="009625FB">
        <w:rPr>
          <w:rFonts w:asciiTheme="majorHAnsi" w:hAnsiTheme="majorHAnsi" w:cs="Arial"/>
          <w:sz w:val="24"/>
          <w:szCs w:val="24"/>
          <w:lang w:val="en-GB" w:eastAsia="en-US"/>
        </w:rPr>
        <w:t xml:space="preserve"> is the central hub of the entire </w:t>
      </w:r>
      <w:r w:rsidR="00C331B6" w:rsidRPr="009625FB">
        <w:rPr>
          <w:rFonts w:asciiTheme="majorHAnsi" w:hAnsiTheme="majorHAnsi" w:cs="Arial"/>
          <w:sz w:val="24"/>
          <w:szCs w:val="24"/>
          <w:lang w:val="en-GB" w:eastAsia="en-US"/>
        </w:rPr>
        <w:t xml:space="preserve">MiFID-2 </w:t>
      </w:r>
      <w:r w:rsidRPr="009625FB">
        <w:rPr>
          <w:rFonts w:asciiTheme="majorHAnsi" w:hAnsiTheme="majorHAnsi" w:cs="Arial"/>
          <w:sz w:val="24"/>
          <w:szCs w:val="24"/>
          <w:lang w:val="en-GB" w:eastAsia="en-US"/>
        </w:rPr>
        <w:t xml:space="preserve">product governance </w:t>
      </w:r>
      <w:r w:rsidR="00D8514F">
        <w:rPr>
          <w:rFonts w:asciiTheme="majorHAnsi" w:hAnsiTheme="majorHAnsi" w:cs="Arial"/>
          <w:sz w:val="24"/>
          <w:szCs w:val="24"/>
          <w:lang w:val="en-GB" w:eastAsia="en-US"/>
        </w:rPr>
        <w:t xml:space="preserve">initiative </w:t>
      </w:r>
      <w:r w:rsidRPr="009625FB">
        <w:rPr>
          <w:rFonts w:asciiTheme="majorHAnsi" w:hAnsiTheme="majorHAnsi" w:cs="Arial"/>
          <w:sz w:val="24"/>
          <w:szCs w:val="24"/>
          <w:lang w:val="en-GB" w:eastAsia="en-US"/>
        </w:rPr>
        <w:t>and can only work with clear guidelines from the manufacturers' side. Simply</w:t>
      </w:r>
      <w:r w:rsidR="00D8514F">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for reasons of liability, no manager of any MiFID-2 regulated company will sell products without a clear target market definition. It is therefore </w:t>
      </w:r>
      <w:r w:rsidR="00C331B6" w:rsidRPr="009625FB">
        <w:rPr>
          <w:rFonts w:asciiTheme="majorHAnsi" w:hAnsiTheme="majorHAnsi" w:cs="Arial"/>
          <w:sz w:val="24"/>
          <w:szCs w:val="24"/>
          <w:lang w:val="en-GB" w:eastAsia="en-US"/>
        </w:rPr>
        <w:t>essential</w:t>
      </w:r>
      <w:r w:rsidRPr="009625FB">
        <w:rPr>
          <w:rFonts w:asciiTheme="majorHAnsi" w:hAnsiTheme="majorHAnsi" w:cs="Arial"/>
          <w:sz w:val="24"/>
          <w:szCs w:val="24"/>
          <w:lang w:val="en-GB" w:eastAsia="en-US"/>
        </w:rPr>
        <w:t xml:space="preserve"> that </w:t>
      </w:r>
      <w:r w:rsidR="00C331B6" w:rsidRPr="009625FB">
        <w:rPr>
          <w:rFonts w:asciiTheme="majorHAnsi" w:hAnsiTheme="majorHAnsi" w:cs="Arial"/>
          <w:sz w:val="24"/>
          <w:szCs w:val="24"/>
          <w:lang w:val="en-GB" w:eastAsia="en-US"/>
        </w:rPr>
        <w:t>distributors and manufacturer</w:t>
      </w:r>
      <w:r w:rsidR="00D8514F">
        <w:rPr>
          <w:rFonts w:asciiTheme="majorHAnsi" w:hAnsiTheme="majorHAnsi" w:cs="Arial"/>
          <w:sz w:val="24"/>
          <w:szCs w:val="24"/>
          <w:lang w:val="en-GB" w:eastAsia="en-US"/>
        </w:rPr>
        <w:t>s</w:t>
      </w:r>
      <w:r w:rsidR="00C331B6" w:rsidRPr="009625FB">
        <w:rPr>
          <w:rFonts w:asciiTheme="majorHAnsi" w:hAnsiTheme="majorHAnsi" w:cs="Arial"/>
          <w:sz w:val="24"/>
          <w:szCs w:val="24"/>
          <w:lang w:val="en-GB" w:eastAsia="en-US"/>
        </w:rPr>
        <w:t xml:space="preserve"> together </w:t>
      </w:r>
      <w:r w:rsidR="00D8514F">
        <w:rPr>
          <w:rFonts w:asciiTheme="majorHAnsi" w:hAnsiTheme="majorHAnsi" w:cs="Arial"/>
          <w:sz w:val="24"/>
          <w:szCs w:val="24"/>
          <w:lang w:val="en-GB" w:eastAsia="en-US"/>
        </w:rPr>
        <w:t>operate</w:t>
      </w:r>
      <w:r w:rsidRPr="009625FB">
        <w:rPr>
          <w:rFonts w:asciiTheme="majorHAnsi" w:hAnsiTheme="majorHAnsi" w:cs="Arial"/>
          <w:sz w:val="24"/>
          <w:szCs w:val="24"/>
          <w:lang w:val="en-GB" w:eastAsia="en-US"/>
        </w:rPr>
        <w:t xml:space="preserve"> </w:t>
      </w:r>
      <w:r w:rsidR="00D8514F">
        <w:rPr>
          <w:rFonts w:asciiTheme="majorHAnsi" w:hAnsiTheme="majorHAnsi" w:cs="Arial"/>
          <w:sz w:val="24"/>
          <w:szCs w:val="24"/>
          <w:lang w:val="en-GB" w:eastAsia="en-US"/>
        </w:rPr>
        <w:t xml:space="preserve">from </w:t>
      </w:r>
      <w:r w:rsidRPr="009625FB">
        <w:rPr>
          <w:rFonts w:asciiTheme="majorHAnsi" w:hAnsiTheme="majorHAnsi" w:cs="Arial"/>
          <w:sz w:val="24"/>
          <w:szCs w:val="24"/>
          <w:lang w:val="en-GB" w:eastAsia="en-US"/>
        </w:rPr>
        <w:t xml:space="preserve">the </w:t>
      </w:r>
      <w:r w:rsidR="00C331B6" w:rsidRPr="009625FB">
        <w:rPr>
          <w:rFonts w:asciiTheme="majorHAnsi" w:hAnsiTheme="majorHAnsi" w:cs="Arial"/>
          <w:sz w:val="24"/>
          <w:szCs w:val="24"/>
          <w:lang w:val="en-GB" w:eastAsia="en-US"/>
        </w:rPr>
        <w:t xml:space="preserve">same </w:t>
      </w:r>
      <w:r w:rsidRPr="009625FB">
        <w:rPr>
          <w:rFonts w:asciiTheme="majorHAnsi" w:hAnsiTheme="majorHAnsi" w:cs="Arial"/>
          <w:sz w:val="24"/>
          <w:szCs w:val="24"/>
          <w:lang w:val="en-GB" w:eastAsia="en-US"/>
        </w:rPr>
        <w:t>introduction date.</w:t>
      </w:r>
    </w:p>
    <w:p w:rsidR="00051775" w:rsidRPr="009625FB" w:rsidRDefault="00051775"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 xml:space="preserve">Q1: Do you agree on the list of categories that manufactures should use as a basis for de-fining the target market for their products? If not, please explain what changes should be made to the list and why. </w:t>
      </w:r>
    </w:p>
    <w:p w:rsidR="009F0BDB" w:rsidRPr="009625FB" w:rsidRDefault="006E41E8" w:rsidP="000224C9">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We consider that </w:t>
      </w:r>
      <w:r w:rsidRPr="009625FB">
        <w:rPr>
          <w:rFonts w:asciiTheme="majorHAnsi" w:hAnsiTheme="majorHAnsi" w:cs="Arial"/>
          <w:i/>
          <w:sz w:val="24"/>
          <w:szCs w:val="24"/>
          <w:lang w:val="en-GB" w:eastAsia="en-US"/>
        </w:rPr>
        <w:t>category</w:t>
      </w:r>
      <w:r w:rsidR="000224C9" w:rsidRPr="009625FB">
        <w:rPr>
          <w:rFonts w:asciiTheme="majorHAnsi" w:hAnsiTheme="majorHAnsi" w:cs="Arial"/>
          <w:i/>
          <w:sz w:val="24"/>
          <w:szCs w:val="24"/>
          <w:lang w:val="en-GB" w:eastAsia="en-US"/>
        </w:rPr>
        <w:t xml:space="preserve"> </w:t>
      </w:r>
      <w:r w:rsidR="000224C9" w:rsidRPr="009625FB">
        <w:rPr>
          <w:rFonts w:asciiTheme="majorHAnsi" w:hAnsiTheme="majorHAnsi" w:cs="Arial"/>
          <w:sz w:val="24"/>
          <w:szCs w:val="24"/>
          <w:lang w:val="en-GB" w:eastAsia="en-US"/>
        </w:rPr>
        <w:t>(a)</w:t>
      </w:r>
      <w:r w:rsidRPr="009625FB">
        <w:rPr>
          <w:rFonts w:asciiTheme="majorHAnsi" w:hAnsiTheme="majorHAnsi" w:cs="Arial"/>
          <w:sz w:val="24"/>
          <w:szCs w:val="24"/>
          <w:lang w:val="en-GB" w:eastAsia="en-US"/>
        </w:rPr>
        <w:t xml:space="preserve"> </w:t>
      </w:r>
      <w:r w:rsidR="000D4BD8" w:rsidRPr="009625FB">
        <w:rPr>
          <w:rFonts w:asciiTheme="majorHAnsi" w:hAnsiTheme="majorHAnsi" w:cs="Arial"/>
          <w:sz w:val="24"/>
          <w:szCs w:val="24"/>
          <w:lang w:val="en-GB" w:eastAsia="en-US"/>
        </w:rPr>
        <w:t>“</w:t>
      </w:r>
      <w:r w:rsidR="000224C9" w:rsidRPr="009625FB">
        <w:rPr>
          <w:rFonts w:asciiTheme="majorHAnsi" w:hAnsiTheme="majorHAnsi" w:cs="Arial"/>
          <w:sz w:val="24"/>
          <w:szCs w:val="24"/>
          <w:lang w:val="en-GB" w:eastAsia="en-US"/>
        </w:rPr>
        <w:t>The type of clients to whom the product is targeted</w:t>
      </w:r>
      <w:r w:rsidR="000D4BD8" w:rsidRPr="009625FB">
        <w:rPr>
          <w:rFonts w:asciiTheme="majorHAnsi" w:hAnsiTheme="majorHAnsi" w:cs="Arial"/>
          <w:sz w:val="24"/>
          <w:szCs w:val="24"/>
          <w:lang w:val="en-GB" w:eastAsia="en-US"/>
        </w:rPr>
        <w:t>”</w:t>
      </w:r>
      <w:r w:rsidR="000224C9" w:rsidRPr="009625FB">
        <w:rPr>
          <w:rFonts w:asciiTheme="majorHAnsi" w:hAnsiTheme="majorHAnsi" w:cs="Arial"/>
          <w:i/>
          <w:sz w:val="24"/>
          <w:szCs w:val="24"/>
          <w:lang w:val="en-GB" w:eastAsia="en-US"/>
        </w:rPr>
        <w:t xml:space="preserve"> </w:t>
      </w:r>
      <w:r w:rsidRPr="009625FB">
        <w:rPr>
          <w:rFonts w:asciiTheme="majorHAnsi" w:hAnsiTheme="majorHAnsi" w:cs="Arial"/>
          <w:sz w:val="24"/>
          <w:szCs w:val="24"/>
          <w:lang w:val="en-GB" w:eastAsia="en-US"/>
        </w:rPr>
        <w:t xml:space="preserve">represents the first basic step, underpinning all the other categories. Concerning client categorisation pursuant to MiFID II, we think that the crucial distinction is between retail and non-retail clients. With regard to additional descriptions commonly used in the market, we point out that client categorisation by means of </w:t>
      </w:r>
      <w:r w:rsidR="000224C9" w:rsidRPr="009625FB">
        <w:rPr>
          <w:rFonts w:asciiTheme="majorHAnsi" w:hAnsiTheme="majorHAnsi" w:cs="Arial"/>
          <w:i/>
          <w:sz w:val="24"/>
          <w:szCs w:val="24"/>
          <w:lang w:val="en-GB" w:eastAsia="en-US"/>
        </w:rPr>
        <w:t>«</w:t>
      </w:r>
      <w:r w:rsidRPr="009625FB">
        <w:rPr>
          <w:rFonts w:asciiTheme="majorHAnsi" w:hAnsiTheme="majorHAnsi" w:cs="Arial"/>
          <w:i/>
          <w:sz w:val="24"/>
          <w:szCs w:val="24"/>
          <w:lang w:val="en-GB" w:eastAsia="en-US"/>
        </w:rPr>
        <w:t>additional descriptions commonl</w:t>
      </w:r>
      <w:r w:rsidR="000224C9" w:rsidRPr="009625FB">
        <w:rPr>
          <w:rFonts w:asciiTheme="majorHAnsi" w:hAnsiTheme="majorHAnsi" w:cs="Arial"/>
          <w:i/>
          <w:sz w:val="24"/>
          <w:szCs w:val="24"/>
          <w:lang w:val="en-GB" w:eastAsia="en-US"/>
        </w:rPr>
        <w:t>y used in the respective market</w:t>
      </w:r>
      <w:r w:rsidRPr="009625FB">
        <w:rPr>
          <w:rFonts w:asciiTheme="majorHAnsi" w:hAnsiTheme="majorHAnsi" w:cs="Arial"/>
          <w:i/>
          <w:sz w:val="24"/>
          <w:szCs w:val="24"/>
          <w:lang w:val="en-GB" w:eastAsia="en-US"/>
        </w:rPr>
        <w:t xml:space="preserve">» </w:t>
      </w:r>
      <w:r w:rsidRPr="009625FB">
        <w:rPr>
          <w:rFonts w:asciiTheme="majorHAnsi" w:hAnsiTheme="majorHAnsi" w:cs="Arial"/>
          <w:sz w:val="24"/>
          <w:szCs w:val="24"/>
          <w:lang w:val="en-GB" w:eastAsia="en-US"/>
        </w:rPr>
        <w:t xml:space="preserve">may create a risk of confusion: comparability </w:t>
      </w:r>
      <w:r w:rsidR="009F0BDB" w:rsidRPr="009625FB">
        <w:rPr>
          <w:rFonts w:asciiTheme="majorHAnsi" w:hAnsiTheme="majorHAnsi" w:cs="Arial"/>
          <w:sz w:val="24"/>
          <w:szCs w:val="24"/>
          <w:lang w:val="en-GB" w:eastAsia="en-US"/>
        </w:rPr>
        <w:t>c</w:t>
      </w:r>
      <w:r w:rsidRPr="009625FB">
        <w:rPr>
          <w:rFonts w:asciiTheme="majorHAnsi" w:hAnsiTheme="majorHAnsi" w:cs="Arial"/>
          <w:sz w:val="24"/>
          <w:szCs w:val="24"/>
          <w:lang w:val="en-GB" w:eastAsia="en-US"/>
        </w:rPr>
        <w:t>ould be hindered because each firm would use its own categorisation. A possible solution, ensuri</w:t>
      </w:r>
      <w:r w:rsidR="000224C9" w:rsidRPr="009625FB">
        <w:rPr>
          <w:rFonts w:asciiTheme="majorHAnsi" w:hAnsiTheme="majorHAnsi" w:cs="Arial"/>
          <w:sz w:val="24"/>
          <w:szCs w:val="24"/>
          <w:lang w:val="en-GB" w:eastAsia="en-US"/>
        </w:rPr>
        <w:t>ng comparability and clarity to</w:t>
      </w:r>
      <w:r w:rsidRPr="009625FB">
        <w:rPr>
          <w:rFonts w:asciiTheme="majorHAnsi" w:hAnsiTheme="majorHAnsi" w:cs="Arial"/>
          <w:sz w:val="24"/>
          <w:szCs w:val="24"/>
          <w:lang w:val="en-GB" w:eastAsia="en-US"/>
        </w:rPr>
        <w:t>wards both market players and clients, may be envisaged if international clus</w:t>
      </w:r>
      <w:r w:rsidR="00F75880" w:rsidRPr="009625FB">
        <w:rPr>
          <w:rFonts w:asciiTheme="majorHAnsi" w:hAnsiTheme="majorHAnsi" w:cs="Arial"/>
          <w:sz w:val="24"/>
          <w:szCs w:val="24"/>
          <w:lang w:val="en-GB" w:eastAsia="en-US"/>
        </w:rPr>
        <w:t>tering standards are considered as</w:t>
      </w:r>
      <w:r w:rsidR="00C4749E">
        <w:rPr>
          <w:rFonts w:asciiTheme="majorHAnsi" w:hAnsiTheme="majorHAnsi" w:cs="Arial"/>
          <w:sz w:val="24"/>
          <w:szCs w:val="24"/>
          <w:lang w:val="en-GB" w:eastAsia="en-US"/>
        </w:rPr>
        <w:t>, for example,</w:t>
      </w:r>
      <w:r w:rsidR="00F75880" w:rsidRPr="009625FB">
        <w:rPr>
          <w:rFonts w:asciiTheme="majorHAnsi" w:hAnsiTheme="majorHAnsi" w:cs="Arial"/>
          <w:sz w:val="24"/>
          <w:szCs w:val="24"/>
          <w:lang w:val="en-GB" w:eastAsia="en-US"/>
        </w:rPr>
        <w:t xml:space="preserve"> </w:t>
      </w:r>
      <w:r w:rsidRPr="009625FB">
        <w:rPr>
          <w:rFonts w:asciiTheme="majorHAnsi" w:hAnsiTheme="majorHAnsi" w:cs="Arial"/>
          <w:sz w:val="24"/>
          <w:szCs w:val="24"/>
          <w:lang w:val="en-GB" w:eastAsia="en-US"/>
        </w:rPr>
        <w:t xml:space="preserve"> </w:t>
      </w:r>
      <w:r w:rsidRPr="009625FB">
        <w:rPr>
          <w:rFonts w:asciiTheme="majorHAnsi" w:hAnsiTheme="majorHAnsi" w:cs="Arial"/>
          <w:i/>
          <w:sz w:val="24"/>
          <w:szCs w:val="24"/>
          <w:lang w:val="en-GB" w:eastAsia="en-US"/>
        </w:rPr>
        <w:t>high net worth individuals</w:t>
      </w:r>
      <w:r w:rsidRPr="009625FB">
        <w:rPr>
          <w:rFonts w:asciiTheme="majorHAnsi" w:hAnsiTheme="majorHAnsi" w:cs="Arial"/>
          <w:sz w:val="24"/>
          <w:szCs w:val="24"/>
          <w:lang w:val="en-GB" w:eastAsia="en-US"/>
        </w:rPr>
        <w:t xml:space="preserve"> (HNWI), </w:t>
      </w:r>
      <w:r w:rsidRPr="009625FB">
        <w:rPr>
          <w:rFonts w:asciiTheme="majorHAnsi" w:hAnsiTheme="majorHAnsi" w:cs="Arial"/>
          <w:i/>
          <w:sz w:val="24"/>
          <w:szCs w:val="24"/>
          <w:lang w:val="en-GB" w:eastAsia="en-US"/>
        </w:rPr>
        <w:t>affluent clients</w:t>
      </w:r>
      <w:r w:rsidRPr="009625FB">
        <w:rPr>
          <w:rFonts w:asciiTheme="majorHAnsi" w:hAnsiTheme="majorHAnsi" w:cs="Arial"/>
          <w:sz w:val="24"/>
          <w:szCs w:val="24"/>
          <w:lang w:val="en-GB" w:eastAsia="en-US"/>
        </w:rPr>
        <w:t xml:space="preserve"> and </w:t>
      </w:r>
      <w:r w:rsidR="00F75880" w:rsidRPr="009625FB">
        <w:rPr>
          <w:rFonts w:asciiTheme="majorHAnsi" w:hAnsiTheme="majorHAnsi" w:cs="Arial"/>
          <w:i/>
          <w:sz w:val="24"/>
          <w:szCs w:val="24"/>
          <w:lang w:val="en-GB" w:eastAsia="en-US"/>
        </w:rPr>
        <w:t>retail</w:t>
      </w:r>
      <w:r w:rsidRPr="009625FB">
        <w:rPr>
          <w:rFonts w:asciiTheme="majorHAnsi" w:hAnsiTheme="majorHAnsi" w:cs="Arial"/>
          <w:i/>
          <w:sz w:val="24"/>
          <w:szCs w:val="24"/>
          <w:lang w:val="en-GB" w:eastAsia="en-US"/>
        </w:rPr>
        <w:t xml:space="preserve"> market</w:t>
      </w:r>
      <w:r w:rsidRPr="009625FB">
        <w:rPr>
          <w:rFonts w:asciiTheme="majorHAnsi" w:hAnsiTheme="majorHAnsi" w:cs="Arial"/>
          <w:sz w:val="24"/>
          <w:szCs w:val="24"/>
          <w:lang w:val="en-GB" w:eastAsia="en-US"/>
        </w:rPr>
        <w:t>. This categorisation would enable market operators to classify clients according to their financial situation, thereby readily clarifying the types of services</w:t>
      </w:r>
      <w:r w:rsidR="00C4749E">
        <w:rPr>
          <w:rFonts w:asciiTheme="majorHAnsi" w:hAnsiTheme="majorHAnsi" w:cs="Arial"/>
          <w:sz w:val="24"/>
          <w:szCs w:val="24"/>
          <w:lang w:val="en-GB" w:eastAsia="en-US"/>
        </w:rPr>
        <w:t xml:space="preserve"> and products</w:t>
      </w:r>
      <w:r w:rsidRPr="009625FB">
        <w:rPr>
          <w:rFonts w:asciiTheme="majorHAnsi" w:hAnsiTheme="majorHAnsi" w:cs="Arial"/>
          <w:sz w:val="24"/>
          <w:szCs w:val="24"/>
          <w:lang w:val="en-GB" w:eastAsia="en-US"/>
        </w:rPr>
        <w:t xml:space="preserve"> they may have access to.</w:t>
      </w:r>
      <w:r w:rsidR="009F0BDB" w:rsidRPr="009625FB">
        <w:rPr>
          <w:rFonts w:asciiTheme="majorHAnsi" w:hAnsiTheme="majorHAnsi" w:cs="Arial"/>
          <w:sz w:val="24"/>
          <w:szCs w:val="24"/>
          <w:lang w:val="en-GB" w:eastAsia="en-US"/>
        </w:rPr>
        <w:t xml:space="preserve"> </w:t>
      </w:r>
    </w:p>
    <w:p w:rsidR="000224C9" w:rsidRPr="009625FB" w:rsidRDefault="009F0BDB" w:rsidP="000224C9">
      <w:pPr>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Categories </w:t>
      </w:r>
      <w:r w:rsidR="000224C9"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b), </w:t>
      </w:r>
      <w:r w:rsidR="000224C9"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c) and </w:t>
      </w:r>
      <w:r w:rsidR="000224C9"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d) are intimately interlinked.</w:t>
      </w:r>
      <w:r w:rsidR="000224C9" w:rsidRPr="009625FB">
        <w:rPr>
          <w:rFonts w:asciiTheme="majorHAnsi" w:hAnsiTheme="majorHAnsi" w:cs="Arial"/>
          <w:sz w:val="24"/>
          <w:szCs w:val="24"/>
          <w:lang w:val="en-GB" w:eastAsia="en-US"/>
        </w:rPr>
        <w:t xml:space="preserve"> </w:t>
      </w:r>
    </w:p>
    <w:p w:rsidR="00FF11CA" w:rsidRPr="009625FB" w:rsidRDefault="00CA4B63" w:rsidP="000D4BD8">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We fully agree that </w:t>
      </w:r>
      <w:r w:rsidR="00FF11CA" w:rsidRPr="009625FB">
        <w:rPr>
          <w:rFonts w:asciiTheme="majorHAnsi" w:hAnsiTheme="majorHAnsi" w:cs="Arial"/>
          <w:sz w:val="24"/>
          <w:szCs w:val="24"/>
          <w:lang w:val="en-GB" w:eastAsia="en-US"/>
        </w:rPr>
        <w:t xml:space="preserve">the two pillars of </w:t>
      </w:r>
      <w:r w:rsidRPr="009625FB">
        <w:rPr>
          <w:rFonts w:asciiTheme="majorHAnsi" w:hAnsiTheme="majorHAnsi" w:cs="Arial"/>
          <w:sz w:val="24"/>
          <w:szCs w:val="24"/>
          <w:lang w:val="en-GB" w:eastAsia="en-US"/>
        </w:rPr>
        <w:t>category (b)</w:t>
      </w:r>
      <w:r w:rsidR="00FF11CA"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“knowledge and experience”</w:t>
      </w:r>
      <w:r w:rsidR="00FF11CA"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may depend on each other in some cases. It is vital that an investor with limited or no experience could be a valid target client if he compensates missing experience with knowledge</w:t>
      </w:r>
      <w:r w:rsidR="00FF11CA" w:rsidRPr="009625FB">
        <w:rPr>
          <w:rFonts w:asciiTheme="majorHAnsi" w:hAnsiTheme="majorHAnsi" w:cs="Arial"/>
          <w:sz w:val="24"/>
          <w:szCs w:val="24"/>
          <w:lang w:val="en-GB" w:eastAsia="en-US"/>
        </w:rPr>
        <w:t xml:space="preserve"> (this is already the case </w:t>
      </w:r>
      <w:r w:rsidR="00C4749E">
        <w:rPr>
          <w:rFonts w:asciiTheme="majorHAnsi" w:hAnsiTheme="majorHAnsi" w:cs="Arial"/>
          <w:sz w:val="24"/>
          <w:szCs w:val="24"/>
          <w:lang w:val="en-GB" w:eastAsia="en-US"/>
        </w:rPr>
        <w:t>in</w:t>
      </w:r>
      <w:r w:rsidR="00FF11CA" w:rsidRPr="009625FB">
        <w:rPr>
          <w:rFonts w:asciiTheme="majorHAnsi" w:hAnsiTheme="majorHAnsi" w:cs="Arial"/>
          <w:sz w:val="24"/>
          <w:szCs w:val="24"/>
          <w:lang w:val="en-GB" w:eastAsia="en-US"/>
        </w:rPr>
        <w:t xml:space="preserve"> some Member States, for instance Germany)</w:t>
      </w:r>
      <w:r w:rsidRPr="009625FB">
        <w:rPr>
          <w:rFonts w:asciiTheme="majorHAnsi" w:hAnsiTheme="majorHAnsi" w:cs="Arial"/>
          <w:sz w:val="24"/>
          <w:szCs w:val="24"/>
          <w:lang w:val="en-GB" w:eastAsia="en-US"/>
        </w:rPr>
        <w:t>. Otherwise</w:t>
      </w:r>
      <w:r w:rsidR="00FF11CA" w:rsidRPr="009625FB">
        <w:rPr>
          <w:rFonts w:asciiTheme="majorHAnsi" w:hAnsiTheme="majorHAnsi" w:cs="Arial"/>
          <w:sz w:val="24"/>
          <w:szCs w:val="24"/>
          <w:lang w:val="en-GB" w:eastAsia="en-US"/>
        </w:rPr>
        <w:t xml:space="preserve">, there is the risk that no new client could be considered as a “client with experience” (let’s consider the case of a young professional with a master’s degree in Economic &amp; Finance). </w:t>
      </w:r>
    </w:p>
    <w:p w:rsidR="000D4BD8" w:rsidRPr="009625FB" w:rsidRDefault="009F0BDB" w:rsidP="000D4BD8">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The category </w:t>
      </w:r>
      <w:r w:rsidR="000D4BD8" w:rsidRPr="009625FB">
        <w:rPr>
          <w:rFonts w:asciiTheme="majorHAnsi" w:hAnsiTheme="majorHAnsi" w:cs="Arial"/>
          <w:sz w:val="24"/>
          <w:szCs w:val="24"/>
          <w:lang w:val="en-GB" w:eastAsia="en-US"/>
        </w:rPr>
        <w:t>(c) “</w:t>
      </w:r>
      <w:r w:rsidRPr="009625FB">
        <w:rPr>
          <w:rFonts w:asciiTheme="majorHAnsi" w:hAnsiTheme="majorHAnsi" w:cs="Arial"/>
          <w:sz w:val="24"/>
          <w:szCs w:val="24"/>
          <w:lang w:val="en-GB" w:eastAsia="en-US"/>
        </w:rPr>
        <w:t>ability to bear losses</w:t>
      </w:r>
      <w:r w:rsidR="000D4BD8"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may be understood by means of a technical measure of downside risk (for instance, the Ulcer Index). </w:t>
      </w:r>
    </w:p>
    <w:p w:rsidR="006E41E8" w:rsidRPr="009625FB" w:rsidRDefault="009F0BDB" w:rsidP="000D4BD8">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As for category </w:t>
      </w:r>
      <w:r w:rsidR="000D4BD8"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d) we point out that risk tolerance refers to the risk-attitude of the client: in this sense, risk tolerance is client-focused and should not be confused with the risk/reward profile of the product. Further clarity is also needed to ensure </w:t>
      </w:r>
      <w:r w:rsidRPr="009625FB">
        <w:rPr>
          <w:rFonts w:asciiTheme="majorHAnsi" w:hAnsiTheme="majorHAnsi" w:cs="Arial"/>
          <w:sz w:val="24"/>
          <w:szCs w:val="24"/>
          <w:lang w:val="en-GB" w:eastAsia="en-US"/>
        </w:rPr>
        <w:lastRenderedPageBreak/>
        <w:t xml:space="preserve">consistency between the synthetic risk indicator stipulated by the PRIIPs Regulation and the categorisation, commonly used in the market, based on risk-attitudes (cf. also client profiling pursuant to the assessment of appropriateness and suitability as prescribed by MiFID II). On the one hand, the PRIIPs Regulation requires </w:t>
      </w:r>
      <w:r w:rsidR="00974780">
        <w:rPr>
          <w:rFonts w:asciiTheme="majorHAnsi" w:hAnsiTheme="majorHAnsi" w:cs="Arial"/>
          <w:sz w:val="24"/>
          <w:szCs w:val="24"/>
          <w:lang w:val="en-GB" w:eastAsia="en-US"/>
        </w:rPr>
        <w:t>a</w:t>
      </w:r>
      <w:r w:rsidRPr="009625FB">
        <w:rPr>
          <w:rFonts w:asciiTheme="majorHAnsi" w:hAnsiTheme="majorHAnsi" w:cs="Arial"/>
          <w:sz w:val="24"/>
          <w:szCs w:val="24"/>
          <w:lang w:val="en-GB" w:eastAsia="en-US"/>
        </w:rPr>
        <w:t xml:space="preserve"> classif</w:t>
      </w:r>
      <w:r w:rsidR="00974780">
        <w:rPr>
          <w:rFonts w:asciiTheme="majorHAnsi" w:hAnsiTheme="majorHAnsi" w:cs="Arial"/>
          <w:sz w:val="24"/>
          <w:szCs w:val="24"/>
          <w:lang w:val="en-GB" w:eastAsia="en-US"/>
        </w:rPr>
        <w:t>ication of</w:t>
      </w:r>
      <w:r w:rsidRPr="009625FB">
        <w:rPr>
          <w:rFonts w:asciiTheme="majorHAnsi" w:hAnsiTheme="majorHAnsi" w:cs="Arial"/>
          <w:sz w:val="24"/>
          <w:szCs w:val="24"/>
          <w:lang w:val="en-GB" w:eastAsia="en-US"/>
        </w:rPr>
        <w:t xml:space="preserve"> the product as [1/2/3/4/5/6/7] out of 7, each class corresponding to a risk level ranging from “very low” to “very high”. On the other hand, the categorisation commonly used in the market is based on five portfolio types (i.e. “stable/prudent”</w:t>
      </w:r>
      <w:r w:rsidR="000224C9" w:rsidRPr="009625FB">
        <w:rPr>
          <w:rFonts w:asciiTheme="majorHAnsi" w:hAnsiTheme="majorHAnsi" w:cs="Arial"/>
          <w:sz w:val="24"/>
          <w:szCs w:val="24"/>
          <w:lang w:val="en-GB" w:eastAsia="en-US"/>
        </w:rPr>
        <w:t>, “conserva</w:t>
      </w:r>
      <w:r w:rsidRPr="009625FB">
        <w:rPr>
          <w:rFonts w:asciiTheme="majorHAnsi" w:hAnsiTheme="majorHAnsi" w:cs="Arial"/>
          <w:sz w:val="24"/>
          <w:szCs w:val="24"/>
          <w:lang w:val="en-GB" w:eastAsia="en-US"/>
        </w:rPr>
        <w:t xml:space="preserve">tive”, “balanced”, “income” and “dynamic/speculative”). </w:t>
      </w:r>
      <w:r w:rsidR="00D008F8" w:rsidRPr="009625FB">
        <w:rPr>
          <w:rFonts w:asciiTheme="majorHAnsi" w:hAnsiTheme="majorHAnsi" w:cs="Arial"/>
          <w:sz w:val="24"/>
          <w:szCs w:val="24"/>
          <w:lang w:val="en-GB" w:eastAsia="en-US"/>
        </w:rPr>
        <w:t xml:space="preserve">This </w:t>
      </w:r>
      <w:r w:rsidR="00974780">
        <w:rPr>
          <w:rFonts w:asciiTheme="majorHAnsi" w:hAnsiTheme="majorHAnsi" w:cs="Arial"/>
          <w:sz w:val="24"/>
          <w:szCs w:val="24"/>
          <w:lang w:val="en-GB" w:eastAsia="en-US"/>
        </w:rPr>
        <w:t>could create</w:t>
      </w:r>
      <w:r w:rsidRPr="009625FB">
        <w:rPr>
          <w:rFonts w:asciiTheme="majorHAnsi" w:hAnsiTheme="majorHAnsi" w:cs="Arial"/>
          <w:sz w:val="24"/>
          <w:szCs w:val="24"/>
          <w:lang w:val="en-GB" w:eastAsia="en-US"/>
        </w:rPr>
        <w:t xml:space="preserve"> a problem of mismatching, as the PRIIPs Regulation entails seven risk classes, while five portfolio types are commonly used in the market: a specific and clear regulatory guidance is thus needed in order to clarify how risk classes should be declined in terms of portfolio types. Such </w:t>
      </w:r>
      <w:r w:rsidR="000D4BD8" w:rsidRPr="009625FB">
        <w:rPr>
          <w:rFonts w:asciiTheme="majorHAnsi" w:hAnsiTheme="majorHAnsi" w:cs="Arial"/>
          <w:sz w:val="24"/>
          <w:szCs w:val="24"/>
          <w:lang w:val="en-GB" w:eastAsia="en-US"/>
        </w:rPr>
        <w:t>guidance</w:t>
      </w:r>
      <w:r w:rsidRPr="009625FB">
        <w:rPr>
          <w:rFonts w:asciiTheme="majorHAnsi" w:hAnsiTheme="majorHAnsi" w:cs="Arial"/>
          <w:sz w:val="24"/>
          <w:szCs w:val="24"/>
          <w:lang w:val="en-GB" w:eastAsia="en-US"/>
        </w:rPr>
        <w:t xml:space="preserve"> would also be useful for financial advisors, considering their role in assisting clients so as to understand their risk-attitude and choose suitable products.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As for category </w:t>
      </w:r>
      <w:r w:rsidR="000D4BD8" w:rsidRPr="009625FB">
        <w:rPr>
          <w:rFonts w:asciiTheme="majorHAnsi" w:hAnsiTheme="majorHAnsi" w:cs="Arial"/>
          <w:sz w:val="24"/>
          <w:szCs w:val="24"/>
          <w:lang w:val="en-GB" w:eastAsia="en-US"/>
        </w:rPr>
        <w:t>(f) “client’s needs”</w:t>
      </w:r>
      <w:r w:rsidRPr="009625FB">
        <w:rPr>
          <w:rFonts w:asciiTheme="majorHAnsi" w:hAnsiTheme="majorHAnsi" w:cs="Arial"/>
          <w:sz w:val="24"/>
          <w:szCs w:val="24"/>
          <w:lang w:val="en-GB" w:eastAsia="en-US"/>
        </w:rPr>
        <w:t xml:space="preserve"> we do not agree with the distinction between “specific” and “generic” needs: conversely, we propose a distinction between needs of a “technical nature” (pertaining to product features and contents) and the needs relating to the personal situation of the individual (e.g. age, family needs …). In any case, the focus should be on the clients and their needs.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 xml:space="preserve">Q2: Do you agree with the approach proposed in paragraphs 18-20 of the draft guide-lines on how to take the products’ nature into account? If not, please explain what changes should be made and why. </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Concerning the nature of the product, we agree with paragraph 17, page 7, of the Consultation Paper (« For more complicated products, such as CFDs or s</w:t>
      </w:r>
      <w:r w:rsidR="000D4BD8" w:rsidRPr="009625FB">
        <w:rPr>
          <w:rFonts w:asciiTheme="majorHAnsi" w:hAnsiTheme="majorHAnsi" w:cs="Arial"/>
          <w:sz w:val="24"/>
          <w:szCs w:val="24"/>
          <w:lang w:val="en-GB" w:eastAsia="en-US"/>
        </w:rPr>
        <w:t>tructured products with compli</w:t>
      </w:r>
      <w:r w:rsidRPr="009625FB">
        <w:rPr>
          <w:rFonts w:asciiTheme="majorHAnsi" w:hAnsiTheme="majorHAnsi" w:cs="Arial"/>
          <w:sz w:val="24"/>
          <w:szCs w:val="24"/>
          <w:lang w:val="en-GB" w:eastAsia="en-US"/>
        </w:rPr>
        <w:t>cated return profiles, the target market should be identified in more detail. ») and we also quote MiFID II Delegated Directive, Recital (19), which clarifies that « for more complicated products such as bail-in</w:t>
      </w:r>
      <w:r w:rsidR="00F66FB5" w:rsidRPr="009625FB">
        <w:rPr>
          <w:rFonts w:asciiTheme="majorHAnsi" w:hAnsiTheme="majorHAnsi" w:cs="Arial"/>
          <w:sz w:val="24"/>
          <w:szCs w:val="24"/>
          <w:lang w:val="en-GB" w:eastAsia="en-US"/>
        </w:rPr>
        <w:t xml:space="preserve"> </w:t>
      </w:r>
      <w:r w:rsidRPr="009625FB">
        <w:rPr>
          <w:rFonts w:asciiTheme="majorHAnsi" w:hAnsiTheme="majorHAnsi" w:cs="Arial"/>
          <w:sz w:val="24"/>
          <w:szCs w:val="24"/>
          <w:lang w:val="en-GB" w:eastAsia="en-US"/>
        </w:rPr>
        <w:t>able instruments or less common products, the target market should be identified with more detail ». Both provisions confirm the need to exclude the execution-only regime: i.e., for these products the assessment of appropriateness or suitability shall always be required.</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More generally, we believe that there is no actual need for </w:t>
      </w:r>
      <w:r w:rsidR="00974780">
        <w:rPr>
          <w:rFonts w:asciiTheme="majorHAnsi" w:hAnsiTheme="majorHAnsi" w:cs="Arial"/>
          <w:sz w:val="24"/>
          <w:szCs w:val="24"/>
          <w:lang w:val="en-GB" w:eastAsia="en-US"/>
        </w:rPr>
        <w:t xml:space="preserve">an </w:t>
      </w:r>
      <w:r w:rsidRPr="009625FB">
        <w:rPr>
          <w:rFonts w:asciiTheme="majorHAnsi" w:hAnsiTheme="majorHAnsi" w:cs="Arial"/>
          <w:sz w:val="24"/>
          <w:szCs w:val="24"/>
          <w:lang w:val="en-GB" w:eastAsia="en-US"/>
        </w:rPr>
        <w:t xml:space="preserve">execution-only regime with regard to online sales: a MiFID investor-questionnaire to assess client’s knowledge and experience (appropriateness assessment) may be easily structured and presented with an online form. That is to say, a mandatory appropriateness assessment for all online sales is a desirable solution, because it ensures </w:t>
      </w:r>
      <w:r w:rsidR="00C6231A" w:rsidRPr="009625FB">
        <w:rPr>
          <w:rFonts w:asciiTheme="majorHAnsi" w:hAnsiTheme="majorHAnsi" w:cs="Arial"/>
          <w:sz w:val="24"/>
          <w:szCs w:val="24"/>
          <w:lang w:val="en-GB" w:eastAsia="en-US"/>
        </w:rPr>
        <w:t>more</w:t>
      </w:r>
      <w:r w:rsidRPr="009625FB">
        <w:rPr>
          <w:rFonts w:asciiTheme="majorHAnsi" w:hAnsiTheme="majorHAnsi" w:cs="Arial"/>
          <w:sz w:val="24"/>
          <w:szCs w:val="24"/>
          <w:lang w:val="en-GB" w:eastAsia="en-US"/>
        </w:rPr>
        <w:t xml:space="preserve"> investor protection and is easy to implement. At the same time, we believe that online tools for the assessment of appropriateness should be designed so as to avoid the risk of a kind of self-profiling by the user that, by trial, may complete the automated procedure, in order to obtain a specific product, without an effective evaluation of the appropriateness of the choice.</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lastRenderedPageBreak/>
        <w:t>Besides, we propose  amend</w:t>
      </w:r>
      <w:r w:rsidR="00974780">
        <w:rPr>
          <w:rFonts w:asciiTheme="majorHAnsi" w:hAnsiTheme="majorHAnsi" w:cs="Arial"/>
          <w:sz w:val="24"/>
          <w:szCs w:val="24"/>
          <w:lang w:val="en-GB" w:eastAsia="en-US"/>
        </w:rPr>
        <w:t>ments to</w:t>
      </w:r>
      <w:r w:rsidRPr="009625FB">
        <w:rPr>
          <w:rFonts w:asciiTheme="majorHAnsi" w:hAnsiTheme="majorHAnsi" w:cs="Arial"/>
          <w:sz w:val="24"/>
          <w:szCs w:val="24"/>
          <w:lang w:val="en-GB" w:eastAsia="en-US"/>
        </w:rPr>
        <w:t xml:space="preserve"> paragraph 18, page 24, of the Consultation Paper as follows:</w:t>
      </w:r>
    </w:p>
    <w:p w:rsidR="000D4BD8" w:rsidRPr="009625FB" w:rsidRDefault="00B50514" w:rsidP="00EE214A">
      <w:pPr>
        <w:tabs>
          <w:tab w:val="num" w:pos="0"/>
        </w:tabs>
        <w:spacing w:after="120"/>
        <w:ind w:left="284" w:right="282"/>
        <w:jc w:val="both"/>
        <w:rPr>
          <w:rFonts w:asciiTheme="majorHAnsi" w:hAnsiTheme="majorHAnsi" w:cs="Arial"/>
          <w:i/>
          <w:sz w:val="24"/>
          <w:szCs w:val="24"/>
          <w:lang w:val="en-GB" w:eastAsia="en-US"/>
        </w:rPr>
      </w:pPr>
      <w:r w:rsidRPr="009625FB">
        <w:rPr>
          <w:rFonts w:asciiTheme="majorHAnsi" w:hAnsiTheme="majorHAnsi" w:cs="Arial"/>
          <w:i/>
          <w:sz w:val="24"/>
          <w:szCs w:val="24"/>
          <w:lang w:val="en-GB" w:eastAsia="en-US"/>
        </w:rPr>
        <w:t xml:space="preserve">“This means that the target market identification should consider the characteristics of the products including complexity (including costs and charges structure), risk-reward profile </w:t>
      </w:r>
      <w:r w:rsidRPr="009625FB">
        <w:rPr>
          <w:rFonts w:asciiTheme="majorHAnsi" w:hAnsiTheme="majorHAnsi" w:cs="Arial"/>
          <w:i/>
          <w:strike/>
          <w:sz w:val="24"/>
          <w:szCs w:val="24"/>
          <w:lang w:val="en-GB" w:eastAsia="en-US"/>
        </w:rPr>
        <w:t>or</w:t>
      </w:r>
      <w:r w:rsidRPr="009625FB">
        <w:rPr>
          <w:rFonts w:asciiTheme="majorHAnsi" w:hAnsiTheme="majorHAnsi" w:cs="Arial"/>
          <w:i/>
          <w:sz w:val="24"/>
          <w:szCs w:val="24"/>
          <w:lang w:val="en-GB" w:eastAsia="en-US"/>
        </w:rPr>
        <w:t xml:space="preserve"> </w:t>
      </w:r>
      <w:r w:rsidRPr="009625FB">
        <w:rPr>
          <w:rFonts w:asciiTheme="majorHAnsi" w:hAnsiTheme="majorHAnsi" w:cs="Arial"/>
          <w:i/>
          <w:sz w:val="24"/>
          <w:szCs w:val="24"/>
          <w:u w:val="single"/>
          <w:lang w:val="en-GB" w:eastAsia="en-US"/>
        </w:rPr>
        <w:t>and</w:t>
      </w:r>
      <w:r w:rsidRPr="009625FB">
        <w:rPr>
          <w:rFonts w:asciiTheme="majorHAnsi" w:hAnsiTheme="majorHAnsi" w:cs="Arial"/>
          <w:i/>
          <w:sz w:val="24"/>
          <w:szCs w:val="24"/>
          <w:lang w:val="en-GB" w:eastAsia="en-US"/>
        </w:rPr>
        <w:t xml:space="preserve"> liquidity, </w:t>
      </w:r>
      <w:r w:rsidRPr="009625FB">
        <w:rPr>
          <w:rFonts w:asciiTheme="majorHAnsi" w:hAnsiTheme="majorHAnsi" w:cs="Arial"/>
          <w:i/>
          <w:strike/>
          <w:sz w:val="24"/>
          <w:szCs w:val="24"/>
          <w:lang w:val="en-GB" w:eastAsia="en-US"/>
        </w:rPr>
        <w:t>or</w:t>
      </w:r>
      <w:r w:rsidRPr="009625FB">
        <w:rPr>
          <w:rFonts w:asciiTheme="majorHAnsi" w:hAnsiTheme="majorHAnsi" w:cs="Arial"/>
          <w:i/>
          <w:sz w:val="24"/>
          <w:szCs w:val="24"/>
          <w:lang w:val="en-GB" w:eastAsia="en-US"/>
        </w:rPr>
        <w:t xml:space="preserve"> </w:t>
      </w:r>
      <w:r w:rsidRPr="009625FB">
        <w:rPr>
          <w:rFonts w:asciiTheme="majorHAnsi" w:hAnsiTheme="majorHAnsi" w:cs="Arial"/>
          <w:i/>
          <w:sz w:val="24"/>
          <w:szCs w:val="24"/>
          <w:u w:val="single"/>
          <w:lang w:val="en-GB" w:eastAsia="en-US"/>
        </w:rPr>
        <w:t>and</w:t>
      </w:r>
      <w:r w:rsidRPr="009625FB">
        <w:rPr>
          <w:rFonts w:asciiTheme="majorHAnsi" w:hAnsiTheme="majorHAnsi" w:cs="Arial"/>
          <w:i/>
          <w:sz w:val="24"/>
          <w:szCs w:val="24"/>
          <w:lang w:val="en-GB" w:eastAsia="en-US"/>
        </w:rPr>
        <w:t xml:space="preserve"> the innovative character of the product”. </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This amendment is needed to clarify that these characteristics should be considered in a cumulative (and not alternative) way.</w:t>
      </w:r>
    </w:p>
    <w:p w:rsidR="00B50514" w:rsidRPr="009625FB" w:rsidRDefault="00B50514"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 xml:space="preserve">Q3: Do you agree with the proposed method for the identification of the target market by the distributor? </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With regard to the list of categories that distributors should use as a basis for defining the target market, </w:t>
      </w:r>
      <w:r w:rsidR="002B3323" w:rsidRPr="009625FB">
        <w:rPr>
          <w:rFonts w:asciiTheme="majorHAnsi" w:hAnsiTheme="majorHAnsi" w:cs="Arial"/>
          <w:sz w:val="24"/>
          <w:szCs w:val="24"/>
          <w:lang w:val="en-GB" w:eastAsia="en-US"/>
        </w:rPr>
        <w:t>please see</w:t>
      </w:r>
      <w:r w:rsidRPr="009625FB">
        <w:rPr>
          <w:rFonts w:asciiTheme="majorHAnsi" w:hAnsiTheme="majorHAnsi" w:cs="Arial"/>
          <w:sz w:val="24"/>
          <w:szCs w:val="24"/>
          <w:lang w:val="en-GB" w:eastAsia="en-US"/>
        </w:rPr>
        <w:t xml:space="preserve"> our answer to Q1.</w:t>
      </w:r>
    </w:p>
    <w:p w:rsidR="006942B2"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Commenting on the final statement of paragraph 26, page 25, of the Consultation Paper (« … the distributor could decide that some non-complex products which could potentially be offered under the execution-only regime will only be offered in accordance with appropriateness or suitability requirements, so as to grant a higher degree of protection to clients ») we would like to point out that </w:t>
      </w:r>
      <w:r w:rsidR="00C6231A" w:rsidRPr="009625FB">
        <w:rPr>
          <w:rFonts w:asciiTheme="majorHAnsi" w:hAnsiTheme="majorHAnsi" w:cs="Arial"/>
          <w:sz w:val="24"/>
          <w:szCs w:val="24"/>
          <w:lang w:val="en-GB" w:eastAsia="en-US"/>
        </w:rPr>
        <w:t xml:space="preserve">some EU </w:t>
      </w:r>
      <w:r w:rsidR="00246207">
        <w:rPr>
          <w:rFonts w:asciiTheme="majorHAnsi" w:hAnsiTheme="majorHAnsi" w:cs="Arial"/>
          <w:sz w:val="24"/>
          <w:szCs w:val="24"/>
          <w:lang w:val="en-GB" w:eastAsia="en-US"/>
        </w:rPr>
        <w:t>M</w:t>
      </w:r>
      <w:r w:rsidR="00C6231A" w:rsidRPr="009625FB">
        <w:rPr>
          <w:rFonts w:asciiTheme="majorHAnsi" w:hAnsiTheme="majorHAnsi" w:cs="Arial"/>
          <w:sz w:val="24"/>
          <w:szCs w:val="24"/>
          <w:lang w:val="en-GB" w:eastAsia="en-US"/>
        </w:rPr>
        <w:t xml:space="preserve">ember </w:t>
      </w:r>
      <w:r w:rsidR="00246207">
        <w:rPr>
          <w:rFonts w:asciiTheme="majorHAnsi" w:hAnsiTheme="majorHAnsi" w:cs="Arial"/>
          <w:sz w:val="24"/>
          <w:szCs w:val="24"/>
          <w:lang w:val="en-GB" w:eastAsia="en-US"/>
        </w:rPr>
        <w:t>S</w:t>
      </w:r>
      <w:r w:rsidR="00C6231A" w:rsidRPr="009625FB">
        <w:rPr>
          <w:rFonts w:asciiTheme="majorHAnsi" w:hAnsiTheme="majorHAnsi" w:cs="Arial"/>
          <w:sz w:val="24"/>
          <w:szCs w:val="24"/>
          <w:lang w:val="en-GB" w:eastAsia="en-US"/>
        </w:rPr>
        <w:t>tates already have in place such provisions for the sales of insurance</w:t>
      </w:r>
      <w:r w:rsidR="00246207">
        <w:rPr>
          <w:rFonts w:asciiTheme="majorHAnsi" w:hAnsiTheme="majorHAnsi" w:cs="Arial"/>
          <w:sz w:val="24"/>
          <w:szCs w:val="24"/>
          <w:lang w:val="en-GB" w:eastAsia="en-US"/>
        </w:rPr>
        <w:t>-</w:t>
      </w:r>
      <w:r w:rsidR="00C6231A" w:rsidRPr="009625FB">
        <w:rPr>
          <w:rFonts w:asciiTheme="majorHAnsi" w:hAnsiTheme="majorHAnsi" w:cs="Arial"/>
          <w:sz w:val="24"/>
          <w:szCs w:val="24"/>
          <w:lang w:val="en-GB" w:eastAsia="en-US"/>
        </w:rPr>
        <w:t xml:space="preserve"> based investment products. </w:t>
      </w:r>
      <w:r w:rsidR="00246207">
        <w:rPr>
          <w:rFonts w:asciiTheme="majorHAnsi" w:hAnsiTheme="majorHAnsi" w:cs="Arial"/>
          <w:sz w:val="24"/>
          <w:szCs w:val="24"/>
          <w:lang w:val="en-GB" w:eastAsia="en-US"/>
        </w:rPr>
        <w:t>For example,</w:t>
      </w:r>
      <w:r w:rsidR="00C6231A" w:rsidRPr="009625FB">
        <w:rPr>
          <w:rFonts w:asciiTheme="majorHAnsi" w:hAnsiTheme="majorHAnsi" w:cs="Arial"/>
          <w:sz w:val="24"/>
          <w:szCs w:val="24"/>
          <w:lang w:val="en-GB" w:eastAsia="en-US"/>
        </w:rPr>
        <w:t xml:space="preserve"> regulation in</w:t>
      </w:r>
      <w:r w:rsidRPr="009625FB">
        <w:rPr>
          <w:rFonts w:asciiTheme="majorHAnsi" w:hAnsiTheme="majorHAnsi" w:cs="Arial"/>
          <w:sz w:val="24"/>
          <w:szCs w:val="24"/>
          <w:lang w:val="en-GB" w:eastAsia="en-US"/>
        </w:rPr>
        <w:t xml:space="preserve"> Italy excludes the execution-only regime for financial products issued by insurance companies: cf. </w:t>
      </w:r>
      <w:proofErr w:type="spellStart"/>
      <w:r w:rsidRPr="009625FB">
        <w:rPr>
          <w:rFonts w:asciiTheme="majorHAnsi" w:hAnsiTheme="majorHAnsi" w:cs="Arial"/>
          <w:sz w:val="24"/>
          <w:szCs w:val="24"/>
          <w:lang w:val="en-GB" w:eastAsia="en-US"/>
        </w:rPr>
        <w:t>Consob</w:t>
      </w:r>
      <w:proofErr w:type="spellEnd"/>
      <w:r w:rsidRPr="009625FB">
        <w:rPr>
          <w:rFonts w:asciiTheme="majorHAnsi" w:hAnsiTheme="majorHAnsi" w:cs="Arial"/>
          <w:sz w:val="24"/>
          <w:szCs w:val="24"/>
          <w:lang w:val="en-GB" w:eastAsia="en-US"/>
        </w:rPr>
        <w:t xml:space="preserve"> Regulation no. 16190/2007, whereby Article 87 does not apply the provisions on execution-only (Articles 43 and 44) to financial insurance products. </w:t>
      </w:r>
      <w:r w:rsidR="00C6231A" w:rsidRPr="009625FB">
        <w:rPr>
          <w:rFonts w:asciiTheme="majorHAnsi" w:hAnsiTheme="majorHAnsi" w:cs="Arial"/>
          <w:sz w:val="24"/>
          <w:szCs w:val="24"/>
          <w:lang w:val="en-GB" w:eastAsia="en-US"/>
        </w:rPr>
        <w:t xml:space="preserve">In such </w:t>
      </w:r>
      <w:r w:rsidR="000562DB" w:rsidRPr="009625FB">
        <w:rPr>
          <w:rFonts w:asciiTheme="majorHAnsi" w:hAnsiTheme="majorHAnsi" w:cs="Arial"/>
          <w:sz w:val="24"/>
          <w:szCs w:val="24"/>
          <w:lang w:val="en-GB" w:eastAsia="en-US"/>
        </w:rPr>
        <w:t>country-</w:t>
      </w:r>
      <w:r w:rsidR="002B3323" w:rsidRPr="009625FB">
        <w:rPr>
          <w:rFonts w:asciiTheme="majorHAnsi" w:hAnsiTheme="majorHAnsi" w:cs="Arial"/>
          <w:sz w:val="24"/>
          <w:szCs w:val="24"/>
          <w:lang w:val="en-GB" w:eastAsia="en-US"/>
        </w:rPr>
        <w:t>cases</w:t>
      </w:r>
      <w:r w:rsidR="00C6231A" w:rsidRPr="009625FB">
        <w:rPr>
          <w:rFonts w:asciiTheme="majorHAnsi" w:hAnsiTheme="majorHAnsi" w:cs="Arial"/>
          <w:sz w:val="24"/>
          <w:szCs w:val="24"/>
          <w:lang w:val="en-GB" w:eastAsia="en-US"/>
        </w:rPr>
        <w:t xml:space="preserve">, it </w:t>
      </w:r>
      <w:r w:rsidR="002B3323" w:rsidRPr="009625FB">
        <w:rPr>
          <w:rFonts w:asciiTheme="majorHAnsi" w:hAnsiTheme="majorHAnsi" w:cs="Arial"/>
          <w:sz w:val="24"/>
          <w:szCs w:val="24"/>
          <w:lang w:val="en-GB" w:eastAsia="en-US"/>
        </w:rPr>
        <w:t>seems</w:t>
      </w:r>
      <w:r w:rsidR="00C6231A" w:rsidRPr="009625FB">
        <w:rPr>
          <w:rFonts w:asciiTheme="majorHAnsi" w:hAnsiTheme="majorHAnsi" w:cs="Arial"/>
          <w:sz w:val="24"/>
          <w:szCs w:val="24"/>
          <w:lang w:val="en-GB" w:eastAsia="en-US"/>
        </w:rPr>
        <w:t xml:space="preserve"> likely that this concept will be taken into account for MiFID-2, too. If ESMA decides to leave the choice of how to offer non-complex products to the distributor (i.e. with or without appropriateness or </w:t>
      </w:r>
      <w:r w:rsidR="00246207">
        <w:rPr>
          <w:rFonts w:asciiTheme="majorHAnsi" w:hAnsiTheme="majorHAnsi" w:cs="Arial"/>
          <w:sz w:val="24"/>
          <w:szCs w:val="24"/>
          <w:lang w:val="en-GB" w:eastAsia="en-US"/>
        </w:rPr>
        <w:t xml:space="preserve">a </w:t>
      </w:r>
      <w:r w:rsidR="00C6231A" w:rsidRPr="009625FB">
        <w:rPr>
          <w:rFonts w:asciiTheme="majorHAnsi" w:hAnsiTheme="majorHAnsi" w:cs="Arial"/>
          <w:sz w:val="24"/>
          <w:szCs w:val="24"/>
          <w:lang w:val="en-GB" w:eastAsia="en-US"/>
        </w:rPr>
        <w:t xml:space="preserve">suitability test) this </w:t>
      </w:r>
      <w:r w:rsidR="002B3323" w:rsidRPr="009625FB">
        <w:rPr>
          <w:rFonts w:asciiTheme="majorHAnsi" w:hAnsiTheme="majorHAnsi" w:cs="Arial"/>
          <w:sz w:val="24"/>
          <w:szCs w:val="24"/>
          <w:lang w:val="en-GB" w:eastAsia="en-US"/>
        </w:rPr>
        <w:t>will</w:t>
      </w:r>
      <w:r w:rsidR="00C6231A" w:rsidRPr="009625FB">
        <w:rPr>
          <w:rFonts w:asciiTheme="majorHAnsi" w:hAnsiTheme="majorHAnsi" w:cs="Arial"/>
          <w:sz w:val="24"/>
          <w:szCs w:val="24"/>
          <w:lang w:val="en-GB" w:eastAsia="en-US"/>
        </w:rPr>
        <w:t xml:space="preserve"> require a harmonised legal transposition of MiFID-2 by </w:t>
      </w:r>
      <w:r w:rsidR="00300701" w:rsidRPr="009625FB">
        <w:rPr>
          <w:rFonts w:asciiTheme="majorHAnsi" w:hAnsiTheme="majorHAnsi" w:cs="Arial"/>
          <w:sz w:val="24"/>
          <w:szCs w:val="24"/>
          <w:lang w:val="en-GB" w:eastAsia="en-US"/>
        </w:rPr>
        <w:t xml:space="preserve">the European </w:t>
      </w:r>
      <w:r w:rsidR="00246207">
        <w:rPr>
          <w:rFonts w:asciiTheme="majorHAnsi" w:hAnsiTheme="majorHAnsi" w:cs="Arial"/>
          <w:sz w:val="24"/>
          <w:szCs w:val="24"/>
          <w:lang w:val="en-GB" w:eastAsia="en-US"/>
        </w:rPr>
        <w:t>M</w:t>
      </w:r>
      <w:r w:rsidR="00300701" w:rsidRPr="009625FB">
        <w:rPr>
          <w:rFonts w:asciiTheme="majorHAnsi" w:hAnsiTheme="majorHAnsi" w:cs="Arial"/>
          <w:sz w:val="24"/>
          <w:szCs w:val="24"/>
          <w:lang w:val="en-GB" w:eastAsia="en-US"/>
        </w:rPr>
        <w:t xml:space="preserve">ember </w:t>
      </w:r>
      <w:r w:rsidR="00246207">
        <w:rPr>
          <w:rFonts w:asciiTheme="majorHAnsi" w:hAnsiTheme="majorHAnsi" w:cs="Arial"/>
          <w:sz w:val="24"/>
          <w:szCs w:val="24"/>
          <w:lang w:val="en-GB" w:eastAsia="en-US"/>
        </w:rPr>
        <w:t>S</w:t>
      </w:r>
      <w:r w:rsidR="00300701" w:rsidRPr="009625FB">
        <w:rPr>
          <w:rFonts w:asciiTheme="majorHAnsi" w:hAnsiTheme="majorHAnsi" w:cs="Arial"/>
          <w:sz w:val="24"/>
          <w:szCs w:val="24"/>
          <w:lang w:val="en-GB" w:eastAsia="en-US"/>
        </w:rPr>
        <w:t xml:space="preserve">tates including a harmonisation of the sales of insurance based investment products with all other types of financial instruments. </w:t>
      </w:r>
      <w:r w:rsidR="00C6231A" w:rsidRPr="009625FB">
        <w:rPr>
          <w:rFonts w:asciiTheme="majorHAnsi" w:hAnsiTheme="majorHAnsi" w:cs="Arial"/>
          <w:sz w:val="24"/>
          <w:szCs w:val="24"/>
          <w:lang w:val="en-GB" w:eastAsia="en-US"/>
        </w:rPr>
        <w:t xml:space="preserve">Otherwise ESMA´s guideline would contradict with </w:t>
      </w:r>
      <w:r w:rsidR="000562DB" w:rsidRPr="009625FB">
        <w:rPr>
          <w:rFonts w:asciiTheme="majorHAnsi" w:hAnsiTheme="majorHAnsi" w:cs="Arial"/>
          <w:sz w:val="24"/>
          <w:szCs w:val="24"/>
          <w:lang w:val="en-GB" w:eastAsia="en-US"/>
        </w:rPr>
        <w:t>existing or still</w:t>
      </w:r>
      <w:r w:rsidR="00246207">
        <w:rPr>
          <w:rFonts w:asciiTheme="majorHAnsi" w:hAnsiTheme="majorHAnsi" w:cs="Arial"/>
          <w:sz w:val="24"/>
          <w:szCs w:val="24"/>
          <w:lang w:val="en-GB" w:eastAsia="en-US"/>
        </w:rPr>
        <w:t>-</w:t>
      </w:r>
      <w:r w:rsidR="000562DB" w:rsidRPr="009625FB">
        <w:rPr>
          <w:rFonts w:asciiTheme="majorHAnsi" w:hAnsiTheme="majorHAnsi" w:cs="Arial"/>
          <w:sz w:val="24"/>
          <w:szCs w:val="24"/>
          <w:lang w:val="en-GB" w:eastAsia="en-US"/>
        </w:rPr>
        <w:t xml:space="preserve"> to-come </w:t>
      </w:r>
      <w:r w:rsidR="00300701" w:rsidRPr="009625FB">
        <w:rPr>
          <w:rFonts w:asciiTheme="majorHAnsi" w:hAnsiTheme="majorHAnsi" w:cs="Arial"/>
          <w:sz w:val="24"/>
          <w:szCs w:val="24"/>
          <w:lang w:val="en-GB" w:eastAsia="en-US"/>
        </w:rPr>
        <w:t xml:space="preserve">national provisions and/or open loopholes for arbitrage between the </w:t>
      </w:r>
      <w:r w:rsidR="00246207">
        <w:rPr>
          <w:rFonts w:asciiTheme="majorHAnsi" w:hAnsiTheme="majorHAnsi" w:cs="Arial"/>
          <w:sz w:val="24"/>
          <w:szCs w:val="24"/>
          <w:lang w:val="en-GB" w:eastAsia="en-US"/>
        </w:rPr>
        <w:t>M</w:t>
      </w:r>
      <w:r w:rsidR="00300701" w:rsidRPr="009625FB">
        <w:rPr>
          <w:rFonts w:asciiTheme="majorHAnsi" w:hAnsiTheme="majorHAnsi" w:cs="Arial"/>
          <w:sz w:val="24"/>
          <w:szCs w:val="24"/>
          <w:lang w:val="en-GB" w:eastAsia="en-US"/>
        </w:rPr>
        <w:t xml:space="preserve">ember </w:t>
      </w:r>
      <w:r w:rsidR="00246207">
        <w:rPr>
          <w:rFonts w:asciiTheme="majorHAnsi" w:hAnsiTheme="majorHAnsi" w:cs="Arial"/>
          <w:sz w:val="24"/>
          <w:szCs w:val="24"/>
          <w:lang w:val="en-GB" w:eastAsia="en-US"/>
        </w:rPr>
        <w:t>S</w:t>
      </w:r>
      <w:r w:rsidR="00300701" w:rsidRPr="009625FB">
        <w:rPr>
          <w:rFonts w:asciiTheme="majorHAnsi" w:hAnsiTheme="majorHAnsi" w:cs="Arial"/>
          <w:sz w:val="24"/>
          <w:szCs w:val="24"/>
          <w:lang w:val="en-GB" w:eastAsia="en-US"/>
        </w:rPr>
        <w:t xml:space="preserve">tates and between different investment products even on a national level.  </w:t>
      </w:r>
    </w:p>
    <w:p w:rsidR="00B50514" w:rsidRPr="009625FB" w:rsidRDefault="002B3323"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In our opinion</w:t>
      </w:r>
      <w:r w:rsidR="00B50514" w:rsidRPr="009625FB">
        <w:rPr>
          <w:rFonts w:asciiTheme="majorHAnsi" w:hAnsiTheme="majorHAnsi" w:cs="Arial"/>
          <w:sz w:val="24"/>
          <w:szCs w:val="24"/>
          <w:lang w:val="en-GB" w:eastAsia="en-US"/>
        </w:rPr>
        <w:t xml:space="preserve"> the assessment of appropriateness or suitability (cf. MiFID) </w:t>
      </w:r>
      <w:r w:rsidRPr="009625FB">
        <w:rPr>
          <w:rFonts w:asciiTheme="majorHAnsi" w:hAnsiTheme="majorHAnsi" w:cs="Arial"/>
          <w:sz w:val="24"/>
          <w:szCs w:val="24"/>
          <w:lang w:val="en-GB" w:eastAsia="en-US"/>
        </w:rPr>
        <w:t>needs to be</w:t>
      </w:r>
      <w:r w:rsidR="00B50514" w:rsidRPr="009625FB">
        <w:rPr>
          <w:rFonts w:asciiTheme="majorHAnsi" w:hAnsiTheme="majorHAnsi" w:cs="Arial"/>
          <w:sz w:val="24"/>
          <w:szCs w:val="24"/>
          <w:lang w:val="en-GB" w:eastAsia="en-US"/>
        </w:rPr>
        <w:t xml:space="preserve"> always required, thereby providing for an effective standard of investor protection.</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We do not agree with paragraph 42, page 29 of the Consultation Paper: if we acknowledge that « the client’s protection decreases when information available is not sufficient to ensure a full target market assessment » we cannot accept that distributors may decide « to let clients operate on a non-advised basis after having warned them that the firm is not in the position to assess their full compatibility with such products ». We believe that such a warning</w:t>
      </w:r>
      <w:r w:rsidR="00262896" w:rsidRPr="009625FB">
        <w:rPr>
          <w:rFonts w:asciiTheme="majorHAnsi" w:hAnsiTheme="majorHAnsi" w:cs="Arial"/>
          <w:sz w:val="24"/>
          <w:szCs w:val="24"/>
          <w:lang w:val="en-GB" w:eastAsia="en-US"/>
        </w:rPr>
        <w:t xml:space="preserve"> is</w:t>
      </w:r>
      <w:r w:rsidRPr="009625FB">
        <w:rPr>
          <w:rFonts w:asciiTheme="majorHAnsi" w:hAnsiTheme="majorHAnsi" w:cs="Arial"/>
          <w:sz w:val="24"/>
          <w:szCs w:val="24"/>
          <w:lang w:val="en-GB" w:eastAsia="en-US"/>
        </w:rPr>
        <w:t xml:space="preserve"> not suff</w:t>
      </w:r>
      <w:r w:rsidR="000D4BD8" w:rsidRPr="009625FB">
        <w:rPr>
          <w:rFonts w:asciiTheme="majorHAnsi" w:hAnsiTheme="majorHAnsi" w:cs="Arial"/>
          <w:sz w:val="24"/>
          <w:szCs w:val="24"/>
          <w:lang w:val="en-GB" w:eastAsia="en-US"/>
        </w:rPr>
        <w:t>i</w:t>
      </w:r>
      <w:r w:rsidRPr="009625FB">
        <w:rPr>
          <w:rFonts w:asciiTheme="majorHAnsi" w:hAnsiTheme="majorHAnsi" w:cs="Arial"/>
          <w:sz w:val="24"/>
          <w:szCs w:val="24"/>
          <w:lang w:val="en-GB" w:eastAsia="en-US"/>
        </w:rPr>
        <w:t xml:space="preserve">cient: the solution envisaged is thus extremely detrimental to investor protection, in that it would lead to </w:t>
      </w:r>
      <w:r w:rsidRPr="009625FB">
        <w:rPr>
          <w:rFonts w:asciiTheme="majorHAnsi" w:hAnsiTheme="majorHAnsi" w:cs="Arial"/>
          <w:sz w:val="24"/>
          <w:szCs w:val="24"/>
          <w:lang w:val="en-GB" w:eastAsia="en-US"/>
        </w:rPr>
        <w:lastRenderedPageBreak/>
        <w:t>the distribution of products which are not compa</w:t>
      </w:r>
      <w:r w:rsidR="000D4BD8" w:rsidRPr="009625FB">
        <w:rPr>
          <w:rFonts w:asciiTheme="majorHAnsi" w:hAnsiTheme="majorHAnsi" w:cs="Arial"/>
          <w:sz w:val="24"/>
          <w:szCs w:val="24"/>
          <w:lang w:val="en-GB" w:eastAsia="en-US"/>
        </w:rPr>
        <w:t>tible with clients’ needs, char</w:t>
      </w:r>
      <w:r w:rsidRPr="009625FB">
        <w:rPr>
          <w:rFonts w:asciiTheme="majorHAnsi" w:hAnsiTheme="majorHAnsi" w:cs="Arial"/>
          <w:sz w:val="24"/>
          <w:szCs w:val="24"/>
          <w:lang w:val="en-GB" w:eastAsia="en-US"/>
        </w:rPr>
        <w:t>acteristics and objectives.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Finally, we agree with paragraph 48, page 30, of the Consultation Paper. Indeed, pursuant to recital 20, MiFID II Delegated Directive, « distributors shou</w:t>
      </w:r>
      <w:r w:rsidR="00D67774" w:rsidRPr="009625FB">
        <w:rPr>
          <w:rFonts w:asciiTheme="majorHAnsi" w:hAnsiTheme="majorHAnsi" w:cs="Arial"/>
          <w:sz w:val="24"/>
          <w:szCs w:val="24"/>
          <w:lang w:val="en-GB" w:eastAsia="en-US"/>
        </w:rPr>
        <w:t>ld periodically inform the manu</w:t>
      </w:r>
      <w:r w:rsidRPr="009625FB">
        <w:rPr>
          <w:rFonts w:asciiTheme="majorHAnsi" w:hAnsiTheme="majorHAnsi" w:cs="Arial"/>
          <w:sz w:val="24"/>
          <w:szCs w:val="24"/>
          <w:lang w:val="en-GB" w:eastAsia="en-US"/>
        </w:rPr>
        <w:t xml:space="preserve">facturers about their experience with the products. While distributors should not be required to report every sale to manufacturers, they should provide the data that is necessary for the manufacturer to review the product and check that it remains </w:t>
      </w:r>
      <w:r w:rsidR="00D67774" w:rsidRPr="009625FB">
        <w:rPr>
          <w:rFonts w:asciiTheme="majorHAnsi" w:hAnsiTheme="majorHAnsi" w:cs="Arial"/>
          <w:sz w:val="24"/>
          <w:szCs w:val="24"/>
          <w:lang w:val="en-GB" w:eastAsia="en-US"/>
        </w:rPr>
        <w:t>consistent with the needs, char</w:t>
      </w:r>
      <w:r w:rsidRPr="009625FB">
        <w:rPr>
          <w:rFonts w:asciiTheme="majorHAnsi" w:hAnsiTheme="majorHAnsi" w:cs="Arial"/>
          <w:sz w:val="24"/>
          <w:szCs w:val="24"/>
          <w:lang w:val="en-GB" w:eastAsia="en-US"/>
        </w:rPr>
        <w:t>acteristics and objectives of the target market defined by the manufacturer. ». Bu</w:t>
      </w:r>
      <w:r w:rsidR="00D67774" w:rsidRPr="009625FB">
        <w:rPr>
          <w:rFonts w:asciiTheme="majorHAnsi" w:hAnsiTheme="majorHAnsi" w:cs="Arial"/>
          <w:sz w:val="24"/>
          <w:szCs w:val="24"/>
          <w:lang w:val="en-GB" w:eastAsia="en-US"/>
        </w:rPr>
        <w:t>ilding on re</w:t>
      </w:r>
      <w:r w:rsidRPr="009625FB">
        <w:rPr>
          <w:rFonts w:asciiTheme="majorHAnsi" w:hAnsiTheme="majorHAnsi" w:cs="Arial"/>
          <w:sz w:val="24"/>
          <w:szCs w:val="24"/>
          <w:lang w:val="en-GB" w:eastAsia="en-US"/>
        </w:rPr>
        <w:t>cital 20, paragraph 48 of the Consultation Paper clarifies that « Such information may be in an aggregated form and does not need t</w:t>
      </w:r>
      <w:r w:rsidR="00985690" w:rsidRPr="009625FB">
        <w:rPr>
          <w:rFonts w:asciiTheme="majorHAnsi" w:hAnsiTheme="majorHAnsi" w:cs="Arial"/>
          <w:sz w:val="24"/>
          <w:szCs w:val="24"/>
          <w:lang w:val="en-GB" w:eastAsia="en-US"/>
        </w:rPr>
        <w:t>o be on an instrument-</w:t>
      </w:r>
      <w:r w:rsidRPr="009625FB">
        <w:rPr>
          <w:rFonts w:asciiTheme="majorHAnsi" w:hAnsiTheme="majorHAnsi" w:cs="Arial"/>
          <w:sz w:val="24"/>
          <w:szCs w:val="24"/>
          <w:lang w:val="en-GB" w:eastAsia="en-US"/>
        </w:rPr>
        <w:t xml:space="preserve">by-instrument or sales-by-sales basis. »: we consider that this clarification strikes an effective balance between the efficient functioning of product governance obligations and the need </w:t>
      </w:r>
      <w:r w:rsidR="00D67774" w:rsidRPr="009625FB">
        <w:rPr>
          <w:rFonts w:asciiTheme="majorHAnsi" w:hAnsiTheme="majorHAnsi" w:cs="Arial"/>
          <w:sz w:val="24"/>
          <w:szCs w:val="24"/>
          <w:lang w:val="en-GB" w:eastAsia="en-US"/>
        </w:rPr>
        <w:t>to avoid unnecessary administra</w:t>
      </w:r>
      <w:r w:rsidRPr="009625FB">
        <w:rPr>
          <w:rFonts w:asciiTheme="majorHAnsi" w:hAnsiTheme="majorHAnsi" w:cs="Arial"/>
          <w:sz w:val="24"/>
          <w:szCs w:val="24"/>
          <w:lang w:val="en-GB" w:eastAsia="en-US"/>
        </w:rPr>
        <w:t>tive burdens on distributors or potential risks with regard</w:t>
      </w:r>
      <w:r w:rsidR="00125612">
        <w:rPr>
          <w:rFonts w:asciiTheme="majorHAnsi" w:hAnsiTheme="majorHAnsi" w:cs="Arial"/>
          <w:sz w:val="24"/>
          <w:szCs w:val="24"/>
          <w:lang w:val="en-GB" w:eastAsia="en-US"/>
        </w:rPr>
        <w:t>s</w:t>
      </w:r>
      <w:r w:rsidRPr="009625FB">
        <w:rPr>
          <w:rFonts w:asciiTheme="majorHAnsi" w:hAnsiTheme="majorHAnsi" w:cs="Arial"/>
          <w:sz w:val="24"/>
          <w:szCs w:val="24"/>
          <w:lang w:val="en-GB" w:eastAsia="en-US"/>
        </w:rPr>
        <w:t xml:space="preserve"> to privacy for investors.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 xml:space="preserve">Q4: Do you agree with the suggested approach on hedging and portfolio diversification aspects? If not, please explain what changes should be made and why. </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In paragraph 34, pages 10-11, of the Consultation Paper, one cr</w:t>
      </w:r>
      <w:r w:rsidR="00D67774" w:rsidRPr="009625FB">
        <w:rPr>
          <w:rFonts w:asciiTheme="majorHAnsi" w:hAnsiTheme="majorHAnsi" w:cs="Arial"/>
          <w:sz w:val="24"/>
          <w:szCs w:val="24"/>
          <w:lang w:val="en-GB" w:eastAsia="en-US"/>
        </w:rPr>
        <w:t>ucial point is missing: in addi</w:t>
      </w:r>
      <w:r w:rsidRPr="009625FB">
        <w:rPr>
          <w:rFonts w:asciiTheme="majorHAnsi" w:hAnsiTheme="majorHAnsi" w:cs="Arial"/>
          <w:sz w:val="24"/>
          <w:szCs w:val="24"/>
          <w:lang w:val="en-GB" w:eastAsia="en-US"/>
        </w:rPr>
        <w:t xml:space="preserve">tion to the situations whereby the clients already have adequate knowledge and understanding of the product (“ex ante or in-going knowledge”), the same product (an Interest Rate Swap, in the example) may also be considered for the distribution to clients whose needs may indeed be met by means of this product, although such clients do not have, at first, knowledge of it. In this situation, the role of financial advisors is of paramount importance: it is up to the advisor to understand the needs of the client, identify the suitable/appropriate products, and help the investor to understand the product (in this case, the required knowledge of the product is thus acquired in the course of the interaction with the financial advisor). </w:t>
      </w:r>
    </w:p>
    <w:p w:rsidR="00CC3569" w:rsidRPr="009625FB" w:rsidRDefault="006A0AB5" w:rsidP="00B50514">
      <w:pPr>
        <w:tabs>
          <w:tab w:val="num" w:pos="0"/>
        </w:tabs>
        <w:spacing w:after="120"/>
        <w:jc w:val="both"/>
        <w:rPr>
          <w:rFonts w:asciiTheme="majorHAnsi" w:hAnsiTheme="majorHAnsi" w:cs="Arial"/>
          <w:sz w:val="24"/>
          <w:szCs w:val="24"/>
          <w:highlight w:val="yellow"/>
          <w:lang w:val="en-GB" w:eastAsia="en-US"/>
        </w:rPr>
      </w:pPr>
      <w:r w:rsidRPr="009625FB">
        <w:rPr>
          <w:rFonts w:asciiTheme="majorHAnsi" w:hAnsiTheme="majorHAnsi" w:cs="Arial"/>
          <w:sz w:val="24"/>
          <w:szCs w:val="24"/>
          <w:lang w:val="en-GB" w:eastAsia="en-US"/>
        </w:rPr>
        <w:t>Against this background</w:t>
      </w:r>
      <w:r w:rsidR="00715F94" w:rsidRPr="009625FB">
        <w:rPr>
          <w:rFonts w:asciiTheme="majorHAnsi" w:hAnsiTheme="majorHAnsi" w:cs="Arial"/>
          <w:sz w:val="24"/>
          <w:szCs w:val="24"/>
          <w:lang w:val="en-GB" w:eastAsia="en-US"/>
        </w:rPr>
        <w:t>,</w:t>
      </w:r>
      <w:r w:rsidRPr="009625FB">
        <w:rPr>
          <w:rFonts w:asciiTheme="majorHAnsi" w:hAnsiTheme="majorHAnsi" w:cs="Arial"/>
          <w:sz w:val="24"/>
          <w:szCs w:val="24"/>
          <w:lang w:val="en-GB" w:eastAsia="en-US"/>
        </w:rPr>
        <w:t xml:space="preserve"> we </w:t>
      </w:r>
      <w:r w:rsidR="00715F94" w:rsidRPr="009625FB">
        <w:rPr>
          <w:rFonts w:asciiTheme="majorHAnsi" w:hAnsiTheme="majorHAnsi" w:cs="Arial"/>
          <w:sz w:val="24"/>
          <w:szCs w:val="24"/>
          <w:lang w:val="en-GB" w:eastAsia="en-US"/>
        </w:rPr>
        <w:t>ask to modify the entry section of paragraph 32 (page 1</w:t>
      </w:r>
      <w:r w:rsidR="00DE36C1" w:rsidRPr="009625FB">
        <w:rPr>
          <w:rFonts w:asciiTheme="majorHAnsi" w:hAnsiTheme="majorHAnsi" w:cs="Arial"/>
          <w:sz w:val="24"/>
          <w:szCs w:val="24"/>
          <w:lang w:val="en-GB" w:eastAsia="en-US"/>
        </w:rPr>
        <w:t>0</w:t>
      </w:r>
      <w:r w:rsidR="00715F94" w:rsidRPr="009625FB">
        <w:rPr>
          <w:rFonts w:asciiTheme="majorHAnsi" w:hAnsiTheme="majorHAnsi" w:cs="Arial"/>
          <w:sz w:val="24"/>
          <w:szCs w:val="24"/>
          <w:lang w:val="en-GB" w:eastAsia="en-US"/>
        </w:rPr>
        <w:t>) according to which “These situations</w:t>
      </w:r>
      <w:r w:rsidR="00AD2E90" w:rsidRPr="009625FB">
        <w:rPr>
          <w:rFonts w:asciiTheme="majorHAnsi" w:hAnsiTheme="majorHAnsi" w:cs="Arial"/>
          <w:sz w:val="24"/>
          <w:szCs w:val="24"/>
          <w:lang w:val="en-GB" w:eastAsia="en-US"/>
        </w:rPr>
        <w:t xml:space="preserve"> …</w:t>
      </w:r>
      <w:r w:rsidR="00715F94" w:rsidRPr="009625FB">
        <w:rPr>
          <w:rFonts w:asciiTheme="majorHAnsi" w:hAnsiTheme="majorHAnsi" w:cs="Arial"/>
          <w:sz w:val="24"/>
          <w:szCs w:val="24"/>
          <w:lang w:val="en-GB" w:eastAsia="en-US"/>
        </w:rPr>
        <w:t xml:space="preserve"> should not occur on a regular basis.” </w:t>
      </w:r>
      <w:r w:rsidR="00CC3569" w:rsidRPr="009625FB">
        <w:rPr>
          <w:rFonts w:asciiTheme="majorHAnsi" w:hAnsiTheme="majorHAnsi" w:cs="Arial"/>
          <w:sz w:val="24"/>
          <w:szCs w:val="24"/>
          <w:lang w:val="en-GB" w:eastAsia="en-US"/>
        </w:rPr>
        <w:t>Indeed, it would be expected that, if the suitability assessment</w:t>
      </w:r>
      <w:r w:rsidR="00AD2E90" w:rsidRPr="009625FB">
        <w:rPr>
          <w:rFonts w:asciiTheme="majorHAnsi" w:hAnsiTheme="majorHAnsi" w:cs="Arial"/>
          <w:sz w:val="24"/>
          <w:szCs w:val="24"/>
          <w:lang w:val="en-GB" w:eastAsia="en-US"/>
        </w:rPr>
        <w:t xml:space="preserve"> is</w:t>
      </w:r>
      <w:r w:rsidR="00CC3569" w:rsidRPr="009625FB">
        <w:rPr>
          <w:rFonts w:asciiTheme="majorHAnsi" w:hAnsiTheme="majorHAnsi" w:cs="Arial"/>
          <w:sz w:val="24"/>
          <w:szCs w:val="24"/>
          <w:lang w:val="en-GB" w:eastAsia="en-US"/>
        </w:rPr>
        <w:t xml:space="preserve"> correctly </w:t>
      </w:r>
      <w:r w:rsidR="00AD2E90" w:rsidRPr="009625FB">
        <w:rPr>
          <w:rFonts w:asciiTheme="majorHAnsi" w:hAnsiTheme="majorHAnsi" w:cs="Arial"/>
          <w:sz w:val="24"/>
          <w:szCs w:val="24"/>
          <w:lang w:val="en-GB" w:eastAsia="en-US"/>
        </w:rPr>
        <w:t xml:space="preserve">conducted, recommending </w:t>
      </w:r>
      <w:r w:rsidR="00E765B3" w:rsidRPr="009625FB">
        <w:rPr>
          <w:rFonts w:asciiTheme="majorHAnsi" w:hAnsiTheme="majorHAnsi" w:cs="Arial"/>
          <w:sz w:val="24"/>
          <w:szCs w:val="24"/>
          <w:lang w:val="en-GB" w:eastAsia="en-US"/>
        </w:rPr>
        <w:t>products</w:t>
      </w:r>
      <w:r w:rsidR="00CC3569" w:rsidRPr="009625FB">
        <w:rPr>
          <w:rFonts w:asciiTheme="majorHAnsi" w:hAnsiTheme="majorHAnsi" w:cs="Arial"/>
          <w:sz w:val="24"/>
          <w:szCs w:val="24"/>
          <w:lang w:val="en-GB" w:eastAsia="en-US"/>
        </w:rPr>
        <w:t xml:space="preserve"> </w:t>
      </w:r>
      <w:r w:rsidR="00E765B3" w:rsidRPr="009625FB">
        <w:rPr>
          <w:rFonts w:asciiTheme="majorHAnsi" w:hAnsiTheme="majorHAnsi" w:cs="Arial"/>
          <w:sz w:val="24"/>
          <w:szCs w:val="24"/>
          <w:lang w:val="en-GB" w:eastAsia="en-US"/>
        </w:rPr>
        <w:t>outside the target market, if</w:t>
      </w:r>
      <w:r w:rsidR="00CC3569" w:rsidRPr="009625FB">
        <w:rPr>
          <w:rFonts w:asciiTheme="majorHAnsi" w:hAnsiTheme="majorHAnsi" w:cs="Arial"/>
          <w:sz w:val="24"/>
          <w:szCs w:val="24"/>
          <w:lang w:val="en-GB" w:eastAsia="en-US"/>
        </w:rPr>
        <w:t xml:space="preserve"> </w:t>
      </w:r>
      <w:r w:rsidR="00E765B3" w:rsidRPr="009625FB">
        <w:rPr>
          <w:rFonts w:asciiTheme="majorHAnsi" w:hAnsiTheme="majorHAnsi" w:cs="Arial"/>
          <w:sz w:val="24"/>
          <w:szCs w:val="24"/>
          <w:lang w:val="en-GB" w:eastAsia="en-US"/>
        </w:rPr>
        <w:t>based on the consideration of the specific</w:t>
      </w:r>
      <w:r w:rsidR="00CC3569" w:rsidRPr="009625FB">
        <w:rPr>
          <w:rFonts w:asciiTheme="majorHAnsi" w:hAnsiTheme="majorHAnsi" w:cs="Arial"/>
          <w:sz w:val="24"/>
          <w:szCs w:val="24"/>
          <w:lang w:val="en-GB" w:eastAsia="en-US"/>
        </w:rPr>
        <w:t xml:space="preserve"> client’s features, will be meaningful and permissible. Of course, firms should avoid distributing products outside the target market in cases where there are significant conflicts of interest but </w:t>
      </w:r>
      <w:r w:rsidR="00E31B39" w:rsidRPr="009625FB">
        <w:rPr>
          <w:rFonts w:asciiTheme="majorHAnsi" w:hAnsiTheme="majorHAnsi" w:cs="Arial"/>
          <w:sz w:val="24"/>
          <w:szCs w:val="24"/>
          <w:lang w:val="en-GB" w:eastAsia="en-US"/>
        </w:rPr>
        <w:t>such</w:t>
      </w:r>
      <w:r w:rsidR="00CC3569" w:rsidRPr="009625FB">
        <w:rPr>
          <w:rFonts w:asciiTheme="majorHAnsi" w:hAnsiTheme="majorHAnsi" w:cs="Arial"/>
          <w:sz w:val="24"/>
          <w:szCs w:val="24"/>
          <w:lang w:val="en-GB" w:eastAsia="en-US"/>
        </w:rPr>
        <w:t xml:space="preserve"> provisions have to be taken into account, anyway, in the conflicts-of-interest regime and </w:t>
      </w:r>
      <w:r w:rsidR="00E31B39" w:rsidRPr="009625FB">
        <w:rPr>
          <w:rFonts w:asciiTheme="majorHAnsi" w:hAnsiTheme="majorHAnsi" w:cs="Arial"/>
          <w:sz w:val="24"/>
          <w:szCs w:val="24"/>
          <w:lang w:val="en-GB" w:eastAsia="en-US"/>
        </w:rPr>
        <w:t xml:space="preserve">COI </w:t>
      </w:r>
      <w:r w:rsidR="00CC3569" w:rsidRPr="009625FB">
        <w:rPr>
          <w:rFonts w:asciiTheme="majorHAnsi" w:hAnsiTheme="majorHAnsi" w:cs="Arial"/>
          <w:sz w:val="24"/>
          <w:szCs w:val="24"/>
          <w:lang w:val="en-GB" w:eastAsia="en-US"/>
        </w:rPr>
        <w:t>policy by the compliance management.</w:t>
      </w:r>
      <w:r w:rsidR="00AD2E90" w:rsidRPr="009625FB">
        <w:rPr>
          <w:rFonts w:asciiTheme="majorHAnsi" w:hAnsiTheme="majorHAnsi" w:cs="Arial"/>
          <w:sz w:val="24"/>
          <w:szCs w:val="24"/>
          <w:lang w:val="en-GB" w:eastAsia="en-US"/>
        </w:rPr>
        <w:t xml:space="preserve"> The entry section of paragraph 32 therefore should simply refer as follows. “These situations above should be justified by the individual facts of the case.” </w:t>
      </w:r>
    </w:p>
    <w:p w:rsidR="00A609CA" w:rsidRPr="009625FB" w:rsidRDefault="00A609CA"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lastRenderedPageBreak/>
        <w:t xml:space="preserve">Q5: Do you believe further guidance is needed on how distributors should apply product governance requirements for products manufactured by entities falling outside the scope of MiFID II? </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No, it</w:t>
      </w:r>
      <w:r w:rsidR="000A5B6E">
        <w:rPr>
          <w:rFonts w:asciiTheme="majorHAnsi" w:hAnsiTheme="majorHAnsi" w:cs="Arial"/>
          <w:sz w:val="24"/>
          <w:szCs w:val="24"/>
          <w:lang w:val="en-GB" w:eastAsia="en-US"/>
        </w:rPr>
        <w:t xml:space="preserve"> i</w:t>
      </w:r>
      <w:r w:rsidRPr="009625FB">
        <w:rPr>
          <w:rFonts w:asciiTheme="majorHAnsi" w:hAnsiTheme="majorHAnsi" w:cs="Arial"/>
          <w:sz w:val="24"/>
          <w:szCs w:val="24"/>
          <w:lang w:val="en-GB" w:eastAsia="en-US"/>
        </w:rPr>
        <w:t>s not. The guidance provided in the Consultation Paper is clear and comprehensive.</w:t>
      </w:r>
    </w:p>
    <w:p w:rsidR="00B50514" w:rsidRPr="009625FB" w:rsidRDefault="00B50514"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Q6: Do you agree with the proposed approach for the identification of the ‘negative’ target market?</w:t>
      </w:r>
    </w:p>
    <w:p w:rsidR="0008289C"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We </w:t>
      </w:r>
      <w:r w:rsidR="00CA4B63" w:rsidRPr="009625FB">
        <w:rPr>
          <w:rFonts w:asciiTheme="majorHAnsi" w:hAnsiTheme="majorHAnsi" w:cs="Arial"/>
          <w:sz w:val="24"/>
          <w:szCs w:val="24"/>
          <w:lang w:val="en-GB" w:eastAsia="en-US"/>
        </w:rPr>
        <w:t xml:space="preserve">fully </w:t>
      </w:r>
      <w:r w:rsidRPr="009625FB">
        <w:rPr>
          <w:rFonts w:asciiTheme="majorHAnsi" w:hAnsiTheme="majorHAnsi" w:cs="Arial"/>
          <w:sz w:val="24"/>
          <w:szCs w:val="24"/>
          <w:lang w:val="en-GB" w:eastAsia="en-US"/>
        </w:rPr>
        <w:t xml:space="preserve">agree with the proposed </w:t>
      </w:r>
      <w:r w:rsidR="00CA4B63" w:rsidRPr="009625FB">
        <w:rPr>
          <w:rFonts w:asciiTheme="majorHAnsi" w:hAnsiTheme="majorHAnsi" w:cs="Arial"/>
          <w:sz w:val="24"/>
          <w:szCs w:val="24"/>
          <w:lang w:val="en-GB" w:eastAsia="en-US"/>
        </w:rPr>
        <w:t xml:space="preserve">positive </w:t>
      </w:r>
      <w:r w:rsidRPr="009625FB">
        <w:rPr>
          <w:rFonts w:asciiTheme="majorHAnsi" w:hAnsiTheme="majorHAnsi" w:cs="Arial"/>
          <w:sz w:val="24"/>
          <w:szCs w:val="24"/>
          <w:lang w:val="en-GB" w:eastAsia="en-US"/>
        </w:rPr>
        <w:t xml:space="preserve">and </w:t>
      </w:r>
      <w:r w:rsidR="00CA4B63" w:rsidRPr="009625FB">
        <w:rPr>
          <w:rFonts w:asciiTheme="majorHAnsi" w:hAnsiTheme="majorHAnsi" w:cs="Arial"/>
          <w:sz w:val="24"/>
          <w:szCs w:val="24"/>
          <w:lang w:val="en-GB" w:eastAsia="en-US"/>
        </w:rPr>
        <w:t>negative</w:t>
      </w:r>
      <w:r w:rsidRPr="009625FB">
        <w:rPr>
          <w:rFonts w:asciiTheme="majorHAnsi" w:hAnsiTheme="majorHAnsi" w:cs="Arial"/>
          <w:sz w:val="24"/>
          <w:szCs w:val="24"/>
          <w:lang w:val="en-GB" w:eastAsia="en-US"/>
        </w:rPr>
        <w:t xml:space="preserve"> approach </w:t>
      </w:r>
      <w:r w:rsidR="00CA4B63" w:rsidRPr="009625FB">
        <w:rPr>
          <w:rFonts w:asciiTheme="majorHAnsi" w:hAnsiTheme="majorHAnsi" w:cs="Arial"/>
          <w:sz w:val="24"/>
          <w:szCs w:val="24"/>
          <w:lang w:val="en-GB" w:eastAsia="en-US"/>
        </w:rPr>
        <w:t xml:space="preserve">with one possible </w:t>
      </w:r>
      <w:r w:rsidR="00F556A5" w:rsidRPr="009625FB">
        <w:rPr>
          <w:rFonts w:asciiTheme="majorHAnsi" w:hAnsiTheme="majorHAnsi" w:cs="Arial"/>
          <w:sz w:val="24"/>
          <w:szCs w:val="24"/>
          <w:lang w:val="en-GB" w:eastAsia="en-US"/>
        </w:rPr>
        <w:t xml:space="preserve">additional </w:t>
      </w:r>
      <w:r w:rsidR="00CA4B63" w:rsidRPr="009625FB">
        <w:rPr>
          <w:rFonts w:asciiTheme="majorHAnsi" w:hAnsiTheme="majorHAnsi" w:cs="Arial"/>
          <w:sz w:val="24"/>
          <w:szCs w:val="24"/>
          <w:lang w:val="en-GB" w:eastAsia="en-US"/>
        </w:rPr>
        <w:t>area in between</w:t>
      </w:r>
      <w:r w:rsidR="00A00BDA" w:rsidRPr="009625FB">
        <w:rPr>
          <w:rFonts w:asciiTheme="majorHAnsi" w:hAnsiTheme="majorHAnsi" w:cs="Arial"/>
          <w:sz w:val="24"/>
          <w:szCs w:val="24"/>
          <w:lang w:val="en-GB" w:eastAsia="en-US"/>
        </w:rPr>
        <w:t>. This allows deviation</w:t>
      </w:r>
      <w:r w:rsidR="00F556A5" w:rsidRPr="009625FB">
        <w:rPr>
          <w:rFonts w:asciiTheme="majorHAnsi" w:hAnsiTheme="majorHAnsi" w:cs="Arial"/>
          <w:sz w:val="24"/>
          <w:szCs w:val="24"/>
          <w:lang w:val="en-GB" w:eastAsia="en-US"/>
        </w:rPr>
        <w:t>s</w:t>
      </w:r>
      <w:r w:rsidR="00A00BDA" w:rsidRPr="009625FB">
        <w:rPr>
          <w:rFonts w:asciiTheme="majorHAnsi" w:hAnsiTheme="majorHAnsi" w:cs="Arial"/>
          <w:sz w:val="24"/>
          <w:szCs w:val="24"/>
          <w:lang w:val="en-GB" w:eastAsia="en-US"/>
        </w:rPr>
        <w:t xml:space="preserve"> for sale outside the positive target mark</w:t>
      </w:r>
      <w:r w:rsidR="00F556A5" w:rsidRPr="009625FB">
        <w:rPr>
          <w:rFonts w:asciiTheme="majorHAnsi" w:hAnsiTheme="majorHAnsi" w:cs="Arial"/>
          <w:sz w:val="24"/>
          <w:szCs w:val="24"/>
          <w:lang w:val="en-GB" w:eastAsia="en-US"/>
        </w:rPr>
        <w:t xml:space="preserve">et </w:t>
      </w:r>
      <w:r w:rsidR="00C6790B">
        <w:rPr>
          <w:rFonts w:asciiTheme="majorHAnsi" w:hAnsiTheme="majorHAnsi" w:cs="Arial"/>
          <w:sz w:val="24"/>
          <w:szCs w:val="24"/>
          <w:lang w:val="en-GB" w:eastAsia="en-US"/>
        </w:rPr>
        <w:t>with</w:t>
      </w:r>
      <w:r w:rsidR="00F556A5" w:rsidRPr="009625FB">
        <w:rPr>
          <w:rFonts w:asciiTheme="majorHAnsi" w:hAnsiTheme="majorHAnsi" w:cs="Arial"/>
          <w:sz w:val="24"/>
          <w:szCs w:val="24"/>
          <w:lang w:val="en-GB" w:eastAsia="en-US"/>
        </w:rPr>
        <w:t xml:space="preserve"> substantial justifications.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p>
    <w:p w:rsidR="00B50514" w:rsidRPr="009625FB" w:rsidRDefault="00B50514" w:rsidP="00B50514">
      <w:pPr>
        <w:tabs>
          <w:tab w:val="num" w:pos="0"/>
        </w:tabs>
        <w:spacing w:after="120"/>
        <w:jc w:val="both"/>
        <w:rPr>
          <w:rFonts w:asciiTheme="majorHAnsi" w:hAnsiTheme="majorHAnsi" w:cs="Arial"/>
          <w:b/>
          <w:sz w:val="24"/>
          <w:szCs w:val="24"/>
          <w:lang w:val="en-GB" w:eastAsia="en-US"/>
        </w:rPr>
      </w:pPr>
      <w:r w:rsidRPr="009625FB">
        <w:rPr>
          <w:rFonts w:asciiTheme="majorHAnsi" w:hAnsiTheme="majorHAnsi" w:cs="Arial"/>
          <w:b/>
          <w:sz w:val="24"/>
          <w:szCs w:val="24"/>
          <w:lang w:val="en-GB" w:eastAsia="en-US"/>
        </w:rPr>
        <w:t>Q8: Do you have any further comment or input on the draft guidelines?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We agree with paragraph 21, page 8, of the Consultation Paper, i.e. « it should be specified in the target market if certain channels may or may not be appropriate to protect the client from precipitance. ». In this sense, we believe that both manufacturers and distributors shall be mindful that clients are not protected at all in the case of execution-only online sales (paragraph 40, page 28, of the Consultation Paper). In this sense, we think that non-advised sales should be limited to </w:t>
      </w:r>
      <w:r w:rsidR="006B7B11" w:rsidRPr="009625FB">
        <w:rPr>
          <w:rFonts w:asciiTheme="majorHAnsi" w:hAnsiTheme="majorHAnsi" w:cs="Arial"/>
          <w:sz w:val="24"/>
          <w:szCs w:val="24"/>
          <w:lang w:val="en-GB" w:eastAsia="en-US"/>
        </w:rPr>
        <w:t>simple</w:t>
      </w:r>
      <w:r w:rsidRPr="009625FB">
        <w:rPr>
          <w:rFonts w:asciiTheme="majorHAnsi" w:hAnsiTheme="majorHAnsi" w:cs="Arial"/>
          <w:sz w:val="24"/>
          <w:szCs w:val="24"/>
          <w:lang w:val="en-GB" w:eastAsia="en-US"/>
        </w:rPr>
        <w:t>, more common and easy-to-understand products.</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We point out the potential detrimental effect of the situation outlined in paragraph 46, page 29, of the Consultation Paper (« For example, if the manufacturer deems that a given product, due to its specific features, should be offered to clients through the provision of investment advice, the distributor could still make that product available through execution services to a specific segment of clients. »): the case under paragraph 46, indeed, seems to contradict the statement under paragraph 38 (« In particular, investment advice and portfolio management services allow for a higher degree of investor protection (through the application of the suitability rule), compared to other services provided under the appropriateness regime or under execution-only. »). That is to say, in cases where the manufacturer deems that the product should be offered to clients through the provision of investment advice, the distributor should not revert to non-advised sales </w:t>
      </w:r>
      <w:r w:rsidR="003C619C" w:rsidRPr="009625FB">
        <w:rPr>
          <w:rFonts w:asciiTheme="majorHAnsi" w:hAnsiTheme="majorHAnsi" w:cs="Arial"/>
          <w:sz w:val="24"/>
          <w:szCs w:val="24"/>
          <w:lang w:val="en-GB" w:eastAsia="en-US"/>
        </w:rPr>
        <w:t>thus sa</w:t>
      </w:r>
      <w:r w:rsidRPr="009625FB">
        <w:rPr>
          <w:rFonts w:asciiTheme="majorHAnsi" w:hAnsiTheme="majorHAnsi" w:cs="Arial"/>
          <w:sz w:val="24"/>
          <w:szCs w:val="24"/>
          <w:lang w:val="en-GB" w:eastAsia="en-US"/>
        </w:rPr>
        <w:t>crificing the objective of “enhancing the level of protection of investors” which underpins all product governance obligations (paragraph 1, page 4, of the Consultation Paper).</w:t>
      </w:r>
    </w:p>
    <w:p w:rsidR="00B50514" w:rsidRPr="009625FB" w:rsidRDefault="00B50514" w:rsidP="00B50514">
      <w:pPr>
        <w:tabs>
          <w:tab w:val="num" w:pos="0"/>
        </w:tabs>
        <w:spacing w:after="120"/>
        <w:jc w:val="both"/>
        <w:rPr>
          <w:rFonts w:asciiTheme="majorHAnsi" w:hAnsiTheme="majorHAnsi" w:cs="Arial"/>
          <w:sz w:val="24"/>
          <w:szCs w:val="24"/>
          <w:lang w:val="en-GB" w:eastAsia="en-US"/>
        </w:rPr>
      </w:pPr>
      <w:r w:rsidRPr="009625FB">
        <w:rPr>
          <w:rFonts w:asciiTheme="majorHAnsi" w:hAnsiTheme="majorHAnsi" w:cs="Arial"/>
          <w:sz w:val="24"/>
          <w:szCs w:val="24"/>
          <w:lang w:val="en-GB" w:eastAsia="en-US"/>
        </w:rPr>
        <w:t xml:space="preserve">The same reasoning applies to </w:t>
      </w:r>
      <w:r w:rsidR="003C619C" w:rsidRPr="009625FB">
        <w:rPr>
          <w:rFonts w:asciiTheme="majorHAnsi" w:hAnsiTheme="majorHAnsi" w:cs="Arial"/>
          <w:sz w:val="24"/>
          <w:szCs w:val="24"/>
          <w:lang w:val="en-GB" w:eastAsia="en-US"/>
        </w:rPr>
        <w:t>Example</w:t>
      </w:r>
      <w:r w:rsidRPr="009625FB">
        <w:rPr>
          <w:rFonts w:asciiTheme="majorHAnsi" w:hAnsiTheme="majorHAnsi" w:cs="Arial"/>
          <w:sz w:val="24"/>
          <w:szCs w:val="24"/>
          <w:lang w:val="en-GB" w:eastAsia="en-US"/>
        </w:rPr>
        <w:t xml:space="preserve"> 2 - Structured deposit product target market case study (page 39, of the Consultation Paper « In light of the target market analysis, the product can be promoted with or without advice, with no additional requirements or restrictions on distributors. »). The objective of “enhancing the level of protection of investors” may be better served through the provision of investment advice, increasing proportionally to the complexity of the product: from this point of view, sales without </w:t>
      </w:r>
      <w:r w:rsidRPr="009625FB">
        <w:rPr>
          <w:rFonts w:asciiTheme="majorHAnsi" w:hAnsiTheme="majorHAnsi" w:cs="Arial"/>
          <w:sz w:val="24"/>
          <w:szCs w:val="24"/>
          <w:lang w:val="en-GB" w:eastAsia="en-US"/>
        </w:rPr>
        <w:lastRenderedPageBreak/>
        <w:t>advice should be permitted, although they should not be considered as an equivalent alternative to advised sales.</w:t>
      </w:r>
    </w:p>
    <w:p w:rsidR="00930733" w:rsidRPr="00F4566F" w:rsidRDefault="00BE6B86" w:rsidP="00FA535D">
      <w:pPr>
        <w:tabs>
          <w:tab w:val="num" w:pos="0"/>
        </w:tabs>
        <w:spacing w:after="120"/>
        <w:jc w:val="both"/>
        <w:rPr>
          <w:rFonts w:asciiTheme="majorHAnsi" w:hAnsiTheme="majorHAnsi" w:cs="Arial"/>
          <w:sz w:val="24"/>
          <w:szCs w:val="24"/>
          <w:lang w:val="en-GB" w:eastAsia="en-US"/>
        </w:rPr>
      </w:pPr>
      <w:r w:rsidRPr="00BE6B86">
        <w:rPr>
          <w:rFonts w:asciiTheme="majorHAnsi" w:hAnsiTheme="majorHAnsi" w:cs="Arial"/>
          <w:noProof/>
          <w:sz w:val="24"/>
          <w:szCs w:val="24"/>
          <w:lang w:val="en-GB" w:eastAsia="en-GB"/>
        </w:rPr>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85pt;width:454.5pt;height:239.2pt;z-index:251659264;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">
            <v:textbox style="mso-fit-shape-to-text:t">
              <w:txbxContent>
                <w:p w:rsidR="00644652" w:rsidRPr="00DA51E4" w:rsidRDefault="00644652" w:rsidP="00644652">
                  <w:pPr>
                    <w:rPr>
                      <w:rFonts w:asciiTheme="majorHAnsi" w:hAnsiTheme="majorHAnsi"/>
                      <w:b/>
                      <w:sz w:val="24"/>
                      <w:szCs w:val="24"/>
                      <w:lang w:val="en-GB"/>
                    </w:rPr>
                  </w:pPr>
                  <w:r w:rsidRPr="00DA51E4">
                    <w:rPr>
                      <w:rFonts w:asciiTheme="majorHAnsi" w:hAnsiTheme="majorHAnsi"/>
                      <w:b/>
                      <w:sz w:val="24"/>
                      <w:szCs w:val="24"/>
                      <w:lang w:val="en-GB"/>
                    </w:rPr>
                    <w:t>About FECIF</w:t>
                  </w:r>
                </w:p>
                <w:p w:rsidR="00644652" w:rsidRPr="00DA51E4" w:rsidRDefault="00644652" w:rsidP="00644652">
                  <w:pPr>
                    <w:rPr>
                      <w:rFonts w:asciiTheme="majorHAnsi" w:hAnsiTheme="majorHAnsi"/>
                      <w:b/>
                      <w:sz w:val="24"/>
                      <w:szCs w:val="24"/>
                      <w:lang w:val="en-GB"/>
                    </w:rPr>
                  </w:pPr>
                </w:p>
                <w:p w:rsidR="00644652" w:rsidRPr="00644652" w:rsidRDefault="00644652" w:rsidP="00644652">
                  <w:pPr>
                    <w:jc w:val="both"/>
                    <w:rPr>
                      <w:rFonts w:asciiTheme="majorHAnsi" w:hAnsiTheme="majorHAnsi"/>
                      <w:sz w:val="24"/>
                      <w:szCs w:val="24"/>
                      <w:lang w:val="en-GB"/>
                    </w:rPr>
                  </w:pPr>
                  <w:r w:rsidRPr="00644652">
                    <w:rPr>
                      <w:rFonts w:asciiTheme="majorHAnsi" w:hAnsiTheme="majorHAnsi"/>
                      <w:sz w:val="24"/>
                      <w:szCs w:val="24"/>
                      <w:lang w:val="en-GB"/>
                    </w:rPr>
                    <w:t xml:space="preserve">The </w:t>
                  </w:r>
                  <w:r w:rsidRPr="00644652">
                    <w:rPr>
                      <w:rFonts w:asciiTheme="majorHAnsi" w:hAnsiTheme="majorHAnsi"/>
                      <w:b/>
                      <w:sz w:val="24"/>
                      <w:szCs w:val="24"/>
                      <w:lang w:val="en-GB"/>
                    </w:rPr>
                    <w:t>European Federation of Financial Advisers and Financial Intermediaries</w:t>
                  </w:r>
                  <w:r w:rsidRPr="00644652">
                    <w:rPr>
                      <w:rFonts w:asciiTheme="majorHAnsi" w:hAnsiTheme="majorHAnsi"/>
                      <w:sz w:val="24"/>
                      <w:szCs w:val="24"/>
                      <w:lang w:val="en-GB"/>
                    </w:rPr>
                    <w:t xml:space="preserve"> (FECIF) was chartered in June 1999 for the defence and promotion of the role of financial advisers and intermediaries in Europe.</w:t>
                  </w:r>
                </w:p>
                <w:p w:rsidR="00644652" w:rsidRPr="00644652" w:rsidRDefault="00644652" w:rsidP="00644652">
                  <w:pPr>
                    <w:jc w:val="both"/>
                    <w:rPr>
                      <w:rFonts w:asciiTheme="majorHAnsi" w:hAnsiTheme="majorHAnsi"/>
                      <w:sz w:val="24"/>
                      <w:szCs w:val="24"/>
                      <w:lang w:val="en-GB"/>
                    </w:rPr>
                  </w:pPr>
                </w:p>
                <w:p w:rsidR="00644652" w:rsidRDefault="00644652" w:rsidP="00644652">
                  <w:pPr>
                    <w:jc w:val="both"/>
                    <w:rPr>
                      <w:rFonts w:asciiTheme="majorHAnsi" w:hAnsiTheme="majorHAnsi"/>
                      <w:sz w:val="24"/>
                      <w:szCs w:val="24"/>
                      <w:lang w:val="en-GB"/>
                    </w:rPr>
                  </w:pPr>
                  <w:r w:rsidRPr="00644652">
                    <w:rPr>
                      <w:rFonts w:asciiTheme="majorHAnsi" w:hAnsiTheme="majorHAnsi"/>
                      <w:sz w:val="24"/>
                      <w:szCs w:val="24"/>
                      <w:lang w:val="en-GB"/>
                    </w:rPr>
                    <w:t>FECIF is an independent and non-profit-making organisation exclusively at the service of its financial adviser and intermediary members, who are from the 28 European Union member states, plus Switzerland; it is the only European body representing European financial advisers and intermediaries. FECIF is based in Brussels, at the heart of Europe.</w:t>
                  </w:r>
                </w:p>
                <w:p w:rsidR="00644652" w:rsidRPr="00644652" w:rsidRDefault="00644652" w:rsidP="00644652">
                  <w:pPr>
                    <w:jc w:val="both"/>
                    <w:rPr>
                      <w:rFonts w:asciiTheme="majorHAnsi" w:hAnsiTheme="majorHAnsi"/>
                      <w:sz w:val="24"/>
                      <w:szCs w:val="24"/>
                      <w:lang w:val="en-GB"/>
                    </w:rPr>
                  </w:pPr>
                </w:p>
                <w:p w:rsidR="00644652" w:rsidRPr="00644652" w:rsidRDefault="00644652" w:rsidP="00644652">
                  <w:pPr>
                    <w:jc w:val="both"/>
                    <w:rPr>
                      <w:rFonts w:asciiTheme="majorHAnsi" w:hAnsiTheme="majorHAnsi"/>
                      <w:sz w:val="24"/>
                      <w:szCs w:val="24"/>
                      <w:lang w:val="en-GB"/>
                    </w:rPr>
                  </w:pPr>
                  <w:r w:rsidRPr="00644652">
                    <w:rPr>
                      <w:rFonts w:asciiTheme="majorHAnsi" w:hAnsiTheme="majorHAnsi"/>
                      <w:sz w:val="24"/>
                      <w:szCs w:val="24"/>
                      <w:lang w:val="en-GB"/>
                    </w:rPr>
                    <w:t>The European financial adviser and intermediary community is made up of approximately 500,000 private individuals exercising this profession as a main occupation (representing approximately 26,000 legal entities including 45 networks), about 280,000 are members of national professional associations (51 at today’s count).</w:t>
                  </w:r>
                </w:p>
                <w:p w:rsidR="00644652" w:rsidRPr="00644652" w:rsidRDefault="00644652" w:rsidP="00644652">
                  <w:pPr>
                    <w:rPr>
                      <w:lang w:val="en-GB"/>
                    </w:rPr>
                  </w:pPr>
                </w:p>
              </w:txbxContent>
            </v:textbox>
            <w10:wrap type="square" anchorx="margin"/>
          </v:shape>
        </w:pict>
      </w:r>
    </w:p>
    <w:sectPr w:rsidR="00930733" w:rsidRPr="00F4566F" w:rsidSect="00F7028F">
      <w:headerReference w:type="default" r:id="rId8"/>
      <w:footerReference w:type="even" r:id="rId9"/>
      <w:footerReference w:type="default" r:id="rId10"/>
      <w:headerReference w:type="first" r:id="rId11"/>
      <w:footerReference w:type="first" r:id="rId12"/>
      <w:pgSz w:w="11906" w:h="16838" w:code="9"/>
      <w:pgMar w:top="1985"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78" w:rsidRDefault="00D56578">
      <w:r>
        <w:separator/>
      </w:r>
    </w:p>
  </w:endnote>
  <w:endnote w:type="continuationSeparator" w:id="0">
    <w:p w:rsidR="00D56578" w:rsidRDefault="00D56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8" w:rsidRDefault="00BE6B86">
    <w:pPr>
      <w:pStyle w:val="Pidipagina"/>
      <w:framePr w:wrap="around" w:vAnchor="text" w:hAnchor="margin" w:xAlign="center" w:y="1"/>
      <w:rPr>
        <w:rStyle w:val="Numeropagina"/>
      </w:rPr>
    </w:pPr>
    <w:r>
      <w:rPr>
        <w:rStyle w:val="Numeropagina"/>
      </w:rPr>
      <w:fldChar w:fldCharType="begin"/>
    </w:r>
    <w:r w:rsidR="00145E08">
      <w:rPr>
        <w:rStyle w:val="Numeropagina"/>
      </w:rPr>
      <w:instrText xml:space="preserve">PAGE  </w:instrText>
    </w:r>
    <w:r>
      <w:rPr>
        <w:rStyle w:val="Numeropagina"/>
      </w:rPr>
      <w:fldChar w:fldCharType="end"/>
    </w:r>
  </w:p>
  <w:p w:rsidR="00145E08" w:rsidRDefault="00145E0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8" w:rsidRPr="003D1BA8" w:rsidRDefault="003D1BA8" w:rsidP="003D1BA8">
    <w:pPr>
      <w:pStyle w:val="Pidipagina"/>
      <w:tabs>
        <w:tab w:val="clear" w:pos="9638"/>
        <w:tab w:val="right" w:pos="7938"/>
      </w:tabs>
      <w:spacing w:after="40"/>
      <w:jc w:val="center"/>
      <w:rPr>
        <w:rFonts w:asciiTheme="majorHAnsi" w:hAnsiTheme="majorHAnsi" w:cs="Tahoma"/>
        <w:color w:val="333399"/>
        <w:sz w:val="18"/>
        <w:szCs w:val="18"/>
      </w:rPr>
    </w:pPr>
    <w:r>
      <w:rPr>
        <w:rStyle w:val="Numeropagina"/>
        <w:rFonts w:asciiTheme="majorHAnsi" w:hAnsiTheme="majorHAnsi"/>
      </w:rPr>
      <w:t>-</w:t>
    </w:r>
    <w:r w:rsidRPr="003D1BA8">
      <w:rPr>
        <w:rStyle w:val="Numeropagina"/>
        <w:rFonts w:asciiTheme="majorHAnsi" w:hAnsiTheme="majorHAnsi"/>
      </w:rPr>
      <w:t xml:space="preserve"> </w:t>
    </w:r>
    <w:r w:rsidR="00BE6B86" w:rsidRPr="003D1BA8">
      <w:rPr>
        <w:rStyle w:val="Numeropagina"/>
        <w:rFonts w:asciiTheme="majorHAnsi" w:hAnsiTheme="majorHAnsi"/>
      </w:rPr>
      <w:fldChar w:fldCharType="begin"/>
    </w:r>
    <w:r w:rsidRPr="003D1BA8">
      <w:rPr>
        <w:rStyle w:val="Numeropagina"/>
        <w:rFonts w:asciiTheme="majorHAnsi" w:hAnsiTheme="majorHAnsi"/>
      </w:rPr>
      <w:instrText xml:space="preserve"> PAGE </w:instrText>
    </w:r>
    <w:r w:rsidR="00BE6B86" w:rsidRPr="003D1BA8">
      <w:rPr>
        <w:rStyle w:val="Numeropagina"/>
        <w:rFonts w:asciiTheme="majorHAnsi" w:hAnsiTheme="majorHAnsi"/>
      </w:rPr>
      <w:fldChar w:fldCharType="separate"/>
    </w:r>
    <w:r w:rsidR="006113BC">
      <w:rPr>
        <w:rStyle w:val="Numeropagina"/>
        <w:rFonts w:asciiTheme="majorHAnsi" w:hAnsiTheme="majorHAnsi"/>
        <w:noProof/>
      </w:rPr>
      <w:t>8</w:t>
    </w:r>
    <w:r w:rsidR="00BE6B86" w:rsidRPr="003D1BA8">
      <w:rPr>
        <w:rStyle w:val="Numeropagina"/>
        <w:rFonts w:asciiTheme="majorHAnsi" w:hAnsiTheme="majorHAnsi"/>
      </w:rPr>
      <w:fldChar w:fldCharType="end"/>
    </w:r>
    <w:r w:rsidRPr="003D1BA8">
      <w:rPr>
        <w:rStyle w:val="Numeropagina"/>
        <w:rFonts w:asciiTheme="majorHAnsi" w:hAnsiTheme="majorHAnsi"/>
      </w:rPr>
      <w:t xml:space="preserve"> </w:t>
    </w:r>
    <w:r>
      <w:rPr>
        <w:rStyle w:val="Numeropagina"/>
        <w:rFonts w:asciiTheme="majorHAnsi" w:hAnsiTheme="majorHAnsi"/>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8" w:rsidRPr="00A92198" w:rsidRDefault="00145E08">
    <w:pPr>
      <w:pStyle w:val="Pidipagina"/>
      <w:tabs>
        <w:tab w:val="clear" w:pos="9638"/>
        <w:tab w:val="right" w:pos="7938"/>
      </w:tabs>
      <w:rPr>
        <w:rFonts w:ascii="Palatino Linotype" w:hAnsi="Palatino Linotype" w:cs="Tahoma"/>
        <w:color w:val="333399"/>
        <w:sz w:val="16"/>
        <w:szCs w:val="16"/>
      </w:rPr>
    </w:pPr>
  </w:p>
  <w:p w:rsidR="00145E08" w:rsidRPr="00A92198" w:rsidRDefault="00145E08">
    <w:pPr>
      <w:pStyle w:val="Pidipagina"/>
      <w:spacing w:line="360" w:lineRule="auto"/>
      <w:jc w:val="center"/>
      <w:rPr>
        <w:rFonts w:ascii="Palatino Linotype" w:hAnsi="Palatino Linotype" w:cs="Tahoma"/>
        <w:color w:val="333399"/>
        <w:sz w:val="18"/>
        <w:szCs w:val="18"/>
      </w:rPr>
    </w:pPr>
    <w:r w:rsidRPr="00A92198">
      <w:rPr>
        <w:rFonts w:ascii="Palatino Linotype" w:hAnsi="Palatino Linotype" w:cs="Tahoma"/>
        <w:b/>
        <w:color w:val="333399"/>
        <w:sz w:val="18"/>
        <w:szCs w:val="18"/>
      </w:rPr>
      <w:t>CATTANEO ZANETTO &amp; CO.</w:t>
    </w:r>
  </w:p>
  <w:p w:rsidR="00145E08" w:rsidRPr="00A92198" w:rsidRDefault="00145E08">
    <w:pPr>
      <w:pStyle w:val="Pidipagina"/>
      <w:spacing w:line="360" w:lineRule="auto"/>
      <w:jc w:val="center"/>
      <w:rPr>
        <w:rFonts w:ascii="Palatino Linotype" w:hAnsi="Palatino Linotype" w:cs="Tahoma"/>
        <w:sz w:val="12"/>
        <w:szCs w:val="12"/>
      </w:rPr>
    </w:pPr>
    <w:r>
      <w:rPr>
        <w:rFonts w:ascii="Palatino Linotype" w:hAnsi="Palatino Linotype" w:cs="Tahoma"/>
        <w:sz w:val="16"/>
        <w:szCs w:val="16"/>
      </w:rPr>
      <w:t>V</w:t>
    </w:r>
    <w:r w:rsidRPr="00A92198">
      <w:rPr>
        <w:rFonts w:ascii="Palatino Linotype" w:hAnsi="Palatino Linotype" w:cs="Tahoma"/>
        <w:sz w:val="16"/>
        <w:szCs w:val="16"/>
      </w:rPr>
      <w:t xml:space="preserve">iale </w:t>
    </w:r>
    <w:r>
      <w:rPr>
        <w:rFonts w:ascii="Palatino Linotype" w:hAnsi="Palatino Linotype" w:cs="Tahoma"/>
        <w:sz w:val="16"/>
        <w:szCs w:val="16"/>
      </w:rPr>
      <w:t>M</w:t>
    </w:r>
    <w:r w:rsidRPr="00A92198">
      <w:rPr>
        <w:rFonts w:ascii="Palatino Linotype" w:hAnsi="Palatino Linotype" w:cs="Tahoma"/>
        <w:sz w:val="16"/>
        <w:szCs w:val="16"/>
      </w:rPr>
      <w:t xml:space="preserve">ajno, 19 </w:t>
    </w:r>
    <w:r w:rsidRPr="00A92198">
      <w:rPr>
        <w:rFonts w:ascii="Palatino Linotype" w:hAnsi="Palatino Linotype" w:cs="Tahoma"/>
        <w:sz w:val="12"/>
        <w:szCs w:val="12"/>
      </w:rPr>
      <w:t>●</w:t>
    </w:r>
    <w:r w:rsidRPr="00A92198">
      <w:rPr>
        <w:rFonts w:ascii="Palatino Linotype" w:hAnsi="Palatino Linotype" w:cs="Tahoma"/>
        <w:sz w:val="16"/>
        <w:szCs w:val="16"/>
      </w:rPr>
      <w:t xml:space="preserve"> 20122 </w:t>
    </w:r>
    <w:r>
      <w:rPr>
        <w:rFonts w:ascii="Palatino Linotype" w:hAnsi="Palatino Linotype" w:cs="Tahoma"/>
        <w:sz w:val="16"/>
        <w:szCs w:val="16"/>
      </w:rPr>
      <w:t>M</w:t>
    </w:r>
    <w:r w:rsidRPr="00A92198">
      <w:rPr>
        <w:rFonts w:ascii="Palatino Linotype" w:hAnsi="Palatino Linotype" w:cs="Tahoma"/>
        <w:sz w:val="16"/>
        <w:szCs w:val="16"/>
      </w:rPr>
      <w:t xml:space="preserve">ilano </w:t>
    </w:r>
    <w:r w:rsidRPr="00A92198">
      <w:rPr>
        <w:rFonts w:ascii="Palatino Linotype" w:hAnsi="Palatino Linotype" w:cs="Tahoma"/>
        <w:sz w:val="12"/>
        <w:szCs w:val="12"/>
      </w:rPr>
      <w:t xml:space="preserve">● </w:t>
    </w:r>
    <w:r>
      <w:rPr>
        <w:rFonts w:ascii="Palatino Linotype" w:hAnsi="Palatino Linotype" w:cs="Tahoma"/>
        <w:sz w:val="16"/>
        <w:szCs w:val="16"/>
      </w:rPr>
      <w:t>T</w:t>
    </w:r>
    <w:r w:rsidRPr="00A92198">
      <w:rPr>
        <w:rFonts w:ascii="Palatino Linotype" w:hAnsi="Palatino Linotype" w:cs="Tahoma"/>
        <w:sz w:val="16"/>
        <w:szCs w:val="16"/>
      </w:rPr>
      <w:t xml:space="preserve">el. 02 76015473 </w:t>
    </w:r>
    <w:r w:rsidRPr="00A92198">
      <w:rPr>
        <w:rFonts w:ascii="Palatino Linotype" w:hAnsi="Palatino Linotype" w:cs="Tahoma"/>
        <w:sz w:val="12"/>
        <w:szCs w:val="12"/>
      </w:rPr>
      <w:t xml:space="preserve">● </w:t>
    </w:r>
    <w:r>
      <w:rPr>
        <w:rFonts w:ascii="Palatino Linotype" w:hAnsi="Palatino Linotype" w:cs="Tahoma"/>
        <w:sz w:val="16"/>
        <w:szCs w:val="16"/>
      </w:rPr>
      <w:t>F</w:t>
    </w:r>
    <w:r w:rsidRPr="00A92198">
      <w:rPr>
        <w:rFonts w:ascii="Palatino Linotype" w:hAnsi="Palatino Linotype" w:cs="Tahoma"/>
        <w:sz w:val="16"/>
        <w:szCs w:val="16"/>
      </w:rPr>
      <w:t xml:space="preserve">ax 02 76390171 </w:t>
    </w:r>
    <w:r w:rsidRPr="00A92198">
      <w:rPr>
        <w:rFonts w:ascii="Palatino Linotype" w:hAnsi="Palatino Linotype" w:cs="Tahoma"/>
        <w:sz w:val="12"/>
        <w:szCs w:val="12"/>
      </w:rPr>
      <w:t xml:space="preserve">● </w:t>
    </w:r>
    <w:r w:rsidRPr="00A92198">
      <w:rPr>
        <w:rFonts w:ascii="Palatino Linotype" w:hAnsi="Palatino Linotype" w:cs="Tahoma"/>
        <w:sz w:val="16"/>
        <w:szCs w:val="16"/>
      </w:rPr>
      <w:t>info@cattaneozanetto.it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78" w:rsidRDefault="00D56578">
      <w:r>
        <w:separator/>
      </w:r>
    </w:p>
  </w:footnote>
  <w:footnote w:type="continuationSeparator" w:id="0">
    <w:p w:rsidR="00D56578" w:rsidRDefault="00D56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8" w:rsidRDefault="00145E08" w:rsidP="00D62673">
    <w:pPr>
      <w:pStyle w:val="Intestazione"/>
      <w:rPr>
        <w:color w:val="808080"/>
        <w:szCs w:val="14"/>
      </w:rPr>
    </w:pPr>
    <w:r>
      <w:rPr>
        <w:noProof/>
      </w:rPr>
      <w:drawing>
        <wp:inline distT="0" distB="0" distL="0" distR="0">
          <wp:extent cx="1866900" cy="564586"/>
          <wp:effectExtent l="0" t="0" r="0" b="6985"/>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1955" cy="569139"/>
                  </a:xfrm>
                  <a:prstGeom prst="rect">
                    <a:avLst/>
                  </a:prstGeom>
                </pic:spPr>
              </pic:pic>
            </a:graphicData>
          </a:graphic>
        </wp:inline>
      </w:drawing>
    </w:r>
    <w:r w:rsidRPr="00D31C4B">
      <w:rPr>
        <w:color w:val="808080"/>
        <w:szCs w:val="14"/>
      </w:rPr>
      <w:ptab w:relativeTo="margin" w:alignment="center" w:leader="none"/>
    </w:r>
    <w:r w:rsidRPr="00D31C4B">
      <w:rPr>
        <w:color w:val="808080"/>
        <w:szCs w:val="14"/>
      </w:rPr>
      <w:ptab w:relativeTo="margin" w:alignment="right" w:leader="none"/>
    </w:r>
  </w:p>
  <w:p w:rsidR="00145E08" w:rsidRDefault="00145E08" w:rsidP="00D62673">
    <w:pPr>
      <w:pStyle w:val="Intestazione"/>
      <w:rPr>
        <w:color w:val="808080"/>
        <w:szCs w:val="14"/>
      </w:rPr>
    </w:pPr>
  </w:p>
  <w:p w:rsidR="00145E08" w:rsidRDefault="00145E08" w:rsidP="00D62673">
    <w:pPr>
      <w:pStyle w:val="Intestazione"/>
      <w:rPr>
        <w:color w:val="808080"/>
        <w:szCs w:val="14"/>
      </w:rPr>
    </w:pPr>
  </w:p>
  <w:p w:rsidR="00145E08" w:rsidRPr="00D62673" w:rsidRDefault="00145E08" w:rsidP="00D62673">
    <w:pPr>
      <w:pStyle w:val="Intestazione"/>
      <w:rPr>
        <w:color w:val="808080"/>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794"/>
      <w:gridCol w:w="4926"/>
    </w:tblGrid>
    <w:tr w:rsidR="00145E08" w:rsidRPr="00782BE9" w:rsidTr="00782BE9">
      <w:tc>
        <w:tcPr>
          <w:tcW w:w="3794" w:type="dxa"/>
        </w:tcPr>
        <w:p w:rsidR="00145E08" w:rsidRPr="00782BE9" w:rsidRDefault="00145E08" w:rsidP="00782BE9">
          <w:pPr>
            <w:pStyle w:val="Intestazione"/>
            <w:spacing w:after="60"/>
            <w:jc w:val="center"/>
            <w:rPr>
              <w:rFonts w:ascii="Palatino Linotype" w:hAnsi="Palatino Linotype"/>
              <w:b/>
              <w:bCs/>
              <w:sz w:val="24"/>
              <w:szCs w:val="24"/>
            </w:rPr>
          </w:pPr>
        </w:p>
        <w:p w:rsidR="00145E08" w:rsidRPr="00782BE9" w:rsidRDefault="00145E08" w:rsidP="00782BE9">
          <w:pPr>
            <w:pStyle w:val="Intestazione"/>
            <w:spacing w:after="60"/>
            <w:jc w:val="center"/>
            <w:rPr>
              <w:rFonts w:ascii="Palatino Linotype" w:hAnsi="Palatino Linotype"/>
              <w:b/>
              <w:bCs/>
              <w:color w:val="333399"/>
              <w:sz w:val="24"/>
              <w:szCs w:val="24"/>
            </w:rPr>
          </w:pPr>
          <w:r w:rsidRPr="00782BE9">
            <w:rPr>
              <w:rFonts w:ascii="Palatino Linotype" w:hAnsi="Palatino Linotype"/>
              <w:b/>
              <w:bCs/>
              <w:color w:val="333399"/>
              <w:sz w:val="24"/>
              <w:szCs w:val="24"/>
            </w:rPr>
            <w:t>CATTANEO ZANETTO &amp; CO.</w:t>
          </w:r>
        </w:p>
        <w:p w:rsidR="00145E08" w:rsidRPr="00782BE9" w:rsidRDefault="00145E08" w:rsidP="00782BE9">
          <w:pPr>
            <w:pStyle w:val="Intestazione"/>
            <w:spacing w:after="60"/>
            <w:jc w:val="center"/>
            <w:rPr>
              <w:rFonts w:ascii="Palatino Linotype" w:hAnsi="Palatino Linotype"/>
              <w:b/>
              <w:bCs/>
              <w:sz w:val="24"/>
              <w:szCs w:val="24"/>
              <w:lang w:val="en-US"/>
            </w:rPr>
          </w:pPr>
          <w:r w:rsidRPr="00782BE9">
            <w:rPr>
              <w:rFonts w:ascii="Palatino Linotype" w:hAnsi="Palatino Linotype"/>
              <w:sz w:val="12"/>
              <w:szCs w:val="12"/>
              <w:lang w:val="en-US"/>
            </w:rPr>
            <w:t xml:space="preserve">LEGISLATIVE STRATEGY </w:t>
          </w:r>
          <w:r w:rsidRPr="00782BE9">
            <w:rPr>
              <w:rFonts w:ascii="Palatino Linotype" w:hAnsi="Palatino Linotype"/>
              <w:b/>
              <w:bCs/>
              <w:sz w:val="12"/>
              <w:szCs w:val="12"/>
              <w:lang w:val="en-US"/>
            </w:rPr>
            <w:t>·</w:t>
          </w:r>
          <w:r w:rsidRPr="00782BE9">
            <w:rPr>
              <w:rFonts w:ascii="Palatino Linotype" w:hAnsi="Palatino Linotype"/>
              <w:sz w:val="12"/>
              <w:szCs w:val="12"/>
              <w:lang w:val="en-US"/>
            </w:rPr>
            <w:t xml:space="preserve"> LOBBYING </w:t>
          </w:r>
          <w:r w:rsidRPr="00782BE9">
            <w:rPr>
              <w:rFonts w:ascii="Palatino Linotype" w:hAnsi="Palatino Linotype"/>
              <w:b/>
              <w:bCs/>
              <w:sz w:val="12"/>
              <w:szCs w:val="12"/>
              <w:lang w:val="en-US"/>
            </w:rPr>
            <w:t>·</w:t>
          </w:r>
          <w:r w:rsidRPr="00782BE9">
            <w:rPr>
              <w:rFonts w:ascii="Palatino Linotype" w:hAnsi="Palatino Linotype"/>
              <w:sz w:val="12"/>
              <w:szCs w:val="12"/>
              <w:lang w:val="en-US"/>
            </w:rPr>
            <w:t xml:space="preserve"> PUBLIC AFFAIRS</w:t>
          </w:r>
        </w:p>
      </w:tc>
      <w:tc>
        <w:tcPr>
          <w:tcW w:w="4926" w:type="dxa"/>
        </w:tcPr>
        <w:p w:rsidR="00145E08" w:rsidRPr="00782BE9" w:rsidRDefault="00145E08" w:rsidP="00782BE9">
          <w:pPr>
            <w:pStyle w:val="Intestazione"/>
            <w:spacing w:after="60"/>
            <w:jc w:val="center"/>
            <w:rPr>
              <w:rFonts w:ascii="Palatino Linotype" w:hAnsi="Palatino Linotype"/>
              <w:b/>
              <w:color w:val="999999"/>
              <w:sz w:val="12"/>
              <w:szCs w:val="12"/>
              <w:lang w:val="en-US"/>
            </w:rPr>
          </w:pPr>
        </w:p>
      </w:tc>
    </w:tr>
  </w:tbl>
  <w:p w:rsidR="00145E08" w:rsidRPr="00A92198" w:rsidRDefault="00145E08" w:rsidP="00A92198">
    <w:pPr>
      <w:pStyle w:val="Intestazione"/>
      <w:spacing w:after="60"/>
      <w:rPr>
        <w:rFonts w:ascii="Palatino Linotype" w:hAnsi="Palatino Linotype"/>
        <w:b/>
        <w:color w:val="999999"/>
        <w:sz w:val="14"/>
        <w:szCs w:val="1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98A"/>
    <w:multiLevelType w:val="hybridMultilevel"/>
    <w:tmpl w:val="221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B3E3A"/>
    <w:multiLevelType w:val="hybridMultilevel"/>
    <w:tmpl w:val="F6EE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171DB7"/>
    <w:multiLevelType w:val="hybridMultilevel"/>
    <w:tmpl w:val="428E9D06"/>
    <w:lvl w:ilvl="0" w:tplc="08090005">
      <w:start w:val="1"/>
      <w:numFmt w:val="bulle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nsid w:val="1C291280"/>
    <w:multiLevelType w:val="hybridMultilevel"/>
    <w:tmpl w:val="D4149B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0935228"/>
    <w:multiLevelType w:val="hybridMultilevel"/>
    <w:tmpl w:val="BA80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766B3"/>
    <w:multiLevelType w:val="hybridMultilevel"/>
    <w:tmpl w:val="50EC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A5A24"/>
    <w:multiLevelType w:val="hybridMultilevel"/>
    <w:tmpl w:val="E5FC9B32"/>
    <w:lvl w:ilvl="0" w:tplc="08090003">
      <w:start w:val="1"/>
      <w:numFmt w:val="bullet"/>
      <w:lvlText w:val="o"/>
      <w:lvlJc w:val="left"/>
      <w:pPr>
        <w:ind w:left="1776" w:hanging="360"/>
      </w:pPr>
      <w:rPr>
        <w:rFonts w:ascii="Courier New" w:hAnsi="Courier New" w:cs="Courier New"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7">
    <w:nsid w:val="3103799D"/>
    <w:multiLevelType w:val="hybridMultilevel"/>
    <w:tmpl w:val="92D806C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6121988"/>
    <w:multiLevelType w:val="hybridMultilevel"/>
    <w:tmpl w:val="3B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940268"/>
    <w:multiLevelType w:val="hybridMultilevel"/>
    <w:tmpl w:val="0952EA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0873FF"/>
    <w:multiLevelType w:val="hybridMultilevel"/>
    <w:tmpl w:val="9B8C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2739D"/>
    <w:multiLevelType w:val="hybridMultilevel"/>
    <w:tmpl w:val="420C148C"/>
    <w:lvl w:ilvl="0" w:tplc="08090003">
      <w:start w:val="1"/>
      <w:numFmt w:val="bullet"/>
      <w:lvlText w:val="o"/>
      <w:lvlJc w:val="left"/>
      <w:pPr>
        <w:ind w:left="1776" w:hanging="360"/>
      </w:pPr>
      <w:rPr>
        <w:rFonts w:ascii="Courier New" w:hAnsi="Courier New" w:cs="Courier New"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2">
    <w:nsid w:val="39646898"/>
    <w:multiLevelType w:val="hybridMultilevel"/>
    <w:tmpl w:val="C2D882F8"/>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nsid w:val="39FD59D1"/>
    <w:multiLevelType w:val="hybridMultilevel"/>
    <w:tmpl w:val="02E08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700301"/>
    <w:multiLevelType w:val="hybridMultilevel"/>
    <w:tmpl w:val="DC8A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783AB5"/>
    <w:multiLevelType w:val="hybridMultilevel"/>
    <w:tmpl w:val="019E5B9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3D3E63"/>
    <w:multiLevelType w:val="hybridMultilevel"/>
    <w:tmpl w:val="4B928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2521125"/>
    <w:multiLevelType w:val="hybridMultilevel"/>
    <w:tmpl w:val="FC06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8674CA"/>
    <w:multiLevelType w:val="hybridMultilevel"/>
    <w:tmpl w:val="F00ECD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CC4295"/>
    <w:multiLevelType w:val="hybridMultilevel"/>
    <w:tmpl w:val="0AD0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132567"/>
    <w:multiLevelType w:val="hybridMultilevel"/>
    <w:tmpl w:val="1AF4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E3C7A"/>
    <w:multiLevelType w:val="hybridMultilevel"/>
    <w:tmpl w:val="BFE0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BE381C"/>
    <w:multiLevelType w:val="hybridMultilevel"/>
    <w:tmpl w:val="7F4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1F67BA"/>
    <w:multiLevelType w:val="hybridMultilevel"/>
    <w:tmpl w:val="38A68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FC6A95"/>
    <w:multiLevelType w:val="hybridMultilevel"/>
    <w:tmpl w:val="5F56D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000B3F"/>
    <w:multiLevelType w:val="hybridMultilevel"/>
    <w:tmpl w:val="A7A62D3C"/>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284BF1"/>
    <w:multiLevelType w:val="hybridMultilevel"/>
    <w:tmpl w:val="1F5A3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D96B7C"/>
    <w:multiLevelType w:val="hybridMultilevel"/>
    <w:tmpl w:val="8132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7B4D4B"/>
    <w:multiLevelType w:val="hybridMultilevel"/>
    <w:tmpl w:val="FE06BA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3D65B23"/>
    <w:multiLevelType w:val="hybridMultilevel"/>
    <w:tmpl w:val="3604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AA5ACF"/>
    <w:multiLevelType w:val="hybridMultilevel"/>
    <w:tmpl w:val="F68C0D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nsid w:val="674C2B2D"/>
    <w:multiLevelType w:val="hybridMultilevel"/>
    <w:tmpl w:val="38324E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972AFE"/>
    <w:multiLevelType w:val="hybridMultilevel"/>
    <w:tmpl w:val="F8846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3D0CD6"/>
    <w:multiLevelType w:val="hybridMultilevel"/>
    <w:tmpl w:val="87C052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FF27070"/>
    <w:multiLevelType w:val="hybridMultilevel"/>
    <w:tmpl w:val="1F3EF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5A5BC3"/>
    <w:multiLevelType w:val="hybridMultilevel"/>
    <w:tmpl w:val="1FA6A9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C606F6"/>
    <w:multiLevelType w:val="hybridMultilevel"/>
    <w:tmpl w:val="71CAD24A"/>
    <w:lvl w:ilvl="0" w:tplc="08090005">
      <w:start w:val="1"/>
      <w:numFmt w:val="bullet"/>
      <w:lvlText w:val=""/>
      <w:lvlJc w:val="left"/>
      <w:pPr>
        <w:ind w:left="3192" w:hanging="360"/>
      </w:pPr>
      <w:rPr>
        <w:rFonts w:ascii="Wingdings" w:hAnsi="Wingdings" w:hint="default"/>
      </w:rPr>
    </w:lvl>
    <w:lvl w:ilvl="1" w:tplc="08090003" w:tentative="1">
      <w:start w:val="1"/>
      <w:numFmt w:val="bullet"/>
      <w:lvlText w:val="o"/>
      <w:lvlJc w:val="left"/>
      <w:pPr>
        <w:ind w:left="3912" w:hanging="360"/>
      </w:pPr>
      <w:rPr>
        <w:rFonts w:ascii="Courier New" w:hAnsi="Courier New" w:cs="Courier New" w:hint="default"/>
      </w:rPr>
    </w:lvl>
    <w:lvl w:ilvl="2" w:tplc="08090005" w:tentative="1">
      <w:start w:val="1"/>
      <w:numFmt w:val="bullet"/>
      <w:lvlText w:val=""/>
      <w:lvlJc w:val="left"/>
      <w:pPr>
        <w:ind w:left="4632" w:hanging="360"/>
      </w:pPr>
      <w:rPr>
        <w:rFonts w:ascii="Wingdings" w:hAnsi="Wingdings" w:hint="default"/>
      </w:rPr>
    </w:lvl>
    <w:lvl w:ilvl="3" w:tplc="08090001" w:tentative="1">
      <w:start w:val="1"/>
      <w:numFmt w:val="bullet"/>
      <w:lvlText w:val=""/>
      <w:lvlJc w:val="left"/>
      <w:pPr>
        <w:ind w:left="5352" w:hanging="360"/>
      </w:pPr>
      <w:rPr>
        <w:rFonts w:ascii="Symbol" w:hAnsi="Symbol" w:hint="default"/>
      </w:rPr>
    </w:lvl>
    <w:lvl w:ilvl="4" w:tplc="08090003" w:tentative="1">
      <w:start w:val="1"/>
      <w:numFmt w:val="bullet"/>
      <w:lvlText w:val="o"/>
      <w:lvlJc w:val="left"/>
      <w:pPr>
        <w:ind w:left="6072" w:hanging="360"/>
      </w:pPr>
      <w:rPr>
        <w:rFonts w:ascii="Courier New" w:hAnsi="Courier New" w:cs="Courier New" w:hint="default"/>
      </w:rPr>
    </w:lvl>
    <w:lvl w:ilvl="5" w:tplc="08090005" w:tentative="1">
      <w:start w:val="1"/>
      <w:numFmt w:val="bullet"/>
      <w:lvlText w:val=""/>
      <w:lvlJc w:val="left"/>
      <w:pPr>
        <w:ind w:left="6792" w:hanging="360"/>
      </w:pPr>
      <w:rPr>
        <w:rFonts w:ascii="Wingdings" w:hAnsi="Wingdings" w:hint="default"/>
      </w:rPr>
    </w:lvl>
    <w:lvl w:ilvl="6" w:tplc="08090001" w:tentative="1">
      <w:start w:val="1"/>
      <w:numFmt w:val="bullet"/>
      <w:lvlText w:val=""/>
      <w:lvlJc w:val="left"/>
      <w:pPr>
        <w:ind w:left="7512" w:hanging="360"/>
      </w:pPr>
      <w:rPr>
        <w:rFonts w:ascii="Symbol" w:hAnsi="Symbol" w:hint="default"/>
      </w:rPr>
    </w:lvl>
    <w:lvl w:ilvl="7" w:tplc="08090003" w:tentative="1">
      <w:start w:val="1"/>
      <w:numFmt w:val="bullet"/>
      <w:lvlText w:val="o"/>
      <w:lvlJc w:val="left"/>
      <w:pPr>
        <w:ind w:left="8232" w:hanging="360"/>
      </w:pPr>
      <w:rPr>
        <w:rFonts w:ascii="Courier New" w:hAnsi="Courier New" w:cs="Courier New" w:hint="default"/>
      </w:rPr>
    </w:lvl>
    <w:lvl w:ilvl="8" w:tplc="08090005" w:tentative="1">
      <w:start w:val="1"/>
      <w:numFmt w:val="bullet"/>
      <w:lvlText w:val=""/>
      <w:lvlJc w:val="left"/>
      <w:pPr>
        <w:ind w:left="8952" w:hanging="360"/>
      </w:pPr>
      <w:rPr>
        <w:rFonts w:ascii="Wingdings" w:hAnsi="Wingdings" w:hint="default"/>
      </w:rPr>
    </w:lvl>
  </w:abstractNum>
  <w:abstractNum w:abstractNumId="37">
    <w:nsid w:val="7DEA3F24"/>
    <w:multiLevelType w:val="hybridMultilevel"/>
    <w:tmpl w:val="F260072A"/>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E7E0A96"/>
    <w:multiLevelType w:val="hybridMultilevel"/>
    <w:tmpl w:val="9C305D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14"/>
  </w:num>
  <w:num w:numId="4">
    <w:abstractNumId w:val="4"/>
  </w:num>
  <w:num w:numId="5">
    <w:abstractNumId w:val="3"/>
  </w:num>
  <w:num w:numId="6">
    <w:abstractNumId w:val="28"/>
  </w:num>
  <w:num w:numId="7">
    <w:abstractNumId w:val="2"/>
  </w:num>
  <w:num w:numId="8">
    <w:abstractNumId w:val="37"/>
  </w:num>
  <w:num w:numId="9">
    <w:abstractNumId w:val="25"/>
  </w:num>
  <w:num w:numId="10">
    <w:abstractNumId w:val="7"/>
  </w:num>
  <w:num w:numId="11">
    <w:abstractNumId w:val="6"/>
  </w:num>
  <w:num w:numId="12">
    <w:abstractNumId w:val="26"/>
  </w:num>
  <w:num w:numId="13">
    <w:abstractNumId w:val="12"/>
  </w:num>
  <w:num w:numId="14">
    <w:abstractNumId w:val="36"/>
  </w:num>
  <w:num w:numId="15">
    <w:abstractNumId w:val="15"/>
  </w:num>
  <w:num w:numId="16">
    <w:abstractNumId w:val="27"/>
  </w:num>
  <w:num w:numId="17">
    <w:abstractNumId w:val="10"/>
  </w:num>
  <w:num w:numId="18">
    <w:abstractNumId w:val="34"/>
  </w:num>
  <w:num w:numId="19">
    <w:abstractNumId w:val="11"/>
  </w:num>
  <w:num w:numId="20">
    <w:abstractNumId w:val="16"/>
  </w:num>
  <w:num w:numId="21">
    <w:abstractNumId w:val="32"/>
  </w:num>
  <w:num w:numId="22">
    <w:abstractNumId w:val="24"/>
  </w:num>
  <w:num w:numId="23">
    <w:abstractNumId w:val="23"/>
  </w:num>
  <w:num w:numId="24">
    <w:abstractNumId w:val="35"/>
  </w:num>
  <w:num w:numId="25">
    <w:abstractNumId w:val="13"/>
  </w:num>
  <w:num w:numId="26">
    <w:abstractNumId w:val="17"/>
  </w:num>
  <w:num w:numId="27">
    <w:abstractNumId w:val="18"/>
  </w:num>
  <w:num w:numId="28">
    <w:abstractNumId w:val="38"/>
  </w:num>
  <w:num w:numId="29">
    <w:abstractNumId w:val="22"/>
  </w:num>
  <w:num w:numId="30">
    <w:abstractNumId w:val="0"/>
  </w:num>
  <w:num w:numId="31">
    <w:abstractNumId w:val="20"/>
  </w:num>
  <w:num w:numId="32">
    <w:abstractNumId w:val="5"/>
  </w:num>
  <w:num w:numId="33">
    <w:abstractNumId w:val="29"/>
  </w:num>
  <w:num w:numId="34">
    <w:abstractNumId w:val="8"/>
  </w:num>
  <w:num w:numId="35">
    <w:abstractNumId w:val="19"/>
  </w:num>
  <w:num w:numId="36">
    <w:abstractNumId w:val="1"/>
  </w:num>
  <w:num w:numId="37">
    <w:abstractNumId w:val="9"/>
  </w:num>
  <w:num w:numId="38">
    <w:abstractNumId w:val="33"/>
  </w:num>
  <w:num w:numId="39">
    <w:abstractNumId w:val="3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STANFIELD">
    <w15:presenceInfo w15:providerId="Windows Live" w15:userId="164aae2a95c7f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1"/>
  <w:activeWritingStyle w:appName="MSWord" w:lang="fr-BE" w:vendorID="64" w:dllVersion="0"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trackRevision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32959"/>
    <w:rsid w:val="000019B8"/>
    <w:rsid w:val="0000284B"/>
    <w:rsid w:val="00002CA9"/>
    <w:rsid w:val="000055FA"/>
    <w:rsid w:val="00013839"/>
    <w:rsid w:val="00013860"/>
    <w:rsid w:val="000224C9"/>
    <w:rsid w:val="00024CA6"/>
    <w:rsid w:val="00026F5C"/>
    <w:rsid w:val="00027460"/>
    <w:rsid w:val="0002753D"/>
    <w:rsid w:val="00036CA0"/>
    <w:rsid w:val="00040CA7"/>
    <w:rsid w:val="00041B24"/>
    <w:rsid w:val="00043A6F"/>
    <w:rsid w:val="00044B6F"/>
    <w:rsid w:val="00046759"/>
    <w:rsid w:val="00050875"/>
    <w:rsid w:val="00051775"/>
    <w:rsid w:val="00055BEC"/>
    <w:rsid w:val="000562DB"/>
    <w:rsid w:val="00057C02"/>
    <w:rsid w:val="000602A7"/>
    <w:rsid w:val="00060D17"/>
    <w:rsid w:val="0006222B"/>
    <w:rsid w:val="00064491"/>
    <w:rsid w:val="00065A89"/>
    <w:rsid w:val="00066068"/>
    <w:rsid w:val="00067229"/>
    <w:rsid w:val="000741FE"/>
    <w:rsid w:val="00080748"/>
    <w:rsid w:val="00080798"/>
    <w:rsid w:val="000817E4"/>
    <w:rsid w:val="0008289C"/>
    <w:rsid w:val="00083035"/>
    <w:rsid w:val="00085884"/>
    <w:rsid w:val="00090618"/>
    <w:rsid w:val="00093915"/>
    <w:rsid w:val="0009418F"/>
    <w:rsid w:val="00094FE5"/>
    <w:rsid w:val="00096031"/>
    <w:rsid w:val="000A5B6E"/>
    <w:rsid w:val="000A65A4"/>
    <w:rsid w:val="000A75D5"/>
    <w:rsid w:val="000B5CF9"/>
    <w:rsid w:val="000B6349"/>
    <w:rsid w:val="000C07E7"/>
    <w:rsid w:val="000C19F7"/>
    <w:rsid w:val="000C3189"/>
    <w:rsid w:val="000C6324"/>
    <w:rsid w:val="000D0D20"/>
    <w:rsid w:val="000D0F17"/>
    <w:rsid w:val="000D32D4"/>
    <w:rsid w:val="000D3770"/>
    <w:rsid w:val="000D4099"/>
    <w:rsid w:val="000D4BD8"/>
    <w:rsid w:val="000E1585"/>
    <w:rsid w:val="000E1778"/>
    <w:rsid w:val="000E36EE"/>
    <w:rsid w:val="000E7ABB"/>
    <w:rsid w:val="000F120A"/>
    <w:rsid w:val="000F27D2"/>
    <w:rsid w:val="000F2A7E"/>
    <w:rsid w:val="000F350C"/>
    <w:rsid w:val="000F5573"/>
    <w:rsid w:val="000F585E"/>
    <w:rsid w:val="000F77A2"/>
    <w:rsid w:val="00101D0B"/>
    <w:rsid w:val="001117B4"/>
    <w:rsid w:val="00116053"/>
    <w:rsid w:val="001226B5"/>
    <w:rsid w:val="00125612"/>
    <w:rsid w:val="00133484"/>
    <w:rsid w:val="00136146"/>
    <w:rsid w:val="001446BE"/>
    <w:rsid w:val="00145E08"/>
    <w:rsid w:val="001474F6"/>
    <w:rsid w:val="00147F84"/>
    <w:rsid w:val="00152F1B"/>
    <w:rsid w:val="00155156"/>
    <w:rsid w:val="001559FB"/>
    <w:rsid w:val="001566C0"/>
    <w:rsid w:val="0016613D"/>
    <w:rsid w:val="00170F59"/>
    <w:rsid w:val="00171EBC"/>
    <w:rsid w:val="00174F1C"/>
    <w:rsid w:val="00176739"/>
    <w:rsid w:val="00183E87"/>
    <w:rsid w:val="001910A0"/>
    <w:rsid w:val="00192738"/>
    <w:rsid w:val="00195D73"/>
    <w:rsid w:val="00196ADB"/>
    <w:rsid w:val="001A51EB"/>
    <w:rsid w:val="001A600E"/>
    <w:rsid w:val="001A6B4E"/>
    <w:rsid w:val="001A6D90"/>
    <w:rsid w:val="001C6CA2"/>
    <w:rsid w:val="001C7069"/>
    <w:rsid w:val="001C7093"/>
    <w:rsid w:val="001D5255"/>
    <w:rsid w:val="001D6425"/>
    <w:rsid w:val="001E0426"/>
    <w:rsid w:val="001E2BA2"/>
    <w:rsid w:val="001E2E2C"/>
    <w:rsid w:val="001E78D6"/>
    <w:rsid w:val="001F5BEB"/>
    <w:rsid w:val="002018CC"/>
    <w:rsid w:val="00202964"/>
    <w:rsid w:val="00203008"/>
    <w:rsid w:val="0021166F"/>
    <w:rsid w:val="002121D5"/>
    <w:rsid w:val="00212A23"/>
    <w:rsid w:val="00213A2C"/>
    <w:rsid w:val="00217020"/>
    <w:rsid w:val="002318E8"/>
    <w:rsid w:val="002336FC"/>
    <w:rsid w:val="00234633"/>
    <w:rsid w:val="00235DFF"/>
    <w:rsid w:val="00236BB4"/>
    <w:rsid w:val="00241EFE"/>
    <w:rsid w:val="00246207"/>
    <w:rsid w:val="00246279"/>
    <w:rsid w:val="00247398"/>
    <w:rsid w:val="002473EA"/>
    <w:rsid w:val="00251C0E"/>
    <w:rsid w:val="00252385"/>
    <w:rsid w:val="002623D3"/>
    <w:rsid w:val="00262896"/>
    <w:rsid w:val="00262977"/>
    <w:rsid w:val="00266CC1"/>
    <w:rsid w:val="00272CA5"/>
    <w:rsid w:val="0027341A"/>
    <w:rsid w:val="00276EDB"/>
    <w:rsid w:val="002804D3"/>
    <w:rsid w:val="00284B70"/>
    <w:rsid w:val="00284FD6"/>
    <w:rsid w:val="00287762"/>
    <w:rsid w:val="002906A5"/>
    <w:rsid w:val="00290C38"/>
    <w:rsid w:val="00291078"/>
    <w:rsid w:val="00294634"/>
    <w:rsid w:val="00294947"/>
    <w:rsid w:val="002A1A40"/>
    <w:rsid w:val="002A3278"/>
    <w:rsid w:val="002A42C8"/>
    <w:rsid w:val="002A5178"/>
    <w:rsid w:val="002A598A"/>
    <w:rsid w:val="002A7BB7"/>
    <w:rsid w:val="002B0C80"/>
    <w:rsid w:val="002B322E"/>
    <w:rsid w:val="002B3323"/>
    <w:rsid w:val="002B3561"/>
    <w:rsid w:val="002B5D00"/>
    <w:rsid w:val="002B5E5D"/>
    <w:rsid w:val="002B5EB3"/>
    <w:rsid w:val="002B6AFB"/>
    <w:rsid w:val="002C4F25"/>
    <w:rsid w:val="002C751F"/>
    <w:rsid w:val="002D224C"/>
    <w:rsid w:val="002E419E"/>
    <w:rsid w:val="002E465E"/>
    <w:rsid w:val="002E7D91"/>
    <w:rsid w:val="002F0DF9"/>
    <w:rsid w:val="002F11CA"/>
    <w:rsid w:val="002F4184"/>
    <w:rsid w:val="002F6D6E"/>
    <w:rsid w:val="002F73E8"/>
    <w:rsid w:val="002F7DDD"/>
    <w:rsid w:val="00300701"/>
    <w:rsid w:val="003015C6"/>
    <w:rsid w:val="00311186"/>
    <w:rsid w:val="0031243D"/>
    <w:rsid w:val="00315421"/>
    <w:rsid w:val="00316A01"/>
    <w:rsid w:val="00320260"/>
    <w:rsid w:val="00322299"/>
    <w:rsid w:val="00322E0A"/>
    <w:rsid w:val="00323F36"/>
    <w:rsid w:val="00325D94"/>
    <w:rsid w:val="0032734E"/>
    <w:rsid w:val="00330F80"/>
    <w:rsid w:val="0033280C"/>
    <w:rsid w:val="003350C5"/>
    <w:rsid w:val="00340540"/>
    <w:rsid w:val="0034403E"/>
    <w:rsid w:val="00344B18"/>
    <w:rsid w:val="00344D47"/>
    <w:rsid w:val="00347BFB"/>
    <w:rsid w:val="00350D9E"/>
    <w:rsid w:val="00351CC5"/>
    <w:rsid w:val="00353A30"/>
    <w:rsid w:val="00360D24"/>
    <w:rsid w:val="00364BF5"/>
    <w:rsid w:val="003670E2"/>
    <w:rsid w:val="0036736F"/>
    <w:rsid w:val="003728A0"/>
    <w:rsid w:val="00393C38"/>
    <w:rsid w:val="003A049F"/>
    <w:rsid w:val="003A1F47"/>
    <w:rsid w:val="003A727F"/>
    <w:rsid w:val="003B1389"/>
    <w:rsid w:val="003B5A13"/>
    <w:rsid w:val="003C392E"/>
    <w:rsid w:val="003C3F1B"/>
    <w:rsid w:val="003C619C"/>
    <w:rsid w:val="003D1AB1"/>
    <w:rsid w:val="003D1BA8"/>
    <w:rsid w:val="003D2A8E"/>
    <w:rsid w:val="003D397E"/>
    <w:rsid w:val="003E1B36"/>
    <w:rsid w:val="003E2298"/>
    <w:rsid w:val="003E328D"/>
    <w:rsid w:val="003F195C"/>
    <w:rsid w:val="003F3DE2"/>
    <w:rsid w:val="0040059D"/>
    <w:rsid w:val="00402970"/>
    <w:rsid w:val="00406119"/>
    <w:rsid w:val="0040633B"/>
    <w:rsid w:val="0040671C"/>
    <w:rsid w:val="00407EF7"/>
    <w:rsid w:val="004102FD"/>
    <w:rsid w:val="00412997"/>
    <w:rsid w:val="0041435C"/>
    <w:rsid w:val="00415C27"/>
    <w:rsid w:val="00416137"/>
    <w:rsid w:val="004165D3"/>
    <w:rsid w:val="004256EB"/>
    <w:rsid w:val="00425BD9"/>
    <w:rsid w:val="0043026E"/>
    <w:rsid w:val="00436A38"/>
    <w:rsid w:val="0044103A"/>
    <w:rsid w:val="00442AF8"/>
    <w:rsid w:val="00443F26"/>
    <w:rsid w:val="00446418"/>
    <w:rsid w:val="00446501"/>
    <w:rsid w:val="00451658"/>
    <w:rsid w:val="00452E8C"/>
    <w:rsid w:val="00456459"/>
    <w:rsid w:val="00460A43"/>
    <w:rsid w:val="00460E36"/>
    <w:rsid w:val="00461568"/>
    <w:rsid w:val="00465324"/>
    <w:rsid w:val="0046684E"/>
    <w:rsid w:val="00467F1F"/>
    <w:rsid w:val="00470272"/>
    <w:rsid w:val="00471A43"/>
    <w:rsid w:val="0047341F"/>
    <w:rsid w:val="00474388"/>
    <w:rsid w:val="004773E4"/>
    <w:rsid w:val="004849E2"/>
    <w:rsid w:val="00484E2F"/>
    <w:rsid w:val="00486385"/>
    <w:rsid w:val="0049045A"/>
    <w:rsid w:val="00493E83"/>
    <w:rsid w:val="00496F88"/>
    <w:rsid w:val="004A0C67"/>
    <w:rsid w:val="004A1054"/>
    <w:rsid w:val="004A3E16"/>
    <w:rsid w:val="004A3ED3"/>
    <w:rsid w:val="004A42DD"/>
    <w:rsid w:val="004A46B2"/>
    <w:rsid w:val="004A7633"/>
    <w:rsid w:val="004A790E"/>
    <w:rsid w:val="004A7E7C"/>
    <w:rsid w:val="004B0528"/>
    <w:rsid w:val="004B1DE3"/>
    <w:rsid w:val="004B6354"/>
    <w:rsid w:val="004C03FF"/>
    <w:rsid w:val="004C376F"/>
    <w:rsid w:val="004C3F6A"/>
    <w:rsid w:val="004C630A"/>
    <w:rsid w:val="004C69BE"/>
    <w:rsid w:val="004C7522"/>
    <w:rsid w:val="004D397C"/>
    <w:rsid w:val="004D6EF9"/>
    <w:rsid w:val="004F0AC8"/>
    <w:rsid w:val="004F44C2"/>
    <w:rsid w:val="004F4ECA"/>
    <w:rsid w:val="004F4EEF"/>
    <w:rsid w:val="004F65BE"/>
    <w:rsid w:val="00500233"/>
    <w:rsid w:val="00507ADC"/>
    <w:rsid w:val="0051024F"/>
    <w:rsid w:val="0051025D"/>
    <w:rsid w:val="00510716"/>
    <w:rsid w:val="00511A38"/>
    <w:rsid w:val="005139FB"/>
    <w:rsid w:val="00521E8B"/>
    <w:rsid w:val="00523E81"/>
    <w:rsid w:val="0052504E"/>
    <w:rsid w:val="00525F3A"/>
    <w:rsid w:val="00526214"/>
    <w:rsid w:val="00526DBB"/>
    <w:rsid w:val="00534956"/>
    <w:rsid w:val="0053548B"/>
    <w:rsid w:val="00537E43"/>
    <w:rsid w:val="00541ED8"/>
    <w:rsid w:val="005424D6"/>
    <w:rsid w:val="00543852"/>
    <w:rsid w:val="00544BE1"/>
    <w:rsid w:val="00545D18"/>
    <w:rsid w:val="00546B18"/>
    <w:rsid w:val="00547CD3"/>
    <w:rsid w:val="00550BB3"/>
    <w:rsid w:val="005556F3"/>
    <w:rsid w:val="00555A4F"/>
    <w:rsid w:val="005659AE"/>
    <w:rsid w:val="00567531"/>
    <w:rsid w:val="0057471B"/>
    <w:rsid w:val="00580F81"/>
    <w:rsid w:val="00581552"/>
    <w:rsid w:val="00582754"/>
    <w:rsid w:val="005863FF"/>
    <w:rsid w:val="00587562"/>
    <w:rsid w:val="00591D0D"/>
    <w:rsid w:val="0059567F"/>
    <w:rsid w:val="0059627D"/>
    <w:rsid w:val="0059670A"/>
    <w:rsid w:val="005A446D"/>
    <w:rsid w:val="005A66A3"/>
    <w:rsid w:val="005A76A3"/>
    <w:rsid w:val="005B3500"/>
    <w:rsid w:val="005B354C"/>
    <w:rsid w:val="005B3DFC"/>
    <w:rsid w:val="005C78AB"/>
    <w:rsid w:val="005D0222"/>
    <w:rsid w:val="005D0830"/>
    <w:rsid w:val="005D11A8"/>
    <w:rsid w:val="005D18BE"/>
    <w:rsid w:val="005D698A"/>
    <w:rsid w:val="005E363E"/>
    <w:rsid w:val="005E6DA7"/>
    <w:rsid w:val="005F19C1"/>
    <w:rsid w:val="005F21C1"/>
    <w:rsid w:val="005F221F"/>
    <w:rsid w:val="005F2A47"/>
    <w:rsid w:val="005F30BE"/>
    <w:rsid w:val="005F4815"/>
    <w:rsid w:val="005F6036"/>
    <w:rsid w:val="006113BC"/>
    <w:rsid w:val="00613913"/>
    <w:rsid w:val="006159DD"/>
    <w:rsid w:val="00616D6D"/>
    <w:rsid w:val="0062179B"/>
    <w:rsid w:val="00632712"/>
    <w:rsid w:val="00633B32"/>
    <w:rsid w:val="00635AF7"/>
    <w:rsid w:val="00636332"/>
    <w:rsid w:val="006369A6"/>
    <w:rsid w:val="00641095"/>
    <w:rsid w:val="00643FAC"/>
    <w:rsid w:val="00644652"/>
    <w:rsid w:val="00645825"/>
    <w:rsid w:val="00652755"/>
    <w:rsid w:val="006527E9"/>
    <w:rsid w:val="00657614"/>
    <w:rsid w:val="00660898"/>
    <w:rsid w:val="0066119B"/>
    <w:rsid w:val="0066306E"/>
    <w:rsid w:val="006670D8"/>
    <w:rsid w:val="0066788F"/>
    <w:rsid w:val="00681121"/>
    <w:rsid w:val="0068124D"/>
    <w:rsid w:val="00681EA7"/>
    <w:rsid w:val="00683962"/>
    <w:rsid w:val="00684EB0"/>
    <w:rsid w:val="00687092"/>
    <w:rsid w:val="00691857"/>
    <w:rsid w:val="006942B2"/>
    <w:rsid w:val="006A0AB5"/>
    <w:rsid w:val="006A1A63"/>
    <w:rsid w:val="006B005B"/>
    <w:rsid w:val="006B31FD"/>
    <w:rsid w:val="006B5C5D"/>
    <w:rsid w:val="006B7B11"/>
    <w:rsid w:val="006C0A6B"/>
    <w:rsid w:val="006C1074"/>
    <w:rsid w:val="006C31BB"/>
    <w:rsid w:val="006D0653"/>
    <w:rsid w:val="006D068B"/>
    <w:rsid w:val="006D508B"/>
    <w:rsid w:val="006E3D93"/>
    <w:rsid w:val="006E41E8"/>
    <w:rsid w:val="006E48CA"/>
    <w:rsid w:val="006F3C79"/>
    <w:rsid w:val="006F3DF6"/>
    <w:rsid w:val="006F5DE5"/>
    <w:rsid w:val="00701061"/>
    <w:rsid w:val="007024DF"/>
    <w:rsid w:val="007044CF"/>
    <w:rsid w:val="00707E70"/>
    <w:rsid w:val="0071284A"/>
    <w:rsid w:val="00713C96"/>
    <w:rsid w:val="00715268"/>
    <w:rsid w:val="00715F7D"/>
    <w:rsid w:val="00715F94"/>
    <w:rsid w:val="00715FCF"/>
    <w:rsid w:val="00721DE9"/>
    <w:rsid w:val="00722875"/>
    <w:rsid w:val="007256E3"/>
    <w:rsid w:val="00733235"/>
    <w:rsid w:val="00736930"/>
    <w:rsid w:val="00737238"/>
    <w:rsid w:val="00742E24"/>
    <w:rsid w:val="00745525"/>
    <w:rsid w:val="0075139D"/>
    <w:rsid w:val="00752EF2"/>
    <w:rsid w:val="00754108"/>
    <w:rsid w:val="007570EC"/>
    <w:rsid w:val="00760A01"/>
    <w:rsid w:val="00764E11"/>
    <w:rsid w:val="007659BB"/>
    <w:rsid w:val="00765EA9"/>
    <w:rsid w:val="0076612D"/>
    <w:rsid w:val="00771CF1"/>
    <w:rsid w:val="00772191"/>
    <w:rsid w:val="007800F7"/>
    <w:rsid w:val="00782594"/>
    <w:rsid w:val="00782BE9"/>
    <w:rsid w:val="00784168"/>
    <w:rsid w:val="00785994"/>
    <w:rsid w:val="007906C2"/>
    <w:rsid w:val="00790845"/>
    <w:rsid w:val="0079302E"/>
    <w:rsid w:val="00793CA3"/>
    <w:rsid w:val="00794D6F"/>
    <w:rsid w:val="00794DB4"/>
    <w:rsid w:val="007A48EC"/>
    <w:rsid w:val="007B2621"/>
    <w:rsid w:val="007B3210"/>
    <w:rsid w:val="007B5624"/>
    <w:rsid w:val="007B6E5C"/>
    <w:rsid w:val="007C2255"/>
    <w:rsid w:val="007C4387"/>
    <w:rsid w:val="007C72B8"/>
    <w:rsid w:val="007D478F"/>
    <w:rsid w:val="007D47B9"/>
    <w:rsid w:val="007D67FA"/>
    <w:rsid w:val="007D7142"/>
    <w:rsid w:val="007D77C5"/>
    <w:rsid w:val="007D7CDA"/>
    <w:rsid w:val="007E27BE"/>
    <w:rsid w:val="007E5DD3"/>
    <w:rsid w:val="007F74A7"/>
    <w:rsid w:val="0080415C"/>
    <w:rsid w:val="00805957"/>
    <w:rsid w:val="00812CF6"/>
    <w:rsid w:val="00815D38"/>
    <w:rsid w:val="008166A1"/>
    <w:rsid w:val="0082371C"/>
    <w:rsid w:val="00831A65"/>
    <w:rsid w:val="00836018"/>
    <w:rsid w:val="0083683C"/>
    <w:rsid w:val="008405F3"/>
    <w:rsid w:val="008417C8"/>
    <w:rsid w:val="008464A1"/>
    <w:rsid w:val="00850845"/>
    <w:rsid w:val="00850FFA"/>
    <w:rsid w:val="00852424"/>
    <w:rsid w:val="00853783"/>
    <w:rsid w:val="00853C1A"/>
    <w:rsid w:val="008544FC"/>
    <w:rsid w:val="0085526D"/>
    <w:rsid w:val="00860F45"/>
    <w:rsid w:val="00862203"/>
    <w:rsid w:val="00863454"/>
    <w:rsid w:val="0087286A"/>
    <w:rsid w:val="008831ED"/>
    <w:rsid w:val="00885758"/>
    <w:rsid w:val="0088766A"/>
    <w:rsid w:val="00887BA3"/>
    <w:rsid w:val="00895007"/>
    <w:rsid w:val="008A5A23"/>
    <w:rsid w:val="008B3F80"/>
    <w:rsid w:val="008B495B"/>
    <w:rsid w:val="008B7C02"/>
    <w:rsid w:val="008C004A"/>
    <w:rsid w:val="008C3960"/>
    <w:rsid w:val="008C3CF9"/>
    <w:rsid w:val="008C4DC5"/>
    <w:rsid w:val="008C5CB9"/>
    <w:rsid w:val="008C6262"/>
    <w:rsid w:val="008D30C3"/>
    <w:rsid w:val="008D32EA"/>
    <w:rsid w:val="008D76C7"/>
    <w:rsid w:val="008E3B58"/>
    <w:rsid w:val="008E655B"/>
    <w:rsid w:val="008F2CF2"/>
    <w:rsid w:val="008F3F98"/>
    <w:rsid w:val="00903162"/>
    <w:rsid w:val="0090388C"/>
    <w:rsid w:val="00903CF8"/>
    <w:rsid w:val="00903DF4"/>
    <w:rsid w:val="00906184"/>
    <w:rsid w:val="0091149A"/>
    <w:rsid w:val="00912C99"/>
    <w:rsid w:val="00915247"/>
    <w:rsid w:val="00915898"/>
    <w:rsid w:val="009174A2"/>
    <w:rsid w:val="00917CBB"/>
    <w:rsid w:val="009207E7"/>
    <w:rsid w:val="00920E79"/>
    <w:rsid w:val="00920E81"/>
    <w:rsid w:val="0092311F"/>
    <w:rsid w:val="00930733"/>
    <w:rsid w:val="009334F5"/>
    <w:rsid w:val="009335CB"/>
    <w:rsid w:val="00935C52"/>
    <w:rsid w:val="0093613B"/>
    <w:rsid w:val="00936CE7"/>
    <w:rsid w:val="0094406D"/>
    <w:rsid w:val="009468BA"/>
    <w:rsid w:val="0096154A"/>
    <w:rsid w:val="009625FB"/>
    <w:rsid w:val="00965700"/>
    <w:rsid w:val="009659AA"/>
    <w:rsid w:val="009660A0"/>
    <w:rsid w:val="0096709E"/>
    <w:rsid w:val="00967317"/>
    <w:rsid w:val="00967E78"/>
    <w:rsid w:val="009705E4"/>
    <w:rsid w:val="00971429"/>
    <w:rsid w:val="009738AB"/>
    <w:rsid w:val="00974780"/>
    <w:rsid w:val="00980208"/>
    <w:rsid w:val="009815BE"/>
    <w:rsid w:val="0098284E"/>
    <w:rsid w:val="00985690"/>
    <w:rsid w:val="00987D0C"/>
    <w:rsid w:val="00990BCE"/>
    <w:rsid w:val="00992E9B"/>
    <w:rsid w:val="00996826"/>
    <w:rsid w:val="009A1878"/>
    <w:rsid w:val="009A57A1"/>
    <w:rsid w:val="009B3FA7"/>
    <w:rsid w:val="009B4574"/>
    <w:rsid w:val="009B6FD7"/>
    <w:rsid w:val="009B7024"/>
    <w:rsid w:val="009B719F"/>
    <w:rsid w:val="009C29A0"/>
    <w:rsid w:val="009C56E5"/>
    <w:rsid w:val="009C6C56"/>
    <w:rsid w:val="009C781F"/>
    <w:rsid w:val="009D2C94"/>
    <w:rsid w:val="009D532B"/>
    <w:rsid w:val="009E0B65"/>
    <w:rsid w:val="009E3887"/>
    <w:rsid w:val="009E5910"/>
    <w:rsid w:val="009E6BE7"/>
    <w:rsid w:val="009E74C2"/>
    <w:rsid w:val="009F0806"/>
    <w:rsid w:val="009F0BDB"/>
    <w:rsid w:val="009F0D6B"/>
    <w:rsid w:val="009F2013"/>
    <w:rsid w:val="009F59D8"/>
    <w:rsid w:val="009F6F41"/>
    <w:rsid w:val="00A00BDA"/>
    <w:rsid w:val="00A0320D"/>
    <w:rsid w:val="00A03DED"/>
    <w:rsid w:val="00A07B4D"/>
    <w:rsid w:val="00A12519"/>
    <w:rsid w:val="00A13473"/>
    <w:rsid w:val="00A14649"/>
    <w:rsid w:val="00A245B3"/>
    <w:rsid w:val="00A25021"/>
    <w:rsid w:val="00A26CC3"/>
    <w:rsid w:val="00A274FE"/>
    <w:rsid w:val="00A27FCD"/>
    <w:rsid w:val="00A319B1"/>
    <w:rsid w:val="00A372A2"/>
    <w:rsid w:val="00A46BDC"/>
    <w:rsid w:val="00A47AB7"/>
    <w:rsid w:val="00A519EC"/>
    <w:rsid w:val="00A51C9C"/>
    <w:rsid w:val="00A549DD"/>
    <w:rsid w:val="00A6028D"/>
    <w:rsid w:val="00A609CA"/>
    <w:rsid w:val="00A708EB"/>
    <w:rsid w:val="00A718BB"/>
    <w:rsid w:val="00A731C4"/>
    <w:rsid w:val="00A7367B"/>
    <w:rsid w:val="00A7416C"/>
    <w:rsid w:val="00A75BD9"/>
    <w:rsid w:val="00A80DD7"/>
    <w:rsid w:val="00A82C83"/>
    <w:rsid w:val="00A84FFC"/>
    <w:rsid w:val="00A907B4"/>
    <w:rsid w:val="00A92198"/>
    <w:rsid w:val="00A924DC"/>
    <w:rsid w:val="00A9343F"/>
    <w:rsid w:val="00A941A6"/>
    <w:rsid w:val="00A94F12"/>
    <w:rsid w:val="00A97AA7"/>
    <w:rsid w:val="00AA103D"/>
    <w:rsid w:val="00AA3A92"/>
    <w:rsid w:val="00AA42C4"/>
    <w:rsid w:val="00AB1BD0"/>
    <w:rsid w:val="00AB1FFF"/>
    <w:rsid w:val="00AB23E6"/>
    <w:rsid w:val="00AB3095"/>
    <w:rsid w:val="00AB4878"/>
    <w:rsid w:val="00AB70DE"/>
    <w:rsid w:val="00AC2BDB"/>
    <w:rsid w:val="00AC4193"/>
    <w:rsid w:val="00AC43E3"/>
    <w:rsid w:val="00AC7DA2"/>
    <w:rsid w:val="00AD2E90"/>
    <w:rsid w:val="00AD493E"/>
    <w:rsid w:val="00AD68C5"/>
    <w:rsid w:val="00AD7F10"/>
    <w:rsid w:val="00AD7F69"/>
    <w:rsid w:val="00AE1D3F"/>
    <w:rsid w:val="00AE7A18"/>
    <w:rsid w:val="00AF6573"/>
    <w:rsid w:val="00B01913"/>
    <w:rsid w:val="00B1031C"/>
    <w:rsid w:val="00B1459D"/>
    <w:rsid w:val="00B15B73"/>
    <w:rsid w:val="00B2061D"/>
    <w:rsid w:val="00B206AE"/>
    <w:rsid w:val="00B23564"/>
    <w:rsid w:val="00B24B15"/>
    <w:rsid w:val="00B24B53"/>
    <w:rsid w:val="00B2521D"/>
    <w:rsid w:val="00B2584D"/>
    <w:rsid w:val="00B3258D"/>
    <w:rsid w:val="00B35A1C"/>
    <w:rsid w:val="00B45391"/>
    <w:rsid w:val="00B50514"/>
    <w:rsid w:val="00B507EF"/>
    <w:rsid w:val="00B5550B"/>
    <w:rsid w:val="00B5590F"/>
    <w:rsid w:val="00B61A04"/>
    <w:rsid w:val="00B62F10"/>
    <w:rsid w:val="00B7178C"/>
    <w:rsid w:val="00B83B69"/>
    <w:rsid w:val="00B90793"/>
    <w:rsid w:val="00B92CF7"/>
    <w:rsid w:val="00B949C0"/>
    <w:rsid w:val="00B9559A"/>
    <w:rsid w:val="00B97DA6"/>
    <w:rsid w:val="00BA07A8"/>
    <w:rsid w:val="00BA0CCE"/>
    <w:rsid w:val="00BA1D6F"/>
    <w:rsid w:val="00BA51C7"/>
    <w:rsid w:val="00BA58B5"/>
    <w:rsid w:val="00BB03F6"/>
    <w:rsid w:val="00BB4F43"/>
    <w:rsid w:val="00BB534A"/>
    <w:rsid w:val="00BB5B97"/>
    <w:rsid w:val="00BB7748"/>
    <w:rsid w:val="00BD2984"/>
    <w:rsid w:val="00BD5D40"/>
    <w:rsid w:val="00BE19AB"/>
    <w:rsid w:val="00BE1A2A"/>
    <w:rsid w:val="00BE32E5"/>
    <w:rsid w:val="00BE6B86"/>
    <w:rsid w:val="00BE6CE7"/>
    <w:rsid w:val="00BE72AB"/>
    <w:rsid w:val="00BE7A12"/>
    <w:rsid w:val="00BF1379"/>
    <w:rsid w:val="00BF4836"/>
    <w:rsid w:val="00C01BA4"/>
    <w:rsid w:val="00C031B5"/>
    <w:rsid w:val="00C03D78"/>
    <w:rsid w:val="00C06F07"/>
    <w:rsid w:val="00C12D65"/>
    <w:rsid w:val="00C130E7"/>
    <w:rsid w:val="00C14A49"/>
    <w:rsid w:val="00C161F8"/>
    <w:rsid w:val="00C166A9"/>
    <w:rsid w:val="00C16B9D"/>
    <w:rsid w:val="00C176D7"/>
    <w:rsid w:val="00C20215"/>
    <w:rsid w:val="00C256E6"/>
    <w:rsid w:val="00C32959"/>
    <w:rsid w:val="00C331B6"/>
    <w:rsid w:val="00C359AA"/>
    <w:rsid w:val="00C369EC"/>
    <w:rsid w:val="00C40320"/>
    <w:rsid w:val="00C41320"/>
    <w:rsid w:val="00C4190D"/>
    <w:rsid w:val="00C41D14"/>
    <w:rsid w:val="00C473AC"/>
    <w:rsid w:val="00C4749E"/>
    <w:rsid w:val="00C562B2"/>
    <w:rsid w:val="00C60757"/>
    <w:rsid w:val="00C6149B"/>
    <w:rsid w:val="00C6231A"/>
    <w:rsid w:val="00C6405A"/>
    <w:rsid w:val="00C6790B"/>
    <w:rsid w:val="00C72633"/>
    <w:rsid w:val="00C73336"/>
    <w:rsid w:val="00C7530E"/>
    <w:rsid w:val="00C800E3"/>
    <w:rsid w:val="00C802D0"/>
    <w:rsid w:val="00C87C91"/>
    <w:rsid w:val="00C90D09"/>
    <w:rsid w:val="00C955CF"/>
    <w:rsid w:val="00C976BF"/>
    <w:rsid w:val="00C97C45"/>
    <w:rsid w:val="00CA19F4"/>
    <w:rsid w:val="00CA2DF4"/>
    <w:rsid w:val="00CA4B63"/>
    <w:rsid w:val="00CA794F"/>
    <w:rsid w:val="00CB6824"/>
    <w:rsid w:val="00CC0D0F"/>
    <w:rsid w:val="00CC325C"/>
    <w:rsid w:val="00CC3569"/>
    <w:rsid w:val="00CC4AD3"/>
    <w:rsid w:val="00CC5DF5"/>
    <w:rsid w:val="00CC5ECB"/>
    <w:rsid w:val="00CC61C6"/>
    <w:rsid w:val="00CC77D0"/>
    <w:rsid w:val="00CD1843"/>
    <w:rsid w:val="00CD3682"/>
    <w:rsid w:val="00CD7FC2"/>
    <w:rsid w:val="00CE4133"/>
    <w:rsid w:val="00CE4775"/>
    <w:rsid w:val="00CF42DC"/>
    <w:rsid w:val="00D008F8"/>
    <w:rsid w:val="00D02B3C"/>
    <w:rsid w:val="00D02E67"/>
    <w:rsid w:val="00D031B4"/>
    <w:rsid w:val="00D05163"/>
    <w:rsid w:val="00D0615F"/>
    <w:rsid w:val="00D1103B"/>
    <w:rsid w:val="00D110F8"/>
    <w:rsid w:val="00D1198A"/>
    <w:rsid w:val="00D14DEA"/>
    <w:rsid w:val="00D1661E"/>
    <w:rsid w:val="00D20C36"/>
    <w:rsid w:val="00D22DF1"/>
    <w:rsid w:val="00D235E1"/>
    <w:rsid w:val="00D257D5"/>
    <w:rsid w:val="00D260AB"/>
    <w:rsid w:val="00D30367"/>
    <w:rsid w:val="00D318B6"/>
    <w:rsid w:val="00D31C4B"/>
    <w:rsid w:val="00D3235B"/>
    <w:rsid w:val="00D323E1"/>
    <w:rsid w:val="00D32FFB"/>
    <w:rsid w:val="00D3684E"/>
    <w:rsid w:val="00D40BB0"/>
    <w:rsid w:val="00D41A48"/>
    <w:rsid w:val="00D43B95"/>
    <w:rsid w:val="00D447F2"/>
    <w:rsid w:val="00D52A9D"/>
    <w:rsid w:val="00D5545E"/>
    <w:rsid w:val="00D559EE"/>
    <w:rsid w:val="00D56578"/>
    <w:rsid w:val="00D567AC"/>
    <w:rsid w:val="00D56A75"/>
    <w:rsid w:val="00D60798"/>
    <w:rsid w:val="00D62673"/>
    <w:rsid w:val="00D634C6"/>
    <w:rsid w:val="00D641FD"/>
    <w:rsid w:val="00D67774"/>
    <w:rsid w:val="00D71BE6"/>
    <w:rsid w:val="00D7488A"/>
    <w:rsid w:val="00D7577D"/>
    <w:rsid w:val="00D75F84"/>
    <w:rsid w:val="00D810F4"/>
    <w:rsid w:val="00D83584"/>
    <w:rsid w:val="00D83CB0"/>
    <w:rsid w:val="00D8514F"/>
    <w:rsid w:val="00D85FCC"/>
    <w:rsid w:val="00D91F53"/>
    <w:rsid w:val="00D9220F"/>
    <w:rsid w:val="00D92E64"/>
    <w:rsid w:val="00D97CC8"/>
    <w:rsid w:val="00DA51E4"/>
    <w:rsid w:val="00DB00FA"/>
    <w:rsid w:val="00DB2A5E"/>
    <w:rsid w:val="00DC0BB3"/>
    <w:rsid w:val="00DD27BA"/>
    <w:rsid w:val="00DD7A21"/>
    <w:rsid w:val="00DE1748"/>
    <w:rsid w:val="00DE17ED"/>
    <w:rsid w:val="00DE32C0"/>
    <w:rsid w:val="00DE36C1"/>
    <w:rsid w:val="00DF1B38"/>
    <w:rsid w:val="00DF26EE"/>
    <w:rsid w:val="00DF3C84"/>
    <w:rsid w:val="00DF73EC"/>
    <w:rsid w:val="00E02C4D"/>
    <w:rsid w:val="00E044B7"/>
    <w:rsid w:val="00E049EE"/>
    <w:rsid w:val="00E078B7"/>
    <w:rsid w:val="00E111E4"/>
    <w:rsid w:val="00E11553"/>
    <w:rsid w:val="00E131DC"/>
    <w:rsid w:val="00E14089"/>
    <w:rsid w:val="00E202D8"/>
    <w:rsid w:val="00E22378"/>
    <w:rsid w:val="00E24657"/>
    <w:rsid w:val="00E31B39"/>
    <w:rsid w:val="00E330EF"/>
    <w:rsid w:val="00E342D6"/>
    <w:rsid w:val="00E404AD"/>
    <w:rsid w:val="00E40E32"/>
    <w:rsid w:val="00E455A0"/>
    <w:rsid w:val="00E45B5E"/>
    <w:rsid w:val="00E5279D"/>
    <w:rsid w:val="00E604FB"/>
    <w:rsid w:val="00E60A32"/>
    <w:rsid w:val="00E66C74"/>
    <w:rsid w:val="00E675C3"/>
    <w:rsid w:val="00E739D6"/>
    <w:rsid w:val="00E745FF"/>
    <w:rsid w:val="00E74961"/>
    <w:rsid w:val="00E7582B"/>
    <w:rsid w:val="00E765B3"/>
    <w:rsid w:val="00E840B2"/>
    <w:rsid w:val="00E8496D"/>
    <w:rsid w:val="00E91FBE"/>
    <w:rsid w:val="00E93969"/>
    <w:rsid w:val="00E93BCE"/>
    <w:rsid w:val="00E96C90"/>
    <w:rsid w:val="00EA3D51"/>
    <w:rsid w:val="00EB07D1"/>
    <w:rsid w:val="00EB4E3F"/>
    <w:rsid w:val="00EB5875"/>
    <w:rsid w:val="00EB6F58"/>
    <w:rsid w:val="00EC31A9"/>
    <w:rsid w:val="00EC3559"/>
    <w:rsid w:val="00EC5C9C"/>
    <w:rsid w:val="00ED0306"/>
    <w:rsid w:val="00ED156F"/>
    <w:rsid w:val="00ED2C11"/>
    <w:rsid w:val="00ED564D"/>
    <w:rsid w:val="00ED6AF4"/>
    <w:rsid w:val="00EE214A"/>
    <w:rsid w:val="00EE3647"/>
    <w:rsid w:val="00EE7B1B"/>
    <w:rsid w:val="00EF3D11"/>
    <w:rsid w:val="00EF4F34"/>
    <w:rsid w:val="00EF642C"/>
    <w:rsid w:val="00EF7C89"/>
    <w:rsid w:val="00F01C9B"/>
    <w:rsid w:val="00F07DCF"/>
    <w:rsid w:val="00F16BF3"/>
    <w:rsid w:val="00F17218"/>
    <w:rsid w:val="00F17A72"/>
    <w:rsid w:val="00F21275"/>
    <w:rsid w:val="00F213E0"/>
    <w:rsid w:val="00F2285E"/>
    <w:rsid w:val="00F27557"/>
    <w:rsid w:val="00F33A90"/>
    <w:rsid w:val="00F3578F"/>
    <w:rsid w:val="00F36EE0"/>
    <w:rsid w:val="00F40028"/>
    <w:rsid w:val="00F413D9"/>
    <w:rsid w:val="00F4566F"/>
    <w:rsid w:val="00F50F19"/>
    <w:rsid w:val="00F556A5"/>
    <w:rsid w:val="00F56BC7"/>
    <w:rsid w:val="00F622D1"/>
    <w:rsid w:val="00F655DF"/>
    <w:rsid w:val="00F66B29"/>
    <w:rsid w:val="00F66FB5"/>
    <w:rsid w:val="00F675D2"/>
    <w:rsid w:val="00F7028F"/>
    <w:rsid w:val="00F741F7"/>
    <w:rsid w:val="00F75880"/>
    <w:rsid w:val="00F80D10"/>
    <w:rsid w:val="00F80E93"/>
    <w:rsid w:val="00F953EC"/>
    <w:rsid w:val="00F9656D"/>
    <w:rsid w:val="00FA159C"/>
    <w:rsid w:val="00FA1629"/>
    <w:rsid w:val="00FA1D53"/>
    <w:rsid w:val="00FA1E15"/>
    <w:rsid w:val="00FA535D"/>
    <w:rsid w:val="00FA56B0"/>
    <w:rsid w:val="00FB6738"/>
    <w:rsid w:val="00FC188B"/>
    <w:rsid w:val="00FC5B7E"/>
    <w:rsid w:val="00FC7705"/>
    <w:rsid w:val="00FD2EB5"/>
    <w:rsid w:val="00FD3EE3"/>
    <w:rsid w:val="00FD62A3"/>
    <w:rsid w:val="00FE0E06"/>
    <w:rsid w:val="00FE0E07"/>
    <w:rsid w:val="00FF11CA"/>
    <w:rsid w:val="00FF1D30"/>
    <w:rsid w:val="00FF4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3E4"/>
  </w:style>
  <w:style w:type="paragraph" w:styleId="Titolo1">
    <w:name w:val="heading 1"/>
    <w:basedOn w:val="Normale"/>
    <w:next w:val="Normale"/>
    <w:qFormat/>
    <w:rsid w:val="0096709E"/>
    <w:pPr>
      <w:keepNext/>
      <w:spacing w:after="120"/>
      <w:jc w:val="both"/>
      <w:outlineLvl w:val="0"/>
    </w:pPr>
    <w:rPr>
      <w:b/>
      <w:bCs/>
      <w:sz w:val="24"/>
      <w:szCs w:val="24"/>
    </w:rPr>
  </w:style>
  <w:style w:type="paragraph" w:styleId="Titolo2">
    <w:name w:val="heading 2"/>
    <w:basedOn w:val="Normale"/>
    <w:next w:val="Normale"/>
    <w:qFormat/>
    <w:rsid w:val="0096709E"/>
    <w:pPr>
      <w:keepNext/>
      <w:jc w:val="both"/>
      <w:outlineLvl w:val="1"/>
    </w:pPr>
    <w:rPr>
      <w:sz w:val="24"/>
    </w:rPr>
  </w:style>
  <w:style w:type="paragraph" w:styleId="Titolo3">
    <w:name w:val="heading 3"/>
    <w:basedOn w:val="Normale"/>
    <w:next w:val="Normale"/>
    <w:qFormat/>
    <w:rsid w:val="0096709E"/>
    <w:pPr>
      <w:keepNext/>
      <w:spacing w:line="360" w:lineRule="auto"/>
      <w:ind w:left="3686"/>
      <w:jc w:val="center"/>
      <w:outlineLvl w:val="2"/>
    </w:pPr>
    <w:rPr>
      <w:i/>
      <w:iCs/>
      <w:sz w:val="24"/>
      <w:lang w:val="en-US"/>
    </w:rPr>
  </w:style>
  <w:style w:type="paragraph" w:styleId="Titolo4">
    <w:name w:val="heading 4"/>
    <w:basedOn w:val="Normale"/>
    <w:next w:val="Normale"/>
    <w:qFormat/>
    <w:rsid w:val="0096709E"/>
    <w:pPr>
      <w:keepNext/>
      <w:spacing w:after="120"/>
      <w:jc w:val="right"/>
      <w:outlineLvl w:val="3"/>
    </w:pPr>
    <w:rPr>
      <w:rFonts w:ascii="Verdana" w:hAnsi="Verdana"/>
      <w:b/>
      <w:bCs/>
      <w:szCs w:val="24"/>
      <w:lang w:val="en-US"/>
    </w:rPr>
  </w:style>
  <w:style w:type="paragraph" w:styleId="Titolo5">
    <w:name w:val="heading 5"/>
    <w:basedOn w:val="Normale"/>
    <w:next w:val="Normale"/>
    <w:qFormat/>
    <w:rsid w:val="0096709E"/>
    <w:pPr>
      <w:keepNext/>
      <w:spacing w:after="120"/>
      <w:jc w:val="both"/>
      <w:outlineLvl w:val="4"/>
    </w:pPr>
    <w:rPr>
      <w:rFonts w:ascii="Verdana" w:hAnsi="Verdana"/>
      <w:b/>
      <w:bCs/>
    </w:rPr>
  </w:style>
  <w:style w:type="paragraph" w:styleId="Titolo6">
    <w:name w:val="heading 6"/>
    <w:basedOn w:val="Normale"/>
    <w:next w:val="Normale"/>
    <w:qFormat/>
    <w:rsid w:val="0096709E"/>
    <w:pPr>
      <w:keepNext/>
      <w:spacing w:after="120"/>
      <w:ind w:left="4248"/>
      <w:jc w:val="center"/>
      <w:outlineLvl w:val="5"/>
    </w:pPr>
    <w:rPr>
      <w:rFonts w:ascii="Verdana" w:hAnsi="Verdana"/>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6709E"/>
    <w:pPr>
      <w:tabs>
        <w:tab w:val="center" w:pos="4819"/>
        <w:tab w:val="right" w:pos="9638"/>
      </w:tabs>
    </w:pPr>
  </w:style>
  <w:style w:type="character" w:styleId="Numeropagina">
    <w:name w:val="page number"/>
    <w:basedOn w:val="Carpredefinitoparagrafo"/>
    <w:rsid w:val="0096709E"/>
  </w:style>
  <w:style w:type="paragraph" w:styleId="Intestazione">
    <w:name w:val="header"/>
    <w:basedOn w:val="Normale"/>
    <w:link w:val="IntestazioneCarattere"/>
    <w:uiPriority w:val="99"/>
    <w:rsid w:val="0096709E"/>
    <w:pPr>
      <w:tabs>
        <w:tab w:val="center" w:pos="4819"/>
        <w:tab w:val="right" w:pos="9638"/>
      </w:tabs>
    </w:pPr>
  </w:style>
  <w:style w:type="paragraph" w:styleId="Testofumetto">
    <w:name w:val="Balloon Text"/>
    <w:basedOn w:val="Normale"/>
    <w:semiHidden/>
    <w:rsid w:val="0096709E"/>
    <w:rPr>
      <w:rFonts w:ascii="Tahoma" w:hAnsi="Tahoma" w:cs="Tahoma"/>
      <w:sz w:val="16"/>
      <w:szCs w:val="16"/>
    </w:rPr>
  </w:style>
  <w:style w:type="paragraph" w:styleId="Corpodeltesto">
    <w:name w:val="Body Text"/>
    <w:basedOn w:val="Normale"/>
    <w:rsid w:val="0096709E"/>
    <w:pPr>
      <w:spacing w:after="120"/>
      <w:jc w:val="both"/>
    </w:pPr>
    <w:rPr>
      <w:sz w:val="24"/>
      <w:szCs w:val="24"/>
    </w:rPr>
  </w:style>
  <w:style w:type="paragraph" w:customStyle="1" w:styleId="Principale">
    <w:name w:val="Principale"/>
    <w:basedOn w:val="Normale"/>
    <w:rsid w:val="00174F1C"/>
    <w:pPr>
      <w:spacing w:after="120"/>
      <w:jc w:val="both"/>
    </w:pPr>
    <w:rPr>
      <w:rFonts w:ascii="Verdana" w:hAnsi="Verdana"/>
    </w:rPr>
  </w:style>
  <w:style w:type="table" w:styleId="Grigliatabella">
    <w:name w:val="Table Grid"/>
    <w:basedOn w:val="Tabellanormale"/>
    <w:uiPriority w:val="1"/>
    <w:rsid w:val="00A92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A25021"/>
    <w:rPr>
      <w:color w:val="0000FF"/>
      <w:u w:val="single"/>
    </w:rPr>
  </w:style>
  <w:style w:type="character" w:customStyle="1" w:styleId="IntestazioneCarattere">
    <w:name w:val="Intestazione Carattere"/>
    <w:basedOn w:val="Carpredefinitoparagrafo"/>
    <w:link w:val="Intestazione"/>
    <w:uiPriority w:val="99"/>
    <w:rsid w:val="00782BE9"/>
  </w:style>
  <w:style w:type="paragraph" w:customStyle="1" w:styleId="NormaleTahoma">
    <w:name w:val="Normale + Tahoma"/>
    <w:aliases w:val="11 pt,Giustificato,dopo 6 pt"/>
    <w:basedOn w:val="Normale"/>
    <w:rsid w:val="00967317"/>
    <w:pPr>
      <w:spacing w:after="120"/>
      <w:jc w:val="both"/>
    </w:pPr>
    <w:rPr>
      <w:rFonts w:ascii="Tahoma" w:hAnsi="Tahoma" w:cs="Tahoma"/>
      <w:b/>
      <w:sz w:val="22"/>
      <w:szCs w:val="22"/>
    </w:rPr>
  </w:style>
  <w:style w:type="character" w:styleId="Enfasigrassetto">
    <w:name w:val="Strong"/>
    <w:basedOn w:val="Carpredefinitoparagrafo"/>
    <w:uiPriority w:val="22"/>
    <w:qFormat/>
    <w:rsid w:val="00D71BE6"/>
    <w:rPr>
      <w:b/>
      <w:bCs/>
    </w:rPr>
  </w:style>
  <w:style w:type="paragraph" w:styleId="Paragrafoelenco">
    <w:name w:val="List Paragraph"/>
    <w:basedOn w:val="Normale"/>
    <w:uiPriority w:val="72"/>
    <w:qFormat/>
    <w:rsid w:val="00B2521D"/>
    <w:pPr>
      <w:ind w:left="720"/>
      <w:contextualSpacing/>
    </w:pPr>
  </w:style>
  <w:style w:type="character" w:styleId="Rimandocommento">
    <w:name w:val="annotation reference"/>
    <w:basedOn w:val="Carpredefinitoparagrafo"/>
    <w:rsid w:val="00DF3C84"/>
    <w:rPr>
      <w:sz w:val="16"/>
      <w:szCs w:val="16"/>
    </w:rPr>
  </w:style>
  <w:style w:type="paragraph" w:styleId="Testocommento">
    <w:name w:val="annotation text"/>
    <w:basedOn w:val="Normale"/>
    <w:link w:val="TestocommentoCarattere"/>
    <w:rsid w:val="00DF3C84"/>
  </w:style>
  <w:style w:type="character" w:customStyle="1" w:styleId="TestocommentoCarattere">
    <w:name w:val="Testo commento Carattere"/>
    <w:basedOn w:val="Carpredefinitoparagrafo"/>
    <w:link w:val="Testocommento"/>
    <w:rsid w:val="00DF3C84"/>
  </w:style>
  <w:style w:type="paragraph" w:styleId="Soggettocommento">
    <w:name w:val="annotation subject"/>
    <w:basedOn w:val="Testocommento"/>
    <w:next w:val="Testocommento"/>
    <w:link w:val="SoggettocommentoCarattere"/>
    <w:rsid w:val="00DF3C84"/>
    <w:rPr>
      <w:b/>
      <w:bCs/>
    </w:rPr>
  </w:style>
  <w:style w:type="character" w:customStyle="1" w:styleId="SoggettocommentoCarattere">
    <w:name w:val="Soggetto commento Carattere"/>
    <w:basedOn w:val="TestocommentoCarattere"/>
    <w:link w:val="Soggettocommento"/>
    <w:rsid w:val="00DF3C84"/>
    <w:rPr>
      <w:b/>
      <w:bCs/>
    </w:rPr>
  </w:style>
  <w:style w:type="character" w:customStyle="1" w:styleId="PidipaginaCarattere">
    <w:name w:val="Piè di pagina Carattere"/>
    <w:link w:val="Pidipagina"/>
    <w:rsid w:val="00066068"/>
  </w:style>
  <w:style w:type="paragraph" w:styleId="NormaleWeb">
    <w:name w:val="Normal (Web)"/>
    <w:basedOn w:val="Normale"/>
    <w:unhideWhenUsed/>
    <w:rsid w:val="00CA19F4"/>
    <w:pPr>
      <w:spacing w:before="100" w:beforeAutospacing="1" w:after="100" w:afterAutospacing="1"/>
    </w:pPr>
    <w:rPr>
      <w:sz w:val="24"/>
      <w:szCs w:val="24"/>
      <w:lang w:val="en-US" w:eastAsia="en-US"/>
    </w:rPr>
  </w:style>
  <w:style w:type="table" w:customStyle="1" w:styleId="tabellaCZ">
    <w:name w:val="tabella CZ"/>
    <w:basedOn w:val="Tabellanormale"/>
    <w:uiPriority w:val="99"/>
    <w:qFormat/>
    <w:rsid w:val="00080748"/>
    <w:rPr>
      <w:sz w:val="22"/>
    </w:rPr>
    <w:tblPr>
      <w:tblStyleRowBandSize w:val="1"/>
      <w:tblInd w:w="0" w:type="dxa"/>
      <w:tblBorders>
        <w:insideV w:val="single" w:sz="4" w:space="0" w:color="142248"/>
      </w:tblBorders>
      <w:tblCellMar>
        <w:top w:w="0" w:type="dxa"/>
        <w:left w:w="108" w:type="dxa"/>
        <w:bottom w:w="0" w:type="dxa"/>
        <w:right w:w="108" w:type="dxa"/>
      </w:tblCellMar>
    </w:tblPr>
    <w:tblStylePr w:type="firstRow">
      <w:tblPr/>
      <w:tcPr>
        <w:tcBorders>
          <w:top w:val="nil"/>
          <w:left w:val="nil"/>
          <w:bottom w:val="nil"/>
          <w:right w:val="nil"/>
          <w:insideH w:val="nil"/>
          <w:insideV w:val="single" w:sz="4" w:space="0" w:color="FFFFFF"/>
          <w:tl2br w:val="nil"/>
          <w:tr2bl w:val="nil"/>
        </w:tcBorders>
        <w:shd w:val="clear" w:color="auto" w:fill="142248"/>
      </w:tcPr>
    </w:tblStylePr>
    <w:tblStylePr w:type="band2Horz">
      <w:tblPr/>
      <w:tcPr>
        <w:shd w:val="clear" w:color="auto" w:fill="E5E8EA"/>
      </w:tcPr>
    </w:tblStylePr>
  </w:style>
  <w:style w:type="paragraph" w:styleId="Testonotaapidipagina">
    <w:name w:val="footnote text"/>
    <w:basedOn w:val="Normale"/>
    <w:link w:val="TestonotaapidipaginaCarattere"/>
    <w:semiHidden/>
    <w:unhideWhenUsed/>
    <w:rsid w:val="00510716"/>
  </w:style>
  <w:style w:type="character" w:customStyle="1" w:styleId="TestonotaapidipaginaCarattere">
    <w:name w:val="Testo nota a piè di pagina Carattere"/>
    <w:basedOn w:val="Carpredefinitoparagrafo"/>
    <w:link w:val="Testonotaapidipagina"/>
    <w:semiHidden/>
    <w:rsid w:val="00510716"/>
  </w:style>
  <w:style w:type="character" w:styleId="Rimandonotaapidipagina">
    <w:name w:val="footnote reference"/>
    <w:basedOn w:val="Carpredefinitoparagrafo"/>
    <w:semiHidden/>
    <w:unhideWhenUsed/>
    <w:rsid w:val="00510716"/>
    <w:rPr>
      <w:vertAlign w:val="superscript"/>
    </w:rPr>
  </w:style>
  <w:style w:type="paragraph" w:customStyle="1" w:styleId="Default">
    <w:name w:val="Default"/>
    <w:rsid w:val="00136146"/>
    <w:pPr>
      <w:autoSpaceDE w:val="0"/>
      <w:autoSpaceDN w:val="0"/>
      <w:adjustRightInd w:val="0"/>
    </w:pPr>
    <w:rPr>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4402818">
      <w:bodyDiv w:val="1"/>
      <w:marLeft w:val="0"/>
      <w:marRight w:val="0"/>
      <w:marTop w:val="0"/>
      <w:marBottom w:val="0"/>
      <w:divBdr>
        <w:top w:val="none" w:sz="0" w:space="0" w:color="auto"/>
        <w:left w:val="none" w:sz="0" w:space="0" w:color="auto"/>
        <w:bottom w:val="none" w:sz="0" w:space="0" w:color="auto"/>
        <w:right w:val="none" w:sz="0" w:space="0" w:color="auto"/>
      </w:divBdr>
    </w:div>
    <w:div w:id="178013761">
      <w:bodyDiv w:val="1"/>
      <w:marLeft w:val="0"/>
      <w:marRight w:val="0"/>
      <w:marTop w:val="0"/>
      <w:marBottom w:val="0"/>
      <w:divBdr>
        <w:top w:val="none" w:sz="0" w:space="0" w:color="auto"/>
        <w:left w:val="none" w:sz="0" w:space="0" w:color="auto"/>
        <w:bottom w:val="none" w:sz="0" w:space="0" w:color="auto"/>
        <w:right w:val="none" w:sz="0" w:space="0" w:color="auto"/>
      </w:divBdr>
    </w:div>
    <w:div w:id="386806993">
      <w:bodyDiv w:val="1"/>
      <w:marLeft w:val="0"/>
      <w:marRight w:val="0"/>
      <w:marTop w:val="0"/>
      <w:marBottom w:val="0"/>
      <w:divBdr>
        <w:top w:val="none" w:sz="0" w:space="0" w:color="auto"/>
        <w:left w:val="none" w:sz="0" w:space="0" w:color="auto"/>
        <w:bottom w:val="none" w:sz="0" w:space="0" w:color="auto"/>
        <w:right w:val="none" w:sz="0" w:space="0" w:color="auto"/>
      </w:divBdr>
      <w:divsChild>
        <w:div w:id="374623912">
          <w:marLeft w:val="0"/>
          <w:marRight w:val="0"/>
          <w:marTop w:val="0"/>
          <w:marBottom w:val="0"/>
          <w:divBdr>
            <w:top w:val="none" w:sz="0" w:space="0" w:color="auto"/>
            <w:left w:val="none" w:sz="0" w:space="0" w:color="auto"/>
            <w:bottom w:val="none" w:sz="0" w:space="0" w:color="auto"/>
            <w:right w:val="none" w:sz="0" w:space="0" w:color="auto"/>
          </w:divBdr>
          <w:divsChild>
            <w:div w:id="527064279">
              <w:marLeft w:val="0"/>
              <w:marRight w:val="0"/>
              <w:marTop w:val="0"/>
              <w:marBottom w:val="0"/>
              <w:divBdr>
                <w:top w:val="none" w:sz="0" w:space="0" w:color="auto"/>
                <w:left w:val="none" w:sz="0" w:space="0" w:color="auto"/>
                <w:bottom w:val="none" w:sz="0" w:space="0" w:color="auto"/>
                <w:right w:val="none" w:sz="0" w:space="0" w:color="auto"/>
              </w:divBdr>
            </w:div>
            <w:div w:id="1327246460">
              <w:marLeft w:val="0"/>
              <w:marRight w:val="0"/>
              <w:marTop w:val="0"/>
              <w:marBottom w:val="0"/>
              <w:divBdr>
                <w:top w:val="none" w:sz="0" w:space="0" w:color="auto"/>
                <w:left w:val="none" w:sz="0" w:space="0" w:color="auto"/>
                <w:bottom w:val="none" w:sz="0" w:space="0" w:color="auto"/>
                <w:right w:val="none" w:sz="0" w:space="0" w:color="auto"/>
              </w:divBdr>
            </w:div>
            <w:div w:id="599263936">
              <w:marLeft w:val="0"/>
              <w:marRight w:val="0"/>
              <w:marTop w:val="0"/>
              <w:marBottom w:val="0"/>
              <w:divBdr>
                <w:top w:val="none" w:sz="0" w:space="0" w:color="auto"/>
                <w:left w:val="none" w:sz="0" w:space="0" w:color="auto"/>
                <w:bottom w:val="none" w:sz="0" w:space="0" w:color="auto"/>
                <w:right w:val="none" w:sz="0" w:space="0" w:color="auto"/>
              </w:divBdr>
            </w:div>
            <w:div w:id="75715520">
              <w:marLeft w:val="0"/>
              <w:marRight w:val="0"/>
              <w:marTop w:val="0"/>
              <w:marBottom w:val="0"/>
              <w:divBdr>
                <w:top w:val="none" w:sz="0" w:space="0" w:color="auto"/>
                <w:left w:val="none" w:sz="0" w:space="0" w:color="auto"/>
                <w:bottom w:val="none" w:sz="0" w:space="0" w:color="auto"/>
                <w:right w:val="none" w:sz="0" w:space="0" w:color="auto"/>
              </w:divBdr>
            </w:div>
            <w:div w:id="2067413930">
              <w:marLeft w:val="0"/>
              <w:marRight w:val="0"/>
              <w:marTop w:val="0"/>
              <w:marBottom w:val="0"/>
              <w:divBdr>
                <w:top w:val="none" w:sz="0" w:space="0" w:color="auto"/>
                <w:left w:val="none" w:sz="0" w:space="0" w:color="auto"/>
                <w:bottom w:val="none" w:sz="0" w:space="0" w:color="auto"/>
                <w:right w:val="none" w:sz="0" w:space="0" w:color="auto"/>
              </w:divBdr>
            </w:div>
            <w:div w:id="104424060">
              <w:marLeft w:val="0"/>
              <w:marRight w:val="0"/>
              <w:marTop w:val="0"/>
              <w:marBottom w:val="0"/>
              <w:divBdr>
                <w:top w:val="none" w:sz="0" w:space="0" w:color="auto"/>
                <w:left w:val="none" w:sz="0" w:space="0" w:color="auto"/>
                <w:bottom w:val="none" w:sz="0" w:space="0" w:color="auto"/>
                <w:right w:val="none" w:sz="0" w:space="0" w:color="auto"/>
              </w:divBdr>
            </w:div>
            <w:div w:id="1426682326">
              <w:marLeft w:val="0"/>
              <w:marRight w:val="0"/>
              <w:marTop w:val="0"/>
              <w:marBottom w:val="0"/>
              <w:divBdr>
                <w:top w:val="none" w:sz="0" w:space="0" w:color="auto"/>
                <w:left w:val="none" w:sz="0" w:space="0" w:color="auto"/>
                <w:bottom w:val="none" w:sz="0" w:space="0" w:color="auto"/>
                <w:right w:val="none" w:sz="0" w:space="0" w:color="auto"/>
              </w:divBdr>
            </w:div>
            <w:div w:id="1158183536">
              <w:marLeft w:val="0"/>
              <w:marRight w:val="0"/>
              <w:marTop w:val="0"/>
              <w:marBottom w:val="0"/>
              <w:divBdr>
                <w:top w:val="none" w:sz="0" w:space="0" w:color="auto"/>
                <w:left w:val="none" w:sz="0" w:space="0" w:color="auto"/>
                <w:bottom w:val="none" w:sz="0" w:space="0" w:color="auto"/>
                <w:right w:val="none" w:sz="0" w:space="0" w:color="auto"/>
              </w:divBdr>
            </w:div>
            <w:div w:id="1022705920">
              <w:marLeft w:val="0"/>
              <w:marRight w:val="0"/>
              <w:marTop w:val="0"/>
              <w:marBottom w:val="0"/>
              <w:divBdr>
                <w:top w:val="none" w:sz="0" w:space="0" w:color="auto"/>
                <w:left w:val="none" w:sz="0" w:space="0" w:color="auto"/>
                <w:bottom w:val="none" w:sz="0" w:space="0" w:color="auto"/>
                <w:right w:val="none" w:sz="0" w:space="0" w:color="auto"/>
              </w:divBdr>
            </w:div>
            <w:div w:id="957612458">
              <w:marLeft w:val="0"/>
              <w:marRight w:val="0"/>
              <w:marTop w:val="0"/>
              <w:marBottom w:val="0"/>
              <w:divBdr>
                <w:top w:val="none" w:sz="0" w:space="0" w:color="auto"/>
                <w:left w:val="none" w:sz="0" w:space="0" w:color="auto"/>
                <w:bottom w:val="none" w:sz="0" w:space="0" w:color="auto"/>
                <w:right w:val="none" w:sz="0" w:space="0" w:color="auto"/>
              </w:divBdr>
            </w:div>
            <w:div w:id="1610699692">
              <w:marLeft w:val="0"/>
              <w:marRight w:val="0"/>
              <w:marTop w:val="0"/>
              <w:marBottom w:val="0"/>
              <w:divBdr>
                <w:top w:val="none" w:sz="0" w:space="0" w:color="auto"/>
                <w:left w:val="none" w:sz="0" w:space="0" w:color="auto"/>
                <w:bottom w:val="none" w:sz="0" w:space="0" w:color="auto"/>
                <w:right w:val="none" w:sz="0" w:space="0" w:color="auto"/>
              </w:divBdr>
            </w:div>
            <w:div w:id="344864851">
              <w:marLeft w:val="0"/>
              <w:marRight w:val="0"/>
              <w:marTop w:val="0"/>
              <w:marBottom w:val="0"/>
              <w:divBdr>
                <w:top w:val="none" w:sz="0" w:space="0" w:color="auto"/>
                <w:left w:val="none" w:sz="0" w:space="0" w:color="auto"/>
                <w:bottom w:val="none" w:sz="0" w:space="0" w:color="auto"/>
                <w:right w:val="none" w:sz="0" w:space="0" w:color="auto"/>
              </w:divBdr>
            </w:div>
            <w:div w:id="1940679005">
              <w:marLeft w:val="0"/>
              <w:marRight w:val="0"/>
              <w:marTop w:val="0"/>
              <w:marBottom w:val="0"/>
              <w:divBdr>
                <w:top w:val="none" w:sz="0" w:space="0" w:color="auto"/>
                <w:left w:val="none" w:sz="0" w:space="0" w:color="auto"/>
                <w:bottom w:val="none" w:sz="0" w:space="0" w:color="auto"/>
                <w:right w:val="none" w:sz="0" w:space="0" w:color="auto"/>
              </w:divBdr>
            </w:div>
            <w:div w:id="899051002">
              <w:marLeft w:val="0"/>
              <w:marRight w:val="0"/>
              <w:marTop w:val="0"/>
              <w:marBottom w:val="0"/>
              <w:divBdr>
                <w:top w:val="none" w:sz="0" w:space="0" w:color="auto"/>
                <w:left w:val="none" w:sz="0" w:space="0" w:color="auto"/>
                <w:bottom w:val="none" w:sz="0" w:space="0" w:color="auto"/>
                <w:right w:val="none" w:sz="0" w:space="0" w:color="auto"/>
              </w:divBdr>
            </w:div>
            <w:div w:id="650645201">
              <w:marLeft w:val="0"/>
              <w:marRight w:val="0"/>
              <w:marTop w:val="0"/>
              <w:marBottom w:val="0"/>
              <w:divBdr>
                <w:top w:val="none" w:sz="0" w:space="0" w:color="auto"/>
                <w:left w:val="none" w:sz="0" w:space="0" w:color="auto"/>
                <w:bottom w:val="none" w:sz="0" w:space="0" w:color="auto"/>
                <w:right w:val="none" w:sz="0" w:space="0" w:color="auto"/>
              </w:divBdr>
            </w:div>
            <w:div w:id="1843928919">
              <w:marLeft w:val="0"/>
              <w:marRight w:val="0"/>
              <w:marTop w:val="0"/>
              <w:marBottom w:val="0"/>
              <w:divBdr>
                <w:top w:val="none" w:sz="0" w:space="0" w:color="auto"/>
                <w:left w:val="none" w:sz="0" w:space="0" w:color="auto"/>
                <w:bottom w:val="none" w:sz="0" w:space="0" w:color="auto"/>
                <w:right w:val="none" w:sz="0" w:space="0" w:color="auto"/>
              </w:divBdr>
            </w:div>
            <w:div w:id="1579171002">
              <w:marLeft w:val="0"/>
              <w:marRight w:val="0"/>
              <w:marTop w:val="0"/>
              <w:marBottom w:val="0"/>
              <w:divBdr>
                <w:top w:val="none" w:sz="0" w:space="0" w:color="auto"/>
                <w:left w:val="none" w:sz="0" w:space="0" w:color="auto"/>
                <w:bottom w:val="none" w:sz="0" w:space="0" w:color="auto"/>
                <w:right w:val="none" w:sz="0" w:space="0" w:color="auto"/>
              </w:divBdr>
            </w:div>
            <w:div w:id="1429043285">
              <w:marLeft w:val="0"/>
              <w:marRight w:val="0"/>
              <w:marTop w:val="0"/>
              <w:marBottom w:val="0"/>
              <w:divBdr>
                <w:top w:val="none" w:sz="0" w:space="0" w:color="auto"/>
                <w:left w:val="none" w:sz="0" w:space="0" w:color="auto"/>
                <w:bottom w:val="none" w:sz="0" w:space="0" w:color="auto"/>
                <w:right w:val="none" w:sz="0" w:space="0" w:color="auto"/>
              </w:divBdr>
            </w:div>
            <w:div w:id="1889300691">
              <w:marLeft w:val="0"/>
              <w:marRight w:val="0"/>
              <w:marTop w:val="0"/>
              <w:marBottom w:val="0"/>
              <w:divBdr>
                <w:top w:val="none" w:sz="0" w:space="0" w:color="auto"/>
                <w:left w:val="none" w:sz="0" w:space="0" w:color="auto"/>
                <w:bottom w:val="none" w:sz="0" w:space="0" w:color="auto"/>
                <w:right w:val="none" w:sz="0" w:space="0" w:color="auto"/>
              </w:divBdr>
            </w:div>
            <w:div w:id="1889872177">
              <w:marLeft w:val="0"/>
              <w:marRight w:val="0"/>
              <w:marTop w:val="0"/>
              <w:marBottom w:val="0"/>
              <w:divBdr>
                <w:top w:val="none" w:sz="0" w:space="0" w:color="auto"/>
                <w:left w:val="none" w:sz="0" w:space="0" w:color="auto"/>
                <w:bottom w:val="none" w:sz="0" w:space="0" w:color="auto"/>
                <w:right w:val="none" w:sz="0" w:space="0" w:color="auto"/>
              </w:divBdr>
            </w:div>
            <w:div w:id="1403604762">
              <w:marLeft w:val="0"/>
              <w:marRight w:val="0"/>
              <w:marTop w:val="0"/>
              <w:marBottom w:val="0"/>
              <w:divBdr>
                <w:top w:val="none" w:sz="0" w:space="0" w:color="auto"/>
                <w:left w:val="none" w:sz="0" w:space="0" w:color="auto"/>
                <w:bottom w:val="none" w:sz="0" w:space="0" w:color="auto"/>
                <w:right w:val="none" w:sz="0" w:space="0" w:color="auto"/>
              </w:divBdr>
            </w:div>
            <w:div w:id="871571591">
              <w:marLeft w:val="0"/>
              <w:marRight w:val="0"/>
              <w:marTop w:val="0"/>
              <w:marBottom w:val="0"/>
              <w:divBdr>
                <w:top w:val="none" w:sz="0" w:space="0" w:color="auto"/>
                <w:left w:val="none" w:sz="0" w:space="0" w:color="auto"/>
                <w:bottom w:val="none" w:sz="0" w:space="0" w:color="auto"/>
                <w:right w:val="none" w:sz="0" w:space="0" w:color="auto"/>
              </w:divBdr>
            </w:div>
            <w:div w:id="2134786141">
              <w:marLeft w:val="0"/>
              <w:marRight w:val="0"/>
              <w:marTop w:val="0"/>
              <w:marBottom w:val="0"/>
              <w:divBdr>
                <w:top w:val="none" w:sz="0" w:space="0" w:color="auto"/>
                <w:left w:val="none" w:sz="0" w:space="0" w:color="auto"/>
                <w:bottom w:val="none" w:sz="0" w:space="0" w:color="auto"/>
                <w:right w:val="none" w:sz="0" w:space="0" w:color="auto"/>
              </w:divBdr>
            </w:div>
            <w:div w:id="1462578850">
              <w:marLeft w:val="0"/>
              <w:marRight w:val="0"/>
              <w:marTop w:val="0"/>
              <w:marBottom w:val="0"/>
              <w:divBdr>
                <w:top w:val="none" w:sz="0" w:space="0" w:color="auto"/>
                <w:left w:val="none" w:sz="0" w:space="0" w:color="auto"/>
                <w:bottom w:val="none" w:sz="0" w:space="0" w:color="auto"/>
                <w:right w:val="none" w:sz="0" w:space="0" w:color="auto"/>
              </w:divBdr>
            </w:div>
            <w:div w:id="126632182">
              <w:marLeft w:val="0"/>
              <w:marRight w:val="0"/>
              <w:marTop w:val="0"/>
              <w:marBottom w:val="0"/>
              <w:divBdr>
                <w:top w:val="none" w:sz="0" w:space="0" w:color="auto"/>
                <w:left w:val="none" w:sz="0" w:space="0" w:color="auto"/>
                <w:bottom w:val="none" w:sz="0" w:space="0" w:color="auto"/>
                <w:right w:val="none" w:sz="0" w:space="0" w:color="auto"/>
              </w:divBdr>
            </w:div>
            <w:div w:id="729810528">
              <w:marLeft w:val="0"/>
              <w:marRight w:val="0"/>
              <w:marTop w:val="0"/>
              <w:marBottom w:val="0"/>
              <w:divBdr>
                <w:top w:val="none" w:sz="0" w:space="0" w:color="auto"/>
                <w:left w:val="none" w:sz="0" w:space="0" w:color="auto"/>
                <w:bottom w:val="none" w:sz="0" w:space="0" w:color="auto"/>
                <w:right w:val="none" w:sz="0" w:space="0" w:color="auto"/>
              </w:divBdr>
            </w:div>
            <w:div w:id="503739944">
              <w:marLeft w:val="0"/>
              <w:marRight w:val="0"/>
              <w:marTop w:val="0"/>
              <w:marBottom w:val="0"/>
              <w:divBdr>
                <w:top w:val="none" w:sz="0" w:space="0" w:color="auto"/>
                <w:left w:val="none" w:sz="0" w:space="0" w:color="auto"/>
                <w:bottom w:val="none" w:sz="0" w:space="0" w:color="auto"/>
                <w:right w:val="none" w:sz="0" w:space="0" w:color="auto"/>
              </w:divBdr>
            </w:div>
            <w:div w:id="2011789343">
              <w:marLeft w:val="0"/>
              <w:marRight w:val="0"/>
              <w:marTop w:val="0"/>
              <w:marBottom w:val="0"/>
              <w:divBdr>
                <w:top w:val="none" w:sz="0" w:space="0" w:color="auto"/>
                <w:left w:val="none" w:sz="0" w:space="0" w:color="auto"/>
                <w:bottom w:val="none" w:sz="0" w:space="0" w:color="auto"/>
                <w:right w:val="none" w:sz="0" w:space="0" w:color="auto"/>
              </w:divBdr>
            </w:div>
            <w:div w:id="1569068231">
              <w:marLeft w:val="0"/>
              <w:marRight w:val="0"/>
              <w:marTop w:val="0"/>
              <w:marBottom w:val="0"/>
              <w:divBdr>
                <w:top w:val="none" w:sz="0" w:space="0" w:color="auto"/>
                <w:left w:val="none" w:sz="0" w:space="0" w:color="auto"/>
                <w:bottom w:val="none" w:sz="0" w:space="0" w:color="auto"/>
                <w:right w:val="none" w:sz="0" w:space="0" w:color="auto"/>
              </w:divBdr>
            </w:div>
            <w:div w:id="746459928">
              <w:marLeft w:val="0"/>
              <w:marRight w:val="0"/>
              <w:marTop w:val="0"/>
              <w:marBottom w:val="0"/>
              <w:divBdr>
                <w:top w:val="none" w:sz="0" w:space="0" w:color="auto"/>
                <w:left w:val="none" w:sz="0" w:space="0" w:color="auto"/>
                <w:bottom w:val="none" w:sz="0" w:space="0" w:color="auto"/>
                <w:right w:val="none" w:sz="0" w:space="0" w:color="auto"/>
              </w:divBdr>
            </w:div>
            <w:div w:id="2108848068">
              <w:marLeft w:val="0"/>
              <w:marRight w:val="0"/>
              <w:marTop w:val="0"/>
              <w:marBottom w:val="0"/>
              <w:divBdr>
                <w:top w:val="none" w:sz="0" w:space="0" w:color="auto"/>
                <w:left w:val="none" w:sz="0" w:space="0" w:color="auto"/>
                <w:bottom w:val="none" w:sz="0" w:space="0" w:color="auto"/>
                <w:right w:val="none" w:sz="0" w:space="0" w:color="auto"/>
              </w:divBdr>
            </w:div>
            <w:div w:id="1456096219">
              <w:marLeft w:val="0"/>
              <w:marRight w:val="0"/>
              <w:marTop w:val="0"/>
              <w:marBottom w:val="0"/>
              <w:divBdr>
                <w:top w:val="none" w:sz="0" w:space="0" w:color="auto"/>
                <w:left w:val="none" w:sz="0" w:space="0" w:color="auto"/>
                <w:bottom w:val="none" w:sz="0" w:space="0" w:color="auto"/>
                <w:right w:val="none" w:sz="0" w:space="0" w:color="auto"/>
              </w:divBdr>
            </w:div>
            <w:div w:id="979652467">
              <w:marLeft w:val="0"/>
              <w:marRight w:val="0"/>
              <w:marTop w:val="0"/>
              <w:marBottom w:val="0"/>
              <w:divBdr>
                <w:top w:val="none" w:sz="0" w:space="0" w:color="auto"/>
                <w:left w:val="none" w:sz="0" w:space="0" w:color="auto"/>
                <w:bottom w:val="none" w:sz="0" w:space="0" w:color="auto"/>
                <w:right w:val="none" w:sz="0" w:space="0" w:color="auto"/>
              </w:divBdr>
            </w:div>
            <w:div w:id="83773142">
              <w:marLeft w:val="0"/>
              <w:marRight w:val="0"/>
              <w:marTop w:val="0"/>
              <w:marBottom w:val="0"/>
              <w:divBdr>
                <w:top w:val="none" w:sz="0" w:space="0" w:color="auto"/>
                <w:left w:val="none" w:sz="0" w:space="0" w:color="auto"/>
                <w:bottom w:val="none" w:sz="0" w:space="0" w:color="auto"/>
                <w:right w:val="none" w:sz="0" w:space="0" w:color="auto"/>
              </w:divBdr>
            </w:div>
            <w:div w:id="444618180">
              <w:marLeft w:val="0"/>
              <w:marRight w:val="0"/>
              <w:marTop w:val="0"/>
              <w:marBottom w:val="0"/>
              <w:divBdr>
                <w:top w:val="none" w:sz="0" w:space="0" w:color="auto"/>
                <w:left w:val="none" w:sz="0" w:space="0" w:color="auto"/>
                <w:bottom w:val="none" w:sz="0" w:space="0" w:color="auto"/>
                <w:right w:val="none" w:sz="0" w:space="0" w:color="auto"/>
              </w:divBdr>
            </w:div>
            <w:div w:id="1536121088">
              <w:marLeft w:val="0"/>
              <w:marRight w:val="0"/>
              <w:marTop w:val="0"/>
              <w:marBottom w:val="0"/>
              <w:divBdr>
                <w:top w:val="none" w:sz="0" w:space="0" w:color="auto"/>
                <w:left w:val="none" w:sz="0" w:space="0" w:color="auto"/>
                <w:bottom w:val="none" w:sz="0" w:space="0" w:color="auto"/>
                <w:right w:val="none" w:sz="0" w:space="0" w:color="auto"/>
              </w:divBdr>
            </w:div>
            <w:div w:id="1838570266">
              <w:marLeft w:val="0"/>
              <w:marRight w:val="0"/>
              <w:marTop w:val="0"/>
              <w:marBottom w:val="0"/>
              <w:divBdr>
                <w:top w:val="none" w:sz="0" w:space="0" w:color="auto"/>
                <w:left w:val="none" w:sz="0" w:space="0" w:color="auto"/>
                <w:bottom w:val="none" w:sz="0" w:space="0" w:color="auto"/>
                <w:right w:val="none" w:sz="0" w:space="0" w:color="auto"/>
              </w:divBdr>
            </w:div>
            <w:div w:id="476336378">
              <w:marLeft w:val="0"/>
              <w:marRight w:val="0"/>
              <w:marTop w:val="0"/>
              <w:marBottom w:val="0"/>
              <w:divBdr>
                <w:top w:val="none" w:sz="0" w:space="0" w:color="auto"/>
                <w:left w:val="none" w:sz="0" w:space="0" w:color="auto"/>
                <w:bottom w:val="none" w:sz="0" w:space="0" w:color="auto"/>
                <w:right w:val="none" w:sz="0" w:space="0" w:color="auto"/>
              </w:divBdr>
            </w:div>
            <w:div w:id="401295881">
              <w:marLeft w:val="0"/>
              <w:marRight w:val="0"/>
              <w:marTop w:val="0"/>
              <w:marBottom w:val="0"/>
              <w:divBdr>
                <w:top w:val="none" w:sz="0" w:space="0" w:color="auto"/>
                <w:left w:val="none" w:sz="0" w:space="0" w:color="auto"/>
                <w:bottom w:val="none" w:sz="0" w:space="0" w:color="auto"/>
                <w:right w:val="none" w:sz="0" w:space="0" w:color="auto"/>
              </w:divBdr>
            </w:div>
            <w:div w:id="1552185095">
              <w:marLeft w:val="0"/>
              <w:marRight w:val="0"/>
              <w:marTop w:val="0"/>
              <w:marBottom w:val="0"/>
              <w:divBdr>
                <w:top w:val="none" w:sz="0" w:space="0" w:color="auto"/>
                <w:left w:val="none" w:sz="0" w:space="0" w:color="auto"/>
                <w:bottom w:val="none" w:sz="0" w:space="0" w:color="auto"/>
                <w:right w:val="none" w:sz="0" w:space="0" w:color="auto"/>
              </w:divBdr>
            </w:div>
            <w:div w:id="1740054764">
              <w:marLeft w:val="0"/>
              <w:marRight w:val="0"/>
              <w:marTop w:val="0"/>
              <w:marBottom w:val="0"/>
              <w:divBdr>
                <w:top w:val="none" w:sz="0" w:space="0" w:color="auto"/>
                <w:left w:val="none" w:sz="0" w:space="0" w:color="auto"/>
                <w:bottom w:val="none" w:sz="0" w:space="0" w:color="auto"/>
                <w:right w:val="none" w:sz="0" w:space="0" w:color="auto"/>
              </w:divBdr>
            </w:div>
            <w:div w:id="574238820">
              <w:marLeft w:val="0"/>
              <w:marRight w:val="0"/>
              <w:marTop w:val="0"/>
              <w:marBottom w:val="0"/>
              <w:divBdr>
                <w:top w:val="none" w:sz="0" w:space="0" w:color="auto"/>
                <w:left w:val="none" w:sz="0" w:space="0" w:color="auto"/>
                <w:bottom w:val="none" w:sz="0" w:space="0" w:color="auto"/>
                <w:right w:val="none" w:sz="0" w:space="0" w:color="auto"/>
              </w:divBdr>
            </w:div>
            <w:div w:id="152840934">
              <w:marLeft w:val="0"/>
              <w:marRight w:val="0"/>
              <w:marTop w:val="0"/>
              <w:marBottom w:val="0"/>
              <w:divBdr>
                <w:top w:val="none" w:sz="0" w:space="0" w:color="auto"/>
                <w:left w:val="none" w:sz="0" w:space="0" w:color="auto"/>
                <w:bottom w:val="none" w:sz="0" w:space="0" w:color="auto"/>
                <w:right w:val="none" w:sz="0" w:space="0" w:color="auto"/>
              </w:divBdr>
            </w:div>
            <w:div w:id="1587810315">
              <w:marLeft w:val="0"/>
              <w:marRight w:val="0"/>
              <w:marTop w:val="0"/>
              <w:marBottom w:val="0"/>
              <w:divBdr>
                <w:top w:val="none" w:sz="0" w:space="0" w:color="auto"/>
                <w:left w:val="none" w:sz="0" w:space="0" w:color="auto"/>
                <w:bottom w:val="none" w:sz="0" w:space="0" w:color="auto"/>
                <w:right w:val="none" w:sz="0" w:space="0" w:color="auto"/>
              </w:divBdr>
            </w:div>
            <w:div w:id="274945111">
              <w:marLeft w:val="0"/>
              <w:marRight w:val="0"/>
              <w:marTop w:val="0"/>
              <w:marBottom w:val="0"/>
              <w:divBdr>
                <w:top w:val="none" w:sz="0" w:space="0" w:color="auto"/>
                <w:left w:val="none" w:sz="0" w:space="0" w:color="auto"/>
                <w:bottom w:val="none" w:sz="0" w:space="0" w:color="auto"/>
                <w:right w:val="none" w:sz="0" w:space="0" w:color="auto"/>
              </w:divBdr>
            </w:div>
            <w:div w:id="882669011">
              <w:marLeft w:val="0"/>
              <w:marRight w:val="0"/>
              <w:marTop w:val="0"/>
              <w:marBottom w:val="0"/>
              <w:divBdr>
                <w:top w:val="none" w:sz="0" w:space="0" w:color="auto"/>
                <w:left w:val="none" w:sz="0" w:space="0" w:color="auto"/>
                <w:bottom w:val="none" w:sz="0" w:space="0" w:color="auto"/>
                <w:right w:val="none" w:sz="0" w:space="0" w:color="auto"/>
              </w:divBdr>
            </w:div>
            <w:div w:id="1433864691">
              <w:marLeft w:val="0"/>
              <w:marRight w:val="0"/>
              <w:marTop w:val="0"/>
              <w:marBottom w:val="0"/>
              <w:divBdr>
                <w:top w:val="none" w:sz="0" w:space="0" w:color="auto"/>
                <w:left w:val="none" w:sz="0" w:space="0" w:color="auto"/>
                <w:bottom w:val="none" w:sz="0" w:space="0" w:color="auto"/>
                <w:right w:val="none" w:sz="0" w:space="0" w:color="auto"/>
              </w:divBdr>
            </w:div>
            <w:div w:id="1018192465">
              <w:marLeft w:val="0"/>
              <w:marRight w:val="0"/>
              <w:marTop w:val="0"/>
              <w:marBottom w:val="0"/>
              <w:divBdr>
                <w:top w:val="none" w:sz="0" w:space="0" w:color="auto"/>
                <w:left w:val="none" w:sz="0" w:space="0" w:color="auto"/>
                <w:bottom w:val="none" w:sz="0" w:space="0" w:color="auto"/>
                <w:right w:val="none" w:sz="0" w:space="0" w:color="auto"/>
              </w:divBdr>
            </w:div>
            <w:div w:id="1924489964">
              <w:marLeft w:val="0"/>
              <w:marRight w:val="0"/>
              <w:marTop w:val="0"/>
              <w:marBottom w:val="0"/>
              <w:divBdr>
                <w:top w:val="none" w:sz="0" w:space="0" w:color="auto"/>
                <w:left w:val="none" w:sz="0" w:space="0" w:color="auto"/>
                <w:bottom w:val="none" w:sz="0" w:space="0" w:color="auto"/>
                <w:right w:val="none" w:sz="0" w:space="0" w:color="auto"/>
              </w:divBdr>
            </w:div>
            <w:div w:id="723526165">
              <w:marLeft w:val="0"/>
              <w:marRight w:val="0"/>
              <w:marTop w:val="0"/>
              <w:marBottom w:val="0"/>
              <w:divBdr>
                <w:top w:val="none" w:sz="0" w:space="0" w:color="auto"/>
                <w:left w:val="none" w:sz="0" w:space="0" w:color="auto"/>
                <w:bottom w:val="none" w:sz="0" w:space="0" w:color="auto"/>
                <w:right w:val="none" w:sz="0" w:space="0" w:color="auto"/>
              </w:divBdr>
            </w:div>
            <w:div w:id="549270814">
              <w:marLeft w:val="0"/>
              <w:marRight w:val="0"/>
              <w:marTop w:val="0"/>
              <w:marBottom w:val="0"/>
              <w:divBdr>
                <w:top w:val="none" w:sz="0" w:space="0" w:color="auto"/>
                <w:left w:val="none" w:sz="0" w:space="0" w:color="auto"/>
                <w:bottom w:val="none" w:sz="0" w:space="0" w:color="auto"/>
                <w:right w:val="none" w:sz="0" w:space="0" w:color="auto"/>
              </w:divBdr>
            </w:div>
            <w:div w:id="1571621728">
              <w:marLeft w:val="0"/>
              <w:marRight w:val="0"/>
              <w:marTop w:val="0"/>
              <w:marBottom w:val="0"/>
              <w:divBdr>
                <w:top w:val="none" w:sz="0" w:space="0" w:color="auto"/>
                <w:left w:val="none" w:sz="0" w:space="0" w:color="auto"/>
                <w:bottom w:val="none" w:sz="0" w:space="0" w:color="auto"/>
                <w:right w:val="none" w:sz="0" w:space="0" w:color="auto"/>
              </w:divBdr>
            </w:div>
            <w:div w:id="1604996526">
              <w:marLeft w:val="0"/>
              <w:marRight w:val="0"/>
              <w:marTop w:val="0"/>
              <w:marBottom w:val="0"/>
              <w:divBdr>
                <w:top w:val="none" w:sz="0" w:space="0" w:color="auto"/>
                <w:left w:val="none" w:sz="0" w:space="0" w:color="auto"/>
                <w:bottom w:val="none" w:sz="0" w:space="0" w:color="auto"/>
                <w:right w:val="none" w:sz="0" w:space="0" w:color="auto"/>
              </w:divBdr>
            </w:div>
            <w:div w:id="896821817">
              <w:marLeft w:val="0"/>
              <w:marRight w:val="0"/>
              <w:marTop w:val="0"/>
              <w:marBottom w:val="0"/>
              <w:divBdr>
                <w:top w:val="none" w:sz="0" w:space="0" w:color="auto"/>
                <w:left w:val="none" w:sz="0" w:space="0" w:color="auto"/>
                <w:bottom w:val="none" w:sz="0" w:space="0" w:color="auto"/>
                <w:right w:val="none" w:sz="0" w:space="0" w:color="auto"/>
              </w:divBdr>
            </w:div>
            <w:div w:id="1047223233">
              <w:marLeft w:val="0"/>
              <w:marRight w:val="0"/>
              <w:marTop w:val="0"/>
              <w:marBottom w:val="0"/>
              <w:divBdr>
                <w:top w:val="none" w:sz="0" w:space="0" w:color="auto"/>
                <w:left w:val="none" w:sz="0" w:space="0" w:color="auto"/>
                <w:bottom w:val="none" w:sz="0" w:space="0" w:color="auto"/>
                <w:right w:val="none" w:sz="0" w:space="0" w:color="auto"/>
              </w:divBdr>
            </w:div>
            <w:div w:id="450365564">
              <w:marLeft w:val="0"/>
              <w:marRight w:val="0"/>
              <w:marTop w:val="0"/>
              <w:marBottom w:val="0"/>
              <w:divBdr>
                <w:top w:val="none" w:sz="0" w:space="0" w:color="auto"/>
                <w:left w:val="none" w:sz="0" w:space="0" w:color="auto"/>
                <w:bottom w:val="none" w:sz="0" w:space="0" w:color="auto"/>
                <w:right w:val="none" w:sz="0" w:space="0" w:color="auto"/>
              </w:divBdr>
            </w:div>
            <w:div w:id="125857926">
              <w:marLeft w:val="0"/>
              <w:marRight w:val="0"/>
              <w:marTop w:val="0"/>
              <w:marBottom w:val="0"/>
              <w:divBdr>
                <w:top w:val="none" w:sz="0" w:space="0" w:color="auto"/>
                <w:left w:val="none" w:sz="0" w:space="0" w:color="auto"/>
                <w:bottom w:val="none" w:sz="0" w:space="0" w:color="auto"/>
                <w:right w:val="none" w:sz="0" w:space="0" w:color="auto"/>
              </w:divBdr>
            </w:div>
            <w:div w:id="11034923">
              <w:marLeft w:val="0"/>
              <w:marRight w:val="0"/>
              <w:marTop w:val="0"/>
              <w:marBottom w:val="0"/>
              <w:divBdr>
                <w:top w:val="none" w:sz="0" w:space="0" w:color="auto"/>
                <w:left w:val="none" w:sz="0" w:space="0" w:color="auto"/>
                <w:bottom w:val="none" w:sz="0" w:space="0" w:color="auto"/>
                <w:right w:val="none" w:sz="0" w:space="0" w:color="auto"/>
              </w:divBdr>
            </w:div>
            <w:div w:id="1602760920">
              <w:marLeft w:val="0"/>
              <w:marRight w:val="0"/>
              <w:marTop w:val="0"/>
              <w:marBottom w:val="0"/>
              <w:divBdr>
                <w:top w:val="none" w:sz="0" w:space="0" w:color="auto"/>
                <w:left w:val="none" w:sz="0" w:space="0" w:color="auto"/>
                <w:bottom w:val="none" w:sz="0" w:space="0" w:color="auto"/>
                <w:right w:val="none" w:sz="0" w:space="0" w:color="auto"/>
              </w:divBdr>
            </w:div>
            <w:div w:id="1378318315">
              <w:marLeft w:val="0"/>
              <w:marRight w:val="0"/>
              <w:marTop w:val="0"/>
              <w:marBottom w:val="0"/>
              <w:divBdr>
                <w:top w:val="none" w:sz="0" w:space="0" w:color="auto"/>
                <w:left w:val="none" w:sz="0" w:space="0" w:color="auto"/>
                <w:bottom w:val="none" w:sz="0" w:space="0" w:color="auto"/>
                <w:right w:val="none" w:sz="0" w:space="0" w:color="auto"/>
              </w:divBdr>
            </w:div>
            <w:div w:id="627971697">
              <w:marLeft w:val="0"/>
              <w:marRight w:val="0"/>
              <w:marTop w:val="0"/>
              <w:marBottom w:val="0"/>
              <w:divBdr>
                <w:top w:val="none" w:sz="0" w:space="0" w:color="auto"/>
                <w:left w:val="none" w:sz="0" w:space="0" w:color="auto"/>
                <w:bottom w:val="none" w:sz="0" w:space="0" w:color="auto"/>
                <w:right w:val="none" w:sz="0" w:space="0" w:color="auto"/>
              </w:divBdr>
            </w:div>
            <w:div w:id="1959488070">
              <w:marLeft w:val="0"/>
              <w:marRight w:val="0"/>
              <w:marTop w:val="0"/>
              <w:marBottom w:val="0"/>
              <w:divBdr>
                <w:top w:val="none" w:sz="0" w:space="0" w:color="auto"/>
                <w:left w:val="none" w:sz="0" w:space="0" w:color="auto"/>
                <w:bottom w:val="none" w:sz="0" w:space="0" w:color="auto"/>
                <w:right w:val="none" w:sz="0" w:space="0" w:color="auto"/>
              </w:divBdr>
            </w:div>
            <w:div w:id="429356664">
              <w:marLeft w:val="0"/>
              <w:marRight w:val="0"/>
              <w:marTop w:val="0"/>
              <w:marBottom w:val="0"/>
              <w:divBdr>
                <w:top w:val="none" w:sz="0" w:space="0" w:color="auto"/>
                <w:left w:val="none" w:sz="0" w:space="0" w:color="auto"/>
                <w:bottom w:val="none" w:sz="0" w:space="0" w:color="auto"/>
                <w:right w:val="none" w:sz="0" w:space="0" w:color="auto"/>
              </w:divBdr>
            </w:div>
            <w:div w:id="259804582">
              <w:marLeft w:val="0"/>
              <w:marRight w:val="0"/>
              <w:marTop w:val="0"/>
              <w:marBottom w:val="0"/>
              <w:divBdr>
                <w:top w:val="none" w:sz="0" w:space="0" w:color="auto"/>
                <w:left w:val="none" w:sz="0" w:space="0" w:color="auto"/>
                <w:bottom w:val="none" w:sz="0" w:space="0" w:color="auto"/>
                <w:right w:val="none" w:sz="0" w:space="0" w:color="auto"/>
              </w:divBdr>
            </w:div>
            <w:div w:id="52387399">
              <w:marLeft w:val="0"/>
              <w:marRight w:val="0"/>
              <w:marTop w:val="0"/>
              <w:marBottom w:val="0"/>
              <w:divBdr>
                <w:top w:val="none" w:sz="0" w:space="0" w:color="auto"/>
                <w:left w:val="none" w:sz="0" w:space="0" w:color="auto"/>
                <w:bottom w:val="none" w:sz="0" w:space="0" w:color="auto"/>
                <w:right w:val="none" w:sz="0" w:space="0" w:color="auto"/>
              </w:divBdr>
            </w:div>
            <w:div w:id="1796213591">
              <w:marLeft w:val="0"/>
              <w:marRight w:val="0"/>
              <w:marTop w:val="0"/>
              <w:marBottom w:val="0"/>
              <w:divBdr>
                <w:top w:val="none" w:sz="0" w:space="0" w:color="auto"/>
                <w:left w:val="none" w:sz="0" w:space="0" w:color="auto"/>
                <w:bottom w:val="none" w:sz="0" w:space="0" w:color="auto"/>
                <w:right w:val="none" w:sz="0" w:space="0" w:color="auto"/>
              </w:divBdr>
            </w:div>
            <w:div w:id="493381515">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 w:id="1683431682">
              <w:marLeft w:val="0"/>
              <w:marRight w:val="0"/>
              <w:marTop w:val="0"/>
              <w:marBottom w:val="0"/>
              <w:divBdr>
                <w:top w:val="none" w:sz="0" w:space="0" w:color="auto"/>
                <w:left w:val="none" w:sz="0" w:space="0" w:color="auto"/>
                <w:bottom w:val="none" w:sz="0" w:space="0" w:color="auto"/>
                <w:right w:val="none" w:sz="0" w:space="0" w:color="auto"/>
              </w:divBdr>
            </w:div>
            <w:div w:id="1760757652">
              <w:marLeft w:val="0"/>
              <w:marRight w:val="0"/>
              <w:marTop w:val="0"/>
              <w:marBottom w:val="0"/>
              <w:divBdr>
                <w:top w:val="none" w:sz="0" w:space="0" w:color="auto"/>
                <w:left w:val="none" w:sz="0" w:space="0" w:color="auto"/>
                <w:bottom w:val="none" w:sz="0" w:space="0" w:color="auto"/>
                <w:right w:val="none" w:sz="0" w:space="0" w:color="auto"/>
              </w:divBdr>
            </w:div>
            <w:div w:id="1006636562">
              <w:marLeft w:val="0"/>
              <w:marRight w:val="0"/>
              <w:marTop w:val="0"/>
              <w:marBottom w:val="0"/>
              <w:divBdr>
                <w:top w:val="none" w:sz="0" w:space="0" w:color="auto"/>
                <w:left w:val="none" w:sz="0" w:space="0" w:color="auto"/>
                <w:bottom w:val="none" w:sz="0" w:space="0" w:color="auto"/>
                <w:right w:val="none" w:sz="0" w:space="0" w:color="auto"/>
              </w:divBdr>
            </w:div>
            <w:div w:id="1510410152">
              <w:marLeft w:val="0"/>
              <w:marRight w:val="0"/>
              <w:marTop w:val="0"/>
              <w:marBottom w:val="0"/>
              <w:divBdr>
                <w:top w:val="none" w:sz="0" w:space="0" w:color="auto"/>
                <w:left w:val="none" w:sz="0" w:space="0" w:color="auto"/>
                <w:bottom w:val="none" w:sz="0" w:space="0" w:color="auto"/>
                <w:right w:val="none" w:sz="0" w:space="0" w:color="auto"/>
              </w:divBdr>
            </w:div>
            <w:div w:id="1411199309">
              <w:marLeft w:val="0"/>
              <w:marRight w:val="0"/>
              <w:marTop w:val="0"/>
              <w:marBottom w:val="0"/>
              <w:divBdr>
                <w:top w:val="none" w:sz="0" w:space="0" w:color="auto"/>
                <w:left w:val="none" w:sz="0" w:space="0" w:color="auto"/>
                <w:bottom w:val="none" w:sz="0" w:space="0" w:color="auto"/>
                <w:right w:val="none" w:sz="0" w:space="0" w:color="auto"/>
              </w:divBdr>
            </w:div>
            <w:div w:id="2140410877">
              <w:marLeft w:val="0"/>
              <w:marRight w:val="0"/>
              <w:marTop w:val="0"/>
              <w:marBottom w:val="0"/>
              <w:divBdr>
                <w:top w:val="none" w:sz="0" w:space="0" w:color="auto"/>
                <w:left w:val="none" w:sz="0" w:space="0" w:color="auto"/>
                <w:bottom w:val="none" w:sz="0" w:space="0" w:color="auto"/>
                <w:right w:val="none" w:sz="0" w:space="0" w:color="auto"/>
              </w:divBdr>
            </w:div>
            <w:div w:id="1394081795">
              <w:marLeft w:val="0"/>
              <w:marRight w:val="0"/>
              <w:marTop w:val="0"/>
              <w:marBottom w:val="0"/>
              <w:divBdr>
                <w:top w:val="none" w:sz="0" w:space="0" w:color="auto"/>
                <w:left w:val="none" w:sz="0" w:space="0" w:color="auto"/>
                <w:bottom w:val="none" w:sz="0" w:space="0" w:color="auto"/>
                <w:right w:val="none" w:sz="0" w:space="0" w:color="auto"/>
              </w:divBdr>
            </w:div>
            <w:div w:id="1820613839">
              <w:marLeft w:val="0"/>
              <w:marRight w:val="0"/>
              <w:marTop w:val="0"/>
              <w:marBottom w:val="0"/>
              <w:divBdr>
                <w:top w:val="none" w:sz="0" w:space="0" w:color="auto"/>
                <w:left w:val="none" w:sz="0" w:space="0" w:color="auto"/>
                <w:bottom w:val="none" w:sz="0" w:space="0" w:color="auto"/>
                <w:right w:val="none" w:sz="0" w:space="0" w:color="auto"/>
              </w:divBdr>
            </w:div>
            <w:div w:id="495002083">
              <w:marLeft w:val="0"/>
              <w:marRight w:val="0"/>
              <w:marTop w:val="0"/>
              <w:marBottom w:val="0"/>
              <w:divBdr>
                <w:top w:val="none" w:sz="0" w:space="0" w:color="auto"/>
                <w:left w:val="none" w:sz="0" w:space="0" w:color="auto"/>
                <w:bottom w:val="none" w:sz="0" w:space="0" w:color="auto"/>
                <w:right w:val="none" w:sz="0" w:space="0" w:color="auto"/>
              </w:divBdr>
            </w:div>
            <w:div w:id="348526906">
              <w:marLeft w:val="0"/>
              <w:marRight w:val="0"/>
              <w:marTop w:val="0"/>
              <w:marBottom w:val="0"/>
              <w:divBdr>
                <w:top w:val="none" w:sz="0" w:space="0" w:color="auto"/>
                <w:left w:val="none" w:sz="0" w:space="0" w:color="auto"/>
                <w:bottom w:val="none" w:sz="0" w:space="0" w:color="auto"/>
                <w:right w:val="none" w:sz="0" w:space="0" w:color="auto"/>
              </w:divBdr>
            </w:div>
            <w:div w:id="1239826674">
              <w:marLeft w:val="0"/>
              <w:marRight w:val="0"/>
              <w:marTop w:val="0"/>
              <w:marBottom w:val="0"/>
              <w:divBdr>
                <w:top w:val="none" w:sz="0" w:space="0" w:color="auto"/>
                <w:left w:val="none" w:sz="0" w:space="0" w:color="auto"/>
                <w:bottom w:val="none" w:sz="0" w:space="0" w:color="auto"/>
                <w:right w:val="none" w:sz="0" w:space="0" w:color="auto"/>
              </w:divBdr>
            </w:div>
            <w:div w:id="548499314">
              <w:marLeft w:val="0"/>
              <w:marRight w:val="0"/>
              <w:marTop w:val="0"/>
              <w:marBottom w:val="0"/>
              <w:divBdr>
                <w:top w:val="none" w:sz="0" w:space="0" w:color="auto"/>
                <w:left w:val="none" w:sz="0" w:space="0" w:color="auto"/>
                <w:bottom w:val="none" w:sz="0" w:space="0" w:color="auto"/>
                <w:right w:val="none" w:sz="0" w:space="0" w:color="auto"/>
              </w:divBdr>
            </w:div>
            <w:div w:id="475874596">
              <w:marLeft w:val="0"/>
              <w:marRight w:val="0"/>
              <w:marTop w:val="0"/>
              <w:marBottom w:val="0"/>
              <w:divBdr>
                <w:top w:val="none" w:sz="0" w:space="0" w:color="auto"/>
                <w:left w:val="none" w:sz="0" w:space="0" w:color="auto"/>
                <w:bottom w:val="none" w:sz="0" w:space="0" w:color="auto"/>
                <w:right w:val="none" w:sz="0" w:space="0" w:color="auto"/>
              </w:divBdr>
            </w:div>
            <w:div w:id="432438707">
              <w:marLeft w:val="0"/>
              <w:marRight w:val="0"/>
              <w:marTop w:val="0"/>
              <w:marBottom w:val="0"/>
              <w:divBdr>
                <w:top w:val="none" w:sz="0" w:space="0" w:color="auto"/>
                <w:left w:val="none" w:sz="0" w:space="0" w:color="auto"/>
                <w:bottom w:val="none" w:sz="0" w:space="0" w:color="auto"/>
                <w:right w:val="none" w:sz="0" w:space="0" w:color="auto"/>
              </w:divBdr>
            </w:div>
            <w:div w:id="1681736284">
              <w:marLeft w:val="0"/>
              <w:marRight w:val="0"/>
              <w:marTop w:val="0"/>
              <w:marBottom w:val="0"/>
              <w:divBdr>
                <w:top w:val="none" w:sz="0" w:space="0" w:color="auto"/>
                <w:left w:val="none" w:sz="0" w:space="0" w:color="auto"/>
                <w:bottom w:val="none" w:sz="0" w:space="0" w:color="auto"/>
                <w:right w:val="none" w:sz="0" w:space="0" w:color="auto"/>
              </w:divBdr>
            </w:div>
            <w:div w:id="1738741558">
              <w:marLeft w:val="0"/>
              <w:marRight w:val="0"/>
              <w:marTop w:val="0"/>
              <w:marBottom w:val="0"/>
              <w:divBdr>
                <w:top w:val="none" w:sz="0" w:space="0" w:color="auto"/>
                <w:left w:val="none" w:sz="0" w:space="0" w:color="auto"/>
                <w:bottom w:val="none" w:sz="0" w:space="0" w:color="auto"/>
                <w:right w:val="none" w:sz="0" w:space="0" w:color="auto"/>
              </w:divBdr>
            </w:div>
            <w:div w:id="187911317">
              <w:marLeft w:val="0"/>
              <w:marRight w:val="0"/>
              <w:marTop w:val="0"/>
              <w:marBottom w:val="0"/>
              <w:divBdr>
                <w:top w:val="none" w:sz="0" w:space="0" w:color="auto"/>
                <w:left w:val="none" w:sz="0" w:space="0" w:color="auto"/>
                <w:bottom w:val="none" w:sz="0" w:space="0" w:color="auto"/>
                <w:right w:val="none" w:sz="0" w:space="0" w:color="auto"/>
              </w:divBdr>
            </w:div>
            <w:div w:id="2133475666">
              <w:marLeft w:val="0"/>
              <w:marRight w:val="0"/>
              <w:marTop w:val="0"/>
              <w:marBottom w:val="0"/>
              <w:divBdr>
                <w:top w:val="none" w:sz="0" w:space="0" w:color="auto"/>
                <w:left w:val="none" w:sz="0" w:space="0" w:color="auto"/>
                <w:bottom w:val="none" w:sz="0" w:space="0" w:color="auto"/>
                <w:right w:val="none" w:sz="0" w:space="0" w:color="auto"/>
              </w:divBdr>
            </w:div>
            <w:div w:id="2100712997">
              <w:marLeft w:val="0"/>
              <w:marRight w:val="0"/>
              <w:marTop w:val="0"/>
              <w:marBottom w:val="0"/>
              <w:divBdr>
                <w:top w:val="none" w:sz="0" w:space="0" w:color="auto"/>
                <w:left w:val="none" w:sz="0" w:space="0" w:color="auto"/>
                <w:bottom w:val="none" w:sz="0" w:space="0" w:color="auto"/>
                <w:right w:val="none" w:sz="0" w:space="0" w:color="auto"/>
              </w:divBdr>
            </w:div>
            <w:div w:id="2031102987">
              <w:marLeft w:val="0"/>
              <w:marRight w:val="0"/>
              <w:marTop w:val="0"/>
              <w:marBottom w:val="0"/>
              <w:divBdr>
                <w:top w:val="none" w:sz="0" w:space="0" w:color="auto"/>
                <w:left w:val="none" w:sz="0" w:space="0" w:color="auto"/>
                <w:bottom w:val="none" w:sz="0" w:space="0" w:color="auto"/>
                <w:right w:val="none" w:sz="0" w:space="0" w:color="auto"/>
              </w:divBdr>
            </w:div>
            <w:div w:id="1078206570">
              <w:marLeft w:val="0"/>
              <w:marRight w:val="0"/>
              <w:marTop w:val="0"/>
              <w:marBottom w:val="0"/>
              <w:divBdr>
                <w:top w:val="none" w:sz="0" w:space="0" w:color="auto"/>
                <w:left w:val="none" w:sz="0" w:space="0" w:color="auto"/>
                <w:bottom w:val="none" w:sz="0" w:space="0" w:color="auto"/>
                <w:right w:val="none" w:sz="0" w:space="0" w:color="auto"/>
              </w:divBdr>
            </w:div>
            <w:div w:id="472217937">
              <w:marLeft w:val="0"/>
              <w:marRight w:val="0"/>
              <w:marTop w:val="0"/>
              <w:marBottom w:val="0"/>
              <w:divBdr>
                <w:top w:val="none" w:sz="0" w:space="0" w:color="auto"/>
                <w:left w:val="none" w:sz="0" w:space="0" w:color="auto"/>
                <w:bottom w:val="none" w:sz="0" w:space="0" w:color="auto"/>
                <w:right w:val="none" w:sz="0" w:space="0" w:color="auto"/>
              </w:divBdr>
            </w:div>
            <w:div w:id="1459761573">
              <w:marLeft w:val="0"/>
              <w:marRight w:val="0"/>
              <w:marTop w:val="0"/>
              <w:marBottom w:val="0"/>
              <w:divBdr>
                <w:top w:val="none" w:sz="0" w:space="0" w:color="auto"/>
                <w:left w:val="none" w:sz="0" w:space="0" w:color="auto"/>
                <w:bottom w:val="none" w:sz="0" w:space="0" w:color="auto"/>
                <w:right w:val="none" w:sz="0" w:space="0" w:color="auto"/>
              </w:divBdr>
            </w:div>
            <w:div w:id="474493667">
              <w:marLeft w:val="0"/>
              <w:marRight w:val="0"/>
              <w:marTop w:val="0"/>
              <w:marBottom w:val="0"/>
              <w:divBdr>
                <w:top w:val="none" w:sz="0" w:space="0" w:color="auto"/>
                <w:left w:val="none" w:sz="0" w:space="0" w:color="auto"/>
                <w:bottom w:val="none" w:sz="0" w:space="0" w:color="auto"/>
                <w:right w:val="none" w:sz="0" w:space="0" w:color="auto"/>
              </w:divBdr>
            </w:div>
            <w:div w:id="993799475">
              <w:marLeft w:val="0"/>
              <w:marRight w:val="0"/>
              <w:marTop w:val="0"/>
              <w:marBottom w:val="0"/>
              <w:divBdr>
                <w:top w:val="none" w:sz="0" w:space="0" w:color="auto"/>
                <w:left w:val="none" w:sz="0" w:space="0" w:color="auto"/>
                <w:bottom w:val="none" w:sz="0" w:space="0" w:color="auto"/>
                <w:right w:val="none" w:sz="0" w:space="0" w:color="auto"/>
              </w:divBdr>
            </w:div>
            <w:div w:id="442113908">
              <w:marLeft w:val="0"/>
              <w:marRight w:val="0"/>
              <w:marTop w:val="0"/>
              <w:marBottom w:val="0"/>
              <w:divBdr>
                <w:top w:val="none" w:sz="0" w:space="0" w:color="auto"/>
                <w:left w:val="none" w:sz="0" w:space="0" w:color="auto"/>
                <w:bottom w:val="none" w:sz="0" w:space="0" w:color="auto"/>
                <w:right w:val="none" w:sz="0" w:space="0" w:color="auto"/>
              </w:divBdr>
            </w:div>
            <w:div w:id="857736318">
              <w:marLeft w:val="0"/>
              <w:marRight w:val="0"/>
              <w:marTop w:val="0"/>
              <w:marBottom w:val="0"/>
              <w:divBdr>
                <w:top w:val="none" w:sz="0" w:space="0" w:color="auto"/>
                <w:left w:val="none" w:sz="0" w:space="0" w:color="auto"/>
                <w:bottom w:val="none" w:sz="0" w:space="0" w:color="auto"/>
                <w:right w:val="none" w:sz="0" w:space="0" w:color="auto"/>
              </w:divBdr>
            </w:div>
            <w:div w:id="1516773260">
              <w:marLeft w:val="0"/>
              <w:marRight w:val="0"/>
              <w:marTop w:val="0"/>
              <w:marBottom w:val="0"/>
              <w:divBdr>
                <w:top w:val="none" w:sz="0" w:space="0" w:color="auto"/>
                <w:left w:val="none" w:sz="0" w:space="0" w:color="auto"/>
                <w:bottom w:val="none" w:sz="0" w:space="0" w:color="auto"/>
                <w:right w:val="none" w:sz="0" w:space="0" w:color="auto"/>
              </w:divBdr>
            </w:div>
            <w:div w:id="1165626133">
              <w:marLeft w:val="0"/>
              <w:marRight w:val="0"/>
              <w:marTop w:val="0"/>
              <w:marBottom w:val="0"/>
              <w:divBdr>
                <w:top w:val="none" w:sz="0" w:space="0" w:color="auto"/>
                <w:left w:val="none" w:sz="0" w:space="0" w:color="auto"/>
                <w:bottom w:val="none" w:sz="0" w:space="0" w:color="auto"/>
                <w:right w:val="none" w:sz="0" w:space="0" w:color="auto"/>
              </w:divBdr>
            </w:div>
            <w:div w:id="613249706">
              <w:marLeft w:val="0"/>
              <w:marRight w:val="0"/>
              <w:marTop w:val="0"/>
              <w:marBottom w:val="0"/>
              <w:divBdr>
                <w:top w:val="none" w:sz="0" w:space="0" w:color="auto"/>
                <w:left w:val="none" w:sz="0" w:space="0" w:color="auto"/>
                <w:bottom w:val="none" w:sz="0" w:space="0" w:color="auto"/>
                <w:right w:val="none" w:sz="0" w:space="0" w:color="auto"/>
              </w:divBdr>
            </w:div>
            <w:div w:id="4485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8349">
      <w:bodyDiv w:val="1"/>
      <w:marLeft w:val="0"/>
      <w:marRight w:val="0"/>
      <w:marTop w:val="0"/>
      <w:marBottom w:val="0"/>
      <w:divBdr>
        <w:top w:val="none" w:sz="0" w:space="0" w:color="auto"/>
        <w:left w:val="none" w:sz="0" w:space="0" w:color="auto"/>
        <w:bottom w:val="none" w:sz="0" w:space="0" w:color="auto"/>
        <w:right w:val="none" w:sz="0" w:space="0" w:color="auto"/>
      </w:divBdr>
    </w:div>
    <w:div w:id="436797749">
      <w:bodyDiv w:val="1"/>
      <w:marLeft w:val="0"/>
      <w:marRight w:val="0"/>
      <w:marTop w:val="0"/>
      <w:marBottom w:val="0"/>
      <w:divBdr>
        <w:top w:val="none" w:sz="0" w:space="0" w:color="auto"/>
        <w:left w:val="none" w:sz="0" w:space="0" w:color="auto"/>
        <w:bottom w:val="none" w:sz="0" w:space="0" w:color="auto"/>
        <w:right w:val="none" w:sz="0" w:space="0" w:color="auto"/>
      </w:divBdr>
    </w:div>
    <w:div w:id="568733293">
      <w:bodyDiv w:val="1"/>
      <w:marLeft w:val="0"/>
      <w:marRight w:val="0"/>
      <w:marTop w:val="0"/>
      <w:marBottom w:val="0"/>
      <w:divBdr>
        <w:top w:val="none" w:sz="0" w:space="0" w:color="auto"/>
        <w:left w:val="none" w:sz="0" w:space="0" w:color="auto"/>
        <w:bottom w:val="none" w:sz="0" w:space="0" w:color="auto"/>
        <w:right w:val="none" w:sz="0" w:space="0" w:color="auto"/>
      </w:divBdr>
    </w:div>
    <w:div w:id="848494997">
      <w:bodyDiv w:val="1"/>
      <w:marLeft w:val="0"/>
      <w:marRight w:val="0"/>
      <w:marTop w:val="0"/>
      <w:marBottom w:val="0"/>
      <w:divBdr>
        <w:top w:val="none" w:sz="0" w:space="0" w:color="auto"/>
        <w:left w:val="none" w:sz="0" w:space="0" w:color="auto"/>
        <w:bottom w:val="none" w:sz="0" w:space="0" w:color="auto"/>
        <w:right w:val="none" w:sz="0" w:space="0" w:color="auto"/>
      </w:divBdr>
    </w:div>
    <w:div w:id="955331532">
      <w:bodyDiv w:val="1"/>
      <w:marLeft w:val="0"/>
      <w:marRight w:val="0"/>
      <w:marTop w:val="0"/>
      <w:marBottom w:val="0"/>
      <w:divBdr>
        <w:top w:val="none" w:sz="0" w:space="0" w:color="auto"/>
        <w:left w:val="none" w:sz="0" w:space="0" w:color="auto"/>
        <w:bottom w:val="none" w:sz="0" w:space="0" w:color="auto"/>
        <w:right w:val="none" w:sz="0" w:space="0" w:color="auto"/>
      </w:divBdr>
    </w:div>
    <w:div w:id="1155103267">
      <w:bodyDiv w:val="1"/>
      <w:marLeft w:val="0"/>
      <w:marRight w:val="0"/>
      <w:marTop w:val="0"/>
      <w:marBottom w:val="0"/>
      <w:divBdr>
        <w:top w:val="none" w:sz="0" w:space="0" w:color="auto"/>
        <w:left w:val="none" w:sz="0" w:space="0" w:color="auto"/>
        <w:bottom w:val="none" w:sz="0" w:space="0" w:color="auto"/>
        <w:right w:val="none" w:sz="0" w:space="0" w:color="auto"/>
      </w:divBdr>
      <w:divsChild>
        <w:div w:id="1115565041">
          <w:marLeft w:val="0"/>
          <w:marRight w:val="0"/>
          <w:marTop w:val="0"/>
          <w:marBottom w:val="0"/>
          <w:divBdr>
            <w:top w:val="none" w:sz="0" w:space="0" w:color="auto"/>
            <w:left w:val="none" w:sz="0" w:space="0" w:color="auto"/>
            <w:bottom w:val="none" w:sz="0" w:space="0" w:color="auto"/>
            <w:right w:val="none" w:sz="0" w:space="0" w:color="auto"/>
          </w:divBdr>
        </w:div>
      </w:divsChild>
    </w:div>
    <w:div w:id="1291403018">
      <w:bodyDiv w:val="1"/>
      <w:marLeft w:val="0"/>
      <w:marRight w:val="0"/>
      <w:marTop w:val="0"/>
      <w:marBottom w:val="0"/>
      <w:divBdr>
        <w:top w:val="none" w:sz="0" w:space="0" w:color="auto"/>
        <w:left w:val="none" w:sz="0" w:space="0" w:color="auto"/>
        <w:bottom w:val="none" w:sz="0" w:space="0" w:color="auto"/>
        <w:right w:val="none" w:sz="0" w:space="0" w:color="auto"/>
      </w:divBdr>
      <w:divsChild>
        <w:div w:id="1528057850">
          <w:marLeft w:val="0"/>
          <w:marRight w:val="0"/>
          <w:marTop w:val="0"/>
          <w:marBottom w:val="0"/>
          <w:divBdr>
            <w:top w:val="none" w:sz="0" w:space="0" w:color="auto"/>
            <w:left w:val="none" w:sz="0" w:space="0" w:color="auto"/>
            <w:bottom w:val="none" w:sz="0" w:space="0" w:color="auto"/>
            <w:right w:val="none" w:sz="0" w:space="0" w:color="auto"/>
          </w:divBdr>
          <w:divsChild>
            <w:div w:id="51929374">
              <w:marLeft w:val="1750"/>
              <w:marRight w:val="1750"/>
              <w:marTop w:val="0"/>
              <w:marBottom w:val="0"/>
              <w:divBdr>
                <w:top w:val="none" w:sz="0" w:space="0" w:color="auto"/>
                <w:left w:val="none" w:sz="0" w:space="0" w:color="auto"/>
                <w:bottom w:val="none" w:sz="0" w:space="0" w:color="auto"/>
                <w:right w:val="none" w:sz="0" w:space="0" w:color="auto"/>
              </w:divBdr>
              <w:divsChild>
                <w:div w:id="827096330">
                  <w:marLeft w:val="0"/>
                  <w:marRight w:val="0"/>
                  <w:marTop w:val="0"/>
                  <w:marBottom w:val="0"/>
                  <w:divBdr>
                    <w:top w:val="none" w:sz="0" w:space="0" w:color="auto"/>
                    <w:left w:val="none" w:sz="0" w:space="0" w:color="auto"/>
                    <w:bottom w:val="none" w:sz="0" w:space="0" w:color="auto"/>
                    <w:right w:val="none" w:sz="0" w:space="0" w:color="auto"/>
                  </w:divBdr>
                  <w:divsChild>
                    <w:div w:id="624777113">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 w:id="1308316672">
      <w:bodyDiv w:val="1"/>
      <w:marLeft w:val="0"/>
      <w:marRight w:val="0"/>
      <w:marTop w:val="0"/>
      <w:marBottom w:val="0"/>
      <w:divBdr>
        <w:top w:val="none" w:sz="0" w:space="0" w:color="auto"/>
        <w:left w:val="none" w:sz="0" w:space="0" w:color="auto"/>
        <w:bottom w:val="none" w:sz="0" w:space="0" w:color="auto"/>
        <w:right w:val="none" w:sz="0" w:space="0" w:color="auto"/>
      </w:divBdr>
    </w:div>
    <w:div w:id="1453210861">
      <w:bodyDiv w:val="1"/>
      <w:marLeft w:val="0"/>
      <w:marRight w:val="0"/>
      <w:marTop w:val="0"/>
      <w:marBottom w:val="0"/>
      <w:divBdr>
        <w:top w:val="none" w:sz="0" w:space="0" w:color="auto"/>
        <w:left w:val="none" w:sz="0" w:space="0" w:color="auto"/>
        <w:bottom w:val="none" w:sz="0" w:space="0" w:color="auto"/>
        <w:right w:val="none" w:sz="0" w:space="0" w:color="auto"/>
      </w:divBdr>
      <w:divsChild>
        <w:div w:id="190802263">
          <w:marLeft w:val="0"/>
          <w:marRight w:val="0"/>
          <w:marTop w:val="0"/>
          <w:marBottom w:val="0"/>
          <w:divBdr>
            <w:top w:val="none" w:sz="0" w:space="0" w:color="auto"/>
            <w:left w:val="none" w:sz="0" w:space="0" w:color="auto"/>
            <w:bottom w:val="none" w:sz="0" w:space="0" w:color="auto"/>
            <w:right w:val="none" w:sz="0" w:space="0" w:color="auto"/>
          </w:divBdr>
          <w:divsChild>
            <w:div w:id="1768501989">
              <w:marLeft w:val="1750"/>
              <w:marRight w:val="1750"/>
              <w:marTop w:val="0"/>
              <w:marBottom w:val="0"/>
              <w:divBdr>
                <w:top w:val="none" w:sz="0" w:space="0" w:color="auto"/>
                <w:left w:val="none" w:sz="0" w:space="0" w:color="auto"/>
                <w:bottom w:val="none" w:sz="0" w:space="0" w:color="auto"/>
                <w:right w:val="none" w:sz="0" w:space="0" w:color="auto"/>
              </w:divBdr>
              <w:divsChild>
                <w:div w:id="405877903">
                  <w:marLeft w:val="0"/>
                  <w:marRight w:val="0"/>
                  <w:marTop w:val="0"/>
                  <w:marBottom w:val="0"/>
                  <w:divBdr>
                    <w:top w:val="none" w:sz="0" w:space="0" w:color="auto"/>
                    <w:left w:val="none" w:sz="0" w:space="0" w:color="auto"/>
                    <w:bottom w:val="none" w:sz="0" w:space="0" w:color="auto"/>
                    <w:right w:val="none" w:sz="0" w:space="0" w:color="auto"/>
                  </w:divBdr>
                  <w:divsChild>
                    <w:div w:id="1231423399">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 w:id="1506826735">
      <w:bodyDiv w:val="1"/>
      <w:marLeft w:val="0"/>
      <w:marRight w:val="0"/>
      <w:marTop w:val="0"/>
      <w:marBottom w:val="0"/>
      <w:divBdr>
        <w:top w:val="none" w:sz="0" w:space="0" w:color="auto"/>
        <w:left w:val="none" w:sz="0" w:space="0" w:color="auto"/>
        <w:bottom w:val="none" w:sz="0" w:space="0" w:color="auto"/>
        <w:right w:val="none" w:sz="0" w:space="0" w:color="auto"/>
      </w:divBdr>
    </w:div>
    <w:div w:id="1895895499">
      <w:bodyDiv w:val="1"/>
      <w:marLeft w:val="0"/>
      <w:marRight w:val="0"/>
      <w:marTop w:val="0"/>
      <w:marBottom w:val="0"/>
      <w:divBdr>
        <w:top w:val="none" w:sz="0" w:space="0" w:color="auto"/>
        <w:left w:val="none" w:sz="0" w:space="0" w:color="auto"/>
        <w:bottom w:val="none" w:sz="0" w:space="0" w:color="auto"/>
        <w:right w:val="none" w:sz="0" w:space="0" w:color="auto"/>
      </w:divBdr>
    </w:div>
    <w:div w:id="206748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EA95-FF42-49C3-88A6-625F0C36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3068</Words>
  <Characters>17494</Characters>
  <Application>Microsoft Office Word</Application>
  <DocSecurity>0</DocSecurity>
  <Lines>145</Lines>
  <Paragraphs>41</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Documento</vt:lpstr>
      <vt:lpstr>Documento</vt:lpstr>
      <vt:lpstr>Documento</vt:lpstr>
    </vt:vector>
  </TitlesOfParts>
  <Company>Cattaneo Zanetto &amp; Co.</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Paolo Zanetto</dc:creator>
  <cp:lastModifiedBy>Caterina</cp:lastModifiedBy>
  <cp:revision>2</cp:revision>
  <cp:lastPrinted>2003-10-30T16:00:00Z</cp:lastPrinted>
  <dcterms:created xsi:type="dcterms:W3CDTF">2016-12-29T14:05:00Z</dcterms:created>
  <dcterms:modified xsi:type="dcterms:W3CDTF">2016-12-29T14:05:00Z</dcterms:modified>
</cp:coreProperties>
</file>