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F3F30" w:rsidTr="00315E96">
        <w:trPr>
          <w:trHeight w:val="284"/>
        </w:trPr>
        <w:tc>
          <w:tcPr>
            <w:tcW w:w="9412" w:type="dxa"/>
          </w:tcPr>
          <w:p w:rsidR="00C2094B" w:rsidRPr="00AF3F30" w:rsidRDefault="00AF3F30" w:rsidP="00AF3F30">
            <w:pPr>
              <w:pStyle w:val="00bDBInfo"/>
              <w:rPr>
                <w:rFonts w:cs="Arial"/>
              </w:rPr>
            </w:pPr>
            <w:r>
              <w:rPr>
                <w:rFonts w:cs="Arial"/>
              </w:rPr>
              <w:t xml:space="preserve">                                                                                                           </w:t>
            </w:r>
            <w:r w:rsidRPr="00AF3F30">
              <w:rPr>
                <w:rFonts w:cs="Arial"/>
              </w:rPr>
              <w:t>03 October 2016</w:t>
            </w:r>
            <w:r>
              <w:rPr>
                <w:rFonts w:cs="Arial"/>
              </w:rPr>
              <w:t xml:space="preserve"> </w:t>
            </w:r>
            <w:r w:rsidRPr="00A52EBB">
              <w:rPr>
                <w:rFonts w:cs="Arial"/>
                <w:color w:val="FFFFFF" w:themeColor="background1"/>
                <w:sz w:val="22"/>
                <w:szCs w:val="22"/>
              </w:rPr>
              <w:t>| ESMA/2016/</w:t>
            </w:r>
            <w:r>
              <w:rPr>
                <w:rFonts w:cs="Arial"/>
                <w:color w:val="FFFFFF" w:themeColor="background1"/>
                <w:sz w:val="22"/>
                <w:szCs w:val="22"/>
              </w:rPr>
              <w:t>1422</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A91129">
              <w:rPr>
                <w:rFonts w:cs="Arial"/>
              </w:rPr>
              <w:t xml:space="preserve">RTS specifying </w:t>
            </w:r>
            <w:r w:rsidR="00725FB1" w:rsidRPr="00725FB1">
              <w:rPr>
                <w:rFonts w:cs="Arial"/>
              </w:rPr>
              <w:t>the scope of the consolidated tape for non-equity financial instruments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E21E62" w:rsidP="00E21E62">
            <w:pPr>
              <w:pStyle w:val="02Date"/>
              <w:rPr>
                <w:rFonts w:cs="Arial"/>
              </w:rPr>
            </w:pPr>
            <w:r>
              <w:rPr>
                <w:rFonts w:cs="Arial"/>
              </w:rPr>
              <w:lastRenderedPageBreak/>
              <w:t>Date:</w:t>
            </w:r>
            <w:r w:rsidR="00763C53">
              <w:rPr>
                <w:rFonts w:cs="Arial"/>
              </w:rPr>
              <w:t xml:space="preserve"> </w:t>
            </w:r>
            <w:r>
              <w:rPr>
                <w:rFonts w:cs="Arial"/>
              </w:rPr>
              <w:t xml:space="preserve">03 </w:t>
            </w:r>
            <w:r w:rsidRPr="00E21E62">
              <w:rPr>
                <w:rFonts w:cs="Arial"/>
              </w:rPr>
              <w:t>October</w:t>
            </w:r>
            <w:r w:rsidR="004E49B0" w:rsidRPr="00E21E62">
              <w:rPr>
                <w:rFonts w:cs="Arial"/>
              </w:rPr>
              <w:t xml:space="preserve"> 201</w:t>
            </w:r>
            <w:r w:rsidRPr="00E21E62">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5A06A0">
        <w:rPr>
          <w:rFonts w:cs="Arial"/>
        </w:rPr>
        <w:t>the s</w:t>
      </w:r>
      <w:r w:rsidR="005A06A0" w:rsidRPr="005A06A0">
        <w:rPr>
          <w:rFonts w:cs="Arial"/>
        </w:rPr>
        <w:t>cope of the consolidated tape for non-equity financial instr</w:t>
      </w:r>
      <w:r w:rsidR="005A06A0" w:rsidRPr="005A06A0">
        <w:rPr>
          <w:rFonts w:cs="Arial"/>
        </w:rPr>
        <w:t>u</w:t>
      </w:r>
      <w:r w:rsidR="005A06A0" w:rsidRPr="005A06A0">
        <w:rPr>
          <w:rFonts w:cs="Arial"/>
        </w:rPr>
        <w:t>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5A06A0">
        <w:rPr>
          <w:rFonts w:cs="Arial"/>
        </w:rPr>
        <w:t>NET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proofErr w:type="spellStart"/>
      <w:r w:rsidRPr="00EF0769">
        <w:rPr>
          <w:rFonts w:cs="Arial"/>
        </w:rPr>
        <w:t>ESMA_MiFID_</w:t>
      </w:r>
      <w:r w:rsidR="005A06A0">
        <w:rPr>
          <w:rFonts w:cs="Arial"/>
        </w:rPr>
        <w:t>NET</w:t>
      </w:r>
      <w:r w:rsidRPr="00EF0769">
        <w:rPr>
          <w:rFonts w:cs="Arial"/>
        </w:rPr>
        <w:t>_NAMEOFCOMPANY_NAMEOFDOCUMENT</w:t>
      </w:r>
      <w:proofErr w:type="spellEnd"/>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proofErr w:type="spellStart"/>
      <w:r w:rsidRPr="00EF0769">
        <w:rPr>
          <w:rFonts w:cs="Arial"/>
        </w:rPr>
        <w:t>ESMA_MiFID</w:t>
      </w:r>
      <w:r w:rsidR="00332304">
        <w:rPr>
          <w:rFonts w:cs="Arial"/>
        </w:rPr>
        <w:t>_</w:t>
      </w:r>
      <w:r w:rsidR="005A06A0">
        <w:rPr>
          <w:rFonts w:cs="Arial"/>
        </w:rPr>
        <w:t>NET</w:t>
      </w:r>
      <w:r w:rsidR="00332304">
        <w:rPr>
          <w:rFonts w:cs="Arial"/>
        </w:rPr>
        <w:t>_</w:t>
      </w:r>
      <w:r w:rsidRPr="00EF0769">
        <w:rPr>
          <w:rFonts w:cs="Arial"/>
        </w:rPr>
        <w:t>ESMA_REPLYFORM</w:t>
      </w:r>
      <w:proofErr w:type="spellEnd"/>
      <w:r w:rsidRPr="00EF0769">
        <w:rPr>
          <w:rFonts w:cs="Arial"/>
        </w:rPr>
        <w:t xml:space="preserve"> or </w:t>
      </w:r>
    </w:p>
    <w:p w:rsidR="000D17AA" w:rsidRPr="00EF0769" w:rsidRDefault="00021E83" w:rsidP="000D17AA">
      <w:pPr>
        <w:pStyle w:val="04BodyText"/>
        <w:spacing w:before="120" w:after="120"/>
        <w:jc w:val="left"/>
        <w:rPr>
          <w:rFonts w:cs="Arial"/>
        </w:rPr>
      </w:pPr>
      <w:r w:rsidRPr="00EF0769">
        <w:rPr>
          <w:rFonts w:cs="Arial"/>
        </w:rPr>
        <w:t>ESMA_MiFID_</w:t>
      </w:r>
      <w:r w:rsidR="005A06A0">
        <w:rPr>
          <w:rFonts w:cs="Arial"/>
        </w:rPr>
        <w:t>NET</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63C53">
        <w:rPr>
          <w:rFonts w:cs="Arial"/>
          <w:b/>
        </w:rPr>
        <w:t>05</w:t>
      </w:r>
      <w:r w:rsidR="00E21E62" w:rsidRPr="00E21E62">
        <w:rPr>
          <w:rFonts w:cs="Arial"/>
          <w:b/>
        </w:rPr>
        <w:t xml:space="preserve"> </w:t>
      </w:r>
      <w:r w:rsidR="00763C53">
        <w:rPr>
          <w:rFonts w:cs="Arial"/>
          <w:b/>
        </w:rPr>
        <w:t>December</w:t>
      </w:r>
      <w:r w:rsidR="00E21E62" w:rsidRPr="00E21E62">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4"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3A3207" w:rsidRDefault="003A3207"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5"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 ‘Legal notice’</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Default="00D34282" w:rsidP="00D34282">
      <w:r w:rsidRPr="00C25863">
        <w:t>&lt;</w:t>
      </w:r>
      <w:r w:rsidRPr="00D74C9D">
        <w:t xml:space="preserve"> </w:t>
      </w:r>
      <w:r>
        <w:t>ESMA_COMMENT</w:t>
      </w:r>
      <w:r w:rsidR="00D920D1">
        <w:t>_MIFID</w:t>
      </w:r>
      <w:r w:rsidR="00070630">
        <w:t>_NET_</w:t>
      </w:r>
      <w:r w:rsidR="00A91129">
        <w:t>0</w:t>
      </w:r>
      <w:r w:rsidRPr="00C25863">
        <w:t>&gt;</w:t>
      </w:r>
    </w:p>
    <w:p w:rsidR="00F9562A" w:rsidRPr="00C25863" w:rsidRDefault="00F9562A" w:rsidP="00D34282"/>
    <w:p w:rsidR="00F9562A" w:rsidRPr="00A97461" w:rsidRDefault="00F9562A" w:rsidP="00F9562A">
      <w:pPr>
        <w:rPr>
          <w:rFonts w:cs="Arial"/>
          <w:sz w:val="22"/>
          <w:szCs w:val="22"/>
          <w:lang w:val="en-US" w:eastAsia="en-US"/>
        </w:rPr>
      </w:pPr>
      <w:permStart w:id="1099254490" w:edGrp="everyone"/>
      <w:r w:rsidRPr="00A97461">
        <w:rPr>
          <w:rFonts w:cs="Arial"/>
          <w:sz w:val="22"/>
          <w:szCs w:val="22"/>
          <w:lang w:val="en-US" w:eastAsia="en-US"/>
        </w:rPr>
        <w:t xml:space="preserve">EU Transparency Register: 550494915045-08 – contact:  Ms. Beata Sivak: </w:t>
      </w:r>
      <w:hyperlink r:id="rId16" w:history="1">
        <w:r w:rsidRPr="00A97461">
          <w:rPr>
            <w:rFonts w:cs="Arial"/>
            <w:sz w:val="22"/>
            <w:szCs w:val="22"/>
            <w:lang w:val="en-US" w:eastAsia="en-US"/>
          </w:rPr>
          <w:t>BSivak@lseg.com</w:t>
        </w:r>
      </w:hyperlink>
    </w:p>
    <w:p w:rsidR="00F9562A" w:rsidRPr="00A97461" w:rsidRDefault="00F9562A" w:rsidP="00F9562A">
      <w:pPr>
        <w:rPr>
          <w:rFonts w:cs="Arial"/>
          <w:sz w:val="22"/>
          <w:szCs w:val="22"/>
          <w:lang w:val="en-US" w:eastAsia="en-US"/>
        </w:rPr>
      </w:pPr>
    </w:p>
    <w:p w:rsidR="00F9562A" w:rsidRPr="00A97461" w:rsidRDefault="00F9562A" w:rsidP="00F9562A">
      <w:pPr>
        <w:rPr>
          <w:rFonts w:cs="Arial"/>
          <w:b/>
          <w:sz w:val="22"/>
          <w:szCs w:val="22"/>
          <w:lang w:val="en-US" w:eastAsia="en-US"/>
        </w:rPr>
      </w:pPr>
      <w:r w:rsidRPr="00A97461">
        <w:rPr>
          <w:rFonts w:cs="Arial"/>
          <w:b/>
          <w:sz w:val="22"/>
          <w:szCs w:val="22"/>
          <w:lang w:val="en-US" w:eastAsia="en-US"/>
        </w:rPr>
        <w:t>About London Stock Exchange Group</w:t>
      </w:r>
    </w:p>
    <w:p w:rsidR="00F9562A" w:rsidRPr="00A97461" w:rsidRDefault="00F9562A" w:rsidP="00F9562A">
      <w:pPr>
        <w:rPr>
          <w:rFonts w:cs="Arial"/>
          <w:sz w:val="22"/>
          <w:szCs w:val="22"/>
          <w:lang w:val="en-US" w:eastAsia="en-US"/>
        </w:rPr>
      </w:pPr>
    </w:p>
    <w:p w:rsidR="00F9562A" w:rsidRPr="00A97461" w:rsidRDefault="00F9562A" w:rsidP="00F9562A">
      <w:pPr>
        <w:rPr>
          <w:rFonts w:cs="Arial"/>
          <w:sz w:val="22"/>
          <w:szCs w:val="22"/>
          <w:lang w:val="en-US" w:eastAsia="en-US"/>
        </w:rPr>
      </w:pPr>
      <w:r w:rsidRPr="00A97461">
        <w:rPr>
          <w:rFonts w:cs="Arial"/>
          <w:sz w:val="22"/>
          <w:szCs w:val="22"/>
          <w:lang w:val="en-US" w:eastAsia="en-US"/>
        </w:rPr>
        <w:t>London Stock Exchange Group (LSE.L) is a diversified internation</w:t>
      </w:r>
      <w:bookmarkStart w:id="3" w:name="_GoBack"/>
      <w:bookmarkEnd w:id="3"/>
      <w:r w:rsidRPr="00A97461">
        <w:rPr>
          <w:rFonts w:cs="Arial"/>
          <w:sz w:val="22"/>
          <w:szCs w:val="22"/>
          <w:lang w:val="en-US" w:eastAsia="en-US"/>
        </w:rPr>
        <w:t>al market infrastructure and capital markets business sitting at the heart of the world's financial community. The Group can trace its history back to 1698.</w:t>
      </w:r>
    </w:p>
    <w:p w:rsidR="00F9562A" w:rsidRPr="00A97461" w:rsidRDefault="00F9562A" w:rsidP="00F9562A">
      <w:pPr>
        <w:rPr>
          <w:rFonts w:cs="Arial"/>
          <w:sz w:val="22"/>
          <w:szCs w:val="22"/>
          <w:lang w:val="en-US" w:eastAsia="en-US"/>
        </w:rPr>
      </w:pPr>
    </w:p>
    <w:p w:rsidR="00F9562A" w:rsidRPr="00A97461" w:rsidRDefault="00F9562A" w:rsidP="00F9562A">
      <w:pPr>
        <w:rPr>
          <w:rFonts w:cs="Arial"/>
          <w:sz w:val="22"/>
          <w:szCs w:val="22"/>
          <w:lang w:val="en-US" w:eastAsia="en-US"/>
        </w:rPr>
      </w:pPr>
      <w:r w:rsidRPr="00A97461">
        <w:rPr>
          <w:rFonts w:cs="Arial"/>
          <w:sz w:val="22"/>
          <w:szCs w:val="22"/>
          <w:lang w:val="en-US" w:eastAsia="en-US"/>
        </w:rPr>
        <w:t>The Group operates a broad range of international equity, bond and derivatives markets, inclu</w:t>
      </w:r>
      <w:r w:rsidRPr="00A97461">
        <w:rPr>
          <w:rFonts w:cs="Arial"/>
          <w:sz w:val="22"/>
          <w:szCs w:val="22"/>
          <w:lang w:val="en-US" w:eastAsia="en-US"/>
        </w:rPr>
        <w:t>d</w:t>
      </w:r>
      <w:r w:rsidRPr="00A97461">
        <w:rPr>
          <w:rFonts w:cs="Arial"/>
          <w:sz w:val="22"/>
          <w:szCs w:val="22"/>
          <w:lang w:val="en-US" w:eastAsia="en-US"/>
        </w:rPr>
        <w:t xml:space="preserve">ing London Stock Exchange; </w:t>
      </w:r>
      <w:proofErr w:type="spellStart"/>
      <w:r w:rsidRPr="00A97461">
        <w:rPr>
          <w:rFonts w:cs="Arial"/>
          <w:sz w:val="22"/>
          <w:szCs w:val="22"/>
          <w:lang w:val="en-US" w:eastAsia="en-US"/>
        </w:rPr>
        <w:t>Borsa</w:t>
      </w:r>
      <w:proofErr w:type="spellEnd"/>
      <w:r w:rsidRPr="00A97461">
        <w:rPr>
          <w:rFonts w:cs="Arial"/>
          <w:sz w:val="22"/>
          <w:szCs w:val="22"/>
          <w:lang w:val="en-US" w:eastAsia="en-US"/>
        </w:rPr>
        <w:t xml:space="preserve"> </w:t>
      </w:r>
      <w:proofErr w:type="spellStart"/>
      <w:r w:rsidRPr="00A97461">
        <w:rPr>
          <w:rFonts w:cs="Arial"/>
          <w:sz w:val="22"/>
          <w:szCs w:val="22"/>
          <w:lang w:val="en-US" w:eastAsia="en-US"/>
        </w:rPr>
        <w:t>Italiana</w:t>
      </w:r>
      <w:proofErr w:type="spellEnd"/>
      <w:r w:rsidRPr="00A97461">
        <w:rPr>
          <w:rFonts w:cs="Arial"/>
          <w:sz w:val="22"/>
          <w:szCs w:val="22"/>
          <w:lang w:val="en-US" w:eastAsia="en-US"/>
        </w:rPr>
        <w:t>; MTS, Europe's leading fixed income market; and Turquoise, pan-European equities MTF. It is also home to one of the world’s leading growth markets for SMEs, AIM. Through its platforms, the Group offers international business and i</w:t>
      </w:r>
      <w:r w:rsidRPr="00A97461">
        <w:rPr>
          <w:rFonts w:cs="Arial"/>
          <w:sz w:val="22"/>
          <w:szCs w:val="22"/>
          <w:lang w:val="en-US" w:eastAsia="en-US"/>
        </w:rPr>
        <w:t>n</w:t>
      </w:r>
      <w:r w:rsidRPr="00A97461">
        <w:rPr>
          <w:rFonts w:cs="Arial"/>
          <w:sz w:val="22"/>
          <w:szCs w:val="22"/>
          <w:lang w:val="en-US" w:eastAsia="en-US"/>
        </w:rPr>
        <w:t>vestors unrivalled access to Europe's capital markets.</w:t>
      </w:r>
    </w:p>
    <w:p w:rsidR="00F9562A" w:rsidRPr="00A97461" w:rsidRDefault="00F9562A" w:rsidP="00F9562A">
      <w:pPr>
        <w:rPr>
          <w:rFonts w:cs="Arial"/>
          <w:sz w:val="22"/>
          <w:szCs w:val="22"/>
          <w:lang w:val="en-US" w:eastAsia="en-US"/>
        </w:rPr>
      </w:pPr>
    </w:p>
    <w:p w:rsidR="00F9562A" w:rsidRPr="00A97461" w:rsidRDefault="00F9562A" w:rsidP="00F9562A">
      <w:pPr>
        <w:rPr>
          <w:rFonts w:cs="Arial"/>
          <w:sz w:val="22"/>
          <w:szCs w:val="22"/>
          <w:lang w:val="en-US" w:eastAsia="en-US"/>
        </w:rPr>
      </w:pPr>
      <w:r w:rsidRPr="00A97461">
        <w:rPr>
          <w:rFonts w:cs="Arial"/>
          <w:sz w:val="22"/>
          <w:szCs w:val="22"/>
          <w:lang w:val="en-US" w:eastAsia="en-US"/>
        </w:rPr>
        <w:t>Post trade and risk management services are a significant part of the Group’s business oper</w:t>
      </w:r>
      <w:r w:rsidRPr="00A97461">
        <w:rPr>
          <w:rFonts w:cs="Arial"/>
          <w:sz w:val="22"/>
          <w:szCs w:val="22"/>
          <w:lang w:val="en-US" w:eastAsia="en-US"/>
        </w:rPr>
        <w:t>a</w:t>
      </w:r>
      <w:r w:rsidRPr="00A97461">
        <w:rPr>
          <w:rFonts w:cs="Arial"/>
          <w:sz w:val="22"/>
          <w:szCs w:val="22"/>
          <w:lang w:val="en-US" w:eastAsia="en-US"/>
        </w:rPr>
        <w:t xml:space="preserve">tions. In addition to majority ownership of multi-asset global CCP operator, </w:t>
      </w:r>
      <w:proofErr w:type="spellStart"/>
      <w:r w:rsidRPr="00A97461">
        <w:rPr>
          <w:rFonts w:cs="Arial"/>
          <w:sz w:val="22"/>
          <w:szCs w:val="22"/>
          <w:lang w:val="en-US" w:eastAsia="en-US"/>
        </w:rPr>
        <w:t>LCH.Clearnet</w:t>
      </w:r>
      <w:proofErr w:type="spellEnd"/>
      <w:r w:rsidRPr="00A97461">
        <w:rPr>
          <w:rFonts w:cs="Arial"/>
          <w:sz w:val="22"/>
          <w:szCs w:val="22"/>
          <w:lang w:val="en-US" w:eastAsia="en-US"/>
        </w:rPr>
        <w:t xml:space="preserve"> Group, LSEG operates CC&amp;G, the Italian clearinghouse</w:t>
      </w:r>
      <w:r w:rsidR="00A50483">
        <w:rPr>
          <w:rFonts w:cs="Arial"/>
          <w:sz w:val="22"/>
          <w:szCs w:val="22"/>
          <w:lang w:val="en-US" w:eastAsia="en-US"/>
        </w:rPr>
        <w:t xml:space="preserve"> and</w:t>
      </w:r>
      <w:r w:rsidRPr="00A97461">
        <w:rPr>
          <w:rFonts w:cs="Arial"/>
          <w:sz w:val="22"/>
          <w:szCs w:val="22"/>
          <w:lang w:val="en-US" w:eastAsia="en-US"/>
        </w:rPr>
        <w:t xml:space="preserve"> Monte </w:t>
      </w:r>
      <w:proofErr w:type="spellStart"/>
      <w:r w:rsidRPr="00A97461">
        <w:rPr>
          <w:rFonts w:cs="Arial"/>
          <w:sz w:val="22"/>
          <w:szCs w:val="22"/>
          <w:lang w:val="en-US" w:eastAsia="en-US"/>
        </w:rPr>
        <w:t>Titoli</w:t>
      </w:r>
      <w:proofErr w:type="spellEnd"/>
      <w:r w:rsidRPr="00A97461">
        <w:rPr>
          <w:rFonts w:cs="Arial"/>
          <w:sz w:val="22"/>
          <w:szCs w:val="22"/>
          <w:lang w:val="en-US" w:eastAsia="en-US"/>
        </w:rPr>
        <w:t xml:space="preserve">, the T2S-ready European settlement business. </w:t>
      </w:r>
    </w:p>
    <w:p w:rsidR="00F9562A" w:rsidRPr="00A97461" w:rsidRDefault="00F9562A" w:rsidP="00F9562A">
      <w:pPr>
        <w:rPr>
          <w:rFonts w:cs="Arial"/>
          <w:sz w:val="22"/>
          <w:szCs w:val="22"/>
          <w:lang w:val="en-US" w:eastAsia="en-US"/>
        </w:rPr>
      </w:pPr>
    </w:p>
    <w:p w:rsidR="00F9562A" w:rsidRPr="00A97461" w:rsidRDefault="00F9562A" w:rsidP="00F9562A">
      <w:pPr>
        <w:rPr>
          <w:rFonts w:cs="Arial"/>
          <w:sz w:val="22"/>
          <w:szCs w:val="22"/>
          <w:lang w:val="en-US" w:eastAsia="en-US"/>
        </w:rPr>
      </w:pPr>
      <w:r w:rsidRPr="00A97461">
        <w:rPr>
          <w:rFonts w:cs="Arial"/>
          <w:sz w:val="22"/>
          <w:szCs w:val="22"/>
          <w:lang w:val="en-US" w:eastAsia="en-US"/>
        </w:rPr>
        <w:t xml:space="preserve">The Group is a global leader in indexing and analytic solutions. FTSE Russell offers thousands of indexes that measure and benchmark markets around the world.  The Group also provides customers with an extensive range of real time and reference data products, including SEDOL, </w:t>
      </w:r>
      <w:proofErr w:type="spellStart"/>
      <w:r w:rsidRPr="00A97461">
        <w:rPr>
          <w:rFonts w:cs="Arial"/>
          <w:sz w:val="22"/>
          <w:szCs w:val="22"/>
          <w:lang w:val="en-US" w:eastAsia="en-US"/>
        </w:rPr>
        <w:t>UnaVista</w:t>
      </w:r>
      <w:proofErr w:type="spellEnd"/>
      <w:r w:rsidRPr="00A97461">
        <w:rPr>
          <w:rFonts w:cs="Arial"/>
          <w:sz w:val="22"/>
          <w:szCs w:val="22"/>
          <w:lang w:val="en-US" w:eastAsia="en-US"/>
        </w:rPr>
        <w:t xml:space="preserve">, and RNS. </w:t>
      </w:r>
    </w:p>
    <w:p w:rsidR="00F9562A" w:rsidRPr="00A97461" w:rsidRDefault="00F9562A" w:rsidP="00F9562A">
      <w:pPr>
        <w:rPr>
          <w:rFonts w:cs="Arial"/>
          <w:sz w:val="22"/>
          <w:szCs w:val="22"/>
          <w:lang w:val="en-US" w:eastAsia="en-US"/>
        </w:rPr>
      </w:pPr>
    </w:p>
    <w:p w:rsidR="00D34282" w:rsidRPr="00A97461" w:rsidRDefault="00F9562A" w:rsidP="00F9562A">
      <w:pPr>
        <w:rPr>
          <w:rFonts w:cs="Arial"/>
          <w:sz w:val="22"/>
          <w:szCs w:val="22"/>
          <w:lang w:val="en-US" w:eastAsia="en-US"/>
        </w:rPr>
      </w:pPr>
      <w:r w:rsidRPr="00A97461">
        <w:rPr>
          <w:rFonts w:cs="Arial"/>
          <w:sz w:val="22"/>
          <w:szCs w:val="22"/>
          <w:lang w:val="en-US" w:eastAsia="en-US"/>
        </w:rPr>
        <w:t xml:space="preserve">London Stock Exchange Group is a leading developer of high performance trading platforms and capital markets software for customers around the world. Currently, over 40 </w:t>
      </w:r>
      <w:proofErr w:type="spellStart"/>
      <w:r w:rsidRPr="00A97461">
        <w:rPr>
          <w:rFonts w:cs="Arial"/>
          <w:sz w:val="22"/>
          <w:szCs w:val="22"/>
          <w:lang w:val="en-US" w:eastAsia="en-US"/>
        </w:rPr>
        <w:t>organisations</w:t>
      </w:r>
      <w:proofErr w:type="spellEnd"/>
      <w:r w:rsidRPr="00A97461">
        <w:rPr>
          <w:rFonts w:cs="Arial"/>
          <w:sz w:val="22"/>
          <w:szCs w:val="22"/>
          <w:lang w:val="en-US" w:eastAsia="en-US"/>
        </w:rPr>
        <w:t xml:space="preserve"> and exchanges use.</w:t>
      </w:r>
    </w:p>
    <w:permEnd w:id="1099254490"/>
    <w:p w:rsidR="00D34282" w:rsidRPr="00C25863" w:rsidRDefault="00D34282" w:rsidP="00D34282">
      <w:r w:rsidRPr="00C25863">
        <w:t>&lt;</w:t>
      </w:r>
      <w:r w:rsidRPr="00D74C9D">
        <w:t xml:space="preserve"> </w:t>
      </w:r>
      <w:r>
        <w:t>ESMA_COMMENT</w:t>
      </w:r>
      <w:r w:rsidR="00D920D1">
        <w:t>_MIFID</w:t>
      </w:r>
      <w:r w:rsidR="00070630">
        <w:t>_NET_</w:t>
      </w:r>
      <w:r w:rsidR="00A91129">
        <w:t>0</w:t>
      </w:r>
      <w:r w:rsidRPr="00C25863">
        <w:t>&gt;</w:t>
      </w:r>
    </w:p>
    <w:p w:rsidR="00A8728B" w:rsidRPr="00070630" w:rsidRDefault="00F32462" w:rsidP="00070630">
      <w:pPr>
        <w:pStyle w:val="CPQuestions"/>
      </w:pPr>
      <w:r>
        <w:rPr>
          <w:rFonts w:cs="Arial"/>
          <w:szCs w:val="22"/>
        </w:rPr>
        <w:br w:type="page"/>
      </w:r>
      <w:r w:rsidR="00070630" w:rsidRPr="00070630">
        <w:lastRenderedPageBreak/>
        <w:t>Do you agree with ESMA’s proposal to allow non-equity CTPs to specialize their offering? Do you agree to the level of specialisation proposed or would you re</w:t>
      </w:r>
      <w:r w:rsidR="00070630" w:rsidRPr="00070630">
        <w:t>c</w:t>
      </w:r>
      <w:r w:rsidR="00070630" w:rsidRPr="00070630">
        <w:t>ommend a less granular or more granular approach?</w:t>
      </w:r>
    </w:p>
    <w:p w:rsidR="00A8728B" w:rsidRDefault="00A8728B" w:rsidP="00A8728B">
      <w:r>
        <w:t>&lt;ESMA_QUESTION</w:t>
      </w:r>
      <w:r w:rsidR="00D920D1">
        <w:t>_MIFID</w:t>
      </w:r>
      <w:r w:rsidR="00070630">
        <w:t>_NET_</w:t>
      </w:r>
      <w:r>
        <w:t>1&gt;</w:t>
      </w:r>
    </w:p>
    <w:p w:rsidR="005C7243" w:rsidRPr="00A97461" w:rsidRDefault="005C7243" w:rsidP="00E65BD9">
      <w:pPr>
        <w:spacing w:line="276" w:lineRule="auto"/>
        <w:rPr>
          <w:rFonts w:cs="Arial"/>
          <w:sz w:val="22"/>
          <w:szCs w:val="22"/>
          <w:lang w:val="en-US" w:eastAsia="en-US"/>
        </w:rPr>
      </w:pPr>
      <w:permStart w:id="105267474" w:edGrp="everyone"/>
      <w:r w:rsidRPr="00A97461">
        <w:rPr>
          <w:rFonts w:cs="Arial"/>
          <w:sz w:val="22"/>
          <w:szCs w:val="22"/>
          <w:lang w:val="en-US" w:eastAsia="en-US"/>
        </w:rPr>
        <w:t xml:space="preserve">LSEG appreciates that ESMA has taken a balanced approach to the non-equity consolidated tape, hoping to achieve a reasonably good coverage of the non-equity space, while maintaining commercial attractiveness for the potential CT providers. </w:t>
      </w:r>
    </w:p>
    <w:p w:rsidR="005C7243" w:rsidRPr="00A97461" w:rsidRDefault="005C7243" w:rsidP="00E65BD9">
      <w:pPr>
        <w:spacing w:line="276" w:lineRule="auto"/>
        <w:rPr>
          <w:rFonts w:cs="Arial"/>
          <w:sz w:val="22"/>
          <w:szCs w:val="22"/>
          <w:lang w:val="en-US" w:eastAsia="en-US"/>
        </w:rPr>
      </w:pPr>
    </w:p>
    <w:p w:rsidR="005C7243" w:rsidRPr="00A97461" w:rsidRDefault="005C7243" w:rsidP="00E65BD9">
      <w:pPr>
        <w:spacing w:line="276" w:lineRule="auto"/>
        <w:rPr>
          <w:rFonts w:cs="Arial"/>
          <w:sz w:val="22"/>
          <w:szCs w:val="22"/>
          <w:lang w:val="en-US" w:eastAsia="en-US"/>
        </w:rPr>
      </w:pPr>
      <w:r w:rsidRPr="00A97461">
        <w:rPr>
          <w:rFonts w:cs="Arial"/>
          <w:sz w:val="22"/>
          <w:szCs w:val="22"/>
          <w:lang w:val="en-US" w:eastAsia="en-US"/>
        </w:rPr>
        <w:t xml:space="preserve">We have no objection to the proposed breakdown per asset class, </w:t>
      </w:r>
      <w:r w:rsidR="00A97461" w:rsidRPr="00A97461">
        <w:rPr>
          <w:rFonts w:cs="Arial"/>
          <w:sz w:val="22"/>
          <w:szCs w:val="22"/>
          <w:lang w:val="en-US" w:eastAsia="en-US"/>
        </w:rPr>
        <w:t>provided</w:t>
      </w:r>
      <w:r w:rsidRPr="00A97461">
        <w:rPr>
          <w:rFonts w:cs="Arial"/>
          <w:sz w:val="22"/>
          <w:szCs w:val="22"/>
          <w:lang w:val="en-US" w:eastAsia="en-US"/>
        </w:rPr>
        <w:t xml:space="preserve"> that the asset class allocation is consistent across all venues.</w:t>
      </w:r>
      <w:r w:rsidR="00A97461" w:rsidRPr="00A97461">
        <w:t xml:space="preserve"> </w:t>
      </w:r>
      <w:r w:rsidR="00A97461" w:rsidRPr="00A97461">
        <w:rPr>
          <w:rFonts w:cs="Arial"/>
          <w:sz w:val="22"/>
          <w:szCs w:val="22"/>
          <w:lang w:val="en-US" w:eastAsia="en-US"/>
        </w:rPr>
        <w:t>Aligning the asset class groupings with the transpa</w:t>
      </w:r>
      <w:r w:rsidR="00A97461" w:rsidRPr="00A97461">
        <w:rPr>
          <w:rFonts w:cs="Arial"/>
          <w:sz w:val="22"/>
          <w:szCs w:val="22"/>
          <w:lang w:val="en-US" w:eastAsia="en-US"/>
        </w:rPr>
        <w:t>r</w:t>
      </w:r>
      <w:r w:rsidR="00A97461" w:rsidRPr="00A97461">
        <w:rPr>
          <w:rFonts w:cs="Arial"/>
          <w:sz w:val="22"/>
          <w:szCs w:val="22"/>
          <w:lang w:val="en-US" w:eastAsia="en-US"/>
        </w:rPr>
        <w:t>ency regime is also welcome.</w:t>
      </w:r>
    </w:p>
    <w:p w:rsidR="005C7243" w:rsidRPr="00A97461" w:rsidRDefault="005C7243" w:rsidP="00E65BD9">
      <w:pPr>
        <w:spacing w:line="276" w:lineRule="auto"/>
        <w:rPr>
          <w:rFonts w:cs="Arial"/>
          <w:sz w:val="22"/>
          <w:szCs w:val="22"/>
          <w:lang w:val="en-US" w:eastAsia="en-US"/>
        </w:rPr>
      </w:pPr>
    </w:p>
    <w:p w:rsidR="00F8652E" w:rsidRPr="00A97461" w:rsidRDefault="00A97461" w:rsidP="00E65BD9">
      <w:pPr>
        <w:spacing w:line="276" w:lineRule="auto"/>
        <w:rPr>
          <w:rFonts w:cs="Arial"/>
          <w:sz w:val="22"/>
          <w:szCs w:val="22"/>
          <w:lang w:val="en-US" w:eastAsia="en-US"/>
        </w:rPr>
      </w:pPr>
      <w:r w:rsidRPr="00A97461">
        <w:rPr>
          <w:rFonts w:cs="Arial"/>
          <w:sz w:val="22"/>
          <w:szCs w:val="22"/>
          <w:lang w:val="en-US" w:eastAsia="en-US"/>
        </w:rPr>
        <w:t>We agree that the greater granularity, the higher potential attractiveness to provide CT, however this may require users subscribing to several different tapes, in order to capture the market fully.</w:t>
      </w:r>
    </w:p>
    <w:permEnd w:id="105267474"/>
    <w:p w:rsidR="00A8728B" w:rsidRDefault="00A8728B" w:rsidP="00A8728B">
      <w:r>
        <w:t>&lt;ESMA_QUESTION</w:t>
      </w:r>
      <w:r w:rsidR="00D920D1">
        <w:t>_MIFID</w:t>
      </w:r>
      <w:r w:rsidR="00070630">
        <w:t>_NET_</w:t>
      </w:r>
      <w:r>
        <w:t>1&gt;</w:t>
      </w:r>
    </w:p>
    <w:p w:rsidR="00431DA4" w:rsidRPr="00431DA4" w:rsidRDefault="00070630" w:rsidP="00070630">
      <w:pPr>
        <w:pStyle w:val="CPQuestions"/>
      </w:pPr>
      <w:r w:rsidRPr="00070630">
        <w:t>Do you agree that the threshold determining whether a trading venue or APA needs to be included in the CT should be based both on the volume and the nu</w:t>
      </w:r>
      <w:r w:rsidRPr="00070630">
        <w:t>m</w:t>
      </w:r>
      <w:r w:rsidRPr="00070630">
        <w:t>ber of transactions? If not, please explain and present an alternative approach.</w:t>
      </w:r>
    </w:p>
    <w:p w:rsidR="00A8728B" w:rsidRDefault="00A8728B" w:rsidP="00A8728B">
      <w:r>
        <w:t>&lt;ESMA_QUESTION</w:t>
      </w:r>
      <w:r w:rsidR="00D920D1">
        <w:t>_MIFID</w:t>
      </w:r>
      <w:r w:rsidR="00070630">
        <w:t>_NET_</w:t>
      </w:r>
      <w:r>
        <w:t>2&gt;</w:t>
      </w:r>
    </w:p>
    <w:p w:rsidR="00A97461" w:rsidRPr="00A83FE3" w:rsidRDefault="00A97461" w:rsidP="00E65BD9">
      <w:pPr>
        <w:spacing w:line="276" w:lineRule="auto"/>
        <w:rPr>
          <w:sz w:val="22"/>
          <w:szCs w:val="22"/>
        </w:rPr>
      </w:pPr>
      <w:permStart w:id="1274699019" w:edGrp="everyone"/>
      <w:r w:rsidRPr="00A83FE3">
        <w:rPr>
          <w:sz w:val="22"/>
          <w:szCs w:val="22"/>
        </w:rPr>
        <w:t>LSEG disagrees with the threshold. While breakdown per asset class is sensible, the introdu</w:t>
      </w:r>
      <w:r w:rsidRPr="00A83FE3">
        <w:rPr>
          <w:sz w:val="22"/>
          <w:szCs w:val="22"/>
        </w:rPr>
        <w:t>c</w:t>
      </w:r>
      <w:r w:rsidRPr="00A83FE3">
        <w:rPr>
          <w:sz w:val="22"/>
          <w:szCs w:val="22"/>
        </w:rPr>
        <w:t xml:space="preserve">tion of the threshold goes against the spirit of a consolidated tape. </w:t>
      </w:r>
    </w:p>
    <w:p w:rsidR="00454421" w:rsidRPr="00A83FE3" w:rsidRDefault="00454421" w:rsidP="00E65BD9">
      <w:pPr>
        <w:spacing w:line="276" w:lineRule="auto"/>
        <w:rPr>
          <w:sz w:val="22"/>
          <w:szCs w:val="22"/>
        </w:rPr>
      </w:pPr>
    </w:p>
    <w:p w:rsidR="00454421" w:rsidRPr="00A83FE3" w:rsidRDefault="00454421" w:rsidP="00E65BD9">
      <w:pPr>
        <w:spacing w:line="276" w:lineRule="auto"/>
        <w:rPr>
          <w:sz w:val="22"/>
          <w:szCs w:val="22"/>
        </w:rPr>
      </w:pPr>
      <w:r w:rsidRPr="00A83FE3">
        <w:rPr>
          <w:sz w:val="22"/>
          <w:szCs w:val="22"/>
        </w:rPr>
        <w:t>A CTP should provide complete coverage across all trading ven</w:t>
      </w:r>
      <w:r w:rsidR="00A83FE3">
        <w:rPr>
          <w:sz w:val="22"/>
          <w:szCs w:val="22"/>
        </w:rPr>
        <w:t>ues and APAs in the asset class or classes</w:t>
      </w:r>
      <w:r w:rsidRPr="00A83FE3">
        <w:rPr>
          <w:sz w:val="22"/>
          <w:szCs w:val="22"/>
        </w:rPr>
        <w:t xml:space="preserve"> it has approval to operate in. This is because:</w:t>
      </w:r>
    </w:p>
    <w:p w:rsidR="00454421" w:rsidRPr="00A83FE3" w:rsidRDefault="00454421" w:rsidP="00E65BD9">
      <w:pPr>
        <w:pStyle w:val="ListParagraph"/>
        <w:numPr>
          <w:ilvl w:val="0"/>
          <w:numId w:val="40"/>
        </w:numPr>
        <w:spacing w:line="276" w:lineRule="auto"/>
        <w:rPr>
          <w:sz w:val="22"/>
          <w:szCs w:val="22"/>
        </w:rPr>
      </w:pPr>
      <w:r w:rsidRPr="00A83FE3">
        <w:rPr>
          <w:sz w:val="22"/>
          <w:szCs w:val="22"/>
        </w:rPr>
        <w:t>The purpose of a CTP regime is to provide complete coverage across the market</w:t>
      </w:r>
      <w:r w:rsidR="00894281">
        <w:rPr>
          <w:sz w:val="22"/>
          <w:szCs w:val="22"/>
        </w:rPr>
        <w:t>, not partial coverage</w:t>
      </w:r>
      <w:r w:rsidR="009C3C50">
        <w:rPr>
          <w:sz w:val="22"/>
          <w:szCs w:val="22"/>
        </w:rPr>
        <w:t xml:space="preserve"> </w:t>
      </w:r>
      <w:r w:rsidR="00894281">
        <w:rPr>
          <w:sz w:val="22"/>
          <w:szCs w:val="22"/>
        </w:rPr>
        <w:t>- the same principle adopted in the equity CTP approach by the Co</w:t>
      </w:r>
      <w:r w:rsidR="00894281">
        <w:rPr>
          <w:sz w:val="22"/>
          <w:szCs w:val="22"/>
        </w:rPr>
        <w:t>m</w:t>
      </w:r>
      <w:r w:rsidR="00894281">
        <w:rPr>
          <w:sz w:val="22"/>
          <w:szCs w:val="22"/>
        </w:rPr>
        <w:t>mission</w:t>
      </w:r>
      <w:r w:rsidR="009C3C50">
        <w:rPr>
          <w:sz w:val="22"/>
          <w:szCs w:val="22"/>
        </w:rPr>
        <w:t xml:space="preserve">. </w:t>
      </w:r>
      <w:r w:rsidR="009C3C50" w:rsidRPr="009C3C50">
        <w:rPr>
          <w:sz w:val="22"/>
          <w:szCs w:val="22"/>
        </w:rPr>
        <w:t xml:space="preserve">Even if the market is fragmented, the regulation </w:t>
      </w:r>
      <w:r w:rsidR="002F1C18">
        <w:rPr>
          <w:sz w:val="22"/>
          <w:szCs w:val="22"/>
        </w:rPr>
        <w:t>provides</w:t>
      </w:r>
      <w:r w:rsidR="009C3C50" w:rsidRPr="009C3C50">
        <w:rPr>
          <w:sz w:val="22"/>
          <w:szCs w:val="22"/>
        </w:rPr>
        <w:t xml:space="preserve"> appropriate tools in order to detect the post trade flow </w:t>
      </w:r>
      <w:r w:rsidR="002F1C18">
        <w:rPr>
          <w:sz w:val="22"/>
          <w:szCs w:val="22"/>
        </w:rPr>
        <w:t>(</w:t>
      </w:r>
      <w:r w:rsidR="002F1C18" w:rsidRPr="009C3C50">
        <w:rPr>
          <w:sz w:val="22"/>
          <w:szCs w:val="22"/>
        </w:rPr>
        <w:t>through trading venues and APAs</w:t>
      </w:r>
      <w:r w:rsidR="002F1C18">
        <w:rPr>
          <w:sz w:val="22"/>
          <w:szCs w:val="22"/>
        </w:rPr>
        <w:t>)</w:t>
      </w:r>
      <w:r w:rsidR="002F1C18" w:rsidRPr="009C3C50">
        <w:rPr>
          <w:sz w:val="22"/>
          <w:szCs w:val="22"/>
        </w:rPr>
        <w:t xml:space="preserve"> </w:t>
      </w:r>
      <w:r w:rsidR="009C3C50" w:rsidRPr="009C3C50">
        <w:rPr>
          <w:sz w:val="22"/>
          <w:szCs w:val="22"/>
        </w:rPr>
        <w:t>that has to be i</w:t>
      </w:r>
      <w:r w:rsidR="009C3C50" w:rsidRPr="009C3C50">
        <w:rPr>
          <w:sz w:val="22"/>
          <w:szCs w:val="22"/>
        </w:rPr>
        <w:t>n</w:t>
      </w:r>
      <w:r w:rsidR="009C3C50" w:rsidRPr="009C3C50">
        <w:rPr>
          <w:sz w:val="22"/>
          <w:szCs w:val="22"/>
        </w:rPr>
        <w:t>cluded in the tape</w:t>
      </w:r>
      <w:r w:rsidRPr="00A83FE3">
        <w:rPr>
          <w:sz w:val="22"/>
          <w:szCs w:val="22"/>
        </w:rPr>
        <w:t xml:space="preserve">; </w:t>
      </w:r>
    </w:p>
    <w:p w:rsidR="00454421" w:rsidRPr="00A83FE3" w:rsidRDefault="00454421" w:rsidP="00E65BD9">
      <w:pPr>
        <w:pStyle w:val="ListParagraph"/>
        <w:numPr>
          <w:ilvl w:val="0"/>
          <w:numId w:val="40"/>
        </w:numPr>
        <w:spacing w:line="276" w:lineRule="auto"/>
        <w:rPr>
          <w:sz w:val="22"/>
          <w:szCs w:val="22"/>
        </w:rPr>
      </w:pPr>
      <w:r w:rsidRPr="00A83FE3">
        <w:rPr>
          <w:sz w:val="22"/>
          <w:szCs w:val="22"/>
        </w:rPr>
        <w:t>Excluding the smallest venues/APAs from the CTP is potentially anti</w:t>
      </w:r>
      <w:r w:rsidR="00894281">
        <w:rPr>
          <w:sz w:val="22"/>
          <w:szCs w:val="22"/>
        </w:rPr>
        <w:t>-</w:t>
      </w:r>
      <w:r w:rsidRPr="00A83FE3">
        <w:rPr>
          <w:sz w:val="22"/>
          <w:szCs w:val="22"/>
        </w:rPr>
        <w:t xml:space="preserve">competitive and </w:t>
      </w:r>
      <w:r w:rsidR="00894281">
        <w:rPr>
          <w:sz w:val="22"/>
          <w:szCs w:val="22"/>
        </w:rPr>
        <w:t>p</w:t>
      </w:r>
      <w:r w:rsidR="00894281">
        <w:rPr>
          <w:sz w:val="22"/>
          <w:szCs w:val="22"/>
        </w:rPr>
        <w:t>o</w:t>
      </w:r>
      <w:r w:rsidR="00894281">
        <w:rPr>
          <w:sz w:val="22"/>
          <w:szCs w:val="22"/>
        </w:rPr>
        <w:t>tentially reinforces</w:t>
      </w:r>
      <w:r w:rsidR="00894281" w:rsidRPr="00A83FE3">
        <w:rPr>
          <w:sz w:val="22"/>
          <w:szCs w:val="22"/>
        </w:rPr>
        <w:t xml:space="preserve"> </w:t>
      </w:r>
      <w:r w:rsidRPr="00A83FE3">
        <w:rPr>
          <w:sz w:val="22"/>
          <w:szCs w:val="22"/>
        </w:rPr>
        <w:t>the market position of the existing largest venues / participants;</w:t>
      </w:r>
    </w:p>
    <w:p w:rsidR="00454421" w:rsidRPr="00A83FE3" w:rsidRDefault="00A24799" w:rsidP="00E65BD9">
      <w:pPr>
        <w:pStyle w:val="ListParagraph"/>
        <w:numPr>
          <w:ilvl w:val="0"/>
          <w:numId w:val="40"/>
        </w:numPr>
        <w:spacing w:line="276" w:lineRule="auto"/>
        <w:rPr>
          <w:sz w:val="22"/>
          <w:szCs w:val="22"/>
        </w:rPr>
      </w:pPr>
      <w:r>
        <w:rPr>
          <w:sz w:val="22"/>
          <w:szCs w:val="22"/>
        </w:rPr>
        <w:t>Al</w:t>
      </w:r>
      <w:r w:rsidR="00454421" w:rsidRPr="00A83FE3">
        <w:rPr>
          <w:sz w:val="22"/>
          <w:szCs w:val="22"/>
        </w:rPr>
        <w:t xml:space="preserve">though the threshold approach </w:t>
      </w:r>
      <w:r>
        <w:rPr>
          <w:sz w:val="22"/>
          <w:szCs w:val="22"/>
        </w:rPr>
        <w:t>may reduce costs</w:t>
      </w:r>
      <w:r w:rsidR="00454421" w:rsidRPr="00A83FE3">
        <w:rPr>
          <w:sz w:val="22"/>
          <w:szCs w:val="22"/>
        </w:rPr>
        <w:t xml:space="preserve"> for the CTP by </w:t>
      </w:r>
      <w:r w:rsidR="00894281">
        <w:rPr>
          <w:sz w:val="22"/>
          <w:szCs w:val="22"/>
        </w:rPr>
        <w:t xml:space="preserve">it </w:t>
      </w:r>
      <w:r w:rsidR="00454421" w:rsidRPr="00A83FE3">
        <w:rPr>
          <w:sz w:val="22"/>
          <w:szCs w:val="22"/>
        </w:rPr>
        <w:t xml:space="preserve">not </w:t>
      </w:r>
      <w:r>
        <w:rPr>
          <w:sz w:val="22"/>
          <w:szCs w:val="22"/>
        </w:rPr>
        <w:t xml:space="preserve">having to </w:t>
      </w:r>
      <w:r w:rsidR="00454421" w:rsidRPr="00A83FE3">
        <w:rPr>
          <w:sz w:val="22"/>
          <w:szCs w:val="22"/>
        </w:rPr>
        <w:t>co</w:t>
      </w:r>
      <w:r w:rsidR="00454421" w:rsidRPr="00A83FE3">
        <w:rPr>
          <w:sz w:val="22"/>
          <w:szCs w:val="22"/>
        </w:rPr>
        <w:t>n</w:t>
      </w:r>
      <w:r w:rsidR="00454421" w:rsidRPr="00A83FE3">
        <w:rPr>
          <w:sz w:val="22"/>
          <w:szCs w:val="22"/>
        </w:rPr>
        <w:t>nect to multiple data feeds, it is not clear whether the cost savings would be material and in any event</w:t>
      </w:r>
      <w:r w:rsidR="00A50483">
        <w:rPr>
          <w:sz w:val="22"/>
          <w:szCs w:val="22"/>
        </w:rPr>
        <w:t>,</w:t>
      </w:r>
      <w:r w:rsidR="00454421" w:rsidRPr="00A83FE3">
        <w:rPr>
          <w:sz w:val="22"/>
          <w:szCs w:val="22"/>
        </w:rPr>
        <w:t xml:space="preserve"> any additional costs can be reflected in the CTP tariff schedule</w:t>
      </w:r>
      <w:r w:rsidR="00894281">
        <w:rPr>
          <w:sz w:val="22"/>
          <w:szCs w:val="22"/>
        </w:rPr>
        <w:t>, in accor</w:t>
      </w:r>
      <w:r w:rsidR="00894281">
        <w:rPr>
          <w:sz w:val="22"/>
          <w:szCs w:val="22"/>
        </w:rPr>
        <w:t>d</w:t>
      </w:r>
      <w:r w:rsidR="00894281">
        <w:rPr>
          <w:sz w:val="22"/>
          <w:szCs w:val="22"/>
        </w:rPr>
        <w:t>ance with the principles established by the</w:t>
      </w:r>
      <w:r w:rsidR="00454421" w:rsidRPr="00A83FE3">
        <w:rPr>
          <w:sz w:val="22"/>
          <w:szCs w:val="22"/>
        </w:rPr>
        <w:t xml:space="preserve"> </w:t>
      </w:r>
      <w:r w:rsidR="00216BD6" w:rsidRPr="00A83FE3">
        <w:rPr>
          <w:sz w:val="22"/>
          <w:szCs w:val="22"/>
        </w:rPr>
        <w:t>reasonable commercial basis (</w:t>
      </w:r>
      <w:r w:rsidR="00454421" w:rsidRPr="00A83FE3">
        <w:rPr>
          <w:sz w:val="22"/>
          <w:szCs w:val="22"/>
        </w:rPr>
        <w:t>RCB</w:t>
      </w:r>
      <w:r w:rsidR="00216BD6" w:rsidRPr="00A83FE3">
        <w:rPr>
          <w:sz w:val="22"/>
          <w:szCs w:val="22"/>
        </w:rPr>
        <w:t>)</w:t>
      </w:r>
      <w:r w:rsidR="00894281">
        <w:rPr>
          <w:sz w:val="22"/>
          <w:szCs w:val="22"/>
        </w:rPr>
        <w:t xml:space="preserve"> requir</w:t>
      </w:r>
      <w:r w:rsidR="00894281">
        <w:rPr>
          <w:sz w:val="22"/>
          <w:szCs w:val="22"/>
        </w:rPr>
        <w:t>e</w:t>
      </w:r>
      <w:r w:rsidR="00894281">
        <w:rPr>
          <w:sz w:val="22"/>
          <w:szCs w:val="22"/>
        </w:rPr>
        <w:t>ment</w:t>
      </w:r>
      <w:r w:rsidR="00454421" w:rsidRPr="00A83FE3">
        <w:rPr>
          <w:sz w:val="22"/>
          <w:szCs w:val="22"/>
        </w:rPr>
        <w:t>;</w:t>
      </w:r>
    </w:p>
    <w:p w:rsidR="00216BD6" w:rsidRPr="00A83FE3" w:rsidRDefault="00454421" w:rsidP="00E65BD9">
      <w:pPr>
        <w:pStyle w:val="ListParagraph"/>
        <w:numPr>
          <w:ilvl w:val="0"/>
          <w:numId w:val="40"/>
        </w:numPr>
        <w:spacing w:line="276" w:lineRule="auto"/>
        <w:rPr>
          <w:sz w:val="22"/>
          <w:szCs w:val="22"/>
        </w:rPr>
      </w:pPr>
      <w:r w:rsidRPr="00A83FE3">
        <w:rPr>
          <w:sz w:val="22"/>
          <w:szCs w:val="22"/>
        </w:rPr>
        <w:t>The threshold proposal itself introduces an overly complex and costly process, offsetting any costs saved by not simply including all data feeds in the first place</w:t>
      </w:r>
      <w:r w:rsidR="00F64478">
        <w:rPr>
          <w:sz w:val="22"/>
          <w:szCs w:val="22"/>
        </w:rPr>
        <w:t>.</w:t>
      </w:r>
      <w:r w:rsidRPr="00A83FE3">
        <w:rPr>
          <w:sz w:val="22"/>
          <w:szCs w:val="22"/>
        </w:rPr>
        <w:t xml:space="preserve"> </w:t>
      </w:r>
    </w:p>
    <w:p w:rsidR="00216BD6" w:rsidRPr="00A83FE3" w:rsidRDefault="00216BD6" w:rsidP="00E65BD9">
      <w:pPr>
        <w:spacing w:line="276" w:lineRule="auto"/>
        <w:rPr>
          <w:sz w:val="22"/>
          <w:szCs w:val="22"/>
        </w:rPr>
      </w:pPr>
    </w:p>
    <w:p w:rsidR="00F8652E" w:rsidRDefault="00216BD6" w:rsidP="00E65BD9">
      <w:pPr>
        <w:spacing w:line="276" w:lineRule="auto"/>
      </w:pPr>
      <w:r w:rsidRPr="00A83FE3">
        <w:rPr>
          <w:sz w:val="22"/>
          <w:szCs w:val="22"/>
        </w:rPr>
        <w:t xml:space="preserve">In conclusion, </w:t>
      </w:r>
      <w:r w:rsidR="00F8652E" w:rsidRPr="00A83FE3">
        <w:rPr>
          <w:sz w:val="22"/>
          <w:szCs w:val="22"/>
        </w:rPr>
        <w:t xml:space="preserve">ESMA’s approach </w:t>
      </w:r>
      <w:r w:rsidR="00A50483">
        <w:rPr>
          <w:sz w:val="22"/>
          <w:szCs w:val="22"/>
        </w:rPr>
        <w:t>risks</w:t>
      </w:r>
      <w:r w:rsidR="00F8652E" w:rsidRPr="00A83FE3">
        <w:rPr>
          <w:sz w:val="22"/>
          <w:szCs w:val="22"/>
        </w:rPr>
        <w:t xml:space="preserve"> reduc</w:t>
      </w:r>
      <w:r w:rsidR="00A50483">
        <w:rPr>
          <w:sz w:val="22"/>
          <w:szCs w:val="22"/>
        </w:rPr>
        <w:t>ing</w:t>
      </w:r>
      <w:r w:rsidR="00F8652E" w:rsidRPr="00A83FE3">
        <w:rPr>
          <w:sz w:val="22"/>
          <w:szCs w:val="22"/>
        </w:rPr>
        <w:t xml:space="preserve"> competition from new entrants in the APA and trading venue space, as they are unlikely to be taken up by a CTP for some time. Users signing up to a CTP would expect a whole market view of the trades – in the case of a highly fragmented </w:t>
      </w:r>
      <w:r w:rsidR="00F8652E" w:rsidRPr="00A83FE3">
        <w:rPr>
          <w:sz w:val="22"/>
          <w:szCs w:val="22"/>
        </w:rPr>
        <w:lastRenderedPageBreak/>
        <w:t>market, ESMA’s approach may mean that a significant proportion of business</w:t>
      </w:r>
      <w:r w:rsidR="00A50483">
        <w:rPr>
          <w:sz w:val="22"/>
          <w:szCs w:val="22"/>
        </w:rPr>
        <w:t>,</w:t>
      </w:r>
      <w:r w:rsidR="00F8652E" w:rsidRPr="00A83FE3">
        <w:rPr>
          <w:sz w:val="22"/>
          <w:szCs w:val="22"/>
        </w:rPr>
        <w:t xml:space="preserve"> when considered cumulatively</w:t>
      </w:r>
      <w:r w:rsidR="00A50483">
        <w:rPr>
          <w:sz w:val="22"/>
          <w:szCs w:val="22"/>
        </w:rPr>
        <w:t>,</w:t>
      </w:r>
      <w:r w:rsidR="00F8652E" w:rsidRPr="00A83FE3">
        <w:rPr>
          <w:sz w:val="22"/>
          <w:szCs w:val="22"/>
        </w:rPr>
        <w:t xml:space="preserve"> is not provided by a CTP.</w:t>
      </w:r>
    </w:p>
    <w:permEnd w:id="1274699019"/>
    <w:p w:rsidR="00A8728B" w:rsidRDefault="00A8728B" w:rsidP="00A8728B">
      <w:r>
        <w:t>&lt;ESMA_QUESTION</w:t>
      </w:r>
      <w:r w:rsidR="00D920D1">
        <w:t>_MIFID</w:t>
      </w:r>
      <w:r w:rsidR="00070630">
        <w:t>_NET_</w:t>
      </w:r>
      <w:r>
        <w:t>2&gt;</w:t>
      </w:r>
    </w:p>
    <w:p w:rsidR="00A8728B" w:rsidRPr="00B62727" w:rsidRDefault="00070630" w:rsidP="00070630">
      <w:pPr>
        <w:pStyle w:val="CPQuestions"/>
      </w:pPr>
      <w:r w:rsidRPr="00070630">
        <w:t>Do you agree with the proposed level for the threshold? In particular, do you agree that the threshold is set at the same level across all asset classes and for both the volume and number of transactions? If not, please explain why and propose an a</w:t>
      </w:r>
      <w:r w:rsidRPr="00070630">
        <w:t>l</w:t>
      </w:r>
      <w:r w:rsidRPr="00070630">
        <w:t>ternative approach</w:t>
      </w:r>
      <w:r w:rsidR="00431DA4" w:rsidRPr="00431DA4">
        <w:t>.</w:t>
      </w:r>
    </w:p>
    <w:p w:rsidR="00A8728B" w:rsidRDefault="00A8728B" w:rsidP="00A8728B">
      <w:r>
        <w:t>&lt;ESMA_QUESTION</w:t>
      </w:r>
      <w:r w:rsidR="00D920D1">
        <w:t>_MIFID</w:t>
      </w:r>
      <w:r w:rsidR="00070630">
        <w:t>_NET_</w:t>
      </w:r>
      <w:r>
        <w:t>3&gt;</w:t>
      </w:r>
    </w:p>
    <w:p w:rsidR="009C3C50" w:rsidRDefault="00216BD6" w:rsidP="00E65BD9">
      <w:pPr>
        <w:spacing w:line="276" w:lineRule="auto"/>
        <w:rPr>
          <w:sz w:val="22"/>
        </w:rPr>
      </w:pPr>
      <w:permStart w:id="947224025" w:edGrp="everyone"/>
      <w:r w:rsidRPr="00A83FE3">
        <w:rPr>
          <w:sz w:val="22"/>
        </w:rPr>
        <w:t xml:space="preserve">See our comments above. </w:t>
      </w:r>
      <w:r w:rsidR="002457EC" w:rsidRPr="00A83FE3">
        <w:rPr>
          <w:sz w:val="22"/>
        </w:rPr>
        <w:t>LSEG (Trading venue / APA)</w:t>
      </w:r>
      <w:r w:rsidRPr="00A83FE3">
        <w:rPr>
          <w:sz w:val="22"/>
        </w:rPr>
        <w:t xml:space="preserve"> would not </w:t>
      </w:r>
      <w:r w:rsidR="009C3C50">
        <w:rPr>
          <w:sz w:val="22"/>
        </w:rPr>
        <w:t>have</w:t>
      </w:r>
      <w:r w:rsidRPr="00A83FE3">
        <w:rPr>
          <w:sz w:val="22"/>
        </w:rPr>
        <w:t xml:space="preserve"> the data necessary</w:t>
      </w:r>
      <w:r w:rsidR="009C3C50">
        <w:rPr>
          <w:sz w:val="22"/>
        </w:rPr>
        <w:t xml:space="preserve"> – both</w:t>
      </w:r>
      <w:r w:rsidR="004E7D5E">
        <w:rPr>
          <w:sz w:val="22"/>
        </w:rPr>
        <w:t xml:space="preserve"> </w:t>
      </w:r>
      <w:r w:rsidR="00F4203D" w:rsidRPr="00F4203D">
        <w:rPr>
          <w:sz w:val="22"/>
        </w:rPr>
        <w:t>total volume</w:t>
      </w:r>
      <w:r w:rsidR="004E7D5E">
        <w:rPr>
          <w:sz w:val="22"/>
        </w:rPr>
        <w:t xml:space="preserve"> / total number of transactions</w:t>
      </w:r>
      <w:r w:rsidR="00F4203D" w:rsidRPr="00F4203D">
        <w:rPr>
          <w:sz w:val="22"/>
        </w:rPr>
        <w:t xml:space="preserve"> reported in the Union</w:t>
      </w:r>
      <w:r w:rsidR="009C3C50">
        <w:rPr>
          <w:sz w:val="22"/>
        </w:rPr>
        <w:t xml:space="preserve"> – to </w:t>
      </w:r>
      <w:r w:rsidRPr="00A83FE3">
        <w:rPr>
          <w:sz w:val="22"/>
        </w:rPr>
        <w:t>make a judgement</w:t>
      </w:r>
      <w:r w:rsidR="002457EC" w:rsidRPr="00A83FE3">
        <w:rPr>
          <w:sz w:val="22"/>
        </w:rPr>
        <w:t xml:space="preserve"> o</w:t>
      </w:r>
      <w:r w:rsidR="00A50483">
        <w:rPr>
          <w:sz w:val="22"/>
        </w:rPr>
        <w:t>n</w:t>
      </w:r>
      <w:r w:rsidR="002457EC" w:rsidRPr="00A83FE3">
        <w:rPr>
          <w:sz w:val="22"/>
        </w:rPr>
        <w:t xml:space="preserve"> the level of threshold.</w:t>
      </w:r>
      <w:r w:rsidR="004330B5">
        <w:rPr>
          <w:sz w:val="22"/>
        </w:rPr>
        <w:t xml:space="preserve"> </w:t>
      </w:r>
    </w:p>
    <w:permEnd w:id="947224025"/>
    <w:p w:rsidR="00A8728B" w:rsidRDefault="00A8728B" w:rsidP="00A8728B">
      <w:r>
        <w:t>&lt;ESMA_QUESTION</w:t>
      </w:r>
      <w:r w:rsidR="00D920D1">
        <w:t>_MIFID</w:t>
      </w:r>
      <w:r w:rsidR="00070630">
        <w:t>_NET_</w:t>
      </w:r>
      <w:r>
        <w:t>3&gt;</w:t>
      </w:r>
    </w:p>
    <w:p w:rsidR="00A8728B" w:rsidRPr="00B62727" w:rsidRDefault="00070630" w:rsidP="00070630">
      <w:pPr>
        <w:pStyle w:val="CPQuestions"/>
      </w:pPr>
      <w:r w:rsidRPr="00070630">
        <w:t>Which entity should perform the calculations? Should it be the data source, i.e. trading venues and APAs, or the CTP</w:t>
      </w:r>
      <w:r w:rsidR="00431DA4" w:rsidRPr="00431DA4">
        <w:t>?</w:t>
      </w:r>
    </w:p>
    <w:p w:rsidR="00A8728B" w:rsidRDefault="00A8728B" w:rsidP="00A8728B">
      <w:r>
        <w:t>&lt;ESMA_QUESTION</w:t>
      </w:r>
      <w:r w:rsidR="00D920D1">
        <w:t>_MIFID</w:t>
      </w:r>
      <w:r w:rsidR="00070630">
        <w:t>_NET_</w:t>
      </w:r>
      <w:r>
        <w:t>4&gt;</w:t>
      </w:r>
    </w:p>
    <w:p w:rsidR="00216BD6" w:rsidRPr="00A83FE3" w:rsidRDefault="00FE5988" w:rsidP="00E65BD9">
      <w:pPr>
        <w:spacing w:line="276" w:lineRule="auto"/>
        <w:rPr>
          <w:sz w:val="22"/>
        </w:rPr>
      </w:pPr>
      <w:permStart w:id="182657389" w:edGrp="everyone"/>
      <w:r>
        <w:rPr>
          <w:sz w:val="22"/>
        </w:rPr>
        <w:t>As above, w</w:t>
      </w:r>
      <w:r w:rsidR="00A24799">
        <w:rPr>
          <w:sz w:val="22"/>
        </w:rPr>
        <w:t>e disagree with the proposed threshold approach.  However, i</w:t>
      </w:r>
      <w:r w:rsidR="00216BD6" w:rsidRPr="00A83FE3">
        <w:rPr>
          <w:sz w:val="22"/>
        </w:rPr>
        <w:t>f ESMA adopts the threshold approach, LSEG believes that for the reasons stated above,</w:t>
      </w:r>
      <w:r w:rsidR="00216BD6" w:rsidRPr="00F64478">
        <w:rPr>
          <w:sz w:val="22"/>
        </w:rPr>
        <w:t xml:space="preserve"> ESMA </w:t>
      </w:r>
      <w:r w:rsidR="00F64478" w:rsidRPr="00F64478">
        <w:rPr>
          <w:sz w:val="22"/>
        </w:rPr>
        <w:t xml:space="preserve">would be </w:t>
      </w:r>
      <w:r w:rsidR="00216BD6" w:rsidRPr="00A83FE3">
        <w:rPr>
          <w:sz w:val="22"/>
        </w:rPr>
        <w:t>best placed to perform the calculations</w:t>
      </w:r>
      <w:r w:rsidR="002457EC" w:rsidRPr="00A83FE3">
        <w:rPr>
          <w:sz w:val="22"/>
        </w:rPr>
        <w:t xml:space="preserve"> and should be responsible for monitoring which data sources </w:t>
      </w:r>
      <w:r w:rsidR="00A50483">
        <w:rPr>
          <w:sz w:val="22"/>
        </w:rPr>
        <w:t>should be</w:t>
      </w:r>
      <w:r w:rsidR="002457EC" w:rsidRPr="00A83FE3">
        <w:rPr>
          <w:sz w:val="22"/>
        </w:rPr>
        <w:t xml:space="preserve"> include</w:t>
      </w:r>
      <w:r w:rsidR="00A50483">
        <w:rPr>
          <w:sz w:val="22"/>
        </w:rPr>
        <w:t>d</w:t>
      </w:r>
      <w:r w:rsidR="00F64478">
        <w:rPr>
          <w:sz w:val="22"/>
        </w:rPr>
        <w:t xml:space="preserve">. </w:t>
      </w:r>
      <w:r w:rsidR="0053154A">
        <w:rPr>
          <w:sz w:val="22"/>
        </w:rPr>
        <w:t xml:space="preserve">As a second preference, </w:t>
      </w:r>
      <w:r w:rsidR="00F64478">
        <w:rPr>
          <w:sz w:val="22"/>
        </w:rPr>
        <w:t>t</w:t>
      </w:r>
      <w:r w:rsidR="00F64478" w:rsidRPr="00A83FE3">
        <w:rPr>
          <w:sz w:val="22"/>
        </w:rPr>
        <w:t xml:space="preserve">he CTP provider </w:t>
      </w:r>
      <w:r w:rsidR="00F64478">
        <w:rPr>
          <w:sz w:val="22"/>
        </w:rPr>
        <w:t xml:space="preserve">could </w:t>
      </w:r>
      <w:r w:rsidR="00F64478" w:rsidRPr="00A83FE3">
        <w:rPr>
          <w:sz w:val="22"/>
        </w:rPr>
        <w:t xml:space="preserve">perform the </w:t>
      </w:r>
      <w:r w:rsidR="0053154A" w:rsidRPr="00A83FE3">
        <w:rPr>
          <w:sz w:val="22"/>
        </w:rPr>
        <w:t xml:space="preserve">calculations </w:t>
      </w:r>
      <w:r w:rsidR="0053154A">
        <w:rPr>
          <w:sz w:val="22"/>
        </w:rPr>
        <w:t xml:space="preserve">and </w:t>
      </w:r>
      <w:r w:rsidR="00F64478" w:rsidRPr="00A83FE3">
        <w:rPr>
          <w:sz w:val="22"/>
        </w:rPr>
        <w:t xml:space="preserve">be responsible for monitoring which data sources to </w:t>
      </w:r>
      <w:r w:rsidR="0053154A" w:rsidRPr="00A83FE3">
        <w:rPr>
          <w:sz w:val="22"/>
        </w:rPr>
        <w:t>include</w:t>
      </w:r>
      <w:r>
        <w:rPr>
          <w:sz w:val="22"/>
        </w:rPr>
        <w:t>;</w:t>
      </w:r>
      <w:r w:rsidR="0053154A">
        <w:rPr>
          <w:sz w:val="22"/>
        </w:rPr>
        <w:t xml:space="preserve"> the onus should not be on the trading venues or</w:t>
      </w:r>
      <w:r w:rsidR="0053154A" w:rsidRPr="00A83FE3">
        <w:rPr>
          <w:sz w:val="22"/>
        </w:rPr>
        <w:t xml:space="preserve"> </w:t>
      </w:r>
      <w:r w:rsidR="00216BD6" w:rsidRPr="00A83FE3">
        <w:rPr>
          <w:sz w:val="22"/>
        </w:rPr>
        <w:t>APA</w:t>
      </w:r>
      <w:r w:rsidR="0053154A">
        <w:rPr>
          <w:sz w:val="22"/>
        </w:rPr>
        <w:t>s</w:t>
      </w:r>
      <w:r w:rsidR="00216BD6" w:rsidRPr="00A83FE3">
        <w:rPr>
          <w:sz w:val="22"/>
        </w:rPr>
        <w:t xml:space="preserve">. </w:t>
      </w:r>
    </w:p>
    <w:p w:rsidR="002457EC" w:rsidRPr="00A83FE3" w:rsidRDefault="002457EC" w:rsidP="00E65BD9">
      <w:pPr>
        <w:spacing w:line="276" w:lineRule="auto"/>
        <w:rPr>
          <w:sz w:val="22"/>
        </w:rPr>
      </w:pPr>
    </w:p>
    <w:p w:rsidR="00F8652E" w:rsidRPr="00A83FE3" w:rsidRDefault="002457EC" w:rsidP="00E65BD9">
      <w:pPr>
        <w:spacing w:line="276" w:lineRule="auto"/>
        <w:rPr>
          <w:sz w:val="22"/>
        </w:rPr>
      </w:pPr>
      <w:r w:rsidRPr="00A83FE3">
        <w:rPr>
          <w:sz w:val="22"/>
        </w:rPr>
        <w:t>LSEG</w:t>
      </w:r>
      <w:r w:rsidR="00F9562A" w:rsidRPr="00A83FE3">
        <w:rPr>
          <w:sz w:val="22"/>
        </w:rPr>
        <w:t xml:space="preserve"> would make </w:t>
      </w:r>
      <w:r w:rsidRPr="00A83FE3">
        <w:rPr>
          <w:sz w:val="22"/>
        </w:rPr>
        <w:t>the</w:t>
      </w:r>
      <w:r w:rsidR="00A83FE3">
        <w:rPr>
          <w:sz w:val="22"/>
        </w:rPr>
        <w:t xml:space="preserve"> p</w:t>
      </w:r>
      <w:r w:rsidR="00F9562A" w:rsidRPr="00A83FE3">
        <w:rPr>
          <w:sz w:val="22"/>
        </w:rPr>
        <w:t xml:space="preserve">ost trade data available to any CTP provider </w:t>
      </w:r>
      <w:r w:rsidRPr="00A83FE3">
        <w:rPr>
          <w:sz w:val="22"/>
        </w:rPr>
        <w:t>on a</w:t>
      </w:r>
      <w:r w:rsidR="00F9562A" w:rsidRPr="00A83FE3">
        <w:rPr>
          <w:sz w:val="22"/>
        </w:rPr>
        <w:t xml:space="preserve"> reasonable comme</w:t>
      </w:r>
      <w:r w:rsidR="00F9562A" w:rsidRPr="00A83FE3">
        <w:rPr>
          <w:sz w:val="22"/>
        </w:rPr>
        <w:t>r</w:t>
      </w:r>
      <w:r w:rsidR="00F9562A" w:rsidRPr="00A83FE3">
        <w:rPr>
          <w:sz w:val="22"/>
        </w:rPr>
        <w:t xml:space="preserve">cial basis and it would be </w:t>
      </w:r>
      <w:r w:rsidRPr="00A83FE3">
        <w:rPr>
          <w:sz w:val="22"/>
        </w:rPr>
        <w:t xml:space="preserve">CTP provider’s </w:t>
      </w:r>
      <w:r w:rsidR="00F9562A" w:rsidRPr="00A83FE3">
        <w:rPr>
          <w:sz w:val="22"/>
        </w:rPr>
        <w:t>decision</w:t>
      </w:r>
      <w:r w:rsidR="00FE5988">
        <w:rPr>
          <w:sz w:val="22"/>
        </w:rPr>
        <w:t xml:space="preserve"> </w:t>
      </w:r>
      <w:r w:rsidR="00A61F9C">
        <w:rPr>
          <w:sz w:val="22"/>
        </w:rPr>
        <w:t xml:space="preserve">whether </w:t>
      </w:r>
      <w:r w:rsidR="00A61F9C" w:rsidRPr="00A83FE3">
        <w:rPr>
          <w:sz w:val="22"/>
        </w:rPr>
        <w:t>to</w:t>
      </w:r>
      <w:r w:rsidR="00F9562A" w:rsidRPr="00A83FE3">
        <w:rPr>
          <w:sz w:val="22"/>
        </w:rPr>
        <w:t xml:space="preserve"> carry the data or not.</w:t>
      </w:r>
    </w:p>
    <w:permEnd w:id="182657389"/>
    <w:p w:rsidR="00A8728B" w:rsidRDefault="00A8728B" w:rsidP="00A8728B">
      <w:r>
        <w:t>&lt;ESMA_QUESTION</w:t>
      </w:r>
      <w:r w:rsidR="00D920D1">
        <w:t>_MIFID</w:t>
      </w:r>
      <w:r w:rsidR="00070630">
        <w:t>_NET_</w:t>
      </w:r>
      <w:r>
        <w:t>4&gt;</w:t>
      </w:r>
    </w:p>
    <w:p w:rsidR="00431DA4" w:rsidRPr="00B62727" w:rsidRDefault="00070630" w:rsidP="00070630">
      <w:pPr>
        <w:pStyle w:val="CPQuestions"/>
      </w:pPr>
      <w:r w:rsidRPr="00070630">
        <w:t>Do you agree with the proposed calculation and publication frequency? Do you agree that only trading venues and APAs that have reported transactions covering the full reference period of 6 months should be required to carry out the asses</w:t>
      </w:r>
      <w:r w:rsidRPr="00070630">
        <w:t>s</w:t>
      </w:r>
      <w:r w:rsidRPr="00070630">
        <w:t>ment? If not, please explain why and propose an alternative solution</w:t>
      </w:r>
      <w:r>
        <w:t>.</w:t>
      </w:r>
    </w:p>
    <w:p w:rsidR="00A8728B" w:rsidRDefault="00A8728B" w:rsidP="00A8728B">
      <w:r>
        <w:t>&lt;ESMA_QUESTION</w:t>
      </w:r>
      <w:r w:rsidR="00D920D1">
        <w:t>_MIFID</w:t>
      </w:r>
      <w:r w:rsidR="00070630">
        <w:t>_NET_</w:t>
      </w:r>
      <w:r>
        <w:t>5&gt;</w:t>
      </w:r>
    </w:p>
    <w:p w:rsidR="00F8652E" w:rsidRPr="00F4203D" w:rsidRDefault="00A24799" w:rsidP="00E65BD9">
      <w:pPr>
        <w:spacing w:line="276" w:lineRule="auto"/>
        <w:rPr>
          <w:sz w:val="22"/>
        </w:rPr>
      </w:pPr>
      <w:permStart w:id="457861310" w:edGrp="everyone"/>
      <w:r>
        <w:rPr>
          <w:sz w:val="22"/>
        </w:rPr>
        <w:t>We disagree with the proposed threshold approach.  However, t</w:t>
      </w:r>
      <w:r w:rsidR="00F8652E" w:rsidRPr="00F4203D">
        <w:rPr>
          <w:sz w:val="22"/>
        </w:rPr>
        <w:t xml:space="preserve">he </w:t>
      </w:r>
      <w:r w:rsidR="00C87873">
        <w:rPr>
          <w:sz w:val="22"/>
        </w:rPr>
        <w:t xml:space="preserve">six </w:t>
      </w:r>
      <w:r w:rsidR="00F8652E" w:rsidRPr="00F4203D">
        <w:rPr>
          <w:sz w:val="22"/>
        </w:rPr>
        <w:t xml:space="preserve">month reference period proposed by ESMA </w:t>
      </w:r>
      <w:r w:rsidR="00FE5988">
        <w:rPr>
          <w:sz w:val="22"/>
        </w:rPr>
        <w:t>would</w:t>
      </w:r>
      <w:r w:rsidR="00FE5988" w:rsidRPr="00F4203D">
        <w:rPr>
          <w:sz w:val="22"/>
        </w:rPr>
        <w:t xml:space="preserve"> </w:t>
      </w:r>
      <w:r w:rsidR="00F8652E" w:rsidRPr="00F4203D">
        <w:rPr>
          <w:sz w:val="22"/>
        </w:rPr>
        <w:t xml:space="preserve">substantially delay the inclusion of </w:t>
      </w:r>
      <w:r w:rsidR="004E7D5E" w:rsidRPr="00F4203D">
        <w:rPr>
          <w:sz w:val="22"/>
        </w:rPr>
        <w:t>the</w:t>
      </w:r>
      <w:r w:rsidR="00F8652E" w:rsidRPr="00F4203D">
        <w:rPr>
          <w:sz w:val="22"/>
        </w:rPr>
        <w:t xml:space="preserve"> new APA or TV in CTP, for instance</w:t>
      </w:r>
      <w:r w:rsidR="00A50483">
        <w:rPr>
          <w:sz w:val="22"/>
        </w:rPr>
        <w:t>,</w:t>
      </w:r>
      <w:r w:rsidR="00F8652E" w:rsidRPr="00F4203D">
        <w:rPr>
          <w:sz w:val="22"/>
        </w:rPr>
        <w:t xml:space="preserve"> in the example provided in paragraph 18. This could be alleviated by considering a quarterly reference period for calculations.</w:t>
      </w:r>
    </w:p>
    <w:permEnd w:id="457861310"/>
    <w:p w:rsidR="00A8728B" w:rsidRDefault="00A8728B" w:rsidP="00A8728B">
      <w:r>
        <w:t>&lt;ESMA_QUESTION</w:t>
      </w:r>
      <w:r w:rsidR="00D920D1">
        <w:t>_MIFID</w:t>
      </w:r>
      <w:r w:rsidR="00070630">
        <w:t>_NET_</w:t>
      </w:r>
      <w:r>
        <w:t>5&gt;</w:t>
      </w:r>
    </w:p>
    <w:p w:rsidR="00431DA4" w:rsidRPr="000E6B5B" w:rsidRDefault="00070630" w:rsidP="00070630">
      <w:pPr>
        <w:pStyle w:val="CPQuestions"/>
      </w:pPr>
      <w:r w:rsidRPr="00070630">
        <w:t>Do you consider it appropriate to provide for a grace period of up to 6 months after the first assessment date for including new sources into the data stream? Do you consider the proposed length appropriate</w:t>
      </w:r>
      <w:r>
        <w:t>?</w:t>
      </w:r>
    </w:p>
    <w:p w:rsidR="00A8728B" w:rsidRDefault="00A8728B" w:rsidP="00A8728B">
      <w:r>
        <w:t>&lt;ESMA_QUESTION</w:t>
      </w:r>
      <w:r w:rsidR="00D920D1">
        <w:t>_MIFID</w:t>
      </w:r>
      <w:r w:rsidR="00070630">
        <w:t>_NET_</w:t>
      </w:r>
      <w:r>
        <w:t>6&gt;</w:t>
      </w:r>
    </w:p>
    <w:p w:rsidR="00A8728B" w:rsidRDefault="00FE5988" w:rsidP="00E65BD9">
      <w:pPr>
        <w:spacing w:line="276" w:lineRule="auto"/>
      </w:pPr>
      <w:permStart w:id="1931808090" w:edGrp="everyone"/>
      <w:r>
        <w:rPr>
          <w:sz w:val="22"/>
        </w:rPr>
        <w:lastRenderedPageBreak/>
        <w:t>The principle s</w:t>
      </w:r>
      <w:r w:rsidR="00F9562A" w:rsidRPr="0063244F">
        <w:rPr>
          <w:sz w:val="22"/>
        </w:rPr>
        <w:t>eems sensible</w:t>
      </w:r>
      <w:r w:rsidR="004E7D5E" w:rsidRPr="0063244F">
        <w:rPr>
          <w:sz w:val="22"/>
        </w:rPr>
        <w:t xml:space="preserve">, </w:t>
      </w:r>
      <w:r>
        <w:rPr>
          <w:sz w:val="22"/>
        </w:rPr>
        <w:t>but on the basis that the CTP is intended to cover the entire ma</w:t>
      </w:r>
      <w:r>
        <w:rPr>
          <w:sz w:val="22"/>
        </w:rPr>
        <w:t>r</w:t>
      </w:r>
      <w:r>
        <w:rPr>
          <w:sz w:val="22"/>
        </w:rPr>
        <w:t xml:space="preserve">ket, we </w:t>
      </w:r>
      <w:r w:rsidR="00E65BD9">
        <w:rPr>
          <w:sz w:val="22"/>
        </w:rPr>
        <w:t xml:space="preserve">suggest </w:t>
      </w:r>
      <w:r w:rsidR="00E65BD9" w:rsidRPr="0063244F">
        <w:rPr>
          <w:sz w:val="22"/>
        </w:rPr>
        <w:t>a</w:t>
      </w:r>
      <w:r>
        <w:rPr>
          <w:sz w:val="22"/>
        </w:rPr>
        <w:t xml:space="preserve"> </w:t>
      </w:r>
      <w:r w:rsidR="004E7D5E" w:rsidRPr="0063244F">
        <w:rPr>
          <w:sz w:val="22"/>
        </w:rPr>
        <w:t xml:space="preserve">period of three months </w:t>
      </w:r>
      <w:r>
        <w:rPr>
          <w:sz w:val="22"/>
        </w:rPr>
        <w:t>should</w:t>
      </w:r>
      <w:r w:rsidRPr="0063244F">
        <w:rPr>
          <w:sz w:val="22"/>
        </w:rPr>
        <w:t xml:space="preserve"> </w:t>
      </w:r>
      <w:r w:rsidR="004E7D5E" w:rsidRPr="0063244F">
        <w:rPr>
          <w:sz w:val="22"/>
        </w:rPr>
        <w:t>be considered</w:t>
      </w:r>
      <w:r w:rsidR="004E7D5E">
        <w:t>.</w:t>
      </w:r>
    </w:p>
    <w:permEnd w:id="1931808090"/>
    <w:p w:rsidR="00A8728B" w:rsidRDefault="00A8728B" w:rsidP="00A8728B">
      <w:r>
        <w:t>&lt;ESMA_QUESTION</w:t>
      </w:r>
      <w:r w:rsidR="00D920D1">
        <w:t>_MIFID</w:t>
      </w:r>
      <w:r w:rsidR="00070630">
        <w:t>_NET_</w:t>
      </w:r>
      <w:r>
        <w:t>6&gt;</w:t>
      </w:r>
    </w:p>
    <w:p w:rsidR="00A8728B" w:rsidRDefault="00A8728B" w:rsidP="00A8728B"/>
    <w:p w:rsidR="00F32462" w:rsidRDefault="00F32462">
      <w:pPr>
        <w:rPr>
          <w:rFonts w:cs="Arial"/>
          <w:b/>
          <w:sz w:val="22"/>
          <w:szCs w:val="22"/>
          <w:lang w:eastAsia="en-US"/>
        </w:rPr>
      </w:pPr>
    </w:p>
    <w:p w:rsidR="00070630" w:rsidRPr="000E6B5B" w:rsidRDefault="00070630" w:rsidP="00070630">
      <w:pPr>
        <w:pStyle w:val="CPQuestions"/>
      </w:pPr>
      <w:r w:rsidRPr="00070630">
        <w:t>Do you agree that a source be only excluded if the thresholds are not met for at least three consecutive periods? If not, what do you consider to be the appropriate length of time?</w:t>
      </w:r>
    </w:p>
    <w:p w:rsidR="00070630" w:rsidRDefault="00070630" w:rsidP="00070630">
      <w:r>
        <w:t>&lt;ESMA_QUESTION_MIFID_NET_7&gt;</w:t>
      </w:r>
    </w:p>
    <w:p w:rsidR="00070630" w:rsidRDefault="00A24799" w:rsidP="00E65BD9">
      <w:pPr>
        <w:spacing w:line="276" w:lineRule="auto"/>
      </w:pPr>
      <w:permStart w:id="1452356980" w:edGrp="everyone"/>
      <w:r>
        <w:rPr>
          <w:sz w:val="22"/>
        </w:rPr>
        <w:t>We disagree with the proposed threshold approach.  However, i</w:t>
      </w:r>
      <w:r w:rsidR="004E7D5E" w:rsidRPr="00A83FE3">
        <w:rPr>
          <w:sz w:val="22"/>
        </w:rPr>
        <w:t>f ESMA adopts the threshold approach,</w:t>
      </w:r>
      <w:r w:rsidR="0063244F">
        <w:rPr>
          <w:sz w:val="22"/>
        </w:rPr>
        <w:t xml:space="preserve"> </w:t>
      </w:r>
      <w:r w:rsidR="00FE5988">
        <w:rPr>
          <w:sz w:val="22"/>
        </w:rPr>
        <w:t xml:space="preserve">the principle of </w:t>
      </w:r>
      <w:r w:rsidR="0063244F">
        <w:rPr>
          <w:sz w:val="22"/>
        </w:rPr>
        <w:t xml:space="preserve">exclusion after </w:t>
      </w:r>
      <w:r w:rsidR="00A61F9C">
        <w:rPr>
          <w:sz w:val="22"/>
        </w:rPr>
        <w:t>failing to</w:t>
      </w:r>
      <w:r w:rsidR="00FE5988">
        <w:rPr>
          <w:sz w:val="22"/>
        </w:rPr>
        <w:t xml:space="preserve"> </w:t>
      </w:r>
      <w:r w:rsidR="0063244F">
        <w:rPr>
          <w:sz w:val="22"/>
        </w:rPr>
        <w:t xml:space="preserve">meet the thresholds </w:t>
      </w:r>
      <w:r w:rsidR="0063244F" w:rsidRPr="0063244F">
        <w:rPr>
          <w:sz w:val="22"/>
        </w:rPr>
        <w:t>for at least three conse</w:t>
      </w:r>
      <w:r w:rsidR="0063244F" w:rsidRPr="0063244F">
        <w:rPr>
          <w:sz w:val="22"/>
        </w:rPr>
        <w:t>c</w:t>
      </w:r>
      <w:r w:rsidR="0063244F" w:rsidRPr="0063244F">
        <w:rPr>
          <w:sz w:val="22"/>
        </w:rPr>
        <w:t>utive periods</w:t>
      </w:r>
      <w:r w:rsidR="0063244F">
        <w:rPr>
          <w:sz w:val="22"/>
        </w:rPr>
        <w:t xml:space="preserve"> seems sensible</w:t>
      </w:r>
      <w:r w:rsidR="00565A58">
        <w:rPr>
          <w:sz w:val="22"/>
        </w:rPr>
        <w:t xml:space="preserve">, </w:t>
      </w:r>
      <w:r w:rsidR="00C87873">
        <w:rPr>
          <w:sz w:val="22"/>
        </w:rPr>
        <w:t>however,</w:t>
      </w:r>
      <w:r w:rsidR="00565A58">
        <w:rPr>
          <w:sz w:val="22"/>
        </w:rPr>
        <w:t xml:space="preserve"> </w:t>
      </w:r>
      <w:r w:rsidR="00C87873">
        <w:rPr>
          <w:sz w:val="22"/>
        </w:rPr>
        <w:t xml:space="preserve">we consider that </w:t>
      </w:r>
      <w:r w:rsidR="00565A58">
        <w:rPr>
          <w:sz w:val="22"/>
        </w:rPr>
        <w:t>the p</w:t>
      </w:r>
      <w:r w:rsidR="0063244F">
        <w:rPr>
          <w:sz w:val="22"/>
        </w:rPr>
        <w:t>eriod</w:t>
      </w:r>
      <w:r w:rsidR="00565A58">
        <w:rPr>
          <w:sz w:val="22"/>
        </w:rPr>
        <w:t>s</w:t>
      </w:r>
      <w:r w:rsidR="0063244F">
        <w:rPr>
          <w:sz w:val="22"/>
        </w:rPr>
        <w:t xml:space="preserve"> </w:t>
      </w:r>
      <w:r w:rsidR="00565A58">
        <w:rPr>
          <w:sz w:val="22"/>
        </w:rPr>
        <w:t xml:space="preserve">should </w:t>
      </w:r>
      <w:r w:rsidR="00E65BD9">
        <w:rPr>
          <w:sz w:val="22"/>
        </w:rPr>
        <w:t>be three</w:t>
      </w:r>
      <w:r w:rsidR="0063244F">
        <w:rPr>
          <w:sz w:val="22"/>
        </w:rPr>
        <w:t xml:space="preserve"> months instead of six.</w:t>
      </w:r>
    </w:p>
    <w:permEnd w:id="1452356980"/>
    <w:p w:rsidR="00F8652E" w:rsidRPr="00682097" w:rsidRDefault="00070630">
      <w:r>
        <w:t>&lt;ESMA_QUESTION_MIFID_NET_7&gt;</w:t>
      </w:r>
    </w:p>
    <w:sectPr w:rsidR="00F8652E" w:rsidRPr="00682097"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EA6" w:rsidRDefault="00A20EA6">
      <w:r>
        <w:separator/>
      </w:r>
    </w:p>
    <w:p w:rsidR="00A20EA6" w:rsidRDefault="00A20EA6"/>
  </w:endnote>
  <w:endnote w:type="continuationSeparator" w:id="0">
    <w:p w:rsidR="00A20EA6" w:rsidRDefault="00A20EA6">
      <w:r>
        <w:continuationSeparator/>
      </w:r>
    </w:p>
    <w:p w:rsidR="00A20EA6" w:rsidRDefault="00A20EA6"/>
  </w:endnote>
  <w:endnote w:type="continuationNotice" w:id="1">
    <w:p w:rsidR="00A20EA6" w:rsidRDefault="00A20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145EE">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62" w:rsidRPr="00E21E62" w:rsidRDefault="00E21E62" w:rsidP="00E21E62">
    <w:pPr>
      <w:pStyle w:val="Footer"/>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EA6" w:rsidRDefault="00A20EA6">
      <w:r>
        <w:separator/>
      </w:r>
    </w:p>
    <w:p w:rsidR="00A20EA6" w:rsidRDefault="00A20EA6"/>
  </w:footnote>
  <w:footnote w:type="continuationSeparator" w:id="0">
    <w:p w:rsidR="00A20EA6" w:rsidRDefault="00A20EA6">
      <w:r>
        <w:continuationSeparator/>
      </w:r>
    </w:p>
    <w:p w:rsidR="00A20EA6" w:rsidRDefault="00A20EA6"/>
  </w:footnote>
  <w:footnote w:type="continuationNotice" w:id="1">
    <w:p w:rsidR="00A20EA6" w:rsidRDefault="00A20E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zh-CN"/>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zh-CN"/>
      </w:rPr>
      <w:drawing>
        <wp:anchor distT="0" distB="0" distL="114300" distR="114300" simplePos="0" relativeHeight="251657216" behindDoc="0" locked="0" layoutInCell="1" allowOverlap="1" wp14:anchorId="5866EA82" wp14:editId="7F3F734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5168" behindDoc="1" locked="0" layoutInCell="1" allowOverlap="1" wp14:anchorId="4F62E3AC" wp14:editId="1FC52A8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zh-CN"/>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1047C4"/>
    <w:multiLevelType w:val="hybridMultilevel"/>
    <w:tmpl w:val="BA82B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60F7545"/>
    <w:multiLevelType w:val="hybridMultilevel"/>
    <w:tmpl w:val="42F40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283D4B"/>
    <w:multiLevelType w:val="hybridMultilevel"/>
    <w:tmpl w:val="385C81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nsid w:val="7E8A4534"/>
    <w:multiLevelType w:val="multilevel"/>
    <w:tmpl w:val="27CE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7"/>
  </w:num>
  <w:num w:numId="22">
    <w:abstractNumId w:val="25"/>
  </w:num>
  <w:num w:numId="23">
    <w:abstractNumId w:val="9"/>
  </w:num>
  <w:num w:numId="24">
    <w:abstractNumId w:val="31"/>
  </w:num>
  <w:num w:numId="25">
    <w:abstractNumId w:val="30"/>
  </w:num>
  <w:num w:numId="26">
    <w:abstractNumId w:val="20"/>
  </w:num>
  <w:num w:numId="27">
    <w:abstractNumId w:val="34"/>
  </w:num>
  <w:num w:numId="28">
    <w:abstractNumId w:val="39"/>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6"/>
  </w:num>
  <w:num w:numId="36">
    <w:abstractNumId w:val="35"/>
  </w:num>
  <w:num w:numId="37">
    <w:abstractNumId w:val="19"/>
  </w:num>
  <w:num w:numId="38">
    <w:abstractNumId w:val="40"/>
  </w:num>
  <w:num w:numId="39">
    <w:abstractNumId w:val="11"/>
  </w:num>
  <w:num w:numId="40">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4A68"/>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8FA"/>
    <w:rsid w:val="00204CBC"/>
    <w:rsid w:val="002051F1"/>
    <w:rsid w:val="002067BA"/>
    <w:rsid w:val="0021058D"/>
    <w:rsid w:val="00211E2F"/>
    <w:rsid w:val="00211E9E"/>
    <w:rsid w:val="00214FB4"/>
    <w:rsid w:val="00215940"/>
    <w:rsid w:val="00216BD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7EC"/>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6CF5"/>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C18"/>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3207"/>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0B5"/>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4421"/>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156"/>
    <w:rsid w:val="004E1A0F"/>
    <w:rsid w:val="004E2E89"/>
    <w:rsid w:val="004E33C2"/>
    <w:rsid w:val="004E3B9A"/>
    <w:rsid w:val="004E49B0"/>
    <w:rsid w:val="004E62DE"/>
    <w:rsid w:val="004E6B05"/>
    <w:rsid w:val="004E76A1"/>
    <w:rsid w:val="004E7D5E"/>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54A"/>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5A58"/>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243"/>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244F"/>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2097"/>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C53"/>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AC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4C7"/>
    <w:rsid w:val="007E5E44"/>
    <w:rsid w:val="007F0DDA"/>
    <w:rsid w:val="007F1939"/>
    <w:rsid w:val="007F365C"/>
    <w:rsid w:val="007F5066"/>
    <w:rsid w:val="007F621C"/>
    <w:rsid w:val="007F7155"/>
    <w:rsid w:val="00800C28"/>
    <w:rsid w:val="0080245E"/>
    <w:rsid w:val="00803480"/>
    <w:rsid w:val="0080359C"/>
    <w:rsid w:val="008037AE"/>
    <w:rsid w:val="00803DE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281"/>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C50"/>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EA6"/>
    <w:rsid w:val="00A24269"/>
    <w:rsid w:val="00A243E4"/>
    <w:rsid w:val="00A24799"/>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483"/>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1F9C"/>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3FE3"/>
    <w:rsid w:val="00A84945"/>
    <w:rsid w:val="00A85543"/>
    <w:rsid w:val="00A8728B"/>
    <w:rsid w:val="00A91129"/>
    <w:rsid w:val="00A91682"/>
    <w:rsid w:val="00A92E4A"/>
    <w:rsid w:val="00A958CA"/>
    <w:rsid w:val="00A966B6"/>
    <w:rsid w:val="00A96B46"/>
    <w:rsid w:val="00A97461"/>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3F30"/>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72A"/>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5EE"/>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3731C"/>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2DAE"/>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87873"/>
    <w:rsid w:val="00C87E2D"/>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6CA9"/>
    <w:rsid w:val="00DF7EA7"/>
    <w:rsid w:val="00E04548"/>
    <w:rsid w:val="00E0484E"/>
    <w:rsid w:val="00E063F8"/>
    <w:rsid w:val="00E114D6"/>
    <w:rsid w:val="00E1166E"/>
    <w:rsid w:val="00E11DBD"/>
    <w:rsid w:val="00E13211"/>
    <w:rsid w:val="00E16FB5"/>
    <w:rsid w:val="00E179D6"/>
    <w:rsid w:val="00E21407"/>
    <w:rsid w:val="00E21E62"/>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BD9"/>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1A33"/>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03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478"/>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2E"/>
    <w:rsid w:val="00F8657D"/>
    <w:rsid w:val="00F8730F"/>
    <w:rsid w:val="00F87DA3"/>
    <w:rsid w:val="00F90004"/>
    <w:rsid w:val="00F90EF4"/>
    <w:rsid w:val="00F917BF"/>
    <w:rsid w:val="00F920B4"/>
    <w:rsid w:val="00F9260D"/>
    <w:rsid w:val="00F92727"/>
    <w:rsid w:val="00F93CCF"/>
    <w:rsid w:val="00F94307"/>
    <w:rsid w:val="00F9562A"/>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E5988"/>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59530293">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1990598">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98492437">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2894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45458219">
      <w:bodyDiv w:val="1"/>
      <w:marLeft w:val="0"/>
      <w:marRight w:val="0"/>
      <w:marTop w:val="0"/>
      <w:marBottom w:val="0"/>
      <w:divBdr>
        <w:top w:val="none" w:sz="0" w:space="0" w:color="auto"/>
        <w:left w:val="none" w:sz="0" w:space="0" w:color="auto"/>
        <w:bottom w:val="none" w:sz="0" w:space="0" w:color="auto"/>
        <w:right w:val="none" w:sz="0" w:space="0" w:color="auto"/>
      </w:divBdr>
    </w:div>
    <w:div w:id="1355692867">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1119161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8605133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289882">
      <w:bodyDiv w:val="1"/>
      <w:marLeft w:val="0"/>
      <w:marRight w:val="0"/>
      <w:marTop w:val="0"/>
      <w:marBottom w:val="0"/>
      <w:divBdr>
        <w:top w:val="none" w:sz="0" w:space="0" w:color="auto"/>
        <w:left w:val="none" w:sz="0" w:space="0" w:color="auto"/>
        <w:bottom w:val="none" w:sz="0" w:space="0" w:color="auto"/>
        <w:right w:val="none" w:sz="0" w:space="0" w:color="auto"/>
      </w:divBdr>
    </w:div>
    <w:div w:id="1761944447">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52211035">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19554798">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30380738">
      <w:bodyDiv w:val="1"/>
      <w:marLeft w:val="0"/>
      <w:marRight w:val="0"/>
      <w:marTop w:val="0"/>
      <w:marBottom w:val="0"/>
      <w:divBdr>
        <w:top w:val="none" w:sz="0" w:space="0" w:color="auto"/>
        <w:left w:val="none" w:sz="0" w:space="0" w:color="auto"/>
        <w:bottom w:val="none" w:sz="0" w:space="0" w:color="auto"/>
        <w:right w:val="none" w:sz="0" w:space="0" w:color="auto"/>
      </w:divBdr>
    </w:div>
    <w:div w:id="1993752330">
      <w:bodyDiv w:val="1"/>
      <w:marLeft w:val="0"/>
      <w:marRight w:val="0"/>
      <w:marTop w:val="0"/>
      <w:marBottom w:val="0"/>
      <w:divBdr>
        <w:top w:val="none" w:sz="0" w:space="0" w:color="auto"/>
        <w:left w:val="none" w:sz="0" w:space="0" w:color="auto"/>
        <w:bottom w:val="none" w:sz="0" w:space="0" w:color="auto"/>
        <w:right w:val="none" w:sz="0" w:space="0" w:color="auto"/>
      </w:divBdr>
    </w:div>
    <w:div w:id="2060006396">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35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BSivak@lse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898F-F3DF-438F-B1E2-9EBF85C026AB}">
  <ds:schemaRefs>
    <ds:schemaRef ds:uri="http://schemas.openxmlformats.org/officeDocument/2006/bibliography"/>
  </ds:schemaRefs>
</ds:datastoreItem>
</file>

<file path=customXml/itemProps2.xml><?xml version="1.0" encoding="utf-8"?>
<ds:datastoreItem xmlns:ds="http://schemas.openxmlformats.org/officeDocument/2006/customXml" ds:itemID="{481312E0-C11D-49E5-AB1B-007DA4F9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1587</Words>
  <Characters>8982</Characters>
  <Application>Microsoft Office Word</Application>
  <DocSecurity>4</DocSecurity>
  <Lines>74</Lines>
  <Paragraphs>21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10548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Beata Sivak</cp:lastModifiedBy>
  <cp:revision>2</cp:revision>
  <cp:lastPrinted>2015-02-18T11:01:00Z</cp:lastPrinted>
  <dcterms:created xsi:type="dcterms:W3CDTF">2016-12-05T12:38:00Z</dcterms:created>
  <dcterms:modified xsi:type="dcterms:W3CDTF">2016-12-05T12:38:00Z</dcterms:modified>
</cp:coreProperties>
</file>