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F37DFE" w:rsidP="00F37DFE">
            <w:pPr>
              <w:pStyle w:val="00bDBInfo"/>
              <w:rPr>
                <w:rFonts w:cs="Arial"/>
              </w:rPr>
            </w:pPr>
            <w:r>
              <w:rPr>
                <w:rFonts w:cs="Arial"/>
              </w:rPr>
              <w:t>29</w:t>
            </w:r>
            <w:r w:rsidR="003A5DAC">
              <w:rPr>
                <w:rFonts w:cs="Arial"/>
              </w:rPr>
              <w:t xml:space="preserve"> </w:t>
            </w:r>
            <w:r>
              <w:rPr>
                <w:rFonts w:cs="Arial"/>
              </w:rPr>
              <w:t>September</w:t>
            </w:r>
            <w:r w:rsidR="007C3918">
              <w:rPr>
                <w:rFonts w:cs="Arial"/>
              </w:rPr>
              <w:t xml:space="preserve">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791EB4" w:rsidRPr="009A053D" w:rsidRDefault="00990FF9" w:rsidP="00BF28DA">
            <w:pPr>
              <w:pStyle w:val="01aDBTitle"/>
              <w:rPr>
                <w:rFonts w:cs="Arial"/>
                <w:sz w:val="32"/>
              </w:rPr>
            </w:pPr>
            <w:r>
              <w:rPr>
                <w:rFonts w:cs="Arial"/>
                <w:sz w:val="32"/>
              </w:rPr>
              <w:t>Consultation</w:t>
            </w:r>
            <w:r w:rsidR="009C6CE1" w:rsidRPr="009C6CE1">
              <w:rPr>
                <w:rFonts w:cs="Arial"/>
                <w:sz w:val="32"/>
              </w:rPr>
              <w:t xml:space="preserve"> Paper </w:t>
            </w:r>
            <w:r w:rsidR="009C6CE1">
              <w:rPr>
                <w:rFonts w:cs="Arial"/>
                <w:sz w:val="32"/>
              </w:rPr>
              <w:t xml:space="preserve">on </w:t>
            </w:r>
            <w:r w:rsidR="009C6CE1" w:rsidRPr="009C6CE1">
              <w:rPr>
                <w:rFonts w:cs="Arial"/>
                <w:sz w:val="32"/>
              </w:rPr>
              <w:t>Benchmarks Regulation</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176639" w:rsidRDefault="00620D7C" w:rsidP="00F37DFE">
            <w:pPr>
              <w:pStyle w:val="02Date"/>
              <w:rPr>
                <w:rFonts w:cs="Arial"/>
                <w:highlight w:val="red"/>
              </w:rPr>
            </w:pPr>
            <w:r w:rsidRPr="007C3918">
              <w:rPr>
                <w:rFonts w:cs="Arial"/>
              </w:rPr>
              <w:lastRenderedPageBreak/>
              <w:t>Date</w:t>
            </w:r>
            <w:r w:rsidR="004049C0">
              <w:rPr>
                <w:rFonts w:cs="Arial"/>
              </w:rPr>
              <w:t xml:space="preserve">: </w:t>
            </w:r>
            <w:r w:rsidR="00F37DFE">
              <w:rPr>
                <w:rFonts w:cs="Arial"/>
              </w:rPr>
              <w:t>29</w:t>
            </w:r>
            <w:r w:rsidR="007C3918" w:rsidRPr="007C3918">
              <w:rPr>
                <w:rFonts w:cs="Arial"/>
              </w:rPr>
              <w:t xml:space="preserve"> </w:t>
            </w:r>
            <w:r w:rsidR="00F37DFE">
              <w:rPr>
                <w:rFonts w:cs="Arial"/>
              </w:rPr>
              <w:t>September</w:t>
            </w:r>
            <w:r w:rsidR="004049C0">
              <w:rPr>
                <w:rFonts w:cs="Arial"/>
              </w:rPr>
              <w:t xml:space="preserve"> </w:t>
            </w:r>
            <w:r w:rsidR="007C3918" w:rsidRPr="007C3918">
              <w:rPr>
                <w:rFonts w:cs="Arial"/>
              </w:rPr>
              <w:t>2016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F37DFE">
        <w:rPr>
          <w:rFonts w:cs="Arial"/>
        </w:rPr>
        <w:t>Consultation Paper on the Benchmarks Regulation</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Please note that, in order to facilitate the analysis of the large number of responses expected, you are requested to use this file to send your response to ESMA so as to allow us to process it properly. Ther</w:t>
      </w:r>
      <w:r w:rsidRPr="00176639">
        <w:rPr>
          <w:rFonts w:cs="Arial"/>
        </w:rPr>
        <w:t>e</w:t>
      </w:r>
      <w:r w:rsidRPr="00176639">
        <w:rPr>
          <w:rFonts w:cs="Arial"/>
        </w:rPr>
        <w:t xml:space="preserv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w:t>
      </w:r>
      <w:r w:rsidR="00955F48" w:rsidRPr="00176639">
        <w:rPr>
          <w:rFonts w:cs="Arial"/>
        </w:rPr>
        <w:t>x</w:t>
      </w:r>
      <w:r w:rsidR="00955F48" w:rsidRPr="00176639">
        <w:rPr>
          <w:rFonts w:cs="Arial"/>
        </w:rPr>
        <w:t>cept for annexes);</w:t>
      </w:r>
    </w:p>
    <w:p w:rsidR="00F574D0" w:rsidRPr="00176639" w:rsidRDefault="00D75FEE" w:rsidP="00BF557C">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A10776" w:rsidRPr="00176639">
        <w:t xml:space="preserve"> </w:t>
      </w:r>
      <w:r w:rsidR="00BF557C" w:rsidRPr="00176639">
        <w:rPr>
          <w:rFonts w:cs="Arial"/>
        </w:rPr>
        <w:t>ESMA_QUESTION_</w:t>
      </w:r>
      <w:r w:rsidR="00665C07">
        <w:t>C</w:t>
      </w:r>
      <w:r w:rsidR="00AD0B9C">
        <w:t>P_BMR</w:t>
      </w:r>
      <w:r w:rsidR="00E9344E" w:rsidRPr="00176639">
        <w:rPr>
          <w:rFonts w:cs="Arial"/>
        </w:rPr>
        <w:t>_</w:t>
      </w:r>
      <w:r w:rsidR="00F574D0" w:rsidRPr="00176639">
        <w:rPr>
          <w:rFonts w:cs="Arial"/>
        </w:rPr>
        <w:t>1&gt; - i.e. the response to one question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AD0B9C" w:rsidRDefault="00021E83" w:rsidP="000D17AA">
      <w:pPr>
        <w:pStyle w:val="04BodyText"/>
        <w:spacing w:before="120" w:after="120"/>
        <w:jc w:val="left"/>
        <w:rPr>
          <w:rFonts w:cs="Arial"/>
        </w:rPr>
      </w:pPr>
      <w:r w:rsidRPr="00AD0B9C">
        <w:rPr>
          <w:rFonts w:cs="Arial"/>
        </w:rPr>
        <w:t>ESMA_</w:t>
      </w:r>
      <w:r w:rsidR="003D79DA">
        <w:t>C</w:t>
      </w:r>
      <w:r w:rsidR="00AD0B9C" w:rsidRPr="00AD0B9C">
        <w:t>P_BMR</w:t>
      </w:r>
      <w:r w:rsidR="008701E5" w:rsidRPr="00AD0B9C">
        <w:rPr>
          <w:rFonts w:cs="Arial"/>
        </w:rPr>
        <w:t xml:space="preserve"> </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990FF9">
        <w:t>C</w:t>
      </w:r>
      <w:r w:rsidR="00AD0B9C" w:rsidRPr="00AD0B9C">
        <w:t>P_BMR</w:t>
      </w:r>
      <w:r w:rsidR="00AD0B9C" w:rsidRPr="00AD0B9C">
        <w:rPr>
          <w:rFonts w:cs="Arial"/>
        </w:rPr>
        <w:t xml:space="preserve"> </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990FF9">
        <w:t>C</w:t>
      </w:r>
      <w:r w:rsidR="00AD0B9C" w:rsidRPr="00AD0B9C">
        <w:t>P_BMR</w:t>
      </w:r>
      <w:r w:rsidR="00AD0B9C" w:rsidRPr="00AD0B9C">
        <w:rPr>
          <w:rFonts w:cs="Arial"/>
        </w:rPr>
        <w:t xml:space="preserve"> </w:t>
      </w:r>
      <w:r w:rsidRPr="00AD0B9C">
        <w:rPr>
          <w:rFonts w:cs="Arial"/>
        </w:rPr>
        <w:t>_XXXX</w:t>
      </w:r>
      <w:r w:rsidR="00021E83" w:rsidRPr="00AD0B9C">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by </w:t>
      </w:r>
      <w:r w:rsidR="00F37DFE" w:rsidRPr="00F37DFE">
        <w:rPr>
          <w:rFonts w:cs="Arial"/>
          <w:b/>
        </w:rPr>
        <w:t>02</w:t>
      </w:r>
      <w:r w:rsidR="00F37DFE">
        <w:rPr>
          <w:rFonts w:cs="Arial"/>
          <w:b/>
        </w:rPr>
        <w:t xml:space="preserve"> Decemb</w:t>
      </w:r>
      <w:r w:rsidR="00F37DFE" w:rsidRPr="00F37DFE">
        <w:rPr>
          <w:rFonts w:cs="Arial"/>
          <w:b/>
        </w:rPr>
        <w:t>er</w:t>
      </w:r>
      <w:r w:rsidRPr="00F37DFE">
        <w:rPr>
          <w:rFonts w:cs="Arial"/>
          <w:b/>
        </w:rPr>
        <w:t xml:space="preserve">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bookmarkStart w:id="1" w:name="_GoBack"/>
      <w:r w:rsidR="003844BA">
        <w:fldChar w:fldCharType="begin"/>
      </w:r>
      <w:r w:rsidR="003844BA">
        <w:instrText xml:space="preserve"> HYPERLINK "http://www.esma.europa.eu" </w:instrText>
      </w:r>
      <w:r w:rsidR="003844BA">
        <w:fldChar w:fldCharType="separate"/>
      </w:r>
      <w:r w:rsidRPr="00EF0769">
        <w:rPr>
          <w:rStyle w:val="Hyperlink"/>
          <w:rFonts w:cs="Arial"/>
        </w:rPr>
        <w:t>www.esma.europa.eu</w:t>
      </w:r>
      <w:r w:rsidR="003844BA">
        <w:rPr>
          <w:rStyle w:val="Hyperlink"/>
          <w:rFonts w:cs="Arial"/>
        </w:rPr>
        <w:fldChar w:fldCharType="end"/>
      </w:r>
      <w:bookmarkEnd w:id="1"/>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2"/>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3"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3"/>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3"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176639" w:rsidRPr="00176639">
        <w:t xml:space="preserve"> </w:t>
      </w:r>
      <w:r w:rsidR="00665C07">
        <w:t>C</w:t>
      </w:r>
      <w:r w:rsidR="00176639">
        <w:t>P_BMR</w:t>
      </w:r>
      <w:r w:rsidR="00D61A37" w:rsidRPr="00176639">
        <w:t>_1</w:t>
      </w:r>
      <w:r w:rsidRPr="00176639">
        <w:t>&gt;</w:t>
      </w:r>
    </w:p>
    <w:p w:rsidR="00D34282" w:rsidRDefault="005E1E3E" w:rsidP="00D34282">
      <w:permStart w:id="868421767" w:edGrp="everyone"/>
      <w:r>
        <w:t xml:space="preserve">MSCI appreciates the opportunity to respond to ESMA’s consultation. </w:t>
      </w:r>
    </w:p>
    <w:p w:rsidR="00830EA3" w:rsidRDefault="00830EA3" w:rsidP="00D34282"/>
    <w:p w:rsidR="00040D7C" w:rsidRDefault="00040D7C" w:rsidP="00830EA3">
      <w:pPr>
        <w:pStyle w:val="AboutMSCIBody"/>
        <w:rPr>
          <w:rFonts w:ascii="Arial" w:hAnsi="Arial" w:cs="Arial"/>
          <w:sz w:val="20"/>
          <w:szCs w:val="20"/>
        </w:rPr>
      </w:pPr>
      <w:r w:rsidRPr="00040D7C">
        <w:rPr>
          <w:rFonts w:ascii="Arial" w:hAnsi="Arial" w:cs="Arial"/>
          <w:sz w:val="20"/>
          <w:szCs w:val="20"/>
        </w:rPr>
        <w:t>MSCI is a leading global provider of investment decision support tools, including equity indexes, real estate indexes, portfolio risk and performance analytics, credit analytics and environmental, social and governance (“ESG”) data and research. Our products and services address multiple markets, asset cla</w:t>
      </w:r>
      <w:r w:rsidRPr="00040D7C">
        <w:rPr>
          <w:rFonts w:ascii="Arial" w:hAnsi="Arial" w:cs="Arial"/>
          <w:sz w:val="20"/>
          <w:szCs w:val="20"/>
        </w:rPr>
        <w:t>s</w:t>
      </w:r>
      <w:r w:rsidRPr="00040D7C">
        <w:rPr>
          <w:rFonts w:ascii="Arial" w:hAnsi="Arial" w:cs="Arial"/>
          <w:sz w:val="20"/>
          <w:szCs w:val="20"/>
        </w:rPr>
        <w:t>ses and geographies and are licensed to a diverse institutional investor client base, including asset ow</w:t>
      </w:r>
      <w:r w:rsidRPr="00040D7C">
        <w:rPr>
          <w:rFonts w:ascii="Arial" w:hAnsi="Arial" w:cs="Arial"/>
          <w:sz w:val="20"/>
          <w:szCs w:val="20"/>
        </w:rPr>
        <w:t>n</w:t>
      </w:r>
      <w:r w:rsidRPr="00040D7C">
        <w:rPr>
          <w:rFonts w:ascii="Arial" w:hAnsi="Arial" w:cs="Arial"/>
          <w:sz w:val="20"/>
          <w:szCs w:val="20"/>
        </w:rPr>
        <w:t>ers, such as pension funds, endowments, foundations, central banks, family offices and insurance co</w:t>
      </w:r>
      <w:r w:rsidRPr="00040D7C">
        <w:rPr>
          <w:rFonts w:ascii="Arial" w:hAnsi="Arial" w:cs="Arial"/>
          <w:sz w:val="20"/>
          <w:szCs w:val="20"/>
        </w:rPr>
        <w:t>m</w:t>
      </w:r>
      <w:r w:rsidRPr="00040D7C">
        <w:rPr>
          <w:rFonts w:ascii="Arial" w:hAnsi="Arial" w:cs="Arial"/>
          <w:sz w:val="20"/>
          <w:szCs w:val="20"/>
        </w:rPr>
        <w:t>panies; institutional and retail asset managers, such as managers of pension assets, mutual funds, e</w:t>
      </w:r>
      <w:r w:rsidRPr="00040D7C">
        <w:rPr>
          <w:rFonts w:ascii="Arial" w:hAnsi="Arial" w:cs="Arial"/>
          <w:sz w:val="20"/>
          <w:szCs w:val="20"/>
        </w:rPr>
        <w:t>x</w:t>
      </w:r>
      <w:r w:rsidRPr="00040D7C">
        <w:rPr>
          <w:rFonts w:ascii="Arial" w:hAnsi="Arial" w:cs="Arial"/>
          <w:sz w:val="20"/>
          <w:szCs w:val="20"/>
        </w:rPr>
        <w:t xml:space="preserve">change traded funds (“ETFs”), real estate, hedge funds and private wealth; and financial intermediaries, such as banks, broker-dealers, exchanges, custodians and investment consultants. </w:t>
      </w:r>
    </w:p>
    <w:p w:rsidR="00830EA3" w:rsidRPr="00040D7C" w:rsidRDefault="00830EA3" w:rsidP="00830EA3">
      <w:pPr>
        <w:pStyle w:val="AboutMSCIBody"/>
        <w:rPr>
          <w:rFonts w:ascii="Arial" w:eastAsiaTheme="minorEastAsia" w:hAnsi="Arial" w:cs="Arial"/>
          <w:noProof/>
          <w:sz w:val="20"/>
          <w:szCs w:val="20"/>
        </w:rPr>
      </w:pPr>
      <w:r w:rsidRPr="00040D7C">
        <w:rPr>
          <w:rFonts w:ascii="Arial" w:eastAsiaTheme="minorEastAsia" w:hAnsi="Arial" w:cs="Arial"/>
          <w:noProof/>
          <w:sz w:val="20"/>
          <w:szCs w:val="20"/>
        </w:rPr>
        <w:t xml:space="preserve">MSCI is headquartered in New York, with research and commercial offices around the world. </w:t>
      </w:r>
      <w:r w:rsidR="00040D7C" w:rsidRPr="00040D7C">
        <w:rPr>
          <w:rFonts w:ascii="Arial" w:hAnsi="Arial" w:cs="Arial"/>
          <w:sz w:val="20"/>
          <w:szCs w:val="20"/>
        </w:rPr>
        <w:t>MSCI Inc. is a US public company, incorporated in Delaware and listed on the New York Stock Exchange (ticker sy</w:t>
      </w:r>
      <w:r w:rsidR="00040D7C" w:rsidRPr="00040D7C">
        <w:rPr>
          <w:rFonts w:ascii="Arial" w:hAnsi="Arial" w:cs="Arial"/>
          <w:sz w:val="20"/>
          <w:szCs w:val="20"/>
        </w:rPr>
        <w:t>m</w:t>
      </w:r>
      <w:r w:rsidR="00040D7C" w:rsidRPr="00040D7C">
        <w:rPr>
          <w:rFonts w:ascii="Arial" w:hAnsi="Arial" w:cs="Arial"/>
          <w:sz w:val="20"/>
          <w:szCs w:val="20"/>
        </w:rPr>
        <w:t>bol: MSCI). MSCI is an independent index provid</w:t>
      </w:r>
      <w:r w:rsidR="00040D7C">
        <w:rPr>
          <w:rFonts w:ascii="Arial" w:hAnsi="Arial" w:cs="Arial"/>
          <w:sz w:val="20"/>
          <w:szCs w:val="20"/>
        </w:rPr>
        <w:t xml:space="preserve">er </w:t>
      </w:r>
      <w:r w:rsidR="00040D7C" w:rsidRPr="00040D7C">
        <w:rPr>
          <w:rFonts w:ascii="Arial" w:hAnsi="Arial" w:cs="Arial"/>
          <w:sz w:val="20"/>
          <w:szCs w:val="20"/>
        </w:rPr>
        <w:t>and does not have any stock exchange, asset mana</w:t>
      </w:r>
      <w:r w:rsidR="00040D7C" w:rsidRPr="00040D7C">
        <w:rPr>
          <w:rFonts w:ascii="Arial" w:hAnsi="Arial" w:cs="Arial"/>
          <w:sz w:val="20"/>
          <w:szCs w:val="20"/>
        </w:rPr>
        <w:t>g</w:t>
      </w:r>
      <w:r w:rsidR="00040D7C" w:rsidRPr="00040D7C">
        <w:rPr>
          <w:rFonts w:ascii="Arial" w:hAnsi="Arial" w:cs="Arial"/>
          <w:sz w:val="20"/>
          <w:szCs w:val="20"/>
        </w:rPr>
        <w:t>er, broker dealer, bank, or trading/clearing facility in its corporate group. MSCI does not create, market, trade or clear securities or financial products.</w:t>
      </w:r>
      <w:r w:rsidR="00040D7C">
        <w:rPr>
          <w:rFonts w:ascii="Arial" w:hAnsi="Arial" w:cs="Arial"/>
          <w:sz w:val="20"/>
          <w:szCs w:val="20"/>
        </w:rPr>
        <w:t xml:space="preserve"> </w:t>
      </w:r>
      <w:r w:rsidRPr="00040D7C">
        <w:rPr>
          <w:rFonts w:ascii="Arial" w:eastAsiaTheme="minorEastAsia" w:hAnsi="Arial" w:cs="Arial"/>
          <w:noProof/>
          <w:sz w:val="20"/>
          <w:szCs w:val="20"/>
        </w:rPr>
        <w:t xml:space="preserve">MSCI has </w:t>
      </w:r>
      <w:r w:rsidR="00040D7C" w:rsidRPr="00040D7C">
        <w:rPr>
          <w:rFonts w:ascii="Arial" w:eastAsiaTheme="minorEastAsia" w:hAnsi="Arial" w:cs="Arial"/>
          <w:noProof/>
          <w:sz w:val="20"/>
          <w:szCs w:val="20"/>
        </w:rPr>
        <w:t>over 6</w:t>
      </w:r>
      <w:r w:rsidR="00040D7C">
        <w:rPr>
          <w:rFonts w:ascii="Arial" w:eastAsiaTheme="minorEastAsia" w:hAnsi="Arial" w:cs="Arial"/>
          <w:noProof/>
          <w:sz w:val="20"/>
          <w:szCs w:val="20"/>
        </w:rPr>
        <w:t>0</w:t>
      </w:r>
      <w:r w:rsidRPr="00040D7C">
        <w:rPr>
          <w:rFonts w:ascii="Arial" w:eastAsiaTheme="minorEastAsia" w:hAnsi="Arial" w:cs="Arial"/>
          <w:noProof/>
          <w:sz w:val="20"/>
          <w:szCs w:val="20"/>
        </w:rPr>
        <w:t>00 customers worldwide</w:t>
      </w:r>
      <w:r w:rsidR="00040D7C">
        <w:rPr>
          <w:rFonts w:ascii="Arial" w:eastAsiaTheme="minorEastAsia" w:hAnsi="Arial" w:cs="Arial"/>
          <w:noProof/>
          <w:sz w:val="20"/>
          <w:szCs w:val="20"/>
        </w:rPr>
        <w:t>.</w:t>
      </w:r>
    </w:p>
    <w:p w:rsidR="00830EA3" w:rsidRPr="00830EA3" w:rsidRDefault="00830EA3" w:rsidP="00830EA3">
      <w:pPr>
        <w:pStyle w:val="AboutMSCIBody"/>
        <w:rPr>
          <w:rFonts w:ascii="Arial" w:eastAsiaTheme="minorEastAsia" w:hAnsi="Arial" w:cs="Arial"/>
          <w:noProof/>
          <w:sz w:val="20"/>
          <w:szCs w:val="20"/>
        </w:rPr>
      </w:pPr>
      <w:r w:rsidRPr="00830EA3">
        <w:rPr>
          <w:rFonts w:ascii="Arial" w:hAnsi="Arial" w:cs="Arial"/>
          <w:noProof/>
          <w:sz w:val="20"/>
          <w:szCs w:val="20"/>
        </w:rPr>
        <w:t>MSCI’s flagship e</w:t>
      </w:r>
      <w:r w:rsidR="00040D7C">
        <w:rPr>
          <w:rFonts w:ascii="Arial" w:hAnsi="Arial" w:cs="Arial"/>
          <w:noProof/>
          <w:sz w:val="20"/>
          <w:szCs w:val="20"/>
        </w:rPr>
        <w:t>quity indexes include the MSCI g</w:t>
      </w:r>
      <w:r w:rsidRPr="00830EA3">
        <w:rPr>
          <w:rFonts w:ascii="Arial" w:hAnsi="Arial" w:cs="Arial"/>
          <w:noProof/>
          <w:sz w:val="20"/>
          <w:szCs w:val="20"/>
        </w:rPr>
        <w:t xml:space="preserve">lobal </w:t>
      </w:r>
      <w:r w:rsidR="00040D7C">
        <w:rPr>
          <w:rFonts w:ascii="Arial" w:hAnsi="Arial" w:cs="Arial"/>
          <w:noProof/>
          <w:sz w:val="20"/>
          <w:szCs w:val="20"/>
        </w:rPr>
        <w:t>e</w:t>
      </w:r>
      <w:r w:rsidRPr="00830EA3">
        <w:rPr>
          <w:rFonts w:ascii="Arial" w:hAnsi="Arial" w:cs="Arial"/>
          <w:noProof/>
          <w:sz w:val="20"/>
          <w:szCs w:val="20"/>
        </w:rPr>
        <w:t xml:space="preserve">quity </w:t>
      </w:r>
      <w:r w:rsidR="00040D7C">
        <w:rPr>
          <w:rFonts w:ascii="Arial" w:hAnsi="Arial" w:cs="Arial"/>
          <w:noProof/>
          <w:sz w:val="20"/>
          <w:szCs w:val="20"/>
        </w:rPr>
        <w:t>i</w:t>
      </w:r>
      <w:r w:rsidRPr="00830EA3">
        <w:rPr>
          <w:rFonts w:ascii="Arial" w:hAnsi="Arial" w:cs="Arial"/>
          <w:noProof/>
          <w:sz w:val="20"/>
          <w:szCs w:val="20"/>
        </w:rPr>
        <w:t xml:space="preserve">ndexes. The MSCI </w:t>
      </w:r>
      <w:r w:rsidR="00040D7C">
        <w:rPr>
          <w:rFonts w:ascii="Arial" w:hAnsi="Arial" w:cs="Arial"/>
          <w:noProof/>
          <w:sz w:val="20"/>
          <w:szCs w:val="20"/>
        </w:rPr>
        <w:t>g</w:t>
      </w:r>
      <w:r w:rsidRPr="00830EA3">
        <w:rPr>
          <w:rFonts w:ascii="Arial" w:hAnsi="Arial" w:cs="Arial"/>
          <w:noProof/>
          <w:sz w:val="20"/>
          <w:szCs w:val="20"/>
        </w:rPr>
        <w:t xml:space="preserve">lobal </w:t>
      </w:r>
      <w:r w:rsidR="00040D7C">
        <w:rPr>
          <w:rFonts w:ascii="Arial" w:hAnsi="Arial" w:cs="Arial"/>
          <w:noProof/>
          <w:sz w:val="20"/>
          <w:szCs w:val="20"/>
        </w:rPr>
        <w:t>e</w:t>
      </w:r>
      <w:r w:rsidRPr="00830EA3">
        <w:rPr>
          <w:rFonts w:ascii="Arial" w:hAnsi="Arial" w:cs="Arial"/>
          <w:noProof/>
          <w:sz w:val="20"/>
          <w:szCs w:val="20"/>
        </w:rPr>
        <w:t>quity Indexes have been calculated for more than 40 years, a</w:t>
      </w:r>
      <w:r>
        <w:rPr>
          <w:rFonts w:ascii="Arial" w:hAnsi="Arial" w:cs="Arial"/>
          <w:noProof/>
          <w:sz w:val="20"/>
          <w:szCs w:val="20"/>
        </w:rPr>
        <w:t>nd today MSCI calculates over 1</w:t>
      </w:r>
      <w:r w:rsidR="00040D7C">
        <w:rPr>
          <w:rFonts w:ascii="Arial" w:hAnsi="Arial" w:cs="Arial"/>
          <w:noProof/>
          <w:sz w:val="20"/>
          <w:szCs w:val="20"/>
        </w:rPr>
        <w:t>8</w:t>
      </w:r>
      <w:r w:rsidRPr="00830EA3">
        <w:rPr>
          <w:rFonts w:ascii="Arial" w:hAnsi="Arial" w:cs="Arial"/>
          <w:noProof/>
          <w:sz w:val="20"/>
          <w:szCs w:val="20"/>
        </w:rPr>
        <w:t>0,000</w:t>
      </w:r>
      <w:r w:rsidR="000546AE">
        <w:rPr>
          <w:rFonts w:ascii="Arial" w:hAnsi="Arial" w:cs="Arial"/>
          <w:noProof/>
          <w:sz w:val="20"/>
          <w:szCs w:val="20"/>
        </w:rPr>
        <w:t xml:space="preserve"> equity indexes per day.  MSCI g</w:t>
      </w:r>
      <w:r w:rsidRPr="00830EA3">
        <w:rPr>
          <w:rFonts w:ascii="Arial" w:hAnsi="Arial" w:cs="Arial"/>
          <w:noProof/>
          <w:sz w:val="20"/>
          <w:szCs w:val="20"/>
        </w:rPr>
        <w:t xml:space="preserve">lobal </w:t>
      </w:r>
      <w:r w:rsidR="000546AE">
        <w:rPr>
          <w:rFonts w:ascii="Arial" w:hAnsi="Arial" w:cs="Arial"/>
          <w:noProof/>
          <w:sz w:val="20"/>
          <w:szCs w:val="20"/>
        </w:rPr>
        <w:t>equity i</w:t>
      </w:r>
      <w:r w:rsidRPr="00830EA3">
        <w:rPr>
          <w:rFonts w:ascii="Arial" w:hAnsi="Arial" w:cs="Arial"/>
          <w:noProof/>
          <w:sz w:val="20"/>
          <w:szCs w:val="20"/>
        </w:rPr>
        <w:t>ndex families include country and regional indexes, size indexes (large cap, small cap, and micro-cap), sector indexes, style (value/growth) indexes, strategy indexes, thematic indexes</w:t>
      </w:r>
      <w:r w:rsidRPr="00830EA3" w:rsidDel="00DC534F">
        <w:rPr>
          <w:rFonts w:ascii="Arial" w:hAnsi="Arial" w:cs="Arial"/>
          <w:noProof/>
          <w:sz w:val="20"/>
          <w:szCs w:val="20"/>
        </w:rPr>
        <w:t xml:space="preserve"> </w:t>
      </w:r>
      <w:r w:rsidRPr="00830EA3">
        <w:rPr>
          <w:rFonts w:ascii="Arial" w:hAnsi="Arial" w:cs="Arial"/>
          <w:noProof/>
          <w:sz w:val="20"/>
          <w:szCs w:val="20"/>
        </w:rPr>
        <w:t>and ESG indexes. MSCI also calculates custom indexes at the request of clients, by applying client s</w:t>
      </w:r>
      <w:r w:rsidR="00040D7C">
        <w:rPr>
          <w:rFonts w:ascii="Arial" w:hAnsi="Arial" w:cs="Arial"/>
          <w:noProof/>
          <w:sz w:val="20"/>
          <w:szCs w:val="20"/>
        </w:rPr>
        <w:t>creens and constraints to MSCI g</w:t>
      </w:r>
      <w:r w:rsidRPr="00830EA3">
        <w:rPr>
          <w:rFonts w:ascii="Arial" w:hAnsi="Arial" w:cs="Arial"/>
          <w:noProof/>
          <w:sz w:val="20"/>
          <w:szCs w:val="20"/>
        </w:rPr>
        <w:t xml:space="preserve">lobal </w:t>
      </w:r>
      <w:r w:rsidR="00040D7C">
        <w:rPr>
          <w:rFonts w:ascii="Arial" w:hAnsi="Arial" w:cs="Arial"/>
          <w:noProof/>
          <w:sz w:val="20"/>
          <w:szCs w:val="20"/>
        </w:rPr>
        <w:t>e</w:t>
      </w:r>
      <w:r w:rsidRPr="00830EA3">
        <w:rPr>
          <w:rFonts w:ascii="Arial" w:hAnsi="Arial" w:cs="Arial"/>
          <w:noProof/>
          <w:sz w:val="20"/>
          <w:szCs w:val="20"/>
        </w:rPr>
        <w:t>quity Indexes.</w:t>
      </w:r>
    </w:p>
    <w:p w:rsidR="00040D7C" w:rsidRPr="00040D7C" w:rsidRDefault="000546AE" w:rsidP="00D34282">
      <w:pPr>
        <w:rPr>
          <w:rFonts w:asciiTheme="minorHAnsi" w:hAnsiTheme="minorHAnsi"/>
          <w:szCs w:val="20"/>
        </w:rPr>
      </w:pPr>
      <w:r>
        <w:rPr>
          <w:rFonts w:cs="Arial"/>
          <w:noProof/>
          <w:szCs w:val="20"/>
        </w:rPr>
        <w:t xml:space="preserve">In addtion, </w:t>
      </w:r>
      <w:r w:rsidR="00040D7C">
        <w:rPr>
          <w:rFonts w:cs="Arial"/>
          <w:noProof/>
          <w:szCs w:val="20"/>
        </w:rPr>
        <w:t>MSCI calculates commercial real estate indexes and s</w:t>
      </w:r>
      <w:r w:rsidR="00040D7C" w:rsidRPr="00040D7C">
        <w:rPr>
          <w:szCs w:val="20"/>
        </w:rPr>
        <w:t>eparate indexes are published for 25 national real estate investment markets as well as</w:t>
      </w:r>
      <w:r w:rsidR="00040D7C">
        <w:rPr>
          <w:szCs w:val="20"/>
        </w:rPr>
        <w:t xml:space="preserve"> global and European composites</w:t>
      </w:r>
      <w:r w:rsidR="00E549E5">
        <w:rPr>
          <w:szCs w:val="20"/>
        </w:rPr>
        <w:t>. MSCI</w:t>
      </w:r>
      <w:r w:rsidR="00040D7C">
        <w:rPr>
          <w:szCs w:val="20"/>
        </w:rPr>
        <w:t xml:space="preserve"> has been calc</w:t>
      </w:r>
      <w:r w:rsidR="00040D7C">
        <w:rPr>
          <w:szCs w:val="20"/>
        </w:rPr>
        <w:t>u</w:t>
      </w:r>
      <w:r w:rsidR="00040D7C">
        <w:rPr>
          <w:szCs w:val="20"/>
        </w:rPr>
        <w:t>lating real estate indexes for over 30 years.</w:t>
      </w:r>
    </w:p>
    <w:p w:rsidR="00830EA3" w:rsidRPr="00830EA3" w:rsidRDefault="00830EA3" w:rsidP="00830EA3">
      <w:pPr>
        <w:ind w:right="4"/>
        <w:jc w:val="both"/>
        <w:rPr>
          <w:rFonts w:cs="Arial"/>
          <w:noProof/>
          <w:color w:val="1F497D" w:themeColor="text2"/>
          <w:szCs w:val="20"/>
        </w:rPr>
      </w:pPr>
    </w:p>
    <w:p w:rsidR="00830EA3" w:rsidRPr="00830EA3" w:rsidRDefault="00830EA3" w:rsidP="00830EA3">
      <w:pPr>
        <w:pStyle w:val="BodyText"/>
        <w:numPr>
          <w:ilvl w:val="0"/>
          <w:numId w:val="0"/>
        </w:numPr>
        <w:rPr>
          <w:rFonts w:ascii="Arial" w:hAnsi="Arial" w:cs="Arial"/>
          <w:sz w:val="20"/>
        </w:rPr>
      </w:pPr>
      <w:r w:rsidRPr="00830EA3">
        <w:rPr>
          <w:rFonts w:ascii="Arial" w:hAnsi="Arial" w:cs="Arial"/>
          <w:sz w:val="20"/>
        </w:rPr>
        <w:t>In July 2014, 2015 and 2016</w:t>
      </w:r>
      <w:r>
        <w:rPr>
          <w:rFonts w:ascii="Arial" w:hAnsi="Arial" w:cs="Arial"/>
          <w:sz w:val="20"/>
        </w:rPr>
        <w:t xml:space="preserve">, </w:t>
      </w:r>
      <w:r w:rsidRPr="00830EA3">
        <w:rPr>
          <w:rFonts w:ascii="Arial" w:hAnsi="Arial" w:cs="Arial"/>
          <w:sz w:val="20"/>
        </w:rPr>
        <w:t>MSCI announced that it successfully completed an assurance review of its implementation of the IOSCO Principles for Financial Benchmarks. MSCI has engaged Pricewaterhous</w:t>
      </w:r>
      <w:r w:rsidRPr="00830EA3">
        <w:rPr>
          <w:rFonts w:ascii="Arial" w:hAnsi="Arial" w:cs="Arial"/>
          <w:sz w:val="20"/>
        </w:rPr>
        <w:t>e</w:t>
      </w:r>
      <w:r w:rsidRPr="00830EA3">
        <w:rPr>
          <w:rFonts w:ascii="Arial" w:hAnsi="Arial" w:cs="Arial"/>
          <w:sz w:val="20"/>
        </w:rPr>
        <w:t>Coo</w:t>
      </w:r>
      <w:r w:rsidRPr="00830EA3">
        <w:rPr>
          <w:rFonts w:ascii="Arial" w:hAnsi="Arial" w:cs="Arial"/>
          <w:sz w:val="20"/>
        </w:rPr>
        <w:t>p</w:t>
      </w:r>
      <w:r w:rsidRPr="00830EA3">
        <w:rPr>
          <w:rFonts w:ascii="Arial" w:hAnsi="Arial" w:cs="Arial"/>
          <w:sz w:val="20"/>
        </w:rPr>
        <w:t xml:space="preserve">ers LLP (PwC) to perform the reviews.  The full reports, including the PwC assurance review, are available at </w:t>
      </w:r>
      <w:hyperlink r:id="rId14" w:history="1">
        <w:r w:rsidRPr="00830EA3">
          <w:rPr>
            <w:rStyle w:val="Hyperlink"/>
            <w:rFonts w:ascii="Arial" w:hAnsi="Arial" w:cs="Arial"/>
            <w:sz w:val="20"/>
          </w:rPr>
          <w:t>www.msci.com/products/indexes/regulation.html</w:t>
        </w:r>
      </w:hyperlink>
      <w:r w:rsidRPr="00830EA3">
        <w:rPr>
          <w:rFonts w:ascii="Arial" w:hAnsi="Arial" w:cs="Arial"/>
          <w:sz w:val="20"/>
        </w:rPr>
        <w:t xml:space="preserve"> for MSCI equity indexes and select IPD real estate indexes and benchmarks</w:t>
      </w:r>
      <w:r>
        <w:rPr>
          <w:rFonts w:ascii="Arial" w:hAnsi="Arial" w:cs="Arial"/>
          <w:sz w:val="20"/>
        </w:rPr>
        <w:t>.</w:t>
      </w:r>
    </w:p>
    <w:permEnd w:id="868421767"/>
    <w:p w:rsidR="00D34282" w:rsidRPr="00BF28DA" w:rsidRDefault="00D34282" w:rsidP="00D34282">
      <w:r w:rsidRPr="00BF28DA">
        <w:t>&lt;</w:t>
      </w:r>
      <w:r w:rsidR="00D61A37" w:rsidRPr="00BF28DA">
        <w:t>ESMA_COMMENT_</w:t>
      </w:r>
      <w:r w:rsidR="00176639" w:rsidRPr="00176639">
        <w:t xml:space="preserve"> </w:t>
      </w:r>
      <w:r w:rsidR="00665C07">
        <w:t>C</w:t>
      </w:r>
      <w:r w:rsidR="00176639">
        <w:t>P_BMR</w:t>
      </w:r>
      <w:r w:rsidR="00D61A37" w:rsidRPr="00BF28DA">
        <w:t>_1</w:t>
      </w:r>
      <w:r w:rsidRPr="00BF28DA">
        <w:t>&gt;</w:t>
      </w:r>
    </w:p>
    <w:p w:rsidR="00F31E57" w:rsidRPr="00BF28DA" w:rsidRDefault="00F31E57" w:rsidP="00D34282"/>
    <w:p w:rsidR="008701E5" w:rsidRDefault="00F31E57" w:rsidP="002342EC">
      <w:pPr>
        <w:pStyle w:val="Questionstyle"/>
        <w:numPr>
          <w:ilvl w:val="0"/>
          <w:numId w:val="38"/>
        </w:numPr>
      </w:pPr>
      <w:r w:rsidRPr="0075015C">
        <w:br w:type="page"/>
      </w:r>
    </w:p>
    <w:p w:rsidR="009A2624" w:rsidRPr="007F44BF" w:rsidRDefault="00C96E35" w:rsidP="00C96E35">
      <w:pPr>
        <w:pStyle w:val="Questionstyle"/>
      </w:pPr>
      <w:r w:rsidRPr="00C96E35">
        <w:lastRenderedPageBreak/>
        <w:t>Do you consider the non-exhaustive list of governance arrangements to be sufficiently flexible? Are there any other structures which you would like to see included?</w:t>
      </w:r>
    </w:p>
    <w:p w:rsidR="009A2624" w:rsidRDefault="00665C07" w:rsidP="009A2624">
      <w:r>
        <w:t>&lt;ESMA_QUESTION_C</w:t>
      </w:r>
      <w:r w:rsidR="009A2624">
        <w:t>P_BMR_1&gt;</w:t>
      </w:r>
    </w:p>
    <w:p w:rsidR="002F3EE6" w:rsidRDefault="002F3EE6" w:rsidP="009A2624">
      <w:permStart w:id="846532039" w:edGrp="everyone"/>
      <w:r>
        <w:t>Yes</w:t>
      </w:r>
      <w:r w:rsidR="000546AE">
        <w:t>,</w:t>
      </w:r>
      <w:r>
        <w:t xml:space="preserve"> we agree that the lis</w:t>
      </w:r>
      <w:r w:rsidR="00310E58">
        <w:t xml:space="preserve">t of governance arrangements </w:t>
      </w:r>
      <w:r w:rsidR="00DB0003">
        <w:t xml:space="preserve">is </w:t>
      </w:r>
      <w:r>
        <w:t>sufficiently flexible, p</w:t>
      </w:r>
      <w:r w:rsidR="005E1E3E">
        <w:t xml:space="preserve">rovided that </w:t>
      </w:r>
      <w:r w:rsidR="00575950">
        <w:t>they are act</w:t>
      </w:r>
      <w:r w:rsidR="00575950">
        <w:t>u</w:t>
      </w:r>
      <w:r w:rsidR="00575950">
        <w:t xml:space="preserve">ally </w:t>
      </w:r>
      <w:r>
        <w:t>optional and</w:t>
      </w:r>
      <w:r w:rsidR="005E1E3E">
        <w:t xml:space="preserve"> not mandator</w:t>
      </w:r>
      <w:r>
        <w:t>y.</w:t>
      </w:r>
      <w:r w:rsidR="007D082A">
        <w:t xml:space="preserve"> While the commentary does seem to indicate that, we wish to point out that the language of the </w:t>
      </w:r>
      <w:r>
        <w:t xml:space="preserve">actual </w:t>
      </w:r>
      <w:r w:rsidR="007D082A">
        <w:t>technical standards</w:t>
      </w:r>
      <w:r>
        <w:t xml:space="preserve"> in some areas</w:t>
      </w:r>
      <w:r w:rsidR="007D082A">
        <w:t xml:space="preserve"> seem</w:t>
      </w:r>
      <w:r w:rsidR="00DB0003">
        <w:t>s</w:t>
      </w:r>
      <w:r w:rsidR="007D082A">
        <w:t xml:space="preserve"> stronger </w:t>
      </w:r>
      <w:r>
        <w:t>and could be inte</w:t>
      </w:r>
      <w:r>
        <w:t>r</w:t>
      </w:r>
      <w:r>
        <w:t>preted as mandatory.</w:t>
      </w:r>
      <w:r w:rsidR="00575950">
        <w:t xml:space="preserve"> Also, instead of the administrator having control of who it chooses to invite to the gover</w:t>
      </w:r>
      <w:r w:rsidR="00575950">
        <w:t>n</w:t>
      </w:r>
      <w:r w:rsidR="00575950">
        <w:t xml:space="preserve">ance committees </w:t>
      </w:r>
      <w:r w:rsidR="00310E58">
        <w:t>and allowing the administrator to choose, it seems to give a broad and unlimited nu</w:t>
      </w:r>
      <w:r w:rsidR="00310E58">
        <w:t>m</w:t>
      </w:r>
      <w:r w:rsidR="00310E58">
        <w:t xml:space="preserve">ber of third parties the </w:t>
      </w:r>
      <w:r w:rsidR="00310E58" w:rsidRPr="000546AE">
        <w:rPr>
          <w:u w:val="single"/>
        </w:rPr>
        <w:t>right</w:t>
      </w:r>
      <w:r w:rsidR="00310E58">
        <w:t xml:space="preserve"> to be considered.  We believe the following changes would need to be made to avoid confusion and inconsistent interpretations</w:t>
      </w:r>
      <w:r>
        <w:t>:</w:t>
      </w:r>
    </w:p>
    <w:p w:rsidR="00575950" w:rsidRDefault="002F3EE6" w:rsidP="00575950">
      <w:pPr>
        <w:pStyle w:val="ListParagraph"/>
        <w:numPr>
          <w:ilvl w:val="0"/>
          <w:numId w:val="40"/>
        </w:numPr>
      </w:pPr>
      <w:r>
        <w:t xml:space="preserve">In the introduction in Section (6), the phrasing “It is therefore appropriate that they be considered” should be changed to “It is therefore appropriate that they may be considered.”. </w:t>
      </w:r>
    </w:p>
    <w:p w:rsidR="005C6353" w:rsidRDefault="00815BC3" w:rsidP="00575950">
      <w:pPr>
        <w:pStyle w:val="ListParagraph"/>
        <w:numPr>
          <w:ilvl w:val="0"/>
          <w:numId w:val="40"/>
        </w:numPr>
      </w:pPr>
      <w:r>
        <w:t>In Section 5 (</w:t>
      </w:r>
      <w:r w:rsidR="00575950">
        <w:t>Article 1</w:t>
      </w:r>
      <w:r>
        <w:t>)</w:t>
      </w:r>
      <w:r w:rsidR="00575950">
        <w:t xml:space="preserve"> we believe that “shall consider” needs to</w:t>
      </w:r>
      <w:r w:rsidR="00310E58">
        <w:t xml:space="preserve"> be</w:t>
      </w:r>
      <w:r w:rsidR="00575950">
        <w:t xml:space="preserve"> changed to “may consider”,  because it  seems that the benchmark administrator is forced to consider (i.e., “shall consider”)  clients (which we believe would introduce conflicts of inter</w:t>
      </w:r>
      <w:r w:rsidR="00310E58">
        <w:t>est), competitor benchmarks</w:t>
      </w:r>
      <w:r w:rsidR="00575950">
        <w:t xml:space="preserve"> owned by exchanges (which would be unac</w:t>
      </w:r>
      <w:r w:rsidR="00310E58">
        <w:t xml:space="preserve">ceptable) and </w:t>
      </w:r>
      <w:r w:rsidR="00575950">
        <w:t>i</w:t>
      </w:r>
      <w:r w:rsidR="005C6353">
        <w:t>nvestors</w:t>
      </w:r>
      <w:r w:rsidR="00575950">
        <w:t xml:space="preserve"> in funds tracking benchmarks</w:t>
      </w:r>
      <w:r w:rsidR="00310E58">
        <w:t xml:space="preserve"> who (like clients) are</w:t>
      </w:r>
      <w:r w:rsidR="00575950">
        <w:t xml:space="preserve"> </w:t>
      </w:r>
      <w:r w:rsidR="005C6353">
        <w:t>direct bene</w:t>
      </w:r>
      <w:r w:rsidR="00575950">
        <w:t>f</w:t>
      </w:r>
      <w:r w:rsidR="005C6353">
        <w:t xml:space="preserve">iciaries of decisions relating to the </w:t>
      </w:r>
      <w:r w:rsidR="00575950">
        <w:t xml:space="preserve">benchmark </w:t>
      </w:r>
      <w:r w:rsidR="00310E58">
        <w:t xml:space="preserve">and with whom it </w:t>
      </w:r>
      <w:r w:rsidR="00575950">
        <w:t>would not</w:t>
      </w:r>
      <w:r w:rsidR="005C6353">
        <w:t xml:space="preserve"> be appropriate</w:t>
      </w:r>
      <w:r w:rsidR="00575950">
        <w:t xml:space="preserve"> </w:t>
      </w:r>
      <w:r w:rsidR="00310E58">
        <w:t xml:space="preserve">to discuss </w:t>
      </w:r>
      <w:r w:rsidR="005C6353">
        <w:t>price sensitive infor</w:t>
      </w:r>
      <w:r w:rsidR="00575950">
        <w:t xml:space="preserve">mation about benchmark </w:t>
      </w:r>
      <w:r w:rsidR="005C6353">
        <w:t xml:space="preserve">changes before the rest of the market. </w:t>
      </w:r>
    </w:p>
    <w:p w:rsidR="002F3EE6" w:rsidRDefault="002F3EE6" w:rsidP="002F3EE6">
      <w:pPr>
        <w:pStyle w:val="ListParagraph"/>
        <w:numPr>
          <w:ilvl w:val="0"/>
          <w:numId w:val="40"/>
        </w:numPr>
      </w:pPr>
      <w:r>
        <w:t xml:space="preserve">In </w:t>
      </w:r>
      <w:r w:rsidR="007D082A">
        <w:t>Section 7</w:t>
      </w:r>
      <w:r w:rsidR="00815BC3">
        <w:t xml:space="preserve"> (</w:t>
      </w:r>
      <w:r w:rsidR="00DB0003">
        <w:t>Article 1</w:t>
      </w:r>
      <w:r w:rsidR="00815BC3">
        <w:t>)</w:t>
      </w:r>
      <w:r w:rsidR="007D082A">
        <w:t xml:space="preserve"> it’s not clear whether including staff is required or optional.</w:t>
      </w:r>
    </w:p>
    <w:p w:rsidR="002F3EE6" w:rsidRDefault="00EB122C" w:rsidP="002F3EE6">
      <w:pPr>
        <w:pStyle w:val="ListParagraph"/>
        <w:numPr>
          <w:ilvl w:val="0"/>
          <w:numId w:val="40"/>
        </w:numPr>
      </w:pPr>
      <w:r>
        <w:t>The</w:t>
      </w:r>
      <w:r w:rsidR="002F3EE6">
        <w:t xml:space="preserve"> introduction in Section 9, and in</w:t>
      </w:r>
      <w:r w:rsidR="00815BC3">
        <w:t xml:space="preserve"> Section 9, </w:t>
      </w:r>
      <w:r>
        <w:t xml:space="preserve">Article 1 </w:t>
      </w:r>
      <w:r w:rsidR="007D082A">
        <w:t>with respect to observ</w:t>
      </w:r>
      <w:r w:rsidR="002F3EE6">
        <w:t>ers, it seems to i</w:t>
      </w:r>
      <w:r w:rsidR="002F3EE6">
        <w:t>n</w:t>
      </w:r>
      <w:r w:rsidR="002F3EE6">
        <w:t xml:space="preserve">dicate that observers have the </w:t>
      </w:r>
      <w:r w:rsidR="00575950">
        <w:t xml:space="preserve">absolute </w:t>
      </w:r>
      <w:r w:rsidR="002F3EE6">
        <w:t>right to join governance committees forcing administr</w:t>
      </w:r>
      <w:r w:rsidR="002F3EE6">
        <w:t>a</w:t>
      </w:r>
      <w:r w:rsidR="002F3EE6">
        <w:t>tors to review consider their applic</w:t>
      </w:r>
      <w:r>
        <w:t>ation. The observers do not need</w:t>
      </w:r>
      <w:r w:rsidR="002F3EE6">
        <w:t xml:space="preserve"> to have any qualifications, knowledge, </w:t>
      </w:r>
      <w:r w:rsidR="00575950">
        <w:t xml:space="preserve">or </w:t>
      </w:r>
      <w:r w:rsidR="002F3EE6">
        <w:t>expertise</w:t>
      </w:r>
      <w:r w:rsidR="005C6353">
        <w:t>. They may only have an “interest” which contradicts the requirements in Se</w:t>
      </w:r>
      <w:r w:rsidR="00815BC3">
        <w:t>ction 4 (</w:t>
      </w:r>
      <w:r w:rsidR="005C6353">
        <w:t>Article</w:t>
      </w:r>
      <w:r w:rsidR="00815BC3">
        <w:t xml:space="preserve"> 1)</w:t>
      </w:r>
      <w:r w:rsidR="005C6353">
        <w:t xml:space="preserve"> requiring skills, knowledge, and expertise. There </w:t>
      </w:r>
      <w:r w:rsidR="000546AE">
        <w:t xml:space="preserve">are </w:t>
      </w:r>
      <w:r w:rsidR="005C6353">
        <w:t>also</w:t>
      </w:r>
      <w:r w:rsidR="002F3EE6">
        <w:t xml:space="preserve"> no limit</w:t>
      </w:r>
      <w:r w:rsidR="000546AE">
        <w:t>s</w:t>
      </w:r>
      <w:r w:rsidR="002F3EE6">
        <w:t xml:space="preserve"> on the numbers that can apply. This seems anomalous.</w:t>
      </w:r>
      <w:r w:rsidR="005C6353">
        <w:t xml:space="preserve"> It also seems unnecessary given that the regul</w:t>
      </w:r>
      <w:r w:rsidR="005C6353">
        <w:t>a</w:t>
      </w:r>
      <w:r w:rsidR="005C6353">
        <w:t xml:space="preserve">tors are already regulating the administrator. </w:t>
      </w:r>
      <w:r w:rsidR="002F3EE6">
        <w:t xml:space="preserve"> Instead we believe that the administrator should have the right to invite observers, but not that an unlimited number of observers can exercise their rights to join. We believe this should be correc</w:t>
      </w:r>
      <w:r w:rsidR="002F3EE6">
        <w:t>t</w:t>
      </w:r>
      <w:r w:rsidR="002F3EE6">
        <w:t>ed:</w:t>
      </w:r>
    </w:p>
    <w:p w:rsidR="002F3EE6" w:rsidRDefault="00575950" w:rsidP="002F3EE6">
      <w:pPr>
        <w:pStyle w:val="ListParagraph"/>
        <w:numPr>
          <w:ilvl w:val="1"/>
          <w:numId w:val="40"/>
        </w:numPr>
      </w:pPr>
      <w:r>
        <w:t>The focus of t</w:t>
      </w:r>
      <w:r w:rsidR="002F3EE6">
        <w:t xml:space="preserve">he introduction in Article 9, </w:t>
      </w:r>
      <w:r>
        <w:t xml:space="preserve">should be switched from </w:t>
      </w:r>
      <w:r w:rsidR="002F3EE6">
        <w:t>“Observers may also join…if they have an interest in the benchmark”</w:t>
      </w:r>
      <w:r w:rsidR="007D082A">
        <w:t xml:space="preserve"> </w:t>
      </w:r>
      <w:r>
        <w:t>to “Administrators may consider inviting observers to join…”</w:t>
      </w:r>
    </w:p>
    <w:p w:rsidR="005C6353" w:rsidRDefault="005C6353" w:rsidP="002F3EE6">
      <w:pPr>
        <w:pStyle w:val="ListParagraph"/>
        <w:numPr>
          <w:ilvl w:val="1"/>
          <w:numId w:val="40"/>
        </w:numPr>
      </w:pPr>
      <w:r>
        <w:t>The focus of Article 9 (Article 1) should be switched from the observers having an abs</w:t>
      </w:r>
      <w:r>
        <w:t>o</w:t>
      </w:r>
      <w:r>
        <w:t>lute right to join (“Observers shall be permitted”) to administrators having the right to co</w:t>
      </w:r>
      <w:r>
        <w:t>n</w:t>
      </w:r>
      <w:r>
        <w:t>sider</w:t>
      </w:r>
      <w:r w:rsidR="00575950">
        <w:t xml:space="preserve"> inviting observers</w:t>
      </w:r>
      <w:r>
        <w:t>.</w:t>
      </w:r>
    </w:p>
    <w:p w:rsidR="00EB122C" w:rsidRDefault="00EB122C" w:rsidP="00EB122C"/>
    <w:p w:rsidR="00EB122C" w:rsidRDefault="00310E58" w:rsidP="00EB122C">
      <w:r>
        <w:t>In Section 1(c) (Article 4), it should be clarified that this refers to third party members and not internal members of the administrator, otherwise as read you could have an anom</w:t>
      </w:r>
      <w:r>
        <w:t>a</w:t>
      </w:r>
      <w:r>
        <w:t>lous situation where the head of an IT department could not vote on a decision that i</w:t>
      </w:r>
      <w:r>
        <w:t>m</w:t>
      </w:r>
      <w:r>
        <w:t>pacts IT.</w:t>
      </w:r>
    </w:p>
    <w:permEnd w:id="846532039"/>
    <w:p w:rsidR="009A2624" w:rsidRDefault="00665C07" w:rsidP="009A2624">
      <w:r>
        <w:t>&lt;ESMA_QUESTION_C</w:t>
      </w:r>
      <w:r w:rsidR="009A2624">
        <w:t>P_BMR_1&gt;</w:t>
      </w:r>
    </w:p>
    <w:p w:rsidR="009A2624" w:rsidRDefault="009A2624" w:rsidP="009A2624"/>
    <w:p w:rsidR="009A2624" w:rsidRPr="007F44BF" w:rsidRDefault="00C96E35" w:rsidP="00C96E35">
      <w:pPr>
        <w:pStyle w:val="Questionstyle"/>
      </w:pPr>
      <w:r w:rsidRPr="00C96E35">
        <w:rPr>
          <w:lang w:val="en-US"/>
        </w:rPr>
        <w:t>Do you support the option for the oversight function to be a natural person who is not othe</w:t>
      </w:r>
      <w:r w:rsidRPr="00C96E35">
        <w:rPr>
          <w:lang w:val="en-US"/>
        </w:rPr>
        <w:t>r</w:t>
      </w:r>
      <w:r w:rsidRPr="00C96E35">
        <w:rPr>
          <w:lang w:val="en-US"/>
        </w:rPr>
        <w:t>wise employed by the administrator?</w:t>
      </w:r>
    </w:p>
    <w:p w:rsidR="009A2624" w:rsidRDefault="00665C07" w:rsidP="009A2624">
      <w:r>
        <w:t>&lt;ESMA_QUESTION_C</w:t>
      </w:r>
      <w:r w:rsidR="009A2624">
        <w:t>P_BMR_2&gt;</w:t>
      </w:r>
    </w:p>
    <w:p w:rsidR="00F837A1" w:rsidRDefault="00F837A1" w:rsidP="009A2624">
      <w:permStart w:id="1215651063" w:edGrp="everyone"/>
    </w:p>
    <w:permEnd w:id="1215651063"/>
    <w:p w:rsidR="009A2624" w:rsidRDefault="00665C07" w:rsidP="009A2624">
      <w:r>
        <w:t>&lt;ESMA_QUESTION_C</w:t>
      </w:r>
      <w:r w:rsidR="009A2624">
        <w:t>P_BMR_2&gt;</w:t>
      </w:r>
    </w:p>
    <w:p w:rsidR="009A2624" w:rsidRDefault="009A2624" w:rsidP="009A2624"/>
    <w:p w:rsidR="009A2624" w:rsidRDefault="00C96E35" w:rsidP="00C96E35">
      <w:pPr>
        <w:pStyle w:val="Questionstyle"/>
        <w:rPr>
          <w:rFonts w:cstheme="minorHAnsi"/>
        </w:rPr>
      </w:pPr>
      <w:r w:rsidRPr="00C96E35">
        <w:t>Do you support the concept of observers and their inclusion in the oversight function?</w:t>
      </w:r>
    </w:p>
    <w:p w:rsidR="009A2624" w:rsidRDefault="00665C07" w:rsidP="009A2624">
      <w:r>
        <w:t>&lt;ESMA_QUESTION_C</w:t>
      </w:r>
      <w:r w:rsidR="009A2624">
        <w:t>P_BMR_3&gt;</w:t>
      </w:r>
    </w:p>
    <w:p w:rsidR="009A2624" w:rsidRDefault="00527311" w:rsidP="009A2624">
      <w:permStart w:id="736297394" w:edGrp="everyone"/>
      <w:r>
        <w:t xml:space="preserve">We do not support the inclusion of observers in the oversight function. Firstly, given that administrators are already regulated, it is unclear to us why </w:t>
      </w:r>
      <w:r w:rsidR="000546AE">
        <w:t xml:space="preserve">a public authority </w:t>
      </w:r>
      <w:r>
        <w:t>would be an observer in an oversight fun</w:t>
      </w:r>
      <w:r>
        <w:t>c</w:t>
      </w:r>
      <w:r>
        <w:t>tion. Secondly, because oversight committees have access to price sensitive data, we do not think it is appr</w:t>
      </w:r>
      <w:r>
        <w:t>o</w:t>
      </w:r>
      <w:r>
        <w:lastRenderedPageBreak/>
        <w:t xml:space="preserve">priate </w:t>
      </w:r>
      <w:r w:rsidR="00DC3F5A">
        <w:t>to</w:t>
      </w:r>
      <w:r>
        <w:t xml:space="preserve"> allow any third parties on our index oversight committees. </w:t>
      </w:r>
      <w:r w:rsidR="00DC3F5A">
        <w:t xml:space="preserve"> It is also not clear to us, as public authorities, who the observers would actually be</w:t>
      </w:r>
      <w:r w:rsidR="000546AE">
        <w:t xml:space="preserve"> (e.g., what level of which government). It is not clear</w:t>
      </w:r>
      <w:r w:rsidR="00DC3F5A">
        <w:t xml:space="preserve"> </w:t>
      </w:r>
      <w:r w:rsidR="000546AE">
        <w:t xml:space="preserve">why </w:t>
      </w:r>
      <w:r w:rsidR="00DC3F5A">
        <w:t>any of thos</w:t>
      </w:r>
      <w:r w:rsidR="000546AE">
        <w:t xml:space="preserve">e parties should be part of a benchmark administrator’s </w:t>
      </w:r>
      <w:r w:rsidR="00DC3F5A">
        <w:t>governance procedures.</w:t>
      </w:r>
      <w:r w:rsidR="00F837A1">
        <w:t xml:space="preserve"> We </w:t>
      </w:r>
      <w:r w:rsidR="000546AE">
        <w:t xml:space="preserve">further </w:t>
      </w:r>
      <w:r w:rsidR="00F837A1">
        <w:t>note that observers do not need to have any qualifications, knowledge, or expertise. They may only have an “interest” which contradicts the requirements in Section 4 (Article</w:t>
      </w:r>
      <w:r w:rsidR="00815BC3">
        <w:t xml:space="preserve"> 1</w:t>
      </w:r>
      <w:r w:rsidR="00F837A1">
        <w:t>) requiring skills, knowledge, and expertise. There also appear to be no limit on the numbers that can apply. We believe</w:t>
      </w:r>
      <w:r w:rsidR="000546AE">
        <w:t xml:space="preserve"> instead</w:t>
      </w:r>
      <w:r w:rsidR="00F837A1">
        <w:t xml:space="preserve"> that the a</w:t>
      </w:r>
      <w:r w:rsidR="00F837A1">
        <w:t>d</w:t>
      </w:r>
      <w:r w:rsidR="00F837A1">
        <w:t xml:space="preserve">ministrator should have the right to invite observers, not that the observers have the absolute right to join. </w:t>
      </w:r>
      <w:r>
        <w:t xml:space="preserve"> </w:t>
      </w:r>
      <w:permEnd w:id="736297394"/>
      <w:r w:rsidR="00665C07">
        <w:t>&lt;E</w:t>
      </w:r>
      <w:r w:rsidR="00665C07">
        <w:t>S</w:t>
      </w:r>
      <w:r w:rsidR="00665C07">
        <w:t>MA_QUESTION_C</w:t>
      </w:r>
      <w:r w:rsidR="009A2624">
        <w:t>P_BMR_3&gt;</w:t>
      </w:r>
    </w:p>
    <w:p w:rsidR="009A2624" w:rsidRDefault="009A2624" w:rsidP="009A2624"/>
    <w:p w:rsidR="009A2624" w:rsidRPr="00B37C5D" w:rsidRDefault="00C96E35" w:rsidP="00C96E35">
      <w:pPr>
        <w:pStyle w:val="Questionstyle"/>
      </w:pPr>
      <w:r w:rsidRPr="00C96E35">
        <w:rPr>
          <w:rFonts w:cstheme="minorHAnsi"/>
          <w:szCs w:val="22"/>
          <w:lang w:val="en-US"/>
        </w:rPr>
        <w:t>Do you think that the draft RTS allows for sufficient proportionality in the application of the requirements? If no, please explain why and provide proposals for introducing greater proportionality.</w:t>
      </w:r>
    </w:p>
    <w:p w:rsidR="009A2624" w:rsidRDefault="00665C07" w:rsidP="009A2624">
      <w:r>
        <w:t>&lt;ESMA_QUESTION_C</w:t>
      </w:r>
      <w:r w:rsidR="009A2624">
        <w:t>P_BMR_4&gt;</w:t>
      </w:r>
    </w:p>
    <w:p w:rsidR="00815BC3" w:rsidRDefault="00815BC3" w:rsidP="00815BC3">
      <w:permStart w:id="304368821" w:edGrp="everyone"/>
      <w:r>
        <w:t>Yes, we agree that the list of governance arrangements is sufficiently flexible, provided that they are act</w:t>
      </w:r>
      <w:r>
        <w:t>u</w:t>
      </w:r>
      <w:r>
        <w:t>ally optional and not mandatory. While the commentary does seem to indicate that, we wish to point out that the language of the actual technical standards in some areas seems stronger and could be inte</w:t>
      </w:r>
      <w:r>
        <w:t>r</w:t>
      </w:r>
      <w:r>
        <w:t>preted as mandatory. Also, instead of the administrator having control of who it chooses to invite to the gover</w:t>
      </w:r>
      <w:r>
        <w:t>n</w:t>
      </w:r>
      <w:r>
        <w:t>ance committees and allowing the administrator to choose, it seems to give a broad and unlimited nu</w:t>
      </w:r>
      <w:r>
        <w:t>m</w:t>
      </w:r>
      <w:r>
        <w:t xml:space="preserve">ber of third parties the </w:t>
      </w:r>
      <w:r w:rsidRPr="000546AE">
        <w:rPr>
          <w:u w:val="single"/>
        </w:rPr>
        <w:t>right</w:t>
      </w:r>
      <w:r>
        <w:t xml:space="preserve"> to be considered.  We believe the following changes would need to be made to avoid confusion and inconsistent interpretations:</w:t>
      </w:r>
    </w:p>
    <w:p w:rsidR="00815BC3" w:rsidRDefault="00815BC3" w:rsidP="00815BC3">
      <w:pPr>
        <w:pStyle w:val="ListParagraph"/>
        <w:numPr>
          <w:ilvl w:val="0"/>
          <w:numId w:val="40"/>
        </w:numPr>
      </w:pPr>
      <w:r>
        <w:t xml:space="preserve">In the introduction in Section (6), the phrasing “It is therefore appropriate that they be considered” should be changed to “It is therefore appropriate that they may be considered.”. </w:t>
      </w:r>
    </w:p>
    <w:p w:rsidR="00815BC3" w:rsidRDefault="00815BC3" w:rsidP="00815BC3">
      <w:pPr>
        <w:pStyle w:val="ListParagraph"/>
        <w:numPr>
          <w:ilvl w:val="0"/>
          <w:numId w:val="40"/>
        </w:numPr>
      </w:pPr>
      <w:r>
        <w:t xml:space="preserve">In Section 5 (Article 1) we believe that “shall consider” needs to be changed to “may consider”,  because it  seems that the benchmark administrator is forced to consider (i.e., “shall consider”)  clients (which we believe would introduce conflicts of interest), competitor benchmarks owned by exchanges (which would be unacceptable) and investors in funds tracking benchmarks who (like clients) are direct beneficiaries of decisions relating to the benchmark and with whom it would not be appropriate to discuss price sensitive information about benchmark changes before the rest of the market. </w:t>
      </w:r>
    </w:p>
    <w:p w:rsidR="00815BC3" w:rsidRDefault="00815BC3" w:rsidP="00815BC3">
      <w:pPr>
        <w:pStyle w:val="ListParagraph"/>
        <w:numPr>
          <w:ilvl w:val="0"/>
          <w:numId w:val="40"/>
        </w:numPr>
      </w:pPr>
      <w:r>
        <w:t>In Section 7 (Article 1) it’s not clear whether including staff is required or optional.</w:t>
      </w:r>
    </w:p>
    <w:p w:rsidR="00815BC3" w:rsidRDefault="00815BC3" w:rsidP="00815BC3">
      <w:pPr>
        <w:pStyle w:val="ListParagraph"/>
        <w:numPr>
          <w:ilvl w:val="0"/>
          <w:numId w:val="40"/>
        </w:numPr>
      </w:pPr>
      <w:r>
        <w:t>The introduction in Section 9, and in Section 9, Article 1 with respect to observers, it seems to i</w:t>
      </w:r>
      <w:r>
        <w:t>n</w:t>
      </w:r>
      <w:r>
        <w:t>dicate that observers have the absolute right to join governance committees forcing administr</w:t>
      </w:r>
      <w:r>
        <w:t>a</w:t>
      </w:r>
      <w:r>
        <w:t>tors to review consider their application. The observers do not need to have any qualifications, knowledge, or expertise. They may only have an “interest” which contradicts the requirements in Section 4 (Article 1) requiring skills, knowledge, and expertise. There are also no limits on the numbers that can apply. This seems anomalous. It also seems unnecessary given that the regul</w:t>
      </w:r>
      <w:r>
        <w:t>a</w:t>
      </w:r>
      <w:r>
        <w:t>tors are already regulating the administrator.  Instead we believe that the administrator should have the right to invite observers, but not that an unlimited number of observers can exercise their rights to join. We believe this should be correc</w:t>
      </w:r>
      <w:r>
        <w:t>t</w:t>
      </w:r>
      <w:r>
        <w:t>ed:</w:t>
      </w:r>
    </w:p>
    <w:p w:rsidR="00815BC3" w:rsidRDefault="00815BC3" w:rsidP="00815BC3">
      <w:pPr>
        <w:pStyle w:val="ListParagraph"/>
        <w:numPr>
          <w:ilvl w:val="1"/>
          <w:numId w:val="40"/>
        </w:numPr>
      </w:pPr>
      <w:r>
        <w:t>The focus of the introduction in Article 9, should be switched from “Observers may also join…if they have an interest in the benchmark” to “Administrators may consider inviting observers to join…”</w:t>
      </w:r>
    </w:p>
    <w:p w:rsidR="00815BC3" w:rsidRDefault="00815BC3" w:rsidP="00815BC3">
      <w:pPr>
        <w:pStyle w:val="ListParagraph"/>
        <w:numPr>
          <w:ilvl w:val="1"/>
          <w:numId w:val="40"/>
        </w:numPr>
      </w:pPr>
      <w:r>
        <w:t>The focus of Article 9 (Article 1) should be switched from the observers having an abs</w:t>
      </w:r>
      <w:r>
        <w:t>o</w:t>
      </w:r>
      <w:r>
        <w:t>lute right to join (“Observers shall be permitted”) to administrators having the right to co</w:t>
      </w:r>
      <w:r>
        <w:t>n</w:t>
      </w:r>
      <w:r>
        <w:t>sider inviting observers.</w:t>
      </w:r>
    </w:p>
    <w:p w:rsidR="00815BC3" w:rsidRDefault="00815BC3" w:rsidP="00815BC3"/>
    <w:p w:rsidR="00815BC3" w:rsidRDefault="00815BC3" w:rsidP="00815BC3">
      <w:r>
        <w:t>In Section 1(c) (Article 4), it should be clarified that this refers to third party members and not internal members of the administrator, otherwise as read you could have an anom</w:t>
      </w:r>
      <w:r>
        <w:t>a</w:t>
      </w:r>
      <w:r>
        <w:t>lous situation where the head of an IT department could not vote on a decision that i</w:t>
      </w:r>
      <w:r>
        <w:t>m</w:t>
      </w:r>
      <w:r>
        <w:t>pacts IT.</w:t>
      </w:r>
    </w:p>
    <w:permEnd w:id="304368821"/>
    <w:p w:rsidR="009A2624" w:rsidRDefault="00665C07" w:rsidP="009A2624">
      <w:r>
        <w:t>&lt;ESMA_QUESTION_C</w:t>
      </w:r>
      <w:r w:rsidR="009A2624">
        <w:t>P_BMR_4&gt;</w:t>
      </w:r>
    </w:p>
    <w:p w:rsidR="009A2624" w:rsidRDefault="009A2624" w:rsidP="009A2624"/>
    <w:p w:rsidR="009A2624" w:rsidRDefault="00C96E35" w:rsidP="00C96E35">
      <w:pPr>
        <w:pStyle w:val="Questionstyle"/>
      </w:pPr>
      <w:r w:rsidRPr="00C96E35">
        <w:rPr>
          <w:rFonts w:cs="Arial"/>
          <w:lang w:val="en-US"/>
        </w:rPr>
        <w:t>Do you have any other comments on the oversight function (composition, positioning and procedures) as set out in the draft RTS?</w:t>
      </w:r>
    </w:p>
    <w:p w:rsidR="009A2624" w:rsidRDefault="00665C07" w:rsidP="009A2624">
      <w:r>
        <w:t>&lt;ESMA_QUESTION_C</w:t>
      </w:r>
      <w:r w:rsidR="009A2624">
        <w:t>P_BMR_5&gt;</w:t>
      </w:r>
    </w:p>
    <w:p w:rsidR="009A2624" w:rsidRDefault="00CF3A7E" w:rsidP="009A2624">
      <w:permStart w:id="1707418061" w:edGrp="everyone"/>
      <w:r>
        <w:t>We have no other input.</w:t>
      </w:r>
    </w:p>
    <w:permEnd w:id="1707418061"/>
    <w:p w:rsidR="009A2624" w:rsidRDefault="00665C07" w:rsidP="009A2624">
      <w:r>
        <w:lastRenderedPageBreak/>
        <w:t>&lt;ESMA_QUESTION_C</w:t>
      </w:r>
      <w:r w:rsidR="009A2624">
        <w:t>P_BMR_5&gt;</w:t>
      </w:r>
    </w:p>
    <w:p w:rsidR="009A2624" w:rsidRDefault="009A2624" w:rsidP="009A2624"/>
    <w:p w:rsidR="009A2624" w:rsidRPr="007F44BF" w:rsidRDefault="00C96E35" w:rsidP="00C96E35">
      <w:pPr>
        <w:pStyle w:val="Questionstyle"/>
      </w:pPr>
      <w:r w:rsidRPr="00C96E35">
        <w:rPr>
          <w:rFonts w:cs="Arial"/>
          <w:lang w:val="en-US"/>
        </w:rPr>
        <w:t>Do you agree with the appropriateness and verifiability of input data that the administrator must ensure are in place? Please elaborate.</w:t>
      </w:r>
    </w:p>
    <w:p w:rsidR="009A2624" w:rsidRDefault="00665C07" w:rsidP="009A2624">
      <w:r>
        <w:t>&lt;ESMA_QUESTION_C</w:t>
      </w:r>
      <w:r w:rsidR="009A2624">
        <w:t>P_BMR_6&gt;</w:t>
      </w:r>
    </w:p>
    <w:p w:rsidR="00E53042" w:rsidRDefault="00CF3A7E" w:rsidP="009A2624">
      <w:permStart w:id="922778823" w:edGrp="everyone"/>
      <w:r>
        <w:t>Yes, for the most part.</w:t>
      </w:r>
      <w:r w:rsidR="00E53042">
        <w:t xml:space="preserve"> </w:t>
      </w:r>
      <w:r w:rsidR="002305D5">
        <w:t>However,</w:t>
      </w:r>
      <w:r w:rsidR="00E53042">
        <w:t xml:space="preserve"> we have a few concerns that we wish to highlight.</w:t>
      </w:r>
    </w:p>
    <w:p w:rsidR="00E53042" w:rsidRDefault="00E53042" w:rsidP="009A2624"/>
    <w:p w:rsidR="00E53042" w:rsidRDefault="00E53042" w:rsidP="00E53042">
      <w:pPr>
        <w:pStyle w:val="ListParagraph"/>
        <w:numPr>
          <w:ilvl w:val="0"/>
          <w:numId w:val="41"/>
        </w:numPr>
      </w:pPr>
      <w:r>
        <w:t>We</w:t>
      </w:r>
      <w:r w:rsidR="002305D5">
        <w:t xml:space="preserve"> believe that the concept of “contribution of input data” which does not apply to “readily avail</w:t>
      </w:r>
      <w:r w:rsidR="002305D5">
        <w:t>a</w:t>
      </w:r>
      <w:r w:rsidR="002305D5">
        <w:t>ble”</w:t>
      </w:r>
      <w:r>
        <w:t xml:space="preserve"> input data needs to be clarified so that the requirements</w:t>
      </w:r>
      <w:r w:rsidR="00926A4B">
        <w:t xml:space="preserve"> </w:t>
      </w:r>
      <w:r>
        <w:t xml:space="preserve">for </w:t>
      </w:r>
      <w:r w:rsidR="00926A4B">
        <w:t>“</w:t>
      </w:r>
      <w:r>
        <w:t>contribution of input data</w:t>
      </w:r>
      <w:r w:rsidR="00926A4B">
        <w:t>” do not bleed over creating anomalous (if not impossible) obligation</w:t>
      </w:r>
      <w:r w:rsidR="000546AE">
        <w:t xml:space="preserve">s </w:t>
      </w:r>
      <w:r w:rsidR="00926A4B">
        <w:t xml:space="preserve">with respect to </w:t>
      </w:r>
      <w:r>
        <w:t>input data readily available. It would be helpful if those delineations were more clear</w:t>
      </w:r>
      <w:r w:rsidR="00926A4B">
        <w:t xml:space="preserve"> so that the following clauses do not apply </w:t>
      </w:r>
      <w:r w:rsidR="00FF7895">
        <w:t xml:space="preserve">to contributions of readily available </w:t>
      </w:r>
      <w:r w:rsidR="00926A4B">
        <w:t xml:space="preserve">input </w:t>
      </w:r>
      <w:r w:rsidR="00FF7895">
        <w:t>data:</w:t>
      </w:r>
    </w:p>
    <w:p w:rsidR="00FF7895" w:rsidRDefault="00FF7895" w:rsidP="00FF7895">
      <w:pPr>
        <w:pStyle w:val="ListParagraph"/>
        <w:numPr>
          <w:ilvl w:val="1"/>
          <w:numId w:val="41"/>
        </w:numPr>
      </w:pPr>
      <w:r>
        <w:t>Sections 7, 8, 9, 10, and 12 of the Introduction</w:t>
      </w:r>
      <w:r w:rsidR="00926A4B">
        <w:t>. (Administrators have no way of forcing contributors of readily available data to implement policies including emplo</w:t>
      </w:r>
      <w:r w:rsidR="00926A4B">
        <w:t>y</w:t>
      </w:r>
      <w:r w:rsidR="00926A4B">
        <w:t>ment/disciplinary policies). While these obligations may already naturally apply to contri</w:t>
      </w:r>
      <w:r w:rsidR="00926A4B">
        <w:t>b</w:t>
      </w:r>
      <w:r w:rsidR="00926A4B">
        <w:t>utors that are supervised entities in the EU (including through other EU legislation), the EU cannot expect administrators (private companies) worldwide to force non-EU non-supervised contributors to comply with these EU rules and e</w:t>
      </w:r>
      <w:r w:rsidR="00926A4B">
        <w:t>f</w:t>
      </w:r>
      <w:r w:rsidR="00926A4B">
        <w:t>fectively take on the role of a quasi-regulator.)</w:t>
      </w:r>
    </w:p>
    <w:p w:rsidR="00FF7895" w:rsidRDefault="00FF7895" w:rsidP="00FF7895">
      <w:pPr>
        <w:pStyle w:val="ListParagraph"/>
        <w:numPr>
          <w:ilvl w:val="1"/>
          <w:numId w:val="41"/>
        </w:numPr>
      </w:pPr>
      <w:r>
        <w:t>Section 2(f) (Article 3)</w:t>
      </w:r>
      <w:r w:rsidR="00926A4B">
        <w:t xml:space="preserve"> (See above.)</w:t>
      </w:r>
    </w:p>
    <w:p w:rsidR="00E53042" w:rsidRDefault="00E53042" w:rsidP="00E53042">
      <w:pPr>
        <w:pStyle w:val="ListParagraph"/>
        <w:numPr>
          <w:ilvl w:val="0"/>
          <w:numId w:val="41"/>
        </w:numPr>
      </w:pPr>
      <w:r>
        <w:t>In Section 2 (Article 2), we’re not sure why there is a specific requirement for “metadata” as “summaries of data”. Data can be collected with submitters simply completing all the fields in a submission form which represents the entire data, not a summary</w:t>
      </w:r>
      <w:r w:rsidR="000546AE">
        <w:t xml:space="preserve"> or representation</w:t>
      </w:r>
      <w:r>
        <w:t xml:space="preserve"> of it. Using the term “metadata” risks being too prescriptive.</w:t>
      </w:r>
    </w:p>
    <w:p w:rsidR="00E53042" w:rsidRPr="00FF7895" w:rsidRDefault="00E53042" w:rsidP="00E53042">
      <w:pPr>
        <w:pStyle w:val="ListParagraph"/>
        <w:numPr>
          <w:ilvl w:val="0"/>
          <w:numId w:val="41"/>
        </w:numPr>
      </w:pPr>
      <w:r w:rsidRPr="00E53042">
        <w:rPr>
          <w:szCs w:val="20"/>
        </w:rPr>
        <w:t>W</w:t>
      </w:r>
      <w:r>
        <w:rPr>
          <w:szCs w:val="20"/>
        </w:rPr>
        <w:t xml:space="preserve">hen referring to verifiability, it is important to acknowledge the standard practice of performing that through outlier checks/mismatch checks on datasets vs. </w:t>
      </w:r>
      <w:r w:rsidR="00D82426" w:rsidRPr="00E53042">
        <w:rPr>
          <w:szCs w:val="20"/>
        </w:rPr>
        <w:t>veri</w:t>
      </w:r>
      <w:r>
        <w:rPr>
          <w:szCs w:val="20"/>
        </w:rPr>
        <w:t xml:space="preserve">fying </w:t>
      </w:r>
      <w:r w:rsidR="00D82426" w:rsidRPr="00E53042">
        <w:rPr>
          <w:szCs w:val="20"/>
        </w:rPr>
        <w:t>every single data item for every contribu</w:t>
      </w:r>
      <w:r>
        <w:rPr>
          <w:szCs w:val="20"/>
        </w:rPr>
        <w:t>tor which would be impossible where there are thousands of data points.</w:t>
      </w:r>
    </w:p>
    <w:p w:rsidR="00FF7895" w:rsidRPr="00E53042" w:rsidRDefault="00FF7895" w:rsidP="00E53042">
      <w:pPr>
        <w:pStyle w:val="ListParagraph"/>
        <w:numPr>
          <w:ilvl w:val="0"/>
          <w:numId w:val="41"/>
        </w:numPr>
      </w:pPr>
      <w:r>
        <w:rPr>
          <w:szCs w:val="20"/>
        </w:rPr>
        <w:t>In Section 2 (Article 3) we believe that “where appropriate” should be added to “where applic</w:t>
      </w:r>
      <w:r>
        <w:rPr>
          <w:szCs w:val="20"/>
        </w:rPr>
        <w:t>a</w:t>
      </w:r>
      <w:r>
        <w:rPr>
          <w:szCs w:val="20"/>
        </w:rPr>
        <w:t>ble”. Something may applicable but completely impractical, causing unacceptable delay or cost.</w:t>
      </w:r>
    </w:p>
    <w:p w:rsidR="00E53042" w:rsidRDefault="00E53042" w:rsidP="009A2624"/>
    <w:p w:rsidR="00E53042" w:rsidRDefault="00FF7895" w:rsidP="009A2624">
      <w:r>
        <w:t>Please note that t</w:t>
      </w:r>
      <w:r w:rsidR="00E53042">
        <w:t xml:space="preserve">here is </w:t>
      </w:r>
      <w:r>
        <w:t>remains</w:t>
      </w:r>
      <w:r w:rsidR="00E53042">
        <w:t xml:space="preserve"> an ambiguity in the regulation</w:t>
      </w:r>
      <w:r>
        <w:t xml:space="preserve"> and technical standards</w:t>
      </w:r>
      <w:r w:rsidR="00E53042">
        <w:t xml:space="preserve"> between contrib</w:t>
      </w:r>
      <w:r w:rsidR="00E53042">
        <w:t>u</w:t>
      </w:r>
      <w:r w:rsidR="00E53042">
        <w:t xml:space="preserve">tions of factual data/data that has an independent purpose and estimates/data submitted solely for the purpose of benchmark calculation. It should be clarified in either as part of Level 2 (if possible) or Level 3 that </w:t>
      </w:r>
      <w:r>
        <w:t xml:space="preserve">contributions of factual data/data that has an independent purpose </w:t>
      </w:r>
      <w:r w:rsidR="00E53042">
        <w:t>is considered “readily avail</w:t>
      </w:r>
      <w:r w:rsidR="00E53042">
        <w:t>a</w:t>
      </w:r>
      <w:r w:rsidR="00E53042">
        <w:t>ble”</w:t>
      </w:r>
      <w:r>
        <w:t>. It would also be helpful to ensure that third country stock exchange data is considered either regulated data or readily available and that third country stock exchanges are not required to sign codes of conduct</w:t>
      </w:r>
      <w:r w:rsidR="00E53042">
        <w:t>. Clarifying this in Level 2 (if possible) or as part of a Level 3 FAQ as soon as possible would help ensure consistency across national competent author</w:t>
      </w:r>
      <w:r w:rsidR="00E53042">
        <w:t>i</w:t>
      </w:r>
      <w:r w:rsidR="00E53042">
        <w:t>ties</w:t>
      </w:r>
      <w:r w:rsidR="000546AE">
        <w:t>.</w:t>
      </w:r>
    </w:p>
    <w:permEnd w:id="922778823"/>
    <w:p w:rsidR="009A2624" w:rsidRDefault="00665C07" w:rsidP="009A2624">
      <w:r>
        <w:t>&lt;ESMA_QUESTION_C</w:t>
      </w:r>
      <w:r w:rsidR="009A2624">
        <w:t>P_BMR_6&gt;</w:t>
      </w:r>
    </w:p>
    <w:p w:rsidR="009A2624" w:rsidRDefault="009A2624" w:rsidP="009A2624"/>
    <w:p w:rsidR="009A2624" w:rsidRPr="007F44BF" w:rsidRDefault="00C96E35" w:rsidP="00C96E35">
      <w:pPr>
        <w:pStyle w:val="Questionstyle"/>
      </w:pPr>
      <w:r w:rsidRPr="00C96E35">
        <w:rPr>
          <w:rFonts w:cs="Arial"/>
          <w:lang w:val="en-US"/>
        </w:rPr>
        <w:t>Do you agree with the internal oversight and verification procedures that the administrator must ensure are in place where contributions are made from a front-office function in a contributor organisation? Please elaborate.</w:t>
      </w:r>
    </w:p>
    <w:p w:rsidR="009A2624" w:rsidRDefault="00665C07" w:rsidP="009A2624">
      <w:r>
        <w:t>&lt;ESMA_QUESTION_C</w:t>
      </w:r>
      <w:r w:rsidR="009A2624">
        <w:t>P_BMR_7&gt;</w:t>
      </w:r>
    </w:p>
    <w:p w:rsidR="009A2624" w:rsidRDefault="00926A4B" w:rsidP="009A2624">
      <w:permStart w:id="640892662" w:edGrp="everyone"/>
      <w:r>
        <w:t>W</w:t>
      </w:r>
      <w:r w:rsidR="000E5DCA">
        <w:t xml:space="preserve">e wish to have the definition of front office clarified, </w:t>
      </w:r>
      <w:r w:rsidR="00477C5C">
        <w:t>e.g.,</w:t>
      </w:r>
      <w:r w:rsidR="000E5DCA">
        <w:t xml:space="preserve"> the front office of an EU supervised entity</w:t>
      </w:r>
      <w:r w:rsidR="005C55D5">
        <w:t xml:space="preserve"> with a trading function</w:t>
      </w:r>
      <w:r>
        <w:t>, otherwise the definition</w:t>
      </w:r>
      <w:r w:rsidR="00AA18AA">
        <w:t>s</w:t>
      </w:r>
      <w:r>
        <w:t xml:space="preserve"> and requirements are anomalous if it applies to non-supervised entities. </w:t>
      </w:r>
      <w:r w:rsidR="00AA18AA">
        <w:t>For example, marketing departments of real estate managers who may contribute factual co</w:t>
      </w:r>
      <w:r w:rsidR="00AA18AA">
        <w:t>m</w:t>
      </w:r>
      <w:r w:rsidR="00AA18AA">
        <w:t>mercial real estate input data (such as office building square footage or cash flows) to commercial real estates indexes should not be caught by the</w:t>
      </w:r>
      <w:r w:rsidR="00810BAC">
        <w:t xml:space="preserve"> “front office” </w:t>
      </w:r>
      <w:r w:rsidR="00AA18AA">
        <w:t>definitions/obligations. Front office only makes sense in the context of front office trading fun</w:t>
      </w:r>
      <w:r w:rsidR="00AA18AA">
        <w:t>c</w:t>
      </w:r>
      <w:r w:rsidR="00AA18AA">
        <w:t>tions.</w:t>
      </w:r>
    </w:p>
    <w:permEnd w:id="640892662"/>
    <w:p w:rsidR="009A2624" w:rsidRDefault="00665C07" w:rsidP="009A2624">
      <w:r>
        <w:t>&lt;ESMA_QUESTION_C</w:t>
      </w:r>
      <w:r w:rsidR="009A2624">
        <w:t>P_BMR_7&gt;</w:t>
      </w:r>
    </w:p>
    <w:p w:rsidR="009A2624" w:rsidRDefault="009A2624" w:rsidP="009A2624"/>
    <w:p w:rsidR="009A2624" w:rsidRPr="007F44BF" w:rsidRDefault="00863E1F" w:rsidP="00863E1F">
      <w:pPr>
        <w:pStyle w:val="Questionstyle"/>
      </w:pPr>
      <w:r w:rsidRPr="00863E1F">
        <w:rPr>
          <w:rFonts w:cs="Arial"/>
          <w:lang w:val="en-US"/>
        </w:rPr>
        <w:lastRenderedPageBreak/>
        <w:t>Do you agree with the list of key elements proposed? Do you consider that there are any other means that could be taken into consideration to ensure that the benchmark’s methodology is trace</w:t>
      </w:r>
      <w:r w:rsidRPr="00863E1F">
        <w:rPr>
          <w:rFonts w:cs="Arial"/>
          <w:lang w:val="en-US"/>
        </w:rPr>
        <w:t>a</w:t>
      </w:r>
      <w:r w:rsidRPr="00863E1F">
        <w:rPr>
          <w:rFonts w:cs="Arial"/>
          <w:lang w:val="en-US"/>
        </w:rPr>
        <w:t>ble and verifiable?</w:t>
      </w:r>
      <w:r w:rsidR="009A2624" w:rsidRPr="007F44BF">
        <w:t xml:space="preserve"> </w:t>
      </w:r>
    </w:p>
    <w:p w:rsidR="009A2624" w:rsidRDefault="00665C07" w:rsidP="009A2624">
      <w:r>
        <w:t>&lt;ESMA_QUESTION_C</w:t>
      </w:r>
      <w:r w:rsidR="009A2624">
        <w:t>P_BMR_8&gt;</w:t>
      </w:r>
    </w:p>
    <w:p w:rsidR="005C55D5" w:rsidRDefault="00477C5C" w:rsidP="009A2624">
      <w:permStart w:id="1989161713" w:edGrp="everyone"/>
      <w:r>
        <w:t xml:space="preserve"> Generally</w:t>
      </w:r>
      <w:r w:rsidR="000546AE">
        <w:t>,</w:t>
      </w:r>
      <w:r>
        <w:t xml:space="preserve"> yes. Howeve</w:t>
      </w:r>
      <w:r w:rsidR="005C55D5">
        <w:t xml:space="preserve">r we believe that Section 1(9) </w:t>
      </w:r>
      <w:r>
        <w:t>(Article 1) should be clarified so that it does not require the admin</w:t>
      </w:r>
      <w:r w:rsidR="005C55D5">
        <w:t>i</w:t>
      </w:r>
      <w:r>
        <w:t>strators to publicly disc</w:t>
      </w:r>
      <w:r w:rsidR="008553B0">
        <w:t xml:space="preserve">lose the benchmark constituents/weights </w:t>
      </w:r>
      <w:r>
        <w:t>themselves as tha</w:t>
      </w:r>
      <w:r w:rsidR="008553B0">
        <w:t>t goes against the Level 1 text and the deletion of the original Article 16.</w:t>
      </w:r>
    </w:p>
    <w:permEnd w:id="1989161713"/>
    <w:p w:rsidR="009A2624" w:rsidRDefault="00665C07" w:rsidP="009A2624">
      <w:r>
        <w:t>&lt;ESMA_QUESTION_C</w:t>
      </w:r>
      <w:r w:rsidR="009A2624">
        <w:t>P_BMR_8&gt;</w:t>
      </w:r>
    </w:p>
    <w:p w:rsidR="009A2624" w:rsidRDefault="009A2624" w:rsidP="009A2624"/>
    <w:p w:rsidR="009A2624" w:rsidRPr="007F44BF" w:rsidRDefault="00863E1F" w:rsidP="00863E1F">
      <w:pPr>
        <w:pStyle w:val="Questionstyle"/>
      </w:pPr>
      <w:r w:rsidRPr="00863E1F">
        <w:rPr>
          <w:rFonts w:cs="Arial"/>
          <w:lang w:val="en-US"/>
        </w:rPr>
        <w:t>Do you agree with the elements of the internal review of methodology to be disclosed? Do you consider that there are other elements of information regarding the procedure for internal review of methodology that should be included?</w:t>
      </w:r>
    </w:p>
    <w:p w:rsidR="009A2624" w:rsidRDefault="00665C07" w:rsidP="009A2624">
      <w:r>
        <w:t>&lt;ESMA_QUESTION_C</w:t>
      </w:r>
      <w:r w:rsidR="009A2624">
        <w:t>P_BMR_9&gt;</w:t>
      </w:r>
    </w:p>
    <w:p w:rsidR="009A2624" w:rsidRDefault="008553B0" w:rsidP="009A2624">
      <w:permStart w:id="1412780839" w:edGrp="everyone"/>
      <w:r>
        <w:t xml:space="preserve">Yes in general. </w:t>
      </w:r>
    </w:p>
    <w:permEnd w:id="1412780839"/>
    <w:p w:rsidR="009A2624" w:rsidRDefault="00665C07" w:rsidP="009A2624">
      <w:r>
        <w:t>&lt;ESMA_QUESTION_C</w:t>
      </w:r>
      <w:r w:rsidR="009A2624">
        <w:t>P_BMR_9&gt;</w:t>
      </w:r>
    </w:p>
    <w:p w:rsidR="009A2624" w:rsidRDefault="009A2624" w:rsidP="009A2624"/>
    <w:p w:rsidR="009A2624" w:rsidRPr="007F44BF" w:rsidRDefault="00863E1F" w:rsidP="00863E1F">
      <w:pPr>
        <w:pStyle w:val="Questionstyle"/>
      </w:pPr>
      <w:r w:rsidRPr="00863E1F">
        <w:rPr>
          <w:rFonts w:cs="Arial"/>
        </w:rPr>
        <w:t>Do you agree with the procedure for consultation on material changes to the methodology?</w:t>
      </w:r>
      <w:r w:rsidR="009A2624" w:rsidRPr="007F44BF">
        <w:t xml:space="preserve"> </w:t>
      </w:r>
    </w:p>
    <w:p w:rsidR="009A2624" w:rsidRDefault="00665C07" w:rsidP="009A2624">
      <w:r>
        <w:t>&lt;ESMA_QUESTION_C</w:t>
      </w:r>
      <w:r w:rsidR="009A2624">
        <w:t>P_BMR_10&gt;</w:t>
      </w:r>
    </w:p>
    <w:p w:rsidR="008553B0" w:rsidRDefault="007C0E13" w:rsidP="009A2624">
      <w:permStart w:id="1616921836" w:edGrp="everyone"/>
      <w:r>
        <w:t xml:space="preserve">Yes, </w:t>
      </w:r>
      <w:r w:rsidR="005C55D5">
        <w:t xml:space="preserve">in general </w:t>
      </w:r>
      <w:r>
        <w:t>we agree w</w:t>
      </w:r>
      <w:r w:rsidR="008553B0">
        <w:t>ith the procedure in Article 3. However there are a few points we wish to raise.</w:t>
      </w:r>
    </w:p>
    <w:p w:rsidR="008553B0" w:rsidRDefault="008553B0" w:rsidP="008553B0">
      <w:pPr>
        <w:pStyle w:val="ListParagraph"/>
        <w:numPr>
          <w:ilvl w:val="0"/>
          <w:numId w:val="43"/>
        </w:numPr>
      </w:pPr>
      <w:r>
        <w:t xml:space="preserve">Under Section 1 (Article 3) it should be clear that consultations are not required </w:t>
      </w:r>
      <w:r w:rsidR="00E35FF6">
        <w:t xml:space="preserve">for </w:t>
      </w:r>
      <w:r>
        <w:t>market disru</w:t>
      </w:r>
      <w:r>
        <w:t>p</w:t>
      </w:r>
      <w:r>
        <w:t>tion or other urgent issues. There may not be time to consult. Announcements of changes can be made but in these types of events there is no time for the usual extensive consu</w:t>
      </w:r>
      <w:r>
        <w:t>l</w:t>
      </w:r>
      <w:r>
        <w:t>tation.</w:t>
      </w:r>
    </w:p>
    <w:p w:rsidR="009A2624" w:rsidRDefault="00E35FF6" w:rsidP="008553B0">
      <w:pPr>
        <w:pStyle w:val="ListParagraph"/>
        <w:numPr>
          <w:ilvl w:val="0"/>
          <w:numId w:val="43"/>
        </w:numPr>
      </w:pPr>
      <w:r>
        <w:t>We</w:t>
      </w:r>
      <w:r w:rsidR="007C0E13">
        <w:t xml:space="preserve"> do not agree with publishing the com</w:t>
      </w:r>
      <w:r w:rsidR="005C55D5">
        <w:t xml:space="preserve">ments </w:t>
      </w:r>
      <w:r w:rsidR="007C0E13">
        <w:t xml:space="preserve">or the responses. </w:t>
      </w:r>
      <w:r>
        <w:t>The changes should be a</w:t>
      </w:r>
      <w:r>
        <w:t>n</w:t>
      </w:r>
      <w:r>
        <w:t xml:space="preserve">nounced with the rational, but publishing the comments themselves and forcing the administrator to respond to each comment and publish those responses </w:t>
      </w:r>
      <w:r w:rsidR="007C0E13">
        <w:t>should be option</w:t>
      </w:r>
      <w:r>
        <w:t>al. We believe that r</w:t>
      </w:r>
      <w:r>
        <w:t>e</w:t>
      </w:r>
      <w:r>
        <w:t xml:space="preserve">quiring publication of both comments and responses </w:t>
      </w:r>
      <w:r w:rsidR="007C0E13">
        <w:t>would lead to unacceptable levels of lobb</w:t>
      </w:r>
      <w:r w:rsidR="007C0E13">
        <w:t>y</w:t>
      </w:r>
      <w:r w:rsidR="007C0E13">
        <w:t>ing by the clients and industry bod</w:t>
      </w:r>
      <w:r>
        <w:t>ies</w:t>
      </w:r>
      <w:r w:rsidR="007C0E13">
        <w:t xml:space="preserve"> on </w:t>
      </w:r>
      <w:r>
        <w:t>benchmark</w:t>
      </w:r>
      <w:r w:rsidR="007C0E13">
        <w:t xml:space="preserve"> changes</w:t>
      </w:r>
      <w:r>
        <w:t xml:space="preserve"> and would</w:t>
      </w:r>
      <w:r w:rsidR="007C0E13">
        <w:t xml:space="preserve"> </w:t>
      </w:r>
      <w:r w:rsidR="005C55D5">
        <w:t>jeopardiz</w:t>
      </w:r>
      <w:r>
        <w:t>e</w:t>
      </w:r>
      <w:r w:rsidR="005C55D5">
        <w:t xml:space="preserve"> and threat</w:t>
      </w:r>
      <w:r>
        <w:t>en</w:t>
      </w:r>
      <w:r w:rsidR="007C0E13">
        <w:t xml:space="preserve"> the independence </w:t>
      </w:r>
      <w:r w:rsidR="005C55D5">
        <w:t xml:space="preserve">of the benchmark administrator. </w:t>
      </w:r>
      <w:r>
        <w:t>Instead, a</w:t>
      </w:r>
      <w:r w:rsidR="005C55D5">
        <w:t xml:space="preserve">dministrators could make all </w:t>
      </w:r>
      <w:r>
        <w:t>co</w:t>
      </w:r>
      <w:r>
        <w:t>m</w:t>
      </w:r>
      <w:r>
        <w:t>ments</w:t>
      </w:r>
      <w:r w:rsidR="005C55D5">
        <w:t xml:space="preserve"> available to the national competent authority upon request.</w:t>
      </w:r>
    </w:p>
    <w:permEnd w:id="1616921836"/>
    <w:p w:rsidR="009A2624" w:rsidRDefault="00665C07" w:rsidP="009A2624">
      <w:r>
        <w:t>&lt;ESMA_QUESTION_C</w:t>
      </w:r>
      <w:r w:rsidR="009A2624">
        <w:t>P_BMR_10&gt;</w:t>
      </w:r>
    </w:p>
    <w:p w:rsidR="009A2624" w:rsidRDefault="009A2624" w:rsidP="009A2624"/>
    <w:p w:rsidR="009A2624" w:rsidRPr="007F44BF" w:rsidRDefault="00863E1F" w:rsidP="00863E1F">
      <w:pPr>
        <w:pStyle w:val="Questionstyle"/>
      </w:pPr>
      <w:r w:rsidRPr="00863E1F">
        <w:rPr>
          <w:rFonts w:cs="Arial"/>
          <w:lang w:val="en-US"/>
        </w:rPr>
        <w:t>Do you agree with this approach? Please explain your response.</w:t>
      </w:r>
      <w:r w:rsidR="009A2624" w:rsidRPr="007F44BF">
        <w:t xml:space="preserve"> </w:t>
      </w:r>
    </w:p>
    <w:p w:rsidR="009A2624" w:rsidRDefault="009A2624" w:rsidP="009A2624">
      <w:r>
        <w:t>&lt;ES</w:t>
      </w:r>
      <w:r w:rsidR="00665C07">
        <w:t>MA_QUESTION_C</w:t>
      </w:r>
      <w:r>
        <w:t>P_BMR_11&gt;</w:t>
      </w:r>
    </w:p>
    <w:p w:rsidR="0003447C" w:rsidRDefault="0003447C" w:rsidP="009A2624">
      <w:permStart w:id="1514475072" w:edGrp="everyone"/>
      <w:r>
        <w:t>A major ambiguity needs to be clarified to understand how these sections/obligations work.</w:t>
      </w:r>
      <w:r w:rsidR="00775BBC">
        <w:t xml:space="preserve"> Because it very seriously impacts implementation of the regulation by the industry, we believe what needs to be clarified as soon as possible, is that contributions of factual data/data that have an independent pu</w:t>
      </w:r>
      <w:r w:rsidR="00775BBC">
        <w:t>r</w:t>
      </w:r>
      <w:r w:rsidR="00775BBC">
        <w:t>pose (e.g., not estimates submitted for the purpose of benchmark calcula</w:t>
      </w:r>
      <w:r w:rsidR="00F202BD">
        <w:t xml:space="preserve">tion) </w:t>
      </w:r>
      <w:r w:rsidR="00775BBC">
        <w:t>as well as stock e</w:t>
      </w:r>
      <w:r w:rsidR="00775BBC">
        <w:t>x</w:t>
      </w:r>
      <w:r w:rsidR="00775BBC">
        <w:t>change data from exchanges that are outside the definition of Section 3(24) of the regulation (i.e., may not have a finally agreed equivalence arrangement, etc.) are considered “readily available”</w:t>
      </w:r>
      <w:r w:rsidR="00F202BD">
        <w:t xml:space="preserve"> (or </w:t>
      </w:r>
      <w:r w:rsidR="00495234">
        <w:t xml:space="preserve">that </w:t>
      </w:r>
      <w:r w:rsidR="00F202BD">
        <w:t>third country stock exchange data is considered regulated data)</w:t>
      </w:r>
      <w:r w:rsidR="00775BBC">
        <w:t>. If that is not clarified</w:t>
      </w:r>
      <w:r w:rsidR="00F202BD">
        <w:t>,</w:t>
      </w:r>
      <w:r w:rsidR="00775BBC">
        <w:t xml:space="preserve"> then Articles 2, </w:t>
      </w:r>
      <w:r w:rsidR="002F4172">
        <w:t>5,</w:t>
      </w:r>
      <w:r w:rsidR="00775BBC">
        <w:t xml:space="preserve"> 6</w:t>
      </w:r>
      <w:r w:rsidR="002F4172">
        <w:t xml:space="preserve">, 7, </w:t>
      </w:r>
      <w:r w:rsidR="00775BBC">
        <w:t>8</w:t>
      </w:r>
      <w:r w:rsidR="002F4172">
        <w:t xml:space="preserve"> and 9</w:t>
      </w:r>
      <w:r w:rsidR="00775BBC">
        <w:t xml:space="preserve"> </w:t>
      </w:r>
      <w:r w:rsidR="00F202BD">
        <w:t>b</w:t>
      </w:r>
      <w:r w:rsidR="00F202BD">
        <w:t>e</w:t>
      </w:r>
      <w:r w:rsidR="00F202BD">
        <w:t>come</w:t>
      </w:r>
      <w:r w:rsidR="00775BBC">
        <w:t xml:space="preserve"> impo</w:t>
      </w:r>
      <w:r w:rsidR="00775BBC">
        <w:t>s</w:t>
      </w:r>
      <w:r w:rsidR="00775BBC">
        <w:t xml:space="preserve">sible obligations for administrators. </w:t>
      </w:r>
      <w:r w:rsidR="00F202BD">
        <w:t>Contributors of</w:t>
      </w:r>
      <w:r w:rsidR="00775BBC">
        <w:t xml:space="preserve"> factual data with independent purpose (readily avail</w:t>
      </w:r>
      <w:r w:rsidR="00775BBC">
        <w:t>a</w:t>
      </w:r>
      <w:r w:rsidR="00775BBC">
        <w:t>ble data) are just collecting the data and submit</w:t>
      </w:r>
      <w:r w:rsidR="00F202BD">
        <w:t xml:space="preserve">ting it. They </w:t>
      </w:r>
      <w:r w:rsidR="00775BBC">
        <w:t xml:space="preserve">are not creating the data itself, </w:t>
      </w:r>
      <w:r w:rsidR="00F202BD">
        <w:t>(</w:t>
      </w:r>
      <w:r w:rsidR="00775BBC">
        <w:t>e.g., square footage of commercial buildings and cash flows of commercial buildings for co</w:t>
      </w:r>
      <w:r w:rsidR="00775BBC">
        <w:t>m</w:t>
      </w:r>
      <w:r w:rsidR="00775BBC">
        <w:t>mercial real estate indexes or stock prices of a frontier market exchange)</w:t>
      </w:r>
      <w:r w:rsidR="00495234">
        <w:t xml:space="preserve">, </w:t>
      </w:r>
      <w:r w:rsidR="00F202BD">
        <w:t>so the obligations placed on contributors are anomalous and impossible and</w:t>
      </w:r>
      <w:r w:rsidR="00495234">
        <w:t xml:space="preserve"> the obligation for the administrator to require it is</w:t>
      </w:r>
      <w:r w:rsidR="00F202BD">
        <w:t xml:space="preserve"> </w:t>
      </w:r>
      <w:r w:rsidR="00495234">
        <w:t>impossible</w:t>
      </w:r>
      <w:r w:rsidR="00F202BD">
        <w:t>. Also, if this is</w:t>
      </w:r>
      <w:r w:rsidR="00775BBC">
        <w:t xml:space="preserve"> not clarified with respect to third country stock exchange data, then</w:t>
      </w:r>
      <w:r w:rsidR="00495234">
        <w:t xml:space="preserve"> this could impact </w:t>
      </w:r>
      <w:r w:rsidR="00F202BD">
        <w:t xml:space="preserve">third country </w:t>
      </w:r>
      <w:r w:rsidR="003E26DE">
        <w:t>inves</w:t>
      </w:r>
      <w:r w:rsidR="003E26DE">
        <w:t>t</w:t>
      </w:r>
      <w:r w:rsidR="003E26DE">
        <w:t>ment opportunities for European investors.</w:t>
      </w:r>
      <w:r w:rsidR="004F585C">
        <w:t xml:space="preserve"> T</w:t>
      </w:r>
      <w:r w:rsidR="003E26DE">
        <w:t>hird country stock e</w:t>
      </w:r>
      <w:r w:rsidR="003E26DE">
        <w:t>x</w:t>
      </w:r>
      <w:r w:rsidR="003E26DE">
        <w:t xml:space="preserve">changes cannot be </w:t>
      </w:r>
      <w:r w:rsidR="004F585C">
        <w:t xml:space="preserve">forced to </w:t>
      </w:r>
      <w:r w:rsidR="003E26DE">
        <w:t>sign codes of conduct with benchmark administrators</w:t>
      </w:r>
      <w:r w:rsidR="00495234">
        <w:t xml:space="preserve">, </w:t>
      </w:r>
      <w:r w:rsidR="004F585C">
        <w:t>a</w:t>
      </w:r>
      <w:r w:rsidR="00F202BD">
        <w:t xml:space="preserve">nd if they refuse then </w:t>
      </w:r>
      <w:r w:rsidR="00495234">
        <w:t>EU users cannot be prohibited from using third country benchmarks (or any regional or global composites). That will impact current financial products and investment strategies as well as future financial pro</w:t>
      </w:r>
      <w:r w:rsidR="00495234">
        <w:t>d</w:t>
      </w:r>
      <w:r w:rsidR="00495234">
        <w:t>ucts and investments strategies.</w:t>
      </w:r>
    </w:p>
    <w:p w:rsidR="002F4172" w:rsidRDefault="002F4172" w:rsidP="009A2624"/>
    <w:p w:rsidR="00F202BD" w:rsidRDefault="002F4172" w:rsidP="009A2624">
      <w:r>
        <w:t>Most of these sections are either leaning towards or specifically mention trades/traded data from EU supervised contributors/mandatory contribution</w:t>
      </w:r>
      <w:r w:rsidR="000546AE">
        <w:t>s</w:t>
      </w:r>
      <w:r>
        <w:t>, and that is not the case</w:t>
      </w:r>
      <w:r w:rsidRPr="002F4172">
        <w:t xml:space="preserve"> </w:t>
      </w:r>
      <w:r>
        <w:t>with all benc</w:t>
      </w:r>
      <w:r>
        <w:t>h</w:t>
      </w:r>
      <w:r w:rsidR="00F202BD">
        <w:t xml:space="preserve">marks to which these </w:t>
      </w:r>
      <w:r>
        <w:t>prov</w:t>
      </w:r>
      <w:r>
        <w:t>i</w:t>
      </w:r>
      <w:r>
        <w:t>sion</w:t>
      </w:r>
      <w:r w:rsidR="00F202BD">
        <w:t>s</w:t>
      </w:r>
      <w:r>
        <w:t xml:space="preserve"> may apply. Further, there doesn’t seem to be proportionality to address that.  </w:t>
      </w:r>
      <w:r w:rsidR="00F202BD">
        <w:t>A few examples include:</w:t>
      </w:r>
    </w:p>
    <w:p w:rsidR="00F202BD" w:rsidRDefault="002F4172" w:rsidP="00F202BD">
      <w:pPr>
        <w:pStyle w:val="ListParagraph"/>
        <w:numPr>
          <w:ilvl w:val="0"/>
          <w:numId w:val="44"/>
        </w:numPr>
      </w:pPr>
      <w:r>
        <w:t>Section 4 of Article 2, Section 1 of Article 7 assume contributors have a compliance department</w:t>
      </w:r>
      <w:r w:rsidR="00F202BD">
        <w:t xml:space="preserve">. </w:t>
      </w:r>
    </w:p>
    <w:p w:rsidR="00F202BD" w:rsidRDefault="002F4172" w:rsidP="00F202BD">
      <w:pPr>
        <w:pStyle w:val="ListParagraph"/>
        <w:numPr>
          <w:ilvl w:val="0"/>
          <w:numId w:val="44"/>
        </w:numPr>
      </w:pPr>
      <w:r>
        <w:t xml:space="preserve">Section 3 of Article 5 specifically mentions trades (and that is preceded by “shall include”). </w:t>
      </w:r>
    </w:p>
    <w:p w:rsidR="00F202BD" w:rsidRDefault="00F202BD" w:rsidP="00F202BD">
      <w:pPr>
        <w:pStyle w:val="ListParagraph"/>
        <w:numPr>
          <w:ilvl w:val="0"/>
          <w:numId w:val="44"/>
        </w:numPr>
      </w:pPr>
      <w:r>
        <w:t>Section 1(b) of Section 8 presumes the contributor has internal or external risk management a</w:t>
      </w:r>
      <w:r>
        <w:t>u</w:t>
      </w:r>
      <w:r>
        <w:t>dits.</w:t>
      </w:r>
    </w:p>
    <w:p w:rsidR="002F4172" w:rsidRDefault="002F4172" w:rsidP="009A2624"/>
    <w:p w:rsidR="0003447C" w:rsidRDefault="0003447C" w:rsidP="009A2624">
      <w:r>
        <w:t>For Article 6, the record keeping the requirements should be applied depending on the type of data (i.e. where applicable/appropriate). It presumes traders are involved and that</w:t>
      </w:r>
      <w:r w:rsidR="00F202BD">
        <w:t xml:space="preserve"> is not the case with all benc</w:t>
      </w:r>
      <w:r w:rsidR="00F202BD">
        <w:t>h</w:t>
      </w:r>
      <w:r w:rsidR="00F202BD">
        <w:t>marks.</w:t>
      </w:r>
    </w:p>
    <w:p w:rsidR="0003447C" w:rsidRDefault="0003447C" w:rsidP="009A2624"/>
    <w:p w:rsidR="0003447C" w:rsidRDefault="0003447C" w:rsidP="009A2624">
      <w:r>
        <w:t>For Article 8, requirements such as recruitment policies remuneration polices, trader exposures, etc. may work for EU supervised entities that are submitting mandatory contributions but will not work with respect to non-EU contributors especially if they are not regulated financial institutions where these concepts are more nat</w:t>
      </w:r>
      <w:r>
        <w:t>u</w:t>
      </w:r>
      <w:r>
        <w:t>ral. The danger here is that by applying standards of the financial industry to other types of industries, those parties will just stop contributing because the requirements are just too onerous. They will still produce the data, but they just won’t contribute it and we will have less transparency in traditio</w:t>
      </w:r>
      <w:r>
        <w:t>n</w:t>
      </w:r>
      <w:r>
        <w:t>ally opaque markets as a result.</w:t>
      </w:r>
    </w:p>
    <w:permEnd w:id="1514475072"/>
    <w:p w:rsidR="009A2624" w:rsidRDefault="00665C07" w:rsidP="009A2624">
      <w:r>
        <w:t>&lt;ESMA_QUESTION_C</w:t>
      </w:r>
      <w:r w:rsidR="009A2624">
        <w:t>P_BMR_11&gt;</w:t>
      </w:r>
    </w:p>
    <w:p w:rsidR="009A2624" w:rsidRDefault="009A2624" w:rsidP="009A2624"/>
    <w:p w:rsidR="00863E1F" w:rsidRPr="007F44BF" w:rsidRDefault="00863E1F" w:rsidP="00863E1F">
      <w:pPr>
        <w:pStyle w:val="Questionstyle"/>
      </w:pPr>
      <w:r w:rsidRPr="008C0CBF">
        <w:rPr>
          <w:rFonts w:ascii="Arial" w:hAnsi="Arial" w:cs="Arial"/>
        </w:rPr>
        <w:t>Do you agree with this approach?</w:t>
      </w:r>
      <w:r>
        <w:rPr>
          <w:rFonts w:ascii="Arial" w:hAnsi="Arial" w:cs="Arial"/>
        </w:rPr>
        <w:t xml:space="preserve"> </w:t>
      </w:r>
      <w:r w:rsidRPr="008C0CBF">
        <w:rPr>
          <w:rFonts w:ascii="Arial" w:hAnsi="Arial" w:cs="Arial"/>
        </w:rPr>
        <w:t>What are the different characteristics of contri</w:t>
      </w:r>
      <w:r w:rsidRPr="008C0CBF">
        <w:rPr>
          <w:rFonts w:ascii="Arial" w:hAnsi="Arial" w:cs="Arial"/>
        </w:rPr>
        <w:t>b</w:t>
      </w:r>
      <w:r w:rsidRPr="008C0CBF">
        <w:rPr>
          <w:rFonts w:ascii="Arial" w:hAnsi="Arial" w:cs="Arial"/>
        </w:rPr>
        <w:t>utors that should be taken into consideration in this RTS?</w:t>
      </w:r>
      <w:r>
        <w:rPr>
          <w:rFonts w:ascii="Arial" w:hAnsi="Arial" w:cs="Arial"/>
        </w:rPr>
        <w:t xml:space="preserve"> </w:t>
      </w:r>
      <w:r w:rsidRPr="008C0CBF">
        <w:rPr>
          <w:rFonts w:ascii="Arial" w:hAnsi="Arial" w:cs="Arial"/>
        </w:rPr>
        <w:t>How should those characteri</w:t>
      </w:r>
      <w:r w:rsidRPr="008C0CBF">
        <w:rPr>
          <w:rFonts w:ascii="Arial" w:hAnsi="Arial" w:cs="Arial"/>
        </w:rPr>
        <w:t>s</w:t>
      </w:r>
      <w:r w:rsidRPr="008C0CBF">
        <w:rPr>
          <w:rFonts w:ascii="Arial" w:hAnsi="Arial" w:cs="Arial"/>
        </w:rPr>
        <w:t>tics be taken into account in the provisions suggested in this draft RTS?</w:t>
      </w:r>
      <w:r>
        <w:rPr>
          <w:rFonts w:ascii="Arial" w:hAnsi="Arial" w:cs="Arial"/>
        </w:rPr>
        <w:t xml:space="preserve"> </w:t>
      </w:r>
      <w:r w:rsidRPr="008C0CBF">
        <w:rPr>
          <w:rFonts w:ascii="Arial" w:hAnsi="Arial" w:cs="Arial"/>
        </w:rPr>
        <w:t>Please give examples.</w:t>
      </w:r>
      <w:r w:rsidRPr="007F44BF">
        <w:t xml:space="preserve"> </w:t>
      </w:r>
    </w:p>
    <w:p w:rsidR="00863E1F" w:rsidRDefault="00863E1F" w:rsidP="00863E1F">
      <w:r>
        <w:t>&lt;ESMA_QUESTION_C</w:t>
      </w:r>
      <w:r w:rsidR="0038662B">
        <w:t>P_BMR_12</w:t>
      </w:r>
      <w:r>
        <w:t>&gt;</w:t>
      </w:r>
    </w:p>
    <w:p w:rsidR="001C29FB" w:rsidRDefault="001C29FB" w:rsidP="00863E1F">
      <w:permStart w:id="493115771" w:edGrp="everyone"/>
      <w:r>
        <w:t xml:space="preserve">Yes we agree that the characteristic of the contributors is important. We feel that </w:t>
      </w:r>
      <w:r w:rsidR="00773AE5">
        <w:t xml:space="preserve">a bit </w:t>
      </w:r>
      <w:r>
        <w:t>more work needs to be done to address that. It seem</w:t>
      </w:r>
      <w:r w:rsidR="00773AE5">
        <w:t>s</w:t>
      </w:r>
      <w:r>
        <w:t xml:space="preserve"> that most of the requirements are assuming supervised contrib</w:t>
      </w:r>
      <w:r>
        <w:t>u</w:t>
      </w:r>
      <w:r>
        <w:t>tors/mandatory contributions. However, that will not be the case for all benchmarks to which these prov</w:t>
      </w:r>
      <w:r>
        <w:t>i</w:t>
      </w:r>
      <w:r>
        <w:t>sions may apply.</w:t>
      </w:r>
    </w:p>
    <w:p w:rsidR="001C29FB" w:rsidRDefault="001C29FB" w:rsidP="00863E1F"/>
    <w:p w:rsidR="001C29FB" w:rsidRDefault="001C29FB" w:rsidP="001C29FB">
      <w:r>
        <w:t>A major ambiguity needs to be clarified to understand how these sections/obligations work. Because it very seriously impacts implementation of the regulation by the industry, we believe what needs to be clarified as soon as possible, is that contributions of factual data/data that have an independent pu</w:t>
      </w:r>
      <w:r>
        <w:t>r</w:t>
      </w:r>
      <w:r>
        <w:t>pose (e.g., not estimates submitted for the purpose of benchmark calculation) as well as stock e</w:t>
      </w:r>
      <w:r>
        <w:t>x</w:t>
      </w:r>
      <w:r>
        <w:t>change data from exchanges that are outside the definition of Section 3(24) of the regulation (i.e., may not have a finally agreed equivalence arrangement, etc.) are considered “readily available” (or that third country stock exchange data is considered regulated data). If that is not clarified, then Articles 2, 5, 6, 7, 8 and 9 b</w:t>
      </w:r>
      <w:r>
        <w:t>e</w:t>
      </w:r>
      <w:r>
        <w:t>come impo</w:t>
      </w:r>
      <w:r>
        <w:t>s</w:t>
      </w:r>
      <w:r>
        <w:t>sible obligations for administrators. Contributors of factual data with independent purpose (readily avail</w:t>
      </w:r>
      <w:r>
        <w:t>a</w:t>
      </w:r>
      <w:r>
        <w:t>ble data) are just collecting the data and submitting it. They are not creating the data itself, (e.g., square footage of commercial buildings and cash flows of commercial buildings for co</w:t>
      </w:r>
      <w:r>
        <w:t>m</w:t>
      </w:r>
      <w:r>
        <w:t>mercial real estate indexes or stock prices of a frontier market exchange), so the obligations placed on contributors are anomalous and impossible and the obligation for the administrator to require it is impossible. Also, if this is not clarified with respect to third country stock exchange data, then this could impact third country inves</w:t>
      </w:r>
      <w:r>
        <w:t>t</w:t>
      </w:r>
      <w:r>
        <w:t>ment opportunities for European investors. Third country stock e</w:t>
      </w:r>
      <w:r>
        <w:t>x</w:t>
      </w:r>
      <w:r>
        <w:t>changes cannot be forced to sign codes of conduct with benchmark administrators, and if they refuse then EU users cannot be prohibited from using third country benchmarks (or any regional or global composites). That will impact current financial products and investment strategies as well as future financial pro</w:t>
      </w:r>
      <w:r>
        <w:t>d</w:t>
      </w:r>
      <w:r>
        <w:t>ucts and investments strategies.</w:t>
      </w:r>
    </w:p>
    <w:p w:rsidR="001C29FB" w:rsidRDefault="001C29FB" w:rsidP="001C29FB"/>
    <w:p w:rsidR="001C29FB" w:rsidRDefault="001C29FB" w:rsidP="001C29FB">
      <w:r>
        <w:t>Most of these sections are either leaning towards or specifically mention trades/traded data from EU supervised contributors/mandatory contribution, and that is not the case</w:t>
      </w:r>
      <w:r w:rsidRPr="002F4172">
        <w:t xml:space="preserve"> </w:t>
      </w:r>
      <w:r>
        <w:t>is not the case with all benc</w:t>
      </w:r>
      <w:r>
        <w:t>h</w:t>
      </w:r>
      <w:r>
        <w:t>marks to which these prov</w:t>
      </w:r>
      <w:r>
        <w:t>i</w:t>
      </w:r>
      <w:r>
        <w:t>sions may apply. Further, there doesn’t seem to be proportionality to address that.  A few examples include:</w:t>
      </w:r>
    </w:p>
    <w:p w:rsidR="001C29FB" w:rsidRDefault="001C29FB" w:rsidP="001C29FB">
      <w:pPr>
        <w:pStyle w:val="ListParagraph"/>
        <w:numPr>
          <w:ilvl w:val="0"/>
          <w:numId w:val="44"/>
        </w:numPr>
      </w:pPr>
      <w:r>
        <w:lastRenderedPageBreak/>
        <w:t xml:space="preserve">Section 4 of Article 2, Section 1 of Article 7 assume contributors have a compliance department. </w:t>
      </w:r>
    </w:p>
    <w:p w:rsidR="001C29FB" w:rsidRDefault="001C29FB" w:rsidP="001C29FB">
      <w:pPr>
        <w:pStyle w:val="ListParagraph"/>
        <w:numPr>
          <w:ilvl w:val="0"/>
          <w:numId w:val="44"/>
        </w:numPr>
      </w:pPr>
      <w:r>
        <w:t xml:space="preserve">Section 3 of Article 5 specifically mentions trades (and that is preceded by “shall include”). </w:t>
      </w:r>
    </w:p>
    <w:p w:rsidR="001C29FB" w:rsidRDefault="001C29FB" w:rsidP="001C29FB">
      <w:pPr>
        <w:pStyle w:val="ListParagraph"/>
        <w:numPr>
          <w:ilvl w:val="0"/>
          <w:numId w:val="44"/>
        </w:numPr>
      </w:pPr>
      <w:r>
        <w:t>Section 1(b) of Section 8 presumes the contributor has internal or external risk management a</w:t>
      </w:r>
      <w:r>
        <w:t>u</w:t>
      </w:r>
      <w:r>
        <w:t>dits.</w:t>
      </w:r>
    </w:p>
    <w:p w:rsidR="001C29FB" w:rsidRDefault="001C29FB" w:rsidP="001C29FB"/>
    <w:p w:rsidR="001C29FB" w:rsidRDefault="001C29FB" w:rsidP="001C29FB">
      <w:r>
        <w:t>For Article 6, the record keeping the requirements should be applied depending on the type of data (i.e. where applicable/appropriate). It presumes traders are involved and that is not the case with all benc</w:t>
      </w:r>
      <w:r>
        <w:t>h</w:t>
      </w:r>
      <w:r>
        <w:t>marks.</w:t>
      </w:r>
    </w:p>
    <w:p w:rsidR="001C29FB" w:rsidRDefault="001C29FB" w:rsidP="001C29FB"/>
    <w:p w:rsidR="001C29FB" w:rsidRDefault="001C29FB" w:rsidP="00863E1F">
      <w:r>
        <w:t>For Article 8, requirements such as recruitment policies remuneration polices, trader exposures, etc. may work for EU supervised entities that are submitting mandatory contributions but will not work with respect to non-EU contributors especially if they are not regulated financial institutions where these concepts are more nat</w:t>
      </w:r>
      <w:r>
        <w:t>u</w:t>
      </w:r>
      <w:r>
        <w:t>ral. The danger here is that by applying standards of the financial industry to other types of industries, those parties will just stop contributing because the requirements are just too onerous. They will still produce the data, but they just won’t contribute it and we will have less transparency in traditio</w:t>
      </w:r>
      <w:r>
        <w:t>n</w:t>
      </w:r>
      <w:r>
        <w:t>ally opaque markets as a result.</w:t>
      </w:r>
    </w:p>
    <w:permEnd w:id="493115771"/>
    <w:p w:rsidR="00863E1F" w:rsidRDefault="00863E1F" w:rsidP="00863E1F">
      <w:r>
        <w:t>&lt;ESMA_QUESTION_C</w:t>
      </w:r>
      <w:r w:rsidR="0038662B">
        <w:t>P_BMR_12</w:t>
      </w:r>
      <w:r>
        <w:t>&gt;</w:t>
      </w:r>
    </w:p>
    <w:p w:rsidR="009A2624" w:rsidRDefault="009A2624" w:rsidP="009A2624"/>
    <w:p w:rsidR="0038662B" w:rsidRPr="007F44BF" w:rsidRDefault="0038662B" w:rsidP="0038662B">
      <w:pPr>
        <w:pStyle w:val="Questionstyle"/>
      </w:pPr>
      <w:r w:rsidRPr="0038662B">
        <w:rPr>
          <w:rFonts w:ascii="Arial" w:hAnsi="Arial" w:cs="Arial"/>
        </w:rPr>
        <w:t>Should the substantial exposures of individual traders or trading desk to benc</w:t>
      </w:r>
      <w:r w:rsidRPr="0038662B">
        <w:rPr>
          <w:rFonts w:ascii="Arial" w:hAnsi="Arial" w:cs="Arial"/>
        </w:rPr>
        <w:t>h</w:t>
      </w:r>
      <w:r w:rsidRPr="0038662B">
        <w:rPr>
          <w:rFonts w:ascii="Arial" w:hAnsi="Arial" w:cs="Arial"/>
        </w:rPr>
        <w:t>mark related instruments apply to all types of benchmarks for all contributors?</w:t>
      </w:r>
    </w:p>
    <w:p w:rsidR="0038662B" w:rsidRDefault="0038662B" w:rsidP="0038662B">
      <w:r>
        <w:t>&lt;ESMA_QUESTION_CP_BMR_13&gt;</w:t>
      </w:r>
    </w:p>
    <w:p w:rsidR="00D14D71" w:rsidRDefault="000126B7" w:rsidP="0038662B">
      <w:permStart w:id="563623749" w:edGrp="everyone"/>
      <w:r>
        <w:t>No, because this situation does not apply to all benchmarks. Real estate benchmarks do not consist</w:t>
      </w:r>
      <w:r w:rsidR="00D14D71">
        <w:t xml:space="preserve"> of data provided by traders. </w:t>
      </w:r>
      <w:r w:rsidR="001C29FB">
        <w:t>As mentioned above, most of these sections are either leaning towards or sp</w:t>
      </w:r>
      <w:r w:rsidR="001C29FB">
        <w:t>e</w:t>
      </w:r>
      <w:r w:rsidR="001C29FB">
        <w:t>cifically mention trades/traded data from EU supervised contributors/mandatory contribution, and that is not the case</w:t>
      </w:r>
      <w:r w:rsidR="001C29FB" w:rsidRPr="002F4172">
        <w:t xml:space="preserve"> </w:t>
      </w:r>
      <w:r w:rsidR="001C29FB">
        <w:t>with all benchmarks to which these prov</w:t>
      </w:r>
      <w:r w:rsidR="001C29FB">
        <w:t>i</w:t>
      </w:r>
      <w:r w:rsidR="001C29FB">
        <w:t>sions may apply</w:t>
      </w:r>
    </w:p>
    <w:permEnd w:id="563623749"/>
    <w:p w:rsidR="0038662B" w:rsidRDefault="0038662B" w:rsidP="0038662B">
      <w:r>
        <w:t>&lt;ESMA_QUESTION_CP_BMR_13&gt;</w:t>
      </w:r>
    </w:p>
    <w:p w:rsidR="0038662B" w:rsidRDefault="0038662B" w:rsidP="0038662B"/>
    <w:p w:rsidR="0038662B" w:rsidRPr="007F44BF" w:rsidRDefault="0038662B" w:rsidP="0038662B">
      <w:pPr>
        <w:pStyle w:val="Questionstyle"/>
      </w:pPr>
      <w:r w:rsidRPr="0038662B">
        <w:rPr>
          <w:rFonts w:ascii="Arial" w:hAnsi="Arial" w:cs="Arial"/>
        </w:rPr>
        <w:t>Do you agree with the proposals for the reporting of suspicious transaction in this draft RTS? Please explain your answer.</w:t>
      </w:r>
    </w:p>
    <w:p w:rsidR="0038662B" w:rsidRDefault="0038662B" w:rsidP="0038662B">
      <w:r>
        <w:t>&lt;ESMA_QUESTION_CP_BMR_14&gt;</w:t>
      </w:r>
    </w:p>
    <w:p w:rsidR="0038662B" w:rsidRDefault="00D14D71" w:rsidP="0038662B">
      <w:permStart w:id="560294542" w:edGrp="everyone"/>
      <w:r>
        <w:t>Yes</w:t>
      </w:r>
      <w:r w:rsidR="0044407F">
        <w:t>, provided that in all cases t</w:t>
      </w:r>
      <w:r>
        <w:t xml:space="preserve">he contributor should be </w:t>
      </w:r>
      <w:r w:rsidR="0044407F">
        <w:t xml:space="preserve">primarily </w:t>
      </w:r>
      <w:r>
        <w:t xml:space="preserve">responsible for </w:t>
      </w:r>
      <w:r w:rsidR="0044407F">
        <w:t xml:space="preserve">(and for reporting) </w:t>
      </w:r>
      <w:r>
        <w:t>the data they are su</w:t>
      </w:r>
      <w:r>
        <w:t>b</w:t>
      </w:r>
      <w:r>
        <w:t>mitting to the benchmark administrator. The benchmark administrator can only check those data points against past submissions and cannot determine if data is “suspicious”. Benchmark administrators can only determine if data is anom</w:t>
      </w:r>
      <w:r>
        <w:t>a</w:t>
      </w:r>
      <w:r>
        <w:t>lous.</w:t>
      </w:r>
    </w:p>
    <w:permEnd w:id="560294542"/>
    <w:p w:rsidR="0038662B" w:rsidRDefault="0038662B" w:rsidP="0038662B">
      <w:r>
        <w:t>&lt;ESMA_QUESTION_CP_BMR_14&gt;</w:t>
      </w:r>
    </w:p>
    <w:p w:rsidR="0038662B" w:rsidRDefault="0038662B" w:rsidP="0038662B"/>
    <w:p w:rsidR="0038662B" w:rsidRPr="007F44BF" w:rsidRDefault="0038662B" w:rsidP="0038662B">
      <w:pPr>
        <w:pStyle w:val="Questionstyle"/>
      </w:pPr>
      <w:r w:rsidRPr="0038662B">
        <w:rPr>
          <w:rFonts w:ascii="Arial" w:hAnsi="Arial" w:cs="Arial"/>
        </w:rPr>
        <w:t>Are there any provisions that should be added to or amended in the draft RTS to take into consideration the different characteristics of benchmarks? Please give exa</w:t>
      </w:r>
      <w:r w:rsidRPr="0038662B">
        <w:rPr>
          <w:rFonts w:ascii="Arial" w:hAnsi="Arial" w:cs="Arial"/>
        </w:rPr>
        <w:t>m</w:t>
      </w:r>
      <w:r w:rsidRPr="0038662B">
        <w:rPr>
          <w:rFonts w:ascii="Arial" w:hAnsi="Arial" w:cs="Arial"/>
        </w:rPr>
        <w:t>ples.</w:t>
      </w:r>
    </w:p>
    <w:p w:rsidR="0038662B" w:rsidRDefault="0038662B" w:rsidP="0038662B">
      <w:r>
        <w:t>&lt;ESMA_QUESTION_CP_BMR_15&gt;</w:t>
      </w:r>
    </w:p>
    <w:p w:rsidR="0044407F" w:rsidRDefault="0044407F" w:rsidP="0044407F">
      <w:permStart w:id="1080840679" w:edGrp="everyone"/>
      <w:r>
        <w:t>A major ambiguity needs to be clarified to understand how these sections/obligations work. Because it very seriously impacts implementation of the regulation by the industry, we believe what needs to be clarified as soon as possible, is that contributions of factual data/data that have an independent pu</w:t>
      </w:r>
      <w:r>
        <w:t>r</w:t>
      </w:r>
      <w:r>
        <w:t>pose (e.g., not estimates submitted for the purpose of benchmark calculation) as well as stock e</w:t>
      </w:r>
      <w:r>
        <w:t>x</w:t>
      </w:r>
      <w:r>
        <w:t>change data from exchanges that are outside the definition of Section 3(24) of the regulation (i.e., may not have a finally agreed equivalence arrangement, etc.) are considered “readily available” (or that third country stock exchange data is considered regulated data). If that is not clarified, then Articles 2, 5, 6, 7, 8 and 9 b</w:t>
      </w:r>
      <w:r>
        <w:t>e</w:t>
      </w:r>
      <w:r>
        <w:t>come impo</w:t>
      </w:r>
      <w:r>
        <w:t>s</w:t>
      </w:r>
      <w:r>
        <w:t>sible obligations for administrators. Contributors of factual data with independent purpose (readily avail</w:t>
      </w:r>
      <w:r>
        <w:t>a</w:t>
      </w:r>
      <w:r>
        <w:t>ble data) are just collecting the data and submitting it. They are not creating the data itself, (e.g., square footage of commercial buildings and cash flows of commercial buildings for co</w:t>
      </w:r>
      <w:r>
        <w:t>m</w:t>
      </w:r>
      <w:r>
        <w:t xml:space="preserve">mercial real estate indexes or stock prices of a frontier market exchange), so the obligations placed on contributors are anomalous and impossible and the obligation for the administrator to require it is impossible. Also, if this is </w:t>
      </w:r>
      <w:r>
        <w:lastRenderedPageBreak/>
        <w:t>not clarified with respect to third country stock exchange data, then this could impact third country inves</w:t>
      </w:r>
      <w:r>
        <w:t>t</w:t>
      </w:r>
      <w:r>
        <w:t>ment opportunities for European investors. Third country stock e</w:t>
      </w:r>
      <w:r>
        <w:t>x</w:t>
      </w:r>
      <w:r>
        <w:t>changes cannot be forced to sign codes of conduct with benchmark administrators, and if they refuse then EU users cannot be prohibited from using third country benchmarks (or any regional or global composites). That will impact current financial products and investment strategies as well as future financial pro</w:t>
      </w:r>
      <w:r>
        <w:t>d</w:t>
      </w:r>
      <w:r>
        <w:t>ucts and investments strategies.</w:t>
      </w:r>
    </w:p>
    <w:p w:rsidR="0044407F" w:rsidRDefault="0044407F" w:rsidP="0038662B"/>
    <w:p w:rsidR="0044407F" w:rsidRDefault="00D14D71" w:rsidP="0038662B">
      <w:r>
        <w:t>Requirements for supervised contributors should solely be included in Article 16 and should not be applied to benchmark administrators via codes of conduct. This is especially important given that contributions may be made by supervised contributors or unsupervised contributors for the same benchmark and only one code of conduct will apply to a benchmark (i.e., different codes of conduct cannot apply to the same benchmark). Applying the requirements of EU supervised contributors to non-EU/non-supervised contrib</w:t>
      </w:r>
      <w:r>
        <w:t>u</w:t>
      </w:r>
      <w:r>
        <w:t>tors will not work, and it will reduce the contributions made by the non-EU/non-supervised contributors</w:t>
      </w:r>
      <w:r w:rsidR="0044407F">
        <w:t>.</w:t>
      </w:r>
    </w:p>
    <w:permEnd w:id="1080840679"/>
    <w:p w:rsidR="0038662B" w:rsidRDefault="0038662B" w:rsidP="0038662B">
      <w:r>
        <w:t>&lt;ESMA_QUESTION_CP_BMR_15&gt;</w:t>
      </w:r>
    </w:p>
    <w:p w:rsidR="00F31E57" w:rsidRPr="0038662B" w:rsidRDefault="00F31E57" w:rsidP="0038662B"/>
    <w:p w:rsidR="0038662B" w:rsidRPr="007F44BF" w:rsidRDefault="0038662B" w:rsidP="0038662B">
      <w:pPr>
        <w:pStyle w:val="Questionstyle"/>
      </w:pPr>
      <w:r w:rsidRPr="0038662B">
        <w:rPr>
          <w:rFonts w:ascii="Arial" w:hAnsi="Arial" w:cs="Arial"/>
        </w:rPr>
        <w:t>Do you have any further comments or suggestions relating to the draft RTS on the code of conduct?</w:t>
      </w:r>
    </w:p>
    <w:p w:rsidR="0038662B" w:rsidRDefault="0038662B" w:rsidP="0038662B">
      <w:r>
        <w:t>&lt;ESMA_QUESTION_CP_BMR_16&gt;</w:t>
      </w:r>
    </w:p>
    <w:p w:rsidR="0003246B" w:rsidRPr="0003246B" w:rsidRDefault="00D82426" w:rsidP="0038662B">
      <w:pPr>
        <w:rPr>
          <w:color w:val="E46C0A"/>
          <w:sz w:val="16"/>
          <w:szCs w:val="16"/>
        </w:rPr>
      </w:pPr>
      <w:permStart w:id="433138614" w:edGrp="everyone"/>
      <w:r>
        <w:rPr>
          <w:color w:val="E46C0A"/>
          <w:sz w:val="16"/>
          <w:szCs w:val="16"/>
        </w:rPr>
        <w:t>.</w:t>
      </w:r>
    </w:p>
    <w:permEnd w:id="433138614"/>
    <w:p w:rsidR="0038662B" w:rsidRDefault="0038662B" w:rsidP="0038662B">
      <w:r>
        <w:t>&lt;ESMA_QUESTION_CP_BMR_16&gt;</w:t>
      </w:r>
    </w:p>
    <w:p w:rsidR="0038662B" w:rsidRDefault="0038662B" w:rsidP="0038662B"/>
    <w:p w:rsidR="0038662B" w:rsidRPr="007F44BF" w:rsidRDefault="0038662B" w:rsidP="0038662B">
      <w:pPr>
        <w:pStyle w:val="Questionstyle"/>
      </w:pPr>
      <w:r w:rsidRPr="0038662B">
        <w:rPr>
          <w:rFonts w:ascii="Arial" w:hAnsi="Arial" w:cs="Arial"/>
        </w:rPr>
        <w:t>Do you agree with the draft technical standards in relation to the governance and control arrangements for supervised contributors to benchmarks? Please provide re</w:t>
      </w:r>
      <w:r w:rsidRPr="0038662B">
        <w:rPr>
          <w:rFonts w:ascii="Arial" w:hAnsi="Arial" w:cs="Arial"/>
        </w:rPr>
        <w:t>a</w:t>
      </w:r>
      <w:r w:rsidRPr="0038662B">
        <w:rPr>
          <w:rFonts w:ascii="Arial" w:hAnsi="Arial" w:cs="Arial"/>
        </w:rPr>
        <w:t>sons.</w:t>
      </w:r>
    </w:p>
    <w:p w:rsidR="0038662B" w:rsidRDefault="0038662B" w:rsidP="0038662B">
      <w:r>
        <w:t>&lt;ESMA_QUESTION_CP_BMR_17&gt;</w:t>
      </w:r>
    </w:p>
    <w:p w:rsidR="0044407F" w:rsidRDefault="0051071D" w:rsidP="0038662B">
      <w:permStart w:id="1363943023" w:edGrp="everyone"/>
      <w:r>
        <w:t xml:space="preserve">We believe this </w:t>
      </w:r>
      <w:r w:rsidR="0044407F">
        <w:t>clause should apply only to “contributions of input data” and not readily available data</w:t>
      </w:r>
      <w:r w:rsidR="00700E1F">
        <w:t>.</w:t>
      </w:r>
      <w:r w:rsidR="0044407F" w:rsidRPr="0044407F">
        <w:t xml:space="preserve"> </w:t>
      </w:r>
    </w:p>
    <w:p w:rsidR="0044407F" w:rsidRDefault="0044407F" w:rsidP="0038662B"/>
    <w:p w:rsidR="0044407F" w:rsidRDefault="00773AE5" w:rsidP="0038662B">
      <w:r>
        <w:t>It would also be helpful to exclude administrators from this requirement if their data is used in the calcul</w:t>
      </w:r>
      <w:r>
        <w:t>a</w:t>
      </w:r>
      <w:r>
        <w:t xml:space="preserve">tion of another benchmark </w:t>
      </w:r>
      <w:r w:rsidR="000546AE">
        <w:t>because the administrators benchmark is already regulated under the regul</w:t>
      </w:r>
      <w:r w:rsidR="000546AE">
        <w:t>a</w:t>
      </w:r>
      <w:r w:rsidR="000546AE">
        <w:t>tion</w:t>
      </w:r>
      <w:r w:rsidR="00700E1F">
        <w:t>.</w:t>
      </w:r>
    </w:p>
    <w:permEnd w:id="1363943023"/>
    <w:p w:rsidR="0038662B" w:rsidRDefault="0038662B" w:rsidP="0038662B">
      <w:r>
        <w:t>&lt;ESMA_QUESTION_CP_BMR_17&gt;</w:t>
      </w:r>
    </w:p>
    <w:p w:rsidR="0038662B" w:rsidRPr="0038662B" w:rsidRDefault="0038662B" w:rsidP="0038662B"/>
    <w:p w:rsidR="0038662B" w:rsidRPr="007F44BF" w:rsidRDefault="0038662B" w:rsidP="0038662B">
      <w:pPr>
        <w:pStyle w:val="Questionstyle"/>
      </w:pPr>
      <w:r w:rsidRPr="0038662B">
        <w:rPr>
          <w:rFonts w:ascii="Arial" w:hAnsi="Arial" w:cs="Arial"/>
        </w:rPr>
        <w:t>In particular, can you identify specific aspects of the draft Regulation that should be applied differentially to different supervised contributors in particular in terms of di</w:t>
      </w:r>
      <w:r w:rsidRPr="0038662B">
        <w:rPr>
          <w:rFonts w:ascii="Arial" w:hAnsi="Arial" w:cs="Arial"/>
        </w:rPr>
        <w:t>f</w:t>
      </w:r>
      <w:r w:rsidRPr="0038662B">
        <w:rPr>
          <w:rFonts w:ascii="Arial" w:hAnsi="Arial" w:cs="Arial"/>
        </w:rPr>
        <w:t>ferences in input data provided and methodologies used, the risks of manipulation of the input data and the nature of the activities carried out by the supervised contributors?</w:t>
      </w:r>
    </w:p>
    <w:p w:rsidR="0038662B" w:rsidRDefault="0038662B" w:rsidP="0038662B">
      <w:r>
        <w:t>&lt;ESMA_QUESTION_CP_BMR_18&gt;</w:t>
      </w:r>
    </w:p>
    <w:p w:rsidR="00700E1F" w:rsidRDefault="00700E1F" w:rsidP="00700E1F">
      <w:permStart w:id="1741296583" w:edGrp="everyone"/>
      <w:r>
        <w:t>We believe this clause should apply only to “contributions of input data” and not readily available data.</w:t>
      </w:r>
      <w:r w:rsidRPr="0044407F">
        <w:t xml:space="preserve"> </w:t>
      </w:r>
    </w:p>
    <w:p w:rsidR="00700E1F" w:rsidRDefault="00700E1F" w:rsidP="00700E1F"/>
    <w:p w:rsidR="00575749" w:rsidRDefault="00700E1F" w:rsidP="00575749">
      <w:r>
        <w:t>It would also be helpful to exclude administrators from this requirement if their data is used in the calcul</w:t>
      </w:r>
      <w:r>
        <w:t>a</w:t>
      </w:r>
      <w:r>
        <w:t>tion of another benchmark because it cannot be that the same data has two different standards apply to it</w:t>
      </w:r>
      <w:r w:rsidR="00714F87">
        <w:t>.</w:t>
      </w:r>
      <w:r>
        <w:t xml:space="preserve"> For benchmark administrators, data is provided on a subscription basis to clients through datafeeds. </w:t>
      </w:r>
      <w:r w:rsidR="00714F87">
        <w:t>Administrators</w:t>
      </w:r>
      <w:r>
        <w:t xml:space="preserve"> are not “submitters”. Data files are permissioned and distributed electronically. As such, these sections are anomalous with respect benc</w:t>
      </w:r>
      <w:r>
        <w:t>h</w:t>
      </w:r>
      <w:r>
        <w:t>mark administrators</w:t>
      </w:r>
      <w:r w:rsidR="00575749">
        <w:t>.</w:t>
      </w:r>
    </w:p>
    <w:permEnd w:id="1741296583"/>
    <w:p w:rsidR="0038662B" w:rsidRDefault="0038662B" w:rsidP="0038662B">
      <w:r>
        <w:t>&lt;ESMA_QUESTION_CP_BMR_18&gt;</w:t>
      </w:r>
    </w:p>
    <w:p w:rsidR="0038662B" w:rsidRDefault="0038662B" w:rsidP="0038662B"/>
    <w:p w:rsidR="0038662B" w:rsidRPr="007F44BF" w:rsidRDefault="0038662B" w:rsidP="0038662B">
      <w:pPr>
        <w:pStyle w:val="Questionstyle"/>
      </w:pPr>
      <w:r w:rsidRPr="00810208">
        <w:rPr>
          <w:rFonts w:ascii="Arial" w:hAnsi="Arial" w:cs="Arial"/>
        </w:rPr>
        <w:t xml:space="preserve">Do you agree </w:t>
      </w:r>
      <w:r>
        <w:rPr>
          <w:rFonts w:ascii="Arial" w:hAnsi="Arial" w:cs="Arial"/>
        </w:rPr>
        <w:t xml:space="preserve">with </w:t>
      </w:r>
      <w:r w:rsidRPr="00810208">
        <w:rPr>
          <w:rFonts w:ascii="Arial" w:hAnsi="Arial" w:cs="Arial"/>
        </w:rPr>
        <w:t>ESMA’s specifications of the criteria?</w:t>
      </w:r>
    </w:p>
    <w:p w:rsidR="0038662B" w:rsidRDefault="0038662B" w:rsidP="0038662B">
      <w:r>
        <w:t>&lt;ESMA_QUESTION_CP_BMR_19&gt;</w:t>
      </w:r>
    </w:p>
    <w:p w:rsidR="0038662B" w:rsidRDefault="00262B7D" w:rsidP="0038662B">
      <w:permStart w:id="1197436316" w:edGrp="everyone"/>
      <w:r>
        <w:t xml:space="preserve">Because this allows regulators </w:t>
      </w:r>
      <w:r w:rsidR="00BC4F5B">
        <w:t>to</w:t>
      </w:r>
      <w:r w:rsidR="00625848">
        <w:t xml:space="preserve"> treat </w:t>
      </w:r>
      <w:r w:rsidR="00454779">
        <w:t xml:space="preserve">competitive </w:t>
      </w:r>
      <w:r>
        <w:t>benchmarks</w:t>
      </w:r>
      <w:r w:rsidR="00CB249B">
        <w:t xml:space="preserve"> </w:t>
      </w:r>
      <w:r>
        <w:t>differen</w:t>
      </w:r>
      <w:r>
        <w:t>t</w:t>
      </w:r>
      <w:r>
        <w:t xml:space="preserve">ly, </w:t>
      </w:r>
      <w:r w:rsidR="00454779">
        <w:t>national competent authorities</w:t>
      </w:r>
      <w:r>
        <w:t xml:space="preserve"> can wind up creating an </w:t>
      </w:r>
      <w:r w:rsidR="00BC4F5B">
        <w:t>unlevel playing field across competitors.</w:t>
      </w:r>
      <w:r w:rsidR="00454779">
        <w:t xml:space="preserve"> If a n</w:t>
      </w:r>
      <w:r w:rsidR="00454779">
        <w:t>a</w:t>
      </w:r>
      <w:r w:rsidR="00454779">
        <w:t>tional competent authority chooses to apply these clause</w:t>
      </w:r>
      <w:r w:rsidR="00CB249B">
        <w:t>s</w:t>
      </w:r>
      <w:r w:rsidR="00454779">
        <w:t xml:space="preserve"> and require the administrator to comply with extra obligation</w:t>
      </w:r>
      <w:r w:rsidR="00CB249B">
        <w:t>s</w:t>
      </w:r>
      <w:r w:rsidR="00454779">
        <w:t xml:space="preserve">, we believe that there </w:t>
      </w:r>
      <w:r w:rsidR="00454779">
        <w:lastRenderedPageBreak/>
        <w:t xml:space="preserve">should be some </w:t>
      </w:r>
      <w:r w:rsidR="00CB249B">
        <w:t xml:space="preserve">control </w:t>
      </w:r>
      <w:r w:rsidR="00454779">
        <w:t xml:space="preserve">mechanism </w:t>
      </w:r>
      <w:r w:rsidR="00CB249B">
        <w:t>in place</w:t>
      </w:r>
      <w:r w:rsidR="00454779">
        <w:t xml:space="preserve"> </w:t>
      </w:r>
      <w:r w:rsidR="00CB249B">
        <w:t xml:space="preserve">to address this risk, </w:t>
      </w:r>
      <w:r w:rsidR="00454779">
        <w:t>e.g., the national competent authority has to escalation such situation to ESMA</w:t>
      </w:r>
      <w:r w:rsidR="00731B0B">
        <w:t xml:space="preserve"> for</w:t>
      </w:r>
      <w:r w:rsidR="00CB249B">
        <w:t xml:space="preserve"> approval with respect to the market impact issues</w:t>
      </w:r>
      <w:r w:rsidR="00454779">
        <w:t>, the administr</w:t>
      </w:r>
      <w:r w:rsidR="00454779">
        <w:t>a</w:t>
      </w:r>
      <w:r w:rsidR="00454779">
        <w:t>tor has the right to a</w:t>
      </w:r>
      <w:r w:rsidR="00454779">
        <w:t>p</w:t>
      </w:r>
      <w:r w:rsidR="00454779">
        <w:t>peal, etc.</w:t>
      </w:r>
    </w:p>
    <w:permEnd w:id="1197436316"/>
    <w:p w:rsidR="0038662B" w:rsidRDefault="0038662B" w:rsidP="0038662B">
      <w:r>
        <w:t>&lt;ESMA_QUESTION_CP_BMR_19&gt;</w:t>
      </w:r>
    </w:p>
    <w:p w:rsidR="0038662B" w:rsidRPr="0038662B" w:rsidRDefault="0038662B" w:rsidP="0038662B"/>
    <w:p w:rsidR="004C33E1" w:rsidRPr="007F44BF" w:rsidRDefault="004C33E1" w:rsidP="004C33E1">
      <w:pPr>
        <w:pStyle w:val="Questionstyle"/>
      </w:pPr>
      <w:r w:rsidRPr="004C33E1">
        <w:rPr>
          <w:rFonts w:ascii="Arial" w:hAnsi="Arial" w:cs="Arial"/>
        </w:rPr>
        <w:t>Do you agree with the content and structure of the two compliance statement templates? If not, please explain.</w:t>
      </w:r>
    </w:p>
    <w:p w:rsidR="004C33E1" w:rsidRDefault="004C33E1" w:rsidP="004C33E1">
      <w:r>
        <w:t>&lt;ESMA_QUESTION_CP_BMR_20&gt;</w:t>
      </w:r>
    </w:p>
    <w:p w:rsidR="00BD2760" w:rsidRDefault="00242168" w:rsidP="004C33E1">
      <w:permStart w:id="769284910" w:edGrp="everyone"/>
      <w:r>
        <w:t xml:space="preserve">Generally, yes, and we appreciate ESMA’s efforts to reduce the administrative burden. We </w:t>
      </w:r>
      <w:r w:rsidR="00BD2760">
        <w:t>believe that additional changes can be made to ensure compliance statements do not need to be constantly updated</w:t>
      </w:r>
      <w:r>
        <w:t>. Given that some benchmarks that may bounce up and down around the EUR50B threshold on a semi-annual basis, we believe it would be helpful if there were a way to update the compliance statements with reference to particular benchmarks</w:t>
      </w:r>
      <w:r w:rsidR="00454779">
        <w:t xml:space="preserve"> without having to resubmit the entire compliance statement</w:t>
      </w:r>
      <w:r>
        <w:t>. It’s likely the case that administrators may have some non-significant benchmarks and some significant benc</w:t>
      </w:r>
      <w:r>
        <w:t>h</w:t>
      </w:r>
      <w:r>
        <w:t>marks and instead of  submitting two new statements each time a benchmarks shifts from being a signif</w:t>
      </w:r>
      <w:r>
        <w:t>i</w:t>
      </w:r>
      <w:r>
        <w:t>cant to an non-significant benchmark (or vice versa), it would be helpful if admin</w:t>
      </w:r>
      <w:r w:rsidR="00BD2760">
        <w:t>istrators could provide an appen</w:t>
      </w:r>
      <w:r w:rsidR="000546AE">
        <w:t>dix listing</w:t>
      </w:r>
      <w:r w:rsidR="00BD2760">
        <w:t xml:space="preserve"> any indexes that changed categories</w:t>
      </w:r>
      <w:r>
        <w:t>. For example, a benchmark administrator could provide an updated appendix stating for the period xxx, abc benchmark falls within the definition of signif</w:t>
      </w:r>
      <w:r>
        <w:t>i</w:t>
      </w:r>
      <w:r>
        <w:t xml:space="preserve">cant instead of non-significant and our </w:t>
      </w:r>
      <w:r w:rsidR="00BD2760">
        <w:t xml:space="preserve">compliance </w:t>
      </w:r>
      <w:r>
        <w:t>statement for significant benchmarks a</w:t>
      </w:r>
      <w:r>
        <w:t>p</w:t>
      </w:r>
      <w:r>
        <w:t>plies</w:t>
      </w:r>
      <w:r w:rsidR="00454779">
        <w:t>.</w:t>
      </w:r>
    </w:p>
    <w:p w:rsidR="00CB249B" w:rsidRDefault="00CB249B" w:rsidP="004C33E1"/>
    <w:p w:rsidR="00CB249B" w:rsidRDefault="00CB249B" w:rsidP="004C33E1">
      <w:r>
        <w:t xml:space="preserve">To avoid confusion, we believe that it also needs to be clear that benchmarks can be identified on an benchmark family basis, to avoid confusion. For example, the title in B of Annex I say “significant </w:t>
      </w:r>
      <w:r w:rsidRPr="00CB249B">
        <w:rPr>
          <w:b/>
        </w:rPr>
        <w:t>benc</w:t>
      </w:r>
      <w:r w:rsidRPr="00CB249B">
        <w:rPr>
          <w:b/>
        </w:rPr>
        <w:t>h</w:t>
      </w:r>
      <w:r w:rsidRPr="00CB249B">
        <w:rPr>
          <w:b/>
        </w:rPr>
        <w:t>marks listed</w:t>
      </w:r>
      <w:r>
        <w:t xml:space="preserve"> below”, etc. We believe is should say “benchmarks or benchmark families”.</w:t>
      </w:r>
    </w:p>
    <w:permEnd w:id="769284910"/>
    <w:p w:rsidR="004C33E1" w:rsidRDefault="004C33E1" w:rsidP="004C33E1">
      <w:r>
        <w:t>&lt;ESMA_QUESTION_CP_BMR_20&gt;</w:t>
      </w:r>
    </w:p>
    <w:p w:rsidR="0038662B" w:rsidRDefault="0038662B" w:rsidP="0038662B"/>
    <w:p w:rsidR="004C33E1" w:rsidRPr="007F44BF" w:rsidRDefault="004C33E1" w:rsidP="004C33E1">
      <w:pPr>
        <w:pStyle w:val="Questionstyle"/>
      </w:pPr>
      <w:r w:rsidRPr="004C33E1">
        <w:rPr>
          <w:rFonts w:ascii="Arial" w:hAnsi="Arial" w:cs="Arial"/>
        </w:rPr>
        <w:t>Do you agree with the proposed specifications of the contents of a benchmark statement?</w:t>
      </w:r>
    </w:p>
    <w:p w:rsidR="004C33E1" w:rsidRDefault="004C33E1" w:rsidP="004C33E1">
      <w:r>
        <w:t>&lt;ESMA_QUESTION_CP_BMR_21&gt;</w:t>
      </w:r>
    </w:p>
    <w:p w:rsidR="00731B0B" w:rsidRDefault="00731B0B" w:rsidP="004C33E1">
      <w:permStart w:id="1684163300" w:edGrp="everyone"/>
      <w:r>
        <w:t>Generally, we applaud (and appreciate) ESMA’s efforts to reduce the administrative burden associated with benchmark statements, especially with the ability to refer to other documents available to the public. There are a few areas however, where the RTS is more burdensome than the Level 1 text. We expect that is unintentional and hope it can be clarified. For example, the Level 1 text allows for a benchmark stat</w:t>
      </w:r>
      <w:r>
        <w:t>e</w:t>
      </w:r>
      <w:r>
        <w:t>ment per family. Ho</w:t>
      </w:r>
      <w:r>
        <w:t>w</w:t>
      </w:r>
      <w:r>
        <w:t>ever, the RTS requires identifiers to be added. Benchmarks can be added frequently to a family and requiring individual benchmark identifiers on benc</w:t>
      </w:r>
      <w:r>
        <w:t>h</w:t>
      </w:r>
      <w:r>
        <w:t>mark statements will require benchmark administrators to update the statements on a constant basis. Also, if sources can be described (</w:t>
      </w:r>
      <w:r w:rsidR="00DB0003">
        <w:t>e.g.</w:t>
      </w:r>
      <w:r>
        <w:t>, stock exchange price data from the relevant market) instead of specifically identified (e.g., listing each stock exchange globally), that would be helpful. Finally, while this may be obvious, it would be helpful if it were clar</w:t>
      </w:r>
      <w:r>
        <w:t>i</w:t>
      </w:r>
      <w:r>
        <w:t xml:space="preserve">fied that only those changes to the benchmark/methodology </w:t>
      </w:r>
      <w:r w:rsidRPr="00E41D6A">
        <w:rPr>
          <w:b/>
        </w:rPr>
        <w:t xml:space="preserve">that impacted the </w:t>
      </w:r>
      <w:r>
        <w:rPr>
          <w:b/>
        </w:rPr>
        <w:t xml:space="preserve">statements in the </w:t>
      </w:r>
      <w:r w:rsidRPr="00E41D6A">
        <w:rPr>
          <w:b/>
        </w:rPr>
        <w:t>benchmark stat</w:t>
      </w:r>
      <w:r w:rsidRPr="00E41D6A">
        <w:rPr>
          <w:b/>
        </w:rPr>
        <w:t>e</w:t>
      </w:r>
      <w:r w:rsidRPr="00E41D6A">
        <w:rPr>
          <w:b/>
        </w:rPr>
        <w:t>ment</w:t>
      </w:r>
      <w:r>
        <w:t xml:space="preserve"> would require the benchmark statement to be updated, otherwise it could be interpreted that all benchmark stat</w:t>
      </w:r>
      <w:r>
        <w:t>e</w:t>
      </w:r>
      <w:r>
        <w:t>ments have to be reissued every time there is a minor change to a methodology or at each index r</w:t>
      </w:r>
      <w:r>
        <w:t>e</w:t>
      </w:r>
      <w:r>
        <w:t>balancing.</w:t>
      </w:r>
    </w:p>
    <w:permEnd w:id="1684163300"/>
    <w:p w:rsidR="004C33E1" w:rsidRDefault="004C33E1" w:rsidP="004C33E1">
      <w:r>
        <w:t>&lt;E</w:t>
      </w:r>
      <w:r>
        <w:t>S</w:t>
      </w:r>
      <w:r>
        <w:t>MA_QUESTION_CP_BMR_21&gt;</w:t>
      </w:r>
    </w:p>
    <w:p w:rsidR="0038662B" w:rsidRDefault="0038662B" w:rsidP="0038662B"/>
    <w:p w:rsidR="004C33E1" w:rsidRPr="007F44BF" w:rsidRDefault="004C33E1" w:rsidP="004C33E1">
      <w:pPr>
        <w:pStyle w:val="Questionstyle"/>
      </w:pPr>
      <w:r w:rsidRPr="004C33E1">
        <w:rPr>
          <w:rFonts w:ascii="Arial" w:hAnsi="Arial" w:cs="Arial"/>
        </w:rPr>
        <w:t>Do you agree with the proposed specifications of the cases in which an update of such statement is required? Do you have any further proposals? Please explain.</w:t>
      </w:r>
    </w:p>
    <w:p w:rsidR="004C33E1" w:rsidRDefault="004C33E1" w:rsidP="004C33E1">
      <w:r>
        <w:t>&lt;ESMA_QUESTION_CP_BMR_22&gt;</w:t>
      </w:r>
    </w:p>
    <w:p w:rsidR="00C949DE" w:rsidRDefault="000B6C1C" w:rsidP="004C33E1">
      <w:permStart w:id="870407125" w:edGrp="everyone"/>
      <w:r>
        <w:t xml:space="preserve">Generally, we applaud (and appreciate) ESMA’s efforts to reduce the administrative burden associated with benchmark statements, especially with the ability to refer to other documents available to the public. There are a few areas however, where the RTS </w:t>
      </w:r>
      <w:r w:rsidR="00731B0B">
        <w:t>is more burdensome</w:t>
      </w:r>
      <w:r>
        <w:t xml:space="preserve"> than the Level 1 text. We expect that is unintentional and hope it can be clarified. For example, the Level 1 text allows for a benchmark stat</w:t>
      </w:r>
      <w:r>
        <w:t>e</w:t>
      </w:r>
      <w:r>
        <w:t>ment per family. Ho</w:t>
      </w:r>
      <w:r>
        <w:t>w</w:t>
      </w:r>
      <w:r>
        <w:t>ever, the RTS requires identifiers to be added. Benchmarks can be added frequently to a family and requiring individual benchmark identifiers on benc</w:t>
      </w:r>
      <w:r>
        <w:t>h</w:t>
      </w:r>
      <w:r>
        <w:t xml:space="preserve">mark statements will require benchmark </w:t>
      </w:r>
      <w:r>
        <w:lastRenderedPageBreak/>
        <w:t>administrators to update the statements on a constant basis. Also, if sources can be described (</w:t>
      </w:r>
      <w:r w:rsidR="00DB0003">
        <w:t>e.g.</w:t>
      </w:r>
      <w:r>
        <w:t>, stock exchange price data from the relevant market) instead of specifically identified</w:t>
      </w:r>
      <w:r w:rsidR="00731B0B">
        <w:t xml:space="preserve"> (e.g.,</w:t>
      </w:r>
      <w:r>
        <w:t xml:space="preserve"> listing each stock exchange globally</w:t>
      </w:r>
      <w:r w:rsidR="00731B0B">
        <w:t>)</w:t>
      </w:r>
      <w:r>
        <w:t>, that would be helpful. Finally, while this may be obvious, it would be helpful if it were clar</w:t>
      </w:r>
      <w:r>
        <w:t>i</w:t>
      </w:r>
      <w:r>
        <w:t xml:space="preserve">fied that only those changes to the benchmark/methodology </w:t>
      </w:r>
      <w:r w:rsidRPr="00E41D6A">
        <w:rPr>
          <w:b/>
        </w:rPr>
        <w:t xml:space="preserve">that impacted the </w:t>
      </w:r>
      <w:r>
        <w:rPr>
          <w:b/>
        </w:rPr>
        <w:t xml:space="preserve">statements in the </w:t>
      </w:r>
      <w:r w:rsidRPr="00E41D6A">
        <w:rPr>
          <w:b/>
        </w:rPr>
        <w:t>benchmark stat</w:t>
      </w:r>
      <w:r w:rsidRPr="00E41D6A">
        <w:rPr>
          <w:b/>
        </w:rPr>
        <w:t>e</w:t>
      </w:r>
      <w:r w:rsidRPr="00E41D6A">
        <w:rPr>
          <w:b/>
        </w:rPr>
        <w:t>ment</w:t>
      </w:r>
      <w:r>
        <w:t xml:space="preserve"> would require the benchmark statement to be updated, otherwise it could be interpreted that all benchmark stat</w:t>
      </w:r>
      <w:r>
        <w:t>e</w:t>
      </w:r>
      <w:r>
        <w:t>ments have to be reissued every time there is a minor change to a methodology or at each index r</w:t>
      </w:r>
      <w:r>
        <w:t>e</w:t>
      </w:r>
      <w:r>
        <w:t xml:space="preserve">balancing. </w:t>
      </w:r>
      <w:r w:rsidR="000E0A07">
        <w:t>As such</w:t>
      </w:r>
      <w:r w:rsidR="00731B0B">
        <w:t>,</w:t>
      </w:r>
      <w:r w:rsidR="000E0A07">
        <w:t xml:space="preserve"> Article 8(1) should be pared back to the content in the benchmark statement. Note it’s not clear what </w:t>
      </w:r>
      <w:r>
        <w:t xml:space="preserve">Section 2(d) </w:t>
      </w:r>
      <w:r w:rsidR="000E0A07">
        <w:t xml:space="preserve">Article </w:t>
      </w:r>
      <w:r>
        <w:t>8</w:t>
      </w:r>
      <w:r w:rsidR="000E0A07">
        <w:t xml:space="preserve"> </w:t>
      </w:r>
      <w:r w:rsidR="00C949DE">
        <w:t>means.</w:t>
      </w:r>
    </w:p>
    <w:permEnd w:id="870407125"/>
    <w:p w:rsidR="004C33E1" w:rsidRDefault="004C33E1" w:rsidP="004C33E1">
      <w:r>
        <w:t>&lt;E</w:t>
      </w:r>
      <w:r>
        <w:t>S</w:t>
      </w:r>
      <w:r>
        <w:t>MA_QUESTION_CP_BMR_22&gt;</w:t>
      </w:r>
    </w:p>
    <w:p w:rsidR="004C33E1" w:rsidRPr="0038662B" w:rsidRDefault="004C33E1" w:rsidP="004C33E1"/>
    <w:p w:rsidR="004C33E1" w:rsidRPr="007F44BF" w:rsidRDefault="004C33E1" w:rsidP="004C33E1">
      <w:pPr>
        <w:pStyle w:val="Questionstyle"/>
      </w:pPr>
      <w:r w:rsidRPr="00BF1E55">
        <w:rPr>
          <w:rFonts w:ascii="Arial" w:hAnsi="Arial" w:cs="Arial"/>
        </w:rPr>
        <w:t>Do you agree with the general approach to distinguish the contents of the applic</w:t>
      </w:r>
      <w:r w:rsidRPr="00BF1E55">
        <w:rPr>
          <w:rFonts w:ascii="Arial" w:hAnsi="Arial" w:cs="Arial"/>
        </w:rPr>
        <w:t>a</w:t>
      </w:r>
      <w:r w:rsidRPr="00BF1E55">
        <w:rPr>
          <w:rFonts w:ascii="Arial" w:hAnsi="Arial" w:cs="Arial"/>
        </w:rPr>
        <w:t>tion with reference to the cases of authorisation or registration</w:t>
      </w:r>
      <w:r>
        <w:rPr>
          <w:rFonts w:ascii="Arial" w:hAnsi="Arial" w:cs="Arial"/>
        </w:rPr>
        <w:t>?</w:t>
      </w:r>
    </w:p>
    <w:p w:rsidR="004C33E1" w:rsidRDefault="004C33E1" w:rsidP="004C33E1">
      <w:r>
        <w:t>&lt;ESMA_QUESTION_CP_BMR_23&gt;</w:t>
      </w:r>
    </w:p>
    <w:p w:rsidR="004C33E1" w:rsidRDefault="00D42B9C" w:rsidP="004C33E1">
      <w:permStart w:id="429946060" w:edGrp="everyone"/>
      <w:r>
        <w:t xml:space="preserve">We believe that </w:t>
      </w:r>
      <w:r w:rsidR="00C949DE">
        <w:t>authorization and registration should have the same governance/oversight requir</w:t>
      </w:r>
      <w:r w:rsidR="00C949DE">
        <w:t>e</w:t>
      </w:r>
      <w:r w:rsidR="00C949DE">
        <w:t>ments especially b</w:t>
      </w:r>
      <w:r w:rsidR="00C949DE">
        <w:t>e</w:t>
      </w:r>
      <w:r w:rsidR="00C949DE">
        <w:t>cause of the concerns around self-indexing.</w:t>
      </w:r>
      <w:r>
        <w:t xml:space="preserve"> For example, i</w:t>
      </w:r>
      <w:r w:rsidR="00C949DE">
        <w:t>t is important f</w:t>
      </w:r>
      <w:r>
        <w:t>or investors to know what governance/ walls are</w:t>
      </w:r>
      <w:r w:rsidR="00C949DE">
        <w:t xml:space="preserve"> in place between</w:t>
      </w:r>
      <w:r>
        <w:t xml:space="preserve"> benchmark</w:t>
      </w:r>
      <w:r w:rsidR="00C949DE">
        <w:t xml:space="preserve"> calculation and fund/financial product manag</w:t>
      </w:r>
      <w:r w:rsidR="00C949DE">
        <w:t>e</w:t>
      </w:r>
      <w:r w:rsidR="00C949DE">
        <w:t>ment/pricing</w:t>
      </w:r>
      <w:r>
        <w:t xml:space="preserve"> and whether those functions are separate and independent or not</w:t>
      </w:r>
      <w:r w:rsidR="00C949DE">
        <w:t>.</w:t>
      </w:r>
      <w:r w:rsidR="001A180B">
        <w:t xml:space="preserve"> For natural persons, it seems</w:t>
      </w:r>
      <w:r>
        <w:t xml:space="preserve"> that</w:t>
      </w:r>
      <w:r w:rsidR="001A180B">
        <w:t xml:space="preserve"> remuneration should be addressed somewhere and that there should be more information required about gover</w:t>
      </w:r>
      <w:r w:rsidR="001A180B">
        <w:t>n</w:t>
      </w:r>
      <w:r w:rsidR="001A180B">
        <w:t>ance/conflicts of interest.</w:t>
      </w:r>
    </w:p>
    <w:permEnd w:id="429946060"/>
    <w:p w:rsidR="004C33E1" w:rsidRDefault="004C33E1" w:rsidP="004C33E1">
      <w:r>
        <w:t>&lt;ESMA_QUESTION_CP_BMR_23&gt;</w:t>
      </w:r>
    </w:p>
    <w:p w:rsidR="004C33E1" w:rsidRDefault="004C33E1" w:rsidP="0038662B"/>
    <w:p w:rsidR="004C33E1" w:rsidRPr="007F44BF" w:rsidRDefault="004C33E1" w:rsidP="004C33E1">
      <w:pPr>
        <w:pStyle w:val="Questionstyle"/>
      </w:pPr>
      <w:r w:rsidRPr="00BF1E55">
        <w:rPr>
          <w:rFonts w:ascii="Arial" w:hAnsi="Arial" w:cs="Arial"/>
        </w:rPr>
        <w:t>Are the general and financial information requirements described appropriate for authorisation applications? Are the narrower requirements appropriate for registration applications?</w:t>
      </w:r>
    </w:p>
    <w:p w:rsidR="004C33E1" w:rsidRDefault="004C33E1" w:rsidP="004C33E1">
      <w:r>
        <w:t>&lt;ESMA_QUESTION_CP_BMR_24&gt;</w:t>
      </w:r>
    </w:p>
    <w:p w:rsidR="004C33E1" w:rsidRDefault="00BD2760" w:rsidP="004C33E1">
      <w:permStart w:id="1555972115" w:edGrp="everyone"/>
      <w:r>
        <w:t>Financial disclosures should be in line with the company’s regular financial reporting requirements</w:t>
      </w:r>
      <w:r w:rsidR="000E0A07">
        <w:t>.</w:t>
      </w:r>
      <w:r>
        <w:t xml:space="preserve"> We also believe that f</w:t>
      </w:r>
      <w:r w:rsidR="000E0A07">
        <w:t>inancial forecasts</w:t>
      </w:r>
      <w:r>
        <w:t xml:space="preserve"> should be deleted. If this is a one-off process, the national competent authority can review the last 3 years of accounts to determine the company’s financial position.</w:t>
      </w:r>
      <w:r w:rsidR="004F337A">
        <w:t xml:space="preserve"> Further, if this information can be made public, then we have additional concerns because forecasts are commercia</w:t>
      </w:r>
      <w:r w:rsidR="004F337A">
        <w:t>l</w:t>
      </w:r>
      <w:r w:rsidR="004F337A">
        <w:t>ly sensitive</w:t>
      </w:r>
      <w:r w:rsidR="000546AE">
        <w:t xml:space="preserve"> and al</w:t>
      </w:r>
      <w:r w:rsidR="004F337A">
        <w:t>so potentially price-sensitive.</w:t>
      </w:r>
    </w:p>
    <w:permEnd w:id="1555972115"/>
    <w:p w:rsidR="004C33E1" w:rsidRDefault="004C33E1" w:rsidP="004C33E1">
      <w:r>
        <w:t>&lt;ESMA_QUESTION_CP_BMR_24&gt;</w:t>
      </w:r>
    </w:p>
    <w:p w:rsidR="004C33E1" w:rsidRDefault="004C33E1" w:rsidP="0038662B"/>
    <w:p w:rsidR="004C33E1" w:rsidRPr="007F44BF" w:rsidRDefault="004C33E1" w:rsidP="004C33E1">
      <w:pPr>
        <w:pStyle w:val="Questionstyle"/>
      </w:pPr>
      <w:r w:rsidRPr="004C33E1">
        <w:rPr>
          <w:rFonts w:ascii="Arial" w:hAnsi="Arial" w:cs="Arial"/>
        </w:rPr>
        <w:t>Are the requirements covering the information on the applicant’s internal structure and functions appropriate?</w:t>
      </w:r>
    </w:p>
    <w:p w:rsidR="004C33E1" w:rsidRDefault="004C33E1" w:rsidP="004C33E1">
      <w:r>
        <w:t>&lt;ESMA_QUESTION_CP_BMR_25&gt;</w:t>
      </w:r>
    </w:p>
    <w:p w:rsidR="004C33E1" w:rsidRDefault="0061029D" w:rsidP="004C33E1">
      <w:permStart w:id="170341319" w:edGrp="everyone"/>
      <w:r>
        <w:t>We noticed one point</w:t>
      </w:r>
      <w:r w:rsidR="00435D40">
        <w:t xml:space="preserve"> that seems to be different from the Level 1 text. There</w:t>
      </w:r>
      <w:r>
        <w:t xml:space="preserve"> </w:t>
      </w:r>
      <w:r w:rsidR="00435D40">
        <w:t xml:space="preserve">is a reference to marketing benchmarks </w:t>
      </w:r>
      <w:r>
        <w:t xml:space="preserve">in Annex 1, Section 4(c). We do not see </w:t>
      </w:r>
      <w:r w:rsidR="008701F4">
        <w:t>how</w:t>
      </w:r>
      <w:r>
        <w:t xml:space="preserve"> or why</w:t>
      </w:r>
      <w:r w:rsidR="008701F4">
        <w:t xml:space="preserve"> marketing departments and any depar</w:t>
      </w:r>
      <w:r w:rsidR="008701F4">
        <w:t>t</w:t>
      </w:r>
      <w:r w:rsidR="008701F4">
        <w:t xml:space="preserve">ments related to </w:t>
      </w:r>
      <w:r w:rsidR="00731B0B">
        <w:t xml:space="preserve">marketing </w:t>
      </w:r>
      <w:r w:rsidR="008701F4">
        <w:t>(such as sales departments) are rele</w:t>
      </w:r>
      <w:r>
        <w:t>van</w:t>
      </w:r>
      <w:r w:rsidR="00731B0B">
        <w:t>t because th</w:t>
      </w:r>
      <w:r w:rsidR="008701F4">
        <w:t>ey are not making any decisions rela</w:t>
      </w:r>
      <w:r w:rsidR="008701F4">
        <w:t>t</w:t>
      </w:r>
      <w:r w:rsidR="008701F4">
        <w:t xml:space="preserve">ing to the benchmark </w:t>
      </w:r>
      <w:r>
        <w:t xml:space="preserve">design, </w:t>
      </w:r>
      <w:r w:rsidR="008701F4">
        <w:t>calculation or maintenance.</w:t>
      </w:r>
      <w:r w:rsidR="00930D61">
        <w:t xml:space="preserve"> It may be that the reference is in relation to the </w:t>
      </w:r>
      <w:r>
        <w:t xml:space="preserve">definition of </w:t>
      </w:r>
      <w:r w:rsidR="00930D61">
        <w:t xml:space="preserve">front office, but that’s very specific to trading functions where the front office is contributing data, </w:t>
      </w:r>
      <w:r>
        <w:t>and that is not relevant to organizations without trading functions</w:t>
      </w:r>
      <w:r w:rsidR="000546AE">
        <w:t xml:space="preserve"> or</w:t>
      </w:r>
      <w:r>
        <w:t xml:space="preserve"> to </w:t>
      </w:r>
      <w:r w:rsidR="000546AE">
        <w:t xml:space="preserve">the </w:t>
      </w:r>
      <w:r>
        <w:t>administr</w:t>
      </w:r>
      <w:r>
        <w:t>a</w:t>
      </w:r>
      <w:r>
        <w:t xml:space="preserve">tor’s application. </w:t>
      </w:r>
    </w:p>
    <w:permEnd w:id="170341319"/>
    <w:p w:rsidR="004C33E1" w:rsidRDefault="004C33E1" w:rsidP="004C33E1">
      <w:r>
        <w:t>&lt;ESMA_QUESTION_CP_BMR_25&gt;</w:t>
      </w:r>
    </w:p>
    <w:p w:rsidR="004C33E1" w:rsidRDefault="004C33E1" w:rsidP="004C33E1"/>
    <w:p w:rsidR="004C33E1" w:rsidRPr="007F44BF" w:rsidRDefault="004C33E1" w:rsidP="004C33E1">
      <w:pPr>
        <w:pStyle w:val="Questionstyle"/>
      </w:pPr>
      <w:r w:rsidRPr="004C33E1">
        <w:rPr>
          <w:rFonts w:ascii="Arial" w:hAnsi="Arial" w:cs="Arial"/>
        </w:rPr>
        <w:t>Are the requirements described dealing with the benchmarks provided appropr</w:t>
      </w:r>
      <w:r w:rsidRPr="004C33E1">
        <w:rPr>
          <w:rFonts w:ascii="Arial" w:hAnsi="Arial" w:cs="Arial"/>
        </w:rPr>
        <w:t>i</w:t>
      </w:r>
      <w:r w:rsidRPr="004C33E1">
        <w:rPr>
          <w:rFonts w:ascii="Arial" w:hAnsi="Arial" w:cs="Arial"/>
        </w:rPr>
        <w:t>ate? In particular, is the way in which the commodity benchmarks requirements are ha</w:t>
      </w:r>
      <w:r w:rsidRPr="004C33E1">
        <w:rPr>
          <w:rFonts w:ascii="Arial" w:hAnsi="Arial" w:cs="Arial"/>
        </w:rPr>
        <w:t>n</w:t>
      </w:r>
      <w:r w:rsidRPr="004C33E1">
        <w:rPr>
          <w:rFonts w:ascii="Arial" w:hAnsi="Arial" w:cs="Arial"/>
        </w:rPr>
        <w:t>dled acceptable?</w:t>
      </w:r>
    </w:p>
    <w:p w:rsidR="004C33E1" w:rsidRDefault="004C33E1" w:rsidP="004C33E1">
      <w:r>
        <w:t>&lt;ESMA_QUESTION_CP_BMR_26&gt;</w:t>
      </w:r>
    </w:p>
    <w:p w:rsidR="004C33E1" w:rsidRDefault="00C949DE" w:rsidP="004C33E1">
      <w:permStart w:id="1510681734" w:edGrp="everyone"/>
      <w:r>
        <w:t>We greatly appreciate ESMA’s efforts to avoid duplication</w:t>
      </w:r>
      <w:r w:rsidR="00C62F48">
        <w:t xml:space="preserve"> and yes we agree with most of the requir</w:t>
      </w:r>
      <w:r w:rsidR="00C62F48">
        <w:t>e</w:t>
      </w:r>
      <w:r w:rsidR="00C62F48">
        <w:t xml:space="preserve">ments. One area of concern is the requirement to provide contracts to the national competent authority. </w:t>
      </w:r>
      <w:r w:rsidR="003211F4">
        <w:lastRenderedPageBreak/>
        <w:t xml:space="preserve">The agreements may contain clauses prohibiting disclosure without the other party’s consent </w:t>
      </w:r>
      <w:r w:rsidR="00C62F48">
        <w:t>and may contain commercially sensitive information.</w:t>
      </w:r>
      <w:r w:rsidR="0063342E">
        <w:t xml:space="preserve"> We would request that commercially sensitive </w:t>
      </w:r>
      <w:r w:rsidR="00C62F48">
        <w:t xml:space="preserve">information be </w:t>
      </w:r>
      <w:r w:rsidR="0063342E">
        <w:t xml:space="preserve">permitted to be </w:t>
      </w:r>
      <w:r w:rsidR="00C62F48">
        <w:t>redacted</w:t>
      </w:r>
      <w:r w:rsidR="003211F4">
        <w:t xml:space="preserve"> from the agre</w:t>
      </w:r>
      <w:r w:rsidR="003211F4">
        <w:t>e</w:t>
      </w:r>
      <w:r w:rsidR="003211F4">
        <w:t>ments before they are provided</w:t>
      </w:r>
      <w:r w:rsidR="0063342E">
        <w:t>.</w:t>
      </w:r>
    </w:p>
    <w:permEnd w:id="1510681734"/>
    <w:p w:rsidR="004C33E1" w:rsidRDefault="004C33E1" w:rsidP="004C33E1">
      <w:r>
        <w:t>&lt;ESMA_QUESTION_CP_BMR_26&gt;</w:t>
      </w:r>
    </w:p>
    <w:p w:rsidR="004C33E1" w:rsidRDefault="004C33E1" w:rsidP="004C33E1"/>
    <w:p w:rsidR="004C33E1" w:rsidRPr="007F44BF" w:rsidRDefault="004C33E1" w:rsidP="004C33E1">
      <w:pPr>
        <w:pStyle w:val="Questionstyle"/>
      </w:pPr>
      <w:r w:rsidRPr="004C33E1">
        <w:rPr>
          <w:rFonts w:ascii="Arial" w:hAnsi="Arial" w:cs="Arial"/>
        </w:rPr>
        <w:t>Is the specific treatment for a natural person as applicant appropriate?</w:t>
      </w:r>
    </w:p>
    <w:p w:rsidR="004C33E1" w:rsidRDefault="004C33E1" w:rsidP="004C33E1">
      <w:r>
        <w:t>&lt;ESMA_QUESTION_CP_BMR_27&gt;</w:t>
      </w:r>
    </w:p>
    <w:p w:rsidR="003211F4" w:rsidRDefault="003211F4" w:rsidP="004C33E1">
      <w:permStart w:id="375792295" w:edGrp="everyone"/>
      <w:r>
        <w:t>For natural persons, it seems remuneration should be addressed somewhere and that there should be more information required about governance/conflicts of interest.</w:t>
      </w:r>
    </w:p>
    <w:permEnd w:id="375792295"/>
    <w:p w:rsidR="004C33E1" w:rsidRDefault="004C33E1" w:rsidP="004C33E1">
      <w:r>
        <w:t>&lt;ESMA_QUESTION_CP_BMR_27&gt;</w:t>
      </w:r>
    </w:p>
    <w:p w:rsidR="004C33E1" w:rsidRDefault="004C33E1" w:rsidP="0038662B"/>
    <w:p w:rsidR="004C33E1" w:rsidRPr="007F44BF" w:rsidRDefault="004C33E1" w:rsidP="004C33E1">
      <w:pPr>
        <w:pStyle w:val="Questionstyle"/>
      </w:pPr>
      <w:r w:rsidRPr="004C33E1">
        <w:rPr>
          <w:rFonts w:ascii="Arial" w:hAnsi="Arial" w:cs="Arial"/>
        </w:rPr>
        <w:t>Do you agree with the proposals outlined for requirements for other information?</w:t>
      </w:r>
    </w:p>
    <w:p w:rsidR="004C33E1" w:rsidRDefault="004C33E1" w:rsidP="004C33E1">
      <w:r>
        <w:t>&lt;ESMA_QUESTION_CP_BMR_28&gt;</w:t>
      </w:r>
    </w:p>
    <w:p w:rsidR="004C33E1" w:rsidRDefault="00772B00" w:rsidP="004C33E1">
      <w:permStart w:id="671445927" w:edGrp="everyone"/>
      <w:r>
        <w:t>Yes.</w:t>
      </w:r>
    </w:p>
    <w:permEnd w:id="671445927"/>
    <w:p w:rsidR="004C33E1" w:rsidRDefault="004C33E1" w:rsidP="004C33E1">
      <w:r>
        <w:t>&lt;ESMA_QUESTION_CP_BMR_28&gt;</w:t>
      </w:r>
    </w:p>
    <w:p w:rsidR="004C33E1" w:rsidRDefault="004C33E1" w:rsidP="0038662B"/>
    <w:p w:rsidR="004C33E1" w:rsidRPr="007F44BF" w:rsidRDefault="004C33E1" w:rsidP="004C33E1">
      <w:pPr>
        <w:pStyle w:val="Questionstyle"/>
      </w:pPr>
      <w:r w:rsidRPr="003809F3">
        <w:rPr>
          <w:rFonts w:ascii="Arial" w:hAnsi="Arial" w:cs="Arial"/>
        </w:rPr>
        <w:t>Do you agree with the approach followed in the draft RTS as regards the general information that a third-country applicant should provide to the competent authority of the Member State of reference?</w:t>
      </w:r>
    </w:p>
    <w:p w:rsidR="004C33E1" w:rsidRDefault="004C33E1" w:rsidP="004C33E1">
      <w:r>
        <w:t>&lt;ESMA_QUESTION_CP_BMR_29&gt;</w:t>
      </w:r>
    </w:p>
    <w:p w:rsidR="00830EA3" w:rsidRDefault="00830EA3" w:rsidP="00830EA3">
      <w:permStart w:id="1069812947" w:edGrp="everyone"/>
      <w:r>
        <w:t>Financial disclosures should be in line with the company’s regular financial reporting requirements. We also believe that financial forecasts should be deleted. If this is a one-off process, the national competent authority can review the last 3 years of accounts to determine the company’s financial position. Further, if this information can be made public, then we have additional concerns because forecasts are commercia</w:t>
      </w:r>
      <w:r>
        <w:t>l</w:t>
      </w:r>
      <w:r w:rsidR="000546AE">
        <w:t xml:space="preserve">ly sensitive and </w:t>
      </w:r>
      <w:r>
        <w:t>a</w:t>
      </w:r>
      <w:r w:rsidR="000546AE">
        <w:t>lso potentially price-sensitive</w:t>
      </w:r>
      <w:r>
        <w:t>.</w:t>
      </w:r>
    </w:p>
    <w:p w:rsidR="00830EA3" w:rsidRDefault="00830EA3" w:rsidP="00830EA3"/>
    <w:p w:rsidR="00830EA3" w:rsidRDefault="00830EA3" w:rsidP="00830EA3">
      <w:r>
        <w:t>There also needs to be a way to provide updates on significant and non-significant benchmarks given that some benchmarks that may bounce up and down around the EUR50B threshold on a semi-annual basis.</w:t>
      </w:r>
    </w:p>
    <w:permEnd w:id="1069812947"/>
    <w:p w:rsidR="004C33E1" w:rsidRDefault="004C33E1" w:rsidP="004C33E1">
      <w:r>
        <w:t>&lt;ESMA_QUESTION_CP_BMR_29&gt;</w:t>
      </w:r>
    </w:p>
    <w:p w:rsidR="004C33E1" w:rsidRPr="0038662B" w:rsidRDefault="004C33E1" w:rsidP="004C33E1"/>
    <w:p w:rsidR="004C33E1" w:rsidRPr="007F44BF" w:rsidRDefault="004C33E1" w:rsidP="004C33E1">
      <w:pPr>
        <w:pStyle w:val="Questionstyle"/>
      </w:pPr>
      <w:r w:rsidRPr="004C33E1">
        <w:rPr>
          <w:rFonts w:ascii="Arial" w:hAnsi="Arial" w:cs="Arial"/>
        </w:rPr>
        <w:t>Do you agree with the approach followed in the draft RTS as regards the info</w:t>
      </w:r>
      <w:r w:rsidRPr="004C33E1">
        <w:rPr>
          <w:rFonts w:ascii="Arial" w:hAnsi="Arial" w:cs="Arial"/>
        </w:rPr>
        <w:t>r</w:t>
      </w:r>
      <w:r w:rsidRPr="004C33E1">
        <w:rPr>
          <w:rFonts w:ascii="Arial" w:hAnsi="Arial" w:cs="Arial"/>
        </w:rPr>
        <w:t>mation that a third-country applicant should provide in order to explain how it has chosen a specific Member State of reference and which are the identity and role of the appointed legal representative in such State?</w:t>
      </w:r>
    </w:p>
    <w:p w:rsidR="004C33E1" w:rsidRDefault="004C33E1" w:rsidP="004C33E1">
      <w:r>
        <w:t>&lt;ESMA_QUESTION_CP_BMR_30&gt;</w:t>
      </w:r>
    </w:p>
    <w:p w:rsidR="004C33E1" w:rsidRDefault="004C33E1" w:rsidP="004C33E1">
      <w:permStart w:id="1493662750" w:edGrp="everyone"/>
      <w:r>
        <w:t>TYPE YOUR TEXT HERE</w:t>
      </w:r>
    </w:p>
    <w:permEnd w:id="1493662750"/>
    <w:p w:rsidR="004C33E1" w:rsidRDefault="004C33E1" w:rsidP="004C33E1">
      <w:r>
        <w:t>&lt;ESMA_QUESTION_CP_BMR_30&gt;</w:t>
      </w:r>
    </w:p>
    <w:p w:rsidR="004C33E1" w:rsidRDefault="004C33E1" w:rsidP="0038662B"/>
    <w:p w:rsidR="004C33E1" w:rsidRPr="007F44BF" w:rsidRDefault="004C33E1" w:rsidP="004C33E1">
      <w:pPr>
        <w:pStyle w:val="Questionstyle"/>
      </w:pPr>
      <w:r w:rsidRPr="004C33E1">
        <w:rPr>
          <w:rFonts w:ascii="Arial" w:hAnsi="Arial" w:cs="Arial"/>
        </w:rPr>
        <w:t>Do you agree with the approach followed in the draft RTS as regards the info</w:t>
      </w:r>
      <w:r w:rsidRPr="004C33E1">
        <w:rPr>
          <w:rFonts w:ascii="Arial" w:hAnsi="Arial" w:cs="Arial"/>
        </w:rPr>
        <w:t>r</w:t>
      </w:r>
      <w:r w:rsidRPr="004C33E1">
        <w:rPr>
          <w:rFonts w:ascii="Arial" w:hAnsi="Arial" w:cs="Arial"/>
        </w:rPr>
        <w:t>mation that a third-country applicant should give around the benchmarks it provides and that are already used or intended for use in the Union? In particular, do you agree with the proposals regarding the information to be provided on the types and the categories to which the benchmarks belong to?</w:t>
      </w:r>
    </w:p>
    <w:p w:rsidR="004C33E1" w:rsidRDefault="004C33E1" w:rsidP="004C33E1">
      <w:r>
        <w:t>&lt;ESMA_QUESTION_CP_BMR_31&gt;</w:t>
      </w:r>
    </w:p>
    <w:p w:rsidR="004C33E1" w:rsidRDefault="00830EA3" w:rsidP="004C33E1">
      <w:permStart w:id="1652236805" w:edGrp="everyone"/>
      <w:r>
        <w:t>There also needs to be a way to provide updates on significant and non-significant benchmarks given that some benchmarks that may bounce up and down around the EUR50B threshold on a semi-annual basis</w:t>
      </w:r>
      <w:r w:rsidR="00731B0B">
        <w:t>.</w:t>
      </w:r>
      <w:r>
        <w:t xml:space="preserve"> </w:t>
      </w:r>
      <w:permEnd w:id="1652236805"/>
      <w:r w:rsidR="004C33E1">
        <w:t>&lt;ESMA_QUESTION_CP_BMR_31&gt;</w:t>
      </w:r>
    </w:p>
    <w:p w:rsidR="004C33E1" w:rsidRPr="0038662B" w:rsidRDefault="004C33E1" w:rsidP="0038662B"/>
    <w:sectPr w:rsidR="004C33E1" w:rsidRPr="0038662B"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003" w:rsidRDefault="00DB0003">
      <w:r>
        <w:separator/>
      </w:r>
    </w:p>
    <w:p w:rsidR="00DB0003" w:rsidRDefault="00DB0003"/>
  </w:endnote>
  <w:endnote w:type="continuationSeparator" w:id="0">
    <w:p w:rsidR="00DB0003" w:rsidRDefault="00DB0003">
      <w:r>
        <w:continuationSeparator/>
      </w:r>
    </w:p>
    <w:p w:rsidR="00DB0003" w:rsidRDefault="00DB0003"/>
  </w:endnote>
  <w:endnote w:type="continuationNotice" w:id="1">
    <w:p w:rsidR="00DB0003" w:rsidRDefault="00DB00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DB0003" w:rsidRPr="00616B9B" w:rsidTr="00315E96">
      <w:trPr>
        <w:trHeight w:val="284"/>
      </w:trPr>
      <w:tc>
        <w:tcPr>
          <w:tcW w:w="8460" w:type="dxa"/>
        </w:tcPr>
        <w:p w:rsidR="00DB0003" w:rsidRPr="00315E96" w:rsidRDefault="00DB0003" w:rsidP="00315E96">
          <w:pPr>
            <w:pStyle w:val="00Footer"/>
            <w:rPr>
              <w:lang w:val="fr-FR"/>
            </w:rPr>
          </w:pPr>
        </w:p>
      </w:tc>
      <w:tc>
        <w:tcPr>
          <w:tcW w:w="952" w:type="dxa"/>
        </w:tcPr>
        <w:p w:rsidR="00DB0003" w:rsidRPr="00616B9B" w:rsidRDefault="00DB0003"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9A5295">
            <w:rPr>
              <w:rFonts w:cs="Arial"/>
              <w:noProof/>
              <w:sz w:val="22"/>
              <w:szCs w:val="22"/>
            </w:rPr>
            <w:t>3</w:t>
          </w:r>
          <w:r w:rsidRPr="00616B9B">
            <w:rPr>
              <w:rFonts w:cs="Arial"/>
              <w:noProof/>
              <w:sz w:val="22"/>
              <w:szCs w:val="22"/>
            </w:rPr>
            <w:fldChar w:fldCharType="end"/>
          </w:r>
        </w:p>
      </w:tc>
    </w:tr>
  </w:tbl>
  <w:p w:rsidR="00DB0003" w:rsidRDefault="00DB00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03" w:rsidRDefault="00DB00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003" w:rsidRDefault="00DB0003">
      <w:r>
        <w:separator/>
      </w:r>
    </w:p>
    <w:p w:rsidR="00DB0003" w:rsidRDefault="00DB0003"/>
  </w:footnote>
  <w:footnote w:type="continuationSeparator" w:id="0">
    <w:p w:rsidR="00DB0003" w:rsidRDefault="00DB0003">
      <w:r>
        <w:continuationSeparator/>
      </w:r>
    </w:p>
    <w:p w:rsidR="00DB0003" w:rsidRDefault="00DB0003"/>
  </w:footnote>
  <w:footnote w:type="continuationNotice" w:id="1">
    <w:p w:rsidR="00DB0003" w:rsidRDefault="00DB00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03" w:rsidRDefault="00DB0003">
    <w:pPr>
      <w:pStyle w:val="Header"/>
    </w:pPr>
    <w:r>
      <w:rPr>
        <w:noProof/>
        <w:lang w:val="en-US" w:eastAsia="en-US"/>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22B6DD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03" w:rsidRDefault="00DB0003" w:rsidP="00013CCE">
    <w:pPr>
      <w:pStyle w:val="Header"/>
      <w:jc w:val="right"/>
    </w:pPr>
    <w:r>
      <w:rPr>
        <w:noProof/>
        <w:lang w:val="en-US" w:eastAsia="en-US"/>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003" w:rsidRDefault="00DB000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DB0003" w:rsidRPr="002F4496" w:rsidTr="000C06C9">
      <w:trPr>
        <w:trHeight w:val="284"/>
      </w:trPr>
      <w:tc>
        <w:tcPr>
          <w:tcW w:w="8460" w:type="dxa"/>
        </w:tcPr>
        <w:p w:rsidR="00DB0003" w:rsidRPr="000C3B6D" w:rsidRDefault="00DB0003" w:rsidP="000C06C9">
          <w:pPr>
            <w:pStyle w:val="00Footer"/>
            <w:rPr>
              <w:lang w:val="fr-FR"/>
            </w:rPr>
          </w:pPr>
        </w:p>
      </w:tc>
      <w:tc>
        <w:tcPr>
          <w:tcW w:w="952" w:type="dxa"/>
        </w:tcPr>
        <w:p w:rsidR="00DB0003" w:rsidRPr="00146B34" w:rsidRDefault="00DB0003" w:rsidP="000C06C9">
          <w:pPr>
            <w:pStyle w:val="00aPagenumber"/>
            <w:rPr>
              <w:lang w:val="fr-FR"/>
            </w:rPr>
          </w:pPr>
        </w:p>
      </w:tc>
    </w:tr>
  </w:tbl>
  <w:p w:rsidR="00DB0003" w:rsidRPr="00DB46C3" w:rsidRDefault="00DB0003">
    <w:pPr>
      <w:rPr>
        <w:lang w:val="fr-FR"/>
      </w:rPr>
    </w:pPr>
  </w:p>
  <w:p w:rsidR="00DB0003" w:rsidRPr="002F4496" w:rsidRDefault="00DB0003">
    <w:pPr>
      <w:pStyle w:val="Header"/>
      <w:rPr>
        <w:lang w:val="fr-FR"/>
      </w:rPr>
    </w:pPr>
  </w:p>
  <w:p w:rsidR="00DB0003" w:rsidRPr="002F4496" w:rsidRDefault="00DB0003" w:rsidP="000C06C9">
    <w:pPr>
      <w:pStyle w:val="Header"/>
      <w:tabs>
        <w:tab w:val="clear" w:pos="4536"/>
        <w:tab w:val="clear" w:pos="9072"/>
        <w:tab w:val="left" w:pos="8227"/>
      </w:tabs>
      <w:rPr>
        <w:lang w:val="fr-FR"/>
      </w:rPr>
    </w:pPr>
  </w:p>
  <w:p w:rsidR="00DB0003" w:rsidRPr="002F4496" w:rsidRDefault="00DB0003" w:rsidP="000C06C9">
    <w:pPr>
      <w:pStyle w:val="Header"/>
      <w:tabs>
        <w:tab w:val="clear" w:pos="4536"/>
        <w:tab w:val="clear" w:pos="9072"/>
        <w:tab w:val="left" w:pos="8227"/>
      </w:tabs>
      <w:rPr>
        <w:lang w:val="fr-FR"/>
      </w:rPr>
    </w:pPr>
  </w:p>
  <w:p w:rsidR="00DB0003" w:rsidRPr="002F4496" w:rsidRDefault="00DB0003">
    <w:pPr>
      <w:pStyle w:val="Header"/>
      <w:rPr>
        <w:lang w:val="fr-FR"/>
      </w:rPr>
    </w:pPr>
  </w:p>
  <w:p w:rsidR="00DB0003" w:rsidRPr="002F4496" w:rsidRDefault="00DB0003">
    <w:pPr>
      <w:pStyle w:val="Header"/>
      <w:rPr>
        <w:lang w:val="fr-FR"/>
      </w:rPr>
    </w:pPr>
  </w:p>
  <w:p w:rsidR="00DB0003" w:rsidRPr="002F4496" w:rsidRDefault="00DB0003">
    <w:pPr>
      <w:pStyle w:val="Header"/>
      <w:rPr>
        <w:lang w:val="fr-FR"/>
      </w:rPr>
    </w:pPr>
  </w:p>
  <w:p w:rsidR="00DB0003" w:rsidRPr="002F4496" w:rsidRDefault="00DB0003">
    <w:pPr>
      <w:pStyle w:val="Header"/>
      <w:rPr>
        <w:lang w:val="fr-FR"/>
      </w:rPr>
    </w:pPr>
  </w:p>
  <w:p w:rsidR="00DB0003" w:rsidRPr="002F4496" w:rsidRDefault="00DB0003">
    <w:pPr>
      <w:pStyle w:val="Header"/>
      <w:rPr>
        <w:highlight w:val="yellow"/>
        <w:lang w:val="fr-FR"/>
      </w:rPr>
    </w:pPr>
  </w:p>
  <w:p w:rsidR="00DB0003" w:rsidRDefault="00DB0003">
    <w:pPr>
      <w:pStyle w:val="Header"/>
    </w:pPr>
    <w:r>
      <w:rPr>
        <w:noProof/>
        <w:lang w:val="en-US" w:eastAsia="en-US"/>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E830B16"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en-US" w:eastAsia="en-US"/>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370"/>
    <w:multiLevelType w:val="hybridMultilevel"/>
    <w:tmpl w:val="E5E64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2">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ED33D82"/>
    <w:multiLevelType w:val="hybridMultilevel"/>
    <w:tmpl w:val="A7D07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6A6771"/>
    <w:multiLevelType w:val="hybridMultilevel"/>
    <w:tmpl w:val="2B7E03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4">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nsid w:val="36800331"/>
    <w:multiLevelType w:val="hybridMultilevel"/>
    <w:tmpl w:val="2A64B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9">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1">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3">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4">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2">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nsid w:val="5EE301A4"/>
    <w:multiLevelType w:val="hybridMultilevel"/>
    <w:tmpl w:val="453A1974"/>
    <w:lvl w:ilvl="0" w:tplc="04090003">
      <w:start w:val="1"/>
      <w:numFmt w:val="bullet"/>
      <w:lvlText w:val="o"/>
      <w:lvlJc w:val="left"/>
      <w:pPr>
        <w:ind w:left="780" w:hanging="360"/>
      </w:pPr>
      <w:rPr>
        <w:rFonts w:ascii="Courier New" w:hAnsi="Courier New" w:cs="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5">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6">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8">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nsid w:val="75092F31"/>
    <w:multiLevelType w:val="hybridMultilevel"/>
    <w:tmpl w:val="99F002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5">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21"/>
  </w:num>
  <w:num w:numId="2">
    <w:abstractNumId w:val="23"/>
  </w:num>
  <w:num w:numId="3">
    <w:abstractNumId w:val="17"/>
  </w:num>
  <w:num w:numId="4">
    <w:abstractNumId w:val="28"/>
  </w:num>
  <w:num w:numId="5">
    <w:abstractNumId w:val="30"/>
  </w:num>
  <w:num w:numId="6">
    <w:abstractNumId w:val="1"/>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36"/>
  </w:num>
  <w:num w:numId="14">
    <w:abstractNumId w:val="27"/>
  </w:num>
  <w:num w:numId="15">
    <w:abstractNumId w:val="14"/>
  </w:num>
  <w:num w:numId="16">
    <w:abstractNumId w:val="2"/>
  </w:num>
  <w:num w:numId="17">
    <w:abstractNumId w:val="19"/>
  </w:num>
  <w:num w:numId="18">
    <w:abstractNumId w:val="20"/>
  </w:num>
  <w:num w:numId="19">
    <w:abstractNumId w:val="22"/>
  </w:num>
  <w:num w:numId="20">
    <w:abstractNumId w:val="31"/>
  </w:num>
  <w:num w:numId="21">
    <w:abstractNumId w:val="41"/>
  </w:num>
  <w:num w:numId="22">
    <w:abstractNumId w:val="29"/>
  </w:num>
  <w:num w:numId="23">
    <w:abstractNumId w:val="13"/>
  </w:num>
  <w:num w:numId="24">
    <w:abstractNumId w:val="35"/>
  </w:num>
  <w:num w:numId="25">
    <w:abstractNumId w:val="34"/>
  </w:num>
  <w:num w:numId="26">
    <w:abstractNumId w:val="24"/>
  </w:num>
  <w:num w:numId="27">
    <w:abstractNumId w:val="38"/>
  </w:num>
  <w:num w:numId="28">
    <w:abstractNumId w:val="45"/>
  </w:num>
  <w:num w:numId="29">
    <w:abstractNumId w:val="11"/>
  </w:num>
  <w:num w:numId="30">
    <w:abstractNumId w:val="5"/>
  </w:num>
  <w:num w:numId="31">
    <w:abstractNumId w:val="26"/>
  </w:num>
  <w:num w:numId="32">
    <w:abstractNumId w:val="3"/>
  </w:num>
  <w:num w:numId="33">
    <w:abstractNumId w:val="10"/>
  </w:num>
  <w:num w:numId="34">
    <w:abstractNumId w:val="25"/>
  </w:num>
  <w:num w:numId="35">
    <w:abstractNumId w:val="40"/>
  </w:num>
  <w:num w:numId="36">
    <w:abstractNumId w:val="39"/>
  </w:num>
  <w:num w:numId="37">
    <w:abstractNumId w:val="15"/>
  </w:num>
  <w:num w:numId="38">
    <w:abstractNumId w:val="4"/>
  </w:num>
  <w:num w:numId="39">
    <w:abstractNumId w:val="43"/>
  </w:num>
  <w:num w:numId="40">
    <w:abstractNumId w:val="0"/>
  </w:num>
  <w:num w:numId="41">
    <w:abstractNumId w:val="42"/>
  </w:num>
  <w:num w:numId="42">
    <w:abstractNumId w:val="9"/>
  </w:num>
  <w:num w:numId="43">
    <w:abstractNumId w:val="8"/>
  </w:num>
  <w:num w:numId="44">
    <w:abstractNumId w:val="33"/>
  </w:num>
  <w:num w:numId="45">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XQfFLmhxIclP7udXGPLqogS1gfcOSTMsX3xp80rLku9av06MeywfVt/Ik1MCdLaFoq2mzuD5V1VzFGKuPvQjjQ==" w:salt="EM1YsXPtcyvP8mHKtZJ9PA=="/>
  <w:defaultTabStop w:val="709"/>
  <w:autoHyphenation/>
  <w:hyphenationZone w:val="567"/>
  <w:characterSpacingControl w:val="doNotCompress"/>
  <w:hdrShapeDefaults>
    <o:shapedefaults v:ext="edit" spidmax="1024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26B7"/>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46B"/>
    <w:rsid w:val="0003447C"/>
    <w:rsid w:val="000344D6"/>
    <w:rsid w:val="00034960"/>
    <w:rsid w:val="00036FAE"/>
    <w:rsid w:val="00040D7C"/>
    <w:rsid w:val="00041858"/>
    <w:rsid w:val="0004389E"/>
    <w:rsid w:val="000463A6"/>
    <w:rsid w:val="00046CC9"/>
    <w:rsid w:val="00046E91"/>
    <w:rsid w:val="000502FE"/>
    <w:rsid w:val="0005126D"/>
    <w:rsid w:val="00051992"/>
    <w:rsid w:val="00051E9A"/>
    <w:rsid w:val="000521A7"/>
    <w:rsid w:val="00052F47"/>
    <w:rsid w:val="0005399B"/>
    <w:rsid w:val="000546AE"/>
    <w:rsid w:val="00054DE6"/>
    <w:rsid w:val="000569D7"/>
    <w:rsid w:val="000576D7"/>
    <w:rsid w:val="00060F72"/>
    <w:rsid w:val="00062592"/>
    <w:rsid w:val="000636A1"/>
    <w:rsid w:val="000649D9"/>
    <w:rsid w:val="000652BE"/>
    <w:rsid w:val="00066479"/>
    <w:rsid w:val="0006723C"/>
    <w:rsid w:val="00070376"/>
    <w:rsid w:val="00070974"/>
    <w:rsid w:val="00071795"/>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320D"/>
    <w:rsid w:val="000B55C0"/>
    <w:rsid w:val="000B5DF2"/>
    <w:rsid w:val="000B6C1C"/>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A07"/>
    <w:rsid w:val="000E0CF3"/>
    <w:rsid w:val="000E18A8"/>
    <w:rsid w:val="000E1AEC"/>
    <w:rsid w:val="000E3937"/>
    <w:rsid w:val="000E4926"/>
    <w:rsid w:val="000E5DCA"/>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38A1"/>
    <w:rsid w:val="0019508A"/>
    <w:rsid w:val="001960D8"/>
    <w:rsid w:val="001A1642"/>
    <w:rsid w:val="001A180B"/>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29FB"/>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05D5"/>
    <w:rsid w:val="00232F90"/>
    <w:rsid w:val="00233B08"/>
    <w:rsid w:val="00233C3B"/>
    <w:rsid w:val="002342EC"/>
    <w:rsid w:val="0023499C"/>
    <w:rsid w:val="00235CE3"/>
    <w:rsid w:val="0023636A"/>
    <w:rsid w:val="00236F34"/>
    <w:rsid w:val="002372F7"/>
    <w:rsid w:val="00237602"/>
    <w:rsid w:val="00240651"/>
    <w:rsid w:val="00240803"/>
    <w:rsid w:val="00242168"/>
    <w:rsid w:val="0024426D"/>
    <w:rsid w:val="00244F1D"/>
    <w:rsid w:val="00245004"/>
    <w:rsid w:val="00245FB4"/>
    <w:rsid w:val="00247E0C"/>
    <w:rsid w:val="00250898"/>
    <w:rsid w:val="00251EA9"/>
    <w:rsid w:val="00252843"/>
    <w:rsid w:val="002543F8"/>
    <w:rsid w:val="002551A4"/>
    <w:rsid w:val="002559F3"/>
    <w:rsid w:val="00256DFE"/>
    <w:rsid w:val="00261D56"/>
    <w:rsid w:val="00261FD3"/>
    <w:rsid w:val="00262B7D"/>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3D4B"/>
    <w:rsid w:val="002946DC"/>
    <w:rsid w:val="002A0C82"/>
    <w:rsid w:val="002A0CD8"/>
    <w:rsid w:val="002A13EB"/>
    <w:rsid w:val="002A35EF"/>
    <w:rsid w:val="002A3DE0"/>
    <w:rsid w:val="002A40EA"/>
    <w:rsid w:val="002A46E8"/>
    <w:rsid w:val="002A491C"/>
    <w:rsid w:val="002B1373"/>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3EE6"/>
    <w:rsid w:val="002F4139"/>
    <w:rsid w:val="002F4172"/>
    <w:rsid w:val="00300624"/>
    <w:rsid w:val="00300F56"/>
    <w:rsid w:val="00301006"/>
    <w:rsid w:val="00304A71"/>
    <w:rsid w:val="003066C8"/>
    <w:rsid w:val="0030739D"/>
    <w:rsid w:val="00307AFB"/>
    <w:rsid w:val="00310E58"/>
    <w:rsid w:val="00311184"/>
    <w:rsid w:val="00312675"/>
    <w:rsid w:val="00314013"/>
    <w:rsid w:val="00314945"/>
    <w:rsid w:val="00315389"/>
    <w:rsid w:val="00315746"/>
    <w:rsid w:val="00315E96"/>
    <w:rsid w:val="00317FC8"/>
    <w:rsid w:val="003211F4"/>
    <w:rsid w:val="003223D7"/>
    <w:rsid w:val="00323D9F"/>
    <w:rsid w:val="00324FDB"/>
    <w:rsid w:val="00325F48"/>
    <w:rsid w:val="003273FE"/>
    <w:rsid w:val="003279D7"/>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4BA"/>
    <w:rsid w:val="00384CCE"/>
    <w:rsid w:val="003865E5"/>
    <w:rsid w:val="0038662B"/>
    <w:rsid w:val="003926C1"/>
    <w:rsid w:val="00392900"/>
    <w:rsid w:val="00393357"/>
    <w:rsid w:val="00395E7B"/>
    <w:rsid w:val="00395F4C"/>
    <w:rsid w:val="003A36D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C7DE0"/>
    <w:rsid w:val="003D0CBF"/>
    <w:rsid w:val="003D0DD6"/>
    <w:rsid w:val="003D4B73"/>
    <w:rsid w:val="003D503B"/>
    <w:rsid w:val="003D605E"/>
    <w:rsid w:val="003D61D1"/>
    <w:rsid w:val="003D6780"/>
    <w:rsid w:val="003D6FCB"/>
    <w:rsid w:val="003D79DA"/>
    <w:rsid w:val="003E0F84"/>
    <w:rsid w:val="003E1FF3"/>
    <w:rsid w:val="003E26DE"/>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49C0"/>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5D40"/>
    <w:rsid w:val="00437929"/>
    <w:rsid w:val="00437A4A"/>
    <w:rsid w:val="00440541"/>
    <w:rsid w:val="0044162D"/>
    <w:rsid w:val="00441E13"/>
    <w:rsid w:val="0044277A"/>
    <w:rsid w:val="0044407F"/>
    <w:rsid w:val="004456DC"/>
    <w:rsid w:val="00447FBE"/>
    <w:rsid w:val="0045035E"/>
    <w:rsid w:val="0045175A"/>
    <w:rsid w:val="00451ED9"/>
    <w:rsid w:val="00452180"/>
    <w:rsid w:val="00453072"/>
    <w:rsid w:val="004539F8"/>
    <w:rsid w:val="00453F26"/>
    <w:rsid w:val="00454779"/>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77C5C"/>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234"/>
    <w:rsid w:val="00495A6A"/>
    <w:rsid w:val="004964F6"/>
    <w:rsid w:val="00496821"/>
    <w:rsid w:val="00497750"/>
    <w:rsid w:val="00497B44"/>
    <w:rsid w:val="004A00E5"/>
    <w:rsid w:val="004A01A7"/>
    <w:rsid w:val="004A0D09"/>
    <w:rsid w:val="004A116E"/>
    <w:rsid w:val="004A357F"/>
    <w:rsid w:val="004A3DAD"/>
    <w:rsid w:val="004B0335"/>
    <w:rsid w:val="004B0F1C"/>
    <w:rsid w:val="004B17F4"/>
    <w:rsid w:val="004B1E61"/>
    <w:rsid w:val="004B21AB"/>
    <w:rsid w:val="004B59E0"/>
    <w:rsid w:val="004B667B"/>
    <w:rsid w:val="004B71C7"/>
    <w:rsid w:val="004C03AA"/>
    <w:rsid w:val="004C0B9A"/>
    <w:rsid w:val="004C14E7"/>
    <w:rsid w:val="004C1D89"/>
    <w:rsid w:val="004C2A94"/>
    <w:rsid w:val="004C33E1"/>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337A"/>
    <w:rsid w:val="004F585C"/>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71D"/>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27311"/>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5749"/>
    <w:rsid w:val="00575950"/>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5D5"/>
    <w:rsid w:val="005C6353"/>
    <w:rsid w:val="005C663C"/>
    <w:rsid w:val="005C7F55"/>
    <w:rsid w:val="005D1023"/>
    <w:rsid w:val="005D148F"/>
    <w:rsid w:val="005D2AD2"/>
    <w:rsid w:val="005D4A86"/>
    <w:rsid w:val="005D5EB1"/>
    <w:rsid w:val="005D6A29"/>
    <w:rsid w:val="005E0481"/>
    <w:rsid w:val="005E10BF"/>
    <w:rsid w:val="005E1834"/>
    <w:rsid w:val="005E1E3E"/>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29D"/>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848"/>
    <w:rsid w:val="00625F82"/>
    <w:rsid w:val="00627999"/>
    <w:rsid w:val="00630FF7"/>
    <w:rsid w:val="0063342E"/>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5C07"/>
    <w:rsid w:val="00666F74"/>
    <w:rsid w:val="00667FEA"/>
    <w:rsid w:val="006710D2"/>
    <w:rsid w:val="006718E4"/>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0E1F"/>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4F87"/>
    <w:rsid w:val="007151A2"/>
    <w:rsid w:val="00716774"/>
    <w:rsid w:val="0071717D"/>
    <w:rsid w:val="007209DD"/>
    <w:rsid w:val="00722E49"/>
    <w:rsid w:val="00723A08"/>
    <w:rsid w:val="00723B5C"/>
    <w:rsid w:val="00724391"/>
    <w:rsid w:val="00724C18"/>
    <w:rsid w:val="00726630"/>
    <w:rsid w:val="00727F73"/>
    <w:rsid w:val="00730705"/>
    <w:rsid w:val="00730944"/>
    <w:rsid w:val="00731B0B"/>
    <w:rsid w:val="0073248E"/>
    <w:rsid w:val="00732F88"/>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2B00"/>
    <w:rsid w:val="00773AE5"/>
    <w:rsid w:val="00773B94"/>
    <w:rsid w:val="00773C65"/>
    <w:rsid w:val="00775937"/>
    <w:rsid w:val="00775BBC"/>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0E13"/>
    <w:rsid w:val="007C1901"/>
    <w:rsid w:val="007C3918"/>
    <w:rsid w:val="007C49C0"/>
    <w:rsid w:val="007C55C1"/>
    <w:rsid w:val="007C5738"/>
    <w:rsid w:val="007C5772"/>
    <w:rsid w:val="007C5AC3"/>
    <w:rsid w:val="007C7233"/>
    <w:rsid w:val="007D082A"/>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108"/>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0BAC"/>
    <w:rsid w:val="0081119F"/>
    <w:rsid w:val="0081134D"/>
    <w:rsid w:val="00811EDA"/>
    <w:rsid w:val="00812403"/>
    <w:rsid w:val="00812FD7"/>
    <w:rsid w:val="00815BC3"/>
    <w:rsid w:val="00820623"/>
    <w:rsid w:val="00821747"/>
    <w:rsid w:val="008229A3"/>
    <w:rsid w:val="00822DFB"/>
    <w:rsid w:val="00822F64"/>
    <w:rsid w:val="00824EAF"/>
    <w:rsid w:val="008253A6"/>
    <w:rsid w:val="00825A6B"/>
    <w:rsid w:val="00825C50"/>
    <w:rsid w:val="00826577"/>
    <w:rsid w:val="00827439"/>
    <w:rsid w:val="00827C79"/>
    <w:rsid w:val="0083003F"/>
    <w:rsid w:val="00830EA3"/>
    <w:rsid w:val="00831077"/>
    <w:rsid w:val="00831A4A"/>
    <w:rsid w:val="00832134"/>
    <w:rsid w:val="0083219E"/>
    <w:rsid w:val="00833AAD"/>
    <w:rsid w:val="0083497C"/>
    <w:rsid w:val="008352A6"/>
    <w:rsid w:val="00835B5B"/>
    <w:rsid w:val="008367AE"/>
    <w:rsid w:val="00836E50"/>
    <w:rsid w:val="00840477"/>
    <w:rsid w:val="0084121D"/>
    <w:rsid w:val="00841707"/>
    <w:rsid w:val="008419C1"/>
    <w:rsid w:val="00844515"/>
    <w:rsid w:val="0084465A"/>
    <w:rsid w:val="00844DFF"/>
    <w:rsid w:val="00845D87"/>
    <w:rsid w:val="008465B0"/>
    <w:rsid w:val="00846C3A"/>
    <w:rsid w:val="008477BF"/>
    <w:rsid w:val="008503DA"/>
    <w:rsid w:val="00850B68"/>
    <w:rsid w:val="00850E82"/>
    <w:rsid w:val="0085122D"/>
    <w:rsid w:val="008519E8"/>
    <w:rsid w:val="008525FF"/>
    <w:rsid w:val="00852C03"/>
    <w:rsid w:val="008553B0"/>
    <w:rsid w:val="0085590C"/>
    <w:rsid w:val="008575EB"/>
    <w:rsid w:val="00862DDD"/>
    <w:rsid w:val="0086326D"/>
    <w:rsid w:val="00863CC1"/>
    <w:rsid w:val="00863E1F"/>
    <w:rsid w:val="00865B01"/>
    <w:rsid w:val="00866D7A"/>
    <w:rsid w:val="00866EE3"/>
    <w:rsid w:val="008701E5"/>
    <w:rsid w:val="008701F4"/>
    <w:rsid w:val="00871F04"/>
    <w:rsid w:val="008746C1"/>
    <w:rsid w:val="0088003A"/>
    <w:rsid w:val="00880224"/>
    <w:rsid w:val="0088244C"/>
    <w:rsid w:val="00882FB1"/>
    <w:rsid w:val="00883367"/>
    <w:rsid w:val="00884C47"/>
    <w:rsid w:val="00885E6F"/>
    <w:rsid w:val="008861AC"/>
    <w:rsid w:val="008868E4"/>
    <w:rsid w:val="00886A60"/>
    <w:rsid w:val="0088759B"/>
    <w:rsid w:val="00887AB4"/>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4962"/>
    <w:rsid w:val="008D611D"/>
    <w:rsid w:val="008E1B6A"/>
    <w:rsid w:val="008E3054"/>
    <w:rsid w:val="008E32FF"/>
    <w:rsid w:val="008E5625"/>
    <w:rsid w:val="008E5C5B"/>
    <w:rsid w:val="008E6A37"/>
    <w:rsid w:val="008E7B6D"/>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6E04"/>
    <w:rsid w:val="00917093"/>
    <w:rsid w:val="0092030E"/>
    <w:rsid w:val="009217B1"/>
    <w:rsid w:val="00921A42"/>
    <w:rsid w:val="009223BB"/>
    <w:rsid w:val="00922491"/>
    <w:rsid w:val="00923BCF"/>
    <w:rsid w:val="009252EC"/>
    <w:rsid w:val="00925AEC"/>
    <w:rsid w:val="00926A4B"/>
    <w:rsid w:val="0092751A"/>
    <w:rsid w:val="009305C4"/>
    <w:rsid w:val="00930D61"/>
    <w:rsid w:val="00931FAF"/>
    <w:rsid w:val="009360F6"/>
    <w:rsid w:val="009371DC"/>
    <w:rsid w:val="0093759D"/>
    <w:rsid w:val="00940239"/>
    <w:rsid w:val="00942BD6"/>
    <w:rsid w:val="00942DED"/>
    <w:rsid w:val="00944404"/>
    <w:rsid w:val="00945203"/>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0FF9"/>
    <w:rsid w:val="00991276"/>
    <w:rsid w:val="009923E7"/>
    <w:rsid w:val="00992697"/>
    <w:rsid w:val="00992D4E"/>
    <w:rsid w:val="00994621"/>
    <w:rsid w:val="009947FF"/>
    <w:rsid w:val="0099544B"/>
    <w:rsid w:val="009A053D"/>
    <w:rsid w:val="009A07A6"/>
    <w:rsid w:val="009A0D56"/>
    <w:rsid w:val="009A2624"/>
    <w:rsid w:val="009A31B9"/>
    <w:rsid w:val="009A4D4F"/>
    <w:rsid w:val="009A5295"/>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01E6"/>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8AA"/>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23D2"/>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4EF3"/>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2A1"/>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4F5B"/>
    <w:rsid w:val="00BC5622"/>
    <w:rsid w:val="00BC6060"/>
    <w:rsid w:val="00BC7897"/>
    <w:rsid w:val="00BD0F35"/>
    <w:rsid w:val="00BD2760"/>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438"/>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21"/>
    <w:rsid w:val="00C53FC1"/>
    <w:rsid w:val="00C56438"/>
    <w:rsid w:val="00C570B3"/>
    <w:rsid w:val="00C6009F"/>
    <w:rsid w:val="00C60417"/>
    <w:rsid w:val="00C6046F"/>
    <w:rsid w:val="00C62F48"/>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9DE"/>
    <w:rsid w:val="00C94D4C"/>
    <w:rsid w:val="00C96E35"/>
    <w:rsid w:val="00CA012C"/>
    <w:rsid w:val="00CA0AA6"/>
    <w:rsid w:val="00CA2897"/>
    <w:rsid w:val="00CA44F3"/>
    <w:rsid w:val="00CA582C"/>
    <w:rsid w:val="00CA6077"/>
    <w:rsid w:val="00CA6837"/>
    <w:rsid w:val="00CA715B"/>
    <w:rsid w:val="00CA7988"/>
    <w:rsid w:val="00CA7BA2"/>
    <w:rsid w:val="00CB06AB"/>
    <w:rsid w:val="00CB0B78"/>
    <w:rsid w:val="00CB12A5"/>
    <w:rsid w:val="00CB17FA"/>
    <w:rsid w:val="00CB23D8"/>
    <w:rsid w:val="00CB249B"/>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3A7E"/>
    <w:rsid w:val="00CF4471"/>
    <w:rsid w:val="00CF51C0"/>
    <w:rsid w:val="00CF5B2A"/>
    <w:rsid w:val="00CF5F57"/>
    <w:rsid w:val="00CF62BB"/>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4D71"/>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B9C"/>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2426"/>
    <w:rsid w:val="00D83D4B"/>
    <w:rsid w:val="00D871C6"/>
    <w:rsid w:val="00D875F8"/>
    <w:rsid w:val="00D91010"/>
    <w:rsid w:val="00D9327C"/>
    <w:rsid w:val="00DA0FA7"/>
    <w:rsid w:val="00DA12B0"/>
    <w:rsid w:val="00DA2BA0"/>
    <w:rsid w:val="00DA39AD"/>
    <w:rsid w:val="00DA5B13"/>
    <w:rsid w:val="00DA6917"/>
    <w:rsid w:val="00DA6926"/>
    <w:rsid w:val="00DB0003"/>
    <w:rsid w:val="00DB0965"/>
    <w:rsid w:val="00DB0E47"/>
    <w:rsid w:val="00DB2BDD"/>
    <w:rsid w:val="00DB4121"/>
    <w:rsid w:val="00DB46C3"/>
    <w:rsid w:val="00DB5742"/>
    <w:rsid w:val="00DB5EDF"/>
    <w:rsid w:val="00DB6C46"/>
    <w:rsid w:val="00DB72B8"/>
    <w:rsid w:val="00DC16AF"/>
    <w:rsid w:val="00DC2A9A"/>
    <w:rsid w:val="00DC2E2E"/>
    <w:rsid w:val="00DC3F5A"/>
    <w:rsid w:val="00DC4D68"/>
    <w:rsid w:val="00DC6463"/>
    <w:rsid w:val="00DC7822"/>
    <w:rsid w:val="00DC7AF1"/>
    <w:rsid w:val="00DD2D92"/>
    <w:rsid w:val="00DD3026"/>
    <w:rsid w:val="00DD33DC"/>
    <w:rsid w:val="00DD3BB0"/>
    <w:rsid w:val="00DD61F5"/>
    <w:rsid w:val="00DE64A6"/>
    <w:rsid w:val="00DE66EB"/>
    <w:rsid w:val="00DE7035"/>
    <w:rsid w:val="00DF12E3"/>
    <w:rsid w:val="00DF2E8E"/>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2DC"/>
    <w:rsid w:val="00E32AC9"/>
    <w:rsid w:val="00E354DA"/>
    <w:rsid w:val="00E354F5"/>
    <w:rsid w:val="00E35FF6"/>
    <w:rsid w:val="00E3687E"/>
    <w:rsid w:val="00E40974"/>
    <w:rsid w:val="00E40AAB"/>
    <w:rsid w:val="00E40D7D"/>
    <w:rsid w:val="00E41205"/>
    <w:rsid w:val="00E41D6A"/>
    <w:rsid w:val="00E41F32"/>
    <w:rsid w:val="00E42608"/>
    <w:rsid w:val="00E43536"/>
    <w:rsid w:val="00E43DA3"/>
    <w:rsid w:val="00E44B80"/>
    <w:rsid w:val="00E47430"/>
    <w:rsid w:val="00E50FB7"/>
    <w:rsid w:val="00E5199F"/>
    <w:rsid w:val="00E526DF"/>
    <w:rsid w:val="00E53042"/>
    <w:rsid w:val="00E53C15"/>
    <w:rsid w:val="00E549E5"/>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22C"/>
    <w:rsid w:val="00EB167E"/>
    <w:rsid w:val="00EB24ED"/>
    <w:rsid w:val="00EB2A00"/>
    <w:rsid w:val="00EB309B"/>
    <w:rsid w:val="00EB3AA2"/>
    <w:rsid w:val="00EB4763"/>
    <w:rsid w:val="00EB6CB7"/>
    <w:rsid w:val="00EC078B"/>
    <w:rsid w:val="00EC07A0"/>
    <w:rsid w:val="00EC08E4"/>
    <w:rsid w:val="00EC3CB4"/>
    <w:rsid w:val="00EC443E"/>
    <w:rsid w:val="00EC4C19"/>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2BD"/>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37DFE"/>
    <w:rsid w:val="00F40C3B"/>
    <w:rsid w:val="00F40CE0"/>
    <w:rsid w:val="00F42DBC"/>
    <w:rsid w:val="00F4308D"/>
    <w:rsid w:val="00F44012"/>
    <w:rsid w:val="00F44947"/>
    <w:rsid w:val="00F458EF"/>
    <w:rsid w:val="00F47121"/>
    <w:rsid w:val="00F4775D"/>
    <w:rsid w:val="00F504DD"/>
    <w:rsid w:val="00F50874"/>
    <w:rsid w:val="00F516C6"/>
    <w:rsid w:val="00F51E1E"/>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37A1"/>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 w:val="00FF7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 w:type="paragraph" w:customStyle="1" w:styleId="AboutMSCIBody">
    <w:name w:val="About MSCI Body"/>
    <w:basedOn w:val="BodyText"/>
    <w:rsid w:val="00830EA3"/>
    <w:pPr>
      <w:numPr>
        <w:numId w:val="0"/>
      </w:numPr>
      <w:spacing w:after="120"/>
    </w:pPr>
    <w:rPr>
      <w:rFonts w:ascii="Calibri" w:hAnsi="Calibri"/>
      <w:sz w:val="18"/>
      <w:szCs w:val="1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 w:type="paragraph" w:customStyle="1" w:styleId="AboutMSCIBody">
    <w:name w:val="About MSCI Body"/>
    <w:basedOn w:val="BodyText"/>
    <w:rsid w:val="00830EA3"/>
    <w:pPr>
      <w:numPr>
        <w:numId w:val="0"/>
      </w:numPr>
      <w:spacing w:after="120"/>
    </w:pPr>
    <w:rPr>
      <w:rFonts w:ascii="Calibri" w:hAnsi="Calibri"/>
      <w:sz w:val="18"/>
      <w:szCs w:val="1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msci.com/products/indexes/regulatio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4A9D2-DA06-4F30-913B-117A19B8F254}">
  <ds:schemaRefs>
    <ds:schemaRef ds:uri="http://schemas.openxmlformats.org/officeDocument/2006/bibliography"/>
  </ds:schemaRefs>
</ds:datastoreItem>
</file>

<file path=customXml/itemProps2.xml><?xml version="1.0" encoding="utf-8"?>
<ds:datastoreItem xmlns:ds="http://schemas.openxmlformats.org/officeDocument/2006/customXml" ds:itemID="{5ABBEA78-6C4C-4765-A735-F23A9492A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6420</Words>
  <Characters>36642</Characters>
  <Application>Microsoft Office Word</Application>
  <DocSecurity>8</DocSecurity>
  <Lines>305</Lines>
  <Paragraphs>85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ESEF CP</vt:lpstr>
      <vt:lpstr>20110000</vt:lpstr>
      <vt:lpstr>20110000</vt:lpstr>
      <vt:lpstr>20110000</vt:lpstr>
      <vt:lpstr>20110000</vt:lpstr>
    </vt:vector>
  </TitlesOfParts>
  <Company>ESMA</Company>
  <LinksUpToDate>false</LinksUpToDate>
  <CharactersWithSpaces>42977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Pawliczek, Jamie</cp:lastModifiedBy>
  <cp:revision>2</cp:revision>
  <cp:lastPrinted>2016-12-02T12:38:00Z</cp:lastPrinted>
  <dcterms:created xsi:type="dcterms:W3CDTF">2016-12-02T13:23:00Z</dcterms:created>
  <dcterms:modified xsi:type="dcterms:W3CDTF">2016-12-02T13:23:00Z</dcterms:modified>
</cp:coreProperties>
</file>