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F82B4A" w:rsidRDefault="00F82B4A" w:rsidP="00F82B4A">
      <w:pPr>
        <w:autoSpaceDE w:val="0"/>
        <w:autoSpaceDN w:val="0"/>
        <w:adjustRightInd w:val="0"/>
        <w:rPr>
          <w:rFonts w:cs="Arial"/>
          <w:color w:val="000000"/>
          <w:szCs w:val="20"/>
          <w:lang w:val="en-US" w:eastAsia="en-GB"/>
        </w:rPr>
      </w:pPr>
      <w:permStart w:id="1348632486" w:edGrp="everyone"/>
      <w:r>
        <w:rPr>
          <w:rFonts w:cs="Arial"/>
          <w:color w:val="000000"/>
          <w:szCs w:val="20"/>
          <w:lang w:val="en-US" w:eastAsia="en-GB"/>
        </w:rPr>
        <w:t>S</w:t>
      </w:r>
      <w:r w:rsidRPr="000454F0">
        <w:rPr>
          <w:rFonts w:cs="Arial"/>
          <w:color w:val="000000"/>
          <w:szCs w:val="20"/>
          <w:lang w:val="en-US" w:eastAsia="en-GB"/>
        </w:rPr>
        <w:t>&amp;P Global welcomes the opportunity to provide comments to ESMA’s Consultation Paper on Draft Tec</w:t>
      </w:r>
      <w:r w:rsidRPr="000454F0">
        <w:rPr>
          <w:rFonts w:cs="Arial"/>
          <w:color w:val="000000"/>
          <w:szCs w:val="20"/>
          <w:lang w:val="en-US" w:eastAsia="en-GB"/>
        </w:rPr>
        <w:t>h</w:t>
      </w:r>
      <w:r w:rsidRPr="000454F0">
        <w:rPr>
          <w:rFonts w:cs="Arial"/>
          <w:color w:val="000000"/>
          <w:szCs w:val="20"/>
          <w:lang w:val="en-US" w:eastAsia="en-GB"/>
        </w:rPr>
        <w:t xml:space="preserve">nical </w:t>
      </w:r>
      <w:r>
        <w:rPr>
          <w:rFonts w:cs="Arial"/>
          <w:color w:val="000000"/>
          <w:szCs w:val="20"/>
          <w:lang w:val="en-US" w:eastAsia="en-GB"/>
        </w:rPr>
        <w:t>Standards</w:t>
      </w:r>
      <w:r w:rsidRPr="000454F0">
        <w:rPr>
          <w:rFonts w:cs="Arial"/>
          <w:color w:val="000000"/>
          <w:szCs w:val="20"/>
          <w:lang w:val="en-US" w:eastAsia="en-GB"/>
        </w:rPr>
        <w:t xml:space="preserve"> under the Benchmarks Regulation (CP). </w:t>
      </w:r>
    </w:p>
    <w:p w:rsidR="00F82B4A" w:rsidRPr="000454F0" w:rsidRDefault="00F82B4A" w:rsidP="00F82B4A">
      <w:pPr>
        <w:autoSpaceDE w:val="0"/>
        <w:autoSpaceDN w:val="0"/>
        <w:adjustRightInd w:val="0"/>
        <w:rPr>
          <w:rFonts w:cs="Arial"/>
          <w:color w:val="000000"/>
          <w:szCs w:val="20"/>
          <w:lang w:val="en-US" w:eastAsia="en-GB"/>
        </w:rPr>
      </w:pPr>
    </w:p>
    <w:p w:rsidR="00F82B4A" w:rsidRDefault="00F82B4A" w:rsidP="00F82B4A">
      <w:pPr>
        <w:autoSpaceDE w:val="0"/>
        <w:autoSpaceDN w:val="0"/>
        <w:adjustRightInd w:val="0"/>
        <w:rPr>
          <w:rFonts w:cs="Arial"/>
          <w:color w:val="000000"/>
          <w:szCs w:val="20"/>
          <w:lang w:val="en-US" w:eastAsia="en-GB"/>
        </w:rPr>
      </w:pPr>
      <w:r w:rsidRPr="000454F0">
        <w:rPr>
          <w:rFonts w:cs="Arial"/>
          <w:color w:val="000000"/>
          <w:szCs w:val="20"/>
          <w:lang w:val="en-US" w:eastAsia="en-GB"/>
        </w:rPr>
        <w:t>S&amp;P Global is the parent company of S&amp;P Dow Jones Indices (S&amp;P DJI) and S&amp;P Global Platts (Platts), which both produce and distribute benchmarks for the financial and commodity markets. Formed in 2012 by combining the S&amp;P Indices business and the Dow Jones Indexes, S&amp;P DJI is a leading provider of financial market indices which include the Dow Jones Industrial Average ®, established in 1896, and the S&amp;P 500 ®, established in 1957. Platts is the leading independent provider of information and benchmark prices for the commodities and energy markets. Platts’ coverage includes oil and gas, power, petrochem</w:t>
      </w:r>
      <w:r w:rsidRPr="000454F0">
        <w:rPr>
          <w:rFonts w:cs="Arial"/>
          <w:color w:val="000000"/>
          <w:szCs w:val="20"/>
          <w:lang w:val="en-US" w:eastAsia="en-GB"/>
        </w:rPr>
        <w:t>i</w:t>
      </w:r>
      <w:r w:rsidRPr="000454F0">
        <w:rPr>
          <w:rFonts w:cs="Arial"/>
          <w:color w:val="000000"/>
          <w:szCs w:val="20"/>
          <w:lang w:val="en-US" w:eastAsia="en-GB"/>
        </w:rPr>
        <w:t xml:space="preserve">cals, metals, agriculture and shipping. </w:t>
      </w:r>
    </w:p>
    <w:p w:rsidR="00F82B4A" w:rsidRPr="000454F0" w:rsidRDefault="00F82B4A" w:rsidP="00F82B4A">
      <w:pPr>
        <w:autoSpaceDE w:val="0"/>
        <w:autoSpaceDN w:val="0"/>
        <w:adjustRightInd w:val="0"/>
        <w:rPr>
          <w:rFonts w:cs="Arial"/>
          <w:color w:val="000000"/>
          <w:szCs w:val="20"/>
          <w:lang w:val="en-US" w:eastAsia="en-GB"/>
        </w:rPr>
      </w:pPr>
    </w:p>
    <w:p w:rsidR="00F82B4A" w:rsidRDefault="00F82B4A" w:rsidP="00F82B4A">
      <w:pPr>
        <w:autoSpaceDE w:val="0"/>
        <w:autoSpaceDN w:val="0"/>
        <w:adjustRightInd w:val="0"/>
        <w:rPr>
          <w:rFonts w:cs="Arial"/>
          <w:color w:val="000000"/>
          <w:szCs w:val="20"/>
          <w:lang w:val="en-US" w:eastAsia="en-GB"/>
        </w:rPr>
      </w:pPr>
      <w:r w:rsidRPr="000454F0">
        <w:rPr>
          <w:rFonts w:cs="Arial"/>
          <w:color w:val="000000"/>
          <w:szCs w:val="20"/>
          <w:lang w:val="en-US" w:eastAsia="en-GB"/>
        </w:rPr>
        <w:t xml:space="preserve">Both Platts and S&amp;P DJI are independent and separate from market participants, product providers and government entities. They do not participate in the markets they measure and have no vested interest in the value of any indices or price assessments they produce. </w:t>
      </w:r>
    </w:p>
    <w:p w:rsidR="00F82B4A" w:rsidRPr="000454F0" w:rsidRDefault="00F82B4A" w:rsidP="00F82B4A">
      <w:pPr>
        <w:autoSpaceDE w:val="0"/>
        <w:autoSpaceDN w:val="0"/>
        <w:adjustRightInd w:val="0"/>
        <w:rPr>
          <w:rFonts w:cs="Arial"/>
          <w:color w:val="000000"/>
          <w:szCs w:val="20"/>
          <w:lang w:val="en-US" w:eastAsia="en-GB"/>
        </w:rPr>
      </w:pPr>
    </w:p>
    <w:p w:rsidR="00F82B4A" w:rsidRDefault="00F82B4A" w:rsidP="00F82B4A">
      <w:pPr>
        <w:autoSpaceDE w:val="0"/>
        <w:autoSpaceDN w:val="0"/>
        <w:adjustRightInd w:val="0"/>
        <w:rPr>
          <w:rFonts w:cs="Arial"/>
          <w:color w:val="000000"/>
          <w:szCs w:val="20"/>
          <w:lang w:val="en-US" w:eastAsia="en-GB"/>
        </w:rPr>
      </w:pPr>
      <w:r w:rsidRPr="000454F0">
        <w:rPr>
          <w:rFonts w:cs="Arial"/>
          <w:color w:val="000000"/>
          <w:szCs w:val="20"/>
          <w:lang w:val="en-US" w:eastAsia="en-GB"/>
        </w:rPr>
        <w:t xml:space="preserve">We hope that our comments and suggestions on ESMA’s CP are helpful. </w:t>
      </w:r>
    </w:p>
    <w:p w:rsidR="00F82B4A" w:rsidRPr="000454F0" w:rsidRDefault="00F82B4A" w:rsidP="00F82B4A">
      <w:pPr>
        <w:autoSpaceDE w:val="0"/>
        <w:autoSpaceDN w:val="0"/>
        <w:adjustRightInd w:val="0"/>
        <w:rPr>
          <w:rFonts w:cs="Arial"/>
          <w:color w:val="000000"/>
          <w:szCs w:val="20"/>
          <w:lang w:val="en-US" w:eastAsia="en-GB"/>
        </w:rPr>
      </w:pPr>
    </w:p>
    <w:p w:rsidR="00F82B4A" w:rsidRPr="000454F0" w:rsidRDefault="00F82B4A" w:rsidP="00F82B4A">
      <w:pPr>
        <w:autoSpaceDE w:val="0"/>
        <w:autoSpaceDN w:val="0"/>
        <w:adjustRightInd w:val="0"/>
        <w:rPr>
          <w:rFonts w:cs="Arial"/>
          <w:color w:val="000000"/>
          <w:szCs w:val="20"/>
          <w:lang w:val="en-US" w:eastAsia="en-GB"/>
        </w:rPr>
      </w:pPr>
      <w:r w:rsidRPr="000454F0">
        <w:rPr>
          <w:rFonts w:cs="Arial"/>
          <w:color w:val="000000"/>
          <w:szCs w:val="20"/>
          <w:lang w:val="en-US" w:eastAsia="en-GB"/>
        </w:rPr>
        <w:t xml:space="preserve">If you have any questions on the issues raised, or if you would like to discuss any points further please contact: Joe DePaolo, </w:t>
      </w:r>
      <w:r>
        <w:rPr>
          <w:rFonts w:cs="Arial"/>
          <w:color w:val="000000"/>
          <w:szCs w:val="20"/>
          <w:lang w:val="en-US" w:eastAsia="en-GB"/>
        </w:rPr>
        <w:t xml:space="preserve">Chief Legal Officer, S&amp;PDJI &amp; </w:t>
      </w:r>
      <w:r w:rsidRPr="000454F0">
        <w:rPr>
          <w:rFonts w:cs="Arial"/>
          <w:color w:val="000000"/>
          <w:szCs w:val="20"/>
          <w:lang w:val="en-US" w:eastAsia="en-GB"/>
        </w:rPr>
        <w:t xml:space="preserve">Associate General Counsel, S&amp;P Global, at </w:t>
      </w:r>
    </w:p>
    <w:p w:rsidR="00F82B4A" w:rsidRDefault="00F82B4A" w:rsidP="00F82B4A">
      <w:r w:rsidRPr="000454F0">
        <w:rPr>
          <w:rFonts w:cs="Arial"/>
          <w:color w:val="000000"/>
          <w:szCs w:val="20"/>
          <w:lang w:val="en-US" w:eastAsia="en-GB"/>
        </w:rPr>
        <w:t xml:space="preserve">joseph.depaolo@spglobal.com or 001 212-438-3651; or, Pierre Davis, Chief Legal Officer, S&amp;P Global Platts </w:t>
      </w:r>
      <w:r>
        <w:rPr>
          <w:rFonts w:cs="Arial"/>
          <w:color w:val="000000"/>
          <w:szCs w:val="20"/>
          <w:lang w:val="en-US" w:eastAsia="en-GB"/>
        </w:rPr>
        <w:t xml:space="preserve">&amp; </w:t>
      </w:r>
      <w:r w:rsidRPr="000454F0">
        <w:rPr>
          <w:rFonts w:cs="Arial"/>
          <w:color w:val="000000"/>
          <w:szCs w:val="20"/>
          <w:lang w:val="en-US" w:eastAsia="en-GB"/>
        </w:rPr>
        <w:t>Associate General Counsel, S&amp;P Global, at pierre.davis@spglobal.com</w:t>
      </w:r>
    </w:p>
    <w:permEnd w:id="1348632486"/>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D238F7" w:rsidRDefault="00D238F7" w:rsidP="009A2624">
      <w:permStart w:id="458061271" w:edGrp="everyone"/>
      <w:r>
        <w:t xml:space="preserve">Yes, </w:t>
      </w:r>
      <w:r w:rsidR="005F2E94">
        <w:t>we</w:t>
      </w:r>
      <w:r>
        <w:t xml:space="preserve"> believe that the proposed approach is sufficiently flexible.</w:t>
      </w:r>
      <w:r w:rsidR="00CE3308">
        <w:t xml:space="preserve"> We appreciate ESMA’s consideration that the mandate regarding composition be flexible “to allow administrators to select a structure</w:t>
      </w:r>
      <w:r w:rsidR="00CF54DB">
        <w:t xml:space="preserve"> most appropriate to their businesses” as set </w:t>
      </w:r>
      <w:r w:rsidR="00F82B4A">
        <w:t>forth in Paragraph 3 of the CP</w:t>
      </w:r>
      <w:r w:rsidR="00E54951">
        <w:t>. The five examples include a diverse set of arrangements with, in particular, the ability for an “oversight function consisting of multiple commi</w:t>
      </w:r>
      <w:r w:rsidR="00E54951">
        <w:t>t</w:t>
      </w:r>
      <w:r w:rsidR="00E54951">
        <w:t xml:space="preserve">tees, each performing a subset of the oversight responsibilities and tasks…” as set forth in Paragraph 5 of the Annex to the draft </w:t>
      </w:r>
      <w:r w:rsidR="00543F4D" w:rsidRPr="00D071FB">
        <w:t xml:space="preserve">regulatory </w:t>
      </w:r>
      <w:r w:rsidR="00E54951">
        <w:t>technical standards (RTS) for the oversight function</w:t>
      </w:r>
      <w:r w:rsidR="005F2E94">
        <w:t xml:space="preserve"> and also include flexibility with regard to the composition of the oversight function</w:t>
      </w:r>
      <w:r w:rsidR="00553EEA">
        <w:t xml:space="preserve"> to avoid conflicts of interest.  </w:t>
      </w:r>
    </w:p>
    <w:permEnd w:id="458061271"/>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932456" w:rsidP="009A2624">
      <w:permStart w:id="1246627484" w:edGrp="everyone"/>
      <w:r>
        <w:t>Yes, we are supportive.</w:t>
      </w:r>
    </w:p>
    <w:permEnd w:id="1246627484"/>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F0763E" w:rsidRDefault="00CE3308" w:rsidP="00D9466A">
      <w:permStart w:id="1722835353" w:edGrp="everyone"/>
      <w:r>
        <w:t>Yes, we are supportive of observers being permitted to attend meetings of the oversight committee “at the discretion of the oversight function only” as set forth in Paragraph 16 of the CP. It is important to stress the need that this be at the discretion of the oversight</w:t>
      </w:r>
      <w:r w:rsidR="00D9466A">
        <w:t xml:space="preserve"> function</w:t>
      </w:r>
      <w:r w:rsidR="005F2E94" w:rsidRPr="005F2E94">
        <w:t xml:space="preserve"> </w:t>
      </w:r>
      <w:r w:rsidR="005F2E94">
        <w:t>and that a clear distinction be made between observers and members.  For example, in some instances, like in the case of commodities benchmarks subject to Title II, ESMA’s request that representatives of contributors, whether supervised or unsupe</w:t>
      </w:r>
      <w:r w:rsidR="005F2E94">
        <w:t>r</w:t>
      </w:r>
      <w:r w:rsidR="005F2E94">
        <w:t>vised, be included in the oversight functions, may not be feasible and may create, rather than d</w:t>
      </w:r>
      <w:r w:rsidR="00D071FB">
        <w:t>iminish, conflicts of interest.</w:t>
      </w:r>
    </w:p>
    <w:p w:rsidR="00F0763E" w:rsidRDefault="00F0763E" w:rsidP="00D9466A"/>
    <w:p w:rsidR="00D9466A" w:rsidRPr="00D9466A" w:rsidRDefault="00D9466A" w:rsidP="00D9466A">
      <w:r>
        <w:t xml:space="preserve">In this regard, we suggest that Article 3 paragraph 1 b) </w:t>
      </w:r>
      <w:r w:rsidR="00F0763E">
        <w:t xml:space="preserve">includes the underlined wording </w:t>
      </w:r>
      <w:r>
        <w:t>as follows: “</w:t>
      </w:r>
      <w:r w:rsidRPr="00F0763E">
        <w:rPr>
          <w:rFonts w:cs="Arial"/>
          <w:i/>
          <w:szCs w:val="20"/>
          <w:lang w:val="en-US" w:eastAsia="fr-BE"/>
        </w:rPr>
        <w:t xml:space="preserve">criteria to select members of the </w:t>
      </w:r>
      <w:r w:rsidRPr="00D9466A">
        <w:rPr>
          <w:rFonts w:cs="Arial"/>
          <w:i/>
          <w:szCs w:val="20"/>
          <w:lang w:val="en-US" w:eastAsia="fr-BE"/>
        </w:rPr>
        <w:t xml:space="preserve">oversight function, including evaluation of members’ expertise and skills and the time commitments required, and </w:t>
      </w:r>
      <w:r w:rsidR="00F0763E" w:rsidRPr="00F0763E">
        <w:rPr>
          <w:rFonts w:cs="Arial"/>
          <w:i/>
          <w:szCs w:val="20"/>
          <w:u w:val="single"/>
          <w:lang w:val="en-US" w:eastAsia="fr-BE"/>
        </w:rPr>
        <w:t>where appropriate</w:t>
      </w:r>
      <w:r w:rsidR="00F0763E" w:rsidRPr="00D9466A">
        <w:rPr>
          <w:rFonts w:cs="Arial"/>
          <w:i/>
          <w:szCs w:val="20"/>
          <w:lang w:val="en-US" w:eastAsia="fr-BE"/>
        </w:rPr>
        <w:t xml:space="preserve"> </w:t>
      </w:r>
      <w:r w:rsidRPr="00D9466A">
        <w:rPr>
          <w:rFonts w:cs="Arial"/>
          <w:i/>
          <w:szCs w:val="20"/>
          <w:lang w:val="en-US" w:eastAsia="fr-BE"/>
        </w:rPr>
        <w:t>to identify appropriate observers that may be permi</w:t>
      </w:r>
      <w:r w:rsidRPr="00D9466A">
        <w:rPr>
          <w:rFonts w:cs="Arial"/>
          <w:i/>
          <w:szCs w:val="20"/>
          <w:lang w:val="en-US" w:eastAsia="fr-BE"/>
        </w:rPr>
        <w:t>t</w:t>
      </w:r>
      <w:r w:rsidRPr="00D9466A">
        <w:rPr>
          <w:rFonts w:cs="Arial"/>
          <w:i/>
          <w:szCs w:val="20"/>
          <w:lang w:val="en-US" w:eastAsia="fr-BE"/>
        </w:rPr>
        <w:t>ted to join some meetings of the oversight function</w:t>
      </w:r>
    </w:p>
    <w:permEnd w:id="1722835353"/>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13075" w:rsidRPr="00913075" w:rsidRDefault="00932456" w:rsidP="009A5514">
      <w:pPr>
        <w:jc w:val="both"/>
        <w:rPr>
          <w:rFonts w:cs="Arial"/>
          <w:color w:val="000000"/>
          <w:szCs w:val="20"/>
          <w:lang w:val="en-US" w:eastAsia="en-GB"/>
        </w:rPr>
      </w:pPr>
      <w:permStart w:id="1380207372" w:edGrp="everyone"/>
      <w:r w:rsidRPr="00D238F7">
        <w:rPr>
          <w:rFonts w:cs="Arial"/>
          <w:szCs w:val="20"/>
          <w:lang w:val="en-US"/>
        </w:rPr>
        <w:t xml:space="preserve">We generally support ESMA’s proportional </w:t>
      </w:r>
      <w:r w:rsidR="00D238F7" w:rsidRPr="00D238F7">
        <w:rPr>
          <w:rFonts w:cs="Arial"/>
          <w:szCs w:val="20"/>
          <w:lang w:val="en-US"/>
        </w:rPr>
        <w:t xml:space="preserve">and flexible </w:t>
      </w:r>
      <w:r w:rsidRPr="00D238F7">
        <w:rPr>
          <w:rFonts w:cs="Arial"/>
          <w:szCs w:val="20"/>
          <w:lang w:val="en-US"/>
        </w:rPr>
        <w:t>approach</w:t>
      </w:r>
      <w:r w:rsidR="00D238F7" w:rsidRPr="00D238F7">
        <w:rPr>
          <w:rFonts w:cs="Arial"/>
          <w:szCs w:val="20"/>
          <w:lang w:val="en-US"/>
        </w:rPr>
        <w:t xml:space="preserve"> but we </w:t>
      </w:r>
      <w:r w:rsidRPr="00D238F7">
        <w:rPr>
          <w:rFonts w:cs="Arial"/>
          <w:szCs w:val="20"/>
          <w:lang w:val="en-US"/>
        </w:rPr>
        <w:t xml:space="preserve">are concerned by Article 3 par 1 (a) as regards </w:t>
      </w:r>
      <w:r w:rsidRPr="00005C55">
        <w:rPr>
          <w:rFonts w:cs="Arial"/>
          <w:i/>
          <w:szCs w:val="20"/>
          <w:lang w:val="en-US"/>
        </w:rPr>
        <w:t>“</w:t>
      </w:r>
      <w:r w:rsidRPr="00DA494D">
        <w:rPr>
          <w:rFonts w:cs="Arial"/>
          <w:i/>
          <w:color w:val="000000"/>
          <w:szCs w:val="20"/>
          <w:lang w:val="en-US" w:eastAsia="en-GB"/>
        </w:rPr>
        <w:t>the recording and publication of minutes of the meetings or decisions of the oversight function</w:t>
      </w:r>
      <w:r w:rsidRPr="00005C55">
        <w:rPr>
          <w:rFonts w:cs="Arial"/>
          <w:i/>
          <w:color w:val="000000"/>
          <w:szCs w:val="20"/>
          <w:lang w:val="en-US" w:eastAsia="en-GB"/>
        </w:rPr>
        <w:t>.</w:t>
      </w:r>
      <w:r w:rsidRPr="00D238F7">
        <w:rPr>
          <w:rFonts w:cs="Arial"/>
          <w:szCs w:val="20"/>
          <w:lang w:val="en-US"/>
        </w:rPr>
        <w:t>”</w:t>
      </w:r>
      <w:r w:rsidRPr="00DA494D">
        <w:rPr>
          <w:rFonts w:cs="Arial"/>
          <w:color w:val="000000"/>
          <w:szCs w:val="20"/>
          <w:lang w:val="en-US" w:eastAsia="en-GB"/>
        </w:rPr>
        <w:t xml:space="preserve"> </w:t>
      </w:r>
      <w:r w:rsidR="00742CE7">
        <w:rPr>
          <w:rFonts w:cs="Arial"/>
          <w:color w:val="000000"/>
          <w:szCs w:val="20"/>
          <w:lang w:val="en-US" w:eastAsia="en-GB"/>
        </w:rPr>
        <w:t>These minutes could include sensitive, confidential information and w</w:t>
      </w:r>
      <w:r w:rsidRPr="00D238F7">
        <w:rPr>
          <w:rFonts w:cs="Arial"/>
          <w:color w:val="000000"/>
          <w:szCs w:val="20"/>
          <w:lang w:val="en-US" w:eastAsia="en-GB"/>
        </w:rPr>
        <w:t xml:space="preserve">e believe that </w:t>
      </w:r>
      <w:r w:rsidR="00D238F7" w:rsidRPr="00D238F7">
        <w:rPr>
          <w:rFonts w:cs="Arial"/>
          <w:color w:val="000000"/>
          <w:szCs w:val="20"/>
          <w:lang w:val="en-US" w:eastAsia="en-GB"/>
        </w:rPr>
        <w:t>such a req</w:t>
      </w:r>
      <w:r w:rsidR="008B33B6">
        <w:rPr>
          <w:rFonts w:cs="Arial"/>
          <w:color w:val="000000"/>
          <w:szCs w:val="20"/>
          <w:lang w:val="en-US" w:eastAsia="en-GB"/>
        </w:rPr>
        <w:t>uirement would be disproportionate</w:t>
      </w:r>
      <w:r w:rsidR="00742CE7">
        <w:rPr>
          <w:rFonts w:cs="Arial"/>
          <w:color w:val="000000"/>
          <w:szCs w:val="20"/>
          <w:lang w:val="en-US" w:eastAsia="en-GB"/>
        </w:rPr>
        <w:t xml:space="preserve">. We </w:t>
      </w:r>
      <w:r w:rsidR="00D238F7" w:rsidRPr="00D238F7">
        <w:rPr>
          <w:rFonts w:cs="Arial"/>
          <w:color w:val="000000"/>
          <w:szCs w:val="20"/>
          <w:lang w:val="en-US" w:eastAsia="en-GB"/>
        </w:rPr>
        <w:t xml:space="preserve">would like to suggest that </w:t>
      </w:r>
      <w:r w:rsidRPr="00D238F7">
        <w:rPr>
          <w:rFonts w:cs="Arial"/>
          <w:color w:val="000000"/>
          <w:szCs w:val="20"/>
          <w:lang w:val="en-US" w:eastAsia="en-GB"/>
        </w:rPr>
        <w:t>the minutes should not</w:t>
      </w:r>
      <w:r w:rsidR="00D238F7" w:rsidRPr="00D238F7">
        <w:rPr>
          <w:rFonts w:cs="Arial"/>
          <w:color w:val="000000"/>
          <w:szCs w:val="20"/>
          <w:lang w:val="en-US" w:eastAsia="en-GB"/>
        </w:rPr>
        <w:t xml:space="preserve"> be made public but </w:t>
      </w:r>
      <w:r w:rsidR="00843C57">
        <w:rPr>
          <w:rFonts w:cs="Arial"/>
          <w:color w:val="000000"/>
          <w:szCs w:val="20"/>
          <w:lang w:val="en-US" w:eastAsia="en-GB"/>
        </w:rPr>
        <w:t>that any such information be made</w:t>
      </w:r>
      <w:r w:rsidR="00742CE7">
        <w:rPr>
          <w:rFonts w:cs="Arial"/>
          <w:color w:val="000000"/>
          <w:szCs w:val="20"/>
          <w:lang w:val="en-US" w:eastAsia="en-GB"/>
        </w:rPr>
        <w:t xml:space="preserve"> </w:t>
      </w:r>
      <w:r w:rsidR="00D238F7" w:rsidRPr="00D238F7">
        <w:rPr>
          <w:rFonts w:cs="Arial"/>
          <w:color w:val="000000"/>
          <w:szCs w:val="20"/>
          <w:lang w:val="en-US" w:eastAsia="en-GB"/>
        </w:rPr>
        <w:t>available to</w:t>
      </w:r>
      <w:r w:rsidR="00843C57">
        <w:rPr>
          <w:rFonts w:cs="Arial"/>
          <w:color w:val="000000"/>
          <w:szCs w:val="20"/>
          <w:lang w:val="en-US" w:eastAsia="en-GB"/>
        </w:rPr>
        <w:t xml:space="preserve"> the relevant NCA unless it is legally protected from disclosure</w:t>
      </w:r>
      <w:r w:rsidR="00D238F7">
        <w:rPr>
          <w:rFonts w:cs="Arial"/>
          <w:color w:val="000000"/>
          <w:szCs w:val="20"/>
          <w:lang w:val="en-US" w:eastAsia="en-GB"/>
        </w:rPr>
        <w:t>.</w:t>
      </w:r>
      <w:r w:rsidR="00843C57">
        <w:rPr>
          <w:rFonts w:cs="Arial"/>
          <w:color w:val="000000"/>
          <w:szCs w:val="20"/>
          <w:lang w:val="en-US" w:eastAsia="en-GB"/>
        </w:rPr>
        <w:t xml:space="preserve"> </w:t>
      </w:r>
      <w:r w:rsidR="00913075">
        <w:rPr>
          <w:rFonts w:cs="Arial"/>
          <w:color w:val="000000"/>
          <w:szCs w:val="20"/>
          <w:lang w:val="en-US" w:eastAsia="en-GB"/>
        </w:rPr>
        <w:t xml:space="preserve"> We also want to stress the importance of ensuring any external members, including contributors of regulated data, be included only at the discretion of the administrator.</w:t>
      </w:r>
    </w:p>
    <w:permEnd w:id="1380207372"/>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F82B4A" w:rsidRDefault="00D238F7" w:rsidP="00D238F7">
      <w:pPr>
        <w:jc w:val="both"/>
        <w:rPr>
          <w:rFonts w:cs="Arial"/>
          <w:lang w:val="en-US"/>
        </w:rPr>
      </w:pPr>
      <w:permStart w:id="677267681" w:edGrp="everyone"/>
      <w:r>
        <w:lastRenderedPageBreak/>
        <w:t xml:space="preserve">We </w:t>
      </w:r>
      <w:r w:rsidR="00932456" w:rsidRPr="00DA494D">
        <w:t xml:space="preserve">agree with ESMA’s proposed approach to </w:t>
      </w:r>
      <w:r w:rsidR="00932456" w:rsidRPr="00DA494D">
        <w:rPr>
          <w:rFonts w:cs="Arial"/>
          <w:lang w:val="en-US"/>
        </w:rPr>
        <w:t xml:space="preserve">allow administrators to have flexibility and discretion over the structure of the oversight function </w:t>
      </w:r>
      <w:r w:rsidR="00E54951">
        <w:rPr>
          <w:rFonts w:cs="Arial"/>
          <w:lang w:val="en-US"/>
        </w:rPr>
        <w:t xml:space="preserve">so that the administrator can determine </w:t>
      </w:r>
      <w:r w:rsidR="00932456" w:rsidRPr="00DA494D">
        <w:rPr>
          <w:rFonts w:cs="Arial"/>
          <w:lang w:val="en-US"/>
        </w:rPr>
        <w:t>which would be most appr</w:t>
      </w:r>
      <w:r w:rsidR="00932456" w:rsidRPr="00DA494D">
        <w:rPr>
          <w:rFonts w:cs="Arial"/>
          <w:lang w:val="en-US"/>
        </w:rPr>
        <w:t>o</w:t>
      </w:r>
      <w:r w:rsidR="00932456" w:rsidRPr="00DA494D">
        <w:rPr>
          <w:rFonts w:cs="Arial"/>
          <w:lang w:val="en-US"/>
        </w:rPr>
        <w:t>priate for their business</w:t>
      </w:r>
      <w:r w:rsidR="00E54951">
        <w:rPr>
          <w:rFonts w:cs="Arial"/>
          <w:lang w:val="en-US"/>
        </w:rPr>
        <w:t>,</w:t>
      </w:r>
      <w:r w:rsidR="00932456" w:rsidRPr="00DA494D">
        <w:rPr>
          <w:rFonts w:cs="Arial"/>
          <w:lang w:val="en-US"/>
        </w:rPr>
        <w:t xml:space="preserve"> including </w:t>
      </w:r>
      <w:r w:rsidR="00932456" w:rsidRPr="00DA494D">
        <w:rPr>
          <w:rFonts w:cs="Arial"/>
          <w:lang w:val="en-US" w:eastAsia="fr-BE"/>
        </w:rPr>
        <w:t>the possibility for administrators “to operate multiple committees which carry out separate tasks and together form the oversight function for specific benchmarks”</w:t>
      </w:r>
      <w:r w:rsidR="00E54951">
        <w:rPr>
          <w:rFonts w:cs="Arial"/>
          <w:lang w:val="en-US" w:eastAsia="fr-BE"/>
        </w:rPr>
        <w:t xml:space="preserve"> (Paragraph 5 of the Annex of </w:t>
      </w:r>
      <w:r w:rsidR="004C126C">
        <w:rPr>
          <w:rFonts w:cs="Arial"/>
          <w:lang w:val="en-US" w:eastAsia="fr-BE"/>
        </w:rPr>
        <w:t>RTS: Oversight Function)</w:t>
      </w:r>
      <w:r w:rsidR="00932456" w:rsidRPr="00DA494D">
        <w:rPr>
          <w:rFonts w:cs="Arial"/>
          <w:lang w:val="en-US" w:eastAsia="fr-BE"/>
        </w:rPr>
        <w:t>.</w:t>
      </w:r>
      <w:r w:rsidR="004C126C">
        <w:rPr>
          <w:rFonts w:cs="Arial"/>
          <w:lang w:val="en-US" w:eastAsia="fr-BE"/>
        </w:rPr>
        <w:t xml:space="preserve"> We</w:t>
      </w:r>
      <w:r w:rsidR="00F82B4A">
        <w:t xml:space="preserve"> appreciate ESMA’s position that the structure and compos</w:t>
      </w:r>
      <w:r w:rsidR="00F82B4A">
        <w:t>i</w:t>
      </w:r>
      <w:r w:rsidR="00F82B4A">
        <w:t>tion of the oversight function “be determined by the administrator based on the nature, scale and comple</w:t>
      </w:r>
      <w:r w:rsidR="00F82B4A">
        <w:t>x</w:t>
      </w:r>
      <w:r w:rsidR="00F82B4A">
        <w:t>ity of the provision” of its benchmarks</w:t>
      </w:r>
      <w:r w:rsidR="004C126C">
        <w:t xml:space="preserve"> (Paragraph </w:t>
      </w:r>
      <w:r w:rsidR="00F82B4A">
        <w:t xml:space="preserve">1 of Article 1 of </w:t>
      </w:r>
      <w:r w:rsidR="004C126C">
        <w:t xml:space="preserve">RTS: </w:t>
      </w:r>
      <w:r w:rsidR="00F82B4A">
        <w:t xml:space="preserve">Oversight </w:t>
      </w:r>
      <w:r w:rsidR="004C126C">
        <w:t>Function)</w:t>
      </w:r>
      <w:r w:rsidR="00F82B4A">
        <w:t>.</w:t>
      </w:r>
      <w:r w:rsidR="00553EEA">
        <w:t xml:space="preserve">  </w:t>
      </w:r>
    </w:p>
    <w:p w:rsidR="00F82B4A" w:rsidRDefault="00F82B4A" w:rsidP="00D238F7">
      <w:pPr>
        <w:jc w:val="both"/>
        <w:rPr>
          <w:rFonts w:cs="Arial"/>
          <w:lang w:val="en-US"/>
        </w:rPr>
      </w:pPr>
    </w:p>
    <w:p w:rsidR="00D238F7" w:rsidRPr="00D73FFF" w:rsidRDefault="00913075" w:rsidP="00932456">
      <w:pPr>
        <w:jc w:val="both"/>
        <w:rPr>
          <w:rFonts w:cs="Arial"/>
          <w:lang w:val="en-US"/>
        </w:rPr>
      </w:pPr>
      <w:r>
        <w:t>However, we believe it should be clear that administrators implementing an oversight function comprised of multiple committees responsible for separate tasks may include one committee responsible for gover</w:t>
      </w:r>
      <w:r>
        <w:t>n</w:t>
      </w:r>
      <w:r>
        <w:t xml:space="preserve">ing the methodology and </w:t>
      </w:r>
      <w:r w:rsidRPr="00DA494D">
        <w:rPr>
          <w:rFonts w:cs="Arial"/>
          <w:lang w:val="en-US"/>
        </w:rPr>
        <w:t>questioning/assessing/challenging analytical or editorial decisions</w:t>
      </w:r>
      <w:r>
        <w:rPr>
          <w:rFonts w:cs="Arial"/>
          <w:lang w:val="en-US"/>
        </w:rPr>
        <w:t xml:space="preserve"> made during the benchmark d</w:t>
      </w:r>
      <w:r w:rsidR="00D071FB">
        <w:rPr>
          <w:rFonts w:cs="Arial"/>
          <w:lang w:val="en-US"/>
        </w:rPr>
        <w:t>etermination</w:t>
      </w:r>
      <w:r>
        <w:rPr>
          <w:rFonts w:cs="Arial"/>
          <w:lang w:val="en-US"/>
        </w:rPr>
        <w:t xml:space="preserve"> process working with other committees that are restricted from challenging any </w:t>
      </w:r>
      <w:r w:rsidRPr="00DA494D">
        <w:rPr>
          <w:rFonts w:cs="Arial"/>
          <w:lang w:val="en-US"/>
        </w:rPr>
        <w:t xml:space="preserve">analytical or editorial decisions made by the </w:t>
      </w:r>
      <w:r>
        <w:rPr>
          <w:rFonts w:cs="Arial"/>
          <w:lang w:val="en-US"/>
        </w:rPr>
        <w:t>governance</w:t>
      </w:r>
      <w:r w:rsidRPr="00DA494D">
        <w:rPr>
          <w:rFonts w:cs="Arial"/>
          <w:lang w:val="en-US"/>
        </w:rPr>
        <w:t xml:space="preserve"> body</w:t>
      </w:r>
      <w:r w:rsidR="00D73FFF">
        <w:rPr>
          <w:rFonts w:cs="Arial"/>
          <w:lang w:val="en-US"/>
        </w:rPr>
        <w:t xml:space="preserve"> as its members are no</w:t>
      </w:r>
      <w:r>
        <w:rPr>
          <w:rFonts w:cs="Arial"/>
          <w:lang w:val="en-US"/>
        </w:rPr>
        <w:t xml:space="preserve">t equipped to do so. </w:t>
      </w:r>
      <w:r w:rsidR="00D238F7" w:rsidRPr="00DA494D">
        <w:rPr>
          <w:rFonts w:cs="Arial"/>
          <w:lang w:val="en-US"/>
        </w:rPr>
        <w:t xml:space="preserve">Further, the concept of “challenge” does not appear in the Level 1 text of BMR and the relevant Recital 21 of BMR notes that the independent function is intended </w:t>
      </w:r>
      <w:r w:rsidR="00D238F7" w:rsidRPr="00DA494D">
        <w:rPr>
          <w:rFonts w:cs="Arial"/>
          <w:i/>
          <w:lang w:val="en-US"/>
        </w:rPr>
        <w:t>“to oversee the implementation and effectiv</w:t>
      </w:r>
      <w:r w:rsidR="00D238F7" w:rsidRPr="00DA494D">
        <w:rPr>
          <w:rFonts w:cs="Arial"/>
          <w:i/>
          <w:lang w:val="en-US"/>
        </w:rPr>
        <w:t>e</w:t>
      </w:r>
      <w:r w:rsidR="00D238F7" w:rsidRPr="00DA494D">
        <w:rPr>
          <w:rFonts w:cs="Arial"/>
          <w:i/>
          <w:lang w:val="en-US"/>
        </w:rPr>
        <w:t>ness of the governance arrangements that provide effective oversight</w:t>
      </w:r>
      <w:r w:rsidR="00D238F7" w:rsidRPr="00DA494D">
        <w:rPr>
          <w:rFonts w:cs="Arial"/>
          <w:lang w:val="en-US"/>
        </w:rPr>
        <w:t xml:space="preserve">”. In line with </w:t>
      </w:r>
      <w:r w:rsidR="00543F4D">
        <w:rPr>
          <w:rFonts w:cs="Arial"/>
          <w:lang w:val="en-US"/>
        </w:rPr>
        <w:t xml:space="preserve">the </w:t>
      </w:r>
      <w:r w:rsidR="00543F4D" w:rsidRPr="00D071FB">
        <w:rPr>
          <w:rFonts w:cs="Arial"/>
          <w:lang w:val="en-US"/>
        </w:rPr>
        <w:t xml:space="preserve">Level 1 text of the </w:t>
      </w:r>
      <w:r w:rsidR="00D238F7" w:rsidRPr="00D071FB">
        <w:rPr>
          <w:rFonts w:cs="Arial"/>
          <w:lang w:val="en-US"/>
        </w:rPr>
        <w:t>BMR, we believe that this should be the oversight function’s main purpose.</w:t>
      </w:r>
      <w:r w:rsidR="00553EEA" w:rsidRPr="00553EEA">
        <w:t xml:space="preserve"> </w:t>
      </w:r>
      <w:r w:rsidR="00553EEA" w:rsidRPr="00CD6E7C">
        <w:t>We also note that the Level 1 text excludes certain provisions for certain types of Benchmarks, including that Title II does not apply to the Article 19 Commodities Benchmarks produced by Platts.</w:t>
      </w:r>
    </w:p>
    <w:permEnd w:id="677267681"/>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8A588A" w:rsidRDefault="008A588A" w:rsidP="00354EEF">
      <w:pPr>
        <w:jc w:val="both"/>
        <w:rPr>
          <w:rFonts w:cs="Arial"/>
          <w:szCs w:val="20"/>
          <w:lang w:val="en-US"/>
        </w:rPr>
      </w:pPr>
      <w:permStart w:id="29838290" w:edGrp="everyone"/>
      <w:r>
        <w:rPr>
          <w:rFonts w:cs="Arial"/>
          <w:szCs w:val="20"/>
          <w:lang w:val="en-US"/>
        </w:rPr>
        <w:t xml:space="preserve">We generally agree with the appropriateness of input data but </w:t>
      </w:r>
      <w:r w:rsidR="00CB4081">
        <w:rPr>
          <w:rFonts w:cs="Arial"/>
          <w:szCs w:val="20"/>
          <w:lang w:val="en-US"/>
        </w:rPr>
        <w:t>do</w:t>
      </w:r>
      <w:r w:rsidR="00DD74B3">
        <w:rPr>
          <w:rFonts w:cs="Arial"/>
          <w:szCs w:val="20"/>
          <w:lang w:val="en-US"/>
        </w:rPr>
        <w:t xml:space="preserve"> not </w:t>
      </w:r>
      <w:r w:rsidR="00CB4081">
        <w:rPr>
          <w:rFonts w:cs="Arial"/>
          <w:szCs w:val="20"/>
          <w:lang w:val="en-US"/>
        </w:rPr>
        <w:t>believe verifiability should be r</w:t>
      </w:r>
      <w:r w:rsidR="00CB4081">
        <w:rPr>
          <w:rFonts w:cs="Arial"/>
          <w:szCs w:val="20"/>
          <w:lang w:val="en-US"/>
        </w:rPr>
        <w:t>e</w:t>
      </w:r>
      <w:r w:rsidR="00CB4081">
        <w:rPr>
          <w:rFonts w:cs="Arial"/>
          <w:szCs w:val="20"/>
          <w:lang w:val="en-US"/>
        </w:rPr>
        <w:t xml:space="preserve">quired for input data that is either regulated data or readily available data. </w:t>
      </w:r>
    </w:p>
    <w:p w:rsidR="00CB4081" w:rsidRDefault="00CB4081" w:rsidP="00354EEF">
      <w:pPr>
        <w:jc w:val="both"/>
        <w:rPr>
          <w:rFonts w:cs="Arial"/>
          <w:szCs w:val="20"/>
          <w:lang w:val="en-US"/>
        </w:rPr>
      </w:pPr>
    </w:p>
    <w:p w:rsidR="00CB4081" w:rsidRDefault="00CB4081" w:rsidP="00354EEF">
      <w:pPr>
        <w:jc w:val="both"/>
        <w:rPr>
          <w:rFonts w:cs="Arial"/>
          <w:szCs w:val="20"/>
          <w:lang w:val="en-US"/>
        </w:rPr>
      </w:pPr>
      <w:r>
        <w:rPr>
          <w:rFonts w:cs="Arial"/>
          <w:szCs w:val="20"/>
          <w:lang w:val="en-US"/>
        </w:rPr>
        <w:t>With respect to appropriateness of input data, administrators should be responsible for</w:t>
      </w:r>
      <w:r w:rsidR="00DD74B3">
        <w:rPr>
          <w:rFonts w:cs="Arial"/>
          <w:szCs w:val="20"/>
          <w:lang w:val="en-US"/>
        </w:rPr>
        <w:t xml:space="preserve"> selecting input data that</w:t>
      </w:r>
      <w:r>
        <w:rPr>
          <w:rFonts w:cs="Arial"/>
          <w:szCs w:val="20"/>
          <w:lang w:val="en-US"/>
        </w:rPr>
        <w:t xml:space="preserve"> represents the market or economic reality the benchmark intends to measure. Administrators should also select the data that is both available and best represents such reality. </w:t>
      </w:r>
      <w:r w:rsidR="00BF3507">
        <w:rPr>
          <w:rFonts w:cs="Arial"/>
          <w:szCs w:val="20"/>
          <w:lang w:val="en-US"/>
        </w:rPr>
        <w:t xml:space="preserve">In some instances and for certain types of benchmarks, </w:t>
      </w:r>
      <w:r>
        <w:rPr>
          <w:rFonts w:cs="Arial"/>
          <w:szCs w:val="20"/>
          <w:lang w:val="en-US"/>
        </w:rPr>
        <w:t>a hierarchical approach that is transparent through a methodology stat</w:t>
      </w:r>
      <w:r>
        <w:rPr>
          <w:rFonts w:cs="Arial"/>
          <w:szCs w:val="20"/>
          <w:lang w:val="en-US"/>
        </w:rPr>
        <w:t>e</w:t>
      </w:r>
      <w:r>
        <w:rPr>
          <w:rFonts w:cs="Arial"/>
          <w:szCs w:val="20"/>
          <w:lang w:val="en-US"/>
        </w:rPr>
        <w:t xml:space="preserve">ment is the </w:t>
      </w:r>
      <w:r w:rsidR="00BF3507">
        <w:rPr>
          <w:rFonts w:cs="Arial"/>
          <w:szCs w:val="20"/>
          <w:lang w:val="en-US"/>
        </w:rPr>
        <w:t>appropriate approach</w:t>
      </w:r>
      <w:r>
        <w:rPr>
          <w:rFonts w:cs="Arial"/>
          <w:szCs w:val="20"/>
          <w:lang w:val="en-US"/>
        </w:rPr>
        <w:t>. This approach is also used in the IOSCO Principles for Financial Benchmarks.</w:t>
      </w:r>
    </w:p>
    <w:p w:rsidR="00CB4081" w:rsidRDefault="00CB4081" w:rsidP="00354EEF">
      <w:pPr>
        <w:jc w:val="both"/>
        <w:rPr>
          <w:rFonts w:cs="Arial"/>
          <w:szCs w:val="20"/>
          <w:lang w:val="en-US"/>
        </w:rPr>
      </w:pPr>
    </w:p>
    <w:p w:rsidR="000A34D0" w:rsidRDefault="00CB4081" w:rsidP="000A34D0">
      <w:pPr>
        <w:jc w:val="both"/>
        <w:rPr>
          <w:rFonts w:cs="Arial"/>
          <w:color w:val="000000"/>
          <w:szCs w:val="20"/>
        </w:rPr>
      </w:pPr>
      <w:r>
        <w:rPr>
          <w:rFonts w:cs="Arial"/>
          <w:szCs w:val="20"/>
          <w:lang w:val="en-US"/>
        </w:rPr>
        <w:t xml:space="preserve">With respect to verifiability of input data, </w:t>
      </w:r>
      <w:r w:rsidRPr="00005C55">
        <w:rPr>
          <w:rFonts w:cs="Arial"/>
          <w:szCs w:val="20"/>
          <w:lang w:val="en-US" w:eastAsia="fr-BE"/>
        </w:rPr>
        <w:t xml:space="preserve">we strongly believe that </w:t>
      </w:r>
      <w:r w:rsidRPr="00005C55">
        <w:rPr>
          <w:rFonts w:cs="Arial"/>
          <w:szCs w:val="20"/>
          <w:lang w:val="en-US"/>
        </w:rPr>
        <w:t xml:space="preserve">verification should not be required for input data that is </w:t>
      </w:r>
      <w:r>
        <w:rPr>
          <w:rFonts w:cs="Arial"/>
          <w:szCs w:val="20"/>
          <w:lang w:val="en-US"/>
        </w:rPr>
        <w:t>either regulated data or readily available data.</w:t>
      </w:r>
      <w:r w:rsidR="000A34D0">
        <w:rPr>
          <w:rFonts w:cs="Arial"/>
          <w:szCs w:val="20"/>
          <w:lang w:val="en-US"/>
        </w:rPr>
        <w:t xml:space="preserve"> </w:t>
      </w:r>
      <w:r w:rsidR="00AB1B2B">
        <w:rPr>
          <w:rFonts w:cs="Arial"/>
          <w:szCs w:val="20"/>
          <w:lang w:val="en-US"/>
        </w:rPr>
        <w:t>These data sets are not contributions.</w:t>
      </w:r>
    </w:p>
    <w:p w:rsidR="00CB4081" w:rsidRDefault="000A34D0" w:rsidP="00354EEF">
      <w:pPr>
        <w:jc w:val="both"/>
        <w:rPr>
          <w:rFonts w:cs="Arial"/>
          <w:szCs w:val="20"/>
          <w:lang w:val="en-US"/>
        </w:rPr>
      </w:pPr>
      <w:r>
        <w:rPr>
          <w:rFonts w:cs="Arial"/>
          <w:color w:val="000000"/>
          <w:szCs w:val="20"/>
        </w:rPr>
        <w:t xml:space="preserve"> </w:t>
      </w:r>
      <w:r w:rsidR="00CB4081">
        <w:rPr>
          <w:rFonts w:cs="Arial"/>
          <w:szCs w:val="20"/>
          <w:lang w:val="en-US"/>
        </w:rPr>
        <w:t xml:space="preserve"> </w:t>
      </w:r>
    </w:p>
    <w:p w:rsidR="00354EEF" w:rsidRPr="00543F4D" w:rsidRDefault="00354EEF" w:rsidP="00354EEF">
      <w:pPr>
        <w:jc w:val="both"/>
        <w:rPr>
          <w:rFonts w:cs="Arial"/>
          <w:color w:val="FF0000"/>
          <w:szCs w:val="20"/>
          <w:lang w:val="en-US" w:eastAsia="fr-BE"/>
        </w:rPr>
      </w:pPr>
      <w:r w:rsidRPr="00005C55">
        <w:rPr>
          <w:rFonts w:cs="Arial"/>
          <w:szCs w:val="20"/>
          <w:lang w:val="en-US"/>
        </w:rPr>
        <w:t xml:space="preserve">Recital </w:t>
      </w:r>
      <w:r w:rsidRPr="00D071FB">
        <w:rPr>
          <w:rFonts w:cs="Arial"/>
          <w:szCs w:val="20"/>
          <w:lang w:val="en-US"/>
        </w:rPr>
        <w:t xml:space="preserve">12 of BMR provides that </w:t>
      </w:r>
      <w:r w:rsidRPr="00D071FB">
        <w:rPr>
          <w:rFonts w:cs="Arial"/>
          <w:i/>
          <w:szCs w:val="20"/>
          <w:lang w:val="en-US"/>
        </w:rPr>
        <w:t>“When a benchmark is determined on the basis of readily available data, the source of such data should not be considered to be a contributor</w:t>
      </w:r>
      <w:r w:rsidRPr="00D071FB">
        <w:rPr>
          <w:rFonts w:cs="Arial"/>
          <w:szCs w:val="20"/>
          <w:lang w:val="en-US"/>
        </w:rPr>
        <w:t>.” In the definitions of BMR, Article 3 par</w:t>
      </w:r>
      <w:r w:rsidR="00543F4D" w:rsidRPr="00D071FB">
        <w:rPr>
          <w:rFonts w:cs="Arial"/>
          <w:szCs w:val="20"/>
          <w:lang w:val="en-US"/>
        </w:rPr>
        <w:t>agraph</w:t>
      </w:r>
      <w:r w:rsidRPr="00D071FB">
        <w:rPr>
          <w:rFonts w:cs="Arial"/>
          <w:szCs w:val="20"/>
          <w:lang w:val="en-US"/>
        </w:rPr>
        <w:t xml:space="preserve"> 1 (8) provides that </w:t>
      </w:r>
      <w:r w:rsidR="00005C55" w:rsidRPr="00D071FB">
        <w:rPr>
          <w:rFonts w:cs="Arial"/>
          <w:szCs w:val="20"/>
          <w:lang w:val="en-US"/>
        </w:rPr>
        <w:t>“</w:t>
      </w:r>
      <w:r w:rsidRPr="00D071FB">
        <w:rPr>
          <w:rFonts w:cs="Arial"/>
          <w:szCs w:val="20"/>
          <w:lang w:val="en-US"/>
        </w:rPr>
        <w:t>‘</w:t>
      </w:r>
      <w:r w:rsidRPr="00D071FB">
        <w:rPr>
          <w:rFonts w:cs="Arial"/>
          <w:i/>
          <w:szCs w:val="20"/>
          <w:lang w:val="en-US"/>
        </w:rPr>
        <w:t>contribution of input data’ means providing any input data not readily available to an administrator, or to another person for the purposes of passing to an administrator, that is required in connection with the determination of a benchmark, and is provided for that purpose</w:t>
      </w:r>
      <w:r w:rsidRPr="00D071FB">
        <w:rPr>
          <w:rFonts w:cs="Arial"/>
          <w:szCs w:val="20"/>
          <w:lang w:val="en-US"/>
        </w:rPr>
        <w:t>.</w:t>
      </w:r>
      <w:r w:rsidR="00005C55" w:rsidRPr="00D071FB">
        <w:rPr>
          <w:rFonts w:cs="Arial"/>
          <w:szCs w:val="20"/>
          <w:lang w:val="en-US"/>
        </w:rPr>
        <w:t>”</w:t>
      </w:r>
      <w:r w:rsidRPr="00D071FB">
        <w:rPr>
          <w:rFonts w:cs="Arial"/>
          <w:szCs w:val="20"/>
          <w:lang w:val="en-US" w:eastAsia="fr-BE"/>
        </w:rPr>
        <w:t xml:space="preserve"> However, the main body text of this draft RTS and its Recitals do not make any reference to </w:t>
      </w:r>
      <w:r w:rsidR="008A588A" w:rsidRPr="00D071FB">
        <w:t>readily available data</w:t>
      </w:r>
      <w:r w:rsidRPr="00D071FB">
        <w:rPr>
          <w:rFonts w:cs="Arial"/>
          <w:szCs w:val="20"/>
          <w:lang w:val="en-US" w:eastAsia="fr-BE"/>
        </w:rPr>
        <w:t>.</w:t>
      </w:r>
      <w:r w:rsidR="00543F4D" w:rsidRPr="00D071FB">
        <w:rPr>
          <w:rFonts w:cs="Arial"/>
          <w:szCs w:val="20"/>
          <w:lang w:val="en-US" w:eastAsia="fr-BE"/>
        </w:rPr>
        <w:t xml:space="preserve"> We believe this could represent an important oversight.</w:t>
      </w:r>
      <w:r w:rsidRPr="00D071FB">
        <w:rPr>
          <w:rFonts w:cs="Arial"/>
          <w:szCs w:val="20"/>
          <w:lang w:val="en-US" w:eastAsia="fr-BE"/>
        </w:rPr>
        <w:t xml:space="preserve"> </w:t>
      </w:r>
    </w:p>
    <w:p w:rsidR="00354EEF" w:rsidRPr="00005C55" w:rsidRDefault="00354EEF" w:rsidP="00354EEF">
      <w:pPr>
        <w:jc w:val="both"/>
        <w:rPr>
          <w:rFonts w:cs="Arial"/>
          <w:szCs w:val="20"/>
          <w:lang w:val="en-US" w:eastAsia="fr-BE"/>
        </w:rPr>
      </w:pPr>
    </w:p>
    <w:p w:rsidR="00354EEF" w:rsidRPr="00005C55" w:rsidRDefault="00D238F7" w:rsidP="00354EEF">
      <w:pPr>
        <w:jc w:val="both"/>
        <w:rPr>
          <w:rFonts w:cs="Arial"/>
          <w:szCs w:val="20"/>
          <w:u w:val="single"/>
          <w:lang w:val="en-US" w:eastAsia="fr-BE"/>
        </w:rPr>
      </w:pPr>
      <w:r w:rsidRPr="00005C55">
        <w:rPr>
          <w:rFonts w:cs="Arial"/>
          <w:szCs w:val="20"/>
          <w:lang w:val="en-US"/>
        </w:rPr>
        <w:t xml:space="preserve">In order to avoid legal uncertainty and ensure a consistent interpretation by </w:t>
      </w:r>
      <w:r w:rsidR="00354EEF" w:rsidRPr="00005C55">
        <w:rPr>
          <w:rFonts w:cs="Arial"/>
          <w:szCs w:val="20"/>
          <w:lang w:val="en-US"/>
        </w:rPr>
        <w:t xml:space="preserve">all </w:t>
      </w:r>
      <w:r w:rsidRPr="00005C55">
        <w:rPr>
          <w:rFonts w:cs="Arial"/>
          <w:szCs w:val="20"/>
          <w:lang w:val="en-US"/>
        </w:rPr>
        <w:t xml:space="preserve">the NCAs, we propose to have the terms “input data readily available” clarified in </w:t>
      </w:r>
      <w:r w:rsidR="00354EEF" w:rsidRPr="00005C55">
        <w:rPr>
          <w:rFonts w:cs="Arial"/>
          <w:szCs w:val="20"/>
          <w:lang w:val="en-US"/>
        </w:rPr>
        <w:t>a Recital of this</w:t>
      </w:r>
      <w:r w:rsidRPr="00005C55">
        <w:rPr>
          <w:rFonts w:cs="Arial"/>
          <w:szCs w:val="20"/>
          <w:lang w:val="en-US"/>
        </w:rPr>
        <w:t xml:space="preserve"> RTS</w:t>
      </w:r>
      <w:r w:rsidR="00354EEF" w:rsidRPr="00005C55">
        <w:rPr>
          <w:rFonts w:cs="Arial"/>
          <w:szCs w:val="20"/>
          <w:lang w:val="en-US"/>
        </w:rPr>
        <w:t xml:space="preserve"> as follows</w:t>
      </w:r>
      <w:r w:rsidR="00354EEF" w:rsidRPr="00005C55">
        <w:rPr>
          <w:szCs w:val="20"/>
          <w:lang w:val="en-US"/>
        </w:rPr>
        <w:t xml:space="preserve">: </w:t>
      </w:r>
    </w:p>
    <w:p w:rsidR="00354EEF" w:rsidRPr="00005C55" w:rsidRDefault="00354EEF" w:rsidP="00354EEF">
      <w:pPr>
        <w:pStyle w:val="Default"/>
        <w:jc w:val="both"/>
        <w:rPr>
          <w:color w:val="auto"/>
          <w:sz w:val="20"/>
          <w:szCs w:val="20"/>
          <w:lang w:val="en-US"/>
        </w:rPr>
      </w:pPr>
    </w:p>
    <w:p w:rsidR="009A2624" w:rsidRDefault="00354EEF" w:rsidP="00354EEF">
      <w:pPr>
        <w:jc w:val="both"/>
      </w:pPr>
      <w:r w:rsidRPr="00005C55">
        <w:rPr>
          <w:szCs w:val="20"/>
          <w:lang w:val="en-US"/>
        </w:rPr>
        <w:t>“</w:t>
      </w:r>
      <w:r w:rsidRPr="00005C55">
        <w:rPr>
          <w:i/>
          <w:szCs w:val="20"/>
          <w:lang w:val="en-US"/>
        </w:rPr>
        <w:t xml:space="preserve">In compliance with what is required under Recital 12 and Article 3, paragraph 1(8) of Regulation (EU) 2016/1011, </w:t>
      </w:r>
      <w:r w:rsidRPr="00005C55">
        <w:rPr>
          <w:i/>
          <w:szCs w:val="20"/>
          <w:lang w:val="en-US" w:eastAsia="fr-BE"/>
        </w:rPr>
        <w:t>input data that is readily available to an administrator is not considered to be a contribution</w:t>
      </w:r>
      <w:r w:rsidRPr="00005C55">
        <w:rPr>
          <w:i/>
          <w:szCs w:val="20"/>
          <w:lang w:val="en-US"/>
        </w:rPr>
        <w:t>. Input data readily available means data available to an administrator obtained via subscription or public source, that cannot be modified or deleted in the transmission phase and which was not provided for the specific purpose of determining the benchmark</w:t>
      </w:r>
      <w:r w:rsidRPr="00005C55">
        <w:t>.</w:t>
      </w:r>
      <w:r w:rsidR="00005C55">
        <w:t>”</w:t>
      </w:r>
    </w:p>
    <w:p w:rsidR="00913075" w:rsidRDefault="00913075" w:rsidP="00354EEF">
      <w:pPr>
        <w:jc w:val="both"/>
      </w:pPr>
    </w:p>
    <w:p w:rsidR="00913075" w:rsidRPr="00005C55" w:rsidRDefault="00913075" w:rsidP="00354EEF">
      <w:pPr>
        <w:jc w:val="both"/>
      </w:pPr>
      <w:r>
        <w:t xml:space="preserve">There may also be instances, such as with commodities benchmarks subject to </w:t>
      </w:r>
      <w:r w:rsidRPr="00D071FB">
        <w:t>Title II</w:t>
      </w:r>
      <w:r w:rsidR="00543F4D" w:rsidRPr="00D071FB">
        <w:t xml:space="preserve"> of the BMR</w:t>
      </w:r>
      <w:r>
        <w:t>, in which “for</w:t>
      </w:r>
      <w:r w:rsidR="003850B4">
        <w:t>mal checks” may not be feasible. For example,</w:t>
      </w:r>
      <w:r>
        <w:t xml:space="preserve"> </w:t>
      </w:r>
      <w:r w:rsidR="003850B4">
        <w:t xml:space="preserve">if formal checks require additional interactions </w:t>
      </w:r>
      <w:r w:rsidR="003850B4">
        <w:lastRenderedPageBreak/>
        <w:t xml:space="preserve">with the source of the input data it </w:t>
      </w:r>
      <w:r w:rsidR="003850B4" w:rsidRPr="00CD6E7C">
        <w:t>would</w:t>
      </w:r>
      <w:r w:rsidR="00543F4D" w:rsidRPr="00CD6E7C">
        <w:t xml:space="preserve"> no</w:t>
      </w:r>
      <w:r w:rsidR="003850B4" w:rsidRPr="00CD6E7C">
        <w:t xml:space="preserve">t be feasible </w:t>
      </w:r>
      <w:r w:rsidR="003850B4">
        <w:t xml:space="preserve">in </w:t>
      </w:r>
      <w:r>
        <w:t xml:space="preserve">instances where </w:t>
      </w:r>
      <w:r w:rsidR="003850B4">
        <w:t xml:space="preserve">input </w:t>
      </w:r>
      <w:r>
        <w:t>data is obtained from a wide range of entities, including non-supervised entiti</w:t>
      </w:r>
      <w:r w:rsidR="00543F4D">
        <w:t xml:space="preserve">es, in multiple jurisdictions. </w:t>
      </w:r>
      <w:r>
        <w:t>It should therefore be clarified that the verifiability of the input data, including more extensive checks for non-transaction data, be limited to activities which can be p</w:t>
      </w:r>
      <w:r w:rsidR="00543F4D">
        <w:t xml:space="preserve">erformed by the administrator. </w:t>
      </w:r>
      <w:r>
        <w:t>For example, Article 3, Paragraph 2(f)(v)(3)-(4) may not be feasible in all instances, as in the case when the administrator may not have available to it “relevant communications between the submitter and approvers within the contributor (if applicable).”</w:t>
      </w:r>
    </w:p>
    <w:permEnd w:id="29838290"/>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CD6E7C" w:rsidRDefault="00553EEA" w:rsidP="009A2624">
      <w:pPr>
        <w:rPr>
          <w:highlight w:val="yellow"/>
        </w:rPr>
      </w:pPr>
      <w:permStart w:id="422727792" w:edGrp="everyone"/>
      <w:r w:rsidRPr="00CD6E7C">
        <w:rPr>
          <w:highlight w:val="yellow"/>
        </w:rPr>
        <w:t>We note that the RTS does not apply to Article 19 Commodity Benchmarks.</w:t>
      </w:r>
      <w:r w:rsidR="00CD6E7C">
        <w:rPr>
          <w:highlight w:val="yellow"/>
        </w:rPr>
        <w:t xml:space="preserve"> Indeed, none of the Articles and corresponding RTS of Title II would apply to Article 19 Commodity Benchmarks. </w:t>
      </w:r>
    </w:p>
    <w:p w:rsidR="00CD6E7C" w:rsidRDefault="00CD6E7C" w:rsidP="009A2624">
      <w:pPr>
        <w:rPr>
          <w:highlight w:val="yellow"/>
        </w:rPr>
      </w:pPr>
    </w:p>
    <w:p w:rsidR="009A2624" w:rsidRPr="00CD6E7C" w:rsidRDefault="00553EEA" w:rsidP="009A2624">
      <w:r w:rsidRPr="00CD6E7C">
        <w:rPr>
          <w:highlight w:val="yellow"/>
        </w:rPr>
        <w:t>For any Commodity Benchmarks subject to Title II, we would caution that any requirements</w:t>
      </w:r>
      <w:r w:rsidR="00B47173" w:rsidRPr="00CD6E7C">
        <w:rPr>
          <w:highlight w:val="yellow"/>
        </w:rPr>
        <w:t xml:space="preserve"> contained in the RTS corresponding to Articles in Title II of the Regulation</w:t>
      </w:r>
      <w:r w:rsidRPr="00CD6E7C">
        <w:rPr>
          <w:highlight w:val="yellow"/>
        </w:rPr>
        <w:t xml:space="preserve"> that are inconsistent with Annex II of the Regulation could diminish voluntary contributions to Commodity Benchmarks and therefore potentially reduce </w:t>
      </w:r>
      <w:r w:rsidR="00B47173" w:rsidRPr="00CD6E7C">
        <w:rPr>
          <w:highlight w:val="yellow"/>
        </w:rPr>
        <w:t>the ability for Commodity Benchmark administrators to produce robust independent benchmarks which increase market transparency.</w:t>
      </w:r>
    </w:p>
    <w:permEnd w:id="422727792"/>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9A2624" w:rsidRDefault="00D3070D" w:rsidP="009A2624">
      <w:permStart w:id="936265263" w:edGrp="everyone"/>
      <w:r>
        <w:t xml:space="preserve">We agree with the proposed key elements as Article 1 of the RTS: Transparency of methodology captures the concept the key element be included “as applicable to the relevant benchmark and input data used”. </w:t>
      </w:r>
      <w:r w:rsidR="00990E27">
        <w:t>In addition, we appreciate the ability for administrators of significant benchmarks “to opt out from the discl</w:t>
      </w:r>
      <w:r w:rsidR="00990E27">
        <w:t>o</w:t>
      </w:r>
      <w:r w:rsidR="00990E27">
        <w:t xml:space="preserve">sure of certain elements of the methodology” (Paragraph 92 of the CP). </w:t>
      </w:r>
      <w:r w:rsidRPr="0018272F">
        <w:rPr>
          <w:rFonts w:cs="Arial"/>
          <w:szCs w:val="20"/>
        </w:rPr>
        <w:t>Transparency is essential to benchmarks but methodologies should include only that information applicable to the relevant benchmark</w:t>
      </w:r>
      <w:r>
        <w:rPr>
          <w:rFonts w:cs="Arial"/>
          <w:szCs w:val="20"/>
        </w:rPr>
        <w:t xml:space="preserve"> and input data it uses</w:t>
      </w:r>
      <w:r w:rsidRPr="0018272F">
        <w:rPr>
          <w:rFonts w:cs="Arial"/>
          <w:szCs w:val="20"/>
        </w:rPr>
        <w:t>.</w:t>
      </w:r>
    </w:p>
    <w:permEnd w:id="936265263"/>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AF1B9F" w:rsidP="009A2624">
      <w:permStart w:id="1886001249" w:edGrp="everyone"/>
      <w:r>
        <w:t>Yes. T</w:t>
      </w:r>
      <w:r w:rsidR="00990E27">
        <w:t xml:space="preserve">he </w:t>
      </w:r>
      <w:r>
        <w:t>element</w:t>
      </w:r>
      <w:r w:rsidR="00990E27">
        <w:t xml:space="preserve">s included under article 2 of the RTS: Transparency of methodology are </w:t>
      </w:r>
      <w:r w:rsidR="00284DF0">
        <w:t xml:space="preserve">appropriate </w:t>
      </w:r>
      <w:r>
        <w:t>for disclosure</w:t>
      </w:r>
      <w:r w:rsidR="00990E27">
        <w:t xml:space="preserve">. </w:t>
      </w:r>
    </w:p>
    <w:permEnd w:id="1886001249"/>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B95702" w:rsidRPr="00B14497" w:rsidRDefault="00005C55" w:rsidP="00005C55">
      <w:pPr>
        <w:jc w:val="both"/>
        <w:rPr>
          <w:rFonts w:cs="Arial"/>
          <w:lang w:val="en-US"/>
        </w:rPr>
      </w:pPr>
      <w:permStart w:id="1007316567" w:edGrp="everyone"/>
      <w:r w:rsidRPr="00005C55">
        <w:rPr>
          <w:rFonts w:cs="Arial"/>
          <w:noProof/>
          <w:lang w:val="en-US"/>
        </w:rPr>
        <w:t xml:space="preserve">Article 4 (1) of the draft RTS provides that the comments received by the Administrator when consulting on a proposed material change as well as the responses shall be published </w:t>
      </w:r>
      <w:r w:rsidRPr="00005C55">
        <w:rPr>
          <w:rFonts w:cs="Arial"/>
          <w:noProof/>
          <w:u w:val="single"/>
          <w:lang w:val="en-US"/>
        </w:rPr>
        <w:t>in full</w:t>
      </w:r>
      <w:r w:rsidRPr="00005C55">
        <w:rPr>
          <w:rFonts w:cs="Arial"/>
          <w:noProof/>
          <w:lang w:val="en-US"/>
        </w:rPr>
        <w:t xml:space="preserve"> except where confidentiality has been requested. We strongly believe that</w:t>
      </w:r>
      <w:r w:rsidR="00B14497">
        <w:rPr>
          <w:rFonts w:cs="Arial"/>
          <w:noProof/>
          <w:lang w:val="en-US"/>
        </w:rPr>
        <w:t>: (1</w:t>
      </w:r>
      <w:r w:rsidR="00B14497" w:rsidRPr="00D071FB">
        <w:rPr>
          <w:rFonts w:cs="Arial"/>
          <w:noProof/>
          <w:lang w:val="en-US"/>
        </w:rPr>
        <w:t>)</w:t>
      </w:r>
      <w:r w:rsidRPr="00D071FB">
        <w:rPr>
          <w:rFonts w:cs="Arial"/>
          <w:noProof/>
          <w:lang w:val="en-US"/>
        </w:rPr>
        <w:t xml:space="preserve"> </w:t>
      </w:r>
      <w:r w:rsidR="00916C55" w:rsidRPr="00D071FB">
        <w:rPr>
          <w:rFonts w:cs="Arial"/>
          <w:noProof/>
          <w:lang w:val="en-US"/>
        </w:rPr>
        <w:t xml:space="preserve">an </w:t>
      </w:r>
      <w:r w:rsidR="00AF1B9F" w:rsidRPr="00D071FB">
        <w:rPr>
          <w:rFonts w:cs="Arial"/>
          <w:lang w:val="en-US"/>
        </w:rPr>
        <w:t xml:space="preserve">administrator should </w:t>
      </w:r>
      <w:r w:rsidR="00B14497" w:rsidRPr="00D071FB">
        <w:rPr>
          <w:rFonts w:cs="Arial"/>
          <w:lang w:val="en-US"/>
        </w:rPr>
        <w:t>have the discr</w:t>
      </w:r>
      <w:r w:rsidR="00B14497" w:rsidRPr="00D071FB">
        <w:rPr>
          <w:rFonts w:cs="Arial"/>
          <w:lang w:val="en-US"/>
        </w:rPr>
        <w:t>e</w:t>
      </w:r>
      <w:r w:rsidR="00B14497" w:rsidRPr="00D071FB">
        <w:rPr>
          <w:rFonts w:cs="Arial"/>
          <w:lang w:val="en-US"/>
        </w:rPr>
        <w:t xml:space="preserve">tion to publish the comments to ensure it is able to eliminate those </w:t>
      </w:r>
      <w:r w:rsidR="00916C55" w:rsidRPr="00D071FB">
        <w:rPr>
          <w:rFonts w:cs="Arial"/>
          <w:lang w:val="en-US"/>
        </w:rPr>
        <w:t xml:space="preserve">comments </w:t>
      </w:r>
      <w:r w:rsidR="00B14497" w:rsidRPr="00D071FB">
        <w:rPr>
          <w:rFonts w:cs="Arial"/>
          <w:lang w:val="en-US"/>
        </w:rPr>
        <w:t>that are irrelevant or inexpl</w:t>
      </w:r>
      <w:r w:rsidR="00B14497" w:rsidRPr="00D071FB">
        <w:rPr>
          <w:rFonts w:cs="Arial"/>
          <w:lang w:val="en-US"/>
        </w:rPr>
        <w:t>i</w:t>
      </w:r>
      <w:r w:rsidR="00B14497" w:rsidRPr="00D071FB">
        <w:rPr>
          <w:rFonts w:cs="Arial"/>
          <w:lang w:val="en-US"/>
        </w:rPr>
        <w:t xml:space="preserve">cable; </w:t>
      </w:r>
      <w:r w:rsidR="007A2B70" w:rsidRPr="00D071FB">
        <w:rPr>
          <w:rFonts w:cs="Arial"/>
          <w:lang w:val="en-US"/>
        </w:rPr>
        <w:t xml:space="preserve">and </w:t>
      </w:r>
      <w:r w:rsidR="00B14497" w:rsidRPr="00D071FB">
        <w:rPr>
          <w:rFonts w:cs="Arial"/>
          <w:lang w:val="en-US"/>
        </w:rPr>
        <w:t xml:space="preserve">(2) administrators should </w:t>
      </w:r>
      <w:r w:rsidR="00AF1B9F" w:rsidRPr="00D071FB">
        <w:rPr>
          <w:rFonts w:cs="Arial"/>
          <w:lang w:val="en-US"/>
        </w:rPr>
        <w:t xml:space="preserve">be allowed to publish </w:t>
      </w:r>
      <w:r w:rsidR="00B14497" w:rsidRPr="00D071FB">
        <w:rPr>
          <w:rFonts w:cs="Arial"/>
          <w:lang w:val="en-US"/>
        </w:rPr>
        <w:t xml:space="preserve">those </w:t>
      </w:r>
      <w:r w:rsidR="00AF1B9F" w:rsidRPr="00D071FB">
        <w:rPr>
          <w:rFonts w:cs="Arial"/>
          <w:lang w:val="en-US"/>
        </w:rPr>
        <w:t xml:space="preserve">comments/responses </w:t>
      </w:r>
      <w:r w:rsidR="00B14497">
        <w:rPr>
          <w:rFonts w:cs="Arial"/>
          <w:lang w:val="en-US"/>
        </w:rPr>
        <w:t>it deems appropr</w:t>
      </w:r>
      <w:r w:rsidR="00B14497">
        <w:rPr>
          <w:rFonts w:cs="Arial"/>
          <w:lang w:val="en-US"/>
        </w:rPr>
        <w:t>i</w:t>
      </w:r>
      <w:r w:rsidR="00B14497">
        <w:rPr>
          <w:rFonts w:cs="Arial"/>
          <w:lang w:val="en-US"/>
        </w:rPr>
        <w:lastRenderedPageBreak/>
        <w:t xml:space="preserve">ate for disclosure </w:t>
      </w:r>
      <w:r w:rsidR="00AF1B9F" w:rsidRPr="00005C55">
        <w:rPr>
          <w:rFonts w:cs="Arial"/>
          <w:lang w:val="en-US"/>
        </w:rPr>
        <w:t xml:space="preserve">in summary </w:t>
      </w:r>
      <w:r w:rsidR="00B14497">
        <w:rPr>
          <w:rFonts w:cs="Arial"/>
          <w:lang w:val="en-US"/>
        </w:rPr>
        <w:t xml:space="preserve">or aggregated </w:t>
      </w:r>
      <w:r w:rsidR="00AF1B9F" w:rsidRPr="00005C55">
        <w:rPr>
          <w:rFonts w:cs="Arial"/>
          <w:lang w:val="en-US"/>
        </w:rPr>
        <w:t>format</w:t>
      </w:r>
      <w:r w:rsidR="00AF1B9F">
        <w:rPr>
          <w:rFonts w:cs="Arial"/>
          <w:lang w:val="en-US"/>
        </w:rPr>
        <w:t xml:space="preserve"> which is more appropriate </w:t>
      </w:r>
      <w:r w:rsidR="00B95702">
        <w:rPr>
          <w:rFonts w:cs="Arial"/>
          <w:lang w:val="en-US"/>
        </w:rPr>
        <w:t xml:space="preserve">and user friendly </w:t>
      </w:r>
      <w:r w:rsidR="00AF1B9F">
        <w:t>to explain the rationale that leads to a change of methodology</w:t>
      </w:r>
      <w:r w:rsidR="00B95702">
        <w:rPr>
          <w:rFonts w:cs="Arial"/>
          <w:lang w:val="en-US"/>
        </w:rPr>
        <w:t xml:space="preserve">; and </w:t>
      </w:r>
      <w:r w:rsidR="00802121">
        <w:rPr>
          <w:rFonts w:cs="Arial"/>
          <w:lang w:val="en-US"/>
        </w:rPr>
        <w:t>(</w:t>
      </w:r>
      <w:r w:rsidR="000972AF">
        <w:rPr>
          <w:rFonts w:cs="Arial"/>
          <w:lang w:val="en-US"/>
        </w:rPr>
        <w:t>3</w:t>
      </w:r>
      <w:r w:rsidR="00802121">
        <w:rPr>
          <w:rFonts w:cs="Arial"/>
          <w:lang w:val="en-US"/>
        </w:rPr>
        <w:t xml:space="preserve">) the </w:t>
      </w:r>
      <w:r w:rsidR="00B95702">
        <w:rPr>
          <w:rFonts w:cs="Arial"/>
          <w:lang w:val="en-US"/>
        </w:rPr>
        <w:t xml:space="preserve">comments </w:t>
      </w:r>
      <w:r w:rsidR="00802121">
        <w:rPr>
          <w:rFonts w:cs="Arial"/>
          <w:lang w:val="en-US"/>
        </w:rPr>
        <w:t xml:space="preserve">in full </w:t>
      </w:r>
      <w:r w:rsidR="00B95702">
        <w:rPr>
          <w:rFonts w:cs="Arial"/>
          <w:lang w:val="en-US"/>
        </w:rPr>
        <w:t>could be provided to the NCA upon its request.</w:t>
      </w:r>
      <w:r w:rsidR="00D73FFF">
        <w:rPr>
          <w:rFonts w:cs="Arial"/>
          <w:lang w:val="en-US"/>
        </w:rPr>
        <w:t xml:space="preserve"> We n</w:t>
      </w:r>
      <w:r w:rsidR="007A2B70">
        <w:rPr>
          <w:rFonts w:cs="Arial"/>
          <w:lang w:val="en-US"/>
        </w:rPr>
        <w:t>ote that the IOSCO Principles do not require all comments to be published in full.</w:t>
      </w:r>
    </w:p>
    <w:permEnd w:id="1007316567"/>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504DAE" w:rsidRPr="00005C55" w:rsidRDefault="00504DAE" w:rsidP="00504DAE">
      <w:pPr>
        <w:jc w:val="both"/>
        <w:rPr>
          <w:rFonts w:cs="Arial"/>
          <w:szCs w:val="20"/>
          <w:lang w:val="en-US" w:eastAsia="fr-BE"/>
        </w:rPr>
      </w:pPr>
      <w:permStart w:id="1314134452" w:edGrp="everyone"/>
      <w:r>
        <w:rPr>
          <w:rFonts w:cs="Arial"/>
          <w:szCs w:val="20"/>
          <w:lang w:val="en-US"/>
        </w:rPr>
        <w:t xml:space="preserve">As mentioned in our reply to Q6, </w:t>
      </w:r>
      <w:r w:rsidRPr="00005C55">
        <w:rPr>
          <w:rFonts w:cs="Arial"/>
          <w:szCs w:val="20"/>
          <w:lang w:val="en-US"/>
        </w:rPr>
        <w:t xml:space="preserve">Recital 12 of BMR provides that </w:t>
      </w:r>
      <w:r w:rsidRPr="00005C55">
        <w:rPr>
          <w:rFonts w:cs="Arial"/>
          <w:i/>
          <w:szCs w:val="20"/>
          <w:lang w:val="en-US"/>
        </w:rPr>
        <w:t>“When a benchmark is determined on the basis of readily available data, the source of such data should not be considered to be a contributor</w:t>
      </w:r>
      <w:r w:rsidRPr="00005C55">
        <w:rPr>
          <w:rFonts w:cs="Arial"/>
          <w:szCs w:val="20"/>
          <w:lang w:val="en-US"/>
        </w:rPr>
        <w:t xml:space="preserve">.” In the definitions of BMR, Article 3 par 1 (8) provides that </w:t>
      </w:r>
      <w:r>
        <w:rPr>
          <w:rFonts w:cs="Arial"/>
          <w:szCs w:val="20"/>
          <w:lang w:val="en-US"/>
        </w:rPr>
        <w:t>“</w:t>
      </w:r>
      <w:r w:rsidRPr="00005C55">
        <w:rPr>
          <w:rFonts w:cs="Arial"/>
          <w:szCs w:val="20"/>
          <w:lang w:val="en-US"/>
        </w:rPr>
        <w:t>‘</w:t>
      </w:r>
      <w:r w:rsidRPr="00005C55">
        <w:rPr>
          <w:rFonts w:cs="Arial"/>
          <w:i/>
          <w:szCs w:val="20"/>
          <w:lang w:val="en-US"/>
        </w:rPr>
        <w:t>contribution of input data’ means providing any input data not readily available to an administrator, or to another person for the purposes of passing to an administrator, that is required in connection with the determination of a benchmark, and is provided for that purpose</w:t>
      </w:r>
      <w:r w:rsidRPr="00005C55">
        <w:rPr>
          <w:rFonts w:cs="Arial"/>
          <w:szCs w:val="20"/>
          <w:lang w:val="en-US"/>
        </w:rPr>
        <w:t>.</w:t>
      </w:r>
      <w:r>
        <w:rPr>
          <w:rFonts w:cs="Arial"/>
          <w:szCs w:val="20"/>
          <w:lang w:val="en-US"/>
        </w:rPr>
        <w:t>”</w:t>
      </w:r>
      <w:r w:rsidRPr="00005C55">
        <w:rPr>
          <w:rFonts w:cs="Arial"/>
          <w:szCs w:val="20"/>
          <w:lang w:val="en-US" w:eastAsia="fr-BE"/>
        </w:rPr>
        <w:t xml:space="preserve"> However, the main body text of this draft RTS and its Recitals do not make any reference to it. </w:t>
      </w:r>
    </w:p>
    <w:p w:rsidR="00504DAE" w:rsidRPr="00005C55" w:rsidRDefault="00504DAE" w:rsidP="00504DAE">
      <w:pPr>
        <w:jc w:val="both"/>
        <w:rPr>
          <w:rFonts w:cs="Arial"/>
          <w:szCs w:val="20"/>
          <w:lang w:val="en-US" w:eastAsia="fr-BE"/>
        </w:rPr>
      </w:pPr>
    </w:p>
    <w:p w:rsidR="00504DAE" w:rsidRPr="00005C55" w:rsidRDefault="00504DAE" w:rsidP="00504DAE">
      <w:pPr>
        <w:jc w:val="both"/>
        <w:rPr>
          <w:rFonts w:cs="Arial"/>
          <w:szCs w:val="20"/>
          <w:u w:val="single"/>
          <w:lang w:val="en-US" w:eastAsia="fr-BE"/>
        </w:rPr>
      </w:pPr>
      <w:r>
        <w:rPr>
          <w:rFonts w:cs="Arial"/>
          <w:szCs w:val="20"/>
          <w:lang w:val="en-US" w:eastAsia="fr-BE"/>
        </w:rPr>
        <w:t>As provided by BMR</w:t>
      </w:r>
      <w:r w:rsidRPr="00005C55">
        <w:rPr>
          <w:rFonts w:cs="Arial"/>
          <w:szCs w:val="20"/>
          <w:lang w:val="en-US" w:eastAsia="fr-BE"/>
        </w:rPr>
        <w:t xml:space="preserve">, we strongly believe that </w:t>
      </w:r>
      <w:r>
        <w:rPr>
          <w:rFonts w:cs="Arial"/>
          <w:szCs w:val="20"/>
          <w:lang w:val="en-US" w:eastAsia="fr-BE"/>
        </w:rPr>
        <w:t xml:space="preserve">the code of conduct </w:t>
      </w:r>
      <w:r w:rsidRPr="00005C55">
        <w:rPr>
          <w:rFonts w:cs="Arial"/>
          <w:szCs w:val="20"/>
          <w:lang w:val="en-US"/>
        </w:rPr>
        <w:t>should not be required for input data that is “readily available”</w:t>
      </w:r>
      <w:r w:rsidR="00B14497">
        <w:rPr>
          <w:rFonts w:cs="Arial"/>
          <w:szCs w:val="20"/>
          <w:lang w:val="en-US"/>
        </w:rPr>
        <w:t xml:space="preserve"> in the same way it is not required for regulated data</w:t>
      </w:r>
      <w:r w:rsidRPr="00005C55">
        <w:rPr>
          <w:rFonts w:cs="Arial"/>
          <w:szCs w:val="20"/>
          <w:lang w:val="en-US"/>
        </w:rPr>
        <w:t>. In order to avoid legal uncertainty and ensure a consistent interpretation by all the NCAs, we propose to have the terms “input data readily available” clarified in a Recital of this RTS as follows</w:t>
      </w:r>
      <w:r w:rsidRPr="00005C55">
        <w:rPr>
          <w:szCs w:val="20"/>
          <w:lang w:val="en-US"/>
        </w:rPr>
        <w:t xml:space="preserve">: </w:t>
      </w:r>
    </w:p>
    <w:p w:rsidR="00504DAE" w:rsidRPr="00005C55" w:rsidRDefault="00504DAE" w:rsidP="00504DAE">
      <w:pPr>
        <w:pStyle w:val="Default"/>
        <w:jc w:val="both"/>
        <w:rPr>
          <w:color w:val="auto"/>
          <w:sz w:val="20"/>
          <w:szCs w:val="20"/>
          <w:lang w:val="en-US"/>
        </w:rPr>
      </w:pPr>
    </w:p>
    <w:p w:rsidR="009A2624" w:rsidRDefault="00504DAE" w:rsidP="00504DAE">
      <w:pPr>
        <w:jc w:val="both"/>
      </w:pPr>
      <w:r w:rsidRPr="00005C55">
        <w:rPr>
          <w:szCs w:val="20"/>
          <w:lang w:val="en-US"/>
        </w:rPr>
        <w:t>“</w:t>
      </w:r>
      <w:r w:rsidRPr="00005C55">
        <w:rPr>
          <w:i/>
          <w:szCs w:val="20"/>
          <w:lang w:val="en-US"/>
        </w:rPr>
        <w:t xml:space="preserve">In compliance with what is required under Recital 12 and Article 3, paragraph 1(8) of Regulation (EU) 2016/1011, </w:t>
      </w:r>
      <w:r w:rsidRPr="00005C55">
        <w:rPr>
          <w:i/>
          <w:szCs w:val="20"/>
          <w:lang w:val="en-US" w:eastAsia="fr-BE"/>
        </w:rPr>
        <w:t>input data that is readily available to an administrator is not considered to be a contribution</w:t>
      </w:r>
      <w:r w:rsidRPr="00005C55">
        <w:rPr>
          <w:i/>
          <w:szCs w:val="20"/>
          <w:lang w:val="en-US"/>
        </w:rPr>
        <w:t>. Input data readily available means data available to an administrator obtained via subscription or public source, that cannot be modified or deleted in the transmission phase and which was not provided for the specific purpose of determining the benchmark</w:t>
      </w:r>
      <w:r w:rsidRPr="00005C55">
        <w:t>.</w:t>
      </w:r>
      <w:r>
        <w:t>”</w:t>
      </w:r>
    </w:p>
    <w:permEnd w:id="1314134452"/>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447559343" w:edGrp="everyone"/>
      <w:r>
        <w:t>TYPE YOUR TEXT HERE</w:t>
      </w:r>
    </w:p>
    <w:permEnd w:id="447559343"/>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38662B" w:rsidRDefault="0038662B" w:rsidP="0038662B">
      <w:permStart w:id="924591180" w:edGrp="everyone"/>
      <w:r>
        <w:t>TYPE YOUR TEXT HERE</w:t>
      </w:r>
    </w:p>
    <w:permEnd w:id="924591180"/>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38662B" w:rsidP="0038662B">
      <w:permStart w:id="2146201430" w:edGrp="everyone"/>
      <w:r>
        <w:t>TYPE YOUR TEXT HERE</w:t>
      </w:r>
    </w:p>
    <w:permEnd w:id="2146201430"/>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lastRenderedPageBreak/>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9A3720" w:rsidRPr="00005C55" w:rsidRDefault="009A3720" w:rsidP="009A3720">
      <w:pPr>
        <w:jc w:val="both"/>
        <w:rPr>
          <w:rFonts w:cs="Arial"/>
          <w:szCs w:val="20"/>
          <w:lang w:val="en-US" w:eastAsia="fr-BE"/>
        </w:rPr>
      </w:pPr>
      <w:permStart w:id="2054579112" w:edGrp="everyone"/>
      <w:r>
        <w:rPr>
          <w:rFonts w:cs="Arial"/>
          <w:szCs w:val="20"/>
          <w:lang w:val="en-US"/>
        </w:rPr>
        <w:t xml:space="preserve">As mentioned in our reply to Q6 and Q11, </w:t>
      </w:r>
      <w:r w:rsidRPr="00005C55">
        <w:rPr>
          <w:rFonts w:cs="Arial"/>
          <w:szCs w:val="20"/>
          <w:lang w:val="en-US"/>
        </w:rPr>
        <w:t xml:space="preserve">Recital 12 of BMR provides that </w:t>
      </w:r>
      <w:r w:rsidRPr="00005C55">
        <w:rPr>
          <w:rFonts w:cs="Arial"/>
          <w:i/>
          <w:szCs w:val="20"/>
          <w:lang w:val="en-US"/>
        </w:rPr>
        <w:t>“When a benchmark is dete</w:t>
      </w:r>
      <w:r w:rsidRPr="00005C55">
        <w:rPr>
          <w:rFonts w:cs="Arial"/>
          <w:i/>
          <w:szCs w:val="20"/>
          <w:lang w:val="en-US"/>
        </w:rPr>
        <w:t>r</w:t>
      </w:r>
      <w:r w:rsidRPr="00005C55">
        <w:rPr>
          <w:rFonts w:cs="Arial"/>
          <w:i/>
          <w:szCs w:val="20"/>
          <w:lang w:val="en-US"/>
        </w:rPr>
        <w:t>mined on the basis of readily available data, the source of such data should not be considered to be a contributor</w:t>
      </w:r>
      <w:r w:rsidRPr="00005C55">
        <w:rPr>
          <w:rFonts w:cs="Arial"/>
          <w:szCs w:val="20"/>
          <w:lang w:val="en-US"/>
        </w:rPr>
        <w:t xml:space="preserve">.” In the definitions of BMR, Article 3 par 1 (8) provides that </w:t>
      </w:r>
      <w:r>
        <w:rPr>
          <w:rFonts w:cs="Arial"/>
          <w:szCs w:val="20"/>
          <w:lang w:val="en-US"/>
        </w:rPr>
        <w:t>“</w:t>
      </w:r>
      <w:r w:rsidRPr="00005C55">
        <w:rPr>
          <w:rFonts w:cs="Arial"/>
          <w:szCs w:val="20"/>
          <w:lang w:val="en-US"/>
        </w:rPr>
        <w:t>‘</w:t>
      </w:r>
      <w:r w:rsidRPr="00005C55">
        <w:rPr>
          <w:rFonts w:cs="Arial"/>
          <w:i/>
          <w:szCs w:val="20"/>
          <w:lang w:val="en-US"/>
        </w:rPr>
        <w:t>contribution of input data’ means providing any input data not readily available to an administrator, or to another person for the purposes of passing to an administrator, that is required in connection with the determination of a benchmark, and is provided for that purpose</w:t>
      </w:r>
      <w:r w:rsidRPr="00005C55">
        <w:rPr>
          <w:rFonts w:cs="Arial"/>
          <w:szCs w:val="20"/>
          <w:lang w:val="en-US"/>
        </w:rPr>
        <w:t>.</w:t>
      </w:r>
      <w:r>
        <w:rPr>
          <w:rFonts w:cs="Arial"/>
          <w:szCs w:val="20"/>
          <w:lang w:val="en-US"/>
        </w:rPr>
        <w:t>”</w:t>
      </w:r>
      <w:r w:rsidRPr="00005C55">
        <w:rPr>
          <w:rFonts w:cs="Arial"/>
          <w:szCs w:val="20"/>
          <w:lang w:val="en-US" w:eastAsia="fr-BE"/>
        </w:rPr>
        <w:t xml:space="preserve"> However, the main body text of this draft RTS and its Recitals do not make any reference to it. </w:t>
      </w:r>
    </w:p>
    <w:p w:rsidR="009A3720" w:rsidRPr="00005C55" w:rsidRDefault="009A3720" w:rsidP="009A3720">
      <w:pPr>
        <w:jc w:val="both"/>
        <w:rPr>
          <w:rFonts w:cs="Arial"/>
          <w:szCs w:val="20"/>
          <w:lang w:val="en-US" w:eastAsia="fr-BE"/>
        </w:rPr>
      </w:pPr>
    </w:p>
    <w:p w:rsidR="009A3720" w:rsidRPr="00005C55" w:rsidRDefault="009A3720" w:rsidP="009A3720">
      <w:pPr>
        <w:jc w:val="both"/>
        <w:rPr>
          <w:rFonts w:cs="Arial"/>
          <w:szCs w:val="20"/>
          <w:u w:val="single"/>
          <w:lang w:val="en-US" w:eastAsia="fr-BE"/>
        </w:rPr>
      </w:pPr>
      <w:r>
        <w:rPr>
          <w:rFonts w:cs="Arial"/>
          <w:szCs w:val="20"/>
          <w:lang w:val="en-US" w:eastAsia="fr-BE"/>
        </w:rPr>
        <w:t>As provided by BMR</w:t>
      </w:r>
      <w:r w:rsidRPr="00005C55">
        <w:rPr>
          <w:rFonts w:cs="Arial"/>
          <w:szCs w:val="20"/>
          <w:lang w:val="en-US" w:eastAsia="fr-BE"/>
        </w:rPr>
        <w:t xml:space="preserve">, we strongly believe that </w:t>
      </w:r>
      <w:r>
        <w:rPr>
          <w:rFonts w:cs="Arial"/>
          <w:szCs w:val="20"/>
          <w:lang w:val="en-US" w:eastAsia="fr-BE"/>
        </w:rPr>
        <w:t xml:space="preserve">the code of conduct </w:t>
      </w:r>
      <w:r w:rsidRPr="00005C55">
        <w:rPr>
          <w:rFonts w:cs="Arial"/>
          <w:szCs w:val="20"/>
          <w:lang w:val="en-US"/>
        </w:rPr>
        <w:t>should not be required for input data that is “readily available”</w:t>
      </w:r>
      <w:r>
        <w:rPr>
          <w:rFonts w:cs="Arial"/>
          <w:szCs w:val="20"/>
          <w:lang w:val="en-US"/>
        </w:rPr>
        <w:t xml:space="preserve"> in the same way it is not required for regulated data</w:t>
      </w:r>
      <w:r w:rsidRPr="00005C55">
        <w:rPr>
          <w:rFonts w:cs="Arial"/>
          <w:szCs w:val="20"/>
          <w:lang w:val="en-US"/>
        </w:rPr>
        <w:t>. In order to avoid legal uncertainty and ensure a consistent interpretation by all the NCAs, we propose to have the terms “input data readily available” clarified in a Recital of this RTS as follows</w:t>
      </w:r>
      <w:r w:rsidRPr="00005C55">
        <w:rPr>
          <w:szCs w:val="20"/>
          <w:lang w:val="en-US"/>
        </w:rPr>
        <w:t xml:space="preserve">: </w:t>
      </w:r>
    </w:p>
    <w:p w:rsidR="009A3720" w:rsidRPr="00005C55" w:rsidRDefault="009A3720" w:rsidP="009A3720">
      <w:pPr>
        <w:pStyle w:val="Default"/>
        <w:jc w:val="both"/>
        <w:rPr>
          <w:color w:val="auto"/>
          <w:sz w:val="20"/>
          <w:szCs w:val="20"/>
          <w:lang w:val="en-US"/>
        </w:rPr>
      </w:pPr>
    </w:p>
    <w:p w:rsidR="009A3720" w:rsidRDefault="009A3720" w:rsidP="009A3720">
      <w:pPr>
        <w:jc w:val="both"/>
      </w:pPr>
      <w:r w:rsidRPr="00005C55">
        <w:rPr>
          <w:szCs w:val="20"/>
          <w:lang w:val="en-US"/>
        </w:rPr>
        <w:t>“</w:t>
      </w:r>
      <w:r w:rsidRPr="00005C55">
        <w:rPr>
          <w:i/>
          <w:szCs w:val="20"/>
          <w:lang w:val="en-US"/>
        </w:rPr>
        <w:t xml:space="preserve">In compliance with what is required under Recital 12 and Article 3, paragraph 1(8) of Regulation (EU) 2016/1011, </w:t>
      </w:r>
      <w:r w:rsidRPr="00005C55">
        <w:rPr>
          <w:i/>
          <w:szCs w:val="20"/>
          <w:lang w:val="en-US" w:eastAsia="fr-BE"/>
        </w:rPr>
        <w:t>input data that is readily available to an administrator is not considered to be a contribution</w:t>
      </w:r>
      <w:r w:rsidRPr="00005C55">
        <w:rPr>
          <w:i/>
          <w:szCs w:val="20"/>
          <w:lang w:val="en-US"/>
        </w:rPr>
        <w:t>. Input data readily available means data available to an administrator obtained via subscription or public source, that cannot be modified or deleted in the transmission phase and which was not provided for the specific purpose of determining the benchmark</w:t>
      </w:r>
      <w:r w:rsidRPr="00005C55">
        <w:t>.</w:t>
      </w:r>
      <w:r>
        <w:t>”</w:t>
      </w:r>
    </w:p>
    <w:permEnd w:id="2054579112"/>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9A3720" w:rsidRDefault="007A2B70" w:rsidP="007A2B70">
      <w:pPr>
        <w:jc w:val="both"/>
      </w:pPr>
      <w:permStart w:id="229335813" w:edGrp="everyone"/>
      <w:r>
        <w:t>TYPE YOUR TEXT HERE</w:t>
      </w:r>
    </w:p>
    <w:permEnd w:id="229335813"/>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994580942" w:edGrp="everyone"/>
      <w:r>
        <w:t>TYPE YOUR TEXT HERE</w:t>
      </w:r>
    </w:p>
    <w:permEnd w:id="994580942"/>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8662B" w:rsidP="0038662B">
      <w:permStart w:id="1143236466" w:edGrp="everyone"/>
      <w:r>
        <w:t>TYPE YOUR TEXT HERE</w:t>
      </w:r>
    </w:p>
    <w:permEnd w:id="1143236466"/>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38662B" w:rsidRDefault="00B870A4" w:rsidP="0038662B">
      <w:permStart w:id="341729153" w:edGrp="everyone"/>
      <w:r>
        <w:t>We agree provided all elements are</w:t>
      </w:r>
      <w:r w:rsidR="00D071FB">
        <w:t xml:space="preserve"> </w:t>
      </w:r>
      <w:r>
        <w:t>considered collectively.</w:t>
      </w:r>
    </w:p>
    <w:permEnd w:id="341729153"/>
    <w:p w:rsidR="0038662B" w:rsidRDefault="0038662B" w:rsidP="0038662B">
      <w:r>
        <w:lastRenderedPageBreak/>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C33E1" w:rsidRDefault="00743401" w:rsidP="004C33E1">
      <w:permStart w:id="2039644151" w:edGrp="everyone"/>
      <w:r>
        <w:t>Yes.</w:t>
      </w:r>
    </w:p>
    <w:permEnd w:id="2039644151"/>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743401" w:rsidRDefault="00743401" w:rsidP="00902B8E">
      <w:pPr>
        <w:autoSpaceDE w:val="0"/>
        <w:autoSpaceDN w:val="0"/>
        <w:adjustRightInd w:val="0"/>
        <w:jc w:val="both"/>
        <w:rPr>
          <w:rFonts w:cs="Arial"/>
          <w:szCs w:val="20"/>
          <w:lang w:val="en-US"/>
        </w:rPr>
      </w:pPr>
      <w:permStart w:id="836251595" w:edGrp="everyone"/>
      <w:r>
        <w:rPr>
          <w:rFonts w:cs="Arial"/>
          <w:szCs w:val="20"/>
          <w:lang w:val="en-US"/>
        </w:rPr>
        <w:t>We do not agree with the requirement to provide duplicative information in separate documents; however, with the exception of the points set forth herein, we are generally comfortable with the various disclosure elements across both the methodology document and the benchmark statement.</w:t>
      </w:r>
    </w:p>
    <w:p w:rsidR="00743401" w:rsidRDefault="00743401" w:rsidP="00902B8E">
      <w:pPr>
        <w:autoSpaceDE w:val="0"/>
        <w:autoSpaceDN w:val="0"/>
        <w:adjustRightInd w:val="0"/>
        <w:jc w:val="both"/>
        <w:rPr>
          <w:rFonts w:cs="Arial"/>
          <w:szCs w:val="20"/>
          <w:lang w:val="en-US"/>
        </w:rPr>
      </w:pPr>
      <w:r>
        <w:rPr>
          <w:rFonts w:cs="Arial"/>
          <w:szCs w:val="20"/>
          <w:lang w:val="en-US"/>
        </w:rPr>
        <w:tab/>
      </w:r>
    </w:p>
    <w:p w:rsidR="004C33E1" w:rsidRPr="00E62A6E" w:rsidRDefault="00902B8E" w:rsidP="00E62A6E">
      <w:pPr>
        <w:pStyle w:val="ListParagraph"/>
        <w:numPr>
          <w:ilvl w:val="0"/>
          <w:numId w:val="40"/>
        </w:numPr>
        <w:autoSpaceDE w:val="0"/>
        <w:autoSpaceDN w:val="0"/>
        <w:adjustRightInd w:val="0"/>
        <w:jc w:val="both"/>
        <w:rPr>
          <w:szCs w:val="20"/>
          <w:lang w:val="en-US"/>
        </w:rPr>
      </w:pPr>
      <w:r w:rsidRPr="00E62A6E">
        <w:rPr>
          <w:rFonts w:cs="Arial"/>
          <w:szCs w:val="20"/>
          <w:lang w:val="en-US"/>
        </w:rPr>
        <w:t xml:space="preserve">Recital 5 of the draft RTS provides that </w:t>
      </w:r>
      <w:r w:rsidRPr="00E62A6E">
        <w:rPr>
          <w:rFonts w:cs="Arial"/>
          <w:i/>
          <w:szCs w:val="20"/>
          <w:lang w:val="en-US"/>
        </w:rPr>
        <w:t>“Where a benchmark exhibits the characteristics of two different types of benchmarks (e.g. a commodity benchmark which is a regulated data benc</w:t>
      </w:r>
      <w:r w:rsidRPr="00E62A6E">
        <w:rPr>
          <w:rFonts w:cs="Arial"/>
          <w:i/>
          <w:szCs w:val="20"/>
          <w:lang w:val="en-US"/>
        </w:rPr>
        <w:t>h</w:t>
      </w:r>
      <w:r w:rsidRPr="00E62A6E">
        <w:rPr>
          <w:rFonts w:cs="Arial"/>
          <w:i/>
          <w:szCs w:val="20"/>
          <w:lang w:val="en-US"/>
        </w:rPr>
        <w:t xml:space="preserve">mark), all the specific provisions set up in the RTS apply in parallel to provide the stakeholders with comprehensive information on the benchmark’s characteristics.” </w:t>
      </w:r>
      <w:r w:rsidRPr="00E62A6E">
        <w:rPr>
          <w:rFonts w:cs="Arial"/>
          <w:szCs w:val="20"/>
          <w:lang w:val="en-US"/>
        </w:rPr>
        <w:t xml:space="preserve">We believe that </w:t>
      </w:r>
      <w:r w:rsidRPr="00E62A6E">
        <w:rPr>
          <w:szCs w:val="20"/>
          <w:lang w:val="en-US"/>
        </w:rPr>
        <w:t>th</w:t>
      </w:r>
      <w:r w:rsidR="00372475">
        <w:rPr>
          <w:szCs w:val="20"/>
          <w:lang w:val="en-US"/>
        </w:rPr>
        <w:t xml:space="preserve">e example provided on commodity benchmarks </w:t>
      </w:r>
      <w:r w:rsidRPr="00E62A6E">
        <w:rPr>
          <w:szCs w:val="20"/>
          <w:lang w:val="en-US"/>
        </w:rPr>
        <w:t xml:space="preserve">is </w:t>
      </w:r>
      <w:r w:rsidR="00372475">
        <w:rPr>
          <w:szCs w:val="20"/>
          <w:lang w:val="en-US"/>
        </w:rPr>
        <w:t xml:space="preserve">not accurate as it </w:t>
      </w:r>
      <w:r w:rsidRPr="00E62A6E">
        <w:rPr>
          <w:szCs w:val="20"/>
          <w:lang w:val="en-US"/>
        </w:rPr>
        <w:t>would be disproportional and not aligned to Article 19 – BMR which provides that if the commodity benchmark is a regulated data benc</w:t>
      </w:r>
      <w:r w:rsidRPr="00E62A6E">
        <w:rPr>
          <w:szCs w:val="20"/>
          <w:lang w:val="en-US"/>
        </w:rPr>
        <w:t>h</w:t>
      </w:r>
      <w:r w:rsidRPr="00E62A6E">
        <w:rPr>
          <w:szCs w:val="20"/>
          <w:lang w:val="en-US"/>
        </w:rPr>
        <w:t xml:space="preserve">mark it will fall under </w:t>
      </w:r>
      <w:r w:rsidR="008E6007" w:rsidRPr="00D071FB">
        <w:rPr>
          <w:szCs w:val="20"/>
          <w:lang w:val="en-US"/>
        </w:rPr>
        <w:t xml:space="preserve">the latter </w:t>
      </w:r>
      <w:r w:rsidRPr="00D071FB">
        <w:rPr>
          <w:szCs w:val="20"/>
          <w:lang w:val="en-US"/>
        </w:rPr>
        <w:t>c</w:t>
      </w:r>
      <w:r w:rsidRPr="00E62A6E">
        <w:rPr>
          <w:szCs w:val="20"/>
          <w:lang w:val="en-US"/>
        </w:rPr>
        <w:t>ategory.</w:t>
      </w:r>
    </w:p>
    <w:p w:rsidR="000C5277" w:rsidRPr="00E62A6E" w:rsidRDefault="000C5277" w:rsidP="000C5277">
      <w:pPr>
        <w:pStyle w:val="ListParagraph"/>
        <w:numPr>
          <w:ilvl w:val="0"/>
          <w:numId w:val="40"/>
        </w:numPr>
        <w:jc w:val="both"/>
        <w:rPr>
          <w:rFonts w:cs="Arial"/>
          <w:i/>
          <w:lang w:val="en-US"/>
        </w:rPr>
      </w:pPr>
      <w:r>
        <w:rPr>
          <w:rFonts w:cs="Arial"/>
          <w:lang w:val="en-US"/>
        </w:rPr>
        <w:t>Article 1, Paragraph 1(c) – it may be very difficult to obtain the information necessary to ascertain such things as the size of the measured market, potential participants and barriers to market a</w:t>
      </w:r>
      <w:r>
        <w:rPr>
          <w:rFonts w:cs="Arial"/>
          <w:lang w:val="en-US"/>
        </w:rPr>
        <w:t>c</w:t>
      </w:r>
      <w:r>
        <w:rPr>
          <w:rFonts w:cs="Arial"/>
          <w:lang w:val="en-US"/>
        </w:rPr>
        <w:t>cess.</w:t>
      </w:r>
    </w:p>
    <w:p w:rsidR="000C5277" w:rsidRPr="00E62A6E" w:rsidRDefault="000C5277" w:rsidP="000C5277">
      <w:pPr>
        <w:pStyle w:val="ListParagraph"/>
        <w:numPr>
          <w:ilvl w:val="0"/>
          <w:numId w:val="40"/>
        </w:numPr>
        <w:jc w:val="both"/>
        <w:rPr>
          <w:rFonts w:cs="Arial"/>
          <w:i/>
          <w:lang w:val="en-US"/>
        </w:rPr>
      </w:pPr>
      <w:r>
        <w:rPr>
          <w:rFonts w:cs="Arial"/>
          <w:lang w:val="en-US"/>
        </w:rPr>
        <w:t xml:space="preserve">Article 1, Paragraph 2 – depending on the universe, one cannot </w:t>
      </w:r>
      <w:r w:rsidR="00AB1B2B">
        <w:rPr>
          <w:rFonts w:cs="Arial"/>
          <w:lang w:val="en-US"/>
        </w:rPr>
        <w:t xml:space="preserve">always </w:t>
      </w:r>
      <w:r>
        <w:rPr>
          <w:rFonts w:cs="Arial"/>
          <w:lang w:val="en-US"/>
        </w:rPr>
        <w:t xml:space="preserve">determine the minimum size of the measured market. In addition, although the degree of liquidity may be considered in developing and maintaining a methodology, it will be difficult to include a static statement about the degree of liquidity required. </w:t>
      </w:r>
    </w:p>
    <w:p w:rsidR="000C5277" w:rsidRPr="00E62A6E" w:rsidRDefault="000C5277" w:rsidP="000C5277">
      <w:pPr>
        <w:pStyle w:val="ListParagraph"/>
        <w:numPr>
          <w:ilvl w:val="0"/>
          <w:numId w:val="40"/>
        </w:numPr>
        <w:jc w:val="both"/>
        <w:rPr>
          <w:rFonts w:cs="Arial"/>
          <w:i/>
          <w:lang w:val="en-US"/>
        </w:rPr>
      </w:pPr>
      <w:r>
        <w:rPr>
          <w:rFonts w:cs="Arial"/>
          <w:lang w:val="en-US"/>
        </w:rPr>
        <w:t>Article 1, Paragraph 4(c) – this is a concept best addressed by the product issuer or investment fund.</w:t>
      </w:r>
    </w:p>
    <w:p w:rsidR="00E62A6E" w:rsidRPr="00E62A6E" w:rsidRDefault="000915F5" w:rsidP="000915F5">
      <w:pPr>
        <w:pStyle w:val="ListParagraph"/>
        <w:numPr>
          <w:ilvl w:val="0"/>
          <w:numId w:val="40"/>
        </w:numPr>
        <w:jc w:val="both"/>
        <w:rPr>
          <w:rFonts w:cs="Arial"/>
          <w:i/>
          <w:lang w:val="en-US"/>
        </w:rPr>
      </w:pPr>
      <w:r w:rsidRPr="00CD6E7C">
        <w:rPr>
          <w:rFonts w:cs="Arial"/>
          <w:lang w:val="en-US"/>
        </w:rPr>
        <w:t xml:space="preserve">Article 4 (f) provides for the requirement to explain “why the benchmark is predominantly based on contributions by non-supervised entities”. We believe that </w:t>
      </w:r>
      <w:r w:rsidR="008E6007" w:rsidRPr="00CD6E7C">
        <w:rPr>
          <w:szCs w:val="20"/>
          <w:lang w:val="en-US"/>
        </w:rPr>
        <w:t xml:space="preserve">such a requirement </w:t>
      </w:r>
      <w:r w:rsidR="00B47173" w:rsidRPr="00CD6E7C">
        <w:rPr>
          <w:rFonts w:cs="Arial"/>
          <w:lang w:val="en-US"/>
        </w:rPr>
        <w:t>would be beyond and inconsistent</w:t>
      </w:r>
      <w:r w:rsidR="00D73FFF">
        <w:rPr>
          <w:rFonts w:cs="Arial"/>
          <w:lang w:val="en-US"/>
        </w:rPr>
        <w:t xml:space="preserve"> with the L</w:t>
      </w:r>
      <w:r w:rsidRPr="00CD6E7C">
        <w:rPr>
          <w:rFonts w:cs="Arial"/>
          <w:lang w:val="en-US"/>
        </w:rPr>
        <w:t xml:space="preserve">evel 1 text. Indeed, Article 19 of the BMR provides that Annex II shall apply instead of Title II to commodity benchmarks </w:t>
      </w:r>
      <w:r w:rsidR="008E6007" w:rsidRPr="00CD6E7C">
        <w:rPr>
          <w:rFonts w:cs="Arial"/>
          <w:lang w:val="en-US"/>
        </w:rPr>
        <w:t>“</w:t>
      </w:r>
      <w:r w:rsidRPr="00CD6E7C">
        <w:rPr>
          <w:rFonts w:cs="Arial"/>
          <w:lang w:val="en-US"/>
        </w:rPr>
        <w:t xml:space="preserve">unless the benchmark </w:t>
      </w:r>
      <w:r w:rsidR="008E6007" w:rsidRPr="00CD6E7C">
        <w:rPr>
          <w:rFonts w:cs="Arial"/>
          <w:lang w:val="en-US"/>
        </w:rPr>
        <w:t xml:space="preserve">in question </w:t>
      </w:r>
      <w:r w:rsidRPr="00CD6E7C">
        <w:rPr>
          <w:rFonts w:cs="Arial"/>
          <w:lang w:val="en-US"/>
        </w:rPr>
        <w:t>is a regula</w:t>
      </w:r>
      <w:r w:rsidRPr="00CD6E7C">
        <w:rPr>
          <w:rFonts w:cs="Arial"/>
          <w:lang w:val="en-US"/>
        </w:rPr>
        <w:t>t</w:t>
      </w:r>
      <w:r w:rsidRPr="00CD6E7C">
        <w:rPr>
          <w:rFonts w:cs="Arial"/>
          <w:lang w:val="en-US"/>
        </w:rPr>
        <w:t xml:space="preserve">ed data benchmark </w:t>
      </w:r>
      <w:r w:rsidRPr="00D071FB">
        <w:rPr>
          <w:rFonts w:cs="Arial"/>
          <w:lang w:val="en-US"/>
        </w:rPr>
        <w:t>or is based on submissions by contributors the majority of which are supe</w:t>
      </w:r>
      <w:r w:rsidRPr="00D071FB">
        <w:rPr>
          <w:rFonts w:cs="Arial"/>
          <w:lang w:val="en-US"/>
        </w:rPr>
        <w:t>r</w:t>
      </w:r>
      <w:r w:rsidRPr="00D071FB">
        <w:rPr>
          <w:rFonts w:cs="Arial"/>
          <w:lang w:val="en-US"/>
        </w:rPr>
        <w:t xml:space="preserve">vised entities.” To ensure alignment with Article 19-BMR, we propose the wording of </w:t>
      </w:r>
      <w:r w:rsidR="008E6007" w:rsidRPr="00D071FB">
        <w:rPr>
          <w:rFonts w:cs="Arial"/>
          <w:lang w:val="en-US"/>
        </w:rPr>
        <w:t>Article 4(</w:t>
      </w:r>
      <w:r w:rsidRPr="00D071FB">
        <w:rPr>
          <w:rFonts w:cs="Arial"/>
          <w:lang w:val="en-US"/>
        </w:rPr>
        <w:t xml:space="preserve">f) to </w:t>
      </w:r>
      <w:r w:rsidRPr="00E62A6E">
        <w:rPr>
          <w:rFonts w:cs="Arial"/>
          <w:lang w:val="en-US"/>
        </w:rPr>
        <w:t>be amended as follows: “</w:t>
      </w:r>
      <w:r w:rsidRPr="00E62A6E">
        <w:rPr>
          <w:rFonts w:cs="Arial"/>
          <w:i/>
          <w:lang w:val="en-US"/>
        </w:rPr>
        <w:t>outline, on an aggregate level, the professional profiles of the contrib</w:t>
      </w:r>
      <w:r w:rsidRPr="00E62A6E">
        <w:rPr>
          <w:rFonts w:cs="Arial"/>
          <w:i/>
          <w:lang w:val="en-US"/>
        </w:rPr>
        <w:t>u</w:t>
      </w:r>
      <w:r w:rsidRPr="00E62A6E">
        <w:rPr>
          <w:rFonts w:cs="Arial"/>
          <w:i/>
          <w:lang w:val="en-US"/>
        </w:rPr>
        <w:t xml:space="preserve">tors to the benchmark and explain, where applicable, why the benchmark is </w:t>
      </w:r>
      <w:r w:rsidRPr="00E62A6E">
        <w:rPr>
          <w:rFonts w:cs="Arial"/>
          <w:i/>
          <w:u w:val="single"/>
          <w:lang w:val="en-US"/>
        </w:rPr>
        <w:t>OR IS NOT</w:t>
      </w:r>
      <w:r w:rsidRPr="00E62A6E">
        <w:rPr>
          <w:rFonts w:cs="Arial"/>
          <w:i/>
          <w:lang w:val="en-US"/>
        </w:rPr>
        <w:t xml:space="preserve"> predom</w:t>
      </w:r>
      <w:r w:rsidRPr="00E62A6E">
        <w:rPr>
          <w:rFonts w:cs="Arial"/>
          <w:i/>
          <w:lang w:val="en-US"/>
        </w:rPr>
        <w:t>i</w:t>
      </w:r>
      <w:r w:rsidRPr="00E62A6E">
        <w:rPr>
          <w:rFonts w:cs="Arial"/>
          <w:i/>
          <w:lang w:val="en-US"/>
        </w:rPr>
        <w:t xml:space="preserve">nantly based on contributions by </w:t>
      </w:r>
      <w:r w:rsidRPr="00E62A6E">
        <w:rPr>
          <w:rFonts w:cs="Arial"/>
          <w:i/>
          <w:strike/>
          <w:lang w:val="en-US"/>
        </w:rPr>
        <w:t>non-</w:t>
      </w:r>
      <w:r w:rsidRPr="00E62A6E">
        <w:rPr>
          <w:rFonts w:cs="Arial"/>
          <w:i/>
          <w:lang w:val="en-US"/>
        </w:rPr>
        <w:t>supervised entities.”</w:t>
      </w:r>
    </w:p>
    <w:permEnd w:id="836251595"/>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743401" w:rsidP="004C33E1">
      <w:permStart w:id="1393649482" w:edGrp="everyone"/>
      <w:r>
        <w:t>We agree with the first three proposed specifications</w:t>
      </w:r>
      <w:r w:rsidR="00E62A6E">
        <w:t xml:space="preserve"> under Article 8, Paragraphs 2(a)-2(c)</w:t>
      </w:r>
      <w:r>
        <w:t xml:space="preserve"> but do not understand </w:t>
      </w:r>
      <w:r w:rsidR="00E62A6E">
        <w:t>what is contemplated under Article 8, Paragraph 2(d).</w:t>
      </w:r>
    </w:p>
    <w:permEnd w:id="1393649482"/>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lastRenderedPageBreak/>
        <w:t>&lt;ESMA_QUESTION_CP_BMR_23&gt;</w:t>
      </w:r>
    </w:p>
    <w:p w:rsidR="00353D72" w:rsidRDefault="004C4CAE" w:rsidP="00353D72">
      <w:pPr>
        <w:jc w:val="both"/>
        <w:rPr>
          <w:rFonts w:cs="Arial"/>
          <w:color w:val="000000"/>
          <w:lang w:val="en-US"/>
        </w:rPr>
      </w:pPr>
      <w:permStart w:id="1028747726" w:edGrp="everyone"/>
      <w:r>
        <w:rPr>
          <w:rFonts w:cs="Arial"/>
          <w:color w:val="000000"/>
          <w:lang w:val="en-US"/>
        </w:rPr>
        <w:t xml:space="preserve"> </w:t>
      </w:r>
      <w:r w:rsidR="00353D72">
        <w:t xml:space="preserve">Yes a distinction may be made; however, although </w:t>
      </w:r>
      <w:r w:rsidR="00353D72" w:rsidRPr="005165E9">
        <w:rPr>
          <w:rFonts w:cs="Arial"/>
          <w:szCs w:val="20"/>
        </w:rPr>
        <w:t xml:space="preserve">distinct regimes </w:t>
      </w:r>
      <w:r w:rsidR="00353D72">
        <w:rPr>
          <w:rFonts w:cs="Arial"/>
          <w:szCs w:val="20"/>
        </w:rPr>
        <w:t>may be</w:t>
      </w:r>
      <w:r w:rsidR="00353D72" w:rsidRPr="005165E9">
        <w:rPr>
          <w:rFonts w:cs="Arial"/>
          <w:szCs w:val="20"/>
        </w:rPr>
        <w:t xml:space="preserve"> called for in the Level 1 </w:t>
      </w:r>
      <w:r w:rsidR="00353D72">
        <w:rPr>
          <w:rFonts w:cs="Arial"/>
          <w:szCs w:val="20"/>
        </w:rPr>
        <w:t xml:space="preserve">BMR </w:t>
      </w:r>
      <w:r w:rsidR="00353D72" w:rsidRPr="005165E9">
        <w:rPr>
          <w:rFonts w:cs="Arial"/>
          <w:szCs w:val="20"/>
        </w:rPr>
        <w:t xml:space="preserve">text both </w:t>
      </w:r>
      <w:r w:rsidR="00353D72">
        <w:rPr>
          <w:rFonts w:cs="Arial"/>
          <w:szCs w:val="20"/>
        </w:rPr>
        <w:t>the procedures and the information required to fulfil them</w:t>
      </w:r>
      <w:r w:rsidR="00353D72" w:rsidRPr="005165E9">
        <w:rPr>
          <w:rFonts w:cs="Arial"/>
          <w:szCs w:val="20"/>
        </w:rPr>
        <w:t xml:space="preserve"> must be aligned</w:t>
      </w:r>
      <w:r w:rsidR="00353D72" w:rsidRPr="004B1BF1">
        <w:t xml:space="preserve"> </w:t>
      </w:r>
      <w:r w:rsidR="00353D72">
        <w:t>as contemplated in Article 34, paragraph 4 (“</w:t>
      </w:r>
      <w:r w:rsidR="00353D72" w:rsidRPr="00E6431D">
        <w:rPr>
          <w:rFonts w:cs="Arial"/>
        </w:rPr>
        <w:t>The applicant shall provide all information necessary to satisfy the competent authority that the applicant has established, at the time of authorisation or registration, all the necessary arrangements to meet the requirements laid down in this Regulation</w:t>
      </w:r>
      <w:r w:rsidR="00353D72">
        <w:t xml:space="preserve">”). </w:t>
      </w:r>
      <w:r w:rsidR="00353D72">
        <w:rPr>
          <w:rFonts w:cs="Arial"/>
          <w:szCs w:val="20"/>
        </w:rPr>
        <w:t xml:space="preserve">Extraneous information requests should be avoided in both cases. </w:t>
      </w:r>
      <w:r w:rsidR="00353D72">
        <w:t xml:space="preserve">We strongly believe that the application for authorization/registration should focus on </w:t>
      </w:r>
      <w:r w:rsidR="00353D72">
        <w:rPr>
          <w:rFonts w:cs="Arial"/>
          <w:color w:val="000000"/>
          <w:lang w:val="en-US"/>
        </w:rPr>
        <w:t xml:space="preserve">organizational aspects whereas compliance/benchmark statements etc. would be made available anyway to the NCAs for their ongoing supervisory task on benchmarks. </w:t>
      </w:r>
    </w:p>
    <w:p w:rsidR="00353D72" w:rsidRDefault="00353D72" w:rsidP="00353D72">
      <w:pPr>
        <w:jc w:val="both"/>
        <w:rPr>
          <w:rFonts w:cs="Arial"/>
          <w:color w:val="000000"/>
          <w:lang w:val="en-US"/>
        </w:rPr>
      </w:pPr>
    </w:p>
    <w:p w:rsidR="00372475" w:rsidRPr="006E006F" w:rsidRDefault="00353D72" w:rsidP="00353D72">
      <w:pPr>
        <w:autoSpaceDE w:val="0"/>
        <w:autoSpaceDN w:val="0"/>
        <w:adjustRightInd w:val="0"/>
        <w:jc w:val="both"/>
        <w:rPr>
          <w:rFonts w:cs="Arial"/>
          <w:color w:val="000000"/>
          <w:lang w:val="en-US"/>
        </w:rPr>
      </w:pPr>
      <w:r>
        <w:rPr>
          <w:rFonts w:cs="Arial"/>
          <w:color w:val="000000"/>
          <w:lang w:val="en-US"/>
        </w:rPr>
        <w:t>In addition, in line with a proportional application of the BMR, it should be clear that the information r</w:t>
      </w:r>
      <w:r>
        <w:rPr>
          <w:rFonts w:cs="Arial"/>
          <w:color w:val="000000"/>
          <w:lang w:val="en-US"/>
        </w:rPr>
        <w:t>e</w:t>
      </w:r>
      <w:r>
        <w:rPr>
          <w:rFonts w:cs="Arial"/>
          <w:color w:val="000000"/>
          <w:lang w:val="en-US"/>
        </w:rPr>
        <w:t>quired in either</w:t>
      </w:r>
      <w:r w:rsidRPr="00524A0F">
        <w:rPr>
          <w:rFonts w:cs="Arial"/>
        </w:rPr>
        <w:t xml:space="preserve"> </w:t>
      </w:r>
      <w:r w:rsidRPr="00E6431D">
        <w:rPr>
          <w:rFonts w:cs="Arial"/>
        </w:rPr>
        <w:t>authorisation or registration</w:t>
      </w:r>
      <w:r>
        <w:rPr>
          <w:rFonts w:cs="Arial"/>
          <w:color w:val="000000"/>
          <w:lang w:val="en-US"/>
        </w:rPr>
        <w:t xml:space="preserve"> should align with the type of administrator (e.g. independent index providers) and the type of benchmarks provided.</w:t>
      </w:r>
    </w:p>
    <w:permEnd w:id="1028747726"/>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353D72" w:rsidRDefault="00353D72" w:rsidP="004C33E1">
      <w:pPr>
        <w:rPr>
          <w:rFonts w:cs="Arial"/>
          <w:lang w:val="en-US"/>
        </w:rPr>
      </w:pPr>
      <w:permStart w:id="738853201" w:edGrp="everyone"/>
      <w:r w:rsidRPr="00367003">
        <w:t>T</w:t>
      </w:r>
      <w:r w:rsidRPr="00367003">
        <w:rPr>
          <w:rFonts w:cs="Arial"/>
          <w:lang w:val="en-US"/>
        </w:rPr>
        <w:t>he information provided in the application for authorization should be specified on the basis of enabling competent authorities to assess whether the applicant is suitable for authorization</w:t>
      </w:r>
      <w:r>
        <w:rPr>
          <w:rFonts w:cs="Arial"/>
          <w:lang w:val="en-US"/>
        </w:rPr>
        <w:t xml:space="preserve">. </w:t>
      </w:r>
      <w:r>
        <w:t xml:space="preserve">We believe that the financial information requirements are unnecessary and disproportionate. </w:t>
      </w:r>
      <w:r>
        <w:rPr>
          <w:rFonts w:cs="Arial"/>
          <w:lang w:val="en-US"/>
        </w:rPr>
        <w:t>F</w:t>
      </w:r>
      <w:r w:rsidRPr="00367003">
        <w:rPr>
          <w:rFonts w:cs="Arial"/>
          <w:lang w:val="en-US"/>
        </w:rPr>
        <w:t>ull disclosure of financial information is not pr</w:t>
      </w:r>
      <w:r w:rsidR="00D73FFF">
        <w:rPr>
          <w:rFonts w:cs="Arial"/>
          <w:lang w:val="en-US"/>
        </w:rPr>
        <w:t>oportional or justified by the L</w:t>
      </w:r>
      <w:r w:rsidRPr="00367003">
        <w:rPr>
          <w:rFonts w:cs="Arial"/>
          <w:lang w:val="en-US"/>
        </w:rPr>
        <w:t>evel 1 text of BMR, except for critical/s</w:t>
      </w:r>
      <w:r>
        <w:rPr>
          <w:rFonts w:cs="Arial"/>
          <w:lang w:val="en-US"/>
        </w:rPr>
        <w:t>ystemically i</w:t>
      </w:r>
      <w:r>
        <w:rPr>
          <w:rFonts w:cs="Arial"/>
          <w:lang w:val="en-US"/>
        </w:rPr>
        <w:t>m</w:t>
      </w:r>
      <w:r>
        <w:rPr>
          <w:rFonts w:cs="Arial"/>
          <w:lang w:val="en-US"/>
        </w:rPr>
        <w:t>portant benchmarks. Further, if financial information is required it should be limited to that which is inclu</w:t>
      </w:r>
      <w:r>
        <w:rPr>
          <w:rFonts w:cs="Arial"/>
          <w:lang w:val="en-US"/>
        </w:rPr>
        <w:t>d</w:t>
      </w:r>
      <w:r>
        <w:rPr>
          <w:rFonts w:cs="Arial"/>
          <w:lang w:val="en-US"/>
        </w:rPr>
        <w:t xml:space="preserve">ed in an administrator’s regularly filed reports. </w:t>
      </w:r>
    </w:p>
    <w:permEnd w:id="738853201"/>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353D72" w:rsidRDefault="00353D72" w:rsidP="00353D72">
      <w:pPr>
        <w:jc w:val="both"/>
      </w:pPr>
      <w:permStart w:id="2084452745" w:edGrp="everyone"/>
      <w:r>
        <w:t>Not all of the requirements are consistent with the obligations in other parts of the BMR, in particular stating the “the integrity and reliability of the benchmark’s determinations” and the “internal reporting of infringements”.</w:t>
      </w:r>
    </w:p>
    <w:p w:rsidR="00353D72" w:rsidRDefault="00353D72" w:rsidP="00353D72">
      <w:pPr>
        <w:jc w:val="both"/>
      </w:pPr>
    </w:p>
    <w:p w:rsidR="00353D72" w:rsidRDefault="00353D72" w:rsidP="00353D72">
      <w:pPr>
        <w:jc w:val="both"/>
      </w:pPr>
      <w:r w:rsidRPr="005165E9">
        <w:t xml:space="preserve">ESMA states that an application for registration would only require “abbreviated information” on internal control structure, oversight and accountability frameworks. </w:t>
      </w:r>
    </w:p>
    <w:p w:rsidR="00353D72" w:rsidRDefault="00353D72" w:rsidP="00353D72">
      <w:pPr>
        <w:jc w:val="both"/>
      </w:pPr>
    </w:p>
    <w:p w:rsidR="00353D72" w:rsidRDefault="00353D72" w:rsidP="00353D72">
      <w:pPr>
        <w:jc w:val="both"/>
      </w:pPr>
      <w:r>
        <w:t>In line with our response to Question 23, i</w:t>
      </w:r>
      <w:r w:rsidRPr="005165E9">
        <w:t>f independent benchmark providers</w:t>
      </w:r>
      <w:r>
        <w:t>,</w:t>
      </w:r>
      <w:r w:rsidRPr="005165E9">
        <w:t xml:space="preserve"> </w:t>
      </w:r>
      <w:r>
        <w:t>which are not currently supervised entities, seeking authorization f</w:t>
      </w:r>
      <w:r w:rsidRPr="005165E9">
        <w:t>or the first time are required to provide information on these aspects of the</w:t>
      </w:r>
      <w:r>
        <w:t xml:space="preserve"> benchmark</w:t>
      </w:r>
      <w:r w:rsidRPr="005165E9">
        <w:t xml:space="preserve"> </w:t>
      </w:r>
      <w:r>
        <w:t xml:space="preserve">determination </w:t>
      </w:r>
      <w:r w:rsidRPr="005165E9">
        <w:t xml:space="preserve">process then other benchmark providers should be required to do the same and to meet the same standards. </w:t>
      </w:r>
      <w:r>
        <w:t>If they are not considered essential then the information bu</w:t>
      </w:r>
      <w:r>
        <w:t>r</w:t>
      </w:r>
      <w:r>
        <w:t xml:space="preserve">den on non-supervised applicants undergoing authorization should also be reduced to ensure general proportionality. </w:t>
      </w:r>
    </w:p>
    <w:p w:rsidR="00353D72" w:rsidRDefault="00353D72" w:rsidP="00353D72">
      <w:pPr>
        <w:jc w:val="both"/>
      </w:pPr>
    </w:p>
    <w:p w:rsidR="00353D72" w:rsidRDefault="00353D72" w:rsidP="00353D72">
      <w:pPr>
        <w:jc w:val="both"/>
      </w:pPr>
      <w:r>
        <w:t>It is</w:t>
      </w:r>
      <w:r w:rsidRPr="005165E9">
        <w:t xml:space="preserve"> not clear how the information contained in the RTS on the remuneration policy is relevant to being compliant with the Regulation. The </w:t>
      </w:r>
      <w:r>
        <w:t xml:space="preserve">Level 1 </w:t>
      </w:r>
      <w:r w:rsidR="005027F0">
        <w:t xml:space="preserve">text </w:t>
      </w:r>
      <w:r>
        <w:t xml:space="preserve">of the </w:t>
      </w:r>
      <w:r w:rsidRPr="005165E9">
        <w:t xml:space="preserve">BMR </w:t>
      </w:r>
      <w:r>
        <w:t xml:space="preserve">itself </w:t>
      </w:r>
      <w:r w:rsidRPr="005165E9">
        <w:t xml:space="preserve">does not require this information to be provided. The BMR only requires an administrator to ensure “the removal of any direct link between the remuneration of employees involved in the provision of input data and the remuneration of, or revenues generated by, persons engaged in another activity, where a conflict of interest may arise in relation to those activities”. Details on how this direct link </w:t>
      </w:r>
      <w:r>
        <w:t>has been</w:t>
      </w:r>
      <w:r w:rsidRPr="005165E9">
        <w:t xml:space="preserve"> removed should be sufficient in the application rather than having to provide a full remuneration policy for persons directly and indirectly. We therefore suggest that point 5(c) of Annex I be amended to reflect the intent of the Level 1. </w:t>
      </w:r>
      <w:r>
        <w:t>The “structure” of the remuneration policy, as is required in under point 5(b) of the Annex to ESMA’s draft RTS on recognition of a third country applicant, should be sufficient for EU applicants.</w:t>
      </w:r>
    </w:p>
    <w:p w:rsidR="00353D72" w:rsidRDefault="00353D72" w:rsidP="00353D72">
      <w:pPr>
        <w:jc w:val="both"/>
      </w:pPr>
    </w:p>
    <w:p w:rsidR="00353D72" w:rsidRDefault="00353D72" w:rsidP="00353D72">
      <w:pPr>
        <w:jc w:val="both"/>
      </w:pPr>
      <w:r>
        <w:t>Finally, while we understand NCAs require these applications to assess the administrators, the applic</w:t>
      </w:r>
      <w:r>
        <w:t>a</w:t>
      </w:r>
      <w:r>
        <w:t>tions will contain sensitive, proprietary and confidential information and therefore should not be made public.</w:t>
      </w:r>
    </w:p>
    <w:p w:rsidR="00353D72" w:rsidRPr="00835D71" w:rsidRDefault="00353D72" w:rsidP="00353D72">
      <w:pPr>
        <w:jc w:val="both"/>
        <w:rPr>
          <w:b/>
          <w:u w:val="single"/>
        </w:rPr>
      </w:pPr>
    </w:p>
    <w:p w:rsidR="00353D72" w:rsidRPr="005165E9" w:rsidRDefault="00353D72" w:rsidP="00353D72">
      <w:pPr>
        <w:jc w:val="both"/>
      </w:pPr>
      <w:r w:rsidRPr="005165E9">
        <w:t xml:space="preserve">We believe that information </w:t>
      </w:r>
      <w:r>
        <w:t xml:space="preserve">contained </w:t>
      </w:r>
      <w:r w:rsidRPr="005165E9">
        <w:t xml:space="preserve">in an assessment by an independent external auditor of compliance with </w:t>
      </w:r>
      <w:r>
        <w:t xml:space="preserve">the relevant </w:t>
      </w:r>
      <w:r w:rsidRPr="005165E9">
        <w:t xml:space="preserve">IOSCO principles </w:t>
      </w:r>
      <w:r>
        <w:t xml:space="preserve">should be listed in the RTS as being able to demonstrate fulfilment of certain informational requirements in the Annex where there is overlap with the RTS. </w:t>
      </w:r>
    </w:p>
    <w:p w:rsidR="00353D72" w:rsidRDefault="00353D72" w:rsidP="00353D72">
      <w:pPr>
        <w:jc w:val="both"/>
      </w:pPr>
    </w:p>
    <w:p w:rsidR="00353D72" w:rsidRDefault="00353D72" w:rsidP="00353D72">
      <w:pPr>
        <w:jc w:val="both"/>
      </w:pPr>
      <w:r>
        <w:t xml:space="preserve">ESMA’s RTS for recognition allows the use of IOSCO audits where the information it contains overlaps with the information required for recognition under the RTS. However, </w:t>
      </w:r>
      <w:r w:rsidRPr="005165E9">
        <w:t xml:space="preserve">the RTS for EU applicants does not contain </w:t>
      </w:r>
      <w:r>
        <w:t>a similar</w:t>
      </w:r>
      <w:r w:rsidRPr="005165E9">
        <w:t xml:space="preserve"> provision. </w:t>
      </w:r>
      <w:r>
        <w:t>We note that nothing in the Level 1 BMR text would prevent IOSCO audits being used by EU applicants to demonstrate compliance with the authorization or registration requir</w:t>
      </w:r>
      <w:r>
        <w:t>e</w:t>
      </w:r>
      <w:r>
        <w:t>ments to the extent that they can. For example information contained in an IOSCO audit may also demo</w:t>
      </w:r>
      <w:r>
        <w:t>n</w:t>
      </w:r>
      <w:r>
        <w:t>strate compliance with the organizational structure and governance, conflicts of interest, internal controls, and methodology of the BMR. This would help reduce needless and burdensome duplication.</w:t>
      </w:r>
    </w:p>
    <w:p w:rsidR="00353D72" w:rsidRDefault="00353D72" w:rsidP="00353D72">
      <w:pPr>
        <w:jc w:val="both"/>
      </w:pPr>
    </w:p>
    <w:p w:rsidR="001032E4" w:rsidRDefault="00353D72" w:rsidP="00353D72">
      <w:r w:rsidRPr="005165E9">
        <w:t>We</w:t>
      </w:r>
      <w:r>
        <w:t xml:space="preserve"> therefore </w:t>
      </w:r>
      <w:r w:rsidRPr="005165E9">
        <w:t xml:space="preserve">call on ESMA to include the same treatment </w:t>
      </w:r>
      <w:r>
        <w:t xml:space="preserve">for EU applicants as </w:t>
      </w:r>
      <w:r w:rsidRPr="005165E9">
        <w:t>provide</w:t>
      </w:r>
      <w:r>
        <w:t xml:space="preserve">d </w:t>
      </w:r>
      <w:r w:rsidRPr="005165E9">
        <w:t>for third country applicants under Article 1(4) of the draft RTS on Recognition in the draft RTS for Authorization and Regi</w:t>
      </w:r>
      <w:r w:rsidRPr="005165E9">
        <w:t>s</w:t>
      </w:r>
      <w:r w:rsidRPr="005165E9">
        <w:t>tration</w:t>
      </w:r>
      <w:r w:rsidRPr="00354275">
        <w:t xml:space="preserve"> </w:t>
      </w:r>
      <w:r>
        <w:t>where an existing and verified source for this information exists in the form of an IOSCO audit</w:t>
      </w:r>
      <w:r w:rsidRPr="005165E9">
        <w:t>.</w:t>
      </w:r>
    </w:p>
    <w:permEnd w:id="2084452745"/>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353D72" w:rsidRDefault="00353D72" w:rsidP="00353D72">
      <w:pPr>
        <w:jc w:val="both"/>
      </w:pPr>
      <w:permStart w:id="1484209137" w:edGrp="everyone"/>
      <w:r w:rsidRPr="005165E9">
        <w:t>We welcome ESMA’s acknowledgement in sections 225 to 227 and 230 to 231 of the Consultation Paper that it is important to ensure the RTS are geared towards “reducing duplication” and that exemptions and information requested on the benchmark statement can be included during the single application process.</w:t>
      </w:r>
    </w:p>
    <w:p w:rsidR="00353D72" w:rsidRDefault="00353D72" w:rsidP="00353D72">
      <w:pPr>
        <w:jc w:val="both"/>
      </w:pPr>
    </w:p>
    <w:p w:rsidR="00353D72" w:rsidRDefault="00353D72" w:rsidP="00353D72">
      <w:pPr>
        <w:jc w:val="both"/>
      </w:pPr>
      <w:r w:rsidRPr="00D66EF1">
        <w:t>We also welcome the provision under point 9 of Annex I of the RTS themselves which indicates that “any additional information relevant to this application” may be provided. We believe that this should include the latest IOSCO audit which an applicant has undergone where the information it contains may be relevant to the application process. We believe that the results of any third party audit an administrator conducted in connection with its adherence to the IOSCO Principles for Financial Benchmarks or the PRA Principle</w:t>
      </w:r>
      <w:r>
        <w:t xml:space="preserve">s should be able to be included. </w:t>
      </w:r>
      <w:r w:rsidRPr="005165E9">
        <w:t>In line with ESMA’s desire to avoid duplication we believe that an IOSCO audit should be cited</w:t>
      </w:r>
      <w:r>
        <w:t>.</w:t>
      </w:r>
    </w:p>
    <w:p w:rsidR="00353D72" w:rsidRDefault="00353D72" w:rsidP="00353D72">
      <w:pPr>
        <w:jc w:val="both"/>
      </w:pPr>
    </w:p>
    <w:p w:rsidR="004C33E1" w:rsidRPr="00353D72" w:rsidRDefault="00353D72" w:rsidP="00353D72">
      <w:pPr>
        <w:jc w:val="both"/>
      </w:pPr>
      <w:r w:rsidRPr="002C1FC5">
        <w:rPr>
          <w:rFonts w:cs="Arial"/>
          <w:lang w:val="en-US"/>
        </w:rPr>
        <w:t>To avoid further duplication, Draft RTS Article 1 par</w:t>
      </w:r>
      <w:r w:rsidR="005027F0">
        <w:rPr>
          <w:rFonts w:cs="Arial"/>
          <w:lang w:val="en-US"/>
        </w:rPr>
        <w:t>agraph 4</w:t>
      </w:r>
      <w:r w:rsidRPr="002C1FC5">
        <w:rPr>
          <w:rFonts w:cs="Arial"/>
          <w:lang w:val="en-US"/>
        </w:rPr>
        <w:t xml:space="preserve"> should </w:t>
      </w:r>
      <w:r>
        <w:rPr>
          <w:rFonts w:cs="Arial"/>
          <w:lang w:val="en-US"/>
        </w:rPr>
        <w:t>include the following addition:</w:t>
      </w:r>
      <w:r w:rsidRPr="002C1FC5">
        <w:rPr>
          <w:rFonts w:cs="Arial"/>
          <w:lang w:val="en-US"/>
        </w:rPr>
        <w:t xml:space="preserve"> </w:t>
      </w:r>
      <w:r w:rsidRPr="002C1FC5">
        <w:rPr>
          <w:rFonts w:cs="Arial"/>
          <w:i/>
          <w:lang w:val="en-US"/>
        </w:rPr>
        <w:t>d. for commodity benchmarks subject to Annex II of Regulation (EU) No 2016/2011, the external audit of co</w:t>
      </w:r>
      <w:r w:rsidRPr="002C1FC5">
        <w:rPr>
          <w:rFonts w:cs="Arial"/>
          <w:i/>
          <w:lang w:val="en-US"/>
        </w:rPr>
        <w:t>m</w:t>
      </w:r>
      <w:r w:rsidRPr="002C1FC5">
        <w:rPr>
          <w:rFonts w:cs="Arial"/>
          <w:i/>
          <w:lang w:val="en-US"/>
        </w:rPr>
        <w:t>pliance envis</w:t>
      </w:r>
      <w:r>
        <w:rPr>
          <w:rFonts w:cs="Arial"/>
          <w:i/>
          <w:lang w:val="en-US"/>
        </w:rPr>
        <w:t>aged by Article 18 of Annex II.</w:t>
      </w:r>
    </w:p>
    <w:permEnd w:id="1484209137"/>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BE386D" w:rsidRPr="005165E9" w:rsidRDefault="00353D72" w:rsidP="00353D72">
      <w:pPr>
        <w:jc w:val="both"/>
      </w:pPr>
      <w:permStart w:id="440410981" w:edGrp="everyone"/>
      <w:r w:rsidRPr="005165E9">
        <w:t>We do not believe that natural person</w:t>
      </w:r>
      <w:r>
        <w:t>s</w:t>
      </w:r>
      <w:r w:rsidRPr="005165E9">
        <w:t xml:space="preserve"> should be subject to a regime which is less stringent than those for other benchmark providers. All administrators should be required to meet the standards as set out in the Regulation. This requires that all applicants provide information to the relevant NCA for an impartial and full assessment to be made of an applicant’s ability to meet the requirements as set out in the Regulation. The Level 1 text of the Regulation does not call for specific treatment for natural persons. We </w:t>
      </w:r>
      <w:r>
        <w:t xml:space="preserve">therefore </w:t>
      </w:r>
      <w:r w:rsidRPr="005165E9">
        <w:t>do not believe that this is appropriate.</w:t>
      </w:r>
    </w:p>
    <w:permEnd w:id="440410981"/>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lastRenderedPageBreak/>
        <w:t>&lt;ESMA_QUESTION_CP_BMR_28&gt;</w:t>
      </w:r>
    </w:p>
    <w:p w:rsidR="004C33E1" w:rsidRDefault="004C33E1" w:rsidP="004C33E1">
      <w:permStart w:id="266353127" w:edGrp="everyone"/>
      <w:r>
        <w:t>TYPE YOUR TEXT HERE</w:t>
      </w:r>
    </w:p>
    <w:permEnd w:id="266353127"/>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353D72" w:rsidRDefault="00353D72" w:rsidP="00353D72">
      <w:pPr>
        <w:jc w:val="both"/>
      </w:pPr>
      <w:permStart w:id="1075652458" w:edGrp="everyone"/>
      <w:r>
        <w:rPr>
          <w:rFonts w:cs="Arial"/>
          <w:lang w:val="en-US"/>
        </w:rPr>
        <w:t xml:space="preserve">We believe that the information to be provided as set out in </w:t>
      </w:r>
      <w:r w:rsidRPr="002C1FC5">
        <w:rPr>
          <w:rFonts w:cs="Arial"/>
          <w:lang w:val="en-US"/>
        </w:rPr>
        <w:t xml:space="preserve">Annex I of the draft RTS is quite burdensome and lacks proportionality in particular as regards a full disclosure of financial information </w:t>
      </w:r>
      <w:r>
        <w:rPr>
          <w:rFonts w:cs="Arial"/>
          <w:lang w:val="en-US"/>
        </w:rPr>
        <w:t>(including for</w:t>
      </w:r>
      <w:r>
        <w:rPr>
          <w:rFonts w:cs="Arial"/>
          <w:lang w:val="en-US"/>
        </w:rPr>
        <w:t>e</w:t>
      </w:r>
      <w:r>
        <w:rPr>
          <w:rFonts w:cs="Arial"/>
          <w:lang w:val="en-US"/>
        </w:rPr>
        <w:t xml:space="preserve">casts), </w:t>
      </w:r>
      <w:r w:rsidRPr="002C1FC5">
        <w:rPr>
          <w:rFonts w:cs="Arial"/>
          <w:lang w:val="en-US"/>
        </w:rPr>
        <w:t>and detailed information on senior management</w:t>
      </w:r>
      <w:r w:rsidRPr="002C1FC5">
        <w:t>.</w:t>
      </w:r>
      <w:r>
        <w:t xml:space="preserve"> In addition, certain information required goes beyond the Level I text; for example, detailed internal controls descriptions for benchmarks not subject to those requirements.</w:t>
      </w:r>
    </w:p>
    <w:p w:rsidR="00353D72" w:rsidRDefault="00353D72" w:rsidP="00353D72">
      <w:pPr>
        <w:jc w:val="both"/>
      </w:pPr>
    </w:p>
    <w:p w:rsidR="00BE386D" w:rsidRDefault="00353D72" w:rsidP="00353D72">
      <w:pPr>
        <w:jc w:val="both"/>
      </w:pPr>
      <w:r>
        <w:t>However, we very much welcome that in Article 1(4) of the RTS on Recognition ESMA has ensured that an independent external audit of compliance with IOSCO principles can substitute for information required in an application which is listed in the annex. Notwithstanding the points raised above, this provision should ensure that the process is less likely to be “uselessly burdensome”, as ESMA points out (par</w:t>
      </w:r>
      <w:r>
        <w:t>a</w:t>
      </w:r>
      <w:r>
        <w:t>graph 253 of the CP), where an existing and verified source for this information exists. We also welcome ESMA’s stated intent to provide legal certainty and a common approach for third country applicant provi</w:t>
      </w:r>
      <w:r>
        <w:t>d</w:t>
      </w:r>
      <w:r>
        <w:t>ers (</w:t>
      </w:r>
      <w:r w:rsidR="005027F0">
        <w:t xml:space="preserve">paragraph </w:t>
      </w:r>
      <w:r>
        <w:t>244</w:t>
      </w:r>
      <w:r w:rsidR="005027F0">
        <w:t xml:space="preserve"> of the CP</w:t>
      </w:r>
      <w:r>
        <w:t>) based on the RTS across Member States.</w:t>
      </w:r>
    </w:p>
    <w:p w:rsidR="00CD6E7C" w:rsidRDefault="00CD6E7C" w:rsidP="00CD6E7C">
      <w:pPr>
        <w:rPr>
          <w:rFonts w:ascii="Calibri" w:hAnsi="Calibri" w:cs="Calibri"/>
          <w:color w:val="1F497D"/>
          <w:lang w:val="en-US" w:eastAsia="en-US"/>
        </w:rPr>
      </w:pPr>
    </w:p>
    <w:p w:rsidR="00CD6E7C" w:rsidRDefault="00CD6E7C" w:rsidP="00CD6E7C">
      <w:pPr>
        <w:rPr>
          <w:rFonts w:cs="Arial"/>
          <w:lang w:val="en-US" w:eastAsia="en-US"/>
        </w:rPr>
      </w:pPr>
      <w:r>
        <w:rPr>
          <w:rFonts w:cs="Arial"/>
          <w:lang w:val="en-US" w:eastAsia="en-US"/>
        </w:rPr>
        <w:t>We also believe that Article 1 paragraph 4 (a) and (b) should be separated by inserting “OR” to be aligned with the level 1 text of BMR and to prevent the misinterpretation to require both the external audit and certification. See below the proposed drafting change.</w:t>
      </w:r>
    </w:p>
    <w:p w:rsidR="00CD6E7C" w:rsidRDefault="00CD6E7C" w:rsidP="00CD6E7C">
      <w:pPr>
        <w:ind w:left="708"/>
        <w:rPr>
          <w:rFonts w:cs="Arial"/>
          <w:lang w:val="en-US" w:eastAsia="en-US"/>
        </w:rPr>
      </w:pPr>
    </w:p>
    <w:p w:rsidR="00CD6E7C" w:rsidRDefault="00CD6E7C" w:rsidP="00CD6E7C">
      <w:pPr>
        <w:rPr>
          <w:rFonts w:cs="Arial"/>
          <w:i/>
          <w:iCs/>
          <w:lang w:val="en-US" w:eastAsia="fr-BE"/>
        </w:rPr>
      </w:pPr>
      <w:r>
        <w:rPr>
          <w:rFonts w:cs="Arial"/>
          <w:i/>
          <w:iCs/>
          <w:lang w:val="en-US"/>
        </w:rPr>
        <w:t>4. The applicant shall not be required to provide information in accordance with Annex I to the extent that the information is contained in:</w:t>
      </w:r>
    </w:p>
    <w:p w:rsidR="00CD6E7C" w:rsidRDefault="00CD6E7C" w:rsidP="00CD6E7C">
      <w:pPr>
        <w:ind w:left="709"/>
        <w:rPr>
          <w:rFonts w:cs="Arial"/>
          <w:i/>
          <w:iCs/>
          <w:lang w:val="en-US"/>
        </w:rPr>
      </w:pPr>
      <w:r>
        <w:rPr>
          <w:rFonts w:cs="Arial"/>
          <w:i/>
          <w:iCs/>
          <w:lang w:val="en-US"/>
        </w:rPr>
        <w:t xml:space="preserve">a. an assessment by an independent external auditor of compliance with the IOSCO Principles for financial benchmarks or for PRAs, as applicable; </w:t>
      </w:r>
      <w:r>
        <w:rPr>
          <w:rFonts w:cs="Arial"/>
          <w:b/>
          <w:bCs/>
          <w:i/>
          <w:iCs/>
          <w:u w:val="single"/>
          <w:lang w:val="en-US"/>
        </w:rPr>
        <w:t>OR</w:t>
      </w:r>
    </w:p>
    <w:p w:rsidR="00CD6E7C" w:rsidRPr="00CD6E7C" w:rsidRDefault="00CD6E7C" w:rsidP="00CD6E7C">
      <w:pPr>
        <w:ind w:left="709"/>
        <w:rPr>
          <w:rFonts w:cs="Arial"/>
          <w:i/>
          <w:iCs/>
          <w:lang w:val="en-US"/>
        </w:rPr>
      </w:pPr>
      <w:r>
        <w:rPr>
          <w:rFonts w:cs="Arial"/>
          <w:i/>
          <w:iCs/>
          <w:lang w:val="en-US"/>
        </w:rPr>
        <w:t>b. the certification provided by the competent authority of the third country where the applicant is located, attesting compliance with the IOSCO Principles for financial benchmarks or for PRAs, as applicable.</w:t>
      </w:r>
    </w:p>
    <w:permEnd w:id="1075652458"/>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353D72" w:rsidP="004C33E1">
      <w:permStart w:id="1889617777" w:edGrp="everyone"/>
      <w:r>
        <w:t>Yes, this appears consistent with Article 32(4 and 5) of the BMR.</w:t>
      </w:r>
    </w:p>
    <w:permEnd w:id="1889617777"/>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Pr="009A5514" w:rsidRDefault="00AB0BDE" w:rsidP="00AB0BDE">
      <w:permStart w:id="1220945320" w:edGrp="everyone"/>
      <w:r>
        <w:t>TYPE YOUR TEXT HERE</w:t>
      </w:r>
    </w:p>
    <w:permEnd w:id="1220945320"/>
    <w:p w:rsidR="004C33E1" w:rsidRDefault="004C33E1" w:rsidP="004C33E1">
      <w:r>
        <w:t>&lt;ESMA_QUESTION_CP_BMR_31&gt;</w:t>
      </w:r>
    </w:p>
    <w:p w:rsidR="004C33E1" w:rsidRPr="0038662B" w:rsidRDefault="004C33E1" w:rsidP="0038662B">
      <w:bookmarkStart w:id="3" w:name="_GoBack"/>
      <w:bookmarkEnd w:id="3"/>
    </w:p>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15" w:rsidRDefault="00864815">
      <w:r>
        <w:separator/>
      </w:r>
    </w:p>
    <w:p w:rsidR="00864815" w:rsidRDefault="00864815"/>
  </w:endnote>
  <w:endnote w:type="continuationSeparator" w:id="0">
    <w:p w:rsidR="00864815" w:rsidRDefault="00864815">
      <w:r>
        <w:continuationSeparator/>
      </w:r>
    </w:p>
    <w:p w:rsidR="00864815" w:rsidRDefault="00864815"/>
  </w:endnote>
  <w:endnote w:type="continuationNotice" w:id="1">
    <w:p w:rsidR="00864815" w:rsidRDefault="00864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4EEA" w:rsidRPr="00616B9B" w:rsidTr="00315E96">
      <w:trPr>
        <w:trHeight w:val="284"/>
      </w:trPr>
      <w:tc>
        <w:tcPr>
          <w:tcW w:w="8460" w:type="dxa"/>
        </w:tcPr>
        <w:p w:rsidR="00FA4EEA" w:rsidRPr="00315E96" w:rsidRDefault="00FA4EEA" w:rsidP="00315E96">
          <w:pPr>
            <w:pStyle w:val="00Footer"/>
            <w:rPr>
              <w:lang w:val="fr-FR"/>
            </w:rPr>
          </w:pPr>
        </w:p>
      </w:tc>
      <w:tc>
        <w:tcPr>
          <w:tcW w:w="952" w:type="dxa"/>
        </w:tcPr>
        <w:p w:rsidR="00FA4EEA" w:rsidRPr="00616B9B" w:rsidRDefault="00FA4EE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027F0">
            <w:rPr>
              <w:rFonts w:cs="Arial"/>
              <w:noProof/>
              <w:sz w:val="22"/>
              <w:szCs w:val="22"/>
            </w:rPr>
            <w:t>14</w:t>
          </w:r>
          <w:r w:rsidRPr="00616B9B">
            <w:rPr>
              <w:rFonts w:cs="Arial"/>
              <w:noProof/>
              <w:sz w:val="22"/>
              <w:szCs w:val="22"/>
            </w:rPr>
            <w:fldChar w:fldCharType="end"/>
          </w:r>
        </w:p>
      </w:tc>
    </w:tr>
  </w:tbl>
  <w:p w:rsidR="00FA4EEA" w:rsidRDefault="00FA4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EA" w:rsidRDefault="00FA4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15" w:rsidRDefault="00864815">
      <w:r>
        <w:separator/>
      </w:r>
    </w:p>
    <w:p w:rsidR="00864815" w:rsidRDefault="00864815"/>
  </w:footnote>
  <w:footnote w:type="continuationSeparator" w:id="0">
    <w:p w:rsidR="00864815" w:rsidRDefault="00864815">
      <w:r>
        <w:continuationSeparator/>
      </w:r>
    </w:p>
    <w:p w:rsidR="00864815" w:rsidRDefault="00864815"/>
  </w:footnote>
  <w:footnote w:type="continuationNotice" w:id="1">
    <w:p w:rsidR="00864815" w:rsidRDefault="008648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EA" w:rsidRDefault="00FA4EEA">
    <w:pPr>
      <w:pStyle w:val="Header"/>
    </w:pPr>
    <w:r>
      <w:rPr>
        <w:noProof/>
        <w:lang w:val="en-US" w:eastAsia="en-US"/>
      </w:rPr>
      <w:drawing>
        <wp:anchor distT="0" distB="0" distL="114300" distR="114300" simplePos="0" relativeHeight="251658240" behindDoc="0" locked="0" layoutInCell="1" allowOverlap="1" wp14:anchorId="23747636" wp14:editId="45E7B12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6485416C" wp14:editId="672BB4E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EA" w:rsidRDefault="00FA4EEA" w:rsidP="00013CCE">
    <w:pPr>
      <w:pStyle w:val="Header"/>
      <w:jc w:val="right"/>
    </w:pPr>
    <w:r>
      <w:rPr>
        <w:noProof/>
        <w:lang w:val="en-US" w:eastAsia="en-US"/>
      </w:rPr>
      <w:drawing>
        <wp:anchor distT="0" distB="0" distL="114300" distR="114300" simplePos="0" relativeHeight="251657216" behindDoc="0" locked="0" layoutInCell="1" allowOverlap="1" wp14:anchorId="12C81EF9" wp14:editId="2258DF25">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46755A1E" wp14:editId="1F0F1C46">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EA" w:rsidRDefault="00FA4E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4EEA" w:rsidRPr="002F4496" w:rsidTr="000C06C9">
      <w:trPr>
        <w:trHeight w:val="284"/>
      </w:trPr>
      <w:tc>
        <w:tcPr>
          <w:tcW w:w="8460" w:type="dxa"/>
        </w:tcPr>
        <w:p w:rsidR="00FA4EEA" w:rsidRPr="000C3B6D" w:rsidRDefault="00FA4EEA" w:rsidP="000C06C9">
          <w:pPr>
            <w:pStyle w:val="00Footer"/>
            <w:rPr>
              <w:lang w:val="fr-FR"/>
            </w:rPr>
          </w:pPr>
        </w:p>
      </w:tc>
      <w:tc>
        <w:tcPr>
          <w:tcW w:w="952" w:type="dxa"/>
        </w:tcPr>
        <w:p w:rsidR="00FA4EEA" w:rsidRPr="00146B34" w:rsidRDefault="00FA4EEA" w:rsidP="000C06C9">
          <w:pPr>
            <w:pStyle w:val="00aPagenumber"/>
            <w:rPr>
              <w:lang w:val="fr-FR"/>
            </w:rPr>
          </w:pPr>
        </w:p>
      </w:tc>
    </w:tr>
  </w:tbl>
  <w:p w:rsidR="00FA4EEA" w:rsidRPr="00DB46C3" w:rsidRDefault="00FA4EEA">
    <w:pPr>
      <w:rPr>
        <w:lang w:val="fr-FR"/>
      </w:rPr>
    </w:pPr>
  </w:p>
  <w:p w:rsidR="00FA4EEA" w:rsidRPr="002F4496" w:rsidRDefault="00FA4EEA">
    <w:pPr>
      <w:pStyle w:val="Header"/>
      <w:rPr>
        <w:lang w:val="fr-FR"/>
      </w:rPr>
    </w:pPr>
  </w:p>
  <w:p w:rsidR="00FA4EEA" w:rsidRPr="002F4496" w:rsidRDefault="00FA4EEA" w:rsidP="000C06C9">
    <w:pPr>
      <w:pStyle w:val="Header"/>
      <w:tabs>
        <w:tab w:val="clear" w:pos="4536"/>
        <w:tab w:val="clear" w:pos="9072"/>
        <w:tab w:val="left" w:pos="8227"/>
      </w:tabs>
      <w:rPr>
        <w:lang w:val="fr-FR"/>
      </w:rPr>
    </w:pPr>
  </w:p>
  <w:p w:rsidR="00FA4EEA" w:rsidRPr="002F4496" w:rsidRDefault="00FA4EEA" w:rsidP="000C06C9">
    <w:pPr>
      <w:pStyle w:val="Header"/>
      <w:tabs>
        <w:tab w:val="clear" w:pos="4536"/>
        <w:tab w:val="clear" w:pos="9072"/>
        <w:tab w:val="left" w:pos="8227"/>
      </w:tabs>
      <w:rPr>
        <w:lang w:val="fr-FR"/>
      </w:rPr>
    </w:pPr>
  </w:p>
  <w:p w:rsidR="00FA4EEA" w:rsidRPr="002F4496" w:rsidRDefault="00FA4EEA">
    <w:pPr>
      <w:pStyle w:val="Header"/>
      <w:rPr>
        <w:lang w:val="fr-FR"/>
      </w:rPr>
    </w:pPr>
  </w:p>
  <w:p w:rsidR="00FA4EEA" w:rsidRPr="002F4496" w:rsidRDefault="00FA4EEA">
    <w:pPr>
      <w:pStyle w:val="Header"/>
      <w:rPr>
        <w:lang w:val="fr-FR"/>
      </w:rPr>
    </w:pPr>
  </w:p>
  <w:p w:rsidR="00FA4EEA" w:rsidRPr="002F4496" w:rsidRDefault="00FA4EEA">
    <w:pPr>
      <w:pStyle w:val="Header"/>
      <w:rPr>
        <w:lang w:val="fr-FR"/>
      </w:rPr>
    </w:pPr>
  </w:p>
  <w:p w:rsidR="00FA4EEA" w:rsidRPr="002F4496" w:rsidRDefault="00FA4EEA">
    <w:pPr>
      <w:pStyle w:val="Header"/>
      <w:rPr>
        <w:lang w:val="fr-FR"/>
      </w:rPr>
    </w:pPr>
  </w:p>
  <w:p w:rsidR="00FA4EEA" w:rsidRPr="002F4496" w:rsidRDefault="00FA4EEA">
    <w:pPr>
      <w:pStyle w:val="Header"/>
      <w:rPr>
        <w:highlight w:val="yellow"/>
        <w:lang w:val="fr-FR"/>
      </w:rPr>
    </w:pPr>
  </w:p>
  <w:p w:rsidR="00FA4EEA" w:rsidRDefault="00FA4EEA">
    <w:pPr>
      <w:pStyle w:val="Header"/>
    </w:pPr>
    <w:r>
      <w:rPr>
        <w:noProof/>
        <w:lang w:val="en-US" w:eastAsia="en-US"/>
      </w:rPr>
      <mc:AlternateContent>
        <mc:Choice Requires="wps">
          <w:drawing>
            <wp:anchor distT="0" distB="0" distL="114299" distR="114299" simplePos="0" relativeHeight="251660288" behindDoc="0" locked="0" layoutInCell="1" allowOverlap="1" wp14:anchorId="21BC6812" wp14:editId="53F14EAF">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6B6468BD" wp14:editId="0612FA59">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57F5357"/>
    <w:multiLevelType w:val="hybridMultilevel"/>
    <w:tmpl w:val="C02035D2"/>
    <w:lvl w:ilvl="0" w:tplc="60CCD2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8"/>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C55"/>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1E9F"/>
    <w:rsid w:val="00082D8E"/>
    <w:rsid w:val="00082E31"/>
    <w:rsid w:val="00083AA3"/>
    <w:rsid w:val="00085947"/>
    <w:rsid w:val="000868FE"/>
    <w:rsid w:val="000878D1"/>
    <w:rsid w:val="000915F5"/>
    <w:rsid w:val="000921AE"/>
    <w:rsid w:val="000921D7"/>
    <w:rsid w:val="000925FF"/>
    <w:rsid w:val="00092DBC"/>
    <w:rsid w:val="000932E0"/>
    <w:rsid w:val="00094C4C"/>
    <w:rsid w:val="00096762"/>
    <w:rsid w:val="000969C8"/>
    <w:rsid w:val="000972AF"/>
    <w:rsid w:val="0009752D"/>
    <w:rsid w:val="00097AEE"/>
    <w:rsid w:val="000A014A"/>
    <w:rsid w:val="000A04B6"/>
    <w:rsid w:val="000A0E36"/>
    <w:rsid w:val="000A1BD2"/>
    <w:rsid w:val="000A2127"/>
    <w:rsid w:val="000A34D0"/>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277"/>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32E4"/>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6E3E"/>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D0B"/>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2796"/>
    <w:rsid w:val="001F3996"/>
    <w:rsid w:val="001F44A4"/>
    <w:rsid w:val="001F579D"/>
    <w:rsid w:val="001F65EF"/>
    <w:rsid w:val="001F697B"/>
    <w:rsid w:val="001F7956"/>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DF0"/>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1FC5"/>
    <w:rsid w:val="002C2EFE"/>
    <w:rsid w:val="002C53AA"/>
    <w:rsid w:val="002C5B2D"/>
    <w:rsid w:val="002C6AF9"/>
    <w:rsid w:val="002C7DFC"/>
    <w:rsid w:val="002D015C"/>
    <w:rsid w:val="002D14F3"/>
    <w:rsid w:val="002D16E4"/>
    <w:rsid w:val="002D2FEF"/>
    <w:rsid w:val="002D36C2"/>
    <w:rsid w:val="002D3FCB"/>
    <w:rsid w:val="002D4FEF"/>
    <w:rsid w:val="002D502D"/>
    <w:rsid w:val="002D63F5"/>
    <w:rsid w:val="002D6506"/>
    <w:rsid w:val="002D6E1A"/>
    <w:rsid w:val="002E036D"/>
    <w:rsid w:val="002E1517"/>
    <w:rsid w:val="002E1B22"/>
    <w:rsid w:val="002E387F"/>
    <w:rsid w:val="002E7F4B"/>
    <w:rsid w:val="002F0C91"/>
    <w:rsid w:val="002F0E3E"/>
    <w:rsid w:val="002F1B19"/>
    <w:rsid w:val="002F1FBF"/>
    <w:rsid w:val="002F4139"/>
    <w:rsid w:val="002F5F9A"/>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3D72"/>
    <w:rsid w:val="0035455E"/>
    <w:rsid w:val="00354A6F"/>
    <w:rsid w:val="00354B48"/>
    <w:rsid w:val="00354EEF"/>
    <w:rsid w:val="00355789"/>
    <w:rsid w:val="003609B6"/>
    <w:rsid w:val="00361119"/>
    <w:rsid w:val="0036538D"/>
    <w:rsid w:val="00365D12"/>
    <w:rsid w:val="00367003"/>
    <w:rsid w:val="0037018D"/>
    <w:rsid w:val="00372299"/>
    <w:rsid w:val="00372475"/>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0B4"/>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1BA"/>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5E39"/>
    <w:rsid w:val="004261A0"/>
    <w:rsid w:val="004265AA"/>
    <w:rsid w:val="00426BC3"/>
    <w:rsid w:val="00426CE1"/>
    <w:rsid w:val="00427D52"/>
    <w:rsid w:val="00427D75"/>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36A"/>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26C"/>
    <w:rsid w:val="004C14E7"/>
    <w:rsid w:val="004C1D89"/>
    <w:rsid w:val="004C2A94"/>
    <w:rsid w:val="004C33E1"/>
    <w:rsid w:val="004C3DAB"/>
    <w:rsid w:val="004C4CAE"/>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B44"/>
    <w:rsid w:val="004F6376"/>
    <w:rsid w:val="004F6A93"/>
    <w:rsid w:val="004F6F14"/>
    <w:rsid w:val="004F76D9"/>
    <w:rsid w:val="004F79A6"/>
    <w:rsid w:val="00501BF5"/>
    <w:rsid w:val="00501D8B"/>
    <w:rsid w:val="005027F0"/>
    <w:rsid w:val="00502D31"/>
    <w:rsid w:val="00503A3E"/>
    <w:rsid w:val="00503F59"/>
    <w:rsid w:val="005049A7"/>
    <w:rsid w:val="00504DAE"/>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F4D"/>
    <w:rsid w:val="005441D4"/>
    <w:rsid w:val="0054672D"/>
    <w:rsid w:val="00550F4E"/>
    <w:rsid w:val="005532B5"/>
    <w:rsid w:val="00553EEA"/>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4BE0"/>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3007"/>
    <w:rsid w:val="005E49E5"/>
    <w:rsid w:val="005E5481"/>
    <w:rsid w:val="005E55E4"/>
    <w:rsid w:val="005E6735"/>
    <w:rsid w:val="005E6C5F"/>
    <w:rsid w:val="005E7636"/>
    <w:rsid w:val="005F028E"/>
    <w:rsid w:val="005F04B4"/>
    <w:rsid w:val="005F11A4"/>
    <w:rsid w:val="005F19F8"/>
    <w:rsid w:val="005F2E94"/>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3DE5"/>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47E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06F"/>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EB7"/>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2CE7"/>
    <w:rsid w:val="00743401"/>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246C"/>
    <w:rsid w:val="007834A1"/>
    <w:rsid w:val="007904BD"/>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B70"/>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121"/>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3C57"/>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4815"/>
    <w:rsid w:val="00865B01"/>
    <w:rsid w:val="00866D7A"/>
    <w:rsid w:val="00866EE3"/>
    <w:rsid w:val="008701E5"/>
    <w:rsid w:val="00871F04"/>
    <w:rsid w:val="008746C1"/>
    <w:rsid w:val="0088003A"/>
    <w:rsid w:val="00880224"/>
    <w:rsid w:val="0088244C"/>
    <w:rsid w:val="00883367"/>
    <w:rsid w:val="00884C47"/>
    <w:rsid w:val="00885E6F"/>
    <w:rsid w:val="008861AC"/>
    <w:rsid w:val="00886719"/>
    <w:rsid w:val="008868E4"/>
    <w:rsid w:val="00886A60"/>
    <w:rsid w:val="0088759B"/>
    <w:rsid w:val="008909B4"/>
    <w:rsid w:val="008922E8"/>
    <w:rsid w:val="00893916"/>
    <w:rsid w:val="0089442C"/>
    <w:rsid w:val="00895818"/>
    <w:rsid w:val="008A01D9"/>
    <w:rsid w:val="008A2585"/>
    <w:rsid w:val="008A2718"/>
    <w:rsid w:val="008A4CF6"/>
    <w:rsid w:val="008A4E42"/>
    <w:rsid w:val="008A51AA"/>
    <w:rsid w:val="008A588A"/>
    <w:rsid w:val="008A6A12"/>
    <w:rsid w:val="008B0DC6"/>
    <w:rsid w:val="008B2B9E"/>
    <w:rsid w:val="008B31F5"/>
    <w:rsid w:val="008B33B6"/>
    <w:rsid w:val="008B4C79"/>
    <w:rsid w:val="008B5D2D"/>
    <w:rsid w:val="008B6361"/>
    <w:rsid w:val="008C0320"/>
    <w:rsid w:val="008C1CB4"/>
    <w:rsid w:val="008C2A81"/>
    <w:rsid w:val="008C3863"/>
    <w:rsid w:val="008C4BDC"/>
    <w:rsid w:val="008C50FF"/>
    <w:rsid w:val="008C5435"/>
    <w:rsid w:val="008C6BD1"/>
    <w:rsid w:val="008D1502"/>
    <w:rsid w:val="008D2DB5"/>
    <w:rsid w:val="008D3F10"/>
    <w:rsid w:val="008D611D"/>
    <w:rsid w:val="008E1B6A"/>
    <w:rsid w:val="008E3054"/>
    <w:rsid w:val="008E32FF"/>
    <w:rsid w:val="008E5625"/>
    <w:rsid w:val="008E5C5B"/>
    <w:rsid w:val="008E6007"/>
    <w:rsid w:val="008E6A37"/>
    <w:rsid w:val="008F0354"/>
    <w:rsid w:val="008F085A"/>
    <w:rsid w:val="008F1462"/>
    <w:rsid w:val="008F2413"/>
    <w:rsid w:val="008F248D"/>
    <w:rsid w:val="008F4B2C"/>
    <w:rsid w:val="008F4C08"/>
    <w:rsid w:val="008F6851"/>
    <w:rsid w:val="008F7BC4"/>
    <w:rsid w:val="00900E7A"/>
    <w:rsid w:val="00902B8E"/>
    <w:rsid w:val="00903E11"/>
    <w:rsid w:val="00903EBE"/>
    <w:rsid w:val="009041DE"/>
    <w:rsid w:val="00905BC7"/>
    <w:rsid w:val="00905D59"/>
    <w:rsid w:val="009062CA"/>
    <w:rsid w:val="00907631"/>
    <w:rsid w:val="00907776"/>
    <w:rsid w:val="00913075"/>
    <w:rsid w:val="00913401"/>
    <w:rsid w:val="00913567"/>
    <w:rsid w:val="009137B6"/>
    <w:rsid w:val="00915EBA"/>
    <w:rsid w:val="00916C55"/>
    <w:rsid w:val="00916E04"/>
    <w:rsid w:val="00917093"/>
    <w:rsid w:val="0092030E"/>
    <w:rsid w:val="009217B1"/>
    <w:rsid w:val="00921A42"/>
    <w:rsid w:val="009223BB"/>
    <w:rsid w:val="00922491"/>
    <w:rsid w:val="00923BCF"/>
    <w:rsid w:val="00924AFD"/>
    <w:rsid w:val="009252EC"/>
    <w:rsid w:val="00925AEC"/>
    <w:rsid w:val="0092751A"/>
    <w:rsid w:val="009305C4"/>
    <w:rsid w:val="00931FAF"/>
    <w:rsid w:val="00932456"/>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E27"/>
    <w:rsid w:val="00990FF9"/>
    <w:rsid w:val="00991276"/>
    <w:rsid w:val="009923E7"/>
    <w:rsid w:val="00992697"/>
    <w:rsid w:val="00992D4E"/>
    <w:rsid w:val="00994621"/>
    <w:rsid w:val="009947FF"/>
    <w:rsid w:val="0099544B"/>
    <w:rsid w:val="009A053D"/>
    <w:rsid w:val="009A07A6"/>
    <w:rsid w:val="009A0D56"/>
    <w:rsid w:val="009A2624"/>
    <w:rsid w:val="009A31B9"/>
    <w:rsid w:val="009A3720"/>
    <w:rsid w:val="009A4D4F"/>
    <w:rsid w:val="009A53D8"/>
    <w:rsid w:val="009A5514"/>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460C"/>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02C"/>
    <w:rsid w:val="00A824A7"/>
    <w:rsid w:val="00A83644"/>
    <w:rsid w:val="00A83C07"/>
    <w:rsid w:val="00A83F40"/>
    <w:rsid w:val="00A84945"/>
    <w:rsid w:val="00A85543"/>
    <w:rsid w:val="00A8728B"/>
    <w:rsid w:val="00A91682"/>
    <w:rsid w:val="00A91939"/>
    <w:rsid w:val="00A92E4A"/>
    <w:rsid w:val="00A958CA"/>
    <w:rsid w:val="00A966B6"/>
    <w:rsid w:val="00A96B46"/>
    <w:rsid w:val="00AA003B"/>
    <w:rsid w:val="00AA016B"/>
    <w:rsid w:val="00AA15DD"/>
    <w:rsid w:val="00AA1C09"/>
    <w:rsid w:val="00AA2F67"/>
    <w:rsid w:val="00AA3569"/>
    <w:rsid w:val="00AA5F4C"/>
    <w:rsid w:val="00AA615C"/>
    <w:rsid w:val="00AA6711"/>
    <w:rsid w:val="00AB0BDE"/>
    <w:rsid w:val="00AB1B2B"/>
    <w:rsid w:val="00AB2AEC"/>
    <w:rsid w:val="00AB2DC1"/>
    <w:rsid w:val="00AB3102"/>
    <w:rsid w:val="00AB3D9A"/>
    <w:rsid w:val="00AB4B1D"/>
    <w:rsid w:val="00AB6B5E"/>
    <w:rsid w:val="00AC047F"/>
    <w:rsid w:val="00AC3934"/>
    <w:rsid w:val="00AC50C8"/>
    <w:rsid w:val="00AC5581"/>
    <w:rsid w:val="00AC56AD"/>
    <w:rsid w:val="00AC5871"/>
    <w:rsid w:val="00AC61BE"/>
    <w:rsid w:val="00AD0B9C"/>
    <w:rsid w:val="00AD0CB4"/>
    <w:rsid w:val="00AD1FF2"/>
    <w:rsid w:val="00AD2A21"/>
    <w:rsid w:val="00AD3B43"/>
    <w:rsid w:val="00AD4FF2"/>
    <w:rsid w:val="00AD506C"/>
    <w:rsid w:val="00AD6BE5"/>
    <w:rsid w:val="00AD6DD4"/>
    <w:rsid w:val="00AD7675"/>
    <w:rsid w:val="00AD783E"/>
    <w:rsid w:val="00AE1393"/>
    <w:rsid w:val="00AE3BC6"/>
    <w:rsid w:val="00AE4D4F"/>
    <w:rsid w:val="00AE627C"/>
    <w:rsid w:val="00AE62B0"/>
    <w:rsid w:val="00AE68A2"/>
    <w:rsid w:val="00AF0029"/>
    <w:rsid w:val="00AF0354"/>
    <w:rsid w:val="00AF1236"/>
    <w:rsid w:val="00AF1B9F"/>
    <w:rsid w:val="00AF3C29"/>
    <w:rsid w:val="00AF4401"/>
    <w:rsid w:val="00AF4463"/>
    <w:rsid w:val="00AF53CB"/>
    <w:rsid w:val="00AF65C5"/>
    <w:rsid w:val="00B03CE2"/>
    <w:rsid w:val="00B06544"/>
    <w:rsid w:val="00B105F2"/>
    <w:rsid w:val="00B10991"/>
    <w:rsid w:val="00B12128"/>
    <w:rsid w:val="00B12945"/>
    <w:rsid w:val="00B12C1E"/>
    <w:rsid w:val="00B14497"/>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6811"/>
    <w:rsid w:val="00B47173"/>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A4"/>
    <w:rsid w:val="00B91630"/>
    <w:rsid w:val="00B91B86"/>
    <w:rsid w:val="00B927CA"/>
    <w:rsid w:val="00B928AE"/>
    <w:rsid w:val="00B93CDA"/>
    <w:rsid w:val="00B942E9"/>
    <w:rsid w:val="00B9433A"/>
    <w:rsid w:val="00B948EE"/>
    <w:rsid w:val="00B94BF3"/>
    <w:rsid w:val="00B94F90"/>
    <w:rsid w:val="00B95702"/>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15C"/>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86D"/>
    <w:rsid w:val="00BE425B"/>
    <w:rsid w:val="00BE51BB"/>
    <w:rsid w:val="00BE7595"/>
    <w:rsid w:val="00BE77D3"/>
    <w:rsid w:val="00BF0138"/>
    <w:rsid w:val="00BF114B"/>
    <w:rsid w:val="00BF1620"/>
    <w:rsid w:val="00BF1AC3"/>
    <w:rsid w:val="00BF28DA"/>
    <w:rsid w:val="00BF3507"/>
    <w:rsid w:val="00BF373A"/>
    <w:rsid w:val="00BF557C"/>
    <w:rsid w:val="00BF62D2"/>
    <w:rsid w:val="00BF6C59"/>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5F7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4081"/>
    <w:rsid w:val="00CB56B4"/>
    <w:rsid w:val="00CB7286"/>
    <w:rsid w:val="00CB7947"/>
    <w:rsid w:val="00CC1783"/>
    <w:rsid w:val="00CC3B46"/>
    <w:rsid w:val="00CC3D8B"/>
    <w:rsid w:val="00CC4E27"/>
    <w:rsid w:val="00CC570C"/>
    <w:rsid w:val="00CC62B6"/>
    <w:rsid w:val="00CC7571"/>
    <w:rsid w:val="00CC76AA"/>
    <w:rsid w:val="00CC7CD2"/>
    <w:rsid w:val="00CC7EEB"/>
    <w:rsid w:val="00CD05CF"/>
    <w:rsid w:val="00CD1FAE"/>
    <w:rsid w:val="00CD232F"/>
    <w:rsid w:val="00CD279E"/>
    <w:rsid w:val="00CD2F92"/>
    <w:rsid w:val="00CD4EB0"/>
    <w:rsid w:val="00CD512D"/>
    <w:rsid w:val="00CD5831"/>
    <w:rsid w:val="00CD6E7C"/>
    <w:rsid w:val="00CD6F6E"/>
    <w:rsid w:val="00CD7239"/>
    <w:rsid w:val="00CE157F"/>
    <w:rsid w:val="00CE1966"/>
    <w:rsid w:val="00CE1ED4"/>
    <w:rsid w:val="00CE2216"/>
    <w:rsid w:val="00CE3014"/>
    <w:rsid w:val="00CE30E5"/>
    <w:rsid w:val="00CE3308"/>
    <w:rsid w:val="00CE6FC6"/>
    <w:rsid w:val="00CF2056"/>
    <w:rsid w:val="00CF4471"/>
    <w:rsid w:val="00CF51C0"/>
    <w:rsid w:val="00CF54DB"/>
    <w:rsid w:val="00CF5B2A"/>
    <w:rsid w:val="00CF5F57"/>
    <w:rsid w:val="00CF62BB"/>
    <w:rsid w:val="00CF64A7"/>
    <w:rsid w:val="00CF6730"/>
    <w:rsid w:val="00CF70E5"/>
    <w:rsid w:val="00CF7CEC"/>
    <w:rsid w:val="00D00B0F"/>
    <w:rsid w:val="00D01BF4"/>
    <w:rsid w:val="00D0272C"/>
    <w:rsid w:val="00D045CE"/>
    <w:rsid w:val="00D05082"/>
    <w:rsid w:val="00D06163"/>
    <w:rsid w:val="00D071FB"/>
    <w:rsid w:val="00D07AFD"/>
    <w:rsid w:val="00D11749"/>
    <w:rsid w:val="00D12A7D"/>
    <w:rsid w:val="00D13AB0"/>
    <w:rsid w:val="00D1519E"/>
    <w:rsid w:val="00D152B7"/>
    <w:rsid w:val="00D16EDC"/>
    <w:rsid w:val="00D17FDE"/>
    <w:rsid w:val="00D201CB"/>
    <w:rsid w:val="00D22786"/>
    <w:rsid w:val="00D228B4"/>
    <w:rsid w:val="00D238F7"/>
    <w:rsid w:val="00D25AC4"/>
    <w:rsid w:val="00D305F6"/>
    <w:rsid w:val="00D3070D"/>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3FFF"/>
    <w:rsid w:val="00D75603"/>
    <w:rsid w:val="00D75FEE"/>
    <w:rsid w:val="00D76933"/>
    <w:rsid w:val="00D76D88"/>
    <w:rsid w:val="00D77CC9"/>
    <w:rsid w:val="00D83D4B"/>
    <w:rsid w:val="00D871C6"/>
    <w:rsid w:val="00D875F8"/>
    <w:rsid w:val="00D91010"/>
    <w:rsid w:val="00D9466A"/>
    <w:rsid w:val="00DA0707"/>
    <w:rsid w:val="00DA0FA7"/>
    <w:rsid w:val="00DA12B0"/>
    <w:rsid w:val="00DA1A7F"/>
    <w:rsid w:val="00DA2BA0"/>
    <w:rsid w:val="00DA39AD"/>
    <w:rsid w:val="00DA494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74B3"/>
    <w:rsid w:val="00DE64A6"/>
    <w:rsid w:val="00DE66EB"/>
    <w:rsid w:val="00DE7035"/>
    <w:rsid w:val="00DF12E3"/>
    <w:rsid w:val="00DF2E8E"/>
    <w:rsid w:val="00DF3F1D"/>
    <w:rsid w:val="00DF5266"/>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4B3"/>
    <w:rsid w:val="00E50FB7"/>
    <w:rsid w:val="00E5199F"/>
    <w:rsid w:val="00E526DF"/>
    <w:rsid w:val="00E53C15"/>
    <w:rsid w:val="00E54951"/>
    <w:rsid w:val="00E54EE6"/>
    <w:rsid w:val="00E55C0E"/>
    <w:rsid w:val="00E56715"/>
    <w:rsid w:val="00E56C2C"/>
    <w:rsid w:val="00E57F8E"/>
    <w:rsid w:val="00E611C8"/>
    <w:rsid w:val="00E62A6E"/>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763E"/>
    <w:rsid w:val="00F10A54"/>
    <w:rsid w:val="00F123D0"/>
    <w:rsid w:val="00F13200"/>
    <w:rsid w:val="00F13411"/>
    <w:rsid w:val="00F143BA"/>
    <w:rsid w:val="00F14D98"/>
    <w:rsid w:val="00F1652F"/>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B4A"/>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EEA"/>
    <w:rsid w:val="00FA5535"/>
    <w:rsid w:val="00FA7206"/>
    <w:rsid w:val="00FA7EFB"/>
    <w:rsid w:val="00FB0816"/>
    <w:rsid w:val="00FB08C2"/>
    <w:rsid w:val="00FB3DD1"/>
    <w:rsid w:val="00FB51FD"/>
    <w:rsid w:val="00FB5667"/>
    <w:rsid w:val="00FB604C"/>
    <w:rsid w:val="00FB7A97"/>
    <w:rsid w:val="00FC09F0"/>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809537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72308384">
      <w:bodyDiv w:val="1"/>
      <w:marLeft w:val="0"/>
      <w:marRight w:val="0"/>
      <w:marTop w:val="0"/>
      <w:marBottom w:val="0"/>
      <w:divBdr>
        <w:top w:val="none" w:sz="0" w:space="0" w:color="auto"/>
        <w:left w:val="none" w:sz="0" w:space="0" w:color="auto"/>
        <w:bottom w:val="none" w:sz="0" w:space="0" w:color="auto"/>
        <w:right w:val="none" w:sz="0" w:space="0" w:color="auto"/>
      </w:divBdr>
    </w:div>
    <w:div w:id="180053682">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6984285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765019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7408835">
      <w:bodyDiv w:val="1"/>
      <w:marLeft w:val="0"/>
      <w:marRight w:val="0"/>
      <w:marTop w:val="0"/>
      <w:marBottom w:val="0"/>
      <w:divBdr>
        <w:top w:val="none" w:sz="0" w:space="0" w:color="auto"/>
        <w:left w:val="none" w:sz="0" w:space="0" w:color="auto"/>
        <w:bottom w:val="none" w:sz="0" w:space="0" w:color="auto"/>
        <w:right w:val="none" w:sz="0" w:space="0" w:color="auto"/>
      </w:divBdr>
      <w:divsChild>
        <w:div w:id="1782408671">
          <w:marLeft w:val="0"/>
          <w:marRight w:val="0"/>
          <w:marTop w:val="0"/>
          <w:marBottom w:val="0"/>
          <w:divBdr>
            <w:top w:val="none" w:sz="0" w:space="0" w:color="auto"/>
            <w:left w:val="none" w:sz="0" w:space="0" w:color="auto"/>
            <w:bottom w:val="none" w:sz="0" w:space="0" w:color="auto"/>
            <w:right w:val="none" w:sz="0" w:space="0" w:color="auto"/>
          </w:divBdr>
        </w:div>
        <w:div w:id="1175655834">
          <w:marLeft w:val="0"/>
          <w:marRight w:val="0"/>
          <w:marTop w:val="0"/>
          <w:marBottom w:val="0"/>
          <w:divBdr>
            <w:top w:val="none" w:sz="0" w:space="0" w:color="auto"/>
            <w:left w:val="none" w:sz="0" w:space="0" w:color="auto"/>
            <w:bottom w:val="none" w:sz="0" w:space="0" w:color="auto"/>
            <w:right w:val="none" w:sz="0" w:space="0" w:color="auto"/>
          </w:divBdr>
        </w:div>
        <w:div w:id="884609686">
          <w:marLeft w:val="0"/>
          <w:marRight w:val="0"/>
          <w:marTop w:val="0"/>
          <w:marBottom w:val="0"/>
          <w:divBdr>
            <w:top w:val="none" w:sz="0" w:space="0" w:color="auto"/>
            <w:left w:val="none" w:sz="0" w:space="0" w:color="auto"/>
            <w:bottom w:val="none" w:sz="0" w:space="0" w:color="auto"/>
            <w:right w:val="none" w:sz="0" w:space="0" w:color="auto"/>
          </w:divBdr>
        </w:div>
        <w:div w:id="13267435">
          <w:marLeft w:val="0"/>
          <w:marRight w:val="0"/>
          <w:marTop w:val="0"/>
          <w:marBottom w:val="0"/>
          <w:divBdr>
            <w:top w:val="none" w:sz="0" w:space="0" w:color="auto"/>
            <w:left w:val="none" w:sz="0" w:space="0" w:color="auto"/>
            <w:bottom w:val="none" w:sz="0" w:space="0" w:color="auto"/>
            <w:right w:val="none" w:sz="0" w:space="0" w:color="auto"/>
          </w:divBdr>
        </w:div>
        <w:div w:id="1657102902">
          <w:marLeft w:val="0"/>
          <w:marRight w:val="0"/>
          <w:marTop w:val="0"/>
          <w:marBottom w:val="0"/>
          <w:divBdr>
            <w:top w:val="none" w:sz="0" w:space="0" w:color="auto"/>
            <w:left w:val="none" w:sz="0" w:space="0" w:color="auto"/>
            <w:bottom w:val="none" w:sz="0" w:space="0" w:color="auto"/>
            <w:right w:val="none" w:sz="0" w:space="0" w:color="auto"/>
          </w:divBdr>
        </w:div>
        <w:div w:id="1253322871">
          <w:marLeft w:val="0"/>
          <w:marRight w:val="0"/>
          <w:marTop w:val="0"/>
          <w:marBottom w:val="0"/>
          <w:divBdr>
            <w:top w:val="none" w:sz="0" w:space="0" w:color="auto"/>
            <w:left w:val="none" w:sz="0" w:space="0" w:color="auto"/>
            <w:bottom w:val="none" w:sz="0" w:space="0" w:color="auto"/>
            <w:right w:val="none" w:sz="0" w:space="0" w:color="auto"/>
          </w:divBdr>
        </w:div>
        <w:div w:id="1810245511">
          <w:marLeft w:val="0"/>
          <w:marRight w:val="0"/>
          <w:marTop w:val="0"/>
          <w:marBottom w:val="0"/>
          <w:divBdr>
            <w:top w:val="none" w:sz="0" w:space="0" w:color="auto"/>
            <w:left w:val="none" w:sz="0" w:space="0" w:color="auto"/>
            <w:bottom w:val="none" w:sz="0" w:space="0" w:color="auto"/>
            <w:right w:val="none" w:sz="0" w:space="0" w:color="auto"/>
          </w:divBdr>
        </w:div>
        <w:div w:id="2134782240">
          <w:marLeft w:val="0"/>
          <w:marRight w:val="0"/>
          <w:marTop w:val="0"/>
          <w:marBottom w:val="0"/>
          <w:divBdr>
            <w:top w:val="none" w:sz="0" w:space="0" w:color="auto"/>
            <w:left w:val="none" w:sz="0" w:space="0" w:color="auto"/>
            <w:bottom w:val="none" w:sz="0" w:space="0" w:color="auto"/>
            <w:right w:val="none" w:sz="0" w:space="0" w:color="auto"/>
          </w:divBdr>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5773453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37947139">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348166">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186514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5029656">
      <w:bodyDiv w:val="1"/>
      <w:marLeft w:val="0"/>
      <w:marRight w:val="0"/>
      <w:marTop w:val="0"/>
      <w:marBottom w:val="0"/>
      <w:divBdr>
        <w:top w:val="none" w:sz="0" w:space="0" w:color="auto"/>
        <w:left w:val="none" w:sz="0" w:space="0" w:color="auto"/>
        <w:bottom w:val="none" w:sz="0" w:space="0" w:color="auto"/>
        <w:right w:val="none" w:sz="0" w:space="0" w:color="auto"/>
      </w:divBdr>
      <w:divsChild>
        <w:div w:id="1427265330">
          <w:marLeft w:val="0"/>
          <w:marRight w:val="0"/>
          <w:marTop w:val="0"/>
          <w:marBottom w:val="0"/>
          <w:divBdr>
            <w:top w:val="none" w:sz="0" w:space="0" w:color="auto"/>
            <w:left w:val="none" w:sz="0" w:space="0" w:color="auto"/>
            <w:bottom w:val="none" w:sz="0" w:space="0" w:color="auto"/>
            <w:right w:val="none" w:sz="0" w:space="0" w:color="auto"/>
          </w:divBdr>
        </w:div>
        <w:div w:id="1195079783">
          <w:marLeft w:val="0"/>
          <w:marRight w:val="0"/>
          <w:marTop w:val="0"/>
          <w:marBottom w:val="0"/>
          <w:divBdr>
            <w:top w:val="none" w:sz="0" w:space="0" w:color="auto"/>
            <w:left w:val="none" w:sz="0" w:space="0" w:color="auto"/>
            <w:bottom w:val="none" w:sz="0" w:space="0" w:color="auto"/>
            <w:right w:val="none" w:sz="0" w:space="0" w:color="auto"/>
          </w:divBdr>
        </w:div>
        <w:div w:id="540900600">
          <w:marLeft w:val="0"/>
          <w:marRight w:val="0"/>
          <w:marTop w:val="0"/>
          <w:marBottom w:val="0"/>
          <w:divBdr>
            <w:top w:val="none" w:sz="0" w:space="0" w:color="auto"/>
            <w:left w:val="none" w:sz="0" w:space="0" w:color="auto"/>
            <w:bottom w:val="none" w:sz="0" w:space="0" w:color="auto"/>
            <w:right w:val="none" w:sz="0" w:space="0" w:color="auto"/>
          </w:divBdr>
        </w:div>
        <w:div w:id="1806854968">
          <w:marLeft w:val="0"/>
          <w:marRight w:val="0"/>
          <w:marTop w:val="0"/>
          <w:marBottom w:val="0"/>
          <w:divBdr>
            <w:top w:val="none" w:sz="0" w:space="0" w:color="auto"/>
            <w:left w:val="none" w:sz="0" w:space="0" w:color="auto"/>
            <w:bottom w:val="none" w:sz="0" w:space="0" w:color="auto"/>
            <w:right w:val="none" w:sz="0" w:space="0" w:color="auto"/>
          </w:divBdr>
        </w:div>
        <w:div w:id="1948001600">
          <w:marLeft w:val="0"/>
          <w:marRight w:val="0"/>
          <w:marTop w:val="0"/>
          <w:marBottom w:val="0"/>
          <w:divBdr>
            <w:top w:val="none" w:sz="0" w:space="0" w:color="auto"/>
            <w:left w:val="none" w:sz="0" w:space="0" w:color="auto"/>
            <w:bottom w:val="none" w:sz="0" w:space="0" w:color="auto"/>
            <w:right w:val="none" w:sz="0" w:space="0" w:color="auto"/>
          </w:divBdr>
        </w:div>
        <w:div w:id="247617262">
          <w:marLeft w:val="0"/>
          <w:marRight w:val="0"/>
          <w:marTop w:val="0"/>
          <w:marBottom w:val="0"/>
          <w:divBdr>
            <w:top w:val="none" w:sz="0" w:space="0" w:color="auto"/>
            <w:left w:val="none" w:sz="0" w:space="0" w:color="auto"/>
            <w:bottom w:val="none" w:sz="0" w:space="0" w:color="auto"/>
            <w:right w:val="none" w:sz="0" w:space="0" w:color="auto"/>
          </w:divBdr>
        </w:div>
        <w:div w:id="2045016638">
          <w:marLeft w:val="0"/>
          <w:marRight w:val="0"/>
          <w:marTop w:val="0"/>
          <w:marBottom w:val="0"/>
          <w:divBdr>
            <w:top w:val="none" w:sz="0" w:space="0" w:color="auto"/>
            <w:left w:val="none" w:sz="0" w:space="0" w:color="auto"/>
            <w:bottom w:val="none" w:sz="0" w:space="0" w:color="auto"/>
            <w:right w:val="none" w:sz="0" w:space="0" w:color="auto"/>
          </w:divBdr>
        </w:div>
        <w:div w:id="1343245060">
          <w:marLeft w:val="0"/>
          <w:marRight w:val="0"/>
          <w:marTop w:val="0"/>
          <w:marBottom w:val="0"/>
          <w:divBdr>
            <w:top w:val="none" w:sz="0" w:space="0" w:color="auto"/>
            <w:left w:val="none" w:sz="0" w:space="0" w:color="auto"/>
            <w:bottom w:val="none" w:sz="0" w:space="0" w:color="auto"/>
            <w:right w:val="none" w:sz="0" w:space="0" w:color="auto"/>
          </w:divBdr>
        </w:div>
        <w:div w:id="2087219063">
          <w:marLeft w:val="0"/>
          <w:marRight w:val="0"/>
          <w:marTop w:val="0"/>
          <w:marBottom w:val="0"/>
          <w:divBdr>
            <w:top w:val="none" w:sz="0" w:space="0" w:color="auto"/>
            <w:left w:val="none" w:sz="0" w:space="0" w:color="auto"/>
            <w:bottom w:val="none" w:sz="0" w:space="0" w:color="auto"/>
            <w:right w:val="none" w:sz="0" w:space="0" w:color="auto"/>
          </w:divBdr>
        </w:div>
        <w:div w:id="1396781381">
          <w:marLeft w:val="0"/>
          <w:marRight w:val="0"/>
          <w:marTop w:val="0"/>
          <w:marBottom w:val="0"/>
          <w:divBdr>
            <w:top w:val="none" w:sz="0" w:space="0" w:color="auto"/>
            <w:left w:val="none" w:sz="0" w:space="0" w:color="auto"/>
            <w:bottom w:val="none" w:sz="0" w:space="0" w:color="auto"/>
            <w:right w:val="none" w:sz="0" w:space="0" w:color="auto"/>
          </w:divBdr>
        </w:div>
        <w:div w:id="1082410232">
          <w:marLeft w:val="0"/>
          <w:marRight w:val="0"/>
          <w:marTop w:val="0"/>
          <w:marBottom w:val="0"/>
          <w:divBdr>
            <w:top w:val="none" w:sz="0" w:space="0" w:color="auto"/>
            <w:left w:val="none" w:sz="0" w:space="0" w:color="auto"/>
            <w:bottom w:val="none" w:sz="0" w:space="0" w:color="auto"/>
            <w:right w:val="none" w:sz="0" w:space="0" w:color="auto"/>
          </w:divBdr>
        </w:div>
      </w:divsChild>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57421739">
      <w:bodyDiv w:val="1"/>
      <w:marLeft w:val="0"/>
      <w:marRight w:val="0"/>
      <w:marTop w:val="0"/>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
        <w:div w:id="1573928233">
          <w:marLeft w:val="0"/>
          <w:marRight w:val="0"/>
          <w:marTop w:val="0"/>
          <w:marBottom w:val="0"/>
          <w:divBdr>
            <w:top w:val="none" w:sz="0" w:space="0" w:color="auto"/>
            <w:left w:val="none" w:sz="0" w:space="0" w:color="auto"/>
            <w:bottom w:val="none" w:sz="0" w:space="0" w:color="auto"/>
            <w:right w:val="none" w:sz="0" w:space="0" w:color="auto"/>
          </w:divBdr>
        </w:div>
        <w:div w:id="1784300226">
          <w:marLeft w:val="0"/>
          <w:marRight w:val="0"/>
          <w:marTop w:val="0"/>
          <w:marBottom w:val="0"/>
          <w:divBdr>
            <w:top w:val="none" w:sz="0" w:space="0" w:color="auto"/>
            <w:left w:val="none" w:sz="0" w:space="0" w:color="auto"/>
            <w:bottom w:val="none" w:sz="0" w:space="0" w:color="auto"/>
            <w:right w:val="none" w:sz="0" w:space="0" w:color="auto"/>
          </w:divBdr>
        </w:div>
        <w:div w:id="765729369">
          <w:marLeft w:val="0"/>
          <w:marRight w:val="0"/>
          <w:marTop w:val="0"/>
          <w:marBottom w:val="0"/>
          <w:divBdr>
            <w:top w:val="none" w:sz="0" w:space="0" w:color="auto"/>
            <w:left w:val="none" w:sz="0" w:space="0" w:color="auto"/>
            <w:bottom w:val="none" w:sz="0" w:space="0" w:color="auto"/>
            <w:right w:val="none" w:sz="0" w:space="0" w:color="auto"/>
          </w:divBdr>
        </w:div>
        <w:div w:id="1723945772">
          <w:marLeft w:val="0"/>
          <w:marRight w:val="0"/>
          <w:marTop w:val="0"/>
          <w:marBottom w:val="0"/>
          <w:divBdr>
            <w:top w:val="none" w:sz="0" w:space="0" w:color="auto"/>
            <w:left w:val="none" w:sz="0" w:space="0" w:color="auto"/>
            <w:bottom w:val="none" w:sz="0" w:space="0" w:color="auto"/>
            <w:right w:val="none" w:sz="0" w:space="0" w:color="auto"/>
          </w:divBdr>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8882677">
      <w:bodyDiv w:val="1"/>
      <w:marLeft w:val="0"/>
      <w:marRight w:val="0"/>
      <w:marTop w:val="0"/>
      <w:marBottom w:val="0"/>
      <w:divBdr>
        <w:top w:val="none" w:sz="0" w:space="0" w:color="auto"/>
        <w:left w:val="none" w:sz="0" w:space="0" w:color="auto"/>
        <w:bottom w:val="none" w:sz="0" w:space="0" w:color="auto"/>
        <w:right w:val="none" w:sz="0" w:space="0" w:color="auto"/>
      </w:divBdr>
      <w:divsChild>
        <w:div w:id="1374891345">
          <w:marLeft w:val="0"/>
          <w:marRight w:val="0"/>
          <w:marTop w:val="0"/>
          <w:marBottom w:val="0"/>
          <w:divBdr>
            <w:top w:val="none" w:sz="0" w:space="0" w:color="auto"/>
            <w:left w:val="none" w:sz="0" w:space="0" w:color="auto"/>
            <w:bottom w:val="none" w:sz="0" w:space="0" w:color="auto"/>
            <w:right w:val="none" w:sz="0" w:space="0" w:color="auto"/>
          </w:divBdr>
        </w:div>
        <w:div w:id="130287547">
          <w:marLeft w:val="0"/>
          <w:marRight w:val="0"/>
          <w:marTop w:val="0"/>
          <w:marBottom w:val="0"/>
          <w:divBdr>
            <w:top w:val="none" w:sz="0" w:space="0" w:color="auto"/>
            <w:left w:val="none" w:sz="0" w:space="0" w:color="auto"/>
            <w:bottom w:val="none" w:sz="0" w:space="0" w:color="auto"/>
            <w:right w:val="none" w:sz="0" w:space="0" w:color="auto"/>
          </w:divBdr>
        </w:div>
        <w:div w:id="145633273">
          <w:marLeft w:val="0"/>
          <w:marRight w:val="0"/>
          <w:marTop w:val="0"/>
          <w:marBottom w:val="0"/>
          <w:divBdr>
            <w:top w:val="none" w:sz="0" w:space="0" w:color="auto"/>
            <w:left w:val="none" w:sz="0" w:space="0" w:color="auto"/>
            <w:bottom w:val="none" w:sz="0" w:space="0" w:color="auto"/>
            <w:right w:val="none" w:sz="0" w:space="0" w:color="auto"/>
          </w:divBdr>
        </w:div>
        <w:div w:id="1721325403">
          <w:marLeft w:val="0"/>
          <w:marRight w:val="0"/>
          <w:marTop w:val="0"/>
          <w:marBottom w:val="0"/>
          <w:divBdr>
            <w:top w:val="none" w:sz="0" w:space="0" w:color="auto"/>
            <w:left w:val="none" w:sz="0" w:space="0" w:color="auto"/>
            <w:bottom w:val="none" w:sz="0" w:space="0" w:color="auto"/>
            <w:right w:val="none" w:sz="0" w:space="0" w:color="auto"/>
          </w:divBdr>
        </w:div>
      </w:divsChild>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17807564">
      <w:bodyDiv w:val="1"/>
      <w:marLeft w:val="0"/>
      <w:marRight w:val="0"/>
      <w:marTop w:val="0"/>
      <w:marBottom w:val="0"/>
      <w:divBdr>
        <w:top w:val="none" w:sz="0" w:space="0" w:color="auto"/>
        <w:left w:val="none" w:sz="0" w:space="0" w:color="auto"/>
        <w:bottom w:val="none" w:sz="0" w:space="0" w:color="auto"/>
        <w:right w:val="none" w:sz="0" w:space="0" w:color="auto"/>
      </w:divBdr>
    </w:div>
    <w:div w:id="205279772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DBA4-CDDC-4AA0-91C6-6EC26B83951A}">
  <ds:schemaRefs>
    <ds:schemaRef ds:uri="http://schemas.openxmlformats.org/officeDocument/2006/bibliography"/>
  </ds:schemaRefs>
</ds:datastoreItem>
</file>

<file path=customXml/itemProps2.xml><?xml version="1.0" encoding="utf-8"?>
<ds:datastoreItem xmlns:ds="http://schemas.openxmlformats.org/officeDocument/2006/customXml" ds:itemID="{73D56C19-81A6-4FA5-81F0-2E93C1BF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5276</Words>
  <Characters>30075</Characters>
  <Application>Microsoft Office Word</Application>
  <DocSecurity>8</DocSecurity>
  <Lines>250</Lines>
  <Paragraphs>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35281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Doyle, David Henry</cp:lastModifiedBy>
  <cp:revision>2</cp:revision>
  <cp:lastPrinted>2016-12-01T19:37:00Z</cp:lastPrinted>
  <dcterms:created xsi:type="dcterms:W3CDTF">2016-12-02T13:48:00Z</dcterms:created>
  <dcterms:modified xsi:type="dcterms:W3CDTF">2016-12-02T13:48:00Z</dcterms:modified>
</cp:coreProperties>
</file>