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590471" w:rsidRPr="00590471" w:rsidRDefault="00590471" w:rsidP="00590471">
      <w:pPr>
        <w:pStyle w:val="BodyA"/>
        <w:suppressAutoHyphens/>
        <w:jc w:val="both"/>
        <w:rPr>
          <w:rFonts w:ascii="Arial" w:hAnsi="Arial" w:cs="Arial"/>
        </w:rPr>
      </w:pPr>
      <w:permStart w:id="245842631" w:edGrp="everyone"/>
      <w:r w:rsidRPr="00590471">
        <w:rPr>
          <w:rFonts w:ascii="Arial" w:hAnsi="Arial" w:cs="Arial"/>
        </w:rPr>
        <w:t xml:space="preserve">Dear Sirs, </w:t>
      </w:r>
    </w:p>
    <w:p w:rsidR="00590471" w:rsidRPr="00590471" w:rsidRDefault="00590471" w:rsidP="00590471">
      <w:pPr>
        <w:pBdr>
          <w:top w:val="nil"/>
          <w:left w:val="nil"/>
          <w:bottom w:val="nil"/>
          <w:right w:val="nil"/>
          <w:between w:val="nil"/>
          <w:bar w:val="nil"/>
        </w:pBdr>
        <w:suppressAutoHyphens/>
        <w:jc w:val="both"/>
        <w:rPr>
          <w:rFonts w:eastAsia="Arial" w:cs="Arial"/>
          <w:color w:val="000000"/>
          <w:sz w:val="22"/>
          <w:szCs w:val="22"/>
          <w:u w:color="000000"/>
          <w:bdr w:val="nil"/>
          <w:lang w:eastAsia="en-GB"/>
        </w:rPr>
      </w:pPr>
    </w:p>
    <w:p w:rsidR="00590471" w:rsidRPr="00590471" w:rsidRDefault="00590471" w:rsidP="00590471">
      <w:pPr>
        <w:pBdr>
          <w:top w:val="nil"/>
          <w:left w:val="nil"/>
          <w:bottom w:val="nil"/>
          <w:right w:val="nil"/>
          <w:between w:val="nil"/>
          <w:bar w:val="nil"/>
        </w:pBdr>
        <w:suppressAutoHyphens/>
        <w:jc w:val="both"/>
        <w:rPr>
          <w:rFonts w:eastAsia="Arial Unicode MS" w:cs="Arial"/>
          <w:i/>
          <w:iCs/>
          <w:color w:val="000000"/>
          <w:sz w:val="22"/>
          <w:szCs w:val="22"/>
          <w:u w:color="000000"/>
          <w:bdr w:val="nil"/>
          <w:lang w:eastAsia="en-GB"/>
        </w:rPr>
      </w:pPr>
      <w:r w:rsidRPr="00590471">
        <w:rPr>
          <w:rFonts w:eastAsia="Arial Unicode MS" w:cs="Arial"/>
          <w:color w:val="000000"/>
          <w:sz w:val="22"/>
          <w:szCs w:val="22"/>
          <w:u w:color="000000"/>
          <w:bdr w:val="nil"/>
          <w:lang w:eastAsia="en-GB"/>
        </w:rPr>
        <w:t>IHS Markit is pleased to submit the following comments to the European Securities and Markets Authority (“</w:t>
      </w:r>
      <w:r w:rsidRPr="00590471">
        <w:rPr>
          <w:rFonts w:eastAsia="Arial Unicode MS" w:cs="Arial"/>
          <w:b/>
          <w:i/>
          <w:color w:val="000000"/>
          <w:sz w:val="22"/>
          <w:szCs w:val="22"/>
          <w:u w:color="000000"/>
          <w:bdr w:val="nil"/>
          <w:lang w:eastAsia="en-GB"/>
        </w:rPr>
        <w:t>ESMA</w:t>
      </w:r>
      <w:r w:rsidRPr="00590471">
        <w:rPr>
          <w:rFonts w:eastAsia="Arial Unicode MS" w:cs="Arial"/>
          <w:color w:val="000000"/>
          <w:sz w:val="22"/>
          <w:szCs w:val="22"/>
          <w:u w:color="000000"/>
          <w:bdr w:val="nil"/>
          <w:lang w:eastAsia="en-GB"/>
        </w:rPr>
        <w:t>”) in response to its Consultation Paper (</w:t>
      </w:r>
      <w:r w:rsidRPr="00590471">
        <w:rPr>
          <w:rFonts w:eastAsia="Arial Unicode MS" w:cs="Arial"/>
          <w:b/>
          <w:i/>
          <w:color w:val="000000"/>
          <w:sz w:val="22"/>
          <w:szCs w:val="22"/>
          <w:u w:color="000000"/>
          <w:bdr w:val="nil"/>
          <w:lang w:eastAsia="en-GB"/>
        </w:rPr>
        <w:t>CP</w:t>
      </w:r>
      <w:r w:rsidRPr="00590471">
        <w:rPr>
          <w:rFonts w:eastAsia="Arial Unicode MS" w:cs="Arial"/>
          <w:color w:val="000000"/>
          <w:sz w:val="22"/>
          <w:szCs w:val="22"/>
          <w:u w:color="000000"/>
          <w:bdr w:val="nil"/>
          <w:lang w:eastAsia="en-GB"/>
        </w:rPr>
        <w:t>) on Draft technical standards under the Benchmarks Regulation</w:t>
      </w:r>
      <w:r w:rsidRPr="00590471">
        <w:rPr>
          <w:rFonts w:eastAsia="Arial Unicode MS" w:cs="Arial"/>
          <w:i/>
          <w:color w:val="000000"/>
          <w:sz w:val="22"/>
          <w:szCs w:val="22"/>
          <w:u w:color="000000"/>
          <w:bdr w:val="nil"/>
          <w:lang w:eastAsia="en-GB"/>
        </w:rPr>
        <w:t>.</w:t>
      </w:r>
    </w:p>
    <w:p w:rsidR="00590471" w:rsidRPr="00590471" w:rsidRDefault="00590471" w:rsidP="00590471">
      <w:pPr>
        <w:pBdr>
          <w:top w:val="nil"/>
          <w:left w:val="nil"/>
          <w:bottom w:val="nil"/>
          <w:right w:val="nil"/>
          <w:between w:val="nil"/>
          <w:bar w:val="nil"/>
        </w:pBdr>
        <w:suppressAutoHyphens/>
        <w:jc w:val="both"/>
        <w:rPr>
          <w:rFonts w:eastAsia="Arial" w:cs="Arial"/>
          <w:color w:val="000000"/>
          <w:sz w:val="22"/>
          <w:szCs w:val="22"/>
          <w:u w:color="000000"/>
          <w:bdr w:val="nil"/>
          <w:lang w:eastAsia="en-GB"/>
        </w:rPr>
      </w:pPr>
      <w:r w:rsidRPr="00590471">
        <w:rPr>
          <w:rFonts w:eastAsia="Arial" w:cs="Arial"/>
          <w:color w:val="000000"/>
          <w:sz w:val="22"/>
          <w:szCs w:val="22"/>
          <w:u w:color="000000"/>
          <w:bdr w:val="nil"/>
          <w:lang w:eastAsia="en-GB"/>
        </w:rPr>
        <w:tab/>
      </w:r>
    </w:p>
    <w:p w:rsidR="00590471" w:rsidRPr="00590471" w:rsidRDefault="00590471" w:rsidP="00590471">
      <w:pPr>
        <w:pBdr>
          <w:top w:val="nil"/>
          <w:left w:val="nil"/>
          <w:bottom w:val="nil"/>
          <w:right w:val="nil"/>
          <w:between w:val="nil"/>
          <w:bar w:val="nil"/>
        </w:pBdr>
        <w:suppressAutoHyphens/>
        <w:jc w:val="both"/>
        <w:rPr>
          <w:rFonts w:eastAsia="Arial Unicode MS" w:cs="Arial"/>
          <w:color w:val="000000"/>
          <w:sz w:val="22"/>
          <w:szCs w:val="22"/>
          <w:u w:color="000000"/>
          <w:bdr w:val="nil"/>
          <w:lang w:eastAsia="en-GB"/>
        </w:rPr>
      </w:pPr>
      <w:r w:rsidRPr="00590471">
        <w:rPr>
          <w:rFonts w:eastAsia="Arial Unicode MS" w:cs="Arial"/>
          <w:color w:val="000000"/>
          <w:sz w:val="22"/>
          <w:szCs w:val="22"/>
          <w:u w:color="000000"/>
          <w:bdr w:val="nil"/>
          <w:lang w:eastAsia="en-GB"/>
        </w:rPr>
        <w:t>IHS Markit (</w:t>
      </w:r>
      <w:proofErr w:type="gramStart"/>
      <w:r w:rsidRPr="00590471">
        <w:rPr>
          <w:rFonts w:eastAsia="Arial Unicode MS" w:cs="Arial"/>
          <w:color w:val="000000"/>
          <w:sz w:val="22"/>
          <w:szCs w:val="22"/>
          <w:u w:color="000000"/>
          <w:bdr w:val="nil"/>
          <w:lang w:eastAsia="en-GB"/>
        </w:rPr>
        <w:t>Nasdaq</w:t>
      </w:r>
      <w:proofErr w:type="gramEnd"/>
      <w:r w:rsidRPr="00590471">
        <w:rPr>
          <w:rFonts w:eastAsia="Arial Unicode MS" w:cs="Arial"/>
          <w:color w:val="000000"/>
          <w:sz w:val="22"/>
          <w:szCs w:val="22"/>
          <w:u w:color="000000"/>
          <w:bdr w:val="nil"/>
          <w:lang w:eastAsia="en-GB"/>
        </w:rPr>
        <w:t>: INFO) is a world leader in critical information, analytics and solutions for the major industries and markets that drive economies worldwide. The company delivers next-generation information, analytics and solutions to customers in business, finance and government, improving their operational efficiency and providing deep insights that lead to well-informed, confident decisions. IHS Markit has more than 50,000 key business and government customers, including 80 percent of the Fortune Global 500 and the world’s leading financial institutions. Headquartered in London, IHS Markit is committed to sustainable, profitable growth.</w:t>
      </w:r>
    </w:p>
    <w:p w:rsidR="00590471" w:rsidRPr="00590471" w:rsidRDefault="00590471" w:rsidP="00590471">
      <w:pPr>
        <w:pBdr>
          <w:top w:val="nil"/>
          <w:left w:val="nil"/>
          <w:bottom w:val="nil"/>
          <w:right w:val="nil"/>
          <w:between w:val="nil"/>
          <w:bar w:val="nil"/>
        </w:pBdr>
        <w:suppressAutoHyphens/>
        <w:jc w:val="both"/>
        <w:rPr>
          <w:rFonts w:eastAsia="Arial Unicode MS" w:cs="Arial"/>
          <w:color w:val="000000"/>
          <w:sz w:val="22"/>
          <w:szCs w:val="22"/>
          <w:u w:color="000000"/>
          <w:bdr w:val="nil"/>
          <w:lang w:eastAsia="en-GB"/>
        </w:rPr>
      </w:pPr>
    </w:p>
    <w:p w:rsidR="00590471" w:rsidRPr="00590471" w:rsidRDefault="00590471" w:rsidP="00590471">
      <w:pPr>
        <w:jc w:val="both"/>
        <w:rPr>
          <w:rFonts w:eastAsia="Arial" w:cs="Arial"/>
          <w:color w:val="000000"/>
          <w:spacing w:val="-2"/>
          <w:sz w:val="22"/>
          <w:szCs w:val="22"/>
          <w:lang w:eastAsia="ja-JP"/>
        </w:rPr>
      </w:pPr>
      <w:r w:rsidRPr="00590471">
        <w:rPr>
          <w:rFonts w:eastAsia="Arial" w:cs="Arial"/>
          <w:color w:val="000000"/>
          <w:spacing w:val="-2"/>
          <w:sz w:val="22"/>
          <w:szCs w:val="22"/>
          <w:lang w:eastAsia="ja-JP"/>
        </w:rPr>
        <w:t>IHS Markit is a leading independent provider of fixed income and macroeconomic indices, calcula</w:t>
      </w:r>
      <w:r w:rsidRPr="00590471">
        <w:rPr>
          <w:rFonts w:eastAsia="Arial" w:cs="Arial"/>
          <w:color w:val="000000"/>
          <w:spacing w:val="-2"/>
          <w:sz w:val="22"/>
          <w:szCs w:val="22"/>
          <w:lang w:eastAsia="ja-JP"/>
        </w:rPr>
        <w:t>t</w:t>
      </w:r>
      <w:r w:rsidRPr="00590471">
        <w:rPr>
          <w:rFonts w:eastAsia="Arial" w:cs="Arial"/>
          <w:color w:val="000000"/>
          <w:spacing w:val="-2"/>
          <w:sz w:val="22"/>
          <w:szCs w:val="22"/>
          <w:lang w:eastAsia="ja-JP"/>
        </w:rPr>
        <w:t xml:space="preserve">ing more than 17,000 indices globally. Our indices include the </w:t>
      </w:r>
      <w:proofErr w:type="spellStart"/>
      <w:r w:rsidRPr="00590471">
        <w:rPr>
          <w:rFonts w:eastAsia="Arial" w:cs="Arial"/>
          <w:color w:val="000000"/>
          <w:spacing w:val="-2"/>
          <w:sz w:val="22"/>
          <w:szCs w:val="22"/>
          <w:lang w:eastAsia="ja-JP"/>
        </w:rPr>
        <w:t>iBoxx</w:t>
      </w:r>
      <w:proofErr w:type="spellEnd"/>
      <w:r w:rsidRPr="00590471">
        <w:rPr>
          <w:rFonts w:eastAsia="Arial" w:cs="Arial"/>
          <w:color w:val="000000"/>
          <w:spacing w:val="-2"/>
          <w:sz w:val="22"/>
          <w:szCs w:val="22"/>
          <w:lang w:eastAsia="ja-JP"/>
        </w:rPr>
        <w:t xml:space="preserve"> bond indices, the </w:t>
      </w:r>
      <w:proofErr w:type="spellStart"/>
      <w:r w:rsidRPr="00590471">
        <w:rPr>
          <w:rFonts w:eastAsia="Arial" w:cs="Arial"/>
          <w:color w:val="000000"/>
          <w:spacing w:val="-2"/>
          <w:sz w:val="22"/>
          <w:szCs w:val="22"/>
          <w:lang w:eastAsia="ja-JP"/>
        </w:rPr>
        <w:t>iTraxx</w:t>
      </w:r>
      <w:proofErr w:type="spellEnd"/>
      <w:r w:rsidRPr="00590471">
        <w:rPr>
          <w:rFonts w:eastAsia="Arial" w:cs="Arial"/>
          <w:color w:val="000000"/>
          <w:spacing w:val="-2"/>
          <w:sz w:val="22"/>
          <w:szCs w:val="22"/>
          <w:lang w:eastAsia="ja-JP"/>
        </w:rPr>
        <w:t>® and CDX® credit derivative indices.</w:t>
      </w:r>
    </w:p>
    <w:p w:rsidR="00590471" w:rsidRPr="00590471" w:rsidRDefault="00590471" w:rsidP="00590471">
      <w:pPr>
        <w:jc w:val="both"/>
        <w:rPr>
          <w:rFonts w:eastAsia="Arial"/>
          <w:color w:val="000000"/>
          <w:spacing w:val="-2"/>
          <w:sz w:val="18"/>
          <w:szCs w:val="22"/>
          <w:lang w:val="en-US" w:eastAsia="en-US"/>
        </w:rPr>
      </w:pPr>
    </w:p>
    <w:p w:rsidR="00590471" w:rsidRPr="00590471" w:rsidRDefault="00590471" w:rsidP="00590471">
      <w:pPr>
        <w:jc w:val="both"/>
        <w:rPr>
          <w:rFonts w:eastAsia="Arial"/>
          <w:b/>
          <w:color w:val="000000"/>
          <w:spacing w:val="-2"/>
          <w:sz w:val="22"/>
          <w:szCs w:val="22"/>
          <w:lang w:val="en-US" w:eastAsia="en-US"/>
        </w:rPr>
      </w:pPr>
      <w:r w:rsidRPr="00590471">
        <w:rPr>
          <w:rFonts w:eastAsia="Arial"/>
          <w:b/>
          <w:color w:val="000000"/>
          <w:spacing w:val="-2"/>
          <w:sz w:val="22"/>
          <w:szCs w:val="22"/>
          <w:lang w:val="en-US" w:eastAsia="en-US"/>
        </w:rPr>
        <w:t>Comments</w:t>
      </w:r>
    </w:p>
    <w:p w:rsidR="00590471" w:rsidRPr="00590471" w:rsidRDefault="00590471" w:rsidP="00590471">
      <w:pPr>
        <w:pBdr>
          <w:top w:val="nil"/>
          <w:left w:val="nil"/>
          <w:bottom w:val="nil"/>
          <w:right w:val="nil"/>
          <w:between w:val="nil"/>
          <w:bar w:val="nil"/>
        </w:pBdr>
        <w:suppressAutoHyphens/>
        <w:jc w:val="both"/>
        <w:rPr>
          <w:rFonts w:ascii="Times New Roman" w:eastAsia="Arial Unicode MS" w:hAnsi="Arial Unicode MS" w:cs="Arial Unicode MS"/>
          <w:color w:val="000000"/>
          <w:sz w:val="24"/>
          <w:u w:color="000000"/>
          <w:bdr w:val="nil"/>
          <w:lang w:val="en-US" w:eastAsia="en-US"/>
        </w:rPr>
      </w:pPr>
    </w:p>
    <w:p w:rsidR="00590471" w:rsidRPr="00590471" w:rsidRDefault="00590471" w:rsidP="00590471">
      <w:pPr>
        <w:pBdr>
          <w:top w:val="nil"/>
          <w:left w:val="nil"/>
          <w:bottom w:val="nil"/>
          <w:right w:val="nil"/>
          <w:between w:val="nil"/>
          <w:bar w:val="nil"/>
        </w:pBdr>
        <w:suppressAutoHyphens/>
        <w:jc w:val="both"/>
        <w:rPr>
          <w:rFonts w:eastAsia="Arial Unicode MS" w:cs="Arial"/>
          <w:color w:val="000000"/>
          <w:sz w:val="22"/>
          <w:szCs w:val="22"/>
          <w:u w:color="000000"/>
          <w:bdr w:val="nil"/>
          <w:lang w:eastAsia="en-GB"/>
        </w:rPr>
      </w:pPr>
      <w:r w:rsidRPr="00590471">
        <w:rPr>
          <w:rFonts w:eastAsia="Arial Unicode MS" w:cs="Arial"/>
          <w:color w:val="000000"/>
          <w:sz w:val="22"/>
          <w:szCs w:val="22"/>
          <w:u w:color="000000"/>
          <w:bdr w:val="nil"/>
          <w:lang w:eastAsia="en-GB"/>
        </w:rPr>
        <w:t>Indices and benchmarks play an important role in enhancing transparency, liquidity and access in financial markets around the globe, they contribute to broadening the base of investable assets in the EU and are crucial elements driving economic development. We welcome the EU Benchmark Regulation (“</w:t>
      </w:r>
      <w:r w:rsidRPr="00590471">
        <w:rPr>
          <w:rFonts w:eastAsia="Arial Unicode MS" w:cs="Arial"/>
          <w:b/>
          <w:i/>
          <w:color w:val="000000"/>
          <w:sz w:val="22"/>
          <w:szCs w:val="22"/>
          <w:u w:color="000000"/>
          <w:bdr w:val="nil"/>
          <w:lang w:eastAsia="en-GB"/>
        </w:rPr>
        <w:t>BMR</w:t>
      </w:r>
      <w:r w:rsidRPr="00590471">
        <w:rPr>
          <w:rFonts w:eastAsia="Arial Unicode MS" w:cs="Arial"/>
          <w:color w:val="000000"/>
          <w:sz w:val="22"/>
          <w:szCs w:val="22"/>
          <w:u w:color="000000"/>
          <w:bdr w:val="nil"/>
          <w:lang w:eastAsia="en-GB"/>
        </w:rPr>
        <w:t xml:space="preserve">”) as an important framework to protect investors and restore confidence in benchmarks. </w:t>
      </w:r>
    </w:p>
    <w:p w:rsidR="00590471" w:rsidRPr="00590471" w:rsidRDefault="00590471" w:rsidP="00590471">
      <w:pPr>
        <w:pBdr>
          <w:top w:val="nil"/>
          <w:left w:val="nil"/>
          <w:bottom w:val="nil"/>
          <w:right w:val="nil"/>
          <w:between w:val="nil"/>
          <w:bar w:val="nil"/>
        </w:pBdr>
        <w:suppressAutoHyphens/>
        <w:jc w:val="both"/>
        <w:rPr>
          <w:rFonts w:eastAsia="Arial Unicode MS" w:cs="Arial"/>
          <w:color w:val="000000"/>
          <w:sz w:val="22"/>
          <w:szCs w:val="22"/>
          <w:u w:color="000000"/>
          <w:bdr w:val="nil"/>
          <w:lang w:eastAsia="en-GB"/>
        </w:rPr>
      </w:pPr>
    </w:p>
    <w:p w:rsidR="00590471" w:rsidRPr="00590471" w:rsidRDefault="00590471" w:rsidP="00590471">
      <w:pPr>
        <w:pBdr>
          <w:top w:val="nil"/>
          <w:left w:val="nil"/>
          <w:bottom w:val="nil"/>
          <w:right w:val="nil"/>
          <w:between w:val="nil"/>
          <w:bar w:val="nil"/>
        </w:pBdr>
        <w:suppressAutoHyphens/>
        <w:jc w:val="both"/>
        <w:rPr>
          <w:rFonts w:eastAsia="Arial" w:cs="Arial"/>
          <w:color w:val="000000"/>
          <w:spacing w:val="-2"/>
          <w:sz w:val="22"/>
          <w:szCs w:val="22"/>
          <w:lang w:eastAsia="ja-JP"/>
        </w:rPr>
      </w:pPr>
      <w:r w:rsidRPr="00590471">
        <w:rPr>
          <w:rFonts w:eastAsia="Arial" w:cs="Arial"/>
          <w:color w:val="000000"/>
          <w:spacing w:val="-2"/>
          <w:sz w:val="22"/>
          <w:szCs w:val="22"/>
          <w:lang w:eastAsia="ja-JP"/>
        </w:rPr>
        <w:t>We have provided detailed answers on some of the questions but would like to make the following general points:</w:t>
      </w:r>
    </w:p>
    <w:p w:rsidR="00590471" w:rsidRPr="00590471" w:rsidRDefault="00590471" w:rsidP="00590471">
      <w:pPr>
        <w:pBdr>
          <w:top w:val="nil"/>
          <w:left w:val="nil"/>
          <w:bottom w:val="nil"/>
          <w:right w:val="nil"/>
          <w:between w:val="nil"/>
          <w:bar w:val="nil"/>
        </w:pBdr>
        <w:suppressAutoHyphens/>
        <w:jc w:val="both"/>
        <w:rPr>
          <w:rFonts w:eastAsia="Arial" w:cs="Arial"/>
          <w:color w:val="000000"/>
          <w:spacing w:val="-2"/>
          <w:sz w:val="22"/>
          <w:szCs w:val="22"/>
          <w:lang w:eastAsia="ja-JP"/>
        </w:rPr>
      </w:pPr>
    </w:p>
    <w:p w:rsidR="00590471" w:rsidRPr="00590471" w:rsidRDefault="00590471" w:rsidP="00590471">
      <w:pPr>
        <w:numPr>
          <w:ilvl w:val="0"/>
          <w:numId w:val="40"/>
        </w:numPr>
        <w:spacing w:after="120" w:line="240" w:lineRule="exact"/>
        <w:ind w:left="709" w:hanging="352"/>
        <w:contextualSpacing/>
        <w:jc w:val="both"/>
        <w:rPr>
          <w:rFonts w:cs="Arial"/>
          <w:sz w:val="22"/>
          <w:szCs w:val="22"/>
          <w:lang w:val="en-US" w:eastAsia="en-US"/>
        </w:rPr>
      </w:pPr>
      <w:r w:rsidRPr="00590471">
        <w:rPr>
          <w:rFonts w:cs="Arial"/>
          <w:sz w:val="22"/>
          <w:szCs w:val="22"/>
          <w:lang w:val="en-US" w:eastAsia="en-US"/>
        </w:rPr>
        <w:t xml:space="preserve">IHS Markit strongly supports the BMR and ESMA’s work but believes that the final rules need to be proportionate and workable across the very diverse universe of benchmarks; </w:t>
      </w:r>
    </w:p>
    <w:p w:rsidR="00590471" w:rsidRPr="00590471" w:rsidRDefault="00590471" w:rsidP="00590471">
      <w:pPr>
        <w:numPr>
          <w:ilvl w:val="0"/>
          <w:numId w:val="40"/>
        </w:numPr>
        <w:spacing w:after="120" w:line="240" w:lineRule="exact"/>
        <w:ind w:left="709" w:hanging="352"/>
        <w:contextualSpacing/>
        <w:jc w:val="both"/>
        <w:rPr>
          <w:rFonts w:cs="Arial"/>
          <w:sz w:val="22"/>
          <w:szCs w:val="22"/>
          <w:lang w:val="en-US" w:eastAsia="en-US"/>
        </w:rPr>
      </w:pPr>
      <w:r w:rsidRPr="00590471">
        <w:rPr>
          <w:rFonts w:cs="Arial"/>
          <w:sz w:val="22"/>
          <w:szCs w:val="22"/>
          <w:lang w:val="en-US" w:eastAsia="en-US"/>
        </w:rPr>
        <w:t>we appreciate that ESMA have addressed a number of concerns the industry had about the practical application of the rules it is due to propose in the RTS; but</w:t>
      </w:r>
    </w:p>
    <w:p w:rsidR="00D34282" w:rsidRDefault="00590471" w:rsidP="00D34282">
      <w:pPr>
        <w:numPr>
          <w:ilvl w:val="0"/>
          <w:numId w:val="40"/>
        </w:numPr>
        <w:spacing w:after="120" w:line="240" w:lineRule="exact"/>
        <w:ind w:left="709" w:hanging="352"/>
        <w:contextualSpacing/>
        <w:jc w:val="both"/>
      </w:pPr>
      <w:proofErr w:type="gramStart"/>
      <w:r w:rsidRPr="00590471">
        <w:rPr>
          <w:rFonts w:cs="Arial"/>
          <w:sz w:val="22"/>
          <w:szCs w:val="22"/>
          <w:lang w:val="en-US" w:eastAsia="en-US"/>
        </w:rPr>
        <w:t>some</w:t>
      </w:r>
      <w:proofErr w:type="gramEnd"/>
      <w:r w:rsidRPr="00590471">
        <w:rPr>
          <w:rFonts w:cs="Arial"/>
          <w:sz w:val="22"/>
          <w:szCs w:val="22"/>
          <w:lang w:val="en-US" w:eastAsia="en-US"/>
        </w:rPr>
        <w:t xml:space="preserve"> concerns remain that ESMA’s rules do not reflect the full diversity of the benc</w:t>
      </w:r>
      <w:r w:rsidRPr="00590471">
        <w:rPr>
          <w:rFonts w:cs="Arial"/>
          <w:sz w:val="22"/>
          <w:szCs w:val="22"/>
          <w:lang w:val="en-US" w:eastAsia="en-US"/>
        </w:rPr>
        <w:t>h</w:t>
      </w:r>
      <w:r w:rsidRPr="00590471">
        <w:rPr>
          <w:rFonts w:cs="Arial"/>
          <w:sz w:val="22"/>
          <w:szCs w:val="22"/>
          <w:lang w:val="en-US" w:eastAsia="en-US"/>
        </w:rPr>
        <w:t>mark industry and we have suggested some areas where the RTS could be altered to be clear that the flexibility and proportionality envisaged under the BMR and by ESMA can be applied with confidence.</w:t>
      </w:r>
    </w:p>
    <w:permEnd w:id="245842631"/>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590471" w:rsidRDefault="00590471" w:rsidP="009A2624">
      <w:permStart w:id="1860786501" w:edGrp="everyone"/>
      <w:r>
        <w:rPr>
          <w:rFonts w:cs="Arial"/>
          <w:sz w:val="22"/>
        </w:rPr>
        <w:t>IHS Markit appreciates and generally s</w:t>
      </w:r>
      <w:r w:rsidRPr="003E1DE0">
        <w:rPr>
          <w:rFonts w:cs="Arial"/>
          <w:sz w:val="22"/>
        </w:rPr>
        <w:t>upport</w:t>
      </w:r>
      <w:r>
        <w:rPr>
          <w:rFonts w:cs="Arial"/>
          <w:sz w:val="22"/>
        </w:rPr>
        <w:t>s</w:t>
      </w:r>
      <w:r w:rsidRPr="003E1DE0">
        <w:rPr>
          <w:rFonts w:cs="Arial"/>
          <w:sz w:val="22"/>
        </w:rPr>
        <w:t xml:space="preserve"> the flexibility</w:t>
      </w:r>
      <w:r>
        <w:rPr>
          <w:rFonts w:cs="Arial"/>
          <w:sz w:val="22"/>
        </w:rPr>
        <w:t xml:space="preserve"> ESMA provides for the oversight function</w:t>
      </w:r>
      <w:r w:rsidRPr="003E1DE0">
        <w:rPr>
          <w:rFonts w:cs="Arial"/>
          <w:sz w:val="22"/>
        </w:rPr>
        <w:t xml:space="preserve">. </w:t>
      </w:r>
      <w:r>
        <w:rPr>
          <w:rFonts w:cs="Arial"/>
          <w:sz w:val="22"/>
        </w:rPr>
        <w:t xml:space="preserve"> Although we do believe that the RTS could include reference to the use of independent index administration (for example in Article 4(2) as a potential way of resolving conflicts of inte</w:t>
      </w:r>
      <w:r>
        <w:rPr>
          <w:rFonts w:cs="Arial"/>
          <w:sz w:val="22"/>
        </w:rPr>
        <w:t>r</w:t>
      </w:r>
      <w:r>
        <w:rPr>
          <w:rFonts w:cs="Arial"/>
          <w:sz w:val="22"/>
        </w:rPr>
        <w:t>est), we welcome</w:t>
      </w:r>
      <w:r w:rsidRPr="003E1DE0">
        <w:rPr>
          <w:rFonts w:cs="Arial"/>
          <w:sz w:val="22"/>
        </w:rPr>
        <w:t xml:space="preserve"> ESMA’s view that </w:t>
      </w:r>
      <w:r>
        <w:rPr>
          <w:rFonts w:cs="Arial"/>
          <w:sz w:val="22"/>
        </w:rPr>
        <w:t xml:space="preserve">independent administration </w:t>
      </w:r>
      <w:r w:rsidRPr="003E1DE0">
        <w:rPr>
          <w:rFonts w:cs="Arial"/>
          <w:sz w:val="22"/>
        </w:rPr>
        <w:t xml:space="preserve">could </w:t>
      </w:r>
      <w:r>
        <w:rPr>
          <w:rFonts w:cs="Arial"/>
          <w:sz w:val="22"/>
        </w:rPr>
        <w:t xml:space="preserve">be considered within </w:t>
      </w:r>
      <w:r w:rsidRPr="003E1DE0">
        <w:rPr>
          <w:rFonts w:cs="Arial"/>
          <w:sz w:val="22"/>
        </w:rPr>
        <w:t xml:space="preserve">the context of </w:t>
      </w:r>
      <w:r>
        <w:rPr>
          <w:rFonts w:cs="Arial"/>
          <w:sz w:val="22"/>
        </w:rPr>
        <w:t xml:space="preserve">managing </w:t>
      </w:r>
      <w:r w:rsidRPr="003E1DE0">
        <w:rPr>
          <w:rFonts w:cs="Arial"/>
          <w:sz w:val="22"/>
        </w:rPr>
        <w:t xml:space="preserve">conflicts of interest </w:t>
      </w:r>
      <w:r>
        <w:rPr>
          <w:rFonts w:cs="Arial"/>
          <w:sz w:val="22"/>
        </w:rPr>
        <w:t>under Article 4 of the BMR</w:t>
      </w:r>
      <w:r>
        <w:rPr>
          <w:rFonts w:cs="Arial"/>
          <w:sz w:val="22"/>
        </w:rPr>
        <w:t xml:space="preserve"> (</w:t>
      </w:r>
      <w:r w:rsidRPr="00590471">
        <w:rPr>
          <w:rFonts w:cs="Arial"/>
          <w:sz w:val="22"/>
        </w:rPr>
        <w:t>CP Para 5</w:t>
      </w:r>
      <w:r>
        <w:rPr>
          <w:rFonts w:cs="Arial"/>
          <w:sz w:val="22"/>
        </w:rPr>
        <w:t>)</w:t>
      </w:r>
      <w:r w:rsidRPr="003E1DE0">
        <w:rPr>
          <w:rFonts w:cs="Arial"/>
          <w:sz w:val="22"/>
        </w:rPr>
        <w:t>.</w:t>
      </w:r>
    </w:p>
    <w:permEnd w:id="1860786501"/>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Default="009A2624" w:rsidP="009A2624">
      <w:permStart w:id="813834753" w:edGrp="everyone"/>
      <w:r>
        <w:t>TYPE YOUR TEXT HERE</w:t>
      </w:r>
    </w:p>
    <w:permEnd w:id="813834753"/>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590471" w:rsidP="009A2624">
      <w:permStart w:id="844446007" w:edGrp="everyone"/>
      <w:r w:rsidRPr="00877BC0">
        <w:rPr>
          <w:rFonts w:cs="Arial"/>
          <w:sz w:val="22"/>
        </w:rPr>
        <w:t xml:space="preserve">We support the flexibility provided in not compelling </w:t>
      </w:r>
      <w:proofErr w:type="gramStart"/>
      <w:r>
        <w:rPr>
          <w:rFonts w:cs="Arial"/>
          <w:sz w:val="22"/>
        </w:rPr>
        <w:t>n</w:t>
      </w:r>
      <w:r w:rsidRPr="00877BC0">
        <w:rPr>
          <w:rFonts w:cs="Arial"/>
          <w:sz w:val="22"/>
        </w:rPr>
        <w:t>or</w:t>
      </w:r>
      <w:proofErr w:type="gramEnd"/>
      <w:r w:rsidRPr="00877BC0">
        <w:rPr>
          <w:rFonts w:cs="Arial"/>
          <w:sz w:val="22"/>
        </w:rPr>
        <w:t xml:space="preserve"> forbidding </w:t>
      </w:r>
      <w:r>
        <w:rPr>
          <w:rFonts w:cs="Arial"/>
          <w:sz w:val="22"/>
        </w:rPr>
        <w:t xml:space="preserve">any specific </w:t>
      </w:r>
      <w:r w:rsidRPr="00877BC0">
        <w:rPr>
          <w:rFonts w:cs="Arial"/>
          <w:sz w:val="22"/>
        </w:rPr>
        <w:t>approach.</w:t>
      </w:r>
    </w:p>
    <w:permEnd w:id="844446007"/>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9A2624" w:rsidRDefault="00590471" w:rsidP="00590471">
      <w:pPr>
        <w:jc w:val="both"/>
      </w:pPr>
      <w:permStart w:id="1910118894" w:edGrp="everyone"/>
      <w:r>
        <w:rPr>
          <w:rFonts w:cs="Arial"/>
          <w:sz w:val="22"/>
        </w:rPr>
        <w:t>Please s</w:t>
      </w:r>
      <w:r w:rsidRPr="00877BC0">
        <w:rPr>
          <w:rFonts w:cs="Arial"/>
          <w:sz w:val="22"/>
        </w:rPr>
        <w:t>ee Question 5.</w:t>
      </w:r>
    </w:p>
    <w:permEnd w:id="1910118894"/>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9A2624" w:rsidRDefault="00590471" w:rsidP="009A2624">
      <w:permStart w:id="89197007" w:edGrp="everyone"/>
      <w:r>
        <w:rPr>
          <w:rFonts w:cs="Arial"/>
          <w:sz w:val="22"/>
        </w:rPr>
        <w:t xml:space="preserve">Although we appreciate the flexibility foreseen in the RTS, we would encourage </w:t>
      </w:r>
      <w:r w:rsidRPr="00877BC0">
        <w:rPr>
          <w:rFonts w:cs="Arial"/>
          <w:sz w:val="22"/>
        </w:rPr>
        <w:t xml:space="preserve">ESMA to ensure that the </w:t>
      </w:r>
      <w:r>
        <w:rPr>
          <w:rFonts w:cs="Arial"/>
          <w:sz w:val="22"/>
        </w:rPr>
        <w:t xml:space="preserve">final </w:t>
      </w:r>
      <w:r w:rsidRPr="00877BC0">
        <w:rPr>
          <w:rFonts w:cs="Arial"/>
          <w:sz w:val="22"/>
        </w:rPr>
        <w:t xml:space="preserve">rules </w:t>
      </w:r>
      <w:r>
        <w:rPr>
          <w:rFonts w:cs="Arial"/>
          <w:sz w:val="22"/>
        </w:rPr>
        <w:t xml:space="preserve">are workable for </w:t>
      </w:r>
      <w:r w:rsidRPr="00877BC0">
        <w:rPr>
          <w:rFonts w:cs="Arial"/>
          <w:sz w:val="22"/>
        </w:rPr>
        <w:t xml:space="preserve">all types of firms involved in benchmark administration. </w:t>
      </w:r>
      <w:r>
        <w:rPr>
          <w:rFonts w:cs="Arial"/>
          <w:sz w:val="22"/>
        </w:rPr>
        <w:t xml:space="preserve">In particular, there are unlikely to be many people in </w:t>
      </w:r>
      <w:r w:rsidRPr="00877BC0">
        <w:rPr>
          <w:rFonts w:cs="Arial"/>
          <w:sz w:val="22"/>
        </w:rPr>
        <w:t xml:space="preserve">smaller </w:t>
      </w:r>
      <w:r>
        <w:rPr>
          <w:rFonts w:cs="Arial"/>
          <w:sz w:val="22"/>
        </w:rPr>
        <w:t xml:space="preserve">or more </w:t>
      </w:r>
      <w:r w:rsidRPr="00877BC0">
        <w:rPr>
          <w:rFonts w:cs="Arial"/>
          <w:sz w:val="22"/>
        </w:rPr>
        <w:t xml:space="preserve">specialist </w:t>
      </w:r>
      <w:r>
        <w:rPr>
          <w:rFonts w:cs="Arial"/>
          <w:sz w:val="22"/>
        </w:rPr>
        <w:t xml:space="preserve">benchmark </w:t>
      </w:r>
      <w:r w:rsidRPr="00877BC0">
        <w:rPr>
          <w:rFonts w:cs="Arial"/>
          <w:sz w:val="22"/>
        </w:rPr>
        <w:t xml:space="preserve">firms </w:t>
      </w:r>
      <w:r>
        <w:rPr>
          <w:rFonts w:cs="Arial"/>
          <w:sz w:val="22"/>
        </w:rPr>
        <w:t xml:space="preserve">who have </w:t>
      </w:r>
      <w:r w:rsidRPr="00877BC0">
        <w:rPr>
          <w:rFonts w:cs="Arial"/>
          <w:sz w:val="22"/>
        </w:rPr>
        <w:t xml:space="preserve">relevant expertise </w:t>
      </w:r>
      <w:r>
        <w:rPr>
          <w:rFonts w:cs="Arial"/>
          <w:sz w:val="22"/>
        </w:rPr>
        <w:t xml:space="preserve">but are </w:t>
      </w:r>
      <w:r w:rsidRPr="00877BC0">
        <w:rPr>
          <w:rFonts w:cs="Arial"/>
          <w:sz w:val="22"/>
        </w:rPr>
        <w:t xml:space="preserve">not involved </w:t>
      </w:r>
      <w:r>
        <w:rPr>
          <w:rFonts w:cs="Arial"/>
          <w:sz w:val="22"/>
        </w:rPr>
        <w:t xml:space="preserve">in the production or administration of </w:t>
      </w:r>
      <w:r w:rsidRPr="00877BC0">
        <w:rPr>
          <w:rFonts w:cs="Arial"/>
          <w:sz w:val="22"/>
        </w:rPr>
        <w:t>benc</w:t>
      </w:r>
      <w:r w:rsidRPr="00877BC0">
        <w:rPr>
          <w:rFonts w:cs="Arial"/>
          <w:sz w:val="22"/>
        </w:rPr>
        <w:t>h</w:t>
      </w:r>
      <w:r w:rsidRPr="00877BC0">
        <w:rPr>
          <w:rFonts w:cs="Arial"/>
          <w:sz w:val="22"/>
        </w:rPr>
        <w:t xml:space="preserve">marks </w:t>
      </w:r>
      <w:r>
        <w:rPr>
          <w:rFonts w:cs="Arial"/>
          <w:sz w:val="22"/>
        </w:rPr>
        <w:t>in any way</w:t>
      </w:r>
      <w:r w:rsidRPr="00877BC0">
        <w:rPr>
          <w:rFonts w:cs="Arial"/>
          <w:sz w:val="22"/>
        </w:rPr>
        <w:t>.</w:t>
      </w:r>
      <w:r>
        <w:rPr>
          <w:rFonts w:cs="Arial"/>
          <w:sz w:val="22"/>
        </w:rPr>
        <w:t xml:space="preserve"> Many specialist benchmark firms do not have a financial interest in instr</w:t>
      </w:r>
      <w:r>
        <w:rPr>
          <w:rFonts w:cs="Arial"/>
          <w:sz w:val="22"/>
        </w:rPr>
        <w:t>u</w:t>
      </w:r>
      <w:r>
        <w:rPr>
          <w:rFonts w:cs="Arial"/>
          <w:sz w:val="22"/>
        </w:rPr>
        <w:t>ments referencing their benchmarks and so these firms are not subject to conflicts of interest inherent in other benchmark administrators. Specifically, we believe that senior staff in specialist benchmark firms would have important knowledge and expertise. If these individuals are not involved in the day to day administration of a particular benchmark, they should be encouraged to join the oversight function as voting members. Any approach that suggested such individuals were barred from the oversight function would be disproportionate and potentially counterpr</w:t>
      </w:r>
      <w:r>
        <w:rPr>
          <w:rFonts w:cs="Arial"/>
          <w:sz w:val="22"/>
        </w:rPr>
        <w:t>o</w:t>
      </w:r>
      <w:r>
        <w:rPr>
          <w:rFonts w:cs="Arial"/>
          <w:sz w:val="22"/>
        </w:rPr>
        <w:t>ductive. We believe ESMA should clarify this in the RTS.</w:t>
      </w:r>
    </w:p>
    <w:permEnd w:id="89197007"/>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lastRenderedPageBreak/>
        <w:t>&lt;ESMA_QUESTION_C</w:t>
      </w:r>
      <w:r w:rsidR="009A2624">
        <w:t>P_BMR_6&gt;</w:t>
      </w:r>
    </w:p>
    <w:p w:rsidR="00590471" w:rsidRDefault="00590471" w:rsidP="00590471">
      <w:pPr>
        <w:jc w:val="both"/>
        <w:rPr>
          <w:rFonts w:cs="Arial"/>
          <w:sz w:val="22"/>
        </w:rPr>
      </w:pPr>
      <w:permStart w:id="1013392954" w:edGrp="everyone"/>
      <w:r>
        <w:rPr>
          <w:rFonts w:cs="Arial"/>
          <w:sz w:val="22"/>
        </w:rPr>
        <w:t>We a</w:t>
      </w:r>
      <w:r w:rsidRPr="00877BC0">
        <w:rPr>
          <w:rFonts w:cs="Arial"/>
          <w:sz w:val="22"/>
        </w:rPr>
        <w:t xml:space="preserve">gree that </w:t>
      </w:r>
      <w:r>
        <w:rPr>
          <w:rFonts w:cs="Arial"/>
          <w:sz w:val="22"/>
        </w:rPr>
        <w:t xml:space="preserve">benchmark administrators </w:t>
      </w:r>
      <w:r w:rsidRPr="00877BC0">
        <w:rPr>
          <w:rFonts w:cs="Arial"/>
          <w:sz w:val="22"/>
        </w:rPr>
        <w:t xml:space="preserve">should not </w:t>
      </w:r>
      <w:r>
        <w:rPr>
          <w:rFonts w:cs="Arial"/>
          <w:sz w:val="22"/>
        </w:rPr>
        <w:t xml:space="preserve">be required to </w:t>
      </w:r>
      <w:r w:rsidRPr="00877BC0">
        <w:rPr>
          <w:rFonts w:cs="Arial"/>
          <w:sz w:val="22"/>
        </w:rPr>
        <w:t xml:space="preserve">obtain all relevant data </w:t>
      </w:r>
      <w:r>
        <w:rPr>
          <w:rFonts w:cs="Arial"/>
          <w:sz w:val="22"/>
        </w:rPr>
        <w:t xml:space="preserve">and instead should be </w:t>
      </w:r>
      <w:r w:rsidRPr="00877BC0">
        <w:rPr>
          <w:rFonts w:cs="Arial"/>
          <w:sz w:val="22"/>
        </w:rPr>
        <w:t xml:space="preserve">able to ask for </w:t>
      </w:r>
      <w:r>
        <w:rPr>
          <w:rFonts w:cs="Arial"/>
          <w:sz w:val="22"/>
        </w:rPr>
        <w:t xml:space="preserve">the data they require from </w:t>
      </w:r>
      <w:r w:rsidRPr="00877BC0">
        <w:rPr>
          <w:rFonts w:cs="Arial"/>
          <w:sz w:val="22"/>
        </w:rPr>
        <w:t>contributors</w:t>
      </w:r>
      <w:r>
        <w:rPr>
          <w:rFonts w:cs="Arial"/>
          <w:sz w:val="22"/>
        </w:rPr>
        <w:t xml:space="preserve"> as and when needed. </w:t>
      </w:r>
    </w:p>
    <w:p w:rsidR="009A2624" w:rsidRDefault="00590471" w:rsidP="00590471">
      <w:r>
        <w:rPr>
          <w:rFonts w:cs="Arial"/>
          <w:sz w:val="22"/>
        </w:rPr>
        <w:t xml:space="preserve">More generally, it would be helpful if ESMA could clarify the situation around input data and data </w:t>
      </w:r>
      <w:r w:rsidRPr="00BC2E5B">
        <w:rPr>
          <w:rFonts w:cs="Arial"/>
          <w:sz w:val="22"/>
        </w:rPr>
        <w:t>‘readily available to an administrator’</w:t>
      </w:r>
      <w:r>
        <w:rPr>
          <w:rFonts w:cs="Arial"/>
          <w:sz w:val="22"/>
        </w:rPr>
        <w:t xml:space="preserve"> as soon as possible</w:t>
      </w:r>
      <w:r>
        <w:rPr>
          <w:rFonts w:cs="Arial"/>
          <w:sz w:val="22"/>
        </w:rPr>
        <w:t xml:space="preserve"> (</w:t>
      </w:r>
      <w:r w:rsidRPr="00590471">
        <w:rPr>
          <w:rFonts w:cs="Arial"/>
          <w:sz w:val="22"/>
        </w:rPr>
        <w:t>For example as in BMR Article 3(8)</w:t>
      </w:r>
      <w:r>
        <w:rPr>
          <w:rFonts w:cs="Arial"/>
          <w:sz w:val="22"/>
        </w:rPr>
        <w:t xml:space="preserve">). </w:t>
      </w:r>
      <w:r>
        <w:rPr>
          <w:rFonts w:cs="Arial"/>
          <w:sz w:val="22"/>
        </w:rPr>
        <w:t>IHS Markit would support the interpr</w:t>
      </w:r>
      <w:r>
        <w:rPr>
          <w:rFonts w:cs="Arial"/>
          <w:sz w:val="22"/>
        </w:rPr>
        <w:t>e</w:t>
      </w:r>
      <w:r>
        <w:rPr>
          <w:rFonts w:cs="Arial"/>
          <w:sz w:val="22"/>
        </w:rPr>
        <w:t>tation suggested by ESMA during the recent open hearing that input data is data prepared exclusively for purpose of contributing to the benchmark and, therefore, any other input falls into the category of ‘</w:t>
      </w:r>
      <w:r w:rsidRPr="00BB5F35">
        <w:rPr>
          <w:rFonts w:cs="Arial"/>
          <w:sz w:val="22"/>
        </w:rPr>
        <w:t>readily available to an administr</w:t>
      </w:r>
      <w:r w:rsidRPr="00BB5F35">
        <w:rPr>
          <w:rFonts w:cs="Arial"/>
          <w:sz w:val="22"/>
        </w:rPr>
        <w:t>a</w:t>
      </w:r>
      <w:r w:rsidRPr="00BB5F35">
        <w:rPr>
          <w:rFonts w:cs="Arial"/>
          <w:sz w:val="22"/>
        </w:rPr>
        <w:t>tor</w:t>
      </w:r>
      <w:r>
        <w:rPr>
          <w:rFonts w:cs="Arial"/>
          <w:sz w:val="22"/>
        </w:rPr>
        <w:t>’.</w:t>
      </w:r>
    </w:p>
    <w:permEnd w:id="1013392954"/>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2F6516" w:rsidRDefault="007B210F" w:rsidP="009A2624">
      <w:pPr>
        <w:rPr>
          <w:rFonts w:cs="Arial"/>
          <w:sz w:val="22"/>
        </w:rPr>
      </w:pPr>
      <w:permStart w:id="1516792217" w:edGrp="everyone"/>
      <w:r>
        <w:rPr>
          <w:rFonts w:cs="Arial"/>
          <w:sz w:val="22"/>
        </w:rPr>
        <w:t xml:space="preserve">As a specialist in Benchmark Administration, </w:t>
      </w:r>
      <w:r w:rsidRPr="00877BC0">
        <w:rPr>
          <w:rFonts w:cs="Arial"/>
          <w:sz w:val="22"/>
        </w:rPr>
        <w:t>IHS Markit</w:t>
      </w:r>
      <w:r>
        <w:rPr>
          <w:rFonts w:cs="Arial"/>
          <w:sz w:val="22"/>
        </w:rPr>
        <w:t xml:space="preserve"> (and our clients using IHS Markit Ind</w:t>
      </w:r>
      <w:r>
        <w:rPr>
          <w:rFonts w:cs="Arial"/>
          <w:sz w:val="22"/>
        </w:rPr>
        <w:t>e</w:t>
      </w:r>
      <w:r>
        <w:rPr>
          <w:rFonts w:cs="Arial"/>
          <w:sz w:val="22"/>
        </w:rPr>
        <w:t>pendent Index Administration Services) is not subject to conflicts of interest because of front office activity. However, should contributions from front office functions be received, we would agree with the principle that extra checks should be made. Even so, it is important that the RTS should explicitly reflect a proportionate approach and ensure any measures to be implemented are in line with the risk posed by those individual contributions to the overall integrity of the Benchmark.</w:t>
      </w:r>
    </w:p>
    <w:p w:rsidR="002F6516" w:rsidRDefault="002F6516" w:rsidP="009A2624">
      <w:pPr>
        <w:rPr>
          <w:rFonts w:cs="Arial"/>
          <w:sz w:val="22"/>
        </w:rPr>
      </w:pPr>
    </w:p>
    <w:p w:rsidR="009A2624" w:rsidRDefault="002F6516" w:rsidP="002F6516">
      <w:pPr>
        <w:jc w:val="both"/>
      </w:pPr>
      <w:r>
        <w:rPr>
          <w:rFonts w:cs="Arial"/>
          <w:sz w:val="22"/>
        </w:rPr>
        <w:t>As an example, ESMA’s proposals would be extremely arduous and disproportionate if the Benchmark administrator was required to directly check enforcement in each contributor (esp</w:t>
      </w:r>
      <w:r>
        <w:rPr>
          <w:rFonts w:cs="Arial"/>
          <w:sz w:val="22"/>
        </w:rPr>
        <w:t>e</w:t>
      </w:r>
      <w:r>
        <w:rPr>
          <w:rFonts w:cs="Arial"/>
          <w:sz w:val="22"/>
        </w:rPr>
        <w:t xml:space="preserve">cially if there were a large number of contributors, and the potential for a single contributor to affect the overall benchmark was limited) or, </w:t>
      </w:r>
      <w:r w:rsidRPr="006D5173">
        <w:rPr>
          <w:rFonts w:cs="Arial"/>
          <w:sz w:val="22"/>
        </w:rPr>
        <w:t>in extremis, if the benchmark administrator need</w:t>
      </w:r>
      <w:r>
        <w:rPr>
          <w:rFonts w:cs="Arial"/>
          <w:sz w:val="22"/>
        </w:rPr>
        <w:t>ed</w:t>
      </w:r>
      <w:r w:rsidRPr="006D5173">
        <w:rPr>
          <w:rFonts w:cs="Arial"/>
          <w:sz w:val="22"/>
        </w:rPr>
        <w:t xml:space="preserve"> a physical presence</w:t>
      </w:r>
      <w:r>
        <w:rPr>
          <w:rFonts w:cs="Arial"/>
          <w:sz w:val="22"/>
        </w:rPr>
        <w:t xml:space="preserve"> (</w:t>
      </w:r>
      <w:r w:rsidRPr="002F6516">
        <w:rPr>
          <w:rFonts w:cs="Arial"/>
          <w:sz w:val="22"/>
        </w:rPr>
        <w:t>As suggested in Article 6(3</w:t>
      </w:r>
      <w:proofErr w:type="gramStart"/>
      <w:r w:rsidRPr="002F6516">
        <w:rPr>
          <w:rFonts w:cs="Arial"/>
          <w:sz w:val="22"/>
        </w:rPr>
        <w:t>)(</w:t>
      </w:r>
      <w:proofErr w:type="gramEnd"/>
      <w:r w:rsidRPr="002F6516">
        <w:rPr>
          <w:rFonts w:cs="Arial"/>
          <w:sz w:val="22"/>
        </w:rPr>
        <w:t>d) in the draft RTS on Input Data (page 40)</w:t>
      </w:r>
      <w:r>
        <w:rPr>
          <w:rFonts w:cs="Arial"/>
          <w:sz w:val="22"/>
        </w:rPr>
        <w:t>)</w:t>
      </w:r>
      <w:r>
        <w:rPr>
          <w:rFonts w:cs="Arial"/>
          <w:sz w:val="22"/>
        </w:rPr>
        <w:t>. Such requirements would often be unworkable and increase the likelihood of contributors sto</w:t>
      </w:r>
      <w:r>
        <w:rPr>
          <w:rFonts w:cs="Arial"/>
          <w:sz w:val="22"/>
        </w:rPr>
        <w:t>p</w:t>
      </w:r>
      <w:r>
        <w:rPr>
          <w:rFonts w:cs="Arial"/>
          <w:sz w:val="22"/>
        </w:rPr>
        <w:t>ping their contributions, which would be detrimental to the quality of benc</w:t>
      </w:r>
      <w:r>
        <w:rPr>
          <w:rFonts w:cs="Arial"/>
          <w:sz w:val="22"/>
        </w:rPr>
        <w:t>h</w:t>
      </w:r>
      <w:r>
        <w:rPr>
          <w:rFonts w:cs="Arial"/>
          <w:sz w:val="22"/>
        </w:rPr>
        <w:t xml:space="preserve">marks and so likely to work against the interests of the investors the regulation is intended to protect. </w:t>
      </w:r>
      <w:r w:rsidRPr="00FC6902">
        <w:rPr>
          <w:rFonts w:cs="Arial"/>
          <w:sz w:val="22"/>
        </w:rPr>
        <w:t xml:space="preserve">Instead we would support a requirement that </w:t>
      </w:r>
      <w:r>
        <w:rPr>
          <w:rFonts w:cs="Arial"/>
          <w:sz w:val="22"/>
        </w:rPr>
        <w:t>was</w:t>
      </w:r>
      <w:r w:rsidRPr="00FC6902">
        <w:rPr>
          <w:rFonts w:cs="Arial"/>
          <w:sz w:val="22"/>
        </w:rPr>
        <w:t xml:space="preserve"> more explicit that the administrator ought to be able to confirm enforcement of such requirements in the event that it had cause for concern that conflicts of interest might be impacting on the integrity of the benchmark and lea</w:t>
      </w:r>
      <w:r w:rsidRPr="00FC6902">
        <w:rPr>
          <w:rFonts w:cs="Arial"/>
          <w:sz w:val="22"/>
        </w:rPr>
        <w:t>d</w:t>
      </w:r>
      <w:r w:rsidRPr="00FC6902">
        <w:rPr>
          <w:rFonts w:cs="Arial"/>
          <w:sz w:val="22"/>
        </w:rPr>
        <w:t>ing to investor detriment.</w:t>
      </w:r>
      <w:r w:rsidR="007B210F">
        <w:rPr>
          <w:rFonts w:cs="Arial"/>
          <w:sz w:val="22"/>
        </w:rPr>
        <w:t xml:space="preserve"> </w:t>
      </w:r>
    </w:p>
    <w:permEnd w:id="1516792217"/>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9A2624" w:rsidRDefault="002F6516" w:rsidP="009A2624">
      <w:permStart w:id="853278857" w:edGrp="everyone"/>
      <w:r w:rsidRPr="00D00442">
        <w:rPr>
          <w:rFonts w:cs="Arial"/>
          <w:sz w:val="22"/>
        </w:rPr>
        <w:t xml:space="preserve">IHS Markit makes the index description and methodology for </w:t>
      </w:r>
      <w:r>
        <w:rPr>
          <w:rFonts w:cs="Arial"/>
          <w:sz w:val="22"/>
        </w:rPr>
        <w:t>‘</w:t>
      </w:r>
      <w:r w:rsidRPr="00D00442">
        <w:rPr>
          <w:rFonts w:cs="Arial"/>
          <w:sz w:val="22"/>
        </w:rPr>
        <w:t>Markit Proprietary Benchmark</w:t>
      </w:r>
      <w:r>
        <w:rPr>
          <w:rFonts w:cs="Arial"/>
          <w:sz w:val="22"/>
        </w:rPr>
        <w:t>’</w:t>
      </w:r>
      <w:r w:rsidRPr="00D00442">
        <w:rPr>
          <w:rFonts w:cs="Arial"/>
          <w:sz w:val="22"/>
        </w:rPr>
        <w:t xml:space="preserve"> readily available on </w:t>
      </w:r>
      <w:proofErr w:type="spellStart"/>
      <w:r w:rsidRPr="00D00442">
        <w:rPr>
          <w:rFonts w:cs="Arial"/>
          <w:sz w:val="22"/>
        </w:rPr>
        <w:t>Markit’s</w:t>
      </w:r>
      <w:proofErr w:type="spellEnd"/>
      <w:r w:rsidRPr="00D00442">
        <w:rPr>
          <w:rFonts w:cs="Arial"/>
          <w:sz w:val="22"/>
        </w:rPr>
        <w:t xml:space="preserve"> public web site free of charge. Additionally, Markit has established an external challenge process on Benchmark determination that provides a standardised, rules-based and transparent </w:t>
      </w:r>
      <w:r>
        <w:rPr>
          <w:rFonts w:cs="Arial"/>
          <w:sz w:val="22"/>
        </w:rPr>
        <w:t>process</w:t>
      </w:r>
      <w:r w:rsidRPr="00D00442">
        <w:rPr>
          <w:rFonts w:cs="Arial"/>
          <w:sz w:val="22"/>
        </w:rPr>
        <w:t xml:space="preserve"> of dealing with index enquiries.</w:t>
      </w:r>
      <w:r>
        <w:rPr>
          <w:rFonts w:cs="Arial"/>
          <w:sz w:val="22"/>
        </w:rPr>
        <w:t xml:space="preserve"> </w:t>
      </w:r>
      <w:r w:rsidRPr="00B6577D">
        <w:rPr>
          <w:rFonts w:cs="Arial"/>
          <w:sz w:val="22"/>
        </w:rPr>
        <w:t xml:space="preserve">We </w:t>
      </w:r>
      <w:r>
        <w:rPr>
          <w:rFonts w:cs="Arial"/>
          <w:sz w:val="22"/>
        </w:rPr>
        <w:t xml:space="preserve">would </w:t>
      </w:r>
      <w:r w:rsidRPr="00B6577D">
        <w:rPr>
          <w:rFonts w:cs="Arial"/>
          <w:sz w:val="22"/>
        </w:rPr>
        <w:t xml:space="preserve">strongly agree </w:t>
      </w:r>
      <w:r>
        <w:rPr>
          <w:rFonts w:cs="Arial"/>
          <w:sz w:val="22"/>
        </w:rPr>
        <w:t xml:space="preserve">with ESMA </w:t>
      </w:r>
      <w:r w:rsidRPr="00B6577D">
        <w:rPr>
          <w:rFonts w:cs="Arial"/>
          <w:sz w:val="22"/>
        </w:rPr>
        <w:t>that users should understand a benchmark a</w:t>
      </w:r>
      <w:r>
        <w:rPr>
          <w:rFonts w:cs="Arial"/>
          <w:sz w:val="22"/>
        </w:rPr>
        <w:t>nd</w:t>
      </w:r>
      <w:r w:rsidRPr="00B6577D">
        <w:rPr>
          <w:rFonts w:cs="Arial"/>
          <w:sz w:val="22"/>
        </w:rPr>
        <w:t xml:space="preserve"> so support </w:t>
      </w:r>
      <w:r>
        <w:rPr>
          <w:rFonts w:cs="Arial"/>
          <w:sz w:val="22"/>
        </w:rPr>
        <w:t xml:space="preserve">requirements for </w:t>
      </w:r>
      <w:r w:rsidRPr="00B6577D">
        <w:rPr>
          <w:rFonts w:cs="Arial"/>
          <w:sz w:val="22"/>
        </w:rPr>
        <w:t>transparen</w:t>
      </w:r>
      <w:r>
        <w:rPr>
          <w:rFonts w:cs="Arial"/>
          <w:sz w:val="22"/>
        </w:rPr>
        <w:t xml:space="preserve">cy about </w:t>
      </w:r>
      <w:r w:rsidRPr="00B6577D">
        <w:rPr>
          <w:rFonts w:cs="Arial"/>
          <w:sz w:val="22"/>
        </w:rPr>
        <w:t xml:space="preserve">methodology unless there </w:t>
      </w:r>
      <w:r>
        <w:rPr>
          <w:rFonts w:cs="Arial"/>
          <w:sz w:val="22"/>
        </w:rPr>
        <w:t>we</w:t>
      </w:r>
      <w:r w:rsidRPr="00B6577D">
        <w:rPr>
          <w:rFonts w:cs="Arial"/>
          <w:sz w:val="22"/>
        </w:rPr>
        <w:t xml:space="preserve">re compelling reasons why </w:t>
      </w:r>
      <w:r>
        <w:rPr>
          <w:rFonts w:cs="Arial"/>
          <w:sz w:val="22"/>
        </w:rPr>
        <w:t>not to be transparent and such an approach would not lead to potential detriment for users of the benchmark</w:t>
      </w:r>
      <w:r>
        <w:rPr>
          <w:rFonts w:cs="Arial"/>
          <w:sz w:val="22"/>
        </w:rPr>
        <w:t>.</w:t>
      </w:r>
    </w:p>
    <w:permEnd w:id="853278857"/>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lastRenderedPageBreak/>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Default="009A2624" w:rsidP="009A2624">
      <w:permStart w:id="1899385340" w:edGrp="everyone"/>
      <w:r>
        <w:t>TYPE YOUR TEXT HERE</w:t>
      </w:r>
    </w:p>
    <w:permEnd w:id="1899385340"/>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9A2624" w:rsidRDefault="002F6516" w:rsidP="009A2624">
      <w:permStart w:id="1981546835" w:edGrp="everyone"/>
      <w:r w:rsidRPr="00FA033E">
        <w:rPr>
          <w:rFonts w:cs="Arial"/>
          <w:sz w:val="22"/>
        </w:rPr>
        <w:t>ESMA rightly requires that, when methodologies are subject to material change, benchmark administrators should consult with stakeholders. In the draft RTS, ESMA requires administrators to “ensure that stakeholders are at a minimum informed” of the key elements of proposed met</w:t>
      </w:r>
      <w:r w:rsidRPr="00FA033E">
        <w:rPr>
          <w:rFonts w:cs="Arial"/>
          <w:sz w:val="22"/>
        </w:rPr>
        <w:t>h</w:t>
      </w:r>
      <w:r w:rsidRPr="00FA033E">
        <w:rPr>
          <w:rFonts w:cs="Arial"/>
          <w:sz w:val="22"/>
        </w:rPr>
        <w:t>odology and to “inform stakeholders of the reasoning”</w:t>
      </w:r>
      <w:r>
        <w:rPr>
          <w:rFonts w:cs="Arial"/>
          <w:sz w:val="22"/>
        </w:rPr>
        <w:t xml:space="preserve"> (</w:t>
      </w:r>
      <w:r w:rsidRPr="002F6516">
        <w:rPr>
          <w:rFonts w:cs="Arial"/>
          <w:sz w:val="22"/>
        </w:rPr>
        <w:t>Draft RTS: Transparency of Methodology Article 3(1) – page 52</w:t>
      </w:r>
      <w:r>
        <w:rPr>
          <w:rFonts w:cs="Arial"/>
          <w:sz w:val="22"/>
        </w:rPr>
        <w:t>)</w:t>
      </w:r>
      <w:r w:rsidRPr="00FA033E">
        <w:rPr>
          <w:rFonts w:cs="Arial"/>
          <w:sz w:val="22"/>
        </w:rPr>
        <w:t xml:space="preserve">. ESMA should be aware that it </w:t>
      </w:r>
      <w:r>
        <w:rPr>
          <w:rFonts w:cs="Arial"/>
          <w:sz w:val="22"/>
        </w:rPr>
        <w:t>c</w:t>
      </w:r>
      <w:r w:rsidRPr="00FA033E">
        <w:rPr>
          <w:rFonts w:cs="Arial"/>
          <w:sz w:val="22"/>
        </w:rPr>
        <w:t xml:space="preserve">ould be </w:t>
      </w:r>
      <w:r>
        <w:rPr>
          <w:rFonts w:cs="Arial"/>
          <w:sz w:val="22"/>
        </w:rPr>
        <w:t xml:space="preserve">extremely onerous </w:t>
      </w:r>
      <w:r w:rsidRPr="00FA033E">
        <w:rPr>
          <w:rFonts w:cs="Arial"/>
          <w:sz w:val="22"/>
        </w:rPr>
        <w:t>to require the administrator to actively identify and</w:t>
      </w:r>
      <w:r>
        <w:rPr>
          <w:rFonts w:cs="Arial"/>
          <w:sz w:val="22"/>
        </w:rPr>
        <w:t xml:space="preserve"> then</w:t>
      </w:r>
      <w:r w:rsidRPr="00FA033E">
        <w:rPr>
          <w:rFonts w:cs="Arial"/>
          <w:sz w:val="22"/>
        </w:rPr>
        <w:t xml:space="preserve"> inform all stakehol</w:t>
      </w:r>
      <w:r w:rsidRPr="00FA033E">
        <w:rPr>
          <w:rFonts w:cs="Arial"/>
          <w:sz w:val="22"/>
        </w:rPr>
        <w:t>d</w:t>
      </w:r>
      <w:r w:rsidRPr="00FA033E">
        <w:rPr>
          <w:rFonts w:cs="Arial"/>
          <w:sz w:val="22"/>
        </w:rPr>
        <w:t xml:space="preserve">ers whenever the methodology was due to change. We do not believe </w:t>
      </w:r>
      <w:r>
        <w:rPr>
          <w:rFonts w:cs="Arial"/>
          <w:sz w:val="22"/>
        </w:rPr>
        <w:t>ESMA intends such an approach</w:t>
      </w:r>
      <w:r w:rsidRPr="00FA033E">
        <w:rPr>
          <w:rFonts w:cs="Arial"/>
          <w:sz w:val="22"/>
        </w:rPr>
        <w:t>, but it would be useful to clarify that, similar to ESMA’s</w:t>
      </w:r>
      <w:r>
        <w:rPr>
          <w:rFonts w:cs="Arial"/>
          <w:sz w:val="22"/>
        </w:rPr>
        <w:t xml:space="preserve"> own </w:t>
      </w:r>
      <w:r w:rsidRPr="00FA033E">
        <w:rPr>
          <w:rFonts w:cs="Arial"/>
          <w:sz w:val="22"/>
        </w:rPr>
        <w:t>consultations with stak</w:t>
      </w:r>
      <w:r w:rsidRPr="00FA033E">
        <w:rPr>
          <w:rFonts w:cs="Arial"/>
          <w:sz w:val="22"/>
        </w:rPr>
        <w:t>e</w:t>
      </w:r>
      <w:r w:rsidRPr="00FA033E">
        <w:rPr>
          <w:rFonts w:cs="Arial"/>
          <w:sz w:val="22"/>
        </w:rPr>
        <w:t>holders, administrators would need to ensure</w:t>
      </w:r>
      <w:r>
        <w:rPr>
          <w:rFonts w:cs="Arial"/>
          <w:sz w:val="22"/>
        </w:rPr>
        <w:t xml:space="preserve"> the relevant information was </w:t>
      </w:r>
      <w:r w:rsidRPr="00FA033E">
        <w:rPr>
          <w:rFonts w:cs="Arial"/>
          <w:sz w:val="22"/>
        </w:rPr>
        <w:t>available and easily accessible for interested stakeholders.</w:t>
      </w:r>
    </w:p>
    <w:permEnd w:id="1981546835"/>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9A2624" w:rsidRDefault="002F6516" w:rsidP="009A2624">
      <w:permStart w:id="1884710901" w:edGrp="everyone"/>
      <w:r>
        <w:rPr>
          <w:rFonts w:cs="Arial"/>
          <w:sz w:val="22"/>
        </w:rPr>
        <w:t>As set out in our response to Question 6, it will be important for clarity to be provided around ‘readily available’ data and that a code of conduct is not required for the use of this data. This would ensure consistency between benchmarks and avoid an unworkable regime of requiring a code of conduct for data being produced for purposes other than the benchmark.</w:t>
      </w:r>
    </w:p>
    <w:permEnd w:id="1884710901"/>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863E1F" w:rsidRDefault="00863E1F" w:rsidP="00863E1F">
      <w:permStart w:id="1035361367" w:edGrp="everyone"/>
      <w:r>
        <w:t>TYPE YOUR TEXT HERE</w:t>
      </w:r>
    </w:p>
    <w:permEnd w:id="1035361367"/>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38662B" w:rsidRDefault="0038662B" w:rsidP="0038662B">
      <w:permStart w:id="1280975922" w:edGrp="everyone"/>
      <w:r>
        <w:t>TYPE YOUR TEXT HERE</w:t>
      </w:r>
    </w:p>
    <w:permEnd w:id="1280975922"/>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38662B" w:rsidP="0038662B">
      <w:permStart w:id="2029088367" w:edGrp="everyone"/>
      <w:r>
        <w:t>TYPE YOUR TEXT HERE</w:t>
      </w:r>
    </w:p>
    <w:permEnd w:id="2029088367"/>
    <w:p w:rsidR="0038662B" w:rsidRDefault="0038662B" w:rsidP="0038662B">
      <w:r>
        <w:lastRenderedPageBreak/>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38662B" w:rsidRDefault="0038662B" w:rsidP="0038662B">
      <w:permStart w:id="2006583886" w:edGrp="everyone"/>
      <w:r>
        <w:t>TYPE YOUR TEXT HERE</w:t>
      </w:r>
    </w:p>
    <w:permEnd w:id="2006583886"/>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2F6516" w:rsidRDefault="002F6516" w:rsidP="002F6516">
      <w:pPr>
        <w:jc w:val="both"/>
        <w:rPr>
          <w:rFonts w:cs="Arial"/>
          <w:sz w:val="22"/>
        </w:rPr>
      </w:pPr>
      <w:permStart w:id="1030106406" w:edGrp="everyone"/>
      <w:r>
        <w:rPr>
          <w:rFonts w:cs="Arial"/>
          <w:sz w:val="22"/>
        </w:rPr>
        <w:t xml:space="preserve">The universe of benchmarks is extremely large and diverse </w:t>
      </w:r>
      <w:r w:rsidRPr="00B6577D">
        <w:rPr>
          <w:rFonts w:cs="Arial"/>
          <w:sz w:val="22"/>
        </w:rPr>
        <w:t>so flexibility is important in the r</w:t>
      </w:r>
      <w:r w:rsidRPr="00B6577D">
        <w:rPr>
          <w:rFonts w:cs="Arial"/>
          <w:sz w:val="22"/>
        </w:rPr>
        <w:t>e</w:t>
      </w:r>
      <w:r w:rsidRPr="00B6577D">
        <w:rPr>
          <w:rFonts w:cs="Arial"/>
          <w:sz w:val="22"/>
        </w:rPr>
        <w:t xml:space="preserve">quirements to ensure the </w:t>
      </w:r>
      <w:r>
        <w:rPr>
          <w:rFonts w:cs="Arial"/>
          <w:sz w:val="22"/>
        </w:rPr>
        <w:t xml:space="preserve">code of conduct </w:t>
      </w:r>
      <w:r w:rsidRPr="00B6577D">
        <w:rPr>
          <w:rFonts w:cs="Arial"/>
          <w:sz w:val="22"/>
        </w:rPr>
        <w:t xml:space="preserve">works </w:t>
      </w:r>
      <w:r>
        <w:rPr>
          <w:rFonts w:cs="Arial"/>
          <w:sz w:val="22"/>
        </w:rPr>
        <w:t xml:space="preserve">in a way that supports and adds value to </w:t>
      </w:r>
      <w:r w:rsidRPr="00B6577D">
        <w:rPr>
          <w:rFonts w:cs="Arial"/>
          <w:sz w:val="22"/>
        </w:rPr>
        <w:t xml:space="preserve">each </w:t>
      </w:r>
      <w:r>
        <w:rPr>
          <w:rFonts w:cs="Arial"/>
          <w:sz w:val="22"/>
        </w:rPr>
        <w:t>benchmark</w:t>
      </w:r>
      <w:r w:rsidRPr="00B6577D">
        <w:rPr>
          <w:rFonts w:cs="Arial"/>
          <w:sz w:val="22"/>
        </w:rPr>
        <w:t xml:space="preserve">. </w:t>
      </w:r>
    </w:p>
    <w:p w:rsidR="002F6516" w:rsidRPr="00B6577D" w:rsidRDefault="002F6516" w:rsidP="002F6516">
      <w:pPr>
        <w:jc w:val="both"/>
        <w:rPr>
          <w:rFonts w:cs="Arial"/>
          <w:sz w:val="22"/>
        </w:rPr>
      </w:pPr>
    </w:p>
    <w:p w:rsidR="0038662B" w:rsidRDefault="002F6516" w:rsidP="002F6516">
      <w:r>
        <w:rPr>
          <w:rFonts w:cs="Arial"/>
          <w:sz w:val="22"/>
        </w:rPr>
        <w:t xml:space="preserve">We would like to draw ESMA’s attention to the need for a </w:t>
      </w:r>
      <w:r w:rsidRPr="00246661">
        <w:rPr>
          <w:rFonts w:cs="Arial"/>
          <w:sz w:val="22"/>
        </w:rPr>
        <w:t xml:space="preserve">sensible and proportionate approach </w:t>
      </w:r>
      <w:r>
        <w:rPr>
          <w:rFonts w:cs="Arial"/>
          <w:sz w:val="22"/>
        </w:rPr>
        <w:t xml:space="preserve">to </w:t>
      </w:r>
      <w:r w:rsidRPr="00246661">
        <w:rPr>
          <w:rFonts w:cs="Arial"/>
          <w:sz w:val="22"/>
        </w:rPr>
        <w:t xml:space="preserve">expectations </w:t>
      </w:r>
      <w:r>
        <w:rPr>
          <w:rFonts w:cs="Arial"/>
          <w:sz w:val="22"/>
        </w:rPr>
        <w:t>around benchmark administrators ensuring adherence to the code of conduct.</w:t>
      </w:r>
      <w:r w:rsidRPr="00246661">
        <w:rPr>
          <w:rFonts w:cs="Arial"/>
          <w:sz w:val="22"/>
        </w:rPr>
        <w:t xml:space="preserve"> </w:t>
      </w:r>
      <w:r>
        <w:rPr>
          <w:rFonts w:cs="Arial"/>
          <w:sz w:val="22"/>
        </w:rPr>
        <w:t xml:space="preserve">As an </w:t>
      </w:r>
      <w:r w:rsidRPr="00246661">
        <w:rPr>
          <w:rFonts w:cs="Arial"/>
          <w:sz w:val="22"/>
        </w:rPr>
        <w:t xml:space="preserve">example, </w:t>
      </w:r>
      <w:r>
        <w:rPr>
          <w:rFonts w:cs="Arial"/>
          <w:sz w:val="22"/>
        </w:rPr>
        <w:t xml:space="preserve">for </w:t>
      </w:r>
      <w:r w:rsidRPr="00246661">
        <w:rPr>
          <w:rFonts w:cs="Arial"/>
          <w:sz w:val="22"/>
        </w:rPr>
        <w:t xml:space="preserve">benchmarks which rely on a large number of contributors and where a single contributor is unlikely to significantly </w:t>
      </w:r>
      <w:r>
        <w:rPr>
          <w:rFonts w:cs="Arial"/>
          <w:sz w:val="22"/>
        </w:rPr>
        <w:t>a</w:t>
      </w:r>
      <w:r w:rsidRPr="00246661">
        <w:rPr>
          <w:rFonts w:cs="Arial"/>
          <w:sz w:val="22"/>
        </w:rPr>
        <w:t>ffect the index, the benchmark administrator should be able to rely upon the annual attestation of a contributor that the code of conduct has been co</w:t>
      </w:r>
      <w:r w:rsidRPr="00246661">
        <w:rPr>
          <w:rFonts w:cs="Arial"/>
          <w:sz w:val="22"/>
        </w:rPr>
        <w:t>m</w:t>
      </w:r>
      <w:r w:rsidRPr="00246661">
        <w:rPr>
          <w:rFonts w:cs="Arial"/>
          <w:sz w:val="22"/>
        </w:rPr>
        <w:t xml:space="preserve">plied with. </w:t>
      </w:r>
      <w:r>
        <w:rPr>
          <w:rFonts w:cs="Arial"/>
          <w:sz w:val="22"/>
        </w:rPr>
        <w:t>If each contributor must be actively monitored it will obviously consume time and resources that could be better used monitoring the quality of the Benchmark. Of course, b</w:t>
      </w:r>
      <w:r w:rsidRPr="00246661">
        <w:rPr>
          <w:rFonts w:cs="Arial"/>
          <w:sz w:val="22"/>
        </w:rPr>
        <w:t>enc</w:t>
      </w:r>
      <w:r w:rsidRPr="00246661">
        <w:rPr>
          <w:rFonts w:cs="Arial"/>
          <w:sz w:val="22"/>
        </w:rPr>
        <w:t>h</w:t>
      </w:r>
      <w:r w:rsidRPr="00246661">
        <w:rPr>
          <w:rFonts w:cs="Arial"/>
          <w:sz w:val="22"/>
        </w:rPr>
        <w:t xml:space="preserve">mark administrators </w:t>
      </w:r>
      <w:r>
        <w:rPr>
          <w:rFonts w:cs="Arial"/>
          <w:sz w:val="22"/>
        </w:rPr>
        <w:t xml:space="preserve">should be able to closely monitor </w:t>
      </w:r>
      <w:r w:rsidRPr="00246661">
        <w:rPr>
          <w:rFonts w:cs="Arial"/>
          <w:sz w:val="22"/>
        </w:rPr>
        <w:t>contributors</w:t>
      </w:r>
      <w:r>
        <w:rPr>
          <w:rFonts w:cs="Arial"/>
          <w:sz w:val="22"/>
        </w:rPr>
        <w:t xml:space="preserve">’ adherence to the code of conduct where it is appropriate. However, the RTS should be </w:t>
      </w:r>
      <w:r w:rsidRPr="00246661">
        <w:rPr>
          <w:rFonts w:cs="Arial"/>
          <w:sz w:val="22"/>
        </w:rPr>
        <w:t>clear</w:t>
      </w:r>
      <w:r>
        <w:rPr>
          <w:rFonts w:cs="Arial"/>
          <w:sz w:val="22"/>
        </w:rPr>
        <w:t xml:space="preserve"> that this is </w:t>
      </w:r>
      <w:r w:rsidRPr="00246661">
        <w:rPr>
          <w:rFonts w:cs="Arial"/>
          <w:sz w:val="22"/>
        </w:rPr>
        <w:t>at the discretion of the administrator</w:t>
      </w:r>
      <w:r>
        <w:rPr>
          <w:rFonts w:cs="Arial"/>
          <w:sz w:val="22"/>
        </w:rPr>
        <w:t>,</w:t>
      </w:r>
      <w:r w:rsidRPr="00246661">
        <w:rPr>
          <w:rFonts w:cs="Arial"/>
          <w:sz w:val="22"/>
        </w:rPr>
        <w:t xml:space="preserve"> where there are reasonable grounds for doing so</w:t>
      </w:r>
      <w:r>
        <w:rPr>
          <w:rFonts w:cs="Arial"/>
          <w:sz w:val="22"/>
        </w:rPr>
        <w:t xml:space="preserve"> and where such a process would not jeopardise a contributor’s willingness to continue submitting to a benchmark. This will help reduce the likelihood that contributors would cease submissions, something that would be detrimental to the quality of the benchmark</w:t>
      </w:r>
      <w:r w:rsidRPr="00246661">
        <w:rPr>
          <w:rFonts w:cs="Arial"/>
          <w:sz w:val="22"/>
        </w:rPr>
        <w:t>.</w:t>
      </w:r>
      <w:r>
        <w:rPr>
          <w:rFonts w:cs="Arial"/>
          <w:sz w:val="22"/>
        </w:rPr>
        <w:t xml:space="preserve"> It would be helpful if this was made clear in the RTS.</w:t>
      </w:r>
    </w:p>
    <w:permEnd w:id="1030106406"/>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38662B" w:rsidRDefault="0038662B" w:rsidP="0038662B">
      <w:permStart w:id="1531983630" w:edGrp="everyone"/>
      <w:r>
        <w:t>TYPE YOUR TEXT HERE</w:t>
      </w:r>
    </w:p>
    <w:permEnd w:id="1531983630"/>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38662B" w:rsidRDefault="0038662B" w:rsidP="0038662B">
      <w:permStart w:id="945440073" w:edGrp="everyone"/>
      <w:r>
        <w:t>TYPE YOUR TEXT HERE</w:t>
      </w:r>
    </w:p>
    <w:permEnd w:id="945440073"/>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lastRenderedPageBreak/>
        <w:t>&lt;ESMA_QUESTION_CP_BMR_19&gt;</w:t>
      </w:r>
    </w:p>
    <w:p w:rsidR="0038662B" w:rsidRDefault="0038662B" w:rsidP="0038662B">
      <w:permStart w:id="42867676" w:edGrp="everyone"/>
      <w:r>
        <w:t>TYPE YOUR TEXT HERE</w:t>
      </w:r>
    </w:p>
    <w:permEnd w:id="42867676"/>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4C33E1" w:rsidRDefault="004C33E1" w:rsidP="004C33E1">
      <w:permStart w:id="1042363369" w:edGrp="everyone"/>
      <w:r>
        <w:t>TYPE YOUR TEXT HERE</w:t>
      </w:r>
    </w:p>
    <w:permEnd w:id="1042363369"/>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4C33E1" w:rsidRDefault="002F6516" w:rsidP="002F6516">
      <w:pPr>
        <w:jc w:val="both"/>
        <w:rPr>
          <w:rFonts w:cs="Arial"/>
          <w:sz w:val="22"/>
        </w:rPr>
      </w:pPr>
      <w:permStart w:id="1222586649" w:edGrp="everyone"/>
      <w:r w:rsidRPr="005C6FA3">
        <w:rPr>
          <w:rFonts w:cs="Arial"/>
          <w:sz w:val="22"/>
        </w:rPr>
        <w:t xml:space="preserve">We generally support the draft RTS on the Benchmark Statement, </w:t>
      </w:r>
      <w:r>
        <w:rPr>
          <w:rFonts w:cs="Arial"/>
          <w:sz w:val="22"/>
        </w:rPr>
        <w:t>but</w:t>
      </w:r>
      <w:r w:rsidRPr="005C6FA3">
        <w:rPr>
          <w:rFonts w:cs="Arial"/>
          <w:sz w:val="22"/>
        </w:rPr>
        <w:t xml:space="preserve"> there are two areas where we have cause for concern. First, ESMA proposes including in the Benchmark Statement an “outline, on an aggregate level, the professional profiles of the contributors to the benchmark and explain, where applicable, why the benchmark is predominantly based on contributions by non-supervised entities”</w:t>
      </w:r>
      <w:r>
        <w:rPr>
          <w:rFonts w:cs="Arial"/>
          <w:sz w:val="22"/>
        </w:rPr>
        <w:t xml:space="preserve"> (</w:t>
      </w:r>
      <w:r w:rsidRPr="002F6516">
        <w:rPr>
          <w:rFonts w:cs="Arial"/>
          <w:sz w:val="22"/>
        </w:rPr>
        <w:t xml:space="preserve">Draft RTS: Benchmark Statement – Article 4(f). </w:t>
      </w:r>
      <w:proofErr w:type="gramStart"/>
      <w:r w:rsidRPr="002F6516">
        <w:rPr>
          <w:rFonts w:cs="Arial"/>
          <w:sz w:val="22"/>
        </w:rPr>
        <w:t>Page 106</w:t>
      </w:r>
      <w:r>
        <w:rPr>
          <w:rFonts w:cs="Arial"/>
          <w:sz w:val="22"/>
        </w:rPr>
        <w:t>).</w:t>
      </w:r>
      <w:proofErr w:type="gramEnd"/>
    </w:p>
    <w:p w:rsidR="002F6516" w:rsidRDefault="002F6516" w:rsidP="002F6516">
      <w:pPr>
        <w:jc w:val="both"/>
        <w:rPr>
          <w:rFonts w:cs="Arial"/>
          <w:sz w:val="22"/>
        </w:rPr>
      </w:pPr>
    </w:p>
    <w:p w:rsidR="002F6516" w:rsidRDefault="002F6516" w:rsidP="002F6516">
      <w:pPr>
        <w:jc w:val="both"/>
        <w:rPr>
          <w:rFonts w:cs="Arial"/>
          <w:sz w:val="22"/>
        </w:rPr>
      </w:pPr>
      <w:r w:rsidRPr="005C6FA3">
        <w:rPr>
          <w:rFonts w:cs="Arial"/>
          <w:sz w:val="22"/>
        </w:rPr>
        <w:t xml:space="preserve">We believe that this requirement </w:t>
      </w:r>
      <w:r>
        <w:rPr>
          <w:rFonts w:cs="Arial"/>
          <w:sz w:val="22"/>
        </w:rPr>
        <w:t xml:space="preserve">could be onerous and would be </w:t>
      </w:r>
      <w:r w:rsidRPr="005C6FA3">
        <w:rPr>
          <w:rFonts w:cs="Arial"/>
          <w:sz w:val="22"/>
        </w:rPr>
        <w:t>superfluous given the requir</w:t>
      </w:r>
      <w:r w:rsidRPr="005C6FA3">
        <w:rPr>
          <w:rFonts w:cs="Arial"/>
          <w:sz w:val="22"/>
        </w:rPr>
        <w:t>e</w:t>
      </w:r>
      <w:r w:rsidRPr="005C6FA3">
        <w:rPr>
          <w:rFonts w:cs="Arial"/>
          <w:sz w:val="22"/>
        </w:rPr>
        <w:t xml:space="preserve">ments to provide information on the methodology </w:t>
      </w:r>
      <w:r>
        <w:rPr>
          <w:rFonts w:cs="Arial"/>
          <w:sz w:val="22"/>
        </w:rPr>
        <w:t>elsewhere</w:t>
      </w:r>
      <w:r w:rsidRPr="005C6FA3">
        <w:rPr>
          <w:rFonts w:cs="Arial"/>
          <w:sz w:val="22"/>
        </w:rPr>
        <w:t>. It also does not appear to be for</w:t>
      </w:r>
      <w:r w:rsidRPr="005C6FA3">
        <w:rPr>
          <w:rFonts w:cs="Arial"/>
          <w:sz w:val="22"/>
        </w:rPr>
        <w:t>e</w:t>
      </w:r>
      <w:r w:rsidRPr="005C6FA3">
        <w:rPr>
          <w:rFonts w:cs="Arial"/>
          <w:sz w:val="22"/>
        </w:rPr>
        <w:t xml:space="preserve">seen in Article 27 of the BMR and </w:t>
      </w:r>
      <w:r>
        <w:rPr>
          <w:rFonts w:cs="Arial"/>
          <w:sz w:val="22"/>
        </w:rPr>
        <w:t xml:space="preserve">is </w:t>
      </w:r>
      <w:r w:rsidRPr="005C6FA3">
        <w:rPr>
          <w:rFonts w:cs="Arial"/>
          <w:sz w:val="22"/>
        </w:rPr>
        <w:t>therefore at odds with ESMA’s statement that “</w:t>
      </w:r>
      <w:r>
        <w:rPr>
          <w:rFonts w:cs="Arial"/>
          <w:sz w:val="22"/>
        </w:rPr>
        <w:t>t</w:t>
      </w:r>
      <w:r w:rsidRPr="005C6FA3">
        <w:rPr>
          <w:rFonts w:cs="Arial"/>
          <w:sz w:val="22"/>
        </w:rPr>
        <w:t>he RTS per se does not include additional elements in the benchmark statement, but rather specifies how the elements in Article 27 must be incorporated in practice in the published benchmark stat</w:t>
      </w:r>
      <w:r w:rsidRPr="005C6FA3">
        <w:rPr>
          <w:rFonts w:cs="Arial"/>
          <w:sz w:val="22"/>
        </w:rPr>
        <w:t>e</w:t>
      </w:r>
      <w:r w:rsidRPr="005C6FA3">
        <w:rPr>
          <w:rFonts w:cs="Arial"/>
          <w:sz w:val="22"/>
        </w:rPr>
        <w:t>ment”</w:t>
      </w:r>
      <w:r>
        <w:rPr>
          <w:rFonts w:cs="Arial"/>
          <w:sz w:val="22"/>
        </w:rPr>
        <w:t xml:space="preserve"> (</w:t>
      </w:r>
      <w:r w:rsidRPr="002F6516">
        <w:rPr>
          <w:rFonts w:cs="Arial"/>
          <w:sz w:val="22"/>
        </w:rPr>
        <w:t>CP Page 169</w:t>
      </w:r>
      <w:r>
        <w:rPr>
          <w:rFonts w:cs="Arial"/>
          <w:sz w:val="22"/>
        </w:rPr>
        <w:t>).</w:t>
      </w:r>
    </w:p>
    <w:p w:rsidR="002F6516" w:rsidRPr="005C6FA3" w:rsidRDefault="002F6516" w:rsidP="002F6516">
      <w:pPr>
        <w:jc w:val="both"/>
        <w:rPr>
          <w:rFonts w:cs="Arial"/>
          <w:sz w:val="22"/>
        </w:rPr>
      </w:pPr>
    </w:p>
    <w:p w:rsidR="002F6516" w:rsidRPr="00FD01D9" w:rsidRDefault="002F6516" w:rsidP="002F6516">
      <w:pPr>
        <w:jc w:val="both"/>
        <w:rPr>
          <w:rFonts w:cs="Arial"/>
          <w:sz w:val="22"/>
        </w:rPr>
      </w:pPr>
      <w:r>
        <w:rPr>
          <w:rFonts w:cs="Arial"/>
          <w:sz w:val="22"/>
        </w:rPr>
        <w:t xml:space="preserve">Second, </w:t>
      </w:r>
      <w:r w:rsidRPr="00E865C4">
        <w:rPr>
          <w:rFonts w:cs="Arial"/>
          <w:sz w:val="22"/>
        </w:rPr>
        <w:t xml:space="preserve">ESMA proposes that the benchmark statement </w:t>
      </w:r>
      <w:r>
        <w:rPr>
          <w:rFonts w:cs="Arial"/>
          <w:sz w:val="22"/>
        </w:rPr>
        <w:t>indicates the benchmarks qualification (critical, significant and non-significant)</w:t>
      </w:r>
      <w:r w:rsidR="00FD01D9">
        <w:rPr>
          <w:rFonts w:cs="Arial"/>
          <w:sz w:val="22"/>
        </w:rPr>
        <w:t xml:space="preserve"> (</w:t>
      </w:r>
      <w:r w:rsidR="00FD01D9" w:rsidRPr="00FD01D9">
        <w:rPr>
          <w:rFonts w:cs="Arial"/>
          <w:sz w:val="22"/>
        </w:rPr>
        <w:t xml:space="preserve">Draft RTS: Benchmark Statement – Article 5(a), 6(1), </w:t>
      </w:r>
      <w:proofErr w:type="gramStart"/>
      <w:r w:rsidR="00FD01D9" w:rsidRPr="00FD01D9">
        <w:rPr>
          <w:rFonts w:cs="Arial"/>
          <w:sz w:val="22"/>
        </w:rPr>
        <w:t>7</w:t>
      </w:r>
      <w:proofErr w:type="gramEnd"/>
      <w:r w:rsidR="00FD01D9" w:rsidRPr="00FD01D9">
        <w:rPr>
          <w:rFonts w:cs="Arial"/>
          <w:sz w:val="22"/>
        </w:rPr>
        <w:t>(1)</w:t>
      </w:r>
      <w:r w:rsidR="00FD01D9">
        <w:rPr>
          <w:rFonts w:cs="Arial"/>
          <w:sz w:val="22"/>
        </w:rPr>
        <w:t>.</w:t>
      </w:r>
      <w:r w:rsidR="00FD01D9" w:rsidRPr="00FD01D9">
        <w:rPr>
          <w:rFonts w:cs="Arial"/>
          <w:sz w:val="22"/>
        </w:rPr>
        <w:t xml:space="preserve"> </w:t>
      </w:r>
      <w:r w:rsidR="00FD01D9">
        <w:rPr>
          <w:rFonts w:cs="Arial"/>
          <w:sz w:val="22"/>
        </w:rPr>
        <w:t>P</w:t>
      </w:r>
      <w:r w:rsidR="00FD01D9" w:rsidRPr="00FD01D9">
        <w:rPr>
          <w:rFonts w:cs="Arial"/>
          <w:sz w:val="22"/>
        </w:rPr>
        <w:t>age 106-107</w:t>
      </w:r>
      <w:r w:rsidR="00FD01D9">
        <w:rPr>
          <w:rFonts w:cs="Arial"/>
          <w:sz w:val="22"/>
        </w:rPr>
        <w:t>)</w:t>
      </w:r>
      <w:r>
        <w:rPr>
          <w:rFonts w:cs="Arial"/>
          <w:sz w:val="22"/>
        </w:rPr>
        <w:t>. IHS Markit would like to remind ESMA the difficulty of gaining accurate fi</w:t>
      </w:r>
      <w:r>
        <w:rPr>
          <w:rFonts w:cs="Arial"/>
          <w:sz w:val="22"/>
        </w:rPr>
        <w:t>g</w:t>
      </w:r>
      <w:r>
        <w:rPr>
          <w:rFonts w:cs="Arial"/>
          <w:sz w:val="22"/>
        </w:rPr>
        <w:t>ures around the usage of benchmarks and would ask that the RTS specify that these figures can be done on a best effort basis, as ESMA has done for the authorisation process (see Que</w:t>
      </w:r>
      <w:r>
        <w:rPr>
          <w:rFonts w:cs="Arial"/>
          <w:sz w:val="22"/>
        </w:rPr>
        <w:t>s</w:t>
      </w:r>
      <w:r>
        <w:rPr>
          <w:rFonts w:cs="Arial"/>
          <w:sz w:val="22"/>
        </w:rPr>
        <w:t>tion 28)</w:t>
      </w:r>
      <w:r w:rsidR="00FD01D9">
        <w:rPr>
          <w:rFonts w:cs="Arial"/>
          <w:sz w:val="22"/>
        </w:rPr>
        <w:t xml:space="preserve"> (</w:t>
      </w:r>
      <w:r w:rsidR="00FD01D9" w:rsidRPr="00FD01D9">
        <w:rPr>
          <w:rFonts w:cs="Arial"/>
          <w:sz w:val="22"/>
        </w:rPr>
        <w:t xml:space="preserve">Draft RTS: Authorisation and Registration – Recital 9. </w:t>
      </w:r>
      <w:proofErr w:type="gramStart"/>
      <w:r w:rsidR="00FD01D9" w:rsidRPr="00FD01D9">
        <w:rPr>
          <w:rFonts w:cs="Arial"/>
          <w:sz w:val="22"/>
        </w:rPr>
        <w:t>Page 117</w:t>
      </w:r>
      <w:r w:rsidR="00FD01D9">
        <w:rPr>
          <w:rFonts w:cs="Arial"/>
          <w:sz w:val="22"/>
        </w:rPr>
        <w:t>)</w:t>
      </w:r>
      <w:r>
        <w:rPr>
          <w:rFonts w:cs="Arial"/>
          <w:sz w:val="22"/>
        </w:rPr>
        <w:t>.</w:t>
      </w:r>
      <w:proofErr w:type="gramEnd"/>
    </w:p>
    <w:permEnd w:id="1222586649"/>
    <w:p w:rsidR="004C33E1" w:rsidRDefault="004C33E1" w:rsidP="004C33E1">
      <w:r>
        <w:t>&lt;ESMA_QUESTION_CP_BMR_21&gt;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C33E1" w:rsidRDefault="004C33E1" w:rsidP="004C33E1">
      <w:permStart w:id="524307755" w:edGrp="everyone"/>
      <w:r>
        <w:t>TYPE YOUR TEXT HERE</w:t>
      </w:r>
    </w:p>
    <w:permEnd w:id="524307755"/>
    <w:p w:rsidR="004C33E1" w:rsidRDefault="004C33E1" w:rsidP="004C33E1">
      <w:r>
        <w:t>&lt;ESMA_QUESTION_CP_BMR_22&gt;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C33E1" w:rsidRDefault="00FD01D9" w:rsidP="004C33E1">
      <w:permStart w:id="1971520297" w:edGrp="everyone"/>
      <w:r w:rsidRPr="00167725">
        <w:rPr>
          <w:rFonts w:cs="Arial"/>
          <w:sz w:val="22"/>
        </w:rPr>
        <w:t>We agree that there should be minimal duplication and that authorisation and registration should be a “one-off” process. However</w:t>
      </w:r>
      <w:r>
        <w:rPr>
          <w:rFonts w:cs="Arial"/>
          <w:sz w:val="22"/>
        </w:rPr>
        <w:t>,</w:t>
      </w:r>
      <w:r w:rsidRPr="00167725">
        <w:rPr>
          <w:rFonts w:cs="Arial"/>
          <w:sz w:val="22"/>
        </w:rPr>
        <w:t xml:space="preserve"> we </w:t>
      </w:r>
      <w:r>
        <w:rPr>
          <w:rFonts w:cs="Arial"/>
          <w:sz w:val="22"/>
        </w:rPr>
        <w:t xml:space="preserve">would be concerned if previously supervised firms were able to follow the abbreviated registration process for significant benchmarks even though, as they are more likely to have a financial interest in the benchmark, there are more likely to be conflicts of interest. We would therefore encourage ESMA to allow competent authorities to add </w:t>
      </w:r>
      <w:r>
        <w:rPr>
          <w:rFonts w:cs="Arial"/>
          <w:sz w:val="22"/>
        </w:rPr>
        <w:lastRenderedPageBreak/>
        <w:t xml:space="preserve">further requirements to the registration process or streamline the authorisation process where potential conflicts of interest might or might not exist. </w:t>
      </w:r>
    </w:p>
    <w:permEnd w:id="1971520297"/>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Default="004C33E1" w:rsidP="004C33E1">
      <w:permStart w:id="1398499837" w:edGrp="everyone"/>
      <w:r>
        <w:t>TYPE YOUR TEXT HERE</w:t>
      </w:r>
    </w:p>
    <w:permEnd w:id="1398499837"/>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4C33E1" w:rsidP="004C33E1">
      <w:permStart w:id="136122341" w:edGrp="everyone"/>
      <w:r>
        <w:t>TYPE YOUR TEXT HERE</w:t>
      </w:r>
    </w:p>
    <w:permEnd w:id="136122341"/>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FD01D9" w:rsidRDefault="00FD01D9" w:rsidP="00FD01D9">
      <w:pPr>
        <w:jc w:val="both"/>
      </w:pPr>
      <w:permStart w:id="38037490" w:edGrp="everyone"/>
      <w:r>
        <w:rPr>
          <w:sz w:val="22"/>
        </w:rPr>
        <w:t xml:space="preserve">In respect of commodity benchmarks, </w:t>
      </w:r>
      <w:r w:rsidRPr="00DF005F">
        <w:rPr>
          <w:sz w:val="22"/>
        </w:rPr>
        <w:t xml:space="preserve">IHS Markit </w:t>
      </w:r>
      <w:r w:rsidRPr="00DF005F">
        <w:rPr>
          <w:rFonts w:cs="Arial"/>
          <w:sz w:val="22"/>
        </w:rPr>
        <w:t xml:space="preserve">would </w:t>
      </w:r>
      <w:r>
        <w:rPr>
          <w:rFonts w:cs="Arial"/>
          <w:sz w:val="22"/>
        </w:rPr>
        <w:t xml:space="preserve">like to see ESMA providing </w:t>
      </w:r>
      <w:r w:rsidRPr="00DF005F">
        <w:rPr>
          <w:rFonts w:cs="Arial"/>
          <w:sz w:val="22"/>
        </w:rPr>
        <w:t xml:space="preserve">more </w:t>
      </w:r>
      <w:r>
        <w:rPr>
          <w:rFonts w:cs="Arial"/>
          <w:sz w:val="22"/>
        </w:rPr>
        <w:t>speci</w:t>
      </w:r>
      <w:r>
        <w:rPr>
          <w:rFonts w:cs="Arial"/>
          <w:sz w:val="22"/>
        </w:rPr>
        <w:t>f</w:t>
      </w:r>
      <w:r>
        <w:rPr>
          <w:rFonts w:cs="Arial"/>
          <w:sz w:val="22"/>
        </w:rPr>
        <w:t xml:space="preserve">ic </w:t>
      </w:r>
      <w:r w:rsidRPr="00DF005F">
        <w:rPr>
          <w:rFonts w:cs="Arial"/>
          <w:sz w:val="22"/>
        </w:rPr>
        <w:t xml:space="preserve">clarity </w:t>
      </w:r>
      <w:r>
        <w:rPr>
          <w:rFonts w:cs="Arial"/>
          <w:sz w:val="22"/>
        </w:rPr>
        <w:t xml:space="preserve">across its proposed RTSs about where they do </w:t>
      </w:r>
      <w:r w:rsidRPr="00DF005F">
        <w:rPr>
          <w:rFonts w:cs="Arial"/>
          <w:sz w:val="22"/>
        </w:rPr>
        <w:t>not appl</w:t>
      </w:r>
      <w:r>
        <w:rPr>
          <w:rFonts w:cs="Arial"/>
          <w:sz w:val="22"/>
        </w:rPr>
        <w:t xml:space="preserve">y </w:t>
      </w:r>
      <w:r w:rsidRPr="00DF005F">
        <w:rPr>
          <w:rFonts w:cs="Arial"/>
          <w:sz w:val="22"/>
        </w:rPr>
        <w:t>to commodities benchmarks.</w:t>
      </w:r>
      <w:r>
        <w:rPr>
          <w:rFonts w:cs="Arial"/>
          <w:sz w:val="22"/>
        </w:rPr>
        <w:t xml:space="preserve"> In the RTS under discussion here, for example, this could be done by adding </w:t>
      </w:r>
      <w:r w:rsidRPr="00DF005F">
        <w:rPr>
          <w:sz w:val="22"/>
        </w:rPr>
        <w:t xml:space="preserve">a new </w:t>
      </w:r>
      <w:r w:rsidRPr="00DF005F">
        <w:rPr>
          <w:sz w:val="22"/>
          <w:lang w:val="en-US"/>
        </w:rPr>
        <w:t>Article 1(4</w:t>
      </w:r>
      <w:proofErr w:type="gramStart"/>
      <w:r w:rsidRPr="00DF005F">
        <w:rPr>
          <w:sz w:val="22"/>
          <w:lang w:val="en-US"/>
        </w:rPr>
        <w:t>)(</w:t>
      </w:r>
      <w:proofErr w:type="gramEnd"/>
      <w:r w:rsidRPr="00DF005F">
        <w:rPr>
          <w:sz w:val="22"/>
          <w:lang w:val="en-US"/>
        </w:rPr>
        <w:t>d)</w:t>
      </w:r>
      <w:r>
        <w:rPr>
          <w:sz w:val="22"/>
          <w:lang w:val="en-US"/>
        </w:rPr>
        <w:t xml:space="preserve"> (</w:t>
      </w:r>
      <w:r>
        <w:t>CP Page 118</w:t>
      </w:r>
      <w:r>
        <w:t>):</w:t>
      </w:r>
    </w:p>
    <w:p w:rsidR="00FD01D9" w:rsidRPr="00DF005F" w:rsidRDefault="00FD01D9" w:rsidP="00FD01D9">
      <w:pPr>
        <w:jc w:val="both"/>
        <w:rPr>
          <w:sz w:val="22"/>
          <w:lang w:val="en-US"/>
        </w:rPr>
      </w:pPr>
    </w:p>
    <w:p w:rsidR="00FD01D9" w:rsidRPr="00DF005F" w:rsidRDefault="00FD01D9" w:rsidP="00FD01D9">
      <w:pPr>
        <w:rPr>
          <w:i/>
          <w:iCs/>
          <w:sz w:val="22"/>
          <w:lang w:val="en-US"/>
        </w:rPr>
      </w:pPr>
      <w:r w:rsidRPr="00DF005F">
        <w:rPr>
          <w:sz w:val="22"/>
          <w:lang w:val="en-US"/>
        </w:rPr>
        <w:t xml:space="preserve"> </w:t>
      </w:r>
      <w:r>
        <w:rPr>
          <w:sz w:val="22"/>
          <w:lang w:val="en-US"/>
        </w:rPr>
        <w:tab/>
      </w:r>
      <w:proofErr w:type="gramStart"/>
      <w:r w:rsidRPr="00DF005F">
        <w:rPr>
          <w:i/>
          <w:iCs/>
          <w:sz w:val="22"/>
          <w:lang w:val="en-US"/>
        </w:rPr>
        <w:t>“ for</w:t>
      </w:r>
      <w:proofErr w:type="gramEnd"/>
      <w:r w:rsidRPr="00DF005F">
        <w:rPr>
          <w:i/>
          <w:iCs/>
          <w:sz w:val="22"/>
          <w:lang w:val="en-US"/>
        </w:rPr>
        <w:t xml:space="preserve"> commodity benchmarks subject to Annex II of Regulation (EU) No 2016/2011, the external audit provided for in Annex II (18)”.</w:t>
      </w:r>
    </w:p>
    <w:p w:rsidR="00FD01D9" w:rsidRPr="00DF005F" w:rsidRDefault="00FD01D9" w:rsidP="00FD01D9">
      <w:pPr>
        <w:ind w:left="720"/>
        <w:rPr>
          <w:i/>
          <w:iCs/>
          <w:sz w:val="22"/>
          <w:lang w:val="en-US"/>
        </w:rPr>
      </w:pPr>
    </w:p>
    <w:p w:rsidR="004C33E1" w:rsidRDefault="00FD01D9" w:rsidP="00FD01D9">
      <w:r>
        <w:rPr>
          <w:sz w:val="22"/>
          <w:lang w:val="en-US"/>
        </w:rPr>
        <w:t>We would also support similar clarifications in other relevant RTS.</w:t>
      </w:r>
    </w:p>
    <w:permEnd w:id="38037490"/>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4C33E1" w:rsidRDefault="004C33E1" w:rsidP="004C33E1">
      <w:permStart w:id="1926892473" w:edGrp="everyone"/>
      <w:r>
        <w:t>TYPE YOUR TEXT HERE</w:t>
      </w:r>
    </w:p>
    <w:permEnd w:id="1926892473"/>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Default="009B73B7" w:rsidP="004C33E1">
      <w:permStart w:id="651129650" w:edGrp="everyone"/>
      <w:r w:rsidRPr="00E865C4">
        <w:rPr>
          <w:rFonts w:cs="Arial"/>
          <w:sz w:val="22"/>
        </w:rPr>
        <w:t>ESMA proposes that</w:t>
      </w:r>
      <w:r>
        <w:rPr>
          <w:rFonts w:cs="Arial"/>
          <w:sz w:val="22"/>
        </w:rPr>
        <w:t>, during the authorisation process, the administrator indicates the category of the benchmark. We appreciate ESMA’s clarification here that the information can be supplied as “assessed to the best of the knowledge of the applicant administrator”</w:t>
      </w:r>
      <w:r>
        <w:rPr>
          <w:rFonts w:cs="Arial"/>
          <w:sz w:val="22"/>
        </w:rPr>
        <w:t xml:space="preserve"> (</w:t>
      </w:r>
      <w:r>
        <w:t xml:space="preserve">Draft RTS: Authorisation and Registration – Recital 9. </w:t>
      </w:r>
      <w:proofErr w:type="gramStart"/>
      <w:r>
        <w:t>Page 117</w:t>
      </w:r>
      <w:r>
        <w:t>)</w:t>
      </w:r>
      <w:r>
        <w:rPr>
          <w:rFonts w:cs="Arial"/>
          <w:sz w:val="22"/>
        </w:rPr>
        <w:t>.</w:t>
      </w:r>
      <w:proofErr w:type="gramEnd"/>
      <w:r>
        <w:rPr>
          <w:rFonts w:cs="Arial"/>
          <w:sz w:val="22"/>
        </w:rPr>
        <w:t xml:space="preserve"> This should also be introduced in other RTS where the administrator is required to estimate usage.</w:t>
      </w:r>
    </w:p>
    <w:permEnd w:id="651129650"/>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lastRenderedPageBreak/>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4C33E1" w:rsidRDefault="009B73B7" w:rsidP="004C33E1">
      <w:permStart w:id="1869611313" w:edGrp="everyone"/>
      <w:r>
        <w:rPr>
          <w:rFonts w:cs="Arial"/>
          <w:sz w:val="22"/>
        </w:rPr>
        <w:t xml:space="preserve">ESMA’s intention in the draft RTS </w:t>
      </w:r>
      <w:r w:rsidRPr="00EC6863">
        <w:rPr>
          <w:rFonts w:cs="Arial"/>
          <w:sz w:val="22"/>
        </w:rPr>
        <w:t>Article 1(4)</w:t>
      </w:r>
      <w:r>
        <w:rPr>
          <w:rFonts w:cs="Arial"/>
          <w:sz w:val="22"/>
        </w:rPr>
        <w:t xml:space="preserve"> appears to be to help the applicant avoid the need to duplicate information that was contained in either a report by an independent auditor or certif</w:t>
      </w:r>
      <w:r>
        <w:rPr>
          <w:rFonts w:cs="Arial"/>
          <w:sz w:val="22"/>
        </w:rPr>
        <w:t>i</w:t>
      </w:r>
      <w:r>
        <w:rPr>
          <w:rFonts w:cs="Arial"/>
          <w:sz w:val="22"/>
        </w:rPr>
        <w:t>cation by a third country competent authority</w:t>
      </w:r>
      <w:r>
        <w:rPr>
          <w:rFonts w:cs="Arial"/>
          <w:sz w:val="22"/>
        </w:rPr>
        <w:t xml:space="preserve"> (CP </w:t>
      </w:r>
      <w:r w:rsidRPr="009B73B7">
        <w:rPr>
          <w:rFonts w:cs="Arial"/>
          <w:sz w:val="22"/>
        </w:rPr>
        <w:t>Page 142</w:t>
      </w:r>
      <w:r>
        <w:t>)</w:t>
      </w:r>
      <w:r>
        <w:rPr>
          <w:rFonts w:cs="Arial"/>
          <w:sz w:val="22"/>
        </w:rPr>
        <w:t>. To require both would seem di</w:t>
      </w:r>
      <w:r>
        <w:rPr>
          <w:rFonts w:cs="Arial"/>
          <w:sz w:val="22"/>
        </w:rPr>
        <w:t>s</w:t>
      </w:r>
      <w:r>
        <w:rPr>
          <w:rFonts w:cs="Arial"/>
          <w:sz w:val="22"/>
        </w:rPr>
        <w:t>proportionate and contrary to the objective of reducing the burden</w:t>
      </w:r>
      <w:r>
        <w:rPr>
          <w:rFonts w:cs="Arial"/>
          <w:sz w:val="22"/>
        </w:rPr>
        <w:t xml:space="preserve"> (</w:t>
      </w:r>
      <w:r w:rsidRPr="009B73B7">
        <w:rPr>
          <w:rFonts w:cs="Arial"/>
          <w:sz w:val="22"/>
        </w:rPr>
        <w:t>For example, CP para 253</w:t>
      </w:r>
      <w:r>
        <w:rPr>
          <w:rFonts w:cs="Arial"/>
          <w:sz w:val="22"/>
        </w:rPr>
        <w:t>)</w:t>
      </w:r>
      <w:r>
        <w:rPr>
          <w:rFonts w:cs="Arial"/>
          <w:sz w:val="22"/>
        </w:rPr>
        <w:t>. To add clarity, we would recommend separa</w:t>
      </w:r>
      <w:r>
        <w:rPr>
          <w:rFonts w:cs="Arial"/>
          <w:sz w:val="22"/>
        </w:rPr>
        <w:t>t</w:t>
      </w:r>
      <w:r>
        <w:rPr>
          <w:rFonts w:cs="Arial"/>
          <w:sz w:val="22"/>
        </w:rPr>
        <w:t xml:space="preserve">ing Article 1(4) </w:t>
      </w:r>
      <w:r w:rsidRPr="00EC6863">
        <w:rPr>
          <w:rFonts w:cs="Arial"/>
          <w:sz w:val="22"/>
        </w:rPr>
        <w:t>(a) and (b) by inserting “</w:t>
      </w:r>
      <w:r w:rsidRPr="00EC6863">
        <w:rPr>
          <w:rFonts w:cs="Arial"/>
          <w:i/>
          <w:sz w:val="22"/>
        </w:rPr>
        <w:t>or”</w:t>
      </w:r>
      <w:r w:rsidRPr="00EC6863">
        <w:rPr>
          <w:rFonts w:cs="Arial"/>
          <w:sz w:val="22"/>
        </w:rPr>
        <w:t xml:space="preserve"> between them</w:t>
      </w:r>
      <w:r>
        <w:rPr>
          <w:rFonts w:cs="Arial"/>
          <w:sz w:val="22"/>
        </w:rPr>
        <w:t>.</w:t>
      </w:r>
    </w:p>
    <w:permEnd w:id="1869611313"/>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2071753661" w:edGrp="everyone"/>
      <w:r>
        <w:t>TYPE YOUR TEXT HERE</w:t>
      </w:r>
    </w:p>
    <w:permEnd w:id="2071753661"/>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Default="004C33E1" w:rsidP="004C33E1">
      <w:permStart w:id="118629718" w:edGrp="everyone"/>
      <w:r>
        <w:t>TYPE YOUR TEXT HERE</w:t>
      </w:r>
    </w:p>
    <w:permEnd w:id="118629718"/>
    <w:p w:rsidR="004C33E1" w:rsidRDefault="004C33E1" w:rsidP="004C33E1">
      <w:r>
        <w:t>&lt;ESMA_QUESTION_CP_BMR_31&gt;</w:t>
      </w:r>
    </w:p>
    <w:p w:rsidR="004C33E1" w:rsidRPr="0038662B" w:rsidRDefault="004C33E1" w:rsidP="0038662B">
      <w:bookmarkStart w:id="3" w:name="_GoBack"/>
      <w:bookmarkEnd w:id="3"/>
    </w:p>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E6" w:rsidRDefault="00A401E6">
      <w:r>
        <w:separator/>
      </w:r>
    </w:p>
    <w:p w:rsidR="00A401E6" w:rsidRDefault="00A401E6"/>
  </w:endnote>
  <w:endnote w:type="continuationSeparator" w:id="0">
    <w:p w:rsidR="00A401E6" w:rsidRDefault="00A401E6">
      <w:r>
        <w:continuationSeparator/>
      </w:r>
    </w:p>
    <w:p w:rsidR="00A401E6" w:rsidRDefault="00A401E6"/>
  </w:endnote>
  <w:endnote w:type="continuationNotice" w:id="1">
    <w:p w:rsidR="00A401E6" w:rsidRDefault="00A4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B73B7">
            <w:rPr>
              <w:rFonts w:cs="Arial"/>
              <w:noProof/>
              <w:sz w:val="22"/>
              <w:szCs w:val="22"/>
            </w:rPr>
            <w:t>10</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E6" w:rsidRDefault="00A401E6">
      <w:r>
        <w:separator/>
      </w:r>
    </w:p>
    <w:p w:rsidR="00A401E6" w:rsidRDefault="00A401E6"/>
  </w:footnote>
  <w:footnote w:type="continuationSeparator" w:id="0">
    <w:p w:rsidR="00A401E6" w:rsidRDefault="00A401E6">
      <w:r>
        <w:continuationSeparator/>
      </w:r>
    </w:p>
    <w:p w:rsidR="00A401E6" w:rsidRDefault="00A401E6"/>
  </w:footnote>
  <w:footnote w:type="continuationNotice" w:id="1">
    <w:p w:rsidR="00A401E6" w:rsidRDefault="00A40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EFE"/>
    <w:multiLevelType w:val="hybridMultilevel"/>
    <w:tmpl w:val="F35E126A"/>
    <w:lvl w:ilvl="0" w:tplc="A7C00938">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2"/>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0"/>
  </w:num>
  <w:num w:numId="29">
    <w:abstractNumId w:val="9"/>
  </w:num>
  <w:num w:numId="30">
    <w:abstractNumId w:val="5"/>
  </w:num>
  <w:num w:numId="31">
    <w:abstractNumId w:val="23"/>
  </w:num>
  <w:num w:numId="32">
    <w:abstractNumId w:val="3"/>
  </w:num>
  <w:num w:numId="33">
    <w:abstractNumId w:val="8"/>
  </w:num>
  <w:num w:numId="34">
    <w:abstractNumId w:val="22"/>
  </w:num>
  <w:num w:numId="35">
    <w:abstractNumId w:val="36"/>
  </w:num>
  <w:num w:numId="36">
    <w:abstractNumId w:val="35"/>
  </w:num>
  <w:num w:numId="37">
    <w:abstractNumId w:val="13"/>
  </w:num>
  <w:num w:numId="38">
    <w:abstractNumId w:val="4"/>
  </w:num>
  <w:num w:numId="39">
    <w:abstractNumId w:val="38"/>
  </w:num>
  <w:num w:numId="40">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51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0471"/>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0F"/>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3B7"/>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01D9"/>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 w:type="paragraph" w:customStyle="1" w:styleId="BodyA">
    <w:name w:val="Body A"/>
    <w:rsid w:val="00590471"/>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 w:type="paragraph" w:customStyle="1" w:styleId="BodyA">
    <w:name w:val="Body A"/>
    <w:rsid w:val="00590471"/>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6C9A-551D-44CC-B9BA-DBC3879F5720}">
  <ds:schemaRefs>
    <ds:schemaRef ds:uri="http://schemas.openxmlformats.org/officeDocument/2006/bibliography"/>
  </ds:schemaRefs>
</ds:datastoreItem>
</file>

<file path=customXml/itemProps2.xml><?xml version="1.0" encoding="utf-8"?>
<ds:datastoreItem xmlns:ds="http://schemas.openxmlformats.org/officeDocument/2006/customXml" ds:itemID="{60DB5227-7B69-4F78-B43A-7E4CE8DB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262D1331.dotm</Template>
  <TotalTime>27</TotalTime>
  <Pages>11</Pages>
  <Words>3382</Words>
  <Characters>19536</Characters>
  <Application>Microsoft Office Word</Application>
  <DocSecurity>8</DocSecurity>
  <Lines>162</Lines>
  <Paragraphs>45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22873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David Cook</cp:lastModifiedBy>
  <cp:revision>5</cp:revision>
  <cp:lastPrinted>2015-02-18T11:01:00Z</cp:lastPrinted>
  <dcterms:created xsi:type="dcterms:W3CDTF">2016-12-02T15:40:00Z</dcterms:created>
  <dcterms:modified xsi:type="dcterms:W3CDTF">2016-12-02T16:12:00Z</dcterms:modified>
</cp:coreProperties>
</file>