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EA03C1" w:rsidRPr="00CC422E" w:rsidRDefault="00EA03C1" w:rsidP="00D34282">
      <w:pPr>
        <w:rPr>
          <w:szCs w:val="18"/>
          <w:lang w:val="en-US"/>
        </w:rPr>
      </w:pPr>
      <w:permStart w:id="314181779" w:edGrp="everyone"/>
      <w:r w:rsidRPr="00CC422E">
        <w:rPr>
          <w:szCs w:val="18"/>
          <w:lang w:val="en-US"/>
        </w:rPr>
        <w:t xml:space="preserve">The </w:t>
      </w:r>
      <w:r w:rsidRPr="00CC422E">
        <w:rPr>
          <w:b/>
          <w:bCs/>
          <w:szCs w:val="18"/>
          <w:lang w:val="en-US"/>
        </w:rPr>
        <w:t xml:space="preserve">German Banking Industry Committee </w:t>
      </w:r>
      <w:r w:rsidRPr="00CC422E">
        <w:rPr>
          <w:szCs w:val="18"/>
          <w:lang w:val="en-US"/>
        </w:rPr>
        <w:t xml:space="preserve">is the joint committee operated by the central associations of the German banking industry. These associations are the </w:t>
      </w:r>
      <w:proofErr w:type="spellStart"/>
      <w:r w:rsidRPr="00CC422E">
        <w:rPr>
          <w:szCs w:val="18"/>
          <w:lang w:val="en-US"/>
        </w:rPr>
        <w:t>Bundesverband</w:t>
      </w:r>
      <w:proofErr w:type="spellEnd"/>
      <w:r w:rsidRPr="00CC422E">
        <w:rPr>
          <w:szCs w:val="18"/>
          <w:lang w:val="en-US"/>
        </w:rPr>
        <w:t xml:space="preserve"> der </w:t>
      </w:r>
      <w:proofErr w:type="spellStart"/>
      <w:r w:rsidRPr="00CC422E">
        <w:rPr>
          <w:szCs w:val="18"/>
          <w:lang w:val="en-US"/>
        </w:rPr>
        <w:t>Deutschen</w:t>
      </w:r>
      <w:proofErr w:type="spellEnd"/>
      <w:r w:rsidRPr="00CC422E">
        <w:rPr>
          <w:szCs w:val="18"/>
          <w:lang w:val="en-US"/>
        </w:rPr>
        <w:t xml:space="preserve"> </w:t>
      </w:r>
      <w:proofErr w:type="spellStart"/>
      <w:r w:rsidRPr="00CC422E">
        <w:rPr>
          <w:szCs w:val="18"/>
          <w:lang w:val="en-US"/>
        </w:rPr>
        <w:t>Volksbanken</w:t>
      </w:r>
      <w:proofErr w:type="spellEnd"/>
      <w:r w:rsidRPr="00CC422E">
        <w:rPr>
          <w:szCs w:val="18"/>
          <w:lang w:val="en-US"/>
        </w:rPr>
        <w:t xml:space="preserve"> und </w:t>
      </w:r>
      <w:proofErr w:type="spellStart"/>
      <w:r w:rsidRPr="00CC422E">
        <w:rPr>
          <w:szCs w:val="18"/>
          <w:lang w:val="en-US"/>
        </w:rPr>
        <w:t>Raiffeisenbanken</w:t>
      </w:r>
      <w:proofErr w:type="spellEnd"/>
      <w:r w:rsidRPr="00CC422E">
        <w:rPr>
          <w:szCs w:val="18"/>
          <w:lang w:val="en-US"/>
        </w:rPr>
        <w:t xml:space="preserve"> (BVR), for the cooperative banks, the </w:t>
      </w:r>
      <w:proofErr w:type="spellStart"/>
      <w:r w:rsidRPr="00CC422E">
        <w:rPr>
          <w:szCs w:val="18"/>
          <w:lang w:val="en-US"/>
        </w:rPr>
        <w:t>Bundesverband</w:t>
      </w:r>
      <w:proofErr w:type="spellEnd"/>
      <w:r w:rsidRPr="00CC422E">
        <w:rPr>
          <w:szCs w:val="18"/>
          <w:lang w:val="en-US"/>
        </w:rPr>
        <w:t xml:space="preserve"> </w:t>
      </w:r>
      <w:proofErr w:type="spellStart"/>
      <w:r w:rsidRPr="00CC422E">
        <w:rPr>
          <w:szCs w:val="18"/>
          <w:lang w:val="en-US"/>
        </w:rPr>
        <w:t>deutscher</w:t>
      </w:r>
      <w:proofErr w:type="spellEnd"/>
      <w:r w:rsidRPr="00CC422E">
        <w:rPr>
          <w:szCs w:val="18"/>
          <w:lang w:val="en-US"/>
        </w:rPr>
        <w:t xml:space="preserve"> </w:t>
      </w:r>
      <w:proofErr w:type="spellStart"/>
      <w:r w:rsidRPr="00CC422E">
        <w:rPr>
          <w:szCs w:val="18"/>
          <w:lang w:val="en-US"/>
        </w:rPr>
        <w:t>Banken</w:t>
      </w:r>
      <w:proofErr w:type="spellEnd"/>
      <w:r w:rsidRPr="00CC422E">
        <w:rPr>
          <w:szCs w:val="18"/>
          <w:lang w:val="en-US"/>
        </w:rPr>
        <w:t xml:space="preserve"> (</w:t>
      </w:r>
      <w:proofErr w:type="spellStart"/>
      <w:r w:rsidRPr="00CC422E">
        <w:rPr>
          <w:szCs w:val="18"/>
          <w:lang w:val="en-US"/>
        </w:rPr>
        <w:t>BdB</w:t>
      </w:r>
      <w:proofErr w:type="spellEnd"/>
      <w:r w:rsidRPr="00CC422E">
        <w:rPr>
          <w:szCs w:val="18"/>
          <w:lang w:val="en-US"/>
        </w:rPr>
        <w:t xml:space="preserve">), for the private commercial banks, the </w:t>
      </w:r>
      <w:proofErr w:type="spellStart"/>
      <w:r w:rsidRPr="00CC422E">
        <w:rPr>
          <w:szCs w:val="18"/>
          <w:lang w:val="en-US"/>
        </w:rPr>
        <w:t>Bundesverband</w:t>
      </w:r>
      <w:proofErr w:type="spellEnd"/>
      <w:r w:rsidRPr="00CC422E">
        <w:rPr>
          <w:szCs w:val="18"/>
          <w:lang w:val="en-US"/>
        </w:rPr>
        <w:t xml:space="preserve"> </w:t>
      </w:r>
      <w:proofErr w:type="spellStart"/>
      <w:r w:rsidRPr="00CC422E">
        <w:rPr>
          <w:szCs w:val="18"/>
          <w:lang w:val="en-US"/>
        </w:rPr>
        <w:t>Öffentlicher</w:t>
      </w:r>
      <w:proofErr w:type="spellEnd"/>
      <w:r w:rsidRPr="00CC422E">
        <w:rPr>
          <w:szCs w:val="18"/>
          <w:lang w:val="en-US"/>
        </w:rPr>
        <w:t xml:space="preserve"> </w:t>
      </w:r>
      <w:proofErr w:type="spellStart"/>
      <w:r w:rsidRPr="00CC422E">
        <w:rPr>
          <w:szCs w:val="18"/>
          <w:lang w:val="en-US"/>
        </w:rPr>
        <w:t>Banken</w:t>
      </w:r>
      <w:proofErr w:type="spellEnd"/>
      <w:r w:rsidRPr="00CC422E">
        <w:rPr>
          <w:szCs w:val="18"/>
          <w:lang w:val="en-US"/>
        </w:rPr>
        <w:t xml:space="preserve"> </w:t>
      </w:r>
      <w:proofErr w:type="spellStart"/>
      <w:r w:rsidRPr="00CC422E">
        <w:rPr>
          <w:szCs w:val="18"/>
          <w:lang w:val="en-US"/>
        </w:rPr>
        <w:t>Deutschlands</w:t>
      </w:r>
      <w:proofErr w:type="spellEnd"/>
      <w:r w:rsidRPr="00CC422E">
        <w:rPr>
          <w:szCs w:val="18"/>
          <w:lang w:val="en-US"/>
        </w:rPr>
        <w:t xml:space="preserve"> (VÖB), for the public banks, the </w:t>
      </w:r>
      <w:proofErr w:type="spellStart"/>
      <w:r w:rsidRPr="00CC422E">
        <w:rPr>
          <w:szCs w:val="18"/>
          <w:lang w:val="en-US"/>
        </w:rPr>
        <w:t>Deutscher</w:t>
      </w:r>
      <w:proofErr w:type="spellEnd"/>
      <w:r w:rsidRPr="00CC422E">
        <w:rPr>
          <w:szCs w:val="18"/>
          <w:lang w:val="en-US"/>
        </w:rPr>
        <w:t xml:space="preserve"> </w:t>
      </w:r>
      <w:proofErr w:type="spellStart"/>
      <w:r w:rsidRPr="00CC422E">
        <w:rPr>
          <w:szCs w:val="18"/>
          <w:lang w:val="en-US"/>
        </w:rPr>
        <w:t>Sparkassen</w:t>
      </w:r>
      <w:proofErr w:type="spellEnd"/>
      <w:r w:rsidRPr="00CC422E">
        <w:rPr>
          <w:szCs w:val="18"/>
          <w:lang w:val="en-US"/>
        </w:rPr>
        <w:t xml:space="preserve">- und </w:t>
      </w:r>
      <w:proofErr w:type="spellStart"/>
      <w:r w:rsidRPr="00CC422E">
        <w:rPr>
          <w:szCs w:val="18"/>
          <w:lang w:val="en-US"/>
        </w:rPr>
        <w:t>Giroverband</w:t>
      </w:r>
      <w:proofErr w:type="spellEnd"/>
      <w:r w:rsidRPr="00CC422E">
        <w:rPr>
          <w:szCs w:val="18"/>
          <w:lang w:val="en-US"/>
        </w:rPr>
        <w:t xml:space="preserve"> (DSGV), for the savings banks finance group, and the </w:t>
      </w:r>
      <w:proofErr w:type="spellStart"/>
      <w:r w:rsidRPr="00CC422E">
        <w:rPr>
          <w:szCs w:val="18"/>
          <w:lang w:val="en-US"/>
        </w:rPr>
        <w:t>Verband</w:t>
      </w:r>
      <w:proofErr w:type="spellEnd"/>
      <w:r w:rsidRPr="00CC422E">
        <w:rPr>
          <w:szCs w:val="18"/>
          <w:lang w:val="en-US"/>
        </w:rPr>
        <w:t xml:space="preserve"> </w:t>
      </w:r>
      <w:proofErr w:type="spellStart"/>
      <w:r w:rsidRPr="00CC422E">
        <w:rPr>
          <w:szCs w:val="18"/>
          <w:lang w:val="en-US"/>
        </w:rPr>
        <w:t>deutscher</w:t>
      </w:r>
      <w:proofErr w:type="spellEnd"/>
      <w:r w:rsidRPr="00CC422E">
        <w:rPr>
          <w:szCs w:val="18"/>
          <w:lang w:val="en-US"/>
        </w:rPr>
        <w:t xml:space="preserve"> </w:t>
      </w:r>
      <w:proofErr w:type="spellStart"/>
      <w:r w:rsidRPr="00CC422E">
        <w:rPr>
          <w:szCs w:val="18"/>
          <w:lang w:val="en-US"/>
        </w:rPr>
        <w:t>Pfandbriefbanken</w:t>
      </w:r>
      <w:proofErr w:type="spellEnd"/>
      <w:r w:rsidRPr="00CC422E">
        <w:rPr>
          <w:szCs w:val="18"/>
          <w:lang w:val="en-US"/>
        </w:rPr>
        <w:t xml:space="preserve"> (</w:t>
      </w:r>
      <w:proofErr w:type="spellStart"/>
      <w:r w:rsidRPr="00CC422E">
        <w:rPr>
          <w:szCs w:val="18"/>
          <w:lang w:val="en-US"/>
        </w:rPr>
        <w:t>vdp</w:t>
      </w:r>
      <w:proofErr w:type="spellEnd"/>
      <w:r w:rsidRPr="00CC422E">
        <w:rPr>
          <w:szCs w:val="18"/>
          <w:lang w:val="en-US"/>
        </w:rPr>
        <w:t xml:space="preserve">), for the </w:t>
      </w:r>
      <w:proofErr w:type="spellStart"/>
      <w:r w:rsidRPr="00CC422E">
        <w:rPr>
          <w:szCs w:val="18"/>
          <w:lang w:val="en-US"/>
        </w:rPr>
        <w:t>Pfandbrief</w:t>
      </w:r>
      <w:proofErr w:type="spellEnd"/>
      <w:r w:rsidRPr="00CC422E">
        <w:rPr>
          <w:szCs w:val="18"/>
          <w:lang w:val="en-US"/>
        </w:rPr>
        <w:t xml:space="preserve"> banks. Collectively, they represent approximately 1,700 banks.</w:t>
      </w:r>
    </w:p>
    <w:p w:rsidR="00EA03C1" w:rsidRDefault="00EA03C1" w:rsidP="00D34282">
      <w:pPr>
        <w:rPr>
          <w:color w:val="3C596A"/>
          <w:szCs w:val="18"/>
          <w:lang w:val="en-US"/>
        </w:rPr>
      </w:pPr>
    </w:p>
    <w:p w:rsidR="00CC422E" w:rsidRPr="00DB0F43" w:rsidRDefault="00CC422E" w:rsidP="00CC422E">
      <w:r>
        <w:rPr>
          <w:b/>
        </w:rPr>
        <w:t>Clarification of transitional provisions</w:t>
      </w:r>
    </w:p>
    <w:p w:rsidR="00CC422E" w:rsidRDefault="00CC422E" w:rsidP="00CC422E">
      <w:r>
        <w:t>We would appreciate clarification of the scope of the transitional provisions.</w:t>
      </w:r>
    </w:p>
    <w:p w:rsidR="00CC422E" w:rsidRDefault="00CC422E" w:rsidP="00CC422E">
      <w:bookmarkStart w:id="3" w:name="_GoBack"/>
      <w:bookmarkEnd w:id="3"/>
      <w:r>
        <w:t>Article 51(1) of the BMR grants index providers which have provided a benchmark by 30 June 2016 a two-year period from the regulation’s date of application (1 January 2018), i.e. until 1 January 2020, to apply for authorisation or registration as an administrator of these benchmarks. Under Article 51(1), the application for authorisation or registration has to be submitted between 1 January 2018 and 1 January 2020. In principle, index providers are permitted to make full use of this period. Under Article 51(3) of the BMR, an existing benchmark can in principle be used until 1 January 2020. If an index provider submits an application for authorisation or registration by 1 January 2020, the benchmark can carry on being used until the application has been rejected, which may be after 1 January 2020. Article 51(3) refers broadly to “existing benchmarks”. This raises the following question: are we correct in thinking that the term “existing benchmarks” covers all benchmarks which are provided up to and including 31 December 2017? If our understanding is correct, then all benchmarks provided up to and including 30 June 2016 should be able to be used until 1 January 2020 or, if an application for authorisation or registration is submitted, also after 1 January 2020 until the date on which the application is rejected. All benchmarks newly provided between 30 June 2016 and 31 December 2017 should also be able to continue being used after 1 January 2018 until an application for authorisation or registration has been rejected or approved. As we see it, the only difference between benchmarks provided before 30 June 2016 and benchmarks first provided between 1 July 2016 and 31 December 2017 is that providers of the former have until 1 January 2020 to submit an application while the latter, pursuant to Article 34(3) of the BMR, have to submit their application no later than 30 working days after 1 January 2018.</w:t>
      </w:r>
    </w:p>
    <w:p w:rsidR="00CC422E" w:rsidRDefault="00CC422E" w:rsidP="00CC422E"/>
    <w:p w:rsidR="00CC422E" w:rsidRPr="00967D8A" w:rsidRDefault="00CC422E" w:rsidP="00CC422E">
      <w:pPr>
        <w:rPr>
          <w:b/>
        </w:rPr>
      </w:pPr>
      <w:r w:rsidRPr="00967D8A">
        <w:rPr>
          <w:b/>
        </w:rPr>
        <w:t>Recognition of third-country benchmarks</w:t>
      </w:r>
    </w:p>
    <w:p w:rsidR="00CC422E" w:rsidRDefault="00CC422E" w:rsidP="00CC422E">
      <w:r>
        <w:t xml:space="preserve">It is essential that there is adequate transparency for market participants about which third-country benchmarks may be used in the EU under Articles 30 and 32 of the BMR and when. This applies especially to critical and significant benchmarks from the US and Asia, but also to all benchmarks whose endorsement market participants will have to consider in a timely manner in accordance with Article 33 of the BMR. It would therefore be desirable if, as soon as an application for an equivalence decision has been submitted and the analysis of equivalence under Article 30 of the BMR has begun, ESMA and the European Commission were to make this information public. This will ensure transparency about benchmarks already undergoing the process of analysis. </w:t>
      </w:r>
    </w:p>
    <w:p w:rsidR="00CC422E" w:rsidRDefault="00CC422E" w:rsidP="00CC422E"/>
    <w:p w:rsidR="00D34282" w:rsidRPr="00BF28DA" w:rsidRDefault="00CC422E" w:rsidP="00D34282">
      <w:r>
        <w:t>In addition, our understanding of the transitional provision set out in Article 51(5) of the BMR is that it covers all benchmarks used at least once before 1 January 2018</w:t>
      </w:r>
      <w:proofErr w:type="gramStart"/>
      <w:r w:rsidR="00EA03C1">
        <w:rPr>
          <w:color w:val="3C596A"/>
          <w:szCs w:val="18"/>
          <w:lang w:val="en-US"/>
        </w:rPr>
        <w:t>.</w:t>
      </w:r>
      <w:permEnd w:id="314181779"/>
      <w:r w:rsidR="00D34282" w:rsidRPr="00BF28DA">
        <w:t>&lt;</w:t>
      </w:r>
      <w:proofErr w:type="gramEnd"/>
      <w:r w:rsidR="00D61A37" w:rsidRPr="00BF28DA">
        <w:t>ESMA_COMMENT_</w:t>
      </w:r>
      <w:r w:rsidR="00176639" w:rsidRPr="00176639">
        <w:t xml:space="preserve"> </w:t>
      </w:r>
      <w:r w:rsidR="00665C07">
        <w:t>C</w:t>
      </w:r>
      <w:r w:rsidR="00176639">
        <w:t>P_BMR</w:t>
      </w:r>
      <w:r w:rsidR="00D61A37" w:rsidRPr="00BF28DA">
        <w:t>_1</w:t>
      </w:r>
      <w:r w:rsidR="00D34282"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9A2624" w:rsidRDefault="009A2624" w:rsidP="009A2624">
      <w:permStart w:id="1527714992" w:edGrp="everyone"/>
      <w:r>
        <w:t>TYPE YOUR TEXT HERE</w:t>
      </w:r>
    </w:p>
    <w:permEnd w:id="1527714992"/>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otherwise employed by the administrator?</w:t>
      </w:r>
    </w:p>
    <w:p w:rsidR="009A2624" w:rsidRDefault="00665C07" w:rsidP="009A2624">
      <w:r>
        <w:t>&lt;ESMA_QUESTION_C</w:t>
      </w:r>
      <w:r w:rsidR="009A2624">
        <w:t>P_BMR_2&gt;</w:t>
      </w:r>
    </w:p>
    <w:p w:rsidR="009A2624" w:rsidRDefault="00CC422E" w:rsidP="009A2624">
      <w:permStart w:id="1215308123" w:edGrp="everyone"/>
      <w:r w:rsidRPr="00CC422E">
        <w:t>We support the option of inviting external stakeholders to guarantee that sufficient expertise is available to the benchmark.</w:t>
      </w:r>
    </w:p>
    <w:permEnd w:id="1215308123"/>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9A2624" w:rsidRDefault="00CC422E" w:rsidP="009A2624">
      <w:permStart w:id="570961289" w:edGrp="everyone"/>
      <w:r w:rsidRPr="00DB0F43">
        <w:t xml:space="preserve">We support the concept of observers as long as </w:t>
      </w:r>
      <w:r>
        <w:t>their inclusion is at</w:t>
      </w:r>
      <w:r w:rsidRPr="00DB0F43">
        <w:t xml:space="preserve"> the discretion of the administrator.</w:t>
      </w:r>
      <w:r>
        <w:t xml:space="preserve"> </w:t>
      </w:r>
      <w:r w:rsidRPr="00DB0F43">
        <w:t>At least Article 4(1</w:t>
      </w:r>
      <w:proofErr w:type="gramStart"/>
      <w:r w:rsidRPr="00DB0F43">
        <w:t>)</w:t>
      </w:r>
      <w:r>
        <w:t>(</w:t>
      </w:r>
      <w:proofErr w:type="gramEnd"/>
      <w:r w:rsidRPr="00DB0F43">
        <w:t xml:space="preserve">a) and </w:t>
      </w:r>
      <w:r>
        <w:t>(</w:t>
      </w:r>
      <w:r w:rsidRPr="00DB0F43">
        <w:t xml:space="preserve">d) </w:t>
      </w:r>
      <w:r>
        <w:t xml:space="preserve">of the </w:t>
      </w:r>
      <w:r w:rsidRPr="00DB0F43">
        <w:t xml:space="preserve">draft RTS </w:t>
      </w:r>
      <w:r>
        <w:t>in section</w:t>
      </w:r>
      <w:r w:rsidRPr="00DB0F43">
        <w:t xml:space="preserve"> 2.5 </w:t>
      </w:r>
      <w:r>
        <w:t>of the consultation paper</w:t>
      </w:r>
      <w:r w:rsidRPr="00DB0F43">
        <w:t xml:space="preserve"> should apply to observers.</w:t>
      </w:r>
    </w:p>
    <w:permEnd w:id="570961289"/>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CC422E" w:rsidRDefault="00CC422E" w:rsidP="009A2624">
      <w:permStart w:id="2049332802" w:edGrp="everyone"/>
      <w:r w:rsidRPr="00DB0F43">
        <w:t>Yes.</w:t>
      </w:r>
    </w:p>
    <w:permEnd w:id="2049332802"/>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CC422E" w:rsidRPr="00DB0F43" w:rsidRDefault="00CC422E" w:rsidP="00CC422E">
      <w:permStart w:id="640697806" w:edGrp="everyone"/>
      <w:r w:rsidRPr="00DB0F43">
        <w:t xml:space="preserve">No. We support ESMA’s flexible approach </w:t>
      </w:r>
      <w:r>
        <w:t>of allowing</w:t>
      </w:r>
      <w:r w:rsidRPr="00DB0F43">
        <w:t xml:space="preserve"> the administrator to decide on the most appropriate function</w:t>
      </w:r>
      <w:r>
        <w:t>ing</w:t>
      </w:r>
      <w:r w:rsidRPr="00DB0F43">
        <w:t xml:space="preserve"> of the oversight committee while avoiding any conflicts of interest.</w:t>
      </w:r>
    </w:p>
    <w:p w:rsidR="00CC422E" w:rsidRPr="00DB0F43" w:rsidRDefault="00CC422E" w:rsidP="00CC422E"/>
    <w:p w:rsidR="009A2624" w:rsidRDefault="00CC422E" w:rsidP="00CC422E">
      <w:r>
        <w:t xml:space="preserve">We do, however, have concerns about </w:t>
      </w:r>
      <w:r w:rsidRPr="00DB0F43">
        <w:t xml:space="preserve">ESMA’s </w:t>
      </w:r>
      <w:r>
        <w:t xml:space="preserve">proposed requirement that </w:t>
      </w:r>
      <w:r w:rsidRPr="00DB0F43">
        <w:t xml:space="preserve">the oversight function </w:t>
      </w:r>
      <w:r>
        <w:t>should</w:t>
      </w:r>
      <w:r w:rsidRPr="00DB0F43">
        <w:t xml:space="preserve"> assess and challenge the decisions of the management body of the administrator </w:t>
      </w:r>
      <w:r>
        <w:t>(cf. Article 2</w:t>
      </w:r>
      <w:r w:rsidRPr="00DB0F43">
        <w:t xml:space="preserve">(3) </w:t>
      </w:r>
      <w:r>
        <w:t xml:space="preserve">of the </w:t>
      </w:r>
      <w:r w:rsidRPr="00DB0F43">
        <w:t xml:space="preserve">draft RTS </w:t>
      </w:r>
      <w:r>
        <w:t>in section 2</w:t>
      </w:r>
      <w:r w:rsidRPr="00DB0F43">
        <w:t xml:space="preserve">.5 </w:t>
      </w:r>
      <w:r>
        <w:t>of the consultation paper</w:t>
      </w:r>
      <w:r w:rsidRPr="00DB0F43">
        <w:t xml:space="preserve">) since it would not reflect the variety of governance structures across the industry. </w:t>
      </w:r>
      <w:r>
        <w:t>An</w:t>
      </w:r>
      <w:r w:rsidRPr="00DB0F43">
        <w:t xml:space="preserve"> oversight committee might be composed </w:t>
      </w:r>
      <w:r>
        <w:t>of both executive and non-executive directors, for instance</w:t>
      </w:r>
      <w:r w:rsidRPr="00DB0F43">
        <w:t>.</w:t>
      </w:r>
      <w:r>
        <w:t xml:space="preserve"> A more flexible approach is therefore needed.</w:t>
      </w:r>
    </w:p>
    <w:permEnd w:id="640697806"/>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CC422E" w:rsidRPr="00DB0F43" w:rsidRDefault="00CC422E" w:rsidP="00CC422E">
      <w:permStart w:id="898773483" w:edGrp="everyone"/>
      <w:r w:rsidRPr="00DB0F43">
        <w:t>We generally agree with ESMA</w:t>
      </w:r>
      <w:r>
        <w:t>’s</w:t>
      </w:r>
      <w:r w:rsidRPr="00DB0F43">
        <w:t xml:space="preserve"> approach in </w:t>
      </w:r>
      <w:r>
        <w:t>its</w:t>
      </w:r>
      <w:r w:rsidRPr="00DB0F43">
        <w:t xml:space="preserve"> draft RTS </w:t>
      </w:r>
      <w:r>
        <w:t>in section </w:t>
      </w:r>
      <w:r w:rsidRPr="00DB0F43">
        <w:t xml:space="preserve">3.5 </w:t>
      </w:r>
      <w:r>
        <w:t>of the consultation paper.</w:t>
      </w:r>
      <w:r w:rsidRPr="00DB0F43">
        <w:t xml:space="preserve"> </w:t>
      </w:r>
      <w:r>
        <w:t>Nevertheless, i</w:t>
      </w:r>
      <w:r w:rsidRPr="00DB0F43">
        <w:t>t would be very helpful</w:t>
      </w:r>
      <w:r>
        <w:t xml:space="preserve"> </w:t>
      </w:r>
      <w:r w:rsidRPr="00DB0F43">
        <w:t>if ESMA provide</w:t>
      </w:r>
      <w:r>
        <w:t xml:space="preserve">d guidance on the definition of “input data”, particularly </w:t>
      </w:r>
      <w:r w:rsidRPr="00DB0F43">
        <w:t>whether the definition of input data should cover reference</w:t>
      </w:r>
      <w:r>
        <w:t>s</w:t>
      </w:r>
      <w:r w:rsidRPr="00DB0F43">
        <w:t>, terms and conditions</w:t>
      </w:r>
      <w:r>
        <w:t>,</w:t>
      </w:r>
      <w:r w:rsidRPr="00DB0F43">
        <w:t xml:space="preserve"> and other security metadata or just</w:t>
      </w:r>
      <w:r>
        <w:t xml:space="preserve"> price data. </w:t>
      </w:r>
    </w:p>
    <w:p w:rsidR="00CC422E" w:rsidRPr="00DB0F43" w:rsidRDefault="00CC422E" w:rsidP="00CC422E"/>
    <w:p w:rsidR="009A2624" w:rsidRDefault="00CC422E" w:rsidP="00CC422E">
      <w:r>
        <w:t>In addition, it</w:t>
      </w:r>
      <w:r w:rsidRPr="00DB0F43">
        <w:t xml:space="preserve"> would be helpful if ESMA could provide further clarity </w:t>
      </w:r>
      <w:r>
        <w:t>about</w:t>
      </w:r>
      <w:r w:rsidRPr="00DB0F43">
        <w:t xml:space="preserve"> the requirement to maintain </w:t>
      </w:r>
      <w:r>
        <w:t xml:space="preserve">a </w:t>
      </w:r>
      <w:r w:rsidRPr="00DB0F43">
        <w:t xml:space="preserve">physical presence in the front office “where applicable”. We would also </w:t>
      </w:r>
      <w:r>
        <w:t>welcome</w:t>
      </w:r>
      <w:r w:rsidRPr="00DB0F43">
        <w:t xml:space="preserve"> more clarity </w:t>
      </w:r>
      <w:r>
        <w:t>about</w:t>
      </w:r>
      <w:r w:rsidRPr="00DB0F43">
        <w:t xml:space="preserve"> procedures to prevent the exchange of information between front office staff and contributor</w:t>
      </w:r>
      <w:r>
        <w:t>s’</w:t>
      </w:r>
      <w:r w:rsidRPr="00DB0F43">
        <w:t xml:space="preserve"> staff (Article 6(3</w:t>
      </w:r>
      <w:proofErr w:type="gramStart"/>
      <w:r w:rsidRPr="00DB0F43">
        <w:t>)(</w:t>
      </w:r>
      <w:proofErr w:type="gramEnd"/>
      <w:r w:rsidRPr="00DB0F43">
        <w:t xml:space="preserve">h)(vi) </w:t>
      </w:r>
      <w:r>
        <w:t xml:space="preserve">of the </w:t>
      </w:r>
      <w:r w:rsidRPr="00DB0F43">
        <w:t xml:space="preserve">draft RTS </w:t>
      </w:r>
      <w:r>
        <w:t>in section </w:t>
      </w:r>
      <w:r w:rsidRPr="00DB0F43">
        <w:t>3.5).</w:t>
      </w:r>
    </w:p>
    <w:permEnd w:id="898773483"/>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CC422E" w:rsidRPr="00DB0F43" w:rsidRDefault="00CC422E" w:rsidP="00CC422E">
      <w:permStart w:id="1739348163" w:edGrp="everyone"/>
      <w:r w:rsidRPr="00DB0F43">
        <w:t xml:space="preserve">We suggest that the proposed fall-back arrangement to ensure the provision of input data </w:t>
      </w:r>
      <w:r>
        <w:t xml:space="preserve">even </w:t>
      </w:r>
      <w:r w:rsidRPr="00DB0F43">
        <w:t xml:space="preserve">in </w:t>
      </w:r>
      <w:r>
        <w:t>times of stress (Article 6(</w:t>
      </w:r>
      <w:r w:rsidRPr="00DB0F43">
        <w:t>2</w:t>
      </w:r>
      <w:r>
        <w:t>)</w:t>
      </w:r>
      <w:r w:rsidRPr="00DB0F43">
        <w:t xml:space="preserve">(d) </w:t>
      </w:r>
      <w:r>
        <w:t xml:space="preserve">of the </w:t>
      </w:r>
      <w:r w:rsidRPr="00DB0F43">
        <w:t xml:space="preserve">draft RTS </w:t>
      </w:r>
      <w:r>
        <w:t>in section </w:t>
      </w:r>
      <w:r w:rsidRPr="00DB0F43">
        <w:t>3.5</w:t>
      </w:r>
      <w:r>
        <w:t>)</w:t>
      </w:r>
      <w:r w:rsidRPr="00DB0F43">
        <w:t xml:space="preserve"> should also cover </w:t>
      </w:r>
      <w:r>
        <w:t>cases where</w:t>
      </w:r>
      <w:r w:rsidRPr="00DB0F43">
        <w:t xml:space="preserve"> an administrator is unable to publish a benchmark due to a lack</w:t>
      </w:r>
      <w:r>
        <w:t xml:space="preserve"> of data or a lack of adequate</w:t>
      </w:r>
      <w:r w:rsidRPr="00DB0F43">
        <w:t xml:space="preserve"> data. </w:t>
      </w:r>
      <w:r>
        <w:t>Otherwise,</w:t>
      </w:r>
      <w:r w:rsidRPr="00DB0F43">
        <w:t xml:space="preserve"> administrators (and by extension contributors) </w:t>
      </w:r>
      <w:r>
        <w:t xml:space="preserve">might find themselves </w:t>
      </w:r>
      <w:r w:rsidRPr="00DB0F43">
        <w:t xml:space="preserve">in </w:t>
      </w:r>
      <w:r>
        <w:t>the</w:t>
      </w:r>
      <w:r w:rsidRPr="00DB0F43">
        <w:t xml:space="preserve"> position of </w:t>
      </w:r>
      <w:r>
        <w:t>having to publish or provide</w:t>
      </w:r>
      <w:r w:rsidRPr="00DB0F43">
        <w:t xml:space="preserve"> misleading information, which could constitute a criminal offence.</w:t>
      </w:r>
    </w:p>
    <w:p w:rsidR="00CC422E" w:rsidRPr="00DB0F43" w:rsidRDefault="00CC422E" w:rsidP="00CC422E"/>
    <w:p w:rsidR="009A2624" w:rsidRDefault="00CC422E" w:rsidP="009A2624">
      <w:r w:rsidRPr="00DB0F43">
        <w:t xml:space="preserve">We would </w:t>
      </w:r>
      <w:r>
        <w:t>ask</w:t>
      </w:r>
      <w:r w:rsidRPr="00DB0F43">
        <w:t xml:space="preserve"> ES</w:t>
      </w:r>
      <w:r>
        <w:t>MA to clarify what is meant by “</w:t>
      </w:r>
      <w:r w:rsidRPr="00DB0F43">
        <w:t>monitoring</w:t>
      </w:r>
      <w:r>
        <w:t>”</w:t>
      </w:r>
      <w:r w:rsidRPr="00DB0F43">
        <w:t xml:space="preserve"> </w:t>
      </w:r>
      <w:r>
        <w:t>in</w:t>
      </w:r>
      <w:r w:rsidRPr="00DB0F43">
        <w:t xml:space="preserve"> A</w:t>
      </w:r>
      <w:r>
        <w:t>rticle 6</w:t>
      </w:r>
      <w:r w:rsidRPr="00DB0F43">
        <w:t>(3</w:t>
      </w:r>
      <w:proofErr w:type="gramStart"/>
      <w:r w:rsidRPr="00DB0F43">
        <w:t>)(</w:t>
      </w:r>
      <w:proofErr w:type="gramEnd"/>
      <w:r w:rsidRPr="00DB0F43">
        <w:t xml:space="preserve">e) and (f) </w:t>
      </w:r>
      <w:r>
        <w:t xml:space="preserve">of the </w:t>
      </w:r>
      <w:r w:rsidRPr="00DB0F43">
        <w:t xml:space="preserve">draft RTS </w:t>
      </w:r>
      <w:r>
        <w:t>in section </w:t>
      </w:r>
      <w:r w:rsidRPr="00DB0F43">
        <w:t>3.5</w:t>
      </w:r>
      <w:r>
        <w:t xml:space="preserve">. We </w:t>
      </w:r>
      <w:r w:rsidRPr="00DB0F43">
        <w:t xml:space="preserve">interpret </w:t>
      </w:r>
      <w:r>
        <w:t xml:space="preserve">it </w:t>
      </w:r>
      <w:r w:rsidRPr="00DB0F43">
        <w:t>as maintaining constant vigilance.</w:t>
      </w:r>
    </w:p>
    <w:permEnd w:id="1739348163"/>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traceable and verifiable?</w:t>
      </w:r>
      <w:r w:rsidR="009A2624" w:rsidRPr="007F44BF">
        <w:t xml:space="preserve"> </w:t>
      </w:r>
    </w:p>
    <w:p w:rsidR="009A2624" w:rsidRDefault="00665C07" w:rsidP="009A2624">
      <w:r>
        <w:t>&lt;ESMA_QUESTION_C</w:t>
      </w:r>
      <w:r w:rsidR="009A2624">
        <w:t>P_BMR_8&gt;</w:t>
      </w:r>
    </w:p>
    <w:p w:rsidR="009A2624" w:rsidRDefault="00CC422E" w:rsidP="009A2624">
      <w:permStart w:id="175378709" w:edGrp="everyone"/>
      <w:r w:rsidRPr="00DB0F43">
        <w:t>We generally agree</w:t>
      </w:r>
      <w:r>
        <w:t>. It</w:t>
      </w:r>
      <w:r w:rsidRPr="00DB0F43">
        <w:t xml:space="preserve"> would</w:t>
      </w:r>
      <w:r>
        <w:t>, however,</w:t>
      </w:r>
      <w:r w:rsidRPr="00DB0F43">
        <w:t xml:space="preserve"> be helpful if ESMA provide</w:t>
      </w:r>
      <w:r>
        <w:t>d</w:t>
      </w:r>
      <w:r w:rsidRPr="00DB0F43">
        <w:t xml:space="preserve"> clarification </w:t>
      </w:r>
      <w:r>
        <w:t>about</w:t>
      </w:r>
      <w:r w:rsidRPr="00DB0F43">
        <w:t xml:space="preserve"> the k</w:t>
      </w:r>
      <w:r>
        <w:t xml:space="preserve">ey elements of the methodology </w:t>
      </w:r>
      <w:r w:rsidRPr="00DB0F43">
        <w:t xml:space="preserve">and what </w:t>
      </w:r>
      <w:r>
        <w:t>constitutes</w:t>
      </w:r>
      <w:r w:rsidRPr="00DB0F43">
        <w:t xml:space="preserve"> a secured algorithm.</w:t>
      </w:r>
    </w:p>
    <w:permEnd w:id="175378709"/>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CC422E" w:rsidRPr="00DB0F43" w:rsidRDefault="00CC422E" w:rsidP="00CC422E">
      <w:permStart w:id="893008173" w:edGrp="everyone"/>
      <w:r w:rsidRPr="00DB0F43">
        <w:t xml:space="preserve">We agree with ESMA’s approach, but would like to point out some difficulties with </w:t>
      </w:r>
      <w:r>
        <w:t>a few</w:t>
      </w:r>
      <w:r w:rsidRPr="00DB0F43">
        <w:t xml:space="preserve"> of the proposed elements. Whilst we agree with the need to disclose material changes in the benchmark</w:t>
      </w:r>
      <w:r>
        <w:t>’</w:t>
      </w:r>
      <w:r w:rsidRPr="00DB0F43">
        <w:t>s methodology, the requirement to “ensure” that stakeholders are informed of the key elements of the proposed future methodology should be clarified</w:t>
      </w:r>
      <w:r>
        <w:t xml:space="preserve"> </w:t>
      </w:r>
      <w:r w:rsidRPr="00DB0F43">
        <w:t>(</w:t>
      </w:r>
      <w:r>
        <w:t>cf. </w:t>
      </w:r>
      <w:r w:rsidRPr="00DB0F43">
        <w:t>Article 3(</w:t>
      </w:r>
      <w:r>
        <w:t>1</w:t>
      </w:r>
      <w:r w:rsidRPr="00DB0F43">
        <w:t>)</w:t>
      </w:r>
      <w:r>
        <w:t>(</w:t>
      </w:r>
      <w:r w:rsidRPr="00DB0F43">
        <w:t xml:space="preserve">a) </w:t>
      </w:r>
      <w:r>
        <w:t>of the draft RTS in section </w:t>
      </w:r>
      <w:r w:rsidRPr="00DB0F43">
        <w:t xml:space="preserve">4.7). </w:t>
      </w:r>
      <w:r>
        <w:t xml:space="preserve">Our understanding is </w:t>
      </w:r>
      <w:r w:rsidRPr="00DB0F43">
        <w:t xml:space="preserve">that publishing the information </w:t>
      </w:r>
      <w:r>
        <w:t>should</w:t>
      </w:r>
      <w:r w:rsidRPr="00DB0F43">
        <w:t xml:space="preserve"> be sufficient to meet this requirement.</w:t>
      </w:r>
    </w:p>
    <w:p w:rsidR="00CC422E" w:rsidRPr="00DB0F43" w:rsidRDefault="00CC422E" w:rsidP="00CC422E"/>
    <w:p w:rsidR="009A2624" w:rsidRDefault="00CC422E" w:rsidP="00CC422E">
      <w:r>
        <w:t>We</w:t>
      </w:r>
      <w:r w:rsidRPr="00DB0F43">
        <w:t xml:space="preserve"> would </w:t>
      </w:r>
      <w:r>
        <w:t xml:space="preserve">also </w:t>
      </w:r>
      <w:r w:rsidRPr="00DB0F43">
        <w:t xml:space="preserve">like ESMA to clarify </w:t>
      </w:r>
      <w:r>
        <w:t xml:space="preserve">for how long </w:t>
      </w:r>
      <w:r w:rsidRPr="00DB0F43">
        <w:t xml:space="preserve">the comments received </w:t>
      </w:r>
      <w:r>
        <w:t>when</w:t>
      </w:r>
      <w:r w:rsidRPr="00DB0F43">
        <w:t xml:space="preserve"> consulting on a proposed material change </w:t>
      </w:r>
      <w:r>
        <w:t>and</w:t>
      </w:r>
      <w:r w:rsidRPr="00DB0F43">
        <w:t xml:space="preserve"> the administrator’s response to these comments </w:t>
      </w:r>
      <w:r>
        <w:t>should remain accessible (cf. Article </w:t>
      </w:r>
      <w:r w:rsidRPr="00DB0F43">
        <w:t xml:space="preserve">4 </w:t>
      </w:r>
      <w:r>
        <w:t xml:space="preserve">of the </w:t>
      </w:r>
      <w:r w:rsidRPr="00DB0F43">
        <w:t xml:space="preserve">draft RTS </w:t>
      </w:r>
      <w:r>
        <w:t>in section </w:t>
      </w:r>
      <w:r w:rsidRPr="00DB0F43">
        <w:t>4.7).</w:t>
      </w:r>
    </w:p>
    <w:permEnd w:id="893008173"/>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CC422E" w:rsidRDefault="00CC422E" w:rsidP="00CC422E">
      <w:permStart w:id="886054204" w:edGrp="everyone"/>
      <w:r>
        <w:lastRenderedPageBreak/>
        <w:t>The administrator should grant an adequate period of time for consultation and take account of the interests of stakeholders. If methodological changes are planned to a critical or significant benchmark, the consultation period should not be less than four weeks unless there are compelling reasons to justify a shorter period.</w:t>
      </w:r>
    </w:p>
    <w:p w:rsidR="00CC422E" w:rsidRDefault="00CC422E" w:rsidP="00CC422E"/>
    <w:p w:rsidR="009A2624" w:rsidRDefault="00CC422E" w:rsidP="00CC422E">
      <w:r>
        <w:t>Publishing information about the start of a consultation phase only on the administrator’s website is not sufficient, in our view, to ensure that all stakeholders are aware of the consultation and can take part. Administrators of critical or significant benchmarks should ensure that the entire market is informed, which means the information needs to be disseminated throughout the EU. This could be achieved by using the services of distribution channels which disseminate information such as ad-hoc disclosures within the meaning of the Market Abuse Regulation, such as DGAP-News.</w:t>
      </w:r>
    </w:p>
    <w:permEnd w:id="886054204"/>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9A2624" w:rsidRDefault="00CC422E" w:rsidP="009A2624">
      <w:permStart w:id="854541233" w:edGrp="everyone"/>
      <w:r>
        <w:t>Yes.</w:t>
      </w:r>
    </w:p>
    <w:permEnd w:id="854541233"/>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contributors that should be taken into consideration in this RTS?</w:t>
      </w:r>
      <w:r>
        <w:rPr>
          <w:rFonts w:ascii="Arial" w:hAnsi="Arial" w:cs="Arial"/>
        </w:rPr>
        <w:t xml:space="preserve"> </w:t>
      </w:r>
      <w:r w:rsidRPr="008C0CBF">
        <w:rPr>
          <w:rFonts w:ascii="Arial" w:hAnsi="Arial" w:cs="Arial"/>
        </w:rPr>
        <w:t>How should those characteristics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863E1F" w:rsidRDefault="00CC422E" w:rsidP="00863E1F">
      <w:permStart w:id="368584603" w:edGrp="everyone"/>
      <w:r>
        <w:t>Yes.</w:t>
      </w:r>
    </w:p>
    <w:permEnd w:id="368584603"/>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benchmark related instruments apply to all types of benchmarks for all contributors?</w:t>
      </w:r>
    </w:p>
    <w:p w:rsidR="0038662B" w:rsidRDefault="0038662B" w:rsidP="0038662B">
      <w:r>
        <w:t>&lt;ESMA_QUESTION_CP_BMR_13&gt;</w:t>
      </w:r>
    </w:p>
    <w:p w:rsidR="0038662B" w:rsidRDefault="00B82A7A" w:rsidP="0038662B">
      <w:permStart w:id="494237767" w:edGrp="everyone"/>
      <w:r w:rsidRPr="00DB0F43">
        <w:t xml:space="preserve">We do not understand the term “substantial exposure” </w:t>
      </w:r>
      <w:r>
        <w:t>or</w:t>
      </w:r>
      <w:r w:rsidRPr="00DB0F43">
        <w:t xml:space="preserve"> the mechanism behind it. </w:t>
      </w:r>
      <w:r>
        <w:t xml:space="preserve">It is particularly important to know how </w:t>
      </w:r>
      <w:r w:rsidRPr="00DB0F43">
        <w:t xml:space="preserve">a substantial exposure </w:t>
      </w:r>
      <w:r>
        <w:t>should</w:t>
      </w:r>
      <w:r w:rsidRPr="00DB0F43">
        <w:t xml:space="preserve"> be determined</w:t>
      </w:r>
      <w:r>
        <w:t>. We have the following questions in this regard: Should previous data be considered when determining whether an exposure is substantial? If so, what timeframe should be examined? Are there other aspects to consider? We believe it will be essential to take account of the specificities of the instrument involved when determining whether or not an exposure is substantial. It would not be practicable, in our view, to apply a one-size-fits-all approach to all instruments relating to different benchmarks.</w:t>
      </w:r>
    </w:p>
    <w:permEnd w:id="494237767"/>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38662B" w:rsidRDefault="00B82A7A" w:rsidP="0038662B">
      <w:permStart w:id="162149832" w:edGrp="everyone"/>
      <w:r>
        <w:t>We basically support the idea of also informing the competent authority. We believe contributors should be given a certain period of time to allow the transaction to first be looked into by the compliance unit, however. This will reduce the number of reports that turn out to be false alarms.</w:t>
      </w:r>
    </w:p>
    <w:permEnd w:id="162149832"/>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examples.</w:t>
      </w:r>
    </w:p>
    <w:p w:rsidR="0038662B" w:rsidRDefault="0038662B" w:rsidP="0038662B">
      <w:r>
        <w:lastRenderedPageBreak/>
        <w:t>&lt;ESMA_QUESTION_CP_BMR_15&gt;</w:t>
      </w:r>
    </w:p>
    <w:p w:rsidR="0038662B" w:rsidRDefault="0038662B" w:rsidP="0038662B">
      <w:permStart w:id="91913587" w:edGrp="everyone"/>
      <w:r>
        <w:t>TYPE YOUR TEXT HERE</w:t>
      </w:r>
    </w:p>
    <w:permEnd w:id="91913587"/>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B82A7A" w:rsidRPr="00DB0F43" w:rsidRDefault="00B82A7A" w:rsidP="00B82A7A">
      <w:permStart w:id="146493712" w:edGrp="everyone"/>
      <w:r>
        <w:t>ESMA states in para </w:t>
      </w:r>
      <w:r w:rsidRPr="00DB0F43">
        <w:t xml:space="preserve">104 that input data </w:t>
      </w:r>
      <w:r>
        <w:t>which</w:t>
      </w:r>
      <w:r w:rsidRPr="00DB0F43">
        <w:t xml:space="preserve"> is readily available to an administrator </w:t>
      </w:r>
      <w:r>
        <w:t>is</w:t>
      </w:r>
      <w:r w:rsidRPr="00DB0F43">
        <w:t xml:space="preserve"> not considered a contribution and </w:t>
      </w:r>
      <w:r>
        <w:t xml:space="preserve">that, in consequence, </w:t>
      </w:r>
      <w:r w:rsidRPr="00DB0F43">
        <w:t>no code of conduct is necessary</w:t>
      </w:r>
      <w:r>
        <w:t xml:space="preserve"> in such cases</w:t>
      </w:r>
      <w:r w:rsidRPr="00DB0F43">
        <w:t xml:space="preserve">. It would be very helpful to clarify </w:t>
      </w:r>
      <w:r>
        <w:t xml:space="preserve">exactly </w:t>
      </w:r>
      <w:r w:rsidRPr="00DB0F43">
        <w:t xml:space="preserve">what </w:t>
      </w:r>
      <w:r>
        <w:t>is meant by “</w:t>
      </w:r>
      <w:r w:rsidRPr="00DB0F43">
        <w:t>readily available</w:t>
      </w:r>
      <w:r>
        <w:t>”</w:t>
      </w:r>
      <w:r w:rsidRPr="00DB0F43">
        <w:t xml:space="preserve">. This definition would have </w:t>
      </w:r>
      <w:r>
        <w:t xml:space="preserve">a </w:t>
      </w:r>
      <w:r w:rsidRPr="00DB0F43">
        <w:t xml:space="preserve">significant impact on how firms engage with data vendors and </w:t>
      </w:r>
      <w:r>
        <w:t xml:space="preserve">on </w:t>
      </w:r>
      <w:r w:rsidRPr="00DB0F43">
        <w:t>their ability to produce various indices.</w:t>
      </w:r>
    </w:p>
    <w:p w:rsidR="00B82A7A" w:rsidRPr="00DB0F43" w:rsidRDefault="00B82A7A" w:rsidP="00B82A7A"/>
    <w:p w:rsidR="00B82A7A" w:rsidRPr="00DB0F43" w:rsidRDefault="00B82A7A" w:rsidP="00B82A7A">
      <w:r w:rsidRPr="00DB0F43">
        <w:t>The requirement that contributors should report suspicious input dat</w:t>
      </w:r>
      <w:r>
        <w:t>a needs further clarification (Article 7</w:t>
      </w:r>
      <w:r w:rsidRPr="00DB0F43">
        <w:t>(2</w:t>
      </w:r>
      <w:proofErr w:type="gramStart"/>
      <w:r w:rsidRPr="00DB0F43">
        <w:t>)(</w:t>
      </w:r>
      <w:proofErr w:type="gramEnd"/>
      <w:r w:rsidRPr="00DB0F43">
        <w:t xml:space="preserve">a) </w:t>
      </w:r>
      <w:r>
        <w:t xml:space="preserve">of the </w:t>
      </w:r>
      <w:r w:rsidRPr="00DB0F43">
        <w:t xml:space="preserve">draft RTS </w:t>
      </w:r>
      <w:r>
        <w:t>in section 5.4 of the consultation paper</w:t>
      </w:r>
      <w:r w:rsidRPr="00DB0F43">
        <w:t xml:space="preserve">). At present, it appears to </w:t>
      </w:r>
      <w:r>
        <w:t>suggest</w:t>
      </w:r>
      <w:r w:rsidRPr="00DB0F43">
        <w:t xml:space="preserve"> contributors </w:t>
      </w:r>
      <w:r>
        <w:t>have to</w:t>
      </w:r>
      <w:r w:rsidRPr="00DB0F43">
        <w:t xml:space="preserve"> review all input data, including </w:t>
      </w:r>
      <w:r>
        <w:t>published data</w:t>
      </w:r>
      <w:r w:rsidRPr="00DB0F43">
        <w:t xml:space="preserve"> of other contributors. </w:t>
      </w:r>
      <w:r>
        <w:t xml:space="preserve">In </w:t>
      </w:r>
      <w:r w:rsidRPr="00DB0F43">
        <w:t>many cases it will be impossible for contributors to police their peers</w:t>
      </w:r>
      <w:r>
        <w:t>, however,</w:t>
      </w:r>
      <w:r w:rsidRPr="00DB0F43">
        <w:t xml:space="preserve"> because they will not know the detail</w:t>
      </w:r>
      <w:r>
        <w:t>s</w:t>
      </w:r>
      <w:r w:rsidRPr="00DB0F43">
        <w:t xml:space="preserve"> and possibly confidential drivers behind other contributors’ submissions. This </w:t>
      </w:r>
      <w:r>
        <w:t>provision should only require</w:t>
      </w:r>
      <w:r w:rsidRPr="00DB0F43">
        <w:t xml:space="preserve"> a contributor to report suspicious data from its own submitters. </w:t>
      </w:r>
    </w:p>
    <w:p w:rsidR="00B82A7A" w:rsidRPr="00DB0F43" w:rsidRDefault="00B82A7A" w:rsidP="00B82A7A"/>
    <w:p w:rsidR="0038662B" w:rsidRDefault="00B82A7A" w:rsidP="00B82A7A">
      <w:r>
        <w:t>Article 8</w:t>
      </w:r>
      <w:r w:rsidRPr="00DB0F43">
        <w:t>(1</w:t>
      </w:r>
      <w:proofErr w:type="gramStart"/>
      <w:r>
        <w:t>)</w:t>
      </w:r>
      <w:r w:rsidRPr="00DB0F43">
        <w:t>(</w:t>
      </w:r>
      <w:proofErr w:type="gramEnd"/>
      <w:r w:rsidRPr="00DB0F43">
        <w:t xml:space="preserve">vi) </w:t>
      </w:r>
      <w:r>
        <w:t xml:space="preserve">of the </w:t>
      </w:r>
      <w:r w:rsidRPr="00DB0F43">
        <w:t xml:space="preserve">draft RTS </w:t>
      </w:r>
      <w:r>
        <w:t xml:space="preserve">in section 5.4 </w:t>
      </w:r>
      <w:r w:rsidRPr="00DB0F43">
        <w:t xml:space="preserve">requires physical and operational separation between submitters and other staff </w:t>
      </w:r>
      <w:r>
        <w:t>“where reasonably practicable”</w:t>
      </w:r>
      <w:r w:rsidRPr="00DB0F43">
        <w:t>. We suggest that the principle of proportionality should apply here</w:t>
      </w:r>
      <w:r>
        <w:t xml:space="preserve">, meaning that </w:t>
      </w:r>
      <w:r w:rsidRPr="00DB0F43">
        <w:t>the contributor</w:t>
      </w:r>
      <w:r>
        <w:t>’</w:t>
      </w:r>
      <w:r w:rsidRPr="00DB0F43">
        <w:t>s activities and the potential for the submitter to manipulate</w:t>
      </w:r>
      <w:r>
        <w:t xml:space="preserve"> should be taken into account</w:t>
      </w:r>
      <w:r w:rsidRPr="00DB0F43">
        <w:t xml:space="preserve">. </w:t>
      </w:r>
      <w:r>
        <w:t xml:space="preserve">The principle of proportionality is also applied to other types of </w:t>
      </w:r>
      <w:r w:rsidRPr="00DB0F43">
        <w:t xml:space="preserve">control. </w:t>
      </w:r>
      <w:r>
        <w:t>We would suggest replacing “reasonably practicable” with “proportionate”</w:t>
      </w:r>
      <w:r w:rsidRPr="00DB0F43">
        <w:t>.</w:t>
      </w:r>
    </w:p>
    <w:permEnd w:id="146493712"/>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reasons.</w:t>
      </w:r>
    </w:p>
    <w:p w:rsidR="0038662B" w:rsidRDefault="0038662B" w:rsidP="0038662B">
      <w:r>
        <w:t>&lt;ESMA_QUESTION_CP_BMR_17&gt;</w:t>
      </w:r>
    </w:p>
    <w:p w:rsidR="00B82A7A" w:rsidRPr="00C935FA" w:rsidRDefault="00B82A7A" w:rsidP="00B82A7A">
      <w:pPr>
        <w:rPr>
          <w:lang w:val="en-US"/>
        </w:rPr>
      </w:pPr>
      <w:permStart w:id="1878142497" w:edGrp="everyone"/>
      <w:r>
        <w:rPr>
          <w:lang w:val="en-US"/>
        </w:rPr>
        <w:t>We g</w:t>
      </w:r>
      <w:r w:rsidRPr="00C935FA">
        <w:rPr>
          <w:lang w:val="en-US"/>
        </w:rPr>
        <w:t>enerally agree.</w:t>
      </w:r>
      <w:r>
        <w:rPr>
          <w:lang w:val="en-US"/>
        </w:rPr>
        <w:t xml:space="preserve"> T</w:t>
      </w:r>
      <w:r w:rsidRPr="00D503DB">
        <w:rPr>
          <w:lang w:val="en-US"/>
        </w:rPr>
        <w:t xml:space="preserve">he draft </w:t>
      </w:r>
      <w:r>
        <w:rPr>
          <w:lang w:val="en-US"/>
        </w:rPr>
        <w:t xml:space="preserve">RTS </w:t>
      </w:r>
      <w:r w:rsidRPr="00D503DB">
        <w:rPr>
          <w:lang w:val="en-US"/>
        </w:rPr>
        <w:t xml:space="preserve">seem to </w:t>
      </w:r>
      <w:r>
        <w:rPr>
          <w:lang w:val="en-US"/>
        </w:rPr>
        <w:t>be based</w:t>
      </w:r>
      <w:r w:rsidRPr="00D503DB">
        <w:rPr>
          <w:lang w:val="en-US"/>
        </w:rPr>
        <w:t xml:space="preserve"> on good market practice.</w:t>
      </w:r>
      <w:r>
        <w:rPr>
          <w:lang w:val="en-US"/>
        </w:rPr>
        <w:t xml:space="preserve"> However, t</w:t>
      </w:r>
      <w:r w:rsidRPr="00C935FA">
        <w:rPr>
          <w:lang w:val="en-US"/>
        </w:rPr>
        <w:t>he requirement to test all submitters</w:t>
      </w:r>
      <w:r>
        <w:rPr>
          <w:lang w:val="en-US"/>
        </w:rPr>
        <w:t>’</w:t>
      </w:r>
      <w:r w:rsidRPr="00C935FA">
        <w:rPr>
          <w:lang w:val="en-US"/>
        </w:rPr>
        <w:t xml:space="preserve"> knowledge once </w:t>
      </w:r>
      <w:r>
        <w:rPr>
          <w:lang w:val="en-US"/>
        </w:rPr>
        <w:t>a year is overly burdensome (Article 2(</w:t>
      </w:r>
      <w:r w:rsidRPr="00C935FA">
        <w:rPr>
          <w:lang w:val="en-US"/>
        </w:rPr>
        <w:t>2)</w:t>
      </w:r>
      <w:r>
        <w:rPr>
          <w:lang w:val="en-US"/>
        </w:rPr>
        <w:t xml:space="preserve"> of the draft RTS in section 6.6)</w:t>
      </w:r>
      <w:r w:rsidRPr="00C935FA">
        <w:rPr>
          <w:lang w:val="en-US"/>
        </w:rPr>
        <w:t xml:space="preserve">, and would add little value </w:t>
      </w:r>
      <w:r>
        <w:rPr>
          <w:lang w:val="en-US"/>
        </w:rPr>
        <w:t>given that</w:t>
      </w:r>
      <w:r w:rsidRPr="00C935FA">
        <w:rPr>
          <w:lang w:val="en-US"/>
        </w:rPr>
        <w:t xml:space="preserve"> the contributor is already required to ensure </w:t>
      </w:r>
      <w:r>
        <w:rPr>
          <w:lang w:val="en-US"/>
        </w:rPr>
        <w:t xml:space="preserve">that each </w:t>
      </w:r>
      <w:r w:rsidRPr="00C935FA">
        <w:rPr>
          <w:lang w:val="en-US"/>
        </w:rPr>
        <w:t xml:space="preserve">submitter has adequate knowledge (Article </w:t>
      </w:r>
      <w:r>
        <w:rPr>
          <w:lang w:val="en-US"/>
        </w:rPr>
        <w:t>2(</w:t>
      </w:r>
      <w:r w:rsidRPr="00C935FA">
        <w:rPr>
          <w:lang w:val="en-US"/>
        </w:rPr>
        <w:t>1</w:t>
      </w:r>
      <w:r>
        <w:rPr>
          <w:lang w:val="en-US"/>
        </w:rPr>
        <w:t>) of the draft RTS in section 6.6</w:t>
      </w:r>
      <w:r w:rsidRPr="00C935FA">
        <w:rPr>
          <w:lang w:val="en-US"/>
        </w:rPr>
        <w:t xml:space="preserve"> requires this on a continual basis but leaves it to the contributor </w:t>
      </w:r>
      <w:r>
        <w:rPr>
          <w:lang w:val="en-US"/>
        </w:rPr>
        <w:t xml:space="preserve">to decide </w:t>
      </w:r>
      <w:r w:rsidRPr="00C935FA">
        <w:rPr>
          <w:lang w:val="en-US"/>
        </w:rPr>
        <w:t xml:space="preserve">how </w:t>
      </w:r>
      <w:r>
        <w:rPr>
          <w:lang w:val="en-US"/>
        </w:rPr>
        <w:t>to carry out the assessment</w:t>
      </w:r>
      <w:r w:rsidRPr="00C935FA">
        <w:rPr>
          <w:lang w:val="en-US"/>
        </w:rPr>
        <w:t>).</w:t>
      </w:r>
    </w:p>
    <w:p w:rsidR="00B82A7A" w:rsidRPr="00C935FA" w:rsidRDefault="00B82A7A" w:rsidP="00B82A7A">
      <w:pPr>
        <w:rPr>
          <w:lang w:val="en-US"/>
        </w:rPr>
      </w:pPr>
    </w:p>
    <w:p w:rsidR="0038662B" w:rsidRDefault="00B82A7A" w:rsidP="00B82A7A">
      <w:r w:rsidRPr="00C935FA">
        <w:rPr>
          <w:lang w:val="en-US"/>
        </w:rPr>
        <w:t xml:space="preserve">Article 3 </w:t>
      </w:r>
      <w:r>
        <w:rPr>
          <w:lang w:val="en-US"/>
        </w:rPr>
        <w:t>of the draft RTS in section 6.6</w:t>
      </w:r>
      <w:r w:rsidRPr="00C935FA">
        <w:rPr>
          <w:lang w:val="en-US"/>
        </w:rPr>
        <w:t xml:space="preserve"> addresses </w:t>
      </w:r>
      <w:r>
        <w:rPr>
          <w:lang w:val="en-US"/>
        </w:rPr>
        <w:t xml:space="preserve">the </w:t>
      </w:r>
      <w:r w:rsidRPr="00C935FA">
        <w:rPr>
          <w:lang w:val="en-US"/>
        </w:rPr>
        <w:t xml:space="preserve">use of expert judgment. </w:t>
      </w:r>
      <w:r>
        <w:rPr>
          <w:lang w:val="en-US"/>
        </w:rPr>
        <w:t xml:space="preserve">We </w:t>
      </w:r>
      <w:r w:rsidRPr="00C935FA">
        <w:rPr>
          <w:lang w:val="en-US"/>
        </w:rPr>
        <w:t>suggest</w:t>
      </w:r>
      <w:r>
        <w:rPr>
          <w:lang w:val="en-US"/>
        </w:rPr>
        <w:t xml:space="preserve"> adding to the guiding policies clear </w:t>
      </w:r>
      <w:r w:rsidRPr="00C935FA">
        <w:rPr>
          <w:lang w:val="en-US"/>
        </w:rPr>
        <w:t>circumstances in which exper</w:t>
      </w:r>
      <w:r>
        <w:rPr>
          <w:lang w:val="en-US"/>
        </w:rPr>
        <w:t>t judgment should not be used. Expert judgment has its</w:t>
      </w:r>
      <w:r w:rsidRPr="00C935FA">
        <w:rPr>
          <w:lang w:val="en-US"/>
        </w:rPr>
        <w:t xml:space="preserve"> limits</w:t>
      </w:r>
      <w:r>
        <w:rPr>
          <w:lang w:val="en-US"/>
        </w:rPr>
        <w:t>, in our view</w:t>
      </w:r>
      <w:r w:rsidRPr="00C935FA">
        <w:rPr>
          <w:lang w:val="en-US"/>
        </w:rPr>
        <w:t>. Without acknowledging this</w:t>
      </w:r>
      <w:r>
        <w:rPr>
          <w:lang w:val="en-US"/>
        </w:rPr>
        <w:t>,</w:t>
      </w:r>
      <w:r w:rsidRPr="00C935FA">
        <w:rPr>
          <w:lang w:val="en-US"/>
        </w:rPr>
        <w:t xml:space="preserve"> contributors and submitters may feel required to use expert judgment in circumstances where it may constitute a criminal offence.</w:t>
      </w:r>
    </w:p>
    <w:permEnd w:id="1878142497"/>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differences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Default="00B82A7A" w:rsidP="0038662B">
      <w:permStart w:id="744454409" w:edGrp="everyone"/>
      <w:r>
        <w:t>Please s</w:t>
      </w:r>
      <w:r w:rsidRPr="00DB0F43">
        <w:t xml:space="preserve">ee </w:t>
      </w:r>
      <w:r>
        <w:t>our reply</w:t>
      </w:r>
      <w:r w:rsidRPr="00DB0F43">
        <w:t xml:space="preserve"> to Q17.</w:t>
      </w:r>
    </w:p>
    <w:permEnd w:id="744454409"/>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lastRenderedPageBreak/>
        <w:t>&lt;ESMA_QUESTION_CP_BMR_19&gt;</w:t>
      </w:r>
    </w:p>
    <w:p w:rsidR="0038662B" w:rsidRDefault="00B82A7A" w:rsidP="0038662B">
      <w:permStart w:id="1256392415" w:edGrp="everyone"/>
      <w:r>
        <w:t>Yes.</w:t>
      </w:r>
    </w:p>
    <w:permEnd w:id="1256392415"/>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B82A7A" w:rsidRDefault="00B82A7A" w:rsidP="00B82A7A">
      <w:pPr>
        <w:rPr>
          <w:lang w:val="en-US"/>
        </w:rPr>
      </w:pPr>
      <w:permStart w:id="496184613" w:edGrp="everyone"/>
      <w:r>
        <w:rPr>
          <w:lang w:val="en-US"/>
        </w:rPr>
        <w:t>We welcome the fact that the principle of proportionality is applied by including fewer requirements in the compliance statement for non-significant benchmarks. We would nevertheless ask ESMA to bear in mind that the bureaucratic burden will only be noticeably reduced if the content of individual items in the two templates is not identical but is comparatively less onerous in its requirements for non-significant benchmarks. This applies especially to item B 4 in the template in Annex II.</w:t>
      </w:r>
    </w:p>
    <w:p w:rsidR="00B82A7A" w:rsidRDefault="00B82A7A" w:rsidP="00B82A7A">
      <w:pPr>
        <w:rPr>
          <w:lang w:val="en-US"/>
        </w:rPr>
      </w:pPr>
    </w:p>
    <w:p w:rsidR="00B82A7A" w:rsidRPr="00425A6D" w:rsidRDefault="00B82A7A" w:rsidP="00B82A7A">
      <w:pPr>
        <w:rPr>
          <w:lang w:val="en-US"/>
        </w:rPr>
      </w:pPr>
      <w:r>
        <w:rPr>
          <w:lang w:val="en-US"/>
        </w:rPr>
        <w:t>Further, w</w:t>
      </w:r>
      <w:r w:rsidRPr="00425A6D">
        <w:rPr>
          <w:lang w:val="en-US"/>
        </w:rPr>
        <w:t>e welcome the confirmation that administrators can use one compliance statement for a family of benchmarks.</w:t>
      </w:r>
    </w:p>
    <w:p w:rsidR="00B82A7A" w:rsidRPr="00425A6D" w:rsidRDefault="00B82A7A" w:rsidP="00B82A7A">
      <w:pPr>
        <w:rPr>
          <w:lang w:val="en-US"/>
        </w:rPr>
      </w:pPr>
    </w:p>
    <w:p w:rsidR="004C33E1" w:rsidRDefault="00B82A7A" w:rsidP="00B82A7A">
      <w:r w:rsidRPr="00425A6D">
        <w:rPr>
          <w:lang w:val="en-US"/>
        </w:rPr>
        <w:t>We would like ES</w:t>
      </w:r>
      <w:r>
        <w:rPr>
          <w:lang w:val="en-US"/>
        </w:rPr>
        <w:t>MA to clarify what is meant by “immediately”</w:t>
      </w:r>
      <w:r w:rsidRPr="00425A6D">
        <w:rPr>
          <w:lang w:val="en-US"/>
        </w:rPr>
        <w:t xml:space="preserve"> amending the compliance statement whenever any of the information included is no longer up to date</w:t>
      </w:r>
      <w:r>
        <w:rPr>
          <w:lang w:val="en-US"/>
        </w:rPr>
        <w:t xml:space="preserve"> (cf. Article 1(2) of the draft RTS in section 8.4)</w:t>
      </w:r>
      <w:r w:rsidRPr="00425A6D">
        <w:rPr>
          <w:lang w:val="en-US"/>
        </w:rPr>
        <w:t xml:space="preserve">. We would also </w:t>
      </w:r>
      <w:r>
        <w:rPr>
          <w:lang w:val="en-US"/>
        </w:rPr>
        <w:t>appreciate clarification of what “publishing”</w:t>
      </w:r>
      <w:r w:rsidRPr="00425A6D">
        <w:rPr>
          <w:lang w:val="en-US"/>
        </w:rPr>
        <w:t xml:space="preserve"> the updated compliance statement mean</w:t>
      </w:r>
      <w:r>
        <w:rPr>
          <w:lang w:val="en-US"/>
        </w:rPr>
        <w:t>s</w:t>
      </w:r>
      <w:r w:rsidRPr="00425A6D">
        <w:rPr>
          <w:lang w:val="en-US"/>
        </w:rPr>
        <w:t xml:space="preserve"> in </w:t>
      </w:r>
      <w:r>
        <w:rPr>
          <w:lang w:val="en-US"/>
        </w:rPr>
        <w:t>this context</w:t>
      </w:r>
      <w:r w:rsidRPr="00425A6D">
        <w:rPr>
          <w:lang w:val="en-US"/>
        </w:rPr>
        <w:t>.</w:t>
      </w:r>
    </w:p>
    <w:permEnd w:id="496184613"/>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4C33E1" w:rsidRDefault="00B82A7A" w:rsidP="004C33E1">
      <w:permStart w:id="227560636" w:edGrp="everyone"/>
      <w:r>
        <w:t>We largely agree. The information should be clear, precise and user friendly as highlighted in para 175. We nevertheless take the view that the benchmark statement is clearly intended for users within the meaning of Article 3(1</w:t>
      </w:r>
      <w:proofErr w:type="gramStart"/>
      <w:r>
        <w:t>)(</w:t>
      </w:r>
      <w:proofErr w:type="gramEnd"/>
      <w:r>
        <w:t>7) of the BMR. These are not retail investors. Nor, in particular, is the benchmark statement intended to deliver consumer protection information. It is therefore not clear why ESMA expects the content of the statement to be geared to “persons with limited financial knowledge” (para 201).</w:t>
      </w:r>
    </w:p>
    <w:permEnd w:id="227560636"/>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4C33E1" w:rsidRDefault="004C33E1" w:rsidP="004C33E1">
      <w:permStart w:id="1912107345" w:edGrp="everyone"/>
      <w:r>
        <w:t>TYPE YOUR TEXT HERE</w:t>
      </w:r>
    </w:p>
    <w:permEnd w:id="1912107345"/>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application with reference to the cases of authorisation or registration</w:t>
      </w:r>
      <w:r>
        <w:rPr>
          <w:rFonts w:ascii="Arial" w:hAnsi="Arial" w:cs="Arial"/>
        </w:rPr>
        <w:t>?</w:t>
      </w:r>
    </w:p>
    <w:p w:rsidR="004C33E1" w:rsidRDefault="004C33E1" w:rsidP="004C33E1">
      <w:r>
        <w:t>&lt;ESMA_QUESTION_CP_BMR_23&gt;</w:t>
      </w:r>
    </w:p>
    <w:p w:rsidR="004C33E1" w:rsidRDefault="00B82A7A" w:rsidP="004C33E1">
      <w:permStart w:id="615125357" w:edGrp="everyone"/>
      <w:r>
        <w:t>Yes.</w:t>
      </w:r>
    </w:p>
    <w:permEnd w:id="615125357"/>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4C33E1" w:rsidRDefault="004C33E1" w:rsidP="004C33E1">
      <w:permStart w:id="400442019" w:edGrp="everyone"/>
      <w:r>
        <w:lastRenderedPageBreak/>
        <w:t>TYPE YOUR TEXT HERE</w:t>
      </w:r>
    </w:p>
    <w:permEnd w:id="400442019"/>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4C33E1" w:rsidRDefault="004C33E1" w:rsidP="004C33E1">
      <w:permStart w:id="1715298426" w:edGrp="everyone"/>
      <w:r>
        <w:t>TYPE YOUR TEXT HERE</w:t>
      </w:r>
    </w:p>
    <w:permEnd w:id="1715298426"/>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appropriate? In particular, is the way in which the commodity benchmarks requirements are handled acceptable?</w:t>
      </w:r>
    </w:p>
    <w:p w:rsidR="004C33E1" w:rsidRDefault="004C33E1" w:rsidP="004C33E1">
      <w:r>
        <w:t>&lt;ESMA_QUESTION_CP_BMR_26&gt;</w:t>
      </w:r>
    </w:p>
    <w:p w:rsidR="004C33E1" w:rsidRDefault="004C33E1" w:rsidP="004C33E1">
      <w:permStart w:id="1306165191" w:edGrp="everyone"/>
      <w:r>
        <w:t>TYPE YOUR TEXT HERE</w:t>
      </w:r>
    </w:p>
    <w:permEnd w:id="1306165191"/>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4C33E1" w:rsidRDefault="004C33E1" w:rsidP="004C33E1">
      <w:permStart w:id="1639998492" w:edGrp="everyone"/>
      <w:r>
        <w:t>TYPE YOUR TEXT HERE</w:t>
      </w:r>
    </w:p>
    <w:permEnd w:id="1639998492"/>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4C33E1" w:rsidRDefault="004C33E1" w:rsidP="004C33E1">
      <w:permStart w:id="1638223215" w:edGrp="everyone"/>
      <w:r>
        <w:t>TYPE YOUR TEXT HERE</w:t>
      </w:r>
    </w:p>
    <w:permEnd w:id="1638223215"/>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4C33E1" w:rsidRDefault="004C33E1" w:rsidP="004C33E1">
      <w:permStart w:id="1840596708" w:edGrp="everyone"/>
      <w:r>
        <w:t>TYPE YOUR TEXT HERE</w:t>
      </w:r>
    </w:p>
    <w:permEnd w:id="1840596708"/>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4C33E1" w:rsidP="004C33E1">
      <w:permStart w:id="1078204952" w:edGrp="everyone"/>
      <w:r>
        <w:t>TYPE YOUR TEXT HERE</w:t>
      </w:r>
    </w:p>
    <w:permEnd w:id="1078204952"/>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 xml:space="preserve">Do you agree with the approach followed in the draft RTS as regards the information that a third-country applicant should give around the benchmarks it provides and that are </w:t>
      </w:r>
      <w:r w:rsidRPr="004C33E1">
        <w:rPr>
          <w:rFonts w:ascii="Arial" w:hAnsi="Arial" w:cs="Arial"/>
        </w:rPr>
        <w:lastRenderedPageBreak/>
        <w:t>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4C33E1" w:rsidRDefault="004C33E1" w:rsidP="004C33E1">
      <w:permStart w:id="175713482" w:edGrp="everyone"/>
      <w:r>
        <w:t>TYPE YOUR TEXT HERE</w:t>
      </w:r>
    </w:p>
    <w:permEnd w:id="175713482"/>
    <w:p w:rsidR="004C33E1" w:rsidRDefault="004C33E1" w:rsidP="004C33E1">
      <w:r>
        <w:t>&lt;ESMA_QUESTION_CP_BMR_31&gt;</w:t>
      </w:r>
    </w:p>
    <w:p w:rsidR="004C33E1" w:rsidRPr="0038662B" w:rsidRDefault="004C33E1" w:rsidP="0038662B"/>
    <w:sectPr w:rsidR="004C33E1" w:rsidRPr="0038662B"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1E6" w:rsidRDefault="00A401E6">
      <w:r>
        <w:separator/>
      </w:r>
    </w:p>
    <w:p w:rsidR="00A401E6" w:rsidRDefault="00A401E6"/>
  </w:endnote>
  <w:endnote w:type="continuationSeparator" w:id="0">
    <w:p w:rsidR="00A401E6" w:rsidRDefault="00A401E6">
      <w:r>
        <w:continuationSeparator/>
      </w:r>
    </w:p>
    <w:p w:rsidR="00A401E6" w:rsidRDefault="00A401E6"/>
  </w:endnote>
  <w:endnote w:type="continuationNotice" w:id="1">
    <w:p w:rsidR="00A401E6" w:rsidRDefault="00A4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4518D">
            <w:rPr>
              <w:rFonts w:cs="Arial"/>
              <w:noProof/>
              <w:sz w:val="22"/>
              <w:szCs w:val="22"/>
            </w:rPr>
            <w:t>11</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1E6" w:rsidRDefault="00A401E6">
      <w:r>
        <w:separator/>
      </w:r>
    </w:p>
    <w:p w:rsidR="00A401E6" w:rsidRDefault="00A401E6"/>
  </w:footnote>
  <w:footnote w:type="continuationSeparator" w:id="0">
    <w:p w:rsidR="00A401E6" w:rsidRDefault="00A401E6">
      <w:r>
        <w:continuationSeparator/>
      </w:r>
    </w:p>
    <w:p w:rsidR="00A401E6" w:rsidRDefault="00A401E6"/>
  </w:footnote>
  <w:footnote w:type="continuationNotice" w:id="1">
    <w:p w:rsidR="00A401E6" w:rsidRDefault="00A40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14B3"/>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38C"/>
    <w:rsid w:val="004E53F5"/>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18D"/>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A7A"/>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22E"/>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3C1"/>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126F-8253-4D25-9C7E-673DF3F630C9}">
  <ds:schemaRefs>
    <ds:schemaRef ds:uri="http://schemas.openxmlformats.org/officeDocument/2006/bibliography"/>
  </ds:schemaRefs>
</ds:datastoreItem>
</file>

<file path=customXml/itemProps2.xml><?xml version="1.0" encoding="utf-8"?>
<ds:datastoreItem xmlns:ds="http://schemas.openxmlformats.org/officeDocument/2006/customXml" ds:itemID="{923DDA50-2FDD-475C-A7CC-95C5EBD5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3347</Words>
  <Characters>19169</Characters>
  <Application>Microsoft Office Word</Application>
  <DocSecurity>8</DocSecurity>
  <Lines>159</Lines>
  <Paragraphs>44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22472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Böhner, Laura</cp:lastModifiedBy>
  <cp:revision>5</cp:revision>
  <cp:lastPrinted>2015-02-18T11:01:00Z</cp:lastPrinted>
  <dcterms:created xsi:type="dcterms:W3CDTF">2016-12-01T13:47:00Z</dcterms:created>
  <dcterms:modified xsi:type="dcterms:W3CDTF">2016-12-02T11:35:00Z</dcterms:modified>
</cp:coreProperties>
</file>