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37DFE" w:rsidP="00F37DFE">
            <w:pPr>
              <w:pStyle w:val="00bDBInfo"/>
              <w:rPr>
                <w:rFonts w:cs="Arial"/>
              </w:rPr>
            </w:pPr>
            <w:r>
              <w:rPr>
                <w:rFonts w:cs="Arial"/>
              </w:rPr>
              <w:t>29</w:t>
            </w:r>
            <w:r w:rsidR="003A5DAC">
              <w:rPr>
                <w:rFonts w:cs="Arial"/>
              </w:rPr>
              <w:t xml:space="preserve"> </w:t>
            </w:r>
            <w:r>
              <w:rPr>
                <w:rFonts w:cs="Arial"/>
              </w:rPr>
              <w:t>September</w:t>
            </w:r>
            <w:r w:rsidR="007C3918">
              <w:rPr>
                <w:rFonts w:cs="Arial"/>
              </w:rPr>
              <w:t xml:space="preserve">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90FF9" w:rsidP="00BF28DA">
            <w:pPr>
              <w:pStyle w:val="01aDBTitle"/>
              <w:rPr>
                <w:rFonts w:cs="Arial"/>
                <w:sz w:val="32"/>
              </w:rPr>
            </w:pPr>
            <w:r>
              <w:rPr>
                <w:rFonts w:cs="Arial"/>
                <w:sz w:val="32"/>
              </w:rPr>
              <w:t>Consultation</w:t>
            </w:r>
            <w:r w:rsidR="009C6CE1" w:rsidRPr="009C6CE1">
              <w:rPr>
                <w:rFonts w:cs="Arial"/>
                <w:sz w:val="32"/>
              </w:rPr>
              <w:t xml:space="preserve"> Paper </w:t>
            </w:r>
            <w:r w:rsidR="009C6CE1">
              <w:rPr>
                <w:rFonts w:cs="Arial"/>
                <w:sz w:val="32"/>
              </w:rPr>
              <w:t xml:space="preserve">on </w:t>
            </w:r>
            <w:r w:rsidR="009C6CE1" w:rsidRPr="009C6CE1">
              <w:rPr>
                <w:rFonts w:cs="Arial"/>
                <w:sz w:val="32"/>
              </w:rPr>
              <w:t>Benchmarks Regulation</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176639" w:rsidRDefault="00620D7C" w:rsidP="00F37DFE">
            <w:pPr>
              <w:pStyle w:val="02Date"/>
              <w:rPr>
                <w:rFonts w:cs="Arial"/>
                <w:highlight w:val="red"/>
              </w:rPr>
            </w:pPr>
            <w:r w:rsidRPr="007C3918">
              <w:rPr>
                <w:rFonts w:cs="Arial"/>
              </w:rPr>
              <w:lastRenderedPageBreak/>
              <w:t>Date</w:t>
            </w:r>
            <w:r w:rsidR="004049C0">
              <w:rPr>
                <w:rFonts w:cs="Arial"/>
              </w:rPr>
              <w:t xml:space="preserve">: </w:t>
            </w:r>
            <w:r w:rsidR="00F37DFE">
              <w:rPr>
                <w:rFonts w:cs="Arial"/>
              </w:rPr>
              <w:t>29</w:t>
            </w:r>
            <w:r w:rsidR="007C3918" w:rsidRPr="007C3918">
              <w:rPr>
                <w:rFonts w:cs="Arial"/>
              </w:rPr>
              <w:t xml:space="preserve"> </w:t>
            </w:r>
            <w:r w:rsidR="00F37DFE">
              <w:rPr>
                <w:rFonts w:cs="Arial"/>
              </w:rPr>
              <w:t>September</w:t>
            </w:r>
            <w:r w:rsidR="004049C0">
              <w:rPr>
                <w:rFonts w:cs="Arial"/>
              </w:rPr>
              <w:t xml:space="preserve"> </w:t>
            </w:r>
            <w:r w:rsidR="007C3918" w:rsidRPr="007C3918">
              <w:rPr>
                <w:rFonts w:cs="Arial"/>
              </w:rPr>
              <w:t>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F37DFE">
        <w:rPr>
          <w:rFonts w:cs="Arial"/>
        </w:rPr>
        <w:t>Consultation Paper on the Benchmarks Regulation</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Please note that, in order to facilitate the analysis of the large number of responses expected, you are requested to use this file to send your response to ESMA so as to allow us to process it properly. Ther</w:t>
      </w:r>
      <w:r w:rsidRPr="00176639">
        <w:rPr>
          <w:rFonts w:cs="Arial"/>
        </w:rPr>
        <w:t>e</w:t>
      </w:r>
      <w:r w:rsidRPr="00176639">
        <w:rPr>
          <w:rFonts w:cs="Arial"/>
        </w:rPr>
        <w:t xml:space="preserv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w:t>
      </w:r>
      <w:r w:rsidR="00955F48" w:rsidRPr="00176639">
        <w:rPr>
          <w:rFonts w:cs="Arial"/>
        </w:rPr>
        <w:t>x</w:t>
      </w:r>
      <w:r w:rsidR="00955F48" w:rsidRPr="00176639">
        <w:rPr>
          <w:rFonts w:cs="Arial"/>
        </w:rPr>
        <w:t>cept for annexes);</w:t>
      </w:r>
    </w:p>
    <w:p w:rsidR="00F574D0" w:rsidRPr="00176639" w:rsidRDefault="00D75FEE" w:rsidP="00BF557C">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665C07">
        <w:t>C</w:t>
      </w:r>
      <w:r w:rsidR="00AD0B9C">
        <w:t>P_BMR</w:t>
      </w:r>
      <w:r w:rsidR="00E9344E" w:rsidRPr="00176639">
        <w:rPr>
          <w:rFonts w:cs="Arial"/>
        </w:rPr>
        <w:t>_</w:t>
      </w:r>
      <w:r w:rsidR="00F574D0" w:rsidRPr="00176639">
        <w:rPr>
          <w:rFonts w:cs="Arial"/>
        </w:rPr>
        <w:t>1&gt; - i.e. the response to one question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P_BMR</w:t>
      </w:r>
      <w:r w:rsidR="008701E5" w:rsidRPr="00AD0B9C">
        <w:rPr>
          <w:rFonts w:cs="Arial"/>
        </w:rPr>
        <w:t xml:space="preserve"> </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P_BMR</w:t>
      </w:r>
      <w:r w:rsidR="00AD0B9C" w:rsidRPr="00AD0B9C">
        <w:rPr>
          <w:rFonts w:cs="Arial"/>
        </w:rPr>
        <w:t xml:space="preserve"> </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P_BMR</w:t>
      </w:r>
      <w:r w:rsidR="00AD0B9C" w:rsidRPr="00AD0B9C">
        <w:rPr>
          <w:rFonts w:cs="Arial"/>
        </w:rPr>
        <w:t xml:space="preserve"> </w:t>
      </w:r>
      <w:r w:rsidRPr="00AD0B9C">
        <w:rPr>
          <w:rFonts w:cs="Arial"/>
        </w:rPr>
        <w:t>_XXXX</w:t>
      </w:r>
      <w:r w:rsidR="00021E83" w:rsidRPr="00AD0B9C">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F37DFE" w:rsidRPr="00F37DFE">
        <w:rPr>
          <w:rFonts w:cs="Arial"/>
          <w:b/>
        </w:rPr>
        <w:t>02</w:t>
      </w:r>
      <w:r w:rsidR="00F37DFE">
        <w:rPr>
          <w:rFonts w:cs="Arial"/>
          <w:b/>
        </w:rPr>
        <w:t xml:space="preserve"> Decemb</w:t>
      </w:r>
      <w:r w:rsidR="00F37DFE" w:rsidRPr="00F37DFE">
        <w:rPr>
          <w:rFonts w:cs="Arial"/>
          <w:b/>
        </w:rPr>
        <w:t>er</w:t>
      </w:r>
      <w:r w:rsidRPr="00F37DFE">
        <w:rPr>
          <w:rFonts w:cs="Arial"/>
          <w:b/>
        </w:rPr>
        <w:t xml:space="preserve">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176639" w:rsidRPr="00176639">
        <w:t xml:space="preserve"> </w:t>
      </w:r>
      <w:r w:rsidR="00665C07">
        <w:t>C</w:t>
      </w:r>
      <w:r w:rsidR="00176639">
        <w:t>P_BMR</w:t>
      </w:r>
      <w:r w:rsidR="00D61A37" w:rsidRPr="00176639">
        <w:t>_1</w:t>
      </w:r>
      <w:r w:rsidRPr="00176639">
        <w:t>&gt;</w:t>
      </w:r>
    </w:p>
    <w:p w:rsidR="00514240" w:rsidRPr="00514240" w:rsidRDefault="00514240" w:rsidP="00514240">
      <w:pPr>
        <w:jc w:val="both"/>
        <w:rPr>
          <w:b/>
        </w:rPr>
      </w:pPr>
      <w:permStart w:id="1033204878" w:edGrp="everyone"/>
      <w:r w:rsidRPr="00514240">
        <w:rPr>
          <w:b/>
        </w:rPr>
        <w:t>General comments</w:t>
      </w:r>
    </w:p>
    <w:p w:rsidR="00514240" w:rsidRDefault="00514240" w:rsidP="00514240">
      <w:pPr>
        <w:jc w:val="both"/>
      </w:pPr>
      <w:r>
        <w:t>Euronext operates regulated and transparent equity and derivatives markets. Its total product offering includes Equities, Exchange Traded Funds, Warrants &amp; Certificates, Bonds, Derivatives, Commodities and Indices. Euronext also leverages its expertise in running markets by providing technology and ma</w:t>
      </w:r>
      <w:r>
        <w:t>n</w:t>
      </w:r>
      <w:r>
        <w:t xml:space="preserve">aged services to third parties. Euronext operates regulated markets and </w:t>
      </w:r>
      <w:proofErr w:type="spellStart"/>
      <w:r>
        <w:t>Alternext</w:t>
      </w:r>
      <w:proofErr w:type="spellEnd"/>
      <w:r>
        <w:t xml:space="preserve">; in addition it offers </w:t>
      </w:r>
      <w:proofErr w:type="spellStart"/>
      <w:r>
        <w:t>EnterNext</w:t>
      </w:r>
      <w:proofErr w:type="spellEnd"/>
      <w:r>
        <w:t>, which facilitates SMEs’ access to capital markets.</w:t>
      </w:r>
    </w:p>
    <w:p w:rsidR="007E31DA" w:rsidRDefault="007E31DA" w:rsidP="00514240">
      <w:pPr>
        <w:jc w:val="both"/>
      </w:pPr>
    </w:p>
    <w:p w:rsidR="00514240" w:rsidRDefault="00514240" w:rsidP="00514240">
      <w:pPr>
        <w:jc w:val="both"/>
      </w:pPr>
      <w:r>
        <w:t>Euronext welcomes the opportunity to respond to the Consultation Paper published by ESMA. First, Euronext would like to make a couple of general comments.</w:t>
      </w:r>
    </w:p>
    <w:p w:rsidR="007E31DA" w:rsidRDefault="007E31DA" w:rsidP="00514240">
      <w:pPr>
        <w:jc w:val="both"/>
      </w:pPr>
    </w:p>
    <w:p w:rsidR="00514240" w:rsidRDefault="00514240" w:rsidP="00514240">
      <w:pPr>
        <w:jc w:val="both"/>
      </w:pPr>
      <w:r>
        <w:t xml:space="preserve">While we welcome the finalisation of the Benchmark Regulation (the “BMR”) as it will create more legal certainty as well as a level playing field in terms of application, Euronext has some remaining concerns about some of the definitions in the BMR and their scope. In this regard, we consider it important to point out these concerns as they could stand in the way of legal clarity and certainty. </w:t>
      </w:r>
    </w:p>
    <w:p w:rsidR="00514240" w:rsidRDefault="00514240" w:rsidP="00514240">
      <w:pPr>
        <w:jc w:val="both"/>
      </w:pPr>
    </w:p>
    <w:p w:rsidR="00514240" w:rsidRPr="00514240" w:rsidRDefault="00514240" w:rsidP="00514240">
      <w:pPr>
        <w:jc w:val="both"/>
        <w:rPr>
          <w:b/>
        </w:rPr>
      </w:pPr>
      <w:r w:rsidRPr="00514240">
        <w:rPr>
          <w:b/>
        </w:rPr>
        <w:t>The definition of a ‘single price’ in relation to the exemption from scope</w:t>
      </w:r>
    </w:p>
    <w:p w:rsidR="00514240" w:rsidRDefault="00FB29F2" w:rsidP="00514240">
      <w:pPr>
        <w:jc w:val="both"/>
      </w:pPr>
      <w:r w:rsidRPr="00FB29F2">
        <w:t>Article 2 of the BMR clarifies the scope in the sense that the provision of single reference prices for any financial instrument is exempted from scope. We understand this to refer to the practice of market oper</w:t>
      </w:r>
      <w:r w:rsidRPr="00FB29F2">
        <w:t>a</w:t>
      </w:r>
      <w:r w:rsidRPr="00FB29F2">
        <w:t>tors operating trading venues and – to that effect – operating an order book which publishes many indivi</w:t>
      </w:r>
      <w:r w:rsidRPr="00FB29F2">
        <w:t>d</w:t>
      </w:r>
      <w:r w:rsidRPr="00FB29F2">
        <w:t>ual prices continuously throughout the day, that being one of the core functions of a market operator. We would we</w:t>
      </w:r>
      <w:r w:rsidR="00E52259">
        <w:t xml:space="preserve">lcome clarification </w:t>
      </w:r>
      <w:r w:rsidR="00E52259" w:rsidRPr="007E31DA">
        <w:t xml:space="preserve">from </w:t>
      </w:r>
      <w:r w:rsidR="00E52259" w:rsidRPr="007E31DA">
        <w:rPr>
          <w:highlight w:val="yellow"/>
        </w:rPr>
        <w:t xml:space="preserve">ESMA </w:t>
      </w:r>
      <w:r w:rsidR="009A6C20" w:rsidRPr="007E31DA">
        <w:rPr>
          <w:highlight w:val="yellow"/>
        </w:rPr>
        <w:t>that</w:t>
      </w:r>
      <w:r w:rsidR="00E52259" w:rsidRPr="007E31DA">
        <w:t xml:space="preserve"> this function and</w:t>
      </w:r>
      <w:r w:rsidRPr="007E31DA">
        <w:t xml:space="preserve"> any individual prices Euronext publishes or makes available in the context of its f</w:t>
      </w:r>
      <w:r w:rsidR="00E52259" w:rsidRPr="007E31DA">
        <w:t>unction of a market operator are</w:t>
      </w:r>
      <w:r w:rsidRPr="007E31DA">
        <w:t xml:space="preserve"> not</w:t>
      </w:r>
      <w:r w:rsidRPr="00FB29F2">
        <w:t xml:space="preserve"> in scope of the BMR</w:t>
      </w:r>
      <w:r w:rsidR="007E31DA">
        <w:t>.</w:t>
      </w:r>
      <w:r w:rsidR="00514240">
        <w:t xml:space="preserve"> </w:t>
      </w:r>
    </w:p>
    <w:p w:rsidR="00514240" w:rsidRDefault="00514240" w:rsidP="00514240">
      <w:pPr>
        <w:jc w:val="both"/>
      </w:pPr>
    </w:p>
    <w:p w:rsidR="00514240" w:rsidRPr="00514240" w:rsidRDefault="00514240" w:rsidP="00514240">
      <w:pPr>
        <w:jc w:val="both"/>
        <w:rPr>
          <w:b/>
        </w:rPr>
      </w:pPr>
      <w:r w:rsidRPr="00514240">
        <w:rPr>
          <w:b/>
        </w:rPr>
        <w:t>The definition of ‘regulated-data benchmark’ – data vendors</w:t>
      </w:r>
    </w:p>
    <w:p w:rsidR="00514240" w:rsidRDefault="007E31DA" w:rsidP="00514240">
      <w:pPr>
        <w:jc w:val="both"/>
      </w:pPr>
      <w:r>
        <w:t>The Level 1 text</w:t>
      </w:r>
      <w:r w:rsidR="00514240">
        <w:t xml:space="preserve"> does not specify the treatment of data sourced from third party vendors. There is curren</w:t>
      </w:r>
      <w:r w:rsidR="00514240">
        <w:t>t</w:t>
      </w:r>
      <w:r w:rsidR="00514240">
        <w:t xml:space="preserve">ly legal uncertainty as to how vendors should be considered with regard to the “entirely and directly” provision. Benchmark administrators usually do not take direct feeds from trading venues but use data vendors in order to access regulated data, both from trading venues in the EU as well as outside of the EU. We would </w:t>
      </w:r>
      <w:r w:rsidR="00FB29F2">
        <w:t>welcome clarification fr</w:t>
      </w:r>
      <w:r w:rsidR="009A6C20">
        <w:t>o</w:t>
      </w:r>
      <w:r w:rsidR="00FB29F2">
        <w:t>m ESMA</w:t>
      </w:r>
      <w:r w:rsidR="00514240">
        <w:t xml:space="preserve"> that even if this data is not sourced via a direct link from the trading venue, but via a third party like a data vendor that forwards this data unaltered to other parties, this would still match the intent of the definition.</w:t>
      </w:r>
    </w:p>
    <w:p w:rsidR="009A6C20" w:rsidRDefault="009A6C20" w:rsidP="00514240">
      <w:pPr>
        <w:jc w:val="both"/>
        <w:rPr>
          <w:b/>
        </w:rPr>
      </w:pPr>
    </w:p>
    <w:p w:rsidR="00514240" w:rsidRPr="009A6C20" w:rsidRDefault="00514240" w:rsidP="00514240">
      <w:pPr>
        <w:jc w:val="both"/>
        <w:rPr>
          <w:b/>
        </w:rPr>
      </w:pPr>
      <w:r w:rsidRPr="009A6C20">
        <w:rPr>
          <w:b/>
        </w:rPr>
        <w:t>Input data</w:t>
      </w:r>
    </w:p>
    <w:p w:rsidR="00514240" w:rsidRDefault="00514240" w:rsidP="00514240">
      <w:pPr>
        <w:jc w:val="both"/>
      </w:pPr>
      <w:r>
        <w:t>In terms of the scope of input data we feel further clarification is called for to determine what constitutes ‘input data’. In preparing a benchmark, part of the methodology can include certain elements that could be regarded as input data while it is merely used as a measurement tool or conversion tool (for instance using a currency rate to converse data into the same currency, using certain published rates to leverage the single outcome of the index calculation). In our view that should be regarded as part of the methodol</w:t>
      </w:r>
      <w:r>
        <w:t>o</w:t>
      </w:r>
      <w:r>
        <w:t>gy and not input data. Further clarification to that extent by ESMA would be useful.</w:t>
      </w:r>
    </w:p>
    <w:p w:rsidR="00FB29F2" w:rsidRDefault="00FB29F2" w:rsidP="00514240">
      <w:pPr>
        <w:jc w:val="both"/>
      </w:pPr>
    </w:p>
    <w:p w:rsidR="00514240" w:rsidRPr="00FB29F2" w:rsidRDefault="00514240" w:rsidP="00514240">
      <w:pPr>
        <w:jc w:val="both"/>
        <w:rPr>
          <w:b/>
        </w:rPr>
      </w:pPr>
      <w:r w:rsidRPr="00FB29F2">
        <w:rPr>
          <w:b/>
        </w:rPr>
        <w:t>Transitional provisions</w:t>
      </w:r>
    </w:p>
    <w:p w:rsidR="00D34282" w:rsidRDefault="00FB29F2" w:rsidP="00FB29F2">
      <w:pPr>
        <w:jc w:val="both"/>
      </w:pPr>
      <w:r w:rsidRPr="0013108A">
        <w:t xml:space="preserve">As </w:t>
      </w:r>
      <w:r>
        <w:t>a benchmark administrator</w:t>
      </w:r>
      <w:r w:rsidRPr="0013108A">
        <w:t>, we have a concern regarding the transitional requirements</w:t>
      </w:r>
      <w:r w:rsidR="00FA586D">
        <w:t>. We understand that Article 51(</w:t>
      </w:r>
      <w:r w:rsidRPr="0013108A">
        <w:t>1</w:t>
      </w:r>
      <w:r w:rsidR="00FA586D">
        <w:t>)</w:t>
      </w:r>
      <w:r w:rsidRPr="0013108A">
        <w:t xml:space="preserve"> allows index providers a transitional arrangement in respect of the application process and that this arrangement applies to index providers that provide a benchmark on 30 June 2016. Howe</w:t>
      </w:r>
      <w:r w:rsidRPr="0013108A">
        <w:t>v</w:t>
      </w:r>
      <w:r w:rsidRPr="0013108A">
        <w:t>er</w:t>
      </w:r>
      <w:r>
        <w:t>, it</w:t>
      </w:r>
      <w:r w:rsidRPr="0013108A">
        <w:t xml:space="preserve"> is unclear whether thi</w:t>
      </w:r>
      <w:r>
        <w:t>s transitional arrangement applies</w:t>
      </w:r>
      <w:r w:rsidR="00FA586D">
        <w:t xml:space="preserve"> to all benchmarks</w:t>
      </w:r>
      <w:r w:rsidRPr="0013108A">
        <w:t xml:space="preserve"> we provide, including those created after 30 June 2016. </w:t>
      </w:r>
      <w:r>
        <w:t>In</w:t>
      </w:r>
      <w:r w:rsidRPr="0013108A">
        <w:t xml:space="preserve"> </w:t>
      </w:r>
      <w:r>
        <w:t>noting</w:t>
      </w:r>
      <w:r w:rsidR="00FA586D">
        <w:t xml:space="preserve"> ESMA’s comments</w:t>
      </w:r>
      <w:r w:rsidRPr="0013108A">
        <w:t xml:space="preserve"> in it</w:t>
      </w:r>
      <w:r w:rsidR="003B3CBC">
        <w:t>s Consultation Paper (page 11, P</w:t>
      </w:r>
      <w:r w:rsidRPr="0013108A">
        <w:t>ar</w:t>
      </w:r>
      <w:r w:rsidRPr="0013108A">
        <w:t>a</w:t>
      </w:r>
      <w:r w:rsidRPr="0013108A">
        <w:t xml:space="preserve">graph 214), stating that the application for authorisation or registration would be a one-off process, </w:t>
      </w:r>
      <w:r>
        <w:t>we would like clarification as to whether the</w:t>
      </w:r>
      <w:r w:rsidRPr="0013108A">
        <w:t xml:space="preserve"> transitional </w:t>
      </w:r>
      <w:r w:rsidR="00FA586D">
        <w:t xml:space="preserve">arrangement </w:t>
      </w:r>
      <w:r w:rsidRPr="00FA586D">
        <w:rPr>
          <w:b/>
        </w:rPr>
        <w:t>would apply to all benchmarks the entity in question is providing, regardless of whether they have been created before or after 30 June 2016</w:t>
      </w:r>
      <w:r>
        <w:t>.</w:t>
      </w:r>
      <w:r w:rsidRPr="0013108A">
        <w:t xml:space="preserve">  </w:t>
      </w:r>
      <w:r>
        <w:t>In the event the answer is no, w</w:t>
      </w:r>
      <w:r w:rsidRPr="0013108A">
        <w:t xml:space="preserve">e </w:t>
      </w:r>
      <w:r>
        <w:t>would be</w:t>
      </w:r>
      <w:r w:rsidRPr="0013108A">
        <w:t xml:space="preserve"> concerned that many benchmark administrators</w:t>
      </w:r>
      <w:r>
        <w:t xml:space="preserve"> would</w:t>
      </w:r>
      <w:r w:rsidRPr="0013108A">
        <w:t xml:space="preserve"> need to apply for registration or authorisation within 30 days following application of BMR </w:t>
      </w:r>
      <w:r>
        <w:t xml:space="preserve">- </w:t>
      </w:r>
      <w:r w:rsidRPr="0013108A">
        <w:t>despi</w:t>
      </w:r>
      <w:r w:rsidR="00E52259">
        <w:t xml:space="preserve">te having provided benchmarks </w:t>
      </w:r>
      <w:r w:rsidR="00E52259" w:rsidRPr="00FA586D">
        <w:t>before</w:t>
      </w:r>
      <w:r w:rsidRPr="0013108A">
        <w:t xml:space="preserve"> 30 June 2016. This would render the transitional requirement</w:t>
      </w:r>
      <w:r w:rsidR="00FA586D">
        <w:t>s much less useful to the</w:t>
      </w:r>
      <w:r w:rsidRPr="0013108A">
        <w:t xml:space="preserve"> industry</w:t>
      </w:r>
      <w:r>
        <w:t>.</w:t>
      </w:r>
    </w:p>
    <w:permEnd w:id="1033204878"/>
    <w:p w:rsidR="00D34282" w:rsidRPr="00BF28DA" w:rsidRDefault="00D34282" w:rsidP="00D34282">
      <w:r w:rsidRPr="00BF28DA">
        <w:lastRenderedPageBreak/>
        <w:t>&lt;</w:t>
      </w:r>
      <w:r w:rsidR="00D61A37" w:rsidRPr="00BF28DA">
        <w:t>ESMA_COMMENT_</w:t>
      </w:r>
      <w:r w:rsidR="00176639" w:rsidRPr="00176639">
        <w:t xml:space="preserve"> </w:t>
      </w:r>
      <w:r w:rsidR="00665C07">
        <w:t>C</w:t>
      </w:r>
      <w:r w:rsidR="00176639">
        <w:t>P_BMR</w:t>
      </w:r>
      <w:r w:rsidR="00D61A37" w:rsidRPr="00BF28DA">
        <w:t>_1</w:t>
      </w:r>
      <w:r w:rsidRPr="00BF28DA">
        <w:t>&gt;</w:t>
      </w:r>
    </w:p>
    <w:p w:rsidR="00F31E57" w:rsidRPr="00BF28DA" w:rsidRDefault="00F31E57" w:rsidP="00D34282"/>
    <w:p w:rsidR="008701E5" w:rsidRDefault="00F31E57" w:rsidP="002342EC">
      <w:pPr>
        <w:pStyle w:val="Questionstyle"/>
        <w:numPr>
          <w:ilvl w:val="0"/>
          <w:numId w:val="38"/>
        </w:numPr>
      </w:pPr>
      <w:r w:rsidRPr="0075015C">
        <w:br w:type="page"/>
      </w:r>
    </w:p>
    <w:p w:rsidR="009A2624" w:rsidRPr="007F44BF" w:rsidRDefault="00C96E35" w:rsidP="00C96E35">
      <w:pPr>
        <w:pStyle w:val="Questionstyle"/>
      </w:pPr>
      <w:r w:rsidRPr="00C96E35">
        <w:lastRenderedPageBreak/>
        <w:t>Do you consider the non-exhaustive list of governance arrangements to be sufficiently flexible? Are there any other structures which you would like to see included?</w:t>
      </w:r>
    </w:p>
    <w:p w:rsidR="009A2624" w:rsidRDefault="00665C07" w:rsidP="009A2624">
      <w:r>
        <w:t>&lt;ESMA_QUESTION_C</w:t>
      </w:r>
      <w:r w:rsidR="009A2624">
        <w:t>P_BMR_1&gt;</w:t>
      </w:r>
    </w:p>
    <w:p w:rsidR="0039254B" w:rsidRDefault="00FB29F2" w:rsidP="00514240">
      <w:pPr>
        <w:jc w:val="both"/>
      </w:pPr>
      <w:permStart w:id="1459761487" w:edGrp="everyone"/>
      <w:r w:rsidRPr="00FB29F2">
        <w:t>In principle, we support ESMA’s proposal for the oversight function to take the form of a separate commi</w:t>
      </w:r>
      <w:r w:rsidRPr="00FB29F2">
        <w:t>t</w:t>
      </w:r>
      <w:r w:rsidRPr="00FB29F2">
        <w:t>tee within the organisational s</w:t>
      </w:r>
      <w:r>
        <w:t xml:space="preserve">tructure of the administrator. </w:t>
      </w:r>
      <w:r w:rsidR="006E0D95">
        <w:t>In reference to the draft RTS, Article 1(5) which proposes that administrators of regulated-data benchmarks consider including representatives from ent</w:t>
      </w:r>
      <w:r w:rsidR="006E0D95">
        <w:t>i</w:t>
      </w:r>
      <w:r w:rsidR="006E0D95">
        <w:t>ties listed in point (a) of Article 3(1)(24) of the BMR, we</w:t>
      </w:r>
      <w:r w:rsidRPr="00FB29F2">
        <w:t xml:space="preserve"> support this being </w:t>
      </w:r>
      <w:r w:rsidRPr="006E0D95">
        <w:rPr>
          <w:b/>
        </w:rPr>
        <w:t>optional and not mandatory</w:t>
      </w:r>
      <w:r w:rsidRPr="00FB29F2">
        <w:t>, as inclusion of external representatives could create conflicts of interest within benchmark administrators. For instance, parties could gain access to price sensitive information (such as planned index changes) before other market participants. The BMR Level 1 text does not require external parties to be included in the oversight structures and therefore requiring this in Level 2 would potentially go against the Level 1 text. Where a regulated market is also a benchmark administrator that uses regu</w:t>
      </w:r>
      <w:r w:rsidR="00BF04EF">
        <w:t>lated data f</w:t>
      </w:r>
      <w:r w:rsidRPr="00FB29F2">
        <w:t>r</w:t>
      </w:r>
      <w:r w:rsidR="00BF04EF">
        <w:t>o</w:t>
      </w:r>
      <w:r w:rsidRPr="00FB29F2">
        <w:t xml:space="preserve">m another regulated market, compliance with this provision could create a conflict of interest. We would welcome a clarification from ESMA that the proposals can be understood as guidance to “consider”; we would not support any explicit obligation </w:t>
      </w:r>
      <w:r w:rsidR="00E52259" w:rsidRPr="00E52259">
        <w:rPr>
          <w:u w:val="single"/>
        </w:rPr>
        <w:t>to</w:t>
      </w:r>
      <w:r w:rsidR="00E52259">
        <w:t xml:space="preserve"> </w:t>
      </w:r>
      <w:r w:rsidRPr="00FB29F2">
        <w:t>have representation of competing venues on the oversight committee.</w:t>
      </w:r>
    </w:p>
    <w:permEnd w:id="1459761487"/>
    <w:p w:rsidR="009A2624" w:rsidRDefault="00665C07" w:rsidP="009A2624">
      <w:r>
        <w:t>&lt;ESMA_QUESTION_C</w:t>
      </w:r>
      <w:r w:rsidR="009A2624">
        <w:t>P_BMR_1&gt;</w:t>
      </w:r>
    </w:p>
    <w:p w:rsidR="009A2624" w:rsidRDefault="009A2624" w:rsidP="009A2624"/>
    <w:p w:rsidR="009A2624" w:rsidRPr="007F44BF" w:rsidRDefault="00C96E35" w:rsidP="00C96E35">
      <w:pPr>
        <w:pStyle w:val="Questionstyle"/>
      </w:pPr>
      <w:r w:rsidRPr="00C96E35">
        <w:rPr>
          <w:lang w:val="en-US"/>
        </w:rPr>
        <w:t>Do you support the option for the oversight function to be a natural person who is not othe</w:t>
      </w:r>
      <w:r w:rsidRPr="00C96E35">
        <w:rPr>
          <w:lang w:val="en-US"/>
        </w:rPr>
        <w:t>r</w:t>
      </w:r>
      <w:r w:rsidRPr="00C96E35">
        <w:rPr>
          <w:lang w:val="en-US"/>
        </w:rPr>
        <w:t>wise employed by the administrator?</w:t>
      </w:r>
    </w:p>
    <w:p w:rsidR="009A2624" w:rsidRDefault="00665C07" w:rsidP="009A2624">
      <w:r>
        <w:t>&lt;ESMA_QUESTION_C</w:t>
      </w:r>
      <w:r w:rsidR="009A2624">
        <w:t>P_BMR_2&gt;</w:t>
      </w:r>
    </w:p>
    <w:p w:rsidR="009A2624" w:rsidRDefault="009A2624" w:rsidP="009A2624">
      <w:permStart w:id="1474174305" w:edGrp="everyone"/>
      <w:r>
        <w:t>TYPE YOUR TEXT HERE</w:t>
      </w:r>
    </w:p>
    <w:permEnd w:id="1474174305"/>
    <w:p w:rsidR="009A2624" w:rsidRDefault="00665C07" w:rsidP="009A2624">
      <w:r>
        <w:t>&lt;ESMA_QUESTION_C</w:t>
      </w:r>
      <w:r w:rsidR="009A2624">
        <w:t>P_BMR_2&gt;</w:t>
      </w:r>
    </w:p>
    <w:p w:rsidR="009A2624" w:rsidRDefault="009A2624" w:rsidP="009A2624"/>
    <w:p w:rsidR="009A2624" w:rsidRDefault="00C96E35" w:rsidP="00C96E35">
      <w:pPr>
        <w:pStyle w:val="Questionstyle"/>
        <w:rPr>
          <w:rFonts w:cstheme="minorHAnsi"/>
        </w:rPr>
      </w:pPr>
      <w:r w:rsidRPr="00C96E35">
        <w:t>Do you support the concept of observers and their inclusion in the oversight function?</w:t>
      </w:r>
    </w:p>
    <w:p w:rsidR="009A2624" w:rsidRDefault="00665C07" w:rsidP="009A2624">
      <w:r>
        <w:t>&lt;ESMA_QUESTION_C</w:t>
      </w:r>
      <w:r w:rsidR="009A2624">
        <w:t>P_BMR_3&gt;</w:t>
      </w:r>
    </w:p>
    <w:p w:rsidR="009A2624" w:rsidRDefault="009A2624" w:rsidP="009A2624">
      <w:permStart w:id="1239686644" w:edGrp="everyone"/>
      <w:r>
        <w:t>TYPE YOUR TEXT HERE</w:t>
      </w:r>
    </w:p>
    <w:permEnd w:id="1239686644"/>
    <w:p w:rsidR="009A2624" w:rsidRDefault="00665C07" w:rsidP="009A2624">
      <w:r>
        <w:t>&lt;ESMA_QUESTION_C</w:t>
      </w:r>
      <w:r w:rsidR="009A2624">
        <w:t>P_BMR_3&gt;</w:t>
      </w:r>
    </w:p>
    <w:p w:rsidR="009A2624" w:rsidRDefault="009A2624" w:rsidP="009A2624"/>
    <w:p w:rsidR="009A2624" w:rsidRPr="00B37C5D" w:rsidRDefault="00C96E35" w:rsidP="00C96E35">
      <w:pPr>
        <w:pStyle w:val="Questionstyle"/>
      </w:pPr>
      <w:r w:rsidRPr="00C96E35">
        <w:rPr>
          <w:rFonts w:cstheme="minorHAnsi"/>
          <w:szCs w:val="22"/>
          <w:lang w:val="en-US"/>
        </w:rPr>
        <w:t>Do you think that the draft RTS allows for sufficient proportionality in the application of the requirements? If no, please explain why and provide proposals for introducing greater proportionality.</w:t>
      </w:r>
    </w:p>
    <w:p w:rsidR="009A2624" w:rsidRDefault="00665C07" w:rsidP="009A2624">
      <w:r>
        <w:t>&lt;ESMA_QUESTION_C</w:t>
      </w:r>
      <w:r w:rsidR="009A2624">
        <w:t>P_BMR_4&gt;</w:t>
      </w:r>
    </w:p>
    <w:p w:rsidR="009A2624" w:rsidRDefault="00514240" w:rsidP="009A2624">
      <w:permStart w:id="252642914" w:edGrp="everyone"/>
      <w:r w:rsidRPr="00514240">
        <w:t>We support ESMA’s decision not to require the administrator to publish the names of the members of the oversight committee.</w:t>
      </w:r>
    </w:p>
    <w:permEnd w:id="252642914"/>
    <w:p w:rsidR="009A2624" w:rsidRDefault="00665C07" w:rsidP="009A2624">
      <w:r>
        <w:t>&lt;ESMA_QUESTION_C</w:t>
      </w:r>
      <w:r w:rsidR="009A2624">
        <w:t>P_BMR_4&gt;</w:t>
      </w:r>
    </w:p>
    <w:p w:rsidR="009A2624" w:rsidRDefault="009A2624" w:rsidP="009A2624"/>
    <w:p w:rsidR="009A2624" w:rsidRDefault="00C96E35" w:rsidP="00C96E35">
      <w:pPr>
        <w:pStyle w:val="Questionstyle"/>
      </w:pPr>
      <w:r w:rsidRPr="00C96E35">
        <w:rPr>
          <w:rFonts w:cs="Arial"/>
          <w:lang w:val="en-US"/>
        </w:rPr>
        <w:t>Do you have any other comments on the oversight function (composition, positioning and procedures) as set out in the draft RTS?</w:t>
      </w:r>
    </w:p>
    <w:p w:rsidR="009A2624" w:rsidRDefault="00665C07" w:rsidP="009A2624">
      <w:r>
        <w:t>&lt;ESMA_QUESTION_C</w:t>
      </w:r>
      <w:r w:rsidR="009A2624">
        <w:t>P_BMR_5&gt;</w:t>
      </w:r>
    </w:p>
    <w:p w:rsidR="009A2624" w:rsidRDefault="009A2624" w:rsidP="009A2624">
      <w:permStart w:id="1566201800" w:edGrp="everyone"/>
      <w:r>
        <w:t>TYPE YOUR TEXT HERE</w:t>
      </w:r>
    </w:p>
    <w:permEnd w:id="1566201800"/>
    <w:p w:rsidR="009A2624" w:rsidRDefault="00665C07" w:rsidP="009A2624">
      <w:r>
        <w:t>&lt;ESMA_QUESTION_C</w:t>
      </w:r>
      <w:r w:rsidR="009A2624">
        <w:t>P_BMR_5&gt;</w:t>
      </w:r>
    </w:p>
    <w:p w:rsidR="009A2624" w:rsidRDefault="009A2624" w:rsidP="009A2624"/>
    <w:p w:rsidR="009A2624" w:rsidRPr="007F44BF" w:rsidRDefault="00C96E35" w:rsidP="00C96E35">
      <w:pPr>
        <w:pStyle w:val="Questionstyle"/>
      </w:pPr>
      <w:r w:rsidRPr="00C96E35">
        <w:rPr>
          <w:rFonts w:cs="Arial"/>
          <w:lang w:val="en-US"/>
        </w:rPr>
        <w:t>Do you agree with the appropriateness and verifiability of input data that the administrator must ensure are in place? Please elaborate.</w:t>
      </w:r>
    </w:p>
    <w:p w:rsidR="009A2624" w:rsidRDefault="00665C07" w:rsidP="009A2624">
      <w:r>
        <w:t>&lt;ESMA_QUESTION_C</w:t>
      </w:r>
      <w:r w:rsidR="009A2624">
        <w:t>P_BMR_6&gt;</w:t>
      </w:r>
    </w:p>
    <w:p w:rsidR="00514240" w:rsidRDefault="00514240" w:rsidP="00514240">
      <w:pPr>
        <w:jc w:val="both"/>
      </w:pPr>
      <w:permStart w:id="24252049" w:edGrp="everyone"/>
      <w:r>
        <w:t xml:space="preserve">We agree with ESMA’s proposal, including the </w:t>
      </w:r>
      <w:r w:rsidRPr="007D401A">
        <w:rPr>
          <w:b/>
        </w:rPr>
        <w:t>simplified provisions regarding record keeping oblig</w:t>
      </w:r>
      <w:r w:rsidRPr="007D401A">
        <w:rPr>
          <w:b/>
        </w:rPr>
        <w:t>a</w:t>
      </w:r>
      <w:r w:rsidRPr="007D401A">
        <w:rPr>
          <w:b/>
        </w:rPr>
        <w:t>tions and the e</w:t>
      </w:r>
      <w:r w:rsidR="00BF04EF">
        <w:rPr>
          <w:b/>
        </w:rPr>
        <w:t>xemption provided for regulated-</w:t>
      </w:r>
      <w:r w:rsidRPr="007D401A">
        <w:rPr>
          <w:b/>
        </w:rPr>
        <w:t>data benchmarks</w:t>
      </w:r>
      <w:r>
        <w:t xml:space="preserve">. </w:t>
      </w:r>
    </w:p>
    <w:p w:rsidR="007D401A" w:rsidRDefault="007D401A" w:rsidP="00514240">
      <w:pPr>
        <w:jc w:val="both"/>
      </w:pPr>
    </w:p>
    <w:p w:rsidR="00514240" w:rsidRDefault="00BF04EF" w:rsidP="00514240">
      <w:pPr>
        <w:jc w:val="both"/>
      </w:pPr>
      <w:r>
        <w:lastRenderedPageBreak/>
        <w:t>We also agree with R</w:t>
      </w:r>
      <w:r w:rsidR="00514240">
        <w:t>ecital (4)</w:t>
      </w:r>
      <w:r w:rsidR="003B3CBC">
        <w:t xml:space="preserve"> of the draft RTS</w:t>
      </w:r>
      <w:r w:rsidR="00514240">
        <w:t xml:space="preserve"> </w:t>
      </w:r>
      <w:r w:rsidR="00514240" w:rsidRPr="007D401A">
        <w:rPr>
          <w:b/>
        </w:rPr>
        <w:t>assuming a high degree of verifiability for input data that is regulated data</w:t>
      </w:r>
      <w:r w:rsidR="00514240">
        <w:t>.</w:t>
      </w:r>
    </w:p>
    <w:p w:rsidR="00514240" w:rsidRDefault="00514240" w:rsidP="00514240">
      <w:pPr>
        <w:jc w:val="both"/>
      </w:pPr>
      <w:r>
        <w:t>We do question the applicability o</w:t>
      </w:r>
      <w:r w:rsidR="00BF04EF">
        <w:t>f the requirements in draft RTS Article 3(1) for regulated-</w:t>
      </w:r>
      <w:r>
        <w:t>data benc</w:t>
      </w:r>
      <w:r>
        <w:t>h</w:t>
      </w:r>
      <w:r>
        <w:t>marks, given the real-time nature of the data. These requiremen</w:t>
      </w:r>
      <w:r w:rsidR="00E52259">
        <w:t xml:space="preserve">ts do not appear well suited </w:t>
      </w:r>
      <w:r w:rsidR="00E52259" w:rsidRPr="00BF04EF">
        <w:t>to</w:t>
      </w:r>
      <w:r w:rsidRPr="00BF04EF">
        <w:t xml:space="preserve"> </w:t>
      </w:r>
      <w:r>
        <w:t xml:space="preserve">regulated data. Considering that regulated data is already subject to extensive requirements </w:t>
      </w:r>
      <w:r w:rsidR="00E52259" w:rsidRPr="00BF04EF">
        <w:t>in order to uphold</w:t>
      </w:r>
      <w:r w:rsidRPr="00BF04EF">
        <w:t xml:space="preserve"> market integrity, including the Market Abuse Regulation and MiFID II / MiFIR, further </w:t>
      </w:r>
      <w:r>
        <w:t>checks of the input data would appear unnecessary.</w:t>
      </w:r>
    </w:p>
    <w:p w:rsidR="007D401A" w:rsidRDefault="007D401A" w:rsidP="00514240">
      <w:pPr>
        <w:jc w:val="both"/>
      </w:pPr>
    </w:p>
    <w:p w:rsidR="009A2624" w:rsidRDefault="00514240" w:rsidP="00514240">
      <w:pPr>
        <w:jc w:val="both"/>
      </w:pPr>
      <w:r>
        <w:t xml:space="preserve">In terms of the </w:t>
      </w:r>
      <w:r w:rsidRPr="007D401A">
        <w:rPr>
          <w:b/>
        </w:rPr>
        <w:t>scope of input data</w:t>
      </w:r>
      <w:r>
        <w:t xml:space="preserve"> we feel further clarification is called for to determine what constitutes ‘input data’. In preparing a benchmark, part of the methodology can include certain elements that could be re</w:t>
      </w:r>
      <w:r w:rsidR="00E52259">
        <w:t xml:space="preserve">garded as input data </w:t>
      </w:r>
      <w:r w:rsidR="00E52259" w:rsidRPr="00BF04EF">
        <w:t>even though they are</w:t>
      </w:r>
      <w:r w:rsidRPr="00BF04EF">
        <w:t xml:space="preserve"> m</w:t>
      </w:r>
      <w:r w:rsidR="00E52259" w:rsidRPr="00BF04EF">
        <w:t>erely used as a measurement</w:t>
      </w:r>
      <w:r w:rsidRPr="00BF04EF">
        <w:t xml:space="preserve"> or conversion tool (for i</w:t>
      </w:r>
      <w:r w:rsidRPr="00BF04EF">
        <w:t>n</w:t>
      </w:r>
      <w:r w:rsidRPr="00BF04EF">
        <w:t>stance using a cur</w:t>
      </w:r>
      <w:r w:rsidR="003A4966" w:rsidRPr="00BF04EF">
        <w:t>rency rate to convert data into the same currency or</w:t>
      </w:r>
      <w:r w:rsidRPr="00BF04EF">
        <w:t xml:space="preserve"> certain published rates to leverage the single outcome of th</w:t>
      </w:r>
      <w:r>
        <w:t>e index calculation). In our view that should be regarded as part of the methodol</w:t>
      </w:r>
      <w:r>
        <w:t>o</w:t>
      </w:r>
      <w:r>
        <w:t>gy and not input data. Further clarification to that extent by ESMA would be useful.</w:t>
      </w:r>
    </w:p>
    <w:permEnd w:id="24252049"/>
    <w:p w:rsidR="009A2624" w:rsidRDefault="00665C07" w:rsidP="009A2624">
      <w:r>
        <w:t>&lt;ESMA_QUESTION_C</w:t>
      </w:r>
      <w:r w:rsidR="009A2624">
        <w:t>P_BMR_6&gt;</w:t>
      </w:r>
    </w:p>
    <w:p w:rsidR="009A2624" w:rsidRDefault="009A2624" w:rsidP="009A2624"/>
    <w:p w:rsidR="009A2624" w:rsidRPr="007F44BF" w:rsidRDefault="00C96E35" w:rsidP="00C96E35">
      <w:pPr>
        <w:pStyle w:val="Questionstyle"/>
      </w:pPr>
      <w:r w:rsidRPr="00C96E35">
        <w:rPr>
          <w:rFonts w:cs="Arial"/>
          <w:lang w:val="en-US"/>
        </w:rPr>
        <w:t>Do you agree with the internal oversight and verification procedures that the administrator must ensure are in place where contributions are made from a front-office function in a contributor organisation? Please elaborate.</w:t>
      </w:r>
    </w:p>
    <w:p w:rsidR="009A2624" w:rsidRDefault="00665C07" w:rsidP="009A2624">
      <w:r>
        <w:t>&lt;ESMA_QUESTION_C</w:t>
      </w:r>
      <w:r w:rsidR="009A2624">
        <w:t>P_BMR_7&gt;</w:t>
      </w:r>
    </w:p>
    <w:p w:rsidR="009A2624" w:rsidRDefault="009A2624" w:rsidP="009A2624">
      <w:permStart w:id="1299722831" w:edGrp="everyone"/>
      <w:r>
        <w:t>TYPE YOUR TEXT HERE</w:t>
      </w:r>
    </w:p>
    <w:permEnd w:id="1299722831"/>
    <w:p w:rsidR="009A2624" w:rsidRDefault="00665C07" w:rsidP="009A2624">
      <w:r>
        <w:t>&lt;ESMA_QUESTION_C</w:t>
      </w:r>
      <w:r w:rsidR="009A2624">
        <w:t>P_BMR_7&gt;</w:t>
      </w:r>
    </w:p>
    <w:p w:rsidR="009A2624" w:rsidRDefault="009A2624" w:rsidP="009A2624"/>
    <w:p w:rsidR="009A2624" w:rsidRPr="007F44BF" w:rsidRDefault="00863E1F" w:rsidP="00863E1F">
      <w:pPr>
        <w:pStyle w:val="Questionstyle"/>
      </w:pPr>
      <w:r w:rsidRPr="00863E1F">
        <w:rPr>
          <w:rFonts w:cs="Arial"/>
          <w:lang w:val="en-US"/>
        </w:rPr>
        <w:t>Do you agree with the list of key elements proposed? Do you consider that there are any other means that could be taken into consideration to ensure that the benchmark’s methodology is trace</w:t>
      </w:r>
      <w:r w:rsidRPr="00863E1F">
        <w:rPr>
          <w:rFonts w:cs="Arial"/>
          <w:lang w:val="en-US"/>
        </w:rPr>
        <w:t>a</w:t>
      </w:r>
      <w:r w:rsidRPr="00863E1F">
        <w:rPr>
          <w:rFonts w:cs="Arial"/>
          <w:lang w:val="en-US"/>
        </w:rPr>
        <w:t>ble and verifiable?</w:t>
      </w:r>
      <w:r w:rsidR="009A2624" w:rsidRPr="007F44BF">
        <w:t xml:space="preserve"> </w:t>
      </w:r>
    </w:p>
    <w:p w:rsidR="009A2624" w:rsidRDefault="00665C07" w:rsidP="009A2624">
      <w:r>
        <w:t>&lt;ESMA_QUESTION_C</w:t>
      </w:r>
      <w:r w:rsidR="009A2624">
        <w:t>P_BMR_8&gt;</w:t>
      </w:r>
    </w:p>
    <w:p w:rsidR="009A2624" w:rsidRDefault="009A2624" w:rsidP="009A2624">
      <w:permStart w:id="383397344" w:edGrp="everyone"/>
      <w:r>
        <w:t>TYPE YOUR TEXT HERE</w:t>
      </w:r>
    </w:p>
    <w:permEnd w:id="383397344"/>
    <w:p w:rsidR="009A2624" w:rsidRDefault="00665C07" w:rsidP="009A2624">
      <w:r>
        <w:t>&lt;ESMA_QUESTION_C</w:t>
      </w:r>
      <w:r w:rsidR="009A2624">
        <w:t>P_BMR_8&gt;</w:t>
      </w:r>
    </w:p>
    <w:p w:rsidR="009A2624" w:rsidRDefault="009A2624" w:rsidP="009A2624"/>
    <w:p w:rsidR="009A2624" w:rsidRPr="007F44BF" w:rsidRDefault="00863E1F" w:rsidP="00863E1F">
      <w:pPr>
        <w:pStyle w:val="Questionstyle"/>
      </w:pPr>
      <w:r w:rsidRPr="00863E1F">
        <w:rPr>
          <w:rFonts w:cs="Arial"/>
          <w:lang w:val="en-US"/>
        </w:rPr>
        <w:t>Do you agree with the elements of the internal review of methodology to be disclosed? Do you consider that there are other elements of information regarding the procedure for internal review of methodology that should be included?</w:t>
      </w:r>
    </w:p>
    <w:p w:rsidR="009A2624" w:rsidRDefault="00665C07" w:rsidP="009A2624">
      <w:r>
        <w:t>&lt;ESMA_QUESTION_C</w:t>
      </w:r>
      <w:r w:rsidR="009A2624">
        <w:t>P_BMR_9&gt;</w:t>
      </w:r>
    </w:p>
    <w:p w:rsidR="009A2624" w:rsidRDefault="003B3CBC" w:rsidP="007D401A">
      <w:pPr>
        <w:jc w:val="both"/>
      </w:pPr>
      <w:permStart w:id="572412957" w:edGrp="everyone"/>
      <w:r>
        <w:t xml:space="preserve">Draft </w:t>
      </w:r>
      <w:r w:rsidR="009A6C20">
        <w:t>RTS A</w:t>
      </w:r>
      <w:r w:rsidR="007D401A" w:rsidRPr="007D401A">
        <w:t xml:space="preserve">rticle 1(1)(9) requires the administrator to disclose </w:t>
      </w:r>
      <w:r w:rsidR="0040231B">
        <w:t xml:space="preserve">a description of </w:t>
      </w:r>
      <w:r w:rsidR="007D401A" w:rsidRPr="007D401A">
        <w:t xml:space="preserve">the constituents of the benchmark. We question the scope of this requirement: how detailed should such a description be? Many benchmarks based on regulated data will have constituents that differ on a regular basis, depending on a number of selection criteria, such as liquidity of the underlying shares. It would be impractical to require the administrator to name the constituents in detail </w:t>
      </w:r>
      <w:r w:rsidR="003A4966">
        <w:t xml:space="preserve">as that would lead to </w:t>
      </w:r>
      <w:r w:rsidR="003A4966" w:rsidRPr="0040231B">
        <w:t xml:space="preserve">constant </w:t>
      </w:r>
      <w:r w:rsidR="007D401A" w:rsidRPr="0040231B">
        <w:t>changes to the discl</w:t>
      </w:r>
      <w:r w:rsidR="007D401A" w:rsidRPr="0040231B">
        <w:t>o</w:t>
      </w:r>
      <w:r w:rsidR="007D401A" w:rsidRPr="0040231B">
        <w:t>sure document. As an alternative, we would suggest a requirement to pub</w:t>
      </w:r>
      <w:r w:rsidR="007D401A" w:rsidRPr="007D401A">
        <w:t>lish the criteria based on which the constituents are included, with the regular addition of a press release naming the actual constituents for the coming period.</w:t>
      </w:r>
    </w:p>
    <w:permEnd w:id="572412957"/>
    <w:p w:rsidR="009A2624" w:rsidRDefault="00665C07" w:rsidP="009A2624">
      <w:r>
        <w:t>&lt;ESMA_QUESTION_C</w:t>
      </w:r>
      <w:r w:rsidR="009A2624">
        <w:t>P_BMR_9&gt;</w:t>
      </w:r>
    </w:p>
    <w:p w:rsidR="009A2624" w:rsidRDefault="009A2624" w:rsidP="009A2624"/>
    <w:p w:rsidR="009A2624" w:rsidRPr="007F44BF" w:rsidRDefault="00863E1F" w:rsidP="00863E1F">
      <w:pPr>
        <w:pStyle w:val="Questionstyle"/>
      </w:pPr>
      <w:r w:rsidRPr="00863E1F">
        <w:rPr>
          <w:rFonts w:cs="Arial"/>
        </w:rPr>
        <w:t>Do you agree with the procedure for consultation on material changes to the methodology?</w:t>
      </w:r>
      <w:r w:rsidR="009A2624" w:rsidRPr="007F44BF">
        <w:t xml:space="preserve"> </w:t>
      </w:r>
    </w:p>
    <w:p w:rsidR="009A2624" w:rsidRDefault="00665C07" w:rsidP="009A2624">
      <w:r>
        <w:t>&lt;ESMA_QUESTION_C</w:t>
      </w:r>
      <w:r w:rsidR="009A2624">
        <w:t>P_BMR_10&gt;</w:t>
      </w:r>
    </w:p>
    <w:p w:rsidR="0039254B" w:rsidRDefault="003B3CBC" w:rsidP="0039254B">
      <w:pPr>
        <w:jc w:val="both"/>
      </w:pPr>
      <w:permStart w:id="1118899979" w:edGrp="everyone"/>
      <w:r>
        <w:t>We do not fully agree with ESMA’s conclusion in Paragraph 98 that there is no room to exempt admini</w:t>
      </w:r>
      <w:r>
        <w:t>s</w:t>
      </w:r>
      <w:r>
        <w:t xml:space="preserve">trators from consulting on changes to the methodology in exceptional circumstances. In order to carry on providing a reliable and representable benchmark, </w:t>
      </w:r>
      <w:r w:rsidR="0039254B">
        <w:t>It  will be essential to have the possibility for emerge</w:t>
      </w:r>
      <w:r w:rsidR="0039254B">
        <w:t>n</w:t>
      </w:r>
      <w:r w:rsidR="0039254B">
        <w:t xml:space="preserve">cy adaptions </w:t>
      </w:r>
      <w:r w:rsidR="0039254B" w:rsidRPr="003B3CBC">
        <w:rPr>
          <w:b/>
        </w:rPr>
        <w:t>without a lengthy consultation period</w:t>
      </w:r>
      <w:r w:rsidR="0039254B">
        <w:t>. Of course, an exemption should remain an exce</w:t>
      </w:r>
      <w:r w:rsidR="0039254B">
        <w:t>p</w:t>
      </w:r>
      <w:r w:rsidR="0039254B">
        <w:lastRenderedPageBreak/>
        <w:t>tion and not become a rule. If applied sensi</w:t>
      </w:r>
      <w:r w:rsidR="00FE6788">
        <w:t>bly, such an approach would be</w:t>
      </w:r>
      <w:r w:rsidR="0039254B">
        <w:t xml:space="preserve"> a useful and indispensable instrument to safeguard the end user. For instance, in case an error in the methodology is detected and subsequently corrected or in case of unexpected events not considered in the </w:t>
      </w:r>
      <w:r w:rsidR="0039254B" w:rsidRPr="00FE6788">
        <w:t>methodology</w:t>
      </w:r>
      <w:r w:rsidR="003A4966" w:rsidRPr="00FE6788">
        <w:t>,</w:t>
      </w:r>
      <w:r w:rsidR="003A4966">
        <w:t xml:space="preserve"> a swift i</w:t>
      </w:r>
      <w:r w:rsidR="003A4966">
        <w:t>m</w:t>
      </w:r>
      <w:r w:rsidR="003A4966">
        <w:t>plementation of</w:t>
      </w:r>
      <w:r w:rsidR="0039254B">
        <w:t xml:space="preserve"> amendment</w:t>
      </w:r>
      <w:r w:rsidR="003A4966">
        <w:t>s</w:t>
      </w:r>
      <w:r w:rsidR="0039254B">
        <w:t xml:space="preserve"> is of utmost importance and may prevent the end user from being negatively affected for a longer period, while waiting for consul</w:t>
      </w:r>
      <w:r w:rsidR="00FE6788">
        <w:t>tation feedback</w:t>
      </w:r>
      <w:r w:rsidR="0039254B">
        <w:t xml:space="preserve">. </w:t>
      </w:r>
    </w:p>
    <w:p w:rsidR="0039254B" w:rsidRDefault="0039254B" w:rsidP="0039254B">
      <w:pPr>
        <w:jc w:val="both"/>
      </w:pPr>
    </w:p>
    <w:p w:rsidR="0039254B" w:rsidRDefault="0039254B" w:rsidP="0039254B">
      <w:pPr>
        <w:jc w:val="both"/>
      </w:pPr>
      <w:r>
        <w:t xml:space="preserve">It is our understanding the Benchmark Regulation takes such cases into account in Article 27(1)(c) which states </w:t>
      </w:r>
    </w:p>
    <w:p w:rsidR="0039254B" w:rsidRDefault="0039254B" w:rsidP="0039254B">
      <w:pPr>
        <w:ind w:left="709"/>
        <w:jc w:val="both"/>
      </w:pPr>
      <w:r w:rsidRPr="0039254B">
        <w:rPr>
          <w:i/>
        </w:rPr>
        <w:t>“provide notice of the possibility (in the Benchmark statement) that factors, including external fa</w:t>
      </w:r>
      <w:r w:rsidRPr="0039254B">
        <w:rPr>
          <w:i/>
        </w:rPr>
        <w:t>c</w:t>
      </w:r>
      <w:r w:rsidRPr="0039254B">
        <w:rPr>
          <w:i/>
        </w:rPr>
        <w:t>tors beyond the control of the administrator, may necessitate changes to, or the cessation of, the benchmark.”</w:t>
      </w:r>
      <w:r>
        <w:t xml:space="preserve">  </w:t>
      </w:r>
    </w:p>
    <w:p w:rsidR="0039254B" w:rsidRDefault="0039254B" w:rsidP="0039254B">
      <w:pPr>
        <w:jc w:val="both"/>
      </w:pPr>
    </w:p>
    <w:p w:rsidR="009A2624" w:rsidRDefault="0039254B" w:rsidP="0039254B">
      <w:pPr>
        <w:jc w:val="both"/>
      </w:pPr>
      <w:r>
        <w:t>However, a swift change should be properly documented, notified to the stakeholders and subject to ex-post audit to ensure it was in the interest of the stakeholders. While there may be no contradiction to Level 1, we would appreciate ESMA’s support on this issue for the benefit of EU as well as non-EU investors. Not allowing for emergency adaptions would not only negatively impact EU investors but also non-EU investors and EU benchmark providers as their benchmarks would potentially be less resilient compared to non-EU produced benchmarks. In a global competitive market, this would negatively impact EU benc</w:t>
      </w:r>
      <w:r>
        <w:t>h</w:t>
      </w:r>
      <w:r>
        <w:t>marks’ competitiveness.</w:t>
      </w:r>
    </w:p>
    <w:permEnd w:id="1118899979"/>
    <w:p w:rsidR="009A2624" w:rsidRDefault="00665C07" w:rsidP="009A2624">
      <w:r>
        <w:t>&lt;ESMA_QUESTION_C</w:t>
      </w:r>
      <w:r w:rsidR="009A2624">
        <w:t>P_BMR_10&gt;</w:t>
      </w:r>
    </w:p>
    <w:p w:rsidR="009A2624" w:rsidRDefault="009A2624" w:rsidP="009A2624"/>
    <w:p w:rsidR="009A2624" w:rsidRPr="007F44BF" w:rsidRDefault="00863E1F" w:rsidP="00863E1F">
      <w:pPr>
        <w:pStyle w:val="Questionstyle"/>
      </w:pPr>
      <w:r w:rsidRPr="00863E1F">
        <w:rPr>
          <w:rFonts w:cs="Arial"/>
          <w:lang w:val="en-US"/>
        </w:rPr>
        <w:t>Do you agree with this approach? Please explain your response.</w:t>
      </w:r>
      <w:r w:rsidR="009A2624" w:rsidRPr="007F44BF">
        <w:t xml:space="preserve"> </w:t>
      </w:r>
    </w:p>
    <w:p w:rsidR="009A2624" w:rsidRDefault="009A2624" w:rsidP="009A2624">
      <w:r>
        <w:t>&lt;ES</w:t>
      </w:r>
      <w:r w:rsidR="00665C07">
        <w:t>MA_QUESTION_C</w:t>
      </w:r>
      <w:r>
        <w:t>P_BMR_11&gt;</w:t>
      </w:r>
    </w:p>
    <w:p w:rsidR="009A2624" w:rsidRDefault="009A2624" w:rsidP="009A2624">
      <w:permStart w:id="1866090853" w:edGrp="everyone"/>
      <w:r>
        <w:t>TYPE YOUR TEXT HERE</w:t>
      </w:r>
    </w:p>
    <w:permEnd w:id="1866090853"/>
    <w:p w:rsidR="009A2624" w:rsidRDefault="00665C07" w:rsidP="009A2624">
      <w:r>
        <w:t>&lt;ESMA_QUESTION_C</w:t>
      </w:r>
      <w:r w:rsidR="009A2624">
        <w:t>P_BMR_11&gt;</w:t>
      </w:r>
    </w:p>
    <w:p w:rsidR="009A2624" w:rsidRDefault="009A2624" w:rsidP="009A2624"/>
    <w:p w:rsidR="00863E1F" w:rsidRPr="007F44BF" w:rsidRDefault="00863E1F" w:rsidP="00863E1F">
      <w:pPr>
        <w:pStyle w:val="Questionstyle"/>
      </w:pPr>
      <w:r w:rsidRPr="008C0CBF">
        <w:rPr>
          <w:rFonts w:ascii="Arial" w:hAnsi="Arial" w:cs="Arial"/>
        </w:rPr>
        <w:t>Do you agree with this approach?</w:t>
      </w:r>
      <w:r>
        <w:rPr>
          <w:rFonts w:ascii="Arial" w:hAnsi="Arial" w:cs="Arial"/>
        </w:rPr>
        <w:t xml:space="preserve"> </w:t>
      </w:r>
      <w:r w:rsidRPr="008C0CBF">
        <w:rPr>
          <w:rFonts w:ascii="Arial" w:hAnsi="Arial" w:cs="Arial"/>
        </w:rPr>
        <w:t>What are the different characteristics of contri</w:t>
      </w:r>
      <w:r w:rsidRPr="008C0CBF">
        <w:rPr>
          <w:rFonts w:ascii="Arial" w:hAnsi="Arial" w:cs="Arial"/>
        </w:rPr>
        <w:t>b</w:t>
      </w:r>
      <w:r w:rsidRPr="008C0CBF">
        <w:rPr>
          <w:rFonts w:ascii="Arial" w:hAnsi="Arial" w:cs="Arial"/>
        </w:rPr>
        <w:t>utors that should be taken into consideration in this RTS?</w:t>
      </w:r>
      <w:r>
        <w:rPr>
          <w:rFonts w:ascii="Arial" w:hAnsi="Arial" w:cs="Arial"/>
        </w:rPr>
        <w:t xml:space="preserve"> </w:t>
      </w:r>
      <w:r w:rsidRPr="008C0CBF">
        <w:rPr>
          <w:rFonts w:ascii="Arial" w:hAnsi="Arial" w:cs="Arial"/>
        </w:rPr>
        <w:t>How should those characteri</w:t>
      </w:r>
      <w:r w:rsidRPr="008C0CBF">
        <w:rPr>
          <w:rFonts w:ascii="Arial" w:hAnsi="Arial" w:cs="Arial"/>
        </w:rPr>
        <w:t>s</w:t>
      </w:r>
      <w:r w:rsidRPr="008C0CBF">
        <w:rPr>
          <w:rFonts w:ascii="Arial" w:hAnsi="Arial" w:cs="Arial"/>
        </w:rPr>
        <w:t>tics be taken into account in the provisions suggested in this draft RTS?</w:t>
      </w:r>
      <w:r>
        <w:rPr>
          <w:rFonts w:ascii="Arial" w:hAnsi="Arial" w:cs="Arial"/>
        </w:rPr>
        <w:t xml:space="preserve"> </w:t>
      </w:r>
      <w:r w:rsidRPr="008C0CBF">
        <w:rPr>
          <w:rFonts w:ascii="Arial" w:hAnsi="Arial" w:cs="Arial"/>
        </w:rPr>
        <w:t>Please give examples.</w:t>
      </w:r>
      <w:r w:rsidRPr="007F44BF">
        <w:t xml:space="preserve"> </w:t>
      </w:r>
    </w:p>
    <w:p w:rsidR="00863E1F" w:rsidRDefault="00863E1F" w:rsidP="00863E1F">
      <w:r>
        <w:t>&lt;ESMA_QUESTION_C</w:t>
      </w:r>
      <w:r w:rsidR="0038662B">
        <w:t>P_BMR_12</w:t>
      </w:r>
      <w:r>
        <w:t>&gt;</w:t>
      </w:r>
    </w:p>
    <w:p w:rsidR="00863E1F" w:rsidRDefault="00863E1F" w:rsidP="00863E1F">
      <w:permStart w:id="513238103" w:edGrp="everyone"/>
      <w:r>
        <w:t>TYPE YOUR TEXT HERE</w:t>
      </w:r>
    </w:p>
    <w:permEnd w:id="513238103"/>
    <w:p w:rsidR="00863E1F" w:rsidRDefault="00863E1F" w:rsidP="00863E1F">
      <w:r>
        <w:t>&lt;ESMA_QUESTION_C</w:t>
      </w:r>
      <w:r w:rsidR="0038662B">
        <w:t>P_BMR_12</w:t>
      </w:r>
      <w:r>
        <w:t>&gt;</w:t>
      </w:r>
    </w:p>
    <w:p w:rsidR="009A2624" w:rsidRDefault="009A2624" w:rsidP="009A2624"/>
    <w:p w:rsidR="0038662B" w:rsidRPr="007F44BF" w:rsidRDefault="0038662B" w:rsidP="0038662B">
      <w:pPr>
        <w:pStyle w:val="Questionstyle"/>
      </w:pPr>
      <w:r w:rsidRPr="0038662B">
        <w:rPr>
          <w:rFonts w:ascii="Arial" w:hAnsi="Arial" w:cs="Arial"/>
        </w:rPr>
        <w:t>Should the substantial exposures of individual traders or trading desk to benc</w:t>
      </w:r>
      <w:r w:rsidRPr="0038662B">
        <w:rPr>
          <w:rFonts w:ascii="Arial" w:hAnsi="Arial" w:cs="Arial"/>
        </w:rPr>
        <w:t>h</w:t>
      </w:r>
      <w:r w:rsidRPr="0038662B">
        <w:rPr>
          <w:rFonts w:ascii="Arial" w:hAnsi="Arial" w:cs="Arial"/>
        </w:rPr>
        <w:t>mark related instruments apply to all types of benchmarks for all contributors?</w:t>
      </w:r>
    </w:p>
    <w:p w:rsidR="0038662B" w:rsidRDefault="0038662B" w:rsidP="0038662B">
      <w:r>
        <w:t>&lt;ESMA_QUESTION_CP_BMR_13&gt;</w:t>
      </w:r>
    </w:p>
    <w:p w:rsidR="0038662B" w:rsidRDefault="0038662B" w:rsidP="0038662B">
      <w:permStart w:id="1408054740" w:edGrp="everyone"/>
      <w:r>
        <w:t>TYPE YOUR TEXT HERE</w:t>
      </w:r>
    </w:p>
    <w:permEnd w:id="1408054740"/>
    <w:p w:rsidR="0038662B" w:rsidRDefault="0038662B" w:rsidP="0038662B">
      <w:r>
        <w:t>&lt;ESMA_QUESTION_CP_BMR_13&gt;</w:t>
      </w:r>
    </w:p>
    <w:p w:rsidR="0038662B" w:rsidRDefault="0038662B" w:rsidP="0038662B"/>
    <w:p w:rsidR="0038662B" w:rsidRPr="007F44BF" w:rsidRDefault="0038662B" w:rsidP="0038662B">
      <w:pPr>
        <w:pStyle w:val="Questionstyle"/>
      </w:pPr>
      <w:r w:rsidRPr="0038662B">
        <w:rPr>
          <w:rFonts w:ascii="Arial" w:hAnsi="Arial" w:cs="Arial"/>
        </w:rPr>
        <w:t>Do you agree with the proposals for the reporting of suspicious transaction in this draft RTS? Please explain your answer.</w:t>
      </w:r>
    </w:p>
    <w:p w:rsidR="0038662B" w:rsidRDefault="0038662B" w:rsidP="0038662B">
      <w:r>
        <w:t>&lt;ESMA_QUESTION_CP_BMR_14&gt;</w:t>
      </w:r>
    </w:p>
    <w:p w:rsidR="0038662B" w:rsidRDefault="0038662B" w:rsidP="0038662B">
      <w:permStart w:id="234910013" w:edGrp="everyone"/>
      <w:r>
        <w:t>TYPE YOUR TEXT HERE</w:t>
      </w:r>
    </w:p>
    <w:permEnd w:id="234910013"/>
    <w:p w:rsidR="0038662B" w:rsidRDefault="0038662B" w:rsidP="0038662B">
      <w:r>
        <w:t>&lt;ESMA_QUESTION_CP_BMR_14&gt;</w:t>
      </w:r>
    </w:p>
    <w:p w:rsidR="0038662B" w:rsidRDefault="0038662B" w:rsidP="0038662B"/>
    <w:p w:rsidR="0038662B" w:rsidRPr="007F44BF" w:rsidRDefault="0038662B" w:rsidP="0038662B">
      <w:pPr>
        <w:pStyle w:val="Questionstyle"/>
      </w:pPr>
      <w:r w:rsidRPr="0038662B">
        <w:rPr>
          <w:rFonts w:ascii="Arial" w:hAnsi="Arial" w:cs="Arial"/>
        </w:rPr>
        <w:t>Are there any provisions that should be added to or amended in the draft RTS to take into consideration the different characteristics of benchmarks? Please give exa</w:t>
      </w:r>
      <w:r w:rsidRPr="0038662B">
        <w:rPr>
          <w:rFonts w:ascii="Arial" w:hAnsi="Arial" w:cs="Arial"/>
        </w:rPr>
        <w:t>m</w:t>
      </w:r>
      <w:r w:rsidRPr="0038662B">
        <w:rPr>
          <w:rFonts w:ascii="Arial" w:hAnsi="Arial" w:cs="Arial"/>
        </w:rPr>
        <w:t>ples.</w:t>
      </w:r>
    </w:p>
    <w:p w:rsidR="0038662B" w:rsidRDefault="0038662B" w:rsidP="0038662B">
      <w:r>
        <w:lastRenderedPageBreak/>
        <w:t>&lt;ESMA_QUESTION_CP_BMR_15&gt;</w:t>
      </w:r>
    </w:p>
    <w:p w:rsidR="0038662B" w:rsidRDefault="0038662B" w:rsidP="0038662B">
      <w:permStart w:id="483016054" w:edGrp="everyone"/>
      <w:r>
        <w:t>TYPE YOUR TEXT HERE</w:t>
      </w:r>
    </w:p>
    <w:permEnd w:id="483016054"/>
    <w:p w:rsidR="0038662B" w:rsidRDefault="0038662B" w:rsidP="0038662B">
      <w:r>
        <w:t>&lt;ESMA_QUESTION_CP_BMR_15&gt;</w:t>
      </w:r>
    </w:p>
    <w:p w:rsidR="00F31E57" w:rsidRPr="0038662B" w:rsidRDefault="00F31E57" w:rsidP="0038662B"/>
    <w:p w:rsidR="0038662B" w:rsidRPr="007F44BF" w:rsidRDefault="0038662B" w:rsidP="0038662B">
      <w:pPr>
        <w:pStyle w:val="Questionstyle"/>
      </w:pPr>
      <w:r w:rsidRPr="0038662B">
        <w:rPr>
          <w:rFonts w:ascii="Arial" w:hAnsi="Arial" w:cs="Arial"/>
        </w:rPr>
        <w:t>Do you have any further comments or suggestions relating to the draft RTS on the code of conduct?</w:t>
      </w:r>
    </w:p>
    <w:p w:rsidR="0038662B" w:rsidRDefault="0038662B" w:rsidP="0038662B">
      <w:r>
        <w:t>&lt;ESMA_QUESTION_CP_BMR_16&gt;</w:t>
      </w:r>
    </w:p>
    <w:p w:rsidR="0038662B" w:rsidRDefault="0038662B" w:rsidP="0038662B">
      <w:permStart w:id="1081750138" w:edGrp="everyone"/>
      <w:r>
        <w:t>TYPE YOUR TEXT HERE</w:t>
      </w:r>
    </w:p>
    <w:permEnd w:id="1081750138"/>
    <w:p w:rsidR="0038662B" w:rsidRDefault="0038662B" w:rsidP="0038662B">
      <w:r>
        <w:t>&lt;ESMA_QUESTION_CP_BMR_16&gt;</w:t>
      </w:r>
    </w:p>
    <w:p w:rsidR="0038662B" w:rsidRDefault="0038662B" w:rsidP="0038662B"/>
    <w:p w:rsidR="0038662B" w:rsidRPr="007F44BF" w:rsidRDefault="0038662B" w:rsidP="0038662B">
      <w:pPr>
        <w:pStyle w:val="Questionstyle"/>
      </w:pPr>
      <w:r w:rsidRPr="0038662B">
        <w:rPr>
          <w:rFonts w:ascii="Arial" w:hAnsi="Arial" w:cs="Arial"/>
        </w:rPr>
        <w:t>Do you agree with the draft technical standards in relation to the governance and control arrangements for supervised contributors to benchmarks? Please provide re</w:t>
      </w:r>
      <w:r w:rsidRPr="0038662B">
        <w:rPr>
          <w:rFonts w:ascii="Arial" w:hAnsi="Arial" w:cs="Arial"/>
        </w:rPr>
        <w:t>a</w:t>
      </w:r>
      <w:r w:rsidRPr="0038662B">
        <w:rPr>
          <w:rFonts w:ascii="Arial" w:hAnsi="Arial" w:cs="Arial"/>
        </w:rPr>
        <w:t>sons.</w:t>
      </w:r>
    </w:p>
    <w:p w:rsidR="0038662B" w:rsidRDefault="0038662B" w:rsidP="0038662B">
      <w:r>
        <w:t>&lt;ESMA_QUESTION_CP_BMR_17&gt;</w:t>
      </w:r>
    </w:p>
    <w:p w:rsidR="0038662B" w:rsidRDefault="0038662B" w:rsidP="0038662B">
      <w:permStart w:id="194139895" w:edGrp="everyone"/>
      <w:r>
        <w:t>TYPE YOUR TEXT HERE</w:t>
      </w:r>
    </w:p>
    <w:permEnd w:id="194139895"/>
    <w:p w:rsidR="0038662B" w:rsidRDefault="0038662B" w:rsidP="0038662B">
      <w:r>
        <w:t>&lt;ESMA_QUESTION_CP_BMR_17&gt;</w:t>
      </w:r>
    </w:p>
    <w:p w:rsidR="0038662B" w:rsidRPr="0038662B" w:rsidRDefault="0038662B" w:rsidP="0038662B"/>
    <w:p w:rsidR="0038662B" w:rsidRPr="007F44BF" w:rsidRDefault="0038662B" w:rsidP="0038662B">
      <w:pPr>
        <w:pStyle w:val="Questionstyle"/>
      </w:pPr>
      <w:r w:rsidRPr="0038662B">
        <w:rPr>
          <w:rFonts w:ascii="Arial" w:hAnsi="Arial" w:cs="Arial"/>
        </w:rPr>
        <w:t>In particular, can you identify specific aspects of the draft Regulation that should be applied differentially to different supervised contributors in particular in terms of di</w:t>
      </w:r>
      <w:r w:rsidRPr="0038662B">
        <w:rPr>
          <w:rFonts w:ascii="Arial" w:hAnsi="Arial" w:cs="Arial"/>
        </w:rPr>
        <w:t>f</w:t>
      </w:r>
      <w:r w:rsidRPr="0038662B">
        <w:rPr>
          <w:rFonts w:ascii="Arial" w:hAnsi="Arial" w:cs="Arial"/>
        </w:rPr>
        <w:t>ferences in input data provided and methodologies used, the risks of manipulation of the input data and the nature of the activities carried out by the supervised contributors?</w:t>
      </w:r>
    </w:p>
    <w:p w:rsidR="0038662B" w:rsidRDefault="0038662B" w:rsidP="0038662B">
      <w:r>
        <w:t>&lt;ESMA_QUESTION_CP_BMR_18&gt;</w:t>
      </w:r>
    </w:p>
    <w:p w:rsidR="0038662B" w:rsidRDefault="0038662B" w:rsidP="0038662B">
      <w:permStart w:id="472783416" w:edGrp="everyone"/>
      <w:r>
        <w:t>TYPE YOUR TEXT HERE</w:t>
      </w:r>
    </w:p>
    <w:permEnd w:id="472783416"/>
    <w:p w:rsidR="0038662B" w:rsidRDefault="0038662B" w:rsidP="0038662B">
      <w:r>
        <w:t>&lt;ESMA_QUESTION_CP_BMR_18&gt;</w:t>
      </w:r>
    </w:p>
    <w:p w:rsidR="0038662B" w:rsidRDefault="0038662B" w:rsidP="0038662B"/>
    <w:p w:rsidR="0038662B" w:rsidRPr="007F44BF" w:rsidRDefault="0038662B" w:rsidP="0038662B">
      <w:pPr>
        <w:pStyle w:val="Questionstyle"/>
      </w:pPr>
      <w:r w:rsidRPr="00810208">
        <w:rPr>
          <w:rFonts w:ascii="Arial" w:hAnsi="Arial" w:cs="Arial"/>
        </w:rPr>
        <w:t xml:space="preserve">Do you agree </w:t>
      </w:r>
      <w:r>
        <w:rPr>
          <w:rFonts w:ascii="Arial" w:hAnsi="Arial" w:cs="Arial"/>
        </w:rPr>
        <w:t xml:space="preserve">with </w:t>
      </w:r>
      <w:r w:rsidRPr="00810208">
        <w:rPr>
          <w:rFonts w:ascii="Arial" w:hAnsi="Arial" w:cs="Arial"/>
        </w:rPr>
        <w:t>ESMA’s specifications of the criteria?</w:t>
      </w:r>
    </w:p>
    <w:p w:rsidR="0038662B" w:rsidRDefault="0038662B" w:rsidP="0038662B">
      <w:r>
        <w:t>&lt;ESMA_QUESTION_CP_BMR_19&gt;</w:t>
      </w:r>
    </w:p>
    <w:p w:rsidR="0038662B" w:rsidRDefault="00867EAB" w:rsidP="00867EAB">
      <w:pPr>
        <w:jc w:val="both"/>
      </w:pPr>
      <w:permStart w:id="1180513441" w:edGrp="everyone"/>
      <w:r w:rsidRPr="00867EAB">
        <w:t>We agree there should be an assessment based on the nature and experience of the administrator. Ho</w:t>
      </w:r>
      <w:r w:rsidRPr="00867EAB">
        <w:t>w</w:t>
      </w:r>
      <w:r w:rsidRPr="00867EAB">
        <w:t>ever, we would like to stress the importance of a consistent application throughout the EU in order to uphold a level playing field. In this context, clear guidance and monitoring by ESMA would be welcome.</w:t>
      </w:r>
    </w:p>
    <w:permEnd w:id="1180513441"/>
    <w:p w:rsidR="0038662B" w:rsidRDefault="0038662B" w:rsidP="0038662B">
      <w:r>
        <w:t>&lt;ESMA_QUESTION_CP_BMR_19&gt;</w:t>
      </w:r>
    </w:p>
    <w:p w:rsidR="0038662B" w:rsidRPr="0038662B" w:rsidRDefault="0038662B" w:rsidP="0038662B"/>
    <w:p w:rsidR="004C33E1" w:rsidRPr="007F44BF" w:rsidRDefault="004C33E1" w:rsidP="004C33E1">
      <w:pPr>
        <w:pStyle w:val="Questionstyle"/>
      </w:pPr>
      <w:r w:rsidRPr="004C33E1">
        <w:rPr>
          <w:rFonts w:ascii="Arial" w:hAnsi="Arial" w:cs="Arial"/>
        </w:rPr>
        <w:t>Do you agree with the content and structure of the two compliance statement templates? If not, please explain.</w:t>
      </w:r>
    </w:p>
    <w:p w:rsidR="004C33E1" w:rsidRDefault="004C33E1" w:rsidP="004C33E1">
      <w:r>
        <w:t>&lt;ESMA_QUESTION_CP_BMR_20&gt;</w:t>
      </w:r>
    </w:p>
    <w:p w:rsidR="004C33E1" w:rsidRDefault="004C33E1" w:rsidP="004C33E1">
      <w:permStart w:id="666112028" w:edGrp="everyone"/>
      <w:r>
        <w:t>TYPE YOUR TEXT HERE</w:t>
      </w:r>
    </w:p>
    <w:permEnd w:id="666112028"/>
    <w:p w:rsidR="004C33E1" w:rsidRDefault="004C33E1" w:rsidP="004C33E1">
      <w:r>
        <w:t>&lt;ESMA_QUESTION_CP_BMR_20&gt;</w:t>
      </w:r>
    </w:p>
    <w:p w:rsidR="0038662B" w:rsidRDefault="0038662B" w:rsidP="0038662B"/>
    <w:p w:rsidR="004C33E1" w:rsidRPr="007F44BF" w:rsidRDefault="004C33E1" w:rsidP="004C33E1">
      <w:pPr>
        <w:pStyle w:val="Questionstyle"/>
      </w:pPr>
      <w:r w:rsidRPr="004C33E1">
        <w:rPr>
          <w:rFonts w:ascii="Arial" w:hAnsi="Arial" w:cs="Arial"/>
        </w:rPr>
        <w:t>Do you agree with the proposed specifications of the contents of a benchmark statement?</w:t>
      </w:r>
    </w:p>
    <w:p w:rsidR="004C33E1" w:rsidRDefault="004C33E1" w:rsidP="004C33E1">
      <w:r>
        <w:t>&lt;ESMA_QUESTION_CP_BMR_21&gt;</w:t>
      </w:r>
    </w:p>
    <w:p w:rsidR="004C33E1" w:rsidRDefault="00867EAB" w:rsidP="00867EAB">
      <w:pPr>
        <w:jc w:val="both"/>
      </w:pPr>
      <w:permStart w:id="961637371" w:edGrp="everyone"/>
      <w:r w:rsidRPr="00867EAB">
        <w:t>Yes,</w:t>
      </w:r>
      <w:r w:rsidR="003B3CBC">
        <w:t xml:space="preserve"> we agree with the proposal in P</w:t>
      </w:r>
      <w:r w:rsidRPr="00867EAB">
        <w:t xml:space="preserve">aragraph 194 to limit the statement to the description of input data and the </w:t>
      </w:r>
      <w:r w:rsidR="00BF04EF">
        <w:t>sources used for regulated-</w:t>
      </w:r>
      <w:r w:rsidRPr="00867EAB">
        <w:t xml:space="preserve">data benchmarks. </w:t>
      </w:r>
      <w:r w:rsidRPr="00FE6788">
        <w:t>However, we question ESMA’s proposal in Recital 5</w:t>
      </w:r>
      <w:r w:rsidR="00FE6788">
        <w:t xml:space="preserve"> of the draft RTS</w:t>
      </w:r>
      <w:r w:rsidRPr="00FE6788">
        <w:t xml:space="preserve"> where, in respect of information requirements on the type of benchmark</w:t>
      </w:r>
      <w:r w:rsidR="00BE2D31" w:rsidRPr="00FE6788">
        <w:t xml:space="preserve"> there is an obl</w:t>
      </w:r>
      <w:r w:rsidR="00BE2D31" w:rsidRPr="00FE6788">
        <w:t>i</w:t>
      </w:r>
      <w:r w:rsidR="00BE2D31" w:rsidRPr="00FE6788">
        <w:t>ga</w:t>
      </w:r>
      <w:r w:rsidR="00FE6788">
        <w:t>tion</w:t>
      </w:r>
      <w:r w:rsidR="00BE2D31" w:rsidRPr="00FE6788">
        <w:t xml:space="preserve"> to</w:t>
      </w:r>
      <w:r w:rsidRPr="00FE6788">
        <w:t xml:space="preserve"> describ</w:t>
      </w:r>
      <w:r w:rsidR="00BE2D31" w:rsidRPr="00FE6788">
        <w:t>e</w:t>
      </w:r>
      <w:r w:rsidR="00FE6788">
        <w:t xml:space="preserve"> a benchmark which could be both a regulated-</w:t>
      </w:r>
      <w:r w:rsidRPr="00FE6788">
        <w:t xml:space="preserve">data benchmark and a commodity benchmark. </w:t>
      </w:r>
      <w:r w:rsidR="0050117C">
        <w:t>ESMA then mentions that</w:t>
      </w:r>
      <w:bookmarkStart w:id="3" w:name="_GoBack"/>
      <w:bookmarkEnd w:id="3"/>
      <w:r w:rsidR="00FE6788">
        <w:t xml:space="preserve"> all specific provisions set up in this Regulation will apply in parallel. </w:t>
      </w:r>
      <w:r w:rsidRPr="00FE6788">
        <w:t>From Article 19 BMR it follows that when a benchmark is based on re</w:t>
      </w:r>
      <w:r w:rsidRPr="00867EAB">
        <w:t>gulated data, the regime for co</w:t>
      </w:r>
      <w:r w:rsidRPr="00867EAB">
        <w:t>m</w:t>
      </w:r>
      <w:r w:rsidRPr="00867EAB">
        <w:lastRenderedPageBreak/>
        <w:t>modity benc</w:t>
      </w:r>
      <w:r w:rsidRPr="00867EAB">
        <w:t>h</w:t>
      </w:r>
      <w:r w:rsidRPr="00867EAB">
        <w:t>marks does not apply.</w:t>
      </w:r>
      <w:r w:rsidR="00FE6788">
        <w:t xml:space="preserve"> We would request ESMA to resemble the Level 1 approach in this RTS.</w:t>
      </w:r>
    </w:p>
    <w:permEnd w:id="961637371"/>
    <w:p w:rsidR="004C33E1" w:rsidRDefault="004C33E1" w:rsidP="004C33E1">
      <w:r>
        <w:t>&lt;ESMA_QUESTION_CP_BMR_21&gt;</w:t>
      </w:r>
    </w:p>
    <w:p w:rsidR="0038662B" w:rsidRDefault="0038662B" w:rsidP="0038662B"/>
    <w:p w:rsidR="004C33E1" w:rsidRPr="007F44BF" w:rsidRDefault="004C33E1" w:rsidP="004C33E1">
      <w:pPr>
        <w:pStyle w:val="Questionstyle"/>
      </w:pPr>
      <w:r w:rsidRPr="004C33E1">
        <w:rPr>
          <w:rFonts w:ascii="Arial" w:hAnsi="Arial" w:cs="Arial"/>
        </w:rPr>
        <w:t>Do you agree with the proposed specifications of the cases in which an update of such statement is required? Do you have any further proposals? Please explain.</w:t>
      </w:r>
    </w:p>
    <w:p w:rsidR="004C33E1" w:rsidRDefault="004C33E1" w:rsidP="004C33E1">
      <w:r>
        <w:t>&lt;ESMA_QUESTION_CP_BMR_22&gt;</w:t>
      </w:r>
    </w:p>
    <w:p w:rsidR="004C33E1" w:rsidRDefault="004C33E1" w:rsidP="004C33E1">
      <w:permStart w:id="1748568023" w:edGrp="everyone"/>
      <w:r>
        <w:t>TYPE YOUR TEXT HERE</w:t>
      </w:r>
    </w:p>
    <w:permEnd w:id="1748568023"/>
    <w:p w:rsidR="004C33E1" w:rsidRDefault="004C33E1" w:rsidP="004C33E1">
      <w:r>
        <w:t>&lt;ESMA_QUESTION_CP_BMR_22&gt;</w:t>
      </w:r>
    </w:p>
    <w:p w:rsidR="004C33E1" w:rsidRPr="0038662B" w:rsidRDefault="004C33E1" w:rsidP="004C33E1"/>
    <w:p w:rsidR="004C33E1" w:rsidRPr="007F44BF" w:rsidRDefault="004C33E1" w:rsidP="004C33E1">
      <w:pPr>
        <w:pStyle w:val="Questionstyle"/>
      </w:pPr>
      <w:r w:rsidRPr="00BF1E55">
        <w:rPr>
          <w:rFonts w:ascii="Arial" w:hAnsi="Arial" w:cs="Arial"/>
        </w:rPr>
        <w:t>Do you agree with the general approach to distinguish the contents of the applic</w:t>
      </w:r>
      <w:r w:rsidRPr="00BF1E55">
        <w:rPr>
          <w:rFonts w:ascii="Arial" w:hAnsi="Arial" w:cs="Arial"/>
        </w:rPr>
        <w:t>a</w:t>
      </w:r>
      <w:r w:rsidRPr="00BF1E55">
        <w:rPr>
          <w:rFonts w:ascii="Arial" w:hAnsi="Arial" w:cs="Arial"/>
        </w:rPr>
        <w:t>tion with reference to the cases of authorisation or registration</w:t>
      </w:r>
      <w:r>
        <w:rPr>
          <w:rFonts w:ascii="Arial" w:hAnsi="Arial" w:cs="Arial"/>
        </w:rPr>
        <w:t>?</w:t>
      </w:r>
    </w:p>
    <w:p w:rsidR="004C33E1" w:rsidRDefault="004C33E1" w:rsidP="004C33E1">
      <w:r>
        <w:t>&lt;ESMA_QUESTION_CP_BMR_23&gt;</w:t>
      </w:r>
    </w:p>
    <w:p w:rsidR="004C33E1" w:rsidRPr="00FE6788" w:rsidRDefault="003B3CBC" w:rsidP="004C33E1">
      <w:permStart w:id="1285957906" w:edGrp="everyone"/>
      <w:r>
        <w:t>In P</w:t>
      </w:r>
      <w:r w:rsidR="009A6C20" w:rsidRPr="009A6C20">
        <w:t>aragraph 214 ESMA states that the authorisation and registration ar</w:t>
      </w:r>
      <w:r w:rsidR="003A4966">
        <w:t>e adopted at the</w:t>
      </w:r>
      <w:r w:rsidR="003A4966" w:rsidRPr="00FE6788">
        <w:t xml:space="preserve"> administrator</w:t>
      </w:r>
      <w:r w:rsidR="009A6C20" w:rsidRPr="00FE6788">
        <w:t xml:space="preserve"> level and would be a one-off process. In that respect, we have concerns aroun</w:t>
      </w:r>
      <w:r w:rsidR="003A4966" w:rsidRPr="00FE6788">
        <w:t>d the transitional provisions in</w:t>
      </w:r>
      <w:r w:rsidR="009A6C20" w:rsidRPr="00FE6788">
        <w:t xml:space="preserve"> Article 51. We refer to our general comments at the beginning of this document.</w:t>
      </w:r>
    </w:p>
    <w:permEnd w:id="1285957906"/>
    <w:p w:rsidR="004C33E1" w:rsidRDefault="004C33E1" w:rsidP="004C33E1">
      <w:r>
        <w:t>&lt;ESMA_QUESTION_CP_BMR_23&gt;</w:t>
      </w:r>
    </w:p>
    <w:p w:rsidR="004C33E1" w:rsidRDefault="004C33E1" w:rsidP="0038662B"/>
    <w:p w:rsidR="004C33E1" w:rsidRPr="007F44BF" w:rsidRDefault="004C33E1" w:rsidP="004C33E1">
      <w:pPr>
        <w:pStyle w:val="Questionstyle"/>
      </w:pPr>
      <w:r w:rsidRPr="00BF1E55">
        <w:rPr>
          <w:rFonts w:ascii="Arial" w:hAnsi="Arial" w:cs="Arial"/>
        </w:rPr>
        <w:t>Are the general and financial information requirements described appropriate for authorisation applications? Are the narrower requirements appropriate for registration applications?</w:t>
      </w:r>
    </w:p>
    <w:p w:rsidR="004C33E1" w:rsidRDefault="004C33E1" w:rsidP="004C33E1">
      <w:r>
        <w:t>&lt;ESMA_QUESTION_CP_BMR_24&gt;</w:t>
      </w:r>
    </w:p>
    <w:p w:rsidR="004C33E1" w:rsidRDefault="009A6C20" w:rsidP="009A6C20">
      <w:pPr>
        <w:jc w:val="both"/>
      </w:pPr>
      <w:permStart w:id="855912792" w:edGrp="everyone"/>
      <w:r w:rsidRPr="009A6C20">
        <w:t>The draft RTS requires financial forecasts for at least the next year. In so far as that is possible, we would assume ESMA would not expect the administrator, should it be subject to Market Abuse requirements, to provide the regulator with any price sensitive information.</w:t>
      </w:r>
    </w:p>
    <w:permEnd w:id="855912792"/>
    <w:p w:rsidR="004C33E1" w:rsidRDefault="004C33E1" w:rsidP="004C33E1">
      <w:r>
        <w:t>&lt;ESMA_QUESTION_CP_BMR_24&gt;</w:t>
      </w:r>
    </w:p>
    <w:p w:rsidR="004C33E1" w:rsidRDefault="004C33E1" w:rsidP="0038662B"/>
    <w:p w:rsidR="004C33E1" w:rsidRPr="007F44BF" w:rsidRDefault="004C33E1" w:rsidP="004C33E1">
      <w:pPr>
        <w:pStyle w:val="Questionstyle"/>
      </w:pPr>
      <w:r w:rsidRPr="004C33E1">
        <w:rPr>
          <w:rFonts w:ascii="Arial" w:hAnsi="Arial" w:cs="Arial"/>
        </w:rPr>
        <w:t>Are the requirements covering the information on the applicant’s internal structure and functions appropriate?</w:t>
      </w:r>
    </w:p>
    <w:p w:rsidR="004C33E1" w:rsidRDefault="004C33E1" w:rsidP="004C33E1">
      <w:r>
        <w:t>&lt;ESMA_QUESTION_CP_BMR_25&gt;</w:t>
      </w:r>
    </w:p>
    <w:p w:rsidR="009A6C20" w:rsidRPr="009A6C20" w:rsidRDefault="009A6C20" w:rsidP="009A6C20">
      <w:pPr>
        <w:jc w:val="both"/>
      </w:pPr>
      <w:permStart w:id="1326079017" w:edGrp="everyone"/>
      <w:r w:rsidRPr="009A6C20">
        <w:t>Under the heading “Conflicts of interest” ESMA requires the administrator to provide the regulator with its remuneration policies. We feel that this might go beyond the Level I mandate as it could potentially lead to disclosure of the entire remuneration policy of the group to which the company belongs. We fail to see the need for this and would suggest, as an alternative, an obligation on the administrator to confirm to the regulator that its remuneration policy does not depend on the level of benchmarks provided.</w:t>
      </w:r>
    </w:p>
    <w:p w:rsidR="004C33E1" w:rsidRDefault="004C33E1" w:rsidP="004C33E1"/>
    <w:permEnd w:id="1326079017"/>
    <w:p w:rsidR="004C33E1" w:rsidRDefault="004C33E1" w:rsidP="004C33E1">
      <w:r>
        <w:t>&lt;ESMA_QUESTION_CP_BMR_25&gt;</w:t>
      </w:r>
    </w:p>
    <w:p w:rsidR="004C33E1" w:rsidRDefault="004C33E1" w:rsidP="004C33E1"/>
    <w:p w:rsidR="004C33E1" w:rsidRPr="007F44BF" w:rsidRDefault="004C33E1" w:rsidP="004C33E1">
      <w:pPr>
        <w:pStyle w:val="Questionstyle"/>
      </w:pPr>
      <w:r w:rsidRPr="004C33E1">
        <w:rPr>
          <w:rFonts w:ascii="Arial" w:hAnsi="Arial" w:cs="Arial"/>
        </w:rPr>
        <w:t>Are the requirements described dealing with the benchmarks provided appropr</w:t>
      </w:r>
      <w:r w:rsidRPr="004C33E1">
        <w:rPr>
          <w:rFonts w:ascii="Arial" w:hAnsi="Arial" w:cs="Arial"/>
        </w:rPr>
        <w:t>i</w:t>
      </w:r>
      <w:r w:rsidRPr="004C33E1">
        <w:rPr>
          <w:rFonts w:ascii="Arial" w:hAnsi="Arial" w:cs="Arial"/>
        </w:rPr>
        <w:t>ate? In particular, is the way in which the commodity benchmarks requirements are ha</w:t>
      </w:r>
      <w:r w:rsidRPr="004C33E1">
        <w:rPr>
          <w:rFonts w:ascii="Arial" w:hAnsi="Arial" w:cs="Arial"/>
        </w:rPr>
        <w:t>n</w:t>
      </w:r>
      <w:r w:rsidRPr="004C33E1">
        <w:rPr>
          <w:rFonts w:ascii="Arial" w:hAnsi="Arial" w:cs="Arial"/>
        </w:rPr>
        <w:t>dled acceptable?</w:t>
      </w:r>
    </w:p>
    <w:p w:rsidR="004C33E1" w:rsidRDefault="004C33E1" w:rsidP="004C33E1">
      <w:r>
        <w:t>&lt;ESMA_QUESTION_CP_BMR_26&gt;</w:t>
      </w:r>
    </w:p>
    <w:p w:rsidR="004C33E1" w:rsidRDefault="004C33E1" w:rsidP="004C33E1">
      <w:permStart w:id="297562783" w:edGrp="everyone"/>
      <w:r>
        <w:t>TYPE YOUR TEXT HERE</w:t>
      </w:r>
    </w:p>
    <w:permEnd w:id="297562783"/>
    <w:p w:rsidR="004C33E1" w:rsidRDefault="004C33E1" w:rsidP="004C33E1">
      <w:r>
        <w:t>&lt;ESMA_QUESTION_CP_BMR_26&gt;</w:t>
      </w:r>
    </w:p>
    <w:p w:rsidR="004C33E1" w:rsidRDefault="004C33E1" w:rsidP="004C33E1"/>
    <w:p w:rsidR="004C33E1" w:rsidRPr="007F44BF" w:rsidRDefault="004C33E1" w:rsidP="004C33E1">
      <w:pPr>
        <w:pStyle w:val="Questionstyle"/>
      </w:pPr>
      <w:r w:rsidRPr="004C33E1">
        <w:rPr>
          <w:rFonts w:ascii="Arial" w:hAnsi="Arial" w:cs="Arial"/>
        </w:rPr>
        <w:t>Is the specific treatment for a natural person as applicant appropriate?</w:t>
      </w:r>
    </w:p>
    <w:p w:rsidR="004C33E1" w:rsidRDefault="004C33E1" w:rsidP="004C33E1">
      <w:r>
        <w:t>&lt;ESMA_QUESTION_CP_BMR_27&gt;</w:t>
      </w:r>
    </w:p>
    <w:p w:rsidR="004C33E1" w:rsidRDefault="004C33E1" w:rsidP="004C33E1">
      <w:permStart w:id="1092623423" w:edGrp="everyone"/>
      <w:r>
        <w:lastRenderedPageBreak/>
        <w:t>TYPE YOUR TEXT HERE</w:t>
      </w:r>
    </w:p>
    <w:permEnd w:id="1092623423"/>
    <w:p w:rsidR="004C33E1" w:rsidRDefault="004C33E1" w:rsidP="004C33E1">
      <w:r>
        <w:t>&lt;ESMA_QUESTION_CP_BMR_27&gt;</w:t>
      </w:r>
    </w:p>
    <w:p w:rsidR="004C33E1" w:rsidRDefault="004C33E1" w:rsidP="0038662B"/>
    <w:p w:rsidR="004C33E1" w:rsidRPr="007F44BF" w:rsidRDefault="004C33E1" w:rsidP="004C33E1">
      <w:pPr>
        <w:pStyle w:val="Questionstyle"/>
      </w:pPr>
      <w:r w:rsidRPr="004C33E1">
        <w:rPr>
          <w:rFonts w:ascii="Arial" w:hAnsi="Arial" w:cs="Arial"/>
        </w:rPr>
        <w:t>Do you agree with the proposals outlined for requirements for other information?</w:t>
      </w:r>
    </w:p>
    <w:p w:rsidR="004C33E1" w:rsidRDefault="004C33E1" w:rsidP="004C33E1">
      <w:r>
        <w:t>&lt;ESMA_QUESTION_CP_BMR_28&gt;</w:t>
      </w:r>
    </w:p>
    <w:p w:rsidR="004C33E1" w:rsidRDefault="004C33E1" w:rsidP="004C33E1">
      <w:permStart w:id="1046952124" w:edGrp="everyone"/>
      <w:r>
        <w:t>TYPE YOUR TEXT HERE</w:t>
      </w:r>
    </w:p>
    <w:permEnd w:id="1046952124"/>
    <w:p w:rsidR="004C33E1" w:rsidRDefault="004C33E1" w:rsidP="004C33E1">
      <w:r>
        <w:t>&lt;ESMA_QUESTION_CP_BMR_28&gt;</w:t>
      </w:r>
    </w:p>
    <w:p w:rsidR="004C33E1" w:rsidRDefault="004C33E1" w:rsidP="0038662B"/>
    <w:p w:rsidR="004C33E1" w:rsidRPr="007F44BF" w:rsidRDefault="004C33E1" w:rsidP="004C33E1">
      <w:pPr>
        <w:pStyle w:val="Questionstyle"/>
      </w:pPr>
      <w:r w:rsidRPr="003809F3">
        <w:rPr>
          <w:rFonts w:ascii="Arial" w:hAnsi="Arial" w:cs="Arial"/>
        </w:rPr>
        <w:t>Do you agree with the approach followed in the draft RTS as regards the general information that a third-country applicant should provide to the competent authority of the Member State of reference?</w:t>
      </w:r>
    </w:p>
    <w:p w:rsidR="004C33E1" w:rsidRDefault="004C33E1" w:rsidP="004C33E1">
      <w:r>
        <w:t>&lt;ESMA_QUESTION_CP_BMR_29&gt;</w:t>
      </w:r>
    </w:p>
    <w:p w:rsidR="004C33E1" w:rsidRDefault="004C33E1" w:rsidP="004C33E1">
      <w:permStart w:id="665993531" w:edGrp="everyone"/>
      <w:r>
        <w:t>TYPE YOUR TEXT HERE</w:t>
      </w:r>
    </w:p>
    <w:permEnd w:id="665993531"/>
    <w:p w:rsidR="004C33E1" w:rsidRDefault="004C33E1" w:rsidP="004C33E1">
      <w:r>
        <w:t>&lt;ESMA_QUESTION_CP_BMR_29&gt;</w:t>
      </w:r>
    </w:p>
    <w:p w:rsidR="004C33E1" w:rsidRPr="0038662B" w:rsidRDefault="004C33E1" w:rsidP="004C33E1"/>
    <w:p w:rsidR="004C33E1" w:rsidRPr="007F44BF" w:rsidRDefault="004C33E1" w:rsidP="004C33E1">
      <w:pPr>
        <w:pStyle w:val="Questionstyle"/>
      </w:pPr>
      <w:r w:rsidRPr="004C33E1">
        <w:rPr>
          <w:rFonts w:ascii="Arial" w:hAnsi="Arial" w:cs="Arial"/>
        </w:rPr>
        <w:t>Do you agree with the approach followed in the draft RTS as regards the info</w:t>
      </w:r>
      <w:r w:rsidRPr="004C33E1">
        <w:rPr>
          <w:rFonts w:ascii="Arial" w:hAnsi="Arial" w:cs="Arial"/>
        </w:rPr>
        <w:t>r</w:t>
      </w:r>
      <w:r w:rsidRPr="004C33E1">
        <w:rPr>
          <w:rFonts w:ascii="Arial" w:hAnsi="Arial" w:cs="Arial"/>
        </w:rPr>
        <w:t>mation that a third-country applicant should provide in order to explain how it has chosen a specific Member State of reference and which are the identity and role of the appointed legal representative in such State?</w:t>
      </w:r>
    </w:p>
    <w:p w:rsidR="004C33E1" w:rsidRDefault="004C33E1" w:rsidP="004C33E1">
      <w:r>
        <w:t>&lt;ESMA_QUESTION_CP_BMR_30&gt;</w:t>
      </w:r>
    </w:p>
    <w:p w:rsidR="004C33E1" w:rsidRDefault="004C33E1" w:rsidP="004C33E1">
      <w:permStart w:id="990451240" w:edGrp="everyone"/>
      <w:r>
        <w:t>TYPE YOUR TEXT HERE</w:t>
      </w:r>
    </w:p>
    <w:permEnd w:id="990451240"/>
    <w:p w:rsidR="004C33E1" w:rsidRDefault="004C33E1" w:rsidP="004C33E1">
      <w:r>
        <w:t>&lt;ESMA_QUESTION_CP_BMR_30&gt;</w:t>
      </w:r>
    </w:p>
    <w:p w:rsidR="004C33E1" w:rsidRDefault="004C33E1" w:rsidP="0038662B"/>
    <w:p w:rsidR="004C33E1" w:rsidRPr="007F44BF" w:rsidRDefault="004C33E1" w:rsidP="004C33E1">
      <w:pPr>
        <w:pStyle w:val="Questionstyle"/>
      </w:pPr>
      <w:r w:rsidRPr="004C33E1">
        <w:rPr>
          <w:rFonts w:ascii="Arial" w:hAnsi="Arial" w:cs="Arial"/>
        </w:rPr>
        <w:t>Do you agree with the approach followed in the draft RTS as regards the info</w:t>
      </w:r>
      <w:r w:rsidRPr="004C33E1">
        <w:rPr>
          <w:rFonts w:ascii="Arial" w:hAnsi="Arial" w:cs="Arial"/>
        </w:rPr>
        <w:t>r</w:t>
      </w:r>
      <w:r w:rsidRPr="004C33E1">
        <w:rPr>
          <w:rFonts w:ascii="Arial" w:hAnsi="Arial" w:cs="Arial"/>
        </w:rPr>
        <w:t>mation that a third-country applicant should give around the benchmarks it provides and that are already used or intended for use in the Union? In particular, do you agree with the proposals regarding the information to be provided on the types and the categories to which the benchmarks belong to?</w:t>
      </w:r>
    </w:p>
    <w:p w:rsidR="004C33E1" w:rsidRDefault="004C33E1" w:rsidP="004C33E1">
      <w:r>
        <w:t>&lt;ESMA_QUESTION_CP_BMR_31&gt;</w:t>
      </w:r>
    </w:p>
    <w:p w:rsidR="004C33E1" w:rsidRDefault="004C33E1" w:rsidP="004C33E1">
      <w:permStart w:id="784007802" w:edGrp="everyone"/>
      <w:r>
        <w:t>TYPE YOUR TEXT HERE</w:t>
      </w:r>
    </w:p>
    <w:permEnd w:id="784007802"/>
    <w:p w:rsidR="004C33E1" w:rsidRDefault="004C33E1" w:rsidP="004C33E1">
      <w:r>
        <w:t>&lt;ESMA_QUESTION_CP_BMR_31&gt;</w:t>
      </w:r>
    </w:p>
    <w:p w:rsidR="004C33E1" w:rsidRPr="0038662B" w:rsidRDefault="004C33E1" w:rsidP="0038662B"/>
    <w:sectPr w:rsidR="004C33E1" w:rsidRPr="0038662B"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BF4" w:rsidRDefault="001C4BF4">
      <w:r>
        <w:separator/>
      </w:r>
    </w:p>
    <w:p w:rsidR="001C4BF4" w:rsidRDefault="001C4BF4"/>
  </w:endnote>
  <w:endnote w:type="continuationSeparator" w:id="0">
    <w:p w:rsidR="001C4BF4" w:rsidRDefault="001C4BF4">
      <w:r>
        <w:continuationSeparator/>
      </w:r>
    </w:p>
    <w:p w:rsidR="001C4BF4" w:rsidRDefault="001C4BF4"/>
  </w:endnote>
  <w:endnote w:type="continuationNotice" w:id="1">
    <w:p w:rsidR="001C4BF4" w:rsidRDefault="001C4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0117C">
            <w:rPr>
              <w:rFonts w:cs="Arial"/>
              <w:noProof/>
              <w:sz w:val="22"/>
              <w:szCs w:val="22"/>
            </w:rPr>
            <w:t>11</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BF4" w:rsidRDefault="001C4BF4">
      <w:r>
        <w:separator/>
      </w:r>
    </w:p>
    <w:p w:rsidR="001C4BF4" w:rsidRDefault="001C4BF4"/>
  </w:footnote>
  <w:footnote w:type="continuationSeparator" w:id="0">
    <w:p w:rsidR="001C4BF4" w:rsidRDefault="001C4BF4">
      <w:r>
        <w:continuationSeparator/>
      </w:r>
    </w:p>
    <w:p w:rsidR="001C4BF4" w:rsidRDefault="001C4BF4"/>
  </w:footnote>
  <w:footnote w:type="continuationNotice" w:id="1">
    <w:p w:rsidR="001C4BF4" w:rsidRDefault="001C4B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6"/>
  </w:num>
  <w:num w:numId="22">
    <w:abstractNumId w:val="25"/>
  </w:num>
  <w:num w:numId="23">
    <w:abstractNumId w:val="10"/>
  </w:num>
  <w:num w:numId="24">
    <w:abstractNumId w:val="30"/>
  </w:num>
  <w:num w:numId="25">
    <w:abstractNumId w:val="29"/>
  </w:num>
  <w:num w:numId="26">
    <w:abstractNumId w:val="20"/>
  </w:num>
  <w:num w:numId="27">
    <w:abstractNumId w:val="33"/>
  </w:num>
  <w:num w:numId="28">
    <w:abstractNumId w:val="39"/>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5"/>
  </w:num>
  <w:num w:numId="36">
    <w:abstractNumId w:val="34"/>
  </w:num>
  <w:num w:numId="37">
    <w:abstractNumId w:val="12"/>
  </w:num>
  <w:num w:numId="38">
    <w:abstractNumId w:val="3"/>
  </w:num>
  <w:num w:numId="39">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XQfFLmhxIclP7udXGPLqogS1gfcOSTMsX3xp80rLku9av06MeywfVt/Ik1MCdLaFoq2mzuD5V1VzFGKuPvQjjQ==" w:salt="EM1YsXPtcyvP8mHKtZJ9PA=="/>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329B"/>
    <w:rsid w:val="001C4679"/>
    <w:rsid w:val="001C4BF4"/>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3D4B"/>
    <w:rsid w:val="002946DC"/>
    <w:rsid w:val="002A0C82"/>
    <w:rsid w:val="002A0CD8"/>
    <w:rsid w:val="002A13EB"/>
    <w:rsid w:val="002A35EF"/>
    <w:rsid w:val="002A3DE0"/>
    <w:rsid w:val="002A40EA"/>
    <w:rsid w:val="002A46E8"/>
    <w:rsid w:val="002A491C"/>
    <w:rsid w:val="002B1373"/>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62B"/>
    <w:rsid w:val="0039254B"/>
    <w:rsid w:val="003926C1"/>
    <w:rsid w:val="00392900"/>
    <w:rsid w:val="00393357"/>
    <w:rsid w:val="00395E7B"/>
    <w:rsid w:val="00395F4C"/>
    <w:rsid w:val="003A36D5"/>
    <w:rsid w:val="003A4966"/>
    <w:rsid w:val="003A5DAC"/>
    <w:rsid w:val="003A6591"/>
    <w:rsid w:val="003A6E9A"/>
    <w:rsid w:val="003B08C8"/>
    <w:rsid w:val="003B2567"/>
    <w:rsid w:val="003B381A"/>
    <w:rsid w:val="003B3CBC"/>
    <w:rsid w:val="003B4976"/>
    <w:rsid w:val="003B4B3F"/>
    <w:rsid w:val="003B6258"/>
    <w:rsid w:val="003B7A99"/>
    <w:rsid w:val="003C0343"/>
    <w:rsid w:val="003C1C32"/>
    <w:rsid w:val="003C40DA"/>
    <w:rsid w:val="003C42BA"/>
    <w:rsid w:val="003C462F"/>
    <w:rsid w:val="003C4A02"/>
    <w:rsid w:val="003C4F05"/>
    <w:rsid w:val="003C6191"/>
    <w:rsid w:val="003C6E49"/>
    <w:rsid w:val="003C7DE0"/>
    <w:rsid w:val="003D0CBF"/>
    <w:rsid w:val="003D0DD6"/>
    <w:rsid w:val="003D4B73"/>
    <w:rsid w:val="003D503B"/>
    <w:rsid w:val="003D605E"/>
    <w:rsid w:val="003D61D1"/>
    <w:rsid w:val="003D6780"/>
    <w:rsid w:val="003D6FCB"/>
    <w:rsid w:val="003D79DA"/>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31B"/>
    <w:rsid w:val="0040254B"/>
    <w:rsid w:val="00403086"/>
    <w:rsid w:val="00403460"/>
    <w:rsid w:val="004040FF"/>
    <w:rsid w:val="00404284"/>
    <w:rsid w:val="004042C4"/>
    <w:rsid w:val="004049C0"/>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3E1"/>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17C"/>
    <w:rsid w:val="00501BF5"/>
    <w:rsid w:val="00501D8B"/>
    <w:rsid w:val="00503A3E"/>
    <w:rsid w:val="00503F59"/>
    <w:rsid w:val="005049A7"/>
    <w:rsid w:val="005053B2"/>
    <w:rsid w:val="00506331"/>
    <w:rsid w:val="00507D11"/>
    <w:rsid w:val="00510662"/>
    <w:rsid w:val="005109B7"/>
    <w:rsid w:val="00510A19"/>
    <w:rsid w:val="00511AAB"/>
    <w:rsid w:val="00514240"/>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F55"/>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285"/>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5C0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9F3"/>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0D95"/>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2F88"/>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401A"/>
    <w:rsid w:val="007D5915"/>
    <w:rsid w:val="007D5B4F"/>
    <w:rsid w:val="007D5C30"/>
    <w:rsid w:val="007E0660"/>
    <w:rsid w:val="007E1411"/>
    <w:rsid w:val="007E1882"/>
    <w:rsid w:val="007E1BB4"/>
    <w:rsid w:val="007E31DA"/>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707"/>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3E1F"/>
    <w:rsid w:val="00865B01"/>
    <w:rsid w:val="00866D7A"/>
    <w:rsid w:val="00866EE3"/>
    <w:rsid w:val="00867EAB"/>
    <w:rsid w:val="008701E5"/>
    <w:rsid w:val="00871F04"/>
    <w:rsid w:val="008746C1"/>
    <w:rsid w:val="0088003A"/>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6E04"/>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0667"/>
    <w:rsid w:val="00990FF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6C20"/>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449F"/>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01E6"/>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2D31"/>
    <w:rsid w:val="00BE425B"/>
    <w:rsid w:val="00BE51BB"/>
    <w:rsid w:val="00BE7595"/>
    <w:rsid w:val="00BE77D3"/>
    <w:rsid w:val="00BF0138"/>
    <w:rsid w:val="00BF04EF"/>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21"/>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6E35"/>
    <w:rsid w:val="00CA012C"/>
    <w:rsid w:val="00CA0AA6"/>
    <w:rsid w:val="00CA2897"/>
    <w:rsid w:val="00CA44F3"/>
    <w:rsid w:val="00CA582C"/>
    <w:rsid w:val="00CA6077"/>
    <w:rsid w:val="00CA715B"/>
    <w:rsid w:val="00CA7988"/>
    <w:rsid w:val="00CA7BA2"/>
    <w:rsid w:val="00CB06AB"/>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259"/>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A7A85"/>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37DFE"/>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586D"/>
    <w:rsid w:val="00FA7206"/>
    <w:rsid w:val="00FA7EFB"/>
    <w:rsid w:val="00FB0816"/>
    <w:rsid w:val="00FB08C2"/>
    <w:rsid w:val="00FB29F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E6788"/>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88B8B-F970-4FBB-B2A4-AB847A823FD6}">
  <ds:schemaRefs>
    <ds:schemaRef ds:uri="http://schemas.openxmlformats.org/officeDocument/2006/bibliography"/>
  </ds:schemaRefs>
</ds:datastoreItem>
</file>

<file path=customXml/itemProps2.xml><?xml version="1.0" encoding="utf-8"?>
<ds:datastoreItem xmlns:ds="http://schemas.openxmlformats.org/officeDocument/2006/customXml" ds:itemID="{B6D10D92-6CC2-44FB-8520-29F00310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3247</Words>
  <Characters>18499</Characters>
  <Application>Microsoft Office Word</Application>
  <DocSecurity>8</DocSecurity>
  <Lines>154</Lines>
  <Paragraphs>43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21703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Daphne van der Stam</cp:lastModifiedBy>
  <cp:revision>3</cp:revision>
  <cp:lastPrinted>2015-02-18T11:01:00Z</cp:lastPrinted>
  <dcterms:created xsi:type="dcterms:W3CDTF">2016-12-02T15:10:00Z</dcterms:created>
  <dcterms:modified xsi:type="dcterms:W3CDTF">2016-12-02T15:16:00Z</dcterms:modified>
</cp:coreProperties>
</file>