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ipervnculo"/>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tulo1"/>
        <w:numPr>
          <w:ilvl w:val="0"/>
          <w:numId w:val="0"/>
        </w:numPr>
        <w:ind w:left="431" w:hanging="431"/>
      </w:pPr>
      <w:r>
        <w:lastRenderedPageBreak/>
        <w:t>Introduction</w:t>
      </w:r>
    </w:p>
    <w:p w:rsidR="00D34282" w:rsidRPr="001D47A5" w:rsidRDefault="00D34282" w:rsidP="00D34282">
      <w:pPr>
        <w:rPr>
          <w:rStyle w:val="nfasisintenso"/>
        </w:rPr>
      </w:pPr>
      <w:r w:rsidRPr="001D47A5">
        <w:rPr>
          <w:rStyle w:val="nfasisintenso"/>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4806E9" w:rsidRPr="008C0ACE" w:rsidRDefault="004806E9" w:rsidP="004806E9">
      <w:pPr>
        <w:spacing w:after="200"/>
        <w:jc w:val="both"/>
        <w:rPr>
          <w:lang w:val="en-US"/>
        </w:rPr>
      </w:pPr>
      <w:permStart w:id="1365266252" w:edGrp="everyone"/>
      <w:proofErr w:type="spellStart"/>
      <w:r w:rsidRPr="008C0ACE">
        <w:rPr>
          <w:lang w:val="en-US"/>
        </w:rPr>
        <w:t>Bolsas</w:t>
      </w:r>
      <w:proofErr w:type="spellEnd"/>
      <w:r w:rsidRPr="008C0ACE">
        <w:rPr>
          <w:lang w:val="en-US"/>
        </w:rPr>
        <w:t xml:space="preserve"> y </w:t>
      </w:r>
      <w:proofErr w:type="spellStart"/>
      <w:r w:rsidRPr="008C0ACE">
        <w:rPr>
          <w:lang w:val="en-US"/>
        </w:rPr>
        <w:t>Mercados</w:t>
      </w:r>
      <w:proofErr w:type="spellEnd"/>
      <w:r w:rsidRPr="008C0ACE">
        <w:rPr>
          <w:lang w:val="en-US"/>
        </w:rPr>
        <w:t xml:space="preserve"> </w:t>
      </w:r>
      <w:proofErr w:type="spellStart"/>
      <w:r w:rsidRPr="008C0ACE">
        <w:rPr>
          <w:lang w:val="en-US"/>
        </w:rPr>
        <w:t>Españoles</w:t>
      </w:r>
      <w:proofErr w:type="spellEnd"/>
      <w:r w:rsidRPr="008C0ACE">
        <w:rPr>
          <w:lang w:val="en-US"/>
        </w:rPr>
        <w:t xml:space="preserve"> (BME) integrates the companies that operate the securities markets and the financial market infrastructures in Spain. Amongst others, it brings together, under a single activity, decision-making and coordination unit, the Spanish equity, fixed income and derivatives markets and their clearing and settlement systems. </w:t>
      </w:r>
    </w:p>
    <w:p w:rsidR="004806E9" w:rsidRDefault="004806E9" w:rsidP="004806E9">
      <w:pPr>
        <w:spacing w:after="200"/>
        <w:jc w:val="both"/>
      </w:pPr>
      <w:r w:rsidRPr="008C0ACE">
        <w:rPr>
          <w:lang w:val="en-US"/>
        </w:rPr>
        <w:t xml:space="preserve">We welcome the ESMA </w:t>
      </w:r>
      <w:r>
        <w:rPr>
          <w:lang w:val="en-US"/>
        </w:rPr>
        <w:t>Consultation</w:t>
      </w:r>
      <w:r w:rsidRPr="008C0ACE">
        <w:rPr>
          <w:lang w:val="en-US"/>
        </w:rPr>
        <w:t xml:space="preserve"> Paper on </w:t>
      </w:r>
      <w:r>
        <w:rPr>
          <w:lang w:val="en-US"/>
        </w:rPr>
        <w:t xml:space="preserve">Draft Technical Standards under the </w:t>
      </w:r>
      <w:r w:rsidRPr="008C0ACE">
        <w:rPr>
          <w:lang w:val="en-US"/>
        </w:rPr>
        <w:t>Benchmarks Regul</w:t>
      </w:r>
      <w:r w:rsidRPr="008C0ACE">
        <w:rPr>
          <w:lang w:val="en-US"/>
        </w:rPr>
        <w:t>a</w:t>
      </w:r>
      <w:r w:rsidRPr="008C0ACE">
        <w:rPr>
          <w:lang w:val="en-US"/>
        </w:rPr>
        <w:t>tion (ESMA/2016/</w:t>
      </w:r>
      <w:r>
        <w:rPr>
          <w:lang w:val="en-US"/>
        </w:rPr>
        <w:t>1406</w:t>
      </w:r>
      <w:r w:rsidRPr="008C0ACE">
        <w:rPr>
          <w:lang w:val="en-US"/>
        </w:rPr>
        <w:t>) and thank the European Securities and Markets Authority for the opportunity to contribute with our views to this public consultation process.</w:t>
      </w:r>
    </w:p>
    <w:permEnd w:id="1365266252"/>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763F7E" w:rsidRDefault="00D951C2" w:rsidP="00763F7E">
      <w:pPr>
        <w:jc w:val="both"/>
      </w:pPr>
      <w:permStart w:id="205793038" w:edGrp="everyone"/>
      <w:r>
        <w:t>We support the proposal that the oversight function takes a separate form of a committee within the o</w:t>
      </w:r>
      <w:r>
        <w:t>r</w:t>
      </w:r>
      <w:r>
        <w:t>ganisational structure of the administrator. BME, in principle, agrees with the non-exhaustive list of a</w:t>
      </w:r>
      <w:r>
        <w:t>r</w:t>
      </w:r>
      <w:r>
        <w:t xml:space="preserve">rangements and considers them to be </w:t>
      </w:r>
      <w:r w:rsidR="00763F7E">
        <w:t xml:space="preserve">flexible </w:t>
      </w:r>
      <w:r>
        <w:t>enough. We welcome the fact that the structure and co</w:t>
      </w:r>
      <w:r>
        <w:t>m</w:t>
      </w:r>
      <w:r>
        <w:t xml:space="preserve">position of the oversight function is determined by the administrator taking into consideration the nature, scale and complexity of the provision of the benchmarks. </w:t>
      </w:r>
    </w:p>
    <w:p w:rsidR="00D951C2" w:rsidRDefault="00D951C2" w:rsidP="00763F7E">
      <w:pPr>
        <w:jc w:val="both"/>
      </w:pPr>
      <w:r>
        <w:t xml:space="preserve">In case of </w:t>
      </w:r>
      <w:r w:rsidR="00763F7E">
        <w:t>regulated data benchmarks, BME agrees that including external members and/or input data providers should be optional and not mandatory.</w:t>
      </w:r>
    </w:p>
    <w:p w:rsidR="00D951C2" w:rsidRDefault="00763F7E" w:rsidP="001C2F4E">
      <w:pPr>
        <w:jc w:val="both"/>
      </w:pPr>
      <w:r>
        <w:t xml:space="preserve">Staff of the administrator </w:t>
      </w:r>
      <w:r w:rsidR="001C2F4E">
        <w:t xml:space="preserve">e.g. legal and compliance, </w:t>
      </w:r>
      <w:r>
        <w:t xml:space="preserve">should be included as </w:t>
      </w:r>
      <w:r w:rsidR="001C2F4E">
        <w:t xml:space="preserve">external </w:t>
      </w:r>
      <w:r>
        <w:t>members of the ove</w:t>
      </w:r>
      <w:r>
        <w:t>r</w:t>
      </w:r>
      <w:r>
        <w:t>sight committee when they are not directly linked to the process of the determination of the benchmark</w:t>
      </w:r>
      <w:r w:rsidR="001C2F4E">
        <w:t xml:space="preserve"> as they can provide expertise and lack of conflicts of interest</w:t>
      </w:r>
      <w:r>
        <w:t>.</w:t>
      </w:r>
    </w:p>
    <w:permEnd w:id="205793038"/>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rsidR="009A2624" w:rsidRDefault="00665C07" w:rsidP="009A2624">
      <w:r>
        <w:t>&lt;ESMA_QUESTION_C</w:t>
      </w:r>
      <w:r w:rsidR="009A2624">
        <w:t>P_BMR_2&gt;</w:t>
      </w:r>
    </w:p>
    <w:p w:rsidR="009A2624" w:rsidRDefault="00663924" w:rsidP="009A2624">
      <w:permStart w:id="510677358" w:edGrp="everyone"/>
      <w:r>
        <w:t>BME considers appropriate to include an option that allows a natural person to carry the oversight fun</w:t>
      </w:r>
      <w:r>
        <w:t>c</w:t>
      </w:r>
      <w:r>
        <w:t xml:space="preserve">tion. </w:t>
      </w:r>
      <w:r w:rsidR="00633EDA">
        <w:t xml:space="preserve">It is an option suitable for small administrators or for benchmarks with very limited number of users for example. </w:t>
      </w:r>
      <w:r>
        <w:t xml:space="preserve">In any case, should be an independent person with no conflicts of interest, still being an employee of the administrator </w:t>
      </w:r>
    </w:p>
    <w:permEnd w:id="510677358"/>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2D1464" w:rsidRDefault="008C34BF" w:rsidP="009A2624">
      <w:permStart w:id="1667585145" w:edGrp="everyone"/>
      <w:r>
        <w:t xml:space="preserve">BME supports the inclusion of observers in the oversight function </w:t>
      </w:r>
      <w:r w:rsidR="002D1464">
        <w:t xml:space="preserve">as described in ESMA proposal and considers interesting the inclusion of other </w:t>
      </w:r>
      <w:r w:rsidR="004F0DB2" w:rsidRPr="008B119F">
        <w:t>stakeholders</w:t>
      </w:r>
      <w:r w:rsidR="002D1464">
        <w:t xml:space="preserve"> than public authorities, such as market partic</w:t>
      </w:r>
      <w:r w:rsidR="002D1464">
        <w:t>i</w:t>
      </w:r>
      <w:r w:rsidR="002D1464">
        <w:t>pants.</w:t>
      </w:r>
    </w:p>
    <w:permEnd w:id="1667585145"/>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9A2624" w:rsidRDefault="00105588" w:rsidP="009A2624">
      <w:permStart w:id="2003461596" w:edGrp="everyone"/>
      <w:r>
        <w:t>BME believes the principle of proportionality has been met in ESMAs proposal regarding the application of the requirements</w:t>
      </w:r>
    </w:p>
    <w:permEnd w:id="2003461596"/>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9A2624" w:rsidRDefault="00105588" w:rsidP="009A2624">
      <w:permStart w:id="1702655796" w:edGrp="everyone"/>
      <w:r>
        <w:t>No further comments</w:t>
      </w:r>
    </w:p>
    <w:permEnd w:id="1702655796"/>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CE1B39" w:rsidRDefault="00CE1B39" w:rsidP="00CE1B39">
      <w:permStart w:id="1183128152" w:edGrp="everyone"/>
      <w:r>
        <w:lastRenderedPageBreak/>
        <w:t>BME agrees with ESMA´s proposal, including the simplified provisions regarding record keeping oblig</w:t>
      </w:r>
      <w:r>
        <w:t>a</w:t>
      </w:r>
      <w:r>
        <w:t>tions and the exemption provided for regulated data benchmarks.</w:t>
      </w:r>
    </w:p>
    <w:permEnd w:id="1183128152"/>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8B119F" w:rsidRPr="00226133" w:rsidRDefault="008B119F" w:rsidP="008B119F">
      <w:pPr>
        <w:jc w:val="both"/>
        <w:rPr>
          <w:rFonts w:cs="Arial"/>
          <w:b/>
          <w:color w:val="000000"/>
          <w:szCs w:val="20"/>
          <w:lang w:val="en-US"/>
        </w:rPr>
      </w:pPr>
      <w:permStart w:id="300625896" w:edGrp="everyone"/>
      <w:r w:rsidRPr="00226133">
        <w:rPr>
          <w:rFonts w:cs="Arial"/>
          <w:b/>
          <w:color w:val="000000"/>
          <w:szCs w:val="20"/>
          <w:lang w:val="en-US"/>
        </w:rPr>
        <w:t>Code of Conduct not suitable for input data provided by a regulated trading venue</w:t>
      </w:r>
    </w:p>
    <w:p w:rsidR="008B119F" w:rsidRPr="00226133" w:rsidRDefault="008B119F" w:rsidP="008B119F">
      <w:pPr>
        <w:jc w:val="both"/>
        <w:rPr>
          <w:rFonts w:cs="Arial"/>
          <w:color w:val="000000"/>
          <w:szCs w:val="20"/>
          <w:lang w:val="en-US"/>
        </w:rPr>
      </w:pPr>
      <w:r w:rsidRPr="00226133">
        <w:rPr>
          <w:rFonts w:cs="Arial"/>
          <w:color w:val="000000"/>
          <w:szCs w:val="20"/>
          <w:lang w:val="en-US"/>
        </w:rPr>
        <w:t>BME</w:t>
      </w:r>
      <w:r w:rsidRPr="00226133">
        <w:rPr>
          <w:rFonts w:cs="Arial"/>
          <w:color w:val="000000"/>
          <w:szCs w:val="20"/>
          <w:lang w:val="en-US"/>
        </w:rPr>
        <w:t xml:space="preserve"> </w:t>
      </w:r>
      <w:r w:rsidRPr="00226133">
        <w:rPr>
          <w:rFonts w:cs="Arial"/>
          <w:color w:val="000000"/>
          <w:szCs w:val="20"/>
          <w:lang w:val="en-US"/>
        </w:rPr>
        <w:t>is concerned that Art. 3 (1) (24) (a) (</w:t>
      </w:r>
      <w:proofErr w:type="spellStart"/>
      <w:r w:rsidRPr="00226133">
        <w:rPr>
          <w:rFonts w:cs="Arial"/>
          <w:color w:val="000000"/>
          <w:szCs w:val="20"/>
          <w:lang w:val="en-US"/>
        </w:rPr>
        <w:t>i</w:t>
      </w:r>
      <w:proofErr w:type="spellEnd"/>
      <w:r w:rsidRPr="00226133">
        <w:rPr>
          <w:rFonts w:cs="Arial"/>
          <w:color w:val="000000"/>
          <w:szCs w:val="20"/>
          <w:lang w:val="en-US"/>
        </w:rPr>
        <w:t>) of the Benchmarks Regulation, in combination with the current state of equiv</w:t>
      </w:r>
      <w:r w:rsidRPr="00226133">
        <w:rPr>
          <w:rFonts w:cs="Arial"/>
          <w:color w:val="000000"/>
          <w:szCs w:val="20"/>
          <w:lang w:val="en-US"/>
        </w:rPr>
        <w:t>a</w:t>
      </w:r>
      <w:r w:rsidRPr="00226133">
        <w:rPr>
          <w:rFonts w:cs="Arial"/>
          <w:color w:val="000000"/>
          <w:szCs w:val="20"/>
          <w:lang w:val="en-US"/>
        </w:rPr>
        <w:t>lence decisions in case of third country regulated markets versus the EU, will provide for significant uni</w:t>
      </w:r>
      <w:r w:rsidRPr="00226133">
        <w:rPr>
          <w:rFonts w:cs="Arial"/>
          <w:color w:val="000000"/>
          <w:szCs w:val="20"/>
          <w:lang w:val="en-US"/>
        </w:rPr>
        <w:t>n</w:t>
      </w:r>
      <w:r w:rsidRPr="00226133">
        <w:rPr>
          <w:rFonts w:cs="Arial"/>
          <w:color w:val="000000"/>
          <w:szCs w:val="20"/>
          <w:lang w:val="en-US"/>
        </w:rPr>
        <w:t xml:space="preserve">tended negative consequences for the provision of benchmarks within the EU based on non-EU </w:t>
      </w:r>
      <w:proofErr w:type="spellStart"/>
      <w:r w:rsidRPr="00226133">
        <w:rPr>
          <w:rFonts w:cs="Arial"/>
          <w:color w:val="000000"/>
          <w:szCs w:val="20"/>
          <w:lang w:val="en-US"/>
        </w:rPr>
        <w:t>underl</w:t>
      </w:r>
      <w:r w:rsidRPr="00226133">
        <w:rPr>
          <w:rFonts w:cs="Arial"/>
          <w:color w:val="000000"/>
          <w:szCs w:val="20"/>
          <w:lang w:val="en-US"/>
        </w:rPr>
        <w:t>y</w:t>
      </w:r>
      <w:r w:rsidRPr="00226133">
        <w:rPr>
          <w:rFonts w:cs="Arial"/>
          <w:color w:val="000000"/>
          <w:szCs w:val="20"/>
          <w:lang w:val="en-US"/>
        </w:rPr>
        <w:t>ings</w:t>
      </w:r>
      <w:proofErr w:type="spellEnd"/>
      <w:r w:rsidRPr="00226133">
        <w:rPr>
          <w:rFonts w:cs="Arial"/>
          <w:color w:val="000000"/>
          <w:szCs w:val="20"/>
          <w:lang w:val="en-US"/>
        </w:rPr>
        <w:t xml:space="preserve">. Besides significantly reducing choice for EU investors and their opportunities to invest into global economies, there is a risk of disruption if certain benchmarks are no longer provided after the application of the Benchmarks Regulation. </w:t>
      </w:r>
    </w:p>
    <w:p w:rsidR="008B119F" w:rsidRPr="00226133" w:rsidRDefault="008B119F" w:rsidP="008B119F">
      <w:pPr>
        <w:jc w:val="both"/>
        <w:rPr>
          <w:rFonts w:cs="Arial"/>
          <w:color w:val="000000"/>
          <w:szCs w:val="20"/>
          <w:lang w:val="en-US"/>
        </w:rPr>
      </w:pPr>
      <w:r w:rsidRPr="00226133">
        <w:rPr>
          <w:rFonts w:cs="Arial"/>
          <w:color w:val="000000"/>
          <w:szCs w:val="20"/>
          <w:lang w:val="en-US"/>
        </w:rPr>
        <w:t>The alternative role of a contributor for a third country regulated trading venue – as indicated by ESMA during the open hearing in Paris – and the accompanying Code of Conduct is not suitable for input data provided by a regulated trading venue, whether it is a regulated trading venue located within or outside the EU. We would like to highlight the below areas of the Benchmarks Regulation for ESMA to further consi</w:t>
      </w:r>
      <w:r w:rsidRPr="00226133">
        <w:rPr>
          <w:rFonts w:cs="Arial"/>
          <w:color w:val="000000"/>
          <w:szCs w:val="20"/>
          <w:lang w:val="en-US"/>
        </w:rPr>
        <w:t>d</w:t>
      </w:r>
      <w:r w:rsidRPr="00226133">
        <w:rPr>
          <w:rFonts w:cs="Arial"/>
          <w:color w:val="000000"/>
          <w:szCs w:val="20"/>
          <w:lang w:val="en-US"/>
        </w:rPr>
        <w:t xml:space="preserve">er: </w:t>
      </w:r>
    </w:p>
    <w:p w:rsidR="008B119F" w:rsidRPr="00226133" w:rsidRDefault="008B119F" w:rsidP="008B119F">
      <w:pPr>
        <w:pStyle w:val="Prrafodelista"/>
        <w:numPr>
          <w:ilvl w:val="0"/>
          <w:numId w:val="41"/>
        </w:numPr>
        <w:jc w:val="both"/>
        <w:rPr>
          <w:rFonts w:cs="Arial"/>
          <w:b/>
          <w:color w:val="000000"/>
          <w:szCs w:val="20"/>
          <w:u w:val="single"/>
        </w:rPr>
      </w:pPr>
      <w:r w:rsidRPr="00226133">
        <w:rPr>
          <w:rFonts w:cs="Arial"/>
          <w:color w:val="000000"/>
          <w:szCs w:val="20"/>
        </w:rPr>
        <w:t>Art. 11 (1) (e) Benchmark Regulation distinguishes between contributor data and representative publicly available data: “(e) the administrator shall not use input data from a contributor if the a</w:t>
      </w:r>
      <w:r w:rsidRPr="00226133">
        <w:rPr>
          <w:rFonts w:cs="Arial"/>
          <w:color w:val="000000"/>
          <w:szCs w:val="20"/>
        </w:rPr>
        <w:t>d</w:t>
      </w:r>
      <w:r w:rsidRPr="00226133">
        <w:rPr>
          <w:rFonts w:cs="Arial"/>
          <w:color w:val="000000"/>
          <w:szCs w:val="20"/>
        </w:rPr>
        <w:t xml:space="preserve">ministrator has any indication that the contributor does not adhere to the code of conduct referred to in Art. 15, </w:t>
      </w:r>
      <w:r w:rsidRPr="00226133">
        <w:rPr>
          <w:rFonts w:cs="Arial"/>
          <w:b/>
          <w:color w:val="000000"/>
          <w:szCs w:val="20"/>
          <w:u w:val="single"/>
        </w:rPr>
        <w:t>and in such a case shall obtain representative publicly available data.”</w:t>
      </w:r>
    </w:p>
    <w:p w:rsidR="008B119F" w:rsidRPr="00226133" w:rsidRDefault="008B119F" w:rsidP="008B119F">
      <w:pPr>
        <w:pStyle w:val="Prrafodelista"/>
        <w:numPr>
          <w:ilvl w:val="0"/>
          <w:numId w:val="41"/>
        </w:numPr>
        <w:jc w:val="both"/>
        <w:rPr>
          <w:rFonts w:cs="Arial"/>
          <w:color w:val="000000"/>
          <w:szCs w:val="20"/>
        </w:rPr>
      </w:pPr>
      <w:r w:rsidRPr="00226133">
        <w:rPr>
          <w:rFonts w:cs="Arial"/>
          <w:color w:val="000000"/>
          <w:szCs w:val="20"/>
        </w:rPr>
        <w:t>Art. 3 (1) (9) Benchmark Regulation refers to the “contributor” as a natural or legal person contri</w:t>
      </w:r>
      <w:r w:rsidRPr="00226133">
        <w:rPr>
          <w:rFonts w:cs="Arial"/>
          <w:color w:val="000000"/>
          <w:szCs w:val="20"/>
        </w:rPr>
        <w:t>b</w:t>
      </w:r>
      <w:r w:rsidRPr="00226133">
        <w:rPr>
          <w:rFonts w:cs="Arial"/>
          <w:color w:val="000000"/>
          <w:szCs w:val="20"/>
        </w:rPr>
        <w:t xml:space="preserve">uting input data, while a “supervised contributor” according to </w:t>
      </w:r>
      <w:r w:rsidRPr="00226133">
        <w:rPr>
          <w:rFonts w:cs="Arial"/>
          <w:b/>
          <w:color w:val="000000"/>
          <w:szCs w:val="20"/>
          <w:u w:val="single"/>
        </w:rPr>
        <w:t>Art. 3 (1) (10) means a supervised entity that contributes input data to an administrator located in the Union.</w:t>
      </w:r>
      <w:r w:rsidRPr="00226133">
        <w:rPr>
          <w:rFonts w:cs="Arial"/>
          <w:color w:val="000000"/>
          <w:szCs w:val="20"/>
        </w:rPr>
        <w:t xml:space="preserve"> According to Art. 3 (1) (8) of Benchmark Regulation, however, </w:t>
      </w:r>
      <w:r w:rsidRPr="00226133">
        <w:rPr>
          <w:rFonts w:cs="Arial"/>
          <w:b/>
          <w:color w:val="000000"/>
          <w:szCs w:val="20"/>
          <w:u w:val="single"/>
        </w:rPr>
        <w:t>“contribution of input data” means providing any “input data not readily available to an administrator”</w:t>
      </w:r>
      <w:r w:rsidRPr="00226133">
        <w:rPr>
          <w:rFonts w:cs="Arial"/>
          <w:color w:val="000000"/>
          <w:szCs w:val="20"/>
        </w:rPr>
        <w:t xml:space="preserve">, </w:t>
      </w:r>
      <w:r w:rsidRPr="00226133">
        <w:rPr>
          <w:rFonts w:cs="Arial"/>
          <w:color w:val="000000"/>
          <w:szCs w:val="20"/>
          <w:u w:val="single"/>
        </w:rPr>
        <w:t>but instead provided for the purpose to determine a benchmark</w:t>
      </w:r>
      <w:r w:rsidRPr="00226133">
        <w:rPr>
          <w:rFonts w:cs="Arial"/>
          <w:color w:val="000000"/>
          <w:szCs w:val="20"/>
        </w:rPr>
        <w:t xml:space="preserve">. </w:t>
      </w:r>
    </w:p>
    <w:p w:rsidR="008B119F" w:rsidRPr="00226133" w:rsidRDefault="008B119F" w:rsidP="008B119F">
      <w:pPr>
        <w:jc w:val="both"/>
        <w:rPr>
          <w:rFonts w:cs="Arial"/>
          <w:color w:val="000000"/>
          <w:szCs w:val="20"/>
          <w:lang w:val="en-US"/>
        </w:rPr>
      </w:pPr>
    </w:p>
    <w:p w:rsidR="008B119F" w:rsidRPr="00226133" w:rsidRDefault="008B119F" w:rsidP="008B119F">
      <w:pPr>
        <w:jc w:val="both"/>
        <w:rPr>
          <w:rFonts w:cs="Arial"/>
          <w:color w:val="000000"/>
          <w:szCs w:val="20"/>
          <w:lang w:val="en-US"/>
        </w:rPr>
      </w:pPr>
      <w:r w:rsidRPr="00226133">
        <w:rPr>
          <w:rFonts w:cs="Arial"/>
          <w:color w:val="000000"/>
          <w:szCs w:val="20"/>
          <w:lang w:val="en-US"/>
        </w:rPr>
        <w:t>We consider that no regulated trading venue across the globe provides regulated data solely for the purpose of determining a benchmark. Regulated trading venues generally publish data in order to provide transparency to the market and market participants across the globe and not for the sole purpose of determining benchmarks.</w:t>
      </w:r>
    </w:p>
    <w:p w:rsidR="008B119F" w:rsidRPr="00226133" w:rsidRDefault="008B119F" w:rsidP="008B119F">
      <w:pPr>
        <w:jc w:val="both"/>
        <w:rPr>
          <w:rFonts w:cs="Arial"/>
          <w:color w:val="000000"/>
          <w:szCs w:val="20"/>
          <w:lang w:val="en-US"/>
        </w:rPr>
      </w:pPr>
      <w:r w:rsidRPr="00226133">
        <w:rPr>
          <w:rFonts w:cs="Arial"/>
          <w:color w:val="000000"/>
          <w:szCs w:val="20"/>
          <w:lang w:val="en-US"/>
        </w:rPr>
        <w:t>Recital 12 of the Benchmarks Regulation states that “All contributors of input data to benchmarks can exercise discretion and are potentially subject to conflicts of interest, and so risk being a source of m</w:t>
      </w:r>
      <w:r w:rsidRPr="00226133">
        <w:rPr>
          <w:rFonts w:cs="Arial"/>
          <w:color w:val="000000"/>
          <w:szCs w:val="20"/>
          <w:lang w:val="en-US"/>
        </w:rPr>
        <w:t>a</w:t>
      </w:r>
      <w:r w:rsidRPr="00226133">
        <w:rPr>
          <w:rFonts w:cs="Arial"/>
          <w:color w:val="000000"/>
          <w:szCs w:val="20"/>
          <w:lang w:val="en-US"/>
        </w:rPr>
        <w:t>nipulation.” This is not the case for regulated trading venues. Where clear exchange rules and strict ma</w:t>
      </w:r>
      <w:r w:rsidRPr="00226133">
        <w:rPr>
          <w:rFonts w:cs="Arial"/>
          <w:color w:val="000000"/>
          <w:szCs w:val="20"/>
          <w:lang w:val="en-US"/>
        </w:rPr>
        <w:t>r</w:t>
      </w:r>
      <w:r w:rsidRPr="00226133">
        <w:rPr>
          <w:rFonts w:cs="Arial"/>
          <w:color w:val="000000"/>
          <w:szCs w:val="20"/>
          <w:lang w:val="en-US"/>
        </w:rPr>
        <w:t>ket supervision leads to orderly trading and highly reliable and readily available data – both inside the EU as well as outside the EU. Furthermore, regulated trading venues do not face conflicts of interests as stated above.</w:t>
      </w:r>
    </w:p>
    <w:p w:rsidR="008B119F" w:rsidRPr="00226133" w:rsidRDefault="008B119F" w:rsidP="008B119F">
      <w:pPr>
        <w:jc w:val="both"/>
        <w:rPr>
          <w:rFonts w:cs="Arial"/>
          <w:color w:val="000000"/>
          <w:szCs w:val="20"/>
          <w:lang w:val="en-US"/>
        </w:rPr>
      </w:pPr>
      <w:r w:rsidRPr="00226133">
        <w:rPr>
          <w:rFonts w:cs="Arial"/>
          <w:color w:val="000000"/>
          <w:szCs w:val="20"/>
          <w:lang w:val="en-US"/>
        </w:rPr>
        <w:t xml:space="preserve">While the above comments refer to </w:t>
      </w:r>
      <w:proofErr w:type="gramStart"/>
      <w:r w:rsidRPr="00226133">
        <w:rPr>
          <w:rFonts w:cs="Arial"/>
          <w:color w:val="000000"/>
          <w:szCs w:val="20"/>
          <w:lang w:val="en-US"/>
        </w:rPr>
        <w:t>Level  1</w:t>
      </w:r>
      <w:proofErr w:type="gramEnd"/>
      <w:r w:rsidRPr="00226133">
        <w:rPr>
          <w:rFonts w:cs="Arial"/>
          <w:color w:val="000000"/>
          <w:szCs w:val="20"/>
          <w:lang w:val="en-US"/>
        </w:rPr>
        <w:t xml:space="preserve">, we must highlight the fact that there is no solution on offer which could be applied to Non-EU regulated trading venues data either. </w:t>
      </w:r>
    </w:p>
    <w:p w:rsidR="008B119F" w:rsidRPr="00226133" w:rsidRDefault="008B119F" w:rsidP="008B119F">
      <w:pPr>
        <w:jc w:val="both"/>
        <w:rPr>
          <w:rFonts w:cs="Arial"/>
          <w:color w:val="000000"/>
          <w:szCs w:val="20"/>
          <w:lang w:val="en-US"/>
        </w:rPr>
      </w:pPr>
      <w:r w:rsidRPr="00226133">
        <w:rPr>
          <w:rFonts w:cs="Arial"/>
          <w:color w:val="000000"/>
          <w:szCs w:val="20"/>
          <w:lang w:val="en-US"/>
        </w:rPr>
        <w:t xml:space="preserve">FESE agrees with ESMA as regards their Art. </w:t>
      </w:r>
      <w:proofErr w:type="gramStart"/>
      <w:r w:rsidRPr="00226133">
        <w:rPr>
          <w:rFonts w:cs="Arial"/>
          <w:color w:val="000000"/>
          <w:szCs w:val="20"/>
          <w:lang w:val="en-US"/>
        </w:rPr>
        <w:t>4 in the draft technical standard to input data.</w:t>
      </w:r>
      <w:proofErr w:type="gramEnd"/>
      <w:r w:rsidRPr="00226133">
        <w:rPr>
          <w:rFonts w:cs="Arial"/>
          <w:color w:val="000000"/>
          <w:szCs w:val="20"/>
          <w:lang w:val="en-US"/>
        </w:rPr>
        <w:t xml:space="preserve">  Art. </w:t>
      </w:r>
      <w:proofErr w:type="gramStart"/>
      <w:r w:rsidRPr="00226133">
        <w:rPr>
          <w:rFonts w:cs="Arial"/>
          <w:color w:val="000000"/>
          <w:szCs w:val="20"/>
          <w:lang w:val="en-US"/>
        </w:rPr>
        <w:t>3 (2) which according to Art.</w:t>
      </w:r>
      <w:proofErr w:type="gramEnd"/>
      <w:r w:rsidRPr="00226133">
        <w:rPr>
          <w:rFonts w:cs="Arial"/>
          <w:color w:val="000000"/>
          <w:szCs w:val="20"/>
          <w:lang w:val="en-US"/>
        </w:rPr>
        <w:t xml:space="preserve"> 4 </w:t>
      </w:r>
      <w:proofErr w:type="gramStart"/>
      <w:r w:rsidRPr="00226133">
        <w:rPr>
          <w:rFonts w:cs="Arial"/>
          <w:color w:val="000000"/>
          <w:szCs w:val="20"/>
          <w:lang w:val="en-US"/>
        </w:rPr>
        <w:t>is</w:t>
      </w:r>
      <w:proofErr w:type="gramEnd"/>
      <w:r w:rsidRPr="00226133">
        <w:rPr>
          <w:rFonts w:cs="Arial"/>
          <w:color w:val="000000"/>
          <w:szCs w:val="20"/>
          <w:lang w:val="en-US"/>
        </w:rPr>
        <w:t xml:space="preserve"> not applicable to administrators of regulated data benchmarks is not suitable to data published by regulated trading venues inside or outside the EU. In particular, Art. 3 (2) (f) refers to such substantial additional requirements an administrator would need to obtain from Non-EU regulated trading venues that it is safe to assume that these requirements will never be achievable. Not only are the requirements not suitable due to the different nature of data generation, we do not expect that Non-EU regulated trading venues would accept the unsuitable contributor requirements in order to satisfy the administrators regulatory requirement in this respect. </w:t>
      </w:r>
    </w:p>
    <w:p w:rsidR="009A2624" w:rsidRDefault="00665C07" w:rsidP="009A2624">
      <w:bookmarkStart w:id="3" w:name="_GoBack"/>
      <w:bookmarkEnd w:id="3"/>
      <w:permEnd w:id="300625896"/>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lastRenderedPageBreak/>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rsidR="009A2624" w:rsidRDefault="00665C07" w:rsidP="009A2624">
      <w:r>
        <w:t>&lt;ESMA_QUESTION_C</w:t>
      </w:r>
      <w:r w:rsidR="009A2624">
        <w:t>P_BMR_8&gt;</w:t>
      </w:r>
    </w:p>
    <w:p w:rsidR="009A2624" w:rsidRDefault="008631A4" w:rsidP="009A2624">
      <w:permStart w:id="936843213" w:edGrp="everyone"/>
      <w:r>
        <w:t>BME supports ESMA´s proposal related to the key elements of the methodology.</w:t>
      </w:r>
    </w:p>
    <w:permEnd w:id="936843213"/>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9A2624" w:rsidRDefault="0090214A" w:rsidP="009A2624">
      <w:permStart w:id="1885299097" w:edGrp="everyone"/>
      <w:r>
        <w:t>The disclosure of the procedure for internal review of the methodology is adequate from BME´s point of view</w:t>
      </w:r>
      <w:r w:rsidR="00CE104A">
        <w:t xml:space="preserve">, especially the disclosure of the roles, functions and bodies in charge of the review instead of the </w:t>
      </w:r>
      <w:r w:rsidR="00451F91">
        <w:t xml:space="preserve">individual </w:t>
      </w:r>
      <w:r w:rsidR="00CE104A">
        <w:t>names of persons. Also, BME supports that the frequency of internal reviews of methodology it is upon administrator´s discretion</w:t>
      </w:r>
      <w:r w:rsidR="00451F91">
        <w:t>, following mandatory reviews at least annually</w:t>
      </w:r>
      <w:r w:rsidR="00CE104A">
        <w:t>.</w:t>
      </w:r>
    </w:p>
    <w:permEnd w:id="1885299097"/>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6B4A9C" w:rsidRDefault="006B4A9C" w:rsidP="009A2624">
      <w:permStart w:id="186072498" w:edGrp="everyone"/>
      <w:r>
        <w:t>BME cannot be supportive with the procedure for consultation on material changes mainly on two issues.</w:t>
      </w:r>
    </w:p>
    <w:p w:rsidR="003A1E1A" w:rsidRDefault="006B4A9C" w:rsidP="009A2624">
      <w:r>
        <w:t xml:space="preserve">Firstly, ESMA´s proposal is not allowing an administrator to adapt its methodology in case of sudden market events. </w:t>
      </w:r>
      <w:r w:rsidR="003A1E1A">
        <w:t>BME asks ESMA to consider t</w:t>
      </w:r>
      <w:r>
        <w:t xml:space="preserve">his exemption </w:t>
      </w:r>
      <w:r w:rsidR="003A1E1A">
        <w:t xml:space="preserve">to be permitted in exceptional circumstances in order to </w:t>
      </w:r>
      <w:r w:rsidR="004F0DB2" w:rsidRPr="008B119F">
        <w:t>safeguard</w:t>
      </w:r>
      <w:r w:rsidR="003A1E1A">
        <w:t xml:space="preserve"> the index determination process. </w:t>
      </w:r>
    </w:p>
    <w:p w:rsidR="009A2624" w:rsidRDefault="000317C3" w:rsidP="009A2624">
      <w:r>
        <w:t>Secondly, BME does not support ESMAs proposal not allowing publishing comments received to the consultation in form of summaries. ESMAs concerns are about the risk of selecting answers and biasing the consultation process, ESMA should rely on administrator’s ability to extract and summarize the whole comments made by the stakeholders at least for significant and non-significant benchmarks.  This would derive in a better cost- benefit analysis for administrators in terms of time and resources reducing also the administrative burden</w:t>
      </w:r>
      <w:r w:rsidR="00C811A1">
        <w:t>.</w:t>
      </w:r>
      <w:r w:rsidR="003A1E1A">
        <w:t xml:space="preserve"> </w:t>
      </w:r>
      <w:r w:rsidR="006B4A9C">
        <w:t xml:space="preserve"> </w:t>
      </w:r>
    </w:p>
    <w:permEnd w:id="186072498"/>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9A2624" w:rsidRDefault="009A2624" w:rsidP="009A2624">
      <w:permStart w:id="1011554610" w:edGrp="everyone"/>
      <w:r>
        <w:t>TYPE YOUR TEXT HERE</w:t>
      </w:r>
    </w:p>
    <w:permEnd w:id="1011554610"/>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863E1F" w:rsidRDefault="00863E1F" w:rsidP="00863E1F">
      <w:permStart w:id="1566722194" w:edGrp="everyone"/>
      <w:r>
        <w:t>TYPE YOUR TEXT HERE</w:t>
      </w:r>
    </w:p>
    <w:permEnd w:id="1566722194"/>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rsidR="0038662B" w:rsidRDefault="0038662B" w:rsidP="0038662B">
      <w:r>
        <w:lastRenderedPageBreak/>
        <w:t>&lt;ESMA_QUESTION_CP_BMR_13&gt;</w:t>
      </w:r>
    </w:p>
    <w:p w:rsidR="0038662B" w:rsidRDefault="0038662B" w:rsidP="0038662B">
      <w:permStart w:id="782974106" w:edGrp="everyone"/>
      <w:r>
        <w:t>TYPE YOUR TEXT HERE</w:t>
      </w:r>
    </w:p>
    <w:permEnd w:id="782974106"/>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38662B" w:rsidRDefault="0038662B" w:rsidP="0038662B">
      <w:permStart w:id="169548187" w:edGrp="everyone"/>
      <w:r>
        <w:t>TYPE YOUR TEXT HERE</w:t>
      </w:r>
    </w:p>
    <w:permEnd w:id="169548187"/>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rsidR="0038662B" w:rsidRDefault="0038662B" w:rsidP="0038662B">
      <w:r>
        <w:t>&lt;ESMA_QUESTION_CP_BMR_15&gt;</w:t>
      </w:r>
    </w:p>
    <w:p w:rsidR="0038662B" w:rsidRDefault="0038662B" w:rsidP="0038662B">
      <w:permStart w:id="850681156" w:edGrp="everyone"/>
      <w:r>
        <w:t>TYPE YOUR TEXT HERE</w:t>
      </w:r>
    </w:p>
    <w:permEnd w:id="850681156"/>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38662B" w:rsidRDefault="0038662B" w:rsidP="0038662B">
      <w:permStart w:id="94720815" w:edGrp="everyone"/>
      <w:r>
        <w:t>TYPE YOUR TEXT HERE</w:t>
      </w:r>
    </w:p>
    <w:permEnd w:id="94720815"/>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rsidR="0038662B" w:rsidRDefault="0038662B" w:rsidP="0038662B">
      <w:r>
        <w:t>&lt;ESMA_QUESTION_CP_BMR_17&gt;</w:t>
      </w:r>
    </w:p>
    <w:p w:rsidR="0038662B" w:rsidRDefault="0038662B" w:rsidP="0038662B">
      <w:permStart w:id="648101709" w:edGrp="everyone"/>
      <w:r>
        <w:t>TYPE YOUR TEXT HERE</w:t>
      </w:r>
    </w:p>
    <w:permEnd w:id="648101709"/>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38662B" w:rsidRDefault="0038662B" w:rsidP="0038662B">
      <w:permStart w:id="717302674" w:edGrp="everyone"/>
      <w:r>
        <w:t>TYPE YOUR TEXT HERE</w:t>
      </w:r>
    </w:p>
    <w:permEnd w:id="717302674"/>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t>&lt;ESMA_QUESTION_CP_BMR_19&gt;</w:t>
      </w:r>
    </w:p>
    <w:p w:rsidR="000322A4" w:rsidRDefault="000322A4" w:rsidP="000322A4">
      <w:pPr>
        <w:rPr>
          <w:lang w:val="en-US"/>
        </w:rPr>
      </w:pPr>
      <w:permStart w:id="966948282" w:edGrp="everyone"/>
      <w:r w:rsidRPr="00F205A5">
        <w:rPr>
          <w:lang w:val="en-US"/>
        </w:rPr>
        <w:t>BMEs agree with ESMA´s specifications of the criteria according to ar</w:t>
      </w:r>
      <w:r>
        <w:rPr>
          <w:lang w:val="en-US"/>
        </w:rPr>
        <w:t>ticl</w:t>
      </w:r>
      <w:r w:rsidRPr="00F205A5">
        <w:rPr>
          <w:lang w:val="en-US"/>
        </w:rPr>
        <w:t>e 25 where there are exceptions</w:t>
      </w:r>
      <w:r>
        <w:rPr>
          <w:lang w:val="en-US"/>
        </w:rPr>
        <w:t xml:space="preserve"> that</w:t>
      </w:r>
      <w:r w:rsidRPr="00F205A5">
        <w:rPr>
          <w:lang w:val="en-US"/>
        </w:rPr>
        <w:t xml:space="preserve"> allow the administrator not to follow all the requirements of the regulations</w:t>
      </w:r>
      <w:r>
        <w:rPr>
          <w:lang w:val="en-US"/>
        </w:rPr>
        <w:t>. In particular administrators of significant benchmarks are permitted not to comply with some points related to conflicts of interest, control of input data or code of conduct for contributors</w:t>
      </w:r>
      <w:r w:rsidRPr="00F205A5">
        <w:rPr>
          <w:lang w:val="en-US"/>
        </w:rPr>
        <w:t xml:space="preserve"> if it is justif</w:t>
      </w:r>
      <w:r>
        <w:rPr>
          <w:lang w:val="en-US"/>
        </w:rPr>
        <w:t xml:space="preserve">ied upon the application of the principle of proportionality. National authorities will have to make the assessment bearing in mind the vulnerability to manipulation, the nature of input data, the level of conflicts of interest, degree of discretion, </w:t>
      </w:r>
      <w:r w:rsidR="007C2C66">
        <w:rPr>
          <w:lang w:val="en-US"/>
        </w:rPr>
        <w:t>and impact</w:t>
      </w:r>
      <w:r>
        <w:rPr>
          <w:lang w:val="en-US"/>
        </w:rPr>
        <w:t xml:space="preserve"> of the benchmarks in markets</w:t>
      </w:r>
      <w:r w:rsidR="007C2C66">
        <w:rPr>
          <w:lang w:val="en-US"/>
        </w:rPr>
        <w:t xml:space="preserve"> or financial stability.</w:t>
      </w:r>
      <w:r>
        <w:rPr>
          <w:lang w:val="en-US"/>
        </w:rPr>
        <w:t xml:space="preserve"> </w:t>
      </w:r>
    </w:p>
    <w:permEnd w:id="966948282"/>
    <w:p w:rsidR="0038662B" w:rsidRDefault="0038662B" w:rsidP="0038662B">
      <w:r>
        <w:lastRenderedPageBreak/>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CE659B" w:rsidRPr="00CF2BE1" w:rsidRDefault="00CE659B" w:rsidP="00CF2BE1">
      <w:pPr>
        <w:pStyle w:val="Questionstyle"/>
        <w:numPr>
          <w:ilvl w:val="0"/>
          <w:numId w:val="0"/>
        </w:numPr>
        <w:rPr>
          <w:rFonts w:ascii="Arial" w:eastAsia="Times New Roman" w:hAnsi="Arial" w:cs="Arial"/>
          <w:b w:val="0"/>
          <w:sz w:val="20"/>
          <w:szCs w:val="24"/>
          <w:lang w:val="en-US" w:eastAsia="de-DE"/>
        </w:rPr>
      </w:pPr>
      <w:permStart w:id="1178545086" w:edGrp="everyone"/>
      <w:r w:rsidRPr="00CF2BE1">
        <w:rPr>
          <w:rFonts w:ascii="Arial" w:eastAsia="Times New Roman" w:hAnsi="Arial" w:cs="Arial"/>
          <w:b w:val="0"/>
          <w:sz w:val="20"/>
          <w:szCs w:val="24"/>
          <w:lang w:eastAsia="de-DE"/>
        </w:rPr>
        <w:t>Yes, BME agrees with the content and structure of the two compliance statements according to the diffe</w:t>
      </w:r>
      <w:r w:rsidRPr="00CF2BE1">
        <w:rPr>
          <w:rFonts w:ascii="Arial" w:eastAsia="Times New Roman" w:hAnsi="Arial" w:cs="Arial"/>
          <w:b w:val="0"/>
          <w:sz w:val="20"/>
          <w:szCs w:val="24"/>
          <w:lang w:eastAsia="de-DE"/>
        </w:rPr>
        <w:t>r</w:t>
      </w:r>
      <w:r w:rsidRPr="00CF2BE1">
        <w:rPr>
          <w:rFonts w:ascii="Arial" w:eastAsia="Times New Roman" w:hAnsi="Arial" w:cs="Arial"/>
          <w:b w:val="0"/>
          <w:sz w:val="20"/>
          <w:szCs w:val="24"/>
          <w:lang w:val="en-US" w:eastAsia="de-DE"/>
        </w:rPr>
        <w:t xml:space="preserve">ences between significant and non-significant benchmarks. We welcome the possibility of making one compliance statement with </w:t>
      </w:r>
      <w:r w:rsidR="00986AC6">
        <w:rPr>
          <w:rFonts w:ascii="Arial" w:eastAsia="Times New Roman" w:hAnsi="Arial" w:cs="Arial"/>
          <w:b w:val="0"/>
          <w:sz w:val="20"/>
          <w:szCs w:val="24"/>
          <w:lang w:val="en-US" w:eastAsia="de-DE"/>
        </w:rPr>
        <w:t>a general section and a core section: differentiated</w:t>
      </w:r>
      <w:r w:rsidRPr="00CF2BE1">
        <w:rPr>
          <w:rFonts w:ascii="Arial" w:eastAsia="Times New Roman" w:hAnsi="Arial" w:cs="Arial"/>
          <w:b w:val="0"/>
          <w:sz w:val="20"/>
          <w:szCs w:val="24"/>
          <w:lang w:val="en-US" w:eastAsia="de-DE"/>
        </w:rPr>
        <w:t xml:space="preserve"> parts in case of different levels of compliance for different benchmarks, instead of providing several compliance statements.  </w:t>
      </w:r>
    </w:p>
    <w:permEnd w:id="1178545086"/>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4C33E1" w:rsidRDefault="00986AC6" w:rsidP="004C33E1">
      <w:permStart w:id="579936972" w:edGrp="everyone"/>
      <w:r>
        <w:t xml:space="preserve">BME considers appropriate for the correct understanding of the benchmarks the specifications proposed by ESMA for the benchmark statement. </w:t>
      </w:r>
      <w:r w:rsidR="002E5991">
        <w:t>In particular that reliable data must be available to the administr</w:t>
      </w:r>
      <w:r w:rsidR="002E5991">
        <w:t>a</w:t>
      </w:r>
      <w:r w:rsidR="002E5991">
        <w:t xml:space="preserve">tor to have to consider including it. </w:t>
      </w:r>
      <w:r>
        <w:t xml:space="preserve">BME would like to </w:t>
      </w:r>
      <w:r w:rsidR="002E5991">
        <w:t xml:space="preserve">comment </w:t>
      </w:r>
      <w:r>
        <w:t xml:space="preserve">on one hand, on the need of avoiding an excessive administrative burden for administrators providing </w:t>
      </w:r>
      <w:r w:rsidR="002E5991">
        <w:t>repetitive</w:t>
      </w:r>
      <w:r>
        <w:t xml:space="preserve"> information already provided</w:t>
      </w:r>
      <w:r w:rsidR="002E5991">
        <w:t xml:space="preserve"> </w:t>
      </w:r>
      <w:r>
        <w:t xml:space="preserve">under </w:t>
      </w:r>
      <w:r w:rsidR="002E5991">
        <w:t xml:space="preserve">another articles of </w:t>
      </w:r>
      <w:r>
        <w:t>this Regulation</w:t>
      </w:r>
      <w:r w:rsidR="002E5991">
        <w:t xml:space="preserve">, and on the other hand, making it as simple and as clear as possible for benchmarks users for </w:t>
      </w:r>
      <w:r w:rsidR="00140273">
        <w:t>an</w:t>
      </w:r>
      <w:r w:rsidR="002E5991">
        <w:t xml:space="preserve"> easy understanding of the benchmark. </w:t>
      </w:r>
    </w:p>
    <w:permEnd w:id="579936972"/>
    <w:p w:rsidR="004C33E1" w:rsidRDefault="004C33E1" w:rsidP="004C33E1">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4C33E1" w:rsidRDefault="002E5991" w:rsidP="004C33E1">
      <w:permStart w:id="1461930828" w:edGrp="everyone"/>
      <w:r>
        <w:t xml:space="preserve">BME supports ESMA s </w:t>
      </w:r>
      <w:r w:rsidR="00140273">
        <w:t>proposal</w:t>
      </w:r>
      <w:r>
        <w:t>.</w:t>
      </w:r>
    </w:p>
    <w:permEnd w:id="1461930828"/>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rsidR="004C33E1" w:rsidRDefault="004C33E1" w:rsidP="004C33E1">
      <w:r>
        <w:t>&lt;ESMA_QUESTION_CP_BMR_23&gt;</w:t>
      </w:r>
    </w:p>
    <w:p w:rsidR="004C33E1" w:rsidRDefault="00140273" w:rsidP="004C33E1">
      <w:permStart w:id="181479973" w:edGrp="everyone"/>
      <w:r>
        <w:t xml:space="preserve">BME supports the approach taken by ESMA on different contents </w:t>
      </w:r>
      <w:r w:rsidR="00B756D2">
        <w:t>with the</w:t>
      </w:r>
      <w:r>
        <w:t xml:space="preserve"> application</w:t>
      </w:r>
      <w:r w:rsidR="00B756D2">
        <w:t xml:space="preserve"> of the principle of proportionality. Supervised entities are up to that time providing information to the national competent authority, and the level of requirements for these entities and for the ones that are not being supervised should not be the same. </w:t>
      </w:r>
    </w:p>
    <w:permEnd w:id="181479973"/>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614B96" w:rsidRDefault="004104D2" w:rsidP="004C33E1">
      <w:permStart w:id="1938559623" w:edGrp="everyone"/>
      <w:r>
        <w:t>BME agrees with paragraphs</w:t>
      </w:r>
      <w:r w:rsidR="00614B96">
        <w:t xml:space="preserve"> </w:t>
      </w:r>
      <w:r>
        <w:t>1</w:t>
      </w:r>
      <w:proofErr w:type="gramStart"/>
      <w:r w:rsidR="00614B96">
        <w:t>.-</w:t>
      </w:r>
      <w:proofErr w:type="gramEnd"/>
      <w:r>
        <w:t xml:space="preserve"> general information and 2</w:t>
      </w:r>
      <w:r w:rsidR="00614B96">
        <w:t>.- financial</w:t>
      </w:r>
      <w:r>
        <w:t xml:space="preserve"> </w:t>
      </w:r>
      <w:r w:rsidR="00614B96">
        <w:t>information and with the main diffe</w:t>
      </w:r>
      <w:r w:rsidR="00614B96">
        <w:t>r</w:t>
      </w:r>
      <w:r w:rsidR="00614B96">
        <w:t>ences between information to be provided for authorisation or registration. Nevertheless in case of admi</w:t>
      </w:r>
      <w:r w:rsidR="00614B96">
        <w:t>n</w:t>
      </w:r>
      <w:r w:rsidR="00614B96">
        <w:t xml:space="preserve">istrators that are supervised entities by the </w:t>
      </w:r>
      <w:r w:rsidR="004F0DB2" w:rsidRPr="008B119F">
        <w:t>NCA</w:t>
      </w:r>
      <w:r w:rsidR="00614B96">
        <w:t xml:space="preserve">, double sending the info has to be avoided. </w:t>
      </w:r>
      <w:r w:rsidR="00B9001B">
        <w:t>F</w:t>
      </w:r>
      <w:r w:rsidR="00801606">
        <w:t>inancial s</w:t>
      </w:r>
      <w:r w:rsidR="00614B96">
        <w:t xml:space="preserve">tatements or capital requirements are information that competent authorities may have </w:t>
      </w:r>
      <w:r w:rsidR="00BD2A01">
        <w:t xml:space="preserve">been </w:t>
      </w:r>
      <w:r w:rsidR="00614B96">
        <w:t>re</w:t>
      </w:r>
      <w:r w:rsidR="00BD2A01">
        <w:t>ceiving</w:t>
      </w:r>
      <w:r w:rsidR="00614B96">
        <w:t xml:space="preserve"> periodically from the administrator. </w:t>
      </w:r>
    </w:p>
    <w:permEnd w:id="1938559623"/>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BD2A01" w:rsidRDefault="00BD2A01" w:rsidP="00BD2A01">
      <w:permStart w:id="238882579" w:edGrp="everyone"/>
      <w:r>
        <w:t>BME agrees with paragraphs 3</w:t>
      </w:r>
      <w:proofErr w:type="gramStart"/>
      <w:r>
        <w:t>.-</w:t>
      </w:r>
      <w:proofErr w:type="gramEnd"/>
      <w:r>
        <w:t xml:space="preserve"> organisational structure and governance, 4.- conflicts of interest and 5.- internal control structure. However in case of administrators that are supervised entities by the </w:t>
      </w:r>
      <w:r w:rsidR="004F0DB2" w:rsidRPr="008B119F">
        <w:t>NCA</w:t>
      </w:r>
      <w:r>
        <w:t xml:space="preserve">, double sending the info has to be avoided. Senior Management, conflicts of interest procedures and internal framework are information that competent authorities may have been receiving periodically from the administrator. </w:t>
      </w:r>
    </w:p>
    <w:permEnd w:id="238882579"/>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rsidR="004C33E1" w:rsidRDefault="004C33E1" w:rsidP="004C33E1">
      <w:r>
        <w:t>&lt;ESMA_QUESTION_CP_BMR_26&gt;</w:t>
      </w:r>
    </w:p>
    <w:p w:rsidR="004C33E1" w:rsidRDefault="001B54BF" w:rsidP="004C33E1">
      <w:permStart w:id="1033926231" w:edGrp="everyone"/>
      <w:r>
        <w:t xml:space="preserve">BME supports the information to be submitted with regards to the nature of the benchmarks. In particular welcomes the possibility of not submitting information in the benchmark statement already contained in another documents such </w:t>
      </w:r>
      <w:r w:rsidR="00B01605">
        <w:t>as the</w:t>
      </w:r>
      <w:r>
        <w:t xml:space="preserve"> methodology or the compliance statement</w:t>
      </w:r>
      <w:r w:rsidR="00F74816">
        <w:t>, in order</w:t>
      </w:r>
      <w:r>
        <w:t xml:space="preserve"> </w:t>
      </w:r>
      <w:r w:rsidR="00F74816">
        <w:t>to avoid duplication.</w:t>
      </w:r>
    </w:p>
    <w:permEnd w:id="1033926231"/>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4C33E1" w:rsidRDefault="00B01605" w:rsidP="004C33E1">
      <w:permStart w:id="1707305726" w:edGrp="everyone"/>
      <w:r>
        <w:t>BME agrees with ESMAs proposal.</w:t>
      </w:r>
    </w:p>
    <w:permEnd w:id="1707305726"/>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D67875" w:rsidRDefault="00D67875" w:rsidP="00D67875">
      <w:permStart w:id="435242809" w:edGrp="everyone"/>
      <w:r>
        <w:t>BME agrees with ESMAs proposal.</w:t>
      </w:r>
      <w:r w:rsidRPr="00D67875">
        <w:t xml:space="preserve"> BME is aligned to a strong standard of transparency and collaboration </w:t>
      </w:r>
      <w:r>
        <w:t xml:space="preserve">but ESMA should avoid using discretion </w:t>
      </w:r>
      <w:r w:rsidR="00B1207A">
        <w:t>when competent authorities request</w:t>
      </w:r>
      <w:r>
        <w:t xml:space="preserve"> new requirements in the form of the application for authorisation or registration</w:t>
      </w:r>
      <w:r w:rsidRPr="00D67875">
        <w:t>.</w:t>
      </w:r>
    </w:p>
    <w:permEnd w:id="435242809"/>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803D8C" w:rsidRDefault="00B96994" w:rsidP="00803D8C">
      <w:permStart w:id="651589907" w:edGrp="everyone"/>
      <w:r>
        <w:t xml:space="preserve">BME supports ESMAs proposal to allow recognition through the demonstration of compliance with IOSCO principles certified by an independent external auditor. BME also supports that the application should be in one of the EU official languages and comply with the International Financial Reporting Standards or with Generally Accepted Accounting Principles.  </w:t>
      </w:r>
    </w:p>
    <w:permEnd w:id="651589907"/>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Default="009A0490" w:rsidP="004C33E1">
      <w:permStart w:id="181734677" w:edGrp="everyone"/>
      <w:r>
        <w:lastRenderedPageBreak/>
        <w:t>BME supports the approach in relation with the information required for the Member State selection pr</w:t>
      </w:r>
      <w:r>
        <w:t>o</w:t>
      </w:r>
      <w:r>
        <w:t>cess. The legal representative should have a broad recognition, the necessary skills and additional expe</w:t>
      </w:r>
      <w:r>
        <w:t>r</w:t>
      </w:r>
      <w:r>
        <w:t>tise in relation to benchmarks.</w:t>
      </w:r>
    </w:p>
    <w:permEnd w:id="181734677"/>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9A0490" w:rsidRDefault="009A0490" w:rsidP="009A0490">
      <w:permStart w:id="1980056696" w:edGrp="everyone"/>
      <w:r>
        <w:t>BME agrees with ESMAs proposal.</w:t>
      </w:r>
    </w:p>
    <w:permEnd w:id="1980056696"/>
    <w:p w:rsidR="004C33E1" w:rsidRDefault="004C33E1" w:rsidP="004C33E1">
      <w:r>
        <w:t>&lt;ESMA_QUESTION_CP_BMR_31&gt;</w:t>
      </w:r>
    </w:p>
    <w:p w:rsidR="004C33E1" w:rsidRPr="0038662B" w:rsidRDefault="004C33E1" w:rsidP="0038662B"/>
    <w:sectPr w:rsidR="004C33E1" w:rsidRPr="0038662B"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2E" w:rsidRDefault="009A412E">
      <w:r>
        <w:separator/>
      </w:r>
    </w:p>
    <w:p w:rsidR="009A412E" w:rsidRDefault="009A412E"/>
  </w:endnote>
  <w:endnote w:type="continuationSeparator" w:id="0">
    <w:p w:rsidR="009A412E" w:rsidRDefault="009A412E">
      <w:r>
        <w:continuationSeparator/>
      </w:r>
    </w:p>
    <w:p w:rsidR="009A412E" w:rsidRDefault="009A412E"/>
  </w:endnote>
  <w:endnote w:type="continuationNotice" w:id="1">
    <w:p w:rsidR="009A412E" w:rsidRDefault="009A4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B119F">
            <w:rPr>
              <w:rFonts w:cs="Arial"/>
              <w:noProof/>
              <w:sz w:val="22"/>
              <w:szCs w:val="22"/>
            </w:rPr>
            <w:t>4</w:t>
          </w:r>
          <w:r w:rsidRPr="00616B9B">
            <w:rPr>
              <w:rFonts w:cs="Arial"/>
              <w:noProof/>
              <w:sz w:val="22"/>
              <w:szCs w:val="22"/>
            </w:rPr>
            <w:fldChar w:fldCharType="end"/>
          </w:r>
        </w:p>
      </w:tc>
    </w:tr>
  </w:tbl>
  <w:p w:rsidR="00811EDA" w:rsidRDefault="00811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2E" w:rsidRDefault="009A412E">
      <w:r>
        <w:separator/>
      </w:r>
    </w:p>
    <w:p w:rsidR="009A412E" w:rsidRDefault="009A412E"/>
  </w:footnote>
  <w:footnote w:type="continuationSeparator" w:id="0">
    <w:p w:rsidR="009A412E" w:rsidRDefault="009A412E">
      <w:r>
        <w:continuationSeparator/>
      </w:r>
    </w:p>
    <w:p w:rsidR="009A412E" w:rsidRDefault="009A412E"/>
  </w:footnote>
  <w:footnote w:type="continuationNotice" w:id="1">
    <w:p w:rsidR="009A412E" w:rsidRDefault="009A41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Encabezado"/>
      <w:jc w:val="right"/>
    </w:pPr>
    <w:r>
      <w:rPr>
        <w:noProof/>
        <w:lang w:val="es-ES" w:eastAsia="es-E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DE66EB">
    <w:pPr>
      <w:pStyle w:val="Encabezado"/>
    </w:pPr>
    <w:r>
      <w:rPr>
        <w:noProof/>
        <w:lang w:val="es-ES" w:eastAsia="es-E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3CC46460"/>
    <w:multiLevelType w:val="hybridMultilevel"/>
    <w:tmpl w:val="03923C50"/>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87C5AF4"/>
    <w:multiLevelType w:val="hybridMultilevel"/>
    <w:tmpl w:val="AD30B5D6"/>
    <w:lvl w:ilvl="0" w:tplc="73D2D454">
      <w:start w:val="19"/>
      <w:numFmt w:val="decimal"/>
      <w:lvlText w:val="%1)"/>
      <w:lvlJc w:val="left"/>
      <w:pPr>
        <w:ind w:left="1080" w:hanging="360"/>
      </w:pPr>
      <w:rPr>
        <w:rFonts w:ascii="Arial" w:hAnsi="Arial" w:cs="Aria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3"/>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8"/>
  </w:num>
  <w:num w:numId="22">
    <w:abstractNumId w:val="26"/>
  </w:num>
  <w:num w:numId="23">
    <w:abstractNumId w:val="10"/>
  </w:num>
  <w:num w:numId="24">
    <w:abstractNumId w:val="32"/>
  </w:num>
  <w:num w:numId="25">
    <w:abstractNumId w:val="31"/>
  </w:num>
  <w:num w:numId="26">
    <w:abstractNumId w:val="21"/>
  </w:num>
  <w:num w:numId="27">
    <w:abstractNumId w:val="35"/>
  </w:num>
  <w:num w:numId="28">
    <w:abstractNumId w:val="41"/>
  </w:num>
  <w:num w:numId="29">
    <w:abstractNumId w:val="8"/>
  </w:num>
  <w:num w:numId="30">
    <w:abstractNumId w:val="4"/>
  </w:num>
  <w:num w:numId="31">
    <w:abstractNumId w:val="23"/>
  </w:num>
  <w:num w:numId="32">
    <w:abstractNumId w:val="2"/>
  </w:num>
  <w:num w:numId="33">
    <w:abstractNumId w:val="7"/>
  </w:num>
  <w:num w:numId="34">
    <w:abstractNumId w:val="22"/>
  </w:num>
  <w:num w:numId="35">
    <w:abstractNumId w:val="37"/>
  </w:num>
  <w:num w:numId="36">
    <w:abstractNumId w:val="36"/>
  </w:num>
  <w:num w:numId="37">
    <w:abstractNumId w:val="12"/>
  </w:num>
  <w:num w:numId="38">
    <w:abstractNumId w:val="3"/>
  </w:num>
  <w:num w:numId="39">
    <w:abstractNumId w:val="39"/>
  </w:num>
  <w:num w:numId="40">
    <w:abstractNumId w:val="29"/>
  </w:num>
  <w:num w:numId="4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17C3"/>
    <w:rsid w:val="000322A4"/>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588"/>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273"/>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4BF"/>
    <w:rsid w:val="001B5E05"/>
    <w:rsid w:val="001B6D68"/>
    <w:rsid w:val="001B6F2E"/>
    <w:rsid w:val="001C0344"/>
    <w:rsid w:val="001C0F2A"/>
    <w:rsid w:val="001C1A59"/>
    <w:rsid w:val="001C270F"/>
    <w:rsid w:val="001C2F4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64"/>
    <w:rsid w:val="002D14F3"/>
    <w:rsid w:val="002D16E4"/>
    <w:rsid w:val="002D2FEF"/>
    <w:rsid w:val="002D36C2"/>
    <w:rsid w:val="002D3FCB"/>
    <w:rsid w:val="002D4FEF"/>
    <w:rsid w:val="002D502D"/>
    <w:rsid w:val="002D63F5"/>
    <w:rsid w:val="002D6E1A"/>
    <w:rsid w:val="002E036D"/>
    <w:rsid w:val="002E1517"/>
    <w:rsid w:val="002E1B22"/>
    <w:rsid w:val="002E387F"/>
    <w:rsid w:val="002E5991"/>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1E1A"/>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04D2"/>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36F8"/>
    <w:rsid w:val="004456DC"/>
    <w:rsid w:val="00447FBE"/>
    <w:rsid w:val="0045035E"/>
    <w:rsid w:val="0045175A"/>
    <w:rsid w:val="00451ED9"/>
    <w:rsid w:val="00451F91"/>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06E9"/>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0DB2"/>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47C9"/>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B96"/>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3EDA"/>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924"/>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4A9C"/>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4100"/>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3F7E"/>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2C66"/>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1606"/>
    <w:rsid w:val="0080245E"/>
    <w:rsid w:val="00803480"/>
    <w:rsid w:val="0080359C"/>
    <w:rsid w:val="008037AE"/>
    <w:rsid w:val="00803D8C"/>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A4"/>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119F"/>
    <w:rsid w:val="008B2B9E"/>
    <w:rsid w:val="008B31F5"/>
    <w:rsid w:val="008B4C79"/>
    <w:rsid w:val="008B5D2D"/>
    <w:rsid w:val="008B6361"/>
    <w:rsid w:val="008C0320"/>
    <w:rsid w:val="008C2A81"/>
    <w:rsid w:val="008C34BF"/>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214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C6"/>
    <w:rsid w:val="00987829"/>
    <w:rsid w:val="00990FF9"/>
    <w:rsid w:val="00991276"/>
    <w:rsid w:val="009923E7"/>
    <w:rsid w:val="00992697"/>
    <w:rsid w:val="00992D4E"/>
    <w:rsid w:val="00994621"/>
    <w:rsid w:val="009947FF"/>
    <w:rsid w:val="0099544B"/>
    <w:rsid w:val="009A0490"/>
    <w:rsid w:val="009A053D"/>
    <w:rsid w:val="009A07A6"/>
    <w:rsid w:val="009A0D56"/>
    <w:rsid w:val="009A2624"/>
    <w:rsid w:val="009A31B9"/>
    <w:rsid w:val="009A412E"/>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1605"/>
    <w:rsid w:val="00B03CE2"/>
    <w:rsid w:val="00B06544"/>
    <w:rsid w:val="00B105F2"/>
    <w:rsid w:val="00B10991"/>
    <w:rsid w:val="00B1207A"/>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56D2"/>
    <w:rsid w:val="00B76548"/>
    <w:rsid w:val="00B76BED"/>
    <w:rsid w:val="00B806E6"/>
    <w:rsid w:val="00B82DC1"/>
    <w:rsid w:val="00B835D5"/>
    <w:rsid w:val="00B84028"/>
    <w:rsid w:val="00B84307"/>
    <w:rsid w:val="00B8430D"/>
    <w:rsid w:val="00B85661"/>
    <w:rsid w:val="00B85C8A"/>
    <w:rsid w:val="00B86FBD"/>
    <w:rsid w:val="00B9001B"/>
    <w:rsid w:val="00B91B86"/>
    <w:rsid w:val="00B927CA"/>
    <w:rsid w:val="00B928AE"/>
    <w:rsid w:val="00B93CDA"/>
    <w:rsid w:val="00B942E9"/>
    <w:rsid w:val="00B9433A"/>
    <w:rsid w:val="00B948EE"/>
    <w:rsid w:val="00B94BF3"/>
    <w:rsid w:val="00B94F90"/>
    <w:rsid w:val="00B95DC5"/>
    <w:rsid w:val="00B96994"/>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2A01"/>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1A1"/>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04A"/>
    <w:rsid w:val="00CE157F"/>
    <w:rsid w:val="00CE1966"/>
    <w:rsid w:val="00CE1B39"/>
    <w:rsid w:val="00CE1ED4"/>
    <w:rsid w:val="00CE2216"/>
    <w:rsid w:val="00CE3014"/>
    <w:rsid w:val="00CE30E5"/>
    <w:rsid w:val="00CE659B"/>
    <w:rsid w:val="00CE6FC6"/>
    <w:rsid w:val="00CF2056"/>
    <w:rsid w:val="00CF2BE1"/>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67875"/>
    <w:rsid w:val="00D71B45"/>
    <w:rsid w:val="00D71F8A"/>
    <w:rsid w:val="00D75603"/>
    <w:rsid w:val="00D75FEE"/>
    <w:rsid w:val="00D76933"/>
    <w:rsid w:val="00D76D88"/>
    <w:rsid w:val="00D77CC9"/>
    <w:rsid w:val="00D83D4B"/>
    <w:rsid w:val="00D871C6"/>
    <w:rsid w:val="00D875F8"/>
    <w:rsid w:val="00D91010"/>
    <w:rsid w:val="00D951C2"/>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81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61083681">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24311675">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D5A9-102D-4A10-B1F5-E7B6E586D739}">
  <ds:schemaRefs>
    <ds:schemaRef ds:uri="http://schemas.openxmlformats.org/officeDocument/2006/bibliography"/>
  </ds:schemaRefs>
</ds:datastoreItem>
</file>

<file path=customXml/itemProps2.xml><?xml version="1.0" encoding="utf-8"?>
<ds:datastoreItem xmlns:ds="http://schemas.openxmlformats.org/officeDocument/2006/customXml" ds:itemID="{7120A34B-9A9E-4591-9CA1-82E951F4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3302</Words>
  <Characters>18161</Characters>
  <Application>Microsoft Office Word</Application>
  <DocSecurity>8</DocSecurity>
  <Lines>151</Lines>
  <Paragraphs>42</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21421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jsantamaria</cp:lastModifiedBy>
  <cp:revision>2</cp:revision>
  <cp:lastPrinted>2015-02-18T11:01:00Z</cp:lastPrinted>
  <dcterms:created xsi:type="dcterms:W3CDTF">2016-12-02T15:37:00Z</dcterms:created>
  <dcterms:modified xsi:type="dcterms:W3CDTF">2016-12-02T15:37:00Z</dcterms:modified>
</cp:coreProperties>
</file>