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D34282" w:rsidRPr="007D35F1" w:rsidRDefault="006A3FF8" w:rsidP="00C6668D">
      <w:pPr>
        <w:spacing w:after="120"/>
        <w:jc w:val="both"/>
        <w:rPr>
          <w:szCs w:val="20"/>
          <w:lang w:val="en-US"/>
        </w:rPr>
      </w:pPr>
      <w:permStart w:id="47598012" w:edGrp="everyone"/>
      <w:r w:rsidRPr="007D35F1">
        <w:rPr>
          <w:szCs w:val="20"/>
          <w:lang w:val="en-US"/>
        </w:rPr>
        <w:t xml:space="preserve">A listed company since November 2015 with </w:t>
      </w:r>
      <w:proofErr w:type="spellStart"/>
      <w:r w:rsidRPr="007D35F1">
        <w:rPr>
          <w:szCs w:val="20"/>
          <w:lang w:val="en-US"/>
        </w:rPr>
        <w:t>Crédit</w:t>
      </w:r>
      <w:proofErr w:type="spellEnd"/>
      <w:r w:rsidRPr="007D35F1">
        <w:rPr>
          <w:szCs w:val="20"/>
          <w:lang w:val="en-US"/>
        </w:rPr>
        <w:t xml:space="preserve"> </w:t>
      </w:r>
      <w:proofErr w:type="spellStart"/>
      <w:r w:rsidRPr="007D35F1">
        <w:rPr>
          <w:szCs w:val="20"/>
          <w:lang w:val="en-US"/>
        </w:rPr>
        <w:t>Agricole</w:t>
      </w:r>
      <w:proofErr w:type="spellEnd"/>
      <w:r w:rsidRPr="007D35F1">
        <w:rPr>
          <w:szCs w:val="20"/>
          <w:lang w:val="en-US"/>
        </w:rPr>
        <w:t xml:space="preserve"> as its majority shareholder, Amundi is the largest European Asset Manager in terms of AUM, with over 1,050 billion euros wo</w:t>
      </w:r>
      <w:r w:rsidR="007C496C">
        <w:rPr>
          <w:szCs w:val="20"/>
          <w:lang w:val="en-US"/>
        </w:rPr>
        <w:t>rldwide. Headquartered in Paris</w:t>
      </w:r>
      <w:r w:rsidRPr="007D35F1">
        <w:rPr>
          <w:szCs w:val="20"/>
          <w:lang w:val="en-US"/>
        </w:rPr>
        <w:t xml:space="preserve"> </w:t>
      </w:r>
      <w:r w:rsidR="007C496C">
        <w:rPr>
          <w:szCs w:val="20"/>
          <w:lang w:val="en-US"/>
        </w:rPr>
        <w:t>(</w:t>
      </w:r>
      <w:r w:rsidRPr="007D35F1">
        <w:rPr>
          <w:szCs w:val="20"/>
          <w:lang w:val="en-US"/>
        </w:rPr>
        <w:t>France</w:t>
      </w:r>
      <w:r w:rsidR="007C496C">
        <w:rPr>
          <w:szCs w:val="20"/>
          <w:lang w:val="en-US"/>
        </w:rPr>
        <w:t>)</w:t>
      </w:r>
      <w:r w:rsidRPr="007D35F1">
        <w:rPr>
          <w:szCs w:val="20"/>
          <w:lang w:val="en-US"/>
        </w:rPr>
        <w:t>, Amundi has six investment hubs located in the world’s key financial centers. Amundi is the trusted partner of 100 million retail clients, 1,000 institutional clients and 1,000 distributors in more than 30 countries. Amundi designs innovative, high-performing products and services for all these types of clients tailored specifically to their needs and risk profile.</w:t>
      </w:r>
    </w:p>
    <w:p w:rsidR="0058638E" w:rsidRDefault="006A3FF8" w:rsidP="00C6668D">
      <w:pPr>
        <w:spacing w:after="120"/>
        <w:jc w:val="both"/>
        <w:rPr>
          <w:szCs w:val="20"/>
          <w:lang w:val="en-US"/>
        </w:rPr>
      </w:pPr>
      <w:r w:rsidRPr="007D35F1">
        <w:rPr>
          <w:szCs w:val="20"/>
          <w:lang w:val="en-US"/>
        </w:rPr>
        <w:t xml:space="preserve">With regard to Benchmark regulation, BMR, Amundi is attentive to the implementation and </w:t>
      </w:r>
      <w:r w:rsidR="007C496C">
        <w:rPr>
          <w:szCs w:val="20"/>
          <w:lang w:val="en-US"/>
        </w:rPr>
        <w:t>the</w:t>
      </w:r>
      <w:r w:rsidRPr="007D35F1">
        <w:rPr>
          <w:szCs w:val="20"/>
          <w:lang w:val="en-US"/>
        </w:rPr>
        <w:t xml:space="preserve"> cons</w:t>
      </w:r>
      <w:r w:rsidRPr="007D35F1">
        <w:rPr>
          <w:szCs w:val="20"/>
          <w:lang w:val="en-US"/>
        </w:rPr>
        <w:t>e</w:t>
      </w:r>
      <w:r w:rsidRPr="007D35F1">
        <w:rPr>
          <w:szCs w:val="20"/>
          <w:lang w:val="en-US"/>
        </w:rPr>
        <w:t xml:space="preserve">quences to a user of benchmarks. We use benchmarks either through derivative instruments that are linked to an index or as a reference for calibrating and measuring the performance of a portfolio. Typically, Exchange Traded Funds (ETF) duplicate the performance of an index or a combination of indices. But non ETF funds often compare their performance to </w:t>
      </w:r>
      <w:r w:rsidR="009B5D94">
        <w:rPr>
          <w:szCs w:val="20"/>
          <w:lang w:val="en-US"/>
        </w:rPr>
        <w:t>a benchmark</w:t>
      </w:r>
      <w:r w:rsidRPr="007D35F1">
        <w:rPr>
          <w:szCs w:val="20"/>
          <w:lang w:val="en-US"/>
        </w:rPr>
        <w:t xml:space="preserve"> or a co</w:t>
      </w:r>
      <w:r w:rsidRPr="007D35F1">
        <w:rPr>
          <w:szCs w:val="20"/>
          <w:lang w:val="en-US"/>
        </w:rPr>
        <w:t>m</w:t>
      </w:r>
      <w:r w:rsidRPr="007D35F1">
        <w:rPr>
          <w:szCs w:val="20"/>
          <w:lang w:val="en-US"/>
        </w:rPr>
        <w:t>binati</w:t>
      </w:r>
      <w:r w:rsidR="009B5D94">
        <w:rPr>
          <w:szCs w:val="20"/>
          <w:lang w:val="en-US"/>
        </w:rPr>
        <w:t>on of benchmarks</w:t>
      </w:r>
      <w:r w:rsidRPr="007D35F1">
        <w:rPr>
          <w:szCs w:val="20"/>
          <w:lang w:val="en-US"/>
        </w:rPr>
        <w:t xml:space="preserve"> both in active and passive investment strategies. Indices happen to be</w:t>
      </w:r>
      <w:r w:rsidR="0058638E">
        <w:rPr>
          <w:szCs w:val="20"/>
          <w:lang w:val="en-US"/>
        </w:rPr>
        <w:t xml:space="preserve"> an</w:t>
      </w:r>
      <w:r w:rsidRPr="007D35F1">
        <w:rPr>
          <w:szCs w:val="20"/>
          <w:lang w:val="en-US"/>
        </w:rPr>
        <w:t xml:space="preserve"> easy way to communicate with clients on the investment universe and the e</w:t>
      </w:r>
      <w:r w:rsidRPr="007D35F1">
        <w:rPr>
          <w:szCs w:val="20"/>
          <w:lang w:val="en-US"/>
        </w:rPr>
        <w:t>x</w:t>
      </w:r>
      <w:r w:rsidRPr="007D35F1">
        <w:rPr>
          <w:szCs w:val="20"/>
          <w:lang w:val="en-US"/>
        </w:rPr>
        <w:t>pected performance of a fund.</w:t>
      </w:r>
      <w:r w:rsidR="0058638E">
        <w:rPr>
          <w:szCs w:val="20"/>
          <w:lang w:val="en-US"/>
        </w:rPr>
        <w:t xml:space="preserve"> </w:t>
      </w:r>
    </w:p>
    <w:p w:rsidR="00180FA3" w:rsidRDefault="0058638E" w:rsidP="00C6668D">
      <w:pPr>
        <w:spacing w:after="120"/>
        <w:jc w:val="both"/>
        <w:rPr>
          <w:szCs w:val="20"/>
          <w:lang w:val="en-US"/>
        </w:rPr>
      </w:pPr>
      <w:r>
        <w:rPr>
          <w:szCs w:val="20"/>
          <w:lang w:val="en-US"/>
        </w:rPr>
        <w:t>Amundi is pleased that</w:t>
      </w:r>
      <w:r w:rsidR="009B5D94">
        <w:rPr>
          <w:szCs w:val="20"/>
          <w:lang w:val="en-US"/>
        </w:rPr>
        <w:t>, as clarified in recital 13,</w:t>
      </w:r>
      <w:r>
        <w:rPr>
          <w:szCs w:val="20"/>
          <w:lang w:val="en-US"/>
        </w:rPr>
        <w:t xml:space="preserve"> asset managers will not be considered administrators when they combine indices to </w:t>
      </w:r>
      <w:r w:rsidR="00A17273">
        <w:rPr>
          <w:szCs w:val="20"/>
          <w:lang w:val="en-US"/>
        </w:rPr>
        <w:t>build</w:t>
      </w:r>
      <w:r>
        <w:rPr>
          <w:szCs w:val="20"/>
          <w:lang w:val="en-US"/>
        </w:rPr>
        <w:t xml:space="preserve"> a composite</w:t>
      </w:r>
      <w:r w:rsidR="00A17273">
        <w:rPr>
          <w:szCs w:val="20"/>
          <w:lang w:val="en-US"/>
        </w:rPr>
        <w:t xml:space="preserve"> or a currency hedged index</w:t>
      </w:r>
      <w:r w:rsidR="009B5D94">
        <w:rPr>
          <w:szCs w:val="20"/>
          <w:lang w:val="en-US"/>
        </w:rPr>
        <w:t xml:space="preserve"> or when they modify an index without introducing discretion nor input data that would amount to administration. </w:t>
      </w:r>
      <w:r w:rsidR="00180FA3">
        <w:rPr>
          <w:szCs w:val="20"/>
          <w:lang w:val="en-US"/>
        </w:rPr>
        <w:t>T</w:t>
      </w:r>
      <w:r>
        <w:rPr>
          <w:szCs w:val="20"/>
          <w:lang w:val="en-US"/>
        </w:rPr>
        <w:t xml:space="preserve">herefore, </w:t>
      </w:r>
      <w:r w:rsidR="00180FA3">
        <w:rPr>
          <w:szCs w:val="20"/>
          <w:lang w:val="en-US"/>
        </w:rPr>
        <w:t>our co</w:t>
      </w:r>
      <w:r w:rsidR="00180FA3">
        <w:rPr>
          <w:szCs w:val="20"/>
          <w:lang w:val="en-US"/>
        </w:rPr>
        <w:t>m</w:t>
      </w:r>
      <w:r w:rsidR="00180FA3">
        <w:rPr>
          <w:szCs w:val="20"/>
          <w:lang w:val="en-US"/>
        </w:rPr>
        <w:t xml:space="preserve">ments are those of a user of indices and not an administrator nor a contributor. Consequently, we </w:t>
      </w:r>
      <w:r>
        <w:rPr>
          <w:szCs w:val="20"/>
          <w:lang w:val="en-US"/>
        </w:rPr>
        <w:t xml:space="preserve">do not answer to all questions raised in the consultation paper. </w:t>
      </w:r>
      <w:r w:rsidR="00180FA3">
        <w:rPr>
          <w:szCs w:val="20"/>
          <w:lang w:val="en-US"/>
        </w:rPr>
        <w:t>For example</w:t>
      </w:r>
      <w:r>
        <w:rPr>
          <w:szCs w:val="20"/>
          <w:lang w:val="en-US"/>
        </w:rPr>
        <w:t xml:space="preserve"> questions about </w:t>
      </w:r>
      <w:r w:rsidR="007C496C">
        <w:rPr>
          <w:szCs w:val="20"/>
          <w:lang w:val="en-US"/>
        </w:rPr>
        <w:t>the role of contrib</w:t>
      </w:r>
      <w:r w:rsidR="007C496C">
        <w:rPr>
          <w:szCs w:val="20"/>
          <w:lang w:val="en-US"/>
        </w:rPr>
        <w:t>u</w:t>
      </w:r>
      <w:r w:rsidR="007C496C">
        <w:rPr>
          <w:szCs w:val="20"/>
          <w:lang w:val="en-US"/>
        </w:rPr>
        <w:t xml:space="preserve">tors or </w:t>
      </w:r>
      <w:r>
        <w:rPr>
          <w:szCs w:val="20"/>
          <w:lang w:val="en-US"/>
        </w:rPr>
        <w:t>the procedure for authorization or registration as an administr</w:t>
      </w:r>
      <w:r>
        <w:rPr>
          <w:szCs w:val="20"/>
          <w:lang w:val="en-US"/>
        </w:rPr>
        <w:t>a</w:t>
      </w:r>
      <w:r>
        <w:rPr>
          <w:szCs w:val="20"/>
          <w:lang w:val="en-US"/>
        </w:rPr>
        <w:t>tor are not in our scope today</w:t>
      </w:r>
      <w:r w:rsidR="00180FA3">
        <w:rPr>
          <w:szCs w:val="20"/>
          <w:lang w:val="en-US"/>
        </w:rPr>
        <w:t>.</w:t>
      </w:r>
      <w:r w:rsidR="007C496C">
        <w:rPr>
          <w:szCs w:val="20"/>
          <w:lang w:val="en-US"/>
        </w:rPr>
        <w:t xml:space="preserve"> </w:t>
      </w:r>
    </w:p>
    <w:p w:rsidR="006A3FF8" w:rsidRPr="007D35F1" w:rsidRDefault="006A3FF8" w:rsidP="00C6668D">
      <w:pPr>
        <w:spacing w:after="120"/>
        <w:jc w:val="both"/>
        <w:rPr>
          <w:szCs w:val="20"/>
          <w:lang w:val="en-US"/>
        </w:rPr>
      </w:pPr>
      <w:r w:rsidRPr="007D35F1">
        <w:rPr>
          <w:szCs w:val="20"/>
          <w:lang w:val="en-US"/>
        </w:rPr>
        <w:t>Our main concerns can be summarized as follows:</w:t>
      </w:r>
    </w:p>
    <w:p w:rsidR="008A704B" w:rsidRPr="007D35F1" w:rsidRDefault="00180FA3" w:rsidP="00C6668D">
      <w:pPr>
        <w:pStyle w:val="Paragraphedeliste"/>
        <w:numPr>
          <w:ilvl w:val="0"/>
          <w:numId w:val="40"/>
        </w:numPr>
        <w:jc w:val="both"/>
        <w:rPr>
          <w:szCs w:val="20"/>
        </w:rPr>
      </w:pPr>
      <w:r w:rsidRPr="00A17273">
        <w:rPr>
          <w:b/>
          <w:szCs w:val="20"/>
          <w:lang w:val="en-US"/>
        </w:rPr>
        <w:t>ESMA should r</w:t>
      </w:r>
      <w:r w:rsidR="004974F6" w:rsidRPr="00A17273">
        <w:rPr>
          <w:b/>
          <w:szCs w:val="20"/>
          <w:lang w:val="en-US"/>
        </w:rPr>
        <w:t>e</w:t>
      </w:r>
      <w:r w:rsidR="008A704B" w:rsidRPr="00A17273">
        <w:rPr>
          <w:b/>
          <w:szCs w:val="20"/>
        </w:rPr>
        <w:t xml:space="preserve">visit </w:t>
      </w:r>
      <w:r w:rsidRPr="00A17273">
        <w:rPr>
          <w:b/>
          <w:szCs w:val="20"/>
        </w:rPr>
        <w:t>its</w:t>
      </w:r>
      <w:r w:rsidR="008A704B" w:rsidRPr="00A17273">
        <w:rPr>
          <w:b/>
          <w:szCs w:val="20"/>
        </w:rPr>
        <w:t xml:space="preserve"> guidelines on ETF</w:t>
      </w:r>
      <w:r w:rsidR="00C6668D" w:rsidRPr="00A17273">
        <w:rPr>
          <w:b/>
          <w:szCs w:val="20"/>
        </w:rPr>
        <w:t>s</w:t>
      </w:r>
      <w:r w:rsidR="008A704B" w:rsidRPr="00A17273">
        <w:rPr>
          <w:b/>
          <w:szCs w:val="20"/>
        </w:rPr>
        <w:t xml:space="preserve"> and other UCITS issues</w:t>
      </w:r>
      <w:r w:rsidR="008A704B" w:rsidRPr="007D35F1">
        <w:rPr>
          <w:szCs w:val="20"/>
        </w:rPr>
        <w:t xml:space="preserve"> of December 2012/ A</w:t>
      </w:r>
      <w:r w:rsidR="008A704B" w:rsidRPr="007D35F1">
        <w:rPr>
          <w:szCs w:val="20"/>
        </w:rPr>
        <w:t>u</w:t>
      </w:r>
      <w:r w:rsidR="008A704B" w:rsidRPr="007D35F1">
        <w:rPr>
          <w:szCs w:val="20"/>
        </w:rPr>
        <w:t>gust 2014</w:t>
      </w:r>
      <w:r w:rsidR="007A71FB">
        <w:rPr>
          <w:szCs w:val="20"/>
        </w:rPr>
        <w:t xml:space="preserve"> (ESMA/2014/937)</w:t>
      </w:r>
      <w:r w:rsidR="008A704B" w:rsidRPr="007D35F1">
        <w:rPr>
          <w:szCs w:val="20"/>
        </w:rPr>
        <w:t xml:space="preserve"> in order to take stock of the new framework created by BMR; some requirements of the guidelines should be withdrawn, the vast majority will be confirmed by BMR and a reference to the regulation and its provisions would help reducing the burden of compliance for asset ma</w:t>
      </w:r>
      <w:r w:rsidR="008A704B" w:rsidRPr="007D35F1">
        <w:rPr>
          <w:szCs w:val="20"/>
        </w:rPr>
        <w:t>n</w:t>
      </w:r>
      <w:r w:rsidR="008A704B" w:rsidRPr="007D35F1">
        <w:rPr>
          <w:szCs w:val="20"/>
        </w:rPr>
        <w:t>agers; we urge ESMA to put a high priority on this review in its agenda;</w:t>
      </w:r>
    </w:p>
    <w:p w:rsidR="006A3FF8" w:rsidRPr="007D35F1" w:rsidRDefault="008A704B" w:rsidP="00C6668D">
      <w:pPr>
        <w:pStyle w:val="Paragraphedeliste"/>
        <w:numPr>
          <w:ilvl w:val="0"/>
          <w:numId w:val="40"/>
        </w:numPr>
        <w:spacing w:after="120"/>
        <w:jc w:val="both"/>
        <w:rPr>
          <w:szCs w:val="20"/>
        </w:rPr>
      </w:pPr>
      <w:r w:rsidRPr="007D35F1">
        <w:rPr>
          <w:szCs w:val="20"/>
        </w:rPr>
        <w:t xml:space="preserve">The trend of </w:t>
      </w:r>
      <w:r w:rsidR="006A3FF8" w:rsidRPr="007D35F1">
        <w:rPr>
          <w:szCs w:val="20"/>
        </w:rPr>
        <w:t>cost</w:t>
      </w:r>
      <w:r w:rsidR="00180FA3">
        <w:rPr>
          <w:szCs w:val="20"/>
        </w:rPr>
        <w:t>s</w:t>
      </w:r>
      <w:r w:rsidRPr="007D35F1">
        <w:rPr>
          <w:szCs w:val="20"/>
        </w:rPr>
        <w:t xml:space="preserve"> and fees paid to administrators by asset managers has moved fast and higher; it surely reduces the performance for the end investor </w:t>
      </w:r>
      <w:r w:rsidR="00180FA3">
        <w:rPr>
          <w:szCs w:val="20"/>
        </w:rPr>
        <w:t>as</w:t>
      </w:r>
      <w:r w:rsidRPr="007D35F1">
        <w:rPr>
          <w:szCs w:val="20"/>
        </w:rPr>
        <w:t xml:space="preserve"> it </w:t>
      </w:r>
      <w:r w:rsidR="00614FB2">
        <w:rPr>
          <w:szCs w:val="20"/>
        </w:rPr>
        <w:t>ac</w:t>
      </w:r>
      <w:r w:rsidRPr="007D35F1">
        <w:rPr>
          <w:szCs w:val="20"/>
        </w:rPr>
        <w:t xml:space="preserve">counts </w:t>
      </w:r>
      <w:r w:rsidR="00614FB2">
        <w:rPr>
          <w:szCs w:val="20"/>
        </w:rPr>
        <w:t>to</w:t>
      </w:r>
      <w:r w:rsidR="00180FA3">
        <w:rPr>
          <w:szCs w:val="20"/>
        </w:rPr>
        <w:t xml:space="preserve"> several </w:t>
      </w:r>
      <w:r w:rsidRPr="007D35F1">
        <w:rPr>
          <w:szCs w:val="20"/>
        </w:rPr>
        <w:t xml:space="preserve">basis points; on ETFs for example </w:t>
      </w:r>
      <w:r w:rsidR="00E50B9A" w:rsidRPr="007D35F1">
        <w:rPr>
          <w:szCs w:val="20"/>
        </w:rPr>
        <w:t xml:space="preserve">it may </w:t>
      </w:r>
      <w:r w:rsidRPr="007D35F1">
        <w:rPr>
          <w:szCs w:val="20"/>
        </w:rPr>
        <w:t xml:space="preserve">represent 20% of the fees </w:t>
      </w:r>
      <w:r w:rsidR="00A17273">
        <w:rPr>
          <w:szCs w:val="20"/>
        </w:rPr>
        <w:t>kept</w:t>
      </w:r>
      <w:r w:rsidRPr="007D35F1">
        <w:rPr>
          <w:szCs w:val="20"/>
        </w:rPr>
        <w:t xml:space="preserve"> by the asset manager; </w:t>
      </w:r>
      <w:r w:rsidR="00E50B9A" w:rsidRPr="007D35F1">
        <w:rPr>
          <w:szCs w:val="20"/>
        </w:rPr>
        <w:t>we expect author</w:t>
      </w:r>
      <w:r w:rsidR="00E50B9A" w:rsidRPr="007D35F1">
        <w:rPr>
          <w:szCs w:val="20"/>
        </w:rPr>
        <w:t>i</w:t>
      </w:r>
      <w:r w:rsidR="00E50B9A" w:rsidRPr="007D35F1">
        <w:rPr>
          <w:szCs w:val="20"/>
        </w:rPr>
        <w:t xml:space="preserve">ties to control that the introduction of BMR will </w:t>
      </w:r>
      <w:r w:rsidR="00E50B9A" w:rsidRPr="00A17273">
        <w:rPr>
          <w:b/>
          <w:szCs w:val="20"/>
        </w:rPr>
        <w:t>not be a pretext for further increasing these fees</w:t>
      </w:r>
      <w:r w:rsidR="00180FA3">
        <w:rPr>
          <w:szCs w:val="20"/>
        </w:rPr>
        <w:t xml:space="preserve"> as it simply implements existing IOSCO principles</w:t>
      </w:r>
      <w:r w:rsidR="00E50B9A" w:rsidRPr="007D35F1">
        <w:rPr>
          <w:szCs w:val="20"/>
        </w:rPr>
        <w:t>;</w:t>
      </w:r>
    </w:p>
    <w:p w:rsidR="006A3FF8" w:rsidRPr="007D35F1" w:rsidRDefault="004974F6" w:rsidP="00C6668D">
      <w:pPr>
        <w:pStyle w:val="Paragraphedeliste"/>
        <w:numPr>
          <w:ilvl w:val="0"/>
          <w:numId w:val="40"/>
        </w:numPr>
        <w:spacing w:after="120"/>
        <w:jc w:val="both"/>
        <w:rPr>
          <w:szCs w:val="20"/>
        </w:rPr>
      </w:pPr>
      <w:r w:rsidRPr="007D35F1">
        <w:rPr>
          <w:szCs w:val="20"/>
        </w:rPr>
        <w:t xml:space="preserve">It </w:t>
      </w:r>
      <w:r w:rsidR="006665B4" w:rsidRPr="007D35F1">
        <w:rPr>
          <w:szCs w:val="20"/>
        </w:rPr>
        <w:t>would be a pity to transfer the management of portfolios out of the EU</w:t>
      </w:r>
      <w:r w:rsidR="00986252">
        <w:rPr>
          <w:szCs w:val="20"/>
        </w:rPr>
        <w:t xml:space="preserve"> in order to be able to use non-</w:t>
      </w:r>
      <w:r w:rsidR="006665B4" w:rsidRPr="007D35F1">
        <w:rPr>
          <w:szCs w:val="20"/>
        </w:rPr>
        <w:t xml:space="preserve">compliant indices; </w:t>
      </w:r>
      <w:r w:rsidR="00180FA3">
        <w:rPr>
          <w:szCs w:val="20"/>
        </w:rPr>
        <w:t>this is particularly true for benchmarks administrated in third countries;</w:t>
      </w:r>
      <w:r w:rsidR="006665B4" w:rsidRPr="007D35F1">
        <w:rPr>
          <w:szCs w:val="20"/>
        </w:rPr>
        <w:t xml:space="preserve"> the introduction of a </w:t>
      </w:r>
      <w:r w:rsidR="006665B4" w:rsidRPr="00D71150">
        <w:rPr>
          <w:szCs w:val="20"/>
        </w:rPr>
        <w:t xml:space="preserve">large </w:t>
      </w:r>
      <w:r w:rsidR="006A3FF8" w:rsidRPr="00D71150">
        <w:rPr>
          <w:szCs w:val="20"/>
        </w:rPr>
        <w:t>grand fathering</w:t>
      </w:r>
      <w:r w:rsidR="006665B4" w:rsidRPr="00D71150">
        <w:rPr>
          <w:szCs w:val="20"/>
        </w:rPr>
        <w:t xml:space="preserve"> clause</w:t>
      </w:r>
      <w:r w:rsidR="006A3FF8" w:rsidRPr="00D71150">
        <w:rPr>
          <w:szCs w:val="20"/>
        </w:rPr>
        <w:t xml:space="preserve"> for existing funds</w:t>
      </w:r>
      <w:r w:rsidR="006A3FF8" w:rsidRPr="007D35F1">
        <w:rPr>
          <w:szCs w:val="20"/>
        </w:rPr>
        <w:t xml:space="preserve"> </w:t>
      </w:r>
      <w:r w:rsidR="00986252">
        <w:rPr>
          <w:szCs w:val="20"/>
        </w:rPr>
        <w:t xml:space="preserve">is not sufficient to grant asset managers </w:t>
      </w:r>
      <w:r w:rsidR="00986252" w:rsidRPr="00D71150">
        <w:rPr>
          <w:b/>
          <w:szCs w:val="20"/>
        </w:rPr>
        <w:t xml:space="preserve">sufficient </w:t>
      </w:r>
      <w:r w:rsidR="00D71150" w:rsidRPr="00D71150">
        <w:rPr>
          <w:b/>
          <w:szCs w:val="20"/>
        </w:rPr>
        <w:t xml:space="preserve">advance </w:t>
      </w:r>
      <w:r w:rsidR="00986252" w:rsidRPr="00D71150">
        <w:rPr>
          <w:b/>
          <w:szCs w:val="20"/>
        </w:rPr>
        <w:t>notice by administrators of their intent</w:t>
      </w:r>
      <w:r w:rsidR="00986252">
        <w:rPr>
          <w:szCs w:val="20"/>
        </w:rPr>
        <w:t xml:space="preserve"> to </w:t>
      </w:r>
      <w:r w:rsidR="00D71150">
        <w:rPr>
          <w:szCs w:val="20"/>
        </w:rPr>
        <w:t>ensure that existing benchmarks will be</w:t>
      </w:r>
      <w:r w:rsidR="00986252">
        <w:rPr>
          <w:szCs w:val="20"/>
        </w:rPr>
        <w:t xml:space="preserve"> compliant </w:t>
      </w:r>
      <w:bookmarkStart w:id="3" w:name="_GoBack"/>
      <w:bookmarkEnd w:id="3"/>
      <w:r w:rsidR="00986252">
        <w:rPr>
          <w:szCs w:val="20"/>
        </w:rPr>
        <w:t>on time;</w:t>
      </w:r>
      <w:r w:rsidR="006665B4" w:rsidRPr="007D35F1">
        <w:rPr>
          <w:szCs w:val="20"/>
        </w:rPr>
        <w:t xml:space="preserve"> </w:t>
      </w:r>
    </w:p>
    <w:p w:rsidR="006A3FF8" w:rsidRDefault="006665B4" w:rsidP="00C6668D">
      <w:pPr>
        <w:pStyle w:val="Paragraphedeliste"/>
        <w:numPr>
          <w:ilvl w:val="0"/>
          <w:numId w:val="40"/>
        </w:numPr>
        <w:spacing w:after="120"/>
        <w:jc w:val="both"/>
        <w:rPr>
          <w:szCs w:val="20"/>
        </w:rPr>
      </w:pPr>
      <w:r w:rsidRPr="007D35F1">
        <w:rPr>
          <w:szCs w:val="20"/>
        </w:rPr>
        <w:t xml:space="preserve">As </w:t>
      </w:r>
      <w:r w:rsidR="00F55098" w:rsidRPr="007D35F1">
        <w:rPr>
          <w:szCs w:val="20"/>
        </w:rPr>
        <w:t>end investors</w:t>
      </w:r>
      <w:r w:rsidRPr="007D35F1">
        <w:rPr>
          <w:szCs w:val="20"/>
        </w:rPr>
        <w:t xml:space="preserve"> we believe that we can positively contribute to the debate within the </w:t>
      </w:r>
      <w:r w:rsidRPr="00A17273">
        <w:rPr>
          <w:b/>
          <w:szCs w:val="20"/>
        </w:rPr>
        <w:t>oversight committee</w:t>
      </w:r>
      <w:r w:rsidRPr="007D35F1">
        <w:rPr>
          <w:szCs w:val="20"/>
        </w:rPr>
        <w:t xml:space="preserve"> of indices we use; we are ready to be</w:t>
      </w:r>
      <w:r w:rsidR="00F55098" w:rsidRPr="007D35F1">
        <w:rPr>
          <w:szCs w:val="20"/>
        </w:rPr>
        <w:t xml:space="preserve"> associated in the governance</w:t>
      </w:r>
      <w:r w:rsidR="0058638E">
        <w:rPr>
          <w:szCs w:val="20"/>
        </w:rPr>
        <w:t xml:space="preserve"> of those indices</w:t>
      </w:r>
      <w:r w:rsidR="00180FA3">
        <w:rPr>
          <w:szCs w:val="20"/>
        </w:rPr>
        <w:t>;</w:t>
      </w:r>
    </w:p>
    <w:p w:rsidR="00180FA3" w:rsidRPr="0058638E" w:rsidRDefault="00180FA3" w:rsidP="00C6668D">
      <w:pPr>
        <w:pStyle w:val="Paragraphedeliste"/>
        <w:numPr>
          <w:ilvl w:val="0"/>
          <w:numId w:val="40"/>
        </w:numPr>
        <w:spacing w:after="120"/>
        <w:jc w:val="both"/>
        <w:rPr>
          <w:szCs w:val="20"/>
        </w:rPr>
      </w:pPr>
      <w:r>
        <w:rPr>
          <w:szCs w:val="20"/>
        </w:rPr>
        <w:t xml:space="preserve">Amundi does agree with the general approach taken by ESMA in these RTS which relies on </w:t>
      </w:r>
      <w:r w:rsidRPr="00A17273">
        <w:rPr>
          <w:b/>
          <w:szCs w:val="20"/>
        </w:rPr>
        <w:t>transparency and proportionality</w:t>
      </w:r>
      <w:r>
        <w:rPr>
          <w:szCs w:val="20"/>
        </w:rPr>
        <w:t>; in some areas, like remuneration</w:t>
      </w:r>
      <w:r w:rsidR="00C6668D">
        <w:rPr>
          <w:szCs w:val="20"/>
        </w:rPr>
        <w:t>, exact weightings of co</w:t>
      </w:r>
      <w:r w:rsidR="00C6668D">
        <w:rPr>
          <w:szCs w:val="20"/>
        </w:rPr>
        <w:t>m</w:t>
      </w:r>
      <w:r w:rsidR="00C6668D">
        <w:rPr>
          <w:szCs w:val="20"/>
        </w:rPr>
        <w:t>ponents of an index o</w:t>
      </w:r>
      <w:r w:rsidR="002640A6">
        <w:rPr>
          <w:szCs w:val="20"/>
        </w:rPr>
        <w:t>r production of one compliance statement per benchmark</w:t>
      </w:r>
      <w:r>
        <w:rPr>
          <w:szCs w:val="20"/>
        </w:rPr>
        <w:t>, we even suggest more transparency.</w:t>
      </w:r>
    </w:p>
    <w:permEnd w:id="47598012"/>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9A2624" w:rsidRDefault="009A2624" w:rsidP="009A2624">
      <w:permStart w:id="1849520898" w:edGrp="everyone"/>
      <w:r>
        <w:t>TYPE YOUR TEXT HERE</w:t>
      </w:r>
    </w:p>
    <w:permEnd w:id="1849520898"/>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9A2624" w:rsidP="009A2624">
      <w:permStart w:id="816477756" w:edGrp="everyone"/>
      <w:r>
        <w:t>TYPE YOUR TEXT HERE</w:t>
      </w:r>
    </w:p>
    <w:permEnd w:id="816477756"/>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F55098" w:rsidP="009A2624">
      <w:permStart w:id="267590550" w:edGrp="everyone"/>
      <w:r>
        <w:t>We do not believe that observers are necessary to enhance proper governance.</w:t>
      </w:r>
      <w:r w:rsidR="00180FA3">
        <w:t xml:space="preserve"> A committee is made of members -</w:t>
      </w:r>
      <w:r>
        <w:t xml:space="preserve"> most with and some without voting rights, either </w:t>
      </w:r>
      <w:r w:rsidR="00AF399B">
        <w:t xml:space="preserve">in general </w:t>
      </w:r>
      <w:r>
        <w:t xml:space="preserve">or on specific conflicting issues. The chair may invite participants who are expected to leave after their presentation or </w:t>
      </w:r>
      <w:r w:rsidR="00AF399B">
        <w:t xml:space="preserve">will be </w:t>
      </w:r>
      <w:r>
        <w:t>authorised to stay during the whole meeting. There is no room for observers in</w:t>
      </w:r>
      <w:r w:rsidR="00180FA3">
        <w:t>-</w:t>
      </w:r>
      <w:r>
        <w:t xml:space="preserve">between. The non-competent </w:t>
      </w:r>
      <w:r w:rsidR="00C6668D">
        <w:t>authorities could either be non-</w:t>
      </w:r>
      <w:r>
        <w:t>voting members with a right to express views and not to vote or permanent invitees with no opportunity to speak except when invited to by the chair. We think that the RTS should suggest inviting some authorities if it is what ESMA aims at but should not introduce observer</w:t>
      </w:r>
      <w:r w:rsidR="00C6668D">
        <w:t>s</w:t>
      </w:r>
      <w:r>
        <w:t xml:space="preserve"> as a standard.   </w:t>
      </w:r>
    </w:p>
    <w:permEnd w:id="267590550"/>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9A2624" w:rsidP="009A2624">
      <w:permStart w:id="599792161" w:edGrp="everyone"/>
      <w:r>
        <w:t>TYPE YOUR TEXT HERE</w:t>
      </w:r>
    </w:p>
    <w:permEnd w:id="599792161"/>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0E3C59" w:rsidRDefault="000E3C59" w:rsidP="00A1781D">
      <w:pPr>
        <w:spacing w:after="120"/>
      </w:pPr>
      <w:permStart w:id="1556169938" w:edGrp="everyone"/>
      <w:r>
        <w:t>Amundi insists on the benefits for a better governance of the participation of asset managers</w:t>
      </w:r>
      <w:r w:rsidR="00AF399B">
        <w:t>,</w:t>
      </w:r>
      <w:r>
        <w:t xml:space="preserve"> </w:t>
      </w:r>
      <w:r w:rsidR="00C6668D">
        <w:t>who are</w:t>
      </w:r>
      <w:r>
        <w:t xml:space="preserve"> investors and end users of benchmarks</w:t>
      </w:r>
      <w:r w:rsidR="00AF399B">
        <w:t>,</w:t>
      </w:r>
      <w:r>
        <w:t xml:space="preserve"> to oversight committees. We think that it enlarges the view and diversifies the </w:t>
      </w:r>
      <w:r w:rsidR="00614FB2">
        <w:t xml:space="preserve">range of </w:t>
      </w:r>
      <w:r>
        <w:t xml:space="preserve">opinions in the committee. </w:t>
      </w:r>
      <w:r w:rsidR="00A17273">
        <w:t>On</w:t>
      </w:r>
      <w:r>
        <w:t xml:space="preserve"> cost</w:t>
      </w:r>
      <w:r w:rsidR="00A17273">
        <w:t>s</w:t>
      </w:r>
      <w:r>
        <w:t xml:space="preserve"> and fees, investors are </w:t>
      </w:r>
      <w:r w:rsidR="00A17273">
        <w:t>obviously not aligned</w:t>
      </w:r>
      <w:r>
        <w:t xml:space="preserve"> with administrators. </w:t>
      </w:r>
      <w:r w:rsidR="00A17273">
        <w:t>O</w:t>
      </w:r>
      <w:r>
        <w:t>n many issues, like transparency, methodology or crisis management, the opinion of</w:t>
      </w:r>
      <w:r w:rsidR="00C6668D">
        <w:t xml:space="preserve"> </w:t>
      </w:r>
      <w:r>
        <w:t>user</w:t>
      </w:r>
      <w:r w:rsidR="00C6668D">
        <w:t>s</w:t>
      </w:r>
      <w:r>
        <w:t xml:space="preserve"> of a benchmark is most valuable and informative to reach a proper decision. The set-up of a</w:t>
      </w:r>
      <w:r w:rsidR="00213B26">
        <w:t xml:space="preserve"> consu</w:t>
      </w:r>
      <w:r w:rsidR="00213B26">
        <w:t>l</w:t>
      </w:r>
      <w:r w:rsidR="00213B26">
        <w:t>tative</w:t>
      </w:r>
      <w:r>
        <w:t xml:space="preserve"> advisory committee where asset managers </w:t>
      </w:r>
      <w:r w:rsidR="006729B1">
        <w:t>would be invited to</w:t>
      </w:r>
      <w:r w:rsidR="00C6668D">
        <w:t xml:space="preserve"> join is only an indirect and less </w:t>
      </w:r>
      <w:r w:rsidR="006729B1">
        <w:t>efficient way to address the issue.</w:t>
      </w:r>
    </w:p>
    <w:p w:rsidR="009A2624" w:rsidRDefault="000E3C59" w:rsidP="009A2624">
      <w:r>
        <w:t xml:space="preserve">Otherwise, asset managers are subject to so many restrictive requirements in terms of remuneration that they feel that a simple transparency is the minimum that can be required from an administrator. We regret that, as explained in §25, ESMA renounced to transparency in this matter.  </w:t>
      </w:r>
    </w:p>
    <w:permEnd w:id="1556169938"/>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lastRenderedPageBreak/>
        <w:t>&lt;ESMA_QUESTION_C</w:t>
      </w:r>
      <w:r w:rsidR="009A2624">
        <w:t>P_BMR_6&gt;</w:t>
      </w:r>
    </w:p>
    <w:p w:rsidR="009A2624" w:rsidRDefault="009A2624" w:rsidP="009A2624">
      <w:permStart w:id="157757119" w:edGrp="everyone"/>
      <w:r>
        <w:t>Y</w:t>
      </w:r>
      <w:r w:rsidR="00213B26">
        <w:t>es, we agree that appropriateness and verifiability of input data is of utmost importance for the produ</w:t>
      </w:r>
      <w:r w:rsidR="00213B26">
        <w:t>c</w:t>
      </w:r>
      <w:r w:rsidR="00213B26">
        <w:t xml:space="preserve">tion of reliable indices. We share ESMA’s opinion that proportionality is necessary and for example that controls on regulated data can be more limited. We strongly believe that ESMA should reconsider its guidelines on ETFs and other UCITS issues of August 2014 and </w:t>
      </w:r>
      <w:r w:rsidR="00F8151B">
        <w:t>introduce the same proportionality in it</w:t>
      </w:r>
      <w:r w:rsidR="00AF399B">
        <w:t xml:space="preserve"> when considering regulated benchmarks</w:t>
      </w:r>
      <w:r w:rsidR="00F8151B">
        <w:t>. The clarification brought by BRM on the different categories of ind</w:t>
      </w:r>
      <w:r w:rsidR="00F8151B">
        <w:t>i</w:t>
      </w:r>
      <w:r w:rsidR="00F8151B">
        <w:t>ces and the different levels of risk that they represent demands major changes in the guidelines to gain some co</w:t>
      </w:r>
      <w:r w:rsidR="00F8151B">
        <w:t>n</w:t>
      </w:r>
      <w:r w:rsidR="00F8151B">
        <w:t>sistency.</w:t>
      </w:r>
    </w:p>
    <w:permEnd w:id="157757119"/>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9A2624" w:rsidRDefault="00F8151B" w:rsidP="009A2624">
      <w:permStart w:id="1953392576" w:edGrp="everyone"/>
      <w:r>
        <w:t xml:space="preserve">We support the high level of oversight and verification that is expected from the administrator vis à vis contributors. We insist that the user of a benchmark is not in a position to make any assessment of the organisation and governance of contributors and should not be expected to do anything else but rely on the presumption that the administrator </w:t>
      </w:r>
      <w:r w:rsidR="00614FB2">
        <w:t>complies</w:t>
      </w:r>
      <w:r>
        <w:t xml:space="preserve"> with BMR. As a consequence some provisions of the guidelines on ETF</w:t>
      </w:r>
      <w:r w:rsidR="00C6668D">
        <w:t>s</w:t>
      </w:r>
      <w:r>
        <w:t xml:space="preserve"> and other UCITS issues are to be deleted.  </w:t>
      </w:r>
    </w:p>
    <w:permEnd w:id="1953392576"/>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9A2624" w:rsidRDefault="000147F0" w:rsidP="00A1781D">
      <w:pPr>
        <w:spacing w:after="120"/>
      </w:pPr>
      <w:permStart w:id="1675981944" w:edGrp="everyone"/>
      <w:r>
        <w:t xml:space="preserve">ESMA limits the requirement to the principles when </w:t>
      </w:r>
      <w:r w:rsidR="007A71FB">
        <w:t xml:space="preserve">users </w:t>
      </w:r>
      <w:r>
        <w:t xml:space="preserve">need the detailed composition and weightings of an index to </w:t>
      </w:r>
      <w:r w:rsidR="00614FB2">
        <w:t>better monitor it</w:t>
      </w:r>
      <w:r w:rsidR="007A71FB">
        <w:t xml:space="preserve"> and, for asset managers, to comply to ESMA’s guidelines</w:t>
      </w:r>
      <w:r>
        <w:t>. We know that administrators raised the question of intellectual property to di</w:t>
      </w:r>
      <w:r>
        <w:t>s</w:t>
      </w:r>
      <w:r>
        <w:t>miss a further transparency, but we still feel that ESMA has not gone far enough to ensure total market confidence through total transparency, which is the only way to have efficient controls by third parties. A small delay in the publication would have protec</w:t>
      </w:r>
      <w:r>
        <w:t>t</w:t>
      </w:r>
      <w:r>
        <w:t>ed intellectual prope</w:t>
      </w:r>
      <w:r>
        <w:t>r</w:t>
      </w:r>
      <w:r>
        <w:t>ty in our opinion and satisfied the requirements imposed on asset managers under the guidelines on ETF</w:t>
      </w:r>
      <w:r w:rsidR="00C6668D">
        <w:t>s</w:t>
      </w:r>
      <w:r>
        <w:t xml:space="preserve"> and other UCITS issues.</w:t>
      </w:r>
    </w:p>
    <w:p w:rsidR="004454FD" w:rsidRDefault="004454FD" w:rsidP="00A1781D">
      <w:pPr>
        <w:spacing w:after="120"/>
      </w:pPr>
      <w:r>
        <w:t>Amundi finds that ESMA is not consistent when asking asset managers to gain full transparency on ind</w:t>
      </w:r>
      <w:r>
        <w:t>i</w:t>
      </w:r>
      <w:r>
        <w:t>ces before using them in a UCITS when, at the same time, it does not require full transparency from the administrator in the oversight process. If BMR at levels 1 and 2 does not impose full transparency on administrators how should asset managers, who have no leverage on administrators, be required in a level 3 guideline to gain full transparency ? If it is important it should be included in BMR so that admini</w:t>
      </w:r>
      <w:r>
        <w:t>s</w:t>
      </w:r>
      <w:r>
        <w:t>trators would not discuss the obligation imposed by regulators that are empowered to withdraw their authorization to produce indices. More specifically, we have strong doubt</w:t>
      </w:r>
      <w:r w:rsidR="007A71FB">
        <w:t>s</w:t>
      </w:r>
      <w:r>
        <w:t xml:space="preserve"> on the benevolence of admini</w:t>
      </w:r>
      <w:r>
        <w:t>s</w:t>
      </w:r>
      <w:r>
        <w:t>trators to compl</w:t>
      </w:r>
      <w:r w:rsidR="00A1781D">
        <w:t xml:space="preserve">y with a regulation that goes further than their own regulatory framework. There is a high risk that BMR will be considered as the norm and that extra information will no longer be available for asset managers. </w:t>
      </w:r>
    </w:p>
    <w:permEnd w:id="1675981944"/>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9A2624" w:rsidP="009A2624">
      <w:permStart w:id="1725241017" w:edGrp="everyone"/>
      <w:r>
        <w:t>TYPE YOUR TEXT HERE</w:t>
      </w:r>
    </w:p>
    <w:permEnd w:id="1725241017"/>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9A2624" w:rsidRDefault="00F8151B" w:rsidP="009A2624">
      <w:permStart w:id="59522178" w:edGrp="everyone"/>
      <w:r>
        <w:t>Amundi totally supports ESMA when it disqualifies the argument that</w:t>
      </w:r>
      <w:r w:rsidR="000147F0">
        <w:t xml:space="preserve"> the</w:t>
      </w:r>
      <w:r>
        <w:t xml:space="preserve"> necessity to react rapidly could  prevent administrators from consulting before changing methodology. </w:t>
      </w:r>
      <w:r w:rsidR="000147F0">
        <w:t>The activation of exceptional measures when circumstances impose it is not the same as a permanent change of methodology. We consider that a public consultation is necessary before substantially or significantly modifying the metho</w:t>
      </w:r>
      <w:r w:rsidR="000147F0">
        <w:t>d</w:t>
      </w:r>
      <w:r w:rsidR="000147F0">
        <w:t>ology of calculation of an index.</w:t>
      </w:r>
    </w:p>
    <w:permEnd w:id="59522178"/>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9A2624" w:rsidP="009A2624">
      <w:permStart w:id="743849064" w:edGrp="everyone"/>
      <w:r>
        <w:t>TYPE YOUR TEXT HERE</w:t>
      </w:r>
    </w:p>
    <w:permEnd w:id="743849064"/>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1007626343" w:edGrp="everyone"/>
      <w:r>
        <w:t>TYPE YOUR TEXT HERE</w:t>
      </w:r>
    </w:p>
    <w:permEnd w:id="1007626343"/>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38662B" w:rsidRDefault="0038662B" w:rsidP="0038662B">
      <w:permStart w:id="915356990" w:edGrp="everyone"/>
      <w:r>
        <w:t>TYPE YOUR TEXT HERE</w:t>
      </w:r>
    </w:p>
    <w:permEnd w:id="915356990"/>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170109" w:rsidP="0038662B">
      <w:permStart w:id="17652121" w:edGrp="everyone"/>
      <w:r>
        <w:t>No, we are not keen to develop a</w:t>
      </w:r>
      <w:r w:rsidR="00BF7C60">
        <w:t xml:space="preserve"> negative</w:t>
      </w:r>
      <w:r>
        <w:t xml:space="preserve"> climat</w:t>
      </w:r>
      <w:r w:rsidR="00BF7C60">
        <w:t>e of suspicion and denunciation.</w:t>
      </w:r>
      <w:r>
        <w:t xml:space="preserve"> A minimum safeguard should be introduce</w:t>
      </w:r>
      <w:r w:rsidR="00D67E97">
        <w:t>d</w:t>
      </w:r>
      <w:r>
        <w:t xml:space="preserve"> to prevent reporting </w:t>
      </w:r>
      <w:r w:rsidR="00D67E97">
        <w:t xml:space="preserve">totally unfounded </w:t>
      </w:r>
      <w:r>
        <w:t>subjective suspicion. Internal escalation procedures must be used first before gaining any substance that could lead t</w:t>
      </w:r>
      <w:r w:rsidR="00C6668D">
        <w:t>o</w:t>
      </w:r>
      <w:r>
        <w:t xml:space="preserve"> the decision to report transactions where there is a reasonable suspicion based on a proper inquiry.</w:t>
      </w:r>
    </w:p>
    <w:permEnd w:id="17652121"/>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38662B" w:rsidRDefault="0038662B" w:rsidP="0038662B">
      <w:permStart w:id="618099333" w:edGrp="everyone"/>
      <w:r>
        <w:t>TYPE YOUR TEXT HERE</w:t>
      </w:r>
    </w:p>
    <w:permEnd w:id="618099333"/>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lastRenderedPageBreak/>
        <w:t>&lt;ESMA_QUESTION_CP_BMR_16&gt;</w:t>
      </w:r>
    </w:p>
    <w:p w:rsidR="0038662B" w:rsidRDefault="00D67E97" w:rsidP="0038662B">
      <w:permStart w:id="639924706" w:edGrp="everyone"/>
      <w:r>
        <w:t>Amundi recommends that ESMA suggest administrators of non-critical indices that rely on contributions to consider the RTS when designing their own code of conduct.</w:t>
      </w:r>
    </w:p>
    <w:permEnd w:id="639924706"/>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723939713" w:edGrp="everyone"/>
      <w:r>
        <w:t>TYPE YOUR TEXT HERE</w:t>
      </w:r>
    </w:p>
    <w:permEnd w:id="723939713"/>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C1E20" w:rsidP="0038662B">
      <w:permStart w:id="1574047516" w:edGrp="everyone"/>
      <w:r w:rsidRPr="003C1E20">
        <w:t xml:space="preserve"> </w:t>
      </w:r>
      <w:r>
        <w:t>TYPE YOUR TEXT HERE</w:t>
      </w:r>
    </w:p>
    <w:permEnd w:id="1574047516"/>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38662B" w:rsidRDefault="003C1E20" w:rsidP="0038662B">
      <w:permStart w:id="668015751" w:edGrp="everyone"/>
      <w:r>
        <w:t>Amundi would have preferred that ESMA’s position on the burden of proof expressed in §148 be included in the text of the RTS, possibly as a recital. We believe that the fact that the NCA that denies the benefit of a possible exemption to the administrator of a non-critical benchmark has to bring the evidence of a neg</w:t>
      </w:r>
      <w:r>
        <w:t>a</w:t>
      </w:r>
      <w:r>
        <w:t xml:space="preserve">tive impact of the granting of this exemption is very important for the balance of BMR. </w:t>
      </w:r>
    </w:p>
    <w:permEnd w:id="668015751"/>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C33E1" w:rsidRDefault="003C1E20" w:rsidP="004C33E1">
      <w:permStart w:id="170798950" w:edGrp="everyone"/>
      <w:r>
        <w:t>Amundi does not agree with the publication of one single</w:t>
      </w:r>
      <w:r w:rsidR="00A1781D">
        <w:t xml:space="preserve"> compliance</w:t>
      </w:r>
      <w:r>
        <w:t xml:space="preserve"> statement for all indices as foreseen in the RTS. From a user’s perspective it is not efficient no</w:t>
      </w:r>
      <w:r w:rsidR="00C6668D">
        <w:t>t</w:t>
      </w:r>
      <w:r>
        <w:t xml:space="preserve"> to have a short and clear statement per index. The proposed solution is not much easier for administrators since they will have to review the whole unique document as </w:t>
      </w:r>
      <w:r w:rsidR="007A71FB">
        <w:t>soon</w:t>
      </w:r>
      <w:r>
        <w:t xml:space="preserve"> as there is a change, for example the introduction of a new index. The unique doc</w:t>
      </w:r>
      <w:r>
        <w:t>u</w:t>
      </w:r>
      <w:r>
        <w:t xml:space="preserve">ment is a source for many mistakes since the publisher will have to check that each index is properly reported among many different other ones that share the same characteristic for one item and may not for the following item. This presentation </w:t>
      </w:r>
      <w:r w:rsidR="002640A6">
        <w:t xml:space="preserve">is inefficient and </w:t>
      </w:r>
      <w:r>
        <w:t xml:space="preserve">penalising for users who want to have a clear and immediate understanding of the </w:t>
      </w:r>
      <w:r w:rsidR="00145E04">
        <w:t xml:space="preserve">regulatory requirements that apply or not to a given and identified index. Cross references and manipulation of tens </w:t>
      </w:r>
      <w:r w:rsidR="002640A6">
        <w:t>(</w:t>
      </w:r>
      <w:r w:rsidR="00145E04">
        <w:t>or hundreds</w:t>
      </w:r>
      <w:r w:rsidR="002640A6">
        <w:t>)</w:t>
      </w:r>
      <w:r w:rsidR="00145E04">
        <w:t xml:space="preserve"> of pages is simply a denial of transparency. So paradoxical for a compliance statement!</w:t>
      </w:r>
      <w:r w:rsidR="00A1781D">
        <w:t xml:space="preserve"> We recommend that ESMA come back to a more “user friendly” document, i.e. a compliance statement per index.</w:t>
      </w:r>
    </w:p>
    <w:permEnd w:id="170798950"/>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C33E1" w:rsidRDefault="00145E04" w:rsidP="00BC63A0">
      <w:pPr>
        <w:spacing w:after="120"/>
      </w:pPr>
      <w:permStart w:id="1938242586" w:edGrp="everyone"/>
      <w:r>
        <w:t>Amundi is convinced that the benchmark statement will be a very useful to</w:t>
      </w:r>
      <w:r w:rsidR="002640A6">
        <w:t>ol in the hands of investors. To</w:t>
      </w:r>
      <w:r>
        <w:t xml:space="preserve"> be more informative, it should in our opinion identify at first sight those indices that rely on contributions. </w:t>
      </w:r>
      <w:r>
        <w:lastRenderedPageBreak/>
        <w:t>We know that it is not a category defined in BMR but we think that it is a characteristic of the utmost importance for investor</w:t>
      </w:r>
      <w:r w:rsidR="00BF7C60">
        <w:t>s</w:t>
      </w:r>
      <w:r>
        <w:t xml:space="preserve"> and it should appear next to the categorisation of the index. </w:t>
      </w:r>
    </w:p>
    <w:p w:rsidR="00145E04" w:rsidRDefault="00145E04" w:rsidP="00BC63A0">
      <w:pPr>
        <w:spacing w:after="120"/>
      </w:pPr>
      <w:r>
        <w:t>Furthermore, for asset managers it is a pity that there is no link between the benchmark statement and the items that have to be checked under ESMA’s guidelines on ETF</w:t>
      </w:r>
      <w:r w:rsidR="002640A6">
        <w:t>s</w:t>
      </w:r>
      <w:r>
        <w:t xml:space="preserve"> and other UCITS issues of August 2014. We </w:t>
      </w:r>
      <w:r w:rsidR="009736B1">
        <w:t xml:space="preserve">suggest that a specific declaration should be made by administrators in the benchmark statement that they comply with the guidelines’ requirements and publish the required complementary information </w:t>
      </w:r>
      <w:r>
        <w:t xml:space="preserve"> </w:t>
      </w:r>
      <w:r w:rsidR="009736B1">
        <w:t xml:space="preserve">on such web page. </w:t>
      </w:r>
      <w:r w:rsidR="00BC63A0">
        <w:t>The benchmark statement should flag those indices that can be used in UCITS. It can only be the responsibility of the administrator to determine whether its internal procedures enable the index to be UCITS compliant. Today, asset managers encounter difficulties in assessing the quality of the organisation and procedures of indices producers</w:t>
      </w:r>
      <w:r w:rsidR="009736B1">
        <w:t>.</w:t>
      </w:r>
      <w:r w:rsidR="00BC63A0">
        <w:t xml:space="preserve"> These are largely confidential and administrators provide general statements that are worded in such a way that prima facie compliance can be assumed</w:t>
      </w:r>
      <w:r w:rsidR="000A21EE">
        <w:t>;</w:t>
      </w:r>
      <w:r w:rsidR="00BC63A0">
        <w:t xml:space="preserve"> but there is no endorsement by the administrator of any kind and its responsibility is not clearly engaged. It is a loophole in the efficiency of BMR not to require administrators to engage themselves on the compl</w:t>
      </w:r>
      <w:r w:rsidR="00BC63A0">
        <w:t>i</w:t>
      </w:r>
      <w:r w:rsidR="00BC63A0">
        <w:t>ance with existing regulations, such as ESMA guidelines (as long as they are not withdrawn). Asset ma</w:t>
      </w:r>
      <w:r w:rsidR="00BC63A0">
        <w:t>n</w:t>
      </w:r>
      <w:r w:rsidR="00BC63A0">
        <w:t>agers are not in a position to audit the procedures and internal organisation of administrators and have to rely on their declarations. Administrator</w:t>
      </w:r>
      <w:r w:rsidR="000A21EE">
        <w:t>s</w:t>
      </w:r>
      <w:r w:rsidR="00BC63A0">
        <w:t xml:space="preserve"> should be responsible for their declarations and subject to an obligation to issue a declaration of compliance</w:t>
      </w:r>
      <w:r w:rsidR="000A21EE">
        <w:t>/non-compliance</w:t>
      </w:r>
      <w:r w:rsidR="00BC63A0">
        <w:t xml:space="preserve"> with ESMA guidelines. </w:t>
      </w:r>
    </w:p>
    <w:p w:rsidR="000A21EE" w:rsidRDefault="000A21EE" w:rsidP="00BC63A0">
      <w:pPr>
        <w:spacing w:after="120"/>
      </w:pPr>
      <w:r>
        <w:t>Another example of current difficulties resulting for asset managers from the guidelines relates to the ability to use the exception that enables an index to present a concentration of 20 % and in some circu</w:t>
      </w:r>
      <w:r>
        <w:t>m</w:t>
      </w:r>
      <w:r>
        <w:t>stances even 35%</w:t>
      </w:r>
      <w:r w:rsidRPr="000A21EE">
        <w:t xml:space="preserve"> </w:t>
      </w:r>
      <w:r>
        <w:t xml:space="preserve">on one of its components. If the administrator does not pledge </w:t>
      </w:r>
      <w:r w:rsidR="00A738CC">
        <w:t>that it will not go further than these</w:t>
      </w:r>
      <w:r>
        <w:t xml:space="preserve"> limit</w:t>
      </w:r>
      <w:r w:rsidR="00A738CC">
        <w:t>s</w:t>
      </w:r>
      <w:r>
        <w:t>, the asset manager that uses such an index in any UCITS will have to conduct a regular check on the composition of the index and to make a decision in case of breach. Not many administr</w:t>
      </w:r>
      <w:r>
        <w:t>a</w:t>
      </w:r>
      <w:r>
        <w:t>tors agree to include in their methodology a cap at the given 20 or 35% level. Administrators should be asked by ESMA to state in the benchmark statement whether or not they comply with this ratio. The introduction of a flag  of compliance with UCITS rules would be the most efficient tool and it should appear on the central data</w:t>
      </w:r>
      <w:r w:rsidR="00B56EC8">
        <w:t xml:space="preserve"> base run by ESMA of all indices complying with BMR</w:t>
      </w:r>
      <w:r>
        <w:t>.</w:t>
      </w:r>
    </w:p>
    <w:p w:rsidR="00A1781D" w:rsidRDefault="00A1781D" w:rsidP="004C33E1">
      <w:r>
        <w:t xml:space="preserve">Finally, we are concerned that the benchmark statement should be a synthetic document. As is the case for DICI under UCITS, we believe that the standard benchmark statement should not exceed 2 pages. It implies that developments on the management of conflicts of interest for example be just mentioned and summarized in the statement and that a link with a web page be introduced. Thus, interested users could </w:t>
      </w:r>
      <w:r w:rsidR="00BC63A0">
        <w:t xml:space="preserve">easily </w:t>
      </w:r>
      <w:r>
        <w:t>access more detailed information.</w:t>
      </w:r>
    </w:p>
    <w:permEnd w:id="1938242586"/>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9736B1" w:rsidP="004C33E1">
      <w:permStart w:id="339364839" w:edGrp="everyone"/>
      <w:r>
        <w:t>In order for users to know when the statement has been updated, we suggest that the date of publication be indicated on the statement. We consider as good practice that should be encouraged among admini</w:t>
      </w:r>
      <w:r>
        <w:t>s</w:t>
      </w:r>
      <w:r>
        <w:t xml:space="preserve">trators to review their statements annually (at least on the electronic version) and as soon as they are no longer appropriate. </w:t>
      </w:r>
    </w:p>
    <w:permEnd w:id="339364839"/>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4C33E1" w:rsidP="004C33E1">
      <w:permStart w:id="764614995" w:edGrp="everyone"/>
      <w:r>
        <w:t>TYPE YOUR TEXT HERE</w:t>
      </w:r>
    </w:p>
    <w:permEnd w:id="764614995"/>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lastRenderedPageBreak/>
        <w:t>&lt;ESMA_QUESTION_CP_BMR_24&gt;</w:t>
      </w:r>
    </w:p>
    <w:p w:rsidR="004C33E1" w:rsidRDefault="004C33E1" w:rsidP="004C33E1">
      <w:permStart w:id="981215525" w:edGrp="everyone"/>
      <w:r>
        <w:t>TYPE YOUR TEXT HERE</w:t>
      </w:r>
    </w:p>
    <w:permEnd w:id="981215525"/>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754672861" w:edGrp="everyone"/>
      <w:r>
        <w:t>TYPE YOUR TEXT HERE</w:t>
      </w:r>
    </w:p>
    <w:permEnd w:id="754672861"/>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4C33E1" w:rsidP="004C33E1">
      <w:permStart w:id="129849573" w:edGrp="everyone"/>
      <w:r>
        <w:t>TYPE YOUR TEXT HERE</w:t>
      </w:r>
    </w:p>
    <w:permEnd w:id="129849573"/>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596904193" w:edGrp="everyone"/>
      <w:r>
        <w:t>TYPE YOUR TEXT HERE</w:t>
      </w:r>
    </w:p>
    <w:permEnd w:id="596904193"/>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920030" w:rsidP="004C33E1">
      <w:permStart w:id="1039408761" w:edGrp="everyone"/>
      <w:r>
        <w:t>In our view article 34 (4) of BMR is sufficiently explicit not to require any further comment. Thus</w:t>
      </w:r>
      <w:r w:rsidR="005A13E2">
        <w:t>,</w:t>
      </w:r>
      <w:r>
        <w:t xml:space="preserve"> we do not understand the interest of § 235 a</w:t>
      </w:r>
      <w:r w:rsidR="005A13E2">
        <w:t xml:space="preserve">nd feel that it brings opacity. We fear it aims at trespassing the clear indications of level 1 text. </w:t>
      </w:r>
    </w:p>
    <w:permEnd w:id="1039408761"/>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4C33E1" w:rsidP="004C33E1">
      <w:permStart w:id="2079523162" w:edGrp="everyone"/>
      <w:r>
        <w:t>TYPE YOUR TEXT HERE</w:t>
      </w:r>
    </w:p>
    <w:permEnd w:id="2079523162"/>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16146144" w:edGrp="everyone"/>
      <w:r>
        <w:t>TYPE YOUR TEXT HERE</w:t>
      </w:r>
    </w:p>
    <w:permEnd w:id="16146144"/>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 xml:space="preserve">mation that a third-country applicant should give around the benchmarks it provides and </w:t>
      </w:r>
      <w:r w:rsidRPr="004C33E1">
        <w:rPr>
          <w:rFonts w:ascii="Arial" w:hAnsi="Arial" w:cs="Arial"/>
        </w:rPr>
        <w:lastRenderedPageBreak/>
        <w:t>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5A13E2" w:rsidP="004C33E1">
      <w:permStart w:id="529996511" w:edGrp="everyone"/>
      <w:r>
        <w:t xml:space="preserve">Amundi would like to insist on the importance of the grandfathering clause that should enable those who use or refer to </w:t>
      </w:r>
      <w:r w:rsidR="002640A6">
        <w:t>a benchmark</w:t>
      </w:r>
      <w:r>
        <w:t xml:space="preserve"> prior to 2020 that is produced by an administrator of a third country. Many indices are not produced by EU administrators today and the perspective of </w:t>
      </w:r>
      <w:proofErr w:type="spellStart"/>
      <w:r>
        <w:t>Brexit</w:t>
      </w:r>
      <w:proofErr w:type="spellEnd"/>
      <w:r>
        <w:t xml:space="preserve"> will even reinforce this feature. Asset managers have a duty towards their client investors to ensure continuity in the investment strategies that are conceived for long term investment. It is not a matter of a couple of years but it is a trust that has to develop</w:t>
      </w:r>
      <w:r w:rsidRPr="005A13E2">
        <w:t xml:space="preserve"> </w:t>
      </w:r>
      <w:r>
        <w:t xml:space="preserve">over decades. </w:t>
      </w:r>
      <w:r w:rsidR="00A738CC">
        <w:t>We think on the one hand that third country administrators should not be in an advantageous position compared to EU ones and on the other hand that advance notice should be demanded from administrators as to their will to make their benchmarks will be compliant or not on time.</w:t>
      </w:r>
      <w:r>
        <w:t xml:space="preserve"> </w:t>
      </w:r>
    </w:p>
    <w:permEnd w:id="529996511"/>
    <w:p w:rsidR="004C33E1" w:rsidRDefault="004C33E1" w:rsidP="004C33E1">
      <w:r>
        <w:t>&lt;ESMA_QUESTION_CP_BMR_31&gt;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E2" w:rsidRDefault="005A13E2">
      <w:r>
        <w:separator/>
      </w:r>
    </w:p>
    <w:p w:rsidR="005A13E2" w:rsidRDefault="005A13E2"/>
  </w:endnote>
  <w:endnote w:type="continuationSeparator" w:id="0">
    <w:p w:rsidR="005A13E2" w:rsidRDefault="005A13E2">
      <w:r>
        <w:continuationSeparator/>
      </w:r>
    </w:p>
    <w:p w:rsidR="005A13E2" w:rsidRDefault="005A13E2"/>
  </w:endnote>
  <w:endnote w:type="continuationNotice" w:id="1">
    <w:p w:rsidR="005A13E2" w:rsidRDefault="005A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A13E2" w:rsidRPr="00616B9B" w:rsidTr="00315E96">
      <w:trPr>
        <w:trHeight w:val="284"/>
      </w:trPr>
      <w:tc>
        <w:tcPr>
          <w:tcW w:w="8460" w:type="dxa"/>
        </w:tcPr>
        <w:p w:rsidR="005A13E2" w:rsidRPr="00315E96" w:rsidRDefault="005A13E2" w:rsidP="00315E96">
          <w:pPr>
            <w:pStyle w:val="00Footer"/>
            <w:rPr>
              <w:lang w:val="fr-FR"/>
            </w:rPr>
          </w:pPr>
        </w:p>
      </w:tc>
      <w:tc>
        <w:tcPr>
          <w:tcW w:w="952" w:type="dxa"/>
        </w:tcPr>
        <w:p w:rsidR="005A13E2" w:rsidRPr="00616B9B" w:rsidRDefault="005A13E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71150">
            <w:rPr>
              <w:rFonts w:cs="Arial"/>
              <w:noProof/>
              <w:sz w:val="22"/>
              <w:szCs w:val="22"/>
            </w:rPr>
            <w:t>5</w:t>
          </w:r>
          <w:r w:rsidRPr="00616B9B">
            <w:rPr>
              <w:rFonts w:cs="Arial"/>
              <w:noProof/>
              <w:sz w:val="22"/>
              <w:szCs w:val="22"/>
            </w:rPr>
            <w:fldChar w:fldCharType="end"/>
          </w:r>
        </w:p>
      </w:tc>
    </w:tr>
  </w:tbl>
  <w:p w:rsidR="005A13E2" w:rsidRDefault="005A13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E2" w:rsidRDefault="005A13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E2" w:rsidRDefault="005A13E2">
      <w:r>
        <w:separator/>
      </w:r>
    </w:p>
    <w:p w:rsidR="005A13E2" w:rsidRDefault="005A13E2"/>
  </w:footnote>
  <w:footnote w:type="continuationSeparator" w:id="0">
    <w:p w:rsidR="005A13E2" w:rsidRDefault="005A13E2">
      <w:r>
        <w:continuationSeparator/>
      </w:r>
    </w:p>
    <w:p w:rsidR="005A13E2" w:rsidRDefault="005A13E2"/>
  </w:footnote>
  <w:footnote w:type="continuationNotice" w:id="1">
    <w:p w:rsidR="005A13E2" w:rsidRDefault="005A1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E2" w:rsidRDefault="005A13E2">
    <w:pPr>
      <w:pStyle w:val="En-tte"/>
    </w:pPr>
    <w:r>
      <w:rPr>
        <w:noProof/>
        <w:lang w:val="en-US"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E2" w:rsidRDefault="005A13E2" w:rsidP="00013CCE">
    <w:pPr>
      <w:pStyle w:val="En-tte"/>
      <w:jc w:val="right"/>
    </w:pPr>
    <w:r>
      <w:rPr>
        <w:noProof/>
        <w:lang w:val="en-US"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E2" w:rsidRDefault="005A13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A13E2" w:rsidRPr="002F4496" w:rsidTr="000C06C9">
      <w:trPr>
        <w:trHeight w:val="284"/>
      </w:trPr>
      <w:tc>
        <w:tcPr>
          <w:tcW w:w="8460" w:type="dxa"/>
        </w:tcPr>
        <w:p w:rsidR="005A13E2" w:rsidRPr="000C3B6D" w:rsidRDefault="005A13E2" w:rsidP="000C06C9">
          <w:pPr>
            <w:pStyle w:val="00Footer"/>
            <w:rPr>
              <w:lang w:val="fr-FR"/>
            </w:rPr>
          </w:pPr>
        </w:p>
      </w:tc>
      <w:tc>
        <w:tcPr>
          <w:tcW w:w="952" w:type="dxa"/>
        </w:tcPr>
        <w:p w:rsidR="005A13E2" w:rsidRPr="00146B34" w:rsidRDefault="005A13E2" w:rsidP="000C06C9">
          <w:pPr>
            <w:pStyle w:val="00aPagenumber"/>
            <w:rPr>
              <w:lang w:val="fr-FR"/>
            </w:rPr>
          </w:pPr>
        </w:p>
      </w:tc>
    </w:tr>
  </w:tbl>
  <w:p w:rsidR="005A13E2" w:rsidRPr="00DB46C3" w:rsidRDefault="005A13E2">
    <w:pPr>
      <w:rPr>
        <w:lang w:val="fr-FR"/>
      </w:rPr>
    </w:pPr>
  </w:p>
  <w:p w:rsidR="005A13E2" w:rsidRPr="002F4496" w:rsidRDefault="005A13E2">
    <w:pPr>
      <w:pStyle w:val="En-tte"/>
      <w:rPr>
        <w:lang w:val="fr-FR"/>
      </w:rPr>
    </w:pPr>
  </w:p>
  <w:p w:rsidR="005A13E2" w:rsidRPr="002F4496" w:rsidRDefault="005A13E2" w:rsidP="000C06C9">
    <w:pPr>
      <w:pStyle w:val="En-tte"/>
      <w:tabs>
        <w:tab w:val="clear" w:pos="4536"/>
        <w:tab w:val="clear" w:pos="9072"/>
        <w:tab w:val="left" w:pos="8227"/>
      </w:tabs>
      <w:rPr>
        <w:lang w:val="fr-FR"/>
      </w:rPr>
    </w:pPr>
  </w:p>
  <w:p w:rsidR="005A13E2" w:rsidRPr="002F4496" w:rsidRDefault="005A13E2" w:rsidP="000C06C9">
    <w:pPr>
      <w:pStyle w:val="En-tte"/>
      <w:tabs>
        <w:tab w:val="clear" w:pos="4536"/>
        <w:tab w:val="clear" w:pos="9072"/>
        <w:tab w:val="left" w:pos="8227"/>
      </w:tabs>
      <w:rPr>
        <w:lang w:val="fr-FR"/>
      </w:rPr>
    </w:pPr>
  </w:p>
  <w:p w:rsidR="005A13E2" w:rsidRPr="002F4496" w:rsidRDefault="005A13E2">
    <w:pPr>
      <w:pStyle w:val="En-tte"/>
      <w:rPr>
        <w:lang w:val="fr-FR"/>
      </w:rPr>
    </w:pPr>
  </w:p>
  <w:p w:rsidR="005A13E2" w:rsidRPr="002F4496" w:rsidRDefault="005A13E2">
    <w:pPr>
      <w:pStyle w:val="En-tte"/>
      <w:rPr>
        <w:lang w:val="fr-FR"/>
      </w:rPr>
    </w:pPr>
  </w:p>
  <w:p w:rsidR="005A13E2" w:rsidRPr="002F4496" w:rsidRDefault="005A13E2">
    <w:pPr>
      <w:pStyle w:val="En-tte"/>
      <w:rPr>
        <w:lang w:val="fr-FR"/>
      </w:rPr>
    </w:pPr>
  </w:p>
  <w:p w:rsidR="005A13E2" w:rsidRPr="002F4496" w:rsidRDefault="005A13E2">
    <w:pPr>
      <w:pStyle w:val="En-tte"/>
      <w:rPr>
        <w:lang w:val="fr-FR"/>
      </w:rPr>
    </w:pPr>
  </w:p>
  <w:p w:rsidR="005A13E2" w:rsidRPr="002F4496" w:rsidRDefault="005A13E2">
    <w:pPr>
      <w:pStyle w:val="En-tte"/>
      <w:rPr>
        <w:highlight w:val="yellow"/>
        <w:lang w:val="fr-FR"/>
      </w:rPr>
    </w:pPr>
  </w:p>
  <w:p w:rsidR="005A13E2" w:rsidRDefault="005A13E2">
    <w:pPr>
      <w:pStyle w:val="En-tte"/>
    </w:pPr>
    <w:r>
      <w:rPr>
        <w:noProof/>
        <w:lang w:val="en-US" w:eastAsia="zh-TW"/>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E604B9"/>
    <w:multiLevelType w:val="hybridMultilevel"/>
    <w:tmpl w:val="B2D8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9"/>
  </w:num>
  <w:num w:numId="30">
    <w:abstractNumId w:val="5"/>
  </w:num>
  <w:num w:numId="31">
    <w:abstractNumId w:val="23"/>
  </w:num>
  <w:num w:numId="32">
    <w:abstractNumId w:val="3"/>
  </w:num>
  <w:num w:numId="33">
    <w:abstractNumId w:val="8"/>
  </w:num>
  <w:num w:numId="34">
    <w:abstractNumId w:val="22"/>
  </w:num>
  <w:num w:numId="35">
    <w:abstractNumId w:val="36"/>
  </w:num>
  <w:num w:numId="36">
    <w:abstractNumId w:val="35"/>
  </w:num>
  <w:num w:numId="37">
    <w:abstractNumId w:val="13"/>
  </w:num>
  <w:num w:numId="38">
    <w:abstractNumId w:val="4"/>
  </w:num>
  <w:num w:numId="39">
    <w:abstractNumId w:val="38"/>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7F0"/>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1EE"/>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3C59"/>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5E04"/>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09"/>
    <w:rsid w:val="001701FA"/>
    <w:rsid w:val="00171183"/>
    <w:rsid w:val="001725A5"/>
    <w:rsid w:val="00172681"/>
    <w:rsid w:val="00173AC7"/>
    <w:rsid w:val="001745D7"/>
    <w:rsid w:val="00175754"/>
    <w:rsid w:val="00176639"/>
    <w:rsid w:val="00176982"/>
    <w:rsid w:val="0017701C"/>
    <w:rsid w:val="00180FA3"/>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3B26"/>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0A6"/>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1E20"/>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4FD"/>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4F6"/>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62E"/>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638E"/>
    <w:rsid w:val="00587F1D"/>
    <w:rsid w:val="00590348"/>
    <w:rsid w:val="00591161"/>
    <w:rsid w:val="00592318"/>
    <w:rsid w:val="00593133"/>
    <w:rsid w:val="0059575D"/>
    <w:rsid w:val="00596825"/>
    <w:rsid w:val="005A13E2"/>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4FB2"/>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5B4"/>
    <w:rsid w:val="00666F74"/>
    <w:rsid w:val="00667FEA"/>
    <w:rsid w:val="006710D2"/>
    <w:rsid w:val="00671A8B"/>
    <w:rsid w:val="00671F53"/>
    <w:rsid w:val="006725A0"/>
    <w:rsid w:val="006729B1"/>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3FF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1FB"/>
    <w:rsid w:val="007A7678"/>
    <w:rsid w:val="007B0CD8"/>
    <w:rsid w:val="007B0DE0"/>
    <w:rsid w:val="007B21DE"/>
    <w:rsid w:val="007B23F4"/>
    <w:rsid w:val="007B2BB9"/>
    <w:rsid w:val="007B43E8"/>
    <w:rsid w:val="007B4740"/>
    <w:rsid w:val="007B502C"/>
    <w:rsid w:val="007B5F3B"/>
    <w:rsid w:val="007C02B0"/>
    <w:rsid w:val="007C063E"/>
    <w:rsid w:val="007C1901"/>
    <w:rsid w:val="007C3918"/>
    <w:rsid w:val="007C496C"/>
    <w:rsid w:val="007C49C0"/>
    <w:rsid w:val="007C55C1"/>
    <w:rsid w:val="007C5738"/>
    <w:rsid w:val="007C5772"/>
    <w:rsid w:val="007C5AC3"/>
    <w:rsid w:val="007C7233"/>
    <w:rsid w:val="007D10EE"/>
    <w:rsid w:val="007D1193"/>
    <w:rsid w:val="007D21D5"/>
    <w:rsid w:val="007D35F1"/>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704B"/>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DAE"/>
    <w:rsid w:val="00916E04"/>
    <w:rsid w:val="00917093"/>
    <w:rsid w:val="00920030"/>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36B1"/>
    <w:rsid w:val="00974881"/>
    <w:rsid w:val="0097606C"/>
    <w:rsid w:val="009771D1"/>
    <w:rsid w:val="0098012D"/>
    <w:rsid w:val="00980845"/>
    <w:rsid w:val="00981BD9"/>
    <w:rsid w:val="0098225F"/>
    <w:rsid w:val="00983A3C"/>
    <w:rsid w:val="00983EFA"/>
    <w:rsid w:val="00984C15"/>
    <w:rsid w:val="00986252"/>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39AA"/>
    <w:rsid w:val="009A4D4F"/>
    <w:rsid w:val="009A53D8"/>
    <w:rsid w:val="009A597F"/>
    <w:rsid w:val="009A7B72"/>
    <w:rsid w:val="009A7F49"/>
    <w:rsid w:val="009B03C4"/>
    <w:rsid w:val="009B0AA2"/>
    <w:rsid w:val="009B1D02"/>
    <w:rsid w:val="009B5D94"/>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17273"/>
    <w:rsid w:val="00A1781D"/>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8CC"/>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99B"/>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6EC8"/>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3A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60"/>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8D"/>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67E97"/>
    <w:rsid w:val="00D71150"/>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B9A"/>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098"/>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51B"/>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5C47-8B56-47CC-B132-155B986035B7}">
  <ds:schemaRefs>
    <ds:schemaRef ds:uri="http://schemas.openxmlformats.org/officeDocument/2006/bibliography"/>
  </ds:schemaRefs>
</ds:datastoreItem>
</file>

<file path=customXml/itemProps2.xml><?xml version="1.0" encoding="utf-8"?>
<ds:datastoreItem xmlns:ds="http://schemas.openxmlformats.org/officeDocument/2006/customXml" ds:itemID="{B25FEE89-79F0-4818-89CC-1B552134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3896</Words>
  <Characters>21394</Characters>
  <Application>Microsoft Office Word</Application>
  <DocSecurity>8</DocSecurity>
  <Lines>178</Lines>
  <Paragraphs>50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25240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bompaire</cp:lastModifiedBy>
  <cp:revision>16</cp:revision>
  <cp:lastPrinted>2015-02-18T11:01:00Z</cp:lastPrinted>
  <dcterms:created xsi:type="dcterms:W3CDTF">2016-10-31T14:04:00Z</dcterms:created>
  <dcterms:modified xsi:type="dcterms:W3CDTF">2016-12-01T14:39:00Z</dcterms:modified>
</cp:coreProperties>
</file>