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F37DFE" w:rsidP="00F37DFE">
            <w:pPr>
              <w:pStyle w:val="00bDBInfo"/>
              <w:rPr>
                <w:rFonts w:cs="Arial"/>
              </w:rPr>
            </w:pPr>
            <w:r>
              <w:rPr>
                <w:rFonts w:cs="Arial"/>
              </w:rPr>
              <w:t>29</w:t>
            </w:r>
            <w:r w:rsidR="003A5DAC">
              <w:rPr>
                <w:rFonts w:cs="Arial"/>
              </w:rPr>
              <w:t xml:space="preserve"> </w:t>
            </w:r>
            <w:r>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F37DFE">
            <w:pPr>
              <w:pStyle w:val="02Date"/>
              <w:rPr>
                <w:rFonts w:cs="Arial"/>
                <w:highlight w:val="red"/>
              </w:rPr>
            </w:pPr>
            <w:r w:rsidRPr="007C3918">
              <w:rPr>
                <w:rFonts w:cs="Arial"/>
              </w:rPr>
              <w:lastRenderedPageBreak/>
              <w:t>Date</w:t>
            </w:r>
            <w:r w:rsidR="004049C0">
              <w:rPr>
                <w:rFonts w:cs="Arial"/>
              </w:rPr>
              <w:t xml:space="preserve">: </w:t>
            </w:r>
            <w:r w:rsidR="00F37DFE">
              <w:rPr>
                <w:rFonts w:cs="Arial"/>
              </w:rPr>
              <w:t>29</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F37DFE">
        <w:rPr>
          <w:rFonts w:cs="Arial"/>
        </w:rPr>
        <w:t>Consultation Paper on the Benchmarks Regulation</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F37DFE" w:rsidRPr="00F37DFE">
        <w:rPr>
          <w:rFonts w:cs="Arial"/>
          <w:b/>
        </w:rPr>
        <w:t>02</w:t>
      </w:r>
      <w:r w:rsidR="00F37DFE">
        <w:rPr>
          <w:rFonts w:cs="Arial"/>
          <w:b/>
        </w:rPr>
        <w:t xml:space="preserve"> Decemb</w:t>
      </w:r>
      <w:r w:rsidR="00F37DFE" w:rsidRPr="00F37DFE">
        <w:rPr>
          <w:rFonts w:cs="Arial"/>
          <w:b/>
        </w:rPr>
        <w:t>er</w:t>
      </w:r>
      <w:r w:rsidRPr="00F37DFE">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Lienhypertexte"/>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Titre1"/>
        <w:numPr>
          <w:ilvl w:val="0"/>
          <w:numId w:val="0"/>
        </w:numPr>
        <w:ind w:left="431" w:hanging="431"/>
      </w:pPr>
      <w:r>
        <w:lastRenderedPageBreak/>
        <w:t>Introduction</w:t>
      </w:r>
    </w:p>
    <w:p w:rsidR="00D34282" w:rsidRPr="001D47A5" w:rsidRDefault="00D34282" w:rsidP="00D34282">
      <w:pPr>
        <w:rPr>
          <w:rStyle w:val="Emphaseintense"/>
        </w:rPr>
      </w:pPr>
      <w:r w:rsidRPr="001D47A5">
        <w:rPr>
          <w:rStyle w:val="Emphaseintense"/>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665C07">
        <w:t>C</w:t>
      </w:r>
      <w:r w:rsidR="00176639">
        <w:t>P_BMR</w:t>
      </w:r>
      <w:r w:rsidR="00D61A37" w:rsidRPr="00176639">
        <w:t>_1</w:t>
      </w:r>
      <w:r w:rsidRPr="00176639">
        <w:t>&gt;</w:t>
      </w:r>
    </w:p>
    <w:p w:rsidR="00CE105A" w:rsidRDefault="00CE105A" w:rsidP="00CE105A">
      <w:pPr>
        <w:jc w:val="both"/>
        <w:rPr>
          <w:noProof/>
        </w:rPr>
      </w:pPr>
      <w:permStart w:id="752945560" w:edGrp="everyone"/>
      <w:r w:rsidRPr="00BA5641">
        <w:rPr>
          <w:noProof/>
        </w:rPr>
        <w:t>The Association Française de la Gestion financière (AFG)</w:t>
      </w:r>
      <w:r w:rsidRPr="00BA5641">
        <w:rPr>
          <w:noProof/>
          <w:vertAlign w:val="superscript"/>
        </w:rPr>
        <w:footnoteReference w:id="2"/>
      </w:r>
      <w:r w:rsidRPr="00BA5641">
        <w:rPr>
          <w:noProof/>
        </w:rPr>
        <w:t xml:space="preserve"> is grateful for the opportunity</w:t>
      </w:r>
      <w:r>
        <w:rPr>
          <w:noProof/>
        </w:rPr>
        <w:t xml:space="preserve"> given</w:t>
      </w:r>
      <w:r w:rsidRPr="00BA5641">
        <w:rPr>
          <w:noProof/>
        </w:rPr>
        <w:t xml:space="preserve"> to </w:t>
      </w:r>
      <w:r>
        <w:rPr>
          <w:noProof/>
        </w:rPr>
        <w:t>comment on ESMA’s consultative document on</w:t>
      </w:r>
      <w:r w:rsidRPr="00E1490C">
        <w:rPr>
          <w:b/>
          <w:noProof/>
        </w:rPr>
        <w:t xml:space="preserve"> </w:t>
      </w:r>
      <w:r w:rsidR="00C53AEE" w:rsidRPr="00C53AEE">
        <w:rPr>
          <w:noProof/>
        </w:rPr>
        <w:t xml:space="preserve">the draft RTS on </w:t>
      </w:r>
      <w:r w:rsidRPr="00C53AEE">
        <w:rPr>
          <w:noProof/>
        </w:rPr>
        <w:t>Benchmark</w:t>
      </w:r>
      <w:r>
        <w:rPr>
          <w:noProof/>
        </w:rPr>
        <w:t xml:space="preserve"> Regulation.</w:t>
      </w:r>
    </w:p>
    <w:p w:rsidR="00C53AEE" w:rsidRDefault="00C53AEE" w:rsidP="00C6668D">
      <w:pPr>
        <w:spacing w:after="120"/>
        <w:jc w:val="both"/>
        <w:rPr>
          <w:szCs w:val="20"/>
        </w:rPr>
      </w:pPr>
    </w:p>
    <w:p w:rsidR="00CE105A" w:rsidRDefault="00CE105A" w:rsidP="00C6668D">
      <w:pPr>
        <w:spacing w:after="120"/>
        <w:jc w:val="both"/>
        <w:rPr>
          <w:szCs w:val="20"/>
        </w:rPr>
      </w:pPr>
      <w:r>
        <w:rPr>
          <w:szCs w:val="20"/>
        </w:rPr>
        <w:t>AFG fully agrees with the Efama response to this consultation.</w:t>
      </w:r>
    </w:p>
    <w:p w:rsidR="00E46089" w:rsidRDefault="00E46089" w:rsidP="00E46089">
      <w:pPr>
        <w:spacing w:after="120"/>
        <w:jc w:val="both"/>
      </w:pPr>
      <w:r>
        <w:t xml:space="preserve">The </w:t>
      </w:r>
      <w:r>
        <w:t xml:space="preserve">main </w:t>
      </w:r>
      <w:r>
        <w:t xml:space="preserve">issue </w:t>
      </w:r>
      <w:r>
        <w:t>our members wish to raise is linked to the subject of</w:t>
      </w:r>
      <w:r>
        <w:t xml:space="preserve"> </w:t>
      </w:r>
      <w:r w:rsidRPr="0079039F">
        <w:rPr>
          <w:b/>
        </w:rPr>
        <w:t>transparency and its consistent treatment</w:t>
      </w:r>
      <w:r>
        <w:t xml:space="preserve"> across different pieces of regulations.</w:t>
      </w:r>
      <w:r>
        <w:t xml:space="preserve"> </w:t>
      </w:r>
      <w:r>
        <w:t>There is currently an open issue for regulators to a</w:t>
      </w:r>
      <w:r>
        <w:t>d</w:t>
      </w:r>
      <w:r>
        <w:t>dress</w:t>
      </w:r>
      <w:r>
        <w:t>:</w:t>
      </w:r>
    </w:p>
    <w:p w:rsidR="00E46089" w:rsidRDefault="00E46089" w:rsidP="00E46089">
      <w:pPr>
        <w:pStyle w:val="Paragraphedeliste"/>
        <w:numPr>
          <w:ilvl w:val="0"/>
          <w:numId w:val="41"/>
        </w:numPr>
        <w:spacing w:after="120"/>
        <w:jc w:val="both"/>
      </w:pPr>
      <w:r>
        <w:t>on one side, the Benchmark Regulation which does not require full transparency from the admi</w:t>
      </w:r>
      <w:r>
        <w:t>n</w:t>
      </w:r>
      <w:r>
        <w:t xml:space="preserve">istrator </w:t>
      </w:r>
    </w:p>
    <w:p w:rsidR="00E46089" w:rsidRDefault="00E46089" w:rsidP="00E46089">
      <w:pPr>
        <w:pStyle w:val="Paragraphedeliste"/>
        <w:numPr>
          <w:ilvl w:val="0"/>
          <w:numId w:val="41"/>
        </w:numPr>
        <w:spacing w:after="120"/>
        <w:jc w:val="both"/>
      </w:pPr>
      <w:r>
        <w:t xml:space="preserve">and on the other side, the ESMA  </w:t>
      </w:r>
      <w:r w:rsidRPr="00BB2F96">
        <w:t>Guidelines on ETFs and other UCITS issues (E</w:t>
      </w:r>
      <w:r>
        <w:t>S</w:t>
      </w:r>
      <w:r>
        <w:t>MA/2014/937/EN</w:t>
      </w:r>
      <w:r w:rsidRPr="00BB2F96">
        <w:t>)</w:t>
      </w:r>
      <w:r>
        <w:t xml:space="preserve"> that require asset managers to obtain from the benchmarks administrators a higher degree of transparency </w:t>
      </w:r>
    </w:p>
    <w:p w:rsidR="00CE105A" w:rsidRDefault="00E46089" w:rsidP="00C6668D">
      <w:pPr>
        <w:spacing w:after="120"/>
        <w:jc w:val="both"/>
        <w:rPr>
          <w:szCs w:val="20"/>
        </w:rPr>
      </w:pPr>
      <w:r>
        <w:t>The collection of information</w:t>
      </w:r>
      <w:r>
        <w:t xml:space="preserve"> required from the asset managers</w:t>
      </w:r>
      <w:r>
        <w:t xml:space="preserve"> so as to ensure UCITS compliance d</w:t>
      </w:r>
      <w:r>
        <w:t>e</w:t>
      </w:r>
      <w:r>
        <w:t xml:space="preserve">pends on the wish of the administrator to offer transparency. This is precisely the same issue that is </w:t>
      </w:r>
      <w:r>
        <w:t xml:space="preserve">dealt </w:t>
      </w:r>
      <w:r>
        <w:t xml:space="preserve"> by the Benchmark Reg</w:t>
      </w:r>
      <w:r>
        <w:t>u</w:t>
      </w:r>
      <w:r>
        <w:t>lation.</w:t>
      </w:r>
    </w:p>
    <w:p w:rsidR="00E46089" w:rsidRDefault="00E46089" w:rsidP="00C6668D">
      <w:pPr>
        <w:spacing w:after="120"/>
        <w:jc w:val="both"/>
        <w:rPr>
          <w:szCs w:val="20"/>
        </w:rPr>
      </w:pPr>
    </w:p>
    <w:p w:rsidR="00E46089" w:rsidRDefault="00E46089" w:rsidP="00E46089">
      <w:pPr>
        <w:jc w:val="both"/>
      </w:pPr>
      <w:r>
        <w:t xml:space="preserve">A second important </w:t>
      </w:r>
      <w:r>
        <w:t xml:space="preserve">topic </w:t>
      </w:r>
      <w:r>
        <w:t>to our members is linked to the</w:t>
      </w:r>
      <w:r>
        <w:t xml:space="preserve"> </w:t>
      </w:r>
      <w:r w:rsidRPr="00E46089">
        <w:rPr>
          <w:b/>
        </w:rPr>
        <w:t xml:space="preserve">compliance </w:t>
      </w:r>
      <w:r w:rsidRPr="00E46089">
        <w:rPr>
          <w:b/>
        </w:rPr>
        <w:t>statement</w:t>
      </w:r>
      <w:r>
        <w:rPr>
          <w:b/>
        </w:rPr>
        <w:t xml:space="preserve"> </w:t>
      </w:r>
      <w:r w:rsidRPr="00E46089">
        <w:t xml:space="preserve">that should be </w:t>
      </w:r>
      <w:r>
        <w:t>done</w:t>
      </w:r>
      <w:r w:rsidRPr="00E46089">
        <w:t xml:space="preserve"> by single benchmark</w:t>
      </w:r>
      <w:r w:rsidRPr="00E46089">
        <w:t>.</w:t>
      </w:r>
      <w:r>
        <w:t xml:space="preserve"> </w:t>
      </w:r>
    </w:p>
    <w:p w:rsidR="00CE105A" w:rsidRPr="00CE105A" w:rsidRDefault="00CE105A" w:rsidP="00CE105A">
      <w:pPr>
        <w:spacing w:after="120"/>
        <w:jc w:val="both"/>
        <w:rPr>
          <w:szCs w:val="20"/>
        </w:rPr>
      </w:pPr>
    </w:p>
    <w:p w:rsidR="00E46089" w:rsidRPr="00BB31CE" w:rsidRDefault="000E1E86" w:rsidP="00E46089">
      <w:pPr>
        <w:spacing w:after="120"/>
        <w:jc w:val="both"/>
      </w:pPr>
      <w:r>
        <w:rPr>
          <w:szCs w:val="20"/>
        </w:rPr>
        <w:t xml:space="preserve">Finally, </w:t>
      </w:r>
      <w:r>
        <w:t>our members</w:t>
      </w:r>
      <w:r w:rsidR="00E46089" w:rsidRPr="00BB31CE">
        <w:t xml:space="preserve"> strongly believe that their representatives should be </w:t>
      </w:r>
      <w:r w:rsidR="00E46089" w:rsidRPr="000E1E86">
        <w:rPr>
          <w:b/>
        </w:rPr>
        <w:t>directly</w:t>
      </w:r>
      <w:r w:rsidR="00E46089" w:rsidRPr="00BB31CE">
        <w:t xml:space="preserve"> involved in the gover</w:t>
      </w:r>
      <w:r w:rsidR="00E46089" w:rsidRPr="00BB31CE">
        <w:t>n</w:t>
      </w:r>
      <w:r w:rsidR="00E46089" w:rsidRPr="00BB31CE">
        <w:t>ance of the ove</w:t>
      </w:r>
      <w:r w:rsidR="00E46089" w:rsidRPr="00BB31CE">
        <w:t>r</w:t>
      </w:r>
      <w:r>
        <w:t>sight function of benchmarks</w:t>
      </w:r>
      <w:r w:rsidR="00E46089" w:rsidRPr="00BB31CE">
        <w:t>.</w:t>
      </w:r>
    </w:p>
    <w:p w:rsidR="00CE105A" w:rsidRPr="00CE105A" w:rsidRDefault="00CE105A" w:rsidP="00CE105A">
      <w:pPr>
        <w:spacing w:after="120"/>
        <w:jc w:val="both"/>
        <w:rPr>
          <w:szCs w:val="20"/>
        </w:rPr>
      </w:pPr>
    </w:p>
    <w:permEnd w:id="752945560"/>
    <w:p w:rsidR="00D34282" w:rsidRPr="00BF28DA" w:rsidRDefault="00D34282" w:rsidP="00D34282">
      <w:r w:rsidRPr="00BF28DA">
        <w:t>&lt;</w:t>
      </w:r>
      <w:r w:rsidR="00D61A37" w:rsidRPr="00BF28DA">
        <w:t>ESMA_COMMENT_</w:t>
      </w:r>
      <w:r w:rsidR="00176639" w:rsidRPr="00176639">
        <w:t xml:space="preserve"> </w:t>
      </w:r>
      <w:r w:rsidR="00665C07">
        <w:t>C</w:t>
      </w:r>
      <w:r w:rsidR="00176639">
        <w:t>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C96E35" w:rsidP="00C96E35">
      <w:pPr>
        <w:pStyle w:val="Questionstyle"/>
      </w:pPr>
      <w:r w:rsidRPr="00C96E35">
        <w:lastRenderedPageBreak/>
        <w:t>Do you consider the non-exhaustive list of governance arrangements to be sufficiently flexible? Are there any other structures which you would like to see included?</w:t>
      </w:r>
    </w:p>
    <w:p w:rsidR="009A2624" w:rsidRDefault="00665C07" w:rsidP="009A2624">
      <w:r>
        <w:t>&lt;ESMA_QUESTION_C</w:t>
      </w:r>
      <w:r w:rsidR="009A2624">
        <w:t>P_BMR_1&gt;</w:t>
      </w:r>
    </w:p>
    <w:p w:rsidR="009A2624" w:rsidRDefault="009A2624" w:rsidP="009A2624">
      <w:permStart w:id="2053666333" w:edGrp="everyone"/>
      <w:r>
        <w:t>TYPE YOUR TEXT HERE</w:t>
      </w:r>
    </w:p>
    <w:permEnd w:id="2053666333"/>
    <w:p w:rsidR="009A2624" w:rsidRDefault="00665C07" w:rsidP="009A2624">
      <w:r>
        <w:t>&lt;ESMA_QUESTION_C</w:t>
      </w:r>
      <w:r w:rsidR="009A2624">
        <w:t>P_BMR_1&gt;</w:t>
      </w:r>
    </w:p>
    <w:p w:rsidR="009A2624" w:rsidRDefault="009A2624" w:rsidP="009A2624"/>
    <w:p w:rsidR="009A2624" w:rsidRPr="007F44BF" w:rsidRDefault="00C96E35" w:rsidP="00C96E35">
      <w:pPr>
        <w:pStyle w:val="Questionstyle"/>
      </w:pPr>
      <w:r w:rsidRPr="00C96E35">
        <w:rPr>
          <w:lang w:val="en-US"/>
        </w:rPr>
        <w:t>Do you support the option for the oversight function to be a natural person who is not othe</w:t>
      </w:r>
      <w:r w:rsidRPr="00C96E35">
        <w:rPr>
          <w:lang w:val="en-US"/>
        </w:rPr>
        <w:t>r</w:t>
      </w:r>
      <w:r w:rsidRPr="00C96E35">
        <w:rPr>
          <w:lang w:val="en-US"/>
        </w:rPr>
        <w:t>wise employed by the administrator?</w:t>
      </w:r>
    </w:p>
    <w:p w:rsidR="009A2624" w:rsidRDefault="00665C07" w:rsidP="009A2624">
      <w:r>
        <w:t>&lt;ESMA_QUESTION_C</w:t>
      </w:r>
      <w:r w:rsidR="009A2624">
        <w:t>P_BMR_2&gt;</w:t>
      </w:r>
    </w:p>
    <w:p w:rsidR="009A2624" w:rsidRDefault="009A2624" w:rsidP="009A2624">
      <w:permStart w:id="540688008" w:edGrp="everyone"/>
      <w:r>
        <w:t>TYPE YOUR TEXT HERE</w:t>
      </w:r>
    </w:p>
    <w:permEnd w:id="540688008"/>
    <w:p w:rsidR="009A2624" w:rsidRDefault="00665C07" w:rsidP="009A2624">
      <w:r>
        <w:t>&lt;ESMA_QUESTION_C</w:t>
      </w:r>
      <w:r w:rsidR="009A2624">
        <w:t>P_BMR_2&gt;</w:t>
      </w:r>
    </w:p>
    <w:p w:rsidR="009A2624" w:rsidRDefault="009A2624" w:rsidP="009A2624"/>
    <w:p w:rsidR="009A2624" w:rsidRDefault="00C96E35" w:rsidP="00C96E35">
      <w:pPr>
        <w:pStyle w:val="Questionstyle"/>
        <w:rPr>
          <w:rFonts w:cstheme="minorHAnsi"/>
        </w:rPr>
      </w:pPr>
      <w:r w:rsidRPr="00C96E35">
        <w:t>Do you support the concept of observers and their inclusion in the oversight function?</w:t>
      </w:r>
    </w:p>
    <w:p w:rsidR="009A2624" w:rsidRDefault="00665C07" w:rsidP="009A2624">
      <w:r>
        <w:t>&lt;ESMA_QUESTION_C</w:t>
      </w:r>
      <w:r w:rsidR="009A2624">
        <w:t>P_BMR_3&gt;</w:t>
      </w:r>
    </w:p>
    <w:p w:rsidR="002B3242" w:rsidRDefault="002B3242" w:rsidP="002B3242">
      <w:permStart w:id="1294601768" w:edGrp="everyone"/>
      <w:r>
        <w:t>TYPE YOUR TEXT HERE</w:t>
      </w:r>
    </w:p>
    <w:permEnd w:id="1294601768"/>
    <w:p w:rsidR="009A2624" w:rsidRDefault="00665C07" w:rsidP="009A2624">
      <w:r>
        <w:t>&lt;ESMA_QUESTION_C</w:t>
      </w:r>
      <w:r w:rsidR="009A2624">
        <w:t>P_BMR_3&gt;</w:t>
      </w:r>
    </w:p>
    <w:p w:rsidR="009A2624" w:rsidRDefault="009A2624" w:rsidP="009A2624"/>
    <w:p w:rsidR="009A2624" w:rsidRPr="00B37C5D" w:rsidRDefault="00C96E35" w:rsidP="00C96E35">
      <w:pPr>
        <w:pStyle w:val="Questionstyle"/>
      </w:pPr>
      <w:r w:rsidRPr="00C96E35">
        <w:rPr>
          <w:rFonts w:cstheme="minorHAnsi"/>
          <w:szCs w:val="22"/>
          <w:lang w:val="en-US"/>
        </w:rPr>
        <w:t>Do you think that the draft RTS allows for sufficient proportionality in the application of the requirements? If no, please explain why and provide proposals for introducing greater proportionality.</w:t>
      </w:r>
    </w:p>
    <w:p w:rsidR="009A2624" w:rsidRDefault="00665C07" w:rsidP="009A2624">
      <w:r>
        <w:t>&lt;ESMA_QUESTION_C</w:t>
      </w:r>
      <w:r w:rsidR="009A2624">
        <w:t>P_BMR_4&gt;</w:t>
      </w:r>
    </w:p>
    <w:p w:rsidR="009A2624" w:rsidRDefault="009A2624" w:rsidP="009A2624">
      <w:permStart w:id="176062045" w:edGrp="everyone"/>
      <w:r>
        <w:t>TYPE YOUR TEXT HERE</w:t>
      </w:r>
    </w:p>
    <w:permEnd w:id="176062045"/>
    <w:p w:rsidR="009A2624" w:rsidRDefault="00665C07" w:rsidP="009A2624">
      <w:r>
        <w:t>&lt;ESMA_QUESTION_C</w:t>
      </w:r>
      <w:r w:rsidR="009A2624">
        <w:t>P_BMR_4&gt;</w:t>
      </w:r>
    </w:p>
    <w:p w:rsidR="009A2624" w:rsidRDefault="009A2624" w:rsidP="009A2624"/>
    <w:p w:rsidR="009A2624" w:rsidRDefault="00C96E35" w:rsidP="00C96E35">
      <w:pPr>
        <w:pStyle w:val="Questionstyle"/>
      </w:pPr>
      <w:r w:rsidRPr="00C96E35">
        <w:rPr>
          <w:rFonts w:cs="Arial"/>
          <w:lang w:val="en-US"/>
        </w:rPr>
        <w:t>Do you have any other comments on the oversight function (composition, positioning and procedures) as set out in the draft RTS?</w:t>
      </w:r>
    </w:p>
    <w:p w:rsidR="009A2624" w:rsidRDefault="00665C07" w:rsidP="009A2624">
      <w:r>
        <w:t>&lt;ESMA_QUESTION_C</w:t>
      </w:r>
      <w:r w:rsidR="009A2624">
        <w:t>P_BMR_5&gt;</w:t>
      </w:r>
    </w:p>
    <w:p w:rsidR="00185CFC" w:rsidRPr="00BB31CE" w:rsidRDefault="00B4410C" w:rsidP="004A5157">
      <w:pPr>
        <w:spacing w:after="120"/>
        <w:jc w:val="both"/>
      </w:pPr>
      <w:permStart w:id="974202800" w:edGrp="everyone"/>
      <w:r w:rsidRPr="00BB31CE">
        <w:t xml:space="preserve">AFG members are an important category of users of benchmarks. </w:t>
      </w:r>
    </w:p>
    <w:p w:rsidR="00B4410C" w:rsidRPr="00BB31CE" w:rsidRDefault="00B4410C" w:rsidP="004A5157">
      <w:pPr>
        <w:spacing w:after="120"/>
        <w:jc w:val="both"/>
      </w:pPr>
      <w:r w:rsidRPr="00BB31CE">
        <w:t xml:space="preserve">They strongly believe that their representatives should be </w:t>
      </w:r>
      <w:r w:rsidR="004A5157" w:rsidRPr="00BB31CE">
        <w:t>directly involved</w:t>
      </w:r>
      <w:r w:rsidRPr="00BB31CE">
        <w:t xml:space="preserve"> in the </w:t>
      </w:r>
      <w:r w:rsidR="004A5157" w:rsidRPr="00BB31CE">
        <w:t>governance of the ove</w:t>
      </w:r>
      <w:r w:rsidR="004A5157" w:rsidRPr="00BB31CE">
        <w:t>r</w:t>
      </w:r>
      <w:r w:rsidR="004A5157" w:rsidRPr="00BB31CE">
        <w:t>sight function of benchmarks, like being part of the oversight function committees.</w:t>
      </w:r>
    </w:p>
    <w:p w:rsidR="00185CFC" w:rsidRPr="00BB31CE" w:rsidRDefault="00185CFC" w:rsidP="00185CFC">
      <w:pPr>
        <w:spacing w:after="120"/>
        <w:jc w:val="both"/>
      </w:pPr>
      <w:r w:rsidRPr="00BB31CE">
        <w:t>No one ignores that for instance on the delicate matter of costs and fees that ultimately affect end inve</w:t>
      </w:r>
      <w:r w:rsidRPr="00BB31CE">
        <w:t>s</w:t>
      </w:r>
      <w:r w:rsidRPr="00BB31CE">
        <w:t>tors and pensioners, AFG members - as users of benchmarks - are not aligned with a</w:t>
      </w:r>
      <w:r w:rsidRPr="00BB31CE">
        <w:t>d</w:t>
      </w:r>
      <w:r w:rsidRPr="00BB31CE">
        <w:t>ministrators.</w:t>
      </w:r>
    </w:p>
    <w:p w:rsidR="00185CFC" w:rsidRPr="00BB31CE" w:rsidRDefault="004A5157" w:rsidP="00185CFC">
      <w:pPr>
        <w:spacing w:after="120"/>
        <w:jc w:val="both"/>
      </w:pPr>
      <w:r w:rsidRPr="00BB31CE">
        <w:t>The user’s interests should be expressed in these fora as the</w:t>
      </w:r>
      <w:r w:rsidR="00185CFC" w:rsidRPr="00BB31CE">
        <w:t xml:space="preserve"> oversight function</w:t>
      </w:r>
      <w:r w:rsidRPr="00BB31CE">
        <w:t xml:space="preserve"> should seek to reach optimal decisions accounting also for market realities and end investor interest. </w:t>
      </w:r>
    </w:p>
    <w:p w:rsidR="00185CFC" w:rsidRDefault="004A5157" w:rsidP="00185CFC">
      <w:pPr>
        <w:spacing w:after="120"/>
        <w:jc w:val="both"/>
      </w:pPr>
      <w:r w:rsidRPr="00BB31CE">
        <w:t>On many issues, like transparency, methodology</w:t>
      </w:r>
      <w:r w:rsidR="00185CFC" w:rsidRPr="00BB31CE">
        <w:t>,</w:t>
      </w:r>
      <w:r w:rsidRPr="00BB31CE">
        <w:t xml:space="preserve"> crisis manage</w:t>
      </w:r>
      <w:r w:rsidR="00185CFC" w:rsidRPr="00BB31CE">
        <w:t>ment or policies on conflicts of interest and fee pol</w:t>
      </w:r>
      <w:r w:rsidR="00185CFC" w:rsidRPr="00BB31CE">
        <w:t>i</w:t>
      </w:r>
      <w:r w:rsidR="00185CFC" w:rsidRPr="00BB31CE">
        <w:t xml:space="preserve">cies, </w:t>
      </w:r>
      <w:r w:rsidRPr="00BB31CE">
        <w:t xml:space="preserve">the opinion of users of a benchmark </w:t>
      </w:r>
      <w:r w:rsidR="00185CFC" w:rsidRPr="00BB31CE">
        <w:t>represents a sound</w:t>
      </w:r>
      <w:r w:rsidRPr="00BB31CE">
        <w:t xml:space="preserve"> </w:t>
      </w:r>
      <w:r w:rsidR="00185CFC" w:rsidRPr="00BB31CE">
        <w:t>and value added contribution.</w:t>
      </w:r>
      <w:r w:rsidRPr="00185CFC">
        <w:t xml:space="preserve"> </w:t>
      </w:r>
    </w:p>
    <w:p w:rsidR="00B4410C" w:rsidRPr="00B4410C" w:rsidRDefault="00B4410C" w:rsidP="00B4410C">
      <w:pPr>
        <w:rPr>
          <w:color w:val="4BACC6" w:themeColor="accent5"/>
        </w:rPr>
      </w:pPr>
    </w:p>
    <w:permEnd w:id="974202800"/>
    <w:p w:rsidR="009A2624" w:rsidRDefault="00665C07" w:rsidP="009A2624">
      <w:r>
        <w:t>&lt;ESMA_QUESTION_C</w:t>
      </w:r>
      <w:r w:rsidR="009A2624">
        <w:t>P_BMR_5&gt;</w:t>
      </w:r>
    </w:p>
    <w:p w:rsidR="009A2624" w:rsidRDefault="009A2624" w:rsidP="009A2624"/>
    <w:p w:rsidR="009A2624" w:rsidRPr="007F44BF" w:rsidRDefault="00C96E35" w:rsidP="00C96E35">
      <w:pPr>
        <w:pStyle w:val="Questionstyle"/>
      </w:pPr>
      <w:r w:rsidRPr="00C96E35">
        <w:rPr>
          <w:rFonts w:cs="Arial"/>
          <w:lang w:val="en-US"/>
        </w:rPr>
        <w:t>Do you agree with the appropriateness and verifiability of input data that the administrator must ensure are in place? Please elaborate.</w:t>
      </w:r>
    </w:p>
    <w:p w:rsidR="009A2624" w:rsidRDefault="00665C07" w:rsidP="009A2624">
      <w:r>
        <w:t>&lt;ESMA_QUESTION_C</w:t>
      </w:r>
      <w:r w:rsidR="009A2624">
        <w:t>P_BMR_6&gt;</w:t>
      </w:r>
    </w:p>
    <w:p w:rsidR="00815624" w:rsidRDefault="00815624" w:rsidP="009A2624">
      <w:permStart w:id="1625513151" w:edGrp="everyone"/>
      <w:r>
        <w:t xml:space="preserve">Clarifications in this field are useful. </w:t>
      </w:r>
      <w:r w:rsidR="002B3242">
        <w:t>The next step is for regulators to ensure c</w:t>
      </w:r>
      <w:r>
        <w:t xml:space="preserve">onsistency with the </w:t>
      </w:r>
      <w:r>
        <w:t xml:space="preserve">ESMA’s </w:t>
      </w:r>
      <w:r w:rsidRPr="00BB2F96">
        <w:t>Guidelines on ETFs and other UCITS issues (E</w:t>
      </w:r>
      <w:r>
        <w:t>S</w:t>
      </w:r>
      <w:r>
        <w:t>MA/2014/937/EN</w:t>
      </w:r>
      <w:r w:rsidRPr="00BB2F96">
        <w:t>)</w:t>
      </w:r>
      <w:r>
        <w:t>.</w:t>
      </w:r>
    </w:p>
    <w:p w:rsidR="00815624" w:rsidRDefault="00815624" w:rsidP="009A2624"/>
    <w:permEnd w:id="1625513151"/>
    <w:p w:rsidR="009A2624" w:rsidRDefault="00665C07" w:rsidP="009A2624">
      <w:r>
        <w:lastRenderedPageBreak/>
        <w:t>&lt;ESMA_QUESTION_C</w:t>
      </w:r>
      <w:r w:rsidR="009A2624">
        <w:t>P_BMR_6&gt;</w:t>
      </w:r>
    </w:p>
    <w:p w:rsidR="009A2624" w:rsidRDefault="009A2624" w:rsidP="009A2624"/>
    <w:p w:rsidR="009A2624" w:rsidRPr="007F44BF" w:rsidRDefault="00C96E35" w:rsidP="00C96E35">
      <w:pPr>
        <w:pStyle w:val="Questionstyle"/>
      </w:pPr>
      <w:r w:rsidRPr="00C96E35">
        <w:rPr>
          <w:rFonts w:cs="Arial"/>
          <w:lang w:val="en-US"/>
        </w:rPr>
        <w:t>Do you agree with the internal oversight and verification procedures that the administrator must ensure are in place where contributions are made from a front-office function in a contributor organisation? Please elaborate.</w:t>
      </w:r>
    </w:p>
    <w:p w:rsidR="009A2624" w:rsidRDefault="00665C07" w:rsidP="009A2624">
      <w:r>
        <w:t>&lt;ESMA_QUESTION_C</w:t>
      </w:r>
      <w:r w:rsidR="009A2624">
        <w:t>P_BMR_7&gt;</w:t>
      </w:r>
    </w:p>
    <w:p w:rsidR="00815624" w:rsidRDefault="00815624" w:rsidP="00815624">
      <w:pPr>
        <w:jc w:val="both"/>
      </w:pPr>
      <w:permStart w:id="528227476" w:edGrp="everyone"/>
      <w:r>
        <w:t>In the light of this Regulation’s verification provisions clearly relying on the administrator, we reiterate our message that users should not be required to make assessments on</w:t>
      </w:r>
      <w:r>
        <w:t xml:space="preserve"> the organisation and governance of contributors </w:t>
      </w:r>
      <w:r>
        <w:t xml:space="preserve">as asked by the </w:t>
      </w:r>
      <w:r>
        <w:t>ESMA</w:t>
      </w:r>
      <w:r>
        <w:t>’s</w:t>
      </w:r>
      <w:r>
        <w:t xml:space="preserve"> </w:t>
      </w:r>
      <w:r w:rsidRPr="00BB2F96">
        <w:t>Guidelines on ETFs and other UCITS issues (E</w:t>
      </w:r>
      <w:r>
        <w:t>S</w:t>
      </w:r>
      <w:r>
        <w:t>MA/2014/937/EN</w:t>
      </w:r>
      <w:r w:rsidRPr="00BB2F96">
        <w:t>)</w:t>
      </w:r>
      <w:r>
        <w:t>.</w:t>
      </w:r>
    </w:p>
    <w:permEnd w:id="528227476"/>
    <w:p w:rsidR="009A2624" w:rsidRDefault="00665C07" w:rsidP="009A2624">
      <w:r>
        <w:t>&lt;ESMA_QUESTION_C</w:t>
      </w:r>
      <w:r w:rsidR="009A2624">
        <w:t>P_BMR_7&gt;</w:t>
      </w:r>
    </w:p>
    <w:p w:rsidR="009A2624" w:rsidRDefault="009A2624" w:rsidP="009A2624"/>
    <w:p w:rsidR="009A2624" w:rsidRPr="007F44BF" w:rsidRDefault="00863E1F" w:rsidP="00863E1F">
      <w:pPr>
        <w:pStyle w:val="Questionstyle"/>
      </w:pPr>
      <w:r w:rsidRPr="00863E1F">
        <w:rPr>
          <w:rFonts w:cs="Arial"/>
          <w:lang w:val="en-US"/>
        </w:rPr>
        <w:t>Do you agree with the list of key elements proposed? Do you consider that there are any other means that could be taken into consideration to ensure that the benchmark’s methodology is trace</w:t>
      </w:r>
      <w:r w:rsidRPr="00863E1F">
        <w:rPr>
          <w:rFonts w:cs="Arial"/>
          <w:lang w:val="en-US"/>
        </w:rPr>
        <w:t>a</w:t>
      </w:r>
      <w:r w:rsidRPr="00863E1F">
        <w:rPr>
          <w:rFonts w:cs="Arial"/>
          <w:lang w:val="en-US"/>
        </w:rPr>
        <w:t>ble and verifiable?</w:t>
      </w:r>
      <w:r w:rsidR="009A2624" w:rsidRPr="007F44BF">
        <w:t xml:space="preserve"> </w:t>
      </w:r>
    </w:p>
    <w:p w:rsidR="009A2624" w:rsidRDefault="00665C07" w:rsidP="009A2624">
      <w:r>
        <w:t>&lt;ESMA_QUESTION_C</w:t>
      </w:r>
      <w:r w:rsidR="009A2624">
        <w:t>P_BMR_8&gt;</w:t>
      </w:r>
    </w:p>
    <w:p w:rsidR="00BB2F96" w:rsidRDefault="00BB2F96" w:rsidP="00A1781D">
      <w:pPr>
        <w:spacing w:after="120"/>
      </w:pPr>
      <w:permStart w:id="119307812" w:edGrp="everyone"/>
    </w:p>
    <w:p w:rsidR="00BB2F96" w:rsidRDefault="00BB2F96" w:rsidP="00CF1376">
      <w:pPr>
        <w:spacing w:after="120"/>
        <w:jc w:val="both"/>
      </w:pPr>
      <w:r>
        <w:t xml:space="preserve">The issue of </w:t>
      </w:r>
      <w:r w:rsidRPr="0079039F">
        <w:rPr>
          <w:b/>
        </w:rPr>
        <w:t>transparency and its consistent treatment</w:t>
      </w:r>
      <w:r>
        <w:t xml:space="preserve"> across different pieces of regulations is of utmost i</w:t>
      </w:r>
      <w:r>
        <w:t>m</w:t>
      </w:r>
      <w:r>
        <w:t>portance.</w:t>
      </w:r>
    </w:p>
    <w:p w:rsidR="00BB2F96" w:rsidRDefault="00BB2F96" w:rsidP="00CF1376">
      <w:pPr>
        <w:spacing w:after="120"/>
        <w:jc w:val="both"/>
      </w:pPr>
      <w:r>
        <w:t xml:space="preserve">There is currently an </w:t>
      </w:r>
      <w:r w:rsidR="00577FF7">
        <w:t xml:space="preserve">open </w:t>
      </w:r>
      <w:r>
        <w:t>issue for regulators to address. We have today:</w:t>
      </w:r>
    </w:p>
    <w:p w:rsidR="00BB2F96" w:rsidRDefault="00BB2F96" w:rsidP="00CF1376">
      <w:pPr>
        <w:pStyle w:val="Paragraphedeliste"/>
        <w:numPr>
          <w:ilvl w:val="0"/>
          <w:numId w:val="41"/>
        </w:numPr>
        <w:spacing w:after="120"/>
        <w:jc w:val="both"/>
      </w:pPr>
      <w:r>
        <w:t>on one side, the Benchmark Regulation which does not require full transparency from the admi</w:t>
      </w:r>
      <w:r>
        <w:t>n</w:t>
      </w:r>
      <w:r>
        <w:t xml:space="preserve">istrator </w:t>
      </w:r>
    </w:p>
    <w:p w:rsidR="00CF1376" w:rsidRDefault="00BB2F96" w:rsidP="00CF1376">
      <w:pPr>
        <w:pStyle w:val="Paragraphedeliste"/>
        <w:numPr>
          <w:ilvl w:val="0"/>
          <w:numId w:val="41"/>
        </w:numPr>
        <w:spacing w:after="120"/>
        <w:jc w:val="both"/>
      </w:pPr>
      <w:r>
        <w:t xml:space="preserve">and on the other side, the ESMA  </w:t>
      </w:r>
      <w:r w:rsidRPr="00BB2F96">
        <w:t>Guidelines on ETFs and other UCITS issues (E</w:t>
      </w:r>
      <w:r>
        <w:t>S</w:t>
      </w:r>
      <w:r>
        <w:t>MA/2014/937/EN</w:t>
      </w:r>
      <w:r w:rsidRPr="00BB2F96">
        <w:t>)</w:t>
      </w:r>
      <w:r>
        <w:t xml:space="preserve"> that require asset managers to obtain from the benchmarks administrators a higher degree of transparency </w:t>
      </w:r>
    </w:p>
    <w:p w:rsidR="00BB2F96" w:rsidRPr="001B4A61" w:rsidRDefault="00CF1376" w:rsidP="001B4A61">
      <w:pPr>
        <w:spacing w:after="120"/>
        <w:jc w:val="both"/>
      </w:pPr>
      <w:r>
        <w:t xml:space="preserve">As users of benchmarks, asset managers </w:t>
      </w:r>
      <w:r w:rsidR="00577FF7">
        <w:t xml:space="preserve">continue to </w:t>
      </w:r>
      <w:r>
        <w:t>consider</w:t>
      </w:r>
      <w:r w:rsidR="00BB2F96" w:rsidRPr="00BB2F96">
        <w:t xml:space="preserve"> that transparency </w:t>
      </w:r>
      <w:r>
        <w:t xml:space="preserve">requirements of the Benchmarks Regulation </w:t>
      </w:r>
      <w:r w:rsidR="00BB2F96" w:rsidRPr="00BB2F96">
        <w:t xml:space="preserve">on methodology </w:t>
      </w:r>
      <w:r>
        <w:t>are</w:t>
      </w:r>
      <w:r w:rsidR="00BB2F96" w:rsidRPr="00BB2F96">
        <w:t xml:space="preserve"> not sufficient to ensure meeting the objectives of this Regul</w:t>
      </w:r>
      <w:r w:rsidR="00BB2F96" w:rsidRPr="00BB2F96">
        <w:t>a</w:t>
      </w:r>
      <w:r w:rsidR="00BB2F96" w:rsidRPr="00BB2F96">
        <w:t xml:space="preserve">tion, which would require a further transparency on the input data of an index. </w:t>
      </w:r>
      <w:r>
        <w:t>Users need the detailed comp</w:t>
      </w:r>
      <w:r>
        <w:t>o</w:t>
      </w:r>
      <w:r>
        <w:t>sition and weightings of an index to better monitor it and also to comply with the above mentioned ESMA Guidelines. AFG’s me</w:t>
      </w:r>
      <w:r>
        <w:t>m</w:t>
      </w:r>
      <w:r>
        <w:t xml:space="preserve">bers continue to be convinced that </w:t>
      </w:r>
      <w:r w:rsidRPr="00CF1376">
        <w:t>solutions like a limited delay in the publication</w:t>
      </w:r>
      <w:r>
        <w:t xml:space="preserve"> of data would have protected intellectual property (which was the administrators’ fear) and helped to ensure co</w:t>
      </w:r>
      <w:r>
        <w:t>m</w:t>
      </w:r>
      <w:r>
        <w:t>pliance with the ESMA Guidelines.</w:t>
      </w:r>
    </w:p>
    <w:p w:rsidR="0079039F" w:rsidRPr="001B4A61" w:rsidRDefault="0079039F" w:rsidP="0079039F">
      <w:pPr>
        <w:spacing w:after="120"/>
        <w:jc w:val="both"/>
      </w:pPr>
      <w:r>
        <w:t xml:space="preserve">In any case, one may presume that difficulties our members have to gather data from administrators to ensure compliance with the ESMA Guideline will grow even further if administrators’ specific regulation does not require them to give such transparency. </w:t>
      </w:r>
    </w:p>
    <w:p w:rsidR="0079039F" w:rsidRDefault="0079039F" w:rsidP="001B4A61">
      <w:pPr>
        <w:spacing w:after="120"/>
        <w:jc w:val="both"/>
      </w:pPr>
      <w:r>
        <w:t>AFG thus believes that t</w:t>
      </w:r>
      <w:r w:rsidR="001B4A61" w:rsidRPr="001B4A61">
        <w:t xml:space="preserve">here is a policy option to be taken here </w:t>
      </w:r>
      <w:r>
        <w:t xml:space="preserve">by regulators </w:t>
      </w:r>
      <w:r w:rsidR="001B4A61" w:rsidRPr="001B4A61">
        <w:t>and the industry certainly doesn’t wish to pre-empt the outcome of that decision, which can go to one or the other direction (i.e. further and more gran</w:t>
      </w:r>
      <w:r w:rsidR="001B4A61" w:rsidRPr="001B4A61">
        <w:t>u</w:t>
      </w:r>
      <w:r w:rsidR="001B4A61" w:rsidRPr="001B4A61">
        <w:t>lar transparency under Benchmark Regulation level 2 or deletion of disclosure requirements in ESMA Guid</w:t>
      </w:r>
      <w:r w:rsidR="001B4A61" w:rsidRPr="001B4A61">
        <w:t>e</w:t>
      </w:r>
      <w:r w:rsidR="001B4A61" w:rsidRPr="001B4A61">
        <w:t xml:space="preserve">lines that go beyond Benchmark Regulation </w:t>
      </w:r>
      <w:r>
        <w:t xml:space="preserve">level 2). </w:t>
      </w:r>
    </w:p>
    <w:p w:rsidR="00FE1A09" w:rsidRDefault="00FE1A09" w:rsidP="001B4A61">
      <w:pPr>
        <w:spacing w:after="120"/>
        <w:jc w:val="both"/>
      </w:pPr>
    </w:p>
    <w:p w:rsidR="00FE1A09" w:rsidRDefault="0071709B" w:rsidP="001B4A61">
      <w:pPr>
        <w:spacing w:after="120"/>
        <w:jc w:val="both"/>
      </w:pPr>
      <w:r>
        <w:t xml:space="preserve">We are reproducing hereafter the ESMA Guidelines section on Financial Indices. The issue with this section is that some requirements </w:t>
      </w:r>
      <w:r w:rsidR="00C21BD3">
        <w:t xml:space="preserve">(for instance those that are highlighted below) </w:t>
      </w:r>
      <w:r>
        <w:t>are fully dependent on the information given by the index administrator. These sections do not represent a complement of info</w:t>
      </w:r>
      <w:r>
        <w:t>r</w:t>
      </w:r>
      <w:r>
        <w:t>mation sourced from the asset mana</w:t>
      </w:r>
      <w:r>
        <w:t>g</w:t>
      </w:r>
      <w:r>
        <w:t>er</w:t>
      </w:r>
      <w:r w:rsidR="00C21BD3">
        <w:t>’s</w:t>
      </w:r>
      <w:r>
        <w:t xml:space="preserve"> own information. The collection of information so as to ensure UCITS compliance depends on the wish of the administrator to offer transparency. This is precisely the same issue that is covered by the Benc</w:t>
      </w:r>
      <w:r>
        <w:t>h</w:t>
      </w:r>
      <w:r>
        <w:t>mark Regulation.</w:t>
      </w:r>
    </w:p>
    <w:p w:rsidR="002D71A0" w:rsidRDefault="002D71A0" w:rsidP="001B4A61">
      <w:pPr>
        <w:spacing w:after="120"/>
        <w:jc w:val="both"/>
      </w:pPr>
    </w:p>
    <w:p w:rsidR="002D71A0" w:rsidRDefault="002D71A0" w:rsidP="002D71A0">
      <w:pPr>
        <w:autoSpaceDE w:val="0"/>
        <w:autoSpaceDN w:val="0"/>
        <w:adjustRightInd w:val="0"/>
        <w:jc w:val="center"/>
        <w:rPr>
          <w:rFonts w:ascii="Georgia,Bold" w:hAnsi="Georgia,Bold" w:cs="Georgia,Bold"/>
          <w:b/>
          <w:bCs/>
          <w:szCs w:val="20"/>
          <w:lang w:val="en-US" w:eastAsia="en-GB"/>
        </w:rPr>
      </w:pPr>
      <w:r>
        <w:rPr>
          <w:rFonts w:ascii="Georgia,Bold" w:hAnsi="Georgia,Bold" w:cs="Georgia,Bold"/>
          <w:b/>
          <w:bCs/>
          <w:szCs w:val="20"/>
          <w:lang w:val="en-US" w:eastAsia="en-GB"/>
        </w:rPr>
        <w:t>***</w:t>
      </w:r>
    </w:p>
    <w:p w:rsidR="002D71A0" w:rsidRDefault="002D71A0" w:rsidP="0071709B">
      <w:pPr>
        <w:autoSpaceDE w:val="0"/>
        <w:autoSpaceDN w:val="0"/>
        <w:adjustRightInd w:val="0"/>
        <w:rPr>
          <w:rFonts w:ascii="Georgia,Bold" w:hAnsi="Georgia,Bold" w:cs="Georgia,Bold"/>
          <w:b/>
          <w:bCs/>
          <w:szCs w:val="20"/>
          <w:lang w:val="en-US" w:eastAsia="en-GB"/>
        </w:rPr>
      </w:pPr>
    </w:p>
    <w:p w:rsidR="0071709B" w:rsidRPr="0071709B" w:rsidRDefault="0071709B" w:rsidP="0071709B">
      <w:pPr>
        <w:autoSpaceDE w:val="0"/>
        <w:autoSpaceDN w:val="0"/>
        <w:adjustRightInd w:val="0"/>
        <w:rPr>
          <w:rFonts w:ascii="Georgia,Bold" w:hAnsi="Georgia,Bold" w:cs="Georgia,Bold"/>
          <w:b/>
          <w:bCs/>
          <w:szCs w:val="20"/>
          <w:lang w:val="en-US" w:eastAsia="en-GB"/>
        </w:rPr>
      </w:pPr>
      <w:r w:rsidRPr="0071709B">
        <w:rPr>
          <w:rFonts w:ascii="Georgia,Bold" w:hAnsi="Georgia,Bold" w:cs="Georgia,Bold"/>
          <w:b/>
          <w:bCs/>
          <w:szCs w:val="20"/>
          <w:lang w:val="en-US" w:eastAsia="en-GB"/>
        </w:rPr>
        <w:lastRenderedPageBreak/>
        <w:t>XIII. Financial indices</w:t>
      </w:r>
    </w:p>
    <w:p w:rsidR="0071709B" w:rsidRPr="0071709B" w:rsidRDefault="0071709B" w:rsidP="0071709B">
      <w:pPr>
        <w:autoSpaceDE w:val="0"/>
        <w:autoSpaceDN w:val="0"/>
        <w:adjustRightInd w:val="0"/>
        <w:rPr>
          <w:rFonts w:ascii="Georgia" w:hAnsi="Georgia" w:cs="Georgia"/>
          <w:szCs w:val="20"/>
          <w:lang w:val="en-US" w:eastAsia="en-GB"/>
        </w:rPr>
      </w:pPr>
      <w:r w:rsidRPr="0071709B">
        <w:rPr>
          <w:rFonts w:ascii="Georgia" w:hAnsi="Georgia" w:cs="Georgia"/>
          <w:szCs w:val="20"/>
          <w:lang w:val="en-US" w:eastAsia="en-GB"/>
        </w:rPr>
        <w:t>49. When a UCITS intends to make use of the increased diversification limi</w:t>
      </w:r>
      <w:r>
        <w:rPr>
          <w:rFonts w:ascii="Georgia" w:hAnsi="Georgia" w:cs="Georgia"/>
          <w:szCs w:val="20"/>
          <w:lang w:val="en-US" w:eastAsia="en-GB"/>
        </w:rPr>
        <w:t xml:space="preserve">ts referred to in Article 53 of </w:t>
      </w:r>
      <w:r w:rsidRPr="0071709B">
        <w:rPr>
          <w:rFonts w:ascii="Georgia" w:hAnsi="Georgia" w:cs="Georgia"/>
          <w:szCs w:val="20"/>
          <w:lang w:val="en-US" w:eastAsia="en-GB"/>
        </w:rPr>
        <w:t>the UCITS Directive, this should be disclosed clearly in the prospectus together with a description of</w:t>
      </w:r>
      <w:r>
        <w:rPr>
          <w:rFonts w:ascii="Georgia" w:hAnsi="Georgia" w:cs="Georgia"/>
          <w:szCs w:val="20"/>
          <w:lang w:val="en-US" w:eastAsia="en-GB"/>
        </w:rPr>
        <w:t xml:space="preserve"> </w:t>
      </w:r>
      <w:r w:rsidRPr="0071709B">
        <w:rPr>
          <w:rFonts w:ascii="Georgia" w:hAnsi="Georgia" w:cs="Georgia"/>
          <w:szCs w:val="20"/>
          <w:lang w:val="en-US" w:eastAsia="en-GB"/>
        </w:rPr>
        <w:t>the exceptional market conditions which justify this investment.</w:t>
      </w:r>
    </w:p>
    <w:p w:rsidR="0071709B" w:rsidRPr="0071709B" w:rsidRDefault="0071709B" w:rsidP="0071709B">
      <w:pPr>
        <w:autoSpaceDE w:val="0"/>
        <w:autoSpaceDN w:val="0"/>
        <w:adjustRightInd w:val="0"/>
        <w:rPr>
          <w:rFonts w:ascii="Georgia" w:hAnsi="Georgia" w:cs="Georgia"/>
          <w:szCs w:val="20"/>
          <w:lang w:val="en-US" w:eastAsia="en-GB"/>
        </w:rPr>
      </w:pPr>
      <w:r w:rsidRPr="0071709B">
        <w:rPr>
          <w:rFonts w:ascii="Georgia" w:hAnsi="Georgia" w:cs="Georgia"/>
          <w:szCs w:val="20"/>
          <w:lang w:val="en-US" w:eastAsia="en-GB"/>
        </w:rPr>
        <w:t xml:space="preserve">50. A UCITS should not invest in a financial index </w:t>
      </w:r>
      <w:r w:rsidRPr="00C21BD3">
        <w:rPr>
          <w:rFonts w:ascii="Georgia" w:hAnsi="Georgia" w:cs="Georgia"/>
          <w:b/>
          <w:szCs w:val="20"/>
          <w:u w:val="single"/>
          <w:lang w:val="en-US" w:eastAsia="en-GB"/>
        </w:rPr>
        <w:t xml:space="preserve">which has a single </w:t>
      </w:r>
      <w:r w:rsidRPr="00C21BD3">
        <w:rPr>
          <w:rFonts w:ascii="Georgia" w:hAnsi="Georgia" w:cs="Georgia"/>
          <w:b/>
          <w:szCs w:val="20"/>
          <w:u w:val="single"/>
          <w:lang w:val="en-US" w:eastAsia="en-GB"/>
        </w:rPr>
        <w:t>component that has an i</w:t>
      </w:r>
      <w:r w:rsidRPr="00C21BD3">
        <w:rPr>
          <w:rFonts w:ascii="Georgia" w:hAnsi="Georgia" w:cs="Georgia"/>
          <w:b/>
          <w:szCs w:val="20"/>
          <w:u w:val="single"/>
          <w:lang w:val="en-US" w:eastAsia="en-GB"/>
        </w:rPr>
        <w:t>m</w:t>
      </w:r>
      <w:r w:rsidRPr="00C21BD3">
        <w:rPr>
          <w:rFonts w:ascii="Georgia" w:hAnsi="Georgia" w:cs="Georgia"/>
          <w:b/>
          <w:szCs w:val="20"/>
          <w:u w:val="single"/>
          <w:lang w:val="en-US" w:eastAsia="en-GB"/>
        </w:rPr>
        <w:t xml:space="preserve">pact on </w:t>
      </w:r>
      <w:r w:rsidRPr="00C21BD3">
        <w:rPr>
          <w:rFonts w:ascii="Georgia" w:hAnsi="Georgia" w:cs="Georgia"/>
          <w:b/>
          <w:szCs w:val="20"/>
          <w:u w:val="single"/>
          <w:lang w:val="en-US" w:eastAsia="en-GB"/>
        </w:rPr>
        <w:t>the overall index return which exceeds the relevant diversification requirements i.e. 20%/35%.</w:t>
      </w:r>
      <w:r w:rsidRPr="00C21BD3">
        <w:rPr>
          <w:rFonts w:ascii="Georgia" w:hAnsi="Georgia" w:cs="Georgia"/>
          <w:szCs w:val="20"/>
          <w:lang w:val="en-US" w:eastAsia="en-GB"/>
        </w:rPr>
        <w:t xml:space="preserve"> </w:t>
      </w:r>
      <w:r w:rsidRPr="0071709B">
        <w:rPr>
          <w:rFonts w:ascii="Georgia" w:hAnsi="Georgia" w:cs="Georgia"/>
          <w:szCs w:val="20"/>
          <w:lang w:val="en-US" w:eastAsia="en-GB"/>
        </w:rPr>
        <w:t>In the</w:t>
      </w:r>
      <w:r>
        <w:rPr>
          <w:rFonts w:ascii="Georgia" w:hAnsi="Georgia" w:cs="Georgia"/>
          <w:szCs w:val="20"/>
          <w:lang w:val="en-US" w:eastAsia="en-GB"/>
        </w:rPr>
        <w:t xml:space="preserve"> </w:t>
      </w:r>
      <w:r w:rsidRPr="0071709B">
        <w:rPr>
          <w:rFonts w:ascii="Georgia" w:hAnsi="Georgia" w:cs="Georgia"/>
          <w:szCs w:val="20"/>
          <w:lang w:val="en-US" w:eastAsia="en-GB"/>
        </w:rPr>
        <w:t>case of a leveraged index, the impact of one component on the overall return of the index, after having</w:t>
      </w:r>
      <w:r>
        <w:rPr>
          <w:rFonts w:ascii="Georgia" w:hAnsi="Georgia" w:cs="Georgia"/>
          <w:szCs w:val="20"/>
          <w:lang w:val="en-US" w:eastAsia="en-GB"/>
        </w:rPr>
        <w:t xml:space="preserve"> </w:t>
      </w:r>
      <w:r w:rsidRPr="0071709B">
        <w:rPr>
          <w:rFonts w:ascii="Georgia" w:hAnsi="Georgia" w:cs="Georgia"/>
          <w:szCs w:val="20"/>
          <w:lang w:val="en-US" w:eastAsia="en-GB"/>
        </w:rPr>
        <w:t>taken into account the leverage, should respect the same limits.</w:t>
      </w:r>
    </w:p>
    <w:p w:rsidR="0071709B" w:rsidRPr="0071709B" w:rsidRDefault="0071709B" w:rsidP="0071709B">
      <w:pPr>
        <w:autoSpaceDE w:val="0"/>
        <w:autoSpaceDN w:val="0"/>
        <w:adjustRightInd w:val="0"/>
        <w:rPr>
          <w:rFonts w:ascii="Georgia" w:hAnsi="Georgia" w:cs="Georgia"/>
          <w:szCs w:val="20"/>
          <w:lang w:val="en-US" w:eastAsia="en-GB"/>
        </w:rPr>
      </w:pPr>
      <w:r w:rsidRPr="0071709B">
        <w:rPr>
          <w:rFonts w:ascii="Georgia" w:hAnsi="Georgia" w:cs="Georgia"/>
          <w:szCs w:val="20"/>
          <w:lang w:val="en-US" w:eastAsia="en-GB"/>
        </w:rPr>
        <w:t>51. A UCITS should not invest in commodity indices that do not consist of different commodities. Subcat</w:t>
      </w:r>
      <w:r w:rsidRPr="0071709B">
        <w:rPr>
          <w:rFonts w:ascii="Georgia" w:hAnsi="Georgia" w:cs="Georgia"/>
          <w:szCs w:val="20"/>
          <w:lang w:val="en-US" w:eastAsia="en-GB"/>
        </w:rPr>
        <w:t>e</w:t>
      </w:r>
      <w:r>
        <w:rPr>
          <w:rFonts w:ascii="Georgia" w:hAnsi="Georgia" w:cs="Georgia"/>
          <w:szCs w:val="20"/>
          <w:lang w:val="en-US" w:eastAsia="en-GB"/>
        </w:rPr>
        <w:t xml:space="preserve">gories </w:t>
      </w:r>
      <w:r w:rsidRPr="0071709B">
        <w:rPr>
          <w:rFonts w:ascii="Georgia" w:hAnsi="Georgia" w:cs="Georgia"/>
          <w:szCs w:val="20"/>
          <w:lang w:val="en-US" w:eastAsia="en-GB"/>
        </w:rPr>
        <w:t>of the same commodity (for instance, from different regions or markets or derived from</w:t>
      </w:r>
      <w:r>
        <w:rPr>
          <w:rFonts w:ascii="Georgia" w:hAnsi="Georgia" w:cs="Georgia"/>
          <w:szCs w:val="20"/>
          <w:lang w:val="en-US" w:eastAsia="en-GB"/>
        </w:rPr>
        <w:t xml:space="preserve"> </w:t>
      </w:r>
      <w:r w:rsidRPr="0071709B">
        <w:rPr>
          <w:rFonts w:ascii="Georgia" w:hAnsi="Georgia" w:cs="Georgia"/>
          <w:szCs w:val="20"/>
          <w:lang w:val="en-US" w:eastAsia="en-GB"/>
        </w:rPr>
        <w:t>the same primary products by an industrialised process) should be considered as being the same</w:t>
      </w:r>
      <w:r>
        <w:rPr>
          <w:rFonts w:ascii="Georgia" w:hAnsi="Georgia" w:cs="Georgia"/>
          <w:szCs w:val="20"/>
          <w:lang w:val="en-US" w:eastAsia="en-GB"/>
        </w:rPr>
        <w:t xml:space="preserve"> </w:t>
      </w:r>
      <w:r w:rsidRPr="0071709B">
        <w:rPr>
          <w:rFonts w:ascii="Georgia" w:hAnsi="Georgia" w:cs="Georgia"/>
          <w:szCs w:val="20"/>
          <w:lang w:val="en-US" w:eastAsia="en-GB"/>
        </w:rPr>
        <w:t xml:space="preserve">commodity for the calculation of the diversification limits. For example, </w:t>
      </w:r>
      <w:r w:rsidRPr="00C21BD3">
        <w:rPr>
          <w:rFonts w:ascii="Georgia" w:hAnsi="Georgia" w:cs="Georgia"/>
          <w:b/>
          <w:szCs w:val="20"/>
          <w:u w:val="single"/>
          <w:lang w:val="en-US" w:eastAsia="en-GB"/>
        </w:rPr>
        <w:t>WTI Crude Oil, Brent Crude</w:t>
      </w:r>
      <w:r w:rsidR="00C21BD3" w:rsidRPr="00C21BD3">
        <w:rPr>
          <w:rFonts w:ascii="Georgia" w:hAnsi="Georgia" w:cs="Georgia"/>
          <w:b/>
          <w:szCs w:val="20"/>
          <w:u w:val="single"/>
          <w:lang w:val="en-US" w:eastAsia="en-GB"/>
        </w:rPr>
        <w:t xml:space="preserve"> </w:t>
      </w:r>
      <w:r w:rsidRPr="00C21BD3">
        <w:rPr>
          <w:rFonts w:ascii="Georgia" w:hAnsi="Georgia" w:cs="Georgia"/>
          <w:b/>
          <w:szCs w:val="20"/>
          <w:u w:val="single"/>
          <w:lang w:val="en-US" w:eastAsia="en-GB"/>
        </w:rPr>
        <w:t>Oil, Gasoline or Heating Oil contracts should be considered as being</w:t>
      </w:r>
      <w:r w:rsidRPr="00C21BD3">
        <w:rPr>
          <w:rFonts w:ascii="Georgia" w:hAnsi="Georgia" w:cs="Georgia"/>
          <w:b/>
          <w:szCs w:val="20"/>
          <w:u w:val="single"/>
          <w:lang w:val="en-US" w:eastAsia="en-GB"/>
        </w:rPr>
        <w:t xml:space="preserve"> all sub-categories of the same </w:t>
      </w:r>
      <w:r w:rsidRPr="00C21BD3">
        <w:rPr>
          <w:rFonts w:ascii="Georgia" w:hAnsi="Georgia" w:cs="Georgia"/>
          <w:b/>
          <w:szCs w:val="20"/>
          <w:u w:val="single"/>
          <w:lang w:val="en-US" w:eastAsia="en-GB"/>
        </w:rPr>
        <w:t>co</w:t>
      </w:r>
      <w:r w:rsidRPr="00C21BD3">
        <w:rPr>
          <w:rFonts w:ascii="Georgia" w:hAnsi="Georgia" w:cs="Georgia"/>
          <w:b/>
          <w:szCs w:val="20"/>
          <w:u w:val="single"/>
          <w:lang w:val="en-US" w:eastAsia="en-GB"/>
        </w:rPr>
        <w:t>m</w:t>
      </w:r>
      <w:r w:rsidRPr="00C21BD3">
        <w:rPr>
          <w:rFonts w:ascii="Georgia" w:hAnsi="Georgia" w:cs="Georgia"/>
          <w:b/>
          <w:szCs w:val="20"/>
          <w:u w:val="single"/>
          <w:lang w:val="en-US" w:eastAsia="en-GB"/>
        </w:rPr>
        <w:t>modity (i.e. oil).</w:t>
      </w:r>
      <w:r w:rsidRPr="0071709B">
        <w:rPr>
          <w:rFonts w:ascii="Georgia" w:hAnsi="Georgia" w:cs="Georgia"/>
          <w:szCs w:val="20"/>
          <w:lang w:val="en-US" w:eastAsia="en-GB"/>
        </w:rPr>
        <w:t xml:space="preserve"> Sub-categories of a commodity should not be considered as being the same</w:t>
      </w:r>
      <w:r>
        <w:rPr>
          <w:rFonts w:ascii="Georgia" w:hAnsi="Georgia" w:cs="Georgia"/>
          <w:szCs w:val="20"/>
          <w:lang w:val="en-US" w:eastAsia="en-GB"/>
        </w:rPr>
        <w:t xml:space="preserve"> </w:t>
      </w:r>
      <w:r w:rsidRPr="0071709B">
        <w:rPr>
          <w:rFonts w:ascii="Georgia" w:hAnsi="Georgia" w:cs="Georgia"/>
          <w:szCs w:val="20"/>
          <w:lang w:val="en-US" w:eastAsia="en-GB"/>
        </w:rPr>
        <w:t>commodity if they are not highly correlated. With respect to the correlation factor, two components</w:t>
      </w:r>
      <w:r>
        <w:rPr>
          <w:rFonts w:ascii="Georgia" w:hAnsi="Georgia" w:cs="Georgia"/>
          <w:szCs w:val="20"/>
          <w:lang w:val="en-US" w:eastAsia="en-GB"/>
        </w:rPr>
        <w:t xml:space="preserve"> </w:t>
      </w:r>
      <w:r w:rsidRPr="0071709B">
        <w:rPr>
          <w:rFonts w:ascii="Georgia" w:hAnsi="Georgia" w:cs="Georgia"/>
          <w:szCs w:val="20"/>
          <w:lang w:val="en-US" w:eastAsia="en-GB"/>
        </w:rPr>
        <w:t>of a commodity index that are sub-categories of the same commodity should not be considered as</w:t>
      </w:r>
      <w:r>
        <w:rPr>
          <w:rFonts w:ascii="Georgia" w:hAnsi="Georgia" w:cs="Georgia"/>
          <w:szCs w:val="20"/>
          <w:lang w:val="en-US" w:eastAsia="en-GB"/>
        </w:rPr>
        <w:t xml:space="preserve"> </w:t>
      </w:r>
      <w:r w:rsidRPr="0071709B">
        <w:rPr>
          <w:rFonts w:ascii="Georgia" w:hAnsi="Georgia" w:cs="Georgia"/>
          <w:szCs w:val="20"/>
          <w:lang w:val="en-US" w:eastAsia="en-GB"/>
        </w:rPr>
        <w:t>highly correlated if 75% of the correlation observations are below 0.8. For that purpose the correlation</w:t>
      </w:r>
      <w:r>
        <w:rPr>
          <w:rFonts w:ascii="Georgia" w:hAnsi="Georgia" w:cs="Georgia"/>
          <w:szCs w:val="20"/>
          <w:lang w:val="en-US" w:eastAsia="en-GB"/>
        </w:rPr>
        <w:t xml:space="preserve"> </w:t>
      </w:r>
      <w:r w:rsidRPr="0071709B">
        <w:rPr>
          <w:rFonts w:ascii="Georgia" w:hAnsi="Georgia" w:cs="Georgia"/>
          <w:szCs w:val="20"/>
          <w:lang w:val="en-US" w:eastAsia="en-GB"/>
        </w:rPr>
        <w:t>observations should be calculated (i) on the basis of equally-weighted daily returns of the corresponding</w:t>
      </w:r>
      <w:r>
        <w:rPr>
          <w:rFonts w:ascii="Georgia" w:hAnsi="Georgia" w:cs="Georgia"/>
          <w:szCs w:val="20"/>
          <w:lang w:val="en-US" w:eastAsia="en-GB"/>
        </w:rPr>
        <w:t xml:space="preserve"> </w:t>
      </w:r>
      <w:r w:rsidRPr="0071709B">
        <w:rPr>
          <w:rFonts w:ascii="Georgia" w:hAnsi="Georgia" w:cs="Georgia"/>
          <w:szCs w:val="20"/>
          <w:lang w:val="en-US" w:eastAsia="en-GB"/>
        </w:rPr>
        <w:t>commodity prices and (ii) from a 250-day rolling time window over a 5-year period.7</w:t>
      </w:r>
    </w:p>
    <w:p w:rsidR="0071709B" w:rsidRPr="0071709B" w:rsidRDefault="0071709B" w:rsidP="0071709B">
      <w:pPr>
        <w:autoSpaceDE w:val="0"/>
        <w:autoSpaceDN w:val="0"/>
        <w:adjustRightInd w:val="0"/>
        <w:rPr>
          <w:rFonts w:ascii="Georgia" w:hAnsi="Georgia" w:cs="Georgia"/>
          <w:szCs w:val="20"/>
          <w:lang w:val="en-US" w:eastAsia="en-GB"/>
        </w:rPr>
      </w:pPr>
      <w:r w:rsidRPr="0071709B">
        <w:rPr>
          <w:rFonts w:ascii="Georgia" w:hAnsi="Georgia" w:cs="Georgia"/>
          <w:szCs w:val="20"/>
          <w:lang w:val="en-US" w:eastAsia="en-GB"/>
        </w:rPr>
        <w:t>52. A UCITS should be able to demonstrate that an index satisfies the index criteria in Article 53 of the</w:t>
      </w:r>
    </w:p>
    <w:p w:rsidR="0071709B" w:rsidRPr="0071709B" w:rsidRDefault="0071709B" w:rsidP="0071709B">
      <w:pPr>
        <w:autoSpaceDE w:val="0"/>
        <w:autoSpaceDN w:val="0"/>
        <w:adjustRightInd w:val="0"/>
        <w:rPr>
          <w:rFonts w:ascii="Georgia" w:hAnsi="Georgia" w:cs="Georgia"/>
          <w:szCs w:val="20"/>
          <w:lang w:val="en-US" w:eastAsia="en-GB"/>
        </w:rPr>
      </w:pPr>
      <w:r w:rsidRPr="0071709B">
        <w:rPr>
          <w:rFonts w:ascii="Georgia" w:hAnsi="Georgia" w:cs="Georgia"/>
          <w:szCs w:val="20"/>
          <w:lang w:val="en-US" w:eastAsia="en-GB"/>
        </w:rPr>
        <w:t>UCITS Directive and Article 9 of the Eligible Assets Directive, incl</w:t>
      </w:r>
      <w:r>
        <w:rPr>
          <w:rFonts w:ascii="Georgia" w:hAnsi="Georgia" w:cs="Georgia"/>
          <w:szCs w:val="20"/>
          <w:lang w:val="en-US" w:eastAsia="en-GB"/>
        </w:rPr>
        <w:t xml:space="preserve">uding that of being a benchmark </w:t>
      </w:r>
      <w:r w:rsidRPr="0071709B">
        <w:rPr>
          <w:rFonts w:ascii="Georgia" w:hAnsi="Georgia" w:cs="Georgia"/>
          <w:szCs w:val="20"/>
          <w:lang w:val="en-US" w:eastAsia="en-GB"/>
        </w:rPr>
        <w:t>for the market to which it refers. For that purpose:</w:t>
      </w:r>
    </w:p>
    <w:p w:rsidR="0071709B" w:rsidRPr="0071709B" w:rsidRDefault="0071709B" w:rsidP="0071709B">
      <w:pPr>
        <w:autoSpaceDE w:val="0"/>
        <w:autoSpaceDN w:val="0"/>
        <w:adjustRightInd w:val="0"/>
        <w:rPr>
          <w:rFonts w:ascii="Georgia" w:hAnsi="Georgia" w:cs="Georgia"/>
          <w:szCs w:val="20"/>
          <w:lang w:val="en-US" w:eastAsia="en-GB"/>
        </w:rPr>
      </w:pPr>
      <w:r w:rsidRPr="0071709B">
        <w:rPr>
          <w:rFonts w:ascii="Georgia" w:hAnsi="Georgia" w:cs="Georgia"/>
          <w:szCs w:val="20"/>
          <w:lang w:val="en-US" w:eastAsia="en-GB"/>
        </w:rPr>
        <w:t>a) an index should have a clear, single objective in order to repr</w:t>
      </w:r>
      <w:r w:rsidR="00C21BD3">
        <w:rPr>
          <w:rFonts w:ascii="Georgia" w:hAnsi="Georgia" w:cs="Georgia"/>
          <w:szCs w:val="20"/>
          <w:lang w:val="en-US" w:eastAsia="en-GB"/>
        </w:rPr>
        <w:t xml:space="preserve">esent an adequate benchmark for </w:t>
      </w:r>
      <w:r w:rsidRPr="0071709B">
        <w:rPr>
          <w:rFonts w:ascii="Georgia" w:hAnsi="Georgia" w:cs="Georgia"/>
          <w:szCs w:val="20"/>
          <w:lang w:val="en-US" w:eastAsia="en-GB"/>
        </w:rPr>
        <w:t>the market;</w:t>
      </w:r>
    </w:p>
    <w:p w:rsidR="0071709B" w:rsidRPr="0071709B" w:rsidRDefault="0071709B" w:rsidP="0071709B">
      <w:pPr>
        <w:autoSpaceDE w:val="0"/>
        <w:autoSpaceDN w:val="0"/>
        <w:adjustRightInd w:val="0"/>
        <w:rPr>
          <w:rFonts w:ascii="Georgia" w:hAnsi="Georgia" w:cs="Georgia"/>
          <w:szCs w:val="20"/>
          <w:lang w:val="en-US" w:eastAsia="en-GB"/>
        </w:rPr>
      </w:pPr>
      <w:r w:rsidRPr="0071709B">
        <w:rPr>
          <w:rFonts w:ascii="Georgia" w:hAnsi="Georgia" w:cs="Georgia"/>
          <w:szCs w:val="20"/>
          <w:lang w:val="en-US" w:eastAsia="en-GB"/>
        </w:rPr>
        <w:t>b) the universe of the index components and the basis on whic</w:t>
      </w:r>
      <w:r>
        <w:rPr>
          <w:rFonts w:ascii="Georgia" w:hAnsi="Georgia" w:cs="Georgia"/>
          <w:szCs w:val="20"/>
          <w:lang w:val="en-US" w:eastAsia="en-GB"/>
        </w:rPr>
        <w:t xml:space="preserve">h these components are selected </w:t>
      </w:r>
      <w:r w:rsidRPr="0071709B">
        <w:rPr>
          <w:rFonts w:ascii="Georgia" w:hAnsi="Georgia" w:cs="Georgia"/>
          <w:szCs w:val="20"/>
          <w:lang w:val="en-US" w:eastAsia="en-GB"/>
        </w:rPr>
        <w:t>for the strategy should be clear to investors and competent authorities;</w:t>
      </w:r>
    </w:p>
    <w:p w:rsidR="0071709B" w:rsidRPr="0071709B" w:rsidRDefault="0071709B" w:rsidP="0071709B">
      <w:pPr>
        <w:autoSpaceDE w:val="0"/>
        <w:autoSpaceDN w:val="0"/>
        <w:adjustRightInd w:val="0"/>
        <w:rPr>
          <w:rFonts w:ascii="Georgia" w:hAnsi="Georgia" w:cs="Georgia"/>
          <w:szCs w:val="20"/>
          <w:lang w:val="en-US" w:eastAsia="en-GB"/>
        </w:rPr>
      </w:pPr>
      <w:r w:rsidRPr="0071709B">
        <w:rPr>
          <w:rFonts w:ascii="Georgia" w:hAnsi="Georgia" w:cs="Georgia"/>
          <w:szCs w:val="20"/>
          <w:lang w:val="en-US" w:eastAsia="en-GB"/>
        </w:rPr>
        <w:t xml:space="preserve">c) </w:t>
      </w:r>
      <w:r w:rsidRPr="00C21BD3">
        <w:rPr>
          <w:rFonts w:ascii="Georgia" w:hAnsi="Georgia" w:cs="Georgia"/>
          <w:b/>
          <w:szCs w:val="20"/>
          <w:u w:val="single"/>
          <w:lang w:val="en-US" w:eastAsia="en-GB"/>
        </w:rPr>
        <w:t>if cash management is included as part of the index strate</w:t>
      </w:r>
      <w:r w:rsidRPr="00C21BD3">
        <w:rPr>
          <w:rFonts w:ascii="Georgia" w:hAnsi="Georgia" w:cs="Georgia"/>
          <w:b/>
          <w:szCs w:val="20"/>
          <w:u w:val="single"/>
          <w:lang w:val="en-US" w:eastAsia="en-GB"/>
        </w:rPr>
        <w:t>gy</w:t>
      </w:r>
      <w:r>
        <w:rPr>
          <w:rFonts w:ascii="Georgia" w:hAnsi="Georgia" w:cs="Georgia"/>
          <w:szCs w:val="20"/>
          <w:lang w:val="en-US" w:eastAsia="en-GB"/>
        </w:rPr>
        <w:t xml:space="preserve">, the UCITS should be able to </w:t>
      </w:r>
      <w:r w:rsidRPr="0071709B">
        <w:rPr>
          <w:rFonts w:ascii="Georgia" w:hAnsi="Georgia" w:cs="Georgia"/>
          <w:szCs w:val="20"/>
          <w:lang w:val="en-US" w:eastAsia="en-GB"/>
        </w:rPr>
        <w:t>demonstrate that this does not affect the objective nature of the index calculation methodology.</w:t>
      </w:r>
    </w:p>
    <w:p w:rsidR="0071709B" w:rsidRPr="0071709B" w:rsidRDefault="0071709B" w:rsidP="0071709B">
      <w:pPr>
        <w:autoSpaceDE w:val="0"/>
        <w:autoSpaceDN w:val="0"/>
        <w:adjustRightInd w:val="0"/>
        <w:rPr>
          <w:rFonts w:ascii="Georgia" w:hAnsi="Georgia" w:cs="Georgia"/>
          <w:sz w:val="16"/>
          <w:szCs w:val="16"/>
          <w:lang w:val="en-US" w:eastAsia="en-GB"/>
        </w:rPr>
      </w:pPr>
      <w:r w:rsidRPr="0071709B">
        <w:rPr>
          <w:rFonts w:ascii="Georgia" w:hAnsi="Georgia" w:cs="Georgia"/>
          <w:sz w:val="10"/>
          <w:szCs w:val="10"/>
          <w:lang w:val="en-US" w:eastAsia="en-GB"/>
        </w:rPr>
        <w:t xml:space="preserve">7 </w:t>
      </w:r>
      <w:r w:rsidRPr="0071709B">
        <w:rPr>
          <w:rFonts w:ascii="Georgia" w:hAnsi="Georgia" w:cs="Georgia"/>
          <w:sz w:val="16"/>
          <w:szCs w:val="16"/>
          <w:lang w:val="en-US" w:eastAsia="en-GB"/>
        </w:rPr>
        <w:t>These guidelines modify the existing guidelines on eligible assets for investment by UCITS (Ref. CESR/07-044b) with respect to</w:t>
      </w:r>
    </w:p>
    <w:p w:rsidR="0071709B" w:rsidRPr="0071709B" w:rsidRDefault="0071709B" w:rsidP="0071709B">
      <w:pPr>
        <w:autoSpaceDE w:val="0"/>
        <w:autoSpaceDN w:val="0"/>
        <w:adjustRightInd w:val="0"/>
        <w:rPr>
          <w:rFonts w:ascii="Georgia" w:hAnsi="Georgia" w:cs="Georgia"/>
          <w:sz w:val="16"/>
          <w:szCs w:val="16"/>
          <w:lang w:val="en-US" w:eastAsia="en-GB"/>
        </w:rPr>
      </w:pPr>
      <w:r w:rsidRPr="0071709B">
        <w:rPr>
          <w:rFonts w:ascii="Georgia" w:hAnsi="Georgia" w:cs="Georgia"/>
          <w:sz w:val="16"/>
          <w:szCs w:val="16"/>
          <w:lang w:val="en-US" w:eastAsia="en-GB"/>
        </w:rPr>
        <w:t>commodity indices. UCITS should not invest in commodity indices that do not comply with the requirements laid down in paragraph</w:t>
      </w:r>
    </w:p>
    <w:p w:rsidR="0071709B" w:rsidRPr="0071709B" w:rsidRDefault="0071709B" w:rsidP="0071709B">
      <w:pPr>
        <w:autoSpaceDE w:val="0"/>
        <w:autoSpaceDN w:val="0"/>
        <w:adjustRightInd w:val="0"/>
        <w:rPr>
          <w:rFonts w:ascii="Georgia" w:hAnsi="Georgia" w:cs="Georgia"/>
          <w:szCs w:val="20"/>
          <w:lang w:val="en-US" w:eastAsia="en-GB"/>
        </w:rPr>
      </w:pPr>
      <w:r w:rsidRPr="0071709B">
        <w:rPr>
          <w:rFonts w:ascii="Georgia" w:hAnsi="Georgia" w:cs="Georgia"/>
          <w:szCs w:val="20"/>
          <w:lang w:val="en-US" w:eastAsia="en-GB"/>
        </w:rPr>
        <w:t xml:space="preserve">53. An index should not be considered as being an adequate benchmark of </w:t>
      </w:r>
      <w:r>
        <w:rPr>
          <w:rFonts w:ascii="Georgia" w:hAnsi="Georgia" w:cs="Georgia"/>
          <w:szCs w:val="20"/>
          <w:lang w:val="en-US" w:eastAsia="en-GB"/>
        </w:rPr>
        <w:t>a market if it has been cr</w:t>
      </w:r>
      <w:r>
        <w:rPr>
          <w:rFonts w:ascii="Georgia" w:hAnsi="Georgia" w:cs="Georgia"/>
          <w:szCs w:val="20"/>
          <w:lang w:val="en-US" w:eastAsia="en-GB"/>
        </w:rPr>
        <w:t>e</w:t>
      </w:r>
      <w:r>
        <w:rPr>
          <w:rFonts w:ascii="Georgia" w:hAnsi="Georgia" w:cs="Georgia"/>
          <w:szCs w:val="20"/>
          <w:lang w:val="en-US" w:eastAsia="en-GB"/>
        </w:rPr>
        <w:t xml:space="preserve">ated </w:t>
      </w:r>
      <w:r w:rsidRPr="0071709B">
        <w:rPr>
          <w:rFonts w:ascii="Georgia" w:hAnsi="Georgia" w:cs="Georgia"/>
          <w:szCs w:val="20"/>
          <w:lang w:val="en-US" w:eastAsia="en-GB"/>
        </w:rPr>
        <w:t>and calculated on the request of one, or a very limited number of, market participants and according</w:t>
      </w:r>
      <w:r>
        <w:rPr>
          <w:rFonts w:ascii="Georgia" w:hAnsi="Georgia" w:cs="Georgia"/>
          <w:szCs w:val="20"/>
          <w:lang w:val="en-US" w:eastAsia="en-GB"/>
        </w:rPr>
        <w:t xml:space="preserve"> </w:t>
      </w:r>
      <w:r w:rsidRPr="0071709B">
        <w:rPr>
          <w:rFonts w:ascii="Georgia" w:hAnsi="Georgia" w:cs="Georgia"/>
          <w:szCs w:val="20"/>
          <w:lang w:val="en-US" w:eastAsia="en-GB"/>
        </w:rPr>
        <w:t>to the specifications of those market participants.</w:t>
      </w:r>
    </w:p>
    <w:p w:rsidR="0071709B" w:rsidRPr="0071709B" w:rsidRDefault="0071709B" w:rsidP="0071709B">
      <w:pPr>
        <w:autoSpaceDE w:val="0"/>
        <w:autoSpaceDN w:val="0"/>
        <w:adjustRightInd w:val="0"/>
        <w:rPr>
          <w:rFonts w:ascii="Georgia" w:hAnsi="Georgia" w:cs="Georgia"/>
          <w:szCs w:val="20"/>
          <w:lang w:val="en-US" w:eastAsia="en-GB"/>
        </w:rPr>
      </w:pPr>
      <w:r w:rsidRPr="0071709B">
        <w:rPr>
          <w:rFonts w:ascii="Georgia" w:hAnsi="Georgia" w:cs="Georgia"/>
          <w:szCs w:val="20"/>
          <w:lang w:val="en-US" w:eastAsia="en-GB"/>
        </w:rPr>
        <w:t xml:space="preserve">54. The UCITS’ prospectus should disclose the rebalancing frequency and </w:t>
      </w:r>
      <w:r>
        <w:rPr>
          <w:rFonts w:ascii="Georgia" w:hAnsi="Georgia" w:cs="Georgia"/>
          <w:szCs w:val="20"/>
          <w:lang w:val="en-US" w:eastAsia="en-GB"/>
        </w:rPr>
        <w:t xml:space="preserve">its effects on the costs within </w:t>
      </w:r>
      <w:r w:rsidRPr="0071709B">
        <w:rPr>
          <w:rFonts w:ascii="Georgia" w:hAnsi="Georgia" w:cs="Georgia"/>
          <w:szCs w:val="20"/>
          <w:lang w:val="en-US" w:eastAsia="en-GB"/>
        </w:rPr>
        <w:t>the strategy.</w:t>
      </w:r>
    </w:p>
    <w:p w:rsidR="0071709B" w:rsidRPr="0071709B" w:rsidRDefault="0071709B" w:rsidP="0071709B">
      <w:pPr>
        <w:autoSpaceDE w:val="0"/>
        <w:autoSpaceDN w:val="0"/>
        <w:adjustRightInd w:val="0"/>
        <w:rPr>
          <w:rFonts w:ascii="Georgia" w:hAnsi="Georgia" w:cs="Georgia"/>
          <w:szCs w:val="20"/>
          <w:lang w:val="en-US" w:eastAsia="en-GB"/>
        </w:rPr>
      </w:pPr>
      <w:r w:rsidRPr="0071709B">
        <w:rPr>
          <w:rFonts w:ascii="Georgia" w:hAnsi="Georgia" w:cs="Georgia"/>
          <w:szCs w:val="20"/>
          <w:lang w:val="en-US" w:eastAsia="en-GB"/>
        </w:rPr>
        <w:t xml:space="preserve">55. A UCITS </w:t>
      </w:r>
      <w:r w:rsidRPr="00C21BD3">
        <w:rPr>
          <w:rFonts w:ascii="Georgia" w:hAnsi="Georgia" w:cs="Georgia"/>
          <w:b/>
          <w:szCs w:val="20"/>
          <w:u w:val="single"/>
          <w:lang w:val="en-US" w:eastAsia="en-GB"/>
        </w:rPr>
        <w:t>should not invest in a financial index whose rebalancing frequency prevents investors fro</w:t>
      </w:r>
      <w:r w:rsidRPr="00C21BD3">
        <w:rPr>
          <w:rFonts w:ascii="Georgia" w:hAnsi="Georgia" w:cs="Georgia"/>
          <w:b/>
          <w:szCs w:val="20"/>
          <w:u w:val="single"/>
          <w:lang w:val="en-US" w:eastAsia="en-GB"/>
        </w:rPr>
        <w:t>m</w:t>
      </w:r>
      <w:r w:rsidRPr="00C21BD3">
        <w:rPr>
          <w:rFonts w:ascii="Georgia" w:hAnsi="Georgia" w:cs="Georgia"/>
          <w:b/>
          <w:szCs w:val="20"/>
          <w:u w:val="single"/>
          <w:lang w:val="en-US" w:eastAsia="en-GB"/>
        </w:rPr>
        <w:t xml:space="preserve"> </w:t>
      </w:r>
      <w:r w:rsidRPr="00C21BD3">
        <w:rPr>
          <w:rFonts w:ascii="Georgia" w:hAnsi="Georgia" w:cs="Georgia"/>
          <w:b/>
          <w:szCs w:val="20"/>
          <w:u w:val="single"/>
          <w:lang w:val="en-US" w:eastAsia="en-GB"/>
        </w:rPr>
        <w:t>being able to replicate the financial index.</w:t>
      </w:r>
      <w:r w:rsidRPr="0071709B">
        <w:rPr>
          <w:rFonts w:ascii="Georgia" w:hAnsi="Georgia" w:cs="Georgia"/>
          <w:szCs w:val="20"/>
          <w:lang w:val="en-US" w:eastAsia="en-GB"/>
        </w:rPr>
        <w:t xml:space="preserve"> Indices which rebalance on an intra-day or daily basis do</w:t>
      </w:r>
      <w:r>
        <w:rPr>
          <w:rFonts w:ascii="Georgia" w:hAnsi="Georgia" w:cs="Georgia"/>
          <w:szCs w:val="20"/>
          <w:lang w:val="en-US" w:eastAsia="en-GB"/>
        </w:rPr>
        <w:t xml:space="preserve"> </w:t>
      </w:r>
      <w:r w:rsidRPr="0071709B">
        <w:rPr>
          <w:rFonts w:ascii="Georgia" w:hAnsi="Georgia" w:cs="Georgia"/>
          <w:szCs w:val="20"/>
          <w:lang w:val="en-US" w:eastAsia="en-GB"/>
        </w:rPr>
        <w:t>not satisfy this criterion. For the purpose of these guidelines, technical adjustments made to financial</w:t>
      </w:r>
      <w:r>
        <w:rPr>
          <w:rFonts w:ascii="Georgia" w:hAnsi="Georgia" w:cs="Georgia"/>
          <w:szCs w:val="20"/>
          <w:lang w:val="en-US" w:eastAsia="en-GB"/>
        </w:rPr>
        <w:t xml:space="preserve"> </w:t>
      </w:r>
      <w:r w:rsidRPr="0071709B">
        <w:rPr>
          <w:rFonts w:ascii="Georgia" w:hAnsi="Georgia" w:cs="Georgia"/>
          <w:szCs w:val="20"/>
          <w:lang w:val="en-US" w:eastAsia="en-GB"/>
        </w:rPr>
        <w:t>indices (such as leveraged indices or volatility target indices according to publicly avail</w:t>
      </w:r>
      <w:r w:rsidRPr="0071709B">
        <w:rPr>
          <w:rFonts w:ascii="Georgia" w:hAnsi="Georgia" w:cs="Georgia"/>
          <w:szCs w:val="20"/>
          <w:lang w:val="en-US" w:eastAsia="en-GB"/>
        </w:rPr>
        <w:t>a</w:t>
      </w:r>
      <w:r w:rsidRPr="0071709B">
        <w:rPr>
          <w:rFonts w:ascii="Georgia" w:hAnsi="Georgia" w:cs="Georgia"/>
          <w:szCs w:val="20"/>
          <w:lang w:val="en-US" w:eastAsia="en-GB"/>
        </w:rPr>
        <w:t>ble criteria</w:t>
      </w:r>
      <w:r>
        <w:rPr>
          <w:rFonts w:ascii="Georgia" w:hAnsi="Georgia" w:cs="Georgia"/>
          <w:szCs w:val="20"/>
          <w:lang w:val="en-US" w:eastAsia="en-GB"/>
        </w:rPr>
        <w:t xml:space="preserve"> </w:t>
      </w:r>
      <w:r w:rsidRPr="0071709B">
        <w:rPr>
          <w:rFonts w:ascii="Georgia" w:hAnsi="Georgia" w:cs="Georgia"/>
          <w:szCs w:val="20"/>
          <w:lang w:val="en-US" w:eastAsia="en-GB"/>
        </w:rPr>
        <w:t>should not be considered as rebalancing in the context of this paragraph.</w:t>
      </w:r>
    </w:p>
    <w:p w:rsidR="0071709B" w:rsidRPr="0071709B" w:rsidRDefault="0071709B" w:rsidP="0071709B">
      <w:pPr>
        <w:autoSpaceDE w:val="0"/>
        <w:autoSpaceDN w:val="0"/>
        <w:adjustRightInd w:val="0"/>
        <w:rPr>
          <w:rFonts w:ascii="Georgia" w:hAnsi="Georgia" w:cs="Georgia"/>
          <w:szCs w:val="20"/>
          <w:lang w:val="en-US" w:eastAsia="en-GB"/>
        </w:rPr>
      </w:pPr>
      <w:r w:rsidRPr="0071709B">
        <w:rPr>
          <w:rFonts w:ascii="Georgia" w:hAnsi="Georgia" w:cs="Georgia"/>
          <w:szCs w:val="20"/>
          <w:lang w:val="en-US" w:eastAsia="en-GB"/>
        </w:rPr>
        <w:t>56. UCITS should not invest in financial indices for which the full calculat</w:t>
      </w:r>
      <w:r>
        <w:rPr>
          <w:rFonts w:ascii="Georgia" w:hAnsi="Georgia" w:cs="Georgia"/>
          <w:szCs w:val="20"/>
          <w:lang w:val="en-US" w:eastAsia="en-GB"/>
        </w:rPr>
        <w:t xml:space="preserve">ion methodology to, inter alia, </w:t>
      </w:r>
      <w:r w:rsidRPr="0071709B">
        <w:rPr>
          <w:rFonts w:ascii="Georgia" w:hAnsi="Georgia" w:cs="Georgia"/>
          <w:szCs w:val="20"/>
          <w:lang w:val="en-US" w:eastAsia="en-GB"/>
        </w:rPr>
        <w:t>enable investors to replicate the financial index is not disclosed by the index provider. This includes</w:t>
      </w:r>
      <w:r>
        <w:rPr>
          <w:rFonts w:ascii="Georgia" w:hAnsi="Georgia" w:cs="Georgia"/>
          <w:szCs w:val="20"/>
          <w:lang w:val="en-US" w:eastAsia="en-GB"/>
        </w:rPr>
        <w:t xml:space="preserve"> </w:t>
      </w:r>
      <w:r w:rsidRPr="0071709B">
        <w:rPr>
          <w:rFonts w:ascii="Georgia" w:hAnsi="Georgia" w:cs="Georgia"/>
          <w:szCs w:val="20"/>
          <w:lang w:val="en-US" w:eastAsia="en-GB"/>
        </w:rPr>
        <w:t xml:space="preserve">providing </w:t>
      </w:r>
      <w:r w:rsidRPr="00C21BD3">
        <w:rPr>
          <w:rFonts w:ascii="Georgia" w:hAnsi="Georgia" w:cs="Georgia"/>
          <w:b/>
          <w:szCs w:val="20"/>
          <w:u w:val="single"/>
          <w:lang w:val="en-US" w:eastAsia="en-GB"/>
        </w:rPr>
        <w:t>detailed information on index constituents</w:t>
      </w:r>
      <w:r w:rsidRPr="0071709B">
        <w:rPr>
          <w:rFonts w:ascii="Georgia" w:hAnsi="Georgia" w:cs="Georgia"/>
          <w:szCs w:val="20"/>
          <w:lang w:val="en-US" w:eastAsia="en-GB"/>
        </w:rPr>
        <w:t>, index calculation (including effect of leverage</w:t>
      </w:r>
      <w:r>
        <w:rPr>
          <w:rFonts w:ascii="Georgia" w:hAnsi="Georgia" w:cs="Georgia"/>
          <w:szCs w:val="20"/>
          <w:lang w:val="en-US" w:eastAsia="en-GB"/>
        </w:rPr>
        <w:t xml:space="preserve"> </w:t>
      </w:r>
      <w:r w:rsidRPr="0071709B">
        <w:rPr>
          <w:rFonts w:ascii="Georgia" w:hAnsi="Georgia" w:cs="Georgia"/>
          <w:szCs w:val="20"/>
          <w:lang w:val="en-US" w:eastAsia="en-GB"/>
        </w:rPr>
        <w:t>within the index</w:t>
      </w:r>
      <w:r w:rsidRPr="00C21BD3">
        <w:rPr>
          <w:rFonts w:ascii="Georgia" w:hAnsi="Georgia" w:cs="Georgia"/>
          <w:b/>
          <w:szCs w:val="20"/>
          <w:u w:val="single"/>
          <w:lang w:val="en-US" w:eastAsia="en-GB"/>
        </w:rPr>
        <w:t>), re-balancing methodologies, index changes and information on any oper</w:t>
      </w:r>
      <w:r w:rsidRPr="00C21BD3">
        <w:rPr>
          <w:rFonts w:ascii="Georgia" w:hAnsi="Georgia" w:cs="Georgia"/>
          <w:b/>
          <w:szCs w:val="20"/>
          <w:u w:val="single"/>
          <w:lang w:val="en-US" w:eastAsia="en-GB"/>
        </w:rPr>
        <w:t>a</w:t>
      </w:r>
      <w:r w:rsidRPr="00C21BD3">
        <w:rPr>
          <w:rFonts w:ascii="Georgia" w:hAnsi="Georgia" w:cs="Georgia"/>
          <w:b/>
          <w:szCs w:val="20"/>
          <w:u w:val="single"/>
          <w:lang w:val="en-US" w:eastAsia="en-GB"/>
        </w:rPr>
        <w:t>tional</w:t>
      </w:r>
      <w:r w:rsidRPr="00C21BD3">
        <w:rPr>
          <w:rFonts w:ascii="Georgia" w:hAnsi="Georgia" w:cs="Georgia"/>
          <w:b/>
          <w:szCs w:val="20"/>
          <w:u w:val="single"/>
          <w:lang w:val="en-US" w:eastAsia="en-GB"/>
        </w:rPr>
        <w:t xml:space="preserve"> </w:t>
      </w:r>
      <w:r w:rsidRPr="00C21BD3">
        <w:rPr>
          <w:rFonts w:ascii="Georgia" w:hAnsi="Georgia" w:cs="Georgia"/>
          <w:b/>
          <w:szCs w:val="20"/>
          <w:u w:val="single"/>
          <w:lang w:val="en-US" w:eastAsia="en-GB"/>
        </w:rPr>
        <w:t xml:space="preserve">difficulties in providing timely or accurate information. </w:t>
      </w:r>
      <w:r w:rsidRPr="0071709B">
        <w:rPr>
          <w:rFonts w:ascii="Georgia" w:hAnsi="Georgia" w:cs="Georgia"/>
          <w:szCs w:val="20"/>
          <w:lang w:val="en-US" w:eastAsia="en-GB"/>
        </w:rPr>
        <w:t>Calculation methodologies should not omit</w:t>
      </w:r>
      <w:r>
        <w:rPr>
          <w:rFonts w:ascii="Georgia" w:hAnsi="Georgia" w:cs="Georgia"/>
          <w:szCs w:val="20"/>
          <w:lang w:val="en-US" w:eastAsia="en-GB"/>
        </w:rPr>
        <w:t xml:space="preserve"> </w:t>
      </w:r>
      <w:r w:rsidRPr="0071709B">
        <w:rPr>
          <w:rFonts w:ascii="Georgia" w:hAnsi="Georgia" w:cs="Georgia"/>
          <w:szCs w:val="20"/>
          <w:lang w:val="en-US" w:eastAsia="en-GB"/>
        </w:rPr>
        <w:t>important param</w:t>
      </w:r>
      <w:r w:rsidRPr="0071709B">
        <w:rPr>
          <w:rFonts w:ascii="Georgia" w:hAnsi="Georgia" w:cs="Georgia"/>
          <w:szCs w:val="20"/>
          <w:lang w:val="en-US" w:eastAsia="en-GB"/>
        </w:rPr>
        <w:t>e</w:t>
      </w:r>
      <w:r w:rsidRPr="0071709B">
        <w:rPr>
          <w:rFonts w:ascii="Georgia" w:hAnsi="Georgia" w:cs="Georgia"/>
          <w:szCs w:val="20"/>
          <w:lang w:val="en-US" w:eastAsia="en-GB"/>
        </w:rPr>
        <w:t>ters or elements to be taken into account by investors to replicate the financial index.</w:t>
      </w:r>
    </w:p>
    <w:p w:rsidR="0071709B" w:rsidRPr="0071709B" w:rsidRDefault="0071709B" w:rsidP="0071709B">
      <w:pPr>
        <w:autoSpaceDE w:val="0"/>
        <w:autoSpaceDN w:val="0"/>
        <w:adjustRightInd w:val="0"/>
        <w:rPr>
          <w:rFonts w:ascii="Georgia" w:hAnsi="Georgia" w:cs="Georgia"/>
          <w:szCs w:val="20"/>
          <w:lang w:val="en-US" w:eastAsia="en-GB"/>
        </w:rPr>
      </w:pPr>
      <w:r w:rsidRPr="0071709B">
        <w:rPr>
          <w:rFonts w:ascii="Georgia" w:hAnsi="Georgia" w:cs="Georgia"/>
          <w:szCs w:val="20"/>
          <w:lang w:val="en-US" w:eastAsia="en-GB"/>
        </w:rPr>
        <w:t xml:space="preserve">This information should be </w:t>
      </w:r>
      <w:r w:rsidRPr="00C21BD3">
        <w:rPr>
          <w:rFonts w:ascii="Georgia" w:hAnsi="Georgia" w:cs="Georgia"/>
          <w:b/>
          <w:szCs w:val="20"/>
          <w:u w:val="single"/>
          <w:lang w:val="en-US" w:eastAsia="en-GB"/>
        </w:rPr>
        <w:t>easily accessible, free of charge, by inves</w:t>
      </w:r>
      <w:r w:rsidRPr="00C21BD3">
        <w:rPr>
          <w:rFonts w:ascii="Georgia" w:hAnsi="Georgia" w:cs="Georgia"/>
          <w:b/>
          <w:szCs w:val="20"/>
          <w:u w:val="single"/>
          <w:lang w:val="en-US" w:eastAsia="en-GB"/>
        </w:rPr>
        <w:t>tors and prospective inve</w:t>
      </w:r>
      <w:r w:rsidRPr="00C21BD3">
        <w:rPr>
          <w:rFonts w:ascii="Georgia" w:hAnsi="Georgia" w:cs="Georgia"/>
          <w:b/>
          <w:szCs w:val="20"/>
          <w:u w:val="single"/>
          <w:lang w:val="en-US" w:eastAsia="en-GB"/>
        </w:rPr>
        <w:t>s</w:t>
      </w:r>
      <w:r w:rsidRPr="00C21BD3">
        <w:rPr>
          <w:rFonts w:ascii="Georgia" w:hAnsi="Georgia" w:cs="Georgia"/>
          <w:b/>
          <w:szCs w:val="20"/>
          <w:u w:val="single"/>
          <w:lang w:val="en-US" w:eastAsia="en-GB"/>
        </w:rPr>
        <w:t>tors</w:t>
      </w:r>
      <w:r>
        <w:rPr>
          <w:rFonts w:ascii="Georgia" w:hAnsi="Georgia" w:cs="Georgia"/>
          <w:szCs w:val="20"/>
          <w:lang w:val="en-US" w:eastAsia="en-GB"/>
        </w:rPr>
        <w:t xml:space="preserve">, </w:t>
      </w:r>
      <w:r w:rsidRPr="0071709B">
        <w:rPr>
          <w:rFonts w:ascii="Georgia" w:hAnsi="Georgia" w:cs="Georgia"/>
          <w:szCs w:val="20"/>
          <w:lang w:val="en-US" w:eastAsia="en-GB"/>
        </w:rPr>
        <w:t>for example, via the internet. Information on the performance of the index should be freely</w:t>
      </w:r>
      <w:r>
        <w:rPr>
          <w:rFonts w:ascii="Georgia" w:hAnsi="Georgia" w:cs="Georgia"/>
          <w:szCs w:val="20"/>
          <w:lang w:val="en-US" w:eastAsia="en-GB"/>
        </w:rPr>
        <w:t xml:space="preserve"> </w:t>
      </w:r>
      <w:r w:rsidRPr="0071709B">
        <w:rPr>
          <w:rFonts w:ascii="Georgia" w:hAnsi="Georgia" w:cs="Georgia"/>
          <w:szCs w:val="20"/>
          <w:lang w:val="en-US" w:eastAsia="en-GB"/>
        </w:rPr>
        <w:t>available to inve</w:t>
      </w:r>
      <w:r w:rsidRPr="0071709B">
        <w:rPr>
          <w:rFonts w:ascii="Georgia" w:hAnsi="Georgia" w:cs="Georgia"/>
          <w:szCs w:val="20"/>
          <w:lang w:val="en-US" w:eastAsia="en-GB"/>
        </w:rPr>
        <w:t>s</w:t>
      </w:r>
      <w:r w:rsidRPr="0071709B">
        <w:rPr>
          <w:rFonts w:ascii="Georgia" w:hAnsi="Georgia" w:cs="Georgia"/>
          <w:szCs w:val="20"/>
          <w:lang w:val="en-US" w:eastAsia="en-GB"/>
        </w:rPr>
        <w:t>tors.</w:t>
      </w:r>
    </w:p>
    <w:p w:rsidR="0071709B" w:rsidRPr="00C21BD3" w:rsidRDefault="0071709B" w:rsidP="0071709B">
      <w:pPr>
        <w:autoSpaceDE w:val="0"/>
        <w:autoSpaceDN w:val="0"/>
        <w:adjustRightInd w:val="0"/>
        <w:rPr>
          <w:rFonts w:ascii="Georgia" w:hAnsi="Georgia" w:cs="Georgia"/>
          <w:b/>
          <w:szCs w:val="20"/>
          <w:u w:val="single"/>
          <w:lang w:val="en-US" w:eastAsia="en-GB"/>
        </w:rPr>
      </w:pPr>
      <w:r w:rsidRPr="0071709B">
        <w:rPr>
          <w:rFonts w:ascii="Georgia" w:hAnsi="Georgia" w:cs="Georgia"/>
          <w:szCs w:val="20"/>
          <w:lang w:val="en-US" w:eastAsia="en-GB"/>
        </w:rPr>
        <w:t xml:space="preserve">57. </w:t>
      </w:r>
      <w:r w:rsidRPr="00C21BD3">
        <w:rPr>
          <w:rFonts w:ascii="Georgia" w:hAnsi="Georgia" w:cs="Georgia"/>
          <w:b/>
          <w:szCs w:val="20"/>
          <w:u w:val="single"/>
          <w:lang w:val="en-US" w:eastAsia="en-GB"/>
        </w:rPr>
        <w:t>A UCITS should not invest in financial indices that do not publish t</w:t>
      </w:r>
      <w:r w:rsidRPr="00C21BD3">
        <w:rPr>
          <w:rFonts w:ascii="Georgia" w:hAnsi="Georgia" w:cs="Georgia"/>
          <w:b/>
          <w:szCs w:val="20"/>
          <w:u w:val="single"/>
          <w:lang w:val="en-US" w:eastAsia="en-GB"/>
        </w:rPr>
        <w:t xml:space="preserve">heir constituents together with </w:t>
      </w:r>
      <w:r w:rsidRPr="00C21BD3">
        <w:rPr>
          <w:rFonts w:ascii="Georgia" w:hAnsi="Georgia" w:cs="Georgia"/>
          <w:b/>
          <w:szCs w:val="20"/>
          <w:u w:val="single"/>
          <w:lang w:val="en-US" w:eastAsia="en-GB"/>
        </w:rPr>
        <w:t>their respective weightings. This information should be easily accessible, free of charge, by investors</w:t>
      </w:r>
      <w:r w:rsidRPr="00C21BD3">
        <w:rPr>
          <w:rFonts w:ascii="Georgia" w:hAnsi="Georgia" w:cs="Georgia"/>
          <w:b/>
          <w:szCs w:val="20"/>
          <w:u w:val="single"/>
          <w:lang w:val="en-US" w:eastAsia="en-GB"/>
        </w:rPr>
        <w:t xml:space="preserve"> </w:t>
      </w:r>
      <w:r w:rsidRPr="00C21BD3">
        <w:rPr>
          <w:rFonts w:ascii="Georgia" w:hAnsi="Georgia" w:cs="Georgia"/>
          <w:b/>
          <w:szCs w:val="20"/>
          <w:u w:val="single"/>
          <w:lang w:val="en-US" w:eastAsia="en-GB"/>
        </w:rPr>
        <w:t>and pr</w:t>
      </w:r>
      <w:r w:rsidRPr="00C21BD3">
        <w:rPr>
          <w:rFonts w:ascii="Georgia" w:hAnsi="Georgia" w:cs="Georgia"/>
          <w:b/>
          <w:szCs w:val="20"/>
          <w:u w:val="single"/>
          <w:lang w:val="en-US" w:eastAsia="en-GB"/>
        </w:rPr>
        <w:t>o</w:t>
      </w:r>
      <w:r w:rsidRPr="00C21BD3">
        <w:rPr>
          <w:rFonts w:ascii="Georgia" w:hAnsi="Georgia" w:cs="Georgia"/>
          <w:b/>
          <w:szCs w:val="20"/>
          <w:u w:val="single"/>
          <w:lang w:val="en-US" w:eastAsia="en-GB"/>
        </w:rPr>
        <w:t>spective investors,</w:t>
      </w:r>
      <w:r w:rsidRPr="0071709B">
        <w:rPr>
          <w:rFonts w:ascii="Georgia" w:hAnsi="Georgia" w:cs="Georgia"/>
          <w:szCs w:val="20"/>
          <w:lang w:val="en-US" w:eastAsia="en-GB"/>
        </w:rPr>
        <w:t xml:space="preserve"> for example, via the internet. Weightings may be published after each rebalan</w:t>
      </w:r>
      <w:r w:rsidRPr="0071709B">
        <w:rPr>
          <w:rFonts w:ascii="Georgia" w:hAnsi="Georgia" w:cs="Georgia"/>
          <w:szCs w:val="20"/>
          <w:lang w:val="en-US" w:eastAsia="en-GB"/>
        </w:rPr>
        <w:t>c</w:t>
      </w:r>
      <w:r w:rsidRPr="0071709B">
        <w:rPr>
          <w:rFonts w:ascii="Georgia" w:hAnsi="Georgia" w:cs="Georgia"/>
          <w:szCs w:val="20"/>
          <w:lang w:val="en-US" w:eastAsia="en-GB"/>
        </w:rPr>
        <w:t>ing</w:t>
      </w:r>
      <w:r>
        <w:rPr>
          <w:rFonts w:ascii="Georgia" w:hAnsi="Georgia" w:cs="Georgia"/>
          <w:szCs w:val="20"/>
          <w:lang w:val="en-US" w:eastAsia="en-GB"/>
        </w:rPr>
        <w:t xml:space="preserve"> </w:t>
      </w:r>
      <w:r w:rsidRPr="0071709B">
        <w:rPr>
          <w:rFonts w:ascii="Georgia" w:hAnsi="Georgia" w:cs="Georgia"/>
          <w:szCs w:val="20"/>
          <w:lang w:val="en-US" w:eastAsia="en-GB"/>
        </w:rPr>
        <w:t>on a retrospective basis. This information should cover the previous period since the last</w:t>
      </w:r>
      <w:r>
        <w:rPr>
          <w:rFonts w:ascii="Georgia" w:hAnsi="Georgia" w:cs="Georgia"/>
          <w:szCs w:val="20"/>
          <w:lang w:val="en-US" w:eastAsia="en-GB"/>
        </w:rPr>
        <w:t xml:space="preserve"> </w:t>
      </w:r>
      <w:r w:rsidRPr="0071709B">
        <w:rPr>
          <w:rFonts w:ascii="Georgia" w:hAnsi="Georgia" w:cs="Georgia"/>
          <w:szCs w:val="20"/>
          <w:lang w:val="en-US" w:eastAsia="en-GB"/>
        </w:rPr>
        <w:t xml:space="preserve">rebalancing and </w:t>
      </w:r>
      <w:r w:rsidRPr="00C21BD3">
        <w:rPr>
          <w:rFonts w:ascii="Georgia" w:hAnsi="Georgia" w:cs="Georgia"/>
          <w:b/>
          <w:szCs w:val="20"/>
          <w:u w:val="single"/>
          <w:lang w:val="en-US" w:eastAsia="en-GB"/>
        </w:rPr>
        <w:t>i</w:t>
      </w:r>
      <w:r w:rsidRPr="00C21BD3">
        <w:rPr>
          <w:rFonts w:ascii="Georgia" w:hAnsi="Georgia" w:cs="Georgia"/>
          <w:b/>
          <w:szCs w:val="20"/>
          <w:u w:val="single"/>
          <w:lang w:val="en-US" w:eastAsia="en-GB"/>
        </w:rPr>
        <w:t>n</w:t>
      </w:r>
      <w:r w:rsidRPr="00C21BD3">
        <w:rPr>
          <w:rFonts w:ascii="Georgia" w:hAnsi="Georgia" w:cs="Georgia"/>
          <w:b/>
          <w:szCs w:val="20"/>
          <w:u w:val="single"/>
          <w:lang w:val="en-US" w:eastAsia="en-GB"/>
        </w:rPr>
        <w:t>clude all levels of the index.</w:t>
      </w:r>
    </w:p>
    <w:p w:rsidR="0071709B" w:rsidRPr="0071709B" w:rsidRDefault="0071709B" w:rsidP="0071709B">
      <w:pPr>
        <w:autoSpaceDE w:val="0"/>
        <w:autoSpaceDN w:val="0"/>
        <w:adjustRightInd w:val="0"/>
        <w:rPr>
          <w:rFonts w:ascii="Georgia" w:hAnsi="Georgia" w:cs="Georgia"/>
          <w:szCs w:val="20"/>
          <w:lang w:val="en-US" w:eastAsia="en-GB"/>
        </w:rPr>
      </w:pPr>
      <w:r w:rsidRPr="0071709B">
        <w:rPr>
          <w:rFonts w:ascii="Georgia" w:hAnsi="Georgia" w:cs="Georgia"/>
          <w:szCs w:val="20"/>
          <w:lang w:val="en-US" w:eastAsia="en-GB"/>
        </w:rPr>
        <w:t>58. A UCITS should not invest in financial indices whose methodology for the selection and the rebalan</w:t>
      </w:r>
      <w:r w:rsidRPr="0071709B">
        <w:rPr>
          <w:rFonts w:ascii="Georgia" w:hAnsi="Georgia" w:cs="Georgia"/>
          <w:szCs w:val="20"/>
          <w:lang w:val="en-US" w:eastAsia="en-GB"/>
        </w:rPr>
        <w:t>c</w:t>
      </w:r>
      <w:r>
        <w:rPr>
          <w:rFonts w:ascii="Georgia" w:hAnsi="Georgia" w:cs="Georgia"/>
          <w:szCs w:val="20"/>
          <w:lang w:val="en-US" w:eastAsia="en-GB"/>
        </w:rPr>
        <w:t xml:space="preserve">ing </w:t>
      </w:r>
      <w:r w:rsidRPr="0071709B">
        <w:rPr>
          <w:rFonts w:ascii="Georgia" w:hAnsi="Georgia" w:cs="Georgia"/>
          <w:szCs w:val="20"/>
          <w:lang w:val="en-US" w:eastAsia="en-GB"/>
        </w:rPr>
        <w:t>of the components is not based on a set of pre-determined rules and objective criteria.</w:t>
      </w:r>
    </w:p>
    <w:p w:rsidR="0071709B" w:rsidRPr="0071709B" w:rsidRDefault="0071709B" w:rsidP="0071709B">
      <w:pPr>
        <w:autoSpaceDE w:val="0"/>
        <w:autoSpaceDN w:val="0"/>
        <w:adjustRightInd w:val="0"/>
        <w:rPr>
          <w:rFonts w:ascii="Georgia" w:hAnsi="Georgia" w:cs="Georgia"/>
          <w:szCs w:val="20"/>
          <w:lang w:val="en-US" w:eastAsia="en-GB"/>
        </w:rPr>
      </w:pPr>
      <w:r w:rsidRPr="0071709B">
        <w:rPr>
          <w:rFonts w:ascii="Georgia" w:hAnsi="Georgia" w:cs="Georgia"/>
          <w:szCs w:val="20"/>
          <w:lang w:val="en-US" w:eastAsia="en-GB"/>
        </w:rPr>
        <w:lastRenderedPageBreak/>
        <w:t xml:space="preserve">59. A UCITS should not invest in financial indices </w:t>
      </w:r>
      <w:r w:rsidRPr="00C21BD3">
        <w:rPr>
          <w:rFonts w:ascii="Georgia" w:hAnsi="Georgia" w:cs="Georgia"/>
          <w:b/>
          <w:szCs w:val="20"/>
          <w:u w:val="single"/>
          <w:lang w:val="en-US" w:eastAsia="en-GB"/>
        </w:rPr>
        <w:t xml:space="preserve">whose index provider </w:t>
      </w:r>
      <w:r w:rsidRPr="00C21BD3">
        <w:rPr>
          <w:rFonts w:ascii="Georgia" w:hAnsi="Georgia" w:cs="Georgia"/>
          <w:b/>
          <w:szCs w:val="20"/>
          <w:u w:val="single"/>
          <w:lang w:val="en-US" w:eastAsia="en-GB"/>
        </w:rPr>
        <w:t>accepts payments from potentia</w:t>
      </w:r>
      <w:r w:rsidRPr="00C21BD3">
        <w:rPr>
          <w:rFonts w:ascii="Georgia" w:hAnsi="Georgia" w:cs="Georgia"/>
          <w:b/>
          <w:szCs w:val="20"/>
          <w:u w:val="single"/>
          <w:lang w:val="en-US" w:eastAsia="en-GB"/>
        </w:rPr>
        <w:t>l</w:t>
      </w:r>
      <w:r w:rsidRPr="00C21BD3">
        <w:rPr>
          <w:rFonts w:ascii="Georgia" w:hAnsi="Georgia" w:cs="Georgia"/>
          <w:b/>
          <w:szCs w:val="20"/>
          <w:u w:val="single"/>
          <w:lang w:val="en-US" w:eastAsia="en-GB"/>
        </w:rPr>
        <w:t xml:space="preserve"> </w:t>
      </w:r>
      <w:r w:rsidRPr="00C21BD3">
        <w:rPr>
          <w:rFonts w:ascii="Georgia" w:hAnsi="Georgia" w:cs="Georgia"/>
          <w:b/>
          <w:szCs w:val="20"/>
          <w:u w:val="single"/>
          <w:lang w:val="en-US" w:eastAsia="en-GB"/>
        </w:rPr>
        <w:t>index components for inclusion in the index.</w:t>
      </w:r>
    </w:p>
    <w:p w:rsidR="0071709B" w:rsidRPr="0071709B" w:rsidRDefault="0071709B" w:rsidP="0071709B">
      <w:pPr>
        <w:autoSpaceDE w:val="0"/>
        <w:autoSpaceDN w:val="0"/>
        <w:adjustRightInd w:val="0"/>
        <w:rPr>
          <w:rFonts w:ascii="Georgia" w:hAnsi="Georgia" w:cs="Georgia"/>
          <w:szCs w:val="20"/>
          <w:lang w:val="en-US" w:eastAsia="en-GB"/>
        </w:rPr>
      </w:pPr>
      <w:r w:rsidRPr="0071709B">
        <w:rPr>
          <w:rFonts w:ascii="Georgia" w:hAnsi="Georgia" w:cs="Georgia"/>
          <w:szCs w:val="20"/>
          <w:lang w:val="en-US" w:eastAsia="en-GB"/>
        </w:rPr>
        <w:t>60. A UCITS should not invest in financial indices whose methodology p</w:t>
      </w:r>
      <w:r>
        <w:rPr>
          <w:rFonts w:ascii="Georgia" w:hAnsi="Georgia" w:cs="Georgia"/>
          <w:szCs w:val="20"/>
          <w:lang w:val="en-US" w:eastAsia="en-GB"/>
        </w:rPr>
        <w:t xml:space="preserve">ermits retrospective changes to </w:t>
      </w:r>
      <w:r w:rsidRPr="0071709B">
        <w:rPr>
          <w:rFonts w:ascii="Georgia" w:hAnsi="Georgia" w:cs="Georgia"/>
          <w:szCs w:val="20"/>
          <w:lang w:val="en-US" w:eastAsia="en-GB"/>
        </w:rPr>
        <w:t xml:space="preserve">previously published index values </w:t>
      </w:r>
      <w:r w:rsidRPr="00C21BD3">
        <w:rPr>
          <w:rFonts w:ascii="Georgia" w:hAnsi="Georgia" w:cs="Georgia"/>
          <w:b/>
          <w:szCs w:val="20"/>
          <w:u w:val="single"/>
          <w:lang w:val="en-US" w:eastAsia="en-GB"/>
        </w:rPr>
        <w:t>(‘backfilling’).</w:t>
      </w:r>
    </w:p>
    <w:p w:rsidR="0071709B" w:rsidRPr="0071709B" w:rsidRDefault="0071709B" w:rsidP="0071709B">
      <w:pPr>
        <w:autoSpaceDE w:val="0"/>
        <w:autoSpaceDN w:val="0"/>
        <w:adjustRightInd w:val="0"/>
        <w:rPr>
          <w:rFonts w:ascii="Georgia" w:hAnsi="Georgia" w:cs="Georgia"/>
          <w:szCs w:val="20"/>
          <w:lang w:val="en-US" w:eastAsia="en-GB"/>
        </w:rPr>
      </w:pPr>
      <w:r w:rsidRPr="0071709B">
        <w:rPr>
          <w:rFonts w:ascii="Georgia" w:hAnsi="Georgia" w:cs="Georgia"/>
          <w:szCs w:val="20"/>
          <w:lang w:val="en-US" w:eastAsia="en-GB"/>
        </w:rPr>
        <w:t>61. The UCITS should carry out appropriate documented due diligence on</w:t>
      </w:r>
      <w:r>
        <w:rPr>
          <w:rFonts w:ascii="Georgia" w:hAnsi="Georgia" w:cs="Georgia"/>
          <w:szCs w:val="20"/>
          <w:lang w:val="en-US" w:eastAsia="en-GB"/>
        </w:rPr>
        <w:t xml:space="preserve"> the quality of the index. This </w:t>
      </w:r>
      <w:r w:rsidRPr="0071709B">
        <w:rPr>
          <w:rFonts w:ascii="Georgia" w:hAnsi="Georgia" w:cs="Georgia"/>
          <w:szCs w:val="20"/>
          <w:lang w:val="en-US" w:eastAsia="en-GB"/>
        </w:rPr>
        <w:t>due diligence should take into account whether the index methodology contains an adequate explanation</w:t>
      </w:r>
      <w:r>
        <w:rPr>
          <w:rFonts w:ascii="Georgia" w:hAnsi="Georgia" w:cs="Georgia"/>
          <w:szCs w:val="20"/>
          <w:lang w:val="en-US" w:eastAsia="en-GB"/>
        </w:rPr>
        <w:t xml:space="preserve"> </w:t>
      </w:r>
      <w:r w:rsidRPr="0071709B">
        <w:rPr>
          <w:rFonts w:ascii="Georgia" w:hAnsi="Georgia" w:cs="Georgia"/>
          <w:szCs w:val="20"/>
          <w:lang w:val="en-US" w:eastAsia="en-GB"/>
        </w:rPr>
        <w:t>of the weightings and classification of the components on the basis of the investment strategy</w:t>
      </w:r>
      <w:r>
        <w:rPr>
          <w:rFonts w:ascii="Georgia" w:hAnsi="Georgia" w:cs="Georgia"/>
          <w:szCs w:val="20"/>
          <w:lang w:val="en-US" w:eastAsia="en-GB"/>
        </w:rPr>
        <w:t xml:space="preserve"> </w:t>
      </w:r>
      <w:r w:rsidRPr="0071709B">
        <w:rPr>
          <w:rFonts w:ascii="Georgia" w:hAnsi="Georgia" w:cs="Georgia"/>
          <w:szCs w:val="20"/>
          <w:lang w:val="en-US" w:eastAsia="en-GB"/>
        </w:rPr>
        <w:t xml:space="preserve">and whether the index represents an adequate benchmark. </w:t>
      </w:r>
      <w:r w:rsidRPr="00C21BD3">
        <w:rPr>
          <w:rFonts w:ascii="Georgia" w:hAnsi="Georgia" w:cs="Georgia"/>
          <w:b/>
          <w:szCs w:val="20"/>
          <w:u w:val="single"/>
          <w:lang w:val="en-US" w:eastAsia="en-GB"/>
        </w:rPr>
        <w:t>The due diligence should also cover matters</w:t>
      </w:r>
      <w:r w:rsidRPr="00C21BD3">
        <w:rPr>
          <w:rFonts w:ascii="Georgia" w:hAnsi="Georgia" w:cs="Georgia"/>
          <w:b/>
          <w:szCs w:val="20"/>
          <w:u w:val="single"/>
          <w:lang w:val="en-US" w:eastAsia="en-GB"/>
        </w:rPr>
        <w:t xml:space="preserve"> </w:t>
      </w:r>
      <w:r w:rsidRPr="00C21BD3">
        <w:rPr>
          <w:rFonts w:ascii="Georgia" w:hAnsi="Georgia" w:cs="Georgia"/>
          <w:b/>
          <w:szCs w:val="20"/>
          <w:u w:val="single"/>
          <w:lang w:val="en-US" w:eastAsia="en-GB"/>
        </w:rPr>
        <w:t>rela</w:t>
      </w:r>
      <w:r w:rsidRPr="00C21BD3">
        <w:rPr>
          <w:rFonts w:ascii="Georgia" w:hAnsi="Georgia" w:cs="Georgia"/>
          <w:b/>
          <w:szCs w:val="20"/>
          <w:u w:val="single"/>
          <w:lang w:val="en-US" w:eastAsia="en-GB"/>
        </w:rPr>
        <w:t>t</w:t>
      </w:r>
      <w:r w:rsidRPr="00C21BD3">
        <w:rPr>
          <w:rFonts w:ascii="Georgia" w:hAnsi="Georgia" w:cs="Georgia"/>
          <w:b/>
          <w:szCs w:val="20"/>
          <w:u w:val="single"/>
          <w:lang w:val="en-US" w:eastAsia="en-GB"/>
        </w:rPr>
        <w:t>ing to the index components.</w:t>
      </w:r>
      <w:r w:rsidRPr="0071709B">
        <w:rPr>
          <w:rFonts w:ascii="Georgia" w:hAnsi="Georgia" w:cs="Georgia"/>
          <w:szCs w:val="20"/>
          <w:lang w:val="en-US" w:eastAsia="en-GB"/>
        </w:rPr>
        <w:t xml:space="preserve"> The UCITS should also assess the availability of information</w:t>
      </w:r>
      <w:r>
        <w:rPr>
          <w:rFonts w:ascii="Georgia" w:hAnsi="Georgia" w:cs="Georgia"/>
          <w:szCs w:val="20"/>
          <w:lang w:val="en-US" w:eastAsia="en-GB"/>
        </w:rPr>
        <w:t xml:space="preserve"> </w:t>
      </w:r>
      <w:r w:rsidRPr="0071709B">
        <w:rPr>
          <w:rFonts w:ascii="Georgia" w:hAnsi="Georgia" w:cs="Georgia"/>
          <w:szCs w:val="20"/>
          <w:lang w:val="en-US" w:eastAsia="en-GB"/>
        </w:rPr>
        <w:t>on the index including:</w:t>
      </w:r>
    </w:p>
    <w:p w:rsidR="0071709B" w:rsidRPr="0071709B" w:rsidRDefault="0071709B" w:rsidP="0071709B">
      <w:pPr>
        <w:autoSpaceDE w:val="0"/>
        <w:autoSpaceDN w:val="0"/>
        <w:adjustRightInd w:val="0"/>
        <w:rPr>
          <w:rFonts w:ascii="Georgia" w:hAnsi="Georgia" w:cs="Georgia"/>
          <w:szCs w:val="20"/>
          <w:lang w:val="en-US" w:eastAsia="en-GB"/>
        </w:rPr>
      </w:pPr>
      <w:r w:rsidRPr="0071709B">
        <w:rPr>
          <w:rFonts w:ascii="Georgia" w:hAnsi="Georgia" w:cs="Georgia"/>
          <w:szCs w:val="20"/>
          <w:lang w:val="en-US" w:eastAsia="en-GB"/>
        </w:rPr>
        <w:t>a) whether there is a clear narrative description of the benchmark;</w:t>
      </w:r>
    </w:p>
    <w:p w:rsidR="0071709B" w:rsidRPr="0071709B" w:rsidRDefault="0071709B" w:rsidP="0071709B">
      <w:pPr>
        <w:autoSpaceDE w:val="0"/>
        <w:autoSpaceDN w:val="0"/>
        <w:adjustRightInd w:val="0"/>
        <w:rPr>
          <w:rFonts w:ascii="Georgia" w:hAnsi="Georgia" w:cs="Georgia"/>
          <w:szCs w:val="20"/>
          <w:lang w:val="en-US" w:eastAsia="en-GB"/>
        </w:rPr>
      </w:pPr>
      <w:r w:rsidRPr="0071709B">
        <w:rPr>
          <w:rFonts w:ascii="Georgia" w:hAnsi="Georgia" w:cs="Georgia"/>
          <w:szCs w:val="20"/>
          <w:lang w:val="en-US" w:eastAsia="en-GB"/>
        </w:rPr>
        <w:t xml:space="preserve">b) </w:t>
      </w:r>
      <w:r w:rsidRPr="002D71A0">
        <w:rPr>
          <w:rFonts w:ascii="Georgia" w:hAnsi="Georgia" w:cs="Georgia"/>
          <w:b/>
          <w:szCs w:val="20"/>
          <w:u w:val="single"/>
          <w:lang w:val="en-US" w:eastAsia="en-GB"/>
        </w:rPr>
        <w:t>whether there is an independent audit and the scope of such an audit;</w:t>
      </w:r>
    </w:p>
    <w:p w:rsidR="0071709B" w:rsidRPr="0071709B" w:rsidRDefault="0071709B" w:rsidP="0071709B">
      <w:pPr>
        <w:autoSpaceDE w:val="0"/>
        <w:autoSpaceDN w:val="0"/>
        <w:adjustRightInd w:val="0"/>
        <w:rPr>
          <w:rFonts w:ascii="Georgia" w:hAnsi="Georgia" w:cs="Georgia"/>
          <w:szCs w:val="20"/>
          <w:lang w:val="en-US" w:eastAsia="en-GB"/>
        </w:rPr>
      </w:pPr>
      <w:r w:rsidRPr="0071709B">
        <w:rPr>
          <w:rFonts w:ascii="Georgia" w:hAnsi="Georgia" w:cs="Georgia"/>
          <w:szCs w:val="20"/>
          <w:lang w:val="en-US" w:eastAsia="en-GB"/>
        </w:rPr>
        <w:t xml:space="preserve">c) </w:t>
      </w:r>
      <w:r w:rsidRPr="002D71A0">
        <w:rPr>
          <w:rFonts w:ascii="Georgia" w:hAnsi="Georgia" w:cs="Georgia"/>
          <w:b/>
          <w:szCs w:val="20"/>
          <w:u w:val="single"/>
          <w:lang w:val="en-US" w:eastAsia="en-GB"/>
        </w:rPr>
        <w:t>the frequency of index publication</w:t>
      </w:r>
      <w:r w:rsidRPr="0071709B">
        <w:rPr>
          <w:rFonts w:ascii="Georgia" w:hAnsi="Georgia" w:cs="Georgia"/>
          <w:szCs w:val="20"/>
          <w:lang w:val="en-US" w:eastAsia="en-GB"/>
        </w:rPr>
        <w:t xml:space="preserve"> and whether this will affect the ab</w:t>
      </w:r>
      <w:r>
        <w:rPr>
          <w:rFonts w:ascii="Georgia" w:hAnsi="Georgia" w:cs="Georgia"/>
          <w:szCs w:val="20"/>
          <w:lang w:val="en-US" w:eastAsia="en-GB"/>
        </w:rPr>
        <w:t xml:space="preserve">ility of the UCITS to calculate </w:t>
      </w:r>
      <w:r w:rsidRPr="0071709B">
        <w:rPr>
          <w:rFonts w:ascii="Georgia" w:hAnsi="Georgia" w:cs="Georgia"/>
          <w:szCs w:val="20"/>
          <w:lang w:val="en-US" w:eastAsia="en-GB"/>
        </w:rPr>
        <w:t>its net asset value.</w:t>
      </w:r>
    </w:p>
    <w:p w:rsidR="00FE1A09" w:rsidRPr="0071709B" w:rsidRDefault="0071709B" w:rsidP="0071709B">
      <w:pPr>
        <w:spacing w:after="120"/>
        <w:jc w:val="both"/>
        <w:rPr>
          <w:lang w:val="en-US"/>
        </w:rPr>
      </w:pPr>
      <w:r w:rsidRPr="0071709B">
        <w:rPr>
          <w:rFonts w:ascii="Georgia" w:hAnsi="Georgia" w:cs="Georgia"/>
          <w:szCs w:val="20"/>
          <w:lang w:val="en-US" w:eastAsia="en-GB"/>
        </w:rPr>
        <w:t xml:space="preserve">62. The UCITS should ensure that the financial index is </w:t>
      </w:r>
      <w:r w:rsidRPr="002D71A0">
        <w:rPr>
          <w:rFonts w:ascii="Georgia" w:hAnsi="Georgia" w:cs="Georgia"/>
          <w:b/>
          <w:szCs w:val="20"/>
          <w:u w:val="single"/>
          <w:lang w:val="en-US" w:eastAsia="en-GB"/>
        </w:rPr>
        <w:t>subject to independent valuation</w:t>
      </w:r>
      <w:r w:rsidRPr="0071709B">
        <w:rPr>
          <w:rFonts w:ascii="Georgia" w:hAnsi="Georgia" w:cs="Georgia"/>
          <w:szCs w:val="20"/>
          <w:lang w:val="en-US" w:eastAsia="en-GB"/>
        </w:rPr>
        <w:t>.</w:t>
      </w:r>
    </w:p>
    <w:p w:rsidR="00C21BD3" w:rsidRDefault="00C21BD3" w:rsidP="00C21BD3">
      <w:pPr>
        <w:autoSpaceDE w:val="0"/>
        <w:autoSpaceDN w:val="0"/>
        <w:adjustRightInd w:val="0"/>
        <w:jc w:val="center"/>
        <w:rPr>
          <w:rFonts w:ascii="Georgia,Bold" w:hAnsi="Georgia,Bold" w:cs="Georgia,Bold"/>
          <w:b/>
          <w:bCs/>
          <w:szCs w:val="20"/>
          <w:lang w:val="en-US" w:eastAsia="en-GB"/>
        </w:rPr>
      </w:pPr>
      <w:r>
        <w:rPr>
          <w:rFonts w:ascii="Georgia,Bold" w:hAnsi="Georgia,Bold" w:cs="Georgia,Bold"/>
          <w:b/>
          <w:bCs/>
          <w:szCs w:val="20"/>
          <w:lang w:val="en-US" w:eastAsia="en-GB"/>
        </w:rPr>
        <w:t>***</w:t>
      </w:r>
    </w:p>
    <w:p w:rsidR="00BB31CE" w:rsidRDefault="00BB31CE" w:rsidP="00BB31CE">
      <w:pPr>
        <w:spacing w:after="120"/>
        <w:rPr>
          <w:color w:val="C0504D" w:themeColor="accent2"/>
        </w:rPr>
      </w:pPr>
    </w:p>
    <w:p w:rsidR="00C21BD3" w:rsidRPr="00BB31CE" w:rsidRDefault="00C21BD3" w:rsidP="00BB31CE">
      <w:pPr>
        <w:spacing w:after="120"/>
        <w:rPr>
          <w:color w:val="C0504D" w:themeColor="accent2"/>
        </w:rPr>
      </w:pPr>
    </w:p>
    <w:permEnd w:id="119307812"/>
    <w:p w:rsidR="009A2624" w:rsidRDefault="00665C07" w:rsidP="009A2624">
      <w:r>
        <w:t>&lt;ESMA_QUESTION_C</w:t>
      </w:r>
      <w:r w:rsidR="009A2624">
        <w:t>P_BMR_8&gt;</w:t>
      </w:r>
    </w:p>
    <w:p w:rsidR="009A2624" w:rsidRDefault="009A2624" w:rsidP="009A2624"/>
    <w:p w:rsidR="009A2624" w:rsidRPr="007F44BF" w:rsidRDefault="00863E1F" w:rsidP="00863E1F">
      <w:pPr>
        <w:pStyle w:val="Questionstyle"/>
      </w:pPr>
      <w:r w:rsidRPr="00863E1F">
        <w:rPr>
          <w:rFonts w:cs="Arial"/>
          <w:lang w:val="en-US"/>
        </w:rPr>
        <w:t>Do you agree with the elements of the internal review of methodology to be disclosed? Do you consider that there are other elements of information regarding the procedure for internal review of methodology that should be included?</w:t>
      </w:r>
    </w:p>
    <w:p w:rsidR="009A2624" w:rsidRDefault="00665C07" w:rsidP="009A2624">
      <w:r>
        <w:t>&lt;ESMA_QUESTION_C</w:t>
      </w:r>
      <w:r w:rsidR="009A2624">
        <w:t>P_BMR_9&gt;</w:t>
      </w:r>
    </w:p>
    <w:p w:rsidR="009A2624" w:rsidRDefault="00C21BD3" w:rsidP="009A2624">
      <w:permStart w:id="313393285" w:edGrp="everyone"/>
      <w:r>
        <w:t>Cf our answer to question 8.</w:t>
      </w:r>
    </w:p>
    <w:permEnd w:id="313393285"/>
    <w:p w:rsidR="009A2624" w:rsidRDefault="00665C07" w:rsidP="009A2624">
      <w:r>
        <w:t>&lt;ESMA_QUESTION_C</w:t>
      </w:r>
      <w:r w:rsidR="009A2624">
        <w:t>P_BMR_9&gt;</w:t>
      </w:r>
    </w:p>
    <w:p w:rsidR="009A2624" w:rsidRDefault="009A2624" w:rsidP="009A2624"/>
    <w:p w:rsidR="009A2624" w:rsidRPr="007F44BF" w:rsidRDefault="00863E1F" w:rsidP="00863E1F">
      <w:pPr>
        <w:pStyle w:val="Questionstyle"/>
      </w:pPr>
      <w:r w:rsidRPr="00863E1F">
        <w:rPr>
          <w:rFonts w:cs="Arial"/>
        </w:rPr>
        <w:t>Do you agree with the procedure for consultation on material changes to the methodology?</w:t>
      </w:r>
      <w:r w:rsidR="009A2624" w:rsidRPr="007F44BF">
        <w:t xml:space="preserve"> </w:t>
      </w:r>
    </w:p>
    <w:p w:rsidR="009A2624" w:rsidRDefault="00665C07" w:rsidP="009A2624">
      <w:r>
        <w:t>&lt;ESMA_QUESTION_C</w:t>
      </w:r>
      <w:r w:rsidR="009A2624">
        <w:t>P_BMR_10&gt;</w:t>
      </w:r>
    </w:p>
    <w:p w:rsidR="00852009" w:rsidRDefault="00852009" w:rsidP="00C21BD3">
      <w:pPr>
        <w:jc w:val="both"/>
      </w:pPr>
      <w:permStart w:id="174539973" w:edGrp="everyone"/>
      <w:r>
        <w:t>AFG fully supports ESMA’s proposed approach regarding the</w:t>
      </w:r>
      <w:r w:rsidRPr="00852009">
        <w:t xml:space="preserve"> </w:t>
      </w:r>
      <w:r>
        <w:t xml:space="preserve">general rule to proceed to a </w:t>
      </w:r>
      <w:r w:rsidRPr="00852009">
        <w:t xml:space="preserve">consultation </w:t>
      </w:r>
      <w:r>
        <w:t>for any</w:t>
      </w:r>
      <w:r w:rsidRPr="00852009">
        <w:t xml:space="preserve"> mat</w:t>
      </w:r>
      <w:r w:rsidRPr="00852009">
        <w:t>e</w:t>
      </w:r>
      <w:r w:rsidRPr="00852009">
        <w:t>rial changes to the methodology</w:t>
      </w:r>
      <w:r>
        <w:t>.</w:t>
      </w:r>
    </w:p>
    <w:permEnd w:id="174539973"/>
    <w:p w:rsidR="009A2624" w:rsidRDefault="00665C07" w:rsidP="009A2624">
      <w:r>
        <w:t>&lt;ESMA_QUESTION_C</w:t>
      </w:r>
      <w:r w:rsidR="009A2624">
        <w:t>P_BMR_10&gt;</w:t>
      </w:r>
    </w:p>
    <w:p w:rsidR="009A2624" w:rsidRDefault="009A2624" w:rsidP="009A2624"/>
    <w:p w:rsidR="009A2624" w:rsidRPr="007F44BF" w:rsidRDefault="00863E1F" w:rsidP="00863E1F">
      <w:pPr>
        <w:pStyle w:val="Questionstyle"/>
      </w:pPr>
      <w:r w:rsidRPr="00863E1F">
        <w:rPr>
          <w:rFonts w:cs="Arial"/>
          <w:lang w:val="en-US"/>
        </w:rPr>
        <w:t>Do you agree with this approach? Please explain your response.</w:t>
      </w:r>
      <w:r w:rsidR="009A2624" w:rsidRPr="007F44BF">
        <w:t xml:space="preserve"> </w:t>
      </w:r>
    </w:p>
    <w:p w:rsidR="009A2624" w:rsidRDefault="009A2624" w:rsidP="009A2624">
      <w:r>
        <w:t>&lt;ES</w:t>
      </w:r>
      <w:r w:rsidR="00665C07">
        <w:t>MA_QUESTION_C</w:t>
      </w:r>
      <w:r>
        <w:t>P_BMR_11&gt;</w:t>
      </w:r>
    </w:p>
    <w:p w:rsidR="009A2624" w:rsidRDefault="009A2624" w:rsidP="009A2624">
      <w:permStart w:id="1244024091" w:edGrp="everyone"/>
      <w:r>
        <w:t>TYPE YOUR TEXT HERE</w:t>
      </w:r>
    </w:p>
    <w:permEnd w:id="1244024091"/>
    <w:p w:rsidR="009A2624" w:rsidRDefault="00665C07" w:rsidP="009A2624">
      <w:r>
        <w:t>&lt;ESMA_QUESTION_C</w:t>
      </w:r>
      <w:r w:rsidR="009A2624">
        <w:t>P_BMR_11&gt;</w:t>
      </w:r>
    </w:p>
    <w:p w:rsidR="009A2624" w:rsidRDefault="009A2624" w:rsidP="009A2624"/>
    <w:p w:rsidR="00863E1F" w:rsidRPr="007F44BF" w:rsidRDefault="00863E1F" w:rsidP="00863E1F">
      <w:pPr>
        <w:pStyle w:val="Questionstyle"/>
      </w:pPr>
      <w:r w:rsidRPr="008C0CBF">
        <w:rPr>
          <w:rFonts w:ascii="Arial" w:hAnsi="Arial" w:cs="Arial"/>
        </w:rPr>
        <w:t>Do you agree with this approach?</w:t>
      </w:r>
      <w:r>
        <w:rPr>
          <w:rFonts w:ascii="Arial" w:hAnsi="Arial" w:cs="Arial"/>
        </w:rPr>
        <w:t xml:space="preserve"> </w:t>
      </w:r>
      <w:r w:rsidRPr="008C0CBF">
        <w:rPr>
          <w:rFonts w:ascii="Arial" w:hAnsi="Arial" w:cs="Arial"/>
        </w:rPr>
        <w:t>What are the different characteristics of contri</w:t>
      </w:r>
      <w:r w:rsidRPr="008C0CBF">
        <w:rPr>
          <w:rFonts w:ascii="Arial" w:hAnsi="Arial" w:cs="Arial"/>
        </w:rPr>
        <w:t>b</w:t>
      </w:r>
      <w:r w:rsidRPr="008C0CBF">
        <w:rPr>
          <w:rFonts w:ascii="Arial" w:hAnsi="Arial" w:cs="Arial"/>
        </w:rPr>
        <w:t>utors that should be taken into consideration in this RTS?</w:t>
      </w:r>
      <w:r>
        <w:rPr>
          <w:rFonts w:ascii="Arial" w:hAnsi="Arial" w:cs="Arial"/>
        </w:rPr>
        <w:t xml:space="preserve"> </w:t>
      </w:r>
      <w:r w:rsidRPr="008C0CBF">
        <w:rPr>
          <w:rFonts w:ascii="Arial" w:hAnsi="Arial" w:cs="Arial"/>
        </w:rPr>
        <w:t>How should those characteri</w:t>
      </w:r>
      <w:r w:rsidRPr="008C0CBF">
        <w:rPr>
          <w:rFonts w:ascii="Arial" w:hAnsi="Arial" w:cs="Arial"/>
        </w:rPr>
        <w:t>s</w:t>
      </w:r>
      <w:r w:rsidRPr="008C0CBF">
        <w:rPr>
          <w:rFonts w:ascii="Arial" w:hAnsi="Arial" w:cs="Arial"/>
        </w:rPr>
        <w:t>tics be taken into account in the provisions suggested in this draft RTS?</w:t>
      </w:r>
      <w:r>
        <w:rPr>
          <w:rFonts w:ascii="Arial" w:hAnsi="Arial" w:cs="Arial"/>
        </w:rPr>
        <w:t xml:space="preserve"> </w:t>
      </w:r>
      <w:r w:rsidRPr="008C0CBF">
        <w:rPr>
          <w:rFonts w:ascii="Arial" w:hAnsi="Arial" w:cs="Arial"/>
        </w:rPr>
        <w:t>Please give examples.</w:t>
      </w:r>
      <w:r w:rsidRPr="007F44BF">
        <w:t xml:space="preserve"> </w:t>
      </w:r>
    </w:p>
    <w:p w:rsidR="00863E1F" w:rsidRDefault="00863E1F" w:rsidP="00863E1F">
      <w:r>
        <w:t>&lt;ESMA_QUESTION_C</w:t>
      </w:r>
      <w:r w:rsidR="0038662B">
        <w:t>P_BMR_12</w:t>
      </w:r>
      <w:r>
        <w:t>&gt;</w:t>
      </w:r>
    </w:p>
    <w:p w:rsidR="00863E1F" w:rsidRDefault="00863E1F" w:rsidP="00863E1F">
      <w:permStart w:id="1798859041" w:edGrp="everyone"/>
      <w:r>
        <w:t>TYPE YOUR TEXT HERE</w:t>
      </w:r>
    </w:p>
    <w:permEnd w:id="1798859041"/>
    <w:p w:rsidR="00863E1F" w:rsidRDefault="00863E1F" w:rsidP="00863E1F">
      <w:r>
        <w:t>&lt;ESMA_QUESTION_C</w:t>
      </w:r>
      <w:r w:rsidR="0038662B">
        <w:t>P_BMR_12</w:t>
      </w:r>
      <w:r>
        <w:t>&gt;</w:t>
      </w:r>
    </w:p>
    <w:p w:rsidR="009A2624" w:rsidRDefault="009A2624" w:rsidP="009A2624"/>
    <w:p w:rsidR="0038662B" w:rsidRPr="007F44BF" w:rsidRDefault="0038662B" w:rsidP="0038662B">
      <w:pPr>
        <w:pStyle w:val="Questionstyle"/>
      </w:pPr>
      <w:r w:rsidRPr="0038662B">
        <w:rPr>
          <w:rFonts w:ascii="Arial" w:hAnsi="Arial" w:cs="Arial"/>
        </w:rPr>
        <w:t>Should the substantial exposures of individual traders or trading desk to benc</w:t>
      </w:r>
      <w:r w:rsidRPr="0038662B">
        <w:rPr>
          <w:rFonts w:ascii="Arial" w:hAnsi="Arial" w:cs="Arial"/>
        </w:rPr>
        <w:t>h</w:t>
      </w:r>
      <w:r w:rsidRPr="0038662B">
        <w:rPr>
          <w:rFonts w:ascii="Arial" w:hAnsi="Arial" w:cs="Arial"/>
        </w:rPr>
        <w:t>mark related instruments apply to all types of benchmarks for all contributors?</w:t>
      </w:r>
    </w:p>
    <w:p w:rsidR="0038662B" w:rsidRDefault="0038662B" w:rsidP="0038662B">
      <w:r>
        <w:lastRenderedPageBreak/>
        <w:t>&lt;ESMA_QUESTION_CP_BMR_13&gt;</w:t>
      </w:r>
    </w:p>
    <w:p w:rsidR="0038662B" w:rsidRDefault="0038662B" w:rsidP="0038662B">
      <w:permStart w:id="1105199261" w:edGrp="everyone"/>
      <w:r>
        <w:t>TYPE YOUR TEXT HERE</w:t>
      </w:r>
    </w:p>
    <w:permEnd w:id="1105199261"/>
    <w:p w:rsidR="0038662B" w:rsidRDefault="0038662B" w:rsidP="0038662B">
      <w:r>
        <w:t>&lt;ESMA_QUESTION_CP_BMR_13&gt;</w:t>
      </w:r>
    </w:p>
    <w:p w:rsidR="0038662B" w:rsidRDefault="0038662B" w:rsidP="0038662B"/>
    <w:p w:rsidR="0038662B" w:rsidRPr="007F44BF" w:rsidRDefault="0038662B" w:rsidP="0038662B">
      <w:pPr>
        <w:pStyle w:val="Questionstyle"/>
      </w:pPr>
      <w:r w:rsidRPr="0038662B">
        <w:rPr>
          <w:rFonts w:ascii="Arial" w:hAnsi="Arial" w:cs="Arial"/>
        </w:rPr>
        <w:t>Do you agree with the proposals for the reporting of suspicious transaction in this draft RTS? Please explain your answer.</w:t>
      </w:r>
    </w:p>
    <w:p w:rsidR="0038662B" w:rsidRDefault="0038662B" w:rsidP="0038662B">
      <w:r>
        <w:t>&lt;ESMA_QUESTION_CP_BMR_14&gt;</w:t>
      </w:r>
    </w:p>
    <w:p w:rsidR="00815624" w:rsidRDefault="00815624" w:rsidP="00815624">
      <w:permStart w:id="915407252" w:edGrp="everyone"/>
      <w:r>
        <w:t>TYPE YOUR TEXT HERE</w:t>
      </w:r>
    </w:p>
    <w:permEnd w:id="915407252"/>
    <w:p w:rsidR="0038662B" w:rsidRDefault="0038662B" w:rsidP="0038662B">
      <w:r>
        <w:t>&lt;ESMA_QUESTION_CP_BMR_14&gt;</w:t>
      </w:r>
    </w:p>
    <w:p w:rsidR="0038662B" w:rsidRDefault="0038662B" w:rsidP="0038662B"/>
    <w:p w:rsidR="0038662B" w:rsidRPr="007F44BF" w:rsidRDefault="0038662B" w:rsidP="0038662B">
      <w:pPr>
        <w:pStyle w:val="Questionstyle"/>
      </w:pPr>
      <w:r w:rsidRPr="0038662B">
        <w:rPr>
          <w:rFonts w:ascii="Arial" w:hAnsi="Arial" w:cs="Arial"/>
        </w:rPr>
        <w:t>Are there any provisions that should be added to or amended in the draft RTS to take into consideration the different characteristics of benchmarks? Please give exa</w:t>
      </w:r>
      <w:r w:rsidRPr="0038662B">
        <w:rPr>
          <w:rFonts w:ascii="Arial" w:hAnsi="Arial" w:cs="Arial"/>
        </w:rPr>
        <w:t>m</w:t>
      </w:r>
      <w:r w:rsidRPr="0038662B">
        <w:rPr>
          <w:rFonts w:ascii="Arial" w:hAnsi="Arial" w:cs="Arial"/>
        </w:rPr>
        <w:t>ples.</w:t>
      </w:r>
    </w:p>
    <w:p w:rsidR="0038662B" w:rsidRDefault="0038662B" w:rsidP="0038662B">
      <w:r>
        <w:t>&lt;ESMA_QUESTION_CP_BMR_15&gt;</w:t>
      </w:r>
    </w:p>
    <w:p w:rsidR="0038662B" w:rsidRDefault="0038662B" w:rsidP="0038662B">
      <w:permStart w:id="1129082325" w:edGrp="everyone"/>
      <w:r>
        <w:t>TYPE YOUR TEXT HERE</w:t>
      </w:r>
    </w:p>
    <w:permEnd w:id="1129082325"/>
    <w:p w:rsidR="0038662B" w:rsidRDefault="0038662B" w:rsidP="0038662B">
      <w:r>
        <w:t>&lt;ESMA_QUESTION_CP_BMR_15&gt;</w:t>
      </w:r>
    </w:p>
    <w:p w:rsidR="00F31E57" w:rsidRPr="0038662B" w:rsidRDefault="00F31E57" w:rsidP="0038662B"/>
    <w:p w:rsidR="0038662B" w:rsidRPr="007F44BF" w:rsidRDefault="0038662B" w:rsidP="0038662B">
      <w:pPr>
        <w:pStyle w:val="Questionstyle"/>
      </w:pPr>
      <w:r w:rsidRPr="0038662B">
        <w:rPr>
          <w:rFonts w:ascii="Arial" w:hAnsi="Arial" w:cs="Arial"/>
        </w:rPr>
        <w:t>Do you have any further comments or suggestions relating to the draft RTS on the code of conduct?</w:t>
      </w:r>
    </w:p>
    <w:p w:rsidR="0038662B" w:rsidRDefault="0038662B" w:rsidP="0038662B">
      <w:r>
        <w:t>&lt;ESMA_QUESTION_CP_BMR_16&gt;</w:t>
      </w:r>
    </w:p>
    <w:p w:rsidR="0049780D" w:rsidRDefault="0049780D" w:rsidP="0049780D">
      <w:pPr>
        <w:jc w:val="both"/>
      </w:pPr>
      <w:permStart w:id="1214477604" w:edGrp="everyone"/>
      <w:r>
        <w:t>AFG members generally agree with the proposed</w:t>
      </w:r>
      <w:r w:rsidRPr="00965848">
        <w:t xml:space="preserve"> RTS related to the code of conduct for contributors</w:t>
      </w:r>
      <w:r>
        <w:t xml:space="preserve"> and would even </w:t>
      </w:r>
      <w:r>
        <w:t xml:space="preserve">suggest </w:t>
      </w:r>
      <w:r>
        <w:t xml:space="preserve">that </w:t>
      </w:r>
      <w:r>
        <w:t>administrators of non-critical indices that rely on contrib</w:t>
      </w:r>
      <w:r>
        <w:t>u</w:t>
      </w:r>
      <w:r>
        <w:t>tions to consider the RTS when designing their own code of conduct.</w:t>
      </w:r>
    </w:p>
    <w:p w:rsidR="0049780D" w:rsidRDefault="0049780D" w:rsidP="00965848">
      <w:pPr>
        <w:jc w:val="both"/>
      </w:pPr>
    </w:p>
    <w:p w:rsidR="00965848" w:rsidRDefault="0049780D" w:rsidP="00D3734B">
      <w:pPr>
        <w:jc w:val="both"/>
      </w:pPr>
      <w:r>
        <w:t xml:space="preserve">As this Regulation sets rules </w:t>
      </w:r>
      <w:r w:rsidR="00D3734B">
        <w:t>at level 1 and 2</w:t>
      </w:r>
      <w:r w:rsidR="00D3734B">
        <w:t xml:space="preserve"> </w:t>
      </w:r>
      <w:r>
        <w:t>regarding the prevention of conflicts of interest</w:t>
      </w:r>
      <w:r w:rsidR="00965848" w:rsidRPr="00965848">
        <w:t xml:space="preserve">, </w:t>
      </w:r>
      <w:r>
        <w:t xml:space="preserve">there is no need to ask users </w:t>
      </w:r>
      <w:r w:rsidR="00D3734B">
        <w:t xml:space="preserve">(who besides have no control on the administrators’ processes) </w:t>
      </w:r>
      <w:r>
        <w:t>to duplicate the task with anot</w:t>
      </w:r>
      <w:r>
        <w:t>h</w:t>
      </w:r>
      <w:r>
        <w:t xml:space="preserve">er </w:t>
      </w:r>
      <w:r w:rsidRPr="00965848">
        <w:t>assessment on conflicts of interest on the indices they are using</w:t>
      </w:r>
      <w:r>
        <w:t>, as it is</w:t>
      </w:r>
      <w:r w:rsidR="00D3734B">
        <w:t xml:space="preserve"> </w:t>
      </w:r>
      <w:r>
        <w:t xml:space="preserve">required in the </w:t>
      </w:r>
      <w:r w:rsidR="00965848" w:rsidRPr="00965848">
        <w:t>ESMA</w:t>
      </w:r>
      <w:r>
        <w:t>’s</w:t>
      </w:r>
      <w:r w:rsidR="00965848" w:rsidRPr="00965848">
        <w:t xml:space="preserve"> Guid</w:t>
      </w:r>
      <w:r w:rsidR="00965848" w:rsidRPr="00965848">
        <w:t>e</w:t>
      </w:r>
      <w:r w:rsidR="00965848" w:rsidRPr="00965848">
        <w:t>lines</w:t>
      </w:r>
      <w:r>
        <w:t>.</w:t>
      </w:r>
    </w:p>
    <w:p w:rsidR="00965848" w:rsidRDefault="00965848" w:rsidP="0038662B"/>
    <w:permEnd w:id="1214477604"/>
    <w:p w:rsidR="0038662B" w:rsidRDefault="0038662B" w:rsidP="0038662B">
      <w:r>
        <w:t>&lt;ESMA_QUESTION_CP_BMR_16&gt;</w:t>
      </w:r>
    </w:p>
    <w:p w:rsidR="0038662B" w:rsidRDefault="0038662B" w:rsidP="0038662B"/>
    <w:p w:rsidR="0038662B" w:rsidRPr="007F44BF" w:rsidRDefault="0038662B" w:rsidP="0038662B">
      <w:pPr>
        <w:pStyle w:val="Questionstyle"/>
      </w:pPr>
      <w:r w:rsidRPr="0038662B">
        <w:rPr>
          <w:rFonts w:ascii="Arial" w:hAnsi="Arial" w:cs="Arial"/>
        </w:rPr>
        <w:t>Do you agree with the draft technical standards in relation to the governance and control arrangements for supervised contributors to benchmarks? Please provide re</w:t>
      </w:r>
      <w:r w:rsidRPr="0038662B">
        <w:rPr>
          <w:rFonts w:ascii="Arial" w:hAnsi="Arial" w:cs="Arial"/>
        </w:rPr>
        <w:t>a</w:t>
      </w:r>
      <w:r w:rsidRPr="0038662B">
        <w:rPr>
          <w:rFonts w:ascii="Arial" w:hAnsi="Arial" w:cs="Arial"/>
        </w:rPr>
        <w:t>sons.</w:t>
      </w:r>
    </w:p>
    <w:p w:rsidR="0038662B" w:rsidRDefault="0038662B" w:rsidP="0038662B">
      <w:r>
        <w:t>&lt;ESMA_QUESTION_CP_BMR_17&gt;</w:t>
      </w:r>
    </w:p>
    <w:p w:rsidR="0038662B" w:rsidRDefault="0038662B" w:rsidP="0038662B">
      <w:permStart w:id="1221081606" w:edGrp="everyone"/>
      <w:r>
        <w:t>TYPE YOUR TEXT HERE</w:t>
      </w:r>
    </w:p>
    <w:permEnd w:id="1221081606"/>
    <w:p w:rsidR="0038662B" w:rsidRDefault="0038662B" w:rsidP="0038662B">
      <w:r>
        <w:t>&lt;ESMA_QUESTION_CP_BMR_17&gt;</w:t>
      </w:r>
    </w:p>
    <w:p w:rsidR="0038662B" w:rsidRPr="0038662B" w:rsidRDefault="0038662B" w:rsidP="0038662B"/>
    <w:p w:rsidR="0038662B" w:rsidRPr="007F44BF" w:rsidRDefault="0038662B" w:rsidP="0038662B">
      <w:pPr>
        <w:pStyle w:val="Questionstyle"/>
      </w:pPr>
      <w:r w:rsidRPr="0038662B">
        <w:rPr>
          <w:rFonts w:ascii="Arial" w:hAnsi="Arial" w:cs="Arial"/>
        </w:rPr>
        <w:t>In particular, can you identify specific aspects of the draft Regulation that should be applied differentially to different supervised contributors in particular in terms of di</w:t>
      </w:r>
      <w:r w:rsidRPr="0038662B">
        <w:rPr>
          <w:rFonts w:ascii="Arial" w:hAnsi="Arial" w:cs="Arial"/>
        </w:rPr>
        <w:t>f</w:t>
      </w:r>
      <w:r w:rsidRPr="0038662B">
        <w:rPr>
          <w:rFonts w:ascii="Arial" w:hAnsi="Arial" w:cs="Arial"/>
        </w:rPr>
        <w:t>ferences in input data provided and methodologies used, the risks of manipulation of the input data and the nature of the activities carried out by the supervised contributors?</w:t>
      </w:r>
    </w:p>
    <w:p w:rsidR="0038662B" w:rsidRDefault="0038662B" w:rsidP="0038662B">
      <w:r>
        <w:t>&lt;ESMA_QUESTION_CP_BMR_18&gt;</w:t>
      </w:r>
    </w:p>
    <w:p w:rsidR="0038662B" w:rsidRDefault="003C1E20" w:rsidP="0038662B">
      <w:permStart w:id="1828026084" w:edGrp="everyone"/>
      <w:r w:rsidRPr="003C1E20">
        <w:t xml:space="preserve"> </w:t>
      </w:r>
      <w:r>
        <w:t>TYPE YOUR TEXT HERE</w:t>
      </w:r>
    </w:p>
    <w:permEnd w:id="1828026084"/>
    <w:p w:rsidR="0038662B" w:rsidRDefault="0038662B" w:rsidP="0038662B">
      <w:r>
        <w:t>&lt;ESMA_QUESTION_CP_BMR_18&gt;</w:t>
      </w:r>
    </w:p>
    <w:p w:rsidR="0038662B" w:rsidRDefault="0038662B" w:rsidP="0038662B"/>
    <w:p w:rsidR="0038662B" w:rsidRPr="007F44BF" w:rsidRDefault="0038662B" w:rsidP="0038662B">
      <w:pPr>
        <w:pStyle w:val="Questionstyle"/>
      </w:pPr>
      <w:r w:rsidRPr="00810208">
        <w:rPr>
          <w:rFonts w:ascii="Arial" w:hAnsi="Arial" w:cs="Arial"/>
        </w:rPr>
        <w:t xml:space="preserve">Do you agree </w:t>
      </w:r>
      <w:r>
        <w:rPr>
          <w:rFonts w:ascii="Arial" w:hAnsi="Arial" w:cs="Arial"/>
        </w:rPr>
        <w:t xml:space="preserve">with </w:t>
      </w:r>
      <w:r w:rsidRPr="00810208">
        <w:rPr>
          <w:rFonts w:ascii="Arial" w:hAnsi="Arial" w:cs="Arial"/>
        </w:rPr>
        <w:t>ESMA’s specifications of the criteria?</w:t>
      </w:r>
    </w:p>
    <w:p w:rsidR="0038662B" w:rsidRDefault="0038662B" w:rsidP="0038662B">
      <w:r>
        <w:lastRenderedPageBreak/>
        <w:t>&lt;ESMA_QUESTION_CP_BMR_19&gt;</w:t>
      </w:r>
    </w:p>
    <w:p w:rsidR="00D702C2" w:rsidRDefault="00D702C2" w:rsidP="00D702C2">
      <w:permStart w:id="1999063130" w:edGrp="everyone"/>
      <w:r>
        <w:t>TYPE YOUR TEXT HERE</w:t>
      </w:r>
    </w:p>
    <w:permEnd w:id="1999063130"/>
    <w:p w:rsidR="0038662B" w:rsidRDefault="0038662B" w:rsidP="0038662B">
      <w:r>
        <w:t>&lt;ESMA_QUESTION_CP_BMR_19&gt;</w:t>
      </w:r>
    </w:p>
    <w:p w:rsidR="0038662B" w:rsidRPr="0038662B" w:rsidRDefault="0038662B" w:rsidP="0038662B"/>
    <w:p w:rsidR="004C33E1" w:rsidRPr="007F44BF" w:rsidRDefault="004C33E1" w:rsidP="004C33E1">
      <w:pPr>
        <w:pStyle w:val="Questionstyle"/>
      </w:pPr>
      <w:r w:rsidRPr="004C33E1">
        <w:rPr>
          <w:rFonts w:ascii="Arial" w:hAnsi="Arial" w:cs="Arial"/>
        </w:rPr>
        <w:t>Do you agree with the content and structure of the two compliance statement templates? If not, please explain.</w:t>
      </w:r>
    </w:p>
    <w:p w:rsidR="004C33E1" w:rsidRDefault="004C33E1" w:rsidP="004C33E1">
      <w:r>
        <w:t>&lt;ESMA_QUESTION_CP_BMR_20&gt;</w:t>
      </w:r>
    </w:p>
    <w:p w:rsidR="007E499A" w:rsidRDefault="007E499A" w:rsidP="00D3734B">
      <w:pPr>
        <w:jc w:val="both"/>
      </w:pPr>
      <w:permStart w:id="1980921292" w:edGrp="everyone"/>
      <w:r>
        <w:t>Our members</w:t>
      </w:r>
      <w:r w:rsidR="003C1E20">
        <w:t xml:space="preserve"> </w:t>
      </w:r>
      <w:r>
        <w:t>fully dis</w:t>
      </w:r>
      <w:r w:rsidR="003C1E20">
        <w:t xml:space="preserve">agree with the </w:t>
      </w:r>
      <w:r>
        <w:t xml:space="preserve">change of proposal from ESMA regarding the </w:t>
      </w:r>
      <w:r w:rsidR="003C1E20">
        <w:t>publication of one single</w:t>
      </w:r>
      <w:r w:rsidR="00A1781D">
        <w:t xml:space="preserve"> compliance</w:t>
      </w:r>
      <w:r w:rsidR="003C1E20">
        <w:t xml:space="preserve"> statement for all ind</w:t>
      </w:r>
      <w:r w:rsidR="003C1E20">
        <w:t>i</w:t>
      </w:r>
      <w:r w:rsidR="003C1E20">
        <w:t xml:space="preserve">ces. </w:t>
      </w:r>
    </w:p>
    <w:p w:rsidR="007E499A" w:rsidRDefault="007E499A" w:rsidP="00D3734B">
      <w:pPr>
        <w:jc w:val="both"/>
      </w:pPr>
      <w:r>
        <w:t xml:space="preserve">AFG strongly believes that the </w:t>
      </w:r>
      <w:r w:rsidRPr="007E499A">
        <w:rPr>
          <w:u w:val="single"/>
        </w:rPr>
        <w:t>initial</w:t>
      </w:r>
      <w:r>
        <w:t xml:space="preserve"> ESMA’s proposal (in the DP) was the appropriate one. We urge ESMA to come back to a more useful and user friendly proposal which is a straight-to-the-point compl</w:t>
      </w:r>
      <w:r>
        <w:t>i</w:t>
      </w:r>
      <w:r>
        <w:t xml:space="preserve">ance statement by single benchmark. </w:t>
      </w:r>
    </w:p>
    <w:p w:rsidR="007E499A" w:rsidRDefault="007E499A" w:rsidP="00D3734B">
      <w:pPr>
        <w:jc w:val="both"/>
      </w:pPr>
      <w:r>
        <w:t>We think that maybe mandating a consumer test would be very useful in the matter.</w:t>
      </w:r>
    </w:p>
    <w:permEnd w:id="1980921292"/>
    <w:p w:rsidR="004C33E1" w:rsidRDefault="004C33E1" w:rsidP="004C33E1">
      <w:r>
        <w:t>&lt;ESMA_QUESTION_CP_BMR_20&gt;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contents of a benchmark statement?</w:t>
      </w:r>
    </w:p>
    <w:p w:rsidR="004C33E1" w:rsidRDefault="004C33E1" w:rsidP="004C33E1">
      <w:r>
        <w:t>&lt;ESMA_QUESTION_CP_BMR_21&gt;</w:t>
      </w:r>
    </w:p>
    <w:p w:rsidR="00860716" w:rsidRDefault="00860716" w:rsidP="00A72036">
      <w:pPr>
        <w:spacing w:after="120"/>
        <w:jc w:val="both"/>
      </w:pPr>
      <w:permStart w:id="1391227673" w:edGrp="everyone"/>
      <w:r>
        <w:t>AFG members believe that the benchmark statement will be of high interest of use for them.</w:t>
      </w:r>
    </w:p>
    <w:p w:rsidR="00860716" w:rsidRDefault="00860716" w:rsidP="00A72036">
      <w:pPr>
        <w:spacing w:after="120"/>
        <w:jc w:val="both"/>
      </w:pPr>
      <w:r>
        <w:t>This is why they insist</w:t>
      </w:r>
      <w:r w:rsidR="00E81E3D">
        <w:t xml:space="preserve"> on several features; t</w:t>
      </w:r>
      <w:r w:rsidR="00E81E3D">
        <w:t>he document should</w:t>
      </w:r>
      <w:r w:rsidR="00E81E3D">
        <w:t>:</w:t>
      </w:r>
    </w:p>
    <w:p w:rsidR="00860716" w:rsidRDefault="00E81E3D" w:rsidP="00860716">
      <w:pPr>
        <w:pStyle w:val="Paragraphedeliste"/>
        <w:numPr>
          <w:ilvl w:val="0"/>
          <w:numId w:val="41"/>
        </w:numPr>
        <w:spacing w:after="120"/>
        <w:jc w:val="both"/>
      </w:pPr>
      <w:r>
        <w:t>be user friendly, concern only one index at a time, be short so as to show material information o</w:t>
      </w:r>
      <w:r>
        <w:t>n</w:t>
      </w:r>
      <w:r>
        <w:t>ly (and eventually links to other more detailed sections);</w:t>
      </w:r>
    </w:p>
    <w:p w:rsidR="00E81E3D" w:rsidRDefault="00E81E3D" w:rsidP="00860716">
      <w:pPr>
        <w:pStyle w:val="Paragraphedeliste"/>
        <w:numPr>
          <w:ilvl w:val="0"/>
          <w:numId w:val="41"/>
        </w:numPr>
        <w:spacing w:after="120"/>
        <w:jc w:val="both"/>
      </w:pPr>
      <w:r>
        <w:t xml:space="preserve">flag </w:t>
      </w:r>
      <w:r>
        <w:t>indices that rely on contributions</w:t>
      </w:r>
      <w:r>
        <w:t>.</w:t>
      </w:r>
    </w:p>
    <w:p w:rsidR="00A1781D" w:rsidRDefault="00E81E3D" w:rsidP="00E81E3D">
      <w:pPr>
        <w:pStyle w:val="Paragraphedeliste"/>
        <w:numPr>
          <w:ilvl w:val="0"/>
          <w:numId w:val="41"/>
        </w:numPr>
        <w:spacing w:after="120"/>
        <w:jc w:val="both"/>
      </w:pPr>
      <w:r>
        <w:t>flag indices that comply with the UCITS rules (cf our answer to Q8).</w:t>
      </w:r>
      <w:r w:rsidRPr="00E81E3D">
        <w:t xml:space="preserve"> </w:t>
      </w:r>
      <w:r>
        <w:t>To be more specific, i</w:t>
      </w:r>
      <w:r>
        <w:t xml:space="preserve">t can </w:t>
      </w:r>
      <w:r w:rsidRPr="00E81E3D">
        <w:t>only be the responsibility of the administrator to determine whether its internal procedures enable the index to be UCITS compliant</w:t>
      </w:r>
      <w:r>
        <w:t>.</w:t>
      </w:r>
      <w:r>
        <w:t xml:space="preserve"> Also, it is the administrator who can intent and ensure that his index complies with the UCITS</w:t>
      </w:r>
      <w:r w:rsidRPr="00E81E3D">
        <w:t xml:space="preserve"> diversification require</w:t>
      </w:r>
      <w:r>
        <w:t xml:space="preserve">ments i.e. 20%/35% or say </w:t>
      </w:r>
      <w:r w:rsidRPr="00E81E3D">
        <w:t>if cash manag</w:t>
      </w:r>
      <w:r w:rsidRPr="00E81E3D">
        <w:t>e</w:t>
      </w:r>
      <w:r w:rsidRPr="00E81E3D">
        <w:t xml:space="preserve">ment is included as part of </w:t>
      </w:r>
      <w:r>
        <w:t>his</w:t>
      </w:r>
      <w:r w:rsidRPr="00E81E3D">
        <w:t xml:space="preserve"> index strategy</w:t>
      </w:r>
      <w:r>
        <w:t>.</w:t>
      </w:r>
      <w:r w:rsidR="00145E04">
        <w:t xml:space="preserve"> </w:t>
      </w:r>
    </w:p>
    <w:permEnd w:id="1391227673"/>
    <w:p w:rsidR="004C33E1" w:rsidRDefault="004C33E1" w:rsidP="004C33E1">
      <w:r>
        <w:t>&lt;ESMA_QUESTION_CP_BMR_21&gt;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cases in which an update of such statement is required? Do you have any further proposals? Please explain.</w:t>
      </w:r>
    </w:p>
    <w:p w:rsidR="004C33E1" w:rsidRDefault="004C33E1" w:rsidP="004C33E1">
      <w:r>
        <w:t>&lt;ESMA_QUESTION_CP_BMR_22&gt;</w:t>
      </w:r>
    </w:p>
    <w:p w:rsidR="00860716" w:rsidRDefault="00860716" w:rsidP="004C33E1">
      <w:permStart w:id="1023835736" w:edGrp="everyone"/>
      <w:r>
        <w:t>AFG</w:t>
      </w:r>
      <w:r w:rsidR="009736B1">
        <w:t xml:space="preserve"> suggest</w:t>
      </w:r>
      <w:r>
        <w:t>s</w:t>
      </w:r>
      <w:r w:rsidR="009736B1">
        <w:t xml:space="preserve"> </w:t>
      </w:r>
      <w:r>
        <w:t>the inclusion in</w:t>
      </w:r>
      <w:r>
        <w:t xml:space="preserve"> the statement</w:t>
      </w:r>
      <w:r>
        <w:t xml:space="preserve"> of the</w:t>
      </w:r>
      <w:r w:rsidR="009736B1">
        <w:t xml:space="preserve"> date of publication. </w:t>
      </w:r>
      <w:r>
        <w:t xml:space="preserve">This is very useful for users.  </w:t>
      </w:r>
    </w:p>
    <w:permEnd w:id="1023835736"/>
    <w:p w:rsidR="004C33E1" w:rsidRDefault="004C33E1" w:rsidP="004C33E1">
      <w:r>
        <w:t>&lt;ESMA_QUESTION_CP_BMR_22&gt;</w:t>
      </w:r>
    </w:p>
    <w:p w:rsidR="004C33E1" w:rsidRPr="0038662B" w:rsidRDefault="004C33E1" w:rsidP="004C33E1"/>
    <w:p w:rsidR="004C33E1" w:rsidRPr="007F44BF" w:rsidRDefault="004C33E1" w:rsidP="004C33E1">
      <w:pPr>
        <w:pStyle w:val="Questionstyle"/>
      </w:pPr>
      <w:r w:rsidRPr="00BF1E55">
        <w:rPr>
          <w:rFonts w:ascii="Arial" w:hAnsi="Arial" w:cs="Arial"/>
        </w:rPr>
        <w:t>Do you agree with the general approach to distinguish the contents of the applic</w:t>
      </w:r>
      <w:r w:rsidRPr="00BF1E55">
        <w:rPr>
          <w:rFonts w:ascii="Arial" w:hAnsi="Arial" w:cs="Arial"/>
        </w:rPr>
        <w:t>a</w:t>
      </w:r>
      <w:r w:rsidRPr="00BF1E55">
        <w:rPr>
          <w:rFonts w:ascii="Arial" w:hAnsi="Arial" w:cs="Arial"/>
        </w:rPr>
        <w:t>tion with reference to the cases of authorisation or registration</w:t>
      </w:r>
      <w:r>
        <w:rPr>
          <w:rFonts w:ascii="Arial" w:hAnsi="Arial" w:cs="Arial"/>
        </w:rPr>
        <w:t>?</w:t>
      </w:r>
    </w:p>
    <w:p w:rsidR="004C33E1" w:rsidRDefault="004C33E1" w:rsidP="004C33E1">
      <w:r>
        <w:t>&lt;ESMA_QUESTION_CP_BMR_23&gt;</w:t>
      </w:r>
    </w:p>
    <w:p w:rsidR="004C33E1" w:rsidRDefault="004C33E1" w:rsidP="004C33E1">
      <w:permStart w:id="2031501949" w:edGrp="everyone"/>
      <w:r>
        <w:t>TYPE YOUR TEXT HERE</w:t>
      </w:r>
    </w:p>
    <w:permEnd w:id="2031501949"/>
    <w:p w:rsidR="004C33E1" w:rsidRDefault="004C33E1" w:rsidP="004C33E1">
      <w:r>
        <w:t>&lt;ESMA_QUESTION_CP_BMR_23&gt;</w:t>
      </w:r>
    </w:p>
    <w:p w:rsidR="004C33E1" w:rsidRDefault="004C33E1" w:rsidP="0038662B"/>
    <w:p w:rsidR="004C33E1" w:rsidRPr="007F44BF" w:rsidRDefault="004C33E1" w:rsidP="004C33E1">
      <w:pPr>
        <w:pStyle w:val="Questionstyle"/>
      </w:pPr>
      <w:r w:rsidRPr="00BF1E55">
        <w:rPr>
          <w:rFonts w:ascii="Arial" w:hAnsi="Arial" w:cs="Arial"/>
        </w:rPr>
        <w:t>Are the general and financial information requirements described appropriate for authorisation applications? Are the narrower requirements appropriate for registration applications?</w:t>
      </w:r>
    </w:p>
    <w:p w:rsidR="004C33E1" w:rsidRDefault="004C33E1" w:rsidP="004C33E1">
      <w:r>
        <w:t>&lt;ESMA_QUESTION_CP_BMR_24&gt;</w:t>
      </w:r>
    </w:p>
    <w:p w:rsidR="004C33E1" w:rsidRDefault="004C33E1" w:rsidP="004C33E1">
      <w:permStart w:id="1722683388" w:edGrp="everyone"/>
      <w:r>
        <w:t>TYPE YOUR TEXT HERE</w:t>
      </w:r>
    </w:p>
    <w:permEnd w:id="1722683388"/>
    <w:p w:rsidR="004C33E1" w:rsidRDefault="004C33E1" w:rsidP="004C33E1">
      <w:r>
        <w:lastRenderedPageBreak/>
        <w:t>&lt;ESMA_QUESTION_CP_BMR_24&gt;</w:t>
      </w:r>
    </w:p>
    <w:p w:rsidR="004C33E1" w:rsidRDefault="004C33E1" w:rsidP="0038662B"/>
    <w:p w:rsidR="004C33E1" w:rsidRPr="007F44BF" w:rsidRDefault="004C33E1" w:rsidP="004C33E1">
      <w:pPr>
        <w:pStyle w:val="Questionstyle"/>
      </w:pPr>
      <w:r w:rsidRPr="004C33E1">
        <w:rPr>
          <w:rFonts w:ascii="Arial" w:hAnsi="Arial" w:cs="Arial"/>
        </w:rPr>
        <w:t>Are the requirements covering the information on the applicant’s internal structure and functions appropriate?</w:t>
      </w:r>
    </w:p>
    <w:p w:rsidR="004C33E1" w:rsidRDefault="004C33E1" w:rsidP="004C33E1">
      <w:r>
        <w:t>&lt;ESMA_QUESTION_CP_BMR_25&gt;</w:t>
      </w:r>
    </w:p>
    <w:p w:rsidR="004C33E1" w:rsidRDefault="004C33E1" w:rsidP="004C33E1">
      <w:permStart w:id="74734861" w:edGrp="everyone"/>
      <w:r>
        <w:t>TYPE YOUR TEXT HERE</w:t>
      </w:r>
    </w:p>
    <w:permEnd w:id="74734861"/>
    <w:p w:rsidR="004C33E1" w:rsidRDefault="004C33E1" w:rsidP="004C33E1">
      <w:r>
        <w:t>&lt;ESMA_QUESTION_CP_BMR_25&gt;</w:t>
      </w:r>
    </w:p>
    <w:p w:rsidR="004C33E1" w:rsidRDefault="004C33E1" w:rsidP="004C33E1"/>
    <w:p w:rsidR="004C33E1" w:rsidRPr="007F44BF" w:rsidRDefault="004C33E1" w:rsidP="004C33E1">
      <w:pPr>
        <w:pStyle w:val="Questionstyle"/>
      </w:pPr>
      <w:r w:rsidRPr="004C33E1">
        <w:rPr>
          <w:rFonts w:ascii="Arial" w:hAnsi="Arial" w:cs="Arial"/>
        </w:rPr>
        <w:t>Are the requirements described dealing with the benchmarks provided appropr</w:t>
      </w:r>
      <w:r w:rsidRPr="004C33E1">
        <w:rPr>
          <w:rFonts w:ascii="Arial" w:hAnsi="Arial" w:cs="Arial"/>
        </w:rPr>
        <w:t>i</w:t>
      </w:r>
      <w:r w:rsidRPr="004C33E1">
        <w:rPr>
          <w:rFonts w:ascii="Arial" w:hAnsi="Arial" w:cs="Arial"/>
        </w:rPr>
        <w:t>ate? In particular, is the way in which the commodity benchmarks requirements are ha</w:t>
      </w:r>
      <w:r w:rsidRPr="004C33E1">
        <w:rPr>
          <w:rFonts w:ascii="Arial" w:hAnsi="Arial" w:cs="Arial"/>
        </w:rPr>
        <w:t>n</w:t>
      </w:r>
      <w:r w:rsidRPr="004C33E1">
        <w:rPr>
          <w:rFonts w:ascii="Arial" w:hAnsi="Arial" w:cs="Arial"/>
        </w:rPr>
        <w:t>dled acceptable?</w:t>
      </w:r>
    </w:p>
    <w:p w:rsidR="004C33E1" w:rsidRDefault="004C33E1" w:rsidP="004C33E1">
      <w:r>
        <w:t>&lt;ESMA_QUESTION_CP_BMR_26&gt;</w:t>
      </w:r>
    </w:p>
    <w:p w:rsidR="004C33E1" w:rsidRDefault="004C33E1" w:rsidP="004C33E1">
      <w:permStart w:id="1543176604" w:edGrp="everyone"/>
      <w:r>
        <w:t>TYPE YOUR TEXT HERE</w:t>
      </w:r>
    </w:p>
    <w:permEnd w:id="1543176604"/>
    <w:p w:rsidR="004C33E1" w:rsidRDefault="004C33E1" w:rsidP="004C33E1">
      <w:r>
        <w:t>&lt;ESMA_QUESTION_CP_BMR_26&gt;</w:t>
      </w:r>
    </w:p>
    <w:p w:rsidR="004C33E1" w:rsidRDefault="004C33E1" w:rsidP="004C33E1"/>
    <w:p w:rsidR="004C33E1" w:rsidRPr="007F44BF" w:rsidRDefault="004C33E1" w:rsidP="004C33E1">
      <w:pPr>
        <w:pStyle w:val="Questionstyle"/>
      </w:pPr>
      <w:r w:rsidRPr="004C33E1">
        <w:rPr>
          <w:rFonts w:ascii="Arial" w:hAnsi="Arial" w:cs="Arial"/>
        </w:rPr>
        <w:t>Is the specific treatment for a natural person as applicant appropriate?</w:t>
      </w:r>
    </w:p>
    <w:p w:rsidR="004C33E1" w:rsidRDefault="004C33E1" w:rsidP="004C33E1">
      <w:r>
        <w:t>&lt;ESMA_QUESTION_CP_BMR_27&gt;</w:t>
      </w:r>
    </w:p>
    <w:p w:rsidR="004C33E1" w:rsidRDefault="004C33E1" w:rsidP="004C33E1">
      <w:permStart w:id="1401688" w:edGrp="everyone"/>
      <w:r>
        <w:t>TYPE YOUR TEXT HERE</w:t>
      </w:r>
    </w:p>
    <w:permEnd w:id="1401688"/>
    <w:p w:rsidR="004C33E1" w:rsidRDefault="004C33E1" w:rsidP="004C33E1">
      <w:r>
        <w:t>&lt;ESMA_QUESTION_CP_BMR_27&gt;</w:t>
      </w:r>
    </w:p>
    <w:p w:rsidR="004C33E1" w:rsidRDefault="004C33E1" w:rsidP="0038662B"/>
    <w:p w:rsidR="004C33E1" w:rsidRPr="007F44BF" w:rsidRDefault="004C33E1" w:rsidP="004C33E1">
      <w:pPr>
        <w:pStyle w:val="Questionstyle"/>
      </w:pPr>
      <w:r w:rsidRPr="004C33E1">
        <w:rPr>
          <w:rFonts w:ascii="Arial" w:hAnsi="Arial" w:cs="Arial"/>
        </w:rPr>
        <w:t>Do you agree with the proposals outlined for requirements for other information?</w:t>
      </w:r>
    </w:p>
    <w:p w:rsidR="004C33E1" w:rsidRDefault="004C33E1" w:rsidP="004C33E1">
      <w:r>
        <w:t>&lt;ESMA_QUESTION_CP_BMR_28&gt;</w:t>
      </w:r>
    </w:p>
    <w:p w:rsidR="00E81E3D" w:rsidRDefault="00E81E3D" w:rsidP="00E81E3D">
      <w:permStart w:id="1099589169" w:edGrp="everyone"/>
      <w:r>
        <w:t>TYPE YOUR TEXT HERE</w:t>
      </w:r>
    </w:p>
    <w:permEnd w:id="1099589169"/>
    <w:p w:rsidR="004C33E1" w:rsidRDefault="004C33E1" w:rsidP="004C33E1">
      <w:r>
        <w:t>&lt;ESMA_QUESTION_CP_BMR_28&gt;</w:t>
      </w:r>
    </w:p>
    <w:p w:rsidR="004C33E1" w:rsidRDefault="004C33E1" w:rsidP="0038662B"/>
    <w:p w:rsidR="004C33E1" w:rsidRPr="007F44BF" w:rsidRDefault="004C33E1" w:rsidP="004C33E1">
      <w:pPr>
        <w:pStyle w:val="Questionstyle"/>
      </w:pPr>
      <w:r w:rsidRPr="003809F3">
        <w:rPr>
          <w:rFonts w:ascii="Arial" w:hAnsi="Arial" w:cs="Arial"/>
        </w:rPr>
        <w:t>Do you agree with the approach followed in the draft RTS as regards the general information that a third-country applicant should provide to the competent authority of the Member State of reference?</w:t>
      </w:r>
    </w:p>
    <w:p w:rsidR="004C33E1" w:rsidRDefault="004C33E1" w:rsidP="004C33E1">
      <w:r>
        <w:t>&lt;ESMA_QUESTION_CP_BMR_29&gt;</w:t>
      </w:r>
    </w:p>
    <w:p w:rsidR="004C33E1" w:rsidRDefault="004C33E1" w:rsidP="004C33E1">
      <w:permStart w:id="428744332" w:edGrp="everyone"/>
      <w:r>
        <w:t>TYPE YOUR TEXT HERE</w:t>
      </w:r>
    </w:p>
    <w:permEnd w:id="428744332"/>
    <w:p w:rsidR="004C33E1" w:rsidRDefault="004C33E1" w:rsidP="004C33E1">
      <w:r>
        <w:t>&lt;ESMA_QUESTION_CP_BMR_29&gt;</w:t>
      </w:r>
    </w:p>
    <w:p w:rsidR="004C33E1" w:rsidRPr="0038662B" w:rsidRDefault="004C33E1" w:rsidP="004C33E1"/>
    <w:p w:rsidR="004C33E1" w:rsidRPr="007F44BF" w:rsidRDefault="004C33E1" w:rsidP="004C33E1">
      <w:pPr>
        <w:pStyle w:val="Questionstyle"/>
      </w:pPr>
      <w:r w:rsidRPr="004C33E1">
        <w:rPr>
          <w:rFonts w:ascii="Arial" w:hAnsi="Arial" w:cs="Arial"/>
        </w:rPr>
        <w:t>Do you agree with the approach followed in the draft RTS as regards the info</w:t>
      </w:r>
      <w:r w:rsidRPr="004C33E1">
        <w:rPr>
          <w:rFonts w:ascii="Arial" w:hAnsi="Arial" w:cs="Arial"/>
        </w:rPr>
        <w:t>r</w:t>
      </w:r>
      <w:r w:rsidRPr="004C33E1">
        <w:rPr>
          <w:rFonts w:ascii="Arial" w:hAnsi="Arial" w:cs="Arial"/>
        </w:rPr>
        <w:t>mation that a third-country applicant should provide in order to explain how it has chosen a specific Member State of reference and which are the identity and role of the appointed legal representative in such State?</w:t>
      </w:r>
    </w:p>
    <w:p w:rsidR="004C33E1" w:rsidRDefault="004C33E1" w:rsidP="004C33E1">
      <w:r>
        <w:t>&lt;ESMA_QUESTION_CP_BMR_30&gt;</w:t>
      </w:r>
    </w:p>
    <w:p w:rsidR="004C33E1" w:rsidRDefault="004C33E1" w:rsidP="004C33E1">
      <w:permStart w:id="781059763" w:edGrp="everyone"/>
      <w:r>
        <w:t>TYPE YOUR TEXT HERE</w:t>
      </w:r>
    </w:p>
    <w:permEnd w:id="781059763"/>
    <w:p w:rsidR="004C33E1" w:rsidRDefault="004C33E1" w:rsidP="004C33E1">
      <w:r>
        <w:t>&lt;ESMA_QUESTION_CP_BMR_30&gt;</w:t>
      </w:r>
    </w:p>
    <w:p w:rsidR="004C33E1" w:rsidRDefault="004C33E1" w:rsidP="0038662B"/>
    <w:p w:rsidR="004C33E1" w:rsidRPr="007F44BF" w:rsidRDefault="004C33E1" w:rsidP="004C33E1">
      <w:pPr>
        <w:pStyle w:val="Questionstyle"/>
      </w:pPr>
      <w:r w:rsidRPr="004C33E1">
        <w:rPr>
          <w:rFonts w:ascii="Arial" w:hAnsi="Arial" w:cs="Arial"/>
        </w:rPr>
        <w:t>Do you agree with the approach followed in the draft RTS as regards the info</w:t>
      </w:r>
      <w:r w:rsidRPr="004C33E1">
        <w:rPr>
          <w:rFonts w:ascii="Arial" w:hAnsi="Arial" w:cs="Arial"/>
        </w:rPr>
        <w:t>r</w:t>
      </w:r>
      <w:r w:rsidRPr="004C33E1">
        <w:rPr>
          <w:rFonts w:ascii="Arial" w:hAnsi="Arial" w:cs="Arial"/>
        </w:rPr>
        <w:t>mation that a third-country applicant should give around the benchmarks it provides and that are already used or intended for use in the Union? In particular, do you agree with the proposals regarding the information to be provided on the types and the categories to which the benchmarks belong to?</w:t>
      </w:r>
    </w:p>
    <w:p w:rsidR="004C33E1" w:rsidRDefault="004C33E1" w:rsidP="004C33E1">
      <w:r>
        <w:lastRenderedPageBreak/>
        <w:t>&lt;ESMA_QUESTION_CP_BMR_31&gt;</w:t>
      </w:r>
    </w:p>
    <w:p w:rsidR="00D702C2" w:rsidRDefault="00D702C2" w:rsidP="00E81E3D">
      <w:pPr>
        <w:jc w:val="both"/>
      </w:pPr>
      <w:permStart w:id="1463365480" w:edGrp="everyone"/>
      <w:r>
        <w:t>Benchmarks are heavily used in the asset management in relation to investors’ interest to be able to clearly identify a stra</w:t>
      </w:r>
      <w:r>
        <w:t>t</w:t>
      </w:r>
      <w:r>
        <w:t>egy they are investing in.</w:t>
      </w:r>
    </w:p>
    <w:p w:rsidR="00D702C2" w:rsidRDefault="00D702C2" w:rsidP="00E81E3D">
      <w:pPr>
        <w:jc w:val="both"/>
      </w:pPr>
    </w:p>
    <w:p w:rsidR="00D702C2" w:rsidRDefault="00D702C2" w:rsidP="00E81E3D">
      <w:pPr>
        <w:jc w:val="both"/>
      </w:pPr>
      <w:r>
        <w:t>Thus, a</w:t>
      </w:r>
      <w:r>
        <w:t xml:space="preserve">sset managers have a duty towards their client investors to ensure continuity </w:t>
      </w:r>
      <w:r>
        <w:t>and visibility of</w:t>
      </w:r>
      <w:r>
        <w:t xml:space="preserve"> the investment strategies</w:t>
      </w:r>
      <w:r>
        <w:t xml:space="preserve">. This is why the </w:t>
      </w:r>
      <w:r>
        <w:t>third country</w:t>
      </w:r>
      <w:r>
        <w:t xml:space="preserve"> grandf</w:t>
      </w:r>
      <w:r>
        <w:t>a</w:t>
      </w:r>
      <w:r>
        <w:t xml:space="preserve">thering clause is important (continuity) as well as the ability for users of benchmarks to dispose of clear notice well in advance of the administrators’ </w:t>
      </w:r>
      <w:r w:rsidR="000E1E86">
        <w:t>intent of</w:t>
      </w:r>
      <w:bookmarkStart w:id="3" w:name="_GoBack"/>
      <w:bookmarkEnd w:id="3"/>
      <w:r>
        <w:t xml:space="preserve"> </w:t>
      </w:r>
      <w:r>
        <w:t>compliance</w:t>
      </w:r>
      <w:r>
        <w:t xml:space="preserve"> </w:t>
      </w:r>
      <w:r>
        <w:t>(vis</w:t>
      </w:r>
      <w:r>
        <w:t>i</w:t>
      </w:r>
      <w:r>
        <w:t>bility)</w:t>
      </w:r>
      <w:r>
        <w:t>.</w:t>
      </w:r>
    </w:p>
    <w:permEnd w:id="1463365480"/>
    <w:p w:rsidR="004C33E1" w:rsidRDefault="004C33E1" w:rsidP="004C33E1">
      <w:r>
        <w:t>&lt;ESMA_QUESTION_CP_BMR_31&gt;</w:t>
      </w:r>
    </w:p>
    <w:p w:rsidR="004C33E1" w:rsidRPr="0038662B" w:rsidRDefault="004C33E1" w:rsidP="0038662B"/>
    <w:sectPr w:rsidR="004C33E1" w:rsidRPr="0038662B"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A09" w:rsidRDefault="00FE1A09">
      <w:r>
        <w:separator/>
      </w:r>
    </w:p>
    <w:p w:rsidR="00FE1A09" w:rsidRDefault="00FE1A09"/>
  </w:endnote>
  <w:endnote w:type="continuationSeparator" w:id="0">
    <w:p w:rsidR="00FE1A09" w:rsidRDefault="00FE1A09">
      <w:r>
        <w:continuationSeparator/>
      </w:r>
    </w:p>
    <w:p w:rsidR="00FE1A09" w:rsidRDefault="00FE1A09"/>
  </w:endnote>
  <w:endnote w:type="continuationNotice" w:id="1">
    <w:p w:rsidR="00FE1A09" w:rsidRDefault="00FE1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Georgi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E1A09" w:rsidRPr="00616B9B" w:rsidTr="00315E96">
      <w:trPr>
        <w:trHeight w:val="284"/>
      </w:trPr>
      <w:tc>
        <w:tcPr>
          <w:tcW w:w="8460" w:type="dxa"/>
        </w:tcPr>
        <w:p w:rsidR="00FE1A09" w:rsidRPr="00315E96" w:rsidRDefault="00FE1A09" w:rsidP="00315E96">
          <w:pPr>
            <w:pStyle w:val="00Footer"/>
            <w:rPr>
              <w:lang w:val="fr-FR"/>
            </w:rPr>
          </w:pPr>
        </w:p>
      </w:tc>
      <w:tc>
        <w:tcPr>
          <w:tcW w:w="952" w:type="dxa"/>
        </w:tcPr>
        <w:p w:rsidR="00FE1A09" w:rsidRPr="00616B9B" w:rsidRDefault="00FE1A09"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704B0">
            <w:rPr>
              <w:rFonts w:cs="Arial"/>
              <w:noProof/>
              <w:sz w:val="22"/>
              <w:szCs w:val="22"/>
            </w:rPr>
            <w:t>12</w:t>
          </w:r>
          <w:r w:rsidRPr="00616B9B">
            <w:rPr>
              <w:rFonts w:cs="Arial"/>
              <w:noProof/>
              <w:sz w:val="22"/>
              <w:szCs w:val="22"/>
            </w:rPr>
            <w:fldChar w:fldCharType="end"/>
          </w:r>
        </w:p>
      </w:tc>
    </w:tr>
  </w:tbl>
  <w:p w:rsidR="00FE1A09" w:rsidRDefault="00FE1A0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A09" w:rsidRDefault="00FE1A0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A09" w:rsidRDefault="00FE1A09">
      <w:r>
        <w:separator/>
      </w:r>
    </w:p>
    <w:p w:rsidR="00FE1A09" w:rsidRDefault="00FE1A09"/>
  </w:footnote>
  <w:footnote w:type="continuationSeparator" w:id="0">
    <w:p w:rsidR="00FE1A09" w:rsidRDefault="00FE1A09">
      <w:r>
        <w:continuationSeparator/>
      </w:r>
    </w:p>
    <w:p w:rsidR="00FE1A09" w:rsidRDefault="00FE1A09"/>
  </w:footnote>
  <w:footnote w:type="continuationNotice" w:id="1">
    <w:p w:rsidR="00FE1A09" w:rsidRDefault="00FE1A09"/>
  </w:footnote>
  <w:footnote w:id="2">
    <w:p w:rsidR="00FE1A09" w:rsidRPr="005A5561" w:rsidRDefault="00FE1A09" w:rsidP="00CE105A">
      <w:pPr>
        <w:jc w:val="both"/>
        <w:rPr>
          <w:szCs w:val="20"/>
        </w:rPr>
      </w:pPr>
      <w:r w:rsidRPr="00132042">
        <w:rPr>
          <w:rStyle w:val="Appelnotedebasdep"/>
          <w:szCs w:val="20"/>
        </w:rPr>
        <w:footnoteRef/>
      </w:r>
      <w:r w:rsidRPr="00132042">
        <w:rPr>
          <w:szCs w:val="20"/>
        </w:rPr>
        <w:t xml:space="preserve"> </w:t>
      </w:r>
      <w:r w:rsidRPr="005A5561">
        <w:rPr>
          <w:szCs w:val="20"/>
        </w:rPr>
        <w:t>The Association Française de la Gestion financière (AFG) represents the France-based investment management industry, both for collective and discretionary individual portfolio managements. 600 ma</w:t>
      </w:r>
      <w:r w:rsidRPr="005A5561">
        <w:rPr>
          <w:szCs w:val="20"/>
        </w:rPr>
        <w:t>n</w:t>
      </w:r>
      <w:r w:rsidRPr="005A5561">
        <w:rPr>
          <w:szCs w:val="20"/>
        </w:rPr>
        <w:t>agement companies are based in France. AFG members manage 3,000 billion euros, making the Paris fund industry a leader in Europe for the financial management of collective investments (with 1,500 billion euros managed from France, i.e. 19% of all EU assets managed in the form of investment funds). In the field of collective investment, our industry includes – beside UCITS – the whole range of AIFs, such as: employee savings schemes, regulated hedge funds/funds of hedge funds, private equity funds, real estate funds and socially responsible investment funds. AFG is an active member of the European Fund and Asset Management Association (EFAMA) and of PensionsEurope. AFG is also an active member of the International Investment Funds Association (IIFA).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A09" w:rsidRDefault="00FE1A09">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22B6DD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A09" w:rsidRDefault="00FE1A09"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A09" w:rsidRDefault="00FE1A0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E1A09" w:rsidRPr="002F4496" w:rsidTr="000C06C9">
      <w:trPr>
        <w:trHeight w:val="284"/>
      </w:trPr>
      <w:tc>
        <w:tcPr>
          <w:tcW w:w="8460" w:type="dxa"/>
        </w:tcPr>
        <w:p w:rsidR="00FE1A09" w:rsidRPr="000C3B6D" w:rsidRDefault="00FE1A09" w:rsidP="000C06C9">
          <w:pPr>
            <w:pStyle w:val="00Footer"/>
            <w:rPr>
              <w:lang w:val="fr-FR"/>
            </w:rPr>
          </w:pPr>
        </w:p>
      </w:tc>
      <w:tc>
        <w:tcPr>
          <w:tcW w:w="952" w:type="dxa"/>
        </w:tcPr>
        <w:p w:rsidR="00FE1A09" w:rsidRPr="00146B34" w:rsidRDefault="00FE1A09" w:rsidP="000C06C9">
          <w:pPr>
            <w:pStyle w:val="00aPagenumber"/>
            <w:rPr>
              <w:lang w:val="fr-FR"/>
            </w:rPr>
          </w:pPr>
        </w:p>
      </w:tc>
    </w:tr>
  </w:tbl>
  <w:p w:rsidR="00FE1A09" w:rsidRPr="00DB46C3" w:rsidRDefault="00FE1A09">
    <w:pPr>
      <w:rPr>
        <w:lang w:val="fr-FR"/>
      </w:rPr>
    </w:pPr>
  </w:p>
  <w:p w:rsidR="00FE1A09" w:rsidRPr="002F4496" w:rsidRDefault="00FE1A09">
    <w:pPr>
      <w:pStyle w:val="En-tte"/>
      <w:rPr>
        <w:lang w:val="fr-FR"/>
      </w:rPr>
    </w:pPr>
  </w:p>
  <w:p w:rsidR="00FE1A09" w:rsidRPr="002F4496" w:rsidRDefault="00FE1A09" w:rsidP="000C06C9">
    <w:pPr>
      <w:pStyle w:val="En-tte"/>
      <w:tabs>
        <w:tab w:val="clear" w:pos="4536"/>
        <w:tab w:val="clear" w:pos="9072"/>
        <w:tab w:val="left" w:pos="8227"/>
      </w:tabs>
      <w:rPr>
        <w:lang w:val="fr-FR"/>
      </w:rPr>
    </w:pPr>
  </w:p>
  <w:p w:rsidR="00FE1A09" w:rsidRPr="002F4496" w:rsidRDefault="00FE1A09" w:rsidP="000C06C9">
    <w:pPr>
      <w:pStyle w:val="En-tte"/>
      <w:tabs>
        <w:tab w:val="clear" w:pos="4536"/>
        <w:tab w:val="clear" w:pos="9072"/>
        <w:tab w:val="left" w:pos="8227"/>
      </w:tabs>
      <w:rPr>
        <w:lang w:val="fr-FR"/>
      </w:rPr>
    </w:pPr>
  </w:p>
  <w:p w:rsidR="00FE1A09" w:rsidRPr="002F4496" w:rsidRDefault="00FE1A09">
    <w:pPr>
      <w:pStyle w:val="En-tte"/>
      <w:rPr>
        <w:lang w:val="fr-FR"/>
      </w:rPr>
    </w:pPr>
  </w:p>
  <w:p w:rsidR="00FE1A09" w:rsidRPr="002F4496" w:rsidRDefault="00FE1A09">
    <w:pPr>
      <w:pStyle w:val="En-tte"/>
      <w:rPr>
        <w:lang w:val="fr-FR"/>
      </w:rPr>
    </w:pPr>
  </w:p>
  <w:p w:rsidR="00FE1A09" w:rsidRPr="002F4496" w:rsidRDefault="00FE1A09">
    <w:pPr>
      <w:pStyle w:val="En-tte"/>
      <w:rPr>
        <w:lang w:val="fr-FR"/>
      </w:rPr>
    </w:pPr>
  </w:p>
  <w:p w:rsidR="00FE1A09" w:rsidRPr="002F4496" w:rsidRDefault="00FE1A09">
    <w:pPr>
      <w:pStyle w:val="En-tte"/>
      <w:rPr>
        <w:lang w:val="fr-FR"/>
      </w:rPr>
    </w:pPr>
  </w:p>
  <w:p w:rsidR="00FE1A09" w:rsidRPr="002F4496" w:rsidRDefault="00FE1A09">
    <w:pPr>
      <w:pStyle w:val="En-tte"/>
      <w:rPr>
        <w:highlight w:val="yellow"/>
        <w:lang w:val="fr-FR"/>
      </w:rPr>
    </w:pPr>
  </w:p>
  <w:p w:rsidR="00FE1A09" w:rsidRDefault="00FE1A09">
    <w:pPr>
      <w:pStyle w:val="En-tte"/>
    </w:pPr>
    <w:r>
      <w:rPr>
        <w:noProof/>
        <w:lang w:val="fr-FR" w:eastAsia="fr-FR"/>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E830B1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fr-FR"/>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5E604B9"/>
    <w:multiLevelType w:val="hybridMultilevel"/>
    <w:tmpl w:val="B2D87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7D3313"/>
    <w:multiLevelType w:val="hybridMultilevel"/>
    <w:tmpl w:val="00A033E0"/>
    <w:lvl w:ilvl="0" w:tplc="7506DBB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4"/>
  </w:num>
  <w:num w:numId="4">
    <w:abstractNumId w:val="25"/>
  </w:num>
  <w:num w:numId="5">
    <w:abstractNumId w:val="27"/>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12"/>
  </w:num>
  <w:num w:numId="16">
    <w:abstractNumId w:val="1"/>
  </w:num>
  <w:num w:numId="17">
    <w:abstractNumId w:val="16"/>
  </w:num>
  <w:num w:numId="18">
    <w:abstractNumId w:val="17"/>
  </w:num>
  <w:num w:numId="19">
    <w:abstractNumId w:val="19"/>
  </w:num>
  <w:num w:numId="20">
    <w:abstractNumId w:val="28"/>
  </w:num>
  <w:num w:numId="21">
    <w:abstractNumId w:val="37"/>
  </w:num>
  <w:num w:numId="22">
    <w:abstractNumId w:val="26"/>
  </w:num>
  <w:num w:numId="23">
    <w:abstractNumId w:val="11"/>
  </w:num>
  <w:num w:numId="24">
    <w:abstractNumId w:val="31"/>
  </w:num>
  <w:num w:numId="25">
    <w:abstractNumId w:val="30"/>
  </w:num>
  <w:num w:numId="26">
    <w:abstractNumId w:val="21"/>
  </w:num>
  <w:num w:numId="27">
    <w:abstractNumId w:val="34"/>
  </w:num>
  <w:num w:numId="28">
    <w:abstractNumId w:val="41"/>
  </w:num>
  <w:num w:numId="29">
    <w:abstractNumId w:val="9"/>
  </w:num>
  <w:num w:numId="30">
    <w:abstractNumId w:val="5"/>
  </w:num>
  <w:num w:numId="31">
    <w:abstractNumId w:val="23"/>
  </w:num>
  <w:num w:numId="32">
    <w:abstractNumId w:val="3"/>
  </w:num>
  <w:num w:numId="33">
    <w:abstractNumId w:val="8"/>
  </w:num>
  <w:num w:numId="34">
    <w:abstractNumId w:val="22"/>
  </w:num>
  <w:num w:numId="35">
    <w:abstractNumId w:val="36"/>
  </w:num>
  <w:num w:numId="36">
    <w:abstractNumId w:val="35"/>
  </w:num>
  <w:num w:numId="37">
    <w:abstractNumId w:val="13"/>
  </w:num>
  <w:num w:numId="38">
    <w:abstractNumId w:val="4"/>
  </w:num>
  <w:num w:numId="39">
    <w:abstractNumId w:val="38"/>
  </w:num>
  <w:num w:numId="40">
    <w:abstractNumId w:val="2"/>
  </w:num>
  <w:num w:numId="41">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QfFLmhxIclP7udXGPLqogS1gfcOSTMsX3xp80rLku9av06MeywfVt/Ik1MCdLaFoq2mzuD5V1VzFGKuPvQjjQ==" w:salt="EM1YsXPtcyvP8mHKtZJ9PA=="/>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7F0"/>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21EE"/>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1E86"/>
    <w:rsid w:val="000E3937"/>
    <w:rsid w:val="000E3C59"/>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5E04"/>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09"/>
    <w:rsid w:val="001701FA"/>
    <w:rsid w:val="00171183"/>
    <w:rsid w:val="001725A5"/>
    <w:rsid w:val="00172681"/>
    <w:rsid w:val="00173AC7"/>
    <w:rsid w:val="001745D7"/>
    <w:rsid w:val="00175754"/>
    <w:rsid w:val="00176639"/>
    <w:rsid w:val="00176982"/>
    <w:rsid w:val="0017701C"/>
    <w:rsid w:val="00180FA3"/>
    <w:rsid w:val="00181264"/>
    <w:rsid w:val="00181BD1"/>
    <w:rsid w:val="0018204A"/>
    <w:rsid w:val="00182F7C"/>
    <w:rsid w:val="001843B5"/>
    <w:rsid w:val="00185CFC"/>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A61"/>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3B26"/>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40A6"/>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373"/>
    <w:rsid w:val="002B1FEF"/>
    <w:rsid w:val="002B2DF8"/>
    <w:rsid w:val="002B3242"/>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D71A0"/>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62B"/>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B7D30"/>
    <w:rsid w:val="003C0343"/>
    <w:rsid w:val="003C1C32"/>
    <w:rsid w:val="003C1E20"/>
    <w:rsid w:val="003C40DA"/>
    <w:rsid w:val="003C42BA"/>
    <w:rsid w:val="003C462F"/>
    <w:rsid w:val="003C4A02"/>
    <w:rsid w:val="003C4F05"/>
    <w:rsid w:val="003C6191"/>
    <w:rsid w:val="003C6E49"/>
    <w:rsid w:val="003C7DE0"/>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4FD"/>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4F6"/>
    <w:rsid w:val="00497750"/>
    <w:rsid w:val="0049780D"/>
    <w:rsid w:val="00497B44"/>
    <w:rsid w:val="004A00E5"/>
    <w:rsid w:val="004A01A7"/>
    <w:rsid w:val="004A0D09"/>
    <w:rsid w:val="004A116E"/>
    <w:rsid w:val="004A357F"/>
    <w:rsid w:val="004A3DAD"/>
    <w:rsid w:val="004A5157"/>
    <w:rsid w:val="004B0335"/>
    <w:rsid w:val="004B0F1C"/>
    <w:rsid w:val="004B1E61"/>
    <w:rsid w:val="004B21AB"/>
    <w:rsid w:val="004B59E0"/>
    <w:rsid w:val="004B667B"/>
    <w:rsid w:val="004B71C7"/>
    <w:rsid w:val="004C03AA"/>
    <w:rsid w:val="004C0B9A"/>
    <w:rsid w:val="004C14E7"/>
    <w:rsid w:val="004C1D89"/>
    <w:rsid w:val="004C2A94"/>
    <w:rsid w:val="004C33E1"/>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C30"/>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62E"/>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FF7"/>
    <w:rsid w:val="00580B3F"/>
    <w:rsid w:val="005825F2"/>
    <w:rsid w:val="005860AF"/>
    <w:rsid w:val="0058638E"/>
    <w:rsid w:val="00587F1D"/>
    <w:rsid w:val="00590348"/>
    <w:rsid w:val="00591161"/>
    <w:rsid w:val="00592318"/>
    <w:rsid w:val="00593133"/>
    <w:rsid w:val="0059575D"/>
    <w:rsid w:val="00596825"/>
    <w:rsid w:val="005A13E2"/>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4FB2"/>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5B4"/>
    <w:rsid w:val="00666F74"/>
    <w:rsid w:val="00667FEA"/>
    <w:rsid w:val="006704B0"/>
    <w:rsid w:val="006710D2"/>
    <w:rsid w:val="00671A8B"/>
    <w:rsid w:val="00671F53"/>
    <w:rsid w:val="006725A0"/>
    <w:rsid w:val="006729B1"/>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A3FF8"/>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09B"/>
    <w:rsid w:val="007209DD"/>
    <w:rsid w:val="00722E49"/>
    <w:rsid w:val="00723A08"/>
    <w:rsid w:val="00723B5C"/>
    <w:rsid w:val="00724391"/>
    <w:rsid w:val="00724C18"/>
    <w:rsid w:val="00726630"/>
    <w:rsid w:val="00727F73"/>
    <w:rsid w:val="00730705"/>
    <w:rsid w:val="00730944"/>
    <w:rsid w:val="0073248E"/>
    <w:rsid w:val="00732F88"/>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39F"/>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1FB"/>
    <w:rsid w:val="007A7678"/>
    <w:rsid w:val="007B0CD8"/>
    <w:rsid w:val="007B0DE0"/>
    <w:rsid w:val="007B21DE"/>
    <w:rsid w:val="007B23F4"/>
    <w:rsid w:val="007B2BB9"/>
    <w:rsid w:val="007B43E8"/>
    <w:rsid w:val="007B4740"/>
    <w:rsid w:val="007B502C"/>
    <w:rsid w:val="007B5F3B"/>
    <w:rsid w:val="007C02B0"/>
    <w:rsid w:val="007C063E"/>
    <w:rsid w:val="007C1901"/>
    <w:rsid w:val="007C3918"/>
    <w:rsid w:val="007C496C"/>
    <w:rsid w:val="007C49C0"/>
    <w:rsid w:val="007C55C1"/>
    <w:rsid w:val="007C5738"/>
    <w:rsid w:val="007C5772"/>
    <w:rsid w:val="007C5AC3"/>
    <w:rsid w:val="007C7233"/>
    <w:rsid w:val="007D10EE"/>
    <w:rsid w:val="007D1193"/>
    <w:rsid w:val="007D21D5"/>
    <w:rsid w:val="007D35F1"/>
    <w:rsid w:val="007D3E8D"/>
    <w:rsid w:val="007D5915"/>
    <w:rsid w:val="007D5B4F"/>
    <w:rsid w:val="007D5C30"/>
    <w:rsid w:val="007E0660"/>
    <w:rsid w:val="007E1411"/>
    <w:rsid w:val="007E1882"/>
    <w:rsid w:val="007E1BB4"/>
    <w:rsid w:val="007E3514"/>
    <w:rsid w:val="007E499A"/>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5624"/>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009"/>
    <w:rsid w:val="008525FF"/>
    <w:rsid w:val="00852C03"/>
    <w:rsid w:val="0085590C"/>
    <w:rsid w:val="008575EB"/>
    <w:rsid w:val="00860716"/>
    <w:rsid w:val="00862DDD"/>
    <w:rsid w:val="0086326D"/>
    <w:rsid w:val="00863CC1"/>
    <w:rsid w:val="00863E1F"/>
    <w:rsid w:val="00865B01"/>
    <w:rsid w:val="00866D7A"/>
    <w:rsid w:val="00866EE3"/>
    <w:rsid w:val="008701E5"/>
    <w:rsid w:val="00871F04"/>
    <w:rsid w:val="008746C1"/>
    <w:rsid w:val="0088003A"/>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A704B"/>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DAE"/>
    <w:rsid w:val="00916E04"/>
    <w:rsid w:val="00917093"/>
    <w:rsid w:val="00920030"/>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5848"/>
    <w:rsid w:val="009661DF"/>
    <w:rsid w:val="009667BD"/>
    <w:rsid w:val="00967CE2"/>
    <w:rsid w:val="00971DA3"/>
    <w:rsid w:val="00972161"/>
    <w:rsid w:val="0097261B"/>
    <w:rsid w:val="009736B1"/>
    <w:rsid w:val="00974881"/>
    <w:rsid w:val="0097606C"/>
    <w:rsid w:val="009771D1"/>
    <w:rsid w:val="0098012D"/>
    <w:rsid w:val="00980845"/>
    <w:rsid w:val="00981BD9"/>
    <w:rsid w:val="0098225F"/>
    <w:rsid w:val="00983A3C"/>
    <w:rsid w:val="00983EFA"/>
    <w:rsid w:val="00984C15"/>
    <w:rsid w:val="00986252"/>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39AA"/>
    <w:rsid w:val="009A4D4F"/>
    <w:rsid w:val="009A53D8"/>
    <w:rsid w:val="009A597F"/>
    <w:rsid w:val="009A7B72"/>
    <w:rsid w:val="009A7F49"/>
    <w:rsid w:val="009B03C4"/>
    <w:rsid w:val="009B0AA2"/>
    <w:rsid w:val="009B1D02"/>
    <w:rsid w:val="009B5D94"/>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17273"/>
    <w:rsid w:val="00A1781D"/>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01E6"/>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2036"/>
    <w:rsid w:val="00A738CC"/>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99B"/>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10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6EC8"/>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2F96"/>
    <w:rsid w:val="00BB31CE"/>
    <w:rsid w:val="00BB37CC"/>
    <w:rsid w:val="00BB48C4"/>
    <w:rsid w:val="00BB6907"/>
    <w:rsid w:val="00BB7A20"/>
    <w:rsid w:val="00BC15B1"/>
    <w:rsid w:val="00BC3C06"/>
    <w:rsid w:val="00BC4E8B"/>
    <w:rsid w:val="00BC5622"/>
    <w:rsid w:val="00BC6060"/>
    <w:rsid w:val="00BC63A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60"/>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1BD3"/>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AEE"/>
    <w:rsid w:val="00C53F21"/>
    <w:rsid w:val="00C53FC1"/>
    <w:rsid w:val="00C56438"/>
    <w:rsid w:val="00C570B3"/>
    <w:rsid w:val="00C6009F"/>
    <w:rsid w:val="00C60417"/>
    <w:rsid w:val="00C6046F"/>
    <w:rsid w:val="00C638C2"/>
    <w:rsid w:val="00C651D4"/>
    <w:rsid w:val="00C6668D"/>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6E35"/>
    <w:rsid w:val="00CA012C"/>
    <w:rsid w:val="00CA0AA6"/>
    <w:rsid w:val="00CA2897"/>
    <w:rsid w:val="00CA44F3"/>
    <w:rsid w:val="00CA582C"/>
    <w:rsid w:val="00CA6077"/>
    <w:rsid w:val="00CA715B"/>
    <w:rsid w:val="00CA7988"/>
    <w:rsid w:val="00CA7BA2"/>
    <w:rsid w:val="00CB06AB"/>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05A"/>
    <w:rsid w:val="00CE157F"/>
    <w:rsid w:val="00CE1966"/>
    <w:rsid w:val="00CE1ED4"/>
    <w:rsid w:val="00CE2216"/>
    <w:rsid w:val="00CE3014"/>
    <w:rsid w:val="00CE30E5"/>
    <w:rsid w:val="00CE6FC6"/>
    <w:rsid w:val="00CF137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34B"/>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67E97"/>
    <w:rsid w:val="00D702C2"/>
    <w:rsid w:val="00D71150"/>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44E"/>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6089"/>
    <w:rsid w:val="00E47430"/>
    <w:rsid w:val="00E50B9A"/>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3D"/>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37DFE"/>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098"/>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51B"/>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A09"/>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0DBD5-3D32-417C-89E3-3CA04D21E7B7}">
  <ds:schemaRefs>
    <ds:schemaRef ds:uri="http://schemas.openxmlformats.org/officeDocument/2006/bibliography"/>
  </ds:schemaRefs>
</ds:datastoreItem>
</file>

<file path=customXml/itemProps2.xml><?xml version="1.0" encoding="utf-8"?>
<ds:datastoreItem xmlns:ds="http://schemas.openxmlformats.org/officeDocument/2006/customXml" ds:itemID="{AAADE585-7BA4-4295-9F3F-2A594870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3562</Words>
  <Characters>20290</Characters>
  <Application>Microsoft Office Word</Application>
  <DocSecurity>8</DocSecurity>
  <Lines>169</Lines>
  <Paragraphs>47</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23805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GURAU AUDIBERT Adina</cp:lastModifiedBy>
  <cp:revision>2</cp:revision>
  <cp:lastPrinted>2015-02-18T11:01:00Z</cp:lastPrinted>
  <dcterms:created xsi:type="dcterms:W3CDTF">2016-12-02T18:33:00Z</dcterms:created>
  <dcterms:modified xsi:type="dcterms:W3CDTF">2016-12-02T18:33:00Z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1067914133</vt:i4>
  </property>
  <property fmtid="{D5CDD505-2E9C-101B-9397-08002B2CF9AE}" pid="3" name="_NewReviewCycle">
    <vt:lpwstr/>
  </property>
  <property fmtid="{D5CDD505-2E9C-101B-9397-08002B2CF9AE}" pid="4" name="_EmailSubject">
    <vt:lpwstr/>
  </property>
  <property fmtid="{D5CDD505-2E9C-101B-9397-08002B2CF9AE}" pid="5" name="_AuthorEmail">
    <vt:lpwstr>frederic.bompaire@amundi.com</vt:lpwstr>
  </property>
  <property fmtid="{D5CDD505-2E9C-101B-9397-08002B2CF9AE}" pid="6" name="_AuthorEmailDisplayName">
    <vt:lpwstr>Bompaire Frederic (AMUNDI)</vt:lpwstr>
  </property>
  <property fmtid="{D5CDD505-2E9C-101B-9397-08002B2CF9AE}" pid="7" name="_PreviousAdHocReviewCycleID">
    <vt:i4>-493428757</vt:i4>
  </property>
  <property fmtid="{D5CDD505-2E9C-101B-9397-08002B2CF9AE}" pid="8" name="_ReviewingToolsShownOnce">
    <vt:lpwstr/>
  </property>
</Properties>
</file>