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8B7578E" w14:textId="77777777" w:rsidTr="00315E96">
        <w:trPr>
          <w:trHeight w:val="284"/>
        </w:trPr>
        <w:tc>
          <w:tcPr>
            <w:tcW w:w="9412" w:type="dxa"/>
          </w:tcPr>
          <w:p w14:paraId="276E0E6F" w14:textId="77777777" w:rsidR="00A52EBB" w:rsidRPr="00A52EBB" w:rsidRDefault="00A52EBB" w:rsidP="00A52EBB">
            <w:pPr>
              <w:pStyle w:val="Footer"/>
              <w:rPr>
                <w:rFonts w:cs="Arial"/>
                <w:sz w:val="22"/>
                <w:szCs w:val="22"/>
              </w:rPr>
            </w:pPr>
            <w:r w:rsidRPr="00A52EBB">
              <w:rPr>
                <w:rFonts w:cs="Arial"/>
                <w:color w:val="FFFFFF" w:themeColor="background1"/>
                <w:sz w:val="22"/>
                <w:szCs w:val="22"/>
              </w:rPr>
              <w:ptab w:relativeTo="margin" w:alignment="center" w:leader="none"/>
            </w:r>
            <w:r w:rsidRPr="00A52EBB">
              <w:rPr>
                <w:rFonts w:cs="Arial"/>
                <w:color w:val="FFFFFF" w:themeColor="background1"/>
                <w:sz w:val="22"/>
                <w:szCs w:val="22"/>
              </w:rPr>
              <w:ptab w:relativeTo="margin" w:alignment="right" w:leader="none"/>
            </w:r>
            <w:r w:rsidRPr="00A52EBB">
              <w:rPr>
                <w:rFonts w:cs="Arial"/>
                <w:color w:val="FFFFFF" w:themeColor="background1"/>
                <w:sz w:val="22"/>
                <w:szCs w:val="22"/>
              </w:rPr>
              <w:t>20 September 2016 | ESMA/2016/1389</w:t>
            </w:r>
          </w:p>
          <w:p w14:paraId="442C75FE" w14:textId="77777777" w:rsidR="00C2094B" w:rsidRPr="00A52EBB" w:rsidRDefault="00C2094B" w:rsidP="00C81798">
            <w:pPr>
              <w:pStyle w:val="00bDBInfo"/>
              <w:rPr>
                <w:rFonts w:cs="Arial"/>
                <w:color w:val="auto"/>
                <w:sz w:val="22"/>
                <w:szCs w:val="22"/>
              </w:rPr>
            </w:pPr>
          </w:p>
        </w:tc>
      </w:tr>
    </w:tbl>
    <w:p w14:paraId="2CA6CAF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509642F5" w14:textId="77777777" w:rsidTr="00B835D5">
        <w:trPr>
          <w:trHeight w:hRule="exact" w:val="1209"/>
        </w:trPr>
        <w:tc>
          <w:tcPr>
            <w:tcW w:w="9397" w:type="dxa"/>
            <w:vAlign w:val="bottom"/>
          </w:tcPr>
          <w:p w14:paraId="15C51A42" w14:textId="77777777"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AB4824">
              <w:rPr>
                <w:rFonts w:cs="Arial"/>
              </w:rPr>
              <w:t>Discussion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14:paraId="458D161D" w14:textId="77777777" w:rsidR="00791EB4" w:rsidRPr="00616B9B" w:rsidRDefault="00791EB4" w:rsidP="00C000A5">
            <w:pPr>
              <w:pStyle w:val="01aDBTitle"/>
              <w:rPr>
                <w:rFonts w:cs="Arial"/>
              </w:rPr>
            </w:pPr>
          </w:p>
        </w:tc>
      </w:tr>
      <w:tr w:rsidR="00060F72" w:rsidRPr="00616B9B" w14:paraId="494DFD22" w14:textId="77777777" w:rsidTr="00B835D5">
        <w:trPr>
          <w:trHeight w:hRule="exact" w:val="605"/>
        </w:trPr>
        <w:tc>
          <w:tcPr>
            <w:tcW w:w="9397" w:type="dxa"/>
            <w:tcMar>
              <w:top w:w="142" w:type="dxa"/>
            </w:tcMar>
          </w:tcPr>
          <w:p w14:paraId="2F93847A"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FF4DFC3"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283E0EAE" w14:textId="77777777" w:rsidTr="00315E96">
        <w:trPr>
          <w:trHeight w:hRule="exact" w:val="964"/>
        </w:trPr>
        <w:tc>
          <w:tcPr>
            <w:tcW w:w="2325" w:type="dxa"/>
          </w:tcPr>
          <w:p w14:paraId="00391097" w14:textId="77777777" w:rsidR="00620D7C" w:rsidRPr="00A52EBB" w:rsidRDefault="00620D7C" w:rsidP="00C81798">
            <w:pPr>
              <w:pStyle w:val="02Date"/>
              <w:rPr>
                <w:rFonts w:cs="Arial"/>
              </w:rPr>
            </w:pPr>
            <w:r w:rsidRPr="00A52EBB">
              <w:rPr>
                <w:rFonts w:cs="Arial"/>
              </w:rPr>
              <w:lastRenderedPageBreak/>
              <w:t xml:space="preserve">Date: </w:t>
            </w:r>
            <w:r w:rsidR="00416ABC" w:rsidRPr="00A52EBB">
              <w:rPr>
                <w:rFonts w:cs="Arial"/>
              </w:rPr>
              <w:t>20</w:t>
            </w:r>
            <w:r w:rsidR="004E49B0" w:rsidRPr="00A52EBB">
              <w:rPr>
                <w:rFonts w:cs="Arial"/>
              </w:rPr>
              <w:t xml:space="preserve"> </w:t>
            </w:r>
            <w:r w:rsidR="00416ABC" w:rsidRPr="00A52EBB">
              <w:rPr>
                <w:rFonts w:cs="Arial"/>
              </w:rPr>
              <w:t>September</w:t>
            </w:r>
            <w:r w:rsidR="004E49B0" w:rsidRPr="00A52EBB">
              <w:rPr>
                <w:rFonts w:cs="Arial"/>
              </w:rPr>
              <w:t xml:space="preserve"> 201</w:t>
            </w:r>
            <w:r w:rsidR="00416ABC" w:rsidRPr="00A52EBB">
              <w:rPr>
                <w:rFonts w:cs="Arial"/>
              </w:rPr>
              <w:t>6</w:t>
            </w:r>
          </w:p>
        </w:tc>
      </w:tr>
    </w:tbl>
    <w:p w14:paraId="6FC5E7ED"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65F5899"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14:paraId="62D6B5D4" w14:textId="77777777" w:rsidR="001D000A" w:rsidRDefault="001D000A" w:rsidP="00F574D0">
      <w:pPr>
        <w:autoSpaceDE w:val="0"/>
        <w:autoSpaceDN w:val="0"/>
        <w:adjustRightInd w:val="0"/>
        <w:spacing w:before="120" w:after="120" w:line="276" w:lineRule="auto"/>
        <w:jc w:val="both"/>
        <w:rPr>
          <w:rStyle w:val="Strong4"/>
          <w:rFonts w:cs="Arial"/>
          <w:i/>
        </w:rPr>
      </w:pPr>
    </w:p>
    <w:p w14:paraId="620A7475"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4622A2A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9C73EC2"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2BBF5AA4"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14:paraId="670507F6"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470F6606"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4C9BF1C"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3AB5613A"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5B5FAF8E"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14:paraId="00DED15A" w14:textId="77777777" w:rsidR="001D000A" w:rsidRDefault="001D000A" w:rsidP="000D17AA">
      <w:pPr>
        <w:pStyle w:val="04BodyText"/>
        <w:spacing w:before="120" w:after="120"/>
        <w:jc w:val="left"/>
        <w:rPr>
          <w:rFonts w:cs="Arial"/>
          <w:b/>
        </w:rPr>
      </w:pPr>
    </w:p>
    <w:p w14:paraId="7F121959" w14:textId="77777777" w:rsidR="000D17AA" w:rsidRPr="00EF0769" w:rsidRDefault="00606240" w:rsidP="000D17AA">
      <w:pPr>
        <w:pStyle w:val="04BodyText"/>
        <w:spacing w:before="120" w:after="120"/>
        <w:jc w:val="left"/>
        <w:rPr>
          <w:rFonts w:cs="Arial"/>
          <w:b/>
        </w:rPr>
      </w:pPr>
      <w:r>
        <w:rPr>
          <w:rFonts w:cs="Arial"/>
          <w:b/>
        </w:rPr>
        <w:t>Naming protocol</w:t>
      </w:r>
    </w:p>
    <w:p w14:paraId="74635940"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263E39D" w14:textId="77777777"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14:paraId="6D1FBF2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75F4E8B9" w14:textId="77777777"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ESMA_REPLYFORM</w:t>
      </w:r>
      <w:bookmarkStart w:id="1" w:name="_GoBack"/>
      <w:bookmarkEnd w:id="1"/>
      <w:r w:rsidRPr="00EF0769">
        <w:rPr>
          <w:rFonts w:cs="Arial"/>
        </w:rPr>
        <w:t xml:space="preserve"> or </w:t>
      </w:r>
    </w:p>
    <w:p w14:paraId="4F90EBD4" w14:textId="77777777"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14:paraId="05B4102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67DBECAC"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B137A24"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416ABC">
        <w:rPr>
          <w:rFonts w:cs="Arial"/>
          <w:b/>
        </w:rPr>
        <w:t>21 November 2016</w:t>
      </w:r>
      <w:r w:rsidR="00021E83" w:rsidRPr="00EF0769">
        <w:rPr>
          <w:rFonts w:cs="Arial"/>
          <w:b/>
        </w:rPr>
        <w:t>.</w:t>
      </w:r>
    </w:p>
    <w:p w14:paraId="3541BA5A"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9" w:history="1">
        <w:r w:rsidRPr="00EF0769">
          <w:rPr>
            <w:rStyle w:val="Hyperlink"/>
            <w:rFonts w:cs="Arial"/>
          </w:rPr>
          <w:t>www.esma.europa.eu</w:t>
        </w:r>
      </w:hyperlink>
      <w:r w:rsidRPr="00EF0769">
        <w:rPr>
          <w:rFonts w:cs="Arial"/>
        </w:rPr>
        <w:t xml:space="preserve"> under the heading ‘Your input/Consultations’. </w:t>
      </w:r>
    </w:p>
    <w:p w14:paraId="3596F187"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14:paraId="7ABC91EB"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2F36E85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687B66A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11F19B2"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1299E81"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34B2705D"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0"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8D6DCA"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18B9A0BC" w14:textId="77777777" w:rsidR="00332304" w:rsidRDefault="00332304">
      <w:pPr>
        <w:rPr>
          <w:rFonts w:cs="Arial"/>
          <w:b/>
          <w:bCs/>
          <w:kern w:val="32"/>
          <w:sz w:val="24"/>
          <w:szCs w:val="32"/>
        </w:rPr>
      </w:pPr>
      <w:r>
        <w:br w:type="page"/>
      </w:r>
    </w:p>
    <w:p w14:paraId="24580CE3" w14:textId="77777777" w:rsidR="00D34282" w:rsidRDefault="00D34282" w:rsidP="00D34282">
      <w:pPr>
        <w:pStyle w:val="Heading1"/>
        <w:numPr>
          <w:ilvl w:val="0"/>
          <w:numId w:val="0"/>
        </w:numPr>
        <w:ind w:left="431" w:hanging="431"/>
      </w:pPr>
      <w:r>
        <w:lastRenderedPageBreak/>
        <w:t>Introduction</w:t>
      </w:r>
    </w:p>
    <w:p w14:paraId="60F329F8" w14:textId="77777777" w:rsidR="00D34282" w:rsidRPr="001D47A5" w:rsidRDefault="00D34282" w:rsidP="00D34282">
      <w:pPr>
        <w:rPr>
          <w:rStyle w:val="IntenseEmphasis"/>
        </w:rPr>
      </w:pPr>
      <w:r w:rsidRPr="001D47A5">
        <w:rPr>
          <w:rStyle w:val="IntenseEmphasis"/>
        </w:rPr>
        <w:t>Please make your introductory comments below, if any:</w:t>
      </w:r>
    </w:p>
    <w:p w14:paraId="6B9DF033" w14:textId="77777777" w:rsidR="00D34282" w:rsidRPr="00C25863" w:rsidRDefault="00D34282" w:rsidP="00D34282">
      <w:r w:rsidRPr="00C25863">
        <w:t>&lt;</w:t>
      </w:r>
      <w:r w:rsidRPr="00D74C9D">
        <w:t xml:space="preserve"> </w:t>
      </w:r>
      <w:r>
        <w:t>ESMA_COMMENT</w:t>
      </w:r>
      <w:r w:rsidR="00D920D1">
        <w:t>_MIFID</w:t>
      </w:r>
      <w:r w:rsidR="00AB4824">
        <w:t>_TO_</w:t>
      </w:r>
      <w:r w:rsidR="00551E98">
        <w:t>0</w:t>
      </w:r>
      <w:r w:rsidRPr="00C25863">
        <w:t>&gt;</w:t>
      </w:r>
    </w:p>
    <w:p w14:paraId="2514BDF4" w14:textId="77777777" w:rsidR="00854ADF" w:rsidRDefault="00854ADF" w:rsidP="00854ADF">
      <w:pPr>
        <w:jc w:val="both"/>
        <w:rPr>
          <w:lang w:eastAsia="en-GB"/>
        </w:rPr>
      </w:pPr>
      <w:permStart w:id="347355793" w:edGrp="everyone"/>
    </w:p>
    <w:p w14:paraId="27C802FF" w14:textId="3C12A5A3" w:rsidR="00854ADF" w:rsidRDefault="00854ADF" w:rsidP="00854ADF">
      <w:pPr>
        <w:jc w:val="both"/>
        <w:rPr>
          <w:lang w:eastAsia="en-GB"/>
        </w:rPr>
      </w:pPr>
      <w:r w:rsidRPr="00EF29A7">
        <w:rPr>
          <w:lang w:eastAsia="en-GB"/>
        </w:rPr>
        <w:t xml:space="preserve">The Investment Association </w:t>
      </w:r>
      <w:r>
        <w:rPr>
          <w:lang w:eastAsia="en-GB"/>
        </w:rPr>
        <w:t xml:space="preserve">(IA) </w:t>
      </w:r>
      <w:r w:rsidRPr="00EF29A7">
        <w:rPr>
          <w:lang w:eastAsia="en-GB"/>
        </w:rPr>
        <w:t>repr</w:t>
      </w:r>
      <w:r>
        <w:rPr>
          <w:lang w:eastAsia="en-GB"/>
        </w:rPr>
        <w:t xml:space="preserve">esents UK investment managers. We have </w:t>
      </w:r>
      <w:r w:rsidRPr="00EF29A7">
        <w:rPr>
          <w:lang w:eastAsia="en-GB"/>
        </w:rPr>
        <w:t>over 20</w:t>
      </w:r>
      <w:r>
        <w:rPr>
          <w:lang w:eastAsia="en-GB"/>
        </w:rPr>
        <w:t>0 members who manage more than £5.</w:t>
      </w:r>
      <w:r w:rsidR="001737C3">
        <w:rPr>
          <w:lang w:eastAsia="en-GB"/>
        </w:rPr>
        <w:t>7</w:t>
      </w:r>
      <w:r>
        <w:rPr>
          <w:lang w:eastAsia="en-GB"/>
        </w:rPr>
        <w:t xml:space="preserve"> trillion </w:t>
      </w:r>
      <w:r w:rsidRPr="00EF29A7">
        <w:rPr>
          <w:lang w:eastAsia="en-GB"/>
        </w:rPr>
        <w:t xml:space="preserve">for clients around the world. </w:t>
      </w:r>
      <w:r>
        <w:rPr>
          <w:lang w:eastAsia="en-GB"/>
        </w:rPr>
        <w:t xml:space="preserve">Our </w:t>
      </w:r>
      <w:r w:rsidRPr="00EF29A7">
        <w:rPr>
          <w:lang w:eastAsia="en-GB"/>
        </w:rPr>
        <w:t>aim is to make investment better for clients so they achieve their financial goals, better for companies so they get the capital they need to grow, and better for the economy so that everyone prospers.</w:t>
      </w:r>
    </w:p>
    <w:p w14:paraId="3F27C3CF" w14:textId="77777777" w:rsidR="00854ADF" w:rsidRDefault="00854ADF" w:rsidP="00854ADF">
      <w:pPr>
        <w:jc w:val="both"/>
        <w:rPr>
          <w:lang w:eastAsia="en-GB"/>
        </w:rPr>
      </w:pPr>
    </w:p>
    <w:p w14:paraId="738FA780" w14:textId="34524D9C" w:rsidR="00854ADF" w:rsidRDefault="00854ADF" w:rsidP="00854ADF">
      <w:pPr>
        <w:jc w:val="both"/>
        <w:rPr>
          <w:lang w:eastAsia="en-GB"/>
        </w:rPr>
      </w:pPr>
      <w:r>
        <w:rPr>
          <w:lang w:eastAsia="en-GB"/>
        </w:rPr>
        <w:t xml:space="preserve">In addition to the points outlined below we request that ESMA and the European Commission provide rapid equivalence determinations for the jurisdictions </w:t>
      </w:r>
      <w:r w:rsidR="00C42AE7">
        <w:rPr>
          <w:lang w:eastAsia="en-GB"/>
        </w:rPr>
        <w:t xml:space="preserve">outlined below </w:t>
      </w:r>
      <w:r>
        <w:rPr>
          <w:lang w:eastAsia="en-GB"/>
        </w:rPr>
        <w:t>and the trading venues within them. The IA has previously written to the Commission to highlight issues with the equities trading obligation (Article 23 MiFIR)</w:t>
      </w:r>
      <w:r w:rsidR="00C42AE7">
        <w:rPr>
          <w:lang w:eastAsia="en-GB"/>
        </w:rPr>
        <w:t xml:space="preserve">. Many of these concerns are mirrored in the implementation of the Derivatives Trading Obligation (TO). Please </w:t>
      </w:r>
      <w:r w:rsidR="00253F1E">
        <w:rPr>
          <w:lang w:eastAsia="en-GB"/>
        </w:rPr>
        <w:t xml:space="preserve">see </w:t>
      </w:r>
      <w:r w:rsidR="00C42AE7">
        <w:rPr>
          <w:lang w:eastAsia="en-GB"/>
        </w:rPr>
        <w:t xml:space="preserve">Annex I for more information. </w:t>
      </w:r>
    </w:p>
    <w:p w14:paraId="6919C864" w14:textId="77777777" w:rsidR="00854ADF" w:rsidRDefault="00854ADF" w:rsidP="00854ADF">
      <w:pPr>
        <w:pStyle w:val="ListParagraph"/>
      </w:pPr>
    </w:p>
    <w:p w14:paraId="1D299DF0" w14:textId="77777777" w:rsidR="00B466C7" w:rsidRDefault="00C42AE7" w:rsidP="00C42AE7">
      <w:r>
        <w:t>List of jurisdictions to be deemed immediately equivalent:</w:t>
      </w:r>
    </w:p>
    <w:p w14:paraId="609CD275" w14:textId="77777777" w:rsidR="00C42AE7" w:rsidRDefault="00C42AE7" w:rsidP="00C42AE7"/>
    <w:p w14:paraId="7B42BD46" w14:textId="77777777" w:rsidR="00B466C7" w:rsidRDefault="00B466C7" w:rsidP="008C27D6">
      <w:pPr>
        <w:pStyle w:val="ListParagraph"/>
        <w:numPr>
          <w:ilvl w:val="0"/>
          <w:numId w:val="40"/>
        </w:numPr>
        <w:contextualSpacing w:val="0"/>
        <w:rPr>
          <w:rFonts w:ascii="Calibri" w:hAnsi="Calibri"/>
          <w:szCs w:val="22"/>
          <w:lang w:eastAsia="en-US"/>
        </w:rPr>
      </w:pPr>
      <w:r>
        <w:t>USA</w:t>
      </w:r>
    </w:p>
    <w:p w14:paraId="4A64206A" w14:textId="77777777" w:rsidR="00B466C7" w:rsidRDefault="00B466C7" w:rsidP="008C27D6">
      <w:pPr>
        <w:pStyle w:val="ListParagraph"/>
        <w:numPr>
          <w:ilvl w:val="0"/>
          <w:numId w:val="40"/>
        </w:numPr>
        <w:contextualSpacing w:val="0"/>
      </w:pPr>
      <w:r>
        <w:t>Canada</w:t>
      </w:r>
    </w:p>
    <w:p w14:paraId="7E3C5141" w14:textId="77777777" w:rsidR="00B466C7" w:rsidRDefault="00B466C7" w:rsidP="008C27D6">
      <w:pPr>
        <w:pStyle w:val="ListParagraph"/>
        <w:numPr>
          <w:ilvl w:val="0"/>
          <w:numId w:val="40"/>
        </w:numPr>
        <w:contextualSpacing w:val="0"/>
      </w:pPr>
      <w:r>
        <w:t>Switzerland</w:t>
      </w:r>
    </w:p>
    <w:p w14:paraId="6B062724" w14:textId="77777777" w:rsidR="00B466C7" w:rsidRDefault="00B466C7" w:rsidP="008C27D6">
      <w:pPr>
        <w:pStyle w:val="ListParagraph"/>
        <w:numPr>
          <w:ilvl w:val="0"/>
          <w:numId w:val="40"/>
        </w:numPr>
        <w:contextualSpacing w:val="0"/>
      </w:pPr>
      <w:r>
        <w:t>Australia</w:t>
      </w:r>
    </w:p>
    <w:p w14:paraId="66188C15" w14:textId="77777777" w:rsidR="00B466C7" w:rsidRDefault="00B466C7" w:rsidP="008C27D6">
      <w:pPr>
        <w:pStyle w:val="ListParagraph"/>
        <w:numPr>
          <w:ilvl w:val="0"/>
          <w:numId w:val="40"/>
        </w:numPr>
        <w:contextualSpacing w:val="0"/>
      </w:pPr>
      <w:r>
        <w:t>Hong Kong</w:t>
      </w:r>
    </w:p>
    <w:p w14:paraId="56C2F325" w14:textId="77777777" w:rsidR="00B466C7" w:rsidRDefault="00B466C7" w:rsidP="008C27D6">
      <w:pPr>
        <w:pStyle w:val="ListParagraph"/>
        <w:numPr>
          <w:ilvl w:val="0"/>
          <w:numId w:val="40"/>
        </w:numPr>
        <w:contextualSpacing w:val="0"/>
      </w:pPr>
      <w:r>
        <w:t>Japan</w:t>
      </w:r>
    </w:p>
    <w:p w14:paraId="0FF6B367" w14:textId="77777777" w:rsidR="00B466C7" w:rsidRDefault="00B466C7" w:rsidP="008C27D6">
      <w:pPr>
        <w:pStyle w:val="ListParagraph"/>
        <w:numPr>
          <w:ilvl w:val="0"/>
          <w:numId w:val="40"/>
        </w:numPr>
        <w:contextualSpacing w:val="0"/>
      </w:pPr>
      <w:r>
        <w:t>South Africa</w:t>
      </w:r>
    </w:p>
    <w:p w14:paraId="064D2B8C" w14:textId="77777777" w:rsidR="00B466C7" w:rsidRDefault="00B466C7" w:rsidP="008C27D6">
      <w:pPr>
        <w:pStyle w:val="ListParagraph"/>
        <w:numPr>
          <w:ilvl w:val="0"/>
          <w:numId w:val="40"/>
        </w:numPr>
        <w:contextualSpacing w:val="0"/>
      </w:pPr>
      <w:r>
        <w:t>Brazil</w:t>
      </w:r>
    </w:p>
    <w:p w14:paraId="598C4504" w14:textId="77777777" w:rsidR="00B466C7" w:rsidRDefault="00B466C7" w:rsidP="008C27D6">
      <w:pPr>
        <w:pStyle w:val="ListParagraph"/>
        <w:numPr>
          <w:ilvl w:val="0"/>
          <w:numId w:val="40"/>
        </w:numPr>
        <w:contextualSpacing w:val="0"/>
      </w:pPr>
      <w:r>
        <w:t>China</w:t>
      </w:r>
    </w:p>
    <w:p w14:paraId="75409C44" w14:textId="77777777" w:rsidR="00B466C7" w:rsidRDefault="00B466C7" w:rsidP="008C27D6">
      <w:pPr>
        <w:pStyle w:val="ListParagraph"/>
        <w:numPr>
          <w:ilvl w:val="0"/>
          <w:numId w:val="40"/>
        </w:numPr>
        <w:contextualSpacing w:val="0"/>
      </w:pPr>
      <w:r>
        <w:t>South Korea</w:t>
      </w:r>
    </w:p>
    <w:p w14:paraId="4AB7D989" w14:textId="77777777" w:rsidR="00B466C7" w:rsidRDefault="00B466C7" w:rsidP="008C27D6">
      <w:pPr>
        <w:pStyle w:val="ListParagraph"/>
        <w:numPr>
          <w:ilvl w:val="0"/>
          <w:numId w:val="40"/>
        </w:numPr>
        <w:contextualSpacing w:val="0"/>
      </w:pPr>
      <w:r>
        <w:t>Mexico</w:t>
      </w:r>
    </w:p>
    <w:p w14:paraId="0A2127ED" w14:textId="77777777" w:rsidR="00B466C7" w:rsidRDefault="00B466C7" w:rsidP="008C27D6">
      <w:pPr>
        <w:pStyle w:val="ListParagraph"/>
        <w:numPr>
          <w:ilvl w:val="0"/>
          <w:numId w:val="40"/>
        </w:numPr>
        <w:contextualSpacing w:val="0"/>
      </w:pPr>
      <w:r>
        <w:t>New Zealand</w:t>
      </w:r>
    </w:p>
    <w:p w14:paraId="350569B1" w14:textId="77777777" w:rsidR="00B466C7" w:rsidRDefault="00B466C7" w:rsidP="008C27D6">
      <w:pPr>
        <w:pStyle w:val="ListParagraph"/>
        <w:numPr>
          <w:ilvl w:val="0"/>
          <w:numId w:val="40"/>
        </w:numPr>
        <w:contextualSpacing w:val="0"/>
      </w:pPr>
      <w:r>
        <w:t>India</w:t>
      </w:r>
    </w:p>
    <w:p w14:paraId="2BB486CA" w14:textId="77777777" w:rsidR="00B466C7" w:rsidRDefault="00B466C7" w:rsidP="008C27D6">
      <w:pPr>
        <w:pStyle w:val="ListParagraph"/>
        <w:numPr>
          <w:ilvl w:val="0"/>
          <w:numId w:val="40"/>
        </w:numPr>
        <w:contextualSpacing w:val="0"/>
      </w:pPr>
      <w:r>
        <w:t>Indonesia</w:t>
      </w:r>
    </w:p>
    <w:p w14:paraId="47A3C4E8" w14:textId="77777777" w:rsidR="00B466C7" w:rsidRDefault="00B466C7" w:rsidP="008C27D6">
      <w:pPr>
        <w:pStyle w:val="ListParagraph"/>
        <w:numPr>
          <w:ilvl w:val="0"/>
          <w:numId w:val="40"/>
        </w:numPr>
        <w:contextualSpacing w:val="0"/>
      </w:pPr>
      <w:r>
        <w:t>Macau</w:t>
      </w:r>
    </w:p>
    <w:p w14:paraId="70C5C3BB" w14:textId="77777777" w:rsidR="00B466C7" w:rsidRDefault="00B466C7" w:rsidP="008C27D6">
      <w:pPr>
        <w:pStyle w:val="ListParagraph"/>
      </w:pPr>
    </w:p>
    <w:p w14:paraId="6DF2D9C3" w14:textId="77777777" w:rsidR="00B466C7" w:rsidRDefault="00B466C7" w:rsidP="00B466C7">
      <w:pPr>
        <w:pStyle w:val="ListParagraph"/>
      </w:pPr>
    </w:p>
    <w:p w14:paraId="1898FF5C" w14:textId="77777777" w:rsidR="00B466C7" w:rsidRDefault="00B466C7" w:rsidP="00B466C7"/>
    <w:permEnd w:id="347355793"/>
    <w:p w14:paraId="40892717" w14:textId="77777777" w:rsidR="00D34282" w:rsidRPr="00C25863" w:rsidRDefault="00D34282" w:rsidP="00D34282">
      <w:r w:rsidRPr="00C25863">
        <w:t>&lt;</w:t>
      </w:r>
      <w:r w:rsidRPr="00D74C9D">
        <w:t xml:space="preserve"> </w:t>
      </w:r>
      <w:r>
        <w:t>ESMA_COMMENT</w:t>
      </w:r>
      <w:r w:rsidR="00D920D1">
        <w:t>_MIFID</w:t>
      </w:r>
      <w:r w:rsidR="00AB4824">
        <w:t>_TO_</w:t>
      </w:r>
      <w:r w:rsidR="00551E98">
        <w:t>0</w:t>
      </w:r>
      <w:r w:rsidRPr="00C25863">
        <w:t>&gt;</w:t>
      </w:r>
    </w:p>
    <w:p w14:paraId="68AD7FCF" w14:textId="77777777" w:rsidR="00A8728B" w:rsidRPr="00070630" w:rsidRDefault="00F32462" w:rsidP="00EF314C">
      <w:pPr>
        <w:pStyle w:val="CPQuestions"/>
      </w:pPr>
      <w:r>
        <w:rPr>
          <w:rFonts w:cs="Arial"/>
          <w:szCs w:val="22"/>
        </w:rPr>
        <w:br w:type="page"/>
      </w:r>
      <w:r w:rsidR="00EF314C" w:rsidRPr="00EF314C">
        <w:lastRenderedPageBreak/>
        <w:t>Do you agree that the level of granularity for the purpose of the trading obligation should apply at the same level as the one used for calibrating the transparency regime of non-equity instruments?</w:t>
      </w:r>
      <w:r w:rsidR="00EF314C">
        <w:t xml:space="preserve"> </w:t>
      </w:r>
      <w:r w:rsidR="00EF314C" w:rsidRPr="00EF314C">
        <w:t>If not, which level of granularity for the TO would you recommend and why? Would that differ by asset class and type of instrument</w:t>
      </w:r>
      <w:r w:rsidR="00070630" w:rsidRPr="00070630">
        <w:t>?</w:t>
      </w:r>
    </w:p>
    <w:p w14:paraId="630D1BF6" w14:textId="77777777" w:rsidR="00A8728B" w:rsidRDefault="00A8728B" w:rsidP="00A8728B">
      <w:r>
        <w:t>&lt;ESMA_QUESTION</w:t>
      </w:r>
      <w:r w:rsidR="00D920D1">
        <w:t>_MIFID</w:t>
      </w:r>
      <w:r w:rsidR="00AB4824">
        <w:t>_TO_</w:t>
      </w:r>
      <w:r>
        <w:t>1&gt;</w:t>
      </w:r>
    </w:p>
    <w:p w14:paraId="64EE5DA1" w14:textId="3A3D1953" w:rsidR="0060125D" w:rsidRDefault="00074E24" w:rsidP="00A8728B">
      <w:permStart w:id="38297392" w:edGrp="everyone"/>
      <w:r>
        <w:t>We agree. However, we also advocate</w:t>
      </w:r>
      <w:r w:rsidR="0060125D">
        <w:t xml:space="preserve"> that the approach be aligned with other jurisdictions (e.g. US) </w:t>
      </w:r>
      <w:r>
        <w:t xml:space="preserve">which, we recognise, may require </w:t>
      </w:r>
      <w:r w:rsidR="0060125D">
        <w:t>greater granularity</w:t>
      </w:r>
      <w:r w:rsidR="00FE73BA">
        <w:t>.</w:t>
      </w:r>
    </w:p>
    <w:p w14:paraId="278AE473" w14:textId="77777777" w:rsidR="00967324" w:rsidRDefault="00967324" w:rsidP="00A8728B"/>
    <w:permEnd w:id="38297392"/>
    <w:p w14:paraId="166AC607" w14:textId="77777777" w:rsidR="00A8728B" w:rsidRDefault="00A8728B" w:rsidP="00A8728B">
      <w:r>
        <w:t>&lt;ESMA_QUESTION</w:t>
      </w:r>
      <w:r w:rsidR="00D920D1">
        <w:t>_MIFID</w:t>
      </w:r>
      <w:r w:rsidR="00AB4824">
        <w:t>_TO_</w:t>
      </w:r>
      <w:r>
        <w:t>1&gt;</w:t>
      </w:r>
    </w:p>
    <w:p w14:paraId="193BC181" w14:textId="77777777" w:rsidR="00431DA4" w:rsidRPr="00431DA4" w:rsidRDefault="00F016BE" w:rsidP="00F016BE">
      <w:pPr>
        <w:pStyle w:val="CPQuestions"/>
      </w:pPr>
      <w:r w:rsidRPr="00F016BE">
        <w:t>Do you agree that all derivatives currently subject to or considered for the CO are admitted to trading or traded on at least one trading venue?  If not, please explain which classes of derivatives are not available for trading on at least one trading venue</w:t>
      </w:r>
      <w:r w:rsidR="00070630" w:rsidRPr="00070630">
        <w:t>.</w:t>
      </w:r>
    </w:p>
    <w:p w14:paraId="247B25DE" w14:textId="77777777" w:rsidR="00A8728B" w:rsidRDefault="00A8728B" w:rsidP="00A8728B">
      <w:r>
        <w:t>&lt;ESMA_QUESTION</w:t>
      </w:r>
      <w:r w:rsidR="00D920D1">
        <w:t>_MIFID</w:t>
      </w:r>
      <w:r w:rsidR="00AB4824">
        <w:t>_TO_</w:t>
      </w:r>
      <w:r>
        <w:t>2&gt;</w:t>
      </w:r>
    </w:p>
    <w:p w14:paraId="54344EC7" w14:textId="30AF33CE" w:rsidR="00FF3490" w:rsidRDefault="00D27E98" w:rsidP="00A8728B">
      <w:permStart w:id="466697540" w:edGrp="everyone"/>
      <w:r>
        <w:t xml:space="preserve">We are </w:t>
      </w:r>
      <w:r w:rsidR="0055344C">
        <w:t xml:space="preserve">of the opinion that ESMA should </w:t>
      </w:r>
      <w:r w:rsidR="00C216A5">
        <w:t>clarify</w:t>
      </w:r>
      <w:r w:rsidR="00193660">
        <w:t xml:space="preserve"> </w:t>
      </w:r>
      <w:r w:rsidR="001364E7">
        <w:t xml:space="preserve">that those derivative products which are not deemed subject </w:t>
      </w:r>
      <w:r w:rsidR="00626DD4">
        <w:t xml:space="preserve">to the TO, can continue to be traded OTC. </w:t>
      </w:r>
    </w:p>
    <w:p w14:paraId="77EBFE6A" w14:textId="77777777" w:rsidR="00B0759F" w:rsidRDefault="00B0759F" w:rsidP="00A8728B"/>
    <w:permEnd w:id="466697540"/>
    <w:p w14:paraId="338C1FB8" w14:textId="77777777" w:rsidR="00A8728B" w:rsidRDefault="00A8728B" w:rsidP="00A8728B">
      <w:r>
        <w:t>&lt;ESMA_QUESTION</w:t>
      </w:r>
      <w:r w:rsidR="00D920D1">
        <w:t>_MIFID</w:t>
      </w:r>
      <w:r w:rsidR="00AB4824">
        <w:t>_TO_</w:t>
      </w:r>
      <w:r>
        <w:t>2&gt;</w:t>
      </w:r>
    </w:p>
    <w:p w14:paraId="21A9AF63" w14:textId="77777777" w:rsidR="00A8728B" w:rsidRPr="00B62727" w:rsidRDefault="00F016BE" w:rsidP="00F016BE">
      <w:pPr>
        <w:pStyle w:val="CPQuestions"/>
      </w:pPr>
      <w:r w:rsidRPr="00F016BE">
        <w:t>How should ESMA determine the total number of market participants trading in a class of derivatives? Do you consider it appropriate to carry out this assessment with TR data or would you recommend other data sources</w:t>
      </w:r>
      <w:r>
        <w:t>?</w:t>
      </w:r>
    </w:p>
    <w:p w14:paraId="05BA1EC4" w14:textId="77777777" w:rsidR="00A8728B" w:rsidRDefault="00A8728B" w:rsidP="00A8728B">
      <w:r>
        <w:t>&lt;ESMA_QUESTION</w:t>
      </w:r>
      <w:r w:rsidR="00D920D1">
        <w:t>_MIFID</w:t>
      </w:r>
      <w:r w:rsidR="00AB4824">
        <w:t>_TO_</w:t>
      </w:r>
      <w:r>
        <w:t>3&gt;</w:t>
      </w:r>
    </w:p>
    <w:p w14:paraId="503B08B6" w14:textId="77777777" w:rsidR="00E27AE0" w:rsidRDefault="00215398" w:rsidP="00A8728B">
      <w:permStart w:id="316033102" w:edGrp="everyone"/>
      <w:r>
        <w:t>We agree</w:t>
      </w:r>
      <w:r w:rsidR="00E06B53">
        <w:t xml:space="preserve">, Trade Repository data is the most appropriate source of </w:t>
      </w:r>
      <w:r w:rsidR="00BB62C5">
        <w:t>information</w:t>
      </w:r>
      <w:r w:rsidR="00E06B53">
        <w:t xml:space="preserve"> for this determination. </w:t>
      </w:r>
    </w:p>
    <w:p w14:paraId="03CA2136" w14:textId="77777777" w:rsidR="00E06B53" w:rsidRDefault="00E06B53" w:rsidP="00A8728B"/>
    <w:p w14:paraId="2C59A3D0" w14:textId="7B59BA4D" w:rsidR="00E06B53" w:rsidRDefault="008F3466" w:rsidP="00A8728B">
      <w:r>
        <w:t>ESMA should collect, analyse and publish the data</w:t>
      </w:r>
      <w:r w:rsidR="00E06B53">
        <w:t xml:space="preserve"> calculations on their website</w:t>
      </w:r>
      <w:r>
        <w:t xml:space="preserve">. </w:t>
      </w:r>
    </w:p>
    <w:permEnd w:id="316033102"/>
    <w:p w14:paraId="05EE2614" w14:textId="77777777" w:rsidR="00A8728B" w:rsidRDefault="00A8728B" w:rsidP="00A8728B">
      <w:r>
        <w:t>&lt;ESMA_QUESTION</w:t>
      </w:r>
      <w:r w:rsidR="00D920D1">
        <w:t>_MIFID</w:t>
      </w:r>
      <w:r w:rsidR="00AB4824">
        <w:t>_TO_</w:t>
      </w:r>
      <w:r>
        <w:t>3&gt;</w:t>
      </w:r>
    </w:p>
    <w:p w14:paraId="1C3773A2" w14:textId="77777777" w:rsidR="00A8728B" w:rsidRPr="00B62727" w:rsidRDefault="00F016BE" w:rsidP="00F016BE">
      <w:pPr>
        <w:pStyle w:val="CPQuestions"/>
      </w:pPr>
      <w:r w:rsidRPr="00F016BE">
        <w:t>In your view, what should be the minimum total number of market participants to consider the following classes of derivatives as sufficiently liquid for the purpose of the trading obligation? i) OTC interest rate derivatives denominated in EUR, USD, GBP and JPY; ii) OTC interest rate derivatives denominated in NOK, PLN and SEK; iii) Credit default swaps (CDS) indices? Should you consider that this assessment should be done on a more granular level, please provide your views on the relevant subsets of derivatives specified in 1.-3.</w:t>
      </w:r>
    </w:p>
    <w:p w14:paraId="165BC155" w14:textId="77777777" w:rsidR="00A8728B" w:rsidRDefault="00A8728B" w:rsidP="00A8728B">
      <w:r>
        <w:t>&lt;ESMA_QUESTION</w:t>
      </w:r>
      <w:r w:rsidR="00D920D1">
        <w:t>_MIFID</w:t>
      </w:r>
      <w:r w:rsidR="00AB4824">
        <w:t>_TO_</w:t>
      </w:r>
      <w:r>
        <w:t>4&gt;</w:t>
      </w:r>
    </w:p>
    <w:p w14:paraId="3D3DA23E" w14:textId="10DAA2D8" w:rsidR="00AA354B" w:rsidRDefault="00526430" w:rsidP="00A8728B">
      <w:permStart w:id="1328432004" w:edGrp="everyone"/>
      <w:r w:rsidRPr="0022015C">
        <w:t xml:space="preserve">The best approach would be to specify </w:t>
      </w:r>
      <w:r w:rsidRPr="004C7485">
        <w:t>a minimum core number of market participants who are responsible for a large portion of market volume</w:t>
      </w:r>
      <w:r w:rsidRPr="0022015C">
        <w:t>.</w:t>
      </w:r>
      <w:r>
        <w:t xml:space="preserve"> In other words, applying a simple numerical threshold is not sufficient; the key </w:t>
      </w:r>
      <w:r w:rsidR="00482E2E">
        <w:t>to understanding the market structure is the distribution of trading activity among market participants</w:t>
      </w:r>
      <w:r w:rsidR="00BE22BD">
        <w:t>.</w:t>
      </w:r>
      <w:r w:rsidR="00482E2E">
        <w:t xml:space="preserve"> </w:t>
      </w:r>
      <w:r w:rsidR="004D7F7D">
        <w:t xml:space="preserve"> </w:t>
      </w:r>
    </w:p>
    <w:p w14:paraId="0085F048" w14:textId="77777777" w:rsidR="00A8728B" w:rsidRDefault="00A8728B" w:rsidP="00A8728B"/>
    <w:permEnd w:id="1328432004"/>
    <w:p w14:paraId="2D5FB6C6" w14:textId="77777777" w:rsidR="00A8728B" w:rsidRDefault="00A8728B" w:rsidP="00A8728B">
      <w:r>
        <w:t>&lt;ESMA_QUESTION</w:t>
      </w:r>
      <w:r w:rsidR="00D920D1">
        <w:t>_MIFID</w:t>
      </w:r>
      <w:r w:rsidR="00AB4824">
        <w:t>_TO_</w:t>
      </w:r>
      <w:r>
        <w:t>4&gt;</w:t>
      </w:r>
    </w:p>
    <w:p w14:paraId="4BF3A1BF" w14:textId="77777777" w:rsidR="00431DA4" w:rsidRPr="00B62727" w:rsidRDefault="00F016BE" w:rsidP="00F016BE">
      <w:pPr>
        <w:pStyle w:val="CPQuestions"/>
      </w:pPr>
      <w:r w:rsidRPr="00F016BE">
        <w:lastRenderedPageBreak/>
        <w:t>Do you agree with this approach? Do you consider alternative ways to identify the number of trading venues admitting to trading or trading a class of derivatives as more appropriate</w:t>
      </w:r>
      <w:r>
        <w:t>?</w:t>
      </w:r>
    </w:p>
    <w:p w14:paraId="5C90FD3B" w14:textId="77777777" w:rsidR="00A8728B" w:rsidRDefault="00A8728B" w:rsidP="00A8728B">
      <w:r>
        <w:t>&lt;ESMA_QUESTION</w:t>
      </w:r>
      <w:r w:rsidR="00D920D1">
        <w:t>_MIFID</w:t>
      </w:r>
      <w:r w:rsidR="00AB4824">
        <w:t>_TO_</w:t>
      </w:r>
      <w:r>
        <w:t>5&gt;</w:t>
      </w:r>
    </w:p>
    <w:p w14:paraId="63B745A2" w14:textId="69B57B8E" w:rsidR="00E625DA" w:rsidRPr="00D215C4" w:rsidRDefault="002D2CFD" w:rsidP="00A8728B">
      <w:permStart w:id="1703567742" w:edGrp="everyone"/>
      <w:r w:rsidRPr="00D215C4">
        <w:t xml:space="preserve">We disagree. A good measure of liquidity would be the number of venues on which a class of derivatives is </w:t>
      </w:r>
      <w:r w:rsidRPr="004C7485">
        <w:t>actively trading</w:t>
      </w:r>
      <w:r w:rsidRPr="00D215C4">
        <w:t xml:space="preserve"> (as o</w:t>
      </w:r>
      <w:r w:rsidR="009C09A3" w:rsidRPr="00D215C4">
        <w:t xml:space="preserve">pposed to </w:t>
      </w:r>
      <w:r w:rsidR="00C36C1D" w:rsidRPr="00D215C4">
        <w:t>the number of venues on which a class</w:t>
      </w:r>
      <w:r w:rsidR="002A7700" w:rsidRPr="00D215C4">
        <w:t xml:space="preserve"> of derivatives is admitted to trading). The </w:t>
      </w:r>
      <w:r w:rsidR="002A7700" w:rsidRPr="004C7485">
        <w:t>approach in the DP</w:t>
      </w:r>
      <w:r w:rsidR="002A7700" w:rsidRPr="00D215C4">
        <w:t xml:space="preserve"> may cause </w:t>
      </w:r>
      <w:r w:rsidR="0067532D">
        <w:t>c</w:t>
      </w:r>
      <w:r w:rsidR="002A7700" w:rsidRPr="004C7485">
        <w:t>ompetition among trading venues</w:t>
      </w:r>
      <w:r w:rsidR="002A7700" w:rsidRPr="00D215C4">
        <w:t xml:space="preserve"> admitting a class of derivatives to trading</w:t>
      </w:r>
      <w:r w:rsidR="00CE178D">
        <w:t>,</w:t>
      </w:r>
      <w:r w:rsidR="002A7700" w:rsidRPr="00D215C4">
        <w:t xml:space="preserve"> and </w:t>
      </w:r>
      <w:r w:rsidR="002A7700" w:rsidRPr="004C7485">
        <w:t>liquidity becoming fragmented</w:t>
      </w:r>
      <w:r w:rsidR="002A7700" w:rsidRPr="00D215C4">
        <w:t xml:space="preserve"> across different venues.</w:t>
      </w:r>
      <w:r w:rsidR="00227BA8" w:rsidRPr="00D215C4">
        <w:t xml:space="preserve"> This may lead to market participants, especially from </w:t>
      </w:r>
      <w:r w:rsidR="00227BA8" w:rsidRPr="004C7485">
        <w:t>buy-side, struggling to find sufficient liquidity on a specific venue</w:t>
      </w:r>
      <w:r w:rsidR="00227BA8" w:rsidRPr="00D215C4">
        <w:t xml:space="preserve"> which the</w:t>
      </w:r>
      <w:r w:rsidR="00771474" w:rsidRPr="00D215C4">
        <w:t>y</w:t>
      </w:r>
      <w:r w:rsidR="00227BA8" w:rsidRPr="00D215C4">
        <w:t xml:space="preserve"> have access to. </w:t>
      </w:r>
    </w:p>
    <w:p w14:paraId="021ABCF2" w14:textId="77777777" w:rsidR="00E625DA" w:rsidRDefault="00E625DA" w:rsidP="00A8728B"/>
    <w:permEnd w:id="1703567742"/>
    <w:p w14:paraId="07637B28" w14:textId="77777777" w:rsidR="00A8728B" w:rsidRDefault="00A8728B" w:rsidP="00A8728B">
      <w:r>
        <w:t>&lt;ESMA_QUESTION</w:t>
      </w:r>
      <w:r w:rsidR="00D920D1">
        <w:t>_MIFID</w:t>
      </w:r>
      <w:r w:rsidR="00AB4824">
        <w:t>_TO_</w:t>
      </w:r>
      <w:r>
        <w:t>5&gt;</w:t>
      </w:r>
    </w:p>
    <w:p w14:paraId="0E785C24" w14:textId="77777777" w:rsidR="00431DA4" w:rsidRPr="000E6B5B" w:rsidRDefault="00F016BE" w:rsidP="00F016BE">
      <w:pPr>
        <w:pStyle w:val="CPQuestions"/>
      </w:pPr>
      <w:r w:rsidRPr="00F016BE">
        <w:t>On how many trading venues should a derivative or a class of derivatives be traded in order to be considered subject to the TO</w:t>
      </w:r>
      <w:r w:rsidR="00070630">
        <w:t>?</w:t>
      </w:r>
    </w:p>
    <w:p w14:paraId="3A7383CE" w14:textId="77777777" w:rsidR="00A8728B" w:rsidRDefault="00A8728B" w:rsidP="00A8728B">
      <w:r>
        <w:t>&lt;ESMA_QUESTION</w:t>
      </w:r>
      <w:r w:rsidR="00D920D1">
        <w:t>_MIFID</w:t>
      </w:r>
      <w:r w:rsidR="00AB4824">
        <w:t>_TO_</w:t>
      </w:r>
      <w:r>
        <w:t>6&gt;</w:t>
      </w:r>
    </w:p>
    <w:p w14:paraId="7C944E8C" w14:textId="77777777" w:rsidR="00A646E1" w:rsidRDefault="0092469F" w:rsidP="00A8728B">
      <w:permStart w:id="728707426" w:edGrp="everyone"/>
      <w:r>
        <w:t>Please s</w:t>
      </w:r>
      <w:r w:rsidR="006C2823">
        <w:t>ee answer to question 5</w:t>
      </w:r>
      <w:r>
        <w:t>.</w:t>
      </w:r>
    </w:p>
    <w:p w14:paraId="60965375" w14:textId="77777777" w:rsidR="0092469F" w:rsidRDefault="0092469F" w:rsidP="00A8728B"/>
    <w:permEnd w:id="728707426"/>
    <w:p w14:paraId="020CA06D" w14:textId="77777777" w:rsidR="00A8728B" w:rsidRDefault="00A8728B" w:rsidP="00A8728B">
      <w:r>
        <w:t>&lt;ESMA_QUESTION</w:t>
      </w:r>
      <w:r w:rsidR="00D920D1">
        <w:t>_MIFID</w:t>
      </w:r>
      <w:r w:rsidR="00AB4824">
        <w:t>_TO_</w:t>
      </w:r>
      <w:r>
        <w:t>6&gt;</w:t>
      </w:r>
    </w:p>
    <w:p w14:paraId="39731ECF" w14:textId="77777777" w:rsidR="00F32462" w:rsidRDefault="00F32462">
      <w:pPr>
        <w:rPr>
          <w:rFonts w:cs="Arial"/>
          <w:b/>
          <w:sz w:val="22"/>
          <w:szCs w:val="22"/>
          <w:lang w:eastAsia="en-US"/>
        </w:rPr>
      </w:pPr>
    </w:p>
    <w:p w14:paraId="1071C14C" w14:textId="77777777" w:rsidR="00070630" w:rsidRPr="000E6B5B" w:rsidRDefault="00F016BE" w:rsidP="00F016BE">
      <w:pPr>
        <w:pStyle w:val="CPQuestions"/>
      </w:pPr>
      <w:r w:rsidRPr="00F016BE">
        <w:t>What would be in your view the most efficient approach to assess the total number of market makers for a class of derivatives? Where necessary, please distinguish between: i) The phase prior to the application of MiFID II (i.e. before January 2018); ii) The phase after the application of MiFID II (i.e. after January 2018)</w:t>
      </w:r>
      <w:r>
        <w:t>.</w:t>
      </w:r>
    </w:p>
    <w:p w14:paraId="77113FC5" w14:textId="77777777" w:rsidR="00070630" w:rsidRDefault="00070630" w:rsidP="00070630">
      <w:r>
        <w:t>&lt;ESMA_QUESTION_MIFID</w:t>
      </w:r>
      <w:r w:rsidR="00AB4824">
        <w:t>_TO_</w:t>
      </w:r>
      <w:r>
        <w:t>7&gt;</w:t>
      </w:r>
    </w:p>
    <w:p w14:paraId="6BC86D7D" w14:textId="77777777" w:rsidR="00070630" w:rsidRPr="00511184" w:rsidRDefault="00765ED1" w:rsidP="00070630">
      <w:permStart w:id="1164775052" w:edGrp="everyone"/>
      <w:r w:rsidRPr="00511184">
        <w:t xml:space="preserve">We are supportive of ESMA’s proposal to </w:t>
      </w:r>
      <w:r w:rsidRPr="004C7485">
        <w:t>obtain information from venues</w:t>
      </w:r>
      <w:r w:rsidRPr="00511184">
        <w:t xml:space="preserve">. </w:t>
      </w:r>
      <w:r w:rsidR="00596B52" w:rsidRPr="00511184">
        <w:t>Furthermore</w:t>
      </w:r>
      <w:r w:rsidRPr="00511184">
        <w:t xml:space="preserve"> it is key that market makers are obliged to make markets within a specific spread for a specified amount so that it supports the </w:t>
      </w:r>
      <w:r w:rsidR="00596B52" w:rsidRPr="00511184">
        <w:t>liquidity</w:t>
      </w:r>
      <w:r w:rsidRPr="00511184">
        <w:t>.</w:t>
      </w:r>
    </w:p>
    <w:permEnd w:id="1164775052"/>
    <w:p w14:paraId="031D373F" w14:textId="77777777" w:rsidR="00070630" w:rsidRDefault="00070630" w:rsidP="00070630">
      <w:r>
        <w:t>&lt;ESMA_QUESTION_MIFID</w:t>
      </w:r>
      <w:r w:rsidR="00AB4824">
        <w:t>_TO_</w:t>
      </w:r>
      <w:r>
        <w:t>7&gt;</w:t>
      </w:r>
    </w:p>
    <w:p w14:paraId="12DD0F7B" w14:textId="77777777" w:rsidR="00070630" w:rsidRDefault="00070630">
      <w:pPr>
        <w:rPr>
          <w:rFonts w:cs="Arial"/>
          <w:b/>
          <w:sz w:val="22"/>
          <w:szCs w:val="22"/>
          <w:lang w:eastAsia="en-US"/>
        </w:rPr>
      </w:pPr>
    </w:p>
    <w:p w14:paraId="45A79FE0" w14:textId="77777777" w:rsidR="00EF314C" w:rsidRPr="000E6B5B" w:rsidRDefault="00F016BE" w:rsidP="00F016BE">
      <w:pPr>
        <w:pStyle w:val="CPQuestions"/>
      </w:pPr>
      <w:r w:rsidRPr="00F016BE">
        <w:t>How many market makers and other market participants under a binding written agreement or an obligation to provide liquidity should be in place for a derivative or a class of derivatives to be considered subject to the TO</w:t>
      </w:r>
      <w:r w:rsidR="00EF314C" w:rsidRPr="00070630">
        <w:t>?</w:t>
      </w:r>
    </w:p>
    <w:p w14:paraId="4AAD3C13" w14:textId="77777777" w:rsidR="00EF314C" w:rsidRDefault="00EF314C" w:rsidP="00EF314C">
      <w:r>
        <w:t>&lt;ESMA_QUESTION_MIFID_TO_</w:t>
      </w:r>
      <w:r w:rsidR="00273633">
        <w:t>8</w:t>
      </w:r>
      <w:r>
        <w:t>&gt;</w:t>
      </w:r>
    </w:p>
    <w:p w14:paraId="72E68DB9" w14:textId="77777777" w:rsidR="005B29D0" w:rsidRDefault="00C432EA" w:rsidP="00EF314C">
      <w:permStart w:id="18755069" w:edGrp="everyone"/>
      <w:r>
        <w:t>See answer to question 7.</w:t>
      </w:r>
    </w:p>
    <w:p w14:paraId="11D7F6D5" w14:textId="77777777" w:rsidR="005B29D0" w:rsidRDefault="005B29D0" w:rsidP="00EF314C"/>
    <w:permEnd w:id="18755069"/>
    <w:p w14:paraId="25251057" w14:textId="77777777" w:rsidR="00EF314C" w:rsidRDefault="00EF314C" w:rsidP="00EF314C">
      <w:r>
        <w:t>&lt;ESMA_QUESTION_MIFID_TO_</w:t>
      </w:r>
      <w:r w:rsidR="00273633">
        <w:t>8</w:t>
      </w:r>
      <w:r>
        <w:t>&gt;</w:t>
      </w:r>
    </w:p>
    <w:p w14:paraId="19F08D9C" w14:textId="77777777" w:rsidR="00EF314C" w:rsidRDefault="00EF314C" w:rsidP="00EF314C">
      <w:pPr>
        <w:rPr>
          <w:rFonts w:cs="Arial"/>
          <w:b/>
          <w:sz w:val="22"/>
          <w:szCs w:val="22"/>
          <w:lang w:eastAsia="en-US"/>
        </w:rPr>
      </w:pPr>
    </w:p>
    <w:p w14:paraId="3C754F65" w14:textId="77777777" w:rsidR="00EF314C" w:rsidRPr="000E6B5B" w:rsidRDefault="00F016BE" w:rsidP="00F016BE">
      <w:pPr>
        <w:pStyle w:val="CPQuestions"/>
      </w:pPr>
      <w:r w:rsidRPr="00F016BE">
        <w:t>Do you agree with the proposed approach or do you consider an alternative approach as more appropriate</w:t>
      </w:r>
      <w:r w:rsidR="00EF314C" w:rsidRPr="00070630">
        <w:t>?</w:t>
      </w:r>
    </w:p>
    <w:p w14:paraId="7B73B898" w14:textId="77777777" w:rsidR="00EF314C" w:rsidRDefault="00EF314C" w:rsidP="00EF314C">
      <w:r>
        <w:t>&lt;ESMA_QUESTION_MIFID_TO_</w:t>
      </w:r>
      <w:r w:rsidR="00273633">
        <w:t>9</w:t>
      </w:r>
      <w:r>
        <w:t>&gt;</w:t>
      </w:r>
    </w:p>
    <w:p w14:paraId="217D966F" w14:textId="28FBDB3B" w:rsidR="00897CAE" w:rsidRDefault="00021E94" w:rsidP="00EF314C">
      <w:permStart w:id="2081293735" w:edGrp="everyone"/>
      <w:r>
        <w:t xml:space="preserve">We </w:t>
      </w:r>
      <w:r w:rsidR="0092469F">
        <w:t xml:space="preserve">consider that the </w:t>
      </w:r>
      <w:r w:rsidR="009A719F">
        <w:t>TO should only apply where the two conditions of high liquidity and high number of participants are met – otherwise trading on venue should be optional</w:t>
      </w:r>
      <w:r w:rsidR="00AA5A1F">
        <w:t>.</w:t>
      </w:r>
    </w:p>
    <w:p w14:paraId="6A00D37F" w14:textId="77777777" w:rsidR="00897CAE" w:rsidRDefault="00897CAE" w:rsidP="00EF314C"/>
    <w:p w14:paraId="3CBEB1AA" w14:textId="2FE01DCA" w:rsidR="009D45C8" w:rsidRDefault="009D45C8" w:rsidP="00EF314C"/>
    <w:permEnd w:id="2081293735"/>
    <w:p w14:paraId="7AB28A44" w14:textId="77777777" w:rsidR="00EF314C" w:rsidRDefault="00EF314C" w:rsidP="00EF314C">
      <w:r>
        <w:t>&lt;ESMA_QUESTION_MIFID_TO_</w:t>
      </w:r>
      <w:r w:rsidR="00273633">
        <w:t>9</w:t>
      </w:r>
      <w:r>
        <w:t>&gt;</w:t>
      </w:r>
    </w:p>
    <w:p w14:paraId="2E6F45CB" w14:textId="77777777" w:rsidR="00EF314C" w:rsidRDefault="00EF314C" w:rsidP="00EF314C">
      <w:pPr>
        <w:rPr>
          <w:rFonts w:cs="Arial"/>
          <w:b/>
          <w:sz w:val="22"/>
          <w:szCs w:val="22"/>
          <w:lang w:eastAsia="en-US"/>
        </w:rPr>
      </w:pPr>
    </w:p>
    <w:p w14:paraId="7DD55695" w14:textId="77777777" w:rsidR="00EF314C" w:rsidRPr="000E6B5B" w:rsidRDefault="00F016BE" w:rsidP="00F016BE">
      <w:pPr>
        <w:pStyle w:val="CPQuestions"/>
      </w:pPr>
      <w:r w:rsidRPr="00F016BE">
        <w:t>Do you agree that the criterion of average size of spreads, in particular in case of absence of information on spreads, should receive a lower weighting than the other liquidity criteria? If not, please specify your reasons</w:t>
      </w:r>
    </w:p>
    <w:p w14:paraId="7C678A29" w14:textId="77777777" w:rsidR="00EF314C" w:rsidRDefault="00EF314C" w:rsidP="00EF314C">
      <w:r>
        <w:t>&lt;ESMA_QUESTION_MIFID_TO_</w:t>
      </w:r>
      <w:r w:rsidR="00273633">
        <w:t>10</w:t>
      </w:r>
      <w:r>
        <w:t>&gt;</w:t>
      </w:r>
    </w:p>
    <w:p w14:paraId="3BA60CD0" w14:textId="01F981E3" w:rsidR="00B56E4F" w:rsidRDefault="000D04DB" w:rsidP="00EF314C">
      <w:permStart w:id="1331394216" w:edGrp="everyone"/>
      <w:r>
        <w:t xml:space="preserve">ESMA would get more accurate data by approaching key market participants </w:t>
      </w:r>
      <w:r w:rsidR="00200EF1">
        <w:t>(banks and market markers). This should give ESMA data for a representative portion of the market.</w:t>
      </w:r>
    </w:p>
    <w:p w14:paraId="6C46502A" w14:textId="77777777" w:rsidR="00237000" w:rsidRDefault="00237000" w:rsidP="00EF314C"/>
    <w:permEnd w:id="1331394216"/>
    <w:p w14:paraId="607E5BD5" w14:textId="77777777" w:rsidR="00EF314C" w:rsidRDefault="00EF314C" w:rsidP="00EF314C">
      <w:r>
        <w:t>&lt;ESMA_QUESTION_MIFID_TO_</w:t>
      </w:r>
      <w:r w:rsidR="00273633">
        <w:t>10</w:t>
      </w:r>
      <w:r>
        <w:t>&gt;</w:t>
      </w:r>
    </w:p>
    <w:p w14:paraId="6A95EEE4" w14:textId="77777777" w:rsidR="00EF314C" w:rsidRDefault="00EF314C" w:rsidP="00EF314C">
      <w:pPr>
        <w:rPr>
          <w:rFonts w:cs="Arial"/>
          <w:b/>
          <w:sz w:val="22"/>
          <w:szCs w:val="22"/>
          <w:lang w:eastAsia="en-US"/>
        </w:rPr>
      </w:pPr>
    </w:p>
    <w:p w14:paraId="14FA8BFB" w14:textId="77777777" w:rsidR="00EF314C" w:rsidRPr="000E6B5B" w:rsidRDefault="00F016BE" w:rsidP="00F016BE">
      <w:pPr>
        <w:pStyle w:val="CPQuestions"/>
      </w:pPr>
      <w:r w:rsidRPr="00F016BE">
        <w:t>Which sources do you recommend for obtaining information on the average size of spreads by asset class</w:t>
      </w:r>
      <w:r w:rsidR="00EF314C" w:rsidRPr="00070630">
        <w:t>?</w:t>
      </w:r>
    </w:p>
    <w:p w14:paraId="6AD8C5EB" w14:textId="77777777" w:rsidR="00EF314C" w:rsidRDefault="00EF314C" w:rsidP="00EF314C">
      <w:r>
        <w:t>&lt;ESMA_QUESTION_MIFID_TO_</w:t>
      </w:r>
      <w:r w:rsidR="00273633">
        <w:t>11</w:t>
      </w:r>
      <w:r>
        <w:t>&gt;</w:t>
      </w:r>
    </w:p>
    <w:p w14:paraId="192DA8E2" w14:textId="494B619F" w:rsidR="00EF314C" w:rsidRDefault="00CA3D4F" w:rsidP="00EF314C">
      <w:permStart w:id="2083917744" w:edGrp="everyone"/>
      <w:r>
        <w:t>See answer to question 10</w:t>
      </w:r>
      <w:r w:rsidR="00137E01">
        <w:t>.</w:t>
      </w:r>
    </w:p>
    <w:permEnd w:id="2083917744"/>
    <w:p w14:paraId="07B497C8" w14:textId="77777777" w:rsidR="00EF314C" w:rsidRDefault="00EF314C" w:rsidP="00EF314C">
      <w:r>
        <w:t>&lt;ESMA_QUESTION_MIFID_TO_</w:t>
      </w:r>
      <w:r w:rsidR="00273633">
        <w:t>11</w:t>
      </w:r>
      <w:r>
        <w:t>&gt;</w:t>
      </w:r>
    </w:p>
    <w:p w14:paraId="362F978B" w14:textId="77777777" w:rsidR="00EF314C" w:rsidRDefault="00EF314C" w:rsidP="00EF314C">
      <w:pPr>
        <w:rPr>
          <w:rFonts w:cs="Arial"/>
          <w:b/>
          <w:sz w:val="22"/>
          <w:szCs w:val="22"/>
          <w:lang w:eastAsia="en-US"/>
        </w:rPr>
      </w:pPr>
    </w:p>
    <w:p w14:paraId="5AD578B3" w14:textId="77777777" w:rsidR="00EF314C" w:rsidRPr="000E6B5B" w:rsidRDefault="00F016BE" w:rsidP="00F016BE">
      <w:pPr>
        <w:pStyle w:val="CPQuestions"/>
      </w:pPr>
      <w:r w:rsidRPr="00F016BE">
        <w:t>What do you consider as an appropriate proxy in case of lack of information on actual spreads</w:t>
      </w:r>
      <w:r w:rsidR="00EF314C" w:rsidRPr="00070630">
        <w:t>?</w:t>
      </w:r>
    </w:p>
    <w:p w14:paraId="4A8456A0" w14:textId="77777777" w:rsidR="00EF314C" w:rsidRDefault="00EF314C" w:rsidP="00EF314C">
      <w:r>
        <w:t>&lt;ESMA_QUESTION_MIFID_TO_</w:t>
      </w:r>
      <w:r w:rsidR="00273633">
        <w:t>12</w:t>
      </w:r>
      <w:r>
        <w:t>&gt;</w:t>
      </w:r>
    </w:p>
    <w:p w14:paraId="51FC0BAB" w14:textId="6BECEB33" w:rsidR="00EF314C" w:rsidRDefault="00CA3D4F" w:rsidP="00EF314C">
      <w:permStart w:id="1543205801" w:edGrp="everyone"/>
      <w:r>
        <w:t>See answer to question 10</w:t>
      </w:r>
      <w:r w:rsidR="00137E01">
        <w:t>.</w:t>
      </w:r>
    </w:p>
    <w:permEnd w:id="1543205801"/>
    <w:p w14:paraId="4D588D44" w14:textId="77777777" w:rsidR="00EF314C" w:rsidRDefault="00EF314C" w:rsidP="00EF314C">
      <w:r>
        <w:t>&lt;ESMA_QUESTION_MIFID_TO_</w:t>
      </w:r>
      <w:r w:rsidR="00273633">
        <w:t>12</w:t>
      </w:r>
      <w:r>
        <w:t>&gt;</w:t>
      </w:r>
    </w:p>
    <w:p w14:paraId="593043FE" w14:textId="77777777" w:rsidR="00EF314C" w:rsidRDefault="00EF314C" w:rsidP="00EF314C">
      <w:pPr>
        <w:rPr>
          <w:rFonts w:cs="Arial"/>
          <w:b/>
          <w:sz w:val="22"/>
          <w:szCs w:val="22"/>
          <w:lang w:eastAsia="en-US"/>
        </w:rPr>
      </w:pPr>
    </w:p>
    <w:p w14:paraId="2BAD3C65" w14:textId="77777777" w:rsidR="00EF314C" w:rsidRPr="000E6B5B" w:rsidRDefault="00F016BE" w:rsidP="00F016BE">
      <w:pPr>
        <w:pStyle w:val="CPQuestions"/>
      </w:pPr>
      <w:r w:rsidRPr="00F016BE">
        <w:t>Do you agree with the suggested approach? If not, what approach would you recommend</w:t>
      </w:r>
      <w:r w:rsidR="00EF314C" w:rsidRPr="00070630">
        <w:t>?</w:t>
      </w:r>
    </w:p>
    <w:p w14:paraId="2FF2AF5B" w14:textId="77777777" w:rsidR="00EF314C" w:rsidRDefault="00EF314C" w:rsidP="00EF314C">
      <w:r>
        <w:t>&lt;ESMA_QUESTION_MIFID_TO_</w:t>
      </w:r>
      <w:r w:rsidR="00273633">
        <w:t>13</w:t>
      </w:r>
      <w:r>
        <w:t>&gt;</w:t>
      </w:r>
    </w:p>
    <w:p w14:paraId="0C3E0689" w14:textId="0375BE67" w:rsidR="00EF314C" w:rsidRDefault="00B20529" w:rsidP="00EF314C">
      <w:permStart w:id="2035120182" w:edGrp="everyone"/>
      <w:r>
        <w:t>TYPE YOUR TEXT HERE</w:t>
      </w:r>
    </w:p>
    <w:permEnd w:id="2035120182"/>
    <w:p w14:paraId="428D6C64" w14:textId="77777777" w:rsidR="00EF314C" w:rsidRDefault="00EF314C" w:rsidP="00EF314C">
      <w:r>
        <w:t>&lt;ESMA_QUESTION_MIFID_TO_</w:t>
      </w:r>
      <w:r w:rsidR="00273633">
        <w:t>13</w:t>
      </w:r>
      <w:r>
        <w:t>&gt;</w:t>
      </w:r>
    </w:p>
    <w:p w14:paraId="46842220" w14:textId="77777777" w:rsidR="00EF314C" w:rsidRDefault="00EF314C" w:rsidP="00EF314C">
      <w:pPr>
        <w:rPr>
          <w:rFonts w:cs="Arial"/>
          <w:b/>
          <w:sz w:val="22"/>
          <w:szCs w:val="22"/>
          <w:lang w:eastAsia="en-US"/>
        </w:rPr>
      </w:pPr>
    </w:p>
    <w:p w14:paraId="561E11BF" w14:textId="77777777" w:rsidR="00EF314C" w:rsidRPr="000E6B5B" w:rsidRDefault="00F016BE" w:rsidP="00F016BE">
      <w:pPr>
        <w:pStyle w:val="CPQuestions"/>
      </w:pPr>
      <w:r w:rsidRPr="00F016BE">
        <w:t>Do you agree that trades above the post-trade large in scale threshold should not be subject to the TO? If not, what approach would you suggest? Should transactions above the post-trade LIS threshold meet further conditions in order to be exempted from the TO</w:t>
      </w:r>
      <w:r w:rsidR="00EF314C" w:rsidRPr="00070630">
        <w:t>?</w:t>
      </w:r>
    </w:p>
    <w:p w14:paraId="5A9BAA58" w14:textId="77777777" w:rsidR="00EF314C" w:rsidRDefault="00EF314C" w:rsidP="00EF314C">
      <w:r>
        <w:t>&lt;ESMA_QUESTION_MIFID_TO_</w:t>
      </w:r>
      <w:r w:rsidR="00273633">
        <w:t>14</w:t>
      </w:r>
      <w:r>
        <w:t>&gt;</w:t>
      </w:r>
    </w:p>
    <w:p w14:paraId="20E2E9A2" w14:textId="7B07E694" w:rsidR="00EF314C" w:rsidRDefault="00A210DF" w:rsidP="00EF314C">
      <w:permStart w:id="315509097" w:edGrp="everyone"/>
      <w:r>
        <w:t>We agree that transactions above the LIS threshold should not be subject to the TO without meeting any further conditions</w:t>
      </w:r>
      <w:r w:rsidR="00137E01">
        <w:t>.</w:t>
      </w:r>
      <w:r>
        <w:t xml:space="preserve"> </w:t>
      </w:r>
    </w:p>
    <w:p w14:paraId="3C29A266" w14:textId="77777777" w:rsidR="00A210DF" w:rsidRDefault="00A210DF" w:rsidP="00EF314C"/>
    <w:p w14:paraId="244805E3" w14:textId="5D25F9B0" w:rsidR="0092469F" w:rsidRDefault="0092469F" w:rsidP="00EF314C">
      <w:r>
        <w:t>In addition</w:t>
      </w:r>
      <w:r w:rsidR="00137E01">
        <w:t>,</w:t>
      </w:r>
      <w:r>
        <w:t xml:space="preserve"> our members consider that t</w:t>
      </w:r>
      <w:r w:rsidR="008018B5">
        <w:t xml:space="preserve">o be in line with the US regime, the threshold should correspond to </w:t>
      </w:r>
      <w:r>
        <w:t xml:space="preserve">the </w:t>
      </w:r>
      <w:r w:rsidR="008018B5">
        <w:t>post-trade SSTI</w:t>
      </w:r>
      <w:r>
        <w:t>. That is, trades that are above LIS or the SST</w:t>
      </w:r>
      <w:r w:rsidR="00BB62C5">
        <w:t>I</w:t>
      </w:r>
      <w:r>
        <w:t xml:space="preserve"> should be </w:t>
      </w:r>
      <w:r w:rsidR="00BB62C5">
        <w:t>exempt from the TO.</w:t>
      </w:r>
    </w:p>
    <w:permEnd w:id="315509097"/>
    <w:p w14:paraId="7A169F57" w14:textId="77777777" w:rsidR="00EF314C" w:rsidRDefault="00EF314C" w:rsidP="00EF314C">
      <w:r>
        <w:t>&lt;ESMA_QUESTION_MIFID_TO_</w:t>
      </w:r>
      <w:r w:rsidR="00273633">
        <w:t>14</w:t>
      </w:r>
      <w:r>
        <w:t>&gt;</w:t>
      </w:r>
    </w:p>
    <w:p w14:paraId="50EBD08E" w14:textId="77777777" w:rsidR="00EF314C" w:rsidRDefault="00EF314C" w:rsidP="00EF314C">
      <w:pPr>
        <w:rPr>
          <w:rFonts w:cs="Arial"/>
          <w:b/>
          <w:sz w:val="22"/>
          <w:szCs w:val="22"/>
          <w:lang w:eastAsia="en-US"/>
        </w:rPr>
      </w:pPr>
    </w:p>
    <w:p w14:paraId="01ACAC7C" w14:textId="77777777" w:rsidR="00EF314C" w:rsidRPr="000E6B5B" w:rsidRDefault="00F016BE" w:rsidP="00F016BE">
      <w:pPr>
        <w:pStyle w:val="CPQuestions"/>
      </w:pPr>
      <w:r w:rsidRPr="00F016BE">
        <w:t>How highly should ESMA prioritise the alignment of the TO with transparency? What would be the main consequences for the market if some instruments are covered by transparency and not by the TO or vice versa? If the two are not fully aligned, would a broader scope for the TO or for transparency be preferable, and why? In case of a broader or narrower scope for the TO (compared with transparency), how should the two liquidity t</w:t>
      </w:r>
      <w:r w:rsidR="00FC03D8">
        <w:t>h</w:t>
      </w:r>
      <w:r w:rsidRPr="00F016BE">
        <w:t>resholds relate to each other</w:t>
      </w:r>
      <w:r w:rsidR="00EF314C" w:rsidRPr="00070630">
        <w:t>?</w:t>
      </w:r>
    </w:p>
    <w:p w14:paraId="5861BCCE" w14:textId="77777777" w:rsidR="00EF314C" w:rsidRDefault="00EF314C" w:rsidP="00EF314C">
      <w:r>
        <w:t>&lt;ESMA_QUESTION_MIFID_TO_</w:t>
      </w:r>
      <w:r w:rsidR="00273633">
        <w:t>15</w:t>
      </w:r>
      <w:r>
        <w:t>&gt;</w:t>
      </w:r>
    </w:p>
    <w:p w14:paraId="63CEF5A1" w14:textId="25959D28" w:rsidR="006B4F3E" w:rsidRDefault="00ED3DE0">
      <w:permStart w:id="1167797849" w:edGrp="everyone"/>
      <w:r>
        <w:t>ESMA should prioritise consistency</w:t>
      </w:r>
      <w:r w:rsidR="00A942E0">
        <w:t>. If a trade is large it requires a different approach both for transparency and</w:t>
      </w:r>
      <w:r w:rsidR="00875C70">
        <w:t xml:space="preserve"> for</w:t>
      </w:r>
      <w:r w:rsidR="00A942E0">
        <w:t xml:space="preserve"> the TO requirements. There is no reason why the application should be different between the two sets of requirements.</w:t>
      </w:r>
    </w:p>
    <w:permEnd w:id="1167797849"/>
    <w:p w14:paraId="15B1FF87" w14:textId="77777777" w:rsidR="00EF314C" w:rsidRDefault="00EF314C" w:rsidP="00EF314C">
      <w:r>
        <w:t>&lt;ESMA_QUESTION_MIFID_TO_</w:t>
      </w:r>
      <w:r w:rsidR="00273633">
        <w:t>15</w:t>
      </w:r>
      <w:r>
        <w:t>&gt;</w:t>
      </w:r>
    </w:p>
    <w:p w14:paraId="68A48FF1" w14:textId="77777777" w:rsidR="00EF314C" w:rsidRDefault="00EF314C" w:rsidP="00EF314C">
      <w:pPr>
        <w:rPr>
          <w:rFonts w:cs="Arial"/>
          <w:b/>
          <w:sz w:val="22"/>
          <w:szCs w:val="22"/>
          <w:lang w:eastAsia="en-US"/>
        </w:rPr>
      </w:pPr>
    </w:p>
    <w:p w14:paraId="0C330FB5" w14:textId="77777777" w:rsidR="00EF314C" w:rsidRPr="000E6B5B" w:rsidRDefault="00FF5939" w:rsidP="00FF5939">
      <w:pPr>
        <w:pStyle w:val="CPQuestions"/>
      </w:pPr>
      <w:r w:rsidRPr="00FF5939">
        <w:t>Do you agree with the proposed methodology to eliminate duplicated trades or would you recommend another approach? Do you agree with selecting Option 2</w:t>
      </w:r>
      <w:r w:rsidR="00EF314C" w:rsidRPr="00070630">
        <w:t>?</w:t>
      </w:r>
    </w:p>
    <w:p w14:paraId="1DEE4F99" w14:textId="77777777" w:rsidR="00EF314C" w:rsidRDefault="00EF314C" w:rsidP="00EF314C">
      <w:r>
        <w:t>&lt;ESMA_QUESTION_MIFID_TO_</w:t>
      </w:r>
      <w:r w:rsidR="00273633">
        <w:t>16</w:t>
      </w:r>
      <w:r>
        <w:t>&gt;</w:t>
      </w:r>
    </w:p>
    <w:p w14:paraId="5A7066F0" w14:textId="77777777" w:rsidR="00EF314C" w:rsidRDefault="0073651F" w:rsidP="00EF314C">
      <w:permStart w:id="2034894180" w:edGrp="everyone"/>
      <w:r>
        <w:t>ESMA has better access and oversight of the total population of data. We have a concern that ESMA’s proposed approach may lead to the exclusion of trades between clearing members, so the approach should be adjusted to ensure that such trades are included.</w:t>
      </w:r>
    </w:p>
    <w:permEnd w:id="2034894180"/>
    <w:p w14:paraId="2529F488" w14:textId="77777777" w:rsidR="00EF314C" w:rsidRDefault="00EF314C" w:rsidP="00EF314C">
      <w:r>
        <w:t>&lt;ESMA_QUESTION_MIFID_TO_</w:t>
      </w:r>
      <w:r w:rsidR="00273633">
        <w:t>16</w:t>
      </w:r>
      <w:r>
        <w:t>&gt;</w:t>
      </w:r>
    </w:p>
    <w:p w14:paraId="5596DC19" w14:textId="77777777" w:rsidR="00EF314C" w:rsidRDefault="00EF314C" w:rsidP="00EF314C">
      <w:pPr>
        <w:rPr>
          <w:rFonts w:cs="Arial"/>
          <w:b/>
          <w:sz w:val="22"/>
          <w:szCs w:val="22"/>
          <w:lang w:eastAsia="en-US"/>
        </w:rPr>
      </w:pPr>
    </w:p>
    <w:p w14:paraId="17868AFE" w14:textId="77777777" w:rsidR="00EF314C" w:rsidRPr="000E6B5B" w:rsidRDefault="00FF5939" w:rsidP="00FF5939">
      <w:pPr>
        <w:pStyle w:val="CPQuestions"/>
      </w:pPr>
      <w:r w:rsidRPr="00FF5939">
        <w:t>Do you agree with the approach taken with regard to calculating tenors</w:t>
      </w:r>
      <w:r w:rsidR="00EF314C" w:rsidRPr="00070630">
        <w:t>?</w:t>
      </w:r>
    </w:p>
    <w:p w14:paraId="1F8EF8EF" w14:textId="77777777" w:rsidR="00EF314C" w:rsidRDefault="00EF314C" w:rsidP="00EF314C">
      <w:r>
        <w:t>&lt;ESMA_QUESTION_MIFID_TO_</w:t>
      </w:r>
      <w:r w:rsidR="00273633">
        <w:t>1</w:t>
      </w:r>
      <w:r>
        <w:t>7&gt;</w:t>
      </w:r>
    </w:p>
    <w:p w14:paraId="4105EC42" w14:textId="1C2355A4" w:rsidR="005B0E20" w:rsidRPr="00BA260F" w:rsidRDefault="0042331E" w:rsidP="00EF314C">
      <w:permStart w:id="751328616" w:edGrp="everyone"/>
      <w:r w:rsidRPr="00BA260F">
        <w:t>We</w:t>
      </w:r>
      <w:r w:rsidR="00171E36" w:rsidRPr="00BA260F">
        <w:t xml:space="preserve"> disagree. </w:t>
      </w:r>
      <w:r w:rsidR="00171E36" w:rsidRPr="004C7485">
        <w:t>We think that consistency between the CO and TO approach should be ensured</w:t>
      </w:r>
      <w:r w:rsidR="005B0E20" w:rsidRPr="004C7485">
        <w:t>.</w:t>
      </w:r>
      <w:r w:rsidR="00171E36" w:rsidRPr="004C7485">
        <w:t xml:space="preserve"> To achieve this, ESMA should consider ranges of maturities for the TO (in line with the CO determination).</w:t>
      </w:r>
      <w:r w:rsidR="00171E36" w:rsidRPr="00BA260F">
        <w:t xml:space="preserve"> The proposed ESMA approach would be very difficult to implement operationally and would create a risk of non-compliance with market participants having to adopt</w:t>
      </w:r>
      <w:r w:rsidR="008F087A" w:rsidRPr="00BA260F">
        <w:t xml:space="preserve"> varying approaches to the clearing and trading obligations.</w:t>
      </w:r>
    </w:p>
    <w:permEnd w:id="751328616"/>
    <w:p w14:paraId="1B457EEA" w14:textId="77777777" w:rsidR="00EF314C" w:rsidRDefault="00EF314C" w:rsidP="00EF314C">
      <w:r>
        <w:t>&lt;ESMA_QUESTION_MIFID_TO_</w:t>
      </w:r>
      <w:r w:rsidR="00273633">
        <w:t>1</w:t>
      </w:r>
      <w:r>
        <w:t>7&gt;</w:t>
      </w:r>
    </w:p>
    <w:p w14:paraId="54228FCD" w14:textId="77777777" w:rsidR="00EF314C" w:rsidRDefault="00EF314C" w:rsidP="00EF314C">
      <w:pPr>
        <w:rPr>
          <w:rFonts w:cs="Arial"/>
          <w:b/>
          <w:sz w:val="22"/>
          <w:szCs w:val="22"/>
          <w:lang w:eastAsia="en-US"/>
        </w:rPr>
      </w:pPr>
    </w:p>
    <w:p w14:paraId="4CF39F89" w14:textId="77777777" w:rsidR="00EF314C" w:rsidRPr="000E6B5B" w:rsidRDefault="00FF5939" w:rsidP="00FF5939">
      <w:pPr>
        <w:pStyle w:val="CPQuestions"/>
      </w:pPr>
      <w:r w:rsidRPr="00FF5939">
        <w:t>Do you agree with the reasons mentioned above or is there another explanation for the significant number of trades outside of benchmark dates</w:t>
      </w:r>
      <w:r w:rsidR="00EF314C" w:rsidRPr="00070630">
        <w:t>?</w:t>
      </w:r>
    </w:p>
    <w:p w14:paraId="393C3279" w14:textId="77777777" w:rsidR="00EF314C" w:rsidRDefault="00EF314C" w:rsidP="00EF314C">
      <w:r>
        <w:t>&lt;ESMA_QUESTION_MIFID_TO_</w:t>
      </w:r>
      <w:r w:rsidR="00273633">
        <w:t>18</w:t>
      </w:r>
      <w:r>
        <w:t>&gt;</w:t>
      </w:r>
    </w:p>
    <w:p w14:paraId="55690E6B" w14:textId="15158334" w:rsidR="00EF314C" w:rsidRDefault="009F3168" w:rsidP="00EF314C">
      <w:permStart w:id="655045585" w:edGrp="everyone"/>
      <w:r>
        <w:t>TYPE YOUR TEXT HERE</w:t>
      </w:r>
    </w:p>
    <w:permEnd w:id="655045585"/>
    <w:p w14:paraId="3A5AFD22" w14:textId="77777777" w:rsidR="00EF314C" w:rsidRDefault="00EF314C" w:rsidP="00EF314C">
      <w:r>
        <w:t>&lt;ESMA_QUESTION_MIFID_TO_</w:t>
      </w:r>
      <w:r w:rsidR="00273633">
        <w:t>18</w:t>
      </w:r>
      <w:r>
        <w:t>&gt;</w:t>
      </w:r>
    </w:p>
    <w:p w14:paraId="4FADC828" w14:textId="77777777" w:rsidR="00EF314C" w:rsidRDefault="00EF314C" w:rsidP="00EF314C">
      <w:pPr>
        <w:rPr>
          <w:rFonts w:cs="Arial"/>
          <w:b/>
          <w:sz w:val="22"/>
          <w:szCs w:val="22"/>
          <w:lang w:eastAsia="en-US"/>
        </w:rPr>
      </w:pPr>
    </w:p>
    <w:p w14:paraId="58E49952" w14:textId="77777777" w:rsidR="00EF314C" w:rsidRPr="000E6B5B" w:rsidRDefault="00FF5939" w:rsidP="00FF5939">
      <w:pPr>
        <w:pStyle w:val="CPQuestions"/>
      </w:pPr>
      <w:r w:rsidRPr="00FF5939">
        <w:t>Does this result reflect your assessment of liquidity in fixed-float IRS? If not, please explain on which subclasses you disagree and why</w:t>
      </w:r>
      <w:r>
        <w:t>.</w:t>
      </w:r>
    </w:p>
    <w:p w14:paraId="54DAC31E" w14:textId="77777777" w:rsidR="00EF314C" w:rsidRDefault="00EF314C" w:rsidP="00EF314C">
      <w:r>
        <w:t>&lt;ESMA_QUESTION_MIFID_TO_</w:t>
      </w:r>
      <w:r w:rsidR="00273633">
        <w:t>19</w:t>
      </w:r>
      <w:r>
        <w:t>&gt;</w:t>
      </w:r>
    </w:p>
    <w:p w14:paraId="677C380D" w14:textId="77777777" w:rsidR="000501AA" w:rsidRDefault="000501AA" w:rsidP="00EF314C">
      <w:permStart w:id="1979545874" w:edGrp="everyone"/>
      <w:r>
        <w:t>We disagree. We think that the following classes should be subject to the TO (to be consistent with the CO):</w:t>
      </w:r>
    </w:p>
    <w:p w14:paraId="237F48FB" w14:textId="77777777" w:rsidR="000501AA" w:rsidRDefault="000501AA" w:rsidP="000501AA">
      <w:pPr>
        <w:pStyle w:val="ListParagraph"/>
        <w:numPr>
          <w:ilvl w:val="0"/>
          <w:numId w:val="37"/>
        </w:numPr>
      </w:pPr>
      <w:r>
        <w:t xml:space="preserve">EUR from 28 Days to 30 Years </w:t>
      </w:r>
    </w:p>
    <w:p w14:paraId="651F7B21" w14:textId="77777777" w:rsidR="000501AA" w:rsidRDefault="000501AA" w:rsidP="000501AA">
      <w:pPr>
        <w:pStyle w:val="ListParagraph"/>
        <w:numPr>
          <w:ilvl w:val="0"/>
          <w:numId w:val="37"/>
        </w:numPr>
      </w:pPr>
      <w:r>
        <w:lastRenderedPageBreak/>
        <w:t xml:space="preserve">GBP from 28 Days to 30 Years </w:t>
      </w:r>
    </w:p>
    <w:p w14:paraId="03C398CD" w14:textId="77777777" w:rsidR="00C23C6E" w:rsidRDefault="000501AA" w:rsidP="000501AA">
      <w:pPr>
        <w:pStyle w:val="ListParagraph"/>
        <w:numPr>
          <w:ilvl w:val="0"/>
          <w:numId w:val="37"/>
        </w:numPr>
      </w:pPr>
      <w:r>
        <w:t>USD from 28 Days to 30 Years</w:t>
      </w:r>
    </w:p>
    <w:p w14:paraId="01C9B4F6" w14:textId="77777777" w:rsidR="00BB62C5" w:rsidRDefault="00BB62C5" w:rsidP="00C23C6E"/>
    <w:p w14:paraId="59277C60" w14:textId="4993B748" w:rsidR="009E3833" w:rsidRDefault="00C23C6E" w:rsidP="00C23C6E">
      <w:r>
        <w:t>(For the avoidance of doubt we have no views on SEK and JPY</w:t>
      </w:r>
      <w:r w:rsidR="00AE1568">
        <w:t>.</w:t>
      </w:r>
      <w:r>
        <w:t>)</w:t>
      </w:r>
    </w:p>
    <w:p w14:paraId="5ADB5E4B" w14:textId="77777777" w:rsidR="00BB62C5" w:rsidRDefault="00BB62C5" w:rsidP="00C23C6E"/>
    <w:permEnd w:id="1979545874"/>
    <w:p w14:paraId="2CBD40E8" w14:textId="77777777" w:rsidR="00EF314C" w:rsidRDefault="00EF314C" w:rsidP="00EF314C">
      <w:r>
        <w:t>&lt;ESMA_QUESTION_MIFID_TO_</w:t>
      </w:r>
      <w:r w:rsidR="00273633">
        <w:t>19</w:t>
      </w:r>
      <w:r>
        <w:t>&gt;</w:t>
      </w:r>
    </w:p>
    <w:p w14:paraId="736FE011" w14:textId="77777777" w:rsidR="00EF314C" w:rsidRDefault="00EF314C" w:rsidP="00EF314C">
      <w:pPr>
        <w:rPr>
          <w:rFonts w:cs="Arial"/>
          <w:b/>
          <w:sz w:val="22"/>
          <w:szCs w:val="22"/>
          <w:lang w:eastAsia="en-US"/>
        </w:rPr>
      </w:pPr>
    </w:p>
    <w:p w14:paraId="25F3D993" w14:textId="77777777" w:rsidR="00EF314C" w:rsidRPr="000E6B5B" w:rsidRDefault="00FF5939" w:rsidP="00FF5939">
      <w:pPr>
        <w:pStyle w:val="CPQuestions"/>
      </w:pPr>
      <w:r w:rsidRPr="00FF5939">
        <w:t>What thresholds would you propose as the liquidity criteria? What minimum number of counterparties would you consider appropriate for introducing the TO</w:t>
      </w:r>
      <w:r w:rsidR="00EF314C" w:rsidRPr="00070630">
        <w:t>?</w:t>
      </w:r>
    </w:p>
    <w:p w14:paraId="16EE9760" w14:textId="77777777" w:rsidR="00EF314C" w:rsidRDefault="00EF314C" w:rsidP="00EF314C">
      <w:r>
        <w:t>&lt;ESMA_QUESTION_MIFID_TO_</w:t>
      </w:r>
      <w:r w:rsidR="00273633">
        <w:t>20</w:t>
      </w:r>
      <w:r>
        <w:t>&gt;</w:t>
      </w:r>
    </w:p>
    <w:p w14:paraId="5A31EF7A" w14:textId="5E27C52A" w:rsidR="00EF314C" w:rsidRDefault="00DD204C" w:rsidP="00EF314C">
      <w:permStart w:id="797591407" w:edGrp="everyone"/>
      <w:r>
        <w:t>Please see answer to question 4</w:t>
      </w:r>
      <w:r w:rsidR="00204C14">
        <w:t>.</w:t>
      </w:r>
    </w:p>
    <w:p w14:paraId="48BCFE9A" w14:textId="77777777" w:rsidR="00BB62C5" w:rsidRDefault="00BB62C5" w:rsidP="00EF314C"/>
    <w:permEnd w:id="797591407"/>
    <w:p w14:paraId="15802746" w14:textId="77777777" w:rsidR="00EF314C" w:rsidRDefault="00EF314C" w:rsidP="00EF314C">
      <w:r>
        <w:t>&lt;ESMA_QUESTION_MIFID_TO_</w:t>
      </w:r>
      <w:r w:rsidR="00273633">
        <w:t>20</w:t>
      </w:r>
      <w:r>
        <w:t>&gt;</w:t>
      </w:r>
    </w:p>
    <w:p w14:paraId="706F6D49" w14:textId="77777777" w:rsidR="00EF314C" w:rsidRDefault="00EF314C" w:rsidP="00EF314C">
      <w:pPr>
        <w:rPr>
          <w:rFonts w:cs="Arial"/>
          <w:b/>
          <w:sz w:val="22"/>
          <w:szCs w:val="22"/>
          <w:lang w:eastAsia="en-US"/>
        </w:rPr>
      </w:pPr>
    </w:p>
    <w:p w14:paraId="7DC086F2" w14:textId="77777777" w:rsidR="00EF314C" w:rsidRPr="000E6B5B" w:rsidRDefault="00FF5939" w:rsidP="00FF5939">
      <w:pPr>
        <w:pStyle w:val="CPQuestions"/>
      </w:pPr>
      <w:r w:rsidRPr="00FF5939">
        <w:t>What further specifications (e.g. payment frequency, reset frequency, day count convention, trade start type) would you consider necessary for specifying the trading obligation for fixed-float IRS? How would you determine these additional specifications</w:t>
      </w:r>
      <w:r w:rsidR="00EF314C" w:rsidRPr="00070630">
        <w:t>?</w:t>
      </w:r>
    </w:p>
    <w:p w14:paraId="5E05F4D0" w14:textId="77777777" w:rsidR="00EF314C" w:rsidRDefault="00EF314C" w:rsidP="00EF314C">
      <w:r>
        <w:t>&lt;ESMA_QUESTION_MIFID_TO_</w:t>
      </w:r>
      <w:r w:rsidR="00273633">
        <w:t>21</w:t>
      </w:r>
      <w:r>
        <w:t>&gt;</w:t>
      </w:r>
    </w:p>
    <w:p w14:paraId="258DB5FE" w14:textId="19B2B8D1" w:rsidR="00EF314C" w:rsidRDefault="00BF2831" w:rsidP="00EF314C">
      <w:permStart w:id="708771937" w:edGrp="everyone"/>
      <w:r>
        <w:t>TYPE YOUR TEXT HERE</w:t>
      </w:r>
    </w:p>
    <w:permEnd w:id="708771937"/>
    <w:p w14:paraId="488B905D" w14:textId="77777777" w:rsidR="00EF314C" w:rsidRDefault="00EF314C" w:rsidP="00EF314C">
      <w:r>
        <w:t>&lt;ESMA_QUESTION_MIFID_TO_</w:t>
      </w:r>
      <w:r w:rsidR="00273633">
        <w:t>21</w:t>
      </w:r>
      <w:r>
        <w:t>&gt;</w:t>
      </w:r>
    </w:p>
    <w:p w14:paraId="2D2E1761" w14:textId="77777777" w:rsidR="00EF314C" w:rsidRDefault="00EF314C" w:rsidP="00EF314C">
      <w:pPr>
        <w:rPr>
          <w:rFonts w:cs="Arial"/>
          <w:b/>
          <w:sz w:val="22"/>
          <w:szCs w:val="22"/>
          <w:lang w:eastAsia="en-US"/>
        </w:rPr>
      </w:pPr>
    </w:p>
    <w:p w14:paraId="5C43A4AD" w14:textId="77777777" w:rsidR="00EF314C" w:rsidRPr="000E6B5B" w:rsidRDefault="00FF5939" w:rsidP="00FF5939">
      <w:pPr>
        <w:pStyle w:val="CPQuestions"/>
      </w:pPr>
      <w:r w:rsidRPr="00FF5939">
        <w:t>Does this result reflect your assessment of liquidity in OIS? If not, please explain on which subclasses you disagree and why</w:t>
      </w:r>
      <w:r>
        <w:t>.</w:t>
      </w:r>
    </w:p>
    <w:p w14:paraId="2A1162C8" w14:textId="77777777" w:rsidR="00EF314C" w:rsidRDefault="00EF314C" w:rsidP="00EF314C">
      <w:r>
        <w:t>&lt;ESMA_QUESTION_MIFID_TO_</w:t>
      </w:r>
      <w:r w:rsidR="00273633">
        <w:t>22</w:t>
      </w:r>
      <w:r>
        <w:t>&gt;</w:t>
      </w:r>
    </w:p>
    <w:p w14:paraId="780755A4" w14:textId="69E0E4F8" w:rsidR="00EF314C" w:rsidRDefault="00E637EC" w:rsidP="00EF314C">
      <w:permStart w:id="1635938393" w:edGrp="everyone"/>
      <w:r>
        <w:t xml:space="preserve">We disagree. No TO should be introduced for OIS at this stage as the range of contracts is small and the number of trades per </w:t>
      </w:r>
      <w:r w:rsidR="00F65D9F">
        <w:t>da</w:t>
      </w:r>
      <w:r>
        <w:t xml:space="preserve">y is </w:t>
      </w:r>
      <w:r w:rsidR="009471D5">
        <w:t>insignificant</w:t>
      </w:r>
      <w:r>
        <w:t>.</w:t>
      </w:r>
    </w:p>
    <w:permEnd w:id="1635938393"/>
    <w:p w14:paraId="4C6D5D41" w14:textId="77777777" w:rsidR="00EF314C" w:rsidRDefault="00EF314C" w:rsidP="00EF314C">
      <w:r>
        <w:t>&lt;ESMA_QUESTION_MIFID_TO_</w:t>
      </w:r>
      <w:r w:rsidR="00273633">
        <w:t>22</w:t>
      </w:r>
      <w:r>
        <w:t>&gt;</w:t>
      </w:r>
    </w:p>
    <w:p w14:paraId="1A9F5704" w14:textId="77777777" w:rsidR="00EF314C" w:rsidRDefault="00EF314C" w:rsidP="00EF314C">
      <w:pPr>
        <w:rPr>
          <w:rFonts w:cs="Arial"/>
          <w:b/>
          <w:sz w:val="22"/>
          <w:szCs w:val="22"/>
          <w:lang w:eastAsia="en-US"/>
        </w:rPr>
      </w:pPr>
    </w:p>
    <w:p w14:paraId="6DD9E41B" w14:textId="77777777" w:rsidR="00EF314C" w:rsidRPr="000E6B5B" w:rsidRDefault="00FF5939" w:rsidP="00FF5939">
      <w:pPr>
        <w:pStyle w:val="CPQuestions"/>
      </w:pPr>
      <w:r w:rsidRPr="00FF5939">
        <w:t>What thresholds would you propose for the liquidity criteria? What minimum number of counterparties would you consider appropriate for introducing the TO</w:t>
      </w:r>
      <w:r w:rsidR="00EF314C" w:rsidRPr="00070630">
        <w:t>?</w:t>
      </w:r>
    </w:p>
    <w:p w14:paraId="5B10CDBA" w14:textId="77777777" w:rsidR="00EF314C" w:rsidRDefault="00EF314C" w:rsidP="00EF314C">
      <w:r>
        <w:t>&lt;ESMA_QUESTION_MIFID_TO_</w:t>
      </w:r>
      <w:r w:rsidR="00273633">
        <w:t>23</w:t>
      </w:r>
      <w:r>
        <w:t>&gt;</w:t>
      </w:r>
    </w:p>
    <w:p w14:paraId="2EB14465" w14:textId="3B2C3C98" w:rsidR="00EF314C" w:rsidRDefault="00886857" w:rsidP="00EF314C">
      <w:permStart w:id="771126400" w:edGrp="everyone"/>
      <w:r>
        <w:t>TYPE YOUR TEXT HERE</w:t>
      </w:r>
    </w:p>
    <w:permEnd w:id="771126400"/>
    <w:p w14:paraId="619998C7" w14:textId="77777777" w:rsidR="00EF314C" w:rsidRDefault="00EF314C" w:rsidP="00EF314C">
      <w:r>
        <w:t>&lt;ESMA_QUESTION_MIFID_TO_</w:t>
      </w:r>
      <w:r w:rsidR="00273633">
        <w:t>23</w:t>
      </w:r>
      <w:r>
        <w:t>&gt;</w:t>
      </w:r>
    </w:p>
    <w:p w14:paraId="5C86EC13" w14:textId="77777777" w:rsidR="00EF314C" w:rsidRDefault="00EF314C" w:rsidP="00EF314C">
      <w:pPr>
        <w:rPr>
          <w:rFonts w:cs="Arial"/>
          <w:b/>
          <w:sz w:val="22"/>
          <w:szCs w:val="22"/>
          <w:lang w:eastAsia="en-US"/>
        </w:rPr>
      </w:pPr>
    </w:p>
    <w:p w14:paraId="3F1B7051" w14:textId="77777777" w:rsidR="00EF314C" w:rsidRPr="000E6B5B" w:rsidRDefault="00FF5939" w:rsidP="00FF5939">
      <w:pPr>
        <w:pStyle w:val="CPQuestions"/>
      </w:pPr>
      <w:r w:rsidRPr="00FF5939">
        <w:t>What further specifications (e.g. payment frequency, reset frequency, day count convention, trade start type) would you consider necessary for specifying the trading obligation for OIS? How would you determine these additional specifications</w:t>
      </w:r>
      <w:r w:rsidR="00EF314C" w:rsidRPr="00070630">
        <w:t>?</w:t>
      </w:r>
    </w:p>
    <w:p w14:paraId="1AB09DFB" w14:textId="77777777" w:rsidR="00EF314C" w:rsidRDefault="00EF314C" w:rsidP="00EF314C">
      <w:r>
        <w:t>&lt;ESMA_QUESTION_MIFID_TO_</w:t>
      </w:r>
      <w:r w:rsidR="00273633">
        <w:t>24</w:t>
      </w:r>
      <w:r>
        <w:t>&gt;</w:t>
      </w:r>
    </w:p>
    <w:p w14:paraId="04A975C3" w14:textId="699B8558" w:rsidR="00EF314C" w:rsidRDefault="00D26153" w:rsidP="00EF314C">
      <w:permStart w:id="1227979919" w:edGrp="everyone"/>
      <w:r>
        <w:t>TYPE YOUR TEXT HERE</w:t>
      </w:r>
    </w:p>
    <w:permEnd w:id="1227979919"/>
    <w:p w14:paraId="74176991" w14:textId="77777777" w:rsidR="00EF314C" w:rsidRDefault="00EF314C" w:rsidP="00EF314C">
      <w:r>
        <w:t>&lt;ESMA_QUESTION_MIFID_TO_</w:t>
      </w:r>
      <w:r w:rsidR="00273633">
        <w:t>24</w:t>
      </w:r>
      <w:r>
        <w:t>&gt;</w:t>
      </w:r>
    </w:p>
    <w:p w14:paraId="4139D490" w14:textId="77777777" w:rsidR="00EF314C" w:rsidRDefault="00EF314C" w:rsidP="00EF314C">
      <w:pPr>
        <w:rPr>
          <w:rFonts w:cs="Arial"/>
          <w:b/>
          <w:sz w:val="22"/>
          <w:szCs w:val="22"/>
          <w:lang w:eastAsia="en-US"/>
        </w:rPr>
      </w:pPr>
    </w:p>
    <w:p w14:paraId="629C7FF0" w14:textId="77777777" w:rsidR="00EF314C" w:rsidRPr="000E6B5B" w:rsidRDefault="00FF5939" w:rsidP="00FF5939">
      <w:pPr>
        <w:pStyle w:val="CPQuestions"/>
      </w:pPr>
      <w:r w:rsidRPr="00FF5939">
        <w:t>Do you agree that due to the specificities of the FRA-market, FRAs should not be considered for the TO? Do you agree that the majority of FRAs transactions serve post-trade risk reduction purposes rather than actual trades</w:t>
      </w:r>
      <w:r>
        <w:t>.</w:t>
      </w:r>
    </w:p>
    <w:p w14:paraId="28E4FC0C" w14:textId="77777777" w:rsidR="00EF314C" w:rsidRDefault="00EF314C" w:rsidP="00EF314C">
      <w:r>
        <w:t>&lt;ESMA_QUESTION_MIFID_TO_</w:t>
      </w:r>
      <w:r w:rsidR="00273633">
        <w:t>25</w:t>
      </w:r>
      <w:r>
        <w:t>&gt;</w:t>
      </w:r>
    </w:p>
    <w:p w14:paraId="73A61460" w14:textId="76943EE3" w:rsidR="00EF314C" w:rsidRDefault="00FF3A51" w:rsidP="00EF314C">
      <w:permStart w:id="1535187281" w:edGrp="everyone"/>
      <w:r>
        <w:t>We agree.</w:t>
      </w:r>
    </w:p>
    <w:permEnd w:id="1535187281"/>
    <w:p w14:paraId="456893AC" w14:textId="77777777" w:rsidR="00EF314C" w:rsidRDefault="00EF314C" w:rsidP="00EF314C">
      <w:r>
        <w:t>&lt;ESMA_QUESTION_MIFID_TO_</w:t>
      </w:r>
      <w:r w:rsidR="00273633">
        <w:t>25</w:t>
      </w:r>
      <w:r>
        <w:t>&gt;</w:t>
      </w:r>
    </w:p>
    <w:p w14:paraId="57F5FD6F" w14:textId="77777777" w:rsidR="00EF314C" w:rsidRDefault="00EF314C" w:rsidP="00EF314C">
      <w:pPr>
        <w:rPr>
          <w:rFonts w:cs="Arial"/>
          <w:b/>
          <w:sz w:val="22"/>
          <w:szCs w:val="22"/>
          <w:lang w:eastAsia="en-US"/>
        </w:rPr>
      </w:pPr>
    </w:p>
    <w:p w14:paraId="13085DE6" w14:textId="77777777" w:rsidR="00EF314C" w:rsidRPr="000E6B5B" w:rsidRDefault="00FF5939" w:rsidP="00FF5939">
      <w:pPr>
        <w:pStyle w:val="CPQuestions"/>
      </w:pPr>
      <w:r w:rsidRPr="00FF5939">
        <w:t>In case you consider FRAs should be considered for the TO, which FRA sub-classes are in your view sufficiently liquid and based on which criteria? How should a TO for FRAs best be expressed? Should it be based on the first (effective date) or the second period (reference date)? Apart from the tenor, which elements do you consider necessary for specifying the TO for FRAs and why</w:t>
      </w:r>
      <w:r w:rsidR="00EF314C" w:rsidRPr="00070630">
        <w:t>?</w:t>
      </w:r>
    </w:p>
    <w:p w14:paraId="4306FA79" w14:textId="77777777" w:rsidR="00EF314C" w:rsidRDefault="00EF314C" w:rsidP="00EF314C">
      <w:r>
        <w:t>&lt;ESMA_QUESTION_MIFID_TO_</w:t>
      </w:r>
      <w:r w:rsidR="00273633">
        <w:t>26</w:t>
      </w:r>
      <w:r>
        <w:t>&gt;</w:t>
      </w:r>
    </w:p>
    <w:p w14:paraId="7DC3DD74" w14:textId="54C0432B" w:rsidR="00EF314C" w:rsidRDefault="00AC16EE" w:rsidP="00EF314C">
      <w:permStart w:id="826424881" w:edGrp="everyone"/>
      <w:r>
        <w:t>TYPE YOUR TEXT HERE</w:t>
      </w:r>
    </w:p>
    <w:permEnd w:id="826424881"/>
    <w:p w14:paraId="5E13A1C0" w14:textId="77777777" w:rsidR="00EF314C" w:rsidRDefault="00EF314C" w:rsidP="00EF314C">
      <w:r>
        <w:t>&lt;ESMA_QUESTION_MIFID_TO_</w:t>
      </w:r>
      <w:r w:rsidR="00273633">
        <w:t>26</w:t>
      </w:r>
      <w:r>
        <w:t>&gt;</w:t>
      </w:r>
    </w:p>
    <w:p w14:paraId="32313145" w14:textId="77777777" w:rsidR="00EF314C" w:rsidRDefault="00EF314C" w:rsidP="00EF314C">
      <w:pPr>
        <w:rPr>
          <w:rFonts w:cs="Arial"/>
          <w:b/>
          <w:sz w:val="22"/>
          <w:szCs w:val="22"/>
          <w:lang w:eastAsia="en-US"/>
        </w:rPr>
      </w:pPr>
    </w:p>
    <w:p w14:paraId="243BFAD6" w14:textId="77777777" w:rsidR="00EF314C" w:rsidRPr="000E6B5B" w:rsidRDefault="004C2CD0" w:rsidP="00FF5939">
      <w:pPr>
        <w:pStyle w:val="CPQuestions"/>
      </w:pPr>
      <w:r>
        <w:t>Would you consider</w:t>
      </w:r>
      <w:r w:rsidR="00FF5939" w:rsidRPr="00FF5939">
        <w:t xml:space="preserve"> the two index CDS as sufficiently liquid for being covered by the TO</w:t>
      </w:r>
      <w:r w:rsidR="00EF314C" w:rsidRPr="00070630">
        <w:t>?</w:t>
      </w:r>
    </w:p>
    <w:p w14:paraId="2C12A442" w14:textId="77777777" w:rsidR="00EF314C" w:rsidRDefault="00EF314C" w:rsidP="00EF314C">
      <w:r>
        <w:t>&lt;ESMA_QUESTION_MIFID_TO_</w:t>
      </w:r>
      <w:r w:rsidR="00273633">
        <w:t>2</w:t>
      </w:r>
      <w:r>
        <w:t>7&gt;</w:t>
      </w:r>
    </w:p>
    <w:p w14:paraId="07308D93" w14:textId="66B26100" w:rsidR="00BB62C5" w:rsidRDefault="00BB62C5" w:rsidP="00EF314C">
      <w:permStart w:id="405625959" w:edGrp="everyone"/>
      <w:r>
        <w:t>We agree.</w:t>
      </w:r>
    </w:p>
    <w:permEnd w:id="405625959"/>
    <w:p w14:paraId="6CB3E796" w14:textId="77777777" w:rsidR="00EF314C" w:rsidRDefault="00EF314C" w:rsidP="00EF314C">
      <w:r>
        <w:t>&lt;ESMA_QUESTION_MIFID_TO_</w:t>
      </w:r>
      <w:r w:rsidR="00273633">
        <w:t>2</w:t>
      </w:r>
      <w:r>
        <w:t>7&gt;</w:t>
      </w:r>
    </w:p>
    <w:p w14:paraId="4CC8659E" w14:textId="77777777" w:rsidR="00EF314C" w:rsidRDefault="00EF314C" w:rsidP="00EF314C">
      <w:pPr>
        <w:rPr>
          <w:rFonts w:cs="Arial"/>
          <w:b/>
          <w:sz w:val="22"/>
          <w:szCs w:val="22"/>
          <w:lang w:eastAsia="en-US"/>
        </w:rPr>
      </w:pPr>
    </w:p>
    <w:p w14:paraId="3EEF4F9E" w14:textId="77777777" w:rsidR="00EF314C" w:rsidRPr="000E6B5B" w:rsidRDefault="00FF5939" w:rsidP="00FF5939">
      <w:pPr>
        <w:pStyle w:val="CPQuestions"/>
      </w:pPr>
      <w:r w:rsidRPr="00FF5939">
        <w:t>Do you agree that the TO for CDS should cover the on-the-run series as well as the first thirty working days of the most recent off-the run-series? If not, please explain why and propose an alternative approach</w:t>
      </w:r>
      <w:r>
        <w:t>.</w:t>
      </w:r>
    </w:p>
    <w:p w14:paraId="7DCE257B" w14:textId="77777777" w:rsidR="00EF314C" w:rsidRDefault="00EF314C" w:rsidP="00EF314C">
      <w:r>
        <w:t>&lt;ESMA_QUESTION_MIFID_TO_</w:t>
      </w:r>
      <w:r w:rsidR="00273633">
        <w:t>28</w:t>
      </w:r>
      <w:r>
        <w:t>&gt;</w:t>
      </w:r>
    </w:p>
    <w:p w14:paraId="6880CBA7" w14:textId="77777777" w:rsidR="00EF314C" w:rsidRPr="008D4B92" w:rsidRDefault="003D7877" w:rsidP="00EF314C">
      <w:permStart w:id="910301693" w:edGrp="everyone"/>
      <w:r w:rsidRPr="008D4B92">
        <w:t xml:space="preserve">We disagree. The TO should be aligned with the CO for consistency. However, ESMA should consider a </w:t>
      </w:r>
      <w:r w:rsidRPr="004C7485">
        <w:t xml:space="preserve">carve out for cases where market participants have legacy series positions and wish to roll it into the run series. </w:t>
      </w:r>
      <w:r w:rsidRPr="008D4B92">
        <w:t>This would not be achievable on venue. Market participants need to have the ability to execute such transactions.</w:t>
      </w:r>
      <w:r w:rsidR="00C805E1" w:rsidRPr="008D4B92">
        <w:t xml:space="preserve"> </w:t>
      </w:r>
    </w:p>
    <w:permEnd w:id="910301693"/>
    <w:p w14:paraId="3011BC22" w14:textId="77777777" w:rsidR="00EF314C" w:rsidRDefault="00EF314C" w:rsidP="00EF314C">
      <w:r>
        <w:t>&lt;ESMA_QUESTION_MIFID_TO_</w:t>
      </w:r>
      <w:r w:rsidR="00273633">
        <w:t>28</w:t>
      </w:r>
      <w:r>
        <w:t>&gt;</w:t>
      </w:r>
    </w:p>
    <w:p w14:paraId="336B1E7F" w14:textId="77777777" w:rsidR="00EF314C" w:rsidRDefault="00EF314C" w:rsidP="00EF314C">
      <w:pPr>
        <w:rPr>
          <w:rFonts w:cs="Arial"/>
          <w:b/>
          <w:sz w:val="22"/>
          <w:szCs w:val="22"/>
          <w:lang w:eastAsia="en-US"/>
        </w:rPr>
      </w:pPr>
    </w:p>
    <w:p w14:paraId="2F7DC62E" w14:textId="77777777" w:rsidR="00EF314C" w:rsidRPr="000E6B5B" w:rsidRDefault="00FF5939" w:rsidP="00FF5939">
      <w:pPr>
        <w:pStyle w:val="CPQuestions"/>
      </w:pPr>
      <w:r w:rsidRPr="00FF5939">
        <w:t>Apart from the tenor, which elements do you consider indispensable for specifying the TO for CDSs and why</w:t>
      </w:r>
      <w:r w:rsidR="00EF314C" w:rsidRPr="00070630">
        <w:t>?</w:t>
      </w:r>
    </w:p>
    <w:p w14:paraId="0728969A" w14:textId="77777777" w:rsidR="00EF314C" w:rsidRDefault="00EF314C" w:rsidP="00EF314C">
      <w:r>
        <w:t>&lt;ESMA_QUESTION_MIFID_TO_</w:t>
      </w:r>
      <w:r w:rsidR="00273633">
        <w:t>29</w:t>
      </w:r>
      <w:r>
        <w:t>&gt;</w:t>
      </w:r>
    </w:p>
    <w:p w14:paraId="3B2634CA" w14:textId="66B48766" w:rsidR="00EF314C" w:rsidRDefault="00A81FC3" w:rsidP="00EF314C">
      <w:permStart w:id="940591159" w:edGrp="everyone"/>
      <w:r>
        <w:t>TYPE YOUR TEXT HERE</w:t>
      </w:r>
    </w:p>
    <w:permEnd w:id="940591159"/>
    <w:p w14:paraId="43C3EE9E" w14:textId="77777777" w:rsidR="00EF314C" w:rsidRDefault="00EF314C" w:rsidP="00EF314C">
      <w:r>
        <w:t>&lt;ESMA_QUESTION_MIFID_TO_</w:t>
      </w:r>
      <w:r w:rsidR="00273633">
        <w:t>29</w:t>
      </w:r>
      <w:r>
        <w:t>&gt;</w:t>
      </w:r>
    </w:p>
    <w:p w14:paraId="4EA5F6F1" w14:textId="77777777" w:rsidR="00EF314C" w:rsidRDefault="00EF314C" w:rsidP="00EF314C">
      <w:pPr>
        <w:rPr>
          <w:rFonts w:cs="Arial"/>
          <w:b/>
          <w:sz w:val="22"/>
          <w:szCs w:val="22"/>
          <w:lang w:eastAsia="en-US"/>
        </w:rPr>
      </w:pPr>
    </w:p>
    <w:p w14:paraId="4FFF69B2" w14:textId="77777777" w:rsidR="00EF314C" w:rsidRPr="000E6B5B" w:rsidRDefault="00FF5939" w:rsidP="00FF5939">
      <w:pPr>
        <w:pStyle w:val="CPQuestions"/>
      </w:pPr>
      <w:r w:rsidRPr="00FF5939">
        <w:lastRenderedPageBreak/>
        <w:t>Do you agree with the proposed application dates? If not, please provide an alternative and explain your reasoning</w:t>
      </w:r>
      <w:r>
        <w:t>.</w:t>
      </w:r>
    </w:p>
    <w:p w14:paraId="1486ABF5" w14:textId="77777777" w:rsidR="00EF314C" w:rsidRDefault="00EF314C" w:rsidP="00EF314C">
      <w:r>
        <w:t>&lt;ESMA_QUESTION_MIFID_TO_</w:t>
      </w:r>
      <w:r w:rsidR="00273633">
        <w:t>30</w:t>
      </w:r>
      <w:r>
        <w:t>&gt;</w:t>
      </w:r>
    </w:p>
    <w:p w14:paraId="0D7F84C3" w14:textId="77777777" w:rsidR="00D555F6" w:rsidRDefault="002505F1" w:rsidP="00EF314C">
      <w:permStart w:id="716467531" w:edGrp="everyone"/>
      <w:r>
        <w:t>We strongly disagree.</w:t>
      </w:r>
      <w:r w:rsidR="002F4C1C">
        <w:t xml:space="preserve"> The proposal contained in the DP doesn’t give enough time for venues to develop their offering and trading, banks to implement and support</w:t>
      </w:r>
      <w:r w:rsidR="00E5768D">
        <w:t xml:space="preserve"> liquidity, and buy-side firms to prepare. The first TO for category 1 should start at the earliest in June 2018, category 2 – December 2018. Category 3 and 4 should not be subject to the TO until 2020. </w:t>
      </w:r>
    </w:p>
    <w:p w14:paraId="7014ED80" w14:textId="77777777" w:rsidR="00D555F6" w:rsidRDefault="00D555F6" w:rsidP="00EF314C"/>
    <w:p w14:paraId="6DE83E55" w14:textId="77777777" w:rsidR="003F7178" w:rsidRDefault="00E5768D" w:rsidP="00EF314C">
      <w:r>
        <w:t xml:space="preserve">Alternatively, we suggest ESMA consider the approach where </w:t>
      </w:r>
      <w:r w:rsidR="00D555F6">
        <w:t xml:space="preserve">the TO is only considered </w:t>
      </w:r>
      <w:r w:rsidR="00534168">
        <w:t xml:space="preserve">when at least </w:t>
      </w:r>
      <w:r w:rsidR="00E310E7">
        <w:t xml:space="preserve">2 trading venues actively trade (as opposed to offer for trading) a class of </w:t>
      </w:r>
      <w:r w:rsidR="00AE4A01">
        <w:t>derivative.</w:t>
      </w:r>
      <w:r w:rsidR="002F4C1C">
        <w:t xml:space="preserve"> </w:t>
      </w:r>
    </w:p>
    <w:p w14:paraId="01AC4662" w14:textId="77777777" w:rsidR="00BB62C5" w:rsidRDefault="00BB62C5" w:rsidP="00EF314C"/>
    <w:permEnd w:id="716467531"/>
    <w:p w14:paraId="4914C8AF" w14:textId="77777777" w:rsidR="00EF314C" w:rsidRDefault="00EF314C" w:rsidP="00EF314C">
      <w:r>
        <w:t>&lt;ESMA_QUESTION_MIFID_TO_</w:t>
      </w:r>
      <w:r w:rsidR="00273633">
        <w:t>30</w:t>
      </w:r>
      <w:r>
        <w:t>&gt;</w:t>
      </w:r>
    </w:p>
    <w:p w14:paraId="3D63CC6D" w14:textId="77777777" w:rsidR="00EF314C" w:rsidRDefault="00EF314C" w:rsidP="00EF314C">
      <w:pPr>
        <w:rPr>
          <w:rFonts w:cs="Arial"/>
          <w:b/>
          <w:sz w:val="22"/>
          <w:szCs w:val="22"/>
          <w:lang w:eastAsia="en-US"/>
        </w:rPr>
      </w:pPr>
    </w:p>
    <w:p w14:paraId="38A63CD4" w14:textId="77777777" w:rsidR="00EF314C" w:rsidRPr="000E6B5B" w:rsidRDefault="00FF5939" w:rsidP="00FF5939">
      <w:pPr>
        <w:pStyle w:val="CPQuestions"/>
      </w:pPr>
      <w:r w:rsidRPr="00FF5939">
        <w:t>Do you consider necessary to provide for an additional phase-in for the TO for operational purposed and to avoid bottlenecks? If yes, please provide a proposal on the appropriate length of such a phase-in for the different categories of counterparties and explain your reasoning</w:t>
      </w:r>
      <w:r>
        <w:t>.</w:t>
      </w:r>
    </w:p>
    <w:p w14:paraId="5C785294" w14:textId="77777777" w:rsidR="00EF314C" w:rsidRDefault="00EF314C" w:rsidP="00EF314C">
      <w:r>
        <w:t>&lt;ESMA_QUESTION_MIFID_TO_</w:t>
      </w:r>
      <w:r w:rsidR="00273633">
        <w:t>31</w:t>
      </w:r>
      <w:r>
        <w:t>&gt;</w:t>
      </w:r>
    </w:p>
    <w:p w14:paraId="23CEB1CE" w14:textId="56BF0005" w:rsidR="008F5C9D" w:rsidRPr="001A527B" w:rsidRDefault="000D2C4C" w:rsidP="00EF314C">
      <w:permStart w:id="948598289" w:edGrp="everyone"/>
      <w:r>
        <w:t>No. We do not</w:t>
      </w:r>
      <w:r w:rsidR="00BE0AC3">
        <w:t xml:space="preserve"> consider additional phase-in is necessary for the TO.</w:t>
      </w:r>
    </w:p>
    <w:permEnd w:id="948598289"/>
    <w:p w14:paraId="4B87E77A" w14:textId="77777777" w:rsidR="00EF314C" w:rsidRDefault="00EF314C" w:rsidP="00EF314C">
      <w:r>
        <w:t>&lt;ESMA_QUESTION_MIFID_TO_</w:t>
      </w:r>
      <w:r w:rsidR="00273633">
        <w:t>31</w:t>
      </w:r>
      <w:r>
        <w:t>&gt;</w:t>
      </w:r>
    </w:p>
    <w:p w14:paraId="37C823A3" w14:textId="77777777" w:rsidR="00EF314C" w:rsidRDefault="00EF314C" w:rsidP="00EF314C">
      <w:pPr>
        <w:rPr>
          <w:rFonts w:cs="Arial"/>
          <w:b/>
          <w:sz w:val="22"/>
          <w:szCs w:val="22"/>
          <w:lang w:eastAsia="en-US"/>
        </w:rPr>
      </w:pPr>
    </w:p>
    <w:p w14:paraId="140C08C6" w14:textId="77777777" w:rsidR="00EF314C" w:rsidRPr="000E6B5B" w:rsidRDefault="00FF5939" w:rsidP="00FF5939">
      <w:pPr>
        <w:pStyle w:val="CPQuestions"/>
      </w:pPr>
      <w:r w:rsidRPr="00FF5939">
        <w:t>Which types of package transactions are carried out comprising components of classes of derivatives that are assessed for the purpose of the TO, i.e. IRD and/or CDS? Please describe the package and its components as well as your view on the liquidity of those packages</w:t>
      </w:r>
      <w:r>
        <w:t>.</w:t>
      </w:r>
    </w:p>
    <w:p w14:paraId="6329730D" w14:textId="77777777" w:rsidR="002326B8" w:rsidRDefault="00EF314C" w:rsidP="002326B8">
      <w:r>
        <w:t>&lt;ESMA_QUESTION_MIFID_TO_</w:t>
      </w:r>
      <w:r w:rsidR="00273633">
        <w:t>32</w:t>
      </w:r>
      <w:r>
        <w:t>&gt;</w:t>
      </w:r>
      <w:r w:rsidR="002326B8">
        <w:br/>
        <w:t>[TYPE YOUR TEXT HERE]</w:t>
      </w:r>
    </w:p>
    <w:p w14:paraId="67ABCFBC" w14:textId="77777777" w:rsidR="00EF314C" w:rsidRDefault="00EF314C" w:rsidP="00EF314C">
      <w:r>
        <w:t>&lt;ESMA_QUESTION_MIFID_TO_</w:t>
      </w:r>
      <w:r w:rsidR="00273633">
        <w:t>32</w:t>
      </w:r>
      <w:r>
        <w:t>&gt;</w:t>
      </w:r>
    </w:p>
    <w:p w14:paraId="454D4D71" w14:textId="77777777" w:rsidR="00EF314C" w:rsidRDefault="00EF314C" w:rsidP="00EF314C">
      <w:pPr>
        <w:rPr>
          <w:rFonts w:cs="Arial"/>
          <w:b/>
          <w:sz w:val="22"/>
          <w:szCs w:val="22"/>
          <w:lang w:eastAsia="en-US"/>
        </w:rPr>
      </w:pPr>
    </w:p>
    <w:p w14:paraId="41A0C257" w14:textId="77777777" w:rsidR="00EF314C" w:rsidRPr="000E6B5B" w:rsidRDefault="00FF5939" w:rsidP="00FF5939">
      <w:pPr>
        <w:pStyle w:val="CPQuestions"/>
      </w:pPr>
      <w:r w:rsidRPr="00FF5939">
        <w:t>Are there packages that only comprise components of classes of derivatives that are assessed for the purpose of the TO? Do you consider those package transactions to be standardised and sufficiently liquid</w:t>
      </w:r>
      <w:r w:rsidR="00EF314C" w:rsidRPr="00070630">
        <w:t>?</w:t>
      </w:r>
    </w:p>
    <w:p w14:paraId="3EF4983C" w14:textId="71075115" w:rsidR="00BB62C5" w:rsidRDefault="00EF314C" w:rsidP="00EF314C">
      <w:r>
        <w:t>&lt;ESMA_QUESTION_MIFID_TO_</w:t>
      </w:r>
      <w:r w:rsidR="00273633">
        <w:t>33</w:t>
      </w:r>
      <w:r>
        <w:t>&gt;</w:t>
      </w:r>
      <w:r w:rsidR="00943575">
        <w:br/>
      </w:r>
      <w:r w:rsidR="00866D96">
        <w:t>[</w:t>
      </w:r>
      <w:r w:rsidR="00943575">
        <w:t>TYPE YOUR TEXT HERE</w:t>
      </w:r>
      <w:r w:rsidR="00866D96">
        <w:t>]</w:t>
      </w:r>
      <w:r w:rsidR="00422E6D">
        <w:t xml:space="preserve"> </w:t>
      </w:r>
    </w:p>
    <w:p w14:paraId="48810645" w14:textId="77777777" w:rsidR="00EF314C" w:rsidRDefault="00EF314C" w:rsidP="00EF314C">
      <w:r>
        <w:t>&lt;ESMA_QUESTION_MIFID_TO_</w:t>
      </w:r>
      <w:r w:rsidR="00273633">
        <w:t>33</w:t>
      </w:r>
      <w:r>
        <w:t>&gt;</w:t>
      </w:r>
    </w:p>
    <w:p w14:paraId="18DA620E" w14:textId="77777777" w:rsidR="00EF314C" w:rsidRDefault="00EF314C" w:rsidP="00EF314C">
      <w:pPr>
        <w:rPr>
          <w:rFonts w:cs="Arial"/>
          <w:b/>
          <w:sz w:val="22"/>
          <w:szCs w:val="22"/>
          <w:lang w:eastAsia="en-US"/>
        </w:rPr>
      </w:pPr>
    </w:p>
    <w:p w14:paraId="0CF07686" w14:textId="77777777" w:rsidR="00EF314C" w:rsidRPr="000E6B5B" w:rsidRDefault="00FF5939" w:rsidP="00FF5939">
      <w:pPr>
        <w:pStyle w:val="CPQuestions"/>
      </w:pPr>
      <w:r w:rsidRPr="00FF5939">
        <w:t>Do you agree that package transactions that are comprised only of components subject to the TO should also be covered by the TO or should the TO only apply to categories of package transactions that are considered liquid? If not, please explain</w:t>
      </w:r>
      <w:r>
        <w:t>.</w:t>
      </w:r>
    </w:p>
    <w:p w14:paraId="7FFFB86F" w14:textId="77777777" w:rsidR="00273633" w:rsidRDefault="00EF314C" w:rsidP="00273633">
      <w:pPr>
        <w:pStyle w:val="00bDBInfo"/>
        <w:framePr w:hSpace="142" w:wrap="around" w:vAnchor="page" w:hAnchor="page" w:x="1248" w:y="15820"/>
        <w:suppressOverlap/>
      </w:pPr>
      <w:r>
        <w:t>&lt;ESMA_QUESTION_MIFID_TO</w:t>
      </w:r>
    </w:p>
    <w:p w14:paraId="6E2E77C0" w14:textId="40BE7409" w:rsidR="00BB62C5" w:rsidRDefault="00273633" w:rsidP="00273633">
      <w:r>
        <w:t>&lt;ESMA_QUESTION_MIFID_TO_34&gt;</w:t>
      </w:r>
    </w:p>
    <w:p w14:paraId="597C9CB6" w14:textId="29AAD44E" w:rsidR="0035002D" w:rsidRDefault="0035002D" w:rsidP="00273633">
      <w:r>
        <w:t>[TYPE YOUR TEXT HERE]</w:t>
      </w:r>
    </w:p>
    <w:p w14:paraId="07B4EB9A" w14:textId="77777777" w:rsidR="00273633" w:rsidRDefault="00273633" w:rsidP="00273633">
      <w:r>
        <w:t>&lt;ESMA_QUESTION_MIFID_TO_34&gt;</w:t>
      </w:r>
    </w:p>
    <w:p w14:paraId="42BF2752" w14:textId="77777777" w:rsidR="00EF314C" w:rsidRDefault="00EF314C" w:rsidP="00EF314C">
      <w:pPr>
        <w:rPr>
          <w:rFonts w:cs="Arial"/>
          <w:b/>
          <w:sz w:val="22"/>
          <w:szCs w:val="22"/>
          <w:lang w:eastAsia="en-US"/>
        </w:rPr>
      </w:pPr>
    </w:p>
    <w:p w14:paraId="3A544D5B" w14:textId="77777777" w:rsidR="00EF314C" w:rsidRPr="000E6B5B" w:rsidRDefault="00FF5939" w:rsidP="00FF5939">
      <w:pPr>
        <w:pStyle w:val="CPQuestions"/>
      </w:pPr>
      <w:r w:rsidRPr="00FF5939">
        <w:t>How should the TO apply for package transactions that include some components subject to the TO, whereas other components are not subject to the TO</w:t>
      </w:r>
      <w:r w:rsidR="00EF314C" w:rsidRPr="00070630">
        <w:t>?</w:t>
      </w:r>
    </w:p>
    <w:p w14:paraId="4F286A5C" w14:textId="60820522" w:rsidR="00EF314C" w:rsidRDefault="00EF314C" w:rsidP="00EF314C">
      <w:r>
        <w:t>&lt;ESMA_QUESTION_MIFID_TO_35&gt;</w:t>
      </w:r>
      <w:r w:rsidR="0035002D">
        <w:br/>
        <w:t>[TYPE YOUR TEXT HERE]</w:t>
      </w:r>
    </w:p>
    <w:p w14:paraId="79E2394B" w14:textId="77777777" w:rsidR="00EF314C" w:rsidRDefault="00EF314C" w:rsidP="00EF314C">
      <w:r>
        <w:t>&lt;ESMA_QUESTION_MIFID_TO_35&gt;</w:t>
      </w:r>
    </w:p>
    <w:p w14:paraId="76BCF9DD" w14:textId="77777777" w:rsidR="00EF314C" w:rsidRDefault="00EF314C" w:rsidP="00EF314C">
      <w:pPr>
        <w:rPr>
          <w:rFonts w:cs="Arial"/>
          <w:b/>
          <w:sz w:val="22"/>
          <w:szCs w:val="22"/>
          <w:lang w:eastAsia="en-US"/>
        </w:rPr>
      </w:pPr>
    </w:p>
    <w:sectPr w:rsidR="00EF314C"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653F0" w14:textId="77777777" w:rsidR="001737C3" w:rsidRDefault="001737C3">
      <w:r>
        <w:separator/>
      </w:r>
    </w:p>
    <w:p w14:paraId="24FEE2C0" w14:textId="77777777" w:rsidR="001737C3" w:rsidRDefault="001737C3"/>
  </w:endnote>
  <w:endnote w:type="continuationSeparator" w:id="0">
    <w:p w14:paraId="793DFC6B" w14:textId="77777777" w:rsidR="001737C3" w:rsidRDefault="001737C3">
      <w:r>
        <w:continuationSeparator/>
      </w:r>
    </w:p>
    <w:p w14:paraId="5A099226" w14:textId="77777777" w:rsidR="001737C3" w:rsidRDefault="001737C3"/>
  </w:endnote>
  <w:endnote w:type="continuationNotice" w:id="1">
    <w:p w14:paraId="65DC7E0E" w14:textId="77777777" w:rsidR="001737C3" w:rsidRDefault="00173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3F525" w14:textId="77777777" w:rsidR="001737C3" w:rsidRDefault="001737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737C3" w:rsidRPr="00616B9B" w14:paraId="3ACC7D92" w14:textId="77777777" w:rsidTr="00315E96">
      <w:trPr>
        <w:trHeight w:val="284"/>
      </w:trPr>
      <w:tc>
        <w:tcPr>
          <w:tcW w:w="8460" w:type="dxa"/>
        </w:tcPr>
        <w:p w14:paraId="0928C0C3" w14:textId="77777777" w:rsidR="001737C3" w:rsidRPr="00315E96" w:rsidRDefault="001737C3" w:rsidP="00315E96">
          <w:pPr>
            <w:pStyle w:val="00Footer"/>
            <w:rPr>
              <w:lang w:val="fr-FR"/>
            </w:rPr>
          </w:pPr>
        </w:p>
      </w:tc>
      <w:tc>
        <w:tcPr>
          <w:tcW w:w="952" w:type="dxa"/>
        </w:tcPr>
        <w:p w14:paraId="7B77B7A0" w14:textId="77777777" w:rsidR="001737C3" w:rsidRPr="00616B9B" w:rsidRDefault="001737C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667BB">
            <w:rPr>
              <w:rFonts w:cs="Arial"/>
              <w:noProof/>
              <w:sz w:val="22"/>
              <w:szCs w:val="22"/>
            </w:rPr>
            <w:t>13</w:t>
          </w:r>
          <w:r w:rsidRPr="00616B9B">
            <w:rPr>
              <w:rFonts w:cs="Arial"/>
              <w:noProof/>
              <w:sz w:val="22"/>
              <w:szCs w:val="22"/>
            </w:rPr>
            <w:fldChar w:fldCharType="end"/>
          </w:r>
        </w:p>
      </w:tc>
    </w:tr>
  </w:tbl>
  <w:p w14:paraId="51FA1B09" w14:textId="77777777" w:rsidR="001737C3" w:rsidRDefault="001737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7F1DA" w14:textId="77777777" w:rsidR="001737C3" w:rsidRDefault="001737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AEC09" w14:textId="77777777" w:rsidR="001737C3" w:rsidRDefault="0017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C5D3D" w14:textId="77777777" w:rsidR="001737C3" w:rsidRDefault="001737C3">
      <w:r>
        <w:separator/>
      </w:r>
    </w:p>
    <w:p w14:paraId="7241DCCD" w14:textId="77777777" w:rsidR="001737C3" w:rsidRDefault="001737C3"/>
  </w:footnote>
  <w:footnote w:type="continuationSeparator" w:id="0">
    <w:p w14:paraId="6E6F2A21" w14:textId="77777777" w:rsidR="001737C3" w:rsidRDefault="001737C3">
      <w:r>
        <w:continuationSeparator/>
      </w:r>
    </w:p>
    <w:p w14:paraId="39B0297A" w14:textId="77777777" w:rsidR="001737C3" w:rsidRDefault="001737C3"/>
  </w:footnote>
  <w:footnote w:type="continuationNotice" w:id="1">
    <w:p w14:paraId="03EF8DFC" w14:textId="77777777" w:rsidR="001737C3" w:rsidRDefault="001737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D8D1" w14:textId="77777777" w:rsidR="001737C3" w:rsidRDefault="001737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C128" w14:textId="77777777" w:rsidR="001737C3" w:rsidRDefault="001737C3">
    <w:pPr>
      <w:pStyle w:val="Header"/>
    </w:pPr>
    <w:r>
      <w:rPr>
        <w:noProof/>
        <w:lang w:eastAsia="en-GB"/>
      </w:rPr>
      <w:drawing>
        <wp:anchor distT="0" distB="0" distL="114300" distR="114300" simplePos="0" relativeHeight="251658240" behindDoc="0" locked="0" layoutInCell="1" allowOverlap="1" wp14:anchorId="7107728E" wp14:editId="45C299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5579AEC0" wp14:editId="3831F03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04F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20670" w14:textId="77777777" w:rsidR="001737C3" w:rsidRDefault="001737C3" w:rsidP="00013CCE">
    <w:pPr>
      <w:pStyle w:val="Header"/>
      <w:jc w:val="right"/>
    </w:pPr>
    <w:r>
      <w:rPr>
        <w:noProof/>
        <w:lang w:eastAsia="en-GB"/>
      </w:rPr>
      <w:drawing>
        <wp:anchor distT="0" distB="0" distL="114300" distR="114300" simplePos="0" relativeHeight="251657216" behindDoc="0" locked="0" layoutInCell="1" allowOverlap="1" wp14:anchorId="6ED8459D" wp14:editId="79F3929D">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04C9789" wp14:editId="655E180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CC36D" w14:textId="77777777" w:rsidR="001737C3" w:rsidRDefault="001737C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737C3" w:rsidRPr="002F4496" w14:paraId="1919FDE5" w14:textId="77777777" w:rsidTr="000C06C9">
      <w:trPr>
        <w:trHeight w:val="284"/>
      </w:trPr>
      <w:tc>
        <w:tcPr>
          <w:tcW w:w="8460" w:type="dxa"/>
        </w:tcPr>
        <w:p w14:paraId="7AEA8710" w14:textId="77777777" w:rsidR="001737C3" w:rsidRPr="000C3B6D" w:rsidRDefault="001737C3" w:rsidP="000C06C9">
          <w:pPr>
            <w:pStyle w:val="00Footer"/>
            <w:rPr>
              <w:lang w:val="fr-FR"/>
            </w:rPr>
          </w:pPr>
        </w:p>
      </w:tc>
      <w:tc>
        <w:tcPr>
          <w:tcW w:w="952" w:type="dxa"/>
        </w:tcPr>
        <w:p w14:paraId="124C6DB9" w14:textId="77777777" w:rsidR="001737C3" w:rsidRPr="00146B34" w:rsidRDefault="001737C3" w:rsidP="000C06C9">
          <w:pPr>
            <w:pStyle w:val="00aPagenumber"/>
            <w:rPr>
              <w:lang w:val="fr-FR"/>
            </w:rPr>
          </w:pPr>
        </w:p>
      </w:tc>
    </w:tr>
  </w:tbl>
  <w:p w14:paraId="152DE9B3" w14:textId="77777777" w:rsidR="001737C3" w:rsidRPr="00DB46C3" w:rsidRDefault="001737C3">
    <w:pPr>
      <w:rPr>
        <w:lang w:val="fr-FR"/>
      </w:rPr>
    </w:pPr>
  </w:p>
  <w:p w14:paraId="1D6B31A6" w14:textId="77777777" w:rsidR="001737C3" w:rsidRPr="002F4496" w:rsidRDefault="001737C3">
    <w:pPr>
      <w:pStyle w:val="Header"/>
      <w:rPr>
        <w:lang w:val="fr-FR"/>
      </w:rPr>
    </w:pPr>
  </w:p>
  <w:p w14:paraId="345C7AEE" w14:textId="77777777" w:rsidR="001737C3" w:rsidRPr="002F4496" w:rsidRDefault="001737C3" w:rsidP="000C06C9">
    <w:pPr>
      <w:pStyle w:val="Header"/>
      <w:tabs>
        <w:tab w:val="clear" w:pos="4536"/>
        <w:tab w:val="clear" w:pos="9072"/>
        <w:tab w:val="left" w:pos="8227"/>
      </w:tabs>
      <w:rPr>
        <w:lang w:val="fr-FR"/>
      </w:rPr>
    </w:pPr>
  </w:p>
  <w:p w14:paraId="5AE4DD31" w14:textId="77777777" w:rsidR="001737C3" w:rsidRPr="002F4496" w:rsidRDefault="001737C3" w:rsidP="000C06C9">
    <w:pPr>
      <w:pStyle w:val="Header"/>
      <w:tabs>
        <w:tab w:val="clear" w:pos="4536"/>
        <w:tab w:val="clear" w:pos="9072"/>
        <w:tab w:val="left" w:pos="8227"/>
      </w:tabs>
      <w:rPr>
        <w:lang w:val="fr-FR"/>
      </w:rPr>
    </w:pPr>
  </w:p>
  <w:p w14:paraId="19068DC0" w14:textId="77777777" w:rsidR="001737C3" w:rsidRPr="002F4496" w:rsidRDefault="001737C3">
    <w:pPr>
      <w:pStyle w:val="Header"/>
      <w:rPr>
        <w:lang w:val="fr-FR"/>
      </w:rPr>
    </w:pPr>
  </w:p>
  <w:p w14:paraId="2B78B646" w14:textId="77777777" w:rsidR="001737C3" w:rsidRPr="002F4496" w:rsidRDefault="001737C3">
    <w:pPr>
      <w:pStyle w:val="Header"/>
      <w:rPr>
        <w:lang w:val="fr-FR"/>
      </w:rPr>
    </w:pPr>
  </w:p>
  <w:p w14:paraId="50F565C2" w14:textId="77777777" w:rsidR="001737C3" w:rsidRPr="002F4496" w:rsidRDefault="001737C3">
    <w:pPr>
      <w:pStyle w:val="Header"/>
      <w:rPr>
        <w:lang w:val="fr-FR"/>
      </w:rPr>
    </w:pPr>
  </w:p>
  <w:p w14:paraId="714DA482" w14:textId="77777777" w:rsidR="001737C3" w:rsidRPr="002F4496" w:rsidRDefault="001737C3">
    <w:pPr>
      <w:pStyle w:val="Header"/>
      <w:rPr>
        <w:lang w:val="fr-FR"/>
      </w:rPr>
    </w:pPr>
  </w:p>
  <w:p w14:paraId="4AACF1AF" w14:textId="77777777" w:rsidR="001737C3" w:rsidRPr="002F4496" w:rsidRDefault="001737C3">
    <w:pPr>
      <w:pStyle w:val="Header"/>
      <w:rPr>
        <w:highlight w:val="yellow"/>
        <w:lang w:val="fr-FR"/>
      </w:rPr>
    </w:pPr>
  </w:p>
  <w:p w14:paraId="67C0941F" w14:textId="77777777" w:rsidR="001737C3" w:rsidRDefault="001737C3">
    <w:pPr>
      <w:pStyle w:val="Header"/>
    </w:pPr>
    <w:r>
      <w:rPr>
        <w:noProof/>
        <w:lang w:eastAsia="en-GB"/>
      </w:rPr>
      <mc:AlternateContent>
        <mc:Choice Requires="wps">
          <w:drawing>
            <wp:anchor distT="0" distB="0" distL="114299" distR="114299" simplePos="0" relativeHeight="251660288" behindDoc="0" locked="0" layoutInCell="1" allowOverlap="1" wp14:anchorId="65CD3D74" wp14:editId="0DBB74B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3CBD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6B7967B2" wp14:editId="2B8C01FD">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A7996"/>
    <w:multiLevelType w:val="hybridMultilevel"/>
    <w:tmpl w:val="9BCEAAEC"/>
    <w:lvl w:ilvl="0" w:tplc="0A5E17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821BB"/>
    <w:multiLevelType w:val="hybridMultilevel"/>
    <w:tmpl w:val="112AE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CE48B6"/>
    <w:multiLevelType w:val="hybridMultilevel"/>
    <w:tmpl w:val="81A4E01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7CE729D"/>
    <w:multiLevelType w:val="hybridMultilevel"/>
    <w:tmpl w:val="5E6E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28"/>
  </w:num>
  <w:num w:numId="21">
    <w:abstractNumId w:val="37"/>
  </w:num>
  <w:num w:numId="22">
    <w:abstractNumId w:val="26"/>
  </w:num>
  <w:num w:numId="23">
    <w:abstractNumId w:val="11"/>
  </w:num>
  <w:num w:numId="24">
    <w:abstractNumId w:val="31"/>
  </w:num>
  <w:num w:numId="25">
    <w:abstractNumId w:val="30"/>
  </w:num>
  <w:num w:numId="26">
    <w:abstractNumId w:val="21"/>
  </w:num>
  <w:num w:numId="27">
    <w:abstractNumId w:val="34"/>
  </w:num>
  <w:num w:numId="28">
    <w:abstractNumId w:val="40"/>
  </w:num>
  <w:num w:numId="29">
    <w:abstractNumId w:val="9"/>
  </w:num>
  <w:num w:numId="30">
    <w:abstractNumId w:val="5"/>
  </w:num>
  <w:num w:numId="31">
    <w:abstractNumId w:val="23"/>
  </w:num>
  <w:num w:numId="32">
    <w:abstractNumId w:val="2"/>
  </w:num>
  <w:num w:numId="33">
    <w:abstractNumId w:val="8"/>
  </w:num>
  <w:num w:numId="34">
    <w:abstractNumId w:val="22"/>
  </w:num>
  <w:num w:numId="35">
    <w:abstractNumId w:val="36"/>
  </w:num>
  <w:num w:numId="36">
    <w:abstractNumId w:val="35"/>
  </w:num>
  <w:num w:numId="37">
    <w:abstractNumId w:val="13"/>
  </w:num>
  <w:num w:numId="38">
    <w:abstractNumId w:val="4"/>
  </w:num>
  <w:num w:numId="39">
    <w:abstractNumId w:val="38"/>
  </w:num>
  <w:num w:numId="40">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3686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0AB1"/>
    <w:rsid w:val="00001490"/>
    <w:rsid w:val="00002232"/>
    <w:rsid w:val="00002491"/>
    <w:rsid w:val="0000300D"/>
    <w:rsid w:val="0000378E"/>
    <w:rsid w:val="00003AEB"/>
    <w:rsid w:val="00005BBA"/>
    <w:rsid w:val="00005D8C"/>
    <w:rsid w:val="00006C2B"/>
    <w:rsid w:val="00007014"/>
    <w:rsid w:val="00007968"/>
    <w:rsid w:val="0001067A"/>
    <w:rsid w:val="000135DB"/>
    <w:rsid w:val="00013CCE"/>
    <w:rsid w:val="000140D5"/>
    <w:rsid w:val="0001410B"/>
    <w:rsid w:val="000141D6"/>
    <w:rsid w:val="00014A95"/>
    <w:rsid w:val="00015B5E"/>
    <w:rsid w:val="00015F1D"/>
    <w:rsid w:val="0001774B"/>
    <w:rsid w:val="00020D0F"/>
    <w:rsid w:val="000215EB"/>
    <w:rsid w:val="00021E83"/>
    <w:rsid w:val="00021E94"/>
    <w:rsid w:val="00023713"/>
    <w:rsid w:val="00023C4D"/>
    <w:rsid w:val="00025E71"/>
    <w:rsid w:val="00026269"/>
    <w:rsid w:val="000270E1"/>
    <w:rsid w:val="00027154"/>
    <w:rsid w:val="00027ECF"/>
    <w:rsid w:val="000303BE"/>
    <w:rsid w:val="00032947"/>
    <w:rsid w:val="000337C9"/>
    <w:rsid w:val="000344D6"/>
    <w:rsid w:val="000346CC"/>
    <w:rsid w:val="00034960"/>
    <w:rsid w:val="00036FAE"/>
    <w:rsid w:val="0004038B"/>
    <w:rsid w:val="0004081E"/>
    <w:rsid w:val="00041858"/>
    <w:rsid w:val="00042478"/>
    <w:rsid w:val="0004389E"/>
    <w:rsid w:val="000463A6"/>
    <w:rsid w:val="00046CC9"/>
    <w:rsid w:val="00046E91"/>
    <w:rsid w:val="000501AA"/>
    <w:rsid w:val="000502FE"/>
    <w:rsid w:val="0005126D"/>
    <w:rsid w:val="00051992"/>
    <w:rsid w:val="00051E9A"/>
    <w:rsid w:val="000520F1"/>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4E24"/>
    <w:rsid w:val="0007609D"/>
    <w:rsid w:val="0007742A"/>
    <w:rsid w:val="00077C67"/>
    <w:rsid w:val="00080976"/>
    <w:rsid w:val="00081CEB"/>
    <w:rsid w:val="00081E60"/>
    <w:rsid w:val="00082D8E"/>
    <w:rsid w:val="00082E31"/>
    <w:rsid w:val="00083AA3"/>
    <w:rsid w:val="00084E5D"/>
    <w:rsid w:val="00085947"/>
    <w:rsid w:val="00086129"/>
    <w:rsid w:val="000868FE"/>
    <w:rsid w:val="000878D1"/>
    <w:rsid w:val="000921AE"/>
    <w:rsid w:val="000921D7"/>
    <w:rsid w:val="000925FF"/>
    <w:rsid w:val="000932E0"/>
    <w:rsid w:val="00094C4C"/>
    <w:rsid w:val="000953A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B6043"/>
    <w:rsid w:val="000B7071"/>
    <w:rsid w:val="000C06C9"/>
    <w:rsid w:val="000C1DCC"/>
    <w:rsid w:val="000C1FBC"/>
    <w:rsid w:val="000C2B6A"/>
    <w:rsid w:val="000C2F88"/>
    <w:rsid w:val="000C55C8"/>
    <w:rsid w:val="000C57C4"/>
    <w:rsid w:val="000C5FD3"/>
    <w:rsid w:val="000C701D"/>
    <w:rsid w:val="000C7C4A"/>
    <w:rsid w:val="000D04DB"/>
    <w:rsid w:val="000D17AA"/>
    <w:rsid w:val="000D2C4C"/>
    <w:rsid w:val="000D2D0B"/>
    <w:rsid w:val="000D4660"/>
    <w:rsid w:val="000D705D"/>
    <w:rsid w:val="000D7EB9"/>
    <w:rsid w:val="000E0223"/>
    <w:rsid w:val="000E0CF3"/>
    <w:rsid w:val="000E18A8"/>
    <w:rsid w:val="000E1AEC"/>
    <w:rsid w:val="000E3937"/>
    <w:rsid w:val="000E4926"/>
    <w:rsid w:val="000E4B27"/>
    <w:rsid w:val="000E5F7F"/>
    <w:rsid w:val="000E7086"/>
    <w:rsid w:val="000E7C65"/>
    <w:rsid w:val="000F04D2"/>
    <w:rsid w:val="000F1954"/>
    <w:rsid w:val="000F3272"/>
    <w:rsid w:val="000F3520"/>
    <w:rsid w:val="000F55B7"/>
    <w:rsid w:val="000F604F"/>
    <w:rsid w:val="000F7399"/>
    <w:rsid w:val="001027F1"/>
    <w:rsid w:val="00104F2E"/>
    <w:rsid w:val="00106E61"/>
    <w:rsid w:val="001072DD"/>
    <w:rsid w:val="00110D7A"/>
    <w:rsid w:val="00111464"/>
    <w:rsid w:val="0011167D"/>
    <w:rsid w:val="00112892"/>
    <w:rsid w:val="00112E48"/>
    <w:rsid w:val="001130EA"/>
    <w:rsid w:val="00113AE8"/>
    <w:rsid w:val="00114259"/>
    <w:rsid w:val="00115A30"/>
    <w:rsid w:val="001168B2"/>
    <w:rsid w:val="00116A71"/>
    <w:rsid w:val="00117C20"/>
    <w:rsid w:val="00117F7F"/>
    <w:rsid w:val="00120F0E"/>
    <w:rsid w:val="00121A5D"/>
    <w:rsid w:val="00121BED"/>
    <w:rsid w:val="00122324"/>
    <w:rsid w:val="00123D39"/>
    <w:rsid w:val="00123FD0"/>
    <w:rsid w:val="001244CD"/>
    <w:rsid w:val="0012566F"/>
    <w:rsid w:val="001262B1"/>
    <w:rsid w:val="00130C53"/>
    <w:rsid w:val="00130F41"/>
    <w:rsid w:val="00130FAF"/>
    <w:rsid w:val="00135F2B"/>
    <w:rsid w:val="001364E7"/>
    <w:rsid w:val="001372DD"/>
    <w:rsid w:val="00137E01"/>
    <w:rsid w:val="001405BA"/>
    <w:rsid w:val="00141497"/>
    <w:rsid w:val="00141BD3"/>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CDF"/>
    <w:rsid w:val="00164F15"/>
    <w:rsid w:val="001651A4"/>
    <w:rsid w:val="0016552B"/>
    <w:rsid w:val="00166B04"/>
    <w:rsid w:val="001670A6"/>
    <w:rsid w:val="001701FA"/>
    <w:rsid w:val="00171183"/>
    <w:rsid w:val="00171E36"/>
    <w:rsid w:val="001725A5"/>
    <w:rsid w:val="00172681"/>
    <w:rsid w:val="001737C3"/>
    <w:rsid w:val="00173AC7"/>
    <w:rsid w:val="001745D7"/>
    <w:rsid w:val="00175754"/>
    <w:rsid w:val="00176982"/>
    <w:rsid w:val="0017701C"/>
    <w:rsid w:val="00180858"/>
    <w:rsid w:val="00181264"/>
    <w:rsid w:val="00181BD1"/>
    <w:rsid w:val="0018204A"/>
    <w:rsid w:val="00182F7C"/>
    <w:rsid w:val="001843B5"/>
    <w:rsid w:val="00186829"/>
    <w:rsid w:val="001868CA"/>
    <w:rsid w:val="00187304"/>
    <w:rsid w:val="001875BE"/>
    <w:rsid w:val="001879DF"/>
    <w:rsid w:val="0019017A"/>
    <w:rsid w:val="00190B8C"/>
    <w:rsid w:val="00190FF8"/>
    <w:rsid w:val="0019311A"/>
    <w:rsid w:val="00193660"/>
    <w:rsid w:val="0019508A"/>
    <w:rsid w:val="001960D8"/>
    <w:rsid w:val="001A1642"/>
    <w:rsid w:val="001A342A"/>
    <w:rsid w:val="001A371B"/>
    <w:rsid w:val="001A4766"/>
    <w:rsid w:val="001A5050"/>
    <w:rsid w:val="001A527B"/>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2F46"/>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EF1"/>
    <w:rsid w:val="00204C14"/>
    <w:rsid w:val="00204CBC"/>
    <w:rsid w:val="002051F1"/>
    <w:rsid w:val="002067BA"/>
    <w:rsid w:val="00206EDA"/>
    <w:rsid w:val="0021058D"/>
    <w:rsid w:val="00211E2F"/>
    <w:rsid w:val="00211E9E"/>
    <w:rsid w:val="00214463"/>
    <w:rsid w:val="00214FB4"/>
    <w:rsid w:val="00215398"/>
    <w:rsid w:val="00215940"/>
    <w:rsid w:val="00217C23"/>
    <w:rsid w:val="0022015C"/>
    <w:rsid w:val="00220561"/>
    <w:rsid w:val="00220CE4"/>
    <w:rsid w:val="00222D9B"/>
    <w:rsid w:val="00223788"/>
    <w:rsid w:val="00223D11"/>
    <w:rsid w:val="002242D3"/>
    <w:rsid w:val="00227BA8"/>
    <w:rsid w:val="002301E6"/>
    <w:rsid w:val="002326B8"/>
    <w:rsid w:val="00232F90"/>
    <w:rsid w:val="00233B08"/>
    <w:rsid w:val="00233C3B"/>
    <w:rsid w:val="0023499C"/>
    <w:rsid w:val="00235CE3"/>
    <w:rsid w:val="0023636A"/>
    <w:rsid w:val="00236F34"/>
    <w:rsid w:val="00236F92"/>
    <w:rsid w:val="00237000"/>
    <w:rsid w:val="002372F7"/>
    <w:rsid w:val="00240651"/>
    <w:rsid w:val="00240803"/>
    <w:rsid w:val="0024426D"/>
    <w:rsid w:val="00244F1D"/>
    <w:rsid w:val="00245004"/>
    <w:rsid w:val="00245FB4"/>
    <w:rsid w:val="00246DD8"/>
    <w:rsid w:val="002505F1"/>
    <w:rsid w:val="00250898"/>
    <w:rsid w:val="00251EA9"/>
    <w:rsid w:val="00252843"/>
    <w:rsid w:val="00253F1E"/>
    <w:rsid w:val="002543F8"/>
    <w:rsid w:val="00254926"/>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74D"/>
    <w:rsid w:val="00282B96"/>
    <w:rsid w:val="002833D6"/>
    <w:rsid w:val="00283F51"/>
    <w:rsid w:val="00286064"/>
    <w:rsid w:val="002860EA"/>
    <w:rsid w:val="002867B1"/>
    <w:rsid w:val="002871E4"/>
    <w:rsid w:val="00287A34"/>
    <w:rsid w:val="00287BBB"/>
    <w:rsid w:val="00287E3B"/>
    <w:rsid w:val="00290638"/>
    <w:rsid w:val="00291763"/>
    <w:rsid w:val="00291D80"/>
    <w:rsid w:val="00293156"/>
    <w:rsid w:val="00293BE7"/>
    <w:rsid w:val="002946DC"/>
    <w:rsid w:val="002A0768"/>
    <w:rsid w:val="002A0C82"/>
    <w:rsid w:val="002A0CD8"/>
    <w:rsid w:val="002A13EB"/>
    <w:rsid w:val="002A324B"/>
    <w:rsid w:val="002A35EF"/>
    <w:rsid w:val="002A3DE0"/>
    <w:rsid w:val="002A40EA"/>
    <w:rsid w:val="002A46E8"/>
    <w:rsid w:val="002A491C"/>
    <w:rsid w:val="002A7700"/>
    <w:rsid w:val="002B06E7"/>
    <w:rsid w:val="002B1FEF"/>
    <w:rsid w:val="002B2DF8"/>
    <w:rsid w:val="002B354F"/>
    <w:rsid w:val="002B3614"/>
    <w:rsid w:val="002B45D1"/>
    <w:rsid w:val="002B4ED8"/>
    <w:rsid w:val="002B4FAA"/>
    <w:rsid w:val="002B52C2"/>
    <w:rsid w:val="002B7656"/>
    <w:rsid w:val="002C1492"/>
    <w:rsid w:val="002C1E8B"/>
    <w:rsid w:val="002C2EFE"/>
    <w:rsid w:val="002C4EA9"/>
    <w:rsid w:val="002C53AA"/>
    <w:rsid w:val="002C5B2D"/>
    <w:rsid w:val="002C6AF9"/>
    <w:rsid w:val="002C7DFC"/>
    <w:rsid w:val="002D14F3"/>
    <w:rsid w:val="002D16E4"/>
    <w:rsid w:val="002D2CFD"/>
    <w:rsid w:val="002D2FEF"/>
    <w:rsid w:val="002D36C2"/>
    <w:rsid w:val="002D3FCB"/>
    <w:rsid w:val="002D4957"/>
    <w:rsid w:val="002D4FEF"/>
    <w:rsid w:val="002D502D"/>
    <w:rsid w:val="002D63F5"/>
    <w:rsid w:val="002D6E1A"/>
    <w:rsid w:val="002E036D"/>
    <w:rsid w:val="002E1517"/>
    <w:rsid w:val="002E16F0"/>
    <w:rsid w:val="002E1B22"/>
    <w:rsid w:val="002E387F"/>
    <w:rsid w:val="002E76FC"/>
    <w:rsid w:val="002E7F4B"/>
    <w:rsid w:val="002F0C91"/>
    <w:rsid w:val="002F0D9E"/>
    <w:rsid w:val="002F0E3E"/>
    <w:rsid w:val="002F1B19"/>
    <w:rsid w:val="002F1FBF"/>
    <w:rsid w:val="002F4139"/>
    <w:rsid w:val="002F4C1C"/>
    <w:rsid w:val="002F6E3A"/>
    <w:rsid w:val="00300624"/>
    <w:rsid w:val="00300B42"/>
    <w:rsid w:val="00300F56"/>
    <w:rsid w:val="00301006"/>
    <w:rsid w:val="00302521"/>
    <w:rsid w:val="00304A71"/>
    <w:rsid w:val="003066C8"/>
    <w:rsid w:val="0030739D"/>
    <w:rsid w:val="00307AFB"/>
    <w:rsid w:val="00311184"/>
    <w:rsid w:val="003118C6"/>
    <w:rsid w:val="00311D18"/>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4EAC"/>
    <w:rsid w:val="00335E13"/>
    <w:rsid w:val="00336B56"/>
    <w:rsid w:val="00341B25"/>
    <w:rsid w:val="00341EC0"/>
    <w:rsid w:val="0034240C"/>
    <w:rsid w:val="00344496"/>
    <w:rsid w:val="00345968"/>
    <w:rsid w:val="00347667"/>
    <w:rsid w:val="0035002D"/>
    <w:rsid w:val="003507E2"/>
    <w:rsid w:val="00351D99"/>
    <w:rsid w:val="003522B2"/>
    <w:rsid w:val="003526E0"/>
    <w:rsid w:val="0035455E"/>
    <w:rsid w:val="00354A6F"/>
    <w:rsid w:val="00354B48"/>
    <w:rsid w:val="00355789"/>
    <w:rsid w:val="00357221"/>
    <w:rsid w:val="00360865"/>
    <w:rsid w:val="003609B6"/>
    <w:rsid w:val="00361119"/>
    <w:rsid w:val="0036538D"/>
    <w:rsid w:val="00365D12"/>
    <w:rsid w:val="0036750E"/>
    <w:rsid w:val="0037018D"/>
    <w:rsid w:val="00372299"/>
    <w:rsid w:val="00372F02"/>
    <w:rsid w:val="00373729"/>
    <w:rsid w:val="00373C91"/>
    <w:rsid w:val="003748F0"/>
    <w:rsid w:val="00375363"/>
    <w:rsid w:val="003755C6"/>
    <w:rsid w:val="00375AEF"/>
    <w:rsid w:val="00376367"/>
    <w:rsid w:val="00376B02"/>
    <w:rsid w:val="0037733A"/>
    <w:rsid w:val="003776DC"/>
    <w:rsid w:val="003779C1"/>
    <w:rsid w:val="00380FEC"/>
    <w:rsid w:val="00381226"/>
    <w:rsid w:val="00381B1B"/>
    <w:rsid w:val="00381FF6"/>
    <w:rsid w:val="00383D7D"/>
    <w:rsid w:val="00384CCE"/>
    <w:rsid w:val="00385176"/>
    <w:rsid w:val="003851D6"/>
    <w:rsid w:val="00385B5D"/>
    <w:rsid w:val="00385FF7"/>
    <w:rsid w:val="003865E5"/>
    <w:rsid w:val="0038686C"/>
    <w:rsid w:val="003926C1"/>
    <w:rsid w:val="00392900"/>
    <w:rsid w:val="00393357"/>
    <w:rsid w:val="00395E7B"/>
    <w:rsid w:val="00395F4C"/>
    <w:rsid w:val="00396419"/>
    <w:rsid w:val="00397B10"/>
    <w:rsid w:val="003A3E53"/>
    <w:rsid w:val="003A5948"/>
    <w:rsid w:val="003A5DAC"/>
    <w:rsid w:val="003A6591"/>
    <w:rsid w:val="003A6E9A"/>
    <w:rsid w:val="003B08C8"/>
    <w:rsid w:val="003B2567"/>
    <w:rsid w:val="003B381A"/>
    <w:rsid w:val="003B4976"/>
    <w:rsid w:val="003B4B3F"/>
    <w:rsid w:val="003B6258"/>
    <w:rsid w:val="003B7A99"/>
    <w:rsid w:val="003C0343"/>
    <w:rsid w:val="003C066B"/>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877"/>
    <w:rsid w:val="003E0F84"/>
    <w:rsid w:val="003E1FF3"/>
    <w:rsid w:val="003E3ACA"/>
    <w:rsid w:val="003E50EA"/>
    <w:rsid w:val="003E68C7"/>
    <w:rsid w:val="003E79B0"/>
    <w:rsid w:val="003F0403"/>
    <w:rsid w:val="003F1094"/>
    <w:rsid w:val="003F2E45"/>
    <w:rsid w:val="003F3EFE"/>
    <w:rsid w:val="003F40B8"/>
    <w:rsid w:val="003F5C06"/>
    <w:rsid w:val="003F7178"/>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2E6D"/>
    <w:rsid w:val="0042331E"/>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67E1D"/>
    <w:rsid w:val="00470773"/>
    <w:rsid w:val="00471FF9"/>
    <w:rsid w:val="00473E74"/>
    <w:rsid w:val="00473FEF"/>
    <w:rsid w:val="00475B8E"/>
    <w:rsid w:val="0048104E"/>
    <w:rsid w:val="004814BB"/>
    <w:rsid w:val="004815DA"/>
    <w:rsid w:val="004819AB"/>
    <w:rsid w:val="00482458"/>
    <w:rsid w:val="00482E2E"/>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5F0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4611"/>
    <w:rsid w:val="004B59E0"/>
    <w:rsid w:val="004B667B"/>
    <w:rsid w:val="004B71C7"/>
    <w:rsid w:val="004C03AA"/>
    <w:rsid w:val="004C0B9A"/>
    <w:rsid w:val="004C14E7"/>
    <w:rsid w:val="004C1D89"/>
    <w:rsid w:val="004C2A94"/>
    <w:rsid w:val="004C2CD0"/>
    <w:rsid w:val="004C3DAB"/>
    <w:rsid w:val="004C5766"/>
    <w:rsid w:val="004C5F54"/>
    <w:rsid w:val="004C6E76"/>
    <w:rsid w:val="004C7485"/>
    <w:rsid w:val="004C77DD"/>
    <w:rsid w:val="004C7826"/>
    <w:rsid w:val="004C7B33"/>
    <w:rsid w:val="004D1410"/>
    <w:rsid w:val="004D1478"/>
    <w:rsid w:val="004D19EE"/>
    <w:rsid w:val="004D1CF2"/>
    <w:rsid w:val="004D2D3A"/>
    <w:rsid w:val="004D374D"/>
    <w:rsid w:val="004D3DEC"/>
    <w:rsid w:val="004D42C8"/>
    <w:rsid w:val="004D4814"/>
    <w:rsid w:val="004D4F57"/>
    <w:rsid w:val="004D50F6"/>
    <w:rsid w:val="004D5A0D"/>
    <w:rsid w:val="004D7910"/>
    <w:rsid w:val="004D7DEA"/>
    <w:rsid w:val="004D7F7D"/>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843"/>
    <w:rsid w:val="005109B7"/>
    <w:rsid w:val="00510A19"/>
    <w:rsid w:val="00511184"/>
    <w:rsid w:val="00511AAB"/>
    <w:rsid w:val="005146B2"/>
    <w:rsid w:val="00514D10"/>
    <w:rsid w:val="00516783"/>
    <w:rsid w:val="00517EF8"/>
    <w:rsid w:val="00520083"/>
    <w:rsid w:val="0052029E"/>
    <w:rsid w:val="0052076A"/>
    <w:rsid w:val="00520973"/>
    <w:rsid w:val="00520A2C"/>
    <w:rsid w:val="00520E25"/>
    <w:rsid w:val="0052183D"/>
    <w:rsid w:val="00522F44"/>
    <w:rsid w:val="0052360A"/>
    <w:rsid w:val="005242BA"/>
    <w:rsid w:val="005243B8"/>
    <w:rsid w:val="005252DD"/>
    <w:rsid w:val="00526430"/>
    <w:rsid w:val="00530A8D"/>
    <w:rsid w:val="00531C6D"/>
    <w:rsid w:val="00532EF4"/>
    <w:rsid w:val="00534168"/>
    <w:rsid w:val="005347CE"/>
    <w:rsid w:val="00534A7A"/>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344C"/>
    <w:rsid w:val="005535F0"/>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6DC"/>
    <w:rsid w:val="005765C0"/>
    <w:rsid w:val="005778DE"/>
    <w:rsid w:val="00580B3F"/>
    <w:rsid w:val="005825F2"/>
    <w:rsid w:val="005848ED"/>
    <w:rsid w:val="005860AF"/>
    <w:rsid w:val="00587770"/>
    <w:rsid w:val="00587F1D"/>
    <w:rsid w:val="00590348"/>
    <w:rsid w:val="00591161"/>
    <w:rsid w:val="00592318"/>
    <w:rsid w:val="00593133"/>
    <w:rsid w:val="0059575D"/>
    <w:rsid w:val="00596825"/>
    <w:rsid w:val="00596B52"/>
    <w:rsid w:val="005A06A0"/>
    <w:rsid w:val="005A150A"/>
    <w:rsid w:val="005A27B2"/>
    <w:rsid w:val="005A2B3E"/>
    <w:rsid w:val="005A3644"/>
    <w:rsid w:val="005A4087"/>
    <w:rsid w:val="005A4B18"/>
    <w:rsid w:val="005A51A9"/>
    <w:rsid w:val="005A537E"/>
    <w:rsid w:val="005A6F43"/>
    <w:rsid w:val="005A767D"/>
    <w:rsid w:val="005B00F1"/>
    <w:rsid w:val="005B0CE7"/>
    <w:rsid w:val="005B0E20"/>
    <w:rsid w:val="005B10E2"/>
    <w:rsid w:val="005B1803"/>
    <w:rsid w:val="005B29D0"/>
    <w:rsid w:val="005B4079"/>
    <w:rsid w:val="005B428E"/>
    <w:rsid w:val="005B5B3C"/>
    <w:rsid w:val="005B5F54"/>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31D"/>
    <w:rsid w:val="005C663C"/>
    <w:rsid w:val="005D1023"/>
    <w:rsid w:val="005D148F"/>
    <w:rsid w:val="005D2AD2"/>
    <w:rsid w:val="005D4A86"/>
    <w:rsid w:val="005D5EB1"/>
    <w:rsid w:val="005D6A29"/>
    <w:rsid w:val="005D6F1F"/>
    <w:rsid w:val="005E0481"/>
    <w:rsid w:val="005E10BF"/>
    <w:rsid w:val="005E1834"/>
    <w:rsid w:val="005E316F"/>
    <w:rsid w:val="005E49E5"/>
    <w:rsid w:val="005E5481"/>
    <w:rsid w:val="005E55E4"/>
    <w:rsid w:val="005E6C5F"/>
    <w:rsid w:val="005E7636"/>
    <w:rsid w:val="005F028E"/>
    <w:rsid w:val="005F04B4"/>
    <w:rsid w:val="005F11A4"/>
    <w:rsid w:val="005F19F8"/>
    <w:rsid w:val="005F3FB1"/>
    <w:rsid w:val="005F57C8"/>
    <w:rsid w:val="005F5ACF"/>
    <w:rsid w:val="005F60DC"/>
    <w:rsid w:val="006000DD"/>
    <w:rsid w:val="00600F63"/>
    <w:rsid w:val="0060125D"/>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6DD4"/>
    <w:rsid w:val="00627999"/>
    <w:rsid w:val="00630FF7"/>
    <w:rsid w:val="00631CD3"/>
    <w:rsid w:val="00633433"/>
    <w:rsid w:val="006341B5"/>
    <w:rsid w:val="006346C9"/>
    <w:rsid w:val="00634727"/>
    <w:rsid w:val="00634B64"/>
    <w:rsid w:val="00634D6E"/>
    <w:rsid w:val="0063578C"/>
    <w:rsid w:val="0063621D"/>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840"/>
    <w:rsid w:val="00654936"/>
    <w:rsid w:val="00655485"/>
    <w:rsid w:val="006558B3"/>
    <w:rsid w:val="00656FB2"/>
    <w:rsid w:val="00660BF0"/>
    <w:rsid w:val="0066189C"/>
    <w:rsid w:val="00661DFC"/>
    <w:rsid w:val="006630CF"/>
    <w:rsid w:val="00663EFF"/>
    <w:rsid w:val="00666F74"/>
    <w:rsid w:val="00667FEA"/>
    <w:rsid w:val="006710D2"/>
    <w:rsid w:val="00671A8B"/>
    <w:rsid w:val="00671F53"/>
    <w:rsid w:val="006725A0"/>
    <w:rsid w:val="0067532D"/>
    <w:rsid w:val="0067555E"/>
    <w:rsid w:val="00677FAD"/>
    <w:rsid w:val="006802DE"/>
    <w:rsid w:val="0068032D"/>
    <w:rsid w:val="0068068C"/>
    <w:rsid w:val="00681115"/>
    <w:rsid w:val="00683920"/>
    <w:rsid w:val="00685147"/>
    <w:rsid w:val="00685653"/>
    <w:rsid w:val="0068590D"/>
    <w:rsid w:val="00685A89"/>
    <w:rsid w:val="006861B3"/>
    <w:rsid w:val="006868BA"/>
    <w:rsid w:val="00686FA2"/>
    <w:rsid w:val="006870C5"/>
    <w:rsid w:val="00690F0E"/>
    <w:rsid w:val="006911C0"/>
    <w:rsid w:val="00691B7C"/>
    <w:rsid w:val="00694372"/>
    <w:rsid w:val="00694566"/>
    <w:rsid w:val="00694B73"/>
    <w:rsid w:val="00694DF2"/>
    <w:rsid w:val="00695F80"/>
    <w:rsid w:val="006966CD"/>
    <w:rsid w:val="00696735"/>
    <w:rsid w:val="0069780E"/>
    <w:rsid w:val="006A2CA2"/>
    <w:rsid w:val="006B2D40"/>
    <w:rsid w:val="006B34DF"/>
    <w:rsid w:val="006B39B2"/>
    <w:rsid w:val="006B3AF9"/>
    <w:rsid w:val="006B45A0"/>
    <w:rsid w:val="006B4F3E"/>
    <w:rsid w:val="006B5668"/>
    <w:rsid w:val="006B5F71"/>
    <w:rsid w:val="006B6E44"/>
    <w:rsid w:val="006B7059"/>
    <w:rsid w:val="006B7287"/>
    <w:rsid w:val="006B7F2E"/>
    <w:rsid w:val="006C0BF8"/>
    <w:rsid w:val="006C2253"/>
    <w:rsid w:val="006C2823"/>
    <w:rsid w:val="006C2CCB"/>
    <w:rsid w:val="006C4334"/>
    <w:rsid w:val="006C4B0F"/>
    <w:rsid w:val="006C5E96"/>
    <w:rsid w:val="006D399F"/>
    <w:rsid w:val="006D4F0C"/>
    <w:rsid w:val="006D55E2"/>
    <w:rsid w:val="006D5645"/>
    <w:rsid w:val="006D7363"/>
    <w:rsid w:val="006E0C8A"/>
    <w:rsid w:val="006E2A23"/>
    <w:rsid w:val="006E35E5"/>
    <w:rsid w:val="006E3C72"/>
    <w:rsid w:val="006E4F20"/>
    <w:rsid w:val="006E649A"/>
    <w:rsid w:val="006E6A1C"/>
    <w:rsid w:val="006F08DC"/>
    <w:rsid w:val="006F1B59"/>
    <w:rsid w:val="006F3948"/>
    <w:rsid w:val="006F4403"/>
    <w:rsid w:val="006F45EC"/>
    <w:rsid w:val="006F47B8"/>
    <w:rsid w:val="006F47D2"/>
    <w:rsid w:val="006F4B04"/>
    <w:rsid w:val="006F5456"/>
    <w:rsid w:val="006F57F2"/>
    <w:rsid w:val="006F6468"/>
    <w:rsid w:val="00700247"/>
    <w:rsid w:val="00701051"/>
    <w:rsid w:val="00702090"/>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5FC1"/>
    <w:rsid w:val="00726630"/>
    <w:rsid w:val="00727F73"/>
    <w:rsid w:val="00730705"/>
    <w:rsid w:val="00730944"/>
    <w:rsid w:val="0073248E"/>
    <w:rsid w:val="00733EE9"/>
    <w:rsid w:val="00735B8E"/>
    <w:rsid w:val="0073651F"/>
    <w:rsid w:val="0073673C"/>
    <w:rsid w:val="00736935"/>
    <w:rsid w:val="007415EE"/>
    <w:rsid w:val="00743DE7"/>
    <w:rsid w:val="0074509E"/>
    <w:rsid w:val="00745B9F"/>
    <w:rsid w:val="0074726F"/>
    <w:rsid w:val="00752D4F"/>
    <w:rsid w:val="0075409F"/>
    <w:rsid w:val="0075525A"/>
    <w:rsid w:val="00755609"/>
    <w:rsid w:val="00755986"/>
    <w:rsid w:val="00755C86"/>
    <w:rsid w:val="00755E19"/>
    <w:rsid w:val="00756BFF"/>
    <w:rsid w:val="00756D77"/>
    <w:rsid w:val="007572F5"/>
    <w:rsid w:val="00760041"/>
    <w:rsid w:val="007605C7"/>
    <w:rsid w:val="00760B08"/>
    <w:rsid w:val="00760EDA"/>
    <w:rsid w:val="00761F4E"/>
    <w:rsid w:val="00762150"/>
    <w:rsid w:val="00762621"/>
    <w:rsid w:val="00763F36"/>
    <w:rsid w:val="007648A0"/>
    <w:rsid w:val="00765AA9"/>
    <w:rsid w:val="00765ED1"/>
    <w:rsid w:val="00766F4D"/>
    <w:rsid w:val="00770268"/>
    <w:rsid w:val="007706B9"/>
    <w:rsid w:val="007707ED"/>
    <w:rsid w:val="00771474"/>
    <w:rsid w:val="00771C3B"/>
    <w:rsid w:val="007726F9"/>
    <w:rsid w:val="00773B94"/>
    <w:rsid w:val="00773C65"/>
    <w:rsid w:val="007743DA"/>
    <w:rsid w:val="00775937"/>
    <w:rsid w:val="00777046"/>
    <w:rsid w:val="007770DA"/>
    <w:rsid w:val="007805B9"/>
    <w:rsid w:val="00780C3A"/>
    <w:rsid w:val="007834A1"/>
    <w:rsid w:val="00785122"/>
    <w:rsid w:val="00791EB4"/>
    <w:rsid w:val="007928F1"/>
    <w:rsid w:val="0079357D"/>
    <w:rsid w:val="007937CC"/>
    <w:rsid w:val="00793A31"/>
    <w:rsid w:val="00794979"/>
    <w:rsid w:val="007956B7"/>
    <w:rsid w:val="00795F1A"/>
    <w:rsid w:val="00796EDE"/>
    <w:rsid w:val="00797297"/>
    <w:rsid w:val="007974B3"/>
    <w:rsid w:val="00797875"/>
    <w:rsid w:val="007A076C"/>
    <w:rsid w:val="007A16A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18B"/>
    <w:rsid w:val="007F365C"/>
    <w:rsid w:val="007F44D2"/>
    <w:rsid w:val="007F5066"/>
    <w:rsid w:val="007F621C"/>
    <w:rsid w:val="007F7155"/>
    <w:rsid w:val="00800C28"/>
    <w:rsid w:val="008018B5"/>
    <w:rsid w:val="0080245E"/>
    <w:rsid w:val="00803480"/>
    <w:rsid w:val="0080359C"/>
    <w:rsid w:val="008037AE"/>
    <w:rsid w:val="008043F4"/>
    <w:rsid w:val="00804BB4"/>
    <w:rsid w:val="00805D9F"/>
    <w:rsid w:val="008060C2"/>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8FB"/>
    <w:rsid w:val="00844DFF"/>
    <w:rsid w:val="00845D87"/>
    <w:rsid w:val="00846C3A"/>
    <w:rsid w:val="008477BF"/>
    <w:rsid w:val="008503DA"/>
    <w:rsid w:val="00850B68"/>
    <w:rsid w:val="00850E82"/>
    <w:rsid w:val="0085122D"/>
    <w:rsid w:val="008519E8"/>
    <w:rsid w:val="008525FF"/>
    <w:rsid w:val="00852C03"/>
    <w:rsid w:val="00854ADF"/>
    <w:rsid w:val="0085590C"/>
    <w:rsid w:val="008575EB"/>
    <w:rsid w:val="00862DDD"/>
    <w:rsid w:val="00862FFB"/>
    <w:rsid w:val="0086326D"/>
    <w:rsid w:val="00863CC1"/>
    <w:rsid w:val="00865B01"/>
    <w:rsid w:val="00866D7A"/>
    <w:rsid w:val="00866D96"/>
    <w:rsid w:val="00866EE3"/>
    <w:rsid w:val="00871F04"/>
    <w:rsid w:val="008746C1"/>
    <w:rsid w:val="00875C70"/>
    <w:rsid w:val="008771F7"/>
    <w:rsid w:val="00880224"/>
    <w:rsid w:val="0088244C"/>
    <w:rsid w:val="00883367"/>
    <w:rsid w:val="00884C2F"/>
    <w:rsid w:val="00884C47"/>
    <w:rsid w:val="00885E6F"/>
    <w:rsid w:val="008861AC"/>
    <w:rsid w:val="00886857"/>
    <w:rsid w:val="008868E4"/>
    <w:rsid w:val="00886A60"/>
    <w:rsid w:val="0088759B"/>
    <w:rsid w:val="00887EAB"/>
    <w:rsid w:val="008909B4"/>
    <w:rsid w:val="008922E8"/>
    <w:rsid w:val="00893916"/>
    <w:rsid w:val="0089442C"/>
    <w:rsid w:val="00895818"/>
    <w:rsid w:val="0089658B"/>
    <w:rsid w:val="00897CAE"/>
    <w:rsid w:val="008A2585"/>
    <w:rsid w:val="008A2718"/>
    <w:rsid w:val="008A4CF6"/>
    <w:rsid w:val="008A4E42"/>
    <w:rsid w:val="008A51AA"/>
    <w:rsid w:val="008A6A12"/>
    <w:rsid w:val="008B0DC6"/>
    <w:rsid w:val="008B2B9E"/>
    <w:rsid w:val="008B31F5"/>
    <w:rsid w:val="008B4C79"/>
    <w:rsid w:val="008B5D2D"/>
    <w:rsid w:val="008B6361"/>
    <w:rsid w:val="008C0320"/>
    <w:rsid w:val="008C27D6"/>
    <w:rsid w:val="008C2A81"/>
    <w:rsid w:val="008C3863"/>
    <w:rsid w:val="008C4BDC"/>
    <w:rsid w:val="008C50FF"/>
    <w:rsid w:val="008C5435"/>
    <w:rsid w:val="008C6BD1"/>
    <w:rsid w:val="008D0D70"/>
    <w:rsid w:val="008D2DB5"/>
    <w:rsid w:val="008D3F10"/>
    <w:rsid w:val="008D4B92"/>
    <w:rsid w:val="008D611D"/>
    <w:rsid w:val="008D6B37"/>
    <w:rsid w:val="008E1B6A"/>
    <w:rsid w:val="008E3054"/>
    <w:rsid w:val="008E32FF"/>
    <w:rsid w:val="008E5625"/>
    <w:rsid w:val="008E5C5B"/>
    <w:rsid w:val="008E6A37"/>
    <w:rsid w:val="008F0354"/>
    <w:rsid w:val="008F085A"/>
    <w:rsid w:val="008F087A"/>
    <w:rsid w:val="008F1462"/>
    <w:rsid w:val="008F2413"/>
    <w:rsid w:val="008F248D"/>
    <w:rsid w:val="008F2637"/>
    <w:rsid w:val="008F3466"/>
    <w:rsid w:val="008F4B2C"/>
    <w:rsid w:val="008F4C08"/>
    <w:rsid w:val="008F5C9D"/>
    <w:rsid w:val="008F6851"/>
    <w:rsid w:val="008F7BC4"/>
    <w:rsid w:val="00900E7A"/>
    <w:rsid w:val="00903E11"/>
    <w:rsid w:val="00903EBE"/>
    <w:rsid w:val="009041DE"/>
    <w:rsid w:val="00905631"/>
    <w:rsid w:val="00905D59"/>
    <w:rsid w:val="009062CA"/>
    <w:rsid w:val="00907631"/>
    <w:rsid w:val="00907776"/>
    <w:rsid w:val="00913401"/>
    <w:rsid w:val="00913567"/>
    <w:rsid w:val="009137B6"/>
    <w:rsid w:val="0091424E"/>
    <w:rsid w:val="009153D8"/>
    <w:rsid w:val="00915EBA"/>
    <w:rsid w:val="00917093"/>
    <w:rsid w:val="0092030E"/>
    <w:rsid w:val="00920825"/>
    <w:rsid w:val="009217B1"/>
    <w:rsid w:val="00921A42"/>
    <w:rsid w:val="009223BB"/>
    <w:rsid w:val="00922491"/>
    <w:rsid w:val="00923BCF"/>
    <w:rsid w:val="0092469F"/>
    <w:rsid w:val="00925AEC"/>
    <w:rsid w:val="0092751A"/>
    <w:rsid w:val="009305C4"/>
    <w:rsid w:val="00931FAF"/>
    <w:rsid w:val="009360F6"/>
    <w:rsid w:val="009371DC"/>
    <w:rsid w:val="0093759D"/>
    <w:rsid w:val="0093796F"/>
    <w:rsid w:val="00940239"/>
    <w:rsid w:val="00942BD6"/>
    <w:rsid w:val="00942DED"/>
    <w:rsid w:val="00943575"/>
    <w:rsid w:val="00944404"/>
    <w:rsid w:val="009452D7"/>
    <w:rsid w:val="00945FD1"/>
    <w:rsid w:val="00946CCC"/>
    <w:rsid w:val="009471D5"/>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32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6E2A"/>
    <w:rsid w:val="009A719F"/>
    <w:rsid w:val="009A7B72"/>
    <w:rsid w:val="009A7F49"/>
    <w:rsid w:val="009B03C4"/>
    <w:rsid w:val="009B0AA2"/>
    <w:rsid w:val="009B1D02"/>
    <w:rsid w:val="009B7133"/>
    <w:rsid w:val="009B7195"/>
    <w:rsid w:val="009B7658"/>
    <w:rsid w:val="009B7CD1"/>
    <w:rsid w:val="009B7E22"/>
    <w:rsid w:val="009B7E78"/>
    <w:rsid w:val="009C09A3"/>
    <w:rsid w:val="009C10FE"/>
    <w:rsid w:val="009C13BC"/>
    <w:rsid w:val="009C1CA4"/>
    <w:rsid w:val="009C2532"/>
    <w:rsid w:val="009C2BA4"/>
    <w:rsid w:val="009C3CA5"/>
    <w:rsid w:val="009C59A3"/>
    <w:rsid w:val="009C6091"/>
    <w:rsid w:val="009C634F"/>
    <w:rsid w:val="009D0219"/>
    <w:rsid w:val="009D0D55"/>
    <w:rsid w:val="009D2295"/>
    <w:rsid w:val="009D2511"/>
    <w:rsid w:val="009D3E7C"/>
    <w:rsid w:val="009D45C8"/>
    <w:rsid w:val="009D549F"/>
    <w:rsid w:val="009D55CA"/>
    <w:rsid w:val="009D5A7F"/>
    <w:rsid w:val="009D5EF0"/>
    <w:rsid w:val="009D6401"/>
    <w:rsid w:val="009E058F"/>
    <w:rsid w:val="009E0711"/>
    <w:rsid w:val="009E1917"/>
    <w:rsid w:val="009E3594"/>
    <w:rsid w:val="009E3833"/>
    <w:rsid w:val="009E3D37"/>
    <w:rsid w:val="009E5D18"/>
    <w:rsid w:val="009E6B77"/>
    <w:rsid w:val="009E7724"/>
    <w:rsid w:val="009E7D1F"/>
    <w:rsid w:val="009F106C"/>
    <w:rsid w:val="009F14B4"/>
    <w:rsid w:val="009F1D82"/>
    <w:rsid w:val="009F3168"/>
    <w:rsid w:val="009F37AA"/>
    <w:rsid w:val="009F544C"/>
    <w:rsid w:val="009F5731"/>
    <w:rsid w:val="009F6321"/>
    <w:rsid w:val="009F6378"/>
    <w:rsid w:val="009F6423"/>
    <w:rsid w:val="009F7669"/>
    <w:rsid w:val="009F7F45"/>
    <w:rsid w:val="009F7FD5"/>
    <w:rsid w:val="00A005D4"/>
    <w:rsid w:val="00A0083C"/>
    <w:rsid w:val="00A01A90"/>
    <w:rsid w:val="00A02370"/>
    <w:rsid w:val="00A04685"/>
    <w:rsid w:val="00A04C57"/>
    <w:rsid w:val="00A06340"/>
    <w:rsid w:val="00A067E1"/>
    <w:rsid w:val="00A0684F"/>
    <w:rsid w:val="00A06867"/>
    <w:rsid w:val="00A10148"/>
    <w:rsid w:val="00A113FD"/>
    <w:rsid w:val="00A11DDE"/>
    <w:rsid w:val="00A127A7"/>
    <w:rsid w:val="00A129F4"/>
    <w:rsid w:val="00A136F4"/>
    <w:rsid w:val="00A160D3"/>
    <w:rsid w:val="00A16DC9"/>
    <w:rsid w:val="00A20225"/>
    <w:rsid w:val="00A210DF"/>
    <w:rsid w:val="00A22F93"/>
    <w:rsid w:val="00A24269"/>
    <w:rsid w:val="00A243E4"/>
    <w:rsid w:val="00A25ED4"/>
    <w:rsid w:val="00A26C5C"/>
    <w:rsid w:val="00A3026E"/>
    <w:rsid w:val="00A30BDE"/>
    <w:rsid w:val="00A3131C"/>
    <w:rsid w:val="00A31F14"/>
    <w:rsid w:val="00A324DC"/>
    <w:rsid w:val="00A32B5A"/>
    <w:rsid w:val="00A33CCC"/>
    <w:rsid w:val="00A33D07"/>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8F6"/>
    <w:rsid w:val="00A63C96"/>
    <w:rsid w:val="00A641E3"/>
    <w:rsid w:val="00A646E1"/>
    <w:rsid w:val="00A65805"/>
    <w:rsid w:val="00A667BB"/>
    <w:rsid w:val="00A66BEE"/>
    <w:rsid w:val="00A671C9"/>
    <w:rsid w:val="00A67DFD"/>
    <w:rsid w:val="00A71455"/>
    <w:rsid w:val="00A72AF6"/>
    <w:rsid w:val="00A74F9F"/>
    <w:rsid w:val="00A750B3"/>
    <w:rsid w:val="00A75559"/>
    <w:rsid w:val="00A7623D"/>
    <w:rsid w:val="00A81FC3"/>
    <w:rsid w:val="00A824A7"/>
    <w:rsid w:val="00A83644"/>
    <w:rsid w:val="00A83C07"/>
    <w:rsid w:val="00A83F40"/>
    <w:rsid w:val="00A84945"/>
    <w:rsid w:val="00A85543"/>
    <w:rsid w:val="00A8728B"/>
    <w:rsid w:val="00A91682"/>
    <w:rsid w:val="00A92E4A"/>
    <w:rsid w:val="00A942E0"/>
    <w:rsid w:val="00A958CA"/>
    <w:rsid w:val="00A966B6"/>
    <w:rsid w:val="00A96780"/>
    <w:rsid w:val="00A96B46"/>
    <w:rsid w:val="00A9790F"/>
    <w:rsid w:val="00AA003B"/>
    <w:rsid w:val="00AA016B"/>
    <w:rsid w:val="00AA15DD"/>
    <w:rsid w:val="00AA1C09"/>
    <w:rsid w:val="00AA2F4C"/>
    <w:rsid w:val="00AA2F67"/>
    <w:rsid w:val="00AA354B"/>
    <w:rsid w:val="00AA3569"/>
    <w:rsid w:val="00AA5A1F"/>
    <w:rsid w:val="00AA5F4C"/>
    <w:rsid w:val="00AA615C"/>
    <w:rsid w:val="00AA6711"/>
    <w:rsid w:val="00AB2AEC"/>
    <w:rsid w:val="00AB2DC1"/>
    <w:rsid w:val="00AB3102"/>
    <w:rsid w:val="00AB3D9A"/>
    <w:rsid w:val="00AB4824"/>
    <w:rsid w:val="00AB4B1D"/>
    <w:rsid w:val="00AB6B5E"/>
    <w:rsid w:val="00AC047F"/>
    <w:rsid w:val="00AC160F"/>
    <w:rsid w:val="00AC16EE"/>
    <w:rsid w:val="00AC337B"/>
    <w:rsid w:val="00AC3934"/>
    <w:rsid w:val="00AC4DFD"/>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1568"/>
    <w:rsid w:val="00AE2AB4"/>
    <w:rsid w:val="00AE3BC6"/>
    <w:rsid w:val="00AE4A01"/>
    <w:rsid w:val="00AE4D4F"/>
    <w:rsid w:val="00AE4F97"/>
    <w:rsid w:val="00AE627C"/>
    <w:rsid w:val="00AE62B0"/>
    <w:rsid w:val="00AE68A2"/>
    <w:rsid w:val="00AF0029"/>
    <w:rsid w:val="00AF0354"/>
    <w:rsid w:val="00AF1236"/>
    <w:rsid w:val="00AF1856"/>
    <w:rsid w:val="00AF3C29"/>
    <w:rsid w:val="00AF4401"/>
    <w:rsid w:val="00AF4463"/>
    <w:rsid w:val="00AF53CB"/>
    <w:rsid w:val="00AF65C5"/>
    <w:rsid w:val="00B03CE2"/>
    <w:rsid w:val="00B06544"/>
    <w:rsid w:val="00B074E2"/>
    <w:rsid w:val="00B0759F"/>
    <w:rsid w:val="00B105F2"/>
    <w:rsid w:val="00B10991"/>
    <w:rsid w:val="00B12128"/>
    <w:rsid w:val="00B12945"/>
    <w:rsid w:val="00B12C1E"/>
    <w:rsid w:val="00B155DF"/>
    <w:rsid w:val="00B156CF"/>
    <w:rsid w:val="00B1570E"/>
    <w:rsid w:val="00B176B9"/>
    <w:rsid w:val="00B17AD5"/>
    <w:rsid w:val="00B17DC8"/>
    <w:rsid w:val="00B17E1E"/>
    <w:rsid w:val="00B20529"/>
    <w:rsid w:val="00B207F1"/>
    <w:rsid w:val="00B2084F"/>
    <w:rsid w:val="00B20A42"/>
    <w:rsid w:val="00B20BDE"/>
    <w:rsid w:val="00B20C41"/>
    <w:rsid w:val="00B2138D"/>
    <w:rsid w:val="00B21768"/>
    <w:rsid w:val="00B23F86"/>
    <w:rsid w:val="00B248A0"/>
    <w:rsid w:val="00B24B42"/>
    <w:rsid w:val="00B24B71"/>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206"/>
    <w:rsid w:val="00B37C73"/>
    <w:rsid w:val="00B4009B"/>
    <w:rsid w:val="00B400A1"/>
    <w:rsid w:val="00B40A2B"/>
    <w:rsid w:val="00B420CB"/>
    <w:rsid w:val="00B4401C"/>
    <w:rsid w:val="00B44802"/>
    <w:rsid w:val="00B455D1"/>
    <w:rsid w:val="00B46135"/>
    <w:rsid w:val="00B466C7"/>
    <w:rsid w:val="00B472AB"/>
    <w:rsid w:val="00B47CE4"/>
    <w:rsid w:val="00B47EFC"/>
    <w:rsid w:val="00B503A8"/>
    <w:rsid w:val="00B5121D"/>
    <w:rsid w:val="00B525C0"/>
    <w:rsid w:val="00B52FAB"/>
    <w:rsid w:val="00B5319A"/>
    <w:rsid w:val="00B539F9"/>
    <w:rsid w:val="00B53E56"/>
    <w:rsid w:val="00B546C3"/>
    <w:rsid w:val="00B54BD9"/>
    <w:rsid w:val="00B5503C"/>
    <w:rsid w:val="00B55640"/>
    <w:rsid w:val="00B5582E"/>
    <w:rsid w:val="00B55C57"/>
    <w:rsid w:val="00B56E4F"/>
    <w:rsid w:val="00B57107"/>
    <w:rsid w:val="00B60D27"/>
    <w:rsid w:val="00B619E4"/>
    <w:rsid w:val="00B61D0B"/>
    <w:rsid w:val="00B638CD"/>
    <w:rsid w:val="00B6439A"/>
    <w:rsid w:val="00B6443B"/>
    <w:rsid w:val="00B6517B"/>
    <w:rsid w:val="00B65E71"/>
    <w:rsid w:val="00B66957"/>
    <w:rsid w:val="00B66C26"/>
    <w:rsid w:val="00B71FB3"/>
    <w:rsid w:val="00B73492"/>
    <w:rsid w:val="00B7512A"/>
    <w:rsid w:val="00B76548"/>
    <w:rsid w:val="00B76BED"/>
    <w:rsid w:val="00B806E6"/>
    <w:rsid w:val="00B81A3F"/>
    <w:rsid w:val="00B82DC1"/>
    <w:rsid w:val="00B835D5"/>
    <w:rsid w:val="00B83CBA"/>
    <w:rsid w:val="00B84028"/>
    <w:rsid w:val="00B84286"/>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01F"/>
    <w:rsid w:val="00B97E34"/>
    <w:rsid w:val="00B97FEF"/>
    <w:rsid w:val="00BA1354"/>
    <w:rsid w:val="00BA24F8"/>
    <w:rsid w:val="00BA260F"/>
    <w:rsid w:val="00BA31AA"/>
    <w:rsid w:val="00BA45D8"/>
    <w:rsid w:val="00BA5828"/>
    <w:rsid w:val="00BA64B3"/>
    <w:rsid w:val="00BA754A"/>
    <w:rsid w:val="00BA7820"/>
    <w:rsid w:val="00BA794C"/>
    <w:rsid w:val="00BB09FB"/>
    <w:rsid w:val="00BB238D"/>
    <w:rsid w:val="00BB37CC"/>
    <w:rsid w:val="00BB48C4"/>
    <w:rsid w:val="00BB62C5"/>
    <w:rsid w:val="00BB6907"/>
    <w:rsid w:val="00BB7A20"/>
    <w:rsid w:val="00BC15B1"/>
    <w:rsid w:val="00BC3C06"/>
    <w:rsid w:val="00BC464C"/>
    <w:rsid w:val="00BC4E8B"/>
    <w:rsid w:val="00BC5622"/>
    <w:rsid w:val="00BC6060"/>
    <w:rsid w:val="00BC7061"/>
    <w:rsid w:val="00BC7897"/>
    <w:rsid w:val="00BD0593"/>
    <w:rsid w:val="00BD0F35"/>
    <w:rsid w:val="00BD45A4"/>
    <w:rsid w:val="00BD4A5F"/>
    <w:rsid w:val="00BD59AA"/>
    <w:rsid w:val="00BD65E6"/>
    <w:rsid w:val="00BD6AF7"/>
    <w:rsid w:val="00BD742C"/>
    <w:rsid w:val="00BE0AC3"/>
    <w:rsid w:val="00BE19EF"/>
    <w:rsid w:val="00BE22BD"/>
    <w:rsid w:val="00BE425B"/>
    <w:rsid w:val="00BE51BB"/>
    <w:rsid w:val="00BE5E5E"/>
    <w:rsid w:val="00BE7595"/>
    <w:rsid w:val="00BE77D3"/>
    <w:rsid w:val="00BF0138"/>
    <w:rsid w:val="00BF114B"/>
    <w:rsid w:val="00BF1620"/>
    <w:rsid w:val="00BF1AC3"/>
    <w:rsid w:val="00BF2831"/>
    <w:rsid w:val="00BF373A"/>
    <w:rsid w:val="00BF62D2"/>
    <w:rsid w:val="00BF6D9E"/>
    <w:rsid w:val="00BF71BB"/>
    <w:rsid w:val="00BF76F7"/>
    <w:rsid w:val="00BF7C9F"/>
    <w:rsid w:val="00C00012"/>
    <w:rsid w:val="00C000A5"/>
    <w:rsid w:val="00C006B4"/>
    <w:rsid w:val="00C00938"/>
    <w:rsid w:val="00C00E2A"/>
    <w:rsid w:val="00C025B9"/>
    <w:rsid w:val="00C040FA"/>
    <w:rsid w:val="00C044B4"/>
    <w:rsid w:val="00C05105"/>
    <w:rsid w:val="00C05A5D"/>
    <w:rsid w:val="00C0654A"/>
    <w:rsid w:val="00C06DE3"/>
    <w:rsid w:val="00C06F97"/>
    <w:rsid w:val="00C10598"/>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16A5"/>
    <w:rsid w:val="00C216B4"/>
    <w:rsid w:val="00C2294E"/>
    <w:rsid w:val="00C22A5B"/>
    <w:rsid w:val="00C23412"/>
    <w:rsid w:val="00C23C6E"/>
    <w:rsid w:val="00C264C7"/>
    <w:rsid w:val="00C271C4"/>
    <w:rsid w:val="00C274F3"/>
    <w:rsid w:val="00C30A54"/>
    <w:rsid w:val="00C316F7"/>
    <w:rsid w:val="00C31DF0"/>
    <w:rsid w:val="00C33916"/>
    <w:rsid w:val="00C33BCF"/>
    <w:rsid w:val="00C353A0"/>
    <w:rsid w:val="00C368D7"/>
    <w:rsid w:val="00C36C1D"/>
    <w:rsid w:val="00C36FD1"/>
    <w:rsid w:val="00C371A5"/>
    <w:rsid w:val="00C400B0"/>
    <w:rsid w:val="00C413FC"/>
    <w:rsid w:val="00C41EDD"/>
    <w:rsid w:val="00C42AE7"/>
    <w:rsid w:val="00C432EA"/>
    <w:rsid w:val="00C43D33"/>
    <w:rsid w:val="00C44407"/>
    <w:rsid w:val="00C456E8"/>
    <w:rsid w:val="00C46630"/>
    <w:rsid w:val="00C47A2F"/>
    <w:rsid w:val="00C50D18"/>
    <w:rsid w:val="00C51179"/>
    <w:rsid w:val="00C5282C"/>
    <w:rsid w:val="00C52FBE"/>
    <w:rsid w:val="00C5355E"/>
    <w:rsid w:val="00C535E2"/>
    <w:rsid w:val="00C53FC1"/>
    <w:rsid w:val="00C56438"/>
    <w:rsid w:val="00C56AD8"/>
    <w:rsid w:val="00C570B3"/>
    <w:rsid w:val="00C6009F"/>
    <w:rsid w:val="00C60417"/>
    <w:rsid w:val="00C6046F"/>
    <w:rsid w:val="00C638C2"/>
    <w:rsid w:val="00C651D4"/>
    <w:rsid w:val="00C6669E"/>
    <w:rsid w:val="00C66C3D"/>
    <w:rsid w:val="00C672B0"/>
    <w:rsid w:val="00C70882"/>
    <w:rsid w:val="00C729C7"/>
    <w:rsid w:val="00C777AD"/>
    <w:rsid w:val="00C805E1"/>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1E04"/>
    <w:rsid w:val="00CA2897"/>
    <w:rsid w:val="00CA3D4F"/>
    <w:rsid w:val="00CA44F3"/>
    <w:rsid w:val="00CA582C"/>
    <w:rsid w:val="00CA6077"/>
    <w:rsid w:val="00CA715B"/>
    <w:rsid w:val="00CA7988"/>
    <w:rsid w:val="00CA7BA2"/>
    <w:rsid w:val="00CB0B78"/>
    <w:rsid w:val="00CB12A5"/>
    <w:rsid w:val="00CB17FA"/>
    <w:rsid w:val="00CB23D8"/>
    <w:rsid w:val="00CB2ED9"/>
    <w:rsid w:val="00CB36A5"/>
    <w:rsid w:val="00CB48A6"/>
    <w:rsid w:val="00CB56B4"/>
    <w:rsid w:val="00CB5A4C"/>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863"/>
    <w:rsid w:val="00CD6F6E"/>
    <w:rsid w:val="00CE157F"/>
    <w:rsid w:val="00CE178D"/>
    <w:rsid w:val="00CE1966"/>
    <w:rsid w:val="00CE1ED4"/>
    <w:rsid w:val="00CE2216"/>
    <w:rsid w:val="00CE3014"/>
    <w:rsid w:val="00CE30E5"/>
    <w:rsid w:val="00CE5FCC"/>
    <w:rsid w:val="00CE6FC6"/>
    <w:rsid w:val="00CF1015"/>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644"/>
    <w:rsid w:val="00D11749"/>
    <w:rsid w:val="00D12A7D"/>
    <w:rsid w:val="00D13AB0"/>
    <w:rsid w:val="00D1519E"/>
    <w:rsid w:val="00D152B7"/>
    <w:rsid w:val="00D16EDC"/>
    <w:rsid w:val="00D17FDE"/>
    <w:rsid w:val="00D201CB"/>
    <w:rsid w:val="00D215C4"/>
    <w:rsid w:val="00D22786"/>
    <w:rsid w:val="00D228B4"/>
    <w:rsid w:val="00D25AC4"/>
    <w:rsid w:val="00D26153"/>
    <w:rsid w:val="00D27E98"/>
    <w:rsid w:val="00D305F6"/>
    <w:rsid w:val="00D30B25"/>
    <w:rsid w:val="00D3175A"/>
    <w:rsid w:val="00D31A00"/>
    <w:rsid w:val="00D323E4"/>
    <w:rsid w:val="00D32871"/>
    <w:rsid w:val="00D32AC4"/>
    <w:rsid w:val="00D33881"/>
    <w:rsid w:val="00D34282"/>
    <w:rsid w:val="00D366B1"/>
    <w:rsid w:val="00D37AE0"/>
    <w:rsid w:val="00D416A8"/>
    <w:rsid w:val="00D4217D"/>
    <w:rsid w:val="00D4257C"/>
    <w:rsid w:val="00D425AC"/>
    <w:rsid w:val="00D42823"/>
    <w:rsid w:val="00D42D5E"/>
    <w:rsid w:val="00D43F14"/>
    <w:rsid w:val="00D44C18"/>
    <w:rsid w:val="00D4556D"/>
    <w:rsid w:val="00D510E3"/>
    <w:rsid w:val="00D511C6"/>
    <w:rsid w:val="00D5121D"/>
    <w:rsid w:val="00D516AC"/>
    <w:rsid w:val="00D521BB"/>
    <w:rsid w:val="00D52875"/>
    <w:rsid w:val="00D54050"/>
    <w:rsid w:val="00D555F6"/>
    <w:rsid w:val="00D56AC0"/>
    <w:rsid w:val="00D56FE2"/>
    <w:rsid w:val="00D575DF"/>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5AB"/>
    <w:rsid w:val="00DA0FA7"/>
    <w:rsid w:val="00DA12B0"/>
    <w:rsid w:val="00DA2BA0"/>
    <w:rsid w:val="00DA39AD"/>
    <w:rsid w:val="00DA5B13"/>
    <w:rsid w:val="00DA6917"/>
    <w:rsid w:val="00DA6926"/>
    <w:rsid w:val="00DA7169"/>
    <w:rsid w:val="00DA751D"/>
    <w:rsid w:val="00DB0965"/>
    <w:rsid w:val="00DB0E47"/>
    <w:rsid w:val="00DB2BDD"/>
    <w:rsid w:val="00DB4121"/>
    <w:rsid w:val="00DB46C3"/>
    <w:rsid w:val="00DB5742"/>
    <w:rsid w:val="00DB5EDF"/>
    <w:rsid w:val="00DB6C46"/>
    <w:rsid w:val="00DB72B8"/>
    <w:rsid w:val="00DB73F3"/>
    <w:rsid w:val="00DC16AF"/>
    <w:rsid w:val="00DC2A9A"/>
    <w:rsid w:val="00DC2E2E"/>
    <w:rsid w:val="00DC4D68"/>
    <w:rsid w:val="00DC4FC4"/>
    <w:rsid w:val="00DC6463"/>
    <w:rsid w:val="00DC7822"/>
    <w:rsid w:val="00DC7AF1"/>
    <w:rsid w:val="00DD204C"/>
    <w:rsid w:val="00DD2BCA"/>
    <w:rsid w:val="00DD2D92"/>
    <w:rsid w:val="00DD3026"/>
    <w:rsid w:val="00DD33DC"/>
    <w:rsid w:val="00DD3BB0"/>
    <w:rsid w:val="00DD5894"/>
    <w:rsid w:val="00DD61F5"/>
    <w:rsid w:val="00DE1001"/>
    <w:rsid w:val="00DE2336"/>
    <w:rsid w:val="00DE64A6"/>
    <w:rsid w:val="00DE66EB"/>
    <w:rsid w:val="00DE7035"/>
    <w:rsid w:val="00DF12E3"/>
    <w:rsid w:val="00DF3F1D"/>
    <w:rsid w:val="00DF595C"/>
    <w:rsid w:val="00DF7EA7"/>
    <w:rsid w:val="00E04548"/>
    <w:rsid w:val="00E0484E"/>
    <w:rsid w:val="00E05595"/>
    <w:rsid w:val="00E063F8"/>
    <w:rsid w:val="00E06B53"/>
    <w:rsid w:val="00E1136D"/>
    <w:rsid w:val="00E114D6"/>
    <w:rsid w:val="00E1166E"/>
    <w:rsid w:val="00E11DBD"/>
    <w:rsid w:val="00E13211"/>
    <w:rsid w:val="00E16FB5"/>
    <w:rsid w:val="00E17129"/>
    <w:rsid w:val="00E179D6"/>
    <w:rsid w:val="00E21407"/>
    <w:rsid w:val="00E21D68"/>
    <w:rsid w:val="00E22668"/>
    <w:rsid w:val="00E227D3"/>
    <w:rsid w:val="00E22BFF"/>
    <w:rsid w:val="00E22CB0"/>
    <w:rsid w:val="00E23798"/>
    <w:rsid w:val="00E2585D"/>
    <w:rsid w:val="00E25DBD"/>
    <w:rsid w:val="00E25FA2"/>
    <w:rsid w:val="00E2723D"/>
    <w:rsid w:val="00E27AE0"/>
    <w:rsid w:val="00E27C77"/>
    <w:rsid w:val="00E30A83"/>
    <w:rsid w:val="00E310E7"/>
    <w:rsid w:val="00E3179E"/>
    <w:rsid w:val="00E32AC9"/>
    <w:rsid w:val="00E354DA"/>
    <w:rsid w:val="00E354F5"/>
    <w:rsid w:val="00E3687E"/>
    <w:rsid w:val="00E40974"/>
    <w:rsid w:val="00E40AAB"/>
    <w:rsid w:val="00E41205"/>
    <w:rsid w:val="00E41F32"/>
    <w:rsid w:val="00E42608"/>
    <w:rsid w:val="00E4331D"/>
    <w:rsid w:val="00E43536"/>
    <w:rsid w:val="00E43DA3"/>
    <w:rsid w:val="00E44B80"/>
    <w:rsid w:val="00E47430"/>
    <w:rsid w:val="00E50FB7"/>
    <w:rsid w:val="00E5199F"/>
    <w:rsid w:val="00E526DF"/>
    <w:rsid w:val="00E53C15"/>
    <w:rsid w:val="00E54EE6"/>
    <w:rsid w:val="00E56715"/>
    <w:rsid w:val="00E56C2C"/>
    <w:rsid w:val="00E5768D"/>
    <w:rsid w:val="00E57F8E"/>
    <w:rsid w:val="00E611C8"/>
    <w:rsid w:val="00E625DA"/>
    <w:rsid w:val="00E6344A"/>
    <w:rsid w:val="00E637EC"/>
    <w:rsid w:val="00E64E69"/>
    <w:rsid w:val="00E64FB7"/>
    <w:rsid w:val="00E669A1"/>
    <w:rsid w:val="00E679BA"/>
    <w:rsid w:val="00E70243"/>
    <w:rsid w:val="00E72CC6"/>
    <w:rsid w:val="00E73D44"/>
    <w:rsid w:val="00E7494A"/>
    <w:rsid w:val="00E74BE2"/>
    <w:rsid w:val="00E74C66"/>
    <w:rsid w:val="00E75933"/>
    <w:rsid w:val="00E77A1B"/>
    <w:rsid w:val="00E808BE"/>
    <w:rsid w:val="00E81E2E"/>
    <w:rsid w:val="00E81E36"/>
    <w:rsid w:val="00E81E40"/>
    <w:rsid w:val="00E82ECE"/>
    <w:rsid w:val="00E85027"/>
    <w:rsid w:val="00E8713B"/>
    <w:rsid w:val="00E90774"/>
    <w:rsid w:val="00E90C61"/>
    <w:rsid w:val="00E921D4"/>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0B61"/>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3DE0"/>
    <w:rsid w:val="00ED4B27"/>
    <w:rsid w:val="00ED543C"/>
    <w:rsid w:val="00ED6BA4"/>
    <w:rsid w:val="00ED7DA7"/>
    <w:rsid w:val="00EE0598"/>
    <w:rsid w:val="00EE2814"/>
    <w:rsid w:val="00EE311C"/>
    <w:rsid w:val="00EE3292"/>
    <w:rsid w:val="00EE56FF"/>
    <w:rsid w:val="00EE5886"/>
    <w:rsid w:val="00EE5FBF"/>
    <w:rsid w:val="00EE6472"/>
    <w:rsid w:val="00EE76F2"/>
    <w:rsid w:val="00EF0769"/>
    <w:rsid w:val="00EF0D7C"/>
    <w:rsid w:val="00EF314C"/>
    <w:rsid w:val="00EF40E2"/>
    <w:rsid w:val="00EF4FD0"/>
    <w:rsid w:val="00EF5AB5"/>
    <w:rsid w:val="00EF5D56"/>
    <w:rsid w:val="00EF61C1"/>
    <w:rsid w:val="00EF6E68"/>
    <w:rsid w:val="00EF76DB"/>
    <w:rsid w:val="00F005FD"/>
    <w:rsid w:val="00F016BE"/>
    <w:rsid w:val="00F02C04"/>
    <w:rsid w:val="00F03AF1"/>
    <w:rsid w:val="00F04BCD"/>
    <w:rsid w:val="00F05A8C"/>
    <w:rsid w:val="00F06211"/>
    <w:rsid w:val="00F10A54"/>
    <w:rsid w:val="00F1148A"/>
    <w:rsid w:val="00F123D0"/>
    <w:rsid w:val="00F12579"/>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A33"/>
    <w:rsid w:val="00F31DE3"/>
    <w:rsid w:val="00F32462"/>
    <w:rsid w:val="00F32FF7"/>
    <w:rsid w:val="00F33EDE"/>
    <w:rsid w:val="00F3568B"/>
    <w:rsid w:val="00F36E2D"/>
    <w:rsid w:val="00F377CD"/>
    <w:rsid w:val="00F40C3B"/>
    <w:rsid w:val="00F40CE0"/>
    <w:rsid w:val="00F4149A"/>
    <w:rsid w:val="00F42DBC"/>
    <w:rsid w:val="00F4308D"/>
    <w:rsid w:val="00F44012"/>
    <w:rsid w:val="00F44947"/>
    <w:rsid w:val="00F458EF"/>
    <w:rsid w:val="00F47121"/>
    <w:rsid w:val="00F4748E"/>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3478"/>
    <w:rsid w:val="00F64C45"/>
    <w:rsid w:val="00F6502B"/>
    <w:rsid w:val="00F65D9F"/>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28C"/>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3D1D"/>
    <w:rsid w:val="00FA5535"/>
    <w:rsid w:val="00FA7206"/>
    <w:rsid w:val="00FA7EFB"/>
    <w:rsid w:val="00FB0816"/>
    <w:rsid w:val="00FB08C2"/>
    <w:rsid w:val="00FB3DD1"/>
    <w:rsid w:val="00FB51FD"/>
    <w:rsid w:val="00FB5667"/>
    <w:rsid w:val="00FB7A97"/>
    <w:rsid w:val="00FB7C94"/>
    <w:rsid w:val="00FC03D8"/>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E73BA"/>
    <w:rsid w:val="00FF0569"/>
    <w:rsid w:val="00FF097B"/>
    <w:rsid w:val="00FF0B6E"/>
    <w:rsid w:val="00FF1C1B"/>
    <w:rsid w:val="00FF2067"/>
    <w:rsid w:val="00FF3490"/>
    <w:rsid w:val="00FF3A51"/>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2d4491,#283583"/>
    </o:shapedefaults>
    <o:shapelayout v:ext="edit">
      <o:idmap v:ext="edit" data="1"/>
    </o:shapelayout>
  </w:shapeDefaults>
  <w:decimalSymbol w:val="."/>
  <w:listSeparator w:val=","/>
  <w14:docId w14:val="50C647F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25336951">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04e156a7-4389-4348-bdc5-772e1b15193f"/>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003015-8115-45F3-A283-AEE4687253F7}">
  <ds:schemaRefs>
    <ds:schemaRef ds:uri="http://schemas.openxmlformats.org/officeDocument/2006/bibliography"/>
  </ds:schemaRefs>
</ds:datastoreItem>
</file>

<file path=customXml/itemProps6.xml><?xml version="1.0" encoding="utf-8"?>
<ds:datastoreItem xmlns:ds="http://schemas.openxmlformats.org/officeDocument/2006/customXml" ds:itemID="{C2DF1BFC-CBC7-426B-B55A-27A649CC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A1102FAF</Template>
  <TotalTime>11</TotalTime>
  <Pages>13</Pages>
  <Words>2711</Words>
  <Characters>15323</Characters>
  <Application>Microsoft Office Word</Application>
  <DocSecurity>0</DocSecurity>
  <Lines>127</Lines>
  <Paragraphs>35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17999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Ross Barrett</cp:lastModifiedBy>
  <cp:revision>5</cp:revision>
  <cp:lastPrinted>2016-11-21T16:28:00Z</cp:lastPrinted>
  <dcterms:created xsi:type="dcterms:W3CDTF">2016-11-21T16:27:00Z</dcterms:created>
  <dcterms:modified xsi:type="dcterms:W3CDTF">2016-11-21T16:42:00Z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