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416ABC" w:rsidRPr="00A52EBB" w:rsidTr="00315E96">
        <w:trPr>
          <w:trHeight w:val="284"/>
        </w:trPr>
        <w:tc>
          <w:tcPr>
            <w:tcW w:w="9412" w:type="dxa"/>
          </w:tcPr>
          <w:p w:rsidR="00A52EBB" w:rsidRPr="00A52EBB" w:rsidRDefault="00A52EBB" w:rsidP="00A52EBB">
            <w:pPr>
              <w:pStyle w:val="Footer"/>
              <w:rPr>
                <w:rFonts w:cs="Arial"/>
                <w:sz w:val="22"/>
                <w:szCs w:val="22"/>
              </w:rPr>
            </w:pPr>
            <w:r w:rsidRPr="00A52EBB">
              <w:rPr>
                <w:rFonts w:cs="Arial"/>
                <w:color w:val="FFFFFF" w:themeColor="background1"/>
                <w:sz w:val="22"/>
                <w:szCs w:val="22"/>
              </w:rPr>
              <w:ptab w:relativeTo="margin" w:alignment="center" w:leader="none"/>
            </w:r>
            <w:r w:rsidRPr="00A52EBB">
              <w:rPr>
                <w:rFonts w:cs="Arial"/>
                <w:color w:val="FFFFFF" w:themeColor="background1"/>
                <w:sz w:val="22"/>
                <w:szCs w:val="22"/>
              </w:rPr>
              <w:ptab w:relativeTo="margin" w:alignment="right" w:leader="none"/>
            </w:r>
            <w:r w:rsidRPr="00A52EBB">
              <w:rPr>
                <w:rFonts w:cs="Arial"/>
                <w:color w:val="FFFFFF" w:themeColor="background1"/>
                <w:sz w:val="22"/>
                <w:szCs w:val="22"/>
              </w:rPr>
              <w:t>20 September 2016 | ESMA/2016/1389</w:t>
            </w:r>
          </w:p>
          <w:p w:rsidR="00C2094B" w:rsidRPr="00A52EBB" w:rsidRDefault="00C2094B" w:rsidP="00C81798">
            <w:pPr>
              <w:pStyle w:val="00bDBInfo"/>
              <w:rPr>
                <w:rFonts w:cs="Arial"/>
                <w:color w:val="auto"/>
                <w:sz w:val="22"/>
                <w:szCs w:val="22"/>
              </w:rPr>
            </w:pPr>
          </w:p>
        </w:tc>
      </w:tr>
    </w:tbl>
    <w:p w:rsidR="00FD7A8D" w:rsidRPr="00616B9B" w:rsidRDefault="00FD7A8D" w:rsidP="00FD7A8D">
      <w:pPr>
        <w:rPr>
          <w:rFonts w:cs="Arial"/>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616B9B" w:rsidTr="00B835D5">
        <w:trPr>
          <w:trHeight w:hRule="exact" w:val="1209"/>
        </w:trPr>
        <w:tc>
          <w:tcPr>
            <w:tcW w:w="9397" w:type="dxa"/>
            <w:vAlign w:val="bottom"/>
          </w:tcPr>
          <w:p w:rsidR="00422A7D" w:rsidRPr="00616B9B" w:rsidRDefault="00AE627C" w:rsidP="00C81798">
            <w:pPr>
              <w:pStyle w:val="01aDBTitle"/>
              <w:jc w:val="left"/>
              <w:rPr>
                <w:rFonts w:cs="Arial"/>
              </w:rPr>
            </w:pPr>
            <w:r w:rsidRPr="00616B9B">
              <w:rPr>
                <w:rFonts w:cs="Arial"/>
              </w:rPr>
              <w:t>Reply form</w:t>
            </w:r>
            <w:r w:rsidR="00B835D5" w:rsidRPr="00616B9B">
              <w:rPr>
                <w:rFonts w:cs="Arial"/>
              </w:rPr>
              <w:t xml:space="preserve"> </w:t>
            </w:r>
            <w:r w:rsidR="0043173B" w:rsidRPr="00616B9B">
              <w:rPr>
                <w:rFonts w:cs="Arial"/>
              </w:rPr>
              <w:t>for</w:t>
            </w:r>
            <w:r w:rsidR="00027ECF" w:rsidRPr="00616B9B">
              <w:rPr>
                <w:rFonts w:cs="Arial"/>
              </w:rPr>
              <w:t xml:space="preserve"> the </w:t>
            </w:r>
            <w:r w:rsidR="00AB4824">
              <w:rPr>
                <w:rFonts w:cs="Arial"/>
              </w:rPr>
              <w:t>Discussion</w:t>
            </w:r>
            <w:r w:rsidR="003A5DAC">
              <w:rPr>
                <w:rFonts w:cs="Arial"/>
              </w:rPr>
              <w:t xml:space="preserve"> Paper </w:t>
            </w:r>
            <w:r w:rsidR="00EF0769">
              <w:rPr>
                <w:rFonts w:cs="Arial"/>
              </w:rPr>
              <w:t xml:space="preserve">on </w:t>
            </w:r>
            <w:r w:rsidR="00725FB1" w:rsidRPr="00725FB1">
              <w:rPr>
                <w:rFonts w:cs="Arial"/>
              </w:rPr>
              <w:t xml:space="preserve">the </w:t>
            </w:r>
            <w:r w:rsidR="00D06937">
              <w:rPr>
                <w:rFonts w:cs="Arial"/>
              </w:rPr>
              <w:t>tra</w:t>
            </w:r>
            <w:r w:rsidR="00D06937">
              <w:rPr>
                <w:rFonts w:cs="Arial"/>
              </w:rPr>
              <w:t>d</w:t>
            </w:r>
            <w:r w:rsidR="00D06937">
              <w:rPr>
                <w:rFonts w:cs="Arial"/>
              </w:rPr>
              <w:t>ing o</w:t>
            </w:r>
            <w:r w:rsidR="00AB4824" w:rsidRPr="00AB4824">
              <w:rPr>
                <w:rFonts w:cs="Arial"/>
              </w:rPr>
              <w:t xml:space="preserve">bligation </w:t>
            </w:r>
            <w:r w:rsidR="00D06937">
              <w:rPr>
                <w:rFonts w:cs="Arial"/>
              </w:rPr>
              <w:t xml:space="preserve">for derivatives </w:t>
            </w:r>
            <w:r w:rsidR="00AB4824" w:rsidRPr="00AB4824">
              <w:rPr>
                <w:rFonts w:cs="Arial"/>
              </w:rPr>
              <w:t xml:space="preserve">under </w:t>
            </w:r>
            <w:proofErr w:type="spellStart"/>
            <w:r w:rsidR="00AB4824" w:rsidRPr="00AB4824">
              <w:rPr>
                <w:rFonts w:cs="Arial"/>
              </w:rPr>
              <w:t>MiFIR</w:t>
            </w:r>
            <w:proofErr w:type="spellEnd"/>
          </w:p>
          <w:p w:rsidR="00791EB4" w:rsidRPr="00616B9B" w:rsidRDefault="00791EB4" w:rsidP="00C000A5">
            <w:pPr>
              <w:pStyle w:val="01aDBTitle"/>
              <w:rPr>
                <w:rFonts w:cs="Arial"/>
              </w:rPr>
            </w:pPr>
          </w:p>
        </w:tc>
      </w:tr>
      <w:tr w:rsidR="00060F72" w:rsidRPr="00616B9B" w:rsidTr="00B835D5">
        <w:trPr>
          <w:trHeight w:hRule="exact" w:val="605"/>
        </w:trPr>
        <w:tc>
          <w:tcPr>
            <w:tcW w:w="9397" w:type="dxa"/>
            <w:tcMar>
              <w:top w:w="142" w:type="dxa"/>
            </w:tcMar>
          </w:tcPr>
          <w:p w:rsidR="00D91010" w:rsidRPr="00616B9B" w:rsidRDefault="00013CCE" w:rsidP="00027ECF">
            <w:pPr>
              <w:pStyle w:val="01bDBSubtitle"/>
              <w:rPr>
                <w:rFonts w:ascii="Arial" w:hAnsi="Arial" w:cs="Arial"/>
              </w:rPr>
            </w:pPr>
            <w:r w:rsidRPr="00616B9B">
              <w:rPr>
                <w:rFonts w:ascii="Arial" w:hAnsi="Arial" w:cs="Arial"/>
              </w:rPr>
              <w:t xml:space="preserve"> </w:t>
            </w:r>
          </w:p>
        </w:tc>
      </w:tr>
    </w:tbl>
    <w:p w:rsidR="00620D7C" w:rsidRPr="00616B9B" w:rsidRDefault="00620D7C" w:rsidP="00C00012">
      <w:pPr>
        <w:pStyle w:val="05HeadlinenoIndex"/>
        <w:rPr>
          <w:rFonts w:cs="Arial"/>
        </w:rPr>
        <w:sectPr w:rsidR="00620D7C" w:rsidRPr="00616B9B" w:rsidSect="006E3C72">
          <w:headerReference w:type="default" r:id="rId14"/>
          <w:footerReference w:type="default" r:id="rId15"/>
          <w:headerReference w:type="first" r:id="rId16"/>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A52EBB" w:rsidTr="00315E96">
        <w:trPr>
          <w:trHeight w:hRule="exact" w:val="964"/>
        </w:trPr>
        <w:tc>
          <w:tcPr>
            <w:tcW w:w="2325" w:type="dxa"/>
          </w:tcPr>
          <w:p w:rsidR="00620D7C" w:rsidRPr="00A52EBB" w:rsidRDefault="00620D7C" w:rsidP="00C81798">
            <w:pPr>
              <w:pStyle w:val="02Date"/>
              <w:rPr>
                <w:rFonts w:cs="Arial"/>
              </w:rPr>
            </w:pPr>
            <w:r w:rsidRPr="00A52EBB">
              <w:rPr>
                <w:rFonts w:cs="Arial"/>
              </w:rPr>
              <w:lastRenderedPageBreak/>
              <w:t xml:space="preserve">Date: </w:t>
            </w:r>
            <w:r w:rsidR="00416ABC" w:rsidRPr="00A52EBB">
              <w:rPr>
                <w:rFonts w:cs="Arial"/>
              </w:rPr>
              <w:t>20</w:t>
            </w:r>
            <w:r w:rsidR="004E49B0" w:rsidRPr="00A52EBB">
              <w:rPr>
                <w:rFonts w:cs="Arial"/>
              </w:rPr>
              <w:t xml:space="preserve"> </w:t>
            </w:r>
            <w:r w:rsidR="00416ABC" w:rsidRPr="00A52EBB">
              <w:rPr>
                <w:rFonts w:cs="Arial"/>
              </w:rPr>
              <w:t>September</w:t>
            </w:r>
            <w:r w:rsidR="004E49B0" w:rsidRPr="00A52EBB">
              <w:rPr>
                <w:rFonts w:cs="Arial"/>
              </w:rPr>
              <w:t xml:space="preserve"> 201</w:t>
            </w:r>
            <w:r w:rsidR="00416ABC" w:rsidRPr="00A52EBB">
              <w:rPr>
                <w:rFonts w:cs="Arial"/>
              </w:rPr>
              <w:t>6</w:t>
            </w:r>
          </w:p>
        </w:tc>
      </w:tr>
    </w:tbl>
    <w:p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rsidR="00F574D0" w:rsidRPr="00EF0769" w:rsidRDefault="00F574D0" w:rsidP="00F574D0">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the ESMA </w:t>
      </w:r>
      <w:r w:rsidR="002E76FC">
        <w:rPr>
          <w:rFonts w:cs="Arial"/>
        </w:rPr>
        <w:t>Discussion</w:t>
      </w:r>
      <w:r w:rsidR="00332304" w:rsidRPr="00EF0769">
        <w:rPr>
          <w:rFonts w:cs="Arial"/>
        </w:rPr>
        <w:t xml:space="preserve"> Paper </w:t>
      </w:r>
      <w:r w:rsidR="00332304">
        <w:rPr>
          <w:rFonts w:cs="Arial"/>
        </w:rPr>
        <w:t xml:space="preserve">on </w:t>
      </w:r>
      <w:r w:rsidR="005A06A0">
        <w:rPr>
          <w:rFonts w:cs="Arial"/>
        </w:rPr>
        <w:t xml:space="preserve">the </w:t>
      </w:r>
      <w:r w:rsidR="00A52EBB">
        <w:rPr>
          <w:rFonts w:cs="Arial"/>
        </w:rPr>
        <w:t>trading o</w:t>
      </w:r>
      <w:r w:rsidR="002E76FC">
        <w:rPr>
          <w:rFonts w:cs="Arial"/>
        </w:rPr>
        <w:t xml:space="preserve">bligation </w:t>
      </w:r>
      <w:r w:rsidR="00A52EBB">
        <w:rPr>
          <w:rFonts w:cs="Arial"/>
        </w:rPr>
        <w:t xml:space="preserve">for derivatives </w:t>
      </w:r>
      <w:r w:rsidR="002E76FC">
        <w:rPr>
          <w:rFonts w:cs="Arial"/>
        </w:rPr>
        <w:t xml:space="preserve">under </w:t>
      </w:r>
      <w:proofErr w:type="spellStart"/>
      <w:r w:rsidR="002E76FC">
        <w:rPr>
          <w:rFonts w:cs="Arial"/>
        </w:rPr>
        <w:t>MiFIR</w:t>
      </w:r>
      <w:proofErr w:type="spellEnd"/>
      <w:r w:rsidR="00015B5E" w:rsidRPr="00EF0769">
        <w:rPr>
          <w:rFonts w:cs="Arial"/>
        </w:rPr>
        <w:t>, published on the ESMA website</w:t>
      </w:r>
      <w:r w:rsidR="004E49B0" w:rsidRPr="00EF0769">
        <w:rPr>
          <w:rFonts w:cs="Arial"/>
        </w:rPr>
        <w:t>.</w:t>
      </w:r>
    </w:p>
    <w:p w:rsidR="001D000A" w:rsidRDefault="001D000A" w:rsidP="00F574D0">
      <w:pPr>
        <w:autoSpaceDE w:val="0"/>
        <w:autoSpaceDN w:val="0"/>
        <w:adjustRightInd w:val="0"/>
        <w:spacing w:before="120" w:after="120" w:line="276" w:lineRule="auto"/>
        <w:jc w:val="both"/>
        <w:rPr>
          <w:rStyle w:val="Strong4"/>
          <w:rFonts w:cs="Arial"/>
          <w:i/>
        </w:rPr>
      </w:pPr>
    </w:p>
    <w:p w:rsidR="00F574D0" w:rsidRPr="00EF0769" w:rsidRDefault="00F574D0" w:rsidP="00F574D0">
      <w:pPr>
        <w:autoSpaceDE w:val="0"/>
        <w:autoSpaceDN w:val="0"/>
        <w:adjustRightInd w:val="0"/>
        <w:spacing w:before="120" w:after="120" w:line="276" w:lineRule="auto"/>
        <w:jc w:val="both"/>
        <w:rPr>
          <w:rStyle w:val="Strong4"/>
          <w:rFonts w:cs="Arial"/>
          <w:i/>
        </w:rPr>
      </w:pPr>
      <w:r w:rsidRPr="00EF0769">
        <w:rPr>
          <w:rStyle w:val="Strong4"/>
          <w:rFonts w:cs="Arial"/>
          <w:i/>
        </w:rPr>
        <w:t>Instructions</w:t>
      </w:r>
    </w:p>
    <w:p w:rsidR="00F574D0" w:rsidRPr="00EF0769" w:rsidRDefault="00D75FEE" w:rsidP="00F574D0">
      <w:pPr>
        <w:pStyle w:val="04BodyText"/>
        <w:spacing w:before="120" w:after="120"/>
        <w:rPr>
          <w:rFonts w:cs="Arial"/>
        </w:rPr>
      </w:pPr>
      <w:r w:rsidRPr="00EF0769">
        <w:rPr>
          <w:rFonts w:cs="Arial"/>
        </w:rPr>
        <w:t>Please note that, in order to facilitate the analysis of the large number of responses expected, you are requested to use this file to send your response to ESMA so as to allow us to process it properly. Ther</w:t>
      </w:r>
      <w:r w:rsidRPr="00EF0769">
        <w:rPr>
          <w:rFonts w:cs="Arial"/>
        </w:rPr>
        <w:t>e</w:t>
      </w:r>
      <w:r w:rsidRPr="00EF0769">
        <w:rPr>
          <w:rFonts w:cs="Arial"/>
        </w:rPr>
        <w:t xml:space="preserve">fore, </w:t>
      </w:r>
      <w:r w:rsidR="00332304">
        <w:rPr>
          <w:rFonts w:cs="Arial"/>
        </w:rPr>
        <w:t xml:space="preserve">ESMA will only be able to consider responses which follow the instructions described </w:t>
      </w:r>
      <w:r w:rsidRPr="00EF0769">
        <w:rPr>
          <w:rFonts w:cs="Arial"/>
        </w:rPr>
        <w:t>below</w:t>
      </w:r>
      <w:r w:rsidR="00F574D0" w:rsidRPr="00EF0769">
        <w:rPr>
          <w:rFonts w:cs="Arial"/>
        </w:rPr>
        <w:t>:</w:t>
      </w:r>
    </w:p>
    <w:p w:rsidR="00F574D0" w:rsidRPr="00EF0769" w:rsidRDefault="00F574D0" w:rsidP="00573871">
      <w:pPr>
        <w:pStyle w:val="04bList"/>
        <w:numPr>
          <w:ilvl w:val="0"/>
          <w:numId w:val="32"/>
        </w:numPr>
        <w:spacing w:before="120" w:after="120"/>
        <w:rPr>
          <w:rFonts w:cs="Arial"/>
        </w:rPr>
      </w:pPr>
      <w:r w:rsidRPr="00EF0769">
        <w:rPr>
          <w:rFonts w:cs="Arial"/>
        </w:rPr>
        <w:t xml:space="preserve">use </w:t>
      </w:r>
      <w:r w:rsidR="00332304">
        <w:rPr>
          <w:rFonts w:cs="Arial"/>
        </w:rPr>
        <w:t>this form</w:t>
      </w:r>
      <w:r w:rsidR="00955F48" w:rsidRPr="00EF0769">
        <w:rPr>
          <w:rFonts w:cs="Arial"/>
        </w:rPr>
        <w:t xml:space="preserve"> and send </w:t>
      </w:r>
      <w:r w:rsidR="00332304">
        <w:rPr>
          <w:rFonts w:cs="Arial"/>
        </w:rPr>
        <w:t>your</w:t>
      </w:r>
      <w:r w:rsidR="00955F48" w:rsidRPr="00EF0769">
        <w:rPr>
          <w:rFonts w:cs="Arial"/>
        </w:rPr>
        <w:t xml:space="preserve"> responses in Word format (pdf documents will not be considered e</w:t>
      </w:r>
      <w:r w:rsidR="00955F48" w:rsidRPr="00EF0769">
        <w:rPr>
          <w:rFonts w:cs="Arial"/>
        </w:rPr>
        <w:t>x</w:t>
      </w:r>
      <w:r w:rsidR="00955F48" w:rsidRPr="00EF0769">
        <w:rPr>
          <w:rFonts w:cs="Arial"/>
        </w:rPr>
        <w:t>cept for annexes);</w:t>
      </w:r>
    </w:p>
    <w:p w:rsidR="00F574D0" w:rsidRPr="00EF0769" w:rsidRDefault="00D75FEE" w:rsidP="00573871">
      <w:pPr>
        <w:pStyle w:val="04bList"/>
        <w:numPr>
          <w:ilvl w:val="0"/>
          <w:numId w:val="32"/>
        </w:numPr>
        <w:spacing w:before="120" w:after="120"/>
        <w:rPr>
          <w:rFonts w:cs="Arial"/>
        </w:rPr>
      </w:pPr>
      <w:r w:rsidRPr="00EF0769">
        <w:rPr>
          <w:rFonts w:cs="Arial"/>
        </w:rPr>
        <w:t xml:space="preserve">do </w:t>
      </w:r>
      <w:r w:rsidR="00F574D0" w:rsidRPr="00EF0769">
        <w:rPr>
          <w:rFonts w:cs="Arial"/>
        </w:rPr>
        <w:t>not remove the tags of type &lt;ESMA_</w:t>
      </w:r>
      <w:r w:rsidR="00955F48" w:rsidRPr="00EF0769">
        <w:rPr>
          <w:rFonts w:cs="Arial"/>
        </w:rPr>
        <w:t xml:space="preserve"> QUESTION_MIFID_</w:t>
      </w:r>
      <w:r w:rsidR="00AB4824">
        <w:rPr>
          <w:rFonts w:cs="Arial"/>
        </w:rPr>
        <w:t>TO</w:t>
      </w:r>
      <w:r w:rsidR="00E9344E" w:rsidRPr="00EF0769">
        <w:rPr>
          <w:rFonts w:cs="Arial"/>
        </w:rPr>
        <w:t>_</w:t>
      </w:r>
      <w:r w:rsidR="00F574D0" w:rsidRPr="00EF0769">
        <w:rPr>
          <w:rFonts w:cs="Arial"/>
        </w:rPr>
        <w:t>1&gt; - i.e. the response to one question has to be framed by the 2 tags corresponding to the question; and</w:t>
      </w:r>
    </w:p>
    <w:p w:rsidR="00F574D0" w:rsidRPr="00EF0769" w:rsidRDefault="00F574D0" w:rsidP="00573871">
      <w:pPr>
        <w:pStyle w:val="04bList"/>
        <w:numPr>
          <w:ilvl w:val="0"/>
          <w:numId w:val="32"/>
        </w:numPr>
        <w:spacing w:before="120" w:after="120"/>
        <w:rPr>
          <w:rFonts w:cs="Arial"/>
        </w:rPr>
      </w:pPr>
      <w:proofErr w:type="gramStart"/>
      <w:r w:rsidRPr="00EF0769">
        <w:rPr>
          <w:rFonts w:cs="Arial"/>
        </w:rPr>
        <w:t>if</w:t>
      </w:r>
      <w:proofErr w:type="gramEnd"/>
      <w:r w:rsidRPr="00EF0769">
        <w:rPr>
          <w:rFonts w:cs="Arial"/>
        </w:rPr>
        <w:t xml:space="preserve"> </w:t>
      </w:r>
      <w:r w:rsidR="00D75FEE" w:rsidRPr="00EF0769">
        <w:rPr>
          <w:rFonts w:cs="Arial"/>
        </w:rPr>
        <w:t>you do not have a</w:t>
      </w:r>
      <w:r w:rsidRPr="00EF0769">
        <w:rPr>
          <w:rFonts w:cs="Arial"/>
        </w:rPr>
        <w:t xml:space="preserve"> response to a question, </w:t>
      </w:r>
      <w:r w:rsidR="00D75FEE" w:rsidRPr="00EF0769">
        <w:rPr>
          <w:rFonts w:cs="Arial"/>
        </w:rPr>
        <w:t xml:space="preserve">do </w:t>
      </w:r>
      <w:r w:rsidRPr="00EF0769">
        <w:rPr>
          <w:rFonts w:cs="Arial"/>
        </w:rPr>
        <w:t>not delete it and leave the text “TYPE YOUR TEXT HERE” between the tags.</w:t>
      </w:r>
    </w:p>
    <w:p w:rsidR="00F574D0" w:rsidRPr="00EF0769" w:rsidRDefault="00F574D0" w:rsidP="00F574D0">
      <w:pPr>
        <w:pStyle w:val="04bList"/>
        <w:numPr>
          <w:ilvl w:val="0"/>
          <w:numId w:val="0"/>
        </w:numPr>
        <w:spacing w:before="120" w:after="120"/>
        <w:rPr>
          <w:rFonts w:cs="Arial"/>
        </w:rPr>
      </w:pPr>
      <w:r w:rsidRPr="00EF0769">
        <w:rPr>
          <w:rFonts w:cs="Arial"/>
        </w:rPr>
        <w:t>Responses are most helpful:</w:t>
      </w:r>
    </w:p>
    <w:p w:rsidR="00F574D0" w:rsidRPr="00EF0769" w:rsidRDefault="00F574D0" w:rsidP="00573871">
      <w:pPr>
        <w:pStyle w:val="04bList"/>
        <w:numPr>
          <w:ilvl w:val="0"/>
          <w:numId w:val="33"/>
        </w:numPr>
        <w:spacing w:before="120" w:after="120"/>
        <w:rPr>
          <w:rFonts w:cs="Arial"/>
        </w:rPr>
      </w:pPr>
      <w:r w:rsidRPr="00EF0769">
        <w:rPr>
          <w:rFonts w:cs="Arial"/>
        </w:rPr>
        <w:t>if they respond to the question stated;</w:t>
      </w:r>
    </w:p>
    <w:p w:rsidR="00F574D0" w:rsidRPr="00EF0769" w:rsidRDefault="00F574D0" w:rsidP="00573871">
      <w:pPr>
        <w:pStyle w:val="04bList"/>
        <w:numPr>
          <w:ilvl w:val="0"/>
          <w:numId w:val="33"/>
        </w:numPr>
        <w:spacing w:before="120" w:after="120"/>
        <w:rPr>
          <w:rFonts w:cs="Arial"/>
        </w:rPr>
      </w:pPr>
      <w:r w:rsidRPr="00EF0769">
        <w:rPr>
          <w:rFonts w:cs="Arial"/>
        </w:rPr>
        <w:t>contain a clear rationale, including on any related costs and benefits; and</w:t>
      </w:r>
    </w:p>
    <w:p w:rsidR="00A35728" w:rsidRPr="00EF0769" w:rsidRDefault="00F574D0" w:rsidP="00573871">
      <w:pPr>
        <w:pStyle w:val="04bList"/>
        <w:numPr>
          <w:ilvl w:val="0"/>
          <w:numId w:val="33"/>
        </w:numPr>
        <w:spacing w:before="120" w:after="120"/>
        <w:rPr>
          <w:rFonts w:cs="Arial"/>
        </w:rPr>
      </w:pPr>
      <w:proofErr w:type="gramStart"/>
      <w:r w:rsidRPr="00EF0769">
        <w:rPr>
          <w:rFonts w:cs="Arial"/>
        </w:rPr>
        <w:t>describe</w:t>
      </w:r>
      <w:proofErr w:type="gramEnd"/>
      <w:r w:rsidRPr="00EF0769">
        <w:rPr>
          <w:rFonts w:cs="Arial"/>
        </w:rPr>
        <w:t xml:space="preserve"> any alternatives that ESMA should consider</w:t>
      </w:r>
      <w:r w:rsidR="00E90774">
        <w:rPr>
          <w:rFonts w:cs="Arial"/>
        </w:rPr>
        <w:t>.</w:t>
      </w:r>
    </w:p>
    <w:p w:rsidR="001D000A" w:rsidRDefault="001D000A" w:rsidP="000D17AA">
      <w:pPr>
        <w:pStyle w:val="04BodyText"/>
        <w:spacing w:before="120" w:after="120"/>
        <w:jc w:val="left"/>
        <w:rPr>
          <w:rFonts w:cs="Arial"/>
          <w:b/>
        </w:rPr>
      </w:pPr>
    </w:p>
    <w:p w:rsidR="000D17AA" w:rsidRPr="00EF0769" w:rsidRDefault="00606240" w:rsidP="000D17AA">
      <w:pPr>
        <w:pStyle w:val="04BodyText"/>
        <w:spacing w:before="120" w:after="120"/>
        <w:jc w:val="left"/>
        <w:rPr>
          <w:rFonts w:cs="Arial"/>
          <w:b/>
        </w:rPr>
      </w:pPr>
      <w:r>
        <w:rPr>
          <w:rFonts w:cs="Arial"/>
          <w:b/>
        </w:rPr>
        <w:t>Naming protocol</w:t>
      </w:r>
    </w:p>
    <w:p w:rsidR="000D17AA" w:rsidRPr="00EF0769" w:rsidRDefault="000D17AA" w:rsidP="000D17AA">
      <w:pPr>
        <w:pStyle w:val="04BodyText"/>
        <w:spacing w:before="120" w:after="120"/>
        <w:jc w:val="left"/>
        <w:rPr>
          <w:rFonts w:cs="Arial"/>
        </w:rPr>
      </w:pPr>
      <w:r w:rsidRPr="00EF0769">
        <w:rPr>
          <w:rFonts w:cs="Arial"/>
        </w:rPr>
        <w:t>In order to facilitate the handling of stakeholders responses please save your document using the follo</w:t>
      </w:r>
      <w:r w:rsidRPr="00EF0769">
        <w:rPr>
          <w:rFonts w:cs="Arial"/>
        </w:rPr>
        <w:t>w</w:t>
      </w:r>
      <w:r w:rsidRPr="00EF0769">
        <w:rPr>
          <w:rFonts w:cs="Arial"/>
        </w:rPr>
        <w:t>ing format:</w:t>
      </w:r>
    </w:p>
    <w:p w:rsidR="000D17AA" w:rsidRPr="00EF0769" w:rsidRDefault="00021E83" w:rsidP="000D17AA">
      <w:pPr>
        <w:pStyle w:val="04BodyText"/>
        <w:spacing w:before="120" w:after="120"/>
        <w:jc w:val="left"/>
        <w:rPr>
          <w:rFonts w:cs="Arial"/>
        </w:rPr>
      </w:pPr>
      <w:proofErr w:type="spellStart"/>
      <w:proofErr w:type="gramStart"/>
      <w:r w:rsidRPr="00EF0769">
        <w:rPr>
          <w:rFonts w:cs="Arial"/>
        </w:rPr>
        <w:t>ESMA_MiFID_</w:t>
      </w:r>
      <w:r w:rsidR="00AB4824">
        <w:rPr>
          <w:rFonts w:cs="Arial"/>
        </w:rPr>
        <w:t>TO</w:t>
      </w:r>
      <w:r w:rsidRPr="00EF0769">
        <w:rPr>
          <w:rFonts w:cs="Arial"/>
        </w:rPr>
        <w:t>_NAMEOFCOMPANY_NAMEOFDOCUMENT</w:t>
      </w:r>
      <w:proofErr w:type="spellEnd"/>
      <w:r w:rsidR="000D17AA" w:rsidRPr="00EF0769">
        <w:rPr>
          <w:rFonts w:cs="Arial"/>
        </w:rPr>
        <w:t>.</w:t>
      </w:r>
      <w:proofErr w:type="gramEnd"/>
    </w:p>
    <w:p w:rsidR="00021E83" w:rsidRPr="00EF0769" w:rsidRDefault="00E90774" w:rsidP="000D17AA">
      <w:pPr>
        <w:pStyle w:val="04BodyText"/>
        <w:spacing w:before="120" w:after="120"/>
        <w:jc w:val="left"/>
        <w:rPr>
          <w:rFonts w:cs="Arial"/>
        </w:rPr>
      </w:pPr>
      <w:proofErr w:type="gramStart"/>
      <w:r>
        <w:rPr>
          <w:rFonts w:cs="Arial"/>
        </w:rPr>
        <w:t>e</w:t>
      </w:r>
      <w:r w:rsidR="000D17AA" w:rsidRPr="00EF0769">
        <w:rPr>
          <w:rFonts w:cs="Arial"/>
        </w:rPr>
        <w:t>.g</w:t>
      </w:r>
      <w:proofErr w:type="gramEnd"/>
      <w:r w:rsidR="000D17AA" w:rsidRPr="00EF0769">
        <w:rPr>
          <w:rFonts w:cs="Arial"/>
        </w:rPr>
        <w:t xml:space="preserve">. if the respondent were ESMA, the </w:t>
      </w:r>
      <w:r w:rsidR="00021E83" w:rsidRPr="00EF0769">
        <w:rPr>
          <w:rFonts w:cs="Arial"/>
        </w:rPr>
        <w:t>name of the reply form would be:</w:t>
      </w:r>
    </w:p>
    <w:p w:rsidR="00021E83" w:rsidRPr="00EF0769" w:rsidRDefault="00021E83" w:rsidP="000D17AA">
      <w:pPr>
        <w:pStyle w:val="04BodyText"/>
        <w:spacing w:before="120" w:after="120"/>
        <w:jc w:val="left"/>
        <w:rPr>
          <w:rFonts w:cs="Arial"/>
        </w:rPr>
      </w:pPr>
      <w:proofErr w:type="spellStart"/>
      <w:r w:rsidRPr="00EF0769">
        <w:rPr>
          <w:rFonts w:cs="Arial"/>
        </w:rPr>
        <w:t>ESMA_MiFID</w:t>
      </w:r>
      <w:r w:rsidR="00332304">
        <w:rPr>
          <w:rFonts w:cs="Arial"/>
        </w:rPr>
        <w:t>_</w:t>
      </w:r>
      <w:r w:rsidR="00AB4824">
        <w:rPr>
          <w:rFonts w:cs="Arial"/>
        </w:rPr>
        <w:t>TO</w:t>
      </w:r>
      <w:r w:rsidR="00332304">
        <w:rPr>
          <w:rFonts w:cs="Arial"/>
        </w:rPr>
        <w:t>_</w:t>
      </w:r>
      <w:r w:rsidRPr="00EF0769">
        <w:rPr>
          <w:rFonts w:cs="Arial"/>
        </w:rPr>
        <w:t>ESMA_REPLYFORM</w:t>
      </w:r>
      <w:proofErr w:type="spellEnd"/>
      <w:r w:rsidRPr="00EF0769">
        <w:rPr>
          <w:rFonts w:cs="Arial"/>
        </w:rPr>
        <w:t xml:space="preserve"> or </w:t>
      </w:r>
    </w:p>
    <w:p w:rsidR="000D17AA" w:rsidRPr="00EF0769" w:rsidRDefault="00021E83" w:rsidP="000D17AA">
      <w:pPr>
        <w:pStyle w:val="04BodyText"/>
        <w:spacing w:before="120" w:after="120"/>
        <w:jc w:val="left"/>
        <w:rPr>
          <w:rFonts w:cs="Arial"/>
        </w:rPr>
      </w:pPr>
      <w:r w:rsidRPr="00EF0769">
        <w:rPr>
          <w:rFonts w:cs="Arial"/>
        </w:rPr>
        <w:t>ESMA_MiFID_</w:t>
      </w:r>
      <w:r w:rsidR="00AB4824">
        <w:rPr>
          <w:rFonts w:cs="Arial"/>
        </w:rPr>
        <w:t>TO</w:t>
      </w:r>
      <w:r w:rsidRPr="00EF0769">
        <w:rPr>
          <w:rFonts w:cs="Arial"/>
        </w:rPr>
        <w:t>_ESMA_ANNEX1</w:t>
      </w:r>
    </w:p>
    <w:p w:rsidR="00332304" w:rsidRDefault="00332304" w:rsidP="00332304">
      <w:pPr>
        <w:autoSpaceDE w:val="0"/>
        <w:autoSpaceDN w:val="0"/>
        <w:adjustRightInd w:val="0"/>
        <w:spacing w:before="120" w:after="120" w:line="276" w:lineRule="auto"/>
        <w:jc w:val="both"/>
        <w:rPr>
          <w:rFonts w:cs="Arial"/>
          <w:b/>
          <w:bCs/>
          <w:i/>
          <w:color w:val="000000"/>
          <w:szCs w:val="20"/>
          <w:lang w:eastAsia="en-GB"/>
        </w:rPr>
      </w:pPr>
    </w:p>
    <w:p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rsidR="00F574D0" w:rsidRPr="00EF0769" w:rsidRDefault="00F574D0" w:rsidP="00F574D0">
      <w:pPr>
        <w:pStyle w:val="04BodyText"/>
        <w:spacing w:before="120" w:after="120"/>
        <w:rPr>
          <w:rFonts w:cs="Arial"/>
        </w:rPr>
      </w:pPr>
      <w:r w:rsidRPr="00EF0769">
        <w:rPr>
          <w:rFonts w:cs="Arial"/>
        </w:rPr>
        <w:t xml:space="preserve">Responses must reach us by </w:t>
      </w:r>
      <w:r w:rsidR="00416ABC">
        <w:rPr>
          <w:rFonts w:cs="Arial"/>
          <w:b/>
        </w:rPr>
        <w:t>21 November 2016</w:t>
      </w:r>
      <w:r w:rsidR="00021E83" w:rsidRPr="00EF0769">
        <w:rPr>
          <w:rFonts w:cs="Arial"/>
          <w:b/>
        </w:rPr>
        <w:t>.</w:t>
      </w:r>
    </w:p>
    <w:p w:rsidR="00F574D0" w:rsidRPr="00EF0769" w:rsidRDefault="00F574D0" w:rsidP="00F574D0">
      <w:pPr>
        <w:pStyle w:val="04BodyText"/>
        <w:spacing w:before="120" w:after="120"/>
        <w:rPr>
          <w:rFonts w:cs="Arial"/>
        </w:rPr>
      </w:pPr>
      <w:r w:rsidRPr="00EF0769">
        <w:rPr>
          <w:rFonts w:cs="Arial"/>
        </w:rPr>
        <w:t xml:space="preserve">All contributions should be submitted online at </w:t>
      </w:r>
      <w:hyperlink r:id="rId17" w:history="1">
        <w:r w:rsidRPr="00EF0769">
          <w:rPr>
            <w:rStyle w:val="Hyperlink"/>
            <w:rFonts w:cs="Arial"/>
          </w:rPr>
          <w:t>www.esma.europa.eu</w:t>
        </w:r>
      </w:hyperlink>
      <w:r w:rsidRPr="00EF0769">
        <w:rPr>
          <w:rFonts w:cs="Arial"/>
        </w:rPr>
        <w:t xml:space="preserve"> under the heading ‘Your i</w:t>
      </w:r>
      <w:r w:rsidRPr="00EF0769">
        <w:rPr>
          <w:rFonts w:cs="Arial"/>
        </w:rPr>
        <w:t>n</w:t>
      </w:r>
      <w:r w:rsidRPr="00EF0769">
        <w:rPr>
          <w:rFonts w:cs="Arial"/>
        </w:rPr>
        <w:t xml:space="preserve">put/Consultations’. </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1" w:name="_Toc335141334"/>
    </w:p>
    <w:p w:rsidR="00A3026E" w:rsidRDefault="00A3026E" w:rsidP="00F574D0">
      <w:pPr>
        <w:autoSpaceDE w:val="0"/>
        <w:autoSpaceDN w:val="0"/>
        <w:adjustRightInd w:val="0"/>
        <w:spacing w:before="120" w:after="120" w:line="276" w:lineRule="auto"/>
        <w:jc w:val="both"/>
        <w:rPr>
          <w:rFonts w:cs="Arial"/>
          <w:b/>
          <w:bCs/>
          <w:i/>
          <w:color w:val="000000"/>
          <w:szCs w:val="20"/>
          <w:lang w:eastAsia="en-GB"/>
        </w:rPr>
      </w:pPr>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lastRenderedPageBreak/>
        <w:t>Publication of responses</w:t>
      </w:r>
      <w:bookmarkEnd w:id="1"/>
    </w:p>
    <w:p w:rsidR="00F574D0" w:rsidRPr="00EF0769" w:rsidRDefault="00F574D0" w:rsidP="00F574D0">
      <w:pPr>
        <w:pStyle w:val="04BodyText"/>
        <w:spacing w:before="120" w:after="120"/>
        <w:rPr>
          <w:rFonts w:cs="Arial"/>
        </w:rPr>
      </w:pPr>
      <w:r w:rsidRPr="00EF0769">
        <w:rPr>
          <w:rFonts w:cs="Arial"/>
        </w:rPr>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w:t>
      </w:r>
      <w:r w:rsidRPr="00EF0769">
        <w:rPr>
          <w:rFonts w:cs="Arial"/>
        </w:rPr>
        <w:t>u</w:t>
      </w:r>
      <w:r w:rsidRPr="00EF0769">
        <w:rPr>
          <w:rFonts w:cs="Arial"/>
        </w:rPr>
        <w:t>ments. We may consult you if we receive such a request. Any decision we make is reviewable by ESMA’s Board of Appeal and the European Ombudsman.</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2" w:name="_Toc335141335"/>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2"/>
    </w:p>
    <w:p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8" w:history="1">
        <w:r w:rsidRPr="00EF0769">
          <w:rPr>
            <w:rStyle w:val="Hyperlink"/>
            <w:rFonts w:cs="Arial"/>
            <w:szCs w:val="20"/>
          </w:rPr>
          <w:t>www.esma.europa.eu</w:t>
        </w:r>
      </w:hyperlink>
      <w:r w:rsidRPr="00EF0769">
        <w:rPr>
          <w:rFonts w:cs="Arial"/>
          <w:szCs w:val="20"/>
        </w:rPr>
        <w:t xml:space="preserve"> under the </w:t>
      </w:r>
      <w:r w:rsidR="003755C6" w:rsidRPr="00440AB1">
        <w:rPr>
          <w:rFonts w:cs="Arial"/>
          <w:szCs w:val="22"/>
          <w:lang w:eastAsia="en-GB"/>
        </w:rPr>
        <w:t>heading</w:t>
      </w:r>
      <w:r w:rsidR="00AD0C8A">
        <w:rPr>
          <w:rFonts w:cs="Arial"/>
          <w:szCs w:val="22"/>
          <w:lang w:eastAsia="en-GB"/>
        </w:rPr>
        <w:t>s</w:t>
      </w:r>
      <w:r w:rsidR="003755C6" w:rsidRPr="00440AB1">
        <w:rPr>
          <w:rFonts w:cs="Arial"/>
          <w:szCs w:val="22"/>
          <w:lang w:eastAsia="en-GB"/>
        </w:rPr>
        <w:t xml:space="preserve"> ‘Legal notice’</w:t>
      </w:r>
      <w:r w:rsidR="00AD0C8A">
        <w:rPr>
          <w:rFonts w:cs="Arial"/>
          <w:szCs w:val="22"/>
          <w:lang w:eastAsia="en-GB"/>
        </w:rPr>
        <w:t xml:space="preserve"> </w:t>
      </w:r>
      <w:r w:rsidR="00AD0C8A" w:rsidRPr="00AD0C8A">
        <w:rPr>
          <w:rFonts w:cs="Arial"/>
          <w:szCs w:val="22"/>
          <w:lang w:eastAsia="en-GB"/>
        </w:rPr>
        <w:t>and ‘Data protection’</w:t>
      </w:r>
      <w:r w:rsidRPr="00AD0C8A">
        <w:rPr>
          <w:rFonts w:cs="Arial"/>
          <w:szCs w:val="22"/>
          <w:lang w:eastAsia="en-GB"/>
        </w:rPr>
        <w:t>.</w:t>
      </w:r>
    </w:p>
    <w:p w:rsidR="003755C6" w:rsidRDefault="003755C6" w:rsidP="00F574D0">
      <w:pPr>
        <w:autoSpaceDE w:val="0"/>
        <w:autoSpaceDN w:val="0"/>
        <w:adjustRightInd w:val="0"/>
        <w:spacing w:before="120" w:after="120" w:line="276" w:lineRule="auto"/>
        <w:jc w:val="both"/>
        <w:rPr>
          <w:rFonts w:cs="Arial"/>
          <w:szCs w:val="20"/>
        </w:rPr>
      </w:pPr>
    </w:p>
    <w:bookmarkEnd w:id="0"/>
    <w:p w:rsidR="00332304" w:rsidRDefault="00332304">
      <w:pPr>
        <w:rPr>
          <w:rFonts w:cs="Arial"/>
          <w:b/>
          <w:bCs/>
          <w:kern w:val="32"/>
          <w:sz w:val="24"/>
          <w:szCs w:val="32"/>
        </w:rPr>
      </w:pPr>
      <w:r>
        <w:br w:type="page"/>
      </w:r>
    </w:p>
    <w:p w:rsidR="00D34282" w:rsidRDefault="00D34282" w:rsidP="00D34282">
      <w:pPr>
        <w:pStyle w:val="Heading1"/>
        <w:numPr>
          <w:ilvl w:val="0"/>
          <w:numId w:val="0"/>
        </w:numPr>
        <w:ind w:left="431" w:hanging="431"/>
      </w:pPr>
      <w:r>
        <w:lastRenderedPageBreak/>
        <w:t>Introduction</w:t>
      </w:r>
    </w:p>
    <w:p w:rsidR="00D34282" w:rsidRPr="001D47A5" w:rsidRDefault="00D34282" w:rsidP="00D34282">
      <w:pPr>
        <w:rPr>
          <w:rStyle w:val="IntenseEmphasis"/>
        </w:rPr>
      </w:pPr>
      <w:r w:rsidRPr="001D47A5">
        <w:rPr>
          <w:rStyle w:val="IntenseEmphasis"/>
        </w:rPr>
        <w:t>Please make your introductory comments below, if any:</w:t>
      </w:r>
    </w:p>
    <w:p w:rsidR="00D34282" w:rsidRDefault="00D34282" w:rsidP="00D34282">
      <w:r w:rsidRPr="00C25863">
        <w:t>&lt;</w:t>
      </w:r>
      <w:r w:rsidRPr="00D74C9D">
        <w:t xml:space="preserve"> </w:t>
      </w:r>
      <w:r>
        <w:t>ESMA_COMMENT</w:t>
      </w:r>
      <w:r w:rsidR="00D920D1">
        <w:t>_MIFID</w:t>
      </w:r>
      <w:r w:rsidR="00AB4824">
        <w:t>_TO_</w:t>
      </w:r>
      <w:r w:rsidR="00551E98">
        <w:t>0</w:t>
      </w:r>
      <w:r w:rsidRPr="00C25863">
        <w:t>&gt;</w:t>
      </w:r>
    </w:p>
    <w:p w:rsidR="003168CF" w:rsidRPr="00C25863" w:rsidRDefault="003168CF" w:rsidP="00D34282"/>
    <w:p w:rsidR="003168CF" w:rsidRDefault="003168CF" w:rsidP="003168CF">
      <w:pPr>
        <w:rPr>
          <w:rFonts w:cs="Arial"/>
          <w:i/>
          <w:iCs/>
          <w:sz w:val="22"/>
          <w:szCs w:val="22"/>
        </w:rPr>
      </w:pPr>
      <w:permStart w:id="1131432369" w:edGrp="everyone"/>
      <w:r w:rsidRPr="0066781F">
        <w:rPr>
          <w:rFonts w:cs="Arial"/>
          <w:sz w:val="22"/>
          <w:szCs w:val="22"/>
        </w:rPr>
        <w:t>IHS Markit is pleased to submit the following comments to the European Securities and Markets Authority (“</w:t>
      </w:r>
      <w:r w:rsidRPr="0066781F">
        <w:rPr>
          <w:rFonts w:cs="Arial"/>
          <w:b/>
          <w:bCs/>
          <w:i/>
          <w:iCs/>
          <w:sz w:val="22"/>
          <w:szCs w:val="22"/>
        </w:rPr>
        <w:t>ESMA</w:t>
      </w:r>
      <w:r w:rsidRPr="0066781F">
        <w:rPr>
          <w:rFonts w:cs="Arial"/>
          <w:sz w:val="22"/>
          <w:szCs w:val="22"/>
        </w:rPr>
        <w:t>”) in response to its Discussion Paper (“</w:t>
      </w:r>
      <w:r w:rsidRPr="0066781F">
        <w:rPr>
          <w:rFonts w:cs="Arial"/>
          <w:b/>
          <w:bCs/>
          <w:i/>
          <w:iCs/>
          <w:sz w:val="22"/>
          <w:szCs w:val="22"/>
        </w:rPr>
        <w:t>DP</w:t>
      </w:r>
      <w:r w:rsidRPr="0066781F">
        <w:rPr>
          <w:rFonts w:cs="Arial"/>
          <w:sz w:val="22"/>
          <w:szCs w:val="22"/>
        </w:rPr>
        <w:t xml:space="preserve">”) on </w:t>
      </w:r>
      <w:proofErr w:type="gramStart"/>
      <w:r w:rsidRPr="0066781F">
        <w:rPr>
          <w:rFonts w:cs="Arial"/>
          <w:i/>
          <w:iCs/>
          <w:sz w:val="22"/>
          <w:szCs w:val="22"/>
        </w:rPr>
        <w:t>The</w:t>
      </w:r>
      <w:proofErr w:type="gramEnd"/>
      <w:r w:rsidRPr="0066781F">
        <w:rPr>
          <w:rFonts w:cs="Arial"/>
          <w:i/>
          <w:iCs/>
          <w:sz w:val="22"/>
          <w:szCs w:val="22"/>
        </w:rPr>
        <w:t xml:space="preserve"> trading obligation for derivatives under </w:t>
      </w:r>
      <w:proofErr w:type="spellStart"/>
      <w:r w:rsidRPr="0066781F">
        <w:rPr>
          <w:rFonts w:cs="Arial"/>
          <w:i/>
          <w:iCs/>
          <w:sz w:val="22"/>
          <w:szCs w:val="22"/>
        </w:rPr>
        <w:t>MiFIR</w:t>
      </w:r>
      <w:proofErr w:type="spellEnd"/>
      <w:r w:rsidRPr="0066781F">
        <w:rPr>
          <w:rFonts w:cs="Arial"/>
          <w:i/>
          <w:iCs/>
          <w:sz w:val="22"/>
          <w:szCs w:val="22"/>
        </w:rPr>
        <w:t xml:space="preserve">.  </w:t>
      </w:r>
    </w:p>
    <w:p w:rsidR="003168CF" w:rsidRPr="0066781F" w:rsidRDefault="003168CF" w:rsidP="003168CF">
      <w:pPr>
        <w:rPr>
          <w:rFonts w:cs="Arial"/>
          <w:i/>
          <w:iCs/>
          <w:sz w:val="22"/>
          <w:szCs w:val="22"/>
        </w:rPr>
      </w:pPr>
    </w:p>
    <w:p w:rsidR="003168CF" w:rsidRPr="0066781F" w:rsidRDefault="003168CF" w:rsidP="003168CF">
      <w:pPr>
        <w:rPr>
          <w:rFonts w:cs="Arial"/>
          <w:sz w:val="22"/>
          <w:szCs w:val="22"/>
        </w:rPr>
      </w:pPr>
      <w:r w:rsidRPr="0066781F">
        <w:rPr>
          <w:rFonts w:cs="Arial"/>
          <w:sz w:val="22"/>
          <w:szCs w:val="22"/>
        </w:rPr>
        <w:t>IHS Markit</w:t>
      </w:r>
      <w:r w:rsidRPr="0066781F">
        <w:rPr>
          <w:rFonts w:cs="Arial"/>
          <w:sz w:val="22"/>
          <w:szCs w:val="22"/>
          <w:vertAlign w:val="superscript"/>
        </w:rPr>
        <w:footnoteReference w:id="2"/>
      </w:r>
      <w:r w:rsidRPr="0066781F">
        <w:rPr>
          <w:rFonts w:cs="Arial"/>
          <w:sz w:val="22"/>
          <w:szCs w:val="22"/>
        </w:rPr>
        <w:t xml:space="preserve"> (</w:t>
      </w:r>
      <w:proofErr w:type="gramStart"/>
      <w:r w:rsidRPr="0066781F">
        <w:rPr>
          <w:rFonts w:cs="Arial"/>
          <w:sz w:val="22"/>
          <w:szCs w:val="22"/>
        </w:rPr>
        <w:t>Nasdaq</w:t>
      </w:r>
      <w:proofErr w:type="gramEnd"/>
      <w:r w:rsidRPr="0066781F">
        <w:rPr>
          <w:rFonts w:cs="Arial"/>
          <w:sz w:val="22"/>
          <w:szCs w:val="22"/>
        </w:rPr>
        <w:t>: INFO) is a world leader in critical information, analytics and solutions for the major industries and markets that drive economies worldwide. The company delivers next-generation information, analytics and solutions to customers in business, finance and gover</w:t>
      </w:r>
      <w:r w:rsidRPr="0066781F">
        <w:rPr>
          <w:rFonts w:cs="Arial"/>
          <w:sz w:val="22"/>
          <w:szCs w:val="22"/>
        </w:rPr>
        <w:t>n</w:t>
      </w:r>
      <w:r w:rsidRPr="0066781F">
        <w:rPr>
          <w:rFonts w:cs="Arial"/>
          <w:sz w:val="22"/>
          <w:szCs w:val="22"/>
        </w:rPr>
        <w:t>ment, improving their operational efficiency and providing deep insights that lead to well-informed, confident decisions. IHS Markit has more than 50,000 key business and government customers, including 80 percent of the Fortune Global 500 and the world’s leading financial institutions. Headquartered in London, IHS Markit is committed to sustainable, profitable growth.</w:t>
      </w:r>
    </w:p>
    <w:p w:rsidR="003168CF" w:rsidRPr="0066781F" w:rsidRDefault="003168CF" w:rsidP="003168CF">
      <w:pPr>
        <w:rPr>
          <w:rFonts w:cs="Arial"/>
          <w:sz w:val="22"/>
          <w:szCs w:val="22"/>
        </w:rPr>
      </w:pPr>
    </w:p>
    <w:p w:rsidR="003168CF" w:rsidRPr="0066781F" w:rsidRDefault="003168CF" w:rsidP="003168CF">
      <w:pPr>
        <w:rPr>
          <w:rFonts w:cs="Arial"/>
          <w:sz w:val="22"/>
          <w:szCs w:val="22"/>
        </w:rPr>
      </w:pPr>
      <w:r w:rsidRPr="0066781F">
        <w:rPr>
          <w:rFonts w:cs="Arial"/>
          <w:sz w:val="22"/>
          <w:szCs w:val="22"/>
        </w:rPr>
        <w:t xml:space="preserve">IHS </w:t>
      </w:r>
      <w:proofErr w:type="spellStart"/>
      <w:r w:rsidRPr="0066781F">
        <w:rPr>
          <w:rFonts w:cs="Arial"/>
          <w:sz w:val="22"/>
          <w:szCs w:val="22"/>
        </w:rPr>
        <w:t>Markit’s</w:t>
      </w:r>
      <w:proofErr w:type="spellEnd"/>
      <w:r w:rsidRPr="0066781F">
        <w:rPr>
          <w:rFonts w:cs="Arial"/>
          <w:sz w:val="22"/>
          <w:szCs w:val="22"/>
        </w:rPr>
        <w:t xml:space="preserve"> derivatives processing platforms are widely used by market participants, Trading Venues and brokers to increase operational efficiency, reduce cost, and ensure legal certainty. Globally over 2,000 firms use the various IHS Markit trade processing platforms that process, on average, 90,000 derivative transaction processing events per day. IHS </w:t>
      </w:r>
      <w:proofErr w:type="spellStart"/>
      <w:r w:rsidRPr="0066781F">
        <w:rPr>
          <w:rFonts w:cs="Arial"/>
          <w:sz w:val="22"/>
          <w:szCs w:val="22"/>
        </w:rPr>
        <w:t>Markit’s</w:t>
      </w:r>
      <w:proofErr w:type="spellEnd"/>
      <w:r w:rsidRPr="0066781F">
        <w:rPr>
          <w:rFonts w:cs="Arial"/>
          <w:sz w:val="22"/>
          <w:szCs w:val="22"/>
        </w:rPr>
        <w:t xml:space="preserve"> trade processing platforms form an important element of derivatives workflows, particularly in the credit, interest rate, equity, and foreign exchange asset classes. In September 2015, IHS Markit acquired </w:t>
      </w:r>
      <w:proofErr w:type="spellStart"/>
      <w:r w:rsidRPr="0066781F">
        <w:rPr>
          <w:rFonts w:cs="Arial"/>
          <w:sz w:val="22"/>
          <w:szCs w:val="22"/>
        </w:rPr>
        <w:t>DealHub</w:t>
      </w:r>
      <w:proofErr w:type="spellEnd"/>
      <w:r w:rsidRPr="0066781F">
        <w:rPr>
          <w:rFonts w:cs="Arial"/>
          <w:sz w:val="22"/>
          <w:szCs w:val="22"/>
          <w:vertAlign w:val="superscript"/>
        </w:rPr>
        <w:footnoteReference w:id="3"/>
      </w:r>
      <w:r w:rsidRPr="0066781F">
        <w:rPr>
          <w:rFonts w:cs="Arial"/>
          <w:sz w:val="22"/>
          <w:szCs w:val="22"/>
        </w:rPr>
        <w:t>, enhancing its trade processing offerings in the foreign exchange (“FX”) asset class, including regulatory reporting.</w:t>
      </w:r>
    </w:p>
    <w:p w:rsidR="003168CF" w:rsidRPr="0066781F" w:rsidRDefault="003168CF" w:rsidP="003168CF">
      <w:pPr>
        <w:rPr>
          <w:rFonts w:cs="Arial"/>
          <w:sz w:val="22"/>
          <w:szCs w:val="22"/>
        </w:rPr>
      </w:pPr>
    </w:p>
    <w:p w:rsidR="003168CF" w:rsidRPr="0066781F" w:rsidRDefault="003168CF" w:rsidP="003168CF">
      <w:pPr>
        <w:rPr>
          <w:rFonts w:cs="Arial"/>
          <w:sz w:val="22"/>
          <w:szCs w:val="22"/>
        </w:rPr>
      </w:pPr>
      <w:r w:rsidRPr="0066781F">
        <w:rPr>
          <w:rFonts w:cs="Arial"/>
          <w:sz w:val="22"/>
          <w:szCs w:val="22"/>
        </w:rPr>
        <w:t>Markit trade processing platforms also facilitate firms’ compliance with several regulatory r</w:t>
      </w:r>
      <w:r w:rsidRPr="0066781F">
        <w:rPr>
          <w:rFonts w:cs="Arial"/>
          <w:sz w:val="22"/>
          <w:szCs w:val="22"/>
        </w:rPr>
        <w:t>e</w:t>
      </w:r>
      <w:r w:rsidRPr="0066781F">
        <w:rPr>
          <w:rFonts w:cs="Arial"/>
          <w:sz w:val="22"/>
          <w:szCs w:val="22"/>
        </w:rPr>
        <w:t xml:space="preserve">quirements across jurisdictions. Specifically, the </w:t>
      </w:r>
      <w:proofErr w:type="spellStart"/>
      <w:r w:rsidRPr="0066781F">
        <w:rPr>
          <w:rFonts w:cs="Arial"/>
          <w:sz w:val="22"/>
          <w:szCs w:val="22"/>
        </w:rPr>
        <w:t>MarkitSERV</w:t>
      </w:r>
      <w:proofErr w:type="spellEnd"/>
      <w:r w:rsidRPr="0066781F">
        <w:rPr>
          <w:rFonts w:cs="Arial"/>
          <w:sz w:val="22"/>
          <w:szCs w:val="22"/>
        </w:rPr>
        <w:t xml:space="preserve"> platforms facilitate the electronic confirmation of a significant portion of derivatives transactions worldwide, submit them for clea</w:t>
      </w:r>
      <w:r w:rsidRPr="0066781F">
        <w:rPr>
          <w:rFonts w:cs="Arial"/>
          <w:sz w:val="22"/>
          <w:szCs w:val="22"/>
        </w:rPr>
        <w:t>r</w:t>
      </w:r>
      <w:r w:rsidRPr="0066781F">
        <w:rPr>
          <w:rFonts w:cs="Arial"/>
          <w:sz w:val="22"/>
          <w:szCs w:val="22"/>
        </w:rPr>
        <w:t xml:space="preserve">ing to 16 clearinghouses globally, and, for many counterparties, report derivatives details to trade repositories in the United States, Canada, Europe, Japan, Hong Kong, Singapore, and Australia, as well as reporting on behalf of the G15 banks on a voluntary basis as a part of an OTC Derivatives Regulator Forum initiative.  </w:t>
      </w:r>
    </w:p>
    <w:p w:rsidR="003168CF" w:rsidRPr="0066781F" w:rsidRDefault="003168CF" w:rsidP="003168CF">
      <w:pPr>
        <w:rPr>
          <w:rFonts w:cs="Arial"/>
          <w:sz w:val="22"/>
          <w:szCs w:val="22"/>
        </w:rPr>
      </w:pPr>
    </w:p>
    <w:p w:rsidR="003168CF" w:rsidRPr="0066781F" w:rsidRDefault="003168CF" w:rsidP="003168CF">
      <w:pPr>
        <w:rPr>
          <w:rFonts w:cs="Arial"/>
          <w:sz w:val="22"/>
          <w:szCs w:val="22"/>
        </w:rPr>
      </w:pPr>
      <w:r w:rsidRPr="0066781F">
        <w:rPr>
          <w:rFonts w:cs="Arial"/>
          <w:sz w:val="22"/>
          <w:szCs w:val="22"/>
        </w:rPr>
        <w:t>Through its derivatives trade processing</w:t>
      </w:r>
      <w:r w:rsidRPr="0066781F">
        <w:rPr>
          <w:rFonts w:cs="Arial"/>
          <w:sz w:val="22"/>
          <w:szCs w:val="22"/>
          <w:lang w:val="en-US"/>
        </w:rPr>
        <w:t xml:space="preserve"> platform</w:t>
      </w:r>
      <w:r w:rsidRPr="0066781F">
        <w:rPr>
          <w:rFonts w:cs="Arial"/>
          <w:sz w:val="22"/>
          <w:szCs w:val="22"/>
        </w:rPr>
        <w:t>, IHS Markit has a unique perspective across all types of participants in the OTC derivatives markets that operate across regulatory regime</w:t>
      </w:r>
      <w:r w:rsidRPr="0066781F">
        <w:rPr>
          <w:rFonts w:cs="Arial"/>
          <w:sz w:val="22"/>
          <w:szCs w:val="22"/>
          <w:lang w:val="en-US"/>
        </w:rPr>
        <w:t>s</w:t>
      </w:r>
      <w:r w:rsidRPr="0066781F">
        <w:rPr>
          <w:rFonts w:cs="Arial"/>
          <w:sz w:val="22"/>
          <w:szCs w:val="22"/>
        </w:rPr>
        <w:t>.  We share in common with ESMA the common goal of</w:t>
      </w:r>
      <w:r w:rsidR="009A0E2F">
        <w:rPr>
          <w:rFonts w:cs="Arial"/>
          <w:sz w:val="22"/>
          <w:szCs w:val="22"/>
        </w:rPr>
        <w:t xml:space="preserve"> stable,</w:t>
      </w:r>
      <w:r w:rsidRPr="0066781F">
        <w:rPr>
          <w:rFonts w:cs="Arial"/>
          <w:sz w:val="22"/>
          <w:szCs w:val="22"/>
        </w:rPr>
        <w:t xml:space="preserve"> fair and liquid OTC derivative markets.  We present our comments in that common spirit. </w:t>
      </w:r>
    </w:p>
    <w:p w:rsidR="003168CF" w:rsidRPr="0066781F" w:rsidRDefault="003168CF" w:rsidP="003168CF">
      <w:pPr>
        <w:rPr>
          <w:rFonts w:cs="Arial"/>
          <w:b/>
          <w:bCs/>
          <w:sz w:val="22"/>
          <w:szCs w:val="22"/>
        </w:rPr>
      </w:pPr>
    </w:p>
    <w:p w:rsidR="003168CF" w:rsidRPr="0066781F" w:rsidRDefault="003168CF" w:rsidP="003168CF">
      <w:pPr>
        <w:rPr>
          <w:rFonts w:cs="Arial"/>
          <w:b/>
          <w:bCs/>
          <w:sz w:val="22"/>
          <w:szCs w:val="22"/>
        </w:rPr>
      </w:pPr>
      <w:r w:rsidRPr="0066781F">
        <w:rPr>
          <w:rFonts w:cs="Arial"/>
          <w:b/>
          <w:bCs/>
          <w:sz w:val="22"/>
          <w:szCs w:val="22"/>
        </w:rPr>
        <w:t>Comments</w:t>
      </w:r>
    </w:p>
    <w:p w:rsidR="003168CF" w:rsidRPr="0066781F" w:rsidRDefault="003168CF" w:rsidP="003168CF">
      <w:pPr>
        <w:rPr>
          <w:rFonts w:cs="Arial"/>
          <w:b/>
          <w:bCs/>
          <w:sz w:val="22"/>
          <w:szCs w:val="22"/>
        </w:rPr>
      </w:pPr>
    </w:p>
    <w:p w:rsidR="000D5BDB" w:rsidRDefault="003168CF" w:rsidP="003168CF">
      <w:pPr>
        <w:rPr>
          <w:rFonts w:cs="Arial"/>
          <w:sz w:val="22"/>
          <w:szCs w:val="22"/>
        </w:rPr>
      </w:pPr>
      <w:r w:rsidRPr="0066781F">
        <w:rPr>
          <w:rFonts w:cs="Arial"/>
          <w:sz w:val="22"/>
          <w:szCs w:val="22"/>
        </w:rPr>
        <w:t>The implementation of a Trading Obligation (TO) for OTC derivatives is part of the G20 commi</w:t>
      </w:r>
      <w:r w:rsidRPr="0066781F">
        <w:rPr>
          <w:rFonts w:cs="Arial"/>
          <w:sz w:val="22"/>
          <w:szCs w:val="22"/>
        </w:rPr>
        <w:t>t</w:t>
      </w:r>
      <w:r w:rsidRPr="0066781F">
        <w:rPr>
          <w:rFonts w:cs="Arial"/>
          <w:sz w:val="22"/>
          <w:szCs w:val="22"/>
        </w:rPr>
        <w:t>ments made in Pittsburgh in 2009.</w:t>
      </w:r>
      <w:r w:rsidRPr="0066781F">
        <w:rPr>
          <w:rFonts w:cs="Arial"/>
          <w:sz w:val="22"/>
          <w:szCs w:val="22"/>
          <w:vertAlign w:val="superscript"/>
        </w:rPr>
        <w:footnoteReference w:id="4"/>
      </w:r>
      <w:r w:rsidRPr="0066781F">
        <w:rPr>
          <w:rFonts w:cs="Arial"/>
          <w:sz w:val="22"/>
          <w:szCs w:val="22"/>
        </w:rPr>
        <w:t xml:space="preserve">  These called for “standardised OTC derivative contracts [to] be traded on exchanges or electronic platforms, where appropriate”.  We understand that the TO is “appropriate’ when </w:t>
      </w:r>
      <w:r w:rsidR="009A0E2F">
        <w:rPr>
          <w:rFonts w:cs="Arial"/>
          <w:sz w:val="22"/>
          <w:szCs w:val="22"/>
        </w:rPr>
        <w:t>market users</w:t>
      </w:r>
      <w:r w:rsidR="009A0E2F" w:rsidRPr="0066781F">
        <w:rPr>
          <w:rFonts w:cs="Arial"/>
          <w:sz w:val="22"/>
          <w:szCs w:val="22"/>
        </w:rPr>
        <w:t xml:space="preserve"> </w:t>
      </w:r>
      <w:r w:rsidRPr="0066781F">
        <w:rPr>
          <w:rFonts w:cs="Arial"/>
          <w:sz w:val="22"/>
          <w:szCs w:val="22"/>
        </w:rPr>
        <w:t>would benefit from an on-venue trading environment</w:t>
      </w:r>
      <w:r w:rsidR="009A0E2F">
        <w:rPr>
          <w:rFonts w:cs="Arial"/>
          <w:sz w:val="22"/>
          <w:szCs w:val="22"/>
        </w:rPr>
        <w:t xml:space="preserve"> through improved price transparency and risk management</w:t>
      </w:r>
      <w:r w:rsidRPr="0066781F">
        <w:rPr>
          <w:rFonts w:cs="Arial"/>
          <w:sz w:val="22"/>
          <w:szCs w:val="22"/>
        </w:rPr>
        <w:t>.</w:t>
      </w:r>
      <w:r w:rsidR="00DF06BC">
        <w:rPr>
          <w:rStyle w:val="FootnoteReference"/>
          <w:rFonts w:cs="Arial"/>
          <w:sz w:val="22"/>
          <w:szCs w:val="22"/>
        </w:rPr>
        <w:footnoteReference w:id="5"/>
      </w:r>
      <w:r w:rsidRPr="0066781F">
        <w:rPr>
          <w:rFonts w:cs="Arial"/>
          <w:sz w:val="22"/>
          <w:szCs w:val="22"/>
        </w:rPr>
        <w:t xml:space="preserve"> </w:t>
      </w:r>
    </w:p>
    <w:p w:rsidR="000D5BDB" w:rsidRDefault="000D5BDB" w:rsidP="003168CF">
      <w:pPr>
        <w:rPr>
          <w:rFonts w:cs="Arial"/>
          <w:sz w:val="22"/>
          <w:szCs w:val="22"/>
        </w:rPr>
      </w:pPr>
    </w:p>
    <w:p w:rsidR="003168CF" w:rsidRPr="0066781F" w:rsidRDefault="000D5BDB" w:rsidP="003168CF">
      <w:pPr>
        <w:rPr>
          <w:rFonts w:cs="Arial"/>
          <w:sz w:val="22"/>
          <w:szCs w:val="22"/>
        </w:rPr>
      </w:pPr>
      <w:r>
        <w:rPr>
          <w:rFonts w:cs="Arial"/>
          <w:sz w:val="22"/>
          <w:szCs w:val="22"/>
        </w:rPr>
        <w:t xml:space="preserve">It is important to appreciate </w:t>
      </w:r>
      <w:r w:rsidR="003168CF" w:rsidRPr="0066781F">
        <w:rPr>
          <w:rFonts w:cs="Arial"/>
          <w:sz w:val="22"/>
          <w:szCs w:val="22"/>
        </w:rPr>
        <w:t>that</w:t>
      </w:r>
      <w:r w:rsidR="00DF06BC">
        <w:rPr>
          <w:rFonts w:cs="Arial"/>
          <w:sz w:val="22"/>
          <w:szCs w:val="22"/>
        </w:rPr>
        <w:t>,</w:t>
      </w:r>
      <w:r w:rsidR="003168CF" w:rsidRPr="0066781F">
        <w:rPr>
          <w:rFonts w:cs="Arial"/>
          <w:sz w:val="22"/>
          <w:szCs w:val="22"/>
        </w:rPr>
        <w:t xml:space="preserve"> </w:t>
      </w:r>
      <w:r>
        <w:rPr>
          <w:rFonts w:cs="Arial"/>
          <w:sz w:val="22"/>
          <w:szCs w:val="22"/>
        </w:rPr>
        <w:t xml:space="preserve">for some </w:t>
      </w:r>
      <w:r w:rsidRPr="0066781F">
        <w:rPr>
          <w:rFonts w:cs="Arial"/>
          <w:sz w:val="22"/>
          <w:szCs w:val="22"/>
        </w:rPr>
        <w:t xml:space="preserve">OTC derivative </w:t>
      </w:r>
      <w:r>
        <w:rPr>
          <w:rFonts w:cs="Arial"/>
          <w:sz w:val="22"/>
          <w:szCs w:val="22"/>
        </w:rPr>
        <w:t xml:space="preserve">instruments, </w:t>
      </w:r>
      <w:r w:rsidR="003168CF" w:rsidRPr="0066781F">
        <w:rPr>
          <w:rFonts w:cs="Arial"/>
          <w:sz w:val="22"/>
          <w:szCs w:val="22"/>
        </w:rPr>
        <w:t>a sufficien</w:t>
      </w:r>
      <w:r w:rsidR="003168CF">
        <w:rPr>
          <w:rFonts w:cs="Arial"/>
          <w:sz w:val="22"/>
          <w:szCs w:val="22"/>
        </w:rPr>
        <w:t xml:space="preserve">t amount of off-venue trading </w:t>
      </w:r>
      <w:r w:rsidR="003168CF" w:rsidRPr="0066781F">
        <w:rPr>
          <w:rFonts w:cs="Arial"/>
          <w:sz w:val="22"/>
          <w:szCs w:val="22"/>
        </w:rPr>
        <w:t xml:space="preserve">is necessary to enhance liquidity.  This is because the additional transparency associated with on-venue trading for an OTC derivative alerts market participants </w:t>
      </w:r>
      <w:r w:rsidR="003168CF">
        <w:rPr>
          <w:rFonts w:cs="Arial"/>
          <w:sz w:val="22"/>
          <w:szCs w:val="22"/>
        </w:rPr>
        <w:t>that</w:t>
      </w:r>
      <w:r w:rsidR="003168CF" w:rsidRPr="0066781F">
        <w:rPr>
          <w:rFonts w:cs="Arial"/>
          <w:sz w:val="22"/>
          <w:szCs w:val="22"/>
        </w:rPr>
        <w:t xml:space="preserve"> transa</w:t>
      </w:r>
      <w:r w:rsidR="003168CF" w:rsidRPr="0066781F">
        <w:rPr>
          <w:rFonts w:cs="Arial"/>
          <w:sz w:val="22"/>
          <w:szCs w:val="22"/>
        </w:rPr>
        <w:t>c</w:t>
      </w:r>
      <w:r w:rsidR="003168CF" w:rsidRPr="0066781F">
        <w:rPr>
          <w:rFonts w:cs="Arial"/>
          <w:sz w:val="22"/>
          <w:szCs w:val="22"/>
        </w:rPr>
        <w:t>tions have occurred, lea</w:t>
      </w:r>
      <w:r w:rsidR="003168CF">
        <w:rPr>
          <w:rFonts w:cs="Arial"/>
          <w:sz w:val="22"/>
          <w:szCs w:val="22"/>
        </w:rPr>
        <w:t>v</w:t>
      </w:r>
      <w:r w:rsidR="003168CF" w:rsidRPr="0066781F">
        <w:rPr>
          <w:rFonts w:cs="Arial"/>
          <w:sz w:val="22"/>
          <w:szCs w:val="22"/>
        </w:rPr>
        <w:t xml:space="preserve">ing the liquidity provider to these transactions susceptible to predatory trading from the few firms able to provide a hedge the liquidity provider.  </w:t>
      </w:r>
    </w:p>
    <w:p w:rsidR="003168CF" w:rsidRPr="0066781F" w:rsidRDefault="003168CF" w:rsidP="003168CF">
      <w:pPr>
        <w:rPr>
          <w:rFonts w:cs="Arial"/>
          <w:sz w:val="22"/>
          <w:szCs w:val="22"/>
        </w:rPr>
      </w:pPr>
    </w:p>
    <w:p w:rsidR="003168CF" w:rsidRPr="0066781F" w:rsidRDefault="003168CF" w:rsidP="003168CF">
      <w:pPr>
        <w:rPr>
          <w:rFonts w:cs="Arial"/>
          <w:sz w:val="22"/>
          <w:szCs w:val="22"/>
        </w:rPr>
      </w:pPr>
      <w:r>
        <w:rPr>
          <w:rFonts w:cs="Arial"/>
          <w:sz w:val="22"/>
          <w:szCs w:val="22"/>
        </w:rPr>
        <w:t xml:space="preserve">Citing a </w:t>
      </w:r>
      <w:r w:rsidRPr="0066781F">
        <w:rPr>
          <w:rFonts w:cs="Arial"/>
          <w:sz w:val="22"/>
          <w:szCs w:val="22"/>
        </w:rPr>
        <w:t xml:space="preserve">paper </w:t>
      </w:r>
      <w:r>
        <w:rPr>
          <w:rFonts w:cs="Arial"/>
          <w:sz w:val="22"/>
          <w:szCs w:val="22"/>
        </w:rPr>
        <w:t>from the Journal of Finance (</w:t>
      </w:r>
      <w:proofErr w:type="spellStart"/>
      <w:r>
        <w:rPr>
          <w:rFonts w:cs="Arial"/>
          <w:sz w:val="22"/>
          <w:szCs w:val="22"/>
        </w:rPr>
        <w:t>Brunnermeier</w:t>
      </w:r>
      <w:proofErr w:type="spellEnd"/>
      <w:r>
        <w:rPr>
          <w:rFonts w:cs="Arial"/>
          <w:sz w:val="22"/>
          <w:szCs w:val="22"/>
        </w:rPr>
        <w:t xml:space="preserve"> and Pedersen 2005) </w:t>
      </w:r>
      <w:r w:rsidRPr="0066781F">
        <w:rPr>
          <w:rFonts w:cs="Arial"/>
          <w:sz w:val="22"/>
          <w:szCs w:val="22"/>
        </w:rPr>
        <w:t>that explores this topic in depth:</w:t>
      </w:r>
    </w:p>
    <w:p w:rsidR="003168CF" w:rsidRPr="0066781F" w:rsidRDefault="003168CF" w:rsidP="003168CF">
      <w:pPr>
        <w:rPr>
          <w:rFonts w:cs="Arial"/>
          <w:sz w:val="22"/>
          <w:szCs w:val="22"/>
        </w:rPr>
      </w:pPr>
    </w:p>
    <w:p w:rsidR="003168CF" w:rsidRPr="0066781F" w:rsidRDefault="003168CF" w:rsidP="003168CF">
      <w:pPr>
        <w:ind w:left="709"/>
        <w:rPr>
          <w:rFonts w:cs="Arial"/>
          <w:b/>
          <w:bCs/>
          <w:sz w:val="22"/>
          <w:szCs w:val="22"/>
        </w:rPr>
      </w:pPr>
      <w:r w:rsidRPr="0066781F">
        <w:rPr>
          <w:rFonts w:cs="Arial"/>
          <w:sz w:val="22"/>
          <w:szCs w:val="22"/>
        </w:rPr>
        <w:t>“Our analysis shows that if a distressed large investor is forced to unwind his position (i.e., when he needs liquidity the most), other strategic traders initially trade in the same direction. That is, to profit from price swings, other traders conduct predatory trading and withdraw liquidity instead of providing it. This predatory activity makes liquidation costly and leads to price overshooting.  Moreover, predatory trading can even induce the di</w:t>
      </w:r>
      <w:r w:rsidRPr="0066781F">
        <w:rPr>
          <w:rFonts w:cs="Arial"/>
          <w:sz w:val="22"/>
          <w:szCs w:val="22"/>
        </w:rPr>
        <w:t>s</w:t>
      </w:r>
      <w:r w:rsidRPr="0066781F">
        <w:rPr>
          <w:rFonts w:cs="Arial"/>
          <w:sz w:val="22"/>
          <w:szCs w:val="22"/>
        </w:rPr>
        <w:t>tressed trader’s need to liquidate; hence, predatory trading can enhance the risk of fina</w:t>
      </w:r>
      <w:r w:rsidRPr="0066781F">
        <w:rPr>
          <w:rFonts w:cs="Arial"/>
          <w:sz w:val="22"/>
          <w:szCs w:val="22"/>
        </w:rPr>
        <w:t>n</w:t>
      </w:r>
      <w:r w:rsidRPr="0066781F">
        <w:rPr>
          <w:rFonts w:cs="Arial"/>
          <w:sz w:val="22"/>
          <w:szCs w:val="22"/>
        </w:rPr>
        <w:t>cial crisis. We show that predation is profitable if the market is illiquid and if the di</w:t>
      </w:r>
      <w:r w:rsidRPr="0066781F">
        <w:rPr>
          <w:rFonts w:cs="Arial"/>
          <w:sz w:val="22"/>
          <w:szCs w:val="22"/>
        </w:rPr>
        <w:t>s</w:t>
      </w:r>
      <w:r w:rsidRPr="0066781F">
        <w:rPr>
          <w:rFonts w:cs="Arial"/>
          <w:sz w:val="22"/>
          <w:szCs w:val="22"/>
        </w:rPr>
        <w:t>tressed trader’s position is large relative to the buying capacity of other traders. Further, predation is most fierce if there are few predators.”</w:t>
      </w:r>
      <w:r w:rsidRPr="0066781F">
        <w:rPr>
          <w:rStyle w:val="FootnoteReference"/>
          <w:rFonts w:cs="Arial"/>
          <w:sz w:val="22"/>
          <w:szCs w:val="22"/>
        </w:rPr>
        <w:footnoteReference w:id="6"/>
      </w:r>
    </w:p>
    <w:p w:rsidR="003168CF" w:rsidRPr="0066781F" w:rsidRDefault="003168CF" w:rsidP="003168CF">
      <w:pPr>
        <w:rPr>
          <w:rFonts w:cs="Arial"/>
          <w:sz w:val="22"/>
          <w:szCs w:val="22"/>
        </w:rPr>
      </w:pPr>
    </w:p>
    <w:p w:rsidR="003168CF" w:rsidRPr="0066781F" w:rsidRDefault="003168CF" w:rsidP="003168CF">
      <w:pPr>
        <w:rPr>
          <w:rFonts w:cs="Arial"/>
          <w:sz w:val="22"/>
          <w:szCs w:val="22"/>
        </w:rPr>
      </w:pPr>
      <w:r w:rsidRPr="0066781F">
        <w:rPr>
          <w:rFonts w:cs="Arial"/>
          <w:sz w:val="22"/>
          <w:szCs w:val="22"/>
        </w:rPr>
        <w:t>The risk of predatory trading increases as a function of greater transactional transparency and inversely with the liquidity of the financial instrument</w:t>
      </w:r>
      <w:r w:rsidRPr="0066781F">
        <w:rPr>
          <w:rStyle w:val="FootnoteReference"/>
          <w:rFonts w:cs="Arial"/>
          <w:sz w:val="22"/>
          <w:szCs w:val="22"/>
        </w:rPr>
        <w:footnoteReference w:id="7"/>
      </w:r>
      <w:r w:rsidRPr="0066781F">
        <w:rPr>
          <w:rFonts w:cs="Arial"/>
          <w:sz w:val="22"/>
          <w:szCs w:val="22"/>
        </w:rPr>
        <w:t xml:space="preserve"> with the number of liquidity providers (and market participants more generally).  Predatory trading when it emerges can also, most i</w:t>
      </w:r>
      <w:r w:rsidRPr="0066781F">
        <w:rPr>
          <w:rFonts w:cs="Arial"/>
          <w:sz w:val="22"/>
          <w:szCs w:val="22"/>
        </w:rPr>
        <w:t>m</w:t>
      </w:r>
      <w:r w:rsidRPr="0066781F">
        <w:rPr>
          <w:rFonts w:cs="Arial"/>
          <w:sz w:val="22"/>
          <w:szCs w:val="22"/>
        </w:rPr>
        <w:t>portantly for ESMA’s goals, increase the risk of financial crises.  Moreover, predatory trading deters liquidity providers from meeting end user demand for hedging transactions, raising the cost for non-financial and financial end-users from being able to cost-effectively reduce their commercial risks.  In contrast, for products that have a low risk of predatory trading (i.e. liquid products)</w:t>
      </w:r>
      <w:proofErr w:type="gramStart"/>
      <w:r w:rsidRPr="0066781F">
        <w:rPr>
          <w:rFonts w:cs="Arial"/>
          <w:sz w:val="22"/>
          <w:szCs w:val="22"/>
        </w:rPr>
        <w:t>,</w:t>
      </w:r>
      <w:proofErr w:type="gramEnd"/>
      <w:r w:rsidRPr="0066781F">
        <w:rPr>
          <w:rFonts w:cs="Arial"/>
          <w:sz w:val="22"/>
          <w:szCs w:val="22"/>
        </w:rPr>
        <w:t xml:space="preserve"> the centralised trading environment would facilitate liquidity formation by enhanced transparency reducing the barriers to trading in the product.  </w:t>
      </w:r>
    </w:p>
    <w:p w:rsidR="003168CF" w:rsidRPr="0066781F" w:rsidRDefault="003168CF" w:rsidP="003168CF">
      <w:pPr>
        <w:rPr>
          <w:rFonts w:cs="Arial"/>
          <w:sz w:val="22"/>
          <w:szCs w:val="22"/>
        </w:rPr>
      </w:pPr>
    </w:p>
    <w:p w:rsidR="003168CF" w:rsidRPr="0066781F" w:rsidRDefault="003168CF" w:rsidP="003168CF">
      <w:pPr>
        <w:rPr>
          <w:rFonts w:cs="Arial"/>
          <w:sz w:val="22"/>
          <w:szCs w:val="22"/>
        </w:rPr>
      </w:pPr>
      <w:r w:rsidRPr="0066781F">
        <w:rPr>
          <w:rFonts w:cs="Arial"/>
          <w:sz w:val="22"/>
          <w:szCs w:val="22"/>
        </w:rPr>
        <w:t>In short, illiquid products’ liquidity suffer as they are subjected to centralised trading and tran</w:t>
      </w:r>
      <w:r w:rsidRPr="0066781F">
        <w:rPr>
          <w:rFonts w:cs="Arial"/>
          <w:sz w:val="22"/>
          <w:szCs w:val="22"/>
        </w:rPr>
        <w:t>s</w:t>
      </w:r>
      <w:r w:rsidRPr="0066781F">
        <w:rPr>
          <w:rFonts w:cs="Arial"/>
          <w:sz w:val="22"/>
          <w:szCs w:val="22"/>
        </w:rPr>
        <w:t>parency requirements of the sort provided by a TO while liquid products’ liquidity is enhanced by centralised trading and greater transparency.  We therefore welcome ESMA’s effort to disti</w:t>
      </w:r>
      <w:r w:rsidRPr="0066781F">
        <w:rPr>
          <w:rFonts w:cs="Arial"/>
          <w:sz w:val="22"/>
          <w:szCs w:val="22"/>
        </w:rPr>
        <w:t>n</w:t>
      </w:r>
      <w:r w:rsidRPr="0066781F">
        <w:rPr>
          <w:rFonts w:cs="Arial"/>
          <w:sz w:val="22"/>
          <w:szCs w:val="22"/>
        </w:rPr>
        <w:t xml:space="preserve">guish products that have a high risk of predatory trading and keeping these products outside the </w:t>
      </w:r>
      <w:r w:rsidRPr="0066781F">
        <w:rPr>
          <w:rFonts w:cs="Arial"/>
          <w:sz w:val="22"/>
          <w:szCs w:val="22"/>
        </w:rPr>
        <w:lastRenderedPageBreak/>
        <w:t>scope of the TO.  We appreciate and support ESMA’s efforts to analyse the liquidity of deriv</w:t>
      </w:r>
      <w:r w:rsidRPr="0066781F">
        <w:rPr>
          <w:rFonts w:cs="Arial"/>
          <w:sz w:val="22"/>
          <w:szCs w:val="22"/>
        </w:rPr>
        <w:t>a</w:t>
      </w:r>
      <w:r w:rsidRPr="0066781F">
        <w:rPr>
          <w:rFonts w:cs="Arial"/>
          <w:sz w:val="22"/>
          <w:szCs w:val="22"/>
        </w:rPr>
        <w:t xml:space="preserve">tives classes. </w:t>
      </w:r>
      <w:r>
        <w:rPr>
          <w:rFonts w:cs="Arial"/>
          <w:sz w:val="22"/>
          <w:szCs w:val="22"/>
        </w:rPr>
        <w:t>We believe that the</w:t>
      </w:r>
      <w:r w:rsidRPr="0066781F">
        <w:rPr>
          <w:rFonts w:cs="Arial"/>
          <w:sz w:val="22"/>
          <w:szCs w:val="22"/>
        </w:rPr>
        <w:t xml:space="preserve"> thresholds should be determined in a way such that, as for</w:t>
      </w:r>
      <w:r w:rsidRPr="0066781F">
        <w:rPr>
          <w:rFonts w:cs="Arial"/>
          <w:sz w:val="22"/>
          <w:szCs w:val="22"/>
        </w:rPr>
        <w:t>e</w:t>
      </w:r>
      <w:r w:rsidRPr="0066781F">
        <w:rPr>
          <w:rFonts w:cs="Arial"/>
          <w:sz w:val="22"/>
          <w:szCs w:val="22"/>
        </w:rPr>
        <w:t>seen in the level 1 legislation,</w:t>
      </w:r>
      <w:r w:rsidRPr="0066781F">
        <w:rPr>
          <w:rStyle w:val="FootnoteReference"/>
          <w:rFonts w:cs="Arial"/>
          <w:sz w:val="22"/>
          <w:szCs w:val="22"/>
        </w:rPr>
        <w:footnoteReference w:id="8"/>
      </w:r>
      <w:r w:rsidRPr="0066781F">
        <w:rPr>
          <w:rFonts w:cs="Arial"/>
          <w:sz w:val="22"/>
          <w:szCs w:val="22"/>
        </w:rPr>
        <w:t xml:space="preserve"> illiquid and non-standardised derivatives would not be subject to the TO. This could be done through careful analysis of trade data and prudent assumptions where trade data is limited or lacking.  </w:t>
      </w:r>
    </w:p>
    <w:p w:rsidR="003168CF" w:rsidRPr="0066781F" w:rsidRDefault="003168CF" w:rsidP="003168CF">
      <w:pPr>
        <w:rPr>
          <w:rFonts w:cs="Arial"/>
          <w:sz w:val="22"/>
          <w:szCs w:val="22"/>
        </w:rPr>
      </w:pPr>
    </w:p>
    <w:p w:rsidR="003168CF" w:rsidRPr="0066781F" w:rsidRDefault="003168CF" w:rsidP="003168CF">
      <w:pPr>
        <w:rPr>
          <w:rFonts w:cs="Arial"/>
          <w:sz w:val="22"/>
          <w:szCs w:val="22"/>
        </w:rPr>
      </w:pPr>
      <w:r w:rsidRPr="0066781F">
        <w:rPr>
          <w:rFonts w:cs="Arial"/>
          <w:sz w:val="22"/>
          <w:szCs w:val="22"/>
        </w:rPr>
        <w:t xml:space="preserve">In addition, ESMA should avoid creating technical standards that would strengthen the market position of trading venues that have a dominant position in providing trading services for certain derivative classes.   </w:t>
      </w:r>
      <w:r w:rsidR="000D5BDB">
        <w:rPr>
          <w:rFonts w:cs="Arial"/>
          <w:sz w:val="22"/>
          <w:szCs w:val="22"/>
        </w:rPr>
        <w:t xml:space="preserve">An inappropriate TO would </w:t>
      </w:r>
      <w:r w:rsidR="00DF06BC">
        <w:rPr>
          <w:rFonts w:cs="Arial"/>
          <w:sz w:val="22"/>
          <w:szCs w:val="22"/>
        </w:rPr>
        <w:t>i</w:t>
      </w:r>
      <w:r w:rsidRPr="0066781F">
        <w:rPr>
          <w:rFonts w:cs="Arial"/>
          <w:sz w:val="22"/>
          <w:szCs w:val="22"/>
        </w:rPr>
        <w:t xml:space="preserve">ncrease barriers to entry </w:t>
      </w:r>
      <w:r w:rsidR="000D5BDB">
        <w:rPr>
          <w:rFonts w:cs="Arial"/>
          <w:sz w:val="22"/>
          <w:szCs w:val="22"/>
        </w:rPr>
        <w:t xml:space="preserve">and </w:t>
      </w:r>
      <w:r w:rsidRPr="0066781F">
        <w:rPr>
          <w:rFonts w:cs="Arial"/>
          <w:sz w:val="22"/>
          <w:szCs w:val="22"/>
        </w:rPr>
        <w:t xml:space="preserve">could limit the </w:t>
      </w:r>
      <w:r w:rsidR="000D5BDB">
        <w:rPr>
          <w:rFonts w:cs="Arial"/>
          <w:sz w:val="22"/>
          <w:szCs w:val="22"/>
        </w:rPr>
        <w:t>competition and innovation in markets</w:t>
      </w:r>
      <w:r w:rsidRPr="0066781F">
        <w:rPr>
          <w:rFonts w:cs="Arial"/>
          <w:sz w:val="22"/>
          <w:szCs w:val="22"/>
        </w:rPr>
        <w:t>.   A lack of competition among trading venues could expose end users to potentially higher transaction costs, as well as higher costs to obtain data and other services related to trading.</w:t>
      </w:r>
      <w:r>
        <w:rPr>
          <w:rStyle w:val="FootnoteReference"/>
          <w:rFonts w:cs="Arial"/>
          <w:sz w:val="22"/>
          <w:szCs w:val="22"/>
        </w:rPr>
        <w:footnoteReference w:id="9"/>
      </w:r>
      <w:r w:rsidRPr="0066781F">
        <w:rPr>
          <w:rFonts w:cs="Arial"/>
          <w:sz w:val="22"/>
          <w:szCs w:val="22"/>
        </w:rPr>
        <w:t xml:space="preserve"> </w:t>
      </w:r>
    </w:p>
    <w:p w:rsidR="003168CF" w:rsidRPr="0066781F" w:rsidRDefault="003168CF" w:rsidP="003168CF">
      <w:pPr>
        <w:rPr>
          <w:rFonts w:cs="Arial"/>
          <w:sz w:val="22"/>
          <w:szCs w:val="22"/>
        </w:rPr>
      </w:pPr>
      <w:r w:rsidRPr="0066781F">
        <w:rPr>
          <w:rFonts w:cs="Arial"/>
          <w:sz w:val="22"/>
          <w:szCs w:val="22"/>
        </w:rPr>
        <w:t xml:space="preserve">   </w:t>
      </w:r>
    </w:p>
    <w:p w:rsidR="003168CF" w:rsidRPr="0066781F" w:rsidRDefault="003168CF" w:rsidP="003168CF">
      <w:pPr>
        <w:rPr>
          <w:rFonts w:cs="Arial"/>
          <w:sz w:val="22"/>
          <w:szCs w:val="22"/>
        </w:rPr>
      </w:pPr>
      <w:r w:rsidRPr="0066781F">
        <w:rPr>
          <w:rFonts w:cs="Arial"/>
          <w:sz w:val="22"/>
          <w:szCs w:val="22"/>
        </w:rPr>
        <w:t>Below is a brief summary of the key points:</w:t>
      </w:r>
    </w:p>
    <w:p w:rsidR="003168CF" w:rsidRPr="0066781F" w:rsidRDefault="003168CF" w:rsidP="003168CF">
      <w:pPr>
        <w:rPr>
          <w:rFonts w:cs="Arial"/>
          <w:sz w:val="22"/>
          <w:szCs w:val="22"/>
        </w:rPr>
      </w:pPr>
    </w:p>
    <w:p w:rsidR="003168CF" w:rsidRPr="009F51CB" w:rsidRDefault="003168CF" w:rsidP="003168CF">
      <w:pPr>
        <w:numPr>
          <w:ilvl w:val="0"/>
          <w:numId w:val="37"/>
        </w:numPr>
        <w:rPr>
          <w:rFonts w:cs="Arial"/>
          <w:sz w:val="22"/>
          <w:szCs w:val="22"/>
        </w:rPr>
      </w:pPr>
      <w:r w:rsidRPr="009F51CB">
        <w:rPr>
          <w:rFonts w:cs="Arial"/>
          <w:sz w:val="22"/>
          <w:szCs w:val="22"/>
        </w:rPr>
        <w:t xml:space="preserve">ESMA should only consider those derivatives for the trading obligation where primary trading activity is conducted in the </w:t>
      </w:r>
      <w:r w:rsidR="00A65BA4">
        <w:rPr>
          <w:rFonts w:cs="Arial"/>
          <w:sz w:val="22"/>
          <w:szCs w:val="22"/>
        </w:rPr>
        <w:t>EU</w:t>
      </w:r>
      <w:r w:rsidR="00A65BA4" w:rsidRPr="009F51CB">
        <w:rPr>
          <w:rFonts w:cs="Arial"/>
          <w:sz w:val="22"/>
          <w:szCs w:val="22"/>
        </w:rPr>
        <w:t xml:space="preserve"> </w:t>
      </w:r>
      <w:r w:rsidRPr="009F51CB">
        <w:rPr>
          <w:rFonts w:cs="Arial"/>
          <w:sz w:val="22"/>
          <w:szCs w:val="22"/>
        </w:rPr>
        <w:t>unless those derivatives are subject to the Trading Obligation in other jurisdictions. This would also help avoid regulatory arb</w:t>
      </w:r>
      <w:r w:rsidRPr="009F51CB">
        <w:rPr>
          <w:rFonts w:cs="Arial"/>
          <w:sz w:val="22"/>
          <w:szCs w:val="22"/>
        </w:rPr>
        <w:t>i</w:t>
      </w:r>
      <w:r w:rsidRPr="009F51CB">
        <w:rPr>
          <w:rFonts w:cs="Arial"/>
          <w:sz w:val="22"/>
          <w:szCs w:val="22"/>
        </w:rPr>
        <w:t>trage in those derivatives classes.</w:t>
      </w:r>
    </w:p>
    <w:p w:rsidR="003168CF" w:rsidRPr="009F51CB" w:rsidRDefault="003168CF" w:rsidP="003168CF">
      <w:pPr>
        <w:rPr>
          <w:rFonts w:cs="Arial"/>
          <w:sz w:val="22"/>
          <w:szCs w:val="22"/>
        </w:rPr>
      </w:pPr>
    </w:p>
    <w:p w:rsidR="003168CF" w:rsidRPr="009F51CB" w:rsidRDefault="003168CF" w:rsidP="003168CF">
      <w:pPr>
        <w:numPr>
          <w:ilvl w:val="0"/>
          <w:numId w:val="37"/>
        </w:numPr>
        <w:rPr>
          <w:rFonts w:cs="Arial"/>
          <w:sz w:val="22"/>
          <w:szCs w:val="22"/>
        </w:rPr>
      </w:pPr>
      <w:r w:rsidRPr="009F51CB">
        <w:rPr>
          <w:rFonts w:cs="Arial"/>
          <w:sz w:val="22"/>
          <w:szCs w:val="22"/>
        </w:rPr>
        <w:t>ESMA should ensure that a particular class of derivatives should be voluntarily traded on at least three unaffiliated trading venues before it is considered for the TO. This would ensure effective competition in the Trading Venue landscape, low transaction costs, choice of technology and execution methodologies</w:t>
      </w:r>
      <w:r>
        <w:rPr>
          <w:rFonts w:cs="Arial"/>
          <w:sz w:val="22"/>
          <w:szCs w:val="22"/>
        </w:rPr>
        <w:t>. It would also</w:t>
      </w:r>
      <w:r w:rsidRPr="009F51CB">
        <w:rPr>
          <w:rFonts w:cs="Arial"/>
          <w:sz w:val="22"/>
          <w:szCs w:val="22"/>
        </w:rPr>
        <w:t xml:space="preserve"> </w:t>
      </w:r>
      <w:proofErr w:type="spellStart"/>
      <w:r w:rsidRPr="009F51CB">
        <w:rPr>
          <w:rFonts w:cs="Arial"/>
          <w:sz w:val="22"/>
          <w:szCs w:val="22"/>
        </w:rPr>
        <w:t>disincentivise</w:t>
      </w:r>
      <w:proofErr w:type="spellEnd"/>
      <w:r w:rsidRPr="009F51CB">
        <w:rPr>
          <w:rFonts w:cs="Arial"/>
          <w:sz w:val="22"/>
          <w:szCs w:val="22"/>
        </w:rPr>
        <w:t xml:space="preserve"> trading venues to list derivative contracts with the objective of forcing liquidity on these venues at the expense of systemic market liquidity.</w:t>
      </w:r>
    </w:p>
    <w:p w:rsidR="003168CF" w:rsidRPr="009F51CB" w:rsidRDefault="003168CF" w:rsidP="003168CF">
      <w:pPr>
        <w:rPr>
          <w:rFonts w:cs="Arial"/>
          <w:sz w:val="22"/>
          <w:szCs w:val="22"/>
        </w:rPr>
      </w:pPr>
    </w:p>
    <w:p w:rsidR="003168CF" w:rsidRPr="009F51CB" w:rsidRDefault="003168CF" w:rsidP="003168CF">
      <w:pPr>
        <w:numPr>
          <w:ilvl w:val="0"/>
          <w:numId w:val="37"/>
        </w:numPr>
        <w:rPr>
          <w:rFonts w:cs="Arial"/>
          <w:sz w:val="22"/>
          <w:szCs w:val="22"/>
        </w:rPr>
      </w:pPr>
      <w:r w:rsidRPr="009F51CB">
        <w:rPr>
          <w:rFonts w:cs="Arial"/>
          <w:sz w:val="22"/>
          <w:szCs w:val="22"/>
        </w:rPr>
        <w:t>To appropriately analyse liquidity of derivatives classes ESMA should consider rev</w:t>
      </w:r>
      <w:r w:rsidRPr="009F51CB">
        <w:rPr>
          <w:rFonts w:cs="Arial"/>
          <w:sz w:val="22"/>
          <w:szCs w:val="22"/>
        </w:rPr>
        <w:t>i</w:t>
      </w:r>
      <w:r w:rsidRPr="009F51CB">
        <w:rPr>
          <w:rFonts w:cs="Arial"/>
          <w:sz w:val="22"/>
          <w:szCs w:val="22"/>
        </w:rPr>
        <w:t>sions to the raw data set. These include:</w:t>
      </w:r>
    </w:p>
    <w:p w:rsidR="003168CF" w:rsidRPr="009F51CB" w:rsidRDefault="003168CF" w:rsidP="003168CF">
      <w:pPr>
        <w:rPr>
          <w:rFonts w:cs="Arial"/>
          <w:sz w:val="22"/>
          <w:szCs w:val="22"/>
        </w:rPr>
      </w:pPr>
    </w:p>
    <w:p w:rsidR="003168CF" w:rsidRPr="009F51CB" w:rsidRDefault="003168CF" w:rsidP="003168CF">
      <w:pPr>
        <w:numPr>
          <w:ilvl w:val="1"/>
          <w:numId w:val="37"/>
        </w:numPr>
        <w:rPr>
          <w:rFonts w:cs="Arial"/>
          <w:sz w:val="22"/>
          <w:szCs w:val="22"/>
        </w:rPr>
      </w:pPr>
      <w:r w:rsidRPr="009F51CB">
        <w:rPr>
          <w:rFonts w:cs="Arial"/>
          <w:sz w:val="22"/>
          <w:szCs w:val="22"/>
        </w:rPr>
        <w:t>An appropriate methodology to remove duplicate trades. Option 3</w:t>
      </w:r>
      <w:r w:rsidR="00DF06BC">
        <w:rPr>
          <w:rStyle w:val="FootnoteReference"/>
          <w:rFonts w:cs="Arial"/>
          <w:sz w:val="22"/>
          <w:szCs w:val="22"/>
        </w:rPr>
        <w:footnoteReference w:id="10"/>
      </w:r>
      <w:r w:rsidRPr="009F51CB">
        <w:rPr>
          <w:rFonts w:cs="Arial"/>
          <w:sz w:val="22"/>
          <w:szCs w:val="22"/>
        </w:rPr>
        <w:t xml:space="preserve">, which </w:t>
      </w:r>
      <w:r w:rsidR="00E0516B">
        <w:rPr>
          <w:rFonts w:cs="Arial"/>
          <w:sz w:val="22"/>
          <w:szCs w:val="22"/>
        </w:rPr>
        <w:t xml:space="preserve">would </w:t>
      </w:r>
      <w:r w:rsidRPr="009F51CB">
        <w:rPr>
          <w:rFonts w:cs="Arial"/>
          <w:sz w:val="22"/>
          <w:szCs w:val="22"/>
        </w:rPr>
        <w:t>remove</w:t>
      </w:r>
      <w:r>
        <w:rPr>
          <w:rFonts w:cs="Arial"/>
          <w:sz w:val="22"/>
          <w:szCs w:val="22"/>
        </w:rPr>
        <w:t xml:space="preserve"> cleared trades</w:t>
      </w:r>
      <w:r w:rsidRPr="009F51CB">
        <w:rPr>
          <w:rFonts w:cs="Arial"/>
          <w:sz w:val="22"/>
          <w:szCs w:val="22"/>
        </w:rPr>
        <w:t xml:space="preserve">, is the most suitable of the listed options but </w:t>
      </w:r>
      <w:r w:rsidR="00E0516B">
        <w:rPr>
          <w:rFonts w:cs="Arial"/>
          <w:sz w:val="22"/>
          <w:szCs w:val="22"/>
        </w:rPr>
        <w:t>sh</w:t>
      </w:r>
      <w:r w:rsidRPr="009F51CB">
        <w:rPr>
          <w:rFonts w:cs="Arial"/>
          <w:sz w:val="22"/>
          <w:szCs w:val="22"/>
        </w:rPr>
        <w:t>ould be i</w:t>
      </w:r>
      <w:r w:rsidRPr="009F51CB">
        <w:rPr>
          <w:rFonts w:cs="Arial"/>
          <w:sz w:val="22"/>
          <w:szCs w:val="22"/>
        </w:rPr>
        <w:t>m</w:t>
      </w:r>
      <w:r w:rsidRPr="009F51CB">
        <w:rPr>
          <w:rFonts w:cs="Arial"/>
          <w:sz w:val="22"/>
          <w:szCs w:val="22"/>
        </w:rPr>
        <w:t>proved to better reflect true liquidity</w:t>
      </w:r>
      <w:r>
        <w:rPr>
          <w:rFonts w:cs="Arial"/>
          <w:sz w:val="22"/>
          <w:szCs w:val="22"/>
        </w:rPr>
        <w:t xml:space="preserve"> by removing trades that arise from compre</w:t>
      </w:r>
      <w:r>
        <w:rPr>
          <w:rFonts w:cs="Arial"/>
          <w:sz w:val="22"/>
          <w:szCs w:val="22"/>
        </w:rPr>
        <w:t>s</w:t>
      </w:r>
      <w:r>
        <w:rPr>
          <w:rFonts w:cs="Arial"/>
          <w:sz w:val="22"/>
          <w:szCs w:val="22"/>
        </w:rPr>
        <w:t>sion activity</w:t>
      </w:r>
      <w:r w:rsidRPr="009F51CB">
        <w:rPr>
          <w:rFonts w:cs="Arial"/>
          <w:sz w:val="22"/>
          <w:szCs w:val="22"/>
        </w:rPr>
        <w:t xml:space="preserve">.  </w:t>
      </w:r>
    </w:p>
    <w:p w:rsidR="003168CF" w:rsidRPr="009F51CB" w:rsidRDefault="003168CF" w:rsidP="003168CF">
      <w:pPr>
        <w:numPr>
          <w:ilvl w:val="1"/>
          <w:numId w:val="37"/>
        </w:numPr>
        <w:rPr>
          <w:rFonts w:cs="Arial"/>
          <w:sz w:val="22"/>
          <w:szCs w:val="22"/>
        </w:rPr>
      </w:pPr>
      <w:r w:rsidRPr="009F51CB">
        <w:rPr>
          <w:rFonts w:cs="Arial"/>
          <w:sz w:val="22"/>
          <w:szCs w:val="22"/>
        </w:rPr>
        <w:t>Other refinements such as including block (pre</w:t>
      </w:r>
      <w:r>
        <w:rPr>
          <w:rFonts w:cs="Arial"/>
          <w:sz w:val="22"/>
          <w:szCs w:val="22"/>
        </w:rPr>
        <w:t>-</w:t>
      </w:r>
      <w:r w:rsidRPr="009F51CB">
        <w:rPr>
          <w:rFonts w:cs="Arial"/>
          <w:sz w:val="22"/>
          <w:szCs w:val="22"/>
        </w:rPr>
        <w:t xml:space="preserve">allocated) trades and removing </w:t>
      </w:r>
      <w:r>
        <w:rPr>
          <w:rFonts w:cs="Arial"/>
          <w:sz w:val="22"/>
          <w:szCs w:val="22"/>
        </w:rPr>
        <w:t xml:space="preserve">post-trade </w:t>
      </w:r>
      <w:r w:rsidRPr="009F51CB">
        <w:rPr>
          <w:rFonts w:cs="Arial"/>
          <w:sz w:val="22"/>
          <w:szCs w:val="22"/>
        </w:rPr>
        <w:t xml:space="preserve">allocations would better reflect liquidity. </w:t>
      </w:r>
    </w:p>
    <w:p w:rsidR="003168CF" w:rsidRPr="009F51CB" w:rsidRDefault="003168CF" w:rsidP="003168CF">
      <w:pPr>
        <w:rPr>
          <w:rFonts w:cs="Arial"/>
          <w:sz w:val="22"/>
          <w:szCs w:val="22"/>
        </w:rPr>
      </w:pPr>
    </w:p>
    <w:p w:rsidR="003168CF" w:rsidRPr="009F51CB" w:rsidRDefault="003168CF" w:rsidP="003168CF">
      <w:pPr>
        <w:numPr>
          <w:ilvl w:val="0"/>
          <w:numId w:val="37"/>
        </w:numPr>
        <w:rPr>
          <w:rFonts w:cs="Arial"/>
          <w:sz w:val="22"/>
          <w:szCs w:val="22"/>
        </w:rPr>
      </w:pPr>
      <w:r w:rsidRPr="009F51CB">
        <w:rPr>
          <w:rFonts w:cs="Arial"/>
          <w:sz w:val="22"/>
          <w:szCs w:val="22"/>
        </w:rPr>
        <w:t xml:space="preserve">ESMA should consider </w:t>
      </w:r>
      <w:r w:rsidR="00E0516B">
        <w:rPr>
          <w:rFonts w:cs="Arial"/>
          <w:sz w:val="22"/>
          <w:szCs w:val="22"/>
        </w:rPr>
        <w:t xml:space="preserve">an </w:t>
      </w:r>
      <w:r w:rsidRPr="009F51CB">
        <w:rPr>
          <w:rFonts w:cs="Arial"/>
          <w:sz w:val="22"/>
          <w:szCs w:val="22"/>
        </w:rPr>
        <w:t xml:space="preserve">appropriate phase-in of the TO </w:t>
      </w:r>
      <w:proofErr w:type="spellStart"/>
      <w:r w:rsidRPr="009F51CB">
        <w:rPr>
          <w:rFonts w:cs="Arial"/>
          <w:sz w:val="22"/>
          <w:szCs w:val="22"/>
        </w:rPr>
        <w:t>to</w:t>
      </w:r>
      <w:proofErr w:type="spellEnd"/>
      <w:r w:rsidRPr="009F51CB">
        <w:rPr>
          <w:rFonts w:cs="Arial"/>
          <w:sz w:val="22"/>
          <w:szCs w:val="22"/>
        </w:rPr>
        <w:t xml:space="preserve"> avoid:</w:t>
      </w:r>
    </w:p>
    <w:p w:rsidR="003168CF" w:rsidRPr="009F51CB" w:rsidRDefault="003168CF" w:rsidP="003168CF">
      <w:pPr>
        <w:rPr>
          <w:rFonts w:cs="Arial"/>
          <w:sz w:val="22"/>
          <w:szCs w:val="22"/>
        </w:rPr>
      </w:pPr>
    </w:p>
    <w:p w:rsidR="003168CF" w:rsidRPr="009F51CB" w:rsidRDefault="003168CF" w:rsidP="003168CF">
      <w:pPr>
        <w:numPr>
          <w:ilvl w:val="1"/>
          <w:numId w:val="37"/>
        </w:numPr>
        <w:rPr>
          <w:rFonts w:cs="Arial"/>
          <w:sz w:val="22"/>
          <w:szCs w:val="22"/>
        </w:rPr>
      </w:pPr>
      <w:r w:rsidRPr="009F51CB">
        <w:rPr>
          <w:rFonts w:cs="Arial"/>
          <w:sz w:val="22"/>
          <w:szCs w:val="22"/>
        </w:rPr>
        <w:t xml:space="preserve">subjecting smaller counterparties to disproportionate burden </w:t>
      </w:r>
    </w:p>
    <w:p w:rsidR="00D34282" w:rsidRDefault="003168CF" w:rsidP="003168CF">
      <w:pPr>
        <w:pStyle w:val="ListParagraph"/>
        <w:numPr>
          <w:ilvl w:val="1"/>
          <w:numId w:val="37"/>
        </w:numPr>
      </w:pPr>
      <w:r w:rsidRPr="003168CF">
        <w:rPr>
          <w:rFonts w:cs="Arial"/>
          <w:sz w:val="22"/>
          <w:szCs w:val="22"/>
        </w:rPr>
        <w:t>operational bottlenecks</w:t>
      </w:r>
    </w:p>
    <w:permEnd w:id="1131432369"/>
    <w:p w:rsidR="00DF06BC" w:rsidRDefault="00DF06BC" w:rsidP="00D34282"/>
    <w:p w:rsidR="00D34282" w:rsidRPr="00C25863" w:rsidRDefault="00D34282" w:rsidP="00D34282">
      <w:r w:rsidRPr="00C25863">
        <w:t>&lt;</w:t>
      </w:r>
      <w:r w:rsidRPr="00D74C9D">
        <w:t xml:space="preserve"> </w:t>
      </w:r>
      <w:r>
        <w:t>ESMA_COMMENT</w:t>
      </w:r>
      <w:r w:rsidR="00D920D1">
        <w:t>_MIFID</w:t>
      </w:r>
      <w:r w:rsidR="00AB4824">
        <w:t>_TO_</w:t>
      </w:r>
      <w:r w:rsidR="00551E98">
        <w:t>0</w:t>
      </w:r>
      <w:r w:rsidRPr="00C25863">
        <w:t>&gt;</w:t>
      </w:r>
    </w:p>
    <w:p w:rsidR="00A8728B" w:rsidRPr="00070630" w:rsidRDefault="00F32462" w:rsidP="00EF314C">
      <w:pPr>
        <w:pStyle w:val="CPQuestions"/>
      </w:pPr>
      <w:r>
        <w:rPr>
          <w:rFonts w:cs="Arial"/>
          <w:szCs w:val="22"/>
        </w:rPr>
        <w:br w:type="page"/>
      </w:r>
      <w:r w:rsidR="00EF314C" w:rsidRPr="00EF314C">
        <w:lastRenderedPageBreak/>
        <w:t>Do you agree that the level of granularity for the purpose of the trading obligation should apply at the same level as the one used for calibrating the transparency r</w:t>
      </w:r>
      <w:r w:rsidR="00EF314C" w:rsidRPr="00EF314C">
        <w:t>e</w:t>
      </w:r>
      <w:r w:rsidR="00EF314C" w:rsidRPr="00EF314C">
        <w:t>gime of non-equity instruments?</w:t>
      </w:r>
      <w:r w:rsidR="00EF314C">
        <w:t xml:space="preserve"> </w:t>
      </w:r>
      <w:r w:rsidR="00EF314C" w:rsidRPr="00EF314C">
        <w:t>If not, which level of granularity for the TO would you recommend and why? Would that differ by asset class and type of instr</w:t>
      </w:r>
      <w:r w:rsidR="00EF314C" w:rsidRPr="00EF314C">
        <w:t>u</w:t>
      </w:r>
      <w:r w:rsidR="00EF314C" w:rsidRPr="00EF314C">
        <w:t>ment</w:t>
      </w:r>
      <w:r w:rsidR="00070630" w:rsidRPr="00070630">
        <w:t>?</w:t>
      </w:r>
    </w:p>
    <w:p w:rsidR="00A8728B" w:rsidRDefault="00A8728B" w:rsidP="00A8728B">
      <w:r>
        <w:t>&lt;ESMA_QUESTION</w:t>
      </w:r>
      <w:r w:rsidR="00D920D1">
        <w:t>_MIFID</w:t>
      </w:r>
      <w:r w:rsidR="00AB4824">
        <w:t>_TO_</w:t>
      </w:r>
      <w:r>
        <w:t>1&gt;</w:t>
      </w:r>
    </w:p>
    <w:p w:rsidR="003168CF" w:rsidRDefault="003168CF" w:rsidP="00A8728B"/>
    <w:p w:rsidR="003168CF" w:rsidRPr="003168CF" w:rsidRDefault="003168CF" w:rsidP="003168CF">
      <w:pPr>
        <w:rPr>
          <w:rFonts w:cs="Arial"/>
          <w:sz w:val="22"/>
          <w:szCs w:val="22"/>
        </w:rPr>
      </w:pPr>
      <w:permStart w:id="1845253701" w:edGrp="everyone"/>
      <w:r w:rsidRPr="003168CF">
        <w:rPr>
          <w:rFonts w:cs="Arial"/>
          <w:sz w:val="22"/>
          <w:szCs w:val="22"/>
        </w:rPr>
        <w:t xml:space="preserve">We think that the level of granularity should be specified at a level that ensures that all </w:t>
      </w:r>
      <w:r w:rsidR="003A094C">
        <w:rPr>
          <w:rFonts w:cs="Arial"/>
          <w:sz w:val="22"/>
          <w:szCs w:val="22"/>
        </w:rPr>
        <w:t>products</w:t>
      </w:r>
      <w:r w:rsidR="003A094C" w:rsidRPr="003168CF">
        <w:rPr>
          <w:rFonts w:cs="Arial"/>
          <w:sz w:val="22"/>
          <w:szCs w:val="22"/>
        </w:rPr>
        <w:t xml:space="preserve"> </w:t>
      </w:r>
      <w:r w:rsidR="005C309B">
        <w:rPr>
          <w:rFonts w:cs="Arial"/>
          <w:sz w:val="22"/>
          <w:szCs w:val="22"/>
        </w:rPr>
        <w:t xml:space="preserve">considered for </w:t>
      </w:r>
      <w:r w:rsidRPr="003168CF">
        <w:rPr>
          <w:rFonts w:cs="Arial"/>
          <w:sz w:val="22"/>
          <w:szCs w:val="22"/>
        </w:rPr>
        <w:t xml:space="preserve">the TO are truly liquid and would benefit from centralised trading. </w:t>
      </w:r>
    </w:p>
    <w:p w:rsidR="003168CF" w:rsidRPr="003168CF" w:rsidRDefault="003168CF" w:rsidP="003168CF">
      <w:pPr>
        <w:rPr>
          <w:rFonts w:cs="Arial"/>
          <w:sz w:val="22"/>
          <w:szCs w:val="22"/>
        </w:rPr>
      </w:pPr>
    </w:p>
    <w:p w:rsidR="003168CF" w:rsidRDefault="003168CF" w:rsidP="003168CF">
      <w:pPr>
        <w:rPr>
          <w:rFonts w:cs="Arial"/>
          <w:sz w:val="22"/>
          <w:szCs w:val="22"/>
        </w:rPr>
      </w:pPr>
    </w:p>
    <w:p w:rsidR="005D3AF4" w:rsidRDefault="00C62040" w:rsidP="003168CF">
      <w:pPr>
        <w:rPr>
          <w:rFonts w:cs="Arial"/>
          <w:sz w:val="22"/>
          <w:szCs w:val="22"/>
        </w:rPr>
      </w:pPr>
      <w:r>
        <w:rPr>
          <w:rFonts w:cs="Arial"/>
          <w:sz w:val="22"/>
          <w:szCs w:val="22"/>
        </w:rPr>
        <w:t xml:space="preserve">Particular </w:t>
      </w:r>
      <w:r w:rsidR="003A094C">
        <w:rPr>
          <w:rFonts w:cs="Arial"/>
          <w:sz w:val="22"/>
          <w:szCs w:val="22"/>
        </w:rPr>
        <w:t xml:space="preserve">types of </w:t>
      </w:r>
      <w:r>
        <w:rPr>
          <w:rFonts w:cs="Arial"/>
          <w:sz w:val="22"/>
          <w:szCs w:val="22"/>
        </w:rPr>
        <w:t>derivatives trade</w:t>
      </w:r>
      <w:r w:rsidR="003A094C">
        <w:rPr>
          <w:rFonts w:cs="Arial"/>
          <w:sz w:val="22"/>
          <w:szCs w:val="22"/>
        </w:rPr>
        <w:t>s</w:t>
      </w:r>
      <w:r>
        <w:rPr>
          <w:rFonts w:cs="Arial"/>
          <w:sz w:val="22"/>
          <w:szCs w:val="22"/>
        </w:rPr>
        <w:t xml:space="preserve"> have features </w:t>
      </w:r>
      <w:r w:rsidR="003A094C">
        <w:rPr>
          <w:rFonts w:cs="Arial"/>
          <w:sz w:val="22"/>
          <w:szCs w:val="22"/>
        </w:rPr>
        <w:t xml:space="preserve">affecting their liquidity </w:t>
      </w:r>
      <w:r>
        <w:rPr>
          <w:rFonts w:cs="Arial"/>
          <w:sz w:val="22"/>
          <w:szCs w:val="22"/>
        </w:rPr>
        <w:t xml:space="preserve">that are more granular than the level of granularity used for calibrating the transparency regime. It is possible that these features are non-standard but </w:t>
      </w:r>
      <w:r w:rsidR="005D3AF4">
        <w:rPr>
          <w:rFonts w:cs="Arial"/>
          <w:sz w:val="22"/>
          <w:szCs w:val="22"/>
        </w:rPr>
        <w:t>the derivatives type is deemed liquid and</w:t>
      </w:r>
      <w:r>
        <w:rPr>
          <w:rFonts w:cs="Arial"/>
          <w:sz w:val="22"/>
          <w:szCs w:val="22"/>
        </w:rPr>
        <w:t xml:space="preserve"> subject to the transpa</w:t>
      </w:r>
      <w:r>
        <w:rPr>
          <w:rFonts w:cs="Arial"/>
          <w:sz w:val="22"/>
          <w:szCs w:val="22"/>
        </w:rPr>
        <w:t>r</w:t>
      </w:r>
      <w:r>
        <w:rPr>
          <w:rFonts w:cs="Arial"/>
          <w:sz w:val="22"/>
          <w:szCs w:val="22"/>
        </w:rPr>
        <w:t xml:space="preserve">ency requirements because the transparency regime is defined at a higher level </w:t>
      </w:r>
      <w:r w:rsidR="005D3AF4">
        <w:rPr>
          <w:rFonts w:cs="Arial"/>
          <w:sz w:val="22"/>
          <w:szCs w:val="22"/>
        </w:rPr>
        <w:t>of granularity. However, because these non-standard features have a material impact on the price of the pro</w:t>
      </w:r>
      <w:r w:rsidR="005D3AF4">
        <w:rPr>
          <w:rFonts w:cs="Arial"/>
          <w:sz w:val="22"/>
          <w:szCs w:val="22"/>
        </w:rPr>
        <w:t>d</w:t>
      </w:r>
      <w:r w:rsidR="005D3AF4">
        <w:rPr>
          <w:rFonts w:cs="Arial"/>
          <w:sz w:val="22"/>
          <w:szCs w:val="22"/>
        </w:rPr>
        <w:t xml:space="preserve">uct, they should be included in the calibration </w:t>
      </w:r>
      <w:r w:rsidR="0003248F">
        <w:rPr>
          <w:rFonts w:cs="Arial"/>
          <w:sz w:val="22"/>
          <w:szCs w:val="22"/>
        </w:rPr>
        <w:t xml:space="preserve">of the </w:t>
      </w:r>
      <w:r w:rsidR="005D3AF4">
        <w:rPr>
          <w:rFonts w:cs="Arial"/>
          <w:sz w:val="22"/>
          <w:szCs w:val="22"/>
        </w:rPr>
        <w:t>TO regime. In other words, the TO regime should be more granular than the transparency regime.</w:t>
      </w:r>
    </w:p>
    <w:p w:rsidR="00C62040" w:rsidRPr="003168CF" w:rsidRDefault="00C62040" w:rsidP="003168CF">
      <w:pPr>
        <w:rPr>
          <w:rFonts w:cs="Arial"/>
          <w:sz w:val="22"/>
          <w:szCs w:val="22"/>
        </w:rPr>
      </w:pPr>
    </w:p>
    <w:p w:rsidR="003168CF" w:rsidRPr="003168CF" w:rsidRDefault="003168CF" w:rsidP="003168CF">
      <w:pPr>
        <w:rPr>
          <w:rFonts w:cs="Arial"/>
          <w:sz w:val="22"/>
          <w:szCs w:val="22"/>
        </w:rPr>
      </w:pPr>
      <w:r w:rsidRPr="003168CF">
        <w:rPr>
          <w:rFonts w:cs="Arial"/>
          <w:sz w:val="22"/>
          <w:szCs w:val="22"/>
        </w:rPr>
        <w:t xml:space="preserve">Some examples of fields that are relevant </w:t>
      </w:r>
      <w:r w:rsidR="005D3AF4">
        <w:rPr>
          <w:rFonts w:cs="Arial"/>
          <w:sz w:val="22"/>
          <w:szCs w:val="22"/>
        </w:rPr>
        <w:t>for appropriate granularity of the TO</w:t>
      </w:r>
      <w:r w:rsidR="005D3AF4" w:rsidRPr="003168CF">
        <w:rPr>
          <w:rFonts w:cs="Arial"/>
          <w:sz w:val="22"/>
          <w:szCs w:val="22"/>
        </w:rPr>
        <w:t xml:space="preserve"> </w:t>
      </w:r>
      <w:r w:rsidR="005D3AF4">
        <w:rPr>
          <w:rFonts w:cs="Arial"/>
          <w:sz w:val="22"/>
          <w:szCs w:val="22"/>
        </w:rPr>
        <w:t>regime</w:t>
      </w:r>
      <w:r w:rsidR="005D3AF4" w:rsidRPr="003168CF">
        <w:rPr>
          <w:rFonts w:cs="Arial"/>
          <w:sz w:val="22"/>
          <w:szCs w:val="22"/>
        </w:rPr>
        <w:t xml:space="preserve"> </w:t>
      </w:r>
      <w:r w:rsidRPr="003168CF">
        <w:rPr>
          <w:rFonts w:cs="Arial"/>
          <w:sz w:val="22"/>
          <w:szCs w:val="22"/>
        </w:rPr>
        <w:t>are Day Count Fraction Basis, Floating Rate Option, Roll Types and Frequencies, Una</w:t>
      </w:r>
      <w:r w:rsidRPr="003168CF">
        <w:rPr>
          <w:rFonts w:cs="Arial"/>
          <w:sz w:val="22"/>
          <w:szCs w:val="22"/>
        </w:rPr>
        <w:t>d</w:t>
      </w:r>
      <w:r w:rsidRPr="003168CF">
        <w:rPr>
          <w:rFonts w:cs="Arial"/>
          <w:sz w:val="22"/>
          <w:szCs w:val="22"/>
        </w:rPr>
        <w:t>justed period end dates (coupons). Customization of these types of fields impact the price or rate of that transa</w:t>
      </w:r>
      <w:r w:rsidRPr="003168CF">
        <w:rPr>
          <w:rFonts w:cs="Arial"/>
          <w:sz w:val="22"/>
          <w:szCs w:val="22"/>
        </w:rPr>
        <w:t>c</w:t>
      </w:r>
      <w:r w:rsidRPr="003168CF">
        <w:rPr>
          <w:rFonts w:cs="Arial"/>
          <w:sz w:val="22"/>
          <w:szCs w:val="22"/>
        </w:rPr>
        <w:t xml:space="preserve">tion and trades with  non-standard fields should be removed from the dataset used to determine whether a trade type is liquid for the purposes of the TO. </w:t>
      </w:r>
    </w:p>
    <w:p w:rsidR="00DF06BC" w:rsidRDefault="00DF06BC" w:rsidP="003168CF">
      <w:pPr>
        <w:rPr>
          <w:rFonts w:cs="Arial"/>
          <w:sz w:val="22"/>
          <w:szCs w:val="22"/>
        </w:rPr>
      </w:pPr>
    </w:p>
    <w:p w:rsidR="00A8728B" w:rsidRPr="003168CF" w:rsidRDefault="005C309B" w:rsidP="003168CF">
      <w:pPr>
        <w:rPr>
          <w:rFonts w:cs="Arial"/>
          <w:sz w:val="22"/>
          <w:szCs w:val="22"/>
        </w:rPr>
      </w:pPr>
      <w:r>
        <w:rPr>
          <w:rFonts w:cs="Arial"/>
          <w:sz w:val="22"/>
          <w:szCs w:val="22"/>
        </w:rPr>
        <w:t xml:space="preserve">If it is helpful, we </w:t>
      </w:r>
      <w:r w:rsidR="003168CF" w:rsidRPr="003168CF">
        <w:rPr>
          <w:rFonts w:cs="Arial"/>
          <w:sz w:val="22"/>
          <w:szCs w:val="22"/>
        </w:rPr>
        <w:t xml:space="preserve">would be happy to </w:t>
      </w:r>
      <w:r>
        <w:rPr>
          <w:rFonts w:cs="Arial"/>
          <w:sz w:val="22"/>
          <w:szCs w:val="22"/>
        </w:rPr>
        <w:t xml:space="preserve">further </w:t>
      </w:r>
      <w:r w:rsidR="003168CF" w:rsidRPr="003168CF">
        <w:rPr>
          <w:rFonts w:cs="Arial"/>
          <w:sz w:val="22"/>
          <w:szCs w:val="22"/>
        </w:rPr>
        <w:t xml:space="preserve">explain </w:t>
      </w:r>
      <w:r w:rsidR="00841FF8">
        <w:rPr>
          <w:rFonts w:cs="Arial"/>
          <w:sz w:val="22"/>
          <w:szCs w:val="22"/>
        </w:rPr>
        <w:t>our thinking</w:t>
      </w:r>
      <w:r>
        <w:rPr>
          <w:rFonts w:cs="Arial"/>
          <w:sz w:val="22"/>
          <w:szCs w:val="22"/>
        </w:rPr>
        <w:t xml:space="preserve"> </w:t>
      </w:r>
      <w:r w:rsidR="003168CF" w:rsidRPr="003168CF">
        <w:rPr>
          <w:rFonts w:cs="Arial"/>
          <w:sz w:val="22"/>
          <w:szCs w:val="22"/>
        </w:rPr>
        <w:t xml:space="preserve">in a meeting </w:t>
      </w:r>
      <w:r w:rsidR="00841FF8">
        <w:rPr>
          <w:rFonts w:cs="Arial"/>
          <w:sz w:val="22"/>
          <w:szCs w:val="22"/>
        </w:rPr>
        <w:t xml:space="preserve">as a </w:t>
      </w:r>
      <w:r w:rsidR="00DF06BC" w:rsidRPr="003168CF">
        <w:rPr>
          <w:rFonts w:cs="Arial"/>
          <w:sz w:val="22"/>
          <w:szCs w:val="22"/>
        </w:rPr>
        <w:t>follow</w:t>
      </w:r>
      <w:r w:rsidR="00DF06BC">
        <w:rPr>
          <w:rFonts w:cs="Arial"/>
          <w:sz w:val="22"/>
          <w:szCs w:val="22"/>
        </w:rPr>
        <w:t>-up</w:t>
      </w:r>
      <w:r w:rsidR="003168CF">
        <w:rPr>
          <w:rFonts w:cs="Arial"/>
          <w:sz w:val="22"/>
          <w:szCs w:val="22"/>
        </w:rPr>
        <w:t xml:space="preserve"> </w:t>
      </w:r>
      <w:r w:rsidR="00841FF8">
        <w:rPr>
          <w:rFonts w:cs="Arial"/>
          <w:sz w:val="22"/>
          <w:szCs w:val="22"/>
        </w:rPr>
        <w:t xml:space="preserve">to </w:t>
      </w:r>
      <w:r w:rsidR="003168CF">
        <w:rPr>
          <w:rFonts w:cs="Arial"/>
          <w:sz w:val="22"/>
          <w:szCs w:val="22"/>
        </w:rPr>
        <w:t>this comment letter.</w:t>
      </w:r>
    </w:p>
    <w:permEnd w:id="1845253701"/>
    <w:p w:rsidR="003168CF" w:rsidRDefault="003168CF" w:rsidP="00A8728B"/>
    <w:p w:rsidR="00A8728B" w:rsidRDefault="00A8728B" w:rsidP="00A8728B">
      <w:r>
        <w:t>&lt;ESMA_QUESTION</w:t>
      </w:r>
      <w:r w:rsidR="00D920D1">
        <w:t>_MIFID</w:t>
      </w:r>
      <w:r w:rsidR="00AB4824">
        <w:t>_TO_</w:t>
      </w:r>
      <w:r>
        <w:t>1&gt;</w:t>
      </w:r>
    </w:p>
    <w:p w:rsidR="00431DA4" w:rsidRPr="00431DA4" w:rsidRDefault="00F016BE" w:rsidP="00F016BE">
      <w:pPr>
        <w:pStyle w:val="CPQuestions"/>
      </w:pPr>
      <w:r w:rsidRPr="00F016BE">
        <w:t>Do you agree that all derivatives currently subject to or considered for the CO are admitted to trading or traded on at least one trading venue?  If not, please explain which classes of derivatives are not available for trading on at least one trading venue</w:t>
      </w:r>
      <w:r w:rsidR="00070630" w:rsidRPr="00070630">
        <w:t>.</w:t>
      </w:r>
    </w:p>
    <w:p w:rsidR="00A8728B" w:rsidRDefault="00A8728B" w:rsidP="00A8728B">
      <w:r>
        <w:t>&lt;ESMA_QUESTION</w:t>
      </w:r>
      <w:r w:rsidR="00D920D1">
        <w:t>_MIFID</w:t>
      </w:r>
      <w:r w:rsidR="00AB4824">
        <w:t>_TO_</w:t>
      </w:r>
      <w:r>
        <w:t>2&gt;</w:t>
      </w:r>
    </w:p>
    <w:p w:rsidR="00A8728B" w:rsidRDefault="00A8728B" w:rsidP="00A8728B">
      <w:permStart w:id="808138362" w:edGrp="everyone"/>
      <w:r>
        <w:t>TYPE YOUR TEXT HERE</w:t>
      </w:r>
    </w:p>
    <w:permEnd w:id="808138362"/>
    <w:p w:rsidR="00A8728B" w:rsidRDefault="00A8728B" w:rsidP="00A8728B">
      <w:r>
        <w:t>&lt;ESMA_QUESTION</w:t>
      </w:r>
      <w:r w:rsidR="00D920D1">
        <w:t>_MIFID</w:t>
      </w:r>
      <w:r w:rsidR="00AB4824">
        <w:t>_TO_</w:t>
      </w:r>
      <w:r>
        <w:t>2&gt;</w:t>
      </w:r>
    </w:p>
    <w:p w:rsidR="00A8728B" w:rsidRPr="00B62727" w:rsidRDefault="00F016BE" w:rsidP="00F016BE">
      <w:pPr>
        <w:pStyle w:val="CPQuestions"/>
      </w:pPr>
      <w:r w:rsidRPr="00F016BE">
        <w:t>How should ESMA determine the total number of market participants trading in a class of derivatives? Do you consider it appropriate to carry out this assessment with TR data or would you recommend other data sources</w:t>
      </w:r>
      <w:r>
        <w:t>?</w:t>
      </w:r>
    </w:p>
    <w:p w:rsidR="00A8728B" w:rsidRDefault="00A8728B" w:rsidP="00A8728B">
      <w:r>
        <w:t>&lt;ESMA_QUESTION</w:t>
      </w:r>
      <w:r w:rsidR="00D920D1">
        <w:t>_MIFID</w:t>
      </w:r>
      <w:r w:rsidR="00AB4824">
        <w:t>_TO_</w:t>
      </w:r>
      <w:r>
        <w:t>3&gt;</w:t>
      </w:r>
    </w:p>
    <w:p w:rsidR="00A8728B" w:rsidRDefault="00A8728B" w:rsidP="00A8728B">
      <w:permStart w:id="1880297785" w:edGrp="everyone"/>
      <w:r>
        <w:t>TYPE YOUR TEXT HERE</w:t>
      </w:r>
    </w:p>
    <w:permEnd w:id="1880297785"/>
    <w:p w:rsidR="00A8728B" w:rsidRDefault="00A8728B" w:rsidP="00A8728B">
      <w:r>
        <w:t>&lt;ESMA_QUESTION</w:t>
      </w:r>
      <w:r w:rsidR="00D920D1">
        <w:t>_MIFID</w:t>
      </w:r>
      <w:r w:rsidR="00AB4824">
        <w:t>_TO_</w:t>
      </w:r>
      <w:r>
        <w:t>3&gt;</w:t>
      </w:r>
    </w:p>
    <w:p w:rsidR="00A8728B" w:rsidRPr="00B62727" w:rsidRDefault="00F016BE" w:rsidP="00F016BE">
      <w:pPr>
        <w:pStyle w:val="CPQuestions"/>
      </w:pPr>
      <w:r w:rsidRPr="00F016BE">
        <w:t xml:space="preserve">In your view, what should be the minimum total number of market participants to consider the following classes of derivatives as sufficiently liquid for the purpose </w:t>
      </w:r>
      <w:r w:rsidRPr="00F016BE">
        <w:lastRenderedPageBreak/>
        <w:t xml:space="preserve">of the trading obligation? </w:t>
      </w:r>
      <w:proofErr w:type="spellStart"/>
      <w:r w:rsidRPr="00F016BE">
        <w:t>i</w:t>
      </w:r>
      <w:proofErr w:type="spellEnd"/>
      <w:r w:rsidRPr="00F016BE">
        <w:t>) OTC interest rate derivatives denominated in EUR, USD, GBP and JPY; ii) OTC interest rate derivatives denominated in NOK, PLN and SEK; iii) Credit default swaps (CDS) indices? Should you consider that this a</w:t>
      </w:r>
      <w:r w:rsidRPr="00F016BE">
        <w:t>s</w:t>
      </w:r>
      <w:r w:rsidRPr="00F016BE">
        <w:t>sessment should be done on a more granular level, please provide your views on the relevant subsets of derivatives specified in 1.-3.</w:t>
      </w:r>
    </w:p>
    <w:p w:rsidR="00A8728B" w:rsidRDefault="00A8728B" w:rsidP="00A8728B">
      <w:r>
        <w:t>&lt;ESMA_QUESTION</w:t>
      </w:r>
      <w:r w:rsidR="00D920D1">
        <w:t>_MIFID</w:t>
      </w:r>
      <w:r w:rsidR="00AB4824">
        <w:t>_TO_</w:t>
      </w:r>
      <w:r>
        <w:t>4&gt;</w:t>
      </w:r>
    </w:p>
    <w:p w:rsidR="003168CF" w:rsidRDefault="003168CF" w:rsidP="00A8728B"/>
    <w:p w:rsidR="003168CF" w:rsidRPr="0066781F" w:rsidRDefault="003168CF" w:rsidP="003168CF">
      <w:pPr>
        <w:pStyle w:val="Body"/>
        <w:spacing w:after="0" w:line="240" w:lineRule="auto"/>
        <w:rPr>
          <w:rFonts w:eastAsia="Calibri"/>
          <w:spacing w:val="0"/>
          <w:sz w:val="22"/>
          <w:szCs w:val="22"/>
        </w:rPr>
      </w:pPr>
      <w:permStart w:id="1843349678" w:edGrp="everyone"/>
      <w:r w:rsidRPr="0066781F">
        <w:rPr>
          <w:rFonts w:eastAsia="Calibri"/>
          <w:spacing w:val="0"/>
          <w:sz w:val="22"/>
          <w:szCs w:val="22"/>
        </w:rPr>
        <w:t>To ensure the stability of derivative markets</w:t>
      </w:r>
      <w:r w:rsidR="00DF06BC">
        <w:rPr>
          <w:rFonts w:eastAsia="Calibri"/>
          <w:spacing w:val="0"/>
          <w:sz w:val="22"/>
          <w:szCs w:val="22"/>
        </w:rPr>
        <w:t>,</w:t>
      </w:r>
      <w:r w:rsidRPr="0066781F">
        <w:rPr>
          <w:rFonts w:eastAsia="Calibri"/>
          <w:spacing w:val="0"/>
          <w:sz w:val="22"/>
          <w:szCs w:val="22"/>
        </w:rPr>
        <w:t xml:space="preserve"> ESMA should take a cautious approach and mai</w:t>
      </w:r>
      <w:r w:rsidRPr="0066781F">
        <w:rPr>
          <w:rFonts w:eastAsia="Calibri"/>
          <w:spacing w:val="0"/>
          <w:sz w:val="22"/>
          <w:szCs w:val="22"/>
        </w:rPr>
        <w:t>n</w:t>
      </w:r>
      <w:r w:rsidRPr="0066781F">
        <w:rPr>
          <w:rFonts w:eastAsia="Calibri"/>
          <w:spacing w:val="0"/>
          <w:sz w:val="22"/>
          <w:szCs w:val="22"/>
        </w:rPr>
        <w:t>tain a buffer over and above the minimum of two market participants established under Draft RTS 4</w:t>
      </w:r>
      <w:r w:rsidR="00841FF8">
        <w:rPr>
          <w:rFonts w:eastAsia="Calibri"/>
          <w:spacing w:val="0"/>
          <w:sz w:val="22"/>
          <w:szCs w:val="22"/>
        </w:rPr>
        <w:t xml:space="preserve">. This is needed as the process </w:t>
      </w:r>
      <w:r w:rsidRPr="0066781F">
        <w:rPr>
          <w:rFonts w:eastAsia="Calibri"/>
          <w:spacing w:val="0"/>
          <w:sz w:val="22"/>
          <w:szCs w:val="22"/>
        </w:rPr>
        <w:t xml:space="preserve">to remove the trading obligation for a particular class of derivatives </w:t>
      </w:r>
      <w:r w:rsidR="00841FF8">
        <w:rPr>
          <w:rFonts w:eastAsia="Calibri"/>
          <w:spacing w:val="0"/>
          <w:sz w:val="22"/>
          <w:szCs w:val="22"/>
        </w:rPr>
        <w:t xml:space="preserve">if </w:t>
      </w:r>
      <w:r w:rsidRPr="0066781F">
        <w:rPr>
          <w:rFonts w:eastAsia="Calibri"/>
          <w:spacing w:val="0"/>
          <w:sz w:val="22"/>
          <w:szCs w:val="22"/>
        </w:rPr>
        <w:t>market conditions require it</w:t>
      </w:r>
      <w:r w:rsidR="00841FF8">
        <w:rPr>
          <w:rFonts w:eastAsia="Calibri"/>
          <w:spacing w:val="0"/>
          <w:sz w:val="22"/>
          <w:szCs w:val="22"/>
        </w:rPr>
        <w:t xml:space="preserve"> is likely to take some time</w:t>
      </w:r>
      <w:r w:rsidRPr="0066781F">
        <w:rPr>
          <w:rFonts w:eastAsia="Calibri"/>
          <w:spacing w:val="0"/>
          <w:sz w:val="22"/>
          <w:szCs w:val="22"/>
        </w:rPr>
        <w:t xml:space="preserve">. </w:t>
      </w:r>
    </w:p>
    <w:p w:rsidR="003168CF" w:rsidRPr="0066781F" w:rsidRDefault="003168CF" w:rsidP="003168CF">
      <w:pPr>
        <w:pStyle w:val="Body"/>
        <w:spacing w:after="0" w:line="240" w:lineRule="auto"/>
        <w:rPr>
          <w:rFonts w:eastAsia="Calibri"/>
          <w:spacing w:val="0"/>
          <w:sz w:val="22"/>
          <w:szCs w:val="22"/>
        </w:rPr>
      </w:pPr>
    </w:p>
    <w:p w:rsidR="003168CF" w:rsidRPr="0066781F" w:rsidRDefault="00841FF8" w:rsidP="003168CF">
      <w:pPr>
        <w:pStyle w:val="Body"/>
        <w:spacing w:after="0" w:line="240" w:lineRule="auto"/>
        <w:rPr>
          <w:rFonts w:eastAsia="Calibri"/>
          <w:spacing w:val="0"/>
          <w:sz w:val="22"/>
          <w:szCs w:val="22"/>
        </w:rPr>
      </w:pPr>
      <w:r>
        <w:rPr>
          <w:rFonts w:eastAsia="Calibri"/>
          <w:spacing w:val="0"/>
          <w:sz w:val="22"/>
          <w:szCs w:val="22"/>
        </w:rPr>
        <w:t xml:space="preserve">Under MIFIR, </w:t>
      </w:r>
      <w:r w:rsidR="003168CF" w:rsidRPr="0066781F">
        <w:rPr>
          <w:rFonts w:eastAsia="Calibri"/>
          <w:spacing w:val="0"/>
          <w:sz w:val="22"/>
          <w:szCs w:val="22"/>
        </w:rPr>
        <w:t>ESMA is obliged to submit to the “Commission draft regulatory technical standards to amend, suspend or revoke existing regulatory technical standards whenever there is a mat</w:t>
      </w:r>
      <w:r w:rsidR="003168CF" w:rsidRPr="0066781F">
        <w:rPr>
          <w:rFonts w:eastAsia="Calibri"/>
          <w:spacing w:val="0"/>
          <w:sz w:val="22"/>
          <w:szCs w:val="22"/>
        </w:rPr>
        <w:t>e</w:t>
      </w:r>
      <w:r w:rsidR="003168CF" w:rsidRPr="0066781F">
        <w:rPr>
          <w:rFonts w:eastAsia="Calibri"/>
          <w:spacing w:val="0"/>
          <w:sz w:val="22"/>
          <w:szCs w:val="22"/>
        </w:rPr>
        <w:t>rial change”</w:t>
      </w:r>
      <w:r w:rsidR="003168CF" w:rsidRPr="0066781F">
        <w:rPr>
          <w:rFonts w:eastAsia="Calibri"/>
          <w:spacing w:val="0"/>
          <w:sz w:val="22"/>
          <w:szCs w:val="22"/>
          <w:vertAlign w:val="superscript"/>
        </w:rPr>
        <w:footnoteReference w:id="11"/>
      </w:r>
      <w:r w:rsidR="003168CF" w:rsidRPr="0066781F">
        <w:rPr>
          <w:rFonts w:eastAsia="Calibri"/>
          <w:spacing w:val="0"/>
          <w:sz w:val="22"/>
          <w:szCs w:val="22"/>
        </w:rPr>
        <w:t>. The process of submitting the draft RTS to the Commission to revoke existing</w:t>
      </w:r>
      <w:r w:rsidR="003168CF">
        <w:rPr>
          <w:rFonts w:eastAsia="Calibri"/>
          <w:spacing w:val="0"/>
          <w:sz w:val="22"/>
          <w:szCs w:val="22"/>
        </w:rPr>
        <w:t xml:space="preserve"> TO</w:t>
      </w:r>
      <w:r w:rsidR="003168CF" w:rsidRPr="0066781F">
        <w:rPr>
          <w:rFonts w:eastAsia="Calibri"/>
          <w:spacing w:val="0"/>
          <w:sz w:val="22"/>
          <w:szCs w:val="22"/>
        </w:rPr>
        <w:t xml:space="preserve"> RTS for a particular class of derivatives is time consuming. During this time market conditions might deteriorate to the detriment of market participants. Therefore, to </w:t>
      </w:r>
      <w:r>
        <w:rPr>
          <w:rFonts w:eastAsia="Calibri"/>
          <w:spacing w:val="0"/>
          <w:sz w:val="22"/>
          <w:szCs w:val="22"/>
        </w:rPr>
        <w:t xml:space="preserve">mitigate the risks of small changes affecting the </w:t>
      </w:r>
      <w:r w:rsidR="003168CF" w:rsidRPr="0066781F">
        <w:rPr>
          <w:rFonts w:eastAsia="Calibri"/>
          <w:spacing w:val="0"/>
          <w:sz w:val="22"/>
          <w:szCs w:val="22"/>
        </w:rPr>
        <w:t>functioning of derivative markets</w:t>
      </w:r>
      <w:r>
        <w:rPr>
          <w:rFonts w:eastAsia="Calibri"/>
          <w:spacing w:val="0"/>
          <w:sz w:val="22"/>
          <w:szCs w:val="22"/>
        </w:rPr>
        <w:t xml:space="preserve"> and allow time to revoke the TO,</w:t>
      </w:r>
      <w:r w:rsidR="003168CF" w:rsidRPr="0066781F">
        <w:rPr>
          <w:rFonts w:eastAsia="Calibri"/>
          <w:spacing w:val="0"/>
          <w:sz w:val="22"/>
          <w:szCs w:val="22"/>
        </w:rPr>
        <w:t xml:space="preserve"> ESMA should establish a sufficiently high threshold of market participants trading a class of derivatives before it is subject to the TO.</w:t>
      </w:r>
    </w:p>
    <w:p w:rsidR="003168CF" w:rsidRPr="0066781F" w:rsidRDefault="003168CF" w:rsidP="003168CF">
      <w:pPr>
        <w:pStyle w:val="Body"/>
        <w:spacing w:after="0" w:line="240" w:lineRule="auto"/>
        <w:rPr>
          <w:rFonts w:eastAsia="Calibri"/>
          <w:spacing w:val="0"/>
          <w:sz w:val="22"/>
          <w:szCs w:val="22"/>
        </w:rPr>
      </w:pPr>
    </w:p>
    <w:p w:rsidR="003168CF" w:rsidRDefault="003168CF" w:rsidP="003168CF">
      <w:pPr>
        <w:rPr>
          <w:rFonts w:eastAsia="Calibri" w:cs="Arial"/>
          <w:sz w:val="22"/>
          <w:szCs w:val="22"/>
        </w:rPr>
      </w:pPr>
      <w:r w:rsidRPr="0066781F">
        <w:rPr>
          <w:rFonts w:eastAsia="Calibri" w:cs="Arial"/>
          <w:color w:val="000000"/>
          <w:sz w:val="22"/>
          <w:szCs w:val="22"/>
          <w:u w:color="000000"/>
          <w:lang w:eastAsia="en-GB"/>
        </w:rPr>
        <w:t xml:space="preserve">As a general rule, we would </w:t>
      </w:r>
      <w:r w:rsidR="00FE0A7C">
        <w:rPr>
          <w:rFonts w:eastAsia="Calibri" w:cs="Arial"/>
          <w:color w:val="000000"/>
          <w:sz w:val="22"/>
          <w:szCs w:val="22"/>
          <w:u w:color="000000"/>
          <w:lang w:eastAsia="en-GB"/>
        </w:rPr>
        <w:t>recommend</w:t>
      </w:r>
      <w:r w:rsidR="00841FF8">
        <w:rPr>
          <w:rFonts w:eastAsia="Calibri" w:cs="Arial"/>
          <w:color w:val="000000"/>
          <w:sz w:val="22"/>
          <w:szCs w:val="22"/>
          <w:u w:color="000000"/>
          <w:lang w:eastAsia="en-GB"/>
        </w:rPr>
        <w:t xml:space="preserve"> </w:t>
      </w:r>
      <w:r w:rsidRPr="0066781F">
        <w:rPr>
          <w:rFonts w:eastAsia="Calibri" w:cs="Arial"/>
          <w:color w:val="000000"/>
          <w:sz w:val="22"/>
          <w:szCs w:val="22"/>
          <w:u w:color="000000"/>
          <w:lang w:eastAsia="en-GB"/>
        </w:rPr>
        <w:t xml:space="preserve">a minimum number of 50 market participants for a given product before it is subject to the TO.  </w:t>
      </w:r>
      <w:r w:rsidR="00F91006" w:rsidRPr="0066781F">
        <w:rPr>
          <w:rFonts w:eastAsia="Calibri" w:cs="Arial"/>
          <w:sz w:val="22"/>
          <w:szCs w:val="22"/>
        </w:rPr>
        <w:t xml:space="preserve">Table 7 of the DP </w:t>
      </w:r>
      <w:r w:rsidR="00F91006">
        <w:rPr>
          <w:rFonts w:eastAsia="Calibri" w:cs="Arial"/>
          <w:sz w:val="22"/>
          <w:szCs w:val="22"/>
        </w:rPr>
        <w:t>highlights that</w:t>
      </w:r>
      <w:r w:rsidR="00E40C62">
        <w:rPr>
          <w:rFonts w:eastAsia="Calibri" w:cs="Arial"/>
          <w:sz w:val="22"/>
          <w:szCs w:val="22"/>
        </w:rPr>
        <w:t>,</w:t>
      </w:r>
      <w:r w:rsidR="00F91006">
        <w:rPr>
          <w:rFonts w:eastAsia="Calibri" w:cs="Arial"/>
          <w:sz w:val="22"/>
          <w:szCs w:val="22"/>
        </w:rPr>
        <w:t xml:space="preserve"> </w:t>
      </w:r>
      <w:r w:rsidR="00FE0A7C">
        <w:rPr>
          <w:rFonts w:eastAsia="Calibri" w:cs="Arial"/>
          <w:sz w:val="22"/>
          <w:szCs w:val="22"/>
        </w:rPr>
        <w:t>f</w:t>
      </w:r>
      <w:r w:rsidR="00F91006" w:rsidRPr="0066781F">
        <w:rPr>
          <w:rFonts w:eastAsia="Calibri" w:cs="Arial"/>
          <w:sz w:val="22"/>
          <w:szCs w:val="22"/>
        </w:rPr>
        <w:t xml:space="preserve">or all </w:t>
      </w:r>
      <w:r w:rsidR="00E40C62">
        <w:rPr>
          <w:rFonts w:eastAsia="Calibri" w:cs="Arial"/>
          <w:sz w:val="22"/>
          <w:szCs w:val="22"/>
        </w:rPr>
        <w:t xml:space="preserve">domestic </w:t>
      </w:r>
      <w:r w:rsidR="001D7508">
        <w:rPr>
          <w:rFonts w:eastAsia="Calibri" w:cs="Arial"/>
          <w:sz w:val="22"/>
          <w:szCs w:val="22"/>
        </w:rPr>
        <w:t xml:space="preserve">EU </w:t>
      </w:r>
      <w:r w:rsidR="00F91006">
        <w:rPr>
          <w:rFonts w:eastAsia="Calibri" w:cs="Arial"/>
          <w:sz w:val="22"/>
          <w:szCs w:val="22"/>
        </w:rPr>
        <w:t>currencies</w:t>
      </w:r>
      <w:r w:rsidR="00F91006" w:rsidRPr="0066781F">
        <w:rPr>
          <w:rFonts w:eastAsia="Calibri" w:cs="Arial"/>
          <w:sz w:val="22"/>
          <w:szCs w:val="22"/>
        </w:rPr>
        <w:t xml:space="preserve">, tenor points </w:t>
      </w:r>
      <w:r w:rsidR="00F91006">
        <w:rPr>
          <w:rFonts w:eastAsia="Calibri" w:cs="Arial"/>
          <w:sz w:val="22"/>
          <w:szCs w:val="22"/>
        </w:rPr>
        <w:t>where average number of trades</w:t>
      </w:r>
      <w:r w:rsidR="00F91006" w:rsidRPr="0066781F">
        <w:rPr>
          <w:rFonts w:eastAsia="Calibri" w:cs="Arial"/>
          <w:sz w:val="22"/>
          <w:szCs w:val="22"/>
        </w:rPr>
        <w:t xml:space="preserve"> exceed 10 per day have greater than 50 participants. </w:t>
      </w:r>
      <w:r w:rsidR="00FE0A7C">
        <w:rPr>
          <w:rFonts w:eastAsia="Calibri" w:cs="Arial"/>
          <w:sz w:val="22"/>
          <w:szCs w:val="22"/>
        </w:rPr>
        <w:t>We believe that it</w:t>
      </w:r>
      <w:r w:rsidR="00F91006">
        <w:rPr>
          <w:rFonts w:eastAsia="Calibri" w:cs="Arial"/>
          <w:sz w:val="22"/>
          <w:szCs w:val="22"/>
        </w:rPr>
        <w:t xml:space="preserve"> is only at this level of participants that a market can be said to have </w:t>
      </w:r>
      <w:r w:rsidRPr="0066781F">
        <w:rPr>
          <w:rFonts w:eastAsia="Calibri" w:cs="Arial"/>
          <w:sz w:val="22"/>
          <w:szCs w:val="22"/>
        </w:rPr>
        <w:t xml:space="preserve">a sufficient </w:t>
      </w:r>
      <w:r w:rsidR="00F91006">
        <w:rPr>
          <w:rFonts w:eastAsia="Calibri" w:cs="Arial"/>
          <w:sz w:val="22"/>
          <w:szCs w:val="22"/>
        </w:rPr>
        <w:t xml:space="preserve">and diverse enough </w:t>
      </w:r>
      <w:r w:rsidRPr="0066781F">
        <w:rPr>
          <w:rFonts w:eastAsia="Calibri" w:cs="Arial"/>
          <w:sz w:val="22"/>
          <w:szCs w:val="22"/>
        </w:rPr>
        <w:t>number of potential suppliers and demanders of liquidity</w:t>
      </w:r>
      <w:r w:rsidR="00F91006">
        <w:rPr>
          <w:rFonts w:eastAsia="Calibri" w:cs="Arial"/>
          <w:sz w:val="22"/>
          <w:szCs w:val="22"/>
        </w:rPr>
        <w:t xml:space="preserve"> while having confidence that small changes in the number of market participants would not jeopardise liquidity</w:t>
      </w:r>
      <w:r w:rsidR="00FE0A7C">
        <w:rPr>
          <w:rFonts w:eastAsia="Calibri" w:cs="Arial"/>
          <w:sz w:val="22"/>
          <w:szCs w:val="22"/>
        </w:rPr>
        <w:t>.</w:t>
      </w:r>
    </w:p>
    <w:p w:rsidR="00FE0A7C" w:rsidRPr="0066781F" w:rsidRDefault="00FE0A7C" w:rsidP="003168CF">
      <w:pPr>
        <w:rPr>
          <w:rFonts w:eastAsia="Calibri" w:cs="Arial"/>
          <w:sz w:val="22"/>
          <w:szCs w:val="22"/>
        </w:rPr>
      </w:pPr>
    </w:p>
    <w:p w:rsidR="00A8728B" w:rsidRDefault="003168CF" w:rsidP="003168CF">
      <w:r w:rsidRPr="0066781F">
        <w:rPr>
          <w:rFonts w:eastAsia="Calibri" w:cs="Arial"/>
          <w:sz w:val="22"/>
          <w:szCs w:val="22"/>
        </w:rPr>
        <w:t>For foreign currency IRS or other products with a focal point outside of Europe</w:t>
      </w:r>
      <w:r w:rsidR="001D7508">
        <w:rPr>
          <w:rFonts w:eastAsia="Calibri" w:cs="Arial"/>
          <w:sz w:val="22"/>
          <w:szCs w:val="22"/>
        </w:rPr>
        <w:t xml:space="preserve"> the situation would be different to that of products primarily traded in Europe.</w:t>
      </w:r>
      <w:r w:rsidR="00E40C62">
        <w:rPr>
          <w:rFonts w:eastAsia="Calibri" w:cs="Arial"/>
          <w:sz w:val="22"/>
          <w:szCs w:val="22"/>
        </w:rPr>
        <w:t xml:space="preserve"> W</w:t>
      </w:r>
      <w:r w:rsidRPr="0066781F">
        <w:rPr>
          <w:rFonts w:eastAsia="Calibri" w:cs="Arial"/>
          <w:sz w:val="22"/>
          <w:szCs w:val="22"/>
        </w:rPr>
        <w:t xml:space="preserve">e would </w:t>
      </w:r>
      <w:r w:rsidR="00846DF7">
        <w:rPr>
          <w:rFonts w:eastAsia="Calibri" w:cs="Arial"/>
          <w:sz w:val="22"/>
          <w:szCs w:val="22"/>
        </w:rPr>
        <w:t xml:space="preserve">strongly recommend that </w:t>
      </w:r>
      <w:r>
        <w:rPr>
          <w:rFonts w:eastAsia="Calibri" w:cs="Arial"/>
          <w:sz w:val="22"/>
          <w:szCs w:val="22"/>
        </w:rPr>
        <w:t xml:space="preserve">ESMA </w:t>
      </w:r>
      <w:r w:rsidR="00846DF7">
        <w:rPr>
          <w:rFonts w:eastAsia="Calibri" w:cs="Arial"/>
          <w:sz w:val="22"/>
          <w:szCs w:val="22"/>
        </w:rPr>
        <w:t xml:space="preserve">coordinate its action with </w:t>
      </w:r>
      <w:r>
        <w:rPr>
          <w:rFonts w:eastAsia="Calibri" w:cs="Arial"/>
          <w:sz w:val="22"/>
          <w:szCs w:val="22"/>
        </w:rPr>
        <w:t>the primar</w:t>
      </w:r>
      <w:r w:rsidRPr="0066781F">
        <w:rPr>
          <w:rFonts w:eastAsia="Calibri" w:cs="Arial"/>
          <w:sz w:val="22"/>
          <w:szCs w:val="22"/>
        </w:rPr>
        <w:t xml:space="preserve">y regulator of </w:t>
      </w:r>
      <w:r w:rsidR="00E40C62" w:rsidRPr="0066781F">
        <w:rPr>
          <w:rFonts w:eastAsia="Calibri" w:cs="Arial"/>
          <w:sz w:val="22"/>
          <w:szCs w:val="22"/>
        </w:rPr>
        <w:t>those foreign products</w:t>
      </w:r>
      <w:r w:rsidRPr="0066781F">
        <w:rPr>
          <w:rFonts w:eastAsia="Calibri" w:cs="Arial"/>
          <w:sz w:val="22"/>
          <w:szCs w:val="22"/>
        </w:rPr>
        <w:t>’ markets</w:t>
      </w:r>
      <w:r w:rsidR="00E40C62">
        <w:rPr>
          <w:rFonts w:eastAsia="Calibri" w:cs="Arial"/>
          <w:sz w:val="22"/>
          <w:szCs w:val="22"/>
        </w:rPr>
        <w:t>. In</w:t>
      </w:r>
      <w:r w:rsidR="00BD6D15">
        <w:rPr>
          <w:rFonts w:eastAsia="Calibri" w:cs="Arial"/>
          <w:sz w:val="22"/>
          <w:szCs w:val="22"/>
        </w:rPr>
        <w:t xml:space="preserve"> </w:t>
      </w:r>
      <w:r w:rsidR="001D7508">
        <w:rPr>
          <w:rFonts w:eastAsia="Calibri" w:cs="Arial"/>
          <w:sz w:val="22"/>
          <w:szCs w:val="22"/>
        </w:rPr>
        <w:t>ESM</w:t>
      </w:r>
      <w:r w:rsidR="00BD6D15">
        <w:rPr>
          <w:rFonts w:eastAsia="Calibri" w:cs="Arial"/>
          <w:sz w:val="22"/>
          <w:szCs w:val="22"/>
        </w:rPr>
        <w:t>A’s analysis,</w:t>
      </w:r>
      <w:r w:rsidRPr="0066781F">
        <w:rPr>
          <w:rFonts w:eastAsia="Calibri" w:cs="Arial"/>
          <w:sz w:val="22"/>
          <w:szCs w:val="22"/>
        </w:rPr>
        <w:t xml:space="preserve"> the </w:t>
      </w:r>
      <w:r w:rsidR="00FE0A7C">
        <w:rPr>
          <w:rFonts w:eastAsia="Calibri" w:cs="Arial"/>
          <w:sz w:val="22"/>
          <w:szCs w:val="22"/>
        </w:rPr>
        <w:t>number of distinct counterparties</w:t>
      </w:r>
      <w:r w:rsidRPr="0066781F">
        <w:rPr>
          <w:rFonts w:eastAsia="Calibri" w:cs="Arial"/>
          <w:sz w:val="22"/>
          <w:szCs w:val="22"/>
        </w:rPr>
        <w:t xml:space="preserve"> trading JPY in the </w:t>
      </w:r>
      <w:r w:rsidR="00846DF7">
        <w:rPr>
          <w:rFonts w:eastAsia="Calibri" w:cs="Arial"/>
          <w:sz w:val="22"/>
          <w:szCs w:val="22"/>
        </w:rPr>
        <w:t>EU</w:t>
      </w:r>
      <w:r w:rsidR="00846DF7" w:rsidRPr="0066781F">
        <w:rPr>
          <w:rFonts w:eastAsia="Calibri" w:cs="Arial"/>
          <w:sz w:val="22"/>
          <w:szCs w:val="22"/>
        </w:rPr>
        <w:t xml:space="preserve"> </w:t>
      </w:r>
      <w:r w:rsidRPr="0066781F">
        <w:rPr>
          <w:rFonts w:eastAsia="Calibri" w:cs="Arial"/>
          <w:sz w:val="22"/>
          <w:szCs w:val="22"/>
        </w:rPr>
        <w:t>falls short of 50</w:t>
      </w:r>
      <w:r w:rsidR="00BD6D15">
        <w:rPr>
          <w:rFonts w:eastAsia="Calibri" w:cs="Arial"/>
          <w:sz w:val="22"/>
          <w:szCs w:val="22"/>
        </w:rPr>
        <w:t xml:space="preserve">. However, JPY IRS is primarily traded in Japan and </w:t>
      </w:r>
      <w:r w:rsidRPr="0066781F">
        <w:rPr>
          <w:rFonts w:eastAsia="Calibri" w:cs="Arial"/>
          <w:sz w:val="22"/>
          <w:szCs w:val="22"/>
        </w:rPr>
        <w:t xml:space="preserve">there is </w:t>
      </w:r>
      <w:r w:rsidR="00BD6D15">
        <w:rPr>
          <w:rFonts w:eastAsia="Calibri" w:cs="Arial"/>
          <w:sz w:val="22"/>
          <w:szCs w:val="22"/>
        </w:rPr>
        <w:t xml:space="preserve">also </w:t>
      </w:r>
      <w:r w:rsidRPr="0066781F">
        <w:rPr>
          <w:rFonts w:eastAsia="Calibri" w:cs="Arial"/>
          <w:sz w:val="22"/>
          <w:szCs w:val="22"/>
        </w:rPr>
        <w:t>a TO for JPY IRS in place by the Japanese FSA.</w:t>
      </w:r>
      <w:r w:rsidRPr="0066781F">
        <w:rPr>
          <w:rStyle w:val="FootnoteReference"/>
          <w:rFonts w:eastAsia="Calibri" w:cs="Arial"/>
          <w:sz w:val="22"/>
          <w:szCs w:val="22"/>
        </w:rPr>
        <w:footnoteReference w:id="12"/>
      </w:r>
      <w:r w:rsidRPr="0066781F">
        <w:rPr>
          <w:rFonts w:eastAsia="Calibri" w:cs="Arial"/>
          <w:sz w:val="22"/>
          <w:szCs w:val="22"/>
        </w:rPr>
        <w:t xml:space="preserve"> </w:t>
      </w:r>
      <w:r w:rsidR="00846DF7">
        <w:rPr>
          <w:rFonts w:eastAsia="Calibri" w:cs="Arial"/>
          <w:sz w:val="22"/>
          <w:szCs w:val="22"/>
        </w:rPr>
        <w:t xml:space="preserve"> </w:t>
      </w:r>
      <w:r w:rsidR="001D7508">
        <w:rPr>
          <w:rFonts w:eastAsia="Calibri" w:cs="Arial"/>
          <w:sz w:val="22"/>
          <w:szCs w:val="22"/>
        </w:rPr>
        <w:t>Therefore JPY IRS</w:t>
      </w:r>
      <w:r w:rsidR="00E40C62">
        <w:rPr>
          <w:rStyle w:val="FootnoteReference"/>
          <w:rFonts w:eastAsia="Calibri" w:cs="Arial"/>
          <w:sz w:val="22"/>
          <w:szCs w:val="22"/>
        </w:rPr>
        <w:footnoteReference w:id="13"/>
      </w:r>
      <w:r w:rsidR="001D7508">
        <w:rPr>
          <w:rFonts w:eastAsia="Calibri" w:cs="Arial"/>
          <w:sz w:val="22"/>
          <w:szCs w:val="22"/>
        </w:rPr>
        <w:t xml:space="preserve"> is likely to be liquid with less market participants as it is not the main market and this analysis should not be considered a guide to liquidity of Europ</w:t>
      </w:r>
      <w:r w:rsidR="001D7508">
        <w:rPr>
          <w:rFonts w:eastAsia="Calibri" w:cs="Arial"/>
          <w:sz w:val="22"/>
          <w:szCs w:val="22"/>
        </w:rPr>
        <w:t>e</w:t>
      </w:r>
      <w:r w:rsidR="001D7508">
        <w:rPr>
          <w:rFonts w:eastAsia="Calibri" w:cs="Arial"/>
          <w:sz w:val="22"/>
          <w:szCs w:val="22"/>
        </w:rPr>
        <w:t>an products. Furthermore, i</w:t>
      </w:r>
      <w:r w:rsidR="00846DF7">
        <w:rPr>
          <w:rFonts w:eastAsia="Calibri" w:cs="Arial"/>
          <w:sz w:val="22"/>
          <w:szCs w:val="22"/>
        </w:rPr>
        <w:t xml:space="preserve">f </w:t>
      </w:r>
      <w:r w:rsidRPr="0066781F">
        <w:rPr>
          <w:rFonts w:eastAsia="Calibri" w:cs="Arial"/>
          <w:sz w:val="22"/>
          <w:szCs w:val="22"/>
        </w:rPr>
        <w:t>ESMA impose</w:t>
      </w:r>
      <w:r w:rsidR="00FE0A7C">
        <w:rPr>
          <w:rFonts w:eastAsia="Calibri" w:cs="Arial"/>
          <w:sz w:val="22"/>
          <w:szCs w:val="22"/>
        </w:rPr>
        <w:t>d</w:t>
      </w:r>
      <w:r w:rsidRPr="0066781F">
        <w:rPr>
          <w:rFonts w:eastAsia="Calibri" w:cs="Arial"/>
          <w:sz w:val="22"/>
          <w:szCs w:val="22"/>
        </w:rPr>
        <w:t xml:space="preserve"> a TO for a product</w:t>
      </w:r>
      <w:r>
        <w:rPr>
          <w:rFonts w:eastAsia="Calibri" w:cs="Arial"/>
          <w:sz w:val="22"/>
          <w:szCs w:val="22"/>
        </w:rPr>
        <w:t xml:space="preserve"> in a </w:t>
      </w:r>
      <w:r w:rsidR="00846DF7">
        <w:rPr>
          <w:rFonts w:eastAsia="Calibri" w:cs="Arial"/>
          <w:sz w:val="22"/>
          <w:szCs w:val="22"/>
        </w:rPr>
        <w:t xml:space="preserve">third country </w:t>
      </w:r>
      <w:r>
        <w:rPr>
          <w:rFonts w:eastAsia="Calibri" w:cs="Arial"/>
          <w:sz w:val="22"/>
          <w:szCs w:val="22"/>
        </w:rPr>
        <w:t>currency</w:t>
      </w:r>
      <w:r w:rsidRPr="0066781F">
        <w:rPr>
          <w:rFonts w:eastAsia="Calibri" w:cs="Arial"/>
          <w:sz w:val="22"/>
          <w:szCs w:val="22"/>
        </w:rPr>
        <w:t xml:space="preserve"> not subject to the TO in its home jurisdiction</w:t>
      </w:r>
      <w:r w:rsidR="00846DF7">
        <w:rPr>
          <w:rFonts w:eastAsia="Calibri" w:cs="Arial"/>
          <w:sz w:val="22"/>
          <w:szCs w:val="22"/>
        </w:rPr>
        <w:t xml:space="preserve">, there is a </w:t>
      </w:r>
      <w:r w:rsidRPr="0066781F">
        <w:rPr>
          <w:rFonts w:eastAsia="Calibri" w:cs="Arial"/>
          <w:sz w:val="22"/>
          <w:szCs w:val="22"/>
        </w:rPr>
        <w:t xml:space="preserve">high risk </w:t>
      </w:r>
      <w:r w:rsidR="00846DF7">
        <w:rPr>
          <w:rFonts w:eastAsia="Calibri" w:cs="Arial"/>
          <w:sz w:val="22"/>
          <w:szCs w:val="22"/>
        </w:rPr>
        <w:t xml:space="preserve">that trading would </w:t>
      </w:r>
      <w:r w:rsidRPr="0066781F">
        <w:rPr>
          <w:rFonts w:eastAsia="Calibri" w:cs="Arial"/>
          <w:sz w:val="22"/>
          <w:szCs w:val="22"/>
        </w:rPr>
        <w:t>leav</w:t>
      </w:r>
      <w:r w:rsidR="00FE0A7C">
        <w:rPr>
          <w:rFonts w:eastAsia="Calibri" w:cs="Arial"/>
          <w:sz w:val="22"/>
          <w:szCs w:val="22"/>
        </w:rPr>
        <w:t xml:space="preserve">e </w:t>
      </w:r>
      <w:r w:rsidRPr="0066781F">
        <w:rPr>
          <w:rFonts w:eastAsia="Calibri" w:cs="Arial"/>
          <w:sz w:val="22"/>
          <w:szCs w:val="22"/>
        </w:rPr>
        <w:t xml:space="preserve">Europe as firms </w:t>
      </w:r>
      <w:r w:rsidR="00846DF7">
        <w:rPr>
          <w:rFonts w:eastAsia="Calibri" w:cs="Arial"/>
          <w:sz w:val="22"/>
          <w:szCs w:val="22"/>
        </w:rPr>
        <w:t xml:space="preserve">could seek to </w:t>
      </w:r>
      <w:r w:rsidRPr="0066781F">
        <w:rPr>
          <w:rFonts w:eastAsia="Calibri" w:cs="Arial"/>
          <w:sz w:val="22"/>
          <w:szCs w:val="22"/>
        </w:rPr>
        <w:t>avoid potential predatory trading and regulatory burden in Europe.</w:t>
      </w:r>
    </w:p>
    <w:permEnd w:id="1843349678"/>
    <w:p w:rsidR="003168CF" w:rsidRDefault="003168CF" w:rsidP="00A8728B"/>
    <w:p w:rsidR="00A8728B" w:rsidRDefault="00A8728B" w:rsidP="00A8728B">
      <w:r>
        <w:t>&lt;ESMA_QUESTION</w:t>
      </w:r>
      <w:r w:rsidR="00D920D1">
        <w:t>_MIFID</w:t>
      </w:r>
      <w:r w:rsidR="00AB4824">
        <w:t>_TO_</w:t>
      </w:r>
      <w:r>
        <w:t>4&gt;</w:t>
      </w:r>
    </w:p>
    <w:p w:rsidR="00431DA4" w:rsidRPr="00B62727" w:rsidRDefault="00F016BE" w:rsidP="00F016BE">
      <w:pPr>
        <w:pStyle w:val="CPQuestions"/>
      </w:pPr>
      <w:r w:rsidRPr="00F016BE">
        <w:lastRenderedPageBreak/>
        <w:t>Do you agree with this approach? Do you consider alternative ways to identify the number of trading venues admitting to trading or trading a class of derivatives as more appropriate</w:t>
      </w:r>
      <w:r>
        <w:t>?</w:t>
      </w:r>
    </w:p>
    <w:p w:rsidR="00A8728B" w:rsidRDefault="00A8728B" w:rsidP="00A8728B">
      <w:r>
        <w:t>&lt;ESMA_QUESTION</w:t>
      </w:r>
      <w:r w:rsidR="00D920D1">
        <w:t>_MIFID</w:t>
      </w:r>
      <w:r w:rsidR="00AB4824">
        <w:t>_TO_</w:t>
      </w:r>
      <w:r>
        <w:t>5&gt;</w:t>
      </w:r>
    </w:p>
    <w:p w:rsidR="003168CF" w:rsidRDefault="003168CF" w:rsidP="00A8728B"/>
    <w:p w:rsidR="00A8728B" w:rsidRPr="003168CF" w:rsidRDefault="003168CF" w:rsidP="003168CF">
      <w:pPr>
        <w:pStyle w:val="Body"/>
        <w:spacing w:after="0" w:line="240" w:lineRule="auto"/>
        <w:rPr>
          <w:rFonts w:eastAsia="Calibri"/>
          <w:spacing w:val="0"/>
          <w:sz w:val="22"/>
          <w:szCs w:val="22"/>
        </w:rPr>
      </w:pPr>
      <w:permStart w:id="955604252" w:edGrp="everyone"/>
      <w:r w:rsidRPr="0066781F">
        <w:rPr>
          <w:rFonts w:eastAsia="Calibri"/>
          <w:spacing w:val="0"/>
          <w:sz w:val="22"/>
          <w:szCs w:val="22"/>
        </w:rPr>
        <w:t>To be considered for the trading obligation a particular derivative contract should be actively traded on multiple unaffiliated trading venues.  Should ESMA use “admitted to trading” as a criterion indicative of liquidity it would create incentives for trading venues to admit derivatives to trading on their venues which were not sufficiently liquid with the objective of forcing liquidity onto the</w:t>
      </w:r>
      <w:r w:rsidR="00846DF7">
        <w:rPr>
          <w:rFonts w:eastAsia="Calibri"/>
          <w:spacing w:val="0"/>
          <w:sz w:val="22"/>
          <w:szCs w:val="22"/>
        </w:rPr>
        <w:t xml:space="preserve">ir own </w:t>
      </w:r>
      <w:r w:rsidRPr="0066781F">
        <w:rPr>
          <w:rFonts w:eastAsia="Calibri"/>
          <w:spacing w:val="0"/>
          <w:sz w:val="22"/>
          <w:szCs w:val="22"/>
        </w:rPr>
        <w:t xml:space="preserve">venues. This </w:t>
      </w:r>
      <w:r w:rsidR="00FF5530">
        <w:rPr>
          <w:rFonts w:eastAsia="Calibri"/>
          <w:spacing w:val="0"/>
          <w:sz w:val="22"/>
          <w:szCs w:val="22"/>
        </w:rPr>
        <w:t>c</w:t>
      </w:r>
      <w:r w:rsidRPr="0066781F">
        <w:rPr>
          <w:rFonts w:eastAsia="Calibri"/>
          <w:spacing w:val="0"/>
          <w:sz w:val="22"/>
          <w:szCs w:val="22"/>
        </w:rPr>
        <w:t>ould result in harm to end-users and the public in the form of r</w:t>
      </w:r>
      <w:r w:rsidRPr="0066781F">
        <w:rPr>
          <w:rFonts w:eastAsia="Calibri"/>
          <w:spacing w:val="0"/>
          <w:sz w:val="22"/>
          <w:szCs w:val="22"/>
        </w:rPr>
        <w:t>e</w:t>
      </w:r>
      <w:r w:rsidRPr="0066781F">
        <w:rPr>
          <w:rFonts w:eastAsia="Calibri"/>
          <w:spacing w:val="0"/>
          <w:sz w:val="22"/>
          <w:szCs w:val="22"/>
        </w:rPr>
        <w:t xml:space="preserve">duced liquidity </w:t>
      </w:r>
      <w:r w:rsidR="00846DF7">
        <w:rPr>
          <w:rFonts w:eastAsia="Calibri"/>
          <w:spacing w:val="0"/>
          <w:sz w:val="22"/>
          <w:szCs w:val="22"/>
        </w:rPr>
        <w:t xml:space="preserve">or higher trading </w:t>
      </w:r>
      <w:r w:rsidRPr="0066781F">
        <w:rPr>
          <w:rFonts w:eastAsia="Calibri"/>
          <w:spacing w:val="0"/>
          <w:sz w:val="22"/>
          <w:szCs w:val="22"/>
        </w:rPr>
        <w:t>for that product, as explai</w:t>
      </w:r>
      <w:r>
        <w:rPr>
          <w:rFonts w:eastAsia="Calibri"/>
          <w:spacing w:val="0"/>
          <w:sz w:val="22"/>
          <w:szCs w:val="22"/>
        </w:rPr>
        <w:t>ned in our introduction above.</w:t>
      </w:r>
    </w:p>
    <w:permEnd w:id="955604252"/>
    <w:p w:rsidR="003168CF" w:rsidRDefault="003168CF" w:rsidP="00A8728B"/>
    <w:p w:rsidR="00A8728B" w:rsidRDefault="00A8728B" w:rsidP="00A8728B">
      <w:r>
        <w:t>&lt;ESMA_QUESTION</w:t>
      </w:r>
      <w:r w:rsidR="00D920D1">
        <w:t>_MIFID</w:t>
      </w:r>
      <w:r w:rsidR="00AB4824">
        <w:t>_TO_</w:t>
      </w:r>
      <w:r>
        <w:t>5&gt;</w:t>
      </w:r>
    </w:p>
    <w:p w:rsidR="00431DA4" w:rsidRPr="000E6B5B" w:rsidRDefault="00F016BE" w:rsidP="00F016BE">
      <w:pPr>
        <w:pStyle w:val="CPQuestions"/>
      </w:pPr>
      <w:r w:rsidRPr="00F016BE">
        <w:t>On how many trading venues should a derivative or a class of derivatives be tra</w:t>
      </w:r>
      <w:r w:rsidRPr="00F016BE">
        <w:t>d</w:t>
      </w:r>
      <w:r w:rsidRPr="00F016BE">
        <w:t>ed in order to be considered subject to the TO</w:t>
      </w:r>
      <w:r w:rsidR="00070630">
        <w:t>?</w:t>
      </w:r>
    </w:p>
    <w:p w:rsidR="00A8728B" w:rsidRDefault="00A8728B" w:rsidP="00A8728B">
      <w:r>
        <w:t>&lt;ESMA_QUESTION</w:t>
      </w:r>
      <w:r w:rsidR="00D920D1">
        <w:t>_MIFID</w:t>
      </w:r>
      <w:r w:rsidR="00AB4824">
        <w:t>_TO_</w:t>
      </w:r>
      <w:r>
        <w:t>6&gt;</w:t>
      </w:r>
    </w:p>
    <w:p w:rsidR="003168CF" w:rsidRDefault="003168CF" w:rsidP="00A8728B"/>
    <w:p w:rsidR="003168CF" w:rsidRPr="0066781F" w:rsidRDefault="003168CF" w:rsidP="003168CF">
      <w:pPr>
        <w:pStyle w:val="Body"/>
        <w:rPr>
          <w:rFonts w:eastAsia="Calibri"/>
          <w:spacing w:val="0"/>
          <w:sz w:val="22"/>
          <w:szCs w:val="22"/>
        </w:rPr>
      </w:pPr>
      <w:permStart w:id="579948316" w:edGrp="everyone"/>
      <w:r w:rsidRPr="0066781F">
        <w:rPr>
          <w:rFonts w:eastAsia="Calibri"/>
          <w:spacing w:val="0"/>
          <w:sz w:val="22"/>
          <w:szCs w:val="22"/>
        </w:rPr>
        <w:t>We agree with ESMA when it states that “the more trading venues offer for trading or trade a class of derivatives, the more liquid that class can be considered”</w:t>
      </w:r>
      <w:r w:rsidRPr="0066781F">
        <w:rPr>
          <w:rStyle w:val="FootnoteReference"/>
          <w:rFonts w:eastAsia="Calibri"/>
          <w:spacing w:val="0"/>
          <w:sz w:val="22"/>
          <w:szCs w:val="22"/>
        </w:rPr>
        <w:footnoteReference w:id="14"/>
      </w:r>
      <w:r w:rsidRPr="0066781F">
        <w:rPr>
          <w:rFonts w:eastAsia="Calibri"/>
          <w:spacing w:val="0"/>
          <w:sz w:val="22"/>
          <w:szCs w:val="22"/>
        </w:rPr>
        <w:t xml:space="preserve"> and would recommend that a class of derivatives should be actively traded on at least three unaffiliated trading venues before it is subject to the </w:t>
      </w:r>
      <w:r w:rsidR="00FF5530">
        <w:rPr>
          <w:rFonts w:eastAsia="Calibri"/>
          <w:spacing w:val="0"/>
          <w:sz w:val="22"/>
          <w:szCs w:val="22"/>
        </w:rPr>
        <w:t>TO</w:t>
      </w:r>
      <w:r w:rsidRPr="0066781F">
        <w:rPr>
          <w:rFonts w:eastAsia="Calibri"/>
          <w:spacing w:val="0"/>
          <w:sz w:val="22"/>
          <w:szCs w:val="22"/>
        </w:rPr>
        <w:t xml:space="preserve">. </w:t>
      </w:r>
    </w:p>
    <w:p w:rsidR="003168CF" w:rsidRPr="0066781F" w:rsidRDefault="003168CF" w:rsidP="003168CF">
      <w:pPr>
        <w:pStyle w:val="Body"/>
        <w:spacing w:after="0" w:line="240" w:lineRule="auto"/>
        <w:rPr>
          <w:rFonts w:eastAsia="Calibri"/>
          <w:spacing w:val="0"/>
          <w:sz w:val="22"/>
          <w:szCs w:val="22"/>
        </w:rPr>
      </w:pPr>
      <w:r w:rsidRPr="0066781F">
        <w:rPr>
          <w:rFonts w:eastAsia="Calibri"/>
          <w:spacing w:val="0"/>
          <w:sz w:val="22"/>
          <w:szCs w:val="22"/>
        </w:rPr>
        <w:t xml:space="preserve">Competition is a key objective of </w:t>
      </w:r>
      <w:proofErr w:type="spellStart"/>
      <w:r w:rsidRPr="0066781F">
        <w:rPr>
          <w:rFonts w:eastAsia="Calibri"/>
          <w:spacing w:val="0"/>
          <w:sz w:val="22"/>
          <w:szCs w:val="22"/>
        </w:rPr>
        <w:t>MiFIR</w:t>
      </w:r>
      <w:proofErr w:type="spellEnd"/>
      <w:r w:rsidRPr="0066781F">
        <w:rPr>
          <w:rFonts w:eastAsia="Calibri"/>
          <w:spacing w:val="0"/>
          <w:sz w:val="22"/>
          <w:szCs w:val="22"/>
        </w:rPr>
        <w:t xml:space="preserve"> and the legislation </w:t>
      </w:r>
      <w:r w:rsidR="00846DF7">
        <w:rPr>
          <w:rFonts w:eastAsia="Calibri"/>
          <w:spacing w:val="0"/>
          <w:sz w:val="22"/>
          <w:szCs w:val="22"/>
        </w:rPr>
        <w:t xml:space="preserve">looks to promote </w:t>
      </w:r>
      <w:r w:rsidRPr="0066781F">
        <w:rPr>
          <w:rFonts w:eastAsia="Calibri"/>
          <w:spacing w:val="0"/>
          <w:sz w:val="22"/>
          <w:szCs w:val="22"/>
        </w:rPr>
        <w:t xml:space="preserve">efficient competition between trading venues. </w:t>
      </w:r>
      <w:r w:rsidR="003A2DED">
        <w:rPr>
          <w:rFonts w:eastAsia="Calibri"/>
          <w:spacing w:val="0"/>
          <w:sz w:val="22"/>
          <w:szCs w:val="22"/>
        </w:rPr>
        <w:t xml:space="preserve">Generally we have </w:t>
      </w:r>
      <w:r w:rsidR="00FF5530">
        <w:rPr>
          <w:rFonts w:eastAsia="Calibri"/>
          <w:spacing w:val="0"/>
          <w:sz w:val="22"/>
          <w:szCs w:val="22"/>
        </w:rPr>
        <w:t>observed that</w:t>
      </w:r>
      <w:r w:rsidR="003A2DED">
        <w:rPr>
          <w:rFonts w:eastAsia="Calibri"/>
          <w:spacing w:val="0"/>
          <w:sz w:val="22"/>
          <w:szCs w:val="22"/>
        </w:rPr>
        <w:t xml:space="preserve"> </w:t>
      </w:r>
      <w:r w:rsidRPr="0066781F">
        <w:rPr>
          <w:rFonts w:eastAsia="Calibri"/>
          <w:spacing w:val="0"/>
          <w:sz w:val="22"/>
          <w:szCs w:val="22"/>
        </w:rPr>
        <w:t xml:space="preserve">products </w:t>
      </w:r>
      <w:r w:rsidR="003A2DED">
        <w:rPr>
          <w:rFonts w:eastAsia="Calibri"/>
          <w:spacing w:val="0"/>
          <w:sz w:val="22"/>
          <w:szCs w:val="22"/>
        </w:rPr>
        <w:t xml:space="preserve">under TOs in </w:t>
      </w:r>
      <w:r w:rsidRPr="0066781F">
        <w:rPr>
          <w:rFonts w:eastAsia="Calibri"/>
          <w:spacing w:val="0"/>
          <w:sz w:val="22"/>
          <w:szCs w:val="22"/>
        </w:rPr>
        <w:t xml:space="preserve">jurisdictions </w:t>
      </w:r>
      <w:r w:rsidR="003A2DED">
        <w:rPr>
          <w:rFonts w:eastAsia="Calibri"/>
          <w:spacing w:val="0"/>
          <w:sz w:val="22"/>
          <w:szCs w:val="22"/>
        </w:rPr>
        <w:t xml:space="preserve">trade </w:t>
      </w:r>
      <w:r w:rsidRPr="0066781F">
        <w:rPr>
          <w:rFonts w:eastAsia="Calibri"/>
          <w:spacing w:val="0"/>
          <w:sz w:val="22"/>
          <w:szCs w:val="22"/>
        </w:rPr>
        <w:t xml:space="preserve">on far more than three unaffiliated trading venues and </w:t>
      </w:r>
      <w:r w:rsidR="003A2DED">
        <w:rPr>
          <w:rFonts w:eastAsia="Calibri"/>
          <w:spacing w:val="0"/>
          <w:sz w:val="22"/>
          <w:szCs w:val="22"/>
        </w:rPr>
        <w:t xml:space="preserve">we believe </w:t>
      </w:r>
      <w:r w:rsidRPr="0066781F">
        <w:rPr>
          <w:rFonts w:eastAsia="Calibri"/>
          <w:spacing w:val="0"/>
          <w:sz w:val="22"/>
          <w:szCs w:val="22"/>
        </w:rPr>
        <w:t xml:space="preserve">it is imperative that ESMA set a minimum threshold of three unaffiliated trading venues to </w:t>
      </w:r>
      <w:r w:rsidR="003A2DED">
        <w:rPr>
          <w:rFonts w:eastAsia="Calibri"/>
          <w:spacing w:val="0"/>
          <w:sz w:val="22"/>
          <w:szCs w:val="22"/>
        </w:rPr>
        <w:t xml:space="preserve">ensure that </w:t>
      </w:r>
      <w:r w:rsidRPr="0066781F">
        <w:rPr>
          <w:rFonts w:eastAsia="Calibri"/>
          <w:spacing w:val="0"/>
          <w:sz w:val="22"/>
          <w:szCs w:val="22"/>
        </w:rPr>
        <w:t>trading ve</w:t>
      </w:r>
      <w:r w:rsidRPr="0066781F">
        <w:rPr>
          <w:rFonts w:eastAsia="Calibri"/>
          <w:spacing w:val="0"/>
          <w:sz w:val="22"/>
          <w:szCs w:val="22"/>
        </w:rPr>
        <w:t>n</w:t>
      </w:r>
      <w:r w:rsidRPr="0066781F">
        <w:rPr>
          <w:rFonts w:eastAsia="Calibri"/>
          <w:spacing w:val="0"/>
          <w:sz w:val="22"/>
          <w:szCs w:val="22"/>
        </w:rPr>
        <w:t>ues</w:t>
      </w:r>
      <w:r w:rsidR="003A2DED">
        <w:rPr>
          <w:rFonts w:eastAsia="Calibri"/>
          <w:spacing w:val="0"/>
          <w:sz w:val="22"/>
          <w:szCs w:val="22"/>
        </w:rPr>
        <w:t xml:space="preserve"> are not able to exploit market position</w:t>
      </w:r>
      <w:r w:rsidRPr="0066781F">
        <w:rPr>
          <w:rFonts w:eastAsia="Calibri"/>
          <w:spacing w:val="0"/>
          <w:sz w:val="22"/>
          <w:szCs w:val="22"/>
        </w:rPr>
        <w:t xml:space="preserve">. Recital 28 of </w:t>
      </w:r>
      <w:proofErr w:type="spellStart"/>
      <w:r w:rsidRPr="0066781F">
        <w:rPr>
          <w:rFonts w:eastAsia="Calibri"/>
          <w:spacing w:val="0"/>
          <w:sz w:val="22"/>
          <w:szCs w:val="22"/>
        </w:rPr>
        <w:t>MiFIR</w:t>
      </w:r>
      <w:proofErr w:type="spellEnd"/>
      <w:r w:rsidRPr="0066781F">
        <w:rPr>
          <w:rFonts w:eastAsia="Calibri"/>
          <w:spacing w:val="0"/>
          <w:sz w:val="22"/>
          <w:szCs w:val="22"/>
        </w:rPr>
        <w:t xml:space="preserve"> states that “The trading obligation established for those derivatives should allow for efficient competition between eligible trading venues”. In its preparatory work, the European Commission stated that “A system based on competition between different trading venues (OTC, exchanges and MTFs), is also advant</w:t>
      </w:r>
      <w:r w:rsidRPr="0066781F">
        <w:rPr>
          <w:rFonts w:eastAsia="Calibri"/>
          <w:spacing w:val="0"/>
          <w:sz w:val="22"/>
          <w:szCs w:val="22"/>
        </w:rPr>
        <w:t>a</w:t>
      </w:r>
      <w:r w:rsidRPr="0066781F">
        <w:rPr>
          <w:rFonts w:eastAsia="Calibri"/>
          <w:spacing w:val="0"/>
          <w:sz w:val="22"/>
          <w:szCs w:val="22"/>
        </w:rPr>
        <w:t>geous in terms of market efficiency as long as it subjects all venues to adequate transparency and organisational requirements that ensure fair competition”.</w:t>
      </w:r>
      <w:r w:rsidRPr="0066781F">
        <w:rPr>
          <w:rFonts w:eastAsia="Calibri"/>
          <w:spacing w:val="0"/>
          <w:sz w:val="22"/>
          <w:szCs w:val="22"/>
          <w:vertAlign w:val="superscript"/>
        </w:rPr>
        <w:footnoteReference w:id="15"/>
      </w:r>
      <w:r w:rsidRPr="0066781F">
        <w:rPr>
          <w:rFonts w:eastAsia="Calibri"/>
          <w:spacing w:val="0"/>
          <w:sz w:val="22"/>
          <w:szCs w:val="22"/>
        </w:rPr>
        <w:t xml:space="preserve">  </w:t>
      </w:r>
    </w:p>
    <w:p w:rsidR="003168CF" w:rsidRPr="0066781F" w:rsidRDefault="003168CF" w:rsidP="003168CF">
      <w:pPr>
        <w:pStyle w:val="Body"/>
        <w:spacing w:after="0" w:line="240" w:lineRule="auto"/>
        <w:rPr>
          <w:rFonts w:eastAsia="Calibri"/>
          <w:spacing w:val="0"/>
          <w:sz w:val="22"/>
          <w:szCs w:val="22"/>
        </w:rPr>
      </w:pPr>
    </w:p>
    <w:p w:rsidR="003168CF" w:rsidRPr="0066781F" w:rsidRDefault="003168CF" w:rsidP="003168CF">
      <w:pPr>
        <w:pStyle w:val="Body"/>
        <w:spacing w:after="0" w:line="240" w:lineRule="auto"/>
        <w:rPr>
          <w:rFonts w:eastAsia="Calibri"/>
          <w:spacing w:val="0"/>
          <w:sz w:val="22"/>
          <w:szCs w:val="22"/>
        </w:rPr>
      </w:pPr>
      <w:r w:rsidRPr="0066781F">
        <w:rPr>
          <w:rFonts w:eastAsia="Calibri"/>
          <w:spacing w:val="0"/>
          <w:sz w:val="22"/>
          <w:szCs w:val="22"/>
        </w:rPr>
        <w:t xml:space="preserve">We believe that applying a trading obligation to a class of derivatives that only trades on </w:t>
      </w:r>
      <w:r w:rsidR="00046CA0">
        <w:rPr>
          <w:rFonts w:eastAsia="Calibri"/>
          <w:spacing w:val="0"/>
          <w:sz w:val="22"/>
          <w:szCs w:val="22"/>
        </w:rPr>
        <w:t>one or two</w:t>
      </w:r>
      <w:r w:rsidRPr="0066781F">
        <w:rPr>
          <w:rFonts w:eastAsia="Calibri"/>
          <w:spacing w:val="0"/>
          <w:sz w:val="22"/>
          <w:szCs w:val="22"/>
        </w:rPr>
        <w:t xml:space="preserve"> venue</w:t>
      </w:r>
      <w:r w:rsidR="00FF5530">
        <w:rPr>
          <w:rFonts w:eastAsia="Calibri"/>
          <w:spacing w:val="0"/>
          <w:sz w:val="22"/>
          <w:szCs w:val="22"/>
        </w:rPr>
        <w:t>s</w:t>
      </w:r>
      <w:r w:rsidRPr="0066781F">
        <w:rPr>
          <w:rFonts w:eastAsia="Calibri"/>
          <w:spacing w:val="0"/>
          <w:sz w:val="22"/>
          <w:szCs w:val="22"/>
        </w:rPr>
        <w:t xml:space="preserve"> creates risks that ESMA should avoid, for example:</w:t>
      </w:r>
    </w:p>
    <w:p w:rsidR="003168CF" w:rsidRPr="0066781F" w:rsidRDefault="003168CF" w:rsidP="003168CF">
      <w:pPr>
        <w:pStyle w:val="Body"/>
        <w:spacing w:after="0" w:line="240" w:lineRule="auto"/>
        <w:rPr>
          <w:rFonts w:eastAsia="Calibri"/>
          <w:spacing w:val="0"/>
          <w:sz w:val="22"/>
          <w:szCs w:val="22"/>
        </w:rPr>
      </w:pPr>
    </w:p>
    <w:p w:rsidR="003168CF" w:rsidRPr="0066781F" w:rsidRDefault="003168CF" w:rsidP="003168CF">
      <w:pPr>
        <w:pStyle w:val="Body"/>
        <w:numPr>
          <w:ilvl w:val="0"/>
          <w:numId w:val="38"/>
        </w:numPr>
        <w:spacing w:after="0" w:line="240" w:lineRule="auto"/>
        <w:rPr>
          <w:rFonts w:eastAsia="Calibri"/>
          <w:spacing w:val="0"/>
          <w:sz w:val="22"/>
          <w:szCs w:val="22"/>
        </w:rPr>
      </w:pPr>
      <w:r w:rsidRPr="0066781F">
        <w:rPr>
          <w:rFonts w:eastAsia="Calibri"/>
          <w:spacing w:val="0"/>
          <w:sz w:val="22"/>
          <w:szCs w:val="22"/>
        </w:rPr>
        <w:t>An opportunity for venues to abuse their dominant position and increase trading fees.  These increased costs would be passed onto commercial end users, reducing their abi</w:t>
      </w:r>
      <w:r w:rsidRPr="0066781F">
        <w:rPr>
          <w:rFonts w:eastAsia="Calibri"/>
          <w:spacing w:val="0"/>
          <w:sz w:val="22"/>
          <w:szCs w:val="22"/>
        </w:rPr>
        <w:t>l</w:t>
      </w:r>
      <w:r w:rsidRPr="0066781F">
        <w:rPr>
          <w:rFonts w:eastAsia="Calibri"/>
          <w:spacing w:val="0"/>
          <w:sz w:val="22"/>
          <w:szCs w:val="22"/>
        </w:rPr>
        <w:t xml:space="preserve">ity to hedge real economy risks. This is particularly true where a significant proportion of trading in a class of derivatives </w:t>
      </w:r>
      <w:r w:rsidR="0023232F" w:rsidRPr="0066781F">
        <w:rPr>
          <w:rFonts w:eastAsia="Calibri"/>
          <w:spacing w:val="0"/>
          <w:sz w:val="22"/>
          <w:szCs w:val="22"/>
        </w:rPr>
        <w:t>current</w:t>
      </w:r>
      <w:r w:rsidR="0023232F">
        <w:rPr>
          <w:rFonts w:eastAsia="Calibri"/>
          <w:spacing w:val="0"/>
          <w:sz w:val="22"/>
          <w:szCs w:val="22"/>
        </w:rPr>
        <w:t>ly</w:t>
      </w:r>
      <w:r w:rsidR="0023232F" w:rsidRPr="0066781F">
        <w:rPr>
          <w:rFonts w:eastAsia="Calibri"/>
          <w:spacing w:val="0"/>
          <w:sz w:val="22"/>
          <w:szCs w:val="22"/>
        </w:rPr>
        <w:t xml:space="preserve"> </w:t>
      </w:r>
      <w:r w:rsidRPr="0066781F">
        <w:rPr>
          <w:rFonts w:eastAsia="Calibri"/>
          <w:spacing w:val="0"/>
          <w:sz w:val="22"/>
          <w:szCs w:val="22"/>
        </w:rPr>
        <w:t xml:space="preserve">takes place, albeit voluntarily, on only a single venue as there would no possibility to move trading off venue after a trading obligation was in place. </w:t>
      </w:r>
    </w:p>
    <w:p w:rsidR="003168CF" w:rsidRPr="0066781F" w:rsidRDefault="003168CF" w:rsidP="003168CF">
      <w:pPr>
        <w:pStyle w:val="Body"/>
        <w:spacing w:after="0" w:line="240" w:lineRule="auto"/>
        <w:rPr>
          <w:rFonts w:eastAsia="Calibri"/>
          <w:spacing w:val="0"/>
          <w:sz w:val="22"/>
          <w:szCs w:val="22"/>
        </w:rPr>
      </w:pPr>
    </w:p>
    <w:p w:rsidR="003168CF" w:rsidRPr="0066781F" w:rsidRDefault="003168CF" w:rsidP="003168CF">
      <w:pPr>
        <w:pStyle w:val="ListParagraph"/>
        <w:numPr>
          <w:ilvl w:val="0"/>
          <w:numId w:val="38"/>
        </w:numPr>
        <w:rPr>
          <w:rFonts w:eastAsia="Calibri" w:cs="Arial"/>
          <w:color w:val="000000"/>
          <w:spacing w:val="-2"/>
          <w:sz w:val="22"/>
          <w:szCs w:val="22"/>
          <w:u w:color="000000"/>
          <w:lang w:eastAsia="en-GB"/>
        </w:rPr>
      </w:pPr>
      <w:r w:rsidRPr="0066781F">
        <w:rPr>
          <w:rFonts w:eastAsia="Calibri" w:cs="Arial"/>
          <w:sz w:val="22"/>
          <w:szCs w:val="22"/>
        </w:rPr>
        <w:t>A single dominant venue would limit market participants’ choice of technology and exec</w:t>
      </w:r>
      <w:r w:rsidRPr="0066781F">
        <w:rPr>
          <w:rFonts w:eastAsia="Calibri" w:cs="Arial"/>
          <w:sz w:val="22"/>
          <w:szCs w:val="22"/>
        </w:rPr>
        <w:t>u</w:t>
      </w:r>
      <w:r w:rsidRPr="0066781F">
        <w:rPr>
          <w:rFonts w:eastAsia="Calibri" w:cs="Arial"/>
          <w:sz w:val="22"/>
          <w:szCs w:val="22"/>
        </w:rPr>
        <w:t>tion methodologies.  These should be encouraged to promote</w:t>
      </w:r>
      <w:r w:rsidRPr="0066781F">
        <w:rPr>
          <w:rFonts w:eastAsia="Calibri" w:cs="Arial"/>
          <w:color w:val="000000"/>
          <w:spacing w:val="-2"/>
          <w:sz w:val="22"/>
          <w:szCs w:val="22"/>
          <w:u w:color="000000"/>
          <w:lang w:eastAsia="en-GB"/>
        </w:rPr>
        <w:t xml:space="preserve"> </w:t>
      </w:r>
      <w:r>
        <w:rPr>
          <w:rFonts w:eastAsia="Calibri" w:cs="Arial"/>
          <w:color w:val="000000"/>
          <w:spacing w:val="-2"/>
          <w:sz w:val="22"/>
          <w:szCs w:val="22"/>
          <w:u w:color="000000"/>
          <w:lang w:eastAsia="en-GB"/>
        </w:rPr>
        <w:t>broad</w:t>
      </w:r>
      <w:r w:rsidRPr="0066781F">
        <w:rPr>
          <w:rFonts w:eastAsia="Calibri" w:cs="Arial"/>
          <w:color w:val="000000"/>
          <w:spacing w:val="-2"/>
          <w:sz w:val="22"/>
          <w:szCs w:val="22"/>
          <w:u w:color="000000"/>
          <w:lang w:eastAsia="en-GB"/>
        </w:rPr>
        <w:t xml:space="preserve"> participation and </w:t>
      </w:r>
      <w:r w:rsidRPr="0066781F">
        <w:rPr>
          <w:rFonts w:eastAsia="Calibri" w:cs="Arial"/>
          <w:color w:val="000000"/>
          <w:spacing w:val="-2"/>
          <w:sz w:val="22"/>
          <w:szCs w:val="22"/>
          <w:u w:color="000000"/>
          <w:lang w:eastAsia="en-GB"/>
        </w:rPr>
        <w:lastRenderedPageBreak/>
        <w:t xml:space="preserve">therefore more liquid markets.  Each trading venue supports particular types of execution and offers its members differentiating technology for trading and connectivity.  </w:t>
      </w:r>
    </w:p>
    <w:p w:rsidR="003168CF" w:rsidRPr="0066781F" w:rsidRDefault="003168CF" w:rsidP="003168CF">
      <w:pPr>
        <w:pStyle w:val="Body"/>
        <w:spacing w:after="0" w:line="240" w:lineRule="auto"/>
        <w:rPr>
          <w:rFonts w:eastAsia="Calibri"/>
          <w:spacing w:val="0"/>
          <w:sz w:val="22"/>
          <w:szCs w:val="22"/>
        </w:rPr>
      </w:pPr>
    </w:p>
    <w:p w:rsidR="003168CF" w:rsidRPr="0066781F" w:rsidRDefault="003168CF" w:rsidP="003168CF">
      <w:pPr>
        <w:pStyle w:val="Body"/>
        <w:numPr>
          <w:ilvl w:val="0"/>
          <w:numId w:val="38"/>
        </w:numPr>
        <w:spacing w:after="0" w:line="240" w:lineRule="auto"/>
        <w:rPr>
          <w:rFonts w:eastAsia="Calibri"/>
          <w:spacing w:val="0"/>
          <w:sz w:val="22"/>
          <w:szCs w:val="22"/>
        </w:rPr>
      </w:pPr>
      <w:r w:rsidRPr="0066781F">
        <w:rPr>
          <w:rFonts w:eastAsia="Calibri"/>
          <w:spacing w:val="0"/>
          <w:sz w:val="22"/>
          <w:szCs w:val="22"/>
        </w:rPr>
        <w:t xml:space="preserve">In addition, ESMA, in its analysis, should also be careful when considering venues where a particular class of derivatives is admitted to trading but where little or no actual trading takes place. ESMA would risk calibrating liquidity incorrectly should it consider admitted to trading venue as sufficient criteria. Similarly, ESMA should be mindful that if a class of derivative subject to the </w:t>
      </w:r>
      <w:r w:rsidR="00AF642A">
        <w:rPr>
          <w:rFonts w:eastAsia="Calibri"/>
          <w:spacing w:val="0"/>
          <w:sz w:val="22"/>
          <w:szCs w:val="22"/>
        </w:rPr>
        <w:t>TO</w:t>
      </w:r>
      <w:r w:rsidRPr="0066781F">
        <w:rPr>
          <w:rFonts w:eastAsia="Calibri"/>
          <w:spacing w:val="0"/>
          <w:sz w:val="22"/>
          <w:szCs w:val="22"/>
        </w:rPr>
        <w:t xml:space="preserve"> is de-listed from other trading venues so that it only trades on one or two trading venue(s), then ESMA should review the </w:t>
      </w:r>
      <w:r w:rsidR="00AF642A">
        <w:rPr>
          <w:rFonts w:eastAsia="Calibri"/>
          <w:spacing w:val="0"/>
          <w:sz w:val="22"/>
          <w:szCs w:val="22"/>
        </w:rPr>
        <w:t>TO</w:t>
      </w:r>
      <w:r w:rsidRPr="0066781F">
        <w:rPr>
          <w:rFonts w:eastAsia="Calibri"/>
          <w:spacing w:val="0"/>
          <w:sz w:val="22"/>
          <w:szCs w:val="22"/>
        </w:rPr>
        <w:t xml:space="preserve"> for that class of deriv</w:t>
      </w:r>
      <w:r w:rsidRPr="0066781F">
        <w:rPr>
          <w:rFonts w:eastAsia="Calibri"/>
          <w:spacing w:val="0"/>
          <w:sz w:val="22"/>
          <w:szCs w:val="22"/>
        </w:rPr>
        <w:t>a</w:t>
      </w:r>
      <w:r w:rsidRPr="0066781F">
        <w:rPr>
          <w:rFonts w:eastAsia="Calibri"/>
          <w:spacing w:val="0"/>
          <w:sz w:val="22"/>
          <w:szCs w:val="22"/>
        </w:rPr>
        <w:t>tives.</w:t>
      </w:r>
    </w:p>
    <w:p w:rsidR="003168CF" w:rsidRPr="0066781F" w:rsidRDefault="003168CF" w:rsidP="003168CF">
      <w:pPr>
        <w:pStyle w:val="Body"/>
        <w:spacing w:after="0" w:line="240" w:lineRule="auto"/>
        <w:rPr>
          <w:rFonts w:eastAsia="Calibri"/>
          <w:spacing w:val="0"/>
          <w:sz w:val="22"/>
          <w:szCs w:val="22"/>
        </w:rPr>
      </w:pPr>
    </w:p>
    <w:p w:rsidR="003168CF" w:rsidRDefault="003168CF" w:rsidP="003168CF">
      <w:pPr>
        <w:pStyle w:val="Body"/>
        <w:numPr>
          <w:ilvl w:val="0"/>
          <w:numId w:val="38"/>
        </w:numPr>
        <w:spacing w:after="0" w:line="240" w:lineRule="auto"/>
        <w:rPr>
          <w:rFonts w:eastAsia="Calibri"/>
          <w:spacing w:val="0"/>
          <w:sz w:val="22"/>
          <w:szCs w:val="22"/>
        </w:rPr>
      </w:pPr>
      <w:r w:rsidRPr="0066781F">
        <w:rPr>
          <w:rFonts w:eastAsia="Calibri"/>
          <w:spacing w:val="0"/>
          <w:sz w:val="22"/>
          <w:szCs w:val="22"/>
        </w:rPr>
        <w:t xml:space="preserve">Trading venues would be </w:t>
      </w:r>
      <w:r w:rsidR="00AF642A" w:rsidRPr="0066781F">
        <w:rPr>
          <w:rFonts w:eastAsia="Calibri"/>
          <w:spacing w:val="0"/>
          <w:sz w:val="22"/>
          <w:szCs w:val="22"/>
        </w:rPr>
        <w:t>incentivi</w:t>
      </w:r>
      <w:r w:rsidR="00AF642A">
        <w:rPr>
          <w:rFonts w:eastAsia="Calibri"/>
          <w:spacing w:val="0"/>
          <w:sz w:val="22"/>
          <w:szCs w:val="22"/>
        </w:rPr>
        <w:t>s</w:t>
      </w:r>
      <w:r w:rsidR="00AF642A" w:rsidRPr="0066781F">
        <w:rPr>
          <w:rFonts w:eastAsia="Calibri"/>
          <w:spacing w:val="0"/>
          <w:sz w:val="22"/>
          <w:szCs w:val="22"/>
        </w:rPr>
        <w:t xml:space="preserve">ed </w:t>
      </w:r>
      <w:r w:rsidRPr="0066781F">
        <w:rPr>
          <w:rFonts w:eastAsia="Calibri"/>
          <w:spacing w:val="0"/>
          <w:sz w:val="22"/>
          <w:szCs w:val="22"/>
        </w:rPr>
        <w:t>to list derivative contracts if it means that these d</w:t>
      </w:r>
      <w:r w:rsidRPr="0066781F">
        <w:rPr>
          <w:rFonts w:eastAsia="Calibri"/>
          <w:spacing w:val="0"/>
          <w:sz w:val="22"/>
          <w:szCs w:val="22"/>
        </w:rPr>
        <w:t>e</w:t>
      </w:r>
      <w:r w:rsidRPr="0066781F">
        <w:rPr>
          <w:rFonts w:eastAsia="Calibri"/>
          <w:spacing w:val="0"/>
          <w:sz w:val="22"/>
          <w:szCs w:val="22"/>
        </w:rPr>
        <w:t xml:space="preserve">rivatives would be considered for the TO in order to increase their odds of gaining a share of market liquidity and at the expense of market liquidity as a whole. </w:t>
      </w:r>
    </w:p>
    <w:p w:rsidR="003168CF" w:rsidRDefault="003168CF" w:rsidP="003168CF">
      <w:pPr>
        <w:pStyle w:val="ListParagraph"/>
        <w:rPr>
          <w:rFonts w:eastAsia="Calibri"/>
          <w:sz w:val="22"/>
          <w:szCs w:val="22"/>
        </w:rPr>
      </w:pPr>
    </w:p>
    <w:p w:rsidR="00A8728B" w:rsidRPr="003168CF" w:rsidRDefault="00DE57AD" w:rsidP="003168CF">
      <w:pPr>
        <w:pStyle w:val="Body"/>
        <w:spacing w:after="0" w:line="240" w:lineRule="auto"/>
        <w:rPr>
          <w:rFonts w:eastAsia="Calibri"/>
          <w:spacing w:val="0"/>
          <w:sz w:val="22"/>
          <w:szCs w:val="22"/>
        </w:rPr>
      </w:pPr>
      <w:r>
        <w:rPr>
          <w:rFonts w:eastAsia="Calibri"/>
          <w:spacing w:val="0"/>
          <w:sz w:val="22"/>
          <w:szCs w:val="22"/>
        </w:rPr>
        <w:t>T</w:t>
      </w:r>
      <w:r w:rsidR="003168CF">
        <w:rPr>
          <w:rFonts w:eastAsia="Calibri"/>
          <w:spacing w:val="0"/>
          <w:sz w:val="22"/>
          <w:szCs w:val="22"/>
        </w:rPr>
        <w:t xml:space="preserve">he risks enumerated above are also present when a particular class of derivatives trades only on </w:t>
      </w:r>
      <w:r>
        <w:rPr>
          <w:rFonts w:eastAsia="Calibri"/>
          <w:spacing w:val="0"/>
          <w:sz w:val="22"/>
          <w:szCs w:val="22"/>
        </w:rPr>
        <w:t xml:space="preserve">two </w:t>
      </w:r>
      <w:r w:rsidR="003168CF">
        <w:rPr>
          <w:rFonts w:eastAsia="Calibri"/>
          <w:spacing w:val="0"/>
          <w:sz w:val="22"/>
          <w:szCs w:val="22"/>
        </w:rPr>
        <w:t>venues</w:t>
      </w:r>
      <w:r w:rsidR="00AF642A">
        <w:rPr>
          <w:rFonts w:eastAsia="Calibri"/>
          <w:spacing w:val="0"/>
          <w:sz w:val="22"/>
          <w:szCs w:val="22"/>
        </w:rPr>
        <w:t xml:space="preserve"> and, of course, if one venue stops trading a monopoly position is created</w:t>
      </w:r>
      <w:r w:rsidR="003168CF">
        <w:rPr>
          <w:rFonts w:eastAsia="Calibri"/>
          <w:spacing w:val="0"/>
          <w:sz w:val="22"/>
          <w:szCs w:val="22"/>
        </w:rPr>
        <w:t>. Ther</w:t>
      </w:r>
      <w:r w:rsidR="003168CF">
        <w:rPr>
          <w:rFonts w:eastAsia="Calibri"/>
          <w:spacing w:val="0"/>
          <w:sz w:val="22"/>
          <w:szCs w:val="22"/>
        </w:rPr>
        <w:t>e</w:t>
      </w:r>
      <w:r w:rsidR="003168CF">
        <w:rPr>
          <w:rFonts w:eastAsia="Calibri"/>
          <w:spacing w:val="0"/>
          <w:sz w:val="22"/>
          <w:szCs w:val="22"/>
        </w:rPr>
        <w:t>fore, to mitigate these risks</w:t>
      </w:r>
      <w:r>
        <w:rPr>
          <w:rFonts w:eastAsia="Calibri"/>
          <w:spacing w:val="0"/>
          <w:sz w:val="22"/>
          <w:szCs w:val="22"/>
        </w:rPr>
        <w:t>,</w:t>
      </w:r>
      <w:r w:rsidR="003168CF">
        <w:rPr>
          <w:rFonts w:eastAsia="Calibri"/>
          <w:spacing w:val="0"/>
          <w:sz w:val="22"/>
          <w:szCs w:val="22"/>
        </w:rPr>
        <w:t xml:space="preserve"> ESMA should establish that there should be voluntary trading </w:t>
      </w:r>
      <w:r w:rsidR="00AF642A">
        <w:rPr>
          <w:rFonts w:eastAsia="Calibri"/>
          <w:spacing w:val="0"/>
          <w:sz w:val="22"/>
          <w:szCs w:val="22"/>
        </w:rPr>
        <w:t xml:space="preserve">on at least </w:t>
      </w:r>
      <w:r w:rsidR="003168CF">
        <w:rPr>
          <w:rFonts w:eastAsia="Calibri"/>
          <w:spacing w:val="0"/>
          <w:sz w:val="22"/>
          <w:szCs w:val="22"/>
        </w:rPr>
        <w:t>three unaffiliated trading venues in a particular class of derivatives before it is subject to the TO.</w:t>
      </w:r>
    </w:p>
    <w:permEnd w:id="579948316"/>
    <w:p w:rsidR="003168CF" w:rsidRDefault="003168CF" w:rsidP="00A8728B"/>
    <w:p w:rsidR="00A8728B" w:rsidRDefault="00A8728B" w:rsidP="00A8728B">
      <w:r>
        <w:t>&lt;ESMA_QUESTION</w:t>
      </w:r>
      <w:r w:rsidR="00D920D1">
        <w:t>_MIFID</w:t>
      </w:r>
      <w:r w:rsidR="00AB4824">
        <w:t>_TO_</w:t>
      </w:r>
      <w:r>
        <w:t>6&gt;</w:t>
      </w:r>
    </w:p>
    <w:p w:rsidR="00F32462" w:rsidRDefault="00F32462">
      <w:pPr>
        <w:rPr>
          <w:rFonts w:cs="Arial"/>
          <w:b/>
          <w:sz w:val="22"/>
          <w:szCs w:val="22"/>
          <w:lang w:eastAsia="en-US"/>
        </w:rPr>
      </w:pPr>
    </w:p>
    <w:p w:rsidR="00070630" w:rsidRPr="000E6B5B" w:rsidRDefault="00F016BE" w:rsidP="00F016BE">
      <w:pPr>
        <w:pStyle w:val="CPQuestions"/>
      </w:pPr>
      <w:r w:rsidRPr="00F016BE">
        <w:t xml:space="preserve">What would be in your view the most efficient approach to assess the total number of market makers for a class of derivatives? Where necessary, please distinguish between: </w:t>
      </w:r>
      <w:proofErr w:type="spellStart"/>
      <w:r w:rsidRPr="00F016BE">
        <w:t>i</w:t>
      </w:r>
      <w:proofErr w:type="spellEnd"/>
      <w:r w:rsidRPr="00F016BE">
        <w:t xml:space="preserve">) The phase prior to the application of </w:t>
      </w:r>
      <w:proofErr w:type="spellStart"/>
      <w:r w:rsidRPr="00F016BE">
        <w:t>MiFID</w:t>
      </w:r>
      <w:proofErr w:type="spellEnd"/>
      <w:r w:rsidRPr="00F016BE">
        <w:t xml:space="preserve"> II (i.e. before January 2018); ii) </w:t>
      </w:r>
      <w:proofErr w:type="gramStart"/>
      <w:r w:rsidRPr="00F016BE">
        <w:t>The</w:t>
      </w:r>
      <w:proofErr w:type="gramEnd"/>
      <w:r w:rsidRPr="00F016BE">
        <w:t xml:space="preserve"> phase after the application of </w:t>
      </w:r>
      <w:proofErr w:type="spellStart"/>
      <w:r w:rsidRPr="00F016BE">
        <w:t>MiFID</w:t>
      </w:r>
      <w:proofErr w:type="spellEnd"/>
      <w:r w:rsidRPr="00F016BE">
        <w:t xml:space="preserve"> II (i.e. after January 2018)</w:t>
      </w:r>
      <w:r>
        <w:t>.</w:t>
      </w:r>
    </w:p>
    <w:p w:rsidR="00070630" w:rsidRDefault="00070630" w:rsidP="00070630">
      <w:r>
        <w:t>&lt;ESMA_QUESTION_MIFID</w:t>
      </w:r>
      <w:r w:rsidR="00AB4824">
        <w:t>_TO_</w:t>
      </w:r>
      <w:r>
        <w:t>7&gt;</w:t>
      </w:r>
    </w:p>
    <w:p w:rsidR="00070630" w:rsidRDefault="00070630" w:rsidP="00070630">
      <w:permStart w:id="1594048284" w:edGrp="everyone"/>
      <w:r>
        <w:t>TYPE YOUR TEXT HERE</w:t>
      </w:r>
    </w:p>
    <w:permEnd w:id="1594048284"/>
    <w:p w:rsidR="00070630" w:rsidRDefault="00070630" w:rsidP="00070630">
      <w:r>
        <w:t>&lt;ESMA_QUESTION_MIFID</w:t>
      </w:r>
      <w:r w:rsidR="00AB4824">
        <w:t>_TO_</w:t>
      </w:r>
      <w:r>
        <w:t>7&gt;</w:t>
      </w:r>
    </w:p>
    <w:p w:rsidR="00070630" w:rsidRDefault="00070630">
      <w:pPr>
        <w:rPr>
          <w:rFonts w:cs="Arial"/>
          <w:b/>
          <w:sz w:val="22"/>
          <w:szCs w:val="22"/>
          <w:lang w:eastAsia="en-US"/>
        </w:rPr>
      </w:pPr>
    </w:p>
    <w:p w:rsidR="00EF314C" w:rsidRPr="000E6B5B" w:rsidRDefault="00F016BE" w:rsidP="00F016BE">
      <w:pPr>
        <w:pStyle w:val="CPQuestions"/>
      </w:pPr>
      <w:r w:rsidRPr="00F016BE">
        <w:t>How many market makers and other market participants under a binding written agreement or an obligation to provide liquidity should be in place for a derivative or a class of derivatives to be considered subject to the TO</w:t>
      </w:r>
      <w:r w:rsidR="00EF314C" w:rsidRPr="00070630">
        <w:t>?</w:t>
      </w:r>
    </w:p>
    <w:p w:rsidR="00EF314C" w:rsidRDefault="00EF314C" w:rsidP="00EF314C">
      <w:r>
        <w:t>&lt;ESMA_QUESTION_MIFID_TO_</w:t>
      </w:r>
      <w:r w:rsidR="00273633">
        <w:t>8</w:t>
      </w:r>
      <w:r>
        <w:t>&gt;</w:t>
      </w:r>
    </w:p>
    <w:p w:rsidR="00EF314C" w:rsidRDefault="00EF314C" w:rsidP="00EF314C">
      <w:permStart w:id="1143097176" w:edGrp="everyone"/>
      <w:r>
        <w:t>TYPE YOUR TEXT HERE</w:t>
      </w:r>
    </w:p>
    <w:permEnd w:id="1143097176"/>
    <w:p w:rsidR="00EF314C" w:rsidRDefault="00EF314C" w:rsidP="00EF314C">
      <w:r>
        <w:t>&lt;ESMA_QUESTION_MIFID_TO_</w:t>
      </w:r>
      <w:r w:rsidR="00273633">
        <w:t>8</w:t>
      </w:r>
      <w:r>
        <w:t>&gt;</w:t>
      </w:r>
    </w:p>
    <w:p w:rsidR="00EF314C" w:rsidRDefault="00EF314C" w:rsidP="00EF314C">
      <w:pPr>
        <w:rPr>
          <w:rFonts w:cs="Arial"/>
          <w:b/>
          <w:sz w:val="22"/>
          <w:szCs w:val="22"/>
          <w:lang w:eastAsia="en-US"/>
        </w:rPr>
      </w:pPr>
    </w:p>
    <w:p w:rsidR="00EF314C" w:rsidRPr="000E6B5B" w:rsidRDefault="00F016BE" w:rsidP="00F016BE">
      <w:pPr>
        <w:pStyle w:val="CPQuestions"/>
      </w:pPr>
      <w:r w:rsidRPr="00F016BE">
        <w:t>Do you agree with the proposed approach or do you consider an alternative a</w:t>
      </w:r>
      <w:r w:rsidRPr="00F016BE">
        <w:t>p</w:t>
      </w:r>
      <w:r w:rsidRPr="00F016BE">
        <w:t>proach as more appropriate</w:t>
      </w:r>
      <w:r w:rsidR="00EF314C" w:rsidRPr="00070630">
        <w:t>?</w:t>
      </w:r>
    </w:p>
    <w:p w:rsidR="00EF314C" w:rsidRDefault="00EF314C" w:rsidP="00EF314C">
      <w:r>
        <w:t>&lt;ESMA_QUESTION_MIFID_TO_</w:t>
      </w:r>
      <w:r w:rsidR="00273633">
        <w:t>9</w:t>
      </w:r>
      <w:r>
        <w:t>&gt;</w:t>
      </w:r>
    </w:p>
    <w:p w:rsidR="00EF314C" w:rsidRDefault="00EF314C" w:rsidP="00EF314C">
      <w:permStart w:id="297736046" w:edGrp="everyone"/>
      <w:r>
        <w:t>TYPE YOUR TEXT HERE</w:t>
      </w:r>
    </w:p>
    <w:permEnd w:id="297736046"/>
    <w:p w:rsidR="00EF314C" w:rsidRDefault="00EF314C" w:rsidP="00EF314C">
      <w:r>
        <w:t>&lt;ESMA_QUESTION_MIFID_TO_</w:t>
      </w:r>
      <w:r w:rsidR="00273633">
        <w:t>9</w:t>
      </w:r>
      <w:r>
        <w:t>&gt;</w:t>
      </w:r>
    </w:p>
    <w:p w:rsidR="00EF314C" w:rsidRDefault="00EF314C" w:rsidP="00EF314C">
      <w:pPr>
        <w:rPr>
          <w:rFonts w:cs="Arial"/>
          <w:b/>
          <w:sz w:val="22"/>
          <w:szCs w:val="22"/>
          <w:lang w:eastAsia="en-US"/>
        </w:rPr>
      </w:pPr>
    </w:p>
    <w:p w:rsidR="00EF314C" w:rsidRPr="000E6B5B" w:rsidRDefault="00F016BE" w:rsidP="00F016BE">
      <w:pPr>
        <w:pStyle w:val="CPQuestions"/>
      </w:pPr>
      <w:r w:rsidRPr="00F016BE">
        <w:lastRenderedPageBreak/>
        <w:t>Do you agree that the criterion of average size of spreads, in particular in case of absence of information on spreads, should receive a lower weighting than the ot</w:t>
      </w:r>
      <w:r w:rsidRPr="00F016BE">
        <w:t>h</w:t>
      </w:r>
      <w:r w:rsidRPr="00F016BE">
        <w:t>er liquidity criteria? If not, please specify your reasons</w:t>
      </w:r>
    </w:p>
    <w:p w:rsidR="00EF314C" w:rsidRDefault="00EF314C" w:rsidP="00EF314C">
      <w:r>
        <w:t>&lt;ESMA_QUESTION_MIFID_TO_</w:t>
      </w:r>
      <w:r w:rsidR="00273633">
        <w:t>10</w:t>
      </w:r>
      <w:r>
        <w:t>&gt;</w:t>
      </w:r>
    </w:p>
    <w:p w:rsidR="00EF314C" w:rsidRDefault="00EF314C" w:rsidP="00EF314C">
      <w:permStart w:id="558921883" w:edGrp="everyone"/>
      <w:r>
        <w:t>TYPE YOUR TEXT HERE</w:t>
      </w:r>
    </w:p>
    <w:permEnd w:id="558921883"/>
    <w:p w:rsidR="00EF314C" w:rsidRDefault="00EF314C" w:rsidP="00EF314C">
      <w:r>
        <w:t>&lt;ESMA_QUESTION_MIFID_TO_</w:t>
      </w:r>
      <w:r w:rsidR="00273633">
        <w:t>10</w:t>
      </w:r>
      <w:r>
        <w:t>&gt;</w:t>
      </w:r>
    </w:p>
    <w:p w:rsidR="00EF314C" w:rsidRDefault="00EF314C" w:rsidP="00EF314C">
      <w:pPr>
        <w:rPr>
          <w:rFonts w:cs="Arial"/>
          <w:b/>
          <w:sz w:val="22"/>
          <w:szCs w:val="22"/>
          <w:lang w:eastAsia="en-US"/>
        </w:rPr>
      </w:pPr>
    </w:p>
    <w:p w:rsidR="00EF314C" w:rsidRPr="000E6B5B" w:rsidRDefault="00F016BE" w:rsidP="00F016BE">
      <w:pPr>
        <w:pStyle w:val="CPQuestions"/>
      </w:pPr>
      <w:r w:rsidRPr="00F016BE">
        <w:t>Which sources do you recommend for obtaining information on the average size of spreads by asset class</w:t>
      </w:r>
      <w:r w:rsidR="00EF314C" w:rsidRPr="00070630">
        <w:t>?</w:t>
      </w:r>
    </w:p>
    <w:p w:rsidR="00EF314C" w:rsidRDefault="00EF314C" w:rsidP="00EF314C">
      <w:r>
        <w:t>&lt;ESMA_QUESTION_MIFID_TO_</w:t>
      </w:r>
      <w:r w:rsidR="00273633">
        <w:t>11</w:t>
      </w:r>
      <w:r>
        <w:t>&gt;</w:t>
      </w:r>
    </w:p>
    <w:p w:rsidR="00EF314C" w:rsidRDefault="00EF314C" w:rsidP="00EF314C">
      <w:permStart w:id="488451605" w:edGrp="everyone"/>
      <w:r>
        <w:t>TYPE YOUR TEXT HERE</w:t>
      </w:r>
    </w:p>
    <w:permEnd w:id="488451605"/>
    <w:p w:rsidR="00EF314C" w:rsidRDefault="00EF314C" w:rsidP="00EF314C">
      <w:r>
        <w:t>&lt;ESMA_QUESTION_MIFID_TO_</w:t>
      </w:r>
      <w:r w:rsidR="00273633">
        <w:t>11</w:t>
      </w:r>
      <w:r>
        <w:t>&gt;</w:t>
      </w:r>
    </w:p>
    <w:p w:rsidR="00EF314C" w:rsidRDefault="00EF314C" w:rsidP="00EF314C">
      <w:pPr>
        <w:rPr>
          <w:rFonts w:cs="Arial"/>
          <w:b/>
          <w:sz w:val="22"/>
          <w:szCs w:val="22"/>
          <w:lang w:eastAsia="en-US"/>
        </w:rPr>
      </w:pPr>
    </w:p>
    <w:p w:rsidR="00EF314C" w:rsidRPr="000E6B5B" w:rsidRDefault="00F016BE" w:rsidP="00F016BE">
      <w:pPr>
        <w:pStyle w:val="CPQuestions"/>
      </w:pPr>
      <w:r w:rsidRPr="00F016BE">
        <w:t>What do you consider as an appropriate proxy in case of lack of information on a</w:t>
      </w:r>
      <w:r w:rsidRPr="00F016BE">
        <w:t>c</w:t>
      </w:r>
      <w:r w:rsidRPr="00F016BE">
        <w:t>tual spreads</w:t>
      </w:r>
      <w:r w:rsidR="00EF314C" w:rsidRPr="00070630">
        <w:t>?</w:t>
      </w:r>
    </w:p>
    <w:p w:rsidR="00EF314C" w:rsidRDefault="00EF314C" w:rsidP="00EF314C">
      <w:r>
        <w:t>&lt;ESMA_QUESTION_MIFID_TO_</w:t>
      </w:r>
      <w:r w:rsidR="00273633">
        <w:t>12</w:t>
      </w:r>
      <w:r>
        <w:t>&gt;</w:t>
      </w:r>
    </w:p>
    <w:p w:rsidR="00EF314C" w:rsidRDefault="00EF314C" w:rsidP="00EF314C">
      <w:permStart w:id="353314224" w:edGrp="everyone"/>
      <w:r>
        <w:t>TYPE YOUR TEXT HERE</w:t>
      </w:r>
    </w:p>
    <w:permEnd w:id="353314224"/>
    <w:p w:rsidR="00EF314C" w:rsidRDefault="00EF314C" w:rsidP="00EF314C">
      <w:r>
        <w:t>&lt;ESMA_QUESTION_MIFID_TO_</w:t>
      </w:r>
      <w:r w:rsidR="00273633">
        <w:t>12</w:t>
      </w:r>
      <w:r>
        <w:t>&gt;</w:t>
      </w:r>
    </w:p>
    <w:p w:rsidR="00EF314C" w:rsidRDefault="00EF314C" w:rsidP="00EF314C">
      <w:pPr>
        <w:rPr>
          <w:rFonts w:cs="Arial"/>
          <w:b/>
          <w:sz w:val="22"/>
          <w:szCs w:val="22"/>
          <w:lang w:eastAsia="en-US"/>
        </w:rPr>
      </w:pPr>
    </w:p>
    <w:p w:rsidR="00EF314C" w:rsidRPr="000E6B5B" w:rsidRDefault="00F016BE" w:rsidP="00F016BE">
      <w:pPr>
        <w:pStyle w:val="CPQuestions"/>
      </w:pPr>
      <w:r w:rsidRPr="00F016BE">
        <w:t>Do you agree with the suggested approach? If not, what approach would you re</w:t>
      </w:r>
      <w:r w:rsidRPr="00F016BE">
        <w:t>c</w:t>
      </w:r>
      <w:r w:rsidRPr="00F016BE">
        <w:t>ommend</w:t>
      </w:r>
      <w:r w:rsidR="00EF314C" w:rsidRPr="00070630">
        <w:t>?</w:t>
      </w:r>
    </w:p>
    <w:p w:rsidR="00EF314C" w:rsidRDefault="00EF314C" w:rsidP="00EF314C">
      <w:r>
        <w:t>&lt;ESMA_QUESTION_MIFID_TO_</w:t>
      </w:r>
      <w:r w:rsidR="00273633">
        <w:t>13</w:t>
      </w:r>
      <w:r>
        <w:t>&gt;</w:t>
      </w:r>
    </w:p>
    <w:p w:rsidR="003168CF" w:rsidRDefault="003168CF" w:rsidP="00EF314C"/>
    <w:p w:rsidR="003168CF" w:rsidRPr="0066781F" w:rsidRDefault="003168CF" w:rsidP="003168CF">
      <w:pPr>
        <w:rPr>
          <w:rFonts w:cs="Arial"/>
          <w:sz w:val="22"/>
          <w:szCs w:val="22"/>
        </w:rPr>
      </w:pPr>
      <w:permStart w:id="1260587169" w:edGrp="everyone"/>
      <w:r w:rsidRPr="0066781F">
        <w:rPr>
          <w:rFonts w:cs="Arial"/>
          <w:sz w:val="22"/>
          <w:szCs w:val="22"/>
        </w:rPr>
        <w:t>We agree with ESMA that the analysis of the type and number of market participants, average frequency and average size of transactions can help estimate the impact of the trading obligation on the liquidity of a class of derivatives and the commercial interest of non-financial end users.</w:t>
      </w:r>
    </w:p>
    <w:p w:rsidR="003168CF" w:rsidRPr="0066781F" w:rsidRDefault="003168CF" w:rsidP="003168CF">
      <w:pPr>
        <w:rPr>
          <w:rFonts w:cs="Arial"/>
          <w:sz w:val="22"/>
          <w:szCs w:val="22"/>
        </w:rPr>
      </w:pPr>
    </w:p>
    <w:p w:rsidR="003168CF" w:rsidRPr="0066781F" w:rsidRDefault="003168CF" w:rsidP="003168CF">
      <w:pPr>
        <w:rPr>
          <w:rFonts w:cs="Arial"/>
          <w:sz w:val="22"/>
          <w:szCs w:val="22"/>
        </w:rPr>
      </w:pPr>
      <w:r w:rsidRPr="0066781F">
        <w:rPr>
          <w:rFonts w:cs="Arial"/>
          <w:sz w:val="22"/>
          <w:szCs w:val="22"/>
        </w:rPr>
        <w:t>However, ESMA should specify the frequency with which it would conduct such analysis and also set in advance the framework under which it would consider revoking or amending the trading obligation for a particular class of derivatives. This would create much needed certainty for the non-financial end users and the broader market in general and confidence that unfor</w:t>
      </w:r>
      <w:r w:rsidRPr="0066781F">
        <w:rPr>
          <w:rFonts w:cs="Arial"/>
          <w:sz w:val="22"/>
          <w:szCs w:val="22"/>
        </w:rPr>
        <w:t>e</w:t>
      </w:r>
      <w:r w:rsidRPr="0066781F">
        <w:rPr>
          <w:rFonts w:cs="Arial"/>
          <w:sz w:val="22"/>
          <w:szCs w:val="22"/>
        </w:rPr>
        <w:t>seen negative consequences will be dealt with. Elements of such a framework might include that:</w:t>
      </w:r>
    </w:p>
    <w:p w:rsidR="003168CF" w:rsidRPr="0066781F" w:rsidRDefault="003168CF" w:rsidP="003168CF">
      <w:pPr>
        <w:rPr>
          <w:rFonts w:cs="Arial"/>
          <w:sz w:val="22"/>
          <w:szCs w:val="22"/>
        </w:rPr>
      </w:pPr>
    </w:p>
    <w:p w:rsidR="003168CF" w:rsidRPr="0066781F" w:rsidRDefault="003168CF" w:rsidP="003168CF">
      <w:pPr>
        <w:pStyle w:val="ListParagraph"/>
        <w:numPr>
          <w:ilvl w:val="0"/>
          <w:numId w:val="39"/>
        </w:numPr>
        <w:rPr>
          <w:rFonts w:cs="Arial"/>
          <w:sz w:val="22"/>
          <w:szCs w:val="22"/>
        </w:rPr>
      </w:pPr>
      <w:r w:rsidRPr="0066781F">
        <w:rPr>
          <w:rFonts w:cs="Arial"/>
          <w:sz w:val="22"/>
          <w:szCs w:val="22"/>
        </w:rPr>
        <w:t xml:space="preserve">ESMA should regularly review the attributes that determine the </w:t>
      </w:r>
      <w:r>
        <w:rPr>
          <w:rFonts w:cs="Arial"/>
          <w:sz w:val="22"/>
          <w:szCs w:val="22"/>
        </w:rPr>
        <w:t>TO</w:t>
      </w:r>
      <w:r w:rsidRPr="0066781F">
        <w:rPr>
          <w:rFonts w:cs="Arial"/>
          <w:sz w:val="22"/>
          <w:szCs w:val="22"/>
        </w:rPr>
        <w:t xml:space="preserve"> for each of the class of derivatives.</w:t>
      </w:r>
    </w:p>
    <w:p w:rsidR="003168CF" w:rsidRPr="0066781F" w:rsidRDefault="003168CF" w:rsidP="003168CF">
      <w:pPr>
        <w:pStyle w:val="ListParagraph"/>
        <w:ind w:left="1065"/>
        <w:rPr>
          <w:rFonts w:cs="Arial"/>
          <w:sz w:val="22"/>
          <w:szCs w:val="22"/>
        </w:rPr>
      </w:pPr>
    </w:p>
    <w:p w:rsidR="003168CF" w:rsidRPr="0066781F" w:rsidRDefault="003168CF" w:rsidP="003168CF">
      <w:pPr>
        <w:pStyle w:val="ListParagraph"/>
        <w:numPr>
          <w:ilvl w:val="0"/>
          <w:numId w:val="39"/>
        </w:numPr>
        <w:rPr>
          <w:rFonts w:cs="Arial"/>
          <w:sz w:val="22"/>
          <w:szCs w:val="22"/>
        </w:rPr>
      </w:pPr>
      <w:r w:rsidRPr="0066781F">
        <w:rPr>
          <w:rFonts w:cs="Arial"/>
          <w:sz w:val="22"/>
          <w:szCs w:val="22"/>
        </w:rPr>
        <w:t xml:space="preserve">ESMA should put in place a mechanism that would trigger a review of the </w:t>
      </w:r>
      <w:r>
        <w:rPr>
          <w:rFonts w:cs="Arial"/>
          <w:sz w:val="22"/>
          <w:szCs w:val="22"/>
        </w:rPr>
        <w:t>TO</w:t>
      </w:r>
      <w:r w:rsidRPr="0066781F">
        <w:rPr>
          <w:rFonts w:cs="Arial"/>
          <w:sz w:val="22"/>
          <w:szCs w:val="22"/>
        </w:rPr>
        <w:t xml:space="preserve"> should there be a material change in the conditions that determine the </w:t>
      </w:r>
      <w:r>
        <w:rPr>
          <w:rFonts w:cs="Arial"/>
          <w:sz w:val="22"/>
          <w:szCs w:val="22"/>
        </w:rPr>
        <w:t>TO</w:t>
      </w:r>
      <w:r w:rsidRPr="0066781F">
        <w:rPr>
          <w:rFonts w:cs="Arial"/>
          <w:sz w:val="22"/>
          <w:szCs w:val="22"/>
        </w:rPr>
        <w:t>. At the minimum, such a review should be triggered should any of the thresholds determined by ESMA as part of this consultation, be breached.</w:t>
      </w:r>
    </w:p>
    <w:p w:rsidR="003168CF" w:rsidRPr="0066781F" w:rsidRDefault="003168CF" w:rsidP="003168CF">
      <w:pPr>
        <w:rPr>
          <w:rFonts w:cs="Arial"/>
          <w:sz w:val="22"/>
          <w:szCs w:val="22"/>
        </w:rPr>
      </w:pPr>
    </w:p>
    <w:p w:rsidR="003168CF" w:rsidRPr="0066781F" w:rsidRDefault="003168CF" w:rsidP="003168CF">
      <w:pPr>
        <w:pStyle w:val="ListParagraph"/>
        <w:numPr>
          <w:ilvl w:val="0"/>
          <w:numId w:val="39"/>
        </w:numPr>
        <w:rPr>
          <w:rFonts w:cs="Arial"/>
          <w:sz w:val="22"/>
          <w:szCs w:val="22"/>
        </w:rPr>
      </w:pPr>
      <w:r w:rsidRPr="0066781F">
        <w:rPr>
          <w:rFonts w:cs="Arial"/>
          <w:sz w:val="22"/>
          <w:szCs w:val="22"/>
        </w:rPr>
        <w:t>There should be a mechanism for market participants to communicate evidence that highlights material change in the attribu</w:t>
      </w:r>
      <w:r>
        <w:rPr>
          <w:rFonts w:cs="Arial"/>
          <w:sz w:val="22"/>
          <w:szCs w:val="22"/>
        </w:rPr>
        <w:t>tes that determine the TO</w:t>
      </w:r>
      <w:r w:rsidRPr="0066781F">
        <w:rPr>
          <w:rFonts w:cs="Arial"/>
          <w:sz w:val="22"/>
          <w:szCs w:val="22"/>
        </w:rPr>
        <w:t xml:space="preserve">. </w:t>
      </w:r>
    </w:p>
    <w:p w:rsidR="003168CF" w:rsidRPr="0066781F" w:rsidRDefault="003168CF" w:rsidP="003168CF">
      <w:pPr>
        <w:rPr>
          <w:rFonts w:cs="Arial"/>
          <w:sz w:val="22"/>
          <w:szCs w:val="22"/>
        </w:rPr>
      </w:pPr>
    </w:p>
    <w:p w:rsidR="00EF314C" w:rsidRPr="003168CF" w:rsidRDefault="003168CF" w:rsidP="00EF314C">
      <w:pPr>
        <w:pStyle w:val="ListParagraph"/>
        <w:numPr>
          <w:ilvl w:val="0"/>
          <w:numId w:val="39"/>
        </w:numPr>
        <w:rPr>
          <w:rFonts w:cs="Arial"/>
          <w:sz w:val="22"/>
          <w:szCs w:val="22"/>
        </w:rPr>
      </w:pPr>
      <w:r w:rsidRPr="0066781F">
        <w:rPr>
          <w:rFonts w:cs="Arial"/>
          <w:sz w:val="22"/>
          <w:szCs w:val="22"/>
        </w:rPr>
        <w:lastRenderedPageBreak/>
        <w:t>ESMA should study liquidity during episodes increase of market volatility to ascertain what products remain liquid.</w:t>
      </w:r>
    </w:p>
    <w:permEnd w:id="1260587169"/>
    <w:p w:rsidR="003168CF" w:rsidRDefault="003168CF" w:rsidP="00EF314C"/>
    <w:p w:rsidR="00EF314C" w:rsidRDefault="00EF314C" w:rsidP="00EF314C">
      <w:r>
        <w:t>&lt;ESMA_QUESTION_MIFID_TO_</w:t>
      </w:r>
      <w:r w:rsidR="00273633">
        <w:t>13</w:t>
      </w:r>
      <w:r>
        <w:t>&gt;</w:t>
      </w:r>
    </w:p>
    <w:p w:rsidR="00EF314C" w:rsidRDefault="00EF314C" w:rsidP="00EF314C">
      <w:pPr>
        <w:rPr>
          <w:rFonts w:cs="Arial"/>
          <w:b/>
          <w:sz w:val="22"/>
          <w:szCs w:val="22"/>
          <w:lang w:eastAsia="en-US"/>
        </w:rPr>
      </w:pPr>
    </w:p>
    <w:p w:rsidR="00EF314C" w:rsidRPr="000E6B5B" w:rsidRDefault="00F016BE" w:rsidP="00F016BE">
      <w:pPr>
        <w:pStyle w:val="CPQuestions"/>
      </w:pPr>
      <w:r w:rsidRPr="00F016BE">
        <w:t>Do you agree that trades above the post-trade large in scale threshold should not be subject to the TO? If not, what approach would you suggest? Should transa</w:t>
      </w:r>
      <w:r w:rsidRPr="00F016BE">
        <w:t>c</w:t>
      </w:r>
      <w:r w:rsidRPr="00F016BE">
        <w:t>tions above the post-trade LIS threshold meet further conditions in order to be e</w:t>
      </w:r>
      <w:r w:rsidRPr="00F016BE">
        <w:t>x</w:t>
      </w:r>
      <w:r w:rsidRPr="00F016BE">
        <w:t>empted from the TO</w:t>
      </w:r>
      <w:r w:rsidR="00EF314C" w:rsidRPr="00070630">
        <w:t>?</w:t>
      </w:r>
    </w:p>
    <w:p w:rsidR="00EF314C" w:rsidRDefault="00EF314C" w:rsidP="00EF314C">
      <w:r>
        <w:t>&lt;ESMA_QUESTION_MIFID_TO_</w:t>
      </w:r>
      <w:r w:rsidR="00273633">
        <w:t>14</w:t>
      </w:r>
      <w:r>
        <w:t>&gt;</w:t>
      </w:r>
    </w:p>
    <w:p w:rsidR="00EF314C" w:rsidRDefault="00EF314C" w:rsidP="00EF314C">
      <w:permStart w:id="92487563" w:edGrp="everyone"/>
      <w:r>
        <w:t>TYPE YOUR TEXT HERE</w:t>
      </w:r>
    </w:p>
    <w:permEnd w:id="92487563"/>
    <w:p w:rsidR="00EF314C" w:rsidRDefault="00EF314C" w:rsidP="00EF314C">
      <w:r>
        <w:t>&lt;ESMA_QUESTION_MIFID_TO_</w:t>
      </w:r>
      <w:r w:rsidR="00273633">
        <w:t>14</w:t>
      </w:r>
      <w:r>
        <w:t>&gt;</w:t>
      </w:r>
    </w:p>
    <w:p w:rsidR="00EF314C" w:rsidRDefault="00EF314C" w:rsidP="00EF314C">
      <w:pPr>
        <w:rPr>
          <w:rFonts w:cs="Arial"/>
          <w:b/>
          <w:sz w:val="22"/>
          <w:szCs w:val="22"/>
          <w:lang w:eastAsia="en-US"/>
        </w:rPr>
      </w:pPr>
    </w:p>
    <w:p w:rsidR="00EF314C" w:rsidRPr="000E6B5B" w:rsidRDefault="00F016BE" w:rsidP="00F016BE">
      <w:pPr>
        <w:pStyle w:val="CPQuestions"/>
      </w:pPr>
      <w:r w:rsidRPr="00F016BE">
        <w:t>How highly should ESMA prioritise the alignment of the TO with transparency? What would be the main consequences for the market if some instruments are covered by transparency and not by the TO or vice versa? If the two are not fully aligned, would a broader scope for the TO or for transparency be preferable, and why? In case of a broader or narrower scope for the TO (compared with transpa</w:t>
      </w:r>
      <w:r w:rsidRPr="00F016BE">
        <w:t>r</w:t>
      </w:r>
      <w:r w:rsidRPr="00F016BE">
        <w:t xml:space="preserve">ency), how should the two liquidity </w:t>
      </w:r>
      <w:proofErr w:type="spellStart"/>
      <w:r w:rsidRPr="00F016BE">
        <w:t>tresholds</w:t>
      </w:r>
      <w:proofErr w:type="spellEnd"/>
      <w:r w:rsidRPr="00F016BE">
        <w:t xml:space="preserve"> relate to each other</w:t>
      </w:r>
      <w:r w:rsidR="00EF314C" w:rsidRPr="00070630">
        <w:t>?</w:t>
      </w:r>
    </w:p>
    <w:p w:rsidR="00EF314C" w:rsidRDefault="00EF314C" w:rsidP="00EF314C">
      <w:r>
        <w:t>&lt;ESMA_QUESTION_MIFID_TO_</w:t>
      </w:r>
      <w:r w:rsidR="00273633">
        <w:t>15</w:t>
      </w:r>
      <w:r>
        <w:t>&gt;</w:t>
      </w:r>
    </w:p>
    <w:p w:rsidR="004C7C9D" w:rsidRDefault="004C7C9D" w:rsidP="00EF314C"/>
    <w:p w:rsidR="00EF314C" w:rsidRPr="003168CF" w:rsidRDefault="004C7C9D" w:rsidP="00EF314C">
      <w:pPr>
        <w:rPr>
          <w:rFonts w:cs="Arial"/>
          <w:sz w:val="22"/>
          <w:szCs w:val="22"/>
        </w:rPr>
      </w:pPr>
      <w:permStart w:id="746134430" w:edGrp="everyone"/>
      <w:r>
        <w:rPr>
          <w:rFonts w:cs="Arial"/>
          <w:sz w:val="22"/>
          <w:szCs w:val="22"/>
        </w:rPr>
        <w:t>For the first part of this question please refer to our response to Q1</w:t>
      </w:r>
    </w:p>
    <w:permEnd w:id="746134430"/>
    <w:p w:rsidR="004C7C9D" w:rsidRDefault="004C7C9D" w:rsidP="00EF314C"/>
    <w:p w:rsidR="00EF314C" w:rsidRDefault="00EF314C" w:rsidP="00EF314C">
      <w:r>
        <w:t>&lt;ESMA_QUESTION_MIFID_TO_</w:t>
      </w:r>
      <w:r w:rsidR="00273633">
        <w:t>15</w:t>
      </w:r>
      <w:r>
        <w:t>&gt;</w:t>
      </w:r>
    </w:p>
    <w:p w:rsidR="00EF314C" w:rsidRDefault="00EF314C" w:rsidP="00EF314C">
      <w:pPr>
        <w:rPr>
          <w:rFonts w:cs="Arial"/>
          <w:b/>
          <w:sz w:val="22"/>
          <w:szCs w:val="22"/>
          <w:lang w:eastAsia="en-US"/>
        </w:rPr>
      </w:pPr>
    </w:p>
    <w:p w:rsidR="00EF314C" w:rsidRPr="000E6B5B" w:rsidRDefault="00FF5939" w:rsidP="00FF5939">
      <w:pPr>
        <w:pStyle w:val="CPQuestions"/>
      </w:pPr>
      <w:r w:rsidRPr="00FF5939">
        <w:t>Do you agree with the proposed methodology to eliminate duplicated trades or would you recommend another approach? Do you agree with selecting Option 2</w:t>
      </w:r>
      <w:r w:rsidR="00EF314C" w:rsidRPr="00070630">
        <w:t>?</w:t>
      </w:r>
    </w:p>
    <w:p w:rsidR="00EF314C" w:rsidRDefault="00EF314C" w:rsidP="00EF314C">
      <w:r>
        <w:t>&lt;ESMA_QUESTION_MIFID_TO_</w:t>
      </w:r>
      <w:r w:rsidR="00273633">
        <w:t>16</w:t>
      </w:r>
      <w:r>
        <w:t>&gt;</w:t>
      </w:r>
    </w:p>
    <w:p w:rsidR="003168CF" w:rsidRDefault="003168CF" w:rsidP="00EF314C"/>
    <w:p w:rsidR="003168CF" w:rsidRDefault="003168CF" w:rsidP="003168CF">
      <w:pPr>
        <w:rPr>
          <w:rFonts w:cs="Arial"/>
          <w:sz w:val="22"/>
          <w:szCs w:val="22"/>
        </w:rPr>
      </w:pPr>
      <w:permStart w:id="1379096553" w:edGrp="everyone"/>
      <w:r>
        <w:rPr>
          <w:rFonts w:cs="Arial"/>
          <w:sz w:val="22"/>
          <w:szCs w:val="22"/>
        </w:rPr>
        <w:t>We do not agree with the proposed methodology to eliminate duplicated trades. We believe that Option 3, with some improvements, would be the most efficient way of removing duplicate and non-price forming trades.</w:t>
      </w:r>
    </w:p>
    <w:p w:rsidR="003168CF" w:rsidRDefault="003168CF" w:rsidP="003168CF">
      <w:pPr>
        <w:rPr>
          <w:rFonts w:cs="Arial"/>
          <w:sz w:val="22"/>
          <w:szCs w:val="22"/>
        </w:rPr>
      </w:pPr>
    </w:p>
    <w:p w:rsidR="00EF314C" w:rsidRDefault="003168CF" w:rsidP="003168CF">
      <w:r>
        <w:rPr>
          <w:rFonts w:cs="Arial"/>
          <w:sz w:val="22"/>
          <w:szCs w:val="22"/>
        </w:rPr>
        <w:t>Please see our response to Q.18.</w:t>
      </w:r>
    </w:p>
    <w:permEnd w:id="1379096553"/>
    <w:p w:rsidR="003168CF" w:rsidRDefault="003168CF" w:rsidP="00EF314C"/>
    <w:p w:rsidR="00EF314C" w:rsidRDefault="00EF314C" w:rsidP="00EF314C">
      <w:r>
        <w:t>&lt;ESMA_QUESTION_MIFID_TO_</w:t>
      </w:r>
      <w:r w:rsidR="00273633">
        <w:t>16</w:t>
      </w:r>
      <w:r>
        <w:t>&gt;</w:t>
      </w:r>
    </w:p>
    <w:p w:rsidR="00EF314C" w:rsidRDefault="00EF314C" w:rsidP="00EF314C">
      <w:pPr>
        <w:rPr>
          <w:rFonts w:cs="Arial"/>
          <w:b/>
          <w:sz w:val="22"/>
          <w:szCs w:val="22"/>
          <w:lang w:eastAsia="en-US"/>
        </w:rPr>
      </w:pPr>
    </w:p>
    <w:p w:rsidR="00EF314C" w:rsidRPr="000E6B5B" w:rsidRDefault="00FF5939" w:rsidP="00FF5939">
      <w:pPr>
        <w:pStyle w:val="CPQuestions"/>
      </w:pPr>
      <w:r w:rsidRPr="00FF5939">
        <w:t>Do you agree with the approach taken with regard to calculating tenors</w:t>
      </w:r>
      <w:r w:rsidR="00EF314C" w:rsidRPr="00070630">
        <w:t>?</w:t>
      </w:r>
    </w:p>
    <w:p w:rsidR="00EF314C" w:rsidRDefault="00EF314C" w:rsidP="00EF314C">
      <w:r>
        <w:t>&lt;ESMA_QUESTION_MIFID_TO_</w:t>
      </w:r>
      <w:r w:rsidR="00273633">
        <w:t>1</w:t>
      </w:r>
      <w:r>
        <w:t>7&gt;</w:t>
      </w:r>
    </w:p>
    <w:p w:rsidR="00EF314C" w:rsidRDefault="00EF314C" w:rsidP="00EF314C">
      <w:permStart w:id="1381778565" w:edGrp="everyone"/>
      <w:r>
        <w:t>TYPE YOUR TEXT HERE</w:t>
      </w:r>
    </w:p>
    <w:permEnd w:id="1381778565"/>
    <w:p w:rsidR="00EF314C" w:rsidRDefault="00EF314C" w:rsidP="00EF314C">
      <w:r>
        <w:t>&lt;ESMA_QUESTION_MIFID_TO_</w:t>
      </w:r>
      <w:r w:rsidR="00273633">
        <w:t>1</w:t>
      </w:r>
      <w:r>
        <w:t>7&gt;</w:t>
      </w:r>
    </w:p>
    <w:p w:rsidR="00EF314C" w:rsidRDefault="00EF314C" w:rsidP="00EF314C">
      <w:pPr>
        <w:rPr>
          <w:rFonts w:cs="Arial"/>
          <w:b/>
          <w:sz w:val="22"/>
          <w:szCs w:val="22"/>
          <w:lang w:eastAsia="en-US"/>
        </w:rPr>
      </w:pPr>
    </w:p>
    <w:p w:rsidR="00EF314C" w:rsidRPr="000E6B5B" w:rsidRDefault="00FF5939" w:rsidP="00FF5939">
      <w:pPr>
        <w:pStyle w:val="CPQuestions"/>
      </w:pPr>
      <w:r w:rsidRPr="00FF5939">
        <w:lastRenderedPageBreak/>
        <w:t>Do you agree with the reasons mentioned above or is there another explanation for the significant number of trades outside of benchmark dates</w:t>
      </w:r>
      <w:r w:rsidR="00EF314C" w:rsidRPr="00070630">
        <w:t>?</w:t>
      </w:r>
    </w:p>
    <w:p w:rsidR="00EF314C" w:rsidRDefault="00EF314C" w:rsidP="00EF314C">
      <w:r>
        <w:t>&lt;ESMA_QUESTION_MIFID_TO_</w:t>
      </w:r>
      <w:r w:rsidR="00273633">
        <w:t>18</w:t>
      </w:r>
      <w:r>
        <w:t>&gt;</w:t>
      </w:r>
    </w:p>
    <w:p w:rsidR="003168CF" w:rsidRDefault="003168CF" w:rsidP="00EF314C"/>
    <w:p w:rsidR="003168CF" w:rsidRPr="0066781F" w:rsidRDefault="00260D86" w:rsidP="003168CF">
      <w:pPr>
        <w:pStyle w:val="Body"/>
        <w:rPr>
          <w:rFonts w:eastAsia="Calibri"/>
          <w:spacing w:val="0"/>
          <w:sz w:val="22"/>
          <w:szCs w:val="22"/>
        </w:rPr>
      </w:pPr>
      <w:permStart w:id="1739154230" w:edGrp="everyone"/>
      <w:r>
        <w:rPr>
          <w:rFonts w:eastAsia="Calibri"/>
          <w:spacing w:val="0"/>
          <w:sz w:val="22"/>
          <w:szCs w:val="22"/>
        </w:rPr>
        <w:t>As stated in our answer to Q16, w</w:t>
      </w:r>
      <w:r w:rsidR="003168CF" w:rsidRPr="0066781F">
        <w:rPr>
          <w:rFonts w:eastAsia="Calibri"/>
          <w:spacing w:val="0"/>
          <w:sz w:val="22"/>
          <w:szCs w:val="22"/>
        </w:rPr>
        <w:t xml:space="preserve">e believe that Option 3, with some improvements, would be the most efficient way of removing duplicate and non-price forming trades. ESMA has stated that it </w:t>
      </w:r>
      <w:r>
        <w:rPr>
          <w:rFonts w:eastAsia="Calibri"/>
          <w:spacing w:val="0"/>
          <w:sz w:val="22"/>
          <w:szCs w:val="22"/>
        </w:rPr>
        <w:t>prefers</w:t>
      </w:r>
      <w:r w:rsidRPr="0066781F">
        <w:rPr>
          <w:rFonts w:eastAsia="Calibri"/>
          <w:spacing w:val="0"/>
          <w:sz w:val="22"/>
          <w:szCs w:val="22"/>
        </w:rPr>
        <w:t xml:space="preserve"> </w:t>
      </w:r>
      <w:r w:rsidR="003168CF" w:rsidRPr="0066781F">
        <w:rPr>
          <w:rFonts w:eastAsia="Calibri"/>
          <w:spacing w:val="0"/>
          <w:sz w:val="22"/>
          <w:szCs w:val="22"/>
        </w:rPr>
        <w:t>Option 2 “because it removes a number of records that is in between Option 1 and Option 3”</w:t>
      </w:r>
      <w:r>
        <w:rPr>
          <w:rFonts w:eastAsia="Calibri"/>
          <w:spacing w:val="0"/>
          <w:sz w:val="22"/>
          <w:szCs w:val="22"/>
        </w:rPr>
        <w:t xml:space="preserve"> and as </w:t>
      </w:r>
      <w:r w:rsidR="003168CF" w:rsidRPr="0066781F">
        <w:rPr>
          <w:rFonts w:eastAsia="Calibri"/>
          <w:spacing w:val="0"/>
          <w:sz w:val="22"/>
          <w:szCs w:val="22"/>
        </w:rPr>
        <w:t>“contrary to Option 3 it is not based on solely one field but takes into account a combination of fields</w:t>
      </w:r>
      <w:r w:rsidR="003168CF" w:rsidRPr="0066781F">
        <w:rPr>
          <w:rFonts w:eastAsia="Arial Unicode MS"/>
          <w:sz w:val="22"/>
          <w:szCs w:val="22"/>
        </w:rPr>
        <w:t>”.</w:t>
      </w:r>
      <w:r w:rsidR="003168CF" w:rsidRPr="0066781F">
        <w:rPr>
          <w:sz w:val="22"/>
          <w:szCs w:val="22"/>
          <w:vertAlign w:val="superscript"/>
        </w:rPr>
        <w:footnoteReference w:id="16"/>
      </w:r>
      <w:r w:rsidR="003168CF" w:rsidRPr="0066781F">
        <w:rPr>
          <w:rFonts w:eastAsia="Arial Unicode MS"/>
          <w:sz w:val="22"/>
          <w:szCs w:val="22"/>
        </w:rPr>
        <w:t xml:space="preserve"> </w:t>
      </w:r>
      <w:r>
        <w:rPr>
          <w:rFonts w:eastAsia="Arial Unicode MS"/>
          <w:sz w:val="22"/>
          <w:szCs w:val="22"/>
        </w:rPr>
        <w:t xml:space="preserve">However, </w:t>
      </w:r>
      <w:r>
        <w:rPr>
          <w:rFonts w:eastAsia="Calibri"/>
          <w:spacing w:val="0"/>
          <w:sz w:val="22"/>
          <w:szCs w:val="22"/>
        </w:rPr>
        <w:t>w</w:t>
      </w:r>
      <w:r w:rsidR="003168CF" w:rsidRPr="0066781F">
        <w:rPr>
          <w:rFonts w:eastAsia="Calibri"/>
          <w:spacing w:val="0"/>
          <w:sz w:val="22"/>
          <w:szCs w:val="22"/>
        </w:rPr>
        <w:t xml:space="preserve">e believe ESMA should base its methodology on soundness of methodology and not simply </w:t>
      </w:r>
      <w:r>
        <w:rPr>
          <w:rFonts w:eastAsia="Calibri"/>
          <w:spacing w:val="0"/>
          <w:sz w:val="22"/>
          <w:szCs w:val="22"/>
        </w:rPr>
        <w:t xml:space="preserve">on </w:t>
      </w:r>
      <w:r w:rsidR="003168CF" w:rsidRPr="0066781F">
        <w:rPr>
          <w:rFonts w:eastAsia="Calibri"/>
          <w:spacing w:val="0"/>
          <w:sz w:val="22"/>
          <w:szCs w:val="22"/>
        </w:rPr>
        <w:t xml:space="preserve">the number of actual trades removed. </w:t>
      </w:r>
      <w:r>
        <w:rPr>
          <w:rFonts w:eastAsia="Calibri"/>
          <w:spacing w:val="0"/>
          <w:sz w:val="22"/>
          <w:szCs w:val="22"/>
        </w:rPr>
        <w:t xml:space="preserve">Of </w:t>
      </w:r>
      <w:r w:rsidR="003168CF" w:rsidRPr="0066781F">
        <w:rPr>
          <w:rFonts w:eastAsia="Calibri"/>
          <w:spacing w:val="0"/>
          <w:sz w:val="22"/>
          <w:szCs w:val="22"/>
        </w:rPr>
        <w:t>the three options considered by ESMA</w:t>
      </w:r>
      <w:r w:rsidR="00D51F04">
        <w:rPr>
          <w:rFonts w:eastAsia="Calibri"/>
          <w:spacing w:val="0"/>
          <w:sz w:val="22"/>
          <w:szCs w:val="22"/>
        </w:rPr>
        <w:t>,</w:t>
      </w:r>
      <w:r w:rsidR="003168CF" w:rsidRPr="0066781F">
        <w:rPr>
          <w:rFonts w:eastAsia="Calibri"/>
          <w:spacing w:val="0"/>
          <w:sz w:val="22"/>
          <w:szCs w:val="22"/>
        </w:rPr>
        <w:t xml:space="preserve"> we believe that Option 3, with some improv</w:t>
      </w:r>
      <w:r w:rsidR="003168CF" w:rsidRPr="0066781F">
        <w:rPr>
          <w:rFonts w:eastAsia="Calibri"/>
          <w:spacing w:val="0"/>
          <w:sz w:val="22"/>
          <w:szCs w:val="22"/>
        </w:rPr>
        <w:t>e</w:t>
      </w:r>
      <w:r w:rsidR="003168CF" w:rsidRPr="0066781F">
        <w:rPr>
          <w:rFonts w:eastAsia="Calibri"/>
          <w:spacing w:val="0"/>
          <w:sz w:val="22"/>
          <w:szCs w:val="22"/>
        </w:rPr>
        <w:t>ments, would be the most efficient way of removing duplicate and non-price forming trades.</w:t>
      </w:r>
      <w:r w:rsidR="003168CF" w:rsidRPr="0066781F">
        <w:rPr>
          <w:rFonts w:eastAsia="Arial Unicode MS"/>
          <w:sz w:val="22"/>
          <w:szCs w:val="22"/>
        </w:rPr>
        <w:t xml:space="preserve"> </w:t>
      </w:r>
    </w:p>
    <w:p w:rsidR="00EF314C" w:rsidRPr="003168CF" w:rsidRDefault="00F522AA" w:rsidP="00F522AA">
      <w:pPr>
        <w:pStyle w:val="Body"/>
        <w:rPr>
          <w:rFonts w:eastAsia="Arial Unicode MS"/>
          <w:sz w:val="22"/>
          <w:szCs w:val="22"/>
        </w:rPr>
      </w:pPr>
      <w:r>
        <w:rPr>
          <w:rFonts w:eastAsia="Calibri"/>
          <w:spacing w:val="0"/>
          <w:sz w:val="22"/>
          <w:szCs w:val="22"/>
        </w:rPr>
        <w:t xml:space="preserve">If Option 3 was adopted but with </w:t>
      </w:r>
      <w:r w:rsidRPr="0066781F">
        <w:rPr>
          <w:rFonts w:eastAsia="Calibri"/>
          <w:spacing w:val="0"/>
          <w:sz w:val="22"/>
          <w:szCs w:val="22"/>
        </w:rPr>
        <w:t xml:space="preserve">non-price forming trades </w:t>
      </w:r>
      <w:r>
        <w:rPr>
          <w:rFonts w:eastAsia="Calibri"/>
          <w:spacing w:val="0"/>
          <w:sz w:val="22"/>
          <w:szCs w:val="22"/>
        </w:rPr>
        <w:t xml:space="preserve">removed </w:t>
      </w:r>
      <w:r w:rsidRPr="0066781F">
        <w:rPr>
          <w:rFonts w:eastAsia="Calibri"/>
          <w:spacing w:val="0"/>
          <w:sz w:val="22"/>
          <w:szCs w:val="22"/>
        </w:rPr>
        <w:t>from the population of orig</w:t>
      </w:r>
      <w:r w:rsidRPr="0066781F">
        <w:rPr>
          <w:rFonts w:eastAsia="Calibri"/>
          <w:spacing w:val="0"/>
          <w:sz w:val="22"/>
          <w:szCs w:val="22"/>
        </w:rPr>
        <w:t>i</w:t>
      </w:r>
      <w:r w:rsidRPr="0066781F">
        <w:rPr>
          <w:rFonts w:eastAsia="Calibri"/>
          <w:spacing w:val="0"/>
          <w:sz w:val="22"/>
          <w:szCs w:val="22"/>
        </w:rPr>
        <w:t>nal bilateral transactions</w:t>
      </w:r>
      <w:r>
        <w:rPr>
          <w:rFonts w:eastAsia="Calibri"/>
          <w:spacing w:val="0"/>
          <w:sz w:val="22"/>
          <w:szCs w:val="22"/>
        </w:rPr>
        <w:t xml:space="preserve"> it would be the superior option. This would happen if </w:t>
      </w:r>
      <w:r w:rsidRPr="0066781F">
        <w:rPr>
          <w:rFonts w:eastAsia="Calibri"/>
          <w:spacing w:val="0"/>
          <w:sz w:val="22"/>
          <w:szCs w:val="22"/>
        </w:rPr>
        <w:t>all trades that have resulted from a trade compression cycle, all allocation trades in favour of the block</w:t>
      </w:r>
      <w:r>
        <w:rPr>
          <w:rFonts w:eastAsia="Calibri"/>
          <w:spacing w:val="0"/>
          <w:sz w:val="22"/>
          <w:szCs w:val="22"/>
        </w:rPr>
        <w:t xml:space="preserve"> trade</w:t>
      </w:r>
      <w:r w:rsidRPr="0066781F">
        <w:rPr>
          <w:rFonts w:eastAsia="Calibri"/>
          <w:spacing w:val="0"/>
          <w:sz w:val="22"/>
          <w:szCs w:val="22"/>
        </w:rPr>
        <w:t xml:space="preserve"> </w:t>
      </w:r>
      <w:r>
        <w:rPr>
          <w:rFonts w:eastAsia="Calibri"/>
          <w:spacing w:val="0"/>
          <w:sz w:val="22"/>
          <w:szCs w:val="22"/>
        </w:rPr>
        <w:t xml:space="preserve">(also known as bunched order / pre-allocation) </w:t>
      </w:r>
      <w:r w:rsidRPr="0066781F">
        <w:rPr>
          <w:rFonts w:eastAsia="Calibri"/>
          <w:spacing w:val="0"/>
          <w:sz w:val="22"/>
          <w:szCs w:val="22"/>
        </w:rPr>
        <w:t>and all non-standard trades due to customized fields</w:t>
      </w:r>
      <w:r>
        <w:rPr>
          <w:rFonts w:eastAsia="Calibri"/>
          <w:spacing w:val="0"/>
          <w:sz w:val="22"/>
          <w:szCs w:val="22"/>
        </w:rPr>
        <w:t xml:space="preserve"> were removed</w:t>
      </w:r>
      <w:r w:rsidRPr="0066781F">
        <w:rPr>
          <w:rFonts w:eastAsia="Arial Unicode MS"/>
          <w:sz w:val="22"/>
          <w:szCs w:val="22"/>
        </w:rPr>
        <w:t>.</w:t>
      </w:r>
      <w:r w:rsidRPr="0066781F">
        <w:rPr>
          <w:rStyle w:val="FootnoteReference"/>
          <w:rFonts w:eastAsia="Arial Unicode MS"/>
          <w:sz w:val="22"/>
          <w:szCs w:val="22"/>
        </w:rPr>
        <w:footnoteReference w:id="17"/>
      </w:r>
      <w:r>
        <w:rPr>
          <w:rFonts w:eastAsia="Arial Unicode MS"/>
          <w:sz w:val="22"/>
          <w:szCs w:val="22"/>
        </w:rPr>
        <w:t xml:space="preserve"> ESMA should also note that, according to EMIR technical standards, </w:t>
      </w:r>
      <w:r>
        <w:rPr>
          <w:rFonts w:eastAsia="Calibri"/>
          <w:spacing w:val="0"/>
          <w:sz w:val="22"/>
          <w:szCs w:val="22"/>
        </w:rPr>
        <w:t xml:space="preserve">firms are </w:t>
      </w:r>
      <w:r w:rsidR="003168CF" w:rsidRPr="0066781F">
        <w:rPr>
          <w:rFonts w:eastAsia="Calibri"/>
          <w:spacing w:val="0"/>
          <w:sz w:val="22"/>
          <w:szCs w:val="22"/>
        </w:rPr>
        <w:t>require</w:t>
      </w:r>
      <w:r w:rsidR="00D51F04">
        <w:rPr>
          <w:rFonts w:eastAsia="Calibri"/>
          <w:spacing w:val="0"/>
          <w:sz w:val="22"/>
          <w:szCs w:val="22"/>
        </w:rPr>
        <w:t>d</w:t>
      </w:r>
      <w:r w:rsidR="003168CF" w:rsidRPr="0066781F">
        <w:rPr>
          <w:rFonts w:eastAsia="Calibri"/>
          <w:spacing w:val="0"/>
          <w:sz w:val="22"/>
          <w:szCs w:val="22"/>
        </w:rPr>
        <w:t xml:space="preserve"> to report </w:t>
      </w:r>
      <w:r>
        <w:rPr>
          <w:rFonts w:eastAsia="Calibri"/>
          <w:spacing w:val="0"/>
          <w:sz w:val="22"/>
          <w:szCs w:val="22"/>
        </w:rPr>
        <w:t xml:space="preserve">the </w:t>
      </w:r>
      <w:r w:rsidR="003168CF" w:rsidRPr="0066781F">
        <w:rPr>
          <w:rFonts w:eastAsia="Calibri"/>
          <w:spacing w:val="0"/>
          <w:sz w:val="22"/>
          <w:szCs w:val="22"/>
        </w:rPr>
        <w:t>original bilateral transaction before the cleared trade .</w:t>
      </w:r>
      <w:r>
        <w:rPr>
          <w:rFonts w:eastAsia="Calibri"/>
          <w:spacing w:val="0"/>
          <w:sz w:val="22"/>
          <w:szCs w:val="22"/>
        </w:rPr>
        <w:t>Therefore remo</w:t>
      </w:r>
      <w:r>
        <w:rPr>
          <w:rFonts w:eastAsia="Calibri"/>
          <w:spacing w:val="0"/>
          <w:sz w:val="22"/>
          <w:szCs w:val="22"/>
        </w:rPr>
        <w:t>v</w:t>
      </w:r>
      <w:r>
        <w:rPr>
          <w:rFonts w:eastAsia="Calibri"/>
          <w:spacing w:val="0"/>
          <w:sz w:val="22"/>
          <w:szCs w:val="22"/>
        </w:rPr>
        <w:t>ing</w:t>
      </w:r>
      <w:r w:rsidR="00D51F04">
        <w:rPr>
          <w:rFonts w:eastAsia="Calibri"/>
          <w:spacing w:val="0"/>
          <w:sz w:val="22"/>
          <w:szCs w:val="22"/>
        </w:rPr>
        <w:t xml:space="preserve"> all cleared trades u</w:t>
      </w:r>
      <w:r w:rsidR="003168CF" w:rsidRPr="0066781F">
        <w:rPr>
          <w:rFonts w:eastAsia="Calibri"/>
          <w:spacing w:val="0"/>
          <w:sz w:val="22"/>
          <w:szCs w:val="22"/>
        </w:rPr>
        <w:t xml:space="preserve">nder Option 3 </w:t>
      </w:r>
      <w:r>
        <w:rPr>
          <w:rFonts w:eastAsia="Calibri"/>
          <w:spacing w:val="0"/>
          <w:sz w:val="22"/>
          <w:szCs w:val="22"/>
        </w:rPr>
        <w:t xml:space="preserve">would </w:t>
      </w:r>
      <w:r w:rsidR="003168CF" w:rsidRPr="0066781F">
        <w:rPr>
          <w:rFonts w:eastAsia="Calibri"/>
          <w:spacing w:val="0"/>
          <w:sz w:val="22"/>
          <w:szCs w:val="22"/>
        </w:rPr>
        <w:t>remove the unnecessary dupl</w:t>
      </w:r>
      <w:r w:rsidR="003168CF" w:rsidRPr="0066781F">
        <w:rPr>
          <w:rFonts w:eastAsia="Calibri"/>
          <w:spacing w:val="0"/>
          <w:sz w:val="22"/>
          <w:szCs w:val="22"/>
        </w:rPr>
        <w:t>i</w:t>
      </w:r>
      <w:r w:rsidR="003168CF" w:rsidRPr="0066781F">
        <w:rPr>
          <w:rFonts w:eastAsia="Calibri"/>
          <w:spacing w:val="0"/>
          <w:sz w:val="22"/>
          <w:szCs w:val="22"/>
        </w:rPr>
        <w:t>cated trades</w:t>
      </w:r>
      <w:r w:rsidR="00D51F04">
        <w:rPr>
          <w:rFonts w:eastAsia="Calibri"/>
          <w:spacing w:val="0"/>
          <w:sz w:val="22"/>
          <w:szCs w:val="22"/>
        </w:rPr>
        <w:t>.</w:t>
      </w:r>
    </w:p>
    <w:permEnd w:id="1739154230"/>
    <w:p w:rsidR="00EF314C" w:rsidRDefault="00EF314C" w:rsidP="00EF314C">
      <w:r>
        <w:t>&lt;ESMA_QUESTION_MIFID_TO_</w:t>
      </w:r>
      <w:r w:rsidR="00273633">
        <w:t>18</w:t>
      </w:r>
      <w:r>
        <w:t>&gt;</w:t>
      </w:r>
    </w:p>
    <w:p w:rsidR="00EF314C" w:rsidRDefault="00EF314C" w:rsidP="00EF314C">
      <w:pPr>
        <w:rPr>
          <w:rFonts w:cs="Arial"/>
          <w:b/>
          <w:sz w:val="22"/>
          <w:szCs w:val="22"/>
          <w:lang w:eastAsia="en-US"/>
        </w:rPr>
      </w:pPr>
    </w:p>
    <w:p w:rsidR="00EF314C" w:rsidRPr="000E6B5B" w:rsidRDefault="00FF5939" w:rsidP="00FF5939">
      <w:pPr>
        <w:pStyle w:val="CPQuestions"/>
      </w:pPr>
      <w:r w:rsidRPr="00FF5939">
        <w:t>Does this result reflect your assessment of liquidity in fixed-float IRS? If not, please explain on which subclasses you disagree and why</w:t>
      </w:r>
      <w:r>
        <w:t>.</w:t>
      </w:r>
    </w:p>
    <w:p w:rsidR="00EF314C" w:rsidRDefault="00EF314C" w:rsidP="00EF314C">
      <w:r>
        <w:t>&lt;ESMA_QUESTION_MIFID_TO_</w:t>
      </w:r>
      <w:r w:rsidR="00273633">
        <w:t>19</w:t>
      </w:r>
      <w:r>
        <w:t>&gt;</w:t>
      </w:r>
    </w:p>
    <w:p w:rsidR="003168CF" w:rsidRDefault="003168CF" w:rsidP="00EF314C"/>
    <w:p w:rsidR="003168CF" w:rsidRPr="0066781F" w:rsidRDefault="003168CF" w:rsidP="003168CF">
      <w:pPr>
        <w:pStyle w:val="Body"/>
        <w:spacing w:after="0" w:line="240" w:lineRule="auto"/>
        <w:rPr>
          <w:rFonts w:eastAsia="Calibri"/>
          <w:spacing w:val="0"/>
          <w:sz w:val="22"/>
          <w:szCs w:val="22"/>
        </w:rPr>
      </w:pPr>
      <w:permStart w:id="2101872122" w:edGrp="everyone"/>
      <w:r w:rsidRPr="0066781F">
        <w:rPr>
          <w:rFonts w:eastAsia="Calibri"/>
          <w:spacing w:val="0"/>
          <w:sz w:val="22"/>
          <w:szCs w:val="22"/>
        </w:rPr>
        <w:t>We would like to bring ESMA’s attention to some elements of the data considered by ESMA where it establishes the products to be subject to the trading obligation:</w:t>
      </w:r>
      <w:r w:rsidRPr="0066781F">
        <w:rPr>
          <w:rStyle w:val="FootnoteReference"/>
          <w:rFonts w:eastAsia="Calibri"/>
          <w:spacing w:val="0"/>
          <w:sz w:val="22"/>
          <w:szCs w:val="22"/>
        </w:rPr>
        <w:footnoteReference w:id="18"/>
      </w:r>
    </w:p>
    <w:p w:rsidR="003168CF" w:rsidRPr="0066781F" w:rsidRDefault="003168CF" w:rsidP="003168CF">
      <w:pPr>
        <w:pStyle w:val="Body"/>
        <w:spacing w:after="0" w:line="240" w:lineRule="auto"/>
        <w:rPr>
          <w:rFonts w:eastAsia="Calibri"/>
          <w:spacing w:val="0"/>
          <w:sz w:val="22"/>
          <w:szCs w:val="22"/>
        </w:rPr>
      </w:pPr>
    </w:p>
    <w:p w:rsidR="003168CF" w:rsidRPr="0066781F" w:rsidRDefault="003168CF" w:rsidP="003168CF">
      <w:pPr>
        <w:pBdr>
          <w:top w:val="nil"/>
          <w:left w:val="nil"/>
          <w:bottom w:val="nil"/>
          <w:right w:val="nil"/>
          <w:between w:val="nil"/>
          <w:bar w:val="nil"/>
        </w:pBdr>
        <w:rPr>
          <w:rFonts w:eastAsia="Calibri" w:cs="Arial"/>
          <w:sz w:val="22"/>
          <w:szCs w:val="22"/>
        </w:rPr>
      </w:pPr>
      <w:r w:rsidRPr="0066781F">
        <w:rPr>
          <w:rFonts w:eastAsia="Calibri" w:cs="Arial"/>
          <w:b/>
          <w:bCs/>
          <w:sz w:val="22"/>
          <w:szCs w:val="22"/>
        </w:rPr>
        <w:t xml:space="preserve">1. Days traded.  </w:t>
      </w:r>
      <w:r w:rsidRPr="0066781F">
        <w:rPr>
          <w:rFonts w:eastAsia="Calibri" w:cs="Arial"/>
          <w:sz w:val="22"/>
          <w:szCs w:val="22"/>
        </w:rPr>
        <w:t>In its analysis ESMA considered a 6 month period from 1</w:t>
      </w:r>
      <w:r w:rsidRPr="0066781F">
        <w:rPr>
          <w:rFonts w:eastAsia="Calibri" w:cs="Arial"/>
          <w:sz w:val="22"/>
          <w:szCs w:val="22"/>
          <w:vertAlign w:val="superscript"/>
        </w:rPr>
        <w:t>st</w:t>
      </w:r>
      <w:r w:rsidRPr="0066781F">
        <w:rPr>
          <w:rFonts w:eastAsia="Calibri" w:cs="Arial"/>
          <w:sz w:val="22"/>
          <w:szCs w:val="22"/>
        </w:rPr>
        <w:t xml:space="preserve"> July 2015 to 31</w:t>
      </w:r>
      <w:r w:rsidRPr="0066781F">
        <w:rPr>
          <w:rFonts w:eastAsia="Calibri" w:cs="Arial"/>
          <w:sz w:val="22"/>
          <w:szCs w:val="22"/>
          <w:vertAlign w:val="superscript"/>
        </w:rPr>
        <w:t>st</w:t>
      </w:r>
      <w:r w:rsidRPr="0066781F">
        <w:rPr>
          <w:rFonts w:eastAsia="Calibri" w:cs="Arial"/>
          <w:sz w:val="22"/>
          <w:szCs w:val="22"/>
        </w:rPr>
        <w:t xml:space="preserve"> December 2015 and established the minimum number of days traded as 80% of the total nu</w:t>
      </w:r>
      <w:r w:rsidRPr="0066781F">
        <w:rPr>
          <w:rFonts w:eastAsia="Calibri" w:cs="Arial"/>
          <w:sz w:val="22"/>
          <w:szCs w:val="22"/>
        </w:rPr>
        <w:t>m</w:t>
      </w:r>
      <w:r w:rsidRPr="0066781F">
        <w:rPr>
          <w:rFonts w:eastAsia="Calibri" w:cs="Arial"/>
          <w:sz w:val="22"/>
          <w:szCs w:val="22"/>
        </w:rPr>
        <w:t>ber of traded days (104 days). This implies a total number of trading days at 130</w:t>
      </w:r>
      <w:r w:rsidRPr="0066781F">
        <w:rPr>
          <w:rFonts w:eastAsia="Calibri" w:cs="Arial"/>
          <w:sz w:val="22"/>
          <w:szCs w:val="22"/>
          <w:vertAlign w:val="superscript"/>
        </w:rPr>
        <w:footnoteReference w:id="19"/>
      </w:r>
      <w:r w:rsidRPr="0066781F">
        <w:rPr>
          <w:rFonts w:eastAsia="Calibri" w:cs="Arial"/>
          <w:sz w:val="22"/>
          <w:szCs w:val="22"/>
        </w:rPr>
        <w:t>.  In the data analysis, of the 30 tenor points considered in ESMA’s analysis across currencies, 20 tenor points are shown to be traded for more than 130 days. While we acknowledge that there might be certain US/Asia overnight trades (where the trade date could be a Saturday or Sunday for one of the parties) and trading on Sundays in certain parts of the world (such as Israel) we b</w:t>
      </w:r>
      <w:r w:rsidRPr="0066781F">
        <w:rPr>
          <w:rFonts w:eastAsia="Calibri" w:cs="Arial"/>
          <w:sz w:val="22"/>
          <w:szCs w:val="22"/>
        </w:rPr>
        <w:t>e</w:t>
      </w:r>
      <w:r w:rsidRPr="0066781F">
        <w:rPr>
          <w:rFonts w:eastAsia="Calibri" w:cs="Arial"/>
          <w:sz w:val="22"/>
          <w:szCs w:val="22"/>
        </w:rPr>
        <w:t>lieve these events to be the exception. Therefore, we recommend that ESMA reassess all tenor points to remove data where trading occurs on Saturdays, Sundays or European holidays to eliminate erroneous data. This will avoid the counting of outlier trades which does not represent a real day of trading liquidity for a particular class of derivatives. This will also remove weekend compression activity</w:t>
      </w:r>
      <w:r w:rsidRPr="0066781F">
        <w:rPr>
          <w:rFonts w:eastAsia="Calibri" w:cs="Arial"/>
          <w:sz w:val="22"/>
          <w:szCs w:val="22"/>
          <w:vertAlign w:val="superscript"/>
        </w:rPr>
        <w:footnoteReference w:id="20"/>
      </w:r>
      <w:r w:rsidRPr="0066781F">
        <w:rPr>
          <w:rFonts w:eastAsia="Calibri" w:cs="Arial"/>
          <w:sz w:val="22"/>
          <w:szCs w:val="22"/>
        </w:rPr>
        <w:t xml:space="preserve"> that does not represent actual liquidity.</w:t>
      </w:r>
    </w:p>
    <w:p w:rsidR="003168CF" w:rsidRPr="0066781F" w:rsidRDefault="003168CF" w:rsidP="003168CF">
      <w:pPr>
        <w:pStyle w:val="Body"/>
        <w:spacing w:after="0" w:line="240" w:lineRule="auto"/>
        <w:ind w:left="1080"/>
        <w:rPr>
          <w:rFonts w:eastAsia="Calibri"/>
          <w:spacing w:val="0"/>
          <w:sz w:val="22"/>
          <w:szCs w:val="22"/>
        </w:rPr>
      </w:pPr>
    </w:p>
    <w:p w:rsidR="006D4932" w:rsidRPr="003168CF" w:rsidRDefault="003168CF" w:rsidP="003168CF">
      <w:pPr>
        <w:pBdr>
          <w:top w:val="nil"/>
          <w:left w:val="nil"/>
          <w:bottom w:val="nil"/>
          <w:right w:val="nil"/>
          <w:between w:val="nil"/>
          <w:bar w:val="nil"/>
        </w:pBdr>
        <w:rPr>
          <w:rFonts w:eastAsia="Calibri" w:cs="Arial"/>
          <w:sz w:val="22"/>
          <w:szCs w:val="22"/>
        </w:rPr>
      </w:pPr>
      <w:r w:rsidRPr="0066781F">
        <w:rPr>
          <w:rFonts w:eastAsia="Calibri" w:cs="Arial"/>
          <w:b/>
          <w:bCs/>
          <w:sz w:val="22"/>
          <w:szCs w:val="22"/>
        </w:rPr>
        <w:t xml:space="preserve">2. Nature of post-trade data.  </w:t>
      </w:r>
      <w:r w:rsidRPr="0066781F">
        <w:rPr>
          <w:rFonts w:eastAsia="Calibri" w:cs="Arial"/>
          <w:sz w:val="22"/>
          <w:szCs w:val="22"/>
        </w:rPr>
        <w:t>For its analysis of number of trades and average number of trades ESMA is using data from trades which are already allocated (post-trade post-allocation data) as that is the only data required under EMIR reporting. We believe that data from exec</w:t>
      </w:r>
      <w:r w:rsidRPr="0066781F">
        <w:rPr>
          <w:rFonts w:eastAsia="Calibri" w:cs="Arial"/>
          <w:sz w:val="22"/>
          <w:szCs w:val="22"/>
        </w:rPr>
        <w:t>u</w:t>
      </w:r>
      <w:r w:rsidRPr="0066781F">
        <w:rPr>
          <w:rFonts w:eastAsia="Calibri" w:cs="Arial"/>
          <w:sz w:val="22"/>
          <w:szCs w:val="22"/>
        </w:rPr>
        <w:t>tion activity, before they are allocated, is an appropriate reflection of liquidity rather than data from allocated trades. However, ESMA does not have access to pre-allocated trade data since they are not reported to Trade Repositories</w:t>
      </w:r>
      <w:r>
        <w:rPr>
          <w:rFonts w:eastAsia="Calibri" w:cs="Arial"/>
          <w:sz w:val="22"/>
          <w:szCs w:val="22"/>
        </w:rPr>
        <w:t xml:space="preserve"> (TRs)</w:t>
      </w:r>
      <w:r w:rsidRPr="0066781F">
        <w:rPr>
          <w:rFonts w:eastAsia="Calibri" w:cs="Arial"/>
          <w:sz w:val="22"/>
          <w:szCs w:val="22"/>
        </w:rPr>
        <w:t xml:space="preserve">. </w:t>
      </w:r>
      <w:r>
        <w:rPr>
          <w:rFonts w:eastAsia="Calibri" w:cs="Arial"/>
          <w:sz w:val="22"/>
          <w:szCs w:val="22"/>
        </w:rPr>
        <w:t xml:space="preserve">ESMA also does not have the necessary data to distinguish trades resulting from package transactions since this information is not reported to TRs. An instance of a particular class of derivatives being part of a package transaction should not be counted towards average number of trades since it is not a true reflection of liquidity for that class of derivatives. </w:t>
      </w:r>
      <w:r w:rsidRPr="0066781F">
        <w:rPr>
          <w:rFonts w:eastAsia="Calibri" w:cs="Arial"/>
          <w:sz w:val="22"/>
          <w:szCs w:val="22"/>
        </w:rPr>
        <w:t xml:space="preserve">To account for </w:t>
      </w:r>
      <w:r>
        <w:rPr>
          <w:rFonts w:eastAsia="Calibri" w:cs="Arial"/>
          <w:sz w:val="22"/>
          <w:szCs w:val="22"/>
        </w:rPr>
        <w:t>these</w:t>
      </w:r>
      <w:r w:rsidRPr="0066781F">
        <w:rPr>
          <w:rFonts w:eastAsia="Calibri" w:cs="Arial"/>
          <w:sz w:val="22"/>
          <w:szCs w:val="22"/>
        </w:rPr>
        <w:t xml:space="preserve"> discrepan</w:t>
      </w:r>
      <w:r>
        <w:rPr>
          <w:rFonts w:eastAsia="Calibri" w:cs="Arial"/>
          <w:sz w:val="22"/>
          <w:szCs w:val="22"/>
        </w:rPr>
        <w:t>cies</w:t>
      </w:r>
      <w:r w:rsidRPr="0066781F">
        <w:rPr>
          <w:rFonts w:eastAsia="Calibri" w:cs="Arial"/>
          <w:sz w:val="22"/>
          <w:szCs w:val="22"/>
        </w:rPr>
        <w:t xml:space="preserve"> ESMA should increase the thres</w:t>
      </w:r>
      <w:r w:rsidRPr="0066781F">
        <w:rPr>
          <w:rFonts w:eastAsia="Calibri" w:cs="Arial"/>
          <w:sz w:val="22"/>
          <w:szCs w:val="22"/>
        </w:rPr>
        <w:t>h</w:t>
      </w:r>
      <w:r w:rsidRPr="0066781F">
        <w:rPr>
          <w:rFonts w:eastAsia="Calibri" w:cs="Arial"/>
          <w:sz w:val="22"/>
          <w:szCs w:val="22"/>
        </w:rPr>
        <w:t>old of average daily number of trades</w:t>
      </w:r>
      <w:r>
        <w:rPr>
          <w:rFonts w:eastAsia="Calibri" w:cs="Arial"/>
          <w:sz w:val="22"/>
          <w:szCs w:val="22"/>
        </w:rPr>
        <w:t xml:space="preserve"> to avoid applying the TO </w:t>
      </w:r>
      <w:proofErr w:type="spellStart"/>
      <w:r>
        <w:rPr>
          <w:rFonts w:eastAsia="Calibri" w:cs="Arial"/>
          <w:sz w:val="22"/>
          <w:szCs w:val="22"/>
        </w:rPr>
        <w:t>to</w:t>
      </w:r>
      <w:proofErr w:type="spellEnd"/>
      <w:r>
        <w:rPr>
          <w:rFonts w:eastAsia="Calibri" w:cs="Arial"/>
          <w:sz w:val="22"/>
          <w:szCs w:val="22"/>
        </w:rPr>
        <w:t xml:space="preserve"> illiquid products that appear more liquid due to this data issue.</w:t>
      </w:r>
    </w:p>
    <w:permEnd w:id="2101872122"/>
    <w:p w:rsidR="003168CF" w:rsidRDefault="003168CF" w:rsidP="00EF314C"/>
    <w:p w:rsidR="00EF314C" w:rsidRDefault="00EF314C" w:rsidP="00EF314C">
      <w:r>
        <w:t>&lt;ESMA_QUESTION_MIFID_TO_</w:t>
      </w:r>
      <w:r w:rsidR="00273633">
        <w:t>19</w:t>
      </w:r>
      <w:r>
        <w:t>&gt;</w:t>
      </w:r>
    </w:p>
    <w:p w:rsidR="00EF314C" w:rsidRDefault="00EF314C" w:rsidP="00EF314C">
      <w:pPr>
        <w:rPr>
          <w:rFonts w:cs="Arial"/>
          <w:b/>
          <w:sz w:val="22"/>
          <w:szCs w:val="22"/>
          <w:lang w:eastAsia="en-US"/>
        </w:rPr>
      </w:pPr>
    </w:p>
    <w:p w:rsidR="00EF314C" w:rsidRPr="000E6B5B" w:rsidRDefault="00FF5939" w:rsidP="00FF5939">
      <w:pPr>
        <w:pStyle w:val="CPQuestions"/>
      </w:pPr>
      <w:r w:rsidRPr="00FF5939">
        <w:t>What thresholds would you propose as the liquidity criteria? What minimum nu</w:t>
      </w:r>
      <w:r w:rsidRPr="00FF5939">
        <w:t>m</w:t>
      </w:r>
      <w:r w:rsidRPr="00FF5939">
        <w:t>ber of counterparties would you consider appropriate for introducing the TO</w:t>
      </w:r>
      <w:r w:rsidR="00EF314C" w:rsidRPr="00070630">
        <w:t>?</w:t>
      </w:r>
    </w:p>
    <w:p w:rsidR="00EF314C" w:rsidRDefault="00EF314C" w:rsidP="00EF314C">
      <w:r>
        <w:t>&lt;ESMA_QUESTION_MIFID_TO_</w:t>
      </w:r>
      <w:r w:rsidR="00273633">
        <w:t>20</w:t>
      </w:r>
      <w:r>
        <w:t>&gt;</w:t>
      </w:r>
    </w:p>
    <w:p w:rsidR="003168CF" w:rsidRDefault="003168CF" w:rsidP="00EF314C"/>
    <w:p w:rsidR="00EF314C" w:rsidRDefault="003168CF" w:rsidP="00EF314C">
      <w:permStart w:id="1572607059" w:edGrp="everyone"/>
      <w:r w:rsidRPr="003168CF">
        <w:t>Pl</w:t>
      </w:r>
      <w:r>
        <w:t>ease refer to our response to Q</w:t>
      </w:r>
      <w:r w:rsidRPr="003168CF">
        <w:t>19 for the first part of this</w:t>
      </w:r>
      <w:r>
        <w:t xml:space="preserve"> question and our response to Q</w:t>
      </w:r>
      <w:r w:rsidRPr="003168CF">
        <w:t>4 for the se</w:t>
      </w:r>
      <w:r w:rsidRPr="003168CF">
        <w:t>c</w:t>
      </w:r>
      <w:r w:rsidRPr="003168CF">
        <w:t>ond part of this question.</w:t>
      </w:r>
    </w:p>
    <w:permEnd w:id="1572607059"/>
    <w:p w:rsidR="003168CF" w:rsidRDefault="003168CF" w:rsidP="00EF314C"/>
    <w:p w:rsidR="00EF314C" w:rsidRDefault="00EF314C" w:rsidP="00EF314C">
      <w:r>
        <w:t>&lt;ESMA_QUESTION_MIFID_TO_</w:t>
      </w:r>
      <w:r w:rsidR="00273633">
        <w:t>20</w:t>
      </w:r>
      <w:r>
        <w:t>&gt;</w:t>
      </w:r>
    </w:p>
    <w:p w:rsidR="00EF314C" w:rsidRDefault="00EF314C" w:rsidP="00EF314C">
      <w:pPr>
        <w:rPr>
          <w:rFonts w:cs="Arial"/>
          <w:b/>
          <w:sz w:val="22"/>
          <w:szCs w:val="22"/>
          <w:lang w:eastAsia="en-US"/>
        </w:rPr>
      </w:pPr>
    </w:p>
    <w:p w:rsidR="00EF314C" w:rsidRPr="000E6B5B" w:rsidRDefault="00FF5939" w:rsidP="00FF5939">
      <w:pPr>
        <w:pStyle w:val="CPQuestions"/>
      </w:pPr>
      <w:r w:rsidRPr="00FF5939">
        <w:t>What further specifications (e.g. payment frequency, reset frequency, day count convention, trade start type) would you consider necessary for specifying the tra</w:t>
      </w:r>
      <w:r w:rsidRPr="00FF5939">
        <w:t>d</w:t>
      </w:r>
      <w:r w:rsidRPr="00FF5939">
        <w:t>ing obligation for fixed-float IRS? How would you determine these additional spec</w:t>
      </w:r>
      <w:r w:rsidRPr="00FF5939">
        <w:t>i</w:t>
      </w:r>
      <w:r w:rsidRPr="00FF5939">
        <w:t>fications</w:t>
      </w:r>
      <w:r w:rsidR="00EF314C" w:rsidRPr="00070630">
        <w:t>?</w:t>
      </w:r>
    </w:p>
    <w:p w:rsidR="00EF314C" w:rsidRDefault="00EF314C" w:rsidP="00EF314C">
      <w:r>
        <w:t>&lt;ESMA_QUESTION_MIFID_TO_</w:t>
      </w:r>
      <w:r w:rsidR="00273633">
        <w:t>21</w:t>
      </w:r>
      <w:r>
        <w:t>&gt;</w:t>
      </w:r>
    </w:p>
    <w:p w:rsidR="003168CF" w:rsidRDefault="003168CF" w:rsidP="00EF314C"/>
    <w:p w:rsidR="00EF314C" w:rsidRPr="003168CF" w:rsidRDefault="003168CF" w:rsidP="00EF314C">
      <w:pPr>
        <w:rPr>
          <w:rFonts w:cs="Arial"/>
          <w:sz w:val="22"/>
          <w:szCs w:val="22"/>
        </w:rPr>
      </w:pPr>
      <w:permStart w:id="1870934195" w:edGrp="everyone"/>
      <w:r>
        <w:rPr>
          <w:rFonts w:cs="Arial"/>
          <w:sz w:val="22"/>
          <w:szCs w:val="22"/>
        </w:rPr>
        <w:t>Please refer to our response to Q.1</w:t>
      </w:r>
    </w:p>
    <w:permEnd w:id="1870934195"/>
    <w:p w:rsidR="003168CF" w:rsidRDefault="003168CF" w:rsidP="00EF314C"/>
    <w:p w:rsidR="00EF314C" w:rsidRDefault="00EF314C" w:rsidP="00EF314C">
      <w:r>
        <w:t>&lt;ESMA_QUESTION_MIFID_TO_</w:t>
      </w:r>
      <w:r w:rsidR="00273633">
        <w:t>21</w:t>
      </w:r>
      <w:r>
        <w:t>&gt;</w:t>
      </w:r>
    </w:p>
    <w:p w:rsidR="00EF314C" w:rsidRDefault="00EF314C" w:rsidP="00EF314C">
      <w:pPr>
        <w:rPr>
          <w:rFonts w:cs="Arial"/>
          <w:b/>
          <w:sz w:val="22"/>
          <w:szCs w:val="22"/>
          <w:lang w:eastAsia="en-US"/>
        </w:rPr>
      </w:pPr>
    </w:p>
    <w:p w:rsidR="00EF314C" w:rsidRPr="000E6B5B" w:rsidRDefault="00FF5939" w:rsidP="00FF5939">
      <w:pPr>
        <w:pStyle w:val="CPQuestions"/>
      </w:pPr>
      <w:r w:rsidRPr="00FF5939">
        <w:t>Does this result reflect your assessment of liquidity in OIS? If not, please explain on which subclasses you disagree and why</w:t>
      </w:r>
      <w:r>
        <w:t>.</w:t>
      </w:r>
    </w:p>
    <w:p w:rsidR="00EF314C" w:rsidRDefault="00EF314C" w:rsidP="00EF314C">
      <w:r>
        <w:t>&lt;ESMA_QUESTION_MIFID_TO_</w:t>
      </w:r>
      <w:r w:rsidR="00273633">
        <w:t>22</w:t>
      </w:r>
      <w:r>
        <w:t>&gt;</w:t>
      </w:r>
    </w:p>
    <w:p w:rsidR="003168CF" w:rsidRDefault="003168CF" w:rsidP="00EF314C"/>
    <w:p w:rsidR="003168CF" w:rsidRPr="0066781F" w:rsidRDefault="003168CF" w:rsidP="003168CF">
      <w:pPr>
        <w:pStyle w:val="Body"/>
        <w:spacing w:after="0" w:line="240" w:lineRule="auto"/>
        <w:rPr>
          <w:rFonts w:eastAsia="Calibri"/>
          <w:spacing w:val="0"/>
          <w:sz w:val="22"/>
          <w:szCs w:val="22"/>
        </w:rPr>
      </w:pPr>
      <w:permStart w:id="1786804611" w:edGrp="everyone"/>
      <w:r w:rsidRPr="0066781F">
        <w:rPr>
          <w:rFonts w:eastAsia="Calibri"/>
          <w:spacing w:val="0"/>
          <w:sz w:val="22"/>
          <w:szCs w:val="22"/>
        </w:rPr>
        <w:t xml:space="preserve">We think the costs, in terms of compliance controls, for market participants to comply with a TO for OIS that only applies to </w:t>
      </w:r>
      <w:r>
        <w:rPr>
          <w:rFonts w:eastAsia="Calibri"/>
          <w:spacing w:val="0"/>
          <w:sz w:val="22"/>
          <w:szCs w:val="22"/>
        </w:rPr>
        <w:t xml:space="preserve">3 month </w:t>
      </w:r>
      <w:r w:rsidRPr="0066781F">
        <w:rPr>
          <w:rFonts w:eastAsia="Calibri"/>
          <w:spacing w:val="0"/>
          <w:sz w:val="22"/>
          <w:szCs w:val="22"/>
        </w:rPr>
        <w:t>EUR OIS outweighs any benefits. This compliance cost is particularly severe for non-financial counterparties and hence ESMA should delay the introdu</w:t>
      </w:r>
      <w:r w:rsidRPr="0066781F">
        <w:rPr>
          <w:rFonts w:eastAsia="Calibri"/>
          <w:spacing w:val="0"/>
          <w:sz w:val="22"/>
          <w:szCs w:val="22"/>
        </w:rPr>
        <w:t>c</w:t>
      </w:r>
      <w:r w:rsidRPr="0066781F">
        <w:rPr>
          <w:rFonts w:eastAsia="Calibri"/>
          <w:spacing w:val="0"/>
          <w:sz w:val="22"/>
          <w:szCs w:val="22"/>
        </w:rPr>
        <w:t xml:space="preserve">tion of the </w:t>
      </w:r>
      <w:r w:rsidR="00D51F04">
        <w:rPr>
          <w:rFonts w:eastAsia="Calibri"/>
          <w:spacing w:val="0"/>
          <w:sz w:val="22"/>
          <w:szCs w:val="22"/>
        </w:rPr>
        <w:t>TO</w:t>
      </w:r>
      <w:r w:rsidRPr="0066781F">
        <w:rPr>
          <w:rFonts w:eastAsia="Calibri"/>
          <w:spacing w:val="0"/>
          <w:sz w:val="22"/>
          <w:szCs w:val="22"/>
        </w:rPr>
        <w:t xml:space="preserve"> on the OIS asset class until such time as more benchmark te</w:t>
      </w:r>
      <w:r w:rsidRPr="0066781F">
        <w:rPr>
          <w:rFonts w:eastAsia="Calibri"/>
          <w:spacing w:val="0"/>
          <w:sz w:val="22"/>
          <w:szCs w:val="22"/>
        </w:rPr>
        <w:t>n</w:t>
      </w:r>
      <w:r w:rsidRPr="0066781F">
        <w:rPr>
          <w:rFonts w:eastAsia="Calibri"/>
          <w:spacing w:val="0"/>
          <w:sz w:val="22"/>
          <w:szCs w:val="22"/>
        </w:rPr>
        <w:t>ors satisfy the 10 trades per day threshold. This will help firms manage costs of building infr</w:t>
      </w:r>
      <w:r w:rsidRPr="0066781F">
        <w:rPr>
          <w:rFonts w:eastAsia="Calibri"/>
          <w:spacing w:val="0"/>
          <w:sz w:val="22"/>
          <w:szCs w:val="22"/>
        </w:rPr>
        <w:t>a</w:t>
      </w:r>
      <w:r w:rsidRPr="0066781F">
        <w:rPr>
          <w:rFonts w:eastAsia="Calibri"/>
          <w:spacing w:val="0"/>
          <w:sz w:val="22"/>
          <w:szCs w:val="22"/>
        </w:rPr>
        <w:t>structure that support the trading obligation of the OIS asset class. Furthermore, the average number of trades for the EUR 3M OIS is only marginally above the threshold of 10 trades per day (even including post-</w:t>
      </w:r>
      <w:r w:rsidRPr="0066781F">
        <w:rPr>
          <w:rFonts w:eastAsia="Calibri"/>
          <w:spacing w:val="0"/>
          <w:sz w:val="22"/>
          <w:szCs w:val="22"/>
        </w:rPr>
        <w:lastRenderedPageBreak/>
        <w:t xml:space="preserve">allocation data and compression data) suggesting that the OIS asset class as a whole is not liquid enough to be subject to the </w:t>
      </w:r>
      <w:r w:rsidR="00175C36">
        <w:rPr>
          <w:rFonts w:eastAsia="Calibri"/>
          <w:spacing w:val="0"/>
          <w:sz w:val="22"/>
          <w:szCs w:val="22"/>
        </w:rPr>
        <w:t>TO</w:t>
      </w:r>
      <w:r w:rsidRPr="0066781F">
        <w:rPr>
          <w:rFonts w:eastAsia="Calibri"/>
          <w:spacing w:val="0"/>
          <w:sz w:val="22"/>
          <w:szCs w:val="22"/>
        </w:rPr>
        <w:t xml:space="preserve">. </w:t>
      </w:r>
    </w:p>
    <w:p w:rsidR="003168CF" w:rsidRPr="0066781F" w:rsidRDefault="003168CF" w:rsidP="003168CF">
      <w:pPr>
        <w:pStyle w:val="Body"/>
        <w:spacing w:after="0" w:line="240" w:lineRule="auto"/>
        <w:rPr>
          <w:rFonts w:eastAsia="Calibri"/>
          <w:spacing w:val="0"/>
          <w:sz w:val="22"/>
          <w:szCs w:val="22"/>
        </w:rPr>
      </w:pPr>
    </w:p>
    <w:p w:rsidR="00EF314C" w:rsidRPr="003168CF" w:rsidRDefault="003168CF" w:rsidP="003168CF">
      <w:pPr>
        <w:pStyle w:val="Body"/>
        <w:spacing w:after="0" w:line="240" w:lineRule="auto"/>
        <w:rPr>
          <w:rFonts w:eastAsia="Calibri"/>
          <w:spacing w:val="0"/>
          <w:sz w:val="22"/>
          <w:szCs w:val="22"/>
        </w:rPr>
      </w:pPr>
      <w:r>
        <w:rPr>
          <w:rFonts w:eastAsia="Calibri"/>
          <w:spacing w:val="0"/>
          <w:sz w:val="22"/>
          <w:szCs w:val="22"/>
        </w:rPr>
        <w:t>In general</w:t>
      </w:r>
      <w:r w:rsidRPr="0066781F">
        <w:rPr>
          <w:rFonts w:eastAsia="Calibri"/>
          <w:spacing w:val="0"/>
          <w:sz w:val="22"/>
          <w:szCs w:val="22"/>
        </w:rPr>
        <w:t xml:space="preserve">, a TO that applies to a single tenor point of a product is especially unlikely to see enhanced liquidity because a different trading protocol for just one point on the tenor curve for OIS is unlikely to create a centralised market for OIS trading – quite the contrary, it would likely bifurcate liquidity in OIS between off-facility OIS and the single tenor </w:t>
      </w:r>
      <w:r>
        <w:rPr>
          <w:rFonts w:eastAsia="Calibri"/>
          <w:spacing w:val="0"/>
          <w:sz w:val="22"/>
          <w:szCs w:val="22"/>
        </w:rPr>
        <w:t>point for OIS subject to the TO, subjecting those that trade in TO OIS to more risk of predatory trading.</w:t>
      </w:r>
    </w:p>
    <w:permEnd w:id="1786804611"/>
    <w:p w:rsidR="003168CF" w:rsidRDefault="003168CF" w:rsidP="00EF314C"/>
    <w:p w:rsidR="00EF314C" w:rsidRDefault="00EF314C" w:rsidP="00EF314C">
      <w:r>
        <w:t>&lt;ESMA_QUESTION_MIFID_TO_</w:t>
      </w:r>
      <w:r w:rsidR="00273633">
        <w:t>22</w:t>
      </w:r>
      <w:r>
        <w:t>&gt;</w:t>
      </w:r>
    </w:p>
    <w:p w:rsidR="00EF314C" w:rsidRDefault="00EF314C" w:rsidP="00EF314C">
      <w:pPr>
        <w:rPr>
          <w:rFonts w:cs="Arial"/>
          <w:b/>
          <w:sz w:val="22"/>
          <w:szCs w:val="22"/>
          <w:lang w:eastAsia="en-US"/>
        </w:rPr>
      </w:pPr>
    </w:p>
    <w:p w:rsidR="00EF314C" w:rsidRPr="000E6B5B" w:rsidRDefault="00FF5939" w:rsidP="00FF5939">
      <w:pPr>
        <w:pStyle w:val="CPQuestions"/>
      </w:pPr>
      <w:r w:rsidRPr="00FF5939">
        <w:t>What thresholds would you propose for the liquidity criteria? What minimum nu</w:t>
      </w:r>
      <w:r w:rsidRPr="00FF5939">
        <w:t>m</w:t>
      </w:r>
      <w:r w:rsidRPr="00FF5939">
        <w:t>ber of counterparties would you consider appropriate for introducing the TO</w:t>
      </w:r>
      <w:r w:rsidR="00EF314C" w:rsidRPr="00070630">
        <w:t>?</w:t>
      </w:r>
    </w:p>
    <w:p w:rsidR="00EF314C" w:rsidRDefault="00EF314C" w:rsidP="00EF314C">
      <w:r>
        <w:t>&lt;ESMA_QUESTION_MIFID_TO_</w:t>
      </w:r>
      <w:r w:rsidR="00273633">
        <w:t>23</w:t>
      </w:r>
      <w:r>
        <w:t>&gt;</w:t>
      </w:r>
    </w:p>
    <w:p w:rsidR="003168CF" w:rsidRDefault="003168CF" w:rsidP="00EF314C"/>
    <w:p w:rsidR="003168CF" w:rsidRDefault="003168CF" w:rsidP="003168CF">
      <w:pPr>
        <w:rPr>
          <w:rFonts w:cs="Arial"/>
          <w:sz w:val="22"/>
          <w:szCs w:val="22"/>
        </w:rPr>
      </w:pPr>
      <w:permStart w:id="1266094022" w:edGrp="everyone"/>
      <w:r>
        <w:rPr>
          <w:rFonts w:cs="Arial"/>
          <w:sz w:val="22"/>
          <w:szCs w:val="22"/>
        </w:rPr>
        <w:t>Please see our response to Q4.</w:t>
      </w:r>
    </w:p>
    <w:permEnd w:id="1266094022"/>
    <w:p w:rsidR="003168CF" w:rsidRDefault="003168CF" w:rsidP="00EF314C"/>
    <w:p w:rsidR="00EF314C" w:rsidRDefault="00EF314C" w:rsidP="00EF314C">
      <w:r>
        <w:t>&lt;ESMA_QUESTION_MIFID_TO_</w:t>
      </w:r>
      <w:r w:rsidR="00273633">
        <w:t>23</w:t>
      </w:r>
      <w:r>
        <w:t>&gt;</w:t>
      </w:r>
    </w:p>
    <w:p w:rsidR="00EF314C" w:rsidRDefault="00EF314C" w:rsidP="00EF314C">
      <w:pPr>
        <w:rPr>
          <w:rFonts w:cs="Arial"/>
          <w:b/>
          <w:sz w:val="22"/>
          <w:szCs w:val="22"/>
          <w:lang w:eastAsia="en-US"/>
        </w:rPr>
      </w:pPr>
    </w:p>
    <w:p w:rsidR="00EF314C" w:rsidRPr="000E6B5B" w:rsidRDefault="00FF5939" w:rsidP="00FF5939">
      <w:pPr>
        <w:pStyle w:val="CPQuestions"/>
      </w:pPr>
      <w:r w:rsidRPr="00FF5939">
        <w:t>What further specifications (e.g. payment frequency, reset frequency, day count convention, trade start type) would you consider necessary for specifying the tra</w:t>
      </w:r>
      <w:r w:rsidRPr="00FF5939">
        <w:t>d</w:t>
      </w:r>
      <w:r w:rsidRPr="00FF5939">
        <w:t>ing obligation for OIS? How would you determine these additional specifications</w:t>
      </w:r>
      <w:r w:rsidR="00EF314C" w:rsidRPr="00070630">
        <w:t>?</w:t>
      </w:r>
    </w:p>
    <w:p w:rsidR="00EF314C" w:rsidRDefault="00EF314C" w:rsidP="00EF314C">
      <w:r>
        <w:t>&lt;ESMA_QUESTION_MIFID_TO_</w:t>
      </w:r>
      <w:r w:rsidR="00273633">
        <w:t>24</w:t>
      </w:r>
      <w:r>
        <w:t>&gt;</w:t>
      </w:r>
    </w:p>
    <w:p w:rsidR="003168CF" w:rsidRDefault="003168CF" w:rsidP="00EF314C"/>
    <w:p w:rsidR="00EF314C" w:rsidRPr="003168CF" w:rsidRDefault="003168CF" w:rsidP="00EF314C">
      <w:pPr>
        <w:rPr>
          <w:rFonts w:cs="Arial"/>
          <w:sz w:val="22"/>
          <w:szCs w:val="22"/>
        </w:rPr>
      </w:pPr>
      <w:permStart w:id="2037604821" w:edGrp="everyone"/>
      <w:r>
        <w:rPr>
          <w:rFonts w:cs="Arial"/>
          <w:sz w:val="22"/>
          <w:szCs w:val="22"/>
        </w:rPr>
        <w:t>Please see our response to Q1.</w:t>
      </w:r>
    </w:p>
    <w:permEnd w:id="2037604821"/>
    <w:p w:rsidR="003168CF" w:rsidRDefault="003168CF" w:rsidP="00EF314C"/>
    <w:p w:rsidR="00EF314C" w:rsidRDefault="00EF314C" w:rsidP="00EF314C">
      <w:r>
        <w:t>&lt;ESMA_QUESTION_MIFID_TO_</w:t>
      </w:r>
      <w:r w:rsidR="00273633">
        <w:t>24</w:t>
      </w:r>
      <w:r>
        <w:t>&gt;</w:t>
      </w:r>
    </w:p>
    <w:p w:rsidR="00EF314C" w:rsidRDefault="00EF314C" w:rsidP="00EF314C">
      <w:pPr>
        <w:rPr>
          <w:rFonts w:cs="Arial"/>
          <w:b/>
          <w:sz w:val="22"/>
          <w:szCs w:val="22"/>
          <w:lang w:eastAsia="en-US"/>
        </w:rPr>
      </w:pPr>
    </w:p>
    <w:p w:rsidR="00EF314C" w:rsidRPr="000E6B5B" w:rsidRDefault="00FF5939" w:rsidP="00FF5939">
      <w:pPr>
        <w:pStyle w:val="CPQuestions"/>
      </w:pPr>
      <w:r w:rsidRPr="00FF5939">
        <w:t xml:space="preserve">Do you agree that due to the specificities of the FRA-market, FRAs should not be considered for the TO? Do you agree that the majority of FRAs transactions serve post-trade risk reduction purposes rather than actual </w:t>
      </w:r>
      <w:proofErr w:type="gramStart"/>
      <w:r w:rsidRPr="00FF5939">
        <w:t>trades</w:t>
      </w:r>
      <w:r>
        <w:t>.</w:t>
      </w:r>
      <w:proofErr w:type="gramEnd"/>
    </w:p>
    <w:p w:rsidR="00EF314C" w:rsidRDefault="00EF314C" w:rsidP="00EF314C">
      <w:r>
        <w:t>&lt;ESMA_QUESTION_MIFID_TO_</w:t>
      </w:r>
      <w:r w:rsidR="00273633">
        <w:t>25</w:t>
      </w:r>
      <w:r>
        <w:t>&gt;</w:t>
      </w:r>
    </w:p>
    <w:p w:rsidR="003D5752" w:rsidRDefault="003D5752" w:rsidP="00EF314C"/>
    <w:p w:rsidR="00EF314C" w:rsidRPr="003D5752" w:rsidRDefault="003D5752" w:rsidP="00EF314C">
      <w:pPr>
        <w:rPr>
          <w:rFonts w:cs="Arial"/>
          <w:sz w:val="22"/>
          <w:szCs w:val="22"/>
        </w:rPr>
      </w:pPr>
      <w:permStart w:id="879825384" w:edGrp="everyone"/>
      <w:r>
        <w:rPr>
          <w:rFonts w:cs="Arial"/>
          <w:sz w:val="22"/>
          <w:szCs w:val="22"/>
        </w:rPr>
        <w:t>We agree that FRAs should not be subject to the TO.</w:t>
      </w:r>
    </w:p>
    <w:permEnd w:id="879825384"/>
    <w:p w:rsidR="003D5752" w:rsidRDefault="003D5752" w:rsidP="00EF314C"/>
    <w:p w:rsidR="00EF314C" w:rsidRDefault="00EF314C" w:rsidP="00EF314C">
      <w:r>
        <w:t>&lt;ESMA_QUESTION_MIFID_TO_</w:t>
      </w:r>
      <w:r w:rsidR="00273633">
        <w:t>25</w:t>
      </w:r>
      <w:r>
        <w:t>&gt;</w:t>
      </w:r>
    </w:p>
    <w:p w:rsidR="00EF314C" w:rsidRDefault="00EF314C" w:rsidP="00EF314C">
      <w:pPr>
        <w:rPr>
          <w:rFonts w:cs="Arial"/>
          <w:b/>
          <w:sz w:val="22"/>
          <w:szCs w:val="22"/>
          <w:lang w:eastAsia="en-US"/>
        </w:rPr>
      </w:pPr>
    </w:p>
    <w:p w:rsidR="00EF314C" w:rsidRPr="000E6B5B" w:rsidRDefault="00FF5939" w:rsidP="00FF5939">
      <w:pPr>
        <w:pStyle w:val="CPQuestions"/>
      </w:pPr>
      <w:r w:rsidRPr="00FF5939">
        <w:t>In case you consider FRAs should be considered for the TO, which FRA sub-classes are in your view sufficiently liquid and based on which criteria? How should a TO for FRAs best be expressed? Should it be based on the first (effective date) or the second period (reference date)? Apart from the tenor, which elements do you consider necessary for specifying the TO for FRAs and why</w:t>
      </w:r>
      <w:r w:rsidR="00EF314C" w:rsidRPr="00070630">
        <w:t>?</w:t>
      </w:r>
    </w:p>
    <w:p w:rsidR="00EF314C" w:rsidRDefault="00EF314C" w:rsidP="00EF314C">
      <w:r>
        <w:t>&lt;ESMA_QUESTION_MIFID_TO_</w:t>
      </w:r>
      <w:r w:rsidR="00273633">
        <w:t>26</w:t>
      </w:r>
      <w:r>
        <w:t>&gt;</w:t>
      </w:r>
    </w:p>
    <w:p w:rsidR="00EF314C" w:rsidRDefault="00EF314C" w:rsidP="00EF314C">
      <w:permStart w:id="1238962852" w:edGrp="everyone"/>
      <w:r>
        <w:t>TYPE YOUR TEXT HERE</w:t>
      </w:r>
    </w:p>
    <w:permEnd w:id="1238962852"/>
    <w:p w:rsidR="00EF314C" w:rsidRDefault="00EF314C" w:rsidP="00EF314C">
      <w:r>
        <w:lastRenderedPageBreak/>
        <w:t>&lt;ESMA_QUESTION_MIFID_TO_</w:t>
      </w:r>
      <w:r w:rsidR="00273633">
        <w:t>26</w:t>
      </w:r>
      <w:r>
        <w:t>&gt;</w:t>
      </w:r>
    </w:p>
    <w:p w:rsidR="00EF314C" w:rsidRDefault="00EF314C" w:rsidP="00EF314C">
      <w:pPr>
        <w:rPr>
          <w:rFonts w:cs="Arial"/>
          <w:b/>
          <w:sz w:val="22"/>
          <w:szCs w:val="22"/>
          <w:lang w:eastAsia="en-US"/>
        </w:rPr>
      </w:pPr>
    </w:p>
    <w:p w:rsidR="00EF314C" w:rsidRPr="000E6B5B" w:rsidRDefault="004C2CD0" w:rsidP="00FF5939">
      <w:pPr>
        <w:pStyle w:val="CPQuestions"/>
      </w:pPr>
      <w:r>
        <w:t>Would you consider</w:t>
      </w:r>
      <w:r w:rsidR="00FF5939" w:rsidRPr="00FF5939">
        <w:t xml:space="preserve"> the two index CDS as sufficiently liquid for being covered by the TO</w:t>
      </w:r>
      <w:r w:rsidR="00EF314C" w:rsidRPr="00070630">
        <w:t>?</w:t>
      </w:r>
    </w:p>
    <w:p w:rsidR="00EF314C" w:rsidRDefault="00EF314C" w:rsidP="00EF314C">
      <w:r>
        <w:t>&lt;ESMA_QUESTION_MIFID_TO_</w:t>
      </w:r>
      <w:r w:rsidR="00273633">
        <w:t>2</w:t>
      </w:r>
      <w:r>
        <w:t>7&gt;</w:t>
      </w:r>
    </w:p>
    <w:p w:rsidR="00EF314C" w:rsidRDefault="00EF314C" w:rsidP="00EF314C">
      <w:permStart w:id="952524423" w:edGrp="everyone"/>
      <w:r>
        <w:t>TYPE YOUR TEXT HERE</w:t>
      </w:r>
    </w:p>
    <w:permEnd w:id="952524423"/>
    <w:p w:rsidR="00EF314C" w:rsidRDefault="00EF314C" w:rsidP="00EF314C">
      <w:r>
        <w:t>&lt;ESMA_QUESTION_MIFID_TO_</w:t>
      </w:r>
      <w:r w:rsidR="00273633">
        <w:t>2</w:t>
      </w:r>
      <w:r>
        <w:t>7&gt;</w:t>
      </w:r>
    </w:p>
    <w:p w:rsidR="00EF314C" w:rsidRDefault="00EF314C" w:rsidP="00EF314C">
      <w:pPr>
        <w:rPr>
          <w:rFonts w:cs="Arial"/>
          <w:b/>
          <w:sz w:val="22"/>
          <w:szCs w:val="22"/>
          <w:lang w:eastAsia="en-US"/>
        </w:rPr>
      </w:pPr>
    </w:p>
    <w:p w:rsidR="00EF314C" w:rsidRPr="000E6B5B" w:rsidRDefault="00FF5939" w:rsidP="00FF5939">
      <w:pPr>
        <w:pStyle w:val="CPQuestions"/>
      </w:pPr>
      <w:r w:rsidRPr="00FF5939">
        <w:t>Do you agree that the TO for CDS should cover the on-the-run series as well as the first thirty working days of the most recent off-the run-series? If not, please explain why and propose an alternative approach</w:t>
      </w:r>
      <w:r>
        <w:t>.</w:t>
      </w:r>
    </w:p>
    <w:p w:rsidR="00EF314C" w:rsidRDefault="00EF314C" w:rsidP="00EF314C">
      <w:r>
        <w:t>&lt;ESMA_QUESTION_MIFID_TO_</w:t>
      </w:r>
      <w:r w:rsidR="00273633">
        <w:t>28</w:t>
      </w:r>
      <w:r>
        <w:t>&gt;</w:t>
      </w:r>
    </w:p>
    <w:p w:rsidR="00EF314C" w:rsidRDefault="00EF314C" w:rsidP="00EF314C">
      <w:permStart w:id="1508653965" w:edGrp="everyone"/>
      <w:r>
        <w:t>TYPE YOUR TEXT HERE</w:t>
      </w:r>
    </w:p>
    <w:permEnd w:id="1508653965"/>
    <w:p w:rsidR="00EF314C" w:rsidRDefault="00EF314C" w:rsidP="00EF314C">
      <w:r>
        <w:t>&lt;ESMA_QUESTION_MIFID_TO_</w:t>
      </w:r>
      <w:r w:rsidR="00273633">
        <w:t>28</w:t>
      </w:r>
      <w:r>
        <w:t>&gt;</w:t>
      </w:r>
    </w:p>
    <w:p w:rsidR="00EF314C" w:rsidRDefault="00EF314C" w:rsidP="00EF314C">
      <w:pPr>
        <w:rPr>
          <w:rFonts w:cs="Arial"/>
          <w:b/>
          <w:sz w:val="22"/>
          <w:szCs w:val="22"/>
          <w:lang w:eastAsia="en-US"/>
        </w:rPr>
      </w:pPr>
    </w:p>
    <w:p w:rsidR="00EF314C" w:rsidRPr="000E6B5B" w:rsidRDefault="00FF5939" w:rsidP="00FF5939">
      <w:pPr>
        <w:pStyle w:val="CPQuestions"/>
      </w:pPr>
      <w:r w:rsidRPr="00FF5939">
        <w:t>Apart from the tenor, which elements do you consider indispensable for specifying the TO for CDSs and why</w:t>
      </w:r>
      <w:r w:rsidR="00EF314C" w:rsidRPr="00070630">
        <w:t>?</w:t>
      </w:r>
    </w:p>
    <w:p w:rsidR="00EF314C" w:rsidRDefault="00EF314C" w:rsidP="00EF314C">
      <w:r>
        <w:t>&lt;ESMA_QUESTION_MIFID_TO_</w:t>
      </w:r>
      <w:r w:rsidR="00273633">
        <w:t>29</w:t>
      </w:r>
      <w:r>
        <w:t>&gt;</w:t>
      </w:r>
    </w:p>
    <w:p w:rsidR="00EF314C" w:rsidRDefault="00EF314C" w:rsidP="00EF314C">
      <w:permStart w:id="303917309" w:edGrp="everyone"/>
      <w:r>
        <w:t>TYPE YOUR TEXT HERE</w:t>
      </w:r>
    </w:p>
    <w:permEnd w:id="303917309"/>
    <w:p w:rsidR="00EF314C" w:rsidRDefault="00EF314C" w:rsidP="00EF314C">
      <w:r>
        <w:t>&lt;ESMA_QUESTION_MIFID_TO_</w:t>
      </w:r>
      <w:r w:rsidR="00273633">
        <w:t>29</w:t>
      </w:r>
      <w:r>
        <w:t>&gt;</w:t>
      </w:r>
    </w:p>
    <w:p w:rsidR="00EF314C" w:rsidRDefault="00EF314C" w:rsidP="00EF314C">
      <w:pPr>
        <w:rPr>
          <w:rFonts w:cs="Arial"/>
          <w:b/>
          <w:sz w:val="22"/>
          <w:szCs w:val="22"/>
          <w:lang w:eastAsia="en-US"/>
        </w:rPr>
      </w:pPr>
    </w:p>
    <w:p w:rsidR="00EF314C" w:rsidRPr="000E6B5B" w:rsidRDefault="00FF5939" w:rsidP="00FF5939">
      <w:pPr>
        <w:pStyle w:val="CPQuestions"/>
      </w:pPr>
      <w:r w:rsidRPr="00FF5939">
        <w:t>Do you agree with the proposed application dates? If not, please provide an alte</w:t>
      </w:r>
      <w:r w:rsidRPr="00FF5939">
        <w:t>r</w:t>
      </w:r>
      <w:r w:rsidRPr="00FF5939">
        <w:t>native and explain your reasoning</w:t>
      </w:r>
      <w:r>
        <w:t>.</w:t>
      </w:r>
    </w:p>
    <w:p w:rsidR="00EF314C" w:rsidRDefault="00EF314C" w:rsidP="00EF314C">
      <w:r>
        <w:t>&lt;ESMA_QUESTION_MIFID_TO_</w:t>
      </w:r>
      <w:r w:rsidR="00273633">
        <w:t>30</w:t>
      </w:r>
      <w:r>
        <w:t>&gt;</w:t>
      </w:r>
    </w:p>
    <w:p w:rsidR="00DC4C0E" w:rsidRDefault="00DC4C0E" w:rsidP="00EF314C"/>
    <w:p w:rsidR="00EF314C" w:rsidRDefault="00DC4C0E" w:rsidP="00EF314C">
      <w:permStart w:id="1644171904" w:edGrp="everyone"/>
      <w:r w:rsidRPr="0066781F">
        <w:rPr>
          <w:rFonts w:eastAsia="Calibri"/>
          <w:sz w:val="22"/>
          <w:szCs w:val="22"/>
        </w:rPr>
        <w:t xml:space="preserve">We believe that the proposed application dates of the </w:t>
      </w:r>
      <w:r>
        <w:rPr>
          <w:rFonts w:eastAsia="Calibri"/>
          <w:sz w:val="22"/>
          <w:szCs w:val="22"/>
        </w:rPr>
        <w:t>TO</w:t>
      </w:r>
      <w:r w:rsidRPr="0066781F">
        <w:rPr>
          <w:rFonts w:eastAsia="Calibri"/>
          <w:sz w:val="22"/>
          <w:szCs w:val="22"/>
        </w:rPr>
        <w:t xml:space="preserve"> will be burdensome for the industry given that they would have to be on the same day as the </w:t>
      </w:r>
      <w:r>
        <w:rPr>
          <w:rFonts w:eastAsia="Calibri"/>
          <w:sz w:val="22"/>
          <w:szCs w:val="22"/>
        </w:rPr>
        <w:t>CO</w:t>
      </w:r>
      <w:r w:rsidRPr="0066781F">
        <w:rPr>
          <w:rFonts w:eastAsia="Calibri"/>
          <w:sz w:val="22"/>
          <w:szCs w:val="22"/>
        </w:rPr>
        <w:t xml:space="preserve"> for derivatives comes into effect for some class</w:t>
      </w:r>
      <w:r w:rsidR="00175C36">
        <w:rPr>
          <w:rFonts w:eastAsia="Calibri"/>
          <w:sz w:val="22"/>
          <w:szCs w:val="22"/>
        </w:rPr>
        <w:t>es</w:t>
      </w:r>
      <w:r w:rsidRPr="0066781F">
        <w:rPr>
          <w:rFonts w:eastAsia="Calibri"/>
          <w:sz w:val="22"/>
          <w:szCs w:val="22"/>
        </w:rPr>
        <w:t xml:space="preserve"> of derivatives.</w:t>
      </w:r>
      <w:r w:rsidR="00D51F04" w:rsidRPr="0066781F">
        <w:rPr>
          <w:rFonts w:eastAsia="Calibri"/>
          <w:sz w:val="22"/>
          <w:szCs w:val="22"/>
        </w:rPr>
        <w:t xml:space="preserve"> </w:t>
      </w:r>
      <w:r w:rsidRPr="0066781F">
        <w:rPr>
          <w:rFonts w:eastAsia="Calibri"/>
          <w:sz w:val="22"/>
          <w:szCs w:val="22"/>
        </w:rPr>
        <w:t>We believe that ESMA should phase-in the requirements for the non-financial market participants who are infrequent users of derivatives and do not have the necessary infrastructure to implement the clearing and trading obligation on the same date. ESMA has recently published a report proposing to postpone the implementation date of the clearing obligation under EMIR of Category 3 counterparties.</w:t>
      </w:r>
      <w:r w:rsidRPr="0066781F">
        <w:rPr>
          <w:rStyle w:val="FootnoteReference"/>
          <w:rFonts w:eastAsia="Calibri"/>
          <w:sz w:val="22"/>
          <w:szCs w:val="22"/>
        </w:rPr>
        <w:footnoteReference w:id="21"/>
      </w:r>
      <w:r w:rsidRPr="0066781F">
        <w:rPr>
          <w:rFonts w:eastAsia="Calibri"/>
          <w:sz w:val="22"/>
          <w:szCs w:val="22"/>
        </w:rPr>
        <w:t xml:space="preserve"> This should instruct ESMA’s approach on the implementation of the trading obligation for such counterparties.</w:t>
      </w:r>
    </w:p>
    <w:permEnd w:id="1644171904"/>
    <w:p w:rsidR="00DC4C0E" w:rsidRDefault="00DC4C0E" w:rsidP="00EF314C"/>
    <w:p w:rsidR="00EF314C" w:rsidRDefault="00EF314C" w:rsidP="00EF314C">
      <w:r>
        <w:t>&lt;ESMA_QUESTION_MIFID_TO_</w:t>
      </w:r>
      <w:r w:rsidR="00273633">
        <w:t>30</w:t>
      </w:r>
      <w:r>
        <w:t>&gt;</w:t>
      </w:r>
    </w:p>
    <w:p w:rsidR="00EF314C" w:rsidRDefault="00EF314C" w:rsidP="00EF314C">
      <w:pPr>
        <w:rPr>
          <w:rFonts w:cs="Arial"/>
          <w:b/>
          <w:sz w:val="22"/>
          <w:szCs w:val="22"/>
          <w:lang w:eastAsia="en-US"/>
        </w:rPr>
      </w:pPr>
    </w:p>
    <w:p w:rsidR="00EF314C" w:rsidRPr="000E6B5B" w:rsidRDefault="00FF5939" w:rsidP="00FF5939">
      <w:pPr>
        <w:pStyle w:val="CPQuestions"/>
      </w:pPr>
      <w:r w:rsidRPr="00FF5939">
        <w:t>Do you consider necessary to provide for an additional phase-in for the TO for o</w:t>
      </w:r>
      <w:r w:rsidRPr="00FF5939">
        <w:t>p</w:t>
      </w:r>
      <w:r w:rsidRPr="00FF5939">
        <w:t xml:space="preserve">erational purposed and to avoid bottlenecks? If yes, please provide a proposal on </w:t>
      </w:r>
      <w:r w:rsidRPr="00FF5939">
        <w:lastRenderedPageBreak/>
        <w:t>the appropriate length of such a phase-in for the different categories of counte</w:t>
      </w:r>
      <w:r w:rsidRPr="00FF5939">
        <w:t>r</w:t>
      </w:r>
      <w:r w:rsidRPr="00FF5939">
        <w:t>parties and explain your reasoning</w:t>
      </w:r>
      <w:r>
        <w:t>.</w:t>
      </w:r>
    </w:p>
    <w:p w:rsidR="00EF314C" w:rsidRDefault="00EF314C" w:rsidP="00EF314C">
      <w:r>
        <w:t>&lt;ESMA_QUESTION_MIFID_TO_</w:t>
      </w:r>
      <w:r w:rsidR="00273633">
        <w:t>31</w:t>
      </w:r>
      <w:r>
        <w:t>&gt;</w:t>
      </w:r>
    </w:p>
    <w:p w:rsidR="00DC4C0E" w:rsidRDefault="00DC4C0E" w:rsidP="00EF314C"/>
    <w:p w:rsidR="00EF314C" w:rsidRDefault="00DC4C0E" w:rsidP="00EF314C">
      <w:permStart w:id="1121809090" w:edGrp="everyone"/>
      <w:r w:rsidRPr="0066781F">
        <w:rPr>
          <w:rFonts w:eastAsia="Calibri"/>
          <w:sz w:val="22"/>
          <w:szCs w:val="22"/>
        </w:rPr>
        <w:t xml:space="preserve">We believe that ESMA should seek to avoid operational bottlenecks by providing an appropriate phase-in period. Under proposed rules Category 1, 2 and 3 counterparties would be required to on-board </w:t>
      </w:r>
      <w:r w:rsidR="00D51F04">
        <w:rPr>
          <w:rFonts w:eastAsia="Calibri"/>
          <w:sz w:val="22"/>
          <w:szCs w:val="22"/>
        </w:rPr>
        <w:t xml:space="preserve">on to Trading Venues </w:t>
      </w:r>
      <w:r w:rsidRPr="0066781F">
        <w:rPr>
          <w:rFonts w:eastAsia="Calibri"/>
          <w:sz w:val="22"/>
          <w:szCs w:val="22"/>
        </w:rPr>
        <w:t>on 3</w:t>
      </w:r>
      <w:r w:rsidRPr="0066781F">
        <w:rPr>
          <w:rFonts w:eastAsia="Calibri"/>
          <w:sz w:val="22"/>
          <w:szCs w:val="22"/>
          <w:vertAlign w:val="superscript"/>
        </w:rPr>
        <w:t>rd</w:t>
      </w:r>
      <w:r w:rsidRPr="0066781F">
        <w:rPr>
          <w:rFonts w:eastAsia="Calibri"/>
          <w:sz w:val="22"/>
          <w:szCs w:val="22"/>
        </w:rPr>
        <w:t xml:space="preserve"> Jan 2018 for G4 IRS and Category 1 and 2 counterparties for EEA IRS and Credit derivatives. In some cases the same counterparties would be required to on board for all asset classes on the same day. Smaller counterparties (mainly Category 3 and 4) which will be subject to the clearing obligation after 3</w:t>
      </w:r>
      <w:r w:rsidRPr="0066781F">
        <w:rPr>
          <w:rFonts w:eastAsia="Calibri"/>
          <w:sz w:val="22"/>
          <w:szCs w:val="22"/>
          <w:vertAlign w:val="superscript"/>
        </w:rPr>
        <w:t>rd</w:t>
      </w:r>
      <w:r w:rsidRPr="0066781F">
        <w:rPr>
          <w:rFonts w:eastAsia="Calibri"/>
          <w:sz w:val="22"/>
          <w:szCs w:val="22"/>
        </w:rPr>
        <w:t xml:space="preserve"> Jan 2018 will be required to on-board on to Trading Venues on the same date and possibly across asset classes. Given that some of the smaller counterparties conduct only a few trades a year, the rules will put a disproportionate burden on these users.</w:t>
      </w:r>
    </w:p>
    <w:permEnd w:id="1121809090"/>
    <w:p w:rsidR="00DC4C0E" w:rsidRDefault="00DC4C0E" w:rsidP="00EF314C"/>
    <w:p w:rsidR="00EF314C" w:rsidRDefault="00EF314C" w:rsidP="00EF314C">
      <w:r>
        <w:t>&lt;ESMA_QUESTION_MIFID_TO_</w:t>
      </w:r>
      <w:r w:rsidR="00273633">
        <w:t>31</w:t>
      </w:r>
      <w:r>
        <w:t>&gt;</w:t>
      </w:r>
    </w:p>
    <w:p w:rsidR="00EF314C" w:rsidRDefault="00EF314C" w:rsidP="00EF314C">
      <w:pPr>
        <w:rPr>
          <w:rFonts w:cs="Arial"/>
          <w:b/>
          <w:sz w:val="22"/>
          <w:szCs w:val="22"/>
          <w:lang w:eastAsia="en-US"/>
        </w:rPr>
      </w:pPr>
    </w:p>
    <w:p w:rsidR="00EF314C" w:rsidRPr="000E6B5B" w:rsidRDefault="00FF5939" w:rsidP="00FF5939">
      <w:pPr>
        <w:pStyle w:val="CPQuestions"/>
      </w:pPr>
      <w:r w:rsidRPr="00FF5939">
        <w:t>Which types of package transactions are carried out comprising components of classes of derivatives that are assessed for the purpose of the TO, i.e. IRD and/or CDS? Please describe the package and its components as well as your view on the liquidity of those packages</w:t>
      </w:r>
      <w:r>
        <w:t>.</w:t>
      </w:r>
    </w:p>
    <w:p w:rsidR="00EF314C" w:rsidRDefault="00EF314C" w:rsidP="00EF314C">
      <w:r>
        <w:t>&lt;ESMA_QUESTION_MIFID_TO_</w:t>
      </w:r>
      <w:r w:rsidR="00273633">
        <w:t>32</w:t>
      </w:r>
      <w:r>
        <w:t>&gt;</w:t>
      </w:r>
    </w:p>
    <w:p w:rsidR="00EF314C" w:rsidRDefault="00EF314C" w:rsidP="00EF314C">
      <w:permStart w:id="1178299517" w:edGrp="everyone"/>
      <w:r>
        <w:t>TYPE YOUR TEXT HERE</w:t>
      </w:r>
    </w:p>
    <w:permEnd w:id="1178299517"/>
    <w:p w:rsidR="00EF314C" w:rsidRDefault="00EF314C" w:rsidP="00EF314C">
      <w:r>
        <w:t>&lt;ESMA_QUESTION_MIFID_TO_</w:t>
      </w:r>
      <w:r w:rsidR="00273633">
        <w:t>32</w:t>
      </w:r>
      <w:r>
        <w:t>&gt;</w:t>
      </w:r>
    </w:p>
    <w:p w:rsidR="00EF314C" w:rsidRDefault="00EF314C" w:rsidP="00EF314C">
      <w:pPr>
        <w:rPr>
          <w:rFonts w:cs="Arial"/>
          <w:b/>
          <w:sz w:val="22"/>
          <w:szCs w:val="22"/>
          <w:lang w:eastAsia="en-US"/>
        </w:rPr>
      </w:pPr>
    </w:p>
    <w:p w:rsidR="00EF314C" w:rsidRPr="000E6B5B" w:rsidRDefault="00FF5939" w:rsidP="00FF5939">
      <w:pPr>
        <w:pStyle w:val="CPQuestions"/>
      </w:pPr>
      <w:r w:rsidRPr="00FF5939">
        <w:t>Are there packages that only comprise components of classes of derivatives that are assessed for the purpose of the TO? Do you consider those package transa</w:t>
      </w:r>
      <w:r w:rsidRPr="00FF5939">
        <w:t>c</w:t>
      </w:r>
      <w:r w:rsidRPr="00FF5939">
        <w:t>tions to be standardised and sufficiently liquid</w:t>
      </w:r>
      <w:r w:rsidR="00EF314C" w:rsidRPr="00070630">
        <w:t>?</w:t>
      </w:r>
    </w:p>
    <w:p w:rsidR="00EF314C" w:rsidRDefault="00EF314C" w:rsidP="00EF314C">
      <w:r>
        <w:t>&lt;ESMA_QUESTION_MIFID_TO_</w:t>
      </w:r>
      <w:r w:rsidR="00273633">
        <w:t>33</w:t>
      </w:r>
      <w:r>
        <w:t>&gt;</w:t>
      </w:r>
    </w:p>
    <w:p w:rsidR="00EF314C" w:rsidRDefault="00EF314C" w:rsidP="00EF314C">
      <w:permStart w:id="1839927369" w:edGrp="everyone"/>
      <w:r>
        <w:t>TYPE YOUR TEXT HERE</w:t>
      </w:r>
    </w:p>
    <w:permEnd w:id="1839927369"/>
    <w:p w:rsidR="00EF314C" w:rsidRDefault="00EF314C" w:rsidP="00EF314C">
      <w:r>
        <w:t>&lt;ESMA_QUESTION_MIFID_TO_</w:t>
      </w:r>
      <w:r w:rsidR="00273633">
        <w:t>33</w:t>
      </w:r>
      <w:r>
        <w:t>&gt;</w:t>
      </w:r>
    </w:p>
    <w:p w:rsidR="00EF314C" w:rsidRDefault="00EF314C" w:rsidP="00EF314C">
      <w:pPr>
        <w:rPr>
          <w:rFonts w:cs="Arial"/>
          <w:b/>
          <w:sz w:val="22"/>
          <w:szCs w:val="22"/>
          <w:lang w:eastAsia="en-US"/>
        </w:rPr>
      </w:pPr>
    </w:p>
    <w:p w:rsidR="00EF314C" w:rsidRPr="000E6B5B" w:rsidRDefault="00FF5939" w:rsidP="00FF5939">
      <w:pPr>
        <w:pStyle w:val="CPQuestions"/>
      </w:pPr>
      <w:r w:rsidRPr="00FF5939">
        <w:t>Do you agree that package transactions that are comprised only of components subject to the TO should also be covered by the TO or should the TO only apply to categories of package transactions that are considered liquid? If not, please e</w:t>
      </w:r>
      <w:r w:rsidRPr="00FF5939">
        <w:t>x</w:t>
      </w:r>
      <w:r w:rsidRPr="00FF5939">
        <w:t>plain</w:t>
      </w:r>
      <w:r>
        <w:t>.</w:t>
      </w:r>
    </w:p>
    <w:p w:rsidR="00273633" w:rsidRDefault="00EF314C" w:rsidP="00273633">
      <w:pPr>
        <w:pStyle w:val="00bDBInfo"/>
        <w:framePr w:hSpace="142" w:wrap="around" w:vAnchor="page" w:hAnchor="page" w:x="1248" w:y="15820"/>
        <w:suppressOverlap/>
      </w:pPr>
      <w:r>
        <w:t>&lt;ESMA_QUESTION_MIFID_TO</w:t>
      </w:r>
    </w:p>
    <w:p w:rsidR="00273633" w:rsidRDefault="00273633" w:rsidP="00273633">
      <w:r>
        <w:t>&lt;ESMA_QUESTION_MIFID_TO_34&gt;</w:t>
      </w:r>
    </w:p>
    <w:p w:rsidR="00DC4C0E" w:rsidRDefault="00DC4C0E" w:rsidP="00273633"/>
    <w:p w:rsidR="00DC4C0E" w:rsidRPr="00921E83" w:rsidRDefault="00DC4C0E" w:rsidP="00DC4C0E">
      <w:pPr>
        <w:rPr>
          <w:rFonts w:cs="Arial"/>
          <w:sz w:val="22"/>
          <w:szCs w:val="22"/>
        </w:rPr>
      </w:pPr>
      <w:permStart w:id="1236075981" w:edGrp="everyone"/>
      <w:r w:rsidRPr="00921E83">
        <w:rPr>
          <w:rFonts w:cs="Arial"/>
          <w:sz w:val="22"/>
          <w:szCs w:val="22"/>
        </w:rPr>
        <w:t>We believe that package trades should not be subject to the TO. There are only two jurisdictions (USA, Japan) where TO</w:t>
      </w:r>
      <w:r w:rsidR="00D51F04" w:rsidRPr="00921E83">
        <w:rPr>
          <w:rFonts w:cs="Arial"/>
          <w:sz w:val="22"/>
          <w:szCs w:val="22"/>
        </w:rPr>
        <w:t>s</w:t>
      </w:r>
      <w:r w:rsidRPr="00921E83">
        <w:rPr>
          <w:rFonts w:cs="Arial"/>
          <w:sz w:val="22"/>
          <w:szCs w:val="22"/>
        </w:rPr>
        <w:t xml:space="preserve"> </w:t>
      </w:r>
      <w:r w:rsidR="00175C36" w:rsidRPr="00921E83">
        <w:rPr>
          <w:rFonts w:cs="Arial"/>
          <w:sz w:val="22"/>
          <w:szCs w:val="22"/>
        </w:rPr>
        <w:t>are</w:t>
      </w:r>
      <w:r w:rsidRPr="00921E83">
        <w:rPr>
          <w:rFonts w:cs="Arial"/>
          <w:sz w:val="22"/>
          <w:szCs w:val="22"/>
        </w:rPr>
        <w:t xml:space="preserve"> live today and both these jurisdictions have exempted pac</w:t>
      </w:r>
      <w:r w:rsidRPr="00921E83">
        <w:rPr>
          <w:rFonts w:cs="Arial"/>
          <w:sz w:val="22"/>
          <w:szCs w:val="22"/>
        </w:rPr>
        <w:t>k</w:t>
      </w:r>
      <w:r w:rsidRPr="00921E83">
        <w:rPr>
          <w:rFonts w:cs="Arial"/>
          <w:sz w:val="22"/>
          <w:szCs w:val="22"/>
        </w:rPr>
        <w:t>age trades from the TO.</w:t>
      </w:r>
    </w:p>
    <w:p w:rsidR="006D4932" w:rsidRPr="00921E83" w:rsidRDefault="006D4932" w:rsidP="00DC4C0E">
      <w:pPr>
        <w:rPr>
          <w:rFonts w:cs="Arial"/>
          <w:sz w:val="22"/>
          <w:szCs w:val="22"/>
        </w:rPr>
      </w:pPr>
    </w:p>
    <w:p w:rsidR="00273633" w:rsidRPr="006D4932" w:rsidRDefault="006D4932" w:rsidP="00273633">
      <w:pPr>
        <w:rPr>
          <w:rFonts w:cs="Arial"/>
          <w:sz w:val="22"/>
          <w:szCs w:val="22"/>
        </w:rPr>
      </w:pPr>
      <w:r w:rsidRPr="00921E83">
        <w:rPr>
          <w:rFonts w:cs="Arial"/>
          <w:sz w:val="22"/>
          <w:szCs w:val="22"/>
        </w:rPr>
        <w:t>Please see our response to Q35 for reasons why package trades should not be subject to the TO</w:t>
      </w:r>
      <w:r>
        <w:rPr>
          <w:rFonts w:cs="Arial"/>
          <w:sz w:val="22"/>
          <w:szCs w:val="22"/>
        </w:rPr>
        <w:t>.</w:t>
      </w:r>
    </w:p>
    <w:permEnd w:id="1236075981"/>
    <w:p w:rsidR="00DC4C0E" w:rsidRDefault="00DC4C0E" w:rsidP="00273633"/>
    <w:p w:rsidR="00273633" w:rsidRDefault="00273633" w:rsidP="00273633">
      <w:r>
        <w:lastRenderedPageBreak/>
        <w:t>&lt;ESMA_QUESTION_MIFID_TO_34&gt;</w:t>
      </w:r>
    </w:p>
    <w:p w:rsidR="00EF314C" w:rsidRDefault="00EF314C" w:rsidP="00EF314C">
      <w:pPr>
        <w:rPr>
          <w:rFonts w:cs="Arial"/>
          <w:b/>
          <w:sz w:val="22"/>
          <w:szCs w:val="22"/>
          <w:lang w:eastAsia="en-US"/>
        </w:rPr>
      </w:pPr>
    </w:p>
    <w:p w:rsidR="00EF314C" w:rsidRPr="000E6B5B" w:rsidRDefault="00FF5939" w:rsidP="00FF5939">
      <w:pPr>
        <w:pStyle w:val="CPQuestions"/>
      </w:pPr>
      <w:r w:rsidRPr="00FF5939">
        <w:t>How should the TO apply for package transactions that include some components subject to the TO, whereas other components are not subject to the TO</w:t>
      </w:r>
      <w:r w:rsidR="00EF314C" w:rsidRPr="00070630">
        <w:t>?</w:t>
      </w:r>
    </w:p>
    <w:p w:rsidR="00EF314C" w:rsidRDefault="00EF314C" w:rsidP="00EF314C">
      <w:r>
        <w:t>&lt;ESMA_QUESTION_MIFID_TO_35&gt;</w:t>
      </w:r>
    </w:p>
    <w:p w:rsidR="00921E83" w:rsidRDefault="00921E83" w:rsidP="00EF314C"/>
    <w:p w:rsidR="00EF314C" w:rsidRPr="00921E83" w:rsidRDefault="00FE6082" w:rsidP="00EF314C">
      <w:pPr>
        <w:rPr>
          <w:rFonts w:eastAsia="Calibri"/>
          <w:sz w:val="22"/>
          <w:szCs w:val="22"/>
        </w:rPr>
      </w:pPr>
      <w:permStart w:id="754991976" w:edGrp="everyone"/>
      <w:r w:rsidRPr="00921E83">
        <w:rPr>
          <w:rFonts w:eastAsia="Calibri"/>
          <w:sz w:val="22"/>
          <w:szCs w:val="22"/>
        </w:rPr>
        <w:t xml:space="preserve">We believe that </w:t>
      </w:r>
      <w:r w:rsidR="009E6FC1" w:rsidRPr="00921E83">
        <w:rPr>
          <w:rFonts w:eastAsia="Calibri"/>
          <w:sz w:val="22"/>
          <w:szCs w:val="22"/>
        </w:rPr>
        <w:t xml:space="preserve">if ESMA must implement a </w:t>
      </w:r>
      <w:r w:rsidRPr="00921E83">
        <w:rPr>
          <w:rFonts w:eastAsia="Calibri"/>
          <w:sz w:val="22"/>
          <w:szCs w:val="22"/>
        </w:rPr>
        <w:t>TO regime for packages</w:t>
      </w:r>
      <w:r w:rsidR="009E6FC1" w:rsidRPr="00921E83">
        <w:rPr>
          <w:rFonts w:eastAsia="Calibri"/>
          <w:sz w:val="22"/>
          <w:szCs w:val="22"/>
        </w:rPr>
        <w:t>, it</w:t>
      </w:r>
      <w:r w:rsidRPr="00921E83">
        <w:rPr>
          <w:rFonts w:eastAsia="Calibri"/>
          <w:sz w:val="22"/>
          <w:szCs w:val="22"/>
        </w:rPr>
        <w:t xml:space="preserve"> should apply only if the follo</w:t>
      </w:r>
      <w:r w:rsidRPr="00921E83">
        <w:rPr>
          <w:rFonts w:eastAsia="Calibri"/>
          <w:sz w:val="22"/>
          <w:szCs w:val="22"/>
        </w:rPr>
        <w:t>w</w:t>
      </w:r>
      <w:r w:rsidRPr="00921E83">
        <w:rPr>
          <w:rFonts w:eastAsia="Calibri"/>
          <w:sz w:val="22"/>
          <w:szCs w:val="22"/>
        </w:rPr>
        <w:t>ing conditions are satisfied:</w:t>
      </w:r>
    </w:p>
    <w:p w:rsidR="00FE6082" w:rsidRPr="00921E83" w:rsidRDefault="00FE6082" w:rsidP="00EF314C">
      <w:pPr>
        <w:rPr>
          <w:sz w:val="22"/>
          <w:szCs w:val="22"/>
        </w:rPr>
      </w:pPr>
    </w:p>
    <w:p w:rsidR="00FE6082" w:rsidRPr="00921E83" w:rsidRDefault="00FE6082" w:rsidP="00FE6082">
      <w:pPr>
        <w:pStyle w:val="ListParagraph"/>
        <w:numPr>
          <w:ilvl w:val="0"/>
          <w:numId w:val="40"/>
        </w:numPr>
        <w:rPr>
          <w:b/>
          <w:sz w:val="22"/>
          <w:szCs w:val="22"/>
        </w:rPr>
      </w:pPr>
      <w:r w:rsidRPr="00921E83">
        <w:rPr>
          <w:b/>
          <w:sz w:val="22"/>
          <w:szCs w:val="22"/>
        </w:rPr>
        <w:t xml:space="preserve">All components are subject to the TO: </w:t>
      </w:r>
      <w:r w:rsidRPr="00921E83">
        <w:rPr>
          <w:sz w:val="22"/>
          <w:szCs w:val="22"/>
        </w:rPr>
        <w:t xml:space="preserve">We believe that TO should apply to a package trade only if all its components are subject to the TO. This is because Trading Venues are unlikely to be able to offer liquidity on a package trade where one or more of the components are not subject to the TO. </w:t>
      </w:r>
    </w:p>
    <w:p w:rsidR="00FE6082" w:rsidRPr="00921E83" w:rsidRDefault="00FE6082" w:rsidP="00FE6082">
      <w:pPr>
        <w:pStyle w:val="ListParagraph"/>
        <w:rPr>
          <w:b/>
          <w:sz w:val="22"/>
          <w:szCs w:val="22"/>
        </w:rPr>
      </w:pPr>
    </w:p>
    <w:p w:rsidR="0074093A" w:rsidRPr="00921E83" w:rsidRDefault="00FE6082" w:rsidP="0074093A">
      <w:pPr>
        <w:pStyle w:val="ListParagraph"/>
        <w:numPr>
          <w:ilvl w:val="0"/>
          <w:numId w:val="40"/>
        </w:numPr>
        <w:rPr>
          <w:rFonts w:eastAsia="Calibri"/>
          <w:sz w:val="22"/>
          <w:szCs w:val="22"/>
        </w:rPr>
      </w:pPr>
      <w:r w:rsidRPr="00921E83">
        <w:rPr>
          <w:b/>
          <w:sz w:val="22"/>
          <w:szCs w:val="22"/>
        </w:rPr>
        <w:t xml:space="preserve">Trading venue should offer the whole package as a single transaction: </w:t>
      </w:r>
      <w:r w:rsidRPr="00921E83">
        <w:rPr>
          <w:rFonts w:eastAsia="Calibri"/>
          <w:sz w:val="22"/>
          <w:szCs w:val="22"/>
        </w:rPr>
        <w:t>Even if all components to a package trade are subject to the TO, the package should only be su</w:t>
      </w:r>
      <w:r w:rsidRPr="00921E83">
        <w:rPr>
          <w:rFonts w:eastAsia="Calibri"/>
          <w:sz w:val="22"/>
          <w:szCs w:val="22"/>
        </w:rPr>
        <w:t>b</w:t>
      </w:r>
      <w:r w:rsidRPr="00921E83">
        <w:rPr>
          <w:rFonts w:eastAsia="Calibri"/>
          <w:sz w:val="22"/>
          <w:szCs w:val="22"/>
        </w:rPr>
        <w:t>ject to the TO if the Tra</w:t>
      </w:r>
      <w:r w:rsidRPr="00921E83">
        <w:rPr>
          <w:rFonts w:eastAsia="Calibri"/>
          <w:sz w:val="22"/>
          <w:szCs w:val="22"/>
        </w:rPr>
        <w:t>d</w:t>
      </w:r>
      <w:r w:rsidRPr="00921E83">
        <w:rPr>
          <w:rFonts w:eastAsia="Calibri"/>
          <w:sz w:val="22"/>
          <w:szCs w:val="22"/>
        </w:rPr>
        <w:t xml:space="preserve">ing Venue offers the whole package as a single transaction. This would </w:t>
      </w:r>
      <w:r w:rsidR="00582911" w:rsidRPr="00921E83">
        <w:rPr>
          <w:rFonts w:eastAsia="Calibri"/>
          <w:sz w:val="22"/>
          <w:szCs w:val="22"/>
        </w:rPr>
        <w:t>ensure that market participants are adequately protected should one of the co</w:t>
      </w:r>
      <w:r w:rsidR="00582911" w:rsidRPr="00921E83">
        <w:rPr>
          <w:rFonts w:eastAsia="Calibri"/>
          <w:sz w:val="22"/>
          <w:szCs w:val="22"/>
        </w:rPr>
        <w:t>m</w:t>
      </w:r>
      <w:r w:rsidR="00582911" w:rsidRPr="00921E83">
        <w:rPr>
          <w:rFonts w:eastAsia="Calibri"/>
          <w:sz w:val="22"/>
          <w:szCs w:val="22"/>
        </w:rPr>
        <w:t xml:space="preserve">ponents of the package fail to clear. </w:t>
      </w:r>
    </w:p>
    <w:p w:rsidR="0074093A" w:rsidRPr="00921E83" w:rsidRDefault="0074093A" w:rsidP="0074093A">
      <w:pPr>
        <w:pStyle w:val="ListParagraph"/>
        <w:rPr>
          <w:rFonts w:eastAsia="Calibri"/>
          <w:sz w:val="22"/>
          <w:szCs w:val="22"/>
        </w:rPr>
      </w:pPr>
    </w:p>
    <w:p w:rsidR="00FE6082" w:rsidRPr="00921E83" w:rsidRDefault="00582911" w:rsidP="0074093A">
      <w:pPr>
        <w:pStyle w:val="ListParagraph"/>
        <w:rPr>
          <w:rFonts w:eastAsia="Calibri"/>
          <w:sz w:val="22"/>
          <w:szCs w:val="22"/>
        </w:rPr>
      </w:pPr>
      <w:r w:rsidRPr="00921E83">
        <w:rPr>
          <w:rFonts w:eastAsia="Calibri"/>
          <w:sz w:val="22"/>
          <w:szCs w:val="22"/>
        </w:rPr>
        <w:t xml:space="preserve">For example, suppose a market participant wishes to transact a package with individual components </w:t>
      </w:r>
      <w:r w:rsidR="006B4524">
        <w:rPr>
          <w:rFonts w:eastAsia="Calibri"/>
          <w:sz w:val="22"/>
          <w:szCs w:val="22"/>
        </w:rPr>
        <w:t xml:space="preserve">subject to the TO, for example, </w:t>
      </w:r>
      <w:r w:rsidRPr="00921E83">
        <w:rPr>
          <w:rFonts w:eastAsia="Calibri"/>
          <w:sz w:val="22"/>
          <w:szCs w:val="22"/>
        </w:rPr>
        <w:t>EUR IRS 1y, EUR IRS 2y and EUR IRS 3y. If the Trading Venue offers this package as a single transaction then should EUR IRS 1y fail to clear and EUR IRS 2y and 3y clear successfully the transaction would be consi</w:t>
      </w:r>
      <w:r w:rsidRPr="00921E83">
        <w:rPr>
          <w:rFonts w:eastAsia="Calibri"/>
          <w:sz w:val="22"/>
          <w:szCs w:val="22"/>
        </w:rPr>
        <w:t>d</w:t>
      </w:r>
      <w:r w:rsidRPr="00921E83">
        <w:rPr>
          <w:rFonts w:eastAsia="Calibri"/>
          <w:sz w:val="22"/>
          <w:szCs w:val="22"/>
        </w:rPr>
        <w:t>ered void. This is because the market participan</w:t>
      </w:r>
      <w:bookmarkStart w:id="3" w:name="_GoBack"/>
      <w:bookmarkEnd w:id="3"/>
      <w:r w:rsidRPr="00921E83">
        <w:rPr>
          <w:rFonts w:eastAsia="Calibri"/>
          <w:sz w:val="22"/>
          <w:szCs w:val="22"/>
        </w:rPr>
        <w:t>t is only interested in trading the package as a whole. However, if the Trading Venue does not offer the package as a whole but o</w:t>
      </w:r>
      <w:r w:rsidRPr="00921E83">
        <w:rPr>
          <w:rFonts w:eastAsia="Calibri"/>
          <w:sz w:val="22"/>
          <w:szCs w:val="22"/>
        </w:rPr>
        <w:t>n</w:t>
      </w:r>
      <w:r w:rsidRPr="00921E83">
        <w:rPr>
          <w:rFonts w:eastAsia="Calibri"/>
          <w:sz w:val="22"/>
          <w:szCs w:val="22"/>
        </w:rPr>
        <w:t>ly offers simultaneous execution of the EUR IRS trades consider in the e</w:t>
      </w:r>
      <w:r w:rsidRPr="00921E83">
        <w:rPr>
          <w:rFonts w:eastAsia="Calibri"/>
          <w:sz w:val="22"/>
          <w:szCs w:val="22"/>
        </w:rPr>
        <w:t>x</w:t>
      </w:r>
      <w:r w:rsidRPr="00921E83">
        <w:rPr>
          <w:rFonts w:eastAsia="Calibri"/>
          <w:sz w:val="22"/>
          <w:szCs w:val="22"/>
        </w:rPr>
        <w:t>ample, then the market participant would be obliged to honour the EUR IRS 2y and 3y trades and pote</w:t>
      </w:r>
      <w:r w:rsidRPr="00921E83">
        <w:rPr>
          <w:rFonts w:eastAsia="Calibri"/>
          <w:sz w:val="22"/>
          <w:szCs w:val="22"/>
        </w:rPr>
        <w:t>n</w:t>
      </w:r>
      <w:r w:rsidRPr="00921E83">
        <w:rPr>
          <w:rFonts w:eastAsia="Calibri"/>
          <w:sz w:val="22"/>
          <w:szCs w:val="22"/>
        </w:rPr>
        <w:t>tially be e</w:t>
      </w:r>
      <w:r w:rsidRPr="00921E83">
        <w:rPr>
          <w:rFonts w:eastAsia="Calibri"/>
          <w:sz w:val="22"/>
          <w:szCs w:val="22"/>
        </w:rPr>
        <w:t>x</w:t>
      </w:r>
      <w:r w:rsidRPr="00921E83">
        <w:rPr>
          <w:rFonts w:eastAsia="Calibri"/>
          <w:sz w:val="22"/>
          <w:szCs w:val="22"/>
        </w:rPr>
        <w:t xml:space="preserve">posed to hedging risks. </w:t>
      </w:r>
    </w:p>
    <w:p w:rsidR="00582911" w:rsidRPr="00921E83" w:rsidRDefault="00582911" w:rsidP="00582911">
      <w:pPr>
        <w:pStyle w:val="ListParagraph"/>
        <w:rPr>
          <w:sz w:val="22"/>
          <w:szCs w:val="22"/>
        </w:rPr>
      </w:pPr>
    </w:p>
    <w:p w:rsidR="00582911" w:rsidRPr="0074093A" w:rsidRDefault="00582911" w:rsidP="00582911">
      <w:pPr>
        <w:rPr>
          <w:rFonts w:eastAsia="Calibri"/>
          <w:sz w:val="22"/>
          <w:szCs w:val="22"/>
        </w:rPr>
      </w:pPr>
      <w:r w:rsidRPr="00921E83">
        <w:rPr>
          <w:rFonts w:eastAsia="Calibri"/>
          <w:sz w:val="22"/>
          <w:szCs w:val="22"/>
        </w:rPr>
        <w:t>These conditions offer adequate protection to market participants who trade packages to hedge complex risks. However, since these conditions are hard to satisfy other jurisdictions</w:t>
      </w:r>
      <w:r w:rsidR="00921E83" w:rsidRPr="00921E83">
        <w:rPr>
          <w:rStyle w:val="FootnoteReference"/>
          <w:rFonts w:eastAsia="Calibri"/>
          <w:sz w:val="22"/>
          <w:szCs w:val="22"/>
        </w:rPr>
        <w:footnoteReference w:id="22"/>
      </w:r>
      <w:r w:rsidRPr="00921E83">
        <w:rPr>
          <w:rFonts w:eastAsia="Calibri"/>
          <w:sz w:val="22"/>
          <w:szCs w:val="22"/>
        </w:rPr>
        <w:t xml:space="preserve"> have exempted package trades from the TO and we strongly recommend that ESMA should impl</w:t>
      </w:r>
      <w:r w:rsidRPr="00921E83">
        <w:rPr>
          <w:rFonts w:eastAsia="Calibri"/>
          <w:sz w:val="22"/>
          <w:szCs w:val="22"/>
        </w:rPr>
        <w:t>e</w:t>
      </w:r>
      <w:r w:rsidRPr="00921E83">
        <w:rPr>
          <w:rFonts w:eastAsia="Calibri"/>
          <w:sz w:val="22"/>
          <w:szCs w:val="22"/>
        </w:rPr>
        <w:t>ment the TO for packages only if all the conditions above are satisfied</w:t>
      </w:r>
      <w:r w:rsidRPr="0074093A">
        <w:rPr>
          <w:rFonts w:eastAsia="Calibri"/>
          <w:sz w:val="22"/>
          <w:szCs w:val="22"/>
        </w:rPr>
        <w:t xml:space="preserve">.  </w:t>
      </w:r>
    </w:p>
    <w:permEnd w:id="754991976"/>
    <w:p w:rsidR="00921E83" w:rsidRDefault="00921E83" w:rsidP="00EF314C"/>
    <w:p w:rsidR="00EF314C" w:rsidRDefault="00EF314C" w:rsidP="00EF314C">
      <w:r>
        <w:t>&lt;ESMA_QUESTION_MIFID_TO_35&gt;</w:t>
      </w:r>
    </w:p>
    <w:p w:rsidR="00EF314C" w:rsidRDefault="00EF314C" w:rsidP="00EF314C">
      <w:pPr>
        <w:rPr>
          <w:rFonts w:cs="Arial"/>
          <w:b/>
          <w:sz w:val="22"/>
          <w:szCs w:val="22"/>
          <w:lang w:eastAsia="en-US"/>
        </w:rPr>
      </w:pPr>
    </w:p>
    <w:sectPr w:rsidR="00EF314C" w:rsidSect="00A8728B">
      <w:headerReference w:type="even" r:id="rId19"/>
      <w:headerReference w:type="first" r:id="rId20"/>
      <w:footerReference w:type="first" r:id="rId21"/>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093A" w:rsidRDefault="0074093A">
      <w:r>
        <w:separator/>
      </w:r>
    </w:p>
    <w:p w:rsidR="0074093A" w:rsidRDefault="0074093A"/>
  </w:endnote>
  <w:endnote w:type="continuationSeparator" w:id="0">
    <w:p w:rsidR="0074093A" w:rsidRDefault="0074093A">
      <w:r>
        <w:continuationSeparator/>
      </w:r>
    </w:p>
    <w:p w:rsidR="0074093A" w:rsidRDefault="0074093A"/>
  </w:endnote>
  <w:endnote w:type="continuationNotice" w:id="1">
    <w:p w:rsidR="0074093A" w:rsidRDefault="007409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Unicode MS"/>
    <w:charset w:val="80"/>
    <w:family w:val="swiss"/>
    <w:pitch w:val="default"/>
  </w:font>
  <w:font w:name="EUAlbertina">
    <w:altName w:val="EU Albertin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74093A" w:rsidRPr="00616B9B" w:rsidTr="00315E96">
      <w:trPr>
        <w:trHeight w:val="284"/>
      </w:trPr>
      <w:tc>
        <w:tcPr>
          <w:tcW w:w="8460" w:type="dxa"/>
        </w:tcPr>
        <w:p w:rsidR="0074093A" w:rsidRPr="00315E96" w:rsidRDefault="0074093A" w:rsidP="00315E96">
          <w:pPr>
            <w:pStyle w:val="00Footer"/>
            <w:rPr>
              <w:lang w:val="fr-FR"/>
            </w:rPr>
          </w:pPr>
        </w:p>
      </w:tc>
      <w:tc>
        <w:tcPr>
          <w:tcW w:w="952" w:type="dxa"/>
        </w:tcPr>
        <w:p w:rsidR="0074093A" w:rsidRPr="00616B9B" w:rsidRDefault="0074093A"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6B4524">
            <w:rPr>
              <w:rFonts w:cs="Arial"/>
              <w:noProof/>
              <w:sz w:val="22"/>
              <w:szCs w:val="22"/>
            </w:rPr>
            <w:t>10</w:t>
          </w:r>
          <w:r w:rsidRPr="00616B9B">
            <w:rPr>
              <w:rFonts w:cs="Arial"/>
              <w:noProof/>
              <w:sz w:val="22"/>
              <w:szCs w:val="22"/>
            </w:rPr>
            <w:fldChar w:fldCharType="end"/>
          </w:r>
        </w:p>
      </w:tc>
    </w:tr>
  </w:tbl>
  <w:p w:rsidR="0074093A" w:rsidRDefault="0074093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93A" w:rsidRDefault="007409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093A" w:rsidRDefault="0074093A">
      <w:r>
        <w:separator/>
      </w:r>
    </w:p>
    <w:p w:rsidR="0074093A" w:rsidRDefault="0074093A"/>
  </w:footnote>
  <w:footnote w:type="continuationSeparator" w:id="0">
    <w:p w:rsidR="0074093A" w:rsidRDefault="0074093A">
      <w:r>
        <w:continuationSeparator/>
      </w:r>
    </w:p>
    <w:p w:rsidR="0074093A" w:rsidRDefault="0074093A"/>
  </w:footnote>
  <w:footnote w:type="continuationNotice" w:id="1">
    <w:p w:rsidR="0074093A" w:rsidRDefault="0074093A"/>
  </w:footnote>
  <w:footnote w:id="2">
    <w:p w:rsidR="0074093A" w:rsidRDefault="0074093A" w:rsidP="003168CF">
      <w:pPr>
        <w:pStyle w:val="FootnoteText"/>
      </w:pPr>
      <w:r>
        <w:rPr>
          <w:rFonts w:eastAsia="Arial" w:cs="Arial"/>
          <w:sz w:val="22"/>
          <w:szCs w:val="22"/>
          <w:vertAlign w:val="superscript"/>
        </w:rPr>
        <w:footnoteRef/>
      </w:r>
      <w:r>
        <w:t xml:space="preserve"> See </w:t>
      </w:r>
      <w:hyperlink r:id="rId1" w:history="1">
        <w:r>
          <w:t>www.ihsmarkit.com</w:t>
        </w:r>
      </w:hyperlink>
      <w:r>
        <w:t xml:space="preserve"> for more details</w:t>
      </w:r>
    </w:p>
  </w:footnote>
  <w:footnote w:id="3">
    <w:p w:rsidR="0074093A" w:rsidRDefault="0074093A" w:rsidP="003168CF">
      <w:pPr>
        <w:pStyle w:val="FootnoteText"/>
      </w:pPr>
      <w:r>
        <w:rPr>
          <w:sz w:val="22"/>
          <w:szCs w:val="22"/>
          <w:vertAlign w:val="superscript"/>
        </w:rPr>
        <w:footnoteRef/>
      </w:r>
      <w:r>
        <w:t xml:space="preserve"> Markit Completes Acquisition of </w:t>
      </w:r>
      <w:proofErr w:type="spellStart"/>
      <w:r>
        <w:t>DealHub</w:t>
      </w:r>
      <w:proofErr w:type="spellEnd"/>
      <w:r>
        <w:t>, Sept. 4, 2015,</w:t>
      </w:r>
    </w:p>
    <w:p w:rsidR="0074093A" w:rsidRDefault="0074093A" w:rsidP="003168CF">
      <w:pPr>
        <w:pStyle w:val="FootnoteText"/>
      </w:pPr>
      <w:hyperlink r:id="rId2" w:history="1">
        <w:r>
          <w:t>http://www.businesswire.com/news/home/20150904005095/en/Markit-Completes-Acquisition-DealHub</w:t>
        </w:r>
      </w:hyperlink>
    </w:p>
  </w:footnote>
  <w:footnote w:id="4">
    <w:p w:rsidR="0074093A" w:rsidRDefault="0074093A" w:rsidP="003168CF">
      <w:pPr>
        <w:pStyle w:val="FootnoteText"/>
      </w:pPr>
      <w:r>
        <w:rPr>
          <w:sz w:val="22"/>
          <w:szCs w:val="22"/>
          <w:vertAlign w:val="superscript"/>
        </w:rPr>
        <w:footnoteRef/>
      </w:r>
      <w:r>
        <w:t xml:space="preserve"> </w:t>
      </w:r>
      <w:r w:rsidRPr="00FC0E19">
        <w:t>http://www.g20.utoronto.ca/2009/2009communique0925.html</w:t>
      </w:r>
    </w:p>
  </w:footnote>
  <w:footnote w:id="5">
    <w:p w:rsidR="0074093A" w:rsidRDefault="0074093A">
      <w:pPr>
        <w:pStyle w:val="FootnoteText"/>
      </w:pPr>
      <w:r>
        <w:rPr>
          <w:rStyle w:val="FootnoteReference"/>
        </w:rPr>
        <w:footnoteRef/>
      </w:r>
      <w:r>
        <w:t xml:space="preserve"> See Section 5.4</w:t>
      </w:r>
    </w:p>
    <w:p w:rsidR="0074093A" w:rsidRDefault="0074093A">
      <w:pPr>
        <w:pStyle w:val="FootnoteText"/>
      </w:pPr>
      <w:hyperlink r:id="rId3" w:history="1">
        <w:r w:rsidRPr="00CF47D8">
          <w:rPr>
            <w:rStyle w:val="Hyperlink"/>
          </w:rPr>
          <w:t>http://eur-lex.europa.eu/legal-content/EN/TXT/PDF/?uri=CELEX:52009DC0332&amp;from=EN</w:t>
        </w:r>
      </w:hyperlink>
    </w:p>
    <w:p w:rsidR="0074093A" w:rsidRDefault="0074093A">
      <w:pPr>
        <w:pStyle w:val="FootnoteText"/>
      </w:pPr>
    </w:p>
  </w:footnote>
  <w:footnote w:id="6">
    <w:p w:rsidR="0074093A" w:rsidRDefault="0074093A" w:rsidP="003168CF">
      <w:pPr>
        <w:pStyle w:val="FootnoteText"/>
      </w:pPr>
      <w:r>
        <w:rPr>
          <w:rStyle w:val="FootnoteReference"/>
        </w:rPr>
        <w:footnoteRef/>
      </w:r>
      <w:r>
        <w:t xml:space="preserve"> Predatory Trading, </w:t>
      </w:r>
      <w:r w:rsidRPr="00E66195">
        <w:t xml:space="preserve">Markus K. </w:t>
      </w:r>
      <w:proofErr w:type="spellStart"/>
      <w:r w:rsidRPr="00E66195">
        <w:t>Brunnermeier</w:t>
      </w:r>
      <w:proofErr w:type="spellEnd"/>
      <w:r w:rsidRPr="00E66195">
        <w:t xml:space="preserve"> </w:t>
      </w:r>
      <w:r>
        <w:t xml:space="preserve">and Lasse </w:t>
      </w:r>
      <w:proofErr w:type="spellStart"/>
      <w:r>
        <w:t>Heje</w:t>
      </w:r>
      <w:proofErr w:type="spellEnd"/>
      <w:r>
        <w:t xml:space="preserve"> Pedersen, The Jour</w:t>
      </w:r>
      <w:r w:rsidRPr="00E66195">
        <w:t xml:space="preserve">nal of Finance, Aug. 2005, </w:t>
      </w:r>
      <w:r>
        <w:t xml:space="preserve">at 1824-1825, </w:t>
      </w:r>
      <w:r w:rsidRPr="00E66195">
        <w:t xml:space="preserve">available at </w:t>
      </w:r>
      <w:hyperlink r:id="rId4" w:history="1">
        <w:r w:rsidRPr="006333E9">
          <w:rPr>
            <w:rStyle w:val="Hyperlink"/>
          </w:rPr>
          <w:t>http://pages.stern.nyu.edu/~lpederse/papers/predatory_trading.pdf</w:t>
        </w:r>
      </w:hyperlink>
      <w:r>
        <w:t>.  “A well-known example is the alleged trading against Long Term Capital Management’s (LTCM’s) positions in the fall of 1998. Business Week wrote:</w:t>
      </w:r>
    </w:p>
    <w:p w:rsidR="0074093A" w:rsidRDefault="0074093A" w:rsidP="003168CF">
      <w:pPr>
        <w:pStyle w:val="FootnoteText"/>
      </w:pPr>
    </w:p>
    <w:p w:rsidR="0074093A" w:rsidRDefault="0074093A" w:rsidP="003168CF">
      <w:pPr>
        <w:pStyle w:val="FootnoteText"/>
        <w:ind w:left="709"/>
      </w:pPr>
      <w:r>
        <w:t xml:space="preserve">... </w:t>
      </w:r>
      <w:proofErr w:type="gramStart"/>
      <w:r>
        <w:t>if</w:t>
      </w:r>
      <w:proofErr w:type="gramEnd"/>
      <w:r>
        <w:t xml:space="preserve"> lenders know that a hedge fund needs to sell something quickly, they will sell the same asset—driving the price down even faster. Goldman, Sachs &amp; Co. and other counterparties to LTCM did exactly that in 1998.</w:t>
      </w:r>
    </w:p>
    <w:p w:rsidR="0074093A" w:rsidRDefault="0074093A" w:rsidP="003168CF">
      <w:pPr>
        <w:pStyle w:val="FootnoteText"/>
      </w:pPr>
    </w:p>
    <w:p w:rsidR="0074093A" w:rsidRDefault="0074093A" w:rsidP="003168CF">
      <w:pPr>
        <w:pStyle w:val="FootnoteText"/>
      </w:pPr>
      <w:r>
        <w:t>Cramer (2002, p. 182) describes hedge funds’ predatory intentions in colourful terms:</w:t>
      </w:r>
    </w:p>
    <w:p w:rsidR="0074093A" w:rsidRDefault="0074093A" w:rsidP="003168CF">
      <w:pPr>
        <w:pStyle w:val="FootnoteText"/>
      </w:pPr>
    </w:p>
    <w:p w:rsidR="0074093A" w:rsidRDefault="0074093A" w:rsidP="003168CF">
      <w:pPr>
        <w:pStyle w:val="FootnoteText"/>
        <w:ind w:left="709"/>
      </w:pPr>
      <w:r>
        <w:t xml:space="preserve">When you smell blood in the water, you become a </w:t>
      </w:r>
      <w:proofErr w:type="gramStart"/>
      <w:r>
        <w:t>shark .</w:t>
      </w:r>
      <w:proofErr w:type="gramEnd"/>
      <w:r>
        <w:t xml:space="preserve"> ... when you know that one of your number is in trouble ... you try to figure out what he owns and you start shorting those stocks ... </w:t>
      </w:r>
    </w:p>
    <w:p w:rsidR="0074093A" w:rsidRDefault="0074093A" w:rsidP="003168CF">
      <w:pPr>
        <w:pStyle w:val="FootnoteText"/>
      </w:pPr>
    </w:p>
    <w:p w:rsidR="0074093A" w:rsidRPr="00E66195" w:rsidRDefault="0074093A" w:rsidP="003168CF">
      <w:pPr>
        <w:pStyle w:val="FootnoteText"/>
        <w:rPr>
          <w:lang w:val="en-US"/>
        </w:rPr>
      </w:pPr>
      <w:r>
        <w:t xml:space="preserve">Also, </w:t>
      </w:r>
      <w:proofErr w:type="spellStart"/>
      <w:r>
        <w:t>Cai</w:t>
      </w:r>
      <w:proofErr w:type="spellEnd"/>
      <w:r>
        <w:t xml:space="preserve"> (2002) finds that “locals” on the Chicago Board of Exchange (CBOE) pits exploited knowledge of LTCM’s short positions in the </w:t>
      </w:r>
      <w:proofErr w:type="gramStart"/>
      <w:r>
        <w:t>treasury</w:t>
      </w:r>
      <w:proofErr w:type="gramEnd"/>
      <w:r>
        <w:t xml:space="preserve"> bond futures market.”  </w:t>
      </w:r>
      <w:proofErr w:type="gramStart"/>
      <w:r>
        <w:t xml:space="preserve">Id. at 1825 citing </w:t>
      </w:r>
      <w:r w:rsidRPr="00E66195">
        <w:t>“The Wrong Way to Regulate Hedge Funds,” Business Week, February 26, 2001, p. 90.</w:t>
      </w:r>
      <w:proofErr w:type="gramEnd"/>
      <w:r>
        <w:t xml:space="preserve">  </w:t>
      </w:r>
    </w:p>
  </w:footnote>
  <w:footnote w:id="7">
    <w:p w:rsidR="0074093A" w:rsidRPr="00383866" w:rsidRDefault="0074093A" w:rsidP="003168CF">
      <w:pPr>
        <w:pStyle w:val="FootnoteText"/>
        <w:rPr>
          <w:lang w:val="en-US"/>
        </w:rPr>
      </w:pPr>
      <w:r>
        <w:rPr>
          <w:rStyle w:val="FootnoteReference"/>
        </w:rPr>
        <w:footnoteRef/>
      </w:r>
      <w:r>
        <w:t xml:space="preserve"> “[</w:t>
      </w:r>
      <w:proofErr w:type="gramStart"/>
      <w:r>
        <w:t>optimal</w:t>
      </w:r>
      <w:proofErr w:type="gramEnd"/>
      <w:r>
        <w:t xml:space="preserve"> risk management strategy should depend on the liquidity of the assets and on the positions and financial standing of other large investors. Indeed, JP Morgan Chase and Deutsche Bank recently developed a “dealer exit stress-test” to assess the risk that a rival is forced to withdraw from the market (Jeffery (2003)). Further, risk managers should consider the risk that fund outflows can lead to predatory trading, resulting in losses that could fuel further outflows, and so on.”  </w:t>
      </w:r>
      <w:proofErr w:type="gramStart"/>
      <w:r>
        <w:rPr>
          <w:lang w:val="en-US"/>
        </w:rPr>
        <w:t>Id. at 1827.</w:t>
      </w:r>
      <w:proofErr w:type="gramEnd"/>
    </w:p>
  </w:footnote>
  <w:footnote w:id="8">
    <w:p w:rsidR="0074093A" w:rsidRDefault="0074093A" w:rsidP="003168CF">
      <w:pPr>
        <w:pStyle w:val="FootnoteText"/>
        <w:rPr>
          <w:lang w:val="en-US"/>
        </w:rPr>
      </w:pPr>
      <w:r>
        <w:rPr>
          <w:rStyle w:val="FootnoteReference"/>
        </w:rPr>
        <w:footnoteRef/>
      </w:r>
      <w:r>
        <w:t xml:space="preserve"> </w:t>
      </w:r>
      <w:r>
        <w:rPr>
          <w:lang w:val="en-US"/>
        </w:rPr>
        <w:t xml:space="preserve">Recital 25 and 26 of </w:t>
      </w:r>
      <w:proofErr w:type="spellStart"/>
      <w:r>
        <w:rPr>
          <w:lang w:val="en-US"/>
        </w:rPr>
        <w:t>MiFIR</w:t>
      </w:r>
      <w:proofErr w:type="spellEnd"/>
      <w:r>
        <w:rPr>
          <w:lang w:val="en-US"/>
        </w:rPr>
        <w:t xml:space="preserve"> refer to the G20 agreement in Pittsburgh highlighting the need to “</w:t>
      </w:r>
      <w:r w:rsidRPr="00CF77A5">
        <w:rPr>
          <w:lang w:val="en-US"/>
        </w:rPr>
        <w:t xml:space="preserve">move trading in </w:t>
      </w:r>
      <w:proofErr w:type="spellStart"/>
      <w:r w:rsidRPr="00CF77A5">
        <w:rPr>
          <w:lang w:val="en-US"/>
        </w:rPr>
        <w:t>standardised</w:t>
      </w:r>
      <w:proofErr w:type="spellEnd"/>
      <w:r w:rsidRPr="00CF77A5">
        <w:rPr>
          <w:lang w:val="en-US"/>
        </w:rPr>
        <w:t xml:space="preserve"> OTC derivative contracts to exchanges or electronic trading platforms where appropriate</w:t>
      </w:r>
      <w:r>
        <w:rPr>
          <w:lang w:val="en-US"/>
        </w:rPr>
        <w:t>”</w:t>
      </w:r>
    </w:p>
    <w:p w:rsidR="0074093A" w:rsidRPr="00D32E7C" w:rsidRDefault="0074093A" w:rsidP="003168CF">
      <w:pPr>
        <w:pStyle w:val="FootnoteText"/>
        <w:rPr>
          <w:color w:val="FF0000"/>
          <w:lang w:val="en-US"/>
        </w:rPr>
      </w:pPr>
    </w:p>
  </w:footnote>
  <w:footnote w:id="9">
    <w:p w:rsidR="0074093A" w:rsidRDefault="0074093A" w:rsidP="003168CF">
      <w:pPr>
        <w:pStyle w:val="FootnoteText"/>
      </w:pPr>
      <w:r>
        <w:rPr>
          <w:rStyle w:val="FootnoteReference"/>
        </w:rPr>
        <w:footnoteRef/>
      </w:r>
      <w:r>
        <w:t xml:space="preserve"> Recital 28 of </w:t>
      </w:r>
      <w:proofErr w:type="spellStart"/>
      <w:r>
        <w:t>MiFIR</w:t>
      </w:r>
      <w:proofErr w:type="spellEnd"/>
      <w:r>
        <w:t xml:space="preserve"> states:</w:t>
      </w:r>
    </w:p>
    <w:p w:rsidR="0074093A" w:rsidRPr="00316B1E" w:rsidRDefault="0074093A" w:rsidP="003168CF">
      <w:pPr>
        <w:pStyle w:val="FootnoteText"/>
      </w:pPr>
    </w:p>
    <w:p w:rsidR="0074093A" w:rsidRDefault="0074093A" w:rsidP="003168CF">
      <w:pPr>
        <w:pStyle w:val="FootnoteText"/>
      </w:pPr>
      <w:r>
        <w:t>“</w:t>
      </w:r>
      <w:r w:rsidRPr="00316B1E">
        <w:t>The trading obligation established for those derivatives should allow for efficient competition between eligible trading venues.</w:t>
      </w:r>
      <w:r>
        <w:t>”</w:t>
      </w:r>
    </w:p>
  </w:footnote>
  <w:footnote w:id="10">
    <w:p w:rsidR="0074093A" w:rsidRDefault="0074093A">
      <w:pPr>
        <w:pStyle w:val="FootnoteText"/>
      </w:pPr>
      <w:r>
        <w:rPr>
          <w:rStyle w:val="FootnoteReference"/>
        </w:rPr>
        <w:footnoteRef/>
      </w:r>
      <w:r>
        <w:t xml:space="preserve"> Section 7.1: Overview of the dataset</w:t>
      </w:r>
    </w:p>
  </w:footnote>
  <w:footnote w:id="11">
    <w:p w:rsidR="0074093A" w:rsidRDefault="0074093A" w:rsidP="003168CF">
      <w:pPr>
        <w:pStyle w:val="FootnoteText"/>
      </w:pPr>
      <w:r>
        <w:rPr>
          <w:sz w:val="22"/>
          <w:szCs w:val="22"/>
          <w:vertAlign w:val="superscript"/>
        </w:rPr>
        <w:footnoteRef/>
      </w:r>
      <w:r>
        <w:t xml:space="preserve"> </w:t>
      </w:r>
      <w:proofErr w:type="spellStart"/>
      <w:r>
        <w:t>MiFIR</w:t>
      </w:r>
      <w:proofErr w:type="spellEnd"/>
      <w:r>
        <w:t>, Article 32(5)</w:t>
      </w:r>
    </w:p>
  </w:footnote>
  <w:footnote w:id="12">
    <w:p w:rsidR="0074093A" w:rsidRPr="00275C85" w:rsidRDefault="0074093A" w:rsidP="003168CF">
      <w:pPr>
        <w:pStyle w:val="FootnoteText"/>
        <w:rPr>
          <w:lang w:val="en-US"/>
        </w:rPr>
      </w:pPr>
      <w:r>
        <w:rPr>
          <w:rStyle w:val="FootnoteReference"/>
        </w:rPr>
        <w:footnoteRef/>
      </w:r>
      <w:r>
        <w:t xml:space="preserve"> </w:t>
      </w:r>
      <w:proofErr w:type="gramStart"/>
      <w:r>
        <w:rPr>
          <w:lang w:val="en-US"/>
        </w:rPr>
        <w:t>DP at 16.</w:t>
      </w:r>
      <w:proofErr w:type="gramEnd"/>
      <w:r>
        <w:rPr>
          <w:lang w:val="en-US"/>
        </w:rPr>
        <w:t xml:space="preserve">  </w:t>
      </w:r>
    </w:p>
  </w:footnote>
  <w:footnote w:id="13">
    <w:p w:rsidR="0074093A" w:rsidRDefault="0074093A">
      <w:pPr>
        <w:pStyle w:val="FootnoteText"/>
      </w:pPr>
      <w:r>
        <w:rPr>
          <w:rStyle w:val="FootnoteReference"/>
        </w:rPr>
        <w:footnoteRef/>
      </w:r>
      <w:r>
        <w:t xml:space="preserve"> The Japan FSA TO for JPY IRS applies only to three tenors for JPY LIBOR (5y, 7y and 10y) for interest rates (6M frequency) and clearable at the Japan Securities Clearing Corporation (JSCC). Furthermore, it is only applicable to market participants that have a gross notional outstanding in derivatives of more than JPY 6 trillion. </w:t>
      </w:r>
    </w:p>
  </w:footnote>
  <w:footnote w:id="14">
    <w:p w:rsidR="0074093A" w:rsidRDefault="0074093A" w:rsidP="003168CF">
      <w:pPr>
        <w:pStyle w:val="FootnoteText"/>
      </w:pPr>
      <w:r>
        <w:rPr>
          <w:rStyle w:val="FootnoteReference"/>
        </w:rPr>
        <w:footnoteRef/>
      </w:r>
      <w:r>
        <w:t xml:space="preserve"> DP Para. 84.  </w:t>
      </w:r>
    </w:p>
  </w:footnote>
  <w:footnote w:id="15">
    <w:p w:rsidR="0074093A" w:rsidRDefault="0074093A" w:rsidP="003168CF">
      <w:pPr>
        <w:pStyle w:val="FootnoteText"/>
      </w:pPr>
      <w:r>
        <w:rPr>
          <w:sz w:val="22"/>
          <w:szCs w:val="22"/>
          <w:vertAlign w:val="superscript"/>
        </w:rPr>
        <w:footnoteRef/>
      </w:r>
      <w:r>
        <w:t xml:space="preserve"> http://eur-lex.europa.eu/legal-content/EN/TXT/PDF/?uri=CELEX:52009DC0332&amp;from=EN</w:t>
      </w:r>
    </w:p>
  </w:footnote>
  <w:footnote w:id="16">
    <w:p w:rsidR="0074093A" w:rsidRDefault="0074093A" w:rsidP="003168CF">
      <w:pPr>
        <w:pStyle w:val="FootnoteText"/>
      </w:pPr>
      <w:r>
        <w:rPr>
          <w:sz w:val="22"/>
          <w:szCs w:val="22"/>
          <w:vertAlign w:val="superscript"/>
        </w:rPr>
        <w:footnoteRef/>
      </w:r>
      <w:r>
        <w:t xml:space="preserve"> Pg. 43</w:t>
      </w:r>
    </w:p>
  </w:footnote>
  <w:footnote w:id="17">
    <w:p w:rsidR="0074093A" w:rsidRDefault="0074093A" w:rsidP="00F522AA">
      <w:pPr>
        <w:pStyle w:val="FootnoteText"/>
      </w:pPr>
      <w:r>
        <w:rPr>
          <w:rStyle w:val="FootnoteReference"/>
        </w:rPr>
        <w:footnoteRef/>
      </w:r>
      <w:r>
        <w:t xml:space="preserve"> The “Compression” field in Table 2 of the Commission implementing regulation is to be populated with ‘Y’ if the contract to be reported results from compression.</w:t>
      </w:r>
    </w:p>
    <w:p w:rsidR="0074093A" w:rsidRPr="00172013" w:rsidRDefault="0074093A" w:rsidP="00F522AA">
      <w:pPr>
        <w:pStyle w:val="FootnoteText"/>
      </w:pPr>
      <w:hyperlink r:id="rId5" w:history="1">
        <w:r>
          <w:rPr>
            <w:rStyle w:val="Hyperlink1"/>
          </w:rPr>
          <w:t>http://eur-lex.europa.eu/legal-content/EN/TXT/PDF/?uri=CELEX:32012R1247&amp;from=EN</w:t>
        </w:r>
      </w:hyperlink>
    </w:p>
  </w:footnote>
  <w:footnote w:id="18">
    <w:p w:rsidR="0074093A" w:rsidRPr="00745BF0" w:rsidRDefault="0074093A" w:rsidP="003168CF">
      <w:pPr>
        <w:pStyle w:val="FootnoteText"/>
      </w:pPr>
      <w:r>
        <w:rPr>
          <w:rStyle w:val="FootnoteReference"/>
        </w:rPr>
        <w:footnoteRef/>
      </w:r>
      <w:r>
        <w:t xml:space="preserve"> </w:t>
      </w:r>
      <w:proofErr w:type="gramStart"/>
      <w:r>
        <w:t>Page.</w:t>
      </w:r>
      <w:proofErr w:type="gramEnd"/>
      <w:r>
        <w:t xml:space="preserve"> 48</w:t>
      </w:r>
    </w:p>
  </w:footnote>
  <w:footnote w:id="19">
    <w:p w:rsidR="0074093A" w:rsidRDefault="0074093A" w:rsidP="003168CF">
      <w:pPr>
        <w:pStyle w:val="FootnoteText"/>
      </w:pPr>
      <w:r>
        <w:rPr>
          <w:sz w:val="22"/>
          <w:szCs w:val="22"/>
          <w:vertAlign w:val="superscript"/>
        </w:rPr>
        <w:footnoteRef/>
      </w:r>
      <w:r>
        <w:t xml:space="preserve"> This is not considering the bank holidays in various jurisdictions in Europe where no trading activity takes place</w:t>
      </w:r>
    </w:p>
  </w:footnote>
  <w:footnote w:id="20">
    <w:p w:rsidR="0074093A" w:rsidRDefault="0074093A" w:rsidP="003168CF">
      <w:pPr>
        <w:pStyle w:val="FootnoteText"/>
      </w:pPr>
      <w:r>
        <w:rPr>
          <w:sz w:val="22"/>
          <w:szCs w:val="22"/>
          <w:vertAlign w:val="superscript"/>
        </w:rPr>
        <w:footnoteRef/>
      </w:r>
      <w:r>
        <w:t xml:space="preserve"> Compression activity is often bulk processed on a weekend</w:t>
      </w:r>
    </w:p>
  </w:footnote>
  <w:footnote w:id="21">
    <w:p w:rsidR="0074093A" w:rsidRPr="00762816" w:rsidRDefault="0074093A" w:rsidP="00DC4C0E">
      <w:pPr>
        <w:pStyle w:val="FootnoteText"/>
      </w:pPr>
      <w:r>
        <w:rPr>
          <w:rStyle w:val="FootnoteReference"/>
        </w:rPr>
        <w:footnoteRef/>
      </w:r>
      <w:r>
        <w:t xml:space="preserve"> </w:t>
      </w:r>
      <w:r w:rsidRPr="00762816">
        <w:t>https://www.esma.europa.eu/sites/default/files/library/2016-1565_final_report_on_clearing_obligation.pdf</w:t>
      </w:r>
    </w:p>
  </w:footnote>
  <w:footnote w:id="22">
    <w:p w:rsidR="00921E83" w:rsidRDefault="00921E83">
      <w:pPr>
        <w:pStyle w:val="FootnoteText"/>
      </w:pPr>
      <w:r>
        <w:rPr>
          <w:rStyle w:val="FootnoteReference"/>
        </w:rPr>
        <w:footnoteRef/>
      </w:r>
      <w:r>
        <w:t xml:space="preserve"> US CFTC and Japan FSA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93A" w:rsidRDefault="0074093A">
    <w:pPr>
      <w:pStyle w:val="Header"/>
    </w:pPr>
    <w:r>
      <w:rPr>
        <w:noProof/>
        <w:lang w:eastAsia="en-GB"/>
      </w:rPr>
      <w:drawing>
        <wp:anchor distT="0" distB="0" distL="114300" distR="114300" simplePos="0" relativeHeight="251658240" behindDoc="0" locked="0" layoutInCell="1" allowOverlap="1">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6192" behindDoc="0" locked="0" layoutInCell="1" allowOverlap="1">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14E6812E"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93A" w:rsidRDefault="0074093A" w:rsidP="00013CCE">
    <w:pPr>
      <w:pStyle w:val="Header"/>
      <w:jc w:val="right"/>
    </w:pPr>
    <w:r>
      <w:rPr>
        <w:noProof/>
        <w:lang w:eastAsia="en-GB"/>
      </w:rPr>
      <w:drawing>
        <wp:anchor distT="0" distB="0" distL="114300" distR="114300" simplePos="0" relativeHeight="251657216" behindDoc="0" locked="0" layoutInCell="1" allowOverlap="1">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5168" behindDoc="1" locked="0" layoutInCell="1" allowOverlap="1">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93A" w:rsidRDefault="0074093A"/>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74093A" w:rsidRPr="002F4496" w:rsidTr="000C06C9">
      <w:trPr>
        <w:trHeight w:val="284"/>
      </w:trPr>
      <w:tc>
        <w:tcPr>
          <w:tcW w:w="8460" w:type="dxa"/>
        </w:tcPr>
        <w:p w:rsidR="0074093A" w:rsidRPr="000C3B6D" w:rsidRDefault="0074093A" w:rsidP="000C06C9">
          <w:pPr>
            <w:pStyle w:val="00Footer"/>
            <w:rPr>
              <w:lang w:val="fr-FR"/>
            </w:rPr>
          </w:pPr>
        </w:p>
      </w:tc>
      <w:tc>
        <w:tcPr>
          <w:tcW w:w="952" w:type="dxa"/>
        </w:tcPr>
        <w:p w:rsidR="0074093A" w:rsidRPr="00146B34" w:rsidRDefault="0074093A" w:rsidP="000C06C9">
          <w:pPr>
            <w:pStyle w:val="00aPagenumber"/>
            <w:rPr>
              <w:lang w:val="fr-FR"/>
            </w:rPr>
          </w:pPr>
        </w:p>
      </w:tc>
    </w:tr>
  </w:tbl>
  <w:p w:rsidR="0074093A" w:rsidRPr="00DB46C3" w:rsidRDefault="0074093A">
    <w:pPr>
      <w:rPr>
        <w:lang w:val="fr-FR"/>
      </w:rPr>
    </w:pPr>
  </w:p>
  <w:p w:rsidR="0074093A" w:rsidRPr="002F4496" w:rsidRDefault="0074093A">
    <w:pPr>
      <w:pStyle w:val="Header"/>
      <w:rPr>
        <w:lang w:val="fr-FR"/>
      </w:rPr>
    </w:pPr>
  </w:p>
  <w:p w:rsidR="0074093A" w:rsidRPr="002F4496" w:rsidRDefault="0074093A" w:rsidP="000C06C9">
    <w:pPr>
      <w:pStyle w:val="Header"/>
      <w:tabs>
        <w:tab w:val="clear" w:pos="4536"/>
        <w:tab w:val="clear" w:pos="9072"/>
        <w:tab w:val="left" w:pos="8227"/>
      </w:tabs>
      <w:rPr>
        <w:lang w:val="fr-FR"/>
      </w:rPr>
    </w:pPr>
  </w:p>
  <w:p w:rsidR="0074093A" w:rsidRPr="002F4496" w:rsidRDefault="0074093A" w:rsidP="000C06C9">
    <w:pPr>
      <w:pStyle w:val="Header"/>
      <w:tabs>
        <w:tab w:val="clear" w:pos="4536"/>
        <w:tab w:val="clear" w:pos="9072"/>
        <w:tab w:val="left" w:pos="8227"/>
      </w:tabs>
      <w:rPr>
        <w:lang w:val="fr-FR"/>
      </w:rPr>
    </w:pPr>
  </w:p>
  <w:p w:rsidR="0074093A" w:rsidRPr="002F4496" w:rsidRDefault="0074093A">
    <w:pPr>
      <w:pStyle w:val="Header"/>
      <w:rPr>
        <w:lang w:val="fr-FR"/>
      </w:rPr>
    </w:pPr>
  </w:p>
  <w:p w:rsidR="0074093A" w:rsidRPr="002F4496" w:rsidRDefault="0074093A">
    <w:pPr>
      <w:pStyle w:val="Header"/>
      <w:rPr>
        <w:lang w:val="fr-FR"/>
      </w:rPr>
    </w:pPr>
  </w:p>
  <w:p w:rsidR="0074093A" w:rsidRPr="002F4496" w:rsidRDefault="0074093A">
    <w:pPr>
      <w:pStyle w:val="Header"/>
      <w:rPr>
        <w:lang w:val="fr-FR"/>
      </w:rPr>
    </w:pPr>
  </w:p>
  <w:p w:rsidR="0074093A" w:rsidRPr="002F4496" w:rsidRDefault="0074093A">
    <w:pPr>
      <w:pStyle w:val="Header"/>
      <w:rPr>
        <w:lang w:val="fr-FR"/>
      </w:rPr>
    </w:pPr>
  </w:p>
  <w:p w:rsidR="0074093A" w:rsidRPr="002F4496" w:rsidRDefault="0074093A">
    <w:pPr>
      <w:pStyle w:val="Header"/>
      <w:rPr>
        <w:highlight w:val="yellow"/>
        <w:lang w:val="fr-FR"/>
      </w:rPr>
    </w:pPr>
  </w:p>
  <w:p w:rsidR="0074093A" w:rsidRDefault="0074093A">
    <w:pPr>
      <w:pStyle w:val="Header"/>
    </w:pPr>
    <w:r>
      <w:rPr>
        <w:noProof/>
        <w:lang w:eastAsia="en-GB"/>
      </w:rPr>
      <mc:AlternateContent>
        <mc:Choice Requires="wps">
          <w:drawing>
            <wp:anchor distT="0" distB="0" distL="114299" distR="114299" simplePos="0" relativeHeight="251660288" behindDoc="0" locked="0" layoutInCell="1" allowOverlap="1" wp14:anchorId="22F5F3E4" wp14:editId="509A417A">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4CE0BB5D"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eastAsia="en-GB"/>
      </w:rPr>
      <w:drawing>
        <wp:anchor distT="0" distB="0" distL="114300" distR="114300" simplePos="0" relativeHeight="251659264" behindDoc="0" locked="0" layoutInCell="1" allowOverlap="1" wp14:anchorId="48CEC262" wp14:editId="3F03F401">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7BC6EC9"/>
    <w:multiLevelType w:val="hybridMultilevel"/>
    <w:tmpl w:val="B5340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1F22A04"/>
    <w:multiLevelType w:val="hybridMultilevel"/>
    <w:tmpl w:val="55F040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6">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23843D77"/>
    <w:multiLevelType w:val="hybridMultilevel"/>
    <w:tmpl w:val="795A1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9">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1">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2">
    <w:nsid w:val="3835073A"/>
    <w:multiLevelType w:val="hybridMultilevel"/>
    <w:tmpl w:val="F216DA72"/>
    <w:lvl w:ilvl="0" w:tplc="0409000F">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5">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7">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9">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0">
    <w:nsid w:val="44996110"/>
    <w:multiLevelType w:val="hybridMultilevel"/>
    <w:tmpl w:val="C716314C"/>
    <w:lvl w:ilvl="0" w:tplc="AA62E146">
      <w:start w:val="1"/>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2">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4">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5">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7">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9">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1">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2">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4">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5">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6">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8">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9">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40">
    <w:nsid w:val="7EBF3D4F"/>
    <w:multiLevelType w:val="hybridMultilevel"/>
    <w:tmpl w:val="75A6F7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7"/>
  </w:num>
  <w:num w:numId="2">
    <w:abstractNumId w:val="19"/>
  </w:num>
  <w:num w:numId="3">
    <w:abstractNumId w:val="13"/>
  </w:num>
  <w:num w:numId="4">
    <w:abstractNumId w:val="25"/>
  </w:num>
  <w:num w:numId="5">
    <w:abstractNumId w:val="27"/>
  </w:num>
  <w:num w:numId="6">
    <w:abstractNumId w:val="0"/>
  </w:num>
  <w:num w:numId="7">
    <w:abstractNumId w:val="5"/>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num>
  <w:num w:numId="1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num>
  <w:num w:numId="13">
    <w:abstractNumId w:val="32"/>
  </w:num>
  <w:num w:numId="14">
    <w:abstractNumId w:val="24"/>
  </w:num>
  <w:num w:numId="15">
    <w:abstractNumId w:val="11"/>
  </w:num>
  <w:num w:numId="16">
    <w:abstractNumId w:val="1"/>
  </w:num>
  <w:num w:numId="17">
    <w:abstractNumId w:val="15"/>
  </w:num>
  <w:num w:numId="18">
    <w:abstractNumId w:val="16"/>
  </w:num>
  <w:num w:numId="19">
    <w:abstractNumId w:val="18"/>
  </w:num>
  <w:num w:numId="20">
    <w:abstractNumId w:val="28"/>
  </w:num>
  <w:num w:numId="21">
    <w:abstractNumId w:val="37"/>
  </w:num>
  <w:num w:numId="22">
    <w:abstractNumId w:val="26"/>
  </w:num>
  <w:num w:numId="23">
    <w:abstractNumId w:val="10"/>
  </w:num>
  <w:num w:numId="24">
    <w:abstractNumId w:val="31"/>
  </w:num>
  <w:num w:numId="25">
    <w:abstractNumId w:val="30"/>
  </w:num>
  <w:num w:numId="26">
    <w:abstractNumId w:val="21"/>
  </w:num>
  <w:num w:numId="27">
    <w:abstractNumId w:val="34"/>
  </w:num>
  <w:num w:numId="28">
    <w:abstractNumId w:val="39"/>
  </w:num>
  <w:num w:numId="29">
    <w:abstractNumId w:val="8"/>
  </w:num>
  <w:num w:numId="30">
    <w:abstractNumId w:val="4"/>
  </w:num>
  <w:num w:numId="31">
    <w:abstractNumId w:val="23"/>
  </w:num>
  <w:num w:numId="32">
    <w:abstractNumId w:val="2"/>
  </w:num>
  <w:num w:numId="33">
    <w:abstractNumId w:val="7"/>
  </w:num>
  <w:num w:numId="34">
    <w:abstractNumId w:val="22"/>
  </w:num>
  <w:num w:numId="35">
    <w:abstractNumId w:val="36"/>
  </w:num>
  <w:num w:numId="36">
    <w:abstractNumId w:val="35"/>
  </w:num>
  <w:num w:numId="37">
    <w:abstractNumId w:val="20"/>
  </w:num>
  <w:num w:numId="38">
    <w:abstractNumId w:val="3"/>
  </w:num>
  <w:num w:numId="39">
    <w:abstractNumId w:val="12"/>
  </w:num>
  <w:num w:numId="40">
    <w:abstractNumId w:val="4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09"/>
  <w:autoHyphenation/>
  <w:hyphenationZone w:val="567"/>
  <w:characterSpacingControl w:val="doNotCompress"/>
  <w:hdrShapeDefaults>
    <o:shapedefaults v:ext="edit" spidmax="40961">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69"/>
    <w:rsid w:val="00027154"/>
    <w:rsid w:val="00027ECF"/>
    <w:rsid w:val="000303BE"/>
    <w:rsid w:val="0003248F"/>
    <w:rsid w:val="000344D6"/>
    <w:rsid w:val="00034960"/>
    <w:rsid w:val="00036FAE"/>
    <w:rsid w:val="00041858"/>
    <w:rsid w:val="0004389E"/>
    <w:rsid w:val="000463A6"/>
    <w:rsid w:val="00046CA0"/>
    <w:rsid w:val="00046CC9"/>
    <w:rsid w:val="00046E91"/>
    <w:rsid w:val="000502FE"/>
    <w:rsid w:val="0005126D"/>
    <w:rsid w:val="00051992"/>
    <w:rsid w:val="00051E9A"/>
    <w:rsid w:val="000521A7"/>
    <w:rsid w:val="00052F47"/>
    <w:rsid w:val="000537BB"/>
    <w:rsid w:val="0005399B"/>
    <w:rsid w:val="00054DE6"/>
    <w:rsid w:val="000569D7"/>
    <w:rsid w:val="000576D7"/>
    <w:rsid w:val="00060F72"/>
    <w:rsid w:val="00062592"/>
    <w:rsid w:val="000636A1"/>
    <w:rsid w:val="000649D9"/>
    <w:rsid w:val="000652BE"/>
    <w:rsid w:val="00066479"/>
    <w:rsid w:val="0006723C"/>
    <w:rsid w:val="00070376"/>
    <w:rsid w:val="00070630"/>
    <w:rsid w:val="00070974"/>
    <w:rsid w:val="00071EAD"/>
    <w:rsid w:val="00071F4E"/>
    <w:rsid w:val="00072271"/>
    <w:rsid w:val="00072B54"/>
    <w:rsid w:val="0007463D"/>
    <w:rsid w:val="000749F0"/>
    <w:rsid w:val="0007609D"/>
    <w:rsid w:val="00077C67"/>
    <w:rsid w:val="00080976"/>
    <w:rsid w:val="00081CEB"/>
    <w:rsid w:val="00081E60"/>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4660"/>
    <w:rsid w:val="000D5BDB"/>
    <w:rsid w:val="000D705D"/>
    <w:rsid w:val="000D7EB9"/>
    <w:rsid w:val="000E0223"/>
    <w:rsid w:val="000E0CF3"/>
    <w:rsid w:val="000E18A8"/>
    <w:rsid w:val="000E1AEC"/>
    <w:rsid w:val="000E3937"/>
    <w:rsid w:val="000E4926"/>
    <w:rsid w:val="000E5F7F"/>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68B2"/>
    <w:rsid w:val="00117C20"/>
    <w:rsid w:val="00120F0E"/>
    <w:rsid w:val="00121A5D"/>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5C36"/>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3138"/>
    <w:rsid w:val="001B4E4B"/>
    <w:rsid w:val="001B50AC"/>
    <w:rsid w:val="001B5E05"/>
    <w:rsid w:val="001B6D68"/>
    <w:rsid w:val="001B6F2E"/>
    <w:rsid w:val="001C0344"/>
    <w:rsid w:val="001C0F2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D7508"/>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301E6"/>
    <w:rsid w:val="0023232F"/>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51A4"/>
    <w:rsid w:val="002559F3"/>
    <w:rsid w:val="00256DFE"/>
    <w:rsid w:val="00260D86"/>
    <w:rsid w:val="00261D56"/>
    <w:rsid w:val="00261FD3"/>
    <w:rsid w:val="00264077"/>
    <w:rsid w:val="00266B9A"/>
    <w:rsid w:val="00270E54"/>
    <w:rsid w:val="00273633"/>
    <w:rsid w:val="00273681"/>
    <w:rsid w:val="002754B5"/>
    <w:rsid w:val="002764C5"/>
    <w:rsid w:val="002772AE"/>
    <w:rsid w:val="00280613"/>
    <w:rsid w:val="0028274D"/>
    <w:rsid w:val="00282B96"/>
    <w:rsid w:val="002833D6"/>
    <w:rsid w:val="00283F51"/>
    <w:rsid w:val="00286064"/>
    <w:rsid w:val="002867B1"/>
    <w:rsid w:val="00287BBB"/>
    <w:rsid w:val="00287E3B"/>
    <w:rsid w:val="00290638"/>
    <w:rsid w:val="00291763"/>
    <w:rsid w:val="00291D80"/>
    <w:rsid w:val="00293156"/>
    <w:rsid w:val="00293BE7"/>
    <w:rsid w:val="002946DC"/>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87F"/>
    <w:rsid w:val="002E76FC"/>
    <w:rsid w:val="002E7F4B"/>
    <w:rsid w:val="002F0C91"/>
    <w:rsid w:val="002F0E3E"/>
    <w:rsid w:val="002F1B19"/>
    <w:rsid w:val="002F1FBF"/>
    <w:rsid w:val="002F38F6"/>
    <w:rsid w:val="002F4139"/>
    <w:rsid w:val="00300624"/>
    <w:rsid w:val="00300F56"/>
    <w:rsid w:val="00301006"/>
    <w:rsid w:val="00304A71"/>
    <w:rsid w:val="003066C8"/>
    <w:rsid w:val="0030739D"/>
    <w:rsid w:val="00307AFB"/>
    <w:rsid w:val="00311184"/>
    <w:rsid w:val="00312675"/>
    <w:rsid w:val="00314013"/>
    <w:rsid w:val="00314945"/>
    <w:rsid w:val="00315389"/>
    <w:rsid w:val="00315746"/>
    <w:rsid w:val="00315E96"/>
    <w:rsid w:val="003168CF"/>
    <w:rsid w:val="00317FC8"/>
    <w:rsid w:val="003223D7"/>
    <w:rsid w:val="00323D9F"/>
    <w:rsid w:val="00324FDB"/>
    <w:rsid w:val="00325F48"/>
    <w:rsid w:val="0033194F"/>
    <w:rsid w:val="00332304"/>
    <w:rsid w:val="00332406"/>
    <w:rsid w:val="00332D8D"/>
    <w:rsid w:val="00336B56"/>
    <w:rsid w:val="00341B25"/>
    <w:rsid w:val="00341EC0"/>
    <w:rsid w:val="0034240C"/>
    <w:rsid w:val="00344496"/>
    <w:rsid w:val="00345968"/>
    <w:rsid w:val="00347667"/>
    <w:rsid w:val="003507E2"/>
    <w:rsid w:val="003522B2"/>
    <w:rsid w:val="0035455E"/>
    <w:rsid w:val="003549A7"/>
    <w:rsid w:val="00354A6F"/>
    <w:rsid w:val="00354B48"/>
    <w:rsid w:val="00355789"/>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E7B"/>
    <w:rsid w:val="00395F4C"/>
    <w:rsid w:val="003A094C"/>
    <w:rsid w:val="003A2DED"/>
    <w:rsid w:val="003A5DAC"/>
    <w:rsid w:val="003A6591"/>
    <w:rsid w:val="003A6E9A"/>
    <w:rsid w:val="003B08C8"/>
    <w:rsid w:val="003B2567"/>
    <w:rsid w:val="003B381A"/>
    <w:rsid w:val="003B4976"/>
    <w:rsid w:val="003B4B3F"/>
    <w:rsid w:val="003B6258"/>
    <w:rsid w:val="003B7A99"/>
    <w:rsid w:val="003C0343"/>
    <w:rsid w:val="003C1C32"/>
    <w:rsid w:val="003C40DA"/>
    <w:rsid w:val="003C42BA"/>
    <w:rsid w:val="003C462F"/>
    <w:rsid w:val="003C4A02"/>
    <w:rsid w:val="003C4F05"/>
    <w:rsid w:val="003C6191"/>
    <w:rsid w:val="003C6E49"/>
    <w:rsid w:val="003D0CBF"/>
    <w:rsid w:val="003D0DD6"/>
    <w:rsid w:val="003D4B73"/>
    <w:rsid w:val="003D503B"/>
    <w:rsid w:val="003D5752"/>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10240"/>
    <w:rsid w:val="00412253"/>
    <w:rsid w:val="004142ED"/>
    <w:rsid w:val="0041634D"/>
    <w:rsid w:val="00416ABC"/>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1DA4"/>
    <w:rsid w:val="00432A91"/>
    <w:rsid w:val="004332A4"/>
    <w:rsid w:val="0043453F"/>
    <w:rsid w:val="00434A74"/>
    <w:rsid w:val="00437929"/>
    <w:rsid w:val="00437A4A"/>
    <w:rsid w:val="00440541"/>
    <w:rsid w:val="0044162D"/>
    <w:rsid w:val="0044277A"/>
    <w:rsid w:val="004434EF"/>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2CD0"/>
    <w:rsid w:val="004C3DAB"/>
    <w:rsid w:val="004C5766"/>
    <w:rsid w:val="004C5F54"/>
    <w:rsid w:val="004C6E76"/>
    <w:rsid w:val="004C77DD"/>
    <w:rsid w:val="004C7826"/>
    <w:rsid w:val="004C7B33"/>
    <w:rsid w:val="004C7C9D"/>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3BA"/>
    <w:rsid w:val="00514D10"/>
    <w:rsid w:val="00516783"/>
    <w:rsid w:val="00517EF8"/>
    <w:rsid w:val="00520083"/>
    <w:rsid w:val="0052029E"/>
    <w:rsid w:val="0052076A"/>
    <w:rsid w:val="00520A2C"/>
    <w:rsid w:val="00520E25"/>
    <w:rsid w:val="0052183D"/>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1E98"/>
    <w:rsid w:val="005532B5"/>
    <w:rsid w:val="00554A05"/>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65C0"/>
    <w:rsid w:val="005778DE"/>
    <w:rsid w:val="00580B3F"/>
    <w:rsid w:val="005825F2"/>
    <w:rsid w:val="00582911"/>
    <w:rsid w:val="005860AF"/>
    <w:rsid w:val="00587F1D"/>
    <w:rsid w:val="00590348"/>
    <w:rsid w:val="00591161"/>
    <w:rsid w:val="00592318"/>
    <w:rsid w:val="00593133"/>
    <w:rsid w:val="0059575D"/>
    <w:rsid w:val="00596825"/>
    <w:rsid w:val="005A06A0"/>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09B"/>
    <w:rsid w:val="005C3C6C"/>
    <w:rsid w:val="005C3F4C"/>
    <w:rsid w:val="005C43AA"/>
    <w:rsid w:val="005C48C8"/>
    <w:rsid w:val="005C663C"/>
    <w:rsid w:val="005D1023"/>
    <w:rsid w:val="005D148F"/>
    <w:rsid w:val="005D2AD2"/>
    <w:rsid w:val="005D3AF4"/>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FB1"/>
    <w:rsid w:val="005F5ACF"/>
    <w:rsid w:val="005F60DC"/>
    <w:rsid w:val="006000DD"/>
    <w:rsid w:val="00600F63"/>
    <w:rsid w:val="006012E1"/>
    <w:rsid w:val="00602253"/>
    <w:rsid w:val="006023E1"/>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A2CA2"/>
    <w:rsid w:val="006B2D40"/>
    <w:rsid w:val="006B34DF"/>
    <w:rsid w:val="006B39B2"/>
    <w:rsid w:val="006B3AF9"/>
    <w:rsid w:val="006B4524"/>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932"/>
    <w:rsid w:val="006D4F0C"/>
    <w:rsid w:val="006D5645"/>
    <w:rsid w:val="006E0C8A"/>
    <w:rsid w:val="006E2A23"/>
    <w:rsid w:val="006E35E5"/>
    <w:rsid w:val="006E3C72"/>
    <w:rsid w:val="006E4F20"/>
    <w:rsid w:val="006E649A"/>
    <w:rsid w:val="006F08DC"/>
    <w:rsid w:val="006F3948"/>
    <w:rsid w:val="006F4403"/>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5FB1"/>
    <w:rsid w:val="00726630"/>
    <w:rsid w:val="00727F73"/>
    <w:rsid w:val="00730705"/>
    <w:rsid w:val="00730944"/>
    <w:rsid w:val="0073248E"/>
    <w:rsid w:val="00733EE9"/>
    <w:rsid w:val="00735B8E"/>
    <w:rsid w:val="0073673C"/>
    <w:rsid w:val="00736935"/>
    <w:rsid w:val="0074093A"/>
    <w:rsid w:val="00743DE7"/>
    <w:rsid w:val="0074509E"/>
    <w:rsid w:val="00745B9F"/>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6429"/>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686"/>
    <w:rsid w:val="007C1901"/>
    <w:rsid w:val="007C49C0"/>
    <w:rsid w:val="007C55C1"/>
    <w:rsid w:val="007C5738"/>
    <w:rsid w:val="007C5772"/>
    <w:rsid w:val="007C5AC3"/>
    <w:rsid w:val="007C7233"/>
    <w:rsid w:val="007D10EE"/>
    <w:rsid w:val="007D1193"/>
    <w:rsid w:val="007D21D5"/>
    <w:rsid w:val="007D3E8D"/>
    <w:rsid w:val="007D4C91"/>
    <w:rsid w:val="007D5915"/>
    <w:rsid w:val="007D5B4F"/>
    <w:rsid w:val="007D5C30"/>
    <w:rsid w:val="007E0660"/>
    <w:rsid w:val="007E1411"/>
    <w:rsid w:val="007E1882"/>
    <w:rsid w:val="007E1BB4"/>
    <w:rsid w:val="007E3514"/>
    <w:rsid w:val="007E4AAA"/>
    <w:rsid w:val="007E4BD2"/>
    <w:rsid w:val="007E4C29"/>
    <w:rsid w:val="007E5E44"/>
    <w:rsid w:val="007F0DDA"/>
    <w:rsid w:val="007F1939"/>
    <w:rsid w:val="007F365C"/>
    <w:rsid w:val="007F5066"/>
    <w:rsid w:val="007F621C"/>
    <w:rsid w:val="007F7155"/>
    <w:rsid w:val="00800C28"/>
    <w:rsid w:val="0080245E"/>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53A6"/>
    <w:rsid w:val="00825A6B"/>
    <w:rsid w:val="00825C50"/>
    <w:rsid w:val="00826577"/>
    <w:rsid w:val="00827439"/>
    <w:rsid w:val="00827C79"/>
    <w:rsid w:val="0083003F"/>
    <w:rsid w:val="00831077"/>
    <w:rsid w:val="00831A4A"/>
    <w:rsid w:val="00832134"/>
    <w:rsid w:val="0083219E"/>
    <w:rsid w:val="0083497C"/>
    <w:rsid w:val="008352A6"/>
    <w:rsid w:val="00835B5B"/>
    <w:rsid w:val="008367AE"/>
    <w:rsid w:val="00836E50"/>
    <w:rsid w:val="00840477"/>
    <w:rsid w:val="0084121D"/>
    <w:rsid w:val="008419C1"/>
    <w:rsid w:val="00841FF8"/>
    <w:rsid w:val="00844515"/>
    <w:rsid w:val="0084465A"/>
    <w:rsid w:val="00844DFF"/>
    <w:rsid w:val="00845D87"/>
    <w:rsid w:val="00846C3A"/>
    <w:rsid w:val="00846DF7"/>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1F04"/>
    <w:rsid w:val="008746C1"/>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17B1"/>
    <w:rsid w:val="00921A42"/>
    <w:rsid w:val="00921E83"/>
    <w:rsid w:val="009223BB"/>
    <w:rsid w:val="00922491"/>
    <w:rsid w:val="00923BCF"/>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4621"/>
    <w:rsid w:val="009947FF"/>
    <w:rsid w:val="0099544B"/>
    <w:rsid w:val="009A07A6"/>
    <w:rsid w:val="009A0D56"/>
    <w:rsid w:val="009A0E2F"/>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D0219"/>
    <w:rsid w:val="009D0D55"/>
    <w:rsid w:val="009D2295"/>
    <w:rsid w:val="009D2511"/>
    <w:rsid w:val="009D3E7C"/>
    <w:rsid w:val="009D55CA"/>
    <w:rsid w:val="009D5EF0"/>
    <w:rsid w:val="009D6401"/>
    <w:rsid w:val="009E0711"/>
    <w:rsid w:val="009E1917"/>
    <w:rsid w:val="009E3594"/>
    <w:rsid w:val="009E6B77"/>
    <w:rsid w:val="009E6FC1"/>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4269"/>
    <w:rsid w:val="00A243E4"/>
    <w:rsid w:val="00A25ED4"/>
    <w:rsid w:val="00A26C5C"/>
    <w:rsid w:val="00A3026E"/>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2EBB"/>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5BA4"/>
    <w:rsid w:val="00A66BEE"/>
    <w:rsid w:val="00A671C9"/>
    <w:rsid w:val="00A67DFD"/>
    <w:rsid w:val="00A74F9F"/>
    <w:rsid w:val="00A750B3"/>
    <w:rsid w:val="00A75559"/>
    <w:rsid w:val="00A7623D"/>
    <w:rsid w:val="00A824A7"/>
    <w:rsid w:val="00A83644"/>
    <w:rsid w:val="00A83C07"/>
    <w:rsid w:val="00A83F40"/>
    <w:rsid w:val="00A84945"/>
    <w:rsid w:val="00A85543"/>
    <w:rsid w:val="00A8728B"/>
    <w:rsid w:val="00A91682"/>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824"/>
    <w:rsid w:val="00AB4B1D"/>
    <w:rsid w:val="00AB6B5E"/>
    <w:rsid w:val="00AC047F"/>
    <w:rsid w:val="00AC3934"/>
    <w:rsid w:val="00AC50C8"/>
    <w:rsid w:val="00AC5581"/>
    <w:rsid w:val="00AC56AD"/>
    <w:rsid w:val="00AC61BE"/>
    <w:rsid w:val="00AD0C8A"/>
    <w:rsid w:val="00AD0CB4"/>
    <w:rsid w:val="00AD1FF2"/>
    <w:rsid w:val="00AD2A21"/>
    <w:rsid w:val="00AD3B43"/>
    <w:rsid w:val="00AD4FF2"/>
    <w:rsid w:val="00AD506C"/>
    <w:rsid w:val="00AD6BE5"/>
    <w:rsid w:val="00AD783E"/>
    <w:rsid w:val="00AE1393"/>
    <w:rsid w:val="00AE3BC6"/>
    <w:rsid w:val="00AE4D4F"/>
    <w:rsid w:val="00AE627C"/>
    <w:rsid w:val="00AE62B0"/>
    <w:rsid w:val="00AE68A2"/>
    <w:rsid w:val="00AF0029"/>
    <w:rsid w:val="00AF0354"/>
    <w:rsid w:val="00AF1236"/>
    <w:rsid w:val="00AF3C29"/>
    <w:rsid w:val="00AF4401"/>
    <w:rsid w:val="00AF4463"/>
    <w:rsid w:val="00AF53CB"/>
    <w:rsid w:val="00AF642A"/>
    <w:rsid w:val="00AF65C5"/>
    <w:rsid w:val="00B03CE2"/>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5C57"/>
    <w:rsid w:val="00B57107"/>
    <w:rsid w:val="00B60D27"/>
    <w:rsid w:val="00B619E4"/>
    <w:rsid w:val="00B61D0B"/>
    <w:rsid w:val="00B6439A"/>
    <w:rsid w:val="00B6443B"/>
    <w:rsid w:val="00B6517B"/>
    <w:rsid w:val="00B65E71"/>
    <w:rsid w:val="00B66C26"/>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6907"/>
    <w:rsid w:val="00BB7A20"/>
    <w:rsid w:val="00BC15B1"/>
    <w:rsid w:val="00BC3C06"/>
    <w:rsid w:val="00BC4E8B"/>
    <w:rsid w:val="00BC5622"/>
    <w:rsid w:val="00BC6060"/>
    <w:rsid w:val="00BC7897"/>
    <w:rsid w:val="00BD0F35"/>
    <w:rsid w:val="00BD45A4"/>
    <w:rsid w:val="00BD4A5F"/>
    <w:rsid w:val="00BD59AA"/>
    <w:rsid w:val="00BD65E6"/>
    <w:rsid w:val="00BD6AF7"/>
    <w:rsid w:val="00BD6D15"/>
    <w:rsid w:val="00BE19EF"/>
    <w:rsid w:val="00BE425B"/>
    <w:rsid w:val="00BE51BB"/>
    <w:rsid w:val="00BE7595"/>
    <w:rsid w:val="00BE77D3"/>
    <w:rsid w:val="00BF0138"/>
    <w:rsid w:val="00BF114B"/>
    <w:rsid w:val="00BF1620"/>
    <w:rsid w:val="00BF1AC3"/>
    <w:rsid w:val="00BF373A"/>
    <w:rsid w:val="00BF62D2"/>
    <w:rsid w:val="00BF6D9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3B6"/>
    <w:rsid w:val="00C23412"/>
    <w:rsid w:val="00C264C7"/>
    <w:rsid w:val="00C271C4"/>
    <w:rsid w:val="00C274F3"/>
    <w:rsid w:val="00C30A54"/>
    <w:rsid w:val="00C316F7"/>
    <w:rsid w:val="00C31DF0"/>
    <w:rsid w:val="00C33916"/>
    <w:rsid w:val="00C33BCF"/>
    <w:rsid w:val="00C353A0"/>
    <w:rsid w:val="00C368D7"/>
    <w:rsid w:val="00C36FD1"/>
    <w:rsid w:val="00C371A5"/>
    <w:rsid w:val="00C400B0"/>
    <w:rsid w:val="00C413FC"/>
    <w:rsid w:val="00C43D33"/>
    <w:rsid w:val="00C44407"/>
    <w:rsid w:val="00C456E8"/>
    <w:rsid w:val="00C46630"/>
    <w:rsid w:val="00C47A2F"/>
    <w:rsid w:val="00C50D18"/>
    <w:rsid w:val="00C51179"/>
    <w:rsid w:val="00C51581"/>
    <w:rsid w:val="00C5282C"/>
    <w:rsid w:val="00C52FBE"/>
    <w:rsid w:val="00C5355E"/>
    <w:rsid w:val="00C535E2"/>
    <w:rsid w:val="00C53FC1"/>
    <w:rsid w:val="00C56438"/>
    <w:rsid w:val="00C570B3"/>
    <w:rsid w:val="00C6009F"/>
    <w:rsid w:val="00C60417"/>
    <w:rsid w:val="00C6046F"/>
    <w:rsid w:val="00C62040"/>
    <w:rsid w:val="00C638C2"/>
    <w:rsid w:val="00C651D4"/>
    <w:rsid w:val="00C6669E"/>
    <w:rsid w:val="00C672B0"/>
    <w:rsid w:val="00C729C7"/>
    <w:rsid w:val="00C777AD"/>
    <w:rsid w:val="00C80BBC"/>
    <w:rsid w:val="00C80C53"/>
    <w:rsid w:val="00C81195"/>
    <w:rsid w:val="00C81798"/>
    <w:rsid w:val="00C85387"/>
    <w:rsid w:val="00C85E52"/>
    <w:rsid w:val="00C86471"/>
    <w:rsid w:val="00C8677B"/>
    <w:rsid w:val="00C86F96"/>
    <w:rsid w:val="00C909C6"/>
    <w:rsid w:val="00C923B7"/>
    <w:rsid w:val="00C94D4C"/>
    <w:rsid w:val="00C96C1E"/>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6937"/>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47A5F"/>
    <w:rsid w:val="00D511C6"/>
    <w:rsid w:val="00D5121D"/>
    <w:rsid w:val="00D516AC"/>
    <w:rsid w:val="00D51F04"/>
    <w:rsid w:val="00D521BB"/>
    <w:rsid w:val="00D52875"/>
    <w:rsid w:val="00D54050"/>
    <w:rsid w:val="00D56AC0"/>
    <w:rsid w:val="00D6081B"/>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91010"/>
    <w:rsid w:val="00D920D1"/>
    <w:rsid w:val="00DA0FA7"/>
    <w:rsid w:val="00DA12B0"/>
    <w:rsid w:val="00DA16CA"/>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C0E"/>
    <w:rsid w:val="00DC4D68"/>
    <w:rsid w:val="00DC6463"/>
    <w:rsid w:val="00DC7822"/>
    <w:rsid w:val="00DC7AF1"/>
    <w:rsid w:val="00DD2D92"/>
    <w:rsid w:val="00DD3026"/>
    <w:rsid w:val="00DD33DC"/>
    <w:rsid w:val="00DD3BB0"/>
    <w:rsid w:val="00DD61F5"/>
    <w:rsid w:val="00DE57AD"/>
    <w:rsid w:val="00DE64A6"/>
    <w:rsid w:val="00DE66EB"/>
    <w:rsid w:val="00DE7035"/>
    <w:rsid w:val="00DF06BC"/>
    <w:rsid w:val="00DF12E3"/>
    <w:rsid w:val="00DF3F1D"/>
    <w:rsid w:val="00DF595C"/>
    <w:rsid w:val="00DF7EA7"/>
    <w:rsid w:val="00E04548"/>
    <w:rsid w:val="00E0484E"/>
    <w:rsid w:val="00E0516B"/>
    <w:rsid w:val="00E063F8"/>
    <w:rsid w:val="00E10980"/>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0C62"/>
    <w:rsid w:val="00E41205"/>
    <w:rsid w:val="00E41F32"/>
    <w:rsid w:val="00E42608"/>
    <w:rsid w:val="00E43536"/>
    <w:rsid w:val="00E43DA3"/>
    <w:rsid w:val="00E44B80"/>
    <w:rsid w:val="00E47430"/>
    <w:rsid w:val="00E50FB7"/>
    <w:rsid w:val="00E5199F"/>
    <w:rsid w:val="00E526DF"/>
    <w:rsid w:val="00E53C15"/>
    <w:rsid w:val="00E54EE6"/>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774"/>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314C"/>
    <w:rsid w:val="00EF40E2"/>
    <w:rsid w:val="00EF61C1"/>
    <w:rsid w:val="00EF6E68"/>
    <w:rsid w:val="00EF76DB"/>
    <w:rsid w:val="00F005FD"/>
    <w:rsid w:val="00F016BE"/>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2462"/>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2AA"/>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AC2"/>
    <w:rsid w:val="00F739D4"/>
    <w:rsid w:val="00F77D43"/>
    <w:rsid w:val="00F80953"/>
    <w:rsid w:val="00F80B5C"/>
    <w:rsid w:val="00F81312"/>
    <w:rsid w:val="00F81B90"/>
    <w:rsid w:val="00F81E6F"/>
    <w:rsid w:val="00F82FF3"/>
    <w:rsid w:val="00F8453C"/>
    <w:rsid w:val="00F84D4C"/>
    <w:rsid w:val="00F8657D"/>
    <w:rsid w:val="00F8730F"/>
    <w:rsid w:val="00F87DA3"/>
    <w:rsid w:val="00F90004"/>
    <w:rsid w:val="00F90EF4"/>
    <w:rsid w:val="00F91006"/>
    <w:rsid w:val="00F917BF"/>
    <w:rsid w:val="00F920B4"/>
    <w:rsid w:val="00F9260D"/>
    <w:rsid w:val="00F92727"/>
    <w:rsid w:val="00F93CCF"/>
    <w:rsid w:val="00F94307"/>
    <w:rsid w:val="00F9580B"/>
    <w:rsid w:val="00F95F15"/>
    <w:rsid w:val="00F975CA"/>
    <w:rsid w:val="00FA0B60"/>
    <w:rsid w:val="00FA2528"/>
    <w:rsid w:val="00FA5535"/>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D13EA"/>
    <w:rsid w:val="00FD5EC4"/>
    <w:rsid w:val="00FD7858"/>
    <w:rsid w:val="00FD7A8D"/>
    <w:rsid w:val="00FE0A7C"/>
    <w:rsid w:val="00FE1330"/>
    <w:rsid w:val="00FE1CE5"/>
    <w:rsid w:val="00FE2832"/>
    <w:rsid w:val="00FE2D38"/>
    <w:rsid w:val="00FE3929"/>
    <w:rsid w:val="00FE6082"/>
    <w:rsid w:val="00FF097B"/>
    <w:rsid w:val="00FF0B6E"/>
    <w:rsid w:val="00FF1C1B"/>
    <w:rsid w:val="00FF2067"/>
    <w:rsid w:val="00FF3BC4"/>
    <w:rsid w:val="00FF4B66"/>
    <w:rsid w:val="00FF5530"/>
    <w:rsid w:val="00FF5939"/>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colormru v:ext="edit" colors="#2d4491,#28358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99"/>
    <w:lsdException w:name="caption" w:qFormat="1"/>
    <w:lsdException w:name="footnote reference" w:uiPriority="99" w:qFormat="1"/>
    <w:lsdException w:name="line number"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630"/>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uiPriority w:val="99"/>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uiPriority w:val="99"/>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36"/>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36"/>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36"/>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36"/>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36"/>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Body">
    <w:name w:val="Body"/>
    <w:rsid w:val="003168CF"/>
    <w:pPr>
      <w:pBdr>
        <w:top w:val="nil"/>
        <w:left w:val="nil"/>
        <w:bottom w:val="nil"/>
        <w:right w:val="nil"/>
        <w:between w:val="nil"/>
        <w:bar w:val="nil"/>
      </w:pBdr>
      <w:spacing w:after="240" w:line="240" w:lineRule="exact"/>
    </w:pPr>
    <w:rPr>
      <w:rFonts w:ascii="Arial" w:eastAsia="Arial" w:hAnsi="Arial" w:cs="Arial"/>
      <w:color w:val="000000"/>
      <w:spacing w:val="-2"/>
      <w:sz w:val="18"/>
      <w:szCs w:val="18"/>
      <w:u w:color="000000"/>
      <w:bdr w:val="nil"/>
    </w:rPr>
  </w:style>
  <w:style w:type="character" w:customStyle="1" w:styleId="Hyperlink1">
    <w:name w:val="Hyperlink.1"/>
    <w:basedOn w:val="DefaultParagraphFont"/>
    <w:rsid w:val="003168CF"/>
    <w:rPr>
      <w:color w:val="0000FF"/>
      <w:u w:val="single" w:color="0000FF"/>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99"/>
    <w:lsdException w:name="caption" w:qFormat="1"/>
    <w:lsdException w:name="footnote reference" w:uiPriority="99" w:qFormat="1"/>
    <w:lsdException w:name="line number"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630"/>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uiPriority w:val="99"/>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uiPriority w:val="99"/>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36"/>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36"/>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36"/>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36"/>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36"/>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Body">
    <w:name w:val="Body"/>
    <w:rsid w:val="003168CF"/>
    <w:pPr>
      <w:pBdr>
        <w:top w:val="nil"/>
        <w:left w:val="nil"/>
        <w:bottom w:val="nil"/>
        <w:right w:val="nil"/>
        <w:between w:val="nil"/>
        <w:bar w:val="nil"/>
      </w:pBdr>
      <w:spacing w:after="240" w:line="240" w:lineRule="exact"/>
    </w:pPr>
    <w:rPr>
      <w:rFonts w:ascii="Arial" w:eastAsia="Arial" w:hAnsi="Arial" w:cs="Arial"/>
      <w:color w:val="000000"/>
      <w:spacing w:val="-2"/>
      <w:sz w:val="18"/>
      <w:szCs w:val="18"/>
      <w:u w:color="000000"/>
      <w:bdr w:val="nil"/>
    </w:rPr>
  </w:style>
  <w:style w:type="character" w:customStyle="1" w:styleId="Hyperlink1">
    <w:name w:val="Hyperlink.1"/>
    <w:basedOn w:val="DefaultParagraphFont"/>
    <w:rsid w:val="003168CF"/>
    <w:rPr>
      <w:color w:val="0000FF"/>
      <w:u w:val="single" w:color="0000F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eur-lex.europa.eu/legal-content/EN/TXT/PDF/?uri=CELEX:52009DC0332&amp;from=EN" TargetMode="External"/><Relationship Id="rId2" Type="http://schemas.openxmlformats.org/officeDocument/2006/relationships/hyperlink" Target="http://www.businesswire.com/news/home/20150904005095/en/Markit-Completes-Acquisition-DealHub" TargetMode="External"/><Relationship Id="rId1" Type="http://schemas.openxmlformats.org/officeDocument/2006/relationships/hyperlink" Target="http://www.ihsmarkit.com" TargetMode="External"/><Relationship Id="rId5" Type="http://schemas.openxmlformats.org/officeDocument/2006/relationships/hyperlink" Target="http://eur-lex.europa.eu/legal-content/EN/TXT/PDF/?uri=CELEX:32012R1247&amp;from=EN" TargetMode="External"/><Relationship Id="rId4" Type="http://schemas.openxmlformats.org/officeDocument/2006/relationships/hyperlink" Target="http://pages.stern.nyu.edu/~lpederse/papers/predatory_trading.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Website Document" ma:contentTypeID="0x010100AE6B8B4649F0FA42BC4F4897A77999EC010300188820D3D298344EB8B4A088C96902B2" ma:contentTypeVersion="20" ma:contentTypeDescription="" ma:contentTypeScope="" ma:versionID="3d18ff5c61fdf076612af0601d73877d">
  <xsd:schema xmlns:xsd="http://www.w3.org/2001/XMLSchema" xmlns:xs="http://www.w3.org/2001/XMLSchema" xmlns:p="http://schemas.microsoft.com/office/2006/metadata/properties" xmlns:ns2="04e156a7-4389-4348-bdc5-772e1b15193f" targetNamespace="http://schemas.microsoft.com/office/2006/metadata/properties" ma:root="true" ma:fieldsID="84e9c40e3a454abbc6e6f60aa86b77e0" ns2:_="">
    <xsd:import namespace="04e156a7-4389-4348-bdc5-772e1b15193f"/>
    <xsd:element name="properties">
      <xsd:complexType>
        <xsd:sequence>
          <xsd:element name="documentManagement">
            <xsd:complexType>
              <xsd:all>
                <xsd:element ref="ns2:Year"/>
                <xsd:element ref="ns2:MeetingDate" minOccurs="0"/>
                <xsd:element ref="ns2:_dlc_DocIdUrl" minOccurs="0"/>
                <xsd:element ref="ns2:_dlc_DocIdPersistId" minOccurs="0"/>
                <xsd:element ref="ns2:j05422ce24ce4e4ab320b03641ea4418" minOccurs="0"/>
                <xsd:element ref="ns2:TaxCatchAll" minOccurs="0"/>
                <xsd:element ref="ns2:TaxCatchAllLabel" minOccurs="0"/>
                <xsd:element ref="ns2:i5bb2eea380a44bda7ee278cd0cc8b9c" minOccurs="0"/>
                <xsd:element ref="ns2:gda4d86408c5493e8985022410f7cd57" minOccurs="0"/>
                <xsd:element ref="ns2:_dlc_DocId" minOccurs="0"/>
                <xsd:element ref="ns2:ecffb14172554a4ba7481deb4c063ead" minOccurs="0"/>
                <xsd:element ref="ns2:c8637115ca234e04bb3384934748beb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e156a7-4389-4348-bdc5-772e1b15193f" elementFormDefault="qualified">
    <xsd:import namespace="http://schemas.microsoft.com/office/2006/documentManagement/types"/>
    <xsd:import namespace="http://schemas.microsoft.com/office/infopath/2007/PartnerControls"/>
    <xsd:element name="Year" ma:index="4" ma:displayName="Year" ma:default="2016" ma:description="" ma:internalName="Year" ma:readOnly="false">
      <xsd:simpleType>
        <xsd:restriction base="dms:Text">
          <xsd:maxLength value="4"/>
        </xsd:restriction>
      </xsd:simpleType>
    </xsd:element>
    <xsd:element name="MeetingDate" ma:index="6" nillable="true" ma:displayName="Meeting Date" ma:description="" ma:format="DateOnly" ma:internalName="MeetingDate" ma:readOnly="false">
      <xsd:simpleType>
        <xsd:restriction base="dms:DateTime"/>
      </xsd:simpleType>
    </xsd:element>
    <xsd:element name="_dlc_DocIdUrl" ma:index="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8" nillable="true" ma:displayName="Persist ID" ma:description="Keep ID on add." ma:hidden="true" ma:internalName="_dlc_DocIdPersistId" ma:readOnly="true">
      <xsd:simpleType>
        <xsd:restriction base="dms:Boolean"/>
      </xsd:simpleType>
    </xsd:element>
    <xsd:element name="j05422ce24ce4e4ab320b03641ea4418" ma:index="9" ma:taxonomy="true" ma:internalName="j05422ce24ce4e4ab320b03641ea4418" ma:taxonomyFieldName="DocumentType" ma:displayName="Document Type" ma:readOnly="false" ma:default="" ma:fieldId="{305422ce-24ce-4e4a-b320-b03641ea4418}"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be634e61-1f3b-42f6-a906-c1c71afec3e4}" ma:internalName="TaxCatchAll" ma:showField="CatchAllData" ma:web="04e156a7-4389-4348-bdc5-772e1b15193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be634e61-1f3b-42f6-a906-c1c71afec3e4}" ma:internalName="TaxCatchAllLabel" ma:readOnly="true" ma:showField="CatchAllDataLabel" ma:web="04e156a7-4389-4348-bdc5-772e1b15193f">
      <xsd:complexType>
        <xsd:complexContent>
          <xsd:extension base="dms:MultiChoiceLookup">
            <xsd:sequence>
              <xsd:element name="Value" type="dms:Lookup" maxOccurs="unbounded" minOccurs="0" nillable="true"/>
            </xsd:sequence>
          </xsd:extension>
        </xsd:complexContent>
      </xsd:complexType>
    </xsd:element>
    <xsd:element name="i5bb2eea380a44bda7ee278cd0cc8b9c" ma:index="13" ma:taxonomy="true" ma:internalName="i5bb2eea380a44bda7ee278cd0cc8b9c" ma:taxonomyFieldName="ConfidentialityLevel" ma:displayName="Confidentiality Level" ma:default="2;#Regular|07f1e362-856b-423d-bea6-a14079762141" ma:fieldId="{25bb2eea-380a-44bd-a7ee-278cd0cc8b9c}"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gda4d86408c5493e8985022410f7cd57" ma:index="16" nillable="true" ma:taxonomy="true" ma:internalName="gda4d86408c5493e8985022410f7cd57" ma:taxonomyFieldName="EsmaAudience" ma:displayName="Audience" ma:readOnly="false" ma:default="" ma:fieldId="{0da4d864-08c5-493e-8985-022410f7cd57}" ma:sspId="0ac1876e-32bf-4158-94e7-cdbcd053a335" ma:termSetId="b571f04a-7c01-4ca7-82ee-9fa9ce367c37" ma:anchorId="00000000-0000-0000-0000-000000000000" ma:open="false" ma:isKeyword="false">
      <xsd:complexType>
        <xsd:sequence>
          <xsd:element ref="pc:Terms" minOccurs="0" maxOccurs="1"/>
        </xsd:sequence>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ecffb14172554a4ba7481deb4c063ead" ma:index="20" nillable="true" ma:taxonomy="true" ma:internalName="ecffb14172554a4ba7481deb4c063ead" ma:taxonomyFieldName="Topic" ma:displayName="Topic" ma:readOnly="false" ma:default="" ma:fieldId="{ecffb141-7255-4a4b-a748-1deb4c063ead}" ma:sspId="0ac1876e-32bf-4158-94e7-cdbcd053a335" ma:termSetId="6abdd5a6-9549-415c-8347-3fdbcce9001d" ma:anchorId="00000000-0000-0000-0000-000000000000" ma:open="true" ma:isKeyword="false">
      <xsd:complexType>
        <xsd:sequence>
          <xsd:element ref="pc:Terms" minOccurs="0" maxOccurs="1"/>
        </xsd:sequence>
      </xsd:complexType>
    </xsd:element>
    <xsd:element name="c8637115ca234e04bb3384934748beb0" ma:index="23" ma:taxonomy="true" ma:internalName="c8637115ca234e04bb3384934748beb0" ma:taxonomyFieldName="TeamName" ma:displayName="Team Name" ma:readOnly="false" ma:default="1;#Communications|7759f44a-d057-4de2-8be6-5ed35b270d6d" ma:fieldId="{c8637115-ca23-4e04-bb33-84934748beb0}" ma:sspId="0ac1876e-32bf-4158-94e7-cdbcd053a335" ma:termSetId="9ab8a8dd-aa7f-4e9e-9345-c8f50d6bfad1"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MeetingDate xmlns="04e156a7-4389-4348-bdc5-772e1b15193f" xsi:nil="true"/>
    <c8637115ca234e04bb3384934748beb0 xmlns="04e156a7-4389-4348-bdc5-772e1b15193f">
      <Terms xmlns="http://schemas.microsoft.com/office/infopath/2007/PartnerControls">
        <TermInfo xmlns="http://schemas.microsoft.com/office/infopath/2007/PartnerControls">
          <TermName xmlns="http://schemas.microsoft.com/office/infopath/2007/PartnerControls">Communications</TermName>
          <TermId xmlns="http://schemas.microsoft.com/office/infopath/2007/PartnerControls">7759f44a-d057-4de2-8be6-5ed35b270d6d</TermId>
        </TermInfo>
      </Terms>
    </c8637115ca234e04bb3384934748beb0>
    <gda4d86408c5493e8985022410f7cd57 xmlns="04e156a7-4389-4348-bdc5-772e1b15193f">
      <Terms xmlns="http://schemas.microsoft.com/office/infopath/2007/PartnerControls"/>
    </gda4d86408c5493e8985022410f7cd57>
    <Year xmlns="04e156a7-4389-4348-bdc5-772e1b15193f">2016</Year>
    <i5bb2eea380a44bda7ee278cd0cc8b9c xmlns="04e156a7-4389-4348-bdc5-772e1b15193f">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i5bb2eea380a44bda7ee278cd0cc8b9c>
    <ecffb14172554a4ba7481deb4c063ead xmlns="04e156a7-4389-4348-bdc5-772e1b15193f">
      <Terms xmlns="http://schemas.microsoft.com/office/infopath/2007/PartnerControls">
        <TermInfo xmlns="http://schemas.microsoft.com/office/infopath/2007/PartnerControls">
          <TermName xmlns="http://schemas.microsoft.com/office/infopath/2007/PartnerControls">Publications</TermName>
          <TermId xmlns="http://schemas.microsoft.com/office/infopath/2007/PartnerControls">e7965682-b06b-4956-a8ca-d94498dfae3d</TermId>
        </TermInfo>
      </Terms>
    </ecffb14172554a4ba7481deb4c063ead>
    <j05422ce24ce4e4ab320b03641ea4418 xmlns="04e156a7-4389-4348-bdc5-772e1b15193f">
      <Terms xmlns="http://schemas.microsoft.com/office/infopath/2007/PartnerControls">
        <TermInfo xmlns="http://schemas.microsoft.com/office/infopath/2007/PartnerControls">
          <TermName xmlns="http://schemas.microsoft.com/office/infopath/2007/PartnerControls">Form / Request</TermName>
          <TermId xmlns="http://schemas.microsoft.com/office/infopath/2007/PartnerControls">efe27f23-61a2-47e7-916e-544dd02c80f4</TermId>
        </TermInfo>
      </Terms>
    </j05422ce24ce4e4ab320b03641ea4418>
    <TaxCatchAll xmlns="04e156a7-4389-4348-bdc5-772e1b15193f">
      <Value>76</Value>
      <Value>2</Value>
      <Value>1</Value>
      <Value>85</Value>
    </TaxCatchAll>
    <_dlc_DocId xmlns="04e156a7-4389-4348-bdc5-772e1b15193f">ESMA71-1154262120-143</_dlc_DocId>
    <_dlc_DocIdUrl xmlns="04e156a7-4389-4348-bdc5-772e1b15193f">
      <Url>http://sherpa.esma.europa.eu/sites/COM/_layouts/15/DocIdRedir.aspx?ID=ESMA71-1154262120-143</Url>
      <Description>ESMA71-1154262120-143</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B30FA8-3D72-457A-9AB5-7BB1703E604A}">
  <ds:schemaRefs>
    <ds:schemaRef ds:uri="http://schemas.microsoft.com/sharepoint/v3/contenttype/forms"/>
  </ds:schemaRefs>
</ds:datastoreItem>
</file>

<file path=customXml/itemProps2.xml><?xml version="1.0" encoding="utf-8"?>
<ds:datastoreItem xmlns:ds="http://schemas.openxmlformats.org/officeDocument/2006/customXml" ds:itemID="{1C96BF86-3724-44E7-9F6D-9B5016056B8E}">
  <ds:schemaRefs>
    <ds:schemaRef ds:uri="http://schemas.microsoft.com/sharepoint/events"/>
  </ds:schemaRefs>
</ds:datastoreItem>
</file>

<file path=customXml/itemProps3.xml><?xml version="1.0" encoding="utf-8"?>
<ds:datastoreItem xmlns:ds="http://schemas.openxmlformats.org/officeDocument/2006/customXml" ds:itemID="{F1A5CBCA-5C46-421F-82AE-43D33A5EF3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e156a7-4389-4348-bdc5-772e1b1519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37C169-B082-42D7-95A8-39DCDC7C43D3}">
  <ds:schemaRefs>
    <ds:schemaRef ds:uri="http://schemas.openxmlformats.org/package/2006/metadata/core-properties"/>
    <ds:schemaRef ds:uri="http://purl.org/dc/elements/1.1/"/>
    <ds:schemaRef ds:uri="http://www.w3.org/XML/1998/namespace"/>
    <ds:schemaRef ds:uri="http://schemas.microsoft.com/office/infopath/2007/PartnerControls"/>
    <ds:schemaRef ds:uri="http://purl.org/dc/dcmitype/"/>
    <ds:schemaRef ds:uri="http://purl.org/dc/terms/"/>
    <ds:schemaRef ds:uri="http://schemas.microsoft.com/office/2006/documentManagement/types"/>
    <ds:schemaRef ds:uri="04e156a7-4389-4348-bdc5-772e1b15193f"/>
    <ds:schemaRef ds:uri="http://schemas.microsoft.com/office/2006/metadata/properties"/>
  </ds:schemaRefs>
</ds:datastoreItem>
</file>

<file path=customXml/itemProps5.xml><?xml version="1.0" encoding="utf-8"?>
<ds:datastoreItem xmlns:ds="http://schemas.openxmlformats.org/officeDocument/2006/customXml" ds:itemID="{A0BBB5E5-7FC3-4F6E-A53F-F89761D56907}">
  <ds:schemaRefs>
    <ds:schemaRef ds:uri="http://schemas.openxmlformats.org/officeDocument/2006/bibliography"/>
  </ds:schemaRefs>
</ds:datastoreItem>
</file>

<file path=customXml/itemProps6.xml><?xml version="1.0" encoding="utf-8"?>
<ds:datastoreItem xmlns:ds="http://schemas.openxmlformats.org/officeDocument/2006/customXml" ds:itemID="{75D6640C-F73C-4784-9847-EB88FD60B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EDA9A389.dotm</Template>
  <TotalTime>322</TotalTime>
  <Pages>18</Pages>
  <Words>6021</Words>
  <Characters>33068</Characters>
  <Application>Microsoft Office Word</Application>
  <DocSecurity>0</DocSecurity>
  <Lines>275</Lines>
  <Paragraphs>78</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MiFID II/MiFIR Consultation Paper</vt:lpstr>
      <vt:lpstr>20110000</vt:lpstr>
      <vt:lpstr>20110000</vt:lpstr>
      <vt:lpstr>20110000</vt:lpstr>
      <vt:lpstr>20110000</vt:lpstr>
    </vt:vector>
  </TitlesOfParts>
  <Company>ESMA</Company>
  <LinksUpToDate>false</LinksUpToDate>
  <CharactersWithSpaces>39011</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Harsh Agarwal</cp:lastModifiedBy>
  <cp:revision>47</cp:revision>
  <cp:lastPrinted>2016-11-21T14:29:00Z</cp:lastPrinted>
  <dcterms:created xsi:type="dcterms:W3CDTF">2016-11-21T11:20:00Z</dcterms:created>
  <dcterms:modified xsi:type="dcterms:W3CDTF">2016-11-21T18:44:00Z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0x010100AE6B8B4649F0FA42BC4F4897A77999EC010300188820D3D298344EB8B4A088C96902B2</vt:lpwstr>
  </property>
  <property fmtid="{D5CDD505-2E9C-101B-9397-08002B2CF9AE}" pid="3" name="_dlc_DocIdItemGuid">
    <vt:lpwstr>c461fb49-589e-4220-88a8-7ddc3aa23684</vt:lpwstr>
  </property>
  <property fmtid="{D5CDD505-2E9C-101B-9397-08002B2CF9AE}" pid="4" name="EsmaAudience">
    <vt:lpwstr/>
  </property>
  <property fmtid="{D5CDD505-2E9C-101B-9397-08002B2CF9AE}" pid="5" name="TeamName">
    <vt:lpwstr>1;#Communications|7759f44a-d057-4de2-8be6-5ed35b270d6d</vt:lpwstr>
  </property>
  <property fmtid="{D5CDD505-2E9C-101B-9397-08002B2CF9AE}" pid="6" name="Topic">
    <vt:lpwstr>76;#Publications|e7965682-b06b-4956-a8ca-d94498dfae3d</vt:lpwstr>
  </property>
  <property fmtid="{D5CDD505-2E9C-101B-9397-08002B2CF9AE}" pid="7" name="ConfidentialityLevel">
    <vt:lpwstr>2;#Regular|07f1e362-856b-423d-bea6-a14079762141</vt:lpwstr>
  </property>
  <property fmtid="{D5CDD505-2E9C-101B-9397-08002B2CF9AE}" pid="8" name="DocumentType">
    <vt:lpwstr>85;#Form / Request|efe27f23-61a2-47e7-916e-544dd02c80f4</vt:lpwstr>
  </property>
</Properties>
</file>