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434219" w14:paraId="66430CFE" w14:textId="77777777" w:rsidTr="00315E96">
        <w:trPr>
          <w:trHeight w:val="284"/>
        </w:trPr>
        <w:tc>
          <w:tcPr>
            <w:tcW w:w="9412" w:type="dxa"/>
          </w:tcPr>
          <w:p w14:paraId="1F365302" w14:textId="77777777" w:rsidR="00A52EBB" w:rsidRPr="00434219" w:rsidRDefault="00A52EBB" w:rsidP="00A52EBB">
            <w:pPr>
              <w:pStyle w:val="Fuzeile"/>
              <w:rPr>
                <w:rFonts w:cs="Arial"/>
                <w:sz w:val="22"/>
                <w:szCs w:val="22"/>
              </w:rPr>
            </w:pPr>
            <w:r w:rsidRPr="00434219">
              <w:rPr>
                <w:rFonts w:cs="Arial"/>
                <w:color w:val="FFFFFF" w:themeColor="background1"/>
                <w:sz w:val="22"/>
                <w:szCs w:val="22"/>
              </w:rPr>
              <w:ptab w:relativeTo="margin" w:alignment="center" w:leader="none"/>
            </w:r>
            <w:r w:rsidRPr="00434219">
              <w:rPr>
                <w:rFonts w:cs="Arial"/>
                <w:color w:val="FFFFFF" w:themeColor="background1"/>
                <w:sz w:val="22"/>
                <w:szCs w:val="22"/>
              </w:rPr>
              <w:ptab w:relativeTo="margin" w:alignment="right" w:leader="none"/>
            </w:r>
            <w:r w:rsidRPr="00434219">
              <w:rPr>
                <w:rFonts w:cs="Arial"/>
                <w:color w:val="FFFFFF" w:themeColor="background1"/>
                <w:sz w:val="22"/>
                <w:szCs w:val="22"/>
              </w:rPr>
              <w:t>20 September 2016 | ESMA/2016/1389</w:t>
            </w:r>
          </w:p>
          <w:p w14:paraId="021B240F" w14:textId="77777777" w:rsidR="00C2094B" w:rsidRPr="00434219" w:rsidRDefault="00C2094B" w:rsidP="00C81798">
            <w:pPr>
              <w:pStyle w:val="00bDBInfo"/>
              <w:rPr>
                <w:rFonts w:cs="Arial"/>
                <w:color w:val="auto"/>
                <w:sz w:val="22"/>
                <w:szCs w:val="22"/>
              </w:rPr>
            </w:pPr>
          </w:p>
        </w:tc>
      </w:tr>
    </w:tbl>
    <w:p w14:paraId="3556594C" w14:textId="77777777" w:rsidR="00FD7A8D" w:rsidRPr="00434219"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434219" w14:paraId="784B7281" w14:textId="77777777" w:rsidTr="00B835D5">
        <w:trPr>
          <w:trHeight w:hRule="exact" w:val="1209"/>
        </w:trPr>
        <w:tc>
          <w:tcPr>
            <w:tcW w:w="9397" w:type="dxa"/>
            <w:vAlign w:val="bottom"/>
          </w:tcPr>
          <w:p w14:paraId="4CAC8E1A" w14:textId="77777777" w:rsidR="00422A7D" w:rsidRPr="00434219" w:rsidRDefault="00AE627C" w:rsidP="00C81798">
            <w:pPr>
              <w:pStyle w:val="01aDBTitle"/>
              <w:jc w:val="left"/>
              <w:rPr>
                <w:rFonts w:cs="Arial"/>
              </w:rPr>
            </w:pPr>
            <w:r w:rsidRPr="00434219">
              <w:rPr>
                <w:rFonts w:cs="Arial"/>
              </w:rPr>
              <w:t>Reply form</w:t>
            </w:r>
            <w:r w:rsidR="00B835D5" w:rsidRPr="00434219">
              <w:rPr>
                <w:rFonts w:cs="Arial"/>
              </w:rPr>
              <w:t xml:space="preserve"> </w:t>
            </w:r>
            <w:r w:rsidR="0043173B" w:rsidRPr="00434219">
              <w:rPr>
                <w:rFonts w:cs="Arial"/>
              </w:rPr>
              <w:t>for</w:t>
            </w:r>
            <w:r w:rsidR="00027ECF" w:rsidRPr="00434219">
              <w:rPr>
                <w:rFonts w:cs="Arial"/>
              </w:rPr>
              <w:t xml:space="preserve"> the </w:t>
            </w:r>
            <w:r w:rsidR="00AB4824" w:rsidRPr="00434219">
              <w:rPr>
                <w:rFonts w:cs="Arial"/>
              </w:rPr>
              <w:t>Discussion</w:t>
            </w:r>
            <w:r w:rsidR="003A5DAC" w:rsidRPr="00434219">
              <w:rPr>
                <w:rFonts w:cs="Arial"/>
              </w:rPr>
              <w:t xml:space="preserve"> Paper </w:t>
            </w:r>
            <w:r w:rsidR="00EF0769" w:rsidRPr="00434219">
              <w:rPr>
                <w:rFonts w:cs="Arial"/>
              </w:rPr>
              <w:t xml:space="preserve">on </w:t>
            </w:r>
            <w:r w:rsidR="00725FB1" w:rsidRPr="00434219">
              <w:rPr>
                <w:rFonts w:cs="Arial"/>
              </w:rPr>
              <w:t xml:space="preserve">the </w:t>
            </w:r>
            <w:r w:rsidR="00D06937" w:rsidRPr="00434219">
              <w:rPr>
                <w:rFonts w:cs="Arial"/>
              </w:rPr>
              <w:t>trading o</w:t>
            </w:r>
            <w:r w:rsidR="00AB4824" w:rsidRPr="00434219">
              <w:rPr>
                <w:rFonts w:cs="Arial"/>
              </w:rPr>
              <w:t xml:space="preserve">bligation </w:t>
            </w:r>
            <w:r w:rsidR="00D06937" w:rsidRPr="00434219">
              <w:rPr>
                <w:rFonts w:cs="Arial"/>
              </w:rPr>
              <w:t xml:space="preserve">for derivatives </w:t>
            </w:r>
            <w:r w:rsidR="00AB4824" w:rsidRPr="00434219">
              <w:rPr>
                <w:rFonts w:cs="Arial"/>
              </w:rPr>
              <w:t xml:space="preserve">under </w:t>
            </w:r>
            <w:proofErr w:type="spellStart"/>
            <w:r w:rsidR="00AB4824" w:rsidRPr="00434219">
              <w:rPr>
                <w:rFonts w:cs="Arial"/>
              </w:rPr>
              <w:t>MiFIR</w:t>
            </w:r>
            <w:proofErr w:type="spellEnd"/>
          </w:p>
          <w:p w14:paraId="12D45EF4" w14:textId="77777777" w:rsidR="00791EB4" w:rsidRPr="00434219" w:rsidRDefault="00791EB4" w:rsidP="00C000A5">
            <w:pPr>
              <w:pStyle w:val="01aDBTitle"/>
              <w:rPr>
                <w:rFonts w:cs="Arial"/>
              </w:rPr>
            </w:pPr>
          </w:p>
        </w:tc>
      </w:tr>
      <w:tr w:rsidR="00060F72" w:rsidRPr="00434219" w14:paraId="77935854" w14:textId="77777777" w:rsidTr="00B835D5">
        <w:trPr>
          <w:trHeight w:hRule="exact" w:val="605"/>
        </w:trPr>
        <w:tc>
          <w:tcPr>
            <w:tcW w:w="9397" w:type="dxa"/>
            <w:tcMar>
              <w:top w:w="142" w:type="dxa"/>
            </w:tcMar>
          </w:tcPr>
          <w:p w14:paraId="0174C417" w14:textId="77777777" w:rsidR="00D91010" w:rsidRPr="00434219" w:rsidRDefault="00013CCE" w:rsidP="00027ECF">
            <w:pPr>
              <w:pStyle w:val="01bDBSubtitle"/>
              <w:rPr>
                <w:rFonts w:ascii="Arial" w:hAnsi="Arial" w:cs="Arial"/>
              </w:rPr>
            </w:pPr>
            <w:r w:rsidRPr="00434219">
              <w:rPr>
                <w:rFonts w:ascii="Arial" w:hAnsi="Arial" w:cs="Arial"/>
              </w:rPr>
              <w:t xml:space="preserve"> </w:t>
            </w:r>
          </w:p>
        </w:tc>
      </w:tr>
    </w:tbl>
    <w:p w14:paraId="6AB094A3" w14:textId="77777777" w:rsidR="00620D7C" w:rsidRPr="00434219" w:rsidRDefault="00620D7C" w:rsidP="00C00012">
      <w:pPr>
        <w:pStyle w:val="05HeadlinenoIndex"/>
        <w:rPr>
          <w:rFonts w:cs="Arial"/>
        </w:rPr>
        <w:sectPr w:rsidR="00620D7C" w:rsidRPr="00434219"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434219" w14:paraId="108FCCCB" w14:textId="77777777" w:rsidTr="00315E96">
        <w:trPr>
          <w:trHeight w:hRule="exact" w:val="964"/>
        </w:trPr>
        <w:tc>
          <w:tcPr>
            <w:tcW w:w="2325" w:type="dxa"/>
          </w:tcPr>
          <w:p w14:paraId="13431BD7" w14:textId="77777777" w:rsidR="00620D7C" w:rsidRPr="00434219" w:rsidRDefault="00620D7C" w:rsidP="00C81798">
            <w:pPr>
              <w:pStyle w:val="02Date"/>
              <w:rPr>
                <w:rFonts w:cs="Arial"/>
              </w:rPr>
            </w:pPr>
            <w:r w:rsidRPr="00434219">
              <w:rPr>
                <w:rFonts w:cs="Arial"/>
              </w:rPr>
              <w:lastRenderedPageBreak/>
              <w:t xml:space="preserve">Date: </w:t>
            </w:r>
            <w:r w:rsidR="00416ABC" w:rsidRPr="00434219">
              <w:rPr>
                <w:rFonts w:cs="Arial"/>
              </w:rPr>
              <w:t>20</w:t>
            </w:r>
            <w:r w:rsidR="004E49B0" w:rsidRPr="00434219">
              <w:rPr>
                <w:rFonts w:cs="Arial"/>
              </w:rPr>
              <w:t xml:space="preserve"> </w:t>
            </w:r>
            <w:r w:rsidR="00416ABC" w:rsidRPr="00434219">
              <w:rPr>
                <w:rFonts w:cs="Arial"/>
              </w:rPr>
              <w:t>September</w:t>
            </w:r>
            <w:r w:rsidR="004E49B0" w:rsidRPr="00434219">
              <w:rPr>
                <w:rFonts w:cs="Arial"/>
              </w:rPr>
              <w:t xml:space="preserve"> 201</w:t>
            </w:r>
            <w:r w:rsidR="00416ABC" w:rsidRPr="00434219">
              <w:rPr>
                <w:rFonts w:cs="Arial"/>
              </w:rPr>
              <w:t>6</w:t>
            </w:r>
          </w:p>
        </w:tc>
      </w:tr>
    </w:tbl>
    <w:p w14:paraId="77B0385F" w14:textId="77777777" w:rsidR="00F574D0" w:rsidRPr="00434219" w:rsidRDefault="00F574D0" w:rsidP="00F574D0">
      <w:pPr>
        <w:pStyle w:val="05HeadlinenoIndex"/>
        <w:rPr>
          <w:rFonts w:cs="Arial"/>
        </w:rPr>
      </w:pPr>
      <w:bookmarkStart w:id="0" w:name="_Toc280628648"/>
      <w:r w:rsidRPr="00434219">
        <w:rPr>
          <w:rFonts w:cs="Arial"/>
        </w:rPr>
        <w:t xml:space="preserve">Responding to this paper </w:t>
      </w:r>
    </w:p>
    <w:p w14:paraId="3E6F904B" w14:textId="77777777" w:rsidR="00F574D0" w:rsidRPr="00434219" w:rsidRDefault="00F574D0" w:rsidP="00F574D0">
      <w:pPr>
        <w:pStyle w:val="04BodyText"/>
        <w:spacing w:before="120" w:after="120"/>
        <w:rPr>
          <w:rFonts w:cs="Arial"/>
        </w:rPr>
      </w:pPr>
      <w:r w:rsidRPr="00434219">
        <w:rPr>
          <w:rFonts w:cs="Arial"/>
        </w:rPr>
        <w:t>The European Securities and Markets Authority (ESMA) invites responses to the s</w:t>
      </w:r>
      <w:r w:rsidR="00955F48" w:rsidRPr="00434219">
        <w:rPr>
          <w:rFonts w:cs="Arial"/>
        </w:rPr>
        <w:t xml:space="preserve">pecific questions listed </w:t>
      </w:r>
      <w:proofErr w:type="gramStart"/>
      <w:r w:rsidR="00955F48" w:rsidRPr="00434219">
        <w:rPr>
          <w:rFonts w:cs="Arial"/>
        </w:rPr>
        <w:t xml:space="preserve">in the ESMA </w:t>
      </w:r>
      <w:r w:rsidR="002E76FC" w:rsidRPr="00434219">
        <w:rPr>
          <w:rFonts w:cs="Arial"/>
        </w:rPr>
        <w:t>Discussion</w:t>
      </w:r>
      <w:r w:rsidR="00332304" w:rsidRPr="00434219">
        <w:rPr>
          <w:rFonts w:cs="Arial"/>
        </w:rPr>
        <w:t xml:space="preserve"> Paper on </w:t>
      </w:r>
      <w:r w:rsidR="005A06A0" w:rsidRPr="00434219">
        <w:rPr>
          <w:rFonts w:cs="Arial"/>
        </w:rPr>
        <w:t xml:space="preserve">the </w:t>
      </w:r>
      <w:r w:rsidR="00A52EBB" w:rsidRPr="00434219">
        <w:rPr>
          <w:rFonts w:cs="Arial"/>
        </w:rPr>
        <w:t>trading o</w:t>
      </w:r>
      <w:r w:rsidR="002E76FC" w:rsidRPr="00434219">
        <w:rPr>
          <w:rFonts w:cs="Arial"/>
        </w:rPr>
        <w:t xml:space="preserve">bligation </w:t>
      </w:r>
      <w:r w:rsidR="00A52EBB" w:rsidRPr="00434219">
        <w:rPr>
          <w:rFonts w:cs="Arial"/>
        </w:rPr>
        <w:t xml:space="preserve">for derivatives </w:t>
      </w:r>
      <w:r w:rsidR="002E76FC" w:rsidRPr="00434219">
        <w:rPr>
          <w:rFonts w:cs="Arial"/>
        </w:rPr>
        <w:t xml:space="preserve">under </w:t>
      </w:r>
      <w:proofErr w:type="spellStart"/>
      <w:r w:rsidR="002E76FC" w:rsidRPr="00434219">
        <w:rPr>
          <w:rFonts w:cs="Arial"/>
        </w:rPr>
        <w:t>MiFIR</w:t>
      </w:r>
      <w:proofErr w:type="spellEnd"/>
      <w:r w:rsidR="00015B5E" w:rsidRPr="00434219">
        <w:rPr>
          <w:rFonts w:cs="Arial"/>
        </w:rPr>
        <w:t>,</w:t>
      </w:r>
      <w:proofErr w:type="gramEnd"/>
      <w:r w:rsidR="00015B5E" w:rsidRPr="00434219">
        <w:rPr>
          <w:rFonts w:cs="Arial"/>
        </w:rPr>
        <w:t xml:space="preserve"> published on the ESMA website</w:t>
      </w:r>
      <w:r w:rsidR="004E49B0" w:rsidRPr="00434219">
        <w:rPr>
          <w:rFonts w:cs="Arial"/>
        </w:rPr>
        <w:t>.</w:t>
      </w:r>
    </w:p>
    <w:p w14:paraId="58FF69C8" w14:textId="77777777" w:rsidR="001D000A" w:rsidRPr="00434219" w:rsidRDefault="001D000A" w:rsidP="00F574D0">
      <w:pPr>
        <w:autoSpaceDE w:val="0"/>
        <w:autoSpaceDN w:val="0"/>
        <w:adjustRightInd w:val="0"/>
        <w:spacing w:before="120" w:after="120" w:line="276" w:lineRule="auto"/>
        <w:jc w:val="both"/>
        <w:rPr>
          <w:rStyle w:val="Strong4"/>
          <w:rFonts w:cs="Arial"/>
          <w:i/>
        </w:rPr>
      </w:pPr>
    </w:p>
    <w:p w14:paraId="598A0402" w14:textId="77777777" w:rsidR="00F574D0" w:rsidRPr="00434219" w:rsidRDefault="00F574D0" w:rsidP="00F574D0">
      <w:pPr>
        <w:autoSpaceDE w:val="0"/>
        <w:autoSpaceDN w:val="0"/>
        <w:adjustRightInd w:val="0"/>
        <w:spacing w:before="120" w:after="120" w:line="276" w:lineRule="auto"/>
        <w:jc w:val="both"/>
        <w:rPr>
          <w:rStyle w:val="Strong4"/>
          <w:rFonts w:cs="Arial"/>
          <w:i/>
        </w:rPr>
      </w:pPr>
      <w:r w:rsidRPr="00434219">
        <w:rPr>
          <w:rStyle w:val="Strong4"/>
          <w:rFonts w:cs="Arial"/>
          <w:i/>
        </w:rPr>
        <w:t>Instructions</w:t>
      </w:r>
    </w:p>
    <w:p w14:paraId="1EC89F37" w14:textId="77777777" w:rsidR="00F574D0" w:rsidRPr="00434219" w:rsidRDefault="00D75FEE" w:rsidP="00F574D0">
      <w:pPr>
        <w:pStyle w:val="04BodyText"/>
        <w:spacing w:before="120" w:after="120"/>
        <w:rPr>
          <w:rFonts w:cs="Arial"/>
        </w:rPr>
      </w:pPr>
      <w:r w:rsidRPr="00434219">
        <w:rPr>
          <w:rFonts w:cs="Arial"/>
        </w:rPr>
        <w:t xml:space="preserve">Please note that, in order to facilitate the analysis of the large number of responses expected, you are requested to use this file to send your response to ESMA </w:t>
      </w:r>
      <w:proofErr w:type="gramStart"/>
      <w:r w:rsidRPr="00434219">
        <w:rPr>
          <w:rFonts w:cs="Arial"/>
        </w:rPr>
        <w:t>so as to</w:t>
      </w:r>
      <w:proofErr w:type="gramEnd"/>
      <w:r w:rsidRPr="00434219">
        <w:rPr>
          <w:rFonts w:cs="Arial"/>
        </w:rPr>
        <w:t xml:space="preserve"> allow us to process it properly. Therefore, </w:t>
      </w:r>
      <w:r w:rsidR="00332304" w:rsidRPr="00434219">
        <w:rPr>
          <w:rFonts w:cs="Arial"/>
        </w:rPr>
        <w:t xml:space="preserve">ESMA will only be able to consider </w:t>
      </w:r>
      <w:proofErr w:type="gramStart"/>
      <w:r w:rsidR="00332304" w:rsidRPr="00434219">
        <w:rPr>
          <w:rFonts w:cs="Arial"/>
        </w:rPr>
        <w:t>responses which</w:t>
      </w:r>
      <w:proofErr w:type="gramEnd"/>
      <w:r w:rsidR="00332304" w:rsidRPr="00434219">
        <w:rPr>
          <w:rFonts w:cs="Arial"/>
        </w:rPr>
        <w:t xml:space="preserve"> follow the instructions described </w:t>
      </w:r>
      <w:r w:rsidRPr="00434219">
        <w:rPr>
          <w:rFonts w:cs="Arial"/>
        </w:rPr>
        <w:t>below</w:t>
      </w:r>
      <w:r w:rsidR="00F574D0" w:rsidRPr="00434219">
        <w:rPr>
          <w:rFonts w:cs="Arial"/>
        </w:rPr>
        <w:t>:</w:t>
      </w:r>
    </w:p>
    <w:p w14:paraId="1190B655" w14:textId="77777777" w:rsidR="00F574D0" w:rsidRPr="00434219" w:rsidRDefault="00F574D0" w:rsidP="00573871">
      <w:pPr>
        <w:pStyle w:val="04bList"/>
        <w:numPr>
          <w:ilvl w:val="0"/>
          <w:numId w:val="32"/>
        </w:numPr>
        <w:spacing w:before="120" w:after="120"/>
        <w:rPr>
          <w:rFonts w:cs="Arial"/>
        </w:rPr>
      </w:pPr>
      <w:r w:rsidRPr="00434219">
        <w:rPr>
          <w:rFonts w:cs="Arial"/>
        </w:rPr>
        <w:t xml:space="preserve">use </w:t>
      </w:r>
      <w:r w:rsidR="00332304" w:rsidRPr="00434219">
        <w:rPr>
          <w:rFonts w:cs="Arial"/>
        </w:rPr>
        <w:t>this form</w:t>
      </w:r>
      <w:r w:rsidR="00955F48" w:rsidRPr="00434219">
        <w:rPr>
          <w:rFonts w:cs="Arial"/>
        </w:rPr>
        <w:t xml:space="preserve"> and send </w:t>
      </w:r>
      <w:r w:rsidR="00332304" w:rsidRPr="00434219">
        <w:rPr>
          <w:rFonts w:cs="Arial"/>
        </w:rPr>
        <w:t>your</w:t>
      </w:r>
      <w:r w:rsidR="00955F48" w:rsidRPr="00434219">
        <w:rPr>
          <w:rFonts w:cs="Arial"/>
        </w:rPr>
        <w:t xml:space="preserve"> responses in Word format (pdf documents will not be considered except for annexes);</w:t>
      </w:r>
    </w:p>
    <w:p w14:paraId="77AF9AF1" w14:textId="77777777" w:rsidR="00F574D0" w:rsidRPr="00434219" w:rsidRDefault="00D75FEE" w:rsidP="00573871">
      <w:pPr>
        <w:pStyle w:val="04bList"/>
        <w:numPr>
          <w:ilvl w:val="0"/>
          <w:numId w:val="32"/>
        </w:numPr>
        <w:spacing w:before="120" w:after="120"/>
        <w:rPr>
          <w:rFonts w:cs="Arial"/>
        </w:rPr>
      </w:pPr>
      <w:r w:rsidRPr="00434219">
        <w:rPr>
          <w:rFonts w:cs="Arial"/>
        </w:rPr>
        <w:t xml:space="preserve">do </w:t>
      </w:r>
      <w:r w:rsidR="00F574D0" w:rsidRPr="00434219">
        <w:rPr>
          <w:rFonts w:cs="Arial"/>
        </w:rPr>
        <w:t>not remove the tags of type &lt;ESMA_</w:t>
      </w:r>
      <w:r w:rsidR="00955F48" w:rsidRPr="00434219">
        <w:rPr>
          <w:rFonts w:cs="Arial"/>
        </w:rPr>
        <w:t xml:space="preserve"> QUESTION_MIFID_</w:t>
      </w:r>
      <w:r w:rsidR="00AB4824" w:rsidRPr="00434219">
        <w:rPr>
          <w:rFonts w:cs="Arial"/>
        </w:rPr>
        <w:t>TO</w:t>
      </w:r>
      <w:r w:rsidR="00E9344E" w:rsidRPr="00434219">
        <w:rPr>
          <w:rFonts w:cs="Arial"/>
        </w:rPr>
        <w:t>_</w:t>
      </w:r>
      <w:r w:rsidR="00F574D0" w:rsidRPr="00434219">
        <w:rPr>
          <w:rFonts w:cs="Arial"/>
        </w:rPr>
        <w:t>1&gt; - i.e. the response to one question has to be framed by the 2 tags corresponding to the question; and</w:t>
      </w:r>
    </w:p>
    <w:p w14:paraId="26D7F501" w14:textId="77777777" w:rsidR="00F574D0" w:rsidRPr="00434219" w:rsidRDefault="00F574D0" w:rsidP="00573871">
      <w:pPr>
        <w:pStyle w:val="04bList"/>
        <w:numPr>
          <w:ilvl w:val="0"/>
          <w:numId w:val="32"/>
        </w:numPr>
        <w:spacing w:before="120" w:after="120"/>
        <w:rPr>
          <w:rFonts w:cs="Arial"/>
        </w:rPr>
      </w:pPr>
      <w:proofErr w:type="gramStart"/>
      <w:r w:rsidRPr="00434219">
        <w:rPr>
          <w:rFonts w:cs="Arial"/>
        </w:rPr>
        <w:t>if</w:t>
      </w:r>
      <w:proofErr w:type="gramEnd"/>
      <w:r w:rsidRPr="00434219">
        <w:rPr>
          <w:rFonts w:cs="Arial"/>
        </w:rPr>
        <w:t xml:space="preserve"> </w:t>
      </w:r>
      <w:r w:rsidR="00D75FEE" w:rsidRPr="00434219">
        <w:rPr>
          <w:rFonts w:cs="Arial"/>
        </w:rPr>
        <w:t>you do not have a</w:t>
      </w:r>
      <w:r w:rsidRPr="00434219">
        <w:rPr>
          <w:rFonts w:cs="Arial"/>
        </w:rPr>
        <w:t xml:space="preserve"> response to a question, </w:t>
      </w:r>
      <w:r w:rsidR="00D75FEE" w:rsidRPr="00434219">
        <w:rPr>
          <w:rFonts w:cs="Arial"/>
        </w:rPr>
        <w:t xml:space="preserve">do </w:t>
      </w:r>
      <w:r w:rsidRPr="00434219">
        <w:rPr>
          <w:rFonts w:cs="Arial"/>
        </w:rPr>
        <w:t>not delete it and leave the text “TYPE YOUR TEXT HERE” between the tags.</w:t>
      </w:r>
    </w:p>
    <w:p w14:paraId="45DEFF1B" w14:textId="77777777" w:rsidR="00F574D0" w:rsidRPr="00434219" w:rsidRDefault="00F574D0" w:rsidP="00F574D0">
      <w:pPr>
        <w:pStyle w:val="04bList"/>
        <w:numPr>
          <w:ilvl w:val="0"/>
          <w:numId w:val="0"/>
        </w:numPr>
        <w:spacing w:before="120" w:after="120"/>
        <w:rPr>
          <w:rFonts w:cs="Arial"/>
        </w:rPr>
      </w:pPr>
      <w:r w:rsidRPr="00434219">
        <w:rPr>
          <w:rFonts w:cs="Arial"/>
        </w:rPr>
        <w:t>Responses are most helpful:</w:t>
      </w:r>
    </w:p>
    <w:p w14:paraId="16ED7D30" w14:textId="77777777" w:rsidR="00F574D0" w:rsidRPr="00434219" w:rsidRDefault="00F574D0" w:rsidP="00573871">
      <w:pPr>
        <w:pStyle w:val="04bList"/>
        <w:numPr>
          <w:ilvl w:val="0"/>
          <w:numId w:val="33"/>
        </w:numPr>
        <w:spacing w:before="120" w:after="120"/>
        <w:rPr>
          <w:rFonts w:cs="Arial"/>
        </w:rPr>
      </w:pPr>
      <w:r w:rsidRPr="00434219">
        <w:rPr>
          <w:rFonts w:cs="Arial"/>
        </w:rPr>
        <w:t>if they respond to the question stated;</w:t>
      </w:r>
    </w:p>
    <w:p w14:paraId="2FE84DC4" w14:textId="77777777" w:rsidR="00F574D0" w:rsidRPr="00434219" w:rsidRDefault="00F574D0" w:rsidP="00573871">
      <w:pPr>
        <w:pStyle w:val="04bList"/>
        <w:numPr>
          <w:ilvl w:val="0"/>
          <w:numId w:val="33"/>
        </w:numPr>
        <w:spacing w:before="120" w:after="120"/>
        <w:rPr>
          <w:rFonts w:cs="Arial"/>
        </w:rPr>
      </w:pPr>
      <w:r w:rsidRPr="00434219">
        <w:rPr>
          <w:rFonts w:cs="Arial"/>
        </w:rPr>
        <w:t>contain a clear rationale, including on any related costs and benefits; and</w:t>
      </w:r>
    </w:p>
    <w:p w14:paraId="7DFC1BEF" w14:textId="77777777" w:rsidR="00A35728" w:rsidRPr="00434219" w:rsidRDefault="00F574D0" w:rsidP="00573871">
      <w:pPr>
        <w:pStyle w:val="04bList"/>
        <w:numPr>
          <w:ilvl w:val="0"/>
          <w:numId w:val="33"/>
        </w:numPr>
        <w:spacing w:before="120" w:after="120"/>
        <w:rPr>
          <w:rFonts w:cs="Arial"/>
        </w:rPr>
      </w:pPr>
      <w:proofErr w:type="gramStart"/>
      <w:r w:rsidRPr="00434219">
        <w:rPr>
          <w:rFonts w:cs="Arial"/>
        </w:rPr>
        <w:t>describe</w:t>
      </w:r>
      <w:proofErr w:type="gramEnd"/>
      <w:r w:rsidRPr="00434219">
        <w:rPr>
          <w:rFonts w:cs="Arial"/>
        </w:rPr>
        <w:t xml:space="preserve"> any alternatives that ESMA should consider</w:t>
      </w:r>
      <w:r w:rsidR="00E90774" w:rsidRPr="00434219">
        <w:rPr>
          <w:rFonts w:cs="Arial"/>
        </w:rPr>
        <w:t>.</w:t>
      </w:r>
    </w:p>
    <w:p w14:paraId="4BC8A7D2" w14:textId="77777777" w:rsidR="001D000A" w:rsidRPr="00434219" w:rsidRDefault="001D000A" w:rsidP="000D17AA">
      <w:pPr>
        <w:pStyle w:val="04BodyText"/>
        <w:spacing w:before="120" w:after="120"/>
        <w:jc w:val="left"/>
        <w:rPr>
          <w:rFonts w:cs="Arial"/>
          <w:b/>
        </w:rPr>
      </w:pPr>
    </w:p>
    <w:p w14:paraId="6BDAF0D6" w14:textId="77777777" w:rsidR="000D17AA" w:rsidRPr="00434219" w:rsidRDefault="00606240" w:rsidP="000D17AA">
      <w:pPr>
        <w:pStyle w:val="04BodyText"/>
        <w:spacing w:before="120" w:after="120"/>
        <w:jc w:val="left"/>
        <w:rPr>
          <w:rFonts w:cs="Arial"/>
          <w:b/>
        </w:rPr>
      </w:pPr>
      <w:r w:rsidRPr="00434219">
        <w:rPr>
          <w:rFonts w:cs="Arial"/>
          <w:b/>
        </w:rPr>
        <w:t>Naming protocol</w:t>
      </w:r>
    </w:p>
    <w:p w14:paraId="495641DF" w14:textId="77777777" w:rsidR="000D17AA" w:rsidRPr="00434219" w:rsidRDefault="000D17AA" w:rsidP="000D17AA">
      <w:pPr>
        <w:pStyle w:val="04BodyText"/>
        <w:spacing w:before="120" w:after="120"/>
        <w:jc w:val="left"/>
        <w:rPr>
          <w:rFonts w:cs="Arial"/>
        </w:rPr>
      </w:pPr>
      <w:r w:rsidRPr="00434219">
        <w:rPr>
          <w:rFonts w:cs="Arial"/>
        </w:rPr>
        <w:t>In order to facilitate the handling of stakeholders responses please save your document using the following format:</w:t>
      </w:r>
    </w:p>
    <w:p w14:paraId="0D29D2DE" w14:textId="77777777" w:rsidR="000D17AA" w:rsidRPr="00434219" w:rsidRDefault="00021E83" w:rsidP="000D17AA">
      <w:pPr>
        <w:pStyle w:val="04BodyText"/>
        <w:spacing w:before="120" w:after="120"/>
        <w:jc w:val="left"/>
        <w:rPr>
          <w:rFonts w:cs="Arial"/>
        </w:rPr>
      </w:pPr>
      <w:proofErr w:type="spellStart"/>
      <w:r w:rsidRPr="00434219">
        <w:rPr>
          <w:rFonts w:cs="Arial"/>
        </w:rPr>
        <w:t>ESMA_MiFID_</w:t>
      </w:r>
      <w:r w:rsidR="00AB4824" w:rsidRPr="00434219">
        <w:rPr>
          <w:rFonts w:cs="Arial"/>
        </w:rPr>
        <w:t>TO</w:t>
      </w:r>
      <w:r w:rsidRPr="00434219">
        <w:rPr>
          <w:rFonts w:cs="Arial"/>
        </w:rPr>
        <w:t>_NAMEOFCOMPANY_NAMEOFDOCUMENT</w:t>
      </w:r>
      <w:proofErr w:type="spellEnd"/>
      <w:r w:rsidR="000D17AA" w:rsidRPr="00434219">
        <w:rPr>
          <w:rFonts w:cs="Arial"/>
        </w:rPr>
        <w:t>.</w:t>
      </w:r>
    </w:p>
    <w:p w14:paraId="188B53BC" w14:textId="77777777" w:rsidR="00021E83" w:rsidRPr="00434219" w:rsidRDefault="00E90774" w:rsidP="000D17AA">
      <w:pPr>
        <w:pStyle w:val="04BodyText"/>
        <w:spacing w:before="120" w:after="120"/>
        <w:jc w:val="left"/>
        <w:rPr>
          <w:rFonts w:cs="Arial"/>
        </w:rPr>
      </w:pPr>
      <w:proofErr w:type="gramStart"/>
      <w:r w:rsidRPr="00434219">
        <w:rPr>
          <w:rFonts w:cs="Arial"/>
        </w:rPr>
        <w:t>e</w:t>
      </w:r>
      <w:r w:rsidR="000D17AA" w:rsidRPr="00434219">
        <w:rPr>
          <w:rFonts w:cs="Arial"/>
        </w:rPr>
        <w:t>.g</w:t>
      </w:r>
      <w:proofErr w:type="gramEnd"/>
      <w:r w:rsidR="000D17AA" w:rsidRPr="00434219">
        <w:rPr>
          <w:rFonts w:cs="Arial"/>
        </w:rPr>
        <w:t xml:space="preserve">. if the respondent were ESMA, the </w:t>
      </w:r>
      <w:r w:rsidR="00021E83" w:rsidRPr="00434219">
        <w:rPr>
          <w:rFonts w:cs="Arial"/>
        </w:rPr>
        <w:t>name of the reply form would be:</w:t>
      </w:r>
    </w:p>
    <w:p w14:paraId="341818E8" w14:textId="77777777" w:rsidR="00021E83" w:rsidRPr="00434219" w:rsidRDefault="00021E83" w:rsidP="000D17AA">
      <w:pPr>
        <w:pStyle w:val="04BodyText"/>
        <w:spacing w:before="120" w:after="120"/>
        <w:jc w:val="left"/>
        <w:rPr>
          <w:rFonts w:cs="Arial"/>
        </w:rPr>
      </w:pPr>
      <w:proofErr w:type="spellStart"/>
      <w:r w:rsidRPr="00434219">
        <w:rPr>
          <w:rFonts w:cs="Arial"/>
        </w:rPr>
        <w:t>ESMA_MiFID</w:t>
      </w:r>
      <w:r w:rsidR="00332304" w:rsidRPr="00434219">
        <w:rPr>
          <w:rFonts w:cs="Arial"/>
        </w:rPr>
        <w:t>_</w:t>
      </w:r>
      <w:r w:rsidR="00AB4824" w:rsidRPr="00434219">
        <w:rPr>
          <w:rFonts w:cs="Arial"/>
        </w:rPr>
        <w:t>TO</w:t>
      </w:r>
      <w:r w:rsidR="00332304" w:rsidRPr="00434219">
        <w:rPr>
          <w:rFonts w:cs="Arial"/>
        </w:rPr>
        <w:t>_</w:t>
      </w:r>
      <w:r w:rsidRPr="00434219">
        <w:rPr>
          <w:rFonts w:cs="Arial"/>
        </w:rPr>
        <w:t>ESMA_REPLYFORM</w:t>
      </w:r>
      <w:proofErr w:type="spellEnd"/>
      <w:r w:rsidRPr="00434219">
        <w:rPr>
          <w:rFonts w:cs="Arial"/>
        </w:rPr>
        <w:t xml:space="preserve"> or </w:t>
      </w:r>
    </w:p>
    <w:p w14:paraId="1B804C4F" w14:textId="77777777" w:rsidR="000D17AA" w:rsidRPr="00434219" w:rsidRDefault="00021E83" w:rsidP="000D17AA">
      <w:pPr>
        <w:pStyle w:val="04BodyText"/>
        <w:spacing w:before="120" w:after="120"/>
        <w:jc w:val="left"/>
        <w:rPr>
          <w:rFonts w:cs="Arial"/>
        </w:rPr>
      </w:pPr>
      <w:r w:rsidRPr="00434219">
        <w:rPr>
          <w:rFonts w:cs="Arial"/>
        </w:rPr>
        <w:t>ESMA_MiFID_</w:t>
      </w:r>
      <w:r w:rsidR="00AB4824" w:rsidRPr="00434219">
        <w:rPr>
          <w:rFonts w:cs="Arial"/>
        </w:rPr>
        <w:t>TO</w:t>
      </w:r>
      <w:r w:rsidRPr="00434219">
        <w:rPr>
          <w:rFonts w:cs="Arial"/>
        </w:rPr>
        <w:t>_ESMA_ANNEX1</w:t>
      </w:r>
    </w:p>
    <w:p w14:paraId="23FC25E1" w14:textId="77777777" w:rsidR="00332304" w:rsidRPr="00434219" w:rsidRDefault="00332304" w:rsidP="00332304">
      <w:pPr>
        <w:autoSpaceDE w:val="0"/>
        <w:autoSpaceDN w:val="0"/>
        <w:adjustRightInd w:val="0"/>
        <w:spacing w:before="120" w:after="120" w:line="276" w:lineRule="auto"/>
        <w:jc w:val="both"/>
        <w:rPr>
          <w:rFonts w:cs="Arial"/>
          <w:b/>
          <w:bCs/>
          <w:i/>
          <w:color w:val="000000"/>
          <w:szCs w:val="20"/>
          <w:lang w:eastAsia="en-GB"/>
        </w:rPr>
      </w:pPr>
    </w:p>
    <w:p w14:paraId="1B45DE8A" w14:textId="77777777" w:rsidR="00332304" w:rsidRPr="00434219" w:rsidRDefault="00332304" w:rsidP="00332304">
      <w:pPr>
        <w:autoSpaceDE w:val="0"/>
        <w:autoSpaceDN w:val="0"/>
        <w:adjustRightInd w:val="0"/>
        <w:spacing w:before="120" w:after="120" w:line="276" w:lineRule="auto"/>
        <w:jc w:val="both"/>
        <w:rPr>
          <w:rFonts w:cs="Arial"/>
          <w:b/>
          <w:bCs/>
          <w:i/>
          <w:color w:val="000000"/>
          <w:szCs w:val="20"/>
          <w:lang w:eastAsia="en-GB"/>
        </w:rPr>
      </w:pPr>
      <w:r w:rsidRPr="00434219">
        <w:rPr>
          <w:rFonts w:cs="Arial"/>
          <w:b/>
          <w:bCs/>
          <w:i/>
          <w:color w:val="000000"/>
          <w:szCs w:val="20"/>
          <w:lang w:eastAsia="en-GB"/>
        </w:rPr>
        <w:t>Deadline</w:t>
      </w:r>
    </w:p>
    <w:p w14:paraId="627717A4" w14:textId="77777777" w:rsidR="00F574D0" w:rsidRPr="00434219" w:rsidRDefault="00F574D0" w:rsidP="00F574D0">
      <w:pPr>
        <w:pStyle w:val="04BodyText"/>
        <w:spacing w:before="120" w:after="120"/>
        <w:rPr>
          <w:rFonts w:cs="Arial"/>
        </w:rPr>
      </w:pPr>
      <w:r w:rsidRPr="00434219">
        <w:rPr>
          <w:rFonts w:cs="Arial"/>
        </w:rPr>
        <w:t xml:space="preserve">Responses must reach us by </w:t>
      </w:r>
      <w:r w:rsidR="00416ABC" w:rsidRPr="00434219">
        <w:rPr>
          <w:rFonts w:cs="Arial"/>
          <w:b/>
        </w:rPr>
        <w:t>21 November 2016</w:t>
      </w:r>
      <w:r w:rsidR="00021E83" w:rsidRPr="00434219">
        <w:rPr>
          <w:rFonts w:cs="Arial"/>
          <w:b/>
        </w:rPr>
        <w:t>.</w:t>
      </w:r>
    </w:p>
    <w:p w14:paraId="0DD2E1AC" w14:textId="77777777" w:rsidR="00F574D0" w:rsidRPr="00434219" w:rsidRDefault="00F574D0" w:rsidP="00F574D0">
      <w:pPr>
        <w:pStyle w:val="04BodyText"/>
        <w:spacing w:before="120" w:after="120"/>
        <w:rPr>
          <w:rFonts w:cs="Arial"/>
        </w:rPr>
      </w:pPr>
      <w:r w:rsidRPr="00434219">
        <w:rPr>
          <w:rFonts w:cs="Arial"/>
        </w:rPr>
        <w:t xml:space="preserve">All contributions should be submitted online at </w:t>
      </w:r>
      <w:hyperlink r:id="rId16" w:history="1">
        <w:r w:rsidRPr="00434219">
          <w:rPr>
            <w:rStyle w:val="Hyperlink"/>
            <w:rFonts w:cs="Arial"/>
          </w:rPr>
          <w:t>www.esma.europa.eu</w:t>
        </w:r>
      </w:hyperlink>
      <w:r w:rsidRPr="00434219">
        <w:rPr>
          <w:rFonts w:cs="Arial"/>
        </w:rPr>
        <w:t xml:space="preserve"> under the heading ‘Your input/Consultations’. </w:t>
      </w:r>
    </w:p>
    <w:p w14:paraId="6E2836F5" w14:textId="77777777" w:rsidR="00332304" w:rsidRPr="00434219"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14:paraId="17D14D0B" w14:textId="77777777" w:rsidR="00A3026E" w:rsidRPr="00434219" w:rsidRDefault="00A3026E" w:rsidP="00F574D0">
      <w:pPr>
        <w:autoSpaceDE w:val="0"/>
        <w:autoSpaceDN w:val="0"/>
        <w:adjustRightInd w:val="0"/>
        <w:spacing w:before="120" w:after="120" w:line="276" w:lineRule="auto"/>
        <w:jc w:val="both"/>
        <w:rPr>
          <w:rFonts w:cs="Arial"/>
          <w:b/>
          <w:bCs/>
          <w:i/>
          <w:color w:val="000000"/>
          <w:szCs w:val="20"/>
          <w:lang w:eastAsia="en-GB"/>
        </w:rPr>
      </w:pPr>
    </w:p>
    <w:p w14:paraId="5385522C" w14:textId="77777777" w:rsidR="00F574D0" w:rsidRPr="00434219" w:rsidRDefault="00F574D0" w:rsidP="00F574D0">
      <w:pPr>
        <w:autoSpaceDE w:val="0"/>
        <w:autoSpaceDN w:val="0"/>
        <w:adjustRightInd w:val="0"/>
        <w:spacing w:before="120" w:after="120" w:line="276" w:lineRule="auto"/>
        <w:jc w:val="both"/>
        <w:rPr>
          <w:rFonts w:cs="Arial"/>
          <w:b/>
          <w:bCs/>
          <w:i/>
          <w:color w:val="000000"/>
          <w:szCs w:val="20"/>
          <w:lang w:eastAsia="en-GB"/>
        </w:rPr>
      </w:pPr>
      <w:r w:rsidRPr="00434219">
        <w:rPr>
          <w:rFonts w:cs="Arial"/>
          <w:b/>
          <w:bCs/>
          <w:i/>
          <w:color w:val="000000"/>
          <w:szCs w:val="20"/>
          <w:lang w:eastAsia="en-GB"/>
        </w:rPr>
        <w:lastRenderedPageBreak/>
        <w:t>Publication of responses</w:t>
      </w:r>
      <w:bookmarkEnd w:id="1"/>
    </w:p>
    <w:p w14:paraId="3CAE3E26" w14:textId="77777777" w:rsidR="00F574D0" w:rsidRPr="00434219" w:rsidRDefault="00F574D0" w:rsidP="00F574D0">
      <w:pPr>
        <w:pStyle w:val="04BodyText"/>
        <w:spacing w:before="120" w:after="120"/>
        <w:rPr>
          <w:rFonts w:cs="Arial"/>
        </w:rPr>
      </w:pPr>
      <w:r w:rsidRPr="00434219">
        <w:rPr>
          <w:rFonts w:cs="Arial"/>
        </w:rPr>
        <w:t xml:space="preserve">All contributions received </w:t>
      </w:r>
      <w:proofErr w:type="gramStart"/>
      <w:r w:rsidRPr="00434219">
        <w:rPr>
          <w:rFonts w:cs="Arial"/>
        </w:rPr>
        <w:t>will be published</w:t>
      </w:r>
      <w:proofErr w:type="gramEnd"/>
      <w:r w:rsidRPr="00434219">
        <w:rPr>
          <w:rFonts w:cs="Arial"/>
        </w:rPr>
        <w:t xml:space="preserve"> following the end of the consultation period, unless otherwise requested. </w:t>
      </w:r>
      <w:r w:rsidRPr="00434219">
        <w:rPr>
          <w:rFonts w:cs="Arial"/>
          <w:b/>
        </w:rPr>
        <w:t xml:space="preserve">Please clearly indicate by ticking the appropriate checkbox in the website submission form if you do not wish your contribution to </w:t>
      </w:r>
      <w:proofErr w:type="gramStart"/>
      <w:r w:rsidRPr="00434219">
        <w:rPr>
          <w:rFonts w:cs="Arial"/>
          <w:b/>
        </w:rPr>
        <w:t>be publicly disclosed</w:t>
      </w:r>
      <w:proofErr w:type="gramEnd"/>
      <w:r w:rsidRPr="00434219">
        <w:rPr>
          <w:rFonts w:cs="Arial"/>
          <w:b/>
        </w:rPr>
        <w:t xml:space="preserve">. A standard confidentiality statement in an email message </w:t>
      </w:r>
      <w:proofErr w:type="gramStart"/>
      <w:r w:rsidRPr="00434219">
        <w:rPr>
          <w:rFonts w:cs="Arial"/>
          <w:b/>
        </w:rPr>
        <w:t>will not be treated</w:t>
      </w:r>
      <w:proofErr w:type="gramEnd"/>
      <w:r w:rsidRPr="00434219">
        <w:rPr>
          <w:rFonts w:cs="Arial"/>
          <w:b/>
        </w:rPr>
        <w:t xml:space="preserve"> as a request for non-disclosure.</w:t>
      </w:r>
      <w:r w:rsidRPr="00434219">
        <w:rPr>
          <w:rFonts w:cs="Arial"/>
        </w:rPr>
        <w:t xml:space="preserve"> Note also that a confidential response </w:t>
      </w:r>
      <w:proofErr w:type="gramStart"/>
      <w:r w:rsidRPr="00434219">
        <w:rPr>
          <w:rFonts w:cs="Arial"/>
        </w:rPr>
        <w:t>may be requested</w:t>
      </w:r>
      <w:proofErr w:type="gramEnd"/>
      <w:r w:rsidRPr="00434219">
        <w:rPr>
          <w:rFonts w:cs="Arial"/>
        </w:rPr>
        <w:t xml:space="preserve"> from us in accordance with ESMA’s rules on access to documents. We may consult you if we receive such a request. Any decision we make is reviewable by ESMA’s Board of Appeal and the European Ombudsman.</w:t>
      </w:r>
    </w:p>
    <w:p w14:paraId="0392FB52" w14:textId="77777777" w:rsidR="00332304" w:rsidRPr="00434219"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14:paraId="38C01F27" w14:textId="77777777" w:rsidR="00F574D0" w:rsidRPr="00434219" w:rsidRDefault="00F574D0" w:rsidP="00F574D0">
      <w:pPr>
        <w:autoSpaceDE w:val="0"/>
        <w:autoSpaceDN w:val="0"/>
        <w:adjustRightInd w:val="0"/>
        <w:spacing w:before="120" w:after="120" w:line="276" w:lineRule="auto"/>
        <w:jc w:val="both"/>
        <w:rPr>
          <w:rFonts w:cs="Arial"/>
          <w:b/>
          <w:bCs/>
          <w:i/>
          <w:color w:val="000000"/>
          <w:szCs w:val="20"/>
          <w:lang w:eastAsia="en-GB"/>
        </w:rPr>
      </w:pPr>
      <w:r w:rsidRPr="00434219">
        <w:rPr>
          <w:rFonts w:cs="Arial"/>
          <w:b/>
          <w:bCs/>
          <w:i/>
          <w:color w:val="000000"/>
          <w:szCs w:val="20"/>
          <w:lang w:eastAsia="en-GB"/>
        </w:rPr>
        <w:t>Data protection</w:t>
      </w:r>
      <w:bookmarkEnd w:id="2"/>
    </w:p>
    <w:p w14:paraId="3D77F502" w14:textId="77777777" w:rsidR="00F574D0" w:rsidRPr="00434219" w:rsidRDefault="00F574D0" w:rsidP="00F574D0">
      <w:pPr>
        <w:autoSpaceDE w:val="0"/>
        <w:autoSpaceDN w:val="0"/>
        <w:adjustRightInd w:val="0"/>
        <w:spacing w:before="120" w:after="120" w:line="276" w:lineRule="auto"/>
        <w:jc w:val="both"/>
        <w:rPr>
          <w:rFonts w:cs="Arial"/>
          <w:szCs w:val="20"/>
        </w:rPr>
      </w:pPr>
      <w:r w:rsidRPr="00434219">
        <w:rPr>
          <w:rFonts w:cs="Arial"/>
          <w:szCs w:val="20"/>
        </w:rPr>
        <w:t xml:space="preserve">Information on data protection </w:t>
      </w:r>
      <w:proofErr w:type="gramStart"/>
      <w:r w:rsidRPr="00434219">
        <w:rPr>
          <w:rFonts w:cs="Arial"/>
          <w:szCs w:val="20"/>
        </w:rPr>
        <w:t>can be found</w:t>
      </w:r>
      <w:proofErr w:type="gramEnd"/>
      <w:r w:rsidRPr="00434219">
        <w:rPr>
          <w:rFonts w:cs="Arial"/>
          <w:szCs w:val="20"/>
        </w:rPr>
        <w:t xml:space="preserve"> at </w:t>
      </w:r>
      <w:hyperlink r:id="rId17" w:history="1">
        <w:r w:rsidRPr="00434219">
          <w:rPr>
            <w:rStyle w:val="Hyperlink"/>
            <w:rFonts w:cs="Arial"/>
            <w:szCs w:val="20"/>
          </w:rPr>
          <w:t>www.esma.europa.eu</w:t>
        </w:r>
      </w:hyperlink>
      <w:r w:rsidRPr="00434219">
        <w:rPr>
          <w:rFonts w:cs="Arial"/>
          <w:szCs w:val="20"/>
        </w:rPr>
        <w:t xml:space="preserve"> under the </w:t>
      </w:r>
      <w:r w:rsidR="003755C6" w:rsidRPr="00434219">
        <w:rPr>
          <w:rFonts w:cs="Arial"/>
          <w:szCs w:val="22"/>
          <w:lang w:eastAsia="en-GB"/>
        </w:rPr>
        <w:t>heading</w:t>
      </w:r>
      <w:r w:rsidR="00AD0C8A" w:rsidRPr="00434219">
        <w:rPr>
          <w:rFonts w:cs="Arial"/>
          <w:szCs w:val="22"/>
          <w:lang w:eastAsia="en-GB"/>
        </w:rPr>
        <w:t>s</w:t>
      </w:r>
      <w:r w:rsidR="003755C6" w:rsidRPr="00434219">
        <w:rPr>
          <w:rFonts w:cs="Arial"/>
          <w:szCs w:val="22"/>
          <w:lang w:eastAsia="en-GB"/>
        </w:rPr>
        <w:t xml:space="preserve"> ‘Legal notice’</w:t>
      </w:r>
      <w:r w:rsidR="00AD0C8A" w:rsidRPr="00434219">
        <w:rPr>
          <w:rFonts w:cs="Arial"/>
          <w:szCs w:val="22"/>
          <w:lang w:eastAsia="en-GB"/>
        </w:rPr>
        <w:t xml:space="preserve"> and ‘Data protection’</w:t>
      </w:r>
      <w:r w:rsidRPr="00434219">
        <w:rPr>
          <w:rFonts w:cs="Arial"/>
          <w:szCs w:val="22"/>
          <w:lang w:eastAsia="en-GB"/>
        </w:rPr>
        <w:t>.</w:t>
      </w:r>
    </w:p>
    <w:p w14:paraId="3DFF1F66" w14:textId="77777777" w:rsidR="003755C6" w:rsidRPr="00434219" w:rsidRDefault="003755C6" w:rsidP="00F574D0">
      <w:pPr>
        <w:autoSpaceDE w:val="0"/>
        <w:autoSpaceDN w:val="0"/>
        <w:adjustRightInd w:val="0"/>
        <w:spacing w:before="120" w:after="120" w:line="276" w:lineRule="auto"/>
        <w:jc w:val="both"/>
        <w:rPr>
          <w:rFonts w:cs="Arial"/>
          <w:szCs w:val="20"/>
        </w:rPr>
      </w:pPr>
    </w:p>
    <w:bookmarkEnd w:id="0"/>
    <w:p w14:paraId="7F646571" w14:textId="77777777" w:rsidR="00332304" w:rsidRPr="00434219" w:rsidRDefault="00332304">
      <w:pPr>
        <w:rPr>
          <w:rFonts w:cs="Arial"/>
          <w:b/>
          <w:bCs/>
          <w:kern w:val="32"/>
          <w:sz w:val="24"/>
          <w:szCs w:val="32"/>
        </w:rPr>
      </w:pPr>
      <w:r w:rsidRPr="00434219">
        <w:br w:type="page"/>
      </w:r>
    </w:p>
    <w:p w14:paraId="499494A4" w14:textId="77777777" w:rsidR="00D34282" w:rsidRPr="00434219" w:rsidRDefault="00D34282" w:rsidP="00D34282">
      <w:pPr>
        <w:pStyle w:val="berschrift1"/>
        <w:numPr>
          <w:ilvl w:val="0"/>
          <w:numId w:val="0"/>
        </w:numPr>
        <w:ind w:left="431" w:hanging="431"/>
      </w:pPr>
      <w:r w:rsidRPr="00434219">
        <w:lastRenderedPageBreak/>
        <w:t>Introduction</w:t>
      </w:r>
    </w:p>
    <w:p w14:paraId="64172354" w14:textId="77777777" w:rsidR="00D34282" w:rsidRPr="00434219" w:rsidRDefault="00D34282" w:rsidP="00D34282">
      <w:pPr>
        <w:rPr>
          <w:rStyle w:val="IntensiveHervorhebung"/>
        </w:rPr>
      </w:pPr>
      <w:r w:rsidRPr="00434219">
        <w:rPr>
          <w:rStyle w:val="IntensiveHervorhebung"/>
        </w:rPr>
        <w:t>Please make your introductory comments below, if any:</w:t>
      </w:r>
    </w:p>
    <w:p w14:paraId="66B33FDB" w14:textId="77777777" w:rsidR="00D34282" w:rsidRPr="00434219" w:rsidRDefault="00D34282" w:rsidP="00D34282">
      <w:r w:rsidRPr="00434219">
        <w:t>&lt; ESMA_COMMENT</w:t>
      </w:r>
      <w:r w:rsidR="00D920D1" w:rsidRPr="00434219">
        <w:t>_MIFID</w:t>
      </w:r>
      <w:r w:rsidR="00AB4824" w:rsidRPr="00434219">
        <w:t>_TO_</w:t>
      </w:r>
      <w:r w:rsidR="00551E98" w:rsidRPr="00434219">
        <w:t>0</w:t>
      </w:r>
      <w:r w:rsidRPr="00434219">
        <w:t>&gt;</w:t>
      </w:r>
    </w:p>
    <w:p w14:paraId="31A1012B" w14:textId="5568843E" w:rsidR="001B1B1F" w:rsidRPr="003505CD" w:rsidRDefault="001B1B1F" w:rsidP="001B1B1F">
      <w:permStart w:id="652288342" w:edGrp="everyone"/>
      <w:r w:rsidRPr="003505CD">
        <w:t>The German Banking Industry (GBIC</w:t>
      </w:r>
      <w:r w:rsidR="003401CE" w:rsidRPr="003505CD">
        <w:t>)</w:t>
      </w:r>
      <w:r w:rsidRPr="003505CD">
        <w:t xml:space="preserve"> </w:t>
      </w:r>
      <w:r w:rsidR="003401CE" w:rsidRPr="003505CD">
        <w:t>[</w:t>
      </w:r>
      <w:r w:rsidRPr="003505CD">
        <w:t xml:space="preserve">die Deutsche </w:t>
      </w:r>
      <w:proofErr w:type="spellStart"/>
      <w:r w:rsidRPr="003505CD">
        <w:t>Kreditwirtschaft</w:t>
      </w:r>
      <w:proofErr w:type="spellEnd"/>
      <w:r w:rsidR="003401CE" w:rsidRPr="003505CD">
        <w:t>]</w:t>
      </w:r>
      <w:r w:rsidRPr="003505CD">
        <w:t xml:space="preserve">) is grateful </w:t>
      </w:r>
      <w:r w:rsidR="003401CE" w:rsidRPr="003505CD">
        <w:t>for</w:t>
      </w:r>
      <w:r w:rsidRPr="003505CD">
        <w:t xml:space="preserve"> the opportunity to comment </w:t>
      </w:r>
      <w:proofErr w:type="gramStart"/>
      <w:r w:rsidRPr="003505CD">
        <w:t xml:space="preserve">on ESMA´s discussion paper </w:t>
      </w:r>
      <w:r w:rsidR="0021010E" w:rsidRPr="003505CD">
        <w:t xml:space="preserve">on the trading obligation for derivatives under </w:t>
      </w:r>
      <w:proofErr w:type="spellStart"/>
      <w:r w:rsidR="0021010E" w:rsidRPr="003505CD">
        <w:t>MiFIR</w:t>
      </w:r>
      <w:proofErr w:type="spellEnd"/>
      <w:proofErr w:type="gramEnd"/>
      <w:r w:rsidRPr="003505CD">
        <w:t>.</w:t>
      </w:r>
    </w:p>
    <w:p w14:paraId="1ECBE767" w14:textId="77777777" w:rsidR="001B1B1F" w:rsidRPr="00E92EA6" w:rsidRDefault="001B1B1F" w:rsidP="00D34282"/>
    <w:p w14:paraId="0F790AD3" w14:textId="77777777" w:rsidR="001B1B1F" w:rsidRPr="009967A3" w:rsidRDefault="001B1B1F" w:rsidP="00D34282"/>
    <w:p w14:paraId="05A59572" w14:textId="06EF1C0D" w:rsidR="00D34282" w:rsidRPr="00E92EA6" w:rsidRDefault="007E4708" w:rsidP="00D34282">
      <w:r w:rsidRPr="00434219">
        <w:t>As t</w:t>
      </w:r>
      <w:r w:rsidR="0098723C" w:rsidRPr="00434219">
        <w:t xml:space="preserve">he clearing obligation </w:t>
      </w:r>
      <w:r w:rsidRPr="00434219">
        <w:t xml:space="preserve">is </w:t>
      </w:r>
      <w:r w:rsidR="0098723C" w:rsidRPr="00434219">
        <w:t>not yet fully applicable</w:t>
      </w:r>
      <w:r w:rsidR="003401CE" w:rsidRPr="00434219">
        <w:t>,</w:t>
      </w:r>
      <w:r w:rsidR="0098723C" w:rsidRPr="00434219">
        <w:t xml:space="preserve"> </w:t>
      </w:r>
      <w:r w:rsidRPr="00434219">
        <w:t xml:space="preserve">GBIC </w:t>
      </w:r>
      <w:r w:rsidR="0098723C" w:rsidRPr="00434219">
        <w:t>would strongly recommend defer</w:t>
      </w:r>
      <w:r w:rsidR="003401CE" w:rsidRPr="00434219">
        <w:t>ring</w:t>
      </w:r>
      <w:r w:rsidR="0098723C" w:rsidRPr="00434219">
        <w:t xml:space="preserve"> implementation of the trading obligation. This would enable ESMA as well as the market to better assess the implications the clearing obligation has for the market and, thus, ensure a better and smoother phase-in of the clearing obligation. In particular, the questions relating to how many market participants, market makers and trading venues should be available </w:t>
      </w:r>
      <w:proofErr w:type="gramStart"/>
      <w:r w:rsidR="0098723C" w:rsidRPr="00434219">
        <w:t>could be assessed</w:t>
      </w:r>
      <w:proofErr w:type="gramEnd"/>
      <w:r w:rsidR="0098723C" w:rsidRPr="00434219">
        <w:t xml:space="preserve"> by relying on a broader </w:t>
      </w:r>
      <w:r w:rsidR="003401CE" w:rsidRPr="00434219">
        <w:t>data</w:t>
      </w:r>
      <w:r w:rsidR="00E92EA6">
        <w:t xml:space="preserve"> </w:t>
      </w:r>
      <w:r w:rsidR="003401CE" w:rsidRPr="00E92EA6">
        <w:t>bas</w:t>
      </w:r>
      <w:r w:rsidR="00E92EA6">
        <w:t>is</w:t>
      </w:r>
      <w:r w:rsidR="0098723C" w:rsidRPr="00E92EA6">
        <w:t>.</w:t>
      </w:r>
    </w:p>
    <w:p w14:paraId="70F8F2FF" w14:textId="77777777" w:rsidR="007E4708" w:rsidRPr="009967A3" w:rsidRDefault="007E4708" w:rsidP="00D34282"/>
    <w:p w14:paraId="64201752" w14:textId="324C61A8" w:rsidR="007E4708" w:rsidRPr="003505CD" w:rsidRDefault="007E4708" w:rsidP="00D34282">
      <w:r w:rsidRPr="00434219">
        <w:t>In order to avoid operational risks</w:t>
      </w:r>
      <w:r w:rsidR="003401CE" w:rsidRPr="00434219">
        <w:t>,</w:t>
      </w:r>
      <w:r w:rsidRPr="00434219">
        <w:t xml:space="preserve"> the trading obligation </w:t>
      </w:r>
      <w:r w:rsidRPr="003505CD">
        <w:t xml:space="preserve">for frequent traders </w:t>
      </w:r>
      <w:r w:rsidRPr="00E92EA6">
        <w:t xml:space="preserve">should not </w:t>
      </w:r>
      <w:r w:rsidR="00D6784E" w:rsidRPr="00E92EA6">
        <w:t>apply</w:t>
      </w:r>
      <w:r w:rsidRPr="009967A3">
        <w:t xml:space="preserve"> </w:t>
      </w:r>
      <w:r w:rsidRPr="003505CD">
        <w:t>before 2019</w:t>
      </w:r>
      <w:r w:rsidRPr="00E92EA6">
        <w:t xml:space="preserve"> </w:t>
      </w:r>
      <w:r w:rsidRPr="003505CD">
        <w:t xml:space="preserve">and for infrequent traders not before 2021. Very small financial institutions </w:t>
      </w:r>
      <w:proofErr w:type="gramStart"/>
      <w:r w:rsidRPr="003505CD">
        <w:t xml:space="preserve">should </w:t>
      </w:r>
      <w:r w:rsidR="00042039" w:rsidRPr="003505CD">
        <w:t xml:space="preserve">actually </w:t>
      </w:r>
      <w:r w:rsidRPr="003505CD">
        <w:t>be exempted</w:t>
      </w:r>
      <w:proofErr w:type="gramEnd"/>
      <w:r w:rsidRPr="003505CD">
        <w:t xml:space="preserve"> due to </w:t>
      </w:r>
      <w:r w:rsidR="00042039" w:rsidRPr="003505CD">
        <w:t>the considerable</w:t>
      </w:r>
      <w:r w:rsidRPr="003505CD">
        <w:t xml:space="preserve"> effort</w:t>
      </w:r>
      <w:r w:rsidR="00042039" w:rsidRPr="003505CD">
        <w:t xml:space="preserve"> required on their part</w:t>
      </w:r>
      <w:r w:rsidRPr="003505CD">
        <w:t xml:space="preserve"> and </w:t>
      </w:r>
      <w:r w:rsidR="00042039" w:rsidRPr="003505CD">
        <w:t xml:space="preserve">for </w:t>
      </w:r>
      <w:r w:rsidRPr="003505CD">
        <w:t>proportionality reasons.</w:t>
      </w:r>
    </w:p>
    <w:permEnd w:id="652288342"/>
    <w:p w14:paraId="3C62E492" w14:textId="77777777" w:rsidR="00D34282" w:rsidRPr="00434219" w:rsidRDefault="00D34282" w:rsidP="00D34282">
      <w:r w:rsidRPr="00E92EA6">
        <w:t>&lt; ESMA_COMMENT</w:t>
      </w:r>
      <w:r w:rsidR="00D920D1" w:rsidRPr="00E92EA6">
        <w:t>_MIFID</w:t>
      </w:r>
      <w:r w:rsidR="00AB4824" w:rsidRPr="009967A3">
        <w:t>_TO_</w:t>
      </w:r>
      <w:r w:rsidR="00551E98" w:rsidRPr="00434219">
        <w:t>0</w:t>
      </w:r>
      <w:r w:rsidRPr="00434219">
        <w:t>&gt;</w:t>
      </w:r>
    </w:p>
    <w:p w14:paraId="38E78AAF" w14:textId="77777777" w:rsidR="00A8728B" w:rsidRPr="00434219" w:rsidRDefault="00F32462" w:rsidP="00EF314C">
      <w:pPr>
        <w:pStyle w:val="CPQuestions"/>
      </w:pPr>
      <w:r w:rsidRPr="00434219">
        <w:rPr>
          <w:rFonts w:cs="Arial"/>
          <w:szCs w:val="22"/>
        </w:rPr>
        <w:br w:type="page"/>
      </w:r>
      <w:r w:rsidR="00EF314C" w:rsidRPr="00434219">
        <w:lastRenderedPageBreak/>
        <w:t>Do you agree that the level of granularity for the purpose of the trading obligation should apply at the same level as the one used for calibrating the transparency regime of non-equity instruments? If not, which level of granularity for the TO would you recommend and why? Would that differ by asset class and type of instrument</w:t>
      </w:r>
      <w:r w:rsidR="00070630" w:rsidRPr="00434219">
        <w:t>?</w:t>
      </w:r>
    </w:p>
    <w:p w14:paraId="25C026A7" w14:textId="77777777" w:rsidR="00A8728B" w:rsidRPr="00434219" w:rsidRDefault="00A8728B" w:rsidP="00A8728B">
      <w:r w:rsidRPr="00434219">
        <w:t>&lt;ESMA_QUESTION</w:t>
      </w:r>
      <w:r w:rsidR="00D920D1" w:rsidRPr="00434219">
        <w:t>_MIFID</w:t>
      </w:r>
      <w:r w:rsidR="00AB4824" w:rsidRPr="00434219">
        <w:t>_TO_</w:t>
      </w:r>
      <w:r w:rsidRPr="00434219">
        <w:t>1&gt;</w:t>
      </w:r>
    </w:p>
    <w:p w14:paraId="5797AEA8" w14:textId="6F90F661" w:rsidR="00063A8B" w:rsidRPr="000322CA" w:rsidRDefault="00DF180F" w:rsidP="00063A8B">
      <w:permStart w:id="1716990337" w:edGrp="everyone"/>
      <w:r w:rsidRPr="000322CA">
        <w:t xml:space="preserve">We disagree, </w:t>
      </w:r>
      <w:r w:rsidR="00063A8B" w:rsidRPr="000322CA">
        <w:t>as GBIC strongly believe</w:t>
      </w:r>
      <w:r w:rsidR="007F7065" w:rsidRPr="000322CA">
        <w:t>s</w:t>
      </w:r>
      <w:r w:rsidR="00063A8B" w:rsidRPr="000322CA">
        <w:t xml:space="preserve"> </w:t>
      </w:r>
      <w:r w:rsidR="00CF0168">
        <w:t xml:space="preserve">that </w:t>
      </w:r>
      <w:r w:rsidR="00063A8B" w:rsidRPr="000322CA">
        <w:t xml:space="preserve">classification for </w:t>
      </w:r>
      <w:r w:rsidR="00CF0168">
        <w:t xml:space="preserve">the </w:t>
      </w:r>
      <w:r w:rsidR="00063A8B" w:rsidRPr="000322CA">
        <w:t xml:space="preserve">TO should be much more granular </w:t>
      </w:r>
      <w:r w:rsidR="00D83100" w:rsidRPr="000322CA">
        <w:t>since</w:t>
      </w:r>
      <w:r w:rsidR="00063A8B" w:rsidRPr="000322CA">
        <w:t xml:space="preserve"> on a high level like the criteria for </w:t>
      </w:r>
      <w:r w:rsidR="00D83100" w:rsidRPr="000322CA">
        <w:t xml:space="preserve">the </w:t>
      </w:r>
      <w:r w:rsidR="00063A8B" w:rsidRPr="000322CA">
        <w:t xml:space="preserve">clearing obligation not all variations might be tradeable (or at least with sufficient liquidity) </w:t>
      </w:r>
      <w:r w:rsidR="009967A3">
        <w:t>on</w:t>
      </w:r>
      <w:r w:rsidR="00063A8B" w:rsidRPr="000322CA">
        <w:t xml:space="preserve"> a trading venue. ESMA should run an analysis </w:t>
      </w:r>
      <w:r w:rsidR="00D83100" w:rsidRPr="000322CA">
        <w:t>of</w:t>
      </w:r>
      <w:r w:rsidR="00063A8B" w:rsidRPr="000322CA">
        <w:t xml:space="preserve"> trading venues, like for the CO, </w:t>
      </w:r>
      <w:r w:rsidR="00D83100" w:rsidRPr="000322CA">
        <w:t xml:space="preserve">to determine </w:t>
      </w:r>
      <w:r w:rsidR="00063A8B" w:rsidRPr="000322CA">
        <w:t xml:space="preserve">which products and specifications </w:t>
      </w:r>
      <w:proofErr w:type="gramStart"/>
      <w:r w:rsidR="00063A8B" w:rsidRPr="000322CA">
        <w:t>can be traded</w:t>
      </w:r>
      <w:proofErr w:type="gramEnd"/>
      <w:r w:rsidR="00063A8B" w:rsidRPr="000322CA">
        <w:t>. A matrix should be published with the detailed specifications and applicable trading venue</w:t>
      </w:r>
      <w:r w:rsidR="00CF0168">
        <w:t xml:space="preserve">s </w:t>
      </w:r>
      <w:r w:rsidR="00D83100" w:rsidRPr="000322CA">
        <w:t>;</w:t>
      </w:r>
      <w:r w:rsidR="00063A8B" w:rsidRPr="000322CA">
        <w:t xml:space="preserve"> otherwise, if the whole derivatives class</w:t>
      </w:r>
      <w:r w:rsidR="00D83100" w:rsidRPr="000322CA">
        <w:t xml:space="preserve"> were </w:t>
      </w:r>
      <w:r w:rsidR="00063A8B" w:rsidRPr="000322CA">
        <w:t>subject to the TO</w:t>
      </w:r>
      <w:r w:rsidR="00D83100" w:rsidRPr="000322CA">
        <w:t>,</w:t>
      </w:r>
      <w:r w:rsidR="00063A8B" w:rsidRPr="000322CA">
        <w:t xml:space="preserve"> any (new) product variation would </w:t>
      </w:r>
      <w:r w:rsidR="00D83100" w:rsidRPr="000322CA">
        <w:t>fall under the</w:t>
      </w:r>
      <w:r w:rsidR="00063A8B" w:rsidRPr="000322CA">
        <w:t xml:space="preserve"> scope too and not </w:t>
      </w:r>
      <w:r w:rsidR="00D83100" w:rsidRPr="000322CA">
        <w:t xml:space="preserve">be </w:t>
      </w:r>
      <w:r w:rsidR="00063A8B" w:rsidRPr="000322CA">
        <w:t xml:space="preserve">allowed to trade at all </w:t>
      </w:r>
      <w:r w:rsidR="00D83100" w:rsidRPr="000322CA">
        <w:t>if</w:t>
      </w:r>
      <w:r w:rsidR="00063A8B" w:rsidRPr="000322CA">
        <w:t xml:space="preserve"> no trading venue is </w:t>
      </w:r>
      <w:r w:rsidR="00D83100" w:rsidRPr="000322CA">
        <w:t>able</w:t>
      </w:r>
      <w:r w:rsidR="00063A8B" w:rsidRPr="000322CA">
        <w:t xml:space="preserve"> to offer this new variation.</w:t>
      </w:r>
    </w:p>
    <w:permEnd w:id="1716990337"/>
    <w:p w14:paraId="314D5EBA" w14:textId="77777777" w:rsidR="00A8728B" w:rsidRPr="00434219" w:rsidRDefault="00A8728B" w:rsidP="00A8728B">
      <w:r w:rsidRPr="00434219">
        <w:t>&lt;ESMA_QUESTION</w:t>
      </w:r>
      <w:r w:rsidR="00D920D1" w:rsidRPr="00434219">
        <w:t>_MIFID</w:t>
      </w:r>
      <w:r w:rsidR="00AB4824" w:rsidRPr="00434219">
        <w:t>_TO_</w:t>
      </w:r>
      <w:r w:rsidRPr="00434219">
        <w:t>1&gt;</w:t>
      </w:r>
    </w:p>
    <w:p w14:paraId="0037D4A0" w14:textId="77777777" w:rsidR="00431DA4" w:rsidRPr="00434219" w:rsidRDefault="00F016BE" w:rsidP="00F016BE">
      <w:pPr>
        <w:pStyle w:val="CPQuestions"/>
      </w:pPr>
      <w:r w:rsidRPr="00434219">
        <w:t xml:space="preserve">Do you agree that all derivatives currently subject to or considered for the CO </w:t>
      </w:r>
      <w:proofErr w:type="gramStart"/>
      <w:r w:rsidRPr="00434219">
        <w:t>are admitted to trading or traded on at least one trading venue</w:t>
      </w:r>
      <w:proofErr w:type="gramEnd"/>
      <w:r w:rsidRPr="00434219">
        <w:t>?  If not, please explain which classes of derivatives are not available for trading on at least one trading venue</w:t>
      </w:r>
      <w:r w:rsidR="00070630" w:rsidRPr="00434219">
        <w:t>.</w:t>
      </w:r>
    </w:p>
    <w:p w14:paraId="78E4A370" w14:textId="77777777" w:rsidR="00A8728B" w:rsidRPr="00434219" w:rsidRDefault="00A8728B" w:rsidP="00A8728B">
      <w:r w:rsidRPr="00434219">
        <w:t>&lt;ESMA_QUESTION</w:t>
      </w:r>
      <w:r w:rsidR="00D920D1" w:rsidRPr="00434219">
        <w:t>_MIFID</w:t>
      </w:r>
      <w:r w:rsidR="00AB4824" w:rsidRPr="00434219">
        <w:t>_TO_</w:t>
      </w:r>
      <w:r w:rsidRPr="00434219">
        <w:t>2&gt;</w:t>
      </w:r>
    </w:p>
    <w:p w14:paraId="765EEB0F" w14:textId="6635DA04" w:rsidR="00A8728B" w:rsidRPr="009967A3" w:rsidRDefault="00063A8B" w:rsidP="00A8728B">
      <w:permStart w:id="121463107" w:edGrp="everyone"/>
      <w:r w:rsidRPr="000322CA">
        <w:t>In principle</w:t>
      </w:r>
      <w:r w:rsidR="00D83100" w:rsidRPr="000322CA">
        <w:t>,</w:t>
      </w:r>
      <w:r w:rsidRPr="000322CA">
        <w:t xml:space="preserve"> we agree</w:t>
      </w:r>
      <w:r w:rsidR="00D83100" w:rsidRPr="000322CA">
        <w:t>.</w:t>
      </w:r>
      <w:r w:rsidRPr="000322CA">
        <w:t xml:space="preserve"> </w:t>
      </w:r>
      <w:r w:rsidR="00D83100" w:rsidRPr="000322CA">
        <w:t>H</w:t>
      </w:r>
      <w:r w:rsidRPr="000322CA">
        <w:t xml:space="preserve">owever, </w:t>
      </w:r>
      <w:r w:rsidR="00D83100" w:rsidRPr="000322CA">
        <w:t xml:space="preserve">at present </w:t>
      </w:r>
      <w:r w:rsidRPr="000322CA">
        <w:t xml:space="preserve">we do not yet have </w:t>
      </w:r>
      <w:r w:rsidR="00D83100" w:rsidRPr="000322CA">
        <w:t>a</w:t>
      </w:r>
      <w:r w:rsidRPr="000322CA">
        <w:t xml:space="preserve"> full overview </w:t>
      </w:r>
      <w:r w:rsidR="00D83100" w:rsidRPr="000322CA">
        <w:t>of</w:t>
      </w:r>
      <w:r w:rsidRPr="000322CA">
        <w:t xml:space="preserve"> all product variations available </w:t>
      </w:r>
      <w:r w:rsidR="009967A3">
        <w:t>on</w:t>
      </w:r>
      <w:r w:rsidRPr="000322CA">
        <w:t xml:space="preserve"> trading venues. </w:t>
      </w:r>
      <w:r w:rsidR="00D83100" w:rsidRPr="000322CA">
        <w:t xml:space="preserve">As stated in our reply to </w:t>
      </w:r>
      <w:r w:rsidRPr="000322CA">
        <w:t xml:space="preserve">Q1, we </w:t>
      </w:r>
      <w:r w:rsidR="00D83100" w:rsidRPr="000322CA">
        <w:t>believe</w:t>
      </w:r>
      <w:r w:rsidRPr="000322CA">
        <w:t xml:space="preserve"> </w:t>
      </w:r>
      <w:r w:rsidR="00D83100" w:rsidRPr="000322CA">
        <w:t xml:space="preserve">that </w:t>
      </w:r>
      <w:r w:rsidRPr="000322CA">
        <w:t xml:space="preserve">ESMA should run an analysis of specifications available with applicable trading venues. </w:t>
      </w:r>
      <w:r w:rsidR="00B05065" w:rsidRPr="000322CA">
        <w:t>B</w:t>
      </w:r>
      <w:r w:rsidRPr="000322CA">
        <w:t>ased on th</w:t>
      </w:r>
      <w:r w:rsidR="00B05065" w:rsidRPr="000322CA">
        <w:t xml:space="preserve">e </w:t>
      </w:r>
      <w:r w:rsidRPr="000322CA">
        <w:t>result</w:t>
      </w:r>
      <w:r w:rsidR="00B05065" w:rsidRPr="000322CA">
        <w:t>s of this analysis</w:t>
      </w:r>
      <w:r w:rsidRPr="000322CA">
        <w:t xml:space="preserve">, a detailed matrix should </w:t>
      </w:r>
      <w:r w:rsidR="00B05065" w:rsidRPr="000322CA">
        <w:t xml:space="preserve">be published </w:t>
      </w:r>
      <w:r w:rsidRPr="000322CA">
        <w:t>form</w:t>
      </w:r>
      <w:r w:rsidR="00B05065" w:rsidRPr="000322CA">
        <w:t>ing</w:t>
      </w:r>
      <w:r w:rsidRPr="000322CA">
        <w:t xml:space="preserve"> the basis for the TO</w:t>
      </w:r>
    </w:p>
    <w:permEnd w:id="121463107"/>
    <w:p w14:paraId="326C91EA" w14:textId="77777777" w:rsidR="00A8728B" w:rsidRPr="00434219" w:rsidRDefault="00A8728B" w:rsidP="00A8728B">
      <w:r w:rsidRPr="00434219">
        <w:t>&lt;ESMA_QUESTION</w:t>
      </w:r>
      <w:r w:rsidR="00D920D1" w:rsidRPr="00434219">
        <w:t>_MIFID</w:t>
      </w:r>
      <w:r w:rsidR="00AB4824" w:rsidRPr="00434219">
        <w:t>_TO_</w:t>
      </w:r>
      <w:r w:rsidRPr="00434219">
        <w:t>2&gt;</w:t>
      </w:r>
    </w:p>
    <w:p w14:paraId="0A269467" w14:textId="77777777" w:rsidR="00A8728B" w:rsidRPr="00434219" w:rsidRDefault="00F016BE" w:rsidP="00F016BE">
      <w:pPr>
        <w:pStyle w:val="CPQuestions"/>
      </w:pPr>
      <w:r w:rsidRPr="00434219">
        <w:t>How should ESMA determine the total number of market participants trading in a class of derivatives? Do you consider it appropriate to carry out this assessment with TR data or would you recommend other data sources?</w:t>
      </w:r>
    </w:p>
    <w:p w14:paraId="0517F775" w14:textId="77777777" w:rsidR="00A8728B" w:rsidRPr="00434219" w:rsidRDefault="00A8728B" w:rsidP="00A8728B">
      <w:r w:rsidRPr="00434219">
        <w:t>&lt;ESMA_QUESTION</w:t>
      </w:r>
      <w:r w:rsidR="00D920D1" w:rsidRPr="00434219">
        <w:t>_MIFID</w:t>
      </w:r>
      <w:r w:rsidR="00AB4824" w:rsidRPr="00434219">
        <w:t>_TO_</w:t>
      </w:r>
      <w:r w:rsidRPr="00434219">
        <w:t>3&gt;</w:t>
      </w:r>
    </w:p>
    <w:p w14:paraId="037CF449" w14:textId="5C955C8A" w:rsidR="00597F04" w:rsidRPr="00E92EA6" w:rsidRDefault="00597F04" w:rsidP="00A8728B">
      <w:permStart w:id="671640320" w:edGrp="everyone"/>
      <w:r w:rsidRPr="00434219">
        <w:t>Generally</w:t>
      </w:r>
      <w:r w:rsidR="00B05065" w:rsidRPr="00434219">
        <w:t>,</w:t>
      </w:r>
      <w:r w:rsidRPr="00434219">
        <w:t xml:space="preserve"> yes. Data available </w:t>
      </w:r>
      <w:r w:rsidR="00B05065" w:rsidRPr="00434219">
        <w:t>to</w:t>
      </w:r>
      <w:r w:rsidRPr="00434219">
        <w:t xml:space="preserve"> TRs should best reflect the distribution of trades among various venues. In addition, data available from </w:t>
      </w:r>
      <w:r w:rsidR="00B05065" w:rsidRPr="00434219">
        <w:t>the Bank for International Settlements (</w:t>
      </w:r>
      <w:r w:rsidRPr="00434219">
        <w:t>BIS</w:t>
      </w:r>
      <w:r w:rsidR="00B05065" w:rsidRPr="00434219">
        <w:t xml:space="preserve">), i.e. </w:t>
      </w:r>
      <w:r w:rsidRPr="00434219">
        <w:t>semi-annual OTC derivatives statistics</w:t>
      </w:r>
      <w:r w:rsidR="00B05065" w:rsidRPr="00434219">
        <w:t>,</w:t>
      </w:r>
      <w:r w:rsidRPr="00434219">
        <w:t xml:space="preserve"> </w:t>
      </w:r>
      <w:proofErr w:type="gramStart"/>
      <w:r w:rsidRPr="00434219">
        <w:t>might be used</w:t>
      </w:r>
      <w:proofErr w:type="gramEnd"/>
      <w:r w:rsidRPr="00434219">
        <w:t>.</w:t>
      </w:r>
    </w:p>
    <w:p w14:paraId="6BB45182" w14:textId="0ABDE795" w:rsidR="00A8728B" w:rsidRPr="00434219" w:rsidRDefault="00B05065" w:rsidP="00A8728B">
      <w:r w:rsidRPr="00F6558D">
        <w:t xml:space="preserve">No </w:t>
      </w:r>
      <w:r w:rsidR="00597F04" w:rsidRPr="00434219">
        <w:t xml:space="preserve">additional </w:t>
      </w:r>
      <w:r w:rsidRPr="00434219">
        <w:t>data reference/data</w:t>
      </w:r>
      <w:r w:rsidR="00CF0168">
        <w:t xml:space="preserve"> </w:t>
      </w:r>
      <w:r w:rsidRPr="00434219">
        <w:t>bas</w:t>
      </w:r>
      <w:r w:rsidR="00CF0168">
        <w:t>is</w:t>
      </w:r>
      <w:r w:rsidRPr="00434219">
        <w:t xml:space="preserve"> tools </w:t>
      </w:r>
      <w:proofErr w:type="gramStart"/>
      <w:r w:rsidRPr="00434219">
        <w:t>should be established</w:t>
      </w:r>
      <w:proofErr w:type="gramEnd"/>
      <w:r w:rsidR="00597F04" w:rsidRPr="00434219">
        <w:t>.</w:t>
      </w:r>
    </w:p>
    <w:permEnd w:id="671640320"/>
    <w:p w14:paraId="7FA7E2E1" w14:textId="77777777" w:rsidR="00A8728B" w:rsidRPr="00434219" w:rsidRDefault="00A8728B" w:rsidP="00A8728B">
      <w:r w:rsidRPr="00434219">
        <w:t>&lt;ESMA_QUESTION</w:t>
      </w:r>
      <w:r w:rsidR="00D920D1" w:rsidRPr="00434219">
        <w:t>_MIFID</w:t>
      </w:r>
      <w:r w:rsidR="00AB4824" w:rsidRPr="00434219">
        <w:t>_TO_</w:t>
      </w:r>
      <w:r w:rsidRPr="00434219">
        <w:t>3&gt;</w:t>
      </w:r>
    </w:p>
    <w:p w14:paraId="66B7DF47" w14:textId="77777777" w:rsidR="00A8728B" w:rsidRPr="00434219" w:rsidRDefault="00F016BE" w:rsidP="00F016BE">
      <w:pPr>
        <w:pStyle w:val="CPQuestions"/>
      </w:pPr>
      <w:r w:rsidRPr="00434219">
        <w:t xml:space="preserve">In your view, what should be the minimum total number of market participants to consider the following classes of derivatives as </w:t>
      </w:r>
      <w:proofErr w:type="gramStart"/>
      <w:r w:rsidRPr="00434219">
        <w:t>sufficiently liquid</w:t>
      </w:r>
      <w:proofErr w:type="gramEnd"/>
      <w:r w:rsidRPr="00434219">
        <w:t xml:space="preserve"> for the purpose of the trading obligation? </w:t>
      </w:r>
      <w:proofErr w:type="spellStart"/>
      <w:r w:rsidRPr="00434219">
        <w:t>i</w:t>
      </w:r>
      <w:proofErr w:type="spellEnd"/>
      <w:r w:rsidRPr="00434219">
        <w:t xml:space="preserve">) OTC interest rate derivatives denominated in EUR, USD, GBP and JPY; ii) OTC interest rate derivatives denominated in NOK, PLN and SEK; iii) Credit default swaps (CDS) indices? Should you consider that this assessment </w:t>
      </w:r>
      <w:proofErr w:type="gramStart"/>
      <w:r w:rsidRPr="00434219">
        <w:t>should be done</w:t>
      </w:r>
      <w:proofErr w:type="gramEnd"/>
      <w:r w:rsidRPr="00434219">
        <w:t xml:space="preserve"> on a more granular level, please provide your views on the relevant subsets of derivatives specified in 1.-3.</w:t>
      </w:r>
    </w:p>
    <w:p w14:paraId="36FD8547" w14:textId="77777777" w:rsidR="00A8728B" w:rsidRPr="00434219" w:rsidRDefault="00A8728B" w:rsidP="00A8728B">
      <w:r w:rsidRPr="00434219">
        <w:t>&lt;ESMA_QUESTION</w:t>
      </w:r>
      <w:r w:rsidR="00D920D1" w:rsidRPr="00434219">
        <w:t>_MIFID</w:t>
      </w:r>
      <w:r w:rsidR="00AB4824" w:rsidRPr="00434219">
        <w:t>_TO_</w:t>
      </w:r>
      <w:r w:rsidRPr="00434219">
        <w:t>4&gt;</w:t>
      </w:r>
    </w:p>
    <w:p w14:paraId="36EED082" w14:textId="77777777" w:rsidR="004A41BA" w:rsidRPr="00434219" w:rsidRDefault="004A41BA" w:rsidP="00A8728B">
      <w:permStart w:id="1389133267" w:edGrp="everyone"/>
      <w:r w:rsidRPr="00434219">
        <w:t xml:space="preserve">The assessment should be performed </w:t>
      </w:r>
      <w:proofErr w:type="gramStart"/>
      <w:r w:rsidRPr="00434219">
        <w:t>on the basis of</w:t>
      </w:r>
      <w:proofErr w:type="gramEnd"/>
      <w:r w:rsidRPr="00434219">
        <w:t xml:space="preserve"> each sub-class of derivatives subject to the trading obligation, i.e. differentiated by type of derivative such as forward or swap as well as the tenors.</w:t>
      </w:r>
    </w:p>
    <w:p w14:paraId="02C1CB4B" w14:textId="2790E2F7" w:rsidR="0022170E" w:rsidRPr="00434219" w:rsidRDefault="00EA1F34" w:rsidP="00A8728B">
      <w:r w:rsidRPr="00434219">
        <w:lastRenderedPageBreak/>
        <w:t xml:space="preserve">Two </w:t>
      </w:r>
      <w:r w:rsidR="0022170E" w:rsidRPr="00434219">
        <w:t>market participants seems</w:t>
      </w:r>
      <w:r w:rsidRPr="00434219">
        <w:t xml:space="preserve"> definitely too low as oligopolies </w:t>
      </w:r>
      <w:r w:rsidR="004A41BA" w:rsidRPr="00434219">
        <w:t>might</w:t>
      </w:r>
      <w:r w:rsidRPr="00434219">
        <w:t xml:space="preserve"> develop and bottleneck situations </w:t>
      </w:r>
      <w:r w:rsidR="004A41BA" w:rsidRPr="00434219">
        <w:t>might</w:t>
      </w:r>
      <w:r w:rsidRPr="00434219">
        <w:t xml:space="preserve"> occur.</w:t>
      </w:r>
      <w:r w:rsidR="0022170E" w:rsidRPr="00434219">
        <w:t xml:space="preserve"> It </w:t>
      </w:r>
      <w:proofErr w:type="gramStart"/>
      <w:r w:rsidR="0022170E" w:rsidRPr="00434219">
        <w:t>should at least be ensured</w:t>
      </w:r>
      <w:proofErr w:type="gramEnd"/>
      <w:r w:rsidR="0022170E" w:rsidRPr="00434219">
        <w:t xml:space="preserve"> that enough market markers/liquidity providers are available in order to satisfy </w:t>
      </w:r>
      <w:r w:rsidR="00B05065" w:rsidRPr="00434219">
        <w:t>market</w:t>
      </w:r>
      <w:r w:rsidR="00B05065" w:rsidRPr="00434219" w:rsidDel="00B05065">
        <w:t xml:space="preserve"> </w:t>
      </w:r>
      <w:r w:rsidR="0022170E" w:rsidRPr="00434219">
        <w:t>demand for liquidity in a certain product.</w:t>
      </w:r>
    </w:p>
    <w:p w14:paraId="5FA0BB56" w14:textId="5F856277" w:rsidR="0022170E" w:rsidRPr="00434219" w:rsidRDefault="0022170E" w:rsidP="00A8728B">
      <w:r w:rsidRPr="00434219">
        <w:t xml:space="preserve">As for the granularity, it </w:t>
      </w:r>
      <w:proofErr w:type="gramStart"/>
      <w:r w:rsidRPr="00434219">
        <w:t>should be ensured</w:t>
      </w:r>
      <w:proofErr w:type="gramEnd"/>
      <w:r w:rsidRPr="00434219">
        <w:t xml:space="preserve"> that the liquidity </w:t>
      </w:r>
      <w:r w:rsidR="004A41BA" w:rsidRPr="00434219">
        <w:t xml:space="preserve">described above </w:t>
      </w:r>
      <w:r w:rsidRPr="00434219">
        <w:t>is available in each sub-class of derivat</w:t>
      </w:r>
      <w:r w:rsidR="004A41BA" w:rsidRPr="00434219">
        <w:t xml:space="preserve">ives </w:t>
      </w:r>
      <w:r w:rsidRPr="00434219">
        <w:t>subject to the trading obligation.</w:t>
      </w:r>
      <w:r w:rsidR="00032F9B" w:rsidRPr="00434219">
        <w:t xml:space="preserve"> </w:t>
      </w:r>
      <w:r w:rsidR="00D6784E" w:rsidRPr="00434219">
        <w:t>O</w:t>
      </w:r>
      <w:r w:rsidR="00032F9B" w:rsidRPr="00434219">
        <w:t xml:space="preserve">nly products with defined specifications and available for trading </w:t>
      </w:r>
      <w:r w:rsidR="00F6558D">
        <w:t>on</w:t>
      </w:r>
      <w:r w:rsidR="00032F9B" w:rsidRPr="00F6558D">
        <w:t xml:space="preserve"> venues should </w:t>
      </w:r>
      <w:r w:rsidR="00D6784E" w:rsidRPr="00F6558D">
        <w:t xml:space="preserve">at any rate </w:t>
      </w:r>
      <w:r w:rsidR="00032F9B" w:rsidRPr="00F6558D">
        <w:t xml:space="preserve">fall </w:t>
      </w:r>
      <w:r w:rsidR="00B05065" w:rsidRPr="00434219">
        <w:t>under the</w:t>
      </w:r>
      <w:r w:rsidR="00032F9B" w:rsidRPr="00434219">
        <w:t xml:space="preserve"> scope of a TO.</w:t>
      </w:r>
    </w:p>
    <w:permEnd w:id="1389133267"/>
    <w:p w14:paraId="343FA9D6" w14:textId="77777777" w:rsidR="00A8728B" w:rsidRPr="00434219" w:rsidRDefault="00A8728B" w:rsidP="00A8728B">
      <w:r w:rsidRPr="00434219">
        <w:t>&lt;ESMA_QUESTION</w:t>
      </w:r>
      <w:r w:rsidR="00D920D1" w:rsidRPr="00434219">
        <w:t>_MIFID</w:t>
      </w:r>
      <w:r w:rsidR="00AB4824" w:rsidRPr="00434219">
        <w:t>_TO_</w:t>
      </w:r>
      <w:r w:rsidRPr="00434219">
        <w:t>4&gt;</w:t>
      </w:r>
    </w:p>
    <w:p w14:paraId="09634E30" w14:textId="77777777" w:rsidR="00431DA4" w:rsidRPr="00434219" w:rsidRDefault="00F016BE" w:rsidP="00F016BE">
      <w:pPr>
        <w:pStyle w:val="CPQuestions"/>
      </w:pPr>
      <w:r w:rsidRPr="00434219">
        <w:t>Do you agree with this approach? Do you consider alternative ways to identify the number of trading venues admitting to trading or trading a class of derivatives as more appropriate?</w:t>
      </w:r>
    </w:p>
    <w:p w14:paraId="41BB39F0" w14:textId="77777777" w:rsidR="00A8728B" w:rsidRPr="00434219" w:rsidRDefault="00A8728B" w:rsidP="00A8728B">
      <w:r w:rsidRPr="00434219">
        <w:t>&lt;ESMA_QUESTION</w:t>
      </w:r>
      <w:r w:rsidR="00D920D1" w:rsidRPr="00434219">
        <w:t>_MIFID</w:t>
      </w:r>
      <w:r w:rsidR="00AB4824" w:rsidRPr="00434219">
        <w:t>_TO_</w:t>
      </w:r>
      <w:r w:rsidRPr="00434219">
        <w:t>5&gt;</w:t>
      </w:r>
    </w:p>
    <w:p w14:paraId="46AA965C" w14:textId="4B9CB2A4" w:rsidR="00A8728B" w:rsidRPr="00434219" w:rsidRDefault="00D6784E" w:rsidP="00A8728B">
      <w:permStart w:id="125049663" w:edGrp="everyone"/>
      <w:r w:rsidRPr="00434219">
        <w:t>See</w:t>
      </w:r>
      <w:r w:rsidR="00903907" w:rsidRPr="00434219">
        <w:t xml:space="preserve"> our </w:t>
      </w:r>
      <w:r w:rsidRPr="00434219">
        <w:t>reply</w:t>
      </w:r>
      <w:r w:rsidR="00903907" w:rsidRPr="00434219">
        <w:t xml:space="preserve"> to Q3. TR data as well as data available from BIS </w:t>
      </w:r>
      <w:proofErr w:type="gramStart"/>
      <w:r w:rsidR="00903907" w:rsidRPr="00434219">
        <w:t>should be taken</w:t>
      </w:r>
      <w:proofErr w:type="gramEnd"/>
      <w:r w:rsidR="00903907" w:rsidRPr="00434219">
        <w:t xml:space="preserve"> into consideration.</w:t>
      </w:r>
    </w:p>
    <w:permEnd w:id="125049663"/>
    <w:p w14:paraId="19573006" w14:textId="77777777" w:rsidR="00A8728B" w:rsidRPr="00434219" w:rsidRDefault="00A8728B" w:rsidP="00A8728B">
      <w:r w:rsidRPr="00434219">
        <w:t>&lt;ESMA_QUESTION</w:t>
      </w:r>
      <w:r w:rsidR="00D920D1" w:rsidRPr="00434219">
        <w:t>_MIFID</w:t>
      </w:r>
      <w:r w:rsidR="00AB4824" w:rsidRPr="00434219">
        <w:t>_TO_</w:t>
      </w:r>
      <w:r w:rsidRPr="00434219">
        <w:t>5&gt;</w:t>
      </w:r>
    </w:p>
    <w:p w14:paraId="40DA1F89" w14:textId="77777777" w:rsidR="00431DA4" w:rsidRPr="00434219" w:rsidRDefault="00F016BE" w:rsidP="00F016BE">
      <w:pPr>
        <w:pStyle w:val="CPQuestions"/>
      </w:pPr>
      <w:r w:rsidRPr="00434219">
        <w:t>On how many trading venues should a derivative or a class of derivatives be traded in order to be considered subject to the TO</w:t>
      </w:r>
      <w:r w:rsidR="00070630" w:rsidRPr="00434219">
        <w:t>?</w:t>
      </w:r>
    </w:p>
    <w:p w14:paraId="0AF89DF2" w14:textId="77777777" w:rsidR="00A8728B" w:rsidRPr="00434219" w:rsidRDefault="00A8728B" w:rsidP="00A8728B">
      <w:r w:rsidRPr="00434219">
        <w:t>&lt;ESMA_QUESTION</w:t>
      </w:r>
      <w:r w:rsidR="00D920D1" w:rsidRPr="00434219">
        <w:t>_MIFID</w:t>
      </w:r>
      <w:r w:rsidR="00AB4824" w:rsidRPr="00434219">
        <w:t>_TO_</w:t>
      </w:r>
      <w:r w:rsidRPr="00434219">
        <w:t>6&gt;</w:t>
      </w:r>
    </w:p>
    <w:p w14:paraId="24F79DA0" w14:textId="635B7DF5" w:rsidR="00591F5F" w:rsidRDefault="006C13D7" w:rsidP="00A8728B">
      <w:permStart w:id="2104497716" w:edGrp="everyone"/>
      <w:r w:rsidRPr="00434219">
        <w:t>Even i</w:t>
      </w:r>
      <w:r w:rsidR="00EF1777" w:rsidRPr="00434219">
        <w:t>f</w:t>
      </w:r>
      <w:r w:rsidRPr="00434219">
        <w:t xml:space="preserve"> not many market participants are active in a certain sub-class of derivatives subject to the trading obligation, i.e. demand for liquidity is not very high, having only one trading venue available </w:t>
      </w:r>
      <w:proofErr w:type="gramStart"/>
      <w:r w:rsidRPr="00434219">
        <w:t>should be avoided</w:t>
      </w:r>
      <w:proofErr w:type="gramEnd"/>
      <w:r w:rsidRPr="00434219">
        <w:t xml:space="preserve">. This would entail a systemic risk for these contracts (IT system failure, defaults, etc.) that </w:t>
      </w:r>
      <w:proofErr w:type="gramStart"/>
      <w:r w:rsidRPr="00434219">
        <w:t>must be avoided</w:t>
      </w:r>
      <w:proofErr w:type="gramEnd"/>
      <w:r w:rsidRPr="00434219">
        <w:t>.</w:t>
      </w:r>
      <w:r w:rsidR="00591F5F">
        <w:t xml:space="preserve"> </w:t>
      </w:r>
      <w:r w:rsidR="00591F5F" w:rsidRPr="00591F5F">
        <w:t>Conversely, there should be no requirement for market participants to have access to several trading venues.</w:t>
      </w:r>
      <w:permEnd w:id="2104497716"/>
    </w:p>
    <w:p w14:paraId="0A7E2718" w14:textId="77777777" w:rsidR="00A8728B" w:rsidRPr="00434219" w:rsidRDefault="00A8728B" w:rsidP="00A8728B">
      <w:r w:rsidRPr="00434219">
        <w:t>&lt;ESMA_QUESTION</w:t>
      </w:r>
      <w:r w:rsidR="00D920D1" w:rsidRPr="00434219">
        <w:t>_MIFID</w:t>
      </w:r>
      <w:r w:rsidR="00AB4824" w:rsidRPr="00434219">
        <w:t>_TO_</w:t>
      </w:r>
      <w:r w:rsidRPr="00434219">
        <w:t>6&gt;</w:t>
      </w:r>
    </w:p>
    <w:p w14:paraId="24AE709A" w14:textId="77777777" w:rsidR="00F32462" w:rsidRPr="00434219" w:rsidRDefault="00F32462">
      <w:pPr>
        <w:rPr>
          <w:rFonts w:cs="Arial"/>
          <w:b/>
          <w:sz w:val="22"/>
          <w:szCs w:val="22"/>
          <w:lang w:eastAsia="en-US"/>
        </w:rPr>
      </w:pPr>
    </w:p>
    <w:p w14:paraId="53229637" w14:textId="77777777" w:rsidR="00070630" w:rsidRPr="00434219" w:rsidRDefault="00F016BE" w:rsidP="00F016BE">
      <w:pPr>
        <w:pStyle w:val="CPQuestions"/>
      </w:pPr>
      <w:r w:rsidRPr="00434219">
        <w:t xml:space="preserve">What would be in your view the most efficient approach to assess the total number of market makers for a class of derivatives? Where necessary, please distinguish between: </w:t>
      </w:r>
      <w:proofErr w:type="spellStart"/>
      <w:r w:rsidRPr="00434219">
        <w:t>i</w:t>
      </w:r>
      <w:proofErr w:type="spellEnd"/>
      <w:r w:rsidRPr="00434219">
        <w:t xml:space="preserve">) The phase prior to the application of MiFID II (i.e. before January 2018); ii) </w:t>
      </w:r>
      <w:proofErr w:type="gramStart"/>
      <w:r w:rsidRPr="00434219">
        <w:t>The</w:t>
      </w:r>
      <w:proofErr w:type="gramEnd"/>
      <w:r w:rsidRPr="00434219">
        <w:t xml:space="preserve"> phase after the application of MiFID II (i.e. after January 2018).</w:t>
      </w:r>
    </w:p>
    <w:p w14:paraId="70E9A6C0" w14:textId="77777777" w:rsidR="00070630" w:rsidRPr="00434219" w:rsidRDefault="00070630" w:rsidP="00070630">
      <w:r w:rsidRPr="00434219">
        <w:t>&lt;ESMA_QUESTION_MIFID</w:t>
      </w:r>
      <w:r w:rsidR="00AB4824" w:rsidRPr="00434219">
        <w:t>_TO_</w:t>
      </w:r>
      <w:r w:rsidRPr="00434219">
        <w:t>7&gt;</w:t>
      </w:r>
    </w:p>
    <w:p w14:paraId="4EAF0DBC" w14:textId="11FB096B" w:rsidR="00C51070" w:rsidRPr="000322CA" w:rsidRDefault="00D6784E" w:rsidP="00C51070">
      <w:permStart w:id="673384699" w:edGrp="everyone"/>
      <w:r w:rsidRPr="00434219">
        <w:t>See</w:t>
      </w:r>
      <w:r w:rsidR="00031962" w:rsidRPr="00434219">
        <w:t xml:space="preserve"> our preliminary comments. We consider it wise to wait until the clearing obligation </w:t>
      </w:r>
      <w:r w:rsidR="00FB3B58" w:rsidRPr="00434219">
        <w:t xml:space="preserve">for the relevant derivatives </w:t>
      </w:r>
      <w:proofErr w:type="gramStart"/>
      <w:r w:rsidR="00FB3B58" w:rsidRPr="00434219">
        <w:t>has been established</w:t>
      </w:r>
      <w:proofErr w:type="gramEnd"/>
      <w:r w:rsidR="00FB3B58" w:rsidRPr="00434219">
        <w:t xml:space="preserve"> for most market participants. </w:t>
      </w:r>
      <w:r w:rsidR="00FB3B58" w:rsidRPr="00F6558D">
        <w:t xml:space="preserve">Therefore, from a timeline perspective, the trading obligation </w:t>
      </w:r>
      <w:r w:rsidR="00C51070" w:rsidRPr="000322CA">
        <w:t xml:space="preserve">for frequent traders </w:t>
      </w:r>
      <w:r w:rsidR="00C51070" w:rsidRPr="00E92EA6">
        <w:t xml:space="preserve">should not </w:t>
      </w:r>
      <w:r w:rsidRPr="00F6558D">
        <w:t>apply</w:t>
      </w:r>
      <w:r w:rsidR="00C51070" w:rsidRPr="00F6558D">
        <w:t xml:space="preserve"> </w:t>
      </w:r>
      <w:r w:rsidR="00C51070" w:rsidRPr="000322CA">
        <w:t>before 2019</w:t>
      </w:r>
      <w:r w:rsidR="00C51070" w:rsidRPr="009967A3">
        <w:t xml:space="preserve"> </w:t>
      </w:r>
      <w:r w:rsidR="00C51070" w:rsidRPr="000322CA">
        <w:t>and for infrequent traders not before 2021.</w:t>
      </w:r>
      <w:r w:rsidR="00BE6C48" w:rsidRPr="000322CA">
        <w:t xml:space="preserve"> </w:t>
      </w:r>
      <w:r w:rsidR="00FB3B58" w:rsidRPr="009967A3">
        <w:t>By that time, data under MiFID II should be available.</w:t>
      </w:r>
      <w:r w:rsidR="00C51070" w:rsidRPr="000322CA">
        <w:t xml:space="preserve"> Very small FIs </w:t>
      </w:r>
      <w:proofErr w:type="gramStart"/>
      <w:r w:rsidR="00C51070" w:rsidRPr="000322CA">
        <w:t xml:space="preserve">should </w:t>
      </w:r>
      <w:r w:rsidRPr="00E92EA6">
        <w:t xml:space="preserve">actually </w:t>
      </w:r>
      <w:r w:rsidR="00C51070" w:rsidRPr="000322CA">
        <w:t>be exempted</w:t>
      </w:r>
      <w:proofErr w:type="gramEnd"/>
      <w:r w:rsidR="00C51070" w:rsidRPr="000322CA">
        <w:t xml:space="preserve"> due to </w:t>
      </w:r>
      <w:r w:rsidR="00811FFA" w:rsidRPr="00E92EA6">
        <w:t>the cons</w:t>
      </w:r>
      <w:r w:rsidR="00811FFA" w:rsidRPr="009967A3">
        <w:t>iderable</w:t>
      </w:r>
      <w:r w:rsidR="00C51070" w:rsidRPr="000322CA">
        <w:t xml:space="preserve"> effort</w:t>
      </w:r>
      <w:r w:rsidR="00811FFA" w:rsidRPr="00E92EA6">
        <w:t xml:space="preserve"> </w:t>
      </w:r>
      <w:r w:rsidR="00811FFA" w:rsidRPr="009967A3">
        <w:t>required on their part</w:t>
      </w:r>
      <w:r w:rsidR="00C51070" w:rsidRPr="000322CA">
        <w:t xml:space="preserve"> and </w:t>
      </w:r>
      <w:r w:rsidR="00811FFA" w:rsidRPr="00E92EA6">
        <w:t xml:space="preserve">for </w:t>
      </w:r>
      <w:r w:rsidR="00C51070" w:rsidRPr="000322CA">
        <w:t>proportionality reasons.</w:t>
      </w:r>
    </w:p>
    <w:p w14:paraId="2CAEB40C" w14:textId="77777777" w:rsidR="00070630" w:rsidRPr="00E92EA6" w:rsidRDefault="00070630" w:rsidP="00070630"/>
    <w:permEnd w:id="673384699"/>
    <w:p w14:paraId="453E0687" w14:textId="77777777" w:rsidR="00070630" w:rsidRPr="00F6558D" w:rsidRDefault="00070630" w:rsidP="00070630">
      <w:r w:rsidRPr="009967A3">
        <w:t>&lt;ESMA_QUESTION_MIFID</w:t>
      </w:r>
      <w:r w:rsidR="00AB4824" w:rsidRPr="00F6558D">
        <w:t>_TO_</w:t>
      </w:r>
      <w:r w:rsidRPr="00F6558D">
        <w:t>7&gt;</w:t>
      </w:r>
    </w:p>
    <w:p w14:paraId="778D3E88" w14:textId="77777777" w:rsidR="00070630" w:rsidRPr="00434219" w:rsidRDefault="00070630">
      <w:pPr>
        <w:rPr>
          <w:rFonts w:cs="Arial"/>
          <w:b/>
          <w:sz w:val="22"/>
          <w:szCs w:val="22"/>
          <w:lang w:eastAsia="en-US"/>
        </w:rPr>
      </w:pPr>
    </w:p>
    <w:p w14:paraId="00A4F147" w14:textId="77777777" w:rsidR="00EF314C" w:rsidRPr="00434219" w:rsidRDefault="00F016BE" w:rsidP="00F016BE">
      <w:pPr>
        <w:pStyle w:val="CPQuestions"/>
      </w:pPr>
      <w:r w:rsidRPr="00434219">
        <w:t>How many market makers and other market participants under a binding written agreement or an obligation to provide liquidity should be in place for a derivative or a class of derivatives to be considered subject to the TO</w:t>
      </w:r>
      <w:r w:rsidR="00EF314C" w:rsidRPr="00434219">
        <w:t>?</w:t>
      </w:r>
    </w:p>
    <w:p w14:paraId="52C8ECA9" w14:textId="77777777" w:rsidR="00EF314C" w:rsidRPr="00434219" w:rsidRDefault="00EF314C" w:rsidP="00EF314C">
      <w:r w:rsidRPr="00434219">
        <w:t>&lt;ESMA_QUESTION_MIFID_TO_</w:t>
      </w:r>
      <w:r w:rsidR="00273633" w:rsidRPr="00434219">
        <w:t>8</w:t>
      </w:r>
      <w:r w:rsidRPr="00434219">
        <w:t>&gt;</w:t>
      </w:r>
    </w:p>
    <w:p w14:paraId="167C2433" w14:textId="77777777" w:rsidR="009D6F0D" w:rsidRPr="009D6F0D" w:rsidRDefault="009D6F0D" w:rsidP="009D6F0D">
      <w:permStart w:id="2049466233" w:edGrp="everyone"/>
      <w:permStart w:id="998246017" w:edGrp="everyone"/>
      <w:r w:rsidRPr="009D6F0D">
        <w:t>TYPE YOUR TEXT HERE</w:t>
      </w:r>
    </w:p>
    <w:permEnd w:id="2049466233"/>
    <w:permEnd w:id="998246017"/>
    <w:p w14:paraId="0D601745" w14:textId="77777777" w:rsidR="00EF314C" w:rsidRPr="00434219" w:rsidRDefault="00EF314C" w:rsidP="00EF314C">
      <w:r w:rsidRPr="00434219">
        <w:t>&lt;ESMA_QUESTION_MIFID_TO_</w:t>
      </w:r>
      <w:r w:rsidR="00273633" w:rsidRPr="00434219">
        <w:t>8</w:t>
      </w:r>
      <w:r w:rsidRPr="00434219">
        <w:t>&gt;</w:t>
      </w:r>
    </w:p>
    <w:p w14:paraId="3A697BDF" w14:textId="77777777" w:rsidR="00EF314C" w:rsidRPr="00434219" w:rsidRDefault="00EF314C" w:rsidP="00EF314C">
      <w:pPr>
        <w:rPr>
          <w:rFonts w:cs="Arial"/>
          <w:b/>
          <w:sz w:val="22"/>
          <w:szCs w:val="22"/>
          <w:lang w:eastAsia="en-US"/>
        </w:rPr>
      </w:pPr>
    </w:p>
    <w:p w14:paraId="7BC1FC21" w14:textId="77777777" w:rsidR="00EF314C" w:rsidRPr="00434219" w:rsidRDefault="00F016BE" w:rsidP="00F016BE">
      <w:pPr>
        <w:pStyle w:val="CPQuestions"/>
      </w:pPr>
      <w:proofErr w:type="gramStart"/>
      <w:r w:rsidRPr="00434219">
        <w:lastRenderedPageBreak/>
        <w:t>Do you agree with the proposed approach or do you consider an alternative approach as more appropriate</w:t>
      </w:r>
      <w:r w:rsidR="00EF314C" w:rsidRPr="00434219">
        <w:t>?</w:t>
      </w:r>
      <w:proofErr w:type="gramEnd"/>
    </w:p>
    <w:p w14:paraId="5BF2658A" w14:textId="77777777" w:rsidR="00EF314C" w:rsidRPr="00434219" w:rsidRDefault="00EF314C" w:rsidP="00EF314C">
      <w:r w:rsidRPr="00434219">
        <w:t>&lt;ESMA_QUESTION_MIFID_TO_</w:t>
      </w:r>
      <w:r w:rsidR="00273633" w:rsidRPr="00434219">
        <w:t>9</w:t>
      </w:r>
      <w:r w:rsidRPr="00434219">
        <w:t>&gt;</w:t>
      </w:r>
    </w:p>
    <w:p w14:paraId="7D2E3A2B" w14:textId="77777777" w:rsidR="00EF314C" w:rsidRPr="00434219" w:rsidRDefault="00EF314C" w:rsidP="00EF314C">
      <w:permStart w:id="1444900619" w:edGrp="everyone"/>
      <w:r w:rsidRPr="00434219">
        <w:t>TYPE YOUR TEXT HERE</w:t>
      </w:r>
    </w:p>
    <w:permEnd w:id="1444900619"/>
    <w:p w14:paraId="717A780F" w14:textId="77777777" w:rsidR="00EF314C" w:rsidRPr="00434219" w:rsidRDefault="00EF314C" w:rsidP="00EF314C">
      <w:r w:rsidRPr="00434219">
        <w:t>&lt;ESMA_QUESTION_MIFID_TO_</w:t>
      </w:r>
      <w:r w:rsidR="00273633" w:rsidRPr="00434219">
        <w:t>9</w:t>
      </w:r>
      <w:r w:rsidRPr="00434219">
        <w:t>&gt;</w:t>
      </w:r>
    </w:p>
    <w:p w14:paraId="025CBBC8" w14:textId="77777777" w:rsidR="00EF314C" w:rsidRPr="00434219" w:rsidRDefault="00EF314C" w:rsidP="00EF314C">
      <w:pPr>
        <w:rPr>
          <w:rFonts w:cs="Arial"/>
          <w:b/>
          <w:sz w:val="22"/>
          <w:szCs w:val="22"/>
          <w:lang w:eastAsia="en-US"/>
        </w:rPr>
      </w:pPr>
    </w:p>
    <w:p w14:paraId="3A9CA386" w14:textId="77777777" w:rsidR="00EF314C" w:rsidRPr="00434219" w:rsidRDefault="00F016BE" w:rsidP="00F016BE">
      <w:pPr>
        <w:pStyle w:val="CPQuestions"/>
      </w:pPr>
      <w:r w:rsidRPr="00434219">
        <w:t>Do you agree that the criterion of average size of spreads, in particular in case of absence of information on spreads, should receive a lower weighting than the other liquidity criteria? If not, please specify your reasons</w:t>
      </w:r>
    </w:p>
    <w:p w14:paraId="263A2A8B" w14:textId="77777777" w:rsidR="00EF314C" w:rsidRPr="00434219" w:rsidRDefault="00EF314C" w:rsidP="00EF314C">
      <w:r w:rsidRPr="00434219">
        <w:t>&lt;ESMA_QUESTION_MIFID_TO_</w:t>
      </w:r>
      <w:r w:rsidR="00273633" w:rsidRPr="00434219">
        <w:t>10</w:t>
      </w:r>
      <w:r w:rsidRPr="00434219">
        <w:t>&gt;</w:t>
      </w:r>
    </w:p>
    <w:p w14:paraId="207EDF54" w14:textId="77777777" w:rsidR="00EF314C" w:rsidRPr="00434219" w:rsidRDefault="001D2F3D" w:rsidP="00EF314C">
      <w:permStart w:id="42803221" w:edGrp="everyone"/>
      <w:r w:rsidRPr="00434219">
        <w:t>Yes.</w:t>
      </w:r>
    </w:p>
    <w:permEnd w:id="42803221"/>
    <w:p w14:paraId="3E4A6245" w14:textId="77777777" w:rsidR="00EF314C" w:rsidRPr="00434219" w:rsidRDefault="00EF314C" w:rsidP="00EF314C">
      <w:r w:rsidRPr="00434219">
        <w:t>&lt;ESMA_QUESTION_MIFID_TO_</w:t>
      </w:r>
      <w:r w:rsidR="00273633" w:rsidRPr="00434219">
        <w:t>10</w:t>
      </w:r>
      <w:r w:rsidRPr="00434219">
        <w:t>&gt;</w:t>
      </w:r>
    </w:p>
    <w:p w14:paraId="46A8D937" w14:textId="77777777" w:rsidR="00EF314C" w:rsidRPr="00434219" w:rsidRDefault="00EF314C" w:rsidP="00EF314C">
      <w:pPr>
        <w:rPr>
          <w:rFonts w:cs="Arial"/>
          <w:b/>
          <w:sz w:val="22"/>
          <w:szCs w:val="22"/>
          <w:lang w:eastAsia="en-US"/>
        </w:rPr>
      </w:pPr>
    </w:p>
    <w:p w14:paraId="56A1FF40" w14:textId="77777777" w:rsidR="00EF314C" w:rsidRPr="00434219" w:rsidRDefault="00F016BE" w:rsidP="00F016BE">
      <w:pPr>
        <w:pStyle w:val="CPQuestions"/>
      </w:pPr>
      <w:r w:rsidRPr="00434219">
        <w:t>Which sources do you recommend for obtaining information on the average size of spreads by asset class</w:t>
      </w:r>
      <w:r w:rsidR="00EF314C" w:rsidRPr="00434219">
        <w:t>?</w:t>
      </w:r>
    </w:p>
    <w:p w14:paraId="1FCA2626" w14:textId="77777777" w:rsidR="00EF314C" w:rsidRPr="00434219" w:rsidRDefault="00EF314C" w:rsidP="00EF314C">
      <w:r w:rsidRPr="00434219">
        <w:t>&lt;ESMA_QUESTION_MIFID_TO_</w:t>
      </w:r>
      <w:r w:rsidR="00273633" w:rsidRPr="00434219">
        <w:t>11</w:t>
      </w:r>
      <w:r w:rsidRPr="00434219">
        <w:t>&gt;</w:t>
      </w:r>
    </w:p>
    <w:p w14:paraId="292648DD" w14:textId="77777777" w:rsidR="00EF314C" w:rsidRPr="00434219" w:rsidRDefault="00EF314C" w:rsidP="00EF314C">
      <w:permStart w:id="1968374799" w:edGrp="everyone"/>
      <w:r w:rsidRPr="00434219">
        <w:t>TYPE YOUR TEXT HERE</w:t>
      </w:r>
    </w:p>
    <w:permEnd w:id="1968374799"/>
    <w:p w14:paraId="3CC5FD95" w14:textId="77777777" w:rsidR="00EF314C" w:rsidRPr="00434219" w:rsidRDefault="00EF314C" w:rsidP="00EF314C">
      <w:r w:rsidRPr="00434219">
        <w:t>&lt;ESMA_QUESTION_MIFID_TO_</w:t>
      </w:r>
      <w:r w:rsidR="00273633" w:rsidRPr="00434219">
        <w:t>11</w:t>
      </w:r>
      <w:r w:rsidRPr="00434219">
        <w:t>&gt;</w:t>
      </w:r>
    </w:p>
    <w:p w14:paraId="129E18EB" w14:textId="77777777" w:rsidR="00EF314C" w:rsidRPr="00434219" w:rsidRDefault="00EF314C" w:rsidP="00EF314C">
      <w:pPr>
        <w:rPr>
          <w:rFonts w:cs="Arial"/>
          <w:b/>
          <w:sz w:val="22"/>
          <w:szCs w:val="22"/>
          <w:lang w:eastAsia="en-US"/>
        </w:rPr>
      </w:pPr>
    </w:p>
    <w:p w14:paraId="562EB667" w14:textId="77777777" w:rsidR="00EF314C" w:rsidRPr="00434219" w:rsidRDefault="00F016BE" w:rsidP="00F016BE">
      <w:pPr>
        <w:pStyle w:val="CPQuestions"/>
      </w:pPr>
      <w:r w:rsidRPr="00434219">
        <w:t>What do you consider as an appropriate proxy in case of lack of information on actual spreads</w:t>
      </w:r>
      <w:r w:rsidR="00EF314C" w:rsidRPr="00434219">
        <w:t>?</w:t>
      </w:r>
    </w:p>
    <w:p w14:paraId="59186EC0" w14:textId="77777777" w:rsidR="00EF314C" w:rsidRPr="00434219" w:rsidRDefault="00EF314C" w:rsidP="00EF314C">
      <w:r w:rsidRPr="00434219">
        <w:t>&lt;ESMA_QUESTION_MIFID_TO_</w:t>
      </w:r>
      <w:r w:rsidR="00273633" w:rsidRPr="00434219">
        <w:t>12</w:t>
      </w:r>
      <w:r w:rsidRPr="00434219">
        <w:t>&gt;</w:t>
      </w:r>
    </w:p>
    <w:p w14:paraId="195D93B8" w14:textId="77777777" w:rsidR="00EF314C" w:rsidRPr="00434219" w:rsidRDefault="00EF314C" w:rsidP="00EF314C">
      <w:permStart w:id="196031891" w:edGrp="everyone"/>
      <w:r w:rsidRPr="00434219">
        <w:t>TYPE YOUR TEXT HERE</w:t>
      </w:r>
    </w:p>
    <w:permEnd w:id="196031891"/>
    <w:p w14:paraId="35F8B6C3" w14:textId="77777777" w:rsidR="00EF314C" w:rsidRPr="00434219" w:rsidRDefault="00EF314C" w:rsidP="00EF314C">
      <w:r w:rsidRPr="00434219">
        <w:t>&lt;ESMA_QUESTION_MIFID_TO_</w:t>
      </w:r>
      <w:r w:rsidR="00273633" w:rsidRPr="00434219">
        <w:t>12</w:t>
      </w:r>
      <w:r w:rsidRPr="00434219">
        <w:t>&gt;</w:t>
      </w:r>
    </w:p>
    <w:p w14:paraId="2188242B" w14:textId="77777777" w:rsidR="00EF314C" w:rsidRPr="00434219" w:rsidRDefault="00EF314C" w:rsidP="00EF314C">
      <w:pPr>
        <w:rPr>
          <w:rFonts w:cs="Arial"/>
          <w:b/>
          <w:sz w:val="22"/>
          <w:szCs w:val="22"/>
          <w:lang w:eastAsia="en-US"/>
        </w:rPr>
      </w:pPr>
    </w:p>
    <w:p w14:paraId="7EE04A7A" w14:textId="77777777" w:rsidR="00EF314C" w:rsidRPr="00434219" w:rsidRDefault="00F016BE" w:rsidP="00F016BE">
      <w:pPr>
        <w:pStyle w:val="CPQuestions"/>
      </w:pPr>
      <w:r w:rsidRPr="00434219">
        <w:t>Do you agree with the suggested approach? If not, what approach would you recommend</w:t>
      </w:r>
      <w:r w:rsidR="00EF314C" w:rsidRPr="00434219">
        <w:t>?</w:t>
      </w:r>
    </w:p>
    <w:p w14:paraId="7D9627BF" w14:textId="77777777" w:rsidR="00EF314C" w:rsidRPr="00434219" w:rsidRDefault="00EF314C" w:rsidP="00EF314C">
      <w:r w:rsidRPr="00434219">
        <w:t>&lt;ESMA_QUESTION_MIFID_TO_</w:t>
      </w:r>
      <w:r w:rsidR="00273633" w:rsidRPr="00434219">
        <w:t>13</w:t>
      </w:r>
      <w:r w:rsidRPr="00434219">
        <w:t>&gt;</w:t>
      </w:r>
    </w:p>
    <w:p w14:paraId="047FCD4A" w14:textId="77777777" w:rsidR="00EF314C" w:rsidRPr="00434219" w:rsidRDefault="00817E69" w:rsidP="00EF314C">
      <w:permStart w:id="507542526" w:edGrp="everyone"/>
      <w:r w:rsidRPr="00434219">
        <w:t>We understand that the trading obligation applies only to market participants subject to the clearing obligation (i.e. above the clearing threshold).</w:t>
      </w:r>
    </w:p>
    <w:permEnd w:id="507542526"/>
    <w:p w14:paraId="35F34FF3" w14:textId="77777777" w:rsidR="00EF314C" w:rsidRPr="00434219" w:rsidRDefault="00EF314C" w:rsidP="00EF314C">
      <w:r w:rsidRPr="00434219">
        <w:t>&lt;ESMA_QUESTION_MIFID_TO_</w:t>
      </w:r>
      <w:r w:rsidR="00273633" w:rsidRPr="00434219">
        <w:t>13</w:t>
      </w:r>
      <w:r w:rsidRPr="00434219">
        <w:t>&gt;</w:t>
      </w:r>
    </w:p>
    <w:p w14:paraId="524EDC5E" w14:textId="77777777" w:rsidR="00EF314C" w:rsidRPr="00434219" w:rsidRDefault="00EF314C" w:rsidP="00EF314C">
      <w:pPr>
        <w:rPr>
          <w:rFonts w:cs="Arial"/>
          <w:b/>
          <w:sz w:val="22"/>
          <w:szCs w:val="22"/>
          <w:lang w:eastAsia="en-US"/>
        </w:rPr>
      </w:pPr>
    </w:p>
    <w:p w14:paraId="3668D9BE" w14:textId="77777777" w:rsidR="00EF314C" w:rsidRPr="00434219" w:rsidRDefault="00F016BE" w:rsidP="00F016BE">
      <w:pPr>
        <w:pStyle w:val="CPQuestions"/>
      </w:pPr>
      <w:r w:rsidRPr="00434219">
        <w:t>Do you agree that trades above the post-trade large in scale threshold should not be subject to the TO? If not, what approach would you suggest? Should transactions above the post-trade LIS threshold meet further conditions in order to be exempted from the TO</w:t>
      </w:r>
      <w:r w:rsidR="00EF314C" w:rsidRPr="00434219">
        <w:t>?</w:t>
      </w:r>
    </w:p>
    <w:p w14:paraId="6F760E76" w14:textId="77777777" w:rsidR="00EF314C" w:rsidRPr="00434219" w:rsidRDefault="00EF314C" w:rsidP="00EF314C">
      <w:r w:rsidRPr="00434219">
        <w:t>&lt;ESMA_QUESTION_MIFID_TO_</w:t>
      </w:r>
      <w:r w:rsidR="00273633" w:rsidRPr="00434219">
        <w:t>14</w:t>
      </w:r>
      <w:r w:rsidRPr="00434219">
        <w:t>&gt;</w:t>
      </w:r>
    </w:p>
    <w:p w14:paraId="1F15A6CD" w14:textId="7353E5A0" w:rsidR="00EF314C" w:rsidRPr="00434219" w:rsidRDefault="00817E69" w:rsidP="00EF314C">
      <w:permStart w:id="2034709740" w:edGrp="everyone"/>
      <w:r w:rsidRPr="00434219">
        <w:t>Yes, we agree</w:t>
      </w:r>
      <w:r w:rsidR="00811FFA" w:rsidRPr="00434219">
        <w:t>.</w:t>
      </w:r>
      <w:r w:rsidR="00704108" w:rsidRPr="00434219">
        <w:t xml:space="preserve"> </w:t>
      </w:r>
      <w:r w:rsidR="00811FFA" w:rsidRPr="00434219">
        <w:t>T</w:t>
      </w:r>
      <w:r w:rsidR="00704108" w:rsidRPr="00434219">
        <w:t xml:space="preserve">rades </w:t>
      </w:r>
      <w:r w:rsidR="00811FFA" w:rsidRPr="00434219">
        <w:t>above the</w:t>
      </w:r>
      <w:r w:rsidR="00704108" w:rsidRPr="00434219">
        <w:t xml:space="preserve"> LIS </w:t>
      </w:r>
      <w:r w:rsidR="00811FFA" w:rsidRPr="00434219">
        <w:t>threshold</w:t>
      </w:r>
      <w:r w:rsidR="00704108" w:rsidRPr="00434219">
        <w:t xml:space="preserve"> should not be subject to </w:t>
      </w:r>
      <w:r w:rsidR="00811FFA" w:rsidRPr="00434219">
        <w:t xml:space="preserve">the </w:t>
      </w:r>
      <w:r w:rsidR="00704108" w:rsidRPr="00434219">
        <w:t>TO.</w:t>
      </w:r>
    </w:p>
    <w:permEnd w:id="2034709740"/>
    <w:p w14:paraId="1CACC989" w14:textId="77777777" w:rsidR="00EF314C" w:rsidRPr="00434219" w:rsidRDefault="00EF314C" w:rsidP="00EF314C">
      <w:r w:rsidRPr="00434219">
        <w:t>&lt;ESMA_QUESTION_MIFID_TO_</w:t>
      </w:r>
      <w:r w:rsidR="00273633" w:rsidRPr="00434219">
        <w:t>14</w:t>
      </w:r>
      <w:r w:rsidRPr="00434219">
        <w:t>&gt;</w:t>
      </w:r>
    </w:p>
    <w:p w14:paraId="2BBC560D" w14:textId="77777777" w:rsidR="00EF314C" w:rsidRPr="00434219" w:rsidRDefault="00EF314C" w:rsidP="00EF314C">
      <w:pPr>
        <w:rPr>
          <w:rFonts w:cs="Arial"/>
          <w:b/>
          <w:sz w:val="22"/>
          <w:szCs w:val="22"/>
          <w:lang w:eastAsia="en-US"/>
        </w:rPr>
      </w:pPr>
    </w:p>
    <w:p w14:paraId="733DFCEC" w14:textId="5E2B948B" w:rsidR="00EF314C" w:rsidRPr="00434219" w:rsidRDefault="00F016BE" w:rsidP="00F016BE">
      <w:pPr>
        <w:pStyle w:val="CPQuestions"/>
      </w:pPr>
      <w:r w:rsidRPr="00434219">
        <w:lastRenderedPageBreak/>
        <w:t>How highly should ESMA prioritise the alignment of the TO with transparency? What would be the main consequences for the market if some instruments are covered by transparency and not by the TO or vice versa? If the two are not fully aligned, would a broader scope for the TO or for transparency be preferable, and why? In case of a broader or narrower scope for the TO (compared with transparency), how should the two liquidity t</w:t>
      </w:r>
      <w:r w:rsidR="00093D8E" w:rsidRPr="00434219">
        <w:t>h</w:t>
      </w:r>
      <w:r w:rsidRPr="00434219">
        <w:t>resholds relate to each other</w:t>
      </w:r>
      <w:r w:rsidR="00EF314C" w:rsidRPr="00434219">
        <w:t>?</w:t>
      </w:r>
    </w:p>
    <w:p w14:paraId="2C1CDF86" w14:textId="77777777" w:rsidR="00EF314C" w:rsidRPr="00434219" w:rsidRDefault="00EF314C" w:rsidP="00EF314C">
      <w:r w:rsidRPr="00434219">
        <w:t>&lt;ESMA_QUESTION_MIFID_TO_</w:t>
      </w:r>
      <w:r w:rsidR="00273633" w:rsidRPr="00434219">
        <w:t>15</w:t>
      </w:r>
      <w:r w:rsidRPr="00434219">
        <w:t>&gt;</w:t>
      </w:r>
    </w:p>
    <w:p w14:paraId="6AB7DFD5" w14:textId="2F281A4E" w:rsidR="00BB5C0F" w:rsidRPr="00434219" w:rsidRDefault="00BB5C0F" w:rsidP="00EF314C">
      <w:permStart w:id="1678467681" w:edGrp="everyone"/>
      <w:r w:rsidRPr="00434219">
        <w:t>As stated above (</w:t>
      </w:r>
      <w:r w:rsidR="00811FFA" w:rsidRPr="00434219">
        <w:t>see</w:t>
      </w:r>
      <w:r w:rsidRPr="00434219">
        <w:t xml:space="preserve"> preliminary remarks and </w:t>
      </w:r>
      <w:r w:rsidR="00811FFA" w:rsidRPr="00434219">
        <w:t>reply</w:t>
      </w:r>
      <w:r w:rsidRPr="00434219">
        <w:t xml:space="preserve"> to question 7)</w:t>
      </w:r>
      <w:r w:rsidR="00811FFA" w:rsidRPr="00434219">
        <w:t>,</w:t>
      </w:r>
      <w:r w:rsidRPr="00434219">
        <w:t xml:space="preserve"> we recommend wait</w:t>
      </w:r>
      <w:r w:rsidR="00811FFA" w:rsidRPr="00434219">
        <w:t>ing</w:t>
      </w:r>
      <w:r w:rsidRPr="00434219">
        <w:t xml:space="preserve"> for the clearing obligation as well as the pre-trade transparency regime under MiFID II/</w:t>
      </w:r>
      <w:proofErr w:type="spellStart"/>
      <w:r w:rsidRPr="00434219">
        <w:t>MiFIR</w:t>
      </w:r>
      <w:proofErr w:type="spellEnd"/>
      <w:r w:rsidRPr="00434219">
        <w:t xml:space="preserve"> </w:t>
      </w:r>
      <w:r w:rsidR="00811FFA" w:rsidRPr="00434219">
        <w:t>to be</w:t>
      </w:r>
      <w:r w:rsidRPr="00434219">
        <w:t xml:space="preserve"> implemented in order to </w:t>
      </w:r>
      <w:r w:rsidR="00811FFA" w:rsidRPr="00434219">
        <w:t>obtain</w:t>
      </w:r>
      <w:r w:rsidRPr="00434219">
        <w:t xml:space="preserve"> empirical data </w:t>
      </w:r>
      <w:r w:rsidR="00811FFA" w:rsidRPr="00434219">
        <w:t xml:space="preserve">needed </w:t>
      </w:r>
      <w:r w:rsidRPr="00434219">
        <w:t xml:space="preserve">to align the trading obligation with these two regimes. We expect </w:t>
      </w:r>
      <w:r w:rsidR="00811FFA" w:rsidRPr="00434219">
        <w:t>needless</w:t>
      </w:r>
      <w:r w:rsidRPr="00434219">
        <w:t xml:space="preserve"> and avoidable misalignments </w:t>
      </w:r>
      <w:r w:rsidR="00811FFA" w:rsidRPr="00434219">
        <w:t>if</w:t>
      </w:r>
      <w:r w:rsidRPr="00434219">
        <w:t xml:space="preserve"> the </w:t>
      </w:r>
      <w:r w:rsidR="00811FFA" w:rsidRPr="00434219">
        <w:t>launch</w:t>
      </w:r>
      <w:r w:rsidRPr="00434219">
        <w:t xml:space="preserve"> of </w:t>
      </w:r>
      <w:r w:rsidR="00811FFA" w:rsidRPr="00434219">
        <w:t xml:space="preserve">the </w:t>
      </w:r>
      <w:r w:rsidRPr="00434219">
        <w:t>trading obligation</w:t>
      </w:r>
      <w:r w:rsidR="00811FFA" w:rsidRPr="00434219">
        <w:t xml:space="preserve"> is rushed</w:t>
      </w:r>
      <w:r w:rsidRPr="00434219">
        <w:t>.</w:t>
      </w:r>
    </w:p>
    <w:p w14:paraId="2B12EB83" w14:textId="0DB0BD10" w:rsidR="00612B5B" w:rsidRPr="00434219" w:rsidRDefault="0017177A" w:rsidP="00EF314C">
      <w:r w:rsidRPr="00434219">
        <w:t>We strongly recommend provid</w:t>
      </w:r>
      <w:r w:rsidR="009967A3">
        <w:t>ing</w:t>
      </w:r>
      <w:r w:rsidRPr="00F6558D">
        <w:t xml:space="preserve"> for a swifter approach </w:t>
      </w:r>
      <w:r w:rsidR="00811FFA" w:rsidRPr="00434219">
        <w:t>to</w:t>
      </w:r>
      <w:r w:rsidRPr="00434219">
        <w:t xml:space="preserve"> amending the trading obligation in </w:t>
      </w:r>
      <w:r w:rsidR="00811FFA" w:rsidRPr="00434219">
        <w:t>the event</w:t>
      </w:r>
      <w:r w:rsidRPr="00434219">
        <w:t xml:space="preserve"> of </w:t>
      </w:r>
      <w:r w:rsidR="00811FFA" w:rsidRPr="00434219">
        <w:t xml:space="preserve">a </w:t>
      </w:r>
      <w:r w:rsidRPr="00434219">
        <w:t xml:space="preserve">drop </w:t>
      </w:r>
      <w:r w:rsidR="00811FFA" w:rsidRPr="00434219">
        <w:t>in</w:t>
      </w:r>
      <w:r w:rsidRPr="00434219">
        <w:t xml:space="preserve"> liquidity (cf. </w:t>
      </w:r>
      <w:r w:rsidR="00811FFA" w:rsidRPr="00434219">
        <w:t xml:space="preserve">para. </w:t>
      </w:r>
      <w:r w:rsidRPr="00434219">
        <w:t xml:space="preserve">112 of the discussion paper). </w:t>
      </w:r>
      <w:r w:rsidR="00093D8E" w:rsidRPr="00434219">
        <w:t>If</w:t>
      </w:r>
      <w:r w:rsidRPr="00434219">
        <w:t xml:space="preserve"> the trading obligation </w:t>
      </w:r>
      <w:proofErr w:type="gramStart"/>
      <w:r w:rsidRPr="00434219">
        <w:t>cannot be suspended</w:t>
      </w:r>
      <w:proofErr w:type="gramEnd"/>
      <w:r w:rsidR="00093D8E" w:rsidRPr="00434219">
        <w:t xml:space="preserve"> quickly</w:t>
      </w:r>
      <w:r w:rsidRPr="00434219">
        <w:t>, it will exacerbate the liquidity problem.</w:t>
      </w:r>
    </w:p>
    <w:p w14:paraId="0FE1C11B" w14:textId="3F00140F" w:rsidR="00612B5B" w:rsidRPr="00434219" w:rsidRDefault="00612B5B" w:rsidP="00612B5B">
      <w:r w:rsidRPr="00434219">
        <w:t xml:space="preserve">As we </w:t>
      </w:r>
      <w:r w:rsidR="00093D8E" w:rsidRPr="00434219">
        <w:t xml:space="preserve">have </w:t>
      </w:r>
      <w:r w:rsidRPr="00434219">
        <w:t xml:space="preserve">already </w:t>
      </w:r>
      <w:r w:rsidR="00093D8E" w:rsidRPr="00434219">
        <w:t>explained</w:t>
      </w:r>
      <w:r w:rsidRPr="00434219">
        <w:t xml:space="preserve"> numerous times in the context of ESMA’s consultations with respect to the clearing obligation, we are </w:t>
      </w:r>
      <w:r w:rsidR="00704108" w:rsidRPr="00434219">
        <w:t xml:space="preserve">still </w:t>
      </w:r>
      <w:r w:rsidRPr="00434219">
        <w:t xml:space="preserve">concerned </w:t>
      </w:r>
      <w:r w:rsidR="00093D8E" w:rsidRPr="00434219">
        <w:t>about</w:t>
      </w:r>
      <w:r w:rsidRPr="00434219">
        <w:t xml:space="preserve"> the fact that the scope of the classes of derivatives subject to the trading obligation is </w:t>
      </w:r>
      <w:r w:rsidR="00093D8E" w:rsidRPr="00434219">
        <w:t xml:space="preserve">to </w:t>
      </w:r>
      <w:proofErr w:type="gramStart"/>
      <w:r w:rsidR="00093D8E" w:rsidRPr="00434219">
        <w:t xml:space="preserve">be </w:t>
      </w:r>
      <w:r w:rsidRPr="00434219">
        <w:t>defined</w:t>
      </w:r>
      <w:proofErr w:type="gramEnd"/>
      <w:r w:rsidRPr="00434219">
        <w:t xml:space="preserve"> by means of a Commission Delegated Regulation. It will therefore not be possible to quickly exclude a class of </w:t>
      </w:r>
      <w:proofErr w:type="gramStart"/>
      <w:r w:rsidRPr="00434219">
        <w:t>products which</w:t>
      </w:r>
      <w:proofErr w:type="gramEnd"/>
      <w:r w:rsidRPr="00434219">
        <w:t xml:space="preserve"> has become ineligible for trading from the trading obligation (de-listing of no longer tradeable products). Consequently, it is necessary to establish processes which allow immediate “de-listing” of </w:t>
      </w:r>
      <w:r w:rsidR="00093D8E" w:rsidRPr="00434219">
        <w:t xml:space="preserve">products that are </w:t>
      </w:r>
      <w:r w:rsidRPr="00434219">
        <w:t xml:space="preserve">no longer tradeable so that counterparties are not effectively forced to stop entering into transactions pertaining </w:t>
      </w:r>
      <w:r w:rsidR="00093D8E" w:rsidRPr="00434219">
        <w:t xml:space="preserve">to </w:t>
      </w:r>
      <w:r w:rsidRPr="00434219">
        <w:t xml:space="preserve">products which are legally still subject to a trading obligation but are no longer tradeable. It </w:t>
      </w:r>
      <w:proofErr w:type="gramStart"/>
      <w:r w:rsidRPr="00434219">
        <w:t>should at least be made</w:t>
      </w:r>
      <w:proofErr w:type="gramEnd"/>
      <w:r w:rsidRPr="00434219">
        <w:t xml:space="preserve"> clear that suspension from trading will automatically lead to suspension of the trading obligation.</w:t>
      </w:r>
    </w:p>
    <w:p w14:paraId="62B9EB58" w14:textId="77777777" w:rsidR="00612B5B" w:rsidRPr="00434219" w:rsidRDefault="00612B5B" w:rsidP="00612B5B"/>
    <w:p w14:paraId="11867433" w14:textId="2C4172A0" w:rsidR="0017177A" w:rsidRPr="009967A3" w:rsidRDefault="00612B5B" w:rsidP="00EF314C">
      <w:r w:rsidRPr="00434219">
        <w:t xml:space="preserve">As regards the less straightforward cases of a drop </w:t>
      </w:r>
      <w:r w:rsidR="00093D8E" w:rsidRPr="00434219">
        <w:t>in</w:t>
      </w:r>
      <w:r w:rsidRPr="00434219">
        <w:t xml:space="preserve"> liquidity, pragmatic and workable solutions </w:t>
      </w:r>
      <w:r w:rsidR="00093D8E" w:rsidRPr="00434219">
        <w:t>need</w:t>
      </w:r>
      <w:r w:rsidRPr="00434219">
        <w:t xml:space="preserve"> to be established. </w:t>
      </w:r>
      <w:proofErr w:type="gramStart"/>
      <w:r w:rsidRPr="00434219">
        <w:t xml:space="preserve">This could, for example, be achieved by </w:t>
      </w:r>
      <w:r w:rsidR="00093D8E" w:rsidRPr="00434219">
        <w:t xml:space="preserve">a </w:t>
      </w:r>
      <w:r w:rsidRPr="00434219">
        <w:t>declaration of suspension of regulatory enforcement of the trading obligation in a situation where counterparties subject to the trading obligation intend to enter into transactions in the timespan between the point in time where it has become apparent that a product is no longer tradeable and the point in time of its eventual “de-listing” by means of a revised Commission Delegated Regulation.</w:t>
      </w:r>
      <w:proofErr w:type="gramEnd"/>
      <w:r w:rsidR="00704108" w:rsidRPr="00434219">
        <w:t xml:space="preserve"> </w:t>
      </w:r>
      <w:r w:rsidR="00E92EA6">
        <w:t>From a practical standpoint</w:t>
      </w:r>
      <w:r w:rsidR="00704108" w:rsidRPr="00E92EA6">
        <w:t>, der</w:t>
      </w:r>
      <w:r w:rsidR="00704108" w:rsidRPr="009967A3">
        <w:t xml:space="preserve">ivatives classes should not be declared </w:t>
      </w:r>
      <w:r w:rsidR="00093D8E" w:rsidRPr="00434219">
        <w:t>subject to</w:t>
      </w:r>
      <w:r w:rsidR="00704108" w:rsidRPr="00434219">
        <w:t xml:space="preserve"> the TO as a whole as new or existing product variations may not be tradeable yet </w:t>
      </w:r>
      <w:r w:rsidR="009967A3">
        <w:t>on</w:t>
      </w:r>
      <w:r w:rsidR="00704108" w:rsidRPr="00F6558D">
        <w:t xml:space="preserve"> a</w:t>
      </w:r>
      <w:r w:rsidR="009967A3">
        <w:t>n</w:t>
      </w:r>
      <w:r w:rsidR="00704108" w:rsidRPr="00434219">
        <w:t xml:space="preserve"> </w:t>
      </w:r>
      <w:r w:rsidR="009967A3">
        <w:t>approved</w:t>
      </w:r>
      <w:r w:rsidR="00093D8E" w:rsidRPr="00F6558D">
        <w:t xml:space="preserve"> </w:t>
      </w:r>
      <w:r w:rsidR="00704108" w:rsidRPr="00434219">
        <w:t>trading venue, so this should</w:t>
      </w:r>
      <w:r w:rsidR="00434219">
        <w:t xml:space="preserve"> </w:t>
      </w:r>
      <w:r w:rsidR="00704108" w:rsidRPr="00E92EA6">
        <w:t>n</w:t>
      </w:r>
      <w:r w:rsidR="00434219">
        <w:t>o</w:t>
      </w:r>
      <w:r w:rsidR="00704108" w:rsidRPr="00E92EA6">
        <w:t>t hinder trading at all.</w:t>
      </w:r>
    </w:p>
    <w:permEnd w:id="1678467681"/>
    <w:p w14:paraId="6E248B36" w14:textId="77777777" w:rsidR="00EF314C" w:rsidRPr="000322CA" w:rsidRDefault="00EF314C" w:rsidP="00EF314C">
      <w:r w:rsidRPr="000322CA">
        <w:t>&lt;ESMA_QUESTION_MIFID_TO_</w:t>
      </w:r>
      <w:r w:rsidR="00273633" w:rsidRPr="000322CA">
        <w:t>15</w:t>
      </w:r>
      <w:r w:rsidRPr="000322CA">
        <w:t>&gt;</w:t>
      </w:r>
    </w:p>
    <w:p w14:paraId="0AFD89C9" w14:textId="77777777" w:rsidR="00EF314C" w:rsidRPr="000322CA" w:rsidRDefault="00EF314C" w:rsidP="00EF314C">
      <w:pPr>
        <w:rPr>
          <w:rFonts w:cs="Arial"/>
          <w:b/>
          <w:sz w:val="22"/>
          <w:szCs w:val="22"/>
          <w:lang w:eastAsia="en-US"/>
        </w:rPr>
      </w:pPr>
    </w:p>
    <w:p w14:paraId="3B9B9E8A" w14:textId="77777777" w:rsidR="00EF314C" w:rsidRPr="00434219" w:rsidRDefault="00FF5939" w:rsidP="00FF5939">
      <w:pPr>
        <w:pStyle w:val="CPQuestions"/>
      </w:pPr>
      <w:r w:rsidRPr="00E92EA6">
        <w:t xml:space="preserve">Do you agree </w:t>
      </w:r>
      <w:r w:rsidRPr="009967A3">
        <w:t>with the proposed methodology to eliminate duplicated trades or would you recommend another approach? Do you agree with selecting Option 2</w:t>
      </w:r>
      <w:r w:rsidR="00EF314C" w:rsidRPr="00434219">
        <w:t>?</w:t>
      </w:r>
    </w:p>
    <w:p w14:paraId="5C1DE8A7" w14:textId="77777777" w:rsidR="00EF314C" w:rsidRPr="00434219" w:rsidRDefault="00EF314C" w:rsidP="00EF314C">
      <w:r w:rsidRPr="00434219">
        <w:t>&lt;ESMA_QUESTION_MIFID_TO_</w:t>
      </w:r>
      <w:r w:rsidR="00273633" w:rsidRPr="00434219">
        <w:t>16</w:t>
      </w:r>
      <w:r w:rsidRPr="00434219">
        <w:t>&gt;</w:t>
      </w:r>
    </w:p>
    <w:p w14:paraId="02732451" w14:textId="77777777" w:rsidR="00EF314C" w:rsidRPr="00434219" w:rsidRDefault="00ED7EBF" w:rsidP="00EF314C">
      <w:permStart w:id="1503412346" w:edGrp="everyone"/>
      <w:r w:rsidRPr="00434219">
        <w:t xml:space="preserve">We recommend using Option 3. It should be assumed that the field “cleared” </w:t>
      </w:r>
      <w:proofErr w:type="gramStart"/>
      <w:r w:rsidRPr="00434219">
        <w:t>will</w:t>
      </w:r>
      <w:proofErr w:type="gramEnd"/>
      <w:r w:rsidRPr="00434219">
        <w:t xml:space="preserve"> be duly populated by the counterparties (taking into account applicable sanctions). Consequently, the correct data basis </w:t>
      </w:r>
      <w:proofErr w:type="gramStart"/>
      <w:r w:rsidRPr="00434219">
        <w:t>will be achieved</w:t>
      </w:r>
      <w:proofErr w:type="gramEnd"/>
      <w:r w:rsidRPr="00434219">
        <w:t xml:space="preserve"> and is easily decipherable.</w:t>
      </w:r>
    </w:p>
    <w:permEnd w:id="1503412346"/>
    <w:p w14:paraId="1644DC25" w14:textId="77777777" w:rsidR="00EF314C" w:rsidRPr="00434219" w:rsidRDefault="00EF314C" w:rsidP="00EF314C">
      <w:r w:rsidRPr="00434219">
        <w:t>&lt;ESMA_QUESTION_MIFID_TO_</w:t>
      </w:r>
      <w:r w:rsidR="00273633" w:rsidRPr="00434219">
        <w:t>16</w:t>
      </w:r>
      <w:r w:rsidRPr="00434219">
        <w:t>&gt;</w:t>
      </w:r>
    </w:p>
    <w:p w14:paraId="6ABE2B11" w14:textId="77777777" w:rsidR="00EF314C" w:rsidRPr="00434219" w:rsidRDefault="00EF314C" w:rsidP="00EF314C">
      <w:pPr>
        <w:rPr>
          <w:rFonts w:cs="Arial"/>
          <w:b/>
          <w:sz w:val="22"/>
          <w:szCs w:val="22"/>
          <w:lang w:eastAsia="en-US"/>
        </w:rPr>
      </w:pPr>
    </w:p>
    <w:p w14:paraId="1C8721CA" w14:textId="77777777" w:rsidR="00EF314C" w:rsidRPr="00434219" w:rsidRDefault="00FF5939" w:rsidP="00FF5939">
      <w:pPr>
        <w:pStyle w:val="CPQuestions"/>
      </w:pPr>
      <w:r w:rsidRPr="00434219">
        <w:t>Do you agree with the approach taken with regard to calculating tenors</w:t>
      </w:r>
      <w:r w:rsidR="00EF314C" w:rsidRPr="00434219">
        <w:t>?</w:t>
      </w:r>
    </w:p>
    <w:p w14:paraId="07280A78" w14:textId="77777777" w:rsidR="00EF314C" w:rsidRPr="00434219" w:rsidRDefault="00EF314C" w:rsidP="00EF314C">
      <w:r w:rsidRPr="00434219">
        <w:t>&lt;ESMA_QUESTION_MIFID_TO_</w:t>
      </w:r>
      <w:r w:rsidR="00273633" w:rsidRPr="00434219">
        <w:t>1</w:t>
      </w:r>
      <w:r w:rsidRPr="00434219">
        <w:t>7&gt;</w:t>
      </w:r>
    </w:p>
    <w:p w14:paraId="26264708" w14:textId="7D272390" w:rsidR="00EF314C" w:rsidRPr="000322CA" w:rsidRDefault="00CC2F29" w:rsidP="000322CA">
      <w:pPr>
        <w:pStyle w:val="Kommentartext"/>
      </w:pPr>
      <w:permStart w:id="216535354" w:edGrp="everyone"/>
      <w:r w:rsidRPr="00CF0168">
        <w:t xml:space="preserve">We do not consider it appropriate to include contracts </w:t>
      </w:r>
      <w:proofErr w:type="gramStart"/>
      <w:r w:rsidRPr="00CF0168">
        <w:t xml:space="preserve">with a maturity of +/- X days </w:t>
      </w:r>
      <w:r w:rsidR="00E92EA6">
        <w:t xml:space="preserve">outside </w:t>
      </w:r>
      <w:r w:rsidRPr="00EF0BB9">
        <w:t>the benchmark dates in the trading obligation</w:t>
      </w:r>
      <w:proofErr w:type="gramEnd"/>
      <w:r w:rsidRPr="00EF0BB9">
        <w:t>. For each date, ESMA would have to conduct individual liquidity assessments – in particular</w:t>
      </w:r>
      <w:r w:rsidR="00E92EA6">
        <w:t>,</w:t>
      </w:r>
      <w:r w:rsidRPr="00EF0BB9">
        <w:t xml:space="preserve"> </w:t>
      </w:r>
      <w:r w:rsidR="007B15F4">
        <w:t xml:space="preserve">to </w:t>
      </w:r>
      <w:r w:rsidRPr="00EF0BB9">
        <w:t>make sure that enough trading possibilities/venues are available.</w:t>
      </w:r>
      <w:r w:rsidR="00685002" w:rsidRPr="009A44E0">
        <w:t xml:space="preserve"> </w:t>
      </w:r>
      <w:r w:rsidR="00685002" w:rsidRPr="00F6558D">
        <w:t xml:space="preserve">Any deviation from standard tenors, e.g. due to special business day rules because of client needs or any other </w:t>
      </w:r>
      <w:r w:rsidR="00685002" w:rsidRPr="00F6558D">
        <w:lastRenderedPageBreak/>
        <w:t>sh</w:t>
      </w:r>
      <w:r w:rsidR="00685002" w:rsidRPr="00CF0168">
        <w:t>ort/long first or last period of a transaction</w:t>
      </w:r>
      <w:r w:rsidR="00F6558D">
        <w:t>,</w:t>
      </w:r>
      <w:r w:rsidR="00685002" w:rsidRPr="00CF0168">
        <w:t xml:space="preserve"> should not fall under the “standard” tenor as </w:t>
      </w:r>
      <w:r w:rsidR="00685002" w:rsidRPr="007B15F4">
        <w:t>liquidity</w:t>
      </w:r>
      <w:r w:rsidR="00685002" w:rsidRPr="00250649">
        <w:t xml:space="preserve"> is not sufficiently available. </w:t>
      </w:r>
      <w:r w:rsidR="00E92EA6">
        <w:t>While p</w:t>
      </w:r>
      <w:r w:rsidR="00685002" w:rsidRPr="00EF0BB9">
        <w:t xml:space="preserve">utting them into the same bucket for overview/aggregation reasons might be fine, this is not accurate enough for </w:t>
      </w:r>
      <w:proofErr w:type="spellStart"/>
      <w:r w:rsidR="00685002" w:rsidRPr="00EF0BB9">
        <w:t>the</w:t>
      </w:r>
      <w:proofErr w:type="spellEnd"/>
      <w:r w:rsidR="00685002" w:rsidRPr="00EF0BB9">
        <w:t xml:space="preserve"> TO.</w:t>
      </w:r>
    </w:p>
    <w:permEnd w:id="216535354"/>
    <w:p w14:paraId="257FC28B" w14:textId="77777777" w:rsidR="00EF314C" w:rsidRPr="00EF0BB9" w:rsidRDefault="00EF314C" w:rsidP="00EF314C">
      <w:r w:rsidRPr="00E92EA6">
        <w:t>&lt;ESMA_QUESTION_MIFID_TO_</w:t>
      </w:r>
      <w:r w:rsidR="00273633" w:rsidRPr="00EF0BB9">
        <w:t>1</w:t>
      </w:r>
      <w:r w:rsidRPr="00EF0BB9">
        <w:t>7&gt;</w:t>
      </w:r>
    </w:p>
    <w:p w14:paraId="315710A9" w14:textId="77777777" w:rsidR="00EF314C" w:rsidRPr="009967A3" w:rsidRDefault="00EF314C" w:rsidP="00EF314C">
      <w:pPr>
        <w:rPr>
          <w:rFonts w:cs="Arial"/>
          <w:b/>
          <w:sz w:val="22"/>
          <w:szCs w:val="22"/>
          <w:lang w:eastAsia="en-US"/>
        </w:rPr>
      </w:pPr>
    </w:p>
    <w:p w14:paraId="7426E5C7" w14:textId="77777777" w:rsidR="00EF314C" w:rsidRPr="00434219" w:rsidRDefault="00FF5939" w:rsidP="00FF5939">
      <w:pPr>
        <w:pStyle w:val="CPQuestions"/>
      </w:pPr>
      <w:r w:rsidRPr="00434219">
        <w:t>Do you agree with the reasons mentioned above or is there another explanation for the significant number of trades outside of benchmark dates</w:t>
      </w:r>
      <w:r w:rsidR="00EF314C" w:rsidRPr="00434219">
        <w:t>?</w:t>
      </w:r>
    </w:p>
    <w:p w14:paraId="134A00F3" w14:textId="77777777" w:rsidR="00EF314C" w:rsidRPr="00434219" w:rsidRDefault="00EF314C" w:rsidP="00EF314C">
      <w:r w:rsidRPr="00434219">
        <w:t>&lt;ESMA_QUESTION_MIFID_TO_</w:t>
      </w:r>
      <w:r w:rsidR="00273633" w:rsidRPr="00434219">
        <w:t>18</w:t>
      </w:r>
      <w:r w:rsidRPr="00434219">
        <w:t>&gt;</w:t>
      </w:r>
    </w:p>
    <w:p w14:paraId="2DC6A78A" w14:textId="2360DDC9" w:rsidR="00B26D87" w:rsidRPr="000322CA" w:rsidRDefault="00B26D87" w:rsidP="00EF314C">
      <w:permStart w:id="638927980" w:edGrp="everyone"/>
      <w:r w:rsidRPr="009D6F0D">
        <w:t>Product variations are typically ba</w:t>
      </w:r>
      <w:r w:rsidR="001B1B1F" w:rsidRPr="009D6F0D">
        <w:t>s</w:t>
      </w:r>
      <w:r w:rsidRPr="009D6F0D">
        <w:t>ed on client needs, e.g. if a client decides some time later to hedge an underlying loan or bond, matching the exact payment dates, this may result in a short first swap period and therefore a total maturity which is not exactly</w:t>
      </w:r>
      <w:r w:rsidR="00730623" w:rsidRPr="00730623">
        <w:rPr>
          <w:lang w:val="en-US"/>
        </w:rPr>
        <w:t xml:space="preserve"> equal to the proposed standard tenors</w:t>
      </w:r>
      <w:r w:rsidR="00E92EA6" w:rsidRPr="009D6F0D">
        <w:t>.</w:t>
      </w:r>
      <w:permEnd w:id="638927980"/>
    </w:p>
    <w:p w14:paraId="10EFDE2E" w14:textId="77777777" w:rsidR="00EF314C" w:rsidRPr="00434219" w:rsidRDefault="00EF314C" w:rsidP="00EF314C">
      <w:r w:rsidRPr="009967A3">
        <w:t>&lt;ES</w:t>
      </w:r>
      <w:r w:rsidRPr="00F6558D">
        <w:t>MA_QUESTION_MIFID_TO_</w:t>
      </w:r>
      <w:r w:rsidR="00273633" w:rsidRPr="00434219">
        <w:t>18</w:t>
      </w:r>
      <w:r w:rsidRPr="00434219">
        <w:t>&gt;</w:t>
      </w:r>
    </w:p>
    <w:p w14:paraId="5D2B4813" w14:textId="77777777" w:rsidR="00EF314C" w:rsidRPr="00434219" w:rsidRDefault="00EF314C" w:rsidP="00EF314C">
      <w:pPr>
        <w:rPr>
          <w:rFonts w:cs="Arial"/>
          <w:b/>
          <w:sz w:val="22"/>
          <w:szCs w:val="22"/>
          <w:lang w:eastAsia="en-US"/>
        </w:rPr>
      </w:pPr>
    </w:p>
    <w:p w14:paraId="6078F809" w14:textId="77777777" w:rsidR="00EF314C" w:rsidRPr="00434219" w:rsidRDefault="00FF5939" w:rsidP="00FF5939">
      <w:pPr>
        <w:pStyle w:val="CPQuestions"/>
      </w:pPr>
      <w:r w:rsidRPr="00434219">
        <w:t>Does this result reflect your assessment of liquidity in fixed-float IRS? If not, please explain on which subclasses you disagree and why.</w:t>
      </w:r>
    </w:p>
    <w:p w14:paraId="13ABAC6D" w14:textId="1C05C2C6" w:rsidR="00B26D87" w:rsidRPr="00434219" w:rsidRDefault="00EF314C" w:rsidP="00EF314C">
      <w:r w:rsidRPr="00434219">
        <w:t>&lt;ESMA_QUESTION_MIFID_TO_</w:t>
      </w:r>
      <w:r w:rsidR="00273633" w:rsidRPr="00434219">
        <w:t>19</w:t>
      </w:r>
      <w:r w:rsidRPr="00434219">
        <w:t>&gt;</w:t>
      </w:r>
    </w:p>
    <w:p w14:paraId="6DBFB29D" w14:textId="447C63E2" w:rsidR="00B26D87" w:rsidRPr="00EF0BB9" w:rsidRDefault="00B26D87" w:rsidP="00EF314C">
      <w:permStart w:id="403322673" w:edGrp="everyone"/>
      <w:r w:rsidRPr="00434219">
        <w:t xml:space="preserve">OTC </w:t>
      </w:r>
      <w:r w:rsidR="00EF0BB9">
        <w:t>d</w:t>
      </w:r>
      <w:r w:rsidRPr="00EF0BB9">
        <w:t xml:space="preserve">erivatives can have small deviations from the “standard/frequent” trade specifics and therefore may look only to fall under a “common class” of parameters but actually deviate in pricing and </w:t>
      </w:r>
      <w:proofErr w:type="gramStart"/>
      <w:r w:rsidRPr="00EF0BB9">
        <w:t>may not be considered</w:t>
      </w:r>
      <w:proofErr w:type="gramEnd"/>
      <w:r w:rsidRPr="00EF0BB9">
        <w:t xml:space="preserve"> liquid enough</w:t>
      </w:r>
      <w:r w:rsidR="009967A3">
        <w:t>.</w:t>
      </w:r>
    </w:p>
    <w:permEnd w:id="403322673"/>
    <w:p w14:paraId="5F967097" w14:textId="77777777" w:rsidR="00EF314C" w:rsidRPr="00434219" w:rsidRDefault="00EF314C" w:rsidP="00EF314C">
      <w:r w:rsidRPr="00434219">
        <w:t>&lt;ESMA_QUESTION_MIFID_TO_</w:t>
      </w:r>
      <w:r w:rsidR="00273633" w:rsidRPr="00434219">
        <w:t>19</w:t>
      </w:r>
      <w:r w:rsidRPr="00434219">
        <w:t>&gt;</w:t>
      </w:r>
    </w:p>
    <w:p w14:paraId="296A4718" w14:textId="77777777" w:rsidR="00EF314C" w:rsidRPr="00434219" w:rsidRDefault="00EF314C" w:rsidP="00EF314C">
      <w:pPr>
        <w:rPr>
          <w:rFonts w:cs="Arial"/>
          <w:b/>
          <w:sz w:val="22"/>
          <w:szCs w:val="22"/>
          <w:lang w:eastAsia="en-US"/>
        </w:rPr>
      </w:pPr>
    </w:p>
    <w:p w14:paraId="6D362F52" w14:textId="77777777" w:rsidR="00EF314C" w:rsidRPr="00434219" w:rsidRDefault="00FF5939" w:rsidP="00FF5939">
      <w:pPr>
        <w:pStyle w:val="CPQuestions"/>
      </w:pPr>
      <w:r w:rsidRPr="00434219">
        <w:t>What thresholds would you propose as the liquidity criteria? What minimum number of counterparties would you consider appropriate for introducing the TO</w:t>
      </w:r>
      <w:r w:rsidR="00EF314C" w:rsidRPr="00434219">
        <w:t>?</w:t>
      </w:r>
    </w:p>
    <w:p w14:paraId="52C24131" w14:textId="77777777" w:rsidR="00EF314C" w:rsidRPr="00434219" w:rsidRDefault="00EF314C" w:rsidP="00EF314C">
      <w:r w:rsidRPr="00434219">
        <w:t>&lt;ESMA_QUESTION_MIFID_TO_</w:t>
      </w:r>
      <w:r w:rsidR="00273633" w:rsidRPr="00434219">
        <w:t>20</w:t>
      </w:r>
      <w:r w:rsidRPr="00434219">
        <w:t>&gt;</w:t>
      </w:r>
    </w:p>
    <w:p w14:paraId="014BDDEE" w14:textId="77777777" w:rsidR="00EF314C" w:rsidRPr="00434219" w:rsidRDefault="00EF314C" w:rsidP="00EF314C">
      <w:permStart w:id="657027347" w:edGrp="everyone"/>
      <w:r w:rsidRPr="00434219">
        <w:t>TYPE YOUR TEXT HERE</w:t>
      </w:r>
    </w:p>
    <w:permEnd w:id="657027347"/>
    <w:p w14:paraId="568DA0DE" w14:textId="77777777" w:rsidR="00EF314C" w:rsidRPr="00434219" w:rsidRDefault="00EF314C" w:rsidP="00EF314C">
      <w:r w:rsidRPr="00434219">
        <w:t>&lt;ESMA_QUESTION_MIFID_TO_</w:t>
      </w:r>
      <w:r w:rsidR="00273633" w:rsidRPr="00434219">
        <w:t>20</w:t>
      </w:r>
      <w:r w:rsidRPr="00434219">
        <w:t>&gt;</w:t>
      </w:r>
    </w:p>
    <w:p w14:paraId="12614157" w14:textId="77777777" w:rsidR="00EF314C" w:rsidRPr="00434219" w:rsidRDefault="00EF314C" w:rsidP="00EF314C">
      <w:pPr>
        <w:rPr>
          <w:rFonts w:cs="Arial"/>
          <w:b/>
          <w:sz w:val="22"/>
          <w:szCs w:val="22"/>
          <w:lang w:eastAsia="en-US"/>
        </w:rPr>
      </w:pPr>
    </w:p>
    <w:p w14:paraId="381459A2" w14:textId="77777777" w:rsidR="00EF314C" w:rsidRPr="00434219" w:rsidRDefault="00FF5939" w:rsidP="00FF5939">
      <w:pPr>
        <w:pStyle w:val="CPQuestions"/>
      </w:pPr>
      <w:r w:rsidRPr="00434219">
        <w:t>What further specifications (e.g. payment frequency, reset frequency, day count convention, trade start type) would you consider necessary for specifying the trading obligation for fixed-float IRS? How would you determine these additional specifications</w:t>
      </w:r>
      <w:r w:rsidR="00EF314C" w:rsidRPr="00434219">
        <w:t>?</w:t>
      </w:r>
    </w:p>
    <w:p w14:paraId="7FBF6A13" w14:textId="77777777" w:rsidR="00EF314C" w:rsidRPr="00434219" w:rsidRDefault="00EF314C" w:rsidP="00EF314C">
      <w:r w:rsidRPr="00434219">
        <w:t>&lt;ESMA_QUESTION_MIFID_TO_</w:t>
      </w:r>
      <w:r w:rsidR="00273633" w:rsidRPr="00434219">
        <w:t>21</w:t>
      </w:r>
      <w:r w:rsidRPr="00434219">
        <w:t>&gt;</w:t>
      </w:r>
    </w:p>
    <w:p w14:paraId="4EDD61A0" w14:textId="3D5D8499" w:rsidR="00B26D87" w:rsidRPr="009967A3" w:rsidRDefault="00B26D87" w:rsidP="00EF314C">
      <w:permStart w:id="1380649135" w:edGrp="everyone"/>
      <w:r w:rsidRPr="00434219">
        <w:t xml:space="preserve">Since IRS </w:t>
      </w:r>
      <w:proofErr w:type="gramStart"/>
      <w:r w:rsidRPr="00434219">
        <w:t xml:space="preserve">can be flexibly </w:t>
      </w:r>
      <w:r w:rsidR="00EF0BB9">
        <w:t>geared</w:t>
      </w:r>
      <w:proofErr w:type="gramEnd"/>
      <w:r w:rsidR="00EF0BB9">
        <w:t xml:space="preserve"> to</w:t>
      </w:r>
      <w:r w:rsidRPr="009A44E0">
        <w:t xml:space="preserve"> the needs of our clients, there can be multiple specifications and combinations thereof, which may make this product variation less liquid/not tradeable. To add a few more specifications, we would consider at least</w:t>
      </w:r>
      <w:r w:rsidR="00EF0BB9">
        <w:t xml:space="preserve">, for example, the </w:t>
      </w:r>
      <w:r w:rsidRPr="009A44E0">
        <w:t>notional amount too as this may be customized, e.g. due to annuities in the underlying loan/bond</w:t>
      </w:r>
    </w:p>
    <w:permEnd w:id="1380649135"/>
    <w:p w14:paraId="7C7884DE" w14:textId="77777777" w:rsidR="00EF314C" w:rsidRPr="00434219" w:rsidRDefault="00EF314C" w:rsidP="00EF314C">
      <w:r w:rsidRPr="00434219">
        <w:t>&lt;ESMA_QUESTION_MIFID_TO_</w:t>
      </w:r>
      <w:r w:rsidR="00273633" w:rsidRPr="00434219">
        <w:t>21</w:t>
      </w:r>
      <w:r w:rsidRPr="00434219">
        <w:t>&gt;</w:t>
      </w:r>
    </w:p>
    <w:p w14:paraId="368E2093" w14:textId="77777777" w:rsidR="00EF314C" w:rsidRPr="00434219" w:rsidRDefault="00EF314C" w:rsidP="00EF314C">
      <w:pPr>
        <w:rPr>
          <w:rFonts w:cs="Arial"/>
          <w:b/>
          <w:sz w:val="22"/>
          <w:szCs w:val="22"/>
          <w:lang w:eastAsia="en-US"/>
        </w:rPr>
      </w:pPr>
    </w:p>
    <w:p w14:paraId="05847ED9" w14:textId="77777777" w:rsidR="00EF314C" w:rsidRPr="00434219" w:rsidRDefault="00FF5939" w:rsidP="00FF5939">
      <w:pPr>
        <w:pStyle w:val="CPQuestions"/>
      </w:pPr>
      <w:r w:rsidRPr="00434219">
        <w:t>Does this result reflect your assessment of liquidity in OIS? If not, please explain on which subclasses you disagree and why.</w:t>
      </w:r>
    </w:p>
    <w:p w14:paraId="4702FD55" w14:textId="77777777" w:rsidR="00EF314C" w:rsidRPr="00434219" w:rsidRDefault="00EF314C" w:rsidP="00EF314C">
      <w:r w:rsidRPr="00434219">
        <w:t>&lt;ESMA_QUESTION_MIFID_TO_</w:t>
      </w:r>
      <w:r w:rsidR="00273633" w:rsidRPr="00434219">
        <w:t>22</w:t>
      </w:r>
      <w:r w:rsidRPr="00434219">
        <w:t>&gt;</w:t>
      </w:r>
    </w:p>
    <w:p w14:paraId="58BD900D" w14:textId="77777777" w:rsidR="00EF314C" w:rsidRPr="00434219" w:rsidRDefault="00EF314C" w:rsidP="00EF314C">
      <w:permStart w:id="1588221809" w:edGrp="everyone"/>
      <w:r w:rsidRPr="00434219">
        <w:t>TYPE YOUR TEXT HERE</w:t>
      </w:r>
    </w:p>
    <w:permEnd w:id="1588221809"/>
    <w:p w14:paraId="7B4C2B52" w14:textId="77777777" w:rsidR="00EF314C" w:rsidRPr="00434219" w:rsidRDefault="00EF314C" w:rsidP="00EF314C">
      <w:r w:rsidRPr="00434219">
        <w:lastRenderedPageBreak/>
        <w:t>&lt;ESMA_QUESTION_MIFID_TO_</w:t>
      </w:r>
      <w:r w:rsidR="00273633" w:rsidRPr="00434219">
        <w:t>22</w:t>
      </w:r>
      <w:r w:rsidRPr="00434219">
        <w:t>&gt;</w:t>
      </w:r>
    </w:p>
    <w:p w14:paraId="3426D882" w14:textId="77777777" w:rsidR="00EF314C" w:rsidRPr="00434219" w:rsidRDefault="00EF314C" w:rsidP="00EF314C">
      <w:pPr>
        <w:rPr>
          <w:rFonts w:cs="Arial"/>
          <w:b/>
          <w:sz w:val="22"/>
          <w:szCs w:val="22"/>
          <w:lang w:eastAsia="en-US"/>
        </w:rPr>
      </w:pPr>
    </w:p>
    <w:p w14:paraId="514CC679" w14:textId="77777777" w:rsidR="00EF314C" w:rsidRPr="00434219" w:rsidRDefault="00FF5939" w:rsidP="00FF5939">
      <w:pPr>
        <w:pStyle w:val="CPQuestions"/>
      </w:pPr>
      <w:r w:rsidRPr="00434219">
        <w:t>What thresholds would you propose for the liquidity criteria? What minimum number of counterparties would you consider appropriate for introducing the TO</w:t>
      </w:r>
      <w:r w:rsidR="00EF314C" w:rsidRPr="00434219">
        <w:t>?</w:t>
      </w:r>
    </w:p>
    <w:p w14:paraId="0966E23B" w14:textId="77777777" w:rsidR="00EF314C" w:rsidRPr="00434219" w:rsidRDefault="00EF314C" w:rsidP="00EF314C">
      <w:r w:rsidRPr="00434219">
        <w:t>&lt;ESMA_QUESTION_MIFID_TO_</w:t>
      </w:r>
      <w:r w:rsidR="00273633" w:rsidRPr="00434219">
        <w:t>23</w:t>
      </w:r>
      <w:r w:rsidRPr="00434219">
        <w:t>&gt;</w:t>
      </w:r>
    </w:p>
    <w:p w14:paraId="4B01B5D8" w14:textId="77777777" w:rsidR="00EF314C" w:rsidRPr="00434219" w:rsidRDefault="00EF314C" w:rsidP="00EF314C">
      <w:permStart w:id="1094020825" w:edGrp="everyone"/>
      <w:r w:rsidRPr="00434219">
        <w:t>TYPE YOUR TEXT HERE</w:t>
      </w:r>
    </w:p>
    <w:permEnd w:id="1094020825"/>
    <w:p w14:paraId="1BA9F317" w14:textId="77777777" w:rsidR="00EF314C" w:rsidRPr="00434219" w:rsidRDefault="00EF314C" w:rsidP="00EF314C">
      <w:r w:rsidRPr="00434219">
        <w:t>&lt;ESMA_QUESTION_MIFID_TO_</w:t>
      </w:r>
      <w:r w:rsidR="00273633" w:rsidRPr="00434219">
        <w:t>23</w:t>
      </w:r>
      <w:r w:rsidRPr="00434219">
        <w:t>&gt;</w:t>
      </w:r>
    </w:p>
    <w:p w14:paraId="61DF881A" w14:textId="77777777" w:rsidR="00EF314C" w:rsidRPr="00434219" w:rsidRDefault="00EF314C" w:rsidP="00EF314C">
      <w:pPr>
        <w:rPr>
          <w:rFonts w:cs="Arial"/>
          <w:b/>
          <w:sz w:val="22"/>
          <w:szCs w:val="22"/>
          <w:lang w:eastAsia="en-US"/>
        </w:rPr>
      </w:pPr>
    </w:p>
    <w:p w14:paraId="577549FA" w14:textId="77777777" w:rsidR="00EF314C" w:rsidRPr="00434219" w:rsidRDefault="00FF5939" w:rsidP="00FF5939">
      <w:pPr>
        <w:pStyle w:val="CPQuestions"/>
      </w:pPr>
      <w:r w:rsidRPr="00434219">
        <w:t>What further specifications (e.g. payment frequency, reset frequency, day count convention, trade start type) would you consider necessary for specifying the trading obligation for OIS? How would you determine these additional specifications</w:t>
      </w:r>
      <w:r w:rsidR="00EF314C" w:rsidRPr="00434219">
        <w:t>?</w:t>
      </w:r>
    </w:p>
    <w:p w14:paraId="49A3D150" w14:textId="77777777" w:rsidR="00EF314C" w:rsidRPr="00434219" w:rsidRDefault="00EF314C" w:rsidP="00EF314C">
      <w:r w:rsidRPr="00434219">
        <w:t>&lt;ESMA_QUESTION_MIFID_TO_</w:t>
      </w:r>
      <w:r w:rsidR="00273633" w:rsidRPr="00434219">
        <w:t>24</w:t>
      </w:r>
      <w:r w:rsidRPr="00434219">
        <w:t>&gt;</w:t>
      </w:r>
    </w:p>
    <w:p w14:paraId="2CA1CD92" w14:textId="4FEAEB3F" w:rsidR="00EF314C" w:rsidRPr="00434219" w:rsidRDefault="00EF0BB9" w:rsidP="00EF314C">
      <w:permStart w:id="10901372" w:edGrp="everyone"/>
      <w:r>
        <w:t xml:space="preserve">See our </w:t>
      </w:r>
      <w:r w:rsidR="00B26D87" w:rsidRPr="00434219">
        <w:t>response to Q21</w:t>
      </w:r>
    </w:p>
    <w:permEnd w:id="10901372"/>
    <w:p w14:paraId="565815E8" w14:textId="77777777" w:rsidR="00EF314C" w:rsidRPr="00434219" w:rsidRDefault="00EF314C" w:rsidP="00EF314C">
      <w:r w:rsidRPr="00434219">
        <w:t>&lt;ESMA_QUESTION_MIFID_TO_</w:t>
      </w:r>
      <w:r w:rsidR="00273633" w:rsidRPr="00434219">
        <w:t>24</w:t>
      </w:r>
      <w:r w:rsidRPr="00434219">
        <w:t>&gt;</w:t>
      </w:r>
    </w:p>
    <w:p w14:paraId="0C4D4425" w14:textId="77777777" w:rsidR="00EF314C" w:rsidRPr="00434219" w:rsidRDefault="00EF314C" w:rsidP="00EF314C">
      <w:pPr>
        <w:rPr>
          <w:rFonts w:cs="Arial"/>
          <w:b/>
          <w:sz w:val="22"/>
          <w:szCs w:val="22"/>
          <w:lang w:eastAsia="en-US"/>
        </w:rPr>
      </w:pPr>
    </w:p>
    <w:p w14:paraId="0B3BF146" w14:textId="77777777" w:rsidR="00EF314C" w:rsidRPr="00434219" w:rsidRDefault="00FF5939" w:rsidP="00FF5939">
      <w:pPr>
        <w:pStyle w:val="CPQuestions"/>
      </w:pPr>
      <w:r w:rsidRPr="00434219">
        <w:t xml:space="preserve">Do you agree that due to the specificities of the FRA-market, FRAs should not be considered for the TO? Do you agree that the majority of FRAs transactions serve post-trade risk reduction purposes rather than actual </w:t>
      </w:r>
      <w:proofErr w:type="gramStart"/>
      <w:r w:rsidRPr="00434219">
        <w:t>trades.</w:t>
      </w:r>
      <w:proofErr w:type="gramEnd"/>
    </w:p>
    <w:p w14:paraId="15A3B5E4" w14:textId="77777777" w:rsidR="00EF314C" w:rsidRPr="00434219" w:rsidRDefault="00EF314C" w:rsidP="00EF314C">
      <w:r w:rsidRPr="00434219">
        <w:t>&lt;ESMA_QUESTION_MIFID_TO_</w:t>
      </w:r>
      <w:r w:rsidR="00273633" w:rsidRPr="00434219">
        <w:t>25</w:t>
      </w:r>
      <w:r w:rsidRPr="00434219">
        <w:t>&gt;</w:t>
      </w:r>
    </w:p>
    <w:p w14:paraId="4485ACCA" w14:textId="77777777" w:rsidR="00EF314C" w:rsidRPr="00434219" w:rsidRDefault="00EF314C" w:rsidP="00EF314C">
      <w:permStart w:id="2145324552" w:edGrp="everyone"/>
      <w:r w:rsidRPr="00434219">
        <w:t>TYPE YOUR TEXT HERE</w:t>
      </w:r>
    </w:p>
    <w:permEnd w:id="2145324552"/>
    <w:p w14:paraId="5742ADBA" w14:textId="77777777" w:rsidR="00EF314C" w:rsidRPr="00434219" w:rsidRDefault="00EF314C" w:rsidP="00EF314C">
      <w:r w:rsidRPr="00434219">
        <w:t>&lt;ESMA_QUESTION_MIFID_TO_</w:t>
      </w:r>
      <w:r w:rsidR="00273633" w:rsidRPr="00434219">
        <w:t>25</w:t>
      </w:r>
      <w:r w:rsidRPr="00434219">
        <w:t>&gt;</w:t>
      </w:r>
    </w:p>
    <w:p w14:paraId="340FAB70" w14:textId="77777777" w:rsidR="00EF314C" w:rsidRPr="00434219" w:rsidRDefault="00EF314C" w:rsidP="00EF314C">
      <w:pPr>
        <w:rPr>
          <w:rFonts w:cs="Arial"/>
          <w:b/>
          <w:sz w:val="22"/>
          <w:szCs w:val="22"/>
          <w:lang w:eastAsia="en-US"/>
        </w:rPr>
      </w:pPr>
    </w:p>
    <w:p w14:paraId="5830AC9F" w14:textId="77777777" w:rsidR="00EF314C" w:rsidRPr="00434219" w:rsidRDefault="00FF5939" w:rsidP="00FF5939">
      <w:pPr>
        <w:pStyle w:val="CPQuestions"/>
      </w:pPr>
      <w:r w:rsidRPr="00434219">
        <w:t>In case you consider FRAs should be considered for the TO, which FRA sub-classes are in your view sufficiently liquid and based on which criteria? How should a TO for FRAs best be expressed? Should it be based on the first (effective date) or the second period (reference date)? Apart from the tenor, which elements do you consider necessary for specifying the TO for FRAs and why</w:t>
      </w:r>
      <w:r w:rsidR="00EF314C" w:rsidRPr="00434219">
        <w:t>?</w:t>
      </w:r>
    </w:p>
    <w:p w14:paraId="5E5B2DCC" w14:textId="77777777" w:rsidR="00EF314C" w:rsidRPr="00434219" w:rsidRDefault="00EF314C" w:rsidP="00EF314C">
      <w:r w:rsidRPr="00434219">
        <w:t>&lt;ESMA_QUESTION_MIFID_TO_</w:t>
      </w:r>
      <w:r w:rsidR="00273633" w:rsidRPr="00434219">
        <w:t>26</w:t>
      </w:r>
      <w:r w:rsidRPr="00434219">
        <w:t>&gt;</w:t>
      </w:r>
    </w:p>
    <w:p w14:paraId="5159615B" w14:textId="5C76F6A2" w:rsidR="00B26D87" w:rsidRPr="000322CA" w:rsidRDefault="00B26D87" w:rsidP="00EF314C">
      <w:permStart w:id="2084787238" w:edGrp="everyone"/>
      <w:r w:rsidRPr="000322CA">
        <w:t>Both are relevant and</w:t>
      </w:r>
      <w:r w:rsidR="00EF0BB9">
        <w:t xml:space="preserve">, what is more, </w:t>
      </w:r>
      <w:r w:rsidR="007B15F4">
        <w:t>just</w:t>
      </w:r>
      <w:r w:rsidRPr="000322CA">
        <w:t xml:space="preserve"> looking at the combination of both will show if a FRA variant </w:t>
      </w:r>
      <w:proofErr w:type="gramStart"/>
      <w:r w:rsidRPr="000322CA">
        <w:t>is frequently traded</w:t>
      </w:r>
      <w:proofErr w:type="gramEnd"/>
      <w:r w:rsidRPr="000322CA">
        <w:t xml:space="preserve"> with sufficient liquidity, e.g.  3M/6M, 6M/6M or 6M/12M</w:t>
      </w:r>
    </w:p>
    <w:permEnd w:id="2084787238"/>
    <w:p w14:paraId="646C12AA" w14:textId="77777777" w:rsidR="00EF314C" w:rsidRPr="00434219" w:rsidRDefault="00EF314C" w:rsidP="00EF314C">
      <w:r w:rsidRPr="009967A3">
        <w:t>&lt;ESMA_QUESTION_MIFID_TO_</w:t>
      </w:r>
      <w:r w:rsidR="00273633" w:rsidRPr="00434219">
        <w:t>26</w:t>
      </w:r>
      <w:r w:rsidRPr="00434219">
        <w:t>&gt;</w:t>
      </w:r>
    </w:p>
    <w:p w14:paraId="2114E70A" w14:textId="77777777" w:rsidR="00EF314C" w:rsidRPr="00434219" w:rsidRDefault="00EF314C" w:rsidP="00EF314C">
      <w:pPr>
        <w:rPr>
          <w:rFonts w:cs="Arial"/>
          <w:b/>
          <w:sz w:val="22"/>
          <w:szCs w:val="22"/>
          <w:lang w:eastAsia="en-US"/>
        </w:rPr>
      </w:pPr>
    </w:p>
    <w:p w14:paraId="39F037F6" w14:textId="77777777" w:rsidR="00EF314C" w:rsidRPr="00434219" w:rsidRDefault="004C2CD0" w:rsidP="00FF5939">
      <w:pPr>
        <w:pStyle w:val="CPQuestions"/>
      </w:pPr>
      <w:r w:rsidRPr="00434219">
        <w:t>Would you consider</w:t>
      </w:r>
      <w:r w:rsidR="00FF5939" w:rsidRPr="00434219">
        <w:t xml:space="preserve"> the two index CDS as sufficiently liquid for being covered by the TO</w:t>
      </w:r>
      <w:r w:rsidR="00EF314C" w:rsidRPr="00434219">
        <w:t>?</w:t>
      </w:r>
    </w:p>
    <w:p w14:paraId="4F9F9D3A" w14:textId="77777777" w:rsidR="00EF314C" w:rsidRPr="00434219" w:rsidRDefault="00EF314C" w:rsidP="00EF314C">
      <w:r w:rsidRPr="00434219">
        <w:t>&lt;ESMA_QUESTION_MIFID_TO_</w:t>
      </w:r>
      <w:r w:rsidR="00273633" w:rsidRPr="00434219">
        <w:t>2</w:t>
      </w:r>
      <w:r w:rsidRPr="00434219">
        <w:t>7&gt;</w:t>
      </w:r>
    </w:p>
    <w:p w14:paraId="395F9123" w14:textId="77777777" w:rsidR="00EF314C" w:rsidRPr="00434219" w:rsidRDefault="00EF314C" w:rsidP="00EF314C">
      <w:permStart w:id="263353421" w:edGrp="everyone"/>
      <w:r w:rsidRPr="00434219">
        <w:t>TYPE YOUR TEXT HERE</w:t>
      </w:r>
    </w:p>
    <w:permEnd w:id="263353421"/>
    <w:p w14:paraId="224FC81B" w14:textId="77777777" w:rsidR="00EF314C" w:rsidRPr="00434219" w:rsidRDefault="00EF314C" w:rsidP="00EF314C">
      <w:r w:rsidRPr="00434219">
        <w:t>&lt;ESMA_QUESTION_MIFID_TO_</w:t>
      </w:r>
      <w:r w:rsidR="00273633" w:rsidRPr="00434219">
        <w:t>2</w:t>
      </w:r>
      <w:r w:rsidRPr="00434219">
        <w:t>7&gt;</w:t>
      </w:r>
    </w:p>
    <w:p w14:paraId="69BC65DC" w14:textId="77777777" w:rsidR="00EF314C" w:rsidRPr="00434219" w:rsidRDefault="00EF314C" w:rsidP="00EF314C">
      <w:pPr>
        <w:rPr>
          <w:rFonts w:cs="Arial"/>
          <w:b/>
          <w:sz w:val="22"/>
          <w:szCs w:val="22"/>
          <w:lang w:eastAsia="en-US"/>
        </w:rPr>
      </w:pPr>
    </w:p>
    <w:p w14:paraId="7B9C8FA5" w14:textId="77777777" w:rsidR="00EF314C" w:rsidRPr="00434219" w:rsidRDefault="00FF5939" w:rsidP="00FF5939">
      <w:pPr>
        <w:pStyle w:val="CPQuestions"/>
      </w:pPr>
      <w:r w:rsidRPr="00434219">
        <w:lastRenderedPageBreak/>
        <w:t>Do you agree that the TO for CDS should cover the on-the-run series as well as the first thirty working days of the most recent off-the run-series? If not, please explain why and propose an alternative approach.</w:t>
      </w:r>
    </w:p>
    <w:p w14:paraId="403FAE45" w14:textId="77777777" w:rsidR="00EF314C" w:rsidRPr="00434219" w:rsidRDefault="00EF314C" w:rsidP="00EF314C">
      <w:r w:rsidRPr="00434219">
        <w:t>&lt;ESMA_QUESTION_MIFID_TO_</w:t>
      </w:r>
      <w:r w:rsidR="00273633" w:rsidRPr="00434219">
        <w:t>28</w:t>
      </w:r>
      <w:r w:rsidRPr="00434219">
        <w:t>&gt;</w:t>
      </w:r>
    </w:p>
    <w:p w14:paraId="660D5452" w14:textId="77777777" w:rsidR="00EF314C" w:rsidRPr="00434219" w:rsidRDefault="00EF314C" w:rsidP="00EF314C">
      <w:permStart w:id="829579391" w:edGrp="everyone"/>
      <w:r w:rsidRPr="00434219">
        <w:t>TYPE YOUR TEXT HERE</w:t>
      </w:r>
    </w:p>
    <w:permEnd w:id="829579391"/>
    <w:p w14:paraId="2868C407" w14:textId="77777777" w:rsidR="00EF314C" w:rsidRPr="00434219" w:rsidRDefault="00EF314C" w:rsidP="00EF314C">
      <w:r w:rsidRPr="00434219">
        <w:t>&lt;ESMA_QUESTION_MIFID_TO_</w:t>
      </w:r>
      <w:r w:rsidR="00273633" w:rsidRPr="00434219">
        <w:t>28</w:t>
      </w:r>
      <w:r w:rsidRPr="00434219">
        <w:t>&gt;</w:t>
      </w:r>
    </w:p>
    <w:p w14:paraId="56350C25" w14:textId="77777777" w:rsidR="00EF314C" w:rsidRPr="00434219" w:rsidRDefault="00EF314C" w:rsidP="00EF314C">
      <w:pPr>
        <w:rPr>
          <w:rFonts w:cs="Arial"/>
          <w:b/>
          <w:sz w:val="22"/>
          <w:szCs w:val="22"/>
          <w:lang w:eastAsia="en-US"/>
        </w:rPr>
      </w:pPr>
    </w:p>
    <w:p w14:paraId="4C1FCBD8" w14:textId="77777777" w:rsidR="00EF314C" w:rsidRPr="00434219" w:rsidRDefault="00FF5939" w:rsidP="00FF5939">
      <w:pPr>
        <w:pStyle w:val="CPQuestions"/>
      </w:pPr>
      <w:r w:rsidRPr="00434219">
        <w:t>Apart from the tenor, which elements do you consider indispensable for specifying the TO for CDSs and why</w:t>
      </w:r>
      <w:r w:rsidR="00EF314C" w:rsidRPr="00434219">
        <w:t>?</w:t>
      </w:r>
    </w:p>
    <w:p w14:paraId="7ADC0697" w14:textId="77777777" w:rsidR="00EF314C" w:rsidRPr="00434219" w:rsidRDefault="00EF314C" w:rsidP="00EF314C">
      <w:r w:rsidRPr="00434219">
        <w:t>&lt;ESMA_QUESTION_MIFID_TO_</w:t>
      </w:r>
      <w:r w:rsidR="00273633" w:rsidRPr="00434219">
        <w:t>29</w:t>
      </w:r>
      <w:r w:rsidRPr="00434219">
        <w:t>&gt;</w:t>
      </w:r>
    </w:p>
    <w:p w14:paraId="212C6EC0" w14:textId="1A9FD8D0" w:rsidR="00EF314C" w:rsidRPr="00434219" w:rsidRDefault="00EF0BB9" w:rsidP="00EF314C">
      <w:permStart w:id="63908783" w:edGrp="everyone"/>
      <w:r>
        <w:t>For example,</w:t>
      </w:r>
      <w:r w:rsidR="00B26D87" w:rsidRPr="009A44E0">
        <w:t xml:space="preserve"> </w:t>
      </w:r>
      <w:r w:rsidR="00B26D87" w:rsidRPr="00434219">
        <w:t xml:space="preserve">type (single name, index or basket), default </w:t>
      </w:r>
      <w:proofErr w:type="spellStart"/>
      <w:r w:rsidR="007B15F4" w:rsidRPr="00434219">
        <w:t>payout</w:t>
      </w:r>
      <w:proofErr w:type="spellEnd"/>
      <w:r w:rsidR="00B26D87" w:rsidRPr="00434219">
        <w:t xml:space="preserve"> profile (e.g. fixed or float</w:t>
      </w:r>
      <w:r w:rsidR="007B15F4">
        <w:t>ing</w:t>
      </w:r>
      <w:r w:rsidR="00B26D87" w:rsidRPr="00434219">
        <w:t>), events when a default occurs including calculation until a default occurs</w:t>
      </w:r>
      <w:r w:rsidR="006C2966">
        <w:t>,</w:t>
      </w:r>
      <w:r w:rsidR="00B26D87" w:rsidRPr="009A44E0">
        <w:t xml:space="preserve"> e.g. in </w:t>
      </w:r>
      <w:r w:rsidR="006C2966">
        <w:t xml:space="preserve">the </w:t>
      </w:r>
      <w:r w:rsidR="00B26D87" w:rsidRPr="009A44E0">
        <w:t xml:space="preserve">case of tranches with individual attachment/detachment points, or in </w:t>
      </w:r>
      <w:r>
        <w:t xml:space="preserve">the </w:t>
      </w:r>
      <w:r w:rsidR="00B26D87" w:rsidRPr="009A44E0">
        <w:t>case of baskets (first-to-default, nth-to-default,</w:t>
      </w:r>
      <w:r w:rsidR="006C2966">
        <w:t xml:space="preserve"> etc.) </w:t>
      </w:r>
      <w:permEnd w:id="63908783"/>
      <w:r w:rsidR="00EF314C" w:rsidRPr="009967A3">
        <w:t>&lt;ESMA_QUESTION_MIFID_TO_</w:t>
      </w:r>
      <w:r w:rsidR="00273633" w:rsidRPr="00434219">
        <w:t>29</w:t>
      </w:r>
      <w:r w:rsidR="00EF314C" w:rsidRPr="00434219">
        <w:t>&gt;</w:t>
      </w:r>
    </w:p>
    <w:p w14:paraId="40A17140" w14:textId="77777777" w:rsidR="00EF314C" w:rsidRPr="00434219" w:rsidRDefault="00EF314C" w:rsidP="00EF314C">
      <w:pPr>
        <w:rPr>
          <w:rFonts w:cs="Arial"/>
          <w:b/>
          <w:sz w:val="22"/>
          <w:szCs w:val="22"/>
          <w:lang w:eastAsia="en-US"/>
        </w:rPr>
      </w:pPr>
    </w:p>
    <w:p w14:paraId="0C827241" w14:textId="77777777" w:rsidR="00EF314C" w:rsidRPr="00434219" w:rsidRDefault="00FF5939" w:rsidP="00FF5939">
      <w:pPr>
        <w:pStyle w:val="CPQuestions"/>
      </w:pPr>
      <w:r w:rsidRPr="00434219">
        <w:t>Do you agree with the proposed application dates? If not, please provide an alternative and explain your reasoning.</w:t>
      </w:r>
    </w:p>
    <w:p w14:paraId="0365DE77" w14:textId="77777777" w:rsidR="00EF314C" w:rsidRPr="00434219" w:rsidRDefault="00EF314C" w:rsidP="00EF314C">
      <w:r w:rsidRPr="00434219">
        <w:t>&lt;ESMA_QUESTION_MIFID_TO_</w:t>
      </w:r>
      <w:r w:rsidR="00273633" w:rsidRPr="00434219">
        <w:t>30</w:t>
      </w:r>
      <w:r w:rsidRPr="00434219">
        <w:t>&gt;</w:t>
      </w:r>
    </w:p>
    <w:p w14:paraId="76142D34" w14:textId="3B2EC92B" w:rsidR="00EF314C" w:rsidRPr="009967A3" w:rsidRDefault="006C2966" w:rsidP="00EF314C">
      <w:permStart w:id="2003909968" w:edGrp="everyone"/>
      <w:r>
        <w:t>See</w:t>
      </w:r>
      <w:r w:rsidR="00586C69" w:rsidRPr="009A44E0">
        <w:t xml:space="preserve"> our preliminary remarks and </w:t>
      </w:r>
      <w:r>
        <w:t>replies</w:t>
      </w:r>
      <w:r w:rsidR="00586C69" w:rsidRPr="009A44E0">
        <w:t xml:space="preserve"> to question</w:t>
      </w:r>
      <w:r>
        <w:t>s</w:t>
      </w:r>
      <w:r w:rsidR="00586C69" w:rsidRPr="009A44E0">
        <w:t xml:space="preserve"> 7 and 15</w:t>
      </w:r>
      <w:r>
        <w:t>. We</w:t>
      </w:r>
      <w:r w:rsidR="00586C69" w:rsidRPr="009A44E0">
        <w:t xml:space="preserve"> strongly recommend </w:t>
      </w:r>
      <w:r w:rsidR="00586C69" w:rsidRPr="00434219">
        <w:t>implement</w:t>
      </w:r>
      <w:r>
        <w:t>ing</w:t>
      </w:r>
      <w:r w:rsidR="00586C69" w:rsidRPr="009A44E0">
        <w:t xml:space="preserve"> the trading obligation </w:t>
      </w:r>
      <w:r>
        <w:t>once</w:t>
      </w:r>
      <w:r w:rsidR="00586C69" w:rsidRPr="009A44E0">
        <w:t xml:space="preserve"> sufficient data from the clearing obligation and pre-trade transparency requirements is available. Any premature introduction of the trading obligation would </w:t>
      </w:r>
      <w:r>
        <w:t>entail</w:t>
      </w:r>
      <w:r w:rsidR="00586C69" w:rsidRPr="009A44E0">
        <w:t xml:space="preserve"> </w:t>
      </w:r>
      <w:r>
        <w:t>needless</w:t>
      </w:r>
      <w:r w:rsidR="00586C69" w:rsidRPr="009A44E0">
        <w:t xml:space="preserve"> misalignments and complications.</w:t>
      </w:r>
    </w:p>
    <w:permEnd w:id="2003909968"/>
    <w:p w14:paraId="7F172A02" w14:textId="77777777" w:rsidR="00EF314C" w:rsidRPr="00434219" w:rsidRDefault="00EF314C" w:rsidP="00EF314C">
      <w:r w:rsidRPr="00434219">
        <w:t>&lt;ESMA_QUESTION_MIFID_TO_</w:t>
      </w:r>
      <w:r w:rsidR="00273633" w:rsidRPr="00434219">
        <w:t>30</w:t>
      </w:r>
      <w:r w:rsidRPr="00434219">
        <w:t>&gt;</w:t>
      </w:r>
    </w:p>
    <w:p w14:paraId="36B39453" w14:textId="77777777" w:rsidR="00EF314C" w:rsidRPr="00434219" w:rsidRDefault="00EF314C" w:rsidP="00EF314C">
      <w:pPr>
        <w:rPr>
          <w:rFonts w:cs="Arial"/>
          <w:b/>
          <w:sz w:val="22"/>
          <w:szCs w:val="22"/>
          <w:lang w:eastAsia="en-US"/>
        </w:rPr>
      </w:pPr>
    </w:p>
    <w:p w14:paraId="224E08E6" w14:textId="77777777" w:rsidR="00EF314C" w:rsidRPr="00434219" w:rsidRDefault="00FF5939" w:rsidP="00FF5939">
      <w:pPr>
        <w:pStyle w:val="CPQuestions"/>
      </w:pPr>
      <w:r w:rsidRPr="00434219">
        <w:t>Do you consider necessary to provide for an additional phase-in for the TO for operational purposed and to avoid bottlenecks? If yes, please provide a proposal on the appropriate length of such a phase-in for the different categories of counterparties and explain your reasoning.</w:t>
      </w:r>
    </w:p>
    <w:p w14:paraId="26B823BE" w14:textId="77777777" w:rsidR="00EF314C" w:rsidRPr="00434219" w:rsidRDefault="00EF314C" w:rsidP="00EF314C">
      <w:r w:rsidRPr="00434219">
        <w:t>&lt;ESMA_QUESTION_MIFID_TO_</w:t>
      </w:r>
      <w:r w:rsidR="00273633" w:rsidRPr="00434219">
        <w:t>31</w:t>
      </w:r>
      <w:r w:rsidRPr="00434219">
        <w:t>&gt;</w:t>
      </w:r>
    </w:p>
    <w:p w14:paraId="636C7409" w14:textId="77777777" w:rsidR="009D6F0D" w:rsidRPr="009D6F0D" w:rsidRDefault="009D6F0D" w:rsidP="009D6F0D">
      <w:pPr>
        <w:rPr>
          <w:lang w:val="en-US"/>
        </w:rPr>
      </w:pPr>
      <w:permStart w:id="1325366198" w:edGrp="everyone"/>
      <w:r w:rsidRPr="009D6F0D">
        <w:rPr>
          <w:lang w:val="en-US"/>
        </w:rPr>
        <w:t>GBIC strongly supports a phase-in which could be based on, for example, the same counterparty cate-</w:t>
      </w:r>
      <w:proofErr w:type="spellStart"/>
      <w:r w:rsidRPr="009D6F0D">
        <w:rPr>
          <w:lang w:val="en-US"/>
        </w:rPr>
        <w:t>gories</w:t>
      </w:r>
      <w:proofErr w:type="spellEnd"/>
      <w:r w:rsidRPr="009D6F0D">
        <w:rPr>
          <w:lang w:val="en-US"/>
        </w:rPr>
        <w:t xml:space="preserve"> as for the CO. However, small financial institutions should be exempted due to the considerable effort required on their part and for proportionality reasons.</w:t>
      </w:r>
    </w:p>
    <w:permEnd w:id="1325366198"/>
    <w:p w14:paraId="0CB6A3C7" w14:textId="77777777" w:rsidR="00EF314C" w:rsidRPr="00434219" w:rsidRDefault="00EF314C" w:rsidP="00EF314C">
      <w:r w:rsidRPr="009967A3">
        <w:t>&lt;ESMA_QUESTION_MIFID_TO_</w:t>
      </w:r>
      <w:r w:rsidR="00273633" w:rsidRPr="00434219">
        <w:t>31</w:t>
      </w:r>
      <w:r w:rsidRPr="00434219">
        <w:t>&gt;</w:t>
      </w:r>
      <w:bookmarkStart w:id="3" w:name="_GoBack"/>
      <w:bookmarkEnd w:id="3"/>
    </w:p>
    <w:p w14:paraId="55B5B7F9" w14:textId="77777777" w:rsidR="00EF314C" w:rsidRPr="00434219" w:rsidRDefault="00EF314C" w:rsidP="00EF314C">
      <w:pPr>
        <w:rPr>
          <w:rFonts w:cs="Arial"/>
          <w:b/>
          <w:sz w:val="22"/>
          <w:szCs w:val="22"/>
          <w:lang w:eastAsia="en-US"/>
        </w:rPr>
      </w:pPr>
    </w:p>
    <w:p w14:paraId="375FB704" w14:textId="77777777" w:rsidR="00EF314C" w:rsidRPr="00434219" w:rsidRDefault="00FF5939" w:rsidP="00FF5939">
      <w:pPr>
        <w:pStyle w:val="CPQuestions"/>
      </w:pPr>
      <w:r w:rsidRPr="00434219">
        <w:t>Which types of package transactions are carried out comprising components of classes of derivatives that are assessed for the purpose of the TO, i.e. IRD and/or CDS? Please describe the package and its components as well as your view on the liquidity of those packages.</w:t>
      </w:r>
    </w:p>
    <w:p w14:paraId="6DFCF7A8" w14:textId="77777777" w:rsidR="00EF314C" w:rsidRPr="00434219" w:rsidRDefault="00EF314C" w:rsidP="00EF314C">
      <w:r w:rsidRPr="00434219">
        <w:t>&lt;ESMA_QUESTION_MIFID_TO_</w:t>
      </w:r>
      <w:r w:rsidR="00273633" w:rsidRPr="00434219">
        <w:t>32</w:t>
      </w:r>
      <w:r w:rsidRPr="00434219">
        <w:t>&gt;</w:t>
      </w:r>
    </w:p>
    <w:p w14:paraId="06AFB92C" w14:textId="73C89F90" w:rsidR="00EF314C" w:rsidRPr="00434219" w:rsidRDefault="005D056B" w:rsidP="00A56346">
      <w:permStart w:id="519393976" w:edGrp="everyone"/>
      <w:r w:rsidRPr="00434219">
        <w:t xml:space="preserve">There are all kinds of combinations, i.e. components </w:t>
      </w:r>
      <w:r w:rsidR="00A56346" w:rsidRPr="00434219">
        <w:t xml:space="preserve">of the same asset class </w:t>
      </w:r>
      <w:r w:rsidRPr="00434219">
        <w:t>mixed with each other</w:t>
      </w:r>
      <w:r w:rsidR="00A56346" w:rsidRPr="00434219">
        <w:t xml:space="preserve"> (often IRD with IRD)</w:t>
      </w:r>
      <w:r w:rsidRPr="00434219">
        <w:t xml:space="preserve">, </w:t>
      </w:r>
      <w:r w:rsidR="009A44E0">
        <w:t>just as there are</w:t>
      </w:r>
      <w:r w:rsidRPr="009A44E0">
        <w:t xml:space="preserve"> (althou</w:t>
      </w:r>
      <w:r w:rsidRPr="009967A3">
        <w:t>gh quite less frequent</w:t>
      </w:r>
      <w:r w:rsidR="006C2966">
        <w:t>ly</w:t>
      </w:r>
      <w:r w:rsidRPr="009A44E0">
        <w:t>)</w:t>
      </w:r>
      <w:r w:rsidRPr="00F6558D">
        <w:t xml:space="preserve"> combinations of </w:t>
      </w:r>
      <w:r w:rsidRPr="00434219">
        <w:t xml:space="preserve">components across asset </w:t>
      </w:r>
      <w:r w:rsidRPr="00434219">
        <w:lastRenderedPageBreak/>
        <w:t>classes like</w:t>
      </w:r>
      <w:r w:rsidR="009A44E0">
        <w:t>, for example,</w:t>
      </w:r>
      <w:r w:rsidRPr="009A44E0">
        <w:t xml:space="preserve"> a</w:t>
      </w:r>
      <w:r w:rsidR="009A44E0">
        <w:t>n</w:t>
      </w:r>
      <w:r w:rsidRPr="009A44E0">
        <w:t xml:space="preserve"> </w:t>
      </w:r>
      <w:proofErr w:type="spellStart"/>
      <w:r w:rsidRPr="009A44E0">
        <w:t>fx</w:t>
      </w:r>
      <w:proofErr w:type="spellEnd"/>
      <w:r w:rsidRPr="009A44E0">
        <w:t xml:space="preserve"> derivative with an </w:t>
      </w:r>
      <w:r w:rsidR="00A56346" w:rsidRPr="009967A3">
        <w:t>IRD derivat</w:t>
      </w:r>
      <w:r w:rsidR="00A56346" w:rsidRPr="00F6558D">
        <w:t>ive</w:t>
      </w:r>
      <w:r w:rsidR="00A56346" w:rsidRPr="00434219">
        <w:t xml:space="preserve">, or  IRD with CDS, IRD with EQD, </w:t>
      </w:r>
      <w:r w:rsidR="009A44E0">
        <w:t>c</w:t>
      </w:r>
      <w:r w:rsidR="00A56346" w:rsidRPr="009A44E0">
        <w:t>ommodities with IRD</w:t>
      </w:r>
      <w:r w:rsidR="00A56346" w:rsidRPr="009967A3">
        <w:t xml:space="preserve">, and so on. </w:t>
      </w:r>
      <w:r w:rsidR="00FA1C80" w:rsidRPr="00F6558D">
        <w:t xml:space="preserve">Packages are </w:t>
      </w:r>
      <w:proofErr w:type="gramStart"/>
      <w:r w:rsidR="00FA1C80" w:rsidRPr="00F6558D">
        <w:t>typically l</w:t>
      </w:r>
      <w:r w:rsidR="00FA1C80" w:rsidRPr="00434219">
        <w:t>ess</w:t>
      </w:r>
      <w:r w:rsidR="00A56346" w:rsidRPr="00434219">
        <w:t xml:space="preserve"> liquid</w:t>
      </w:r>
      <w:proofErr w:type="gramEnd"/>
      <w:r w:rsidR="00FA1C80" w:rsidRPr="00434219">
        <w:t xml:space="preserve"> and </w:t>
      </w:r>
      <w:r w:rsidR="009A44E0">
        <w:t>their</w:t>
      </w:r>
      <w:r w:rsidR="00FA1C80" w:rsidRPr="009A44E0">
        <w:t xml:space="preserve"> components may vary sli</w:t>
      </w:r>
      <w:r w:rsidR="00FA1C80" w:rsidRPr="009967A3">
        <w:t>ghtly in some terms compared to the single product</w:t>
      </w:r>
      <w:r w:rsidR="00685002" w:rsidRPr="00F6558D">
        <w:t>. Package</w:t>
      </w:r>
      <w:r w:rsidR="00685002" w:rsidRPr="00434219">
        <w:t xml:space="preserve"> transaction</w:t>
      </w:r>
      <w:r w:rsidR="009A44E0">
        <w:t>s</w:t>
      </w:r>
      <w:r w:rsidR="00685002" w:rsidRPr="009A44E0">
        <w:t xml:space="preserve"> where not all components of</w:t>
      </w:r>
      <w:r w:rsidR="00685002" w:rsidRPr="009967A3">
        <w:t xml:space="preserve"> the package are classified </w:t>
      </w:r>
      <w:r w:rsidR="009A44E0">
        <w:t xml:space="preserve">as </w:t>
      </w:r>
      <w:r w:rsidR="00685002" w:rsidRPr="009A44E0">
        <w:t>liq</w:t>
      </w:r>
      <w:r w:rsidR="00685002" w:rsidRPr="009967A3">
        <w:t xml:space="preserve">uid and therefore qualify for </w:t>
      </w:r>
      <w:r w:rsidR="009A44E0">
        <w:t xml:space="preserve">the </w:t>
      </w:r>
      <w:r w:rsidR="00685002" w:rsidRPr="009A44E0">
        <w:t xml:space="preserve">TO would subsequently mean that the entire package should also </w:t>
      </w:r>
      <w:r w:rsidR="00685002" w:rsidRPr="009967A3">
        <w:t xml:space="preserve">be exempt from </w:t>
      </w:r>
      <w:r w:rsidR="009A44E0">
        <w:t xml:space="preserve">the </w:t>
      </w:r>
      <w:r w:rsidR="00685002" w:rsidRPr="009A44E0">
        <w:t>TO</w:t>
      </w:r>
      <w:proofErr w:type="gramStart"/>
      <w:r w:rsidR="00FA1C80" w:rsidRPr="009967A3">
        <w:t>.</w:t>
      </w:r>
      <w:permEnd w:id="519393976"/>
      <w:r w:rsidR="00EF314C" w:rsidRPr="00F6558D">
        <w:t>&lt;</w:t>
      </w:r>
      <w:proofErr w:type="gramEnd"/>
      <w:r w:rsidR="00EF314C" w:rsidRPr="00F6558D">
        <w:t>ESMA_QUESTION_MIFID_TO_</w:t>
      </w:r>
      <w:r w:rsidR="00273633" w:rsidRPr="00434219">
        <w:t>32</w:t>
      </w:r>
      <w:r w:rsidR="00EF314C" w:rsidRPr="00434219">
        <w:t>&gt;</w:t>
      </w:r>
    </w:p>
    <w:p w14:paraId="1E5F8449" w14:textId="77777777" w:rsidR="00EF314C" w:rsidRPr="00434219" w:rsidRDefault="00EF314C" w:rsidP="00EF314C">
      <w:pPr>
        <w:rPr>
          <w:rFonts w:cs="Arial"/>
          <w:b/>
          <w:sz w:val="22"/>
          <w:szCs w:val="22"/>
          <w:lang w:eastAsia="en-US"/>
        </w:rPr>
      </w:pPr>
    </w:p>
    <w:p w14:paraId="516299F1" w14:textId="77777777" w:rsidR="00EF314C" w:rsidRPr="00434219" w:rsidRDefault="00FF5939" w:rsidP="00FF5939">
      <w:pPr>
        <w:pStyle w:val="CPQuestions"/>
      </w:pPr>
      <w:r w:rsidRPr="00434219">
        <w:t xml:space="preserve">Are there packages that only comprise components of classes of derivatives that are assessed for the purpose of the TO? Do you consider those package transactions to be standardised and </w:t>
      </w:r>
      <w:proofErr w:type="gramStart"/>
      <w:r w:rsidRPr="00434219">
        <w:t>sufficiently liquid</w:t>
      </w:r>
      <w:proofErr w:type="gramEnd"/>
      <w:r w:rsidR="00EF314C" w:rsidRPr="00434219">
        <w:t>?</w:t>
      </w:r>
    </w:p>
    <w:p w14:paraId="4EB89FF2" w14:textId="77777777" w:rsidR="00EF314C" w:rsidRPr="00434219" w:rsidRDefault="00EF314C" w:rsidP="00EF314C">
      <w:r w:rsidRPr="00434219">
        <w:t>&lt;ESMA_QUESTION_MIFID_TO_</w:t>
      </w:r>
      <w:r w:rsidR="00273633" w:rsidRPr="00434219">
        <w:t>33</w:t>
      </w:r>
      <w:r w:rsidRPr="00434219">
        <w:t>&gt;</w:t>
      </w:r>
    </w:p>
    <w:p w14:paraId="1BDCE840" w14:textId="1666C456" w:rsidR="00EF314C" w:rsidRPr="009967A3" w:rsidRDefault="005D056B" w:rsidP="005D056B">
      <w:permStart w:id="1790664699" w:edGrp="everyone"/>
      <w:r w:rsidRPr="00434219">
        <w:t>Yes, there are packages that may consist only of components that</w:t>
      </w:r>
      <w:r w:rsidR="009A44E0">
        <w:t xml:space="preserve"> </w:t>
      </w:r>
      <w:r w:rsidRPr="009A44E0">
        <w:t xml:space="preserve">would fall </w:t>
      </w:r>
      <w:r w:rsidR="009A44E0">
        <w:t>a</w:t>
      </w:r>
      <w:r w:rsidR="007B15F4">
        <w:t>s</w:t>
      </w:r>
      <w:r w:rsidR="009A44E0">
        <w:t xml:space="preserve"> such </w:t>
      </w:r>
      <w:r w:rsidRPr="009A44E0">
        <w:t>under the TO</w:t>
      </w:r>
      <w:r w:rsidR="00685002" w:rsidRPr="009967A3">
        <w:t>.</w:t>
      </w:r>
      <w:r w:rsidRPr="00434219">
        <w:t xml:space="preserve"> </w:t>
      </w:r>
      <w:r w:rsidR="00685002" w:rsidRPr="00434219">
        <w:t>H</w:t>
      </w:r>
      <w:r w:rsidRPr="00434219">
        <w:t xml:space="preserve">owever, as these </w:t>
      </w:r>
      <w:proofErr w:type="gramStart"/>
      <w:r w:rsidRPr="00434219">
        <w:t>have been designed</w:t>
      </w:r>
      <w:proofErr w:type="gramEnd"/>
      <w:r w:rsidRPr="00434219">
        <w:t xml:space="preserve"> based on client needs and may contain small deviations from standard products like single payments, they may look</w:t>
      </w:r>
      <w:r w:rsidR="009A44E0">
        <w:t xml:space="preserve"> </w:t>
      </w:r>
      <w:r w:rsidR="00643E53">
        <w:t>a</w:t>
      </w:r>
      <w:r w:rsidR="009A44E0">
        <w:t>like</w:t>
      </w:r>
      <w:r w:rsidRPr="009A44E0">
        <w:t xml:space="preserve"> </w:t>
      </w:r>
      <w:r w:rsidR="00643E53">
        <w:t xml:space="preserve">as </w:t>
      </w:r>
      <w:r w:rsidRPr="009967A3">
        <w:t>belong</w:t>
      </w:r>
      <w:r w:rsidR="009A44E0">
        <w:t>ing</w:t>
      </w:r>
      <w:r w:rsidRPr="009A44E0">
        <w:t xml:space="preserve"> to a certain sub-class</w:t>
      </w:r>
      <w:r w:rsidRPr="00F6558D">
        <w:t xml:space="preserve"> </w:t>
      </w:r>
      <w:r w:rsidR="009A44E0">
        <w:t>but</w:t>
      </w:r>
      <w:r w:rsidRPr="009A44E0">
        <w:t xml:space="preserve"> </w:t>
      </w:r>
      <w:r w:rsidRPr="009967A3">
        <w:t xml:space="preserve">are </w:t>
      </w:r>
      <w:r w:rsidR="009A44E0">
        <w:t>usually</w:t>
      </w:r>
      <w:r w:rsidRPr="009A44E0">
        <w:t xml:space="preserve"> </w:t>
      </w:r>
      <w:r w:rsidR="009A44E0">
        <w:t xml:space="preserve">not </w:t>
      </w:r>
      <w:r w:rsidRPr="009967A3">
        <w:t xml:space="preserve">liquid </w:t>
      </w:r>
      <w:r w:rsidR="009A44E0">
        <w:t xml:space="preserve">enough </w:t>
      </w:r>
      <w:r w:rsidRPr="009A44E0">
        <w:t xml:space="preserve">and not tradeable </w:t>
      </w:r>
      <w:r w:rsidR="009967A3">
        <w:t>on</w:t>
      </w:r>
      <w:r w:rsidRPr="009A44E0">
        <w:t xml:space="preserve"> a trading venue.</w:t>
      </w:r>
    </w:p>
    <w:permEnd w:id="1790664699"/>
    <w:p w14:paraId="04C690DB" w14:textId="77777777" w:rsidR="00EF314C" w:rsidRPr="00434219" w:rsidRDefault="00EF314C" w:rsidP="00EF314C">
      <w:r w:rsidRPr="00434219">
        <w:t>&lt;ESMA_QUESTION_MIFID_TO_</w:t>
      </w:r>
      <w:r w:rsidR="00273633" w:rsidRPr="00434219">
        <w:t>33</w:t>
      </w:r>
      <w:r w:rsidRPr="00434219">
        <w:t>&gt;</w:t>
      </w:r>
    </w:p>
    <w:p w14:paraId="50AFDE79" w14:textId="77777777" w:rsidR="00EF314C" w:rsidRPr="00434219" w:rsidRDefault="00EF314C" w:rsidP="00EF314C">
      <w:pPr>
        <w:rPr>
          <w:rFonts w:cs="Arial"/>
          <w:b/>
          <w:sz w:val="22"/>
          <w:szCs w:val="22"/>
          <w:lang w:eastAsia="en-US"/>
        </w:rPr>
      </w:pPr>
    </w:p>
    <w:p w14:paraId="05F6BBA6" w14:textId="77777777" w:rsidR="00EF314C" w:rsidRPr="00434219" w:rsidRDefault="00FF5939" w:rsidP="00FF5939">
      <w:pPr>
        <w:pStyle w:val="CPQuestions"/>
      </w:pPr>
      <w:r w:rsidRPr="00434219">
        <w:t>Do you agree that package transactions that are comprised only of components subject to the TO should also be covered by the TO or should the TO only apply to categories of package transactions that are considered liquid? If not, please explain.</w:t>
      </w:r>
    </w:p>
    <w:p w14:paraId="65899429" w14:textId="77777777" w:rsidR="00273633" w:rsidRPr="00434219" w:rsidRDefault="00EF314C" w:rsidP="00273633">
      <w:pPr>
        <w:pStyle w:val="00bDBInfo"/>
        <w:framePr w:hSpace="142" w:wrap="around" w:vAnchor="page" w:hAnchor="page" w:x="1248" w:y="15820"/>
        <w:suppressOverlap/>
      </w:pPr>
      <w:r w:rsidRPr="00434219">
        <w:t>&lt;ESMA_QUESTION_MIFID_TO</w:t>
      </w:r>
    </w:p>
    <w:p w14:paraId="6A05E652" w14:textId="77777777" w:rsidR="00273633" w:rsidRPr="00434219" w:rsidRDefault="00273633" w:rsidP="00273633">
      <w:r w:rsidRPr="00434219">
        <w:t>&lt;ESMA_QUESTION_MIFID_TO_34&gt;</w:t>
      </w:r>
    </w:p>
    <w:p w14:paraId="7F61DA89" w14:textId="4B347099" w:rsidR="00273633" w:rsidRPr="00434219" w:rsidRDefault="00730623" w:rsidP="005D056B">
      <w:permStart w:id="190996352" w:edGrp="everyone"/>
      <w:r w:rsidRPr="00730623">
        <w:t>The TO should only apply to categories of package transactions that are itself considered liquid.</w:t>
      </w:r>
      <w:r w:rsidR="00685002" w:rsidRPr="00434219">
        <w:t xml:space="preserve"> </w:t>
      </w:r>
      <w:r w:rsidR="005D056B" w:rsidRPr="00434219">
        <w:t xml:space="preserve">Even if a package transaction consists only of components which fall as such under the TO, such package transaction is not liquid enough and not tradeable </w:t>
      </w:r>
      <w:r w:rsidR="009967A3">
        <w:t>on</w:t>
      </w:r>
      <w:r w:rsidR="005D056B" w:rsidRPr="00F6558D">
        <w:t xml:space="preserve"> a trading venue.</w:t>
      </w:r>
      <w:r w:rsidR="005D056B" w:rsidRPr="00434219">
        <w:t xml:space="preserve"> Only trades which exactly match the terms of products tradeable </w:t>
      </w:r>
      <w:r w:rsidR="009967A3">
        <w:t xml:space="preserve">on </w:t>
      </w:r>
      <w:r w:rsidR="005D056B" w:rsidRPr="00F6558D">
        <w:t>trading</w:t>
      </w:r>
      <w:r w:rsidR="005D056B" w:rsidRPr="00434219">
        <w:t xml:space="preserve"> venues should fall under the TO, similar to the approach for analysing/determining product classes subject to the clearing obligation.</w:t>
      </w:r>
    </w:p>
    <w:permEnd w:id="190996352"/>
    <w:p w14:paraId="6809B88C" w14:textId="77777777" w:rsidR="00273633" w:rsidRPr="00434219" w:rsidRDefault="00273633" w:rsidP="00273633">
      <w:r w:rsidRPr="00434219">
        <w:t>&lt;ESMA_QUESTION_MIFID_TO_34&gt;</w:t>
      </w:r>
    </w:p>
    <w:p w14:paraId="57F9B996" w14:textId="77777777" w:rsidR="00EF314C" w:rsidRPr="00434219" w:rsidRDefault="00EF314C" w:rsidP="00EF314C">
      <w:pPr>
        <w:rPr>
          <w:rFonts w:cs="Arial"/>
          <w:b/>
          <w:sz w:val="22"/>
          <w:szCs w:val="22"/>
          <w:lang w:eastAsia="en-US"/>
        </w:rPr>
      </w:pPr>
    </w:p>
    <w:p w14:paraId="22518A75" w14:textId="77777777" w:rsidR="00EF314C" w:rsidRPr="00434219" w:rsidRDefault="00FF5939" w:rsidP="00FF5939">
      <w:pPr>
        <w:pStyle w:val="CPQuestions"/>
      </w:pPr>
      <w:r w:rsidRPr="00434219">
        <w:t>How should the TO apply for package transactions that include some components subject to the TO, whereas other components are not subject to the TO</w:t>
      </w:r>
      <w:r w:rsidR="00EF314C" w:rsidRPr="00434219">
        <w:t>?</w:t>
      </w:r>
    </w:p>
    <w:p w14:paraId="2D39719D" w14:textId="77777777" w:rsidR="00EF314C" w:rsidRPr="00434219" w:rsidRDefault="00EF314C" w:rsidP="00EF314C">
      <w:r w:rsidRPr="00434219">
        <w:t>&lt;ESMA_QUESTION_MIFID_TO_35&gt;</w:t>
      </w:r>
    </w:p>
    <w:p w14:paraId="0FC855FA" w14:textId="1AC41C41" w:rsidR="005D056B" w:rsidRPr="00434219" w:rsidRDefault="009967A3" w:rsidP="005D056B">
      <w:permStart w:id="1722379470" w:edGrp="everyone"/>
      <w:r>
        <w:t xml:space="preserve">The </w:t>
      </w:r>
      <w:r w:rsidR="00CC4B73" w:rsidRPr="00F6558D">
        <w:t xml:space="preserve">TO should be applicable </w:t>
      </w:r>
      <w:r>
        <w:t>to</w:t>
      </w:r>
      <w:r w:rsidR="00CC4B73" w:rsidRPr="00F6558D">
        <w:t xml:space="preserve"> all legs of the package. If any leg is not subject to </w:t>
      </w:r>
      <w:r>
        <w:t xml:space="preserve">the </w:t>
      </w:r>
      <w:r w:rsidR="00CC4B73" w:rsidRPr="00F6558D">
        <w:t xml:space="preserve">TO, then the whole package should not be subject to the TO. </w:t>
      </w:r>
      <w:r w:rsidR="00CC4B73" w:rsidRPr="00434219">
        <w:t xml:space="preserve">The same applies </w:t>
      </w:r>
      <w:r>
        <w:t>to</w:t>
      </w:r>
      <w:r w:rsidR="00CC4B73" w:rsidRPr="00434219">
        <w:t xml:space="preserve"> any deferrals or waivers.</w:t>
      </w:r>
      <w:r w:rsidR="00685002" w:rsidRPr="00434219">
        <w:t xml:space="preserve"> </w:t>
      </w:r>
      <w:r w:rsidR="005D056B" w:rsidRPr="00434219">
        <w:t>As such packages are typically designed based on client needs, irrespective of whether they contain components which fall un</w:t>
      </w:r>
      <w:r>
        <w:t>d</w:t>
      </w:r>
      <w:r w:rsidR="005D056B" w:rsidRPr="00F6558D">
        <w:t xml:space="preserve">er the TO, the TO should not apply </w:t>
      </w:r>
      <w:r>
        <w:t>to</w:t>
      </w:r>
      <w:r w:rsidR="005D056B" w:rsidRPr="00F6558D">
        <w:t xml:space="preserve"> package transactions as they are not </w:t>
      </w:r>
      <w:r w:rsidR="005D056B" w:rsidRPr="00434219">
        <w:t>liquid enough and</w:t>
      </w:r>
      <w:r>
        <w:t>,</w:t>
      </w:r>
      <w:r w:rsidR="005D056B" w:rsidRPr="00F6558D">
        <w:t xml:space="preserve"> as such</w:t>
      </w:r>
      <w:r>
        <w:t>,</w:t>
      </w:r>
      <w:r w:rsidR="005D056B" w:rsidRPr="00F6558D">
        <w:t xml:space="preserve"> are not </w:t>
      </w:r>
      <w:r w:rsidR="00F00C36">
        <w:t>tradeable</w:t>
      </w:r>
      <w:r w:rsidR="00643E53">
        <w:t xml:space="preserve"> </w:t>
      </w:r>
      <w:r>
        <w:t>on</w:t>
      </w:r>
      <w:r w:rsidR="005D056B" w:rsidRPr="00F6558D">
        <w:t xml:space="preserve"> a trading venue</w:t>
      </w:r>
      <w:r w:rsidR="005D056B" w:rsidRPr="00434219">
        <w:t>.</w:t>
      </w:r>
    </w:p>
    <w:permEnd w:id="1722379470"/>
    <w:p w14:paraId="23B33EA1" w14:textId="77777777" w:rsidR="00EF314C" w:rsidRPr="00434219" w:rsidRDefault="00EF314C" w:rsidP="00EF314C">
      <w:r w:rsidRPr="00434219">
        <w:t>&lt;ESMA_QUESTION_MIFID_TO_35&gt;</w:t>
      </w:r>
    </w:p>
    <w:p w14:paraId="2E76704B" w14:textId="77777777" w:rsidR="00EF314C" w:rsidRPr="00434219" w:rsidRDefault="00EF314C" w:rsidP="00EF314C">
      <w:pPr>
        <w:rPr>
          <w:rFonts w:cs="Arial"/>
          <w:b/>
          <w:sz w:val="22"/>
          <w:szCs w:val="22"/>
          <w:lang w:eastAsia="en-US"/>
        </w:rPr>
      </w:pPr>
    </w:p>
    <w:sectPr w:rsidR="00EF314C" w:rsidRPr="00434219"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71D66" w14:textId="77777777" w:rsidR="009A44E0" w:rsidRDefault="009A44E0">
      <w:r>
        <w:separator/>
      </w:r>
    </w:p>
    <w:p w14:paraId="3C2FC346" w14:textId="77777777" w:rsidR="009A44E0" w:rsidRDefault="009A44E0"/>
  </w:endnote>
  <w:endnote w:type="continuationSeparator" w:id="0">
    <w:p w14:paraId="67D9826E" w14:textId="77777777" w:rsidR="009A44E0" w:rsidRDefault="009A44E0">
      <w:r>
        <w:continuationSeparator/>
      </w:r>
    </w:p>
    <w:p w14:paraId="1E6DA83B" w14:textId="77777777" w:rsidR="009A44E0" w:rsidRDefault="009A44E0"/>
  </w:endnote>
  <w:endnote w:type="continuationNotice" w:id="1">
    <w:p w14:paraId="55A2A630" w14:textId="77777777" w:rsidR="009A44E0" w:rsidRDefault="009A44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w:charset w:val="00"/>
    <w:family w:val="auto"/>
    <w:pitch w:val="variable"/>
    <w:sig w:usb0="E1000AEF" w:usb1="5000A1FF" w:usb2="00000000" w:usb3="00000000" w:csb0="000001BF"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altName w:val="Century"/>
    <w:charset w:val="00"/>
    <w:family w:val="roman"/>
    <w:pitch w:val="variable"/>
    <w:sig w:usb0="00000001"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9A44E0" w:rsidRPr="00616B9B" w14:paraId="223F116D" w14:textId="77777777" w:rsidTr="00315E96">
      <w:trPr>
        <w:trHeight w:val="284"/>
      </w:trPr>
      <w:tc>
        <w:tcPr>
          <w:tcW w:w="8460" w:type="dxa"/>
        </w:tcPr>
        <w:p w14:paraId="7A96A5D1" w14:textId="77777777" w:rsidR="009A44E0" w:rsidRPr="00315E96" w:rsidRDefault="009A44E0" w:rsidP="00315E96">
          <w:pPr>
            <w:pStyle w:val="00Footer"/>
            <w:rPr>
              <w:lang w:val="fr-FR"/>
            </w:rPr>
          </w:pPr>
        </w:p>
      </w:tc>
      <w:tc>
        <w:tcPr>
          <w:tcW w:w="952" w:type="dxa"/>
        </w:tcPr>
        <w:p w14:paraId="00644887" w14:textId="77777777" w:rsidR="009A44E0" w:rsidRPr="00616B9B" w:rsidRDefault="009A44E0"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C5E82">
            <w:rPr>
              <w:rFonts w:cs="Arial"/>
              <w:noProof/>
              <w:sz w:val="22"/>
              <w:szCs w:val="22"/>
            </w:rPr>
            <w:t>13</w:t>
          </w:r>
          <w:r w:rsidRPr="00616B9B">
            <w:rPr>
              <w:rFonts w:cs="Arial"/>
              <w:noProof/>
              <w:sz w:val="22"/>
              <w:szCs w:val="22"/>
            </w:rPr>
            <w:fldChar w:fldCharType="end"/>
          </w:r>
        </w:p>
      </w:tc>
    </w:tr>
  </w:tbl>
  <w:p w14:paraId="688C46C8" w14:textId="77777777" w:rsidR="009A44E0" w:rsidRDefault="009A44E0">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B10E18" w14:textId="77777777" w:rsidR="009A44E0" w:rsidRDefault="009A44E0">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5E81BA9" w14:textId="77777777" w:rsidR="009A44E0" w:rsidRDefault="009A44E0">
      <w:r>
        <w:separator/>
      </w:r>
    </w:p>
    <w:p w14:paraId="5479F171" w14:textId="77777777" w:rsidR="009A44E0" w:rsidRDefault="009A44E0"/>
  </w:footnote>
  <w:footnote w:type="continuationSeparator" w:id="0">
    <w:p w14:paraId="0DFC53BB" w14:textId="77777777" w:rsidR="009A44E0" w:rsidRDefault="009A44E0">
      <w:r>
        <w:continuationSeparator/>
      </w:r>
    </w:p>
    <w:p w14:paraId="2424EB93" w14:textId="77777777" w:rsidR="009A44E0" w:rsidRDefault="009A44E0"/>
  </w:footnote>
  <w:footnote w:type="continuationNotice" w:id="1">
    <w:p w14:paraId="1AC8E607" w14:textId="77777777" w:rsidR="009A44E0" w:rsidRDefault="009A44E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7523A" w14:textId="77777777" w:rsidR="009A44E0" w:rsidRDefault="009A44E0">
    <w:pPr>
      <w:pStyle w:val="Kopfzeile"/>
    </w:pPr>
    <w:r>
      <w:rPr>
        <w:noProof/>
        <w:lang w:val="de-DE"/>
      </w:rPr>
      <w:drawing>
        <wp:anchor distT="0" distB="0" distL="114300" distR="114300" simplePos="0" relativeHeight="251658240" behindDoc="0" locked="0" layoutInCell="1" allowOverlap="1" wp14:anchorId="1FE186D2" wp14:editId="29FDF903">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mc:AlternateContent>
        <mc:Choice Requires="wps">
          <w:drawing>
            <wp:anchor distT="0" distB="0" distL="114295" distR="114295" simplePos="0" relativeHeight="251656192" behindDoc="0" locked="0" layoutInCell="1" allowOverlap="1" wp14:anchorId="0F46AFF3" wp14:editId="25D8B82C">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DEF7D"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22D94" w14:textId="77777777" w:rsidR="009A44E0" w:rsidRDefault="009A44E0" w:rsidP="00013CCE">
    <w:pPr>
      <w:pStyle w:val="Kopfzeile"/>
      <w:jc w:val="right"/>
    </w:pPr>
    <w:r>
      <w:rPr>
        <w:noProof/>
        <w:lang w:val="de-DE"/>
      </w:rPr>
      <w:drawing>
        <wp:anchor distT="0" distB="0" distL="114300" distR="114300" simplePos="0" relativeHeight="251657216" behindDoc="0" locked="0" layoutInCell="1" allowOverlap="1" wp14:anchorId="061E40FC" wp14:editId="51AFC495">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de-DE"/>
      </w:rPr>
      <w:drawing>
        <wp:anchor distT="0" distB="0" distL="114300" distR="114300" simplePos="0" relativeHeight="251655168" behindDoc="1" locked="0" layoutInCell="1" allowOverlap="1" wp14:anchorId="5F157B71" wp14:editId="562D8CCB">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C5DB6D" w14:textId="77777777" w:rsidR="009A44E0" w:rsidRDefault="009A44E0"/>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9A44E0" w:rsidRPr="002F4496" w14:paraId="20BA4CEF" w14:textId="77777777" w:rsidTr="000C06C9">
      <w:trPr>
        <w:trHeight w:val="284"/>
      </w:trPr>
      <w:tc>
        <w:tcPr>
          <w:tcW w:w="8460" w:type="dxa"/>
        </w:tcPr>
        <w:p w14:paraId="0D1E1054" w14:textId="77777777" w:rsidR="009A44E0" w:rsidRPr="000C3B6D" w:rsidRDefault="009A44E0" w:rsidP="000C06C9">
          <w:pPr>
            <w:pStyle w:val="00Footer"/>
            <w:rPr>
              <w:lang w:val="fr-FR"/>
            </w:rPr>
          </w:pPr>
        </w:p>
      </w:tc>
      <w:tc>
        <w:tcPr>
          <w:tcW w:w="952" w:type="dxa"/>
        </w:tcPr>
        <w:p w14:paraId="55650D41" w14:textId="77777777" w:rsidR="009A44E0" w:rsidRPr="00146B34" w:rsidRDefault="009A44E0" w:rsidP="000C06C9">
          <w:pPr>
            <w:pStyle w:val="00aPagenumber"/>
            <w:rPr>
              <w:lang w:val="fr-FR"/>
            </w:rPr>
          </w:pPr>
        </w:p>
      </w:tc>
    </w:tr>
  </w:tbl>
  <w:p w14:paraId="262629E5" w14:textId="77777777" w:rsidR="009A44E0" w:rsidRPr="00DB46C3" w:rsidRDefault="009A44E0">
    <w:pPr>
      <w:rPr>
        <w:lang w:val="fr-FR"/>
      </w:rPr>
    </w:pPr>
  </w:p>
  <w:p w14:paraId="2121EB18" w14:textId="77777777" w:rsidR="009A44E0" w:rsidRPr="002F4496" w:rsidRDefault="009A44E0">
    <w:pPr>
      <w:pStyle w:val="Kopfzeile"/>
      <w:rPr>
        <w:lang w:val="fr-FR"/>
      </w:rPr>
    </w:pPr>
  </w:p>
  <w:p w14:paraId="2D44B456" w14:textId="77777777" w:rsidR="009A44E0" w:rsidRPr="002F4496" w:rsidRDefault="009A44E0" w:rsidP="000C06C9">
    <w:pPr>
      <w:pStyle w:val="Kopfzeile"/>
      <w:tabs>
        <w:tab w:val="clear" w:pos="4536"/>
        <w:tab w:val="clear" w:pos="9072"/>
        <w:tab w:val="left" w:pos="8227"/>
      </w:tabs>
      <w:rPr>
        <w:lang w:val="fr-FR"/>
      </w:rPr>
    </w:pPr>
  </w:p>
  <w:p w14:paraId="3FC71F0F" w14:textId="77777777" w:rsidR="009A44E0" w:rsidRPr="002F4496" w:rsidRDefault="009A44E0" w:rsidP="000C06C9">
    <w:pPr>
      <w:pStyle w:val="Kopfzeile"/>
      <w:tabs>
        <w:tab w:val="clear" w:pos="4536"/>
        <w:tab w:val="clear" w:pos="9072"/>
        <w:tab w:val="left" w:pos="8227"/>
      </w:tabs>
      <w:rPr>
        <w:lang w:val="fr-FR"/>
      </w:rPr>
    </w:pPr>
  </w:p>
  <w:p w14:paraId="54FF57CB" w14:textId="77777777" w:rsidR="009A44E0" w:rsidRPr="002F4496" w:rsidRDefault="009A44E0">
    <w:pPr>
      <w:pStyle w:val="Kopfzeile"/>
      <w:rPr>
        <w:lang w:val="fr-FR"/>
      </w:rPr>
    </w:pPr>
  </w:p>
  <w:p w14:paraId="62D7DC50" w14:textId="77777777" w:rsidR="009A44E0" w:rsidRPr="002F4496" w:rsidRDefault="009A44E0">
    <w:pPr>
      <w:pStyle w:val="Kopfzeile"/>
      <w:rPr>
        <w:lang w:val="fr-FR"/>
      </w:rPr>
    </w:pPr>
  </w:p>
  <w:p w14:paraId="0E2BD38A" w14:textId="77777777" w:rsidR="009A44E0" w:rsidRPr="002F4496" w:rsidRDefault="009A44E0">
    <w:pPr>
      <w:pStyle w:val="Kopfzeile"/>
      <w:rPr>
        <w:lang w:val="fr-FR"/>
      </w:rPr>
    </w:pPr>
  </w:p>
  <w:p w14:paraId="425F0CE1" w14:textId="77777777" w:rsidR="009A44E0" w:rsidRPr="002F4496" w:rsidRDefault="009A44E0">
    <w:pPr>
      <w:pStyle w:val="Kopfzeile"/>
      <w:rPr>
        <w:lang w:val="fr-FR"/>
      </w:rPr>
    </w:pPr>
  </w:p>
  <w:p w14:paraId="537DF2F9" w14:textId="77777777" w:rsidR="009A44E0" w:rsidRPr="002F4496" w:rsidRDefault="009A44E0">
    <w:pPr>
      <w:pStyle w:val="Kopfzeile"/>
      <w:rPr>
        <w:highlight w:val="yellow"/>
        <w:lang w:val="fr-FR"/>
      </w:rPr>
    </w:pPr>
  </w:p>
  <w:p w14:paraId="21DF0F21" w14:textId="77777777" w:rsidR="009A44E0" w:rsidRDefault="009A44E0">
    <w:pPr>
      <w:pStyle w:val="Kopfzeile"/>
    </w:pPr>
    <w:r>
      <w:rPr>
        <w:noProof/>
        <w:lang w:val="de-DE"/>
      </w:rPr>
      <mc:AlternateContent>
        <mc:Choice Requires="wps">
          <w:drawing>
            <wp:anchor distT="0" distB="0" distL="114299" distR="114299" simplePos="0" relativeHeight="251660288" behindDoc="0" locked="0" layoutInCell="1" allowOverlap="1" wp14:anchorId="2C7F336B" wp14:editId="26E46A63">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CD5822"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val="de-DE"/>
      </w:rPr>
      <w:drawing>
        <wp:anchor distT="0" distB="0" distL="114300" distR="114300" simplePos="0" relativeHeight="251659264" behindDoc="0" locked="0" layoutInCell="1" allowOverlap="1" wp14:anchorId="23D21BA1" wp14:editId="4E7AA3CA">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Aufzhlungszeiche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Textkrper"/>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Aufzhlungszeiche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Aufzhlungszeiche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5DE60E9"/>
    <w:multiLevelType w:val="hybridMultilevel"/>
    <w:tmpl w:val="1084069A"/>
    <w:lvl w:ilvl="0" w:tplc="B532C018">
      <w:start w:val="2"/>
      <w:numFmt w:val="upperRoman"/>
      <w:pStyle w:val="berschrift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bersch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ennummer"/>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2"/>
  </w:num>
  <w:num w:numId="5">
    <w:abstractNumId w:val="24"/>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10"/>
  </w:num>
  <w:num w:numId="16">
    <w:abstractNumId w:val="1"/>
  </w:num>
  <w:num w:numId="17">
    <w:abstractNumId w:val="13"/>
  </w:num>
  <w:num w:numId="18">
    <w:abstractNumId w:val="14"/>
  </w:num>
  <w:num w:numId="19">
    <w:abstractNumId w:val="16"/>
  </w:num>
  <w:num w:numId="20">
    <w:abstractNumId w:val="25"/>
  </w:num>
  <w:num w:numId="21">
    <w:abstractNumId w:val="34"/>
  </w:num>
  <w:num w:numId="22">
    <w:abstractNumId w:val="23"/>
  </w:num>
  <w:num w:numId="23">
    <w:abstractNumId w:val="9"/>
  </w:num>
  <w:num w:numId="24">
    <w:abstractNumId w:val="28"/>
  </w:num>
  <w:num w:numId="25">
    <w:abstractNumId w:val="27"/>
  </w:num>
  <w:num w:numId="26">
    <w:abstractNumId w:val="18"/>
  </w:num>
  <w:num w:numId="27">
    <w:abstractNumId w:val="31"/>
  </w:num>
  <w:num w:numId="28">
    <w:abstractNumId w:val="36"/>
  </w:num>
  <w:num w:numId="29">
    <w:abstractNumId w:val="7"/>
  </w:num>
  <w:num w:numId="30">
    <w:abstractNumId w:val="3"/>
  </w:num>
  <w:num w:numId="31">
    <w:abstractNumId w:val="20"/>
  </w:num>
  <w:num w:numId="32">
    <w:abstractNumId w:val="2"/>
  </w:num>
  <w:num w:numId="33">
    <w:abstractNumId w:val="6"/>
  </w:num>
  <w:num w:numId="34">
    <w:abstractNumId w:val="19"/>
  </w:num>
  <w:num w:numId="35">
    <w:abstractNumId w:val="33"/>
  </w:num>
  <w:num w:numId="36">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GB" w:vendorID="64" w:dllVersion="131078" w:nlCheck="1" w:checkStyle="0"/>
  <w:activeWritingStyle w:appName="MSWord" w:lang="de-DE" w:vendorID="64" w:dllVersion="131078" w:nlCheck="1" w:checkStyle="1"/>
  <w:activeWritingStyle w:appName="MSWord" w:lang="en-US" w:vendorID="64" w:dllVersion="131078" w:nlCheck="1" w:checkStyle="1"/>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trackRevisions/>
  <w:documentProtection w:edit="readOnly" w:enforcement="0"/>
  <w:defaultTabStop w:val="709"/>
  <w:autoHyphenation/>
  <w:hyphenationZone w:val="567"/>
  <w:characterSpacingControl w:val="doNotCompress"/>
  <w:hdrShapeDefaults>
    <o:shapedefaults v:ext="edit" spidmax="4710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1962"/>
    <w:rsid w:val="000322CA"/>
    <w:rsid w:val="00032F9B"/>
    <w:rsid w:val="000344D6"/>
    <w:rsid w:val="00034960"/>
    <w:rsid w:val="00036FAE"/>
    <w:rsid w:val="00041858"/>
    <w:rsid w:val="00042039"/>
    <w:rsid w:val="0004389E"/>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3A8B"/>
    <w:rsid w:val="0006421B"/>
    <w:rsid w:val="000649D9"/>
    <w:rsid w:val="000652BE"/>
    <w:rsid w:val="00066479"/>
    <w:rsid w:val="0006723C"/>
    <w:rsid w:val="00070376"/>
    <w:rsid w:val="00070630"/>
    <w:rsid w:val="00070974"/>
    <w:rsid w:val="00071EAD"/>
    <w:rsid w:val="00071F4E"/>
    <w:rsid w:val="00072271"/>
    <w:rsid w:val="00072B54"/>
    <w:rsid w:val="0007463D"/>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3D8E"/>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177A"/>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1B1F"/>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2F3D"/>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10E"/>
    <w:rsid w:val="0021058D"/>
    <w:rsid w:val="00211E2F"/>
    <w:rsid w:val="00211E9E"/>
    <w:rsid w:val="00214FB4"/>
    <w:rsid w:val="00215940"/>
    <w:rsid w:val="00217C23"/>
    <w:rsid w:val="00220561"/>
    <w:rsid w:val="00220CE4"/>
    <w:rsid w:val="0022170E"/>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649"/>
    <w:rsid w:val="00250898"/>
    <w:rsid w:val="00251EA9"/>
    <w:rsid w:val="00252843"/>
    <w:rsid w:val="002543F8"/>
    <w:rsid w:val="002551A4"/>
    <w:rsid w:val="002559F3"/>
    <w:rsid w:val="00256DFE"/>
    <w:rsid w:val="00261D56"/>
    <w:rsid w:val="00261FD3"/>
    <w:rsid w:val="00264077"/>
    <w:rsid w:val="00266B9A"/>
    <w:rsid w:val="00270E54"/>
    <w:rsid w:val="00273633"/>
    <w:rsid w:val="00273681"/>
    <w:rsid w:val="002754B5"/>
    <w:rsid w:val="002764C5"/>
    <w:rsid w:val="002772AE"/>
    <w:rsid w:val="00280613"/>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5E82"/>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6FC"/>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194F"/>
    <w:rsid w:val="00332304"/>
    <w:rsid w:val="00332406"/>
    <w:rsid w:val="00332D8D"/>
    <w:rsid w:val="00336B56"/>
    <w:rsid w:val="003401CE"/>
    <w:rsid w:val="00341B25"/>
    <w:rsid w:val="00341EC0"/>
    <w:rsid w:val="0034240C"/>
    <w:rsid w:val="00344496"/>
    <w:rsid w:val="00345968"/>
    <w:rsid w:val="00347667"/>
    <w:rsid w:val="003505CD"/>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1DA4"/>
    <w:rsid w:val="00432A91"/>
    <w:rsid w:val="004332A4"/>
    <w:rsid w:val="00434219"/>
    <w:rsid w:val="0043453F"/>
    <w:rsid w:val="00434A74"/>
    <w:rsid w:val="00437929"/>
    <w:rsid w:val="00437A4A"/>
    <w:rsid w:val="00440541"/>
    <w:rsid w:val="0044162D"/>
    <w:rsid w:val="0044277A"/>
    <w:rsid w:val="004434EF"/>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A41BA"/>
    <w:rsid w:val="004B0335"/>
    <w:rsid w:val="004B0F1C"/>
    <w:rsid w:val="004B0F6A"/>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172"/>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504B"/>
    <w:rsid w:val="005765C0"/>
    <w:rsid w:val="005778DE"/>
    <w:rsid w:val="00580B3F"/>
    <w:rsid w:val="005825F2"/>
    <w:rsid w:val="005860AF"/>
    <w:rsid w:val="00586C69"/>
    <w:rsid w:val="00587F1D"/>
    <w:rsid w:val="00590348"/>
    <w:rsid w:val="00591161"/>
    <w:rsid w:val="00591F5F"/>
    <w:rsid w:val="00592318"/>
    <w:rsid w:val="00593133"/>
    <w:rsid w:val="0059575D"/>
    <w:rsid w:val="00596825"/>
    <w:rsid w:val="00597F04"/>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056B"/>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B5B"/>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66F8"/>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3E53"/>
    <w:rsid w:val="00644F4D"/>
    <w:rsid w:val="006469B1"/>
    <w:rsid w:val="00646C0D"/>
    <w:rsid w:val="00646C52"/>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002"/>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13D7"/>
    <w:rsid w:val="006C2253"/>
    <w:rsid w:val="006C2966"/>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10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5FB1"/>
    <w:rsid w:val="00726630"/>
    <w:rsid w:val="00727F73"/>
    <w:rsid w:val="0073062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15F4"/>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708"/>
    <w:rsid w:val="007E4AAA"/>
    <w:rsid w:val="007E4BD2"/>
    <w:rsid w:val="007E4C29"/>
    <w:rsid w:val="007E5E44"/>
    <w:rsid w:val="007F0DDA"/>
    <w:rsid w:val="007F1939"/>
    <w:rsid w:val="007F365C"/>
    <w:rsid w:val="007F5066"/>
    <w:rsid w:val="007F621C"/>
    <w:rsid w:val="007F7065"/>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1FFA"/>
    <w:rsid w:val="00812403"/>
    <w:rsid w:val="008124C7"/>
    <w:rsid w:val="00812FD7"/>
    <w:rsid w:val="00817E69"/>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907"/>
    <w:rsid w:val="00903E11"/>
    <w:rsid w:val="00903EBE"/>
    <w:rsid w:val="009041DE"/>
    <w:rsid w:val="00904BF9"/>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23C"/>
    <w:rsid w:val="00987829"/>
    <w:rsid w:val="00991276"/>
    <w:rsid w:val="009923E7"/>
    <w:rsid w:val="00992697"/>
    <w:rsid w:val="00992D4E"/>
    <w:rsid w:val="00994621"/>
    <w:rsid w:val="009947FF"/>
    <w:rsid w:val="0099544B"/>
    <w:rsid w:val="009967A3"/>
    <w:rsid w:val="009A07A6"/>
    <w:rsid w:val="009A0D56"/>
    <w:rsid w:val="009A31B9"/>
    <w:rsid w:val="009A44E0"/>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D0219"/>
    <w:rsid w:val="009D0D55"/>
    <w:rsid w:val="009D2295"/>
    <w:rsid w:val="009D2511"/>
    <w:rsid w:val="009D3E7C"/>
    <w:rsid w:val="009D55CA"/>
    <w:rsid w:val="009D5EF0"/>
    <w:rsid w:val="009D6401"/>
    <w:rsid w:val="009D6F0D"/>
    <w:rsid w:val="009E0711"/>
    <w:rsid w:val="009E1917"/>
    <w:rsid w:val="009E2F6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ED4"/>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FD6"/>
    <w:rsid w:val="00A5619C"/>
    <w:rsid w:val="00A56346"/>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5065"/>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D87"/>
    <w:rsid w:val="00B26FD7"/>
    <w:rsid w:val="00B270AB"/>
    <w:rsid w:val="00B2725B"/>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5C0F"/>
    <w:rsid w:val="00BB6907"/>
    <w:rsid w:val="00BB7A20"/>
    <w:rsid w:val="00BC15B1"/>
    <w:rsid w:val="00BC3C06"/>
    <w:rsid w:val="00BC4E8B"/>
    <w:rsid w:val="00BC4FEE"/>
    <w:rsid w:val="00BC5622"/>
    <w:rsid w:val="00BC6060"/>
    <w:rsid w:val="00BC7897"/>
    <w:rsid w:val="00BD0F35"/>
    <w:rsid w:val="00BD45A4"/>
    <w:rsid w:val="00BD4A5F"/>
    <w:rsid w:val="00BD59AA"/>
    <w:rsid w:val="00BD65E6"/>
    <w:rsid w:val="00BD6AF7"/>
    <w:rsid w:val="00BE19EF"/>
    <w:rsid w:val="00BE425B"/>
    <w:rsid w:val="00BE51BB"/>
    <w:rsid w:val="00BE6C48"/>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070"/>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A012C"/>
    <w:rsid w:val="00CA0AA6"/>
    <w:rsid w:val="00CA176C"/>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2F29"/>
    <w:rsid w:val="00CC3B46"/>
    <w:rsid w:val="00CC3D8B"/>
    <w:rsid w:val="00CC4B73"/>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0168"/>
    <w:rsid w:val="00CF2056"/>
    <w:rsid w:val="00CF4471"/>
    <w:rsid w:val="00CF51C0"/>
    <w:rsid w:val="00CF5B2A"/>
    <w:rsid w:val="00CF5CC8"/>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240A"/>
    <w:rsid w:val="00D63093"/>
    <w:rsid w:val="00D63599"/>
    <w:rsid w:val="00D63EBD"/>
    <w:rsid w:val="00D67101"/>
    <w:rsid w:val="00D6784E"/>
    <w:rsid w:val="00D71B45"/>
    <w:rsid w:val="00D71F8A"/>
    <w:rsid w:val="00D75603"/>
    <w:rsid w:val="00D75FEE"/>
    <w:rsid w:val="00D76933"/>
    <w:rsid w:val="00D76D88"/>
    <w:rsid w:val="00D77CC9"/>
    <w:rsid w:val="00D83100"/>
    <w:rsid w:val="00D83D4B"/>
    <w:rsid w:val="00D871C6"/>
    <w:rsid w:val="00D91010"/>
    <w:rsid w:val="00D920D1"/>
    <w:rsid w:val="00DA0FA7"/>
    <w:rsid w:val="00DA12B0"/>
    <w:rsid w:val="00DA2BA0"/>
    <w:rsid w:val="00DA39AD"/>
    <w:rsid w:val="00DA5B13"/>
    <w:rsid w:val="00DA6917"/>
    <w:rsid w:val="00DA6926"/>
    <w:rsid w:val="00DB0965"/>
    <w:rsid w:val="00DB0E47"/>
    <w:rsid w:val="00DB2BDD"/>
    <w:rsid w:val="00DB4121"/>
    <w:rsid w:val="00DB46C3"/>
    <w:rsid w:val="00DB5742"/>
    <w:rsid w:val="00DB5CAD"/>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180F"/>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774"/>
    <w:rsid w:val="00E90C61"/>
    <w:rsid w:val="00E92A82"/>
    <w:rsid w:val="00E92AA8"/>
    <w:rsid w:val="00E92EA6"/>
    <w:rsid w:val="00E9344E"/>
    <w:rsid w:val="00E93E39"/>
    <w:rsid w:val="00E94391"/>
    <w:rsid w:val="00E97E2B"/>
    <w:rsid w:val="00EA08CA"/>
    <w:rsid w:val="00EA0C0C"/>
    <w:rsid w:val="00EA1F34"/>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D7EBF"/>
    <w:rsid w:val="00EE0598"/>
    <w:rsid w:val="00EE311C"/>
    <w:rsid w:val="00EE56FF"/>
    <w:rsid w:val="00EE5886"/>
    <w:rsid w:val="00EE5FBF"/>
    <w:rsid w:val="00EE6472"/>
    <w:rsid w:val="00EE76F2"/>
    <w:rsid w:val="00EF0769"/>
    <w:rsid w:val="00EF0BB9"/>
    <w:rsid w:val="00EF0D7C"/>
    <w:rsid w:val="00EF1777"/>
    <w:rsid w:val="00EF314C"/>
    <w:rsid w:val="00EF40E2"/>
    <w:rsid w:val="00EF61C1"/>
    <w:rsid w:val="00EF6E68"/>
    <w:rsid w:val="00EF76DB"/>
    <w:rsid w:val="00F005FD"/>
    <w:rsid w:val="00F00C36"/>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74D0"/>
    <w:rsid w:val="00F6031F"/>
    <w:rsid w:val="00F61664"/>
    <w:rsid w:val="00F61B99"/>
    <w:rsid w:val="00F64C45"/>
    <w:rsid w:val="00F6502B"/>
    <w:rsid w:val="00F6558D"/>
    <w:rsid w:val="00F6612A"/>
    <w:rsid w:val="00F66724"/>
    <w:rsid w:val="00F66D43"/>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1C80"/>
    <w:rsid w:val="00FA2528"/>
    <w:rsid w:val="00FA5535"/>
    <w:rsid w:val="00FA7206"/>
    <w:rsid w:val="00FA7EFB"/>
    <w:rsid w:val="00FB0816"/>
    <w:rsid w:val="00FB08C2"/>
    <w:rsid w:val="00FB3B58"/>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2d4491,#283583"/>
    </o:shapedefaults>
    <o:shapelayout v:ext="edit">
      <o:idmap v:ext="edit" data="1"/>
    </o:shapelayout>
  </w:shapeDefaults>
  <w:decimalSymbol w:val=","/>
  <w:listSeparator w:val=";"/>
  <w14:docId w14:val="37BFD4A8"/>
  <w15:docId w15:val="{55DB88FC-9D98-4C0B-98A4-68243D44D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70630"/>
    <w:rPr>
      <w:rFonts w:ascii="Arial" w:hAnsi="Arial"/>
      <w:szCs w:val="24"/>
      <w:lang w:eastAsia="de-DE"/>
    </w:rPr>
  </w:style>
  <w:style w:type="paragraph" w:styleId="berschrift1">
    <w:name w:val="heading 1"/>
    <w:basedOn w:val="Standard"/>
    <w:next w:val="Standard"/>
    <w:link w:val="berschrift1Zchn"/>
    <w:qFormat/>
    <w:rsid w:val="009E7724"/>
    <w:pPr>
      <w:keepNext/>
      <w:numPr>
        <w:numId w:val="5"/>
      </w:numPr>
      <w:spacing w:before="240" w:after="60"/>
      <w:outlineLvl w:val="0"/>
    </w:pPr>
    <w:rPr>
      <w:rFonts w:cs="Arial"/>
      <w:b/>
      <w:bCs/>
      <w:kern w:val="32"/>
      <w:sz w:val="24"/>
      <w:szCs w:val="32"/>
    </w:rPr>
  </w:style>
  <w:style w:type="paragraph" w:styleId="berschrift2">
    <w:name w:val="heading 2"/>
    <w:basedOn w:val="Standard"/>
    <w:next w:val="Standard"/>
    <w:link w:val="berschrift2Zchn"/>
    <w:qFormat/>
    <w:rsid w:val="00886A60"/>
    <w:pPr>
      <w:keepNext/>
      <w:keepLines/>
      <w:spacing w:before="200" w:after="120"/>
      <w:outlineLvl w:val="1"/>
    </w:pPr>
    <w:rPr>
      <w:b/>
      <w:bCs/>
      <w:szCs w:val="26"/>
    </w:rPr>
  </w:style>
  <w:style w:type="paragraph" w:styleId="berschrift3">
    <w:name w:val="heading 3"/>
    <w:basedOn w:val="Standard"/>
    <w:next w:val="Standard"/>
    <w:link w:val="berschrift3Zchn"/>
    <w:qFormat/>
    <w:rsid w:val="003865E5"/>
    <w:pPr>
      <w:keepNext/>
      <w:keepLines/>
      <w:spacing w:before="200"/>
      <w:outlineLvl w:val="2"/>
    </w:pPr>
    <w:rPr>
      <w:rFonts w:ascii="Cambria" w:hAnsi="Cambria"/>
      <w:b/>
      <w:bCs/>
      <w:color w:val="4F81BD"/>
    </w:rPr>
  </w:style>
  <w:style w:type="paragraph" w:styleId="berschrift4">
    <w:name w:val="heading 4"/>
    <w:basedOn w:val="Standard"/>
    <w:next w:val="Standard"/>
    <w:link w:val="berschrift4Zchn"/>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berschrift5">
    <w:name w:val="heading 5"/>
    <w:aliases w:val="Questions"/>
    <w:basedOn w:val="Standard"/>
    <w:next w:val="Standard"/>
    <w:link w:val="berschrift5Zchn"/>
    <w:qFormat/>
    <w:rsid w:val="00E9344E"/>
    <w:pPr>
      <w:keepNext/>
      <w:keepLines/>
      <w:numPr>
        <w:numId w:val="13"/>
      </w:numPr>
      <w:spacing w:before="200"/>
      <w:jc w:val="both"/>
      <w:outlineLvl w:val="4"/>
    </w:pPr>
    <w:rPr>
      <w:b/>
    </w:rPr>
  </w:style>
  <w:style w:type="paragraph" w:styleId="berschrift6">
    <w:name w:val="heading 6"/>
    <w:basedOn w:val="Standard"/>
    <w:next w:val="Standard"/>
    <w:link w:val="berschrift6Zchn"/>
    <w:qFormat/>
    <w:rsid w:val="003609B6"/>
    <w:pPr>
      <w:numPr>
        <w:ilvl w:val="5"/>
        <w:numId w:val="4"/>
      </w:numPr>
      <w:spacing w:before="240" w:after="60"/>
      <w:outlineLvl w:val="5"/>
    </w:pPr>
    <w:rPr>
      <w:rFonts w:ascii="Times New Roman" w:hAnsi="Times New Roman"/>
      <w:b/>
      <w:bCs/>
      <w:szCs w:val="22"/>
    </w:rPr>
  </w:style>
  <w:style w:type="paragraph" w:styleId="berschrift7">
    <w:name w:val="heading 7"/>
    <w:basedOn w:val="Standard"/>
    <w:next w:val="Standard"/>
    <w:link w:val="berschrift7Zchn"/>
    <w:unhideWhenUsed/>
    <w:qFormat/>
    <w:rsid w:val="002D6E1A"/>
    <w:pPr>
      <w:spacing w:before="240" w:after="60"/>
      <w:ind w:left="1296" w:hanging="1296"/>
      <w:outlineLvl w:val="6"/>
    </w:pPr>
    <w:rPr>
      <w:rFonts w:ascii="Times New Roman" w:hAnsi="Times New Roman"/>
    </w:rPr>
  </w:style>
  <w:style w:type="paragraph" w:styleId="berschrift8">
    <w:name w:val="heading 8"/>
    <w:basedOn w:val="Standard"/>
    <w:next w:val="Standard"/>
    <w:link w:val="berschrift8Zchn"/>
    <w:qFormat/>
    <w:rsid w:val="003609B6"/>
    <w:pPr>
      <w:numPr>
        <w:ilvl w:val="7"/>
        <w:numId w:val="4"/>
      </w:numPr>
      <w:spacing w:before="240" w:after="60"/>
      <w:outlineLvl w:val="7"/>
    </w:pPr>
    <w:rPr>
      <w:rFonts w:ascii="Times New Roman" w:hAnsi="Times New Roman"/>
      <w:i/>
      <w:iCs/>
    </w:rPr>
  </w:style>
  <w:style w:type="paragraph" w:styleId="berschrift9">
    <w:name w:val="heading 9"/>
    <w:basedOn w:val="Standard"/>
    <w:next w:val="Standard"/>
    <w:link w:val="berschrift9Zchn"/>
    <w:qFormat/>
    <w:rsid w:val="00A06867"/>
    <w:pPr>
      <w:tabs>
        <w:tab w:val="num" w:pos="1584"/>
      </w:tabs>
      <w:spacing w:before="240" w:after="60"/>
      <w:ind w:left="1584" w:hanging="1584"/>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5B64CB"/>
    <w:pPr>
      <w:tabs>
        <w:tab w:val="center" w:pos="4536"/>
        <w:tab w:val="right" w:pos="9072"/>
      </w:tabs>
    </w:pPr>
  </w:style>
  <w:style w:type="paragraph" w:styleId="Fuzeile">
    <w:name w:val="footer"/>
    <w:basedOn w:val="Standard"/>
    <w:link w:val="FuzeileZchn"/>
    <w:uiPriority w:val="99"/>
    <w:rsid w:val="005B64CB"/>
    <w:pPr>
      <w:tabs>
        <w:tab w:val="center" w:pos="4536"/>
        <w:tab w:val="right" w:pos="9072"/>
      </w:tabs>
    </w:pPr>
  </w:style>
  <w:style w:type="table" w:styleId="Tabellenraster">
    <w:name w:val="Table Grid"/>
    <w:basedOn w:val="NormaleTabelle"/>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Standard"/>
    <w:rsid w:val="003E3ACA"/>
    <w:pPr>
      <w:spacing w:line="200" w:lineRule="exact"/>
    </w:pPr>
    <w:rPr>
      <w:color w:val="2D4190"/>
      <w:sz w:val="16"/>
    </w:rPr>
  </w:style>
  <w:style w:type="paragraph" w:customStyle="1" w:styleId="05aTitle">
    <w:name w:val="05a_Title"/>
    <w:basedOn w:val="Standard"/>
    <w:rsid w:val="00791EB4"/>
    <w:pPr>
      <w:spacing w:line="340" w:lineRule="exact"/>
    </w:pPr>
    <w:rPr>
      <w:b/>
      <w:color w:val="000000"/>
      <w:sz w:val="28"/>
    </w:rPr>
  </w:style>
  <w:style w:type="paragraph" w:customStyle="1" w:styleId="02Date">
    <w:name w:val="02_Date"/>
    <w:basedOn w:val="Standard"/>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Standard"/>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Seitenzahl">
    <w:name w:val="page number"/>
    <w:basedOn w:val="Absatz-Standardschriftar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Verzeichnis1">
    <w:name w:val="toc 1"/>
    <w:basedOn w:val="Standard"/>
    <w:next w:val="Standard"/>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unotentext">
    <w:name w:val="footnote text"/>
    <w:aliases w:val="Char3, Char3,Fußnotentextf,Fußnotentextr,stile 1,Footnote1,Footnote2,Footnote3,Footnote4,Footnote5,Footnote6,Footnote7,Footnote8,Footnote9,Footnote10,Footnote11,Footnote21,Footnote31,Footnote41,Footnote51,Footnote61,Footnote71"/>
    <w:basedOn w:val="Standard"/>
    <w:link w:val="FunotentextZchn"/>
    <w:qFormat/>
    <w:rsid w:val="001725A5"/>
    <w:pPr>
      <w:spacing w:line="200" w:lineRule="exact"/>
    </w:pPr>
    <w:rPr>
      <w:sz w:val="16"/>
      <w:szCs w:val="20"/>
    </w:rPr>
  </w:style>
  <w:style w:type="character" w:styleId="Funotenzeichen">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Verzeichnis2">
    <w:name w:val="toc 2"/>
    <w:basedOn w:val="Standard"/>
    <w:next w:val="Standard"/>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Standard"/>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Kommentarzeichen">
    <w:name w:val="annotation reference"/>
    <w:rsid w:val="004B1E61"/>
    <w:rPr>
      <w:sz w:val="16"/>
      <w:szCs w:val="16"/>
    </w:rPr>
  </w:style>
  <w:style w:type="paragraph" w:styleId="Kommentartext">
    <w:name w:val="annotation text"/>
    <w:basedOn w:val="Standard"/>
    <w:link w:val="KommentartextZchn"/>
    <w:rsid w:val="004B1E61"/>
    <w:rPr>
      <w:szCs w:val="20"/>
    </w:rPr>
  </w:style>
  <w:style w:type="character" w:customStyle="1" w:styleId="KommentartextZchn">
    <w:name w:val="Kommentartext Zchn"/>
    <w:link w:val="Kommentartext"/>
    <w:uiPriority w:val="99"/>
    <w:rsid w:val="004B1E61"/>
    <w:rPr>
      <w:rFonts w:ascii="Georgia" w:hAnsi="Georgia"/>
      <w:lang w:eastAsia="de-DE"/>
    </w:rPr>
  </w:style>
  <w:style w:type="paragraph" w:styleId="Kommentarthema">
    <w:name w:val="annotation subject"/>
    <w:basedOn w:val="Kommentartext"/>
    <w:next w:val="Kommentartext"/>
    <w:link w:val="KommentarthemaZchn"/>
    <w:rsid w:val="004B1E61"/>
    <w:rPr>
      <w:b/>
      <w:bCs/>
    </w:rPr>
  </w:style>
  <w:style w:type="character" w:customStyle="1" w:styleId="KommentarthemaZchn">
    <w:name w:val="Kommentarthema Zchn"/>
    <w:link w:val="Kommentarthema"/>
    <w:rsid w:val="004B1E61"/>
    <w:rPr>
      <w:rFonts w:ascii="Georgia" w:hAnsi="Georgia"/>
      <w:b/>
      <w:bCs/>
      <w:lang w:eastAsia="de-DE"/>
    </w:rPr>
  </w:style>
  <w:style w:type="paragraph" w:styleId="Sprechblasentext">
    <w:name w:val="Balloon Text"/>
    <w:basedOn w:val="Standard"/>
    <w:link w:val="SprechblasentextZchn"/>
    <w:rsid w:val="004B1E61"/>
    <w:rPr>
      <w:rFonts w:ascii="Tahoma" w:hAnsi="Tahoma" w:cs="Tahoma"/>
      <w:sz w:val="16"/>
      <w:szCs w:val="16"/>
    </w:rPr>
  </w:style>
  <w:style w:type="character" w:customStyle="1" w:styleId="SprechblasentextZchn">
    <w:name w:val="Sprechblasentext Zchn"/>
    <w:link w:val="Sprechblasentext"/>
    <w:rsid w:val="004B1E61"/>
    <w:rPr>
      <w:rFonts w:ascii="Tahoma" w:hAnsi="Tahoma" w:cs="Tahoma"/>
      <w:sz w:val="16"/>
      <w:szCs w:val="16"/>
      <w:lang w:eastAsia="de-DE"/>
    </w:rPr>
  </w:style>
  <w:style w:type="paragraph" w:styleId="Listenabsatz">
    <w:name w:val="List Paragraph"/>
    <w:aliases w:val="Paragraphe EI,Paragraphe de liste1,EC"/>
    <w:basedOn w:val="Standard"/>
    <w:link w:val="ListenabsatzZchn"/>
    <w:uiPriority w:val="34"/>
    <w:qFormat/>
    <w:rsid w:val="002A0C82"/>
    <w:pPr>
      <w:ind w:left="720"/>
      <w:contextualSpacing/>
    </w:pPr>
  </w:style>
  <w:style w:type="paragraph" w:styleId="Inhaltsverzeichnisberschrift">
    <w:name w:val="TOC Heading"/>
    <w:basedOn w:val="berschrift1"/>
    <w:next w:val="Standard"/>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unotentextZchn">
    <w:name w:val="Fußnotentext Zchn"/>
    <w:aliases w:val="Char3 Zchn, Char3 Zchn,Fußnotentextf Zchn,Fußnotentextr Zchn,stile 1 Zchn,Footnote1 Zchn,Footnote2 Zchn,Footnote3 Zchn,Footnote4 Zchn,Footnote5 Zchn,Footnote6 Zchn,Footnote7 Zchn,Footnote8 Zchn,Footnote9 Zchn,Footnote10 Zchn"/>
    <w:link w:val="Funoten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Absatz-Standardschriftart"/>
    <w:rsid w:val="008E1B6A"/>
  </w:style>
  <w:style w:type="paragraph" w:customStyle="1" w:styleId="ManualNumPar1">
    <w:name w:val="Manual NumPar 1"/>
    <w:basedOn w:val="Standard"/>
    <w:next w:val="Standard"/>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berschrift1Zchn">
    <w:name w:val="Überschrift 1 Zchn"/>
    <w:link w:val="berschrift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Hervorhebung">
    <w:name w:val="Emphasis"/>
    <w:uiPriority w:val="20"/>
    <w:qFormat/>
    <w:rsid w:val="005F028E"/>
    <w:rPr>
      <w:i/>
      <w:iCs/>
    </w:rPr>
  </w:style>
  <w:style w:type="paragraph" w:styleId="berarbeitung">
    <w:name w:val="Revision"/>
    <w:link w:val="berarbeitungZchn"/>
    <w:hidden/>
    <w:uiPriority w:val="99"/>
    <w:semiHidden/>
    <w:rsid w:val="008E6A37"/>
    <w:rPr>
      <w:rFonts w:ascii="Georgia" w:hAnsi="Georgia"/>
      <w:sz w:val="22"/>
      <w:szCs w:val="24"/>
      <w:lang w:eastAsia="de-DE"/>
    </w:rPr>
  </w:style>
  <w:style w:type="paragraph" w:styleId="Verzeichnis3">
    <w:name w:val="toc 3"/>
    <w:basedOn w:val="Standard"/>
    <w:next w:val="Standard"/>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Standard"/>
    <w:next w:val="Standard"/>
    <w:uiPriority w:val="99"/>
    <w:rsid w:val="00F377CD"/>
    <w:pPr>
      <w:autoSpaceDE w:val="0"/>
      <w:autoSpaceDN w:val="0"/>
      <w:adjustRightInd w:val="0"/>
    </w:pPr>
    <w:rPr>
      <w:rFonts w:ascii="EUAlbertina" w:eastAsia="Calibri" w:hAnsi="EUAlbertina"/>
      <w:sz w:val="24"/>
      <w:lang w:val="fr-FR" w:eastAsia="en-US"/>
    </w:rPr>
  </w:style>
  <w:style w:type="paragraph" w:styleId="Verzeichnis4">
    <w:name w:val="toc 4"/>
    <w:basedOn w:val="Standard"/>
    <w:next w:val="Standard"/>
    <w:autoRedefine/>
    <w:uiPriority w:val="39"/>
    <w:unhideWhenUsed/>
    <w:rsid w:val="00F377CD"/>
    <w:pPr>
      <w:spacing w:after="100" w:line="276" w:lineRule="auto"/>
      <w:ind w:left="660"/>
    </w:pPr>
    <w:rPr>
      <w:rFonts w:ascii="Calibri" w:hAnsi="Calibri"/>
      <w:szCs w:val="22"/>
      <w:lang w:eastAsia="en-GB"/>
    </w:rPr>
  </w:style>
  <w:style w:type="paragraph" w:styleId="Verzeichnis5">
    <w:name w:val="toc 5"/>
    <w:basedOn w:val="Standard"/>
    <w:next w:val="Standard"/>
    <w:autoRedefine/>
    <w:uiPriority w:val="39"/>
    <w:unhideWhenUsed/>
    <w:rsid w:val="00F377CD"/>
    <w:pPr>
      <w:spacing w:after="100" w:line="276" w:lineRule="auto"/>
      <w:ind w:left="880"/>
    </w:pPr>
    <w:rPr>
      <w:rFonts w:ascii="Calibri" w:hAnsi="Calibri"/>
      <w:szCs w:val="22"/>
      <w:lang w:eastAsia="en-GB"/>
    </w:rPr>
  </w:style>
  <w:style w:type="paragraph" w:styleId="Verzeichnis6">
    <w:name w:val="toc 6"/>
    <w:basedOn w:val="Standard"/>
    <w:next w:val="Standard"/>
    <w:autoRedefine/>
    <w:uiPriority w:val="39"/>
    <w:unhideWhenUsed/>
    <w:rsid w:val="00F377CD"/>
    <w:pPr>
      <w:spacing w:after="100" w:line="276" w:lineRule="auto"/>
      <w:ind w:left="1100"/>
    </w:pPr>
    <w:rPr>
      <w:rFonts w:ascii="Calibri" w:hAnsi="Calibri"/>
      <w:szCs w:val="22"/>
      <w:lang w:eastAsia="en-GB"/>
    </w:rPr>
  </w:style>
  <w:style w:type="paragraph" w:styleId="Verzeichnis7">
    <w:name w:val="toc 7"/>
    <w:basedOn w:val="Standard"/>
    <w:next w:val="Standard"/>
    <w:autoRedefine/>
    <w:uiPriority w:val="39"/>
    <w:unhideWhenUsed/>
    <w:rsid w:val="00F377CD"/>
    <w:pPr>
      <w:spacing w:after="100" w:line="276" w:lineRule="auto"/>
      <w:ind w:left="1320"/>
    </w:pPr>
    <w:rPr>
      <w:rFonts w:ascii="Calibri" w:hAnsi="Calibri"/>
      <w:szCs w:val="22"/>
      <w:lang w:eastAsia="en-GB"/>
    </w:rPr>
  </w:style>
  <w:style w:type="paragraph" w:styleId="Verzeichnis8">
    <w:name w:val="toc 8"/>
    <w:basedOn w:val="Standard"/>
    <w:next w:val="Standard"/>
    <w:autoRedefine/>
    <w:uiPriority w:val="39"/>
    <w:unhideWhenUsed/>
    <w:rsid w:val="00F377CD"/>
    <w:pPr>
      <w:spacing w:after="100" w:line="276" w:lineRule="auto"/>
      <w:ind w:left="1540"/>
    </w:pPr>
    <w:rPr>
      <w:rFonts w:ascii="Calibri" w:hAnsi="Calibri"/>
      <w:szCs w:val="22"/>
      <w:lang w:eastAsia="en-GB"/>
    </w:rPr>
  </w:style>
  <w:style w:type="paragraph" w:styleId="Verzeichnis9">
    <w:name w:val="toc 9"/>
    <w:basedOn w:val="Standard"/>
    <w:next w:val="Standard"/>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Beschriftung">
    <w:name w:val="caption"/>
    <w:basedOn w:val="Standard"/>
    <w:next w:val="Standard"/>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StandardWeb">
    <w:name w:val="Normal (Web)"/>
    <w:basedOn w:val="Standard"/>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kumentstruktur">
    <w:name w:val="Document Map"/>
    <w:basedOn w:val="Standard"/>
    <w:link w:val="DokumentstrukturZchn"/>
    <w:rsid w:val="00AA016B"/>
    <w:rPr>
      <w:rFonts w:ascii="Tahoma" w:hAnsi="Tahoma" w:cs="Tahoma"/>
      <w:sz w:val="16"/>
      <w:szCs w:val="16"/>
    </w:rPr>
  </w:style>
  <w:style w:type="character" w:customStyle="1" w:styleId="DokumentstrukturZchn">
    <w:name w:val="Dokumentstruktur Zchn"/>
    <w:link w:val="Dokumentstruktur"/>
    <w:rsid w:val="00AA016B"/>
    <w:rPr>
      <w:rFonts w:ascii="Tahoma" w:hAnsi="Tahoma" w:cs="Tahoma"/>
      <w:sz w:val="16"/>
      <w:szCs w:val="16"/>
      <w:lang w:eastAsia="de-DE"/>
    </w:rPr>
  </w:style>
  <w:style w:type="paragraph" w:styleId="NurText">
    <w:name w:val="Plain Text"/>
    <w:basedOn w:val="Standard"/>
    <w:link w:val="NurTextZchn"/>
    <w:unhideWhenUsed/>
    <w:rsid w:val="00AA016B"/>
    <w:rPr>
      <w:rFonts w:ascii="Consolas" w:hAnsi="Consolas"/>
      <w:sz w:val="21"/>
      <w:szCs w:val="21"/>
      <w:lang w:val="de-DE"/>
    </w:rPr>
  </w:style>
  <w:style w:type="character" w:customStyle="1" w:styleId="NurTextZchn">
    <w:name w:val="Nur Text Zchn"/>
    <w:link w:val="NurText"/>
    <w:rsid w:val="00AA016B"/>
    <w:rPr>
      <w:rFonts w:ascii="Consolas" w:hAnsi="Consolas"/>
      <w:sz w:val="21"/>
      <w:szCs w:val="21"/>
      <w:lang w:val="de-DE" w:eastAsia="de-DE"/>
    </w:rPr>
  </w:style>
  <w:style w:type="paragraph" w:styleId="Textkrper">
    <w:name w:val="Body Text"/>
    <w:basedOn w:val="Standard"/>
    <w:link w:val="TextkrperZchn"/>
    <w:unhideWhenUsed/>
    <w:rsid w:val="00AA016B"/>
    <w:pPr>
      <w:numPr>
        <w:numId w:val="8"/>
      </w:numPr>
      <w:spacing w:after="240"/>
      <w:jc w:val="both"/>
    </w:pPr>
    <w:rPr>
      <w:rFonts w:ascii="Times New Roman" w:hAnsi="Times New Roman"/>
      <w:sz w:val="24"/>
      <w:szCs w:val="20"/>
      <w:lang w:eastAsia="en-GB"/>
    </w:rPr>
  </w:style>
  <w:style w:type="character" w:customStyle="1" w:styleId="TextkrperZchn">
    <w:name w:val="Textkörper Zchn"/>
    <w:link w:val="Textkrper"/>
    <w:rsid w:val="00AA016B"/>
    <w:rPr>
      <w:sz w:val="24"/>
    </w:rPr>
  </w:style>
  <w:style w:type="paragraph" w:customStyle="1" w:styleId="ListParagraph1">
    <w:name w:val="List Paragraph1"/>
    <w:basedOn w:val="Standard"/>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Fett">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berschrift2Zchn">
    <w:name w:val="Überschrift 2 Zchn"/>
    <w:link w:val="berschrift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berschrift9Zchn">
    <w:name w:val="Überschrift 9 Zchn"/>
    <w:link w:val="berschrift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Standard"/>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berschrift7Zchn">
    <w:name w:val="Überschrift 7 Zchn"/>
    <w:link w:val="berschrift7"/>
    <w:rsid w:val="002D6E1A"/>
    <w:rPr>
      <w:sz w:val="22"/>
      <w:szCs w:val="24"/>
      <w:lang w:eastAsia="de-DE"/>
    </w:rPr>
  </w:style>
  <w:style w:type="character" w:customStyle="1" w:styleId="berschrift6Zchn">
    <w:name w:val="Überschrift 6 Zchn"/>
    <w:link w:val="berschrift6"/>
    <w:rsid w:val="002D6E1A"/>
    <w:rPr>
      <w:b/>
      <w:bCs/>
      <w:szCs w:val="22"/>
      <w:lang w:eastAsia="de-DE"/>
    </w:rPr>
  </w:style>
  <w:style w:type="character" w:customStyle="1" w:styleId="berschrift8Zchn">
    <w:name w:val="Überschrift 8 Zchn"/>
    <w:link w:val="berschrift8"/>
    <w:rsid w:val="002D6E1A"/>
    <w:rPr>
      <w:i/>
      <w:iCs/>
      <w:szCs w:val="24"/>
      <w:lang w:eastAsia="de-DE"/>
    </w:rPr>
  </w:style>
  <w:style w:type="numbering" w:customStyle="1" w:styleId="NoList1">
    <w:name w:val="No List1"/>
    <w:next w:val="KeineListe"/>
    <w:uiPriority w:val="99"/>
    <w:semiHidden/>
    <w:unhideWhenUsed/>
    <w:rsid w:val="002D6E1A"/>
  </w:style>
  <w:style w:type="character" w:styleId="BesuchterHyperlink">
    <w:name w:val="FollowedHyperlink"/>
    <w:unhideWhenUsed/>
    <w:rsid w:val="002D6E1A"/>
    <w:rPr>
      <w:color w:val="800080"/>
      <w:u w:val="single"/>
    </w:rPr>
  </w:style>
  <w:style w:type="character" w:customStyle="1" w:styleId="KopfzeileZchn">
    <w:name w:val="Kopfzeile Zchn"/>
    <w:link w:val="Kopfzeile"/>
    <w:rsid w:val="002D6E1A"/>
    <w:rPr>
      <w:rFonts w:ascii="Georgia" w:hAnsi="Georgia"/>
      <w:sz w:val="22"/>
      <w:szCs w:val="24"/>
      <w:lang w:eastAsia="de-DE"/>
    </w:rPr>
  </w:style>
  <w:style w:type="character" w:customStyle="1" w:styleId="FuzeileZchn">
    <w:name w:val="Fußzeile Zchn"/>
    <w:link w:val="Fuzeile"/>
    <w:uiPriority w:val="99"/>
    <w:rsid w:val="002D6E1A"/>
    <w:rPr>
      <w:rFonts w:ascii="Georgia" w:hAnsi="Georgia"/>
      <w:sz w:val="22"/>
      <w:szCs w:val="24"/>
      <w:lang w:eastAsia="de-DE"/>
    </w:rPr>
  </w:style>
  <w:style w:type="paragraph" w:styleId="Endnotentext">
    <w:name w:val="endnote text"/>
    <w:basedOn w:val="Standard"/>
    <w:link w:val="EndnotentextZchn"/>
    <w:unhideWhenUsed/>
    <w:rsid w:val="002D6E1A"/>
    <w:rPr>
      <w:szCs w:val="20"/>
    </w:rPr>
  </w:style>
  <w:style w:type="character" w:customStyle="1" w:styleId="EndnotentextZchn">
    <w:name w:val="Endnotentext Zchn"/>
    <w:link w:val="Endnotentext"/>
    <w:rsid w:val="002D6E1A"/>
    <w:rPr>
      <w:rFonts w:ascii="Georgia" w:hAnsi="Georgia"/>
      <w:lang w:eastAsia="de-DE"/>
    </w:rPr>
  </w:style>
  <w:style w:type="paragraph" w:styleId="Listennummer">
    <w:name w:val="List Number"/>
    <w:basedOn w:val="Standard"/>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enabsatzZchn">
    <w:name w:val="Listenabsatz Zchn"/>
    <w:aliases w:val="Paragraphe EI Zchn,Paragraphe de liste1 Zchn,EC Zchn"/>
    <w:link w:val="Listenabsatz"/>
    <w:uiPriority w:val="34"/>
    <w:locked/>
    <w:rsid w:val="002D6E1A"/>
    <w:rPr>
      <w:rFonts w:ascii="Georgia" w:hAnsi="Georgia"/>
      <w:sz w:val="22"/>
      <w:szCs w:val="24"/>
      <w:lang w:eastAsia="de-DE"/>
    </w:rPr>
  </w:style>
  <w:style w:type="paragraph" w:customStyle="1" w:styleId="04anumbering0">
    <w:name w:val="04anumbering"/>
    <w:basedOn w:val="Standard"/>
    <w:rsid w:val="002D6E1A"/>
    <w:pPr>
      <w:tabs>
        <w:tab w:val="num" w:pos="360"/>
      </w:tabs>
      <w:spacing w:after="250" w:line="276" w:lineRule="auto"/>
      <w:jc w:val="both"/>
    </w:pPr>
    <w:rPr>
      <w:rFonts w:eastAsia="Calibri"/>
      <w:szCs w:val="20"/>
      <w:lang w:eastAsia="en-GB"/>
    </w:rPr>
  </w:style>
  <w:style w:type="paragraph" w:customStyle="1" w:styleId="Tiret1">
    <w:name w:val="Tiret 1"/>
    <w:basedOn w:val="Standard"/>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nabsatz"/>
    <w:link w:val="DPChar"/>
    <w:qFormat/>
    <w:rsid w:val="002D6E1A"/>
    <w:pPr>
      <w:ind w:left="708"/>
      <w:contextualSpacing w:val="0"/>
      <w:jc w:val="both"/>
    </w:pPr>
    <w:rPr>
      <w:b/>
      <w:szCs w:val="20"/>
      <w:u w:val="single"/>
    </w:rPr>
  </w:style>
  <w:style w:type="paragraph" w:customStyle="1" w:styleId="Bullet">
    <w:name w:val="Bullet"/>
    <w:basedOn w:val="Standard"/>
    <w:rsid w:val="002D6E1A"/>
    <w:pPr>
      <w:numPr>
        <w:numId w:val="11"/>
      </w:numPr>
      <w:tabs>
        <w:tab w:val="left" w:pos="708"/>
      </w:tabs>
      <w:spacing w:before="120" w:after="120" w:line="276" w:lineRule="auto"/>
      <w:jc w:val="both"/>
    </w:pPr>
    <w:rPr>
      <w:szCs w:val="20"/>
      <w:lang w:eastAsia="en-GB"/>
    </w:rPr>
  </w:style>
  <w:style w:type="character" w:styleId="Endnotenzeichen">
    <w:name w:val="endnote reference"/>
    <w:unhideWhenUsed/>
    <w:rsid w:val="002D6E1A"/>
    <w:rPr>
      <w:vertAlign w:val="superscript"/>
    </w:rPr>
  </w:style>
  <w:style w:type="character" w:styleId="Platzhalt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NormaleTabelle"/>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KeineListe"/>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Zeilennummer">
    <w:name w:val="line number"/>
    <w:basedOn w:val="Absatz-Standardschriftart"/>
    <w:uiPriority w:val="99"/>
    <w:unhideWhenUsed/>
    <w:rsid w:val="00952F2C"/>
  </w:style>
  <w:style w:type="paragraph" w:customStyle="1" w:styleId="aStyle">
    <w:name w:val="a) Style"/>
    <w:basedOn w:val="Standard"/>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eschriftung"/>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Standard"/>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berschrift5Zchn">
    <w:name w:val="Überschrift 5 Zchn"/>
    <w:aliases w:val="Questions Zchn"/>
    <w:link w:val="berschrift5"/>
    <w:rsid w:val="00E9344E"/>
    <w:rPr>
      <w:rFonts w:ascii="Arial" w:hAnsi="Arial"/>
      <w:b/>
      <w:szCs w:val="24"/>
      <w:lang w:eastAsia="de-DE"/>
    </w:rPr>
  </w:style>
  <w:style w:type="character" w:customStyle="1" w:styleId="berschrift3Zchn">
    <w:name w:val="Überschrift 3 Zchn"/>
    <w:link w:val="berschrift3"/>
    <w:rsid w:val="003865E5"/>
    <w:rPr>
      <w:rFonts w:ascii="Cambria" w:eastAsia="Times New Roman" w:hAnsi="Cambria" w:cs="Times New Roman"/>
      <w:b/>
      <w:bCs/>
      <w:color w:val="4F81BD"/>
      <w:sz w:val="22"/>
      <w:szCs w:val="24"/>
      <w:lang w:eastAsia="de-DE"/>
    </w:rPr>
  </w:style>
  <w:style w:type="character" w:customStyle="1" w:styleId="berschrift4Zchn">
    <w:name w:val="Überschrift 4 Zchn"/>
    <w:link w:val="berschrift4"/>
    <w:rsid w:val="00CB7286"/>
    <w:rPr>
      <w:b/>
      <w:bCs/>
      <w:sz w:val="28"/>
      <w:szCs w:val="28"/>
      <w:lang w:eastAsia="de-DE"/>
    </w:rPr>
  </w:style>
  <w:style w:type="table" w:styleId="HelleListe-Akzent3">
    <w:name w:val="Light List Accent 3"/>
    <w:basedOn w:val="NormaleTabelle"/>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NormaleTabelle"/>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Standard"/>
    <w:rsid w:val="000D2D0B"/>
    <w:pPr>
      <w:spacing w:after="250" w:line="340" w:lineRule="exact"/>
      <w:ind w:left="397" w:hanging="397"/>
      <w:jc w:val="both"/>
    </w:pPr>
    <w:rPr>
      <w:b/>
      <w:caps/>
      <w:color w:val="2D4190"/>
      <w:sz w:val="28"/>
      <w:lang w:val="de-DE"/>
    </w:rPr>
  </w:style>
  <w:style w:type="paragraph" w:customStyle="1" w:styleId="04RunningText">
    <w:name w:val="04_Running Text"/>
    <w:basedOn w:val="Standard"/>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berschrift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berschrift1"/>
    <w:next w:val="Standard"/>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Standard"/>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Standard"/>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Standard"/>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Standard"/>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Standard"/>
    <w:next w:val="Standard"/>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Standard"/>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Standard"/>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Standard"/>
    <w:rsid w:val="000D2D0B"/>
    <w:rPr>
      <w:szCs w:val="20"/>
    </w:rPr>
  </w:style>
  <w:style w:type="paragraph" w:customStyle="1" w:styleId="Sbuchead">
    <w:name w:val="Sbuchead"/>
    <w:basedOn w:val="Standard"/>
    <w:rsid w:val="000D2D0B"/>
    <w:pPr>
      <w:spacing w:after="360"/>
    </w:pPr>
    <w:rPr>
      <w:rFonts w:ascii="Times New Roman" w:hAnsi="Times New Roman"/>
      <w:b/>
      <w:caps/>
      <w:sz w:val="24"/>
      <w:szCs w:val="20"/>
      <w:lang w:eastAsia="en-GB"/>
    </w:rPr>
  </w:style>
  <w:style w:type="paragraph" w:customStyle="1" w:styleId="Applicationdirecte">
    <w:name w:val="Application directe"/>
    <w:basedOn w:val="Standard"/>
    <w:next w:val="Fait"/>
    <w:rsid w:val="000D2D0B"/>
    <w:pPr>
      <w:spacing w:before="480" w:after="120"/>
      <w:jc w:val="both"/>
    </w:pPr>
    <w:rPr>
      <w:rFonts w:ascii="Times New Roman" w:hAnsi="Times New Roman"/>
      <w:sz w:val="24"/>
      <w:lang w:eastAsia="en-US"/>
    </w:rPr>
  </w:style>
  <w:style w:type="paragraph" w:customStyle="1" w:styleId="Fait">
    <w:name w:val="Fait à"/>
    <w:basedOn w:val="Standard"/>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Standard"/>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Standard"/>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Standard"/>
    <w:next w:val="Standard"/>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Standard"/>
    <w:next w:val="Standard"/>
    <w:rsid w:val="000D2D0B"/>
    <w:pPr>
      <w:spacing w:before="360" w:after="360"/>
      <w:jc w:val="center"/>
    </w:pPr>
    <w:rPr>
      <w:rFonts w:ascii="Times New Roman" w:hAnsi="Times New Roman"/>
      <w:b/>
      <w:sz w:val="24"/>
      <w:lang w:eastAsia="en-US"/>
    </w:rPr>
  </w:style>
  <w:style w:type="paragraph" w:customStyle="1" w:styleId="Typedudocument">
    <w:name w:val="Type du document"/>
    <w:basedOn w:val="Standard"/>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Standard"/>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Standard"/>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Standard"/>
    <w:rsid w:val="000D2D0B"/>
    <w:pPr>
      <w:spacing w:before="120" w:after="120"/>
      <w:ind w:left="850"/>
      <w:jc w:val="both"/>
    </w:pPr>
    <w:rPr>
      <w:rFonts w:ascii="Times New Roman" w:hAnsi="Times New Roman"/>
      <w:sz w:val="24"/>
      <w:lang w:eastAsia="en-US"/>
    </w:rPr>
  </w:style>
  <w:style w:type="paragraph" w:customStyle="1" w:styleId="Text2">
    <w:name w:val="Text 2"/>
    <w:basedOn w:val="Standard"/>
    <w:rsid w:val="000D2D0B"/>
    <w:pPr>
      <w:spacing w:before="120" w:after="120"/>
      <w:ind w:left="1417"/>
      <w:jc w:val="both"/>
    </w:pPr>
    <w:rPr>
      <w:rFonts w:ascii="Times New Roman" w:hAnsi="Times New Roman"/>
      <w:sz w:val="24"/>
      <w:lang w:eastAsia="en-US"/>
    </w:rPr>
  </w:style>
  <w:style w:type="paragraph" w:customStyle="1" w:styleId="Text3">
    <w:name w:val="Text 3"/>
    <w:basedOn w:val="Standard"/>
    <w:rsid w:val="000D2D0B"/>
    <w:pPr>
      <w:spacing w:before="120" w:after="120"/>
      <w:ind w:left="1984"/>
      <w:jc w:val="both"/>
    </w:pPr>
    <w:rPr>
      <w:rFonts w:ascii="Times New Roman" w:hAnsi="Times New Roman"/>
      <w:sz w:val="24"/>
      <w:lang w:eastAsia="en-US"/>
    </w:rPr>
  </w:style>
  <w:style w:type="paragraph" w:customStyle="1" w:styleId="Text4">
    <w:name w:val="Text 4"/>
    <w:basedOn w:val="Standard"/>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Standard"/>
    <w:rsid w:val="000D2D0B"/>
    <w:pPr>
      <w:spacing w:before="120" w:after="120"/>
      <w:jc w:val="center"/>
    </w:pPr>
    <w:rPr>
      <w:rFonts w:ascii="Times New Roman" w:hAnsi="Times New Roman"/>
      <w:sz w:val="24"/>
      <w:lang w:eastAsia="en-US"/>
    </w:rPr>
  </w:style>
  <w:style w:type="paragraph" w:customStyle="1" w:styleId="NormalLeft">
    <w:name w:val="Normal Left"/>
    <w:basedOn w:val="Standard"/>
    <w:rsid w:val="000D2D0B"/>
    <w:pPr>
      <w:spacing w:before="120" w:after="120"/>
    </w:pPr>
    <w:rPr>
      <w:rFonts w:ascii="Times New Roman" w:hAnsi="Times New Roman"/>
      <w:sz w:val="24"/>
      <w:lang w:eastAsia="en-US"/>
    </w:rPr>
  </w:style>
  <w:style w:type="paragraph" w:customStyle="1" w:styleId="NormalRight">
    <w:name w:val="Normal Right"/>
    <w:basedOn w:val="Standard"/>
    <w:rsid w:val="000D2D0B"/>
    <w:pPr>
      <w:spacing w:before="120" w:after="120"/>
      <w:jc w:val="right"/>
    </w:pPr>
    <w:rPr>
      <w:rFonts w:ascii="Times New Roman" w:hAnsi="Times New Roman"/>
      <w:sz w:val="24"/>
      <w:lang w:eastAsia="en-US"/>
    </w:rPr>
  </w:style>
  <w:style w:type="paragraph" w:customStyle="1" w:styleId="QuotedText">
    <w:name w:val="Quoted Text"/>
    <w:basedOn w:val="Standard"/>
    <w:rsid w:val="000D2D0B"/>
    <w:pPr>
      <w:spacing w:before="120" w:after="120"/>
      <w:ind w:left="1417"/>
      <w:jc w:val="both"/>
    </w:pPr>
    <w:rPr>
      <w:rFonts w:ascii="Times New Roman" w:hAnsi="Times New Roman"/>
      <w:sz w:val="24"/>
      <w:lang w:eastAsia="en-US"/>
    </w:rPr>
  </w:style>
  <w:style w:type="paragraph" w:customStyle="1" w:styleId="Point0">
    <w:name w:val="Point 0"/>
    <w:basedOn w:val="Standard"/>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Standard"/>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Standard"/>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Standard"/>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Standard"/>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Standard"/>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Standard"/>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Standard"/>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Standard"/>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Standard"/>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Standard"/>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Standard"/>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Standard"/>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Standard"/>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Standard"/>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Standard"/>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Standard"/>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Standard"/>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Standard"/>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Standard"/>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Standard"/>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Standard"/>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Standard"/>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Standard"/>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Standard"/>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Standard"/>
    <w:next w:val="Standard"/>
    <w:rsid w:val="000D2D0B"/>
    <w:pPr>
      <w:keepNext/>
      <w:spacing w:before="120" w:after="360"/>
      <w:jc w:val="center"/>
    </w:pPr>
    <w:rPr>
      <w:rFonts w:ascii="Times New Roman" w:hAnsi="Times New Roman"/>
      <w:b/>
      <w:sz w:val="32"/>
      <w:lang w:eastAsia="en-US"/>
    </w:rPr>
  </w:style>
  <w:style w:type="paragraph" w:customStyle="1" w:styleId="PartTitle">
    <w:name w:val="PartTitle"/>
    <w:basedOn w:val="Standard"/>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Standard"/>
    <w:next w:val="berschrift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Standard"/>
    <w:next w:val="Standard"/>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Standard"/>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Standard"/>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Standard"/>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Standard"/>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Standard"/>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Standard"/>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Standard"/>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Standard"/>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Standard"/>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Standard"/>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Standard"/>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Standard"/>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Standard"/>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Standard"/>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Standard"/>
    <w:next w:val="Standard"/>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Standard"/>
    <w:next w:val="Standard"/>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Standard"/>
    <w:next w:val="Standard"/>
    <w:rsid w:val="000D2D0B"/>
    <w:pPr>
      <w:spacing w:before="360" w:after="120"/>
      <w:jc w:val="center"/>
    </w:pPr>
    <w:rPr>
      <w:rFonts w:ascii="Times New Roman" w:hAnsi="Times New Roman"/>
      <w:sz w:val="24"/>
      <w:lang w:eastAsia="en-US"/>
    </w:rPr>
  </w:style>
  <w:style w:type="paragraph" w:customStyle="1" w:styleId="Confidentialit">
    <w:name w:val="Confidentialité"/>
    <w:basedOn w:val="Standard"/>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Standard"/>
    <w:next w:val="Standard"/>
    <w:rsid w:val="000D2D0B"/>
    <w:pPr>
      <w:spacing w:after="240"/>
    </w:pPr>
    <w:rPr>
      <w:rFonts w:ascii="Times New Roman" w:hAnsi="Times New Roman"/>
      <w:sz w:val="24"/>
      <w:lang w:eastAsia="en-US"/>
    </w:rPr>
  </w:style>
  <w:style w:type="paragraph" w:customStyle="1" w:styleId="Datedadoption">
    <w:name w:val="Date d'adoption"/>
    <w:basedOn w:val="Standard"/>
    <w:next w:val="Titreobjet"/>
    <w:rsid w:val="000D2D0B"/>
    <w:pPr>
      <w:spacing w:before="360"/>
      <w:jc w:val="center"/>
    </w:pPr>
    <w:rPr>
      <w:rFonts w:ascii="Times New Roman" w:hAnsi="Times New Roman"/>
      <w:b/>
      <w:sz w:val="24"/>
      <w:lang w:eastAsia="en-US"/>
    </w:rPr>
  </w:style>
  <w:style w:type="paragraph" w:customStyle="1" w:styleId="Emission">
    <w:name w:val="Emission"/>
    <w:basedOn w:val="Standard"/>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Standard"/>
    <w:next w:val="Standard"/>
    <w:rsid w:val="000D2D0B"/>
    <w:pPr>
      <w:keepNext/>
      <w:spacing w:before="600" w:after="120"/>
      <w:jc w:val="both"/>
    </w:pPr>
    <w:rPr>
      <w:rFonts w:ascii="Times New Roman" w:hAnsi="Times New Roman"/>
      <w:sz w:val="24"/>
      <w:lang w:eastAsia="en-US"/>
    </w:rPr>
  </w:style>
  <w:style w:type="paragraph" w:customStyle="1" w:styleId="Langue">
    <w:name w:val="Langue"/>
    <w:basedOn w:val="Standard"/>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Standard"/>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Standard"/>
    <w:next w:val="Emission"/>
    <w:rsid w:val="000D2D0B"/>
    <w:rPr>
      <w:rFonts w:cs="Arial"/>
      <w:sz w:val="24"/>
      <w:lang w:eastAsia="en-US"/>
    </w:rPr>
  </w:style>
  <w:style w:type="paragraph" w:customStyle="1" w:styleId="Rfrenceinstitutionnelle">
    <w:name w:val="Référence institutionnelle"/>
    <w:basedOn w:val="Standard"/>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Standard"/>
    <w:next w:val="Statut"/>
    <w:rsid w:val="000D2D0B"/>
    <w:pPr>
      <w:ind w:left="5103"/>
    </w:pPr>
    <w:rPr>
      <w:rFonts w:ascii="Times New Roman" w:hAnsi="Times New Roman"/>
      <w:sz w:val="24"/>
      <w:lang w:eastAsia="en-US"/>
    </w:rPr>
  </w:style>
  <w:style w:type="paragraph" w:customStyle="1" w:styleId="Rfrenceinterne">
    <w:name w:val="Référence interne"/>
    <w:basedOn w:val="Standard"/>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Standard"/>
    <w:rsid w:val="000D2D0B"/>
    <w:pPr>
      <w:jc w:val="center"/>
    </w:pPr>
    <w:rPr>
      <w:rFonts w:ascii="Times New Roman" w:hAnsi="Times New Roman"/>
      <w:b/>
      <w:sz w:val="24"/>
      <w:lang w:eastAsia="en-US"/>
    </w:rPr>
  </w:style>
  <w:style w:type="paragraph" w:customStyle="1" w:styleId="Statut">
    <w:name w:val="Statut"/>
    <w:basedOn w:val="Standard"/>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Standard"/>
    <w:next w:val="Standard"/>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Standard"/>
    <w:next w:val="Standard"/>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Standard"/>
    <w:next w:val="Standard"/>
    <w:rsid w:val="000D2D0B"/>
    <w:pPr>
      <w:spacing w:before="120" w:after="120"/>
      <w:jc w:val="both"/>
    </w:pPr>
    <w:rPr>
      <w:rFonts w:ascii="Times New Roman" w:hAnsi="Times New Roman"/>
      <w:sz w:val="24"/>
      <w:lang w:eastAsia="en-US"/>
    </w:rPr>
  </w:style>
  <w:style w:type="paragraph" w:customStyle="1" w:styleId="Supertitre">
    <w:name w:val="Supertitre"/>
    <w:basedOn w:val="Standard"/>
    <w:next w:val="Standard"/>
    <w:rsid w:val="000D2D0B"/>
    <w:pPr>
      <w:spacing w:after="600"/>
      <w:jc w:val="center"/>
    </w:pPr>
    <w:rPr>
      <w:rFonts w:ascii="Times New Roman" w:hAnsi="Times New Roman"/>
      <w:b/>
      <w:sz w:val="24"/>
      <w:lang w:eastAsia="en-US"/>
    </w:rPr>
  </w:style>
  <w:style w:type="paragraph" w:customStyle="1" w:styleId="Languesfaisantfoi">
    <w:name w:val="Langues faisant foi"/>
    <w:basedOn w:val="Standard"/>
    <w:next w:val="Standard"/>
    <w:rsid w:val="000D2D0B"/>
    <w:pPr>
      <w:spacing w:before="360"/>
      <w:jc w:val="center"/>
    </w:pPr>
    <w:rPr>
      <w:rFonts w:ascii="Times New Roman" w:hAnsi="Times New Roman"/>
      <w:sz w:val="24"/>
      <w:lang w:eastAsia="en-US"/>
    </w:rPr>
  </w:style>
  <w:style w:type="paragraph" w:customStyle="1" w:styleId="Rfrencecroise">
    <w:name w:val="Référence croisée"/>
    <w:basedOn w:val="Standard"/>
    <w:rsid w:val="000D2D0B"/>
    <w:pPr>
      <w:jc w:val="center"/>
    </w:pPr>
    <w:rPr>
      <w:rFonts w:ascii="Times New Roman" w:hAnsi="Times New Roman"/>
      <w:sz w:val="24"/>
      <w:lang w:eastAsia="en-US"/>
    </w:rPr>
  </w:style>
  <w:style w:type="paragraph" w:customStyle="1" w:styleId="Fichefinanciretitre">
    <w:name w:val="Fiche financière titre"/>
    <w:basedOn w:val="Standard"/>
    <w:next w:val="Standard"/>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Standard"/>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Standard"/>
    <w:rsid w:val="000D2D0B"/>
    <w:pPr>
      <w:spacing w:after="240"/>
    </w:pPr>
  </w:style>
  <w:style w:type="paragraph" w:customStyle="1" w:styleId="Accompagnant">
    <w:name w:val="Accompagnant"/>
    <w:basedOn w:val="Standard"/>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Standard"/>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Standard"/>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Standard"/>
    <w:next w:val="Standard"/>
    <w:rsid w:val="000D2D0B"/>
    <w:pPr>
      <w:spacing w:before="360"/>
      <w:jc w:val="center"/>
    </w:pPr>
    <w:rPr>
      <w:rFonts w:ascii="Times New Roman" w:hAnsi="Times New Roman"/>
      <w:sz w:val="24"/>
      <w:lang w:eastAsia="en-US"/>
    </w:rPr>
  </w:style>
  <w:style w:type="paragraph" w:styleId="Listennummer2">
    <w:name w:val="List Number 2"/>
    <w:basedOn w:val="Standard"/>
    <w:rsid w:val="000D2D0B"/>
    <w:pPr>
      <w:tabs>
        <w:tab w:val="num" w:pos="643"/>
      </w:tabs>
      <w:spacing w:before="120" w:after="120"/>
      <w:ind w:left="643" w:hanging="360"/>
      <w:jc w:val="both"/>
    </w:pPr>
    <w:rPr>
      <w:rFonts w:ascii="Times New Roman" w:hAnsi="Times New Roman"/>
      <w:sz w:val="24"/>
      <w:lang w:eastAsia="en-US"/>
    </w:rPr>
  </w:style>
  <w:style w:type="paragraph" w:styleId="Listennummer3">
    <w:name w:val="List Number 3"/>
    <w:basedOn w:val="Standard"/>
    <w:rsid w:val="000D2D0B"/>
    <w:pPr>
      <w:tabs>
        <w:tab w:val="num" w:pos="926"/>
      </w:tabs>
      <w:spacing w:before="120" w:after="120"/>
      <w:ind w:left="926" w:hanging="360"/>
      <w:jc w:val="both"/>
    </w:pPr>
    <w:rPr>
      <w:rFonts w:ascii="Times New Roman" w:hAnsi="Times New Roman"/>
      <w:sz w:val="24"/>
      <w:lang w:eastAsia="en-US"/>
    </w:rPr>
  </w:style>
  <w:style w:type="paragraph" w:styleId="Listennummer4">
    <w:name w:val="List Number 4"/>
    <w:basedOn w:val="Standard"/>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Aufzhlungszeichen">
    <w:name w:val="List Bullet"/>
    <w:basedOn w:val="Standard"/>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Aufzhlungszeichen2">
    <w:name w:val="List Bullet 2"/>
    <w:basedOn w:val="Standard"/>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Aufzhlungszeichen3">
    <w:name w:val="List Bullet 3"/>
    <w:basedOn w:val="Standard"/>
    <w:rsid w:val="000D2D0B"/>
    <w:pPr>
      <w:numPr>
        <w:numId w:val="16"/>
      </w:numPr>
      <w:tabs>
        <w:tab w:val="num" w:pos="926"/>
      </w:tabs>
      <w:spacing w:before="120" w:after="120"/>
      <w:ind w:left="926"/>
      <w:jc w:val="both"/>
    </w:pPr>
    <w:rPr>
      <w:rFonts w:ascii="Times New Roman" w:hAnsi="Times New Roman"/>
      <w:sz w:val="24"/>
      <w:lang w:eastAsia="en-US"/>
    </w:rPr>
  </w:style>
  <w:style w:type="paragraph" w:styleId="Aufzhlungszeichen4">
    <w:name w:val="List Bullet 4"/>
    <w:basedOn w:val="Standard"/>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Abbildungsverzeichnis">
    <w:name w:val="table of figures"/>
    <w:basedOn w:val="Standard"/>
    <w:next w:val="Standard"/>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Standard"/>
    <w:rsid w:val="000D2D0B"/>
    <w:pPr>
      <w:ind w:left="720"/>
      <w:contextualSpacing/>
    </w:pPr>
    <w:rPr>
      <w:rFonts w:ascii="Cambria" w:hAnsi="Cambria"/>
      <w:sz w:val="24"/>
      <w:lang w:val="en-US" w:eastAsia="en-US"/>
    </w:rPr>
  </w:style>
  <w:style w:type="paragraph" w:customStyle="1" w:styleId="Listeavsnitt1">
    <w:name w:val="Listeavsnitt1"/>
    <w:basedOn w:val="Standard"/>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Standard"/>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Standard"/>
    <w:uiPriority w:val="99"/>
    <w:rsid w:val="000D2D0B"/>
    <w:pPr>
      <w:ind w:left="720"/>
      <w:contextualSpacing/>
    </w:pPr>
    <w:rPr>
      <w:rFonts w:ascii="Cambria" w:hAnsi="Cambria"/>
      <w:sz w:val="24"/>
      <w:lang w:val="en-US" w:eastAsia="en-US"/>
    </w:rPr>
  </w:style>
  <w:style w:type="paragraph" w:customStyle="1" w:styleId="ListParagraph2">
    <w:name w:val="List Paragraph2"/>
    <w:basedOn w:val="Standard"/>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berschrift1"/>
    <w:next w:val="Standard"/>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Standard"/>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Standard"/>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Standar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Standard"/>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Standard"/>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Standard"/>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el">
    <w:name w:val="Title"/>
    <w:basedOn w:val="Standard"/>
    <w:next w:val="Standard"/>
    <w:link w:val="TitelZchn"/>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elZchn">
    <w:name w:val="Titel Zch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Standard"/>
    <w:rsid w:val="000D2D0B"/>
    <w:pPr>
      <w:spacing w:before="320" w:line="260" w:lineRule="exact"/>
      <w:jc w:val="both"/>
    </w:pPr>
    <w:rPr>
      <w:rFonts w:ascii="Myriad Pro Light" w:hAnsi="Myriad Pro Light"/>
      <w:b/>
      <w:sz w:val="21"/>
      <w:szCs w:val="20"/>
      <w:lang w:val="es-ES" w:eastAsia="es-ES"/>
    </w:rPr>
  </w:style>
  <w:style w:type="character" w:customStyle="1" w:styleId="berarbeitungZchn">
    <w:name w:val="Überarbeitung Zchn"/>
    <w:link w:val="berarbeitung"/>
    <w:uiPriority w:val="99"/>
    <w:semiHidden/>
    <w:locked/>
    <w:rsid w:val="000D2D0B"/>
    <w:rPr>
      <w:rFonts w:ascii="Georgia" w:hAnsi="Georgia"/>
      <w:sz w:val="22"/>
      <w:szCs w:val="24"/>
      <w:lang w:eastAsia="de-DE"/>
    </w:rPr>
  </w:style>
  <w:style w:type="table" w:customStyle="1" w:styleId="TableGrid2">
    <w:name w:val="Table Grid2"/>
    <w:basedOn w:val="NormaleTabelle"/>
    <w:next w:val="Tabellenraster"/>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aliases w:val="Question"/>
    <w:uiPriority w:val="19"/>
    <w:qFormat/>
    <w:rsid w:val="003A6E9A"/>
    <w:rPr>
      <w:b/>
      <w:i w:val="0"/>
      <w:iCs/>
      <w:sz w:val="20"/>
    </w:rPr>
  </w:style>
  <w:style w:type="paragraph" w:customStyle="1" w:styleId="NEW-Paragraph-Level1">
    <w:name w:val="NEW-Paragraph-Level1"/>
    <w:basedOn w:val="Standard"/>
    <w:rsid w:val="003A6E9A"/>
    <w:pPr>
      <w:tabs>
        <w:tab w:val="num" w:pos="284"/>
      </w:tabs>
      <w:spacing w:after="250" w:line="276" w:lineRule="auto"/>
      <w:ind w:left="284" w:hanging="284"/>
      <w:jc w:val="both"/>
    </w:pPr>
    <w:rPr>
      <w:szCs w:val="20"/>
    </w:rPr>
  </w:style>
  <w:style w:type="paragraph" w:customStyle="1" w:styleId="NEW-Paragraph-level2">
    <w:name w:val="NEW-Paragraph-level2"/>
    <w:basedOn w:val="Standard"/>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Standard"/>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Standard"/>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Standard"/>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Standard"/>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Standard"/>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Standard"/>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Standard"/>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Standard"/>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Standard"/>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Standard"/>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Absatz-Standardschriftar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iveHervorhebung">
    <w:name w:val="Intense Emphasis"/>
    <w:basedOn w:val="Absatz-Standardschriftart"/>
    <w:uiPriority w:val="21"/>
    <w:qFormat/>
    <w:rsid w:val="00D34282"/>
    <w:rPr>
      <w:b/>
      <w:bCs/>
      <w:i/>
      <w:iCs/>
    </w:rPr>
  </w:style>
  <w:style w:type="character" w:customStyle="1" w:styleId="CPTitle1Char">
    <w:name w:val="CP_Title1 Char"/>
    <w:basedOn w:val="Absatz-Standardschriftart"/>
    <w:link w:val="CPTitle1"/>
    <w:locked/>
    <w:rsid w:val="00D34282"/>
    <w:rPr>
      <w:rFonts w:asciiTheme="majorHAnsi" w:eastAsiaTheme="majorEastAsia" w:hAnsiTheme="majorHAnsi" w:cstheme="majorHAnsi"/>
      <w:b/>
      <w:sz w:val="32"/>
      <w:szCs w:val="32"/>
    </w:rPr>
  </w:style>
  <w:style w:type="paragraph" w:customStyle="1" w:styleId="CPTitle1">
    <w:name w:val="CP_Title1"/>
    <w:basedOn w:val="berschrift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berschrift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Standard"/>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Standard"/>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Standard"/>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Standard"/>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Standard"/>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Standard"/>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77663798">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83402579">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Date xmlns="04e156a7-4389-4348-bdc5-772e1b15193f" xsi:nil="true"/>
    <c8637115ca234e04bb3384934748beb0 xmlns="04e156a7-4389-4348-bdc5-772e1b15193f">
      <Terms xmlns="http://schemas.microsoft.com/office/infopath/2007/PartnerControls">
        <TermInfo xmlns="http://schemas.microsoft.com/office/infopath/2007/PartnerControls">
          <TermName xmlns="http://schemas.microsoft.com/office/infopath/2007/PartnerControls">Communications</TermName>
          <TermId xmlns="http://schemas.microsoft.com/office/infopath/2007/PartnerControls">7759f44a-d057-4de2-8be6-5ed35b270d6d</TermId>
        </TermInfo>
      </Terms>
    </c8637115ca234e04bb3384934748beb0>
    <gda4d86408c5493e8985022410f7cd57 xmlns="04e156a7-4389-4348-bdc5-772e1b15193f">
      <Terms xmlns="http://schemas.microsoft.com/office/infopath/2007/PartnerControls"/>
    </gda4d86408c5493e8985022410f7cd57>
    <Year xmlns="04e156a7-4389-4348-bdc5-772e1b15193f">2016</Year>
    <i5bb2eea380a44bda7ee278cd0cc8b9c xmlns="04e156a7-4389-4348-bdc5-772e1b15193f">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i5bb2eea380a44bda7ee278cd0cc8b9c>
    <ecffb14172554a4ba7481deb4c063ead xmlns="04e156a7-4389-4348-bdc5-772e1b15193f">
      <Terms xmlns="http://schemas.microsoft.com/office/infopath/2007/PartnerControls">
        <TermInfo xmlns="http://schemas.microsoft.com/office/infopath/2007/PartnerControls">
          <TermName xmlns="http://schemas.microsoft.com/office/infopath/2007/PartnerControls">Publications</TermName>
          <TermId xmlns="http://schemas.microsoft.com/office/infopath/2007/PartnerControls">e7965682-b06b-4956-a8ca-d94498dfae3d</TermId>
        </TermInfo>
      </Terms>
    </ecffb14172554a4ba7481deb4c063ead>
    <j05422ce24ce4e4ab320b03641ea4418 xmlns="04e156a7-4389-4348-bdc5-772e1b15193f">
      <Terms xmlns="http://schemas.microsoft.com/office/infopath/2007/PartnerControls">
        <TermInfo xmlns="http://schemas.microsoft.com/office/infopath/2007/PartnerControls">
          <TermName xmlns="http://schemas.microsoft.com/office/infopath/2007/PartnerControls">Form / Request</TermName>
          <TermId xmlns="http://schemas.microsoft.com/office/infopath/2007/PartnerControls">efe27f23-61a2-47e7-916e-544dd02c80f4</TermId>
        </TermInfo>
      </Terms>
    </j05422ce24ce4e4ab320b03641ea4418>
    <TaxCatchAll xmlns="04e156a7-4389-4348-bdc5-772e1b15193f">
      <Value>76</Value>
      <Value>2</Value>
      <Value>1</Value>
      <Value>85</Value>
    </TaxCatchAll>
    <_dlc_DocId xmlns="04e156a7-4389-4348-bdc5-772e1b15193f">ESMA71-1154262120-143</_dlc_DocId>
    <_dlc_DocIdUrl xmlns="04e156a7-4389-4348-bdc5-772e1b15193f">
      <Url>http://sherpa.esma.europa.eu/sites/COM/_layouts/15/DocIdRedir.aspx?ID=ESMA71-1154262120-143</Url>
      <Description>ESMA71-1154262120-143</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Website Document" ma:contentTypeID="0x010100AE6B8B4649F0FA42BC4F4897A77999EC010300188820D3D298344EB8B4A088C96902B2" ma:contentTypeVersion="20" ma:contentTypeDescription="" ma:contentTypeScope="" ma:versionID="3d18ff5c61fdf076612af0601d73877d">
  <xsd:schema xmlns:xsd="http://www.w3.org/2001/XMLSchema" xmlns:xs="http://www.w3.org/2001/XMLSchema" xmlns:p="http://schemas.microsoft.com/office/2006/metadata/properties" xmlns:ns2="04e156a7-4389-4348-bdc5-772e1b15193f" targetNamespace="http://schemas.microsoft.com/office/2006/metadata/properties" ma:root="true" ma:fieldsID="84e9c40e3a454abbc6e6f60aa86b77e0" ns2:_="">
    <xsd:import namespace="04e156a7-4389-4348-bdc5-772e1b15193f"/>
    <xsd:element name="properties">
      <xsd:complexType>
        <xsd:sequence>
          <xsd:element name="documentManagement">
            <xsd:complexType>
              <xsd:all>
                <xsd:element ref="ns2:Year"/>
                <xsd:element ref="ns2:MeetingDate" minOccurs="0"/>
                <xsd:element ref="ns2:_dlc_DocIdUrl" minOccurs="0"/>
                <xsd:element ref="ns2:_dlc_DocIdPersistId" minOccurs="0"/>
                <xsd:element ref="ns2:j05422ce24ce4e4ab320b03641ea4418" minOccurs="0"/>
                <xsd:element ref="ns2:TaxCatchAll" minOccurs="0"/>
                <xsd:element ref="ns2:TaxCatchAllLabel" minOccurs="0"/>
                <xsd:element ref="ns2:i5bb2eea380a44bda7ee278cd0cc8b9c" minOccurs="0"/>
                <xsd:element ref="ns2:gda4d86408c5493e8985022410f7cd57" minOccurs="0"/>
                <xsd:element ref="ns2:_dlc_DocId" minOccurs="0"/>
                <xsd:element ref="ns2:ecffb14172554a4ba7481deb4c063ead" minOccurs="0"/>
                <xsd:element ref="ns2:c8637115ca234e04bb3384934748beb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156a7-4389-4348-bdc5-772e1b15193f" elementFormDefault="qualified">
    <xsd:import namespace="http://schemas.microsoft.com/office/2006/documentManagement/types"/>
    <xsd:import namespace="http://schemas.microsoft.com/office/infopath/2007/PartnerControls"/>
    <xsd:element name="Year" ma:index="4" ma:displayName="Year" ma:default="2016" ma:description="" ma:internalName="Year" ma:readOnly="false">
      <xsd:simpleType>
        <xsd:restriction base="dms:Text">
          <xsd:maxLength value="4"/>
        </xsd:restriction>
      </xsd:simpleType>
    </xsd:element>
    <xsd:element name="MeetingDate" ma:index="6" nillable="true" ma:displayName="Meeting Date" ma:description="" ma:format="DateOnly" ma:internalName="MeetingDate" ma:readOnly="false">
      <xsd:simpleType>
        <xsd:restriction base="dms:DateTime"/>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element name="j05422ce24ce4e4ab320b03641ea4418" ma:index="9" ma:taxonomy="true" ma:internalName="j05422ce24ce4e4ab320b03641ea4418" ma:taxonomyFieldName="DocumentType" ma:displayName="Document Type" ma:readOnly="false" ma:default="" ma:fieldId="{305422ce-24ce-4e4a-b320-b03641ea4418}"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be634e61-1f3b-42f6-a906-c1c71afec3e4}" ma:internalName="TaxCatchAll" ma:showField="CatchAllData"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be634e61-1f3b-42f6-a906-c1c71afec3e4}" ma:internalName="TaxCatchAllLabel" ma:readOnly="true" ma:showField="CatchAllDataLabel" ma:web="04e156a7-4389-4348-bdc5-772e1b15193f">
      <xsd:complexType>
        <xsd:complexContent>
          <xsd:extension base="dms:MultiChoiceLookup">
            <xsd:sequence>
              <xsd:element name="Value" type="dms:Lookup" maxOccurs="unbounded" minOccurs="0" nillable="true"/>
            </xsd:sequence>
          </xsd:extension>
        </xsd:complexContent>
      </xsd:complexType>
    </xsd:element>
    <xsd:element name="i5bb2eea380a44bda7ee278cd0cc8b9c" ma:index="13" ma:taxonomy="true" ma:internalName="i5bb2eea380a44bda7ee278cd0cc8b9c" ma:taxonomyFieldName="ConfidentialityLevel" ma:displayName="Confidentiality Level" ma:default="2;#Regular|07f1e362-856b-423d-bea6-a14079762141" ma:fieldId="{25bb2eea-380a-44bd-a7ee-278cd0cc8b9c}"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gda4d86408c5493e8985022410f7cd57" ma:index="16" nillable="true" ma:taxonomy="true" ma:internalName="gda4d86408c5493e8985022410f7cd57" ma:taxonomyFieldName="EsmaAudience" ma:displayName="Audience" ma:readOnly="false" ma:default="" ma:fieldId="{0da4d864-08c5-493e-8985-022410f7cd57}" ma:sspId="0ac1876e-32bf-4158-94e7-cdbcd053a335" ma:termSetId="b571f04a-7c01-4ca7-82ee-9fa9ce367c37"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ecffb14172554a4ba7481deb4c063ead" ma:index="20" nillable="true" ma:taxonomy="true" ma:internalName="ecffb14172554a4ba7481deb4c063ead" ma:taxonomyFieldName="Topic" ma:displayName="Topic" ma:readOnly="false" ma:default="" ma:fieldId="{ecffb141-7255-4a4b-a748-1deb4c063ead}" ma:sspId="0ac1876e-32bf-4158-94e7-cdbcd053a335" ma:termSetId="6abdd5a6-9549-415c-8347-3fdbcce9001d" ma:anchorId="00000000-0000-0000-0000-000000000000" ma:open="true" ma:isKeyword="false">
      <xsd:complexType>
        <xsd:sequence>
          <xsd:element ref="pc:Terms" minOccurs="0" maxOccurs="1"/>
        </xsd:sequence>
      </xsd:complexType>
    </xsd:element>
    <xsd:element name="c8637115ca234e04bb3384934748beb0" ma:index="23" ma:taxonomy="true" ma:internalName="c8637115ca234e04bb3384934748beb0" ma:taxonomyFieldName="TeamName" ma:displayName="Team Name" ma:readOnly="false" ma:default="1;#Communications|7759f44a-d057-4de2-8be6-5ed35b270d6d" ma:fieldId="{c8637115-ca23-4e04-bb33-84934748beb0}"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6BF86-3724-44E7-9F6D-9B5016056B8E}">
  <ds:schemaRefs>
    <ds:schemaRef ds:uri="http://schemas.microsoft.com/sharepoint/events"/>
  </ds:schemaRefs>
</ds:datastoreItem>
</file>

<file path=customXml/itemProps2.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3.xml><?xml version="1.0" encoding="utf-8"?>
<ds:datastoreItem xmlns:ds="http://schemas.openxmlformats.org/officeDocument/2006/customXml" ds:itemID="{3F37C169-B082-42D7-95A8-39DCDC7C43D3}">
  <ds:schemaRefs>
    <ds:schemaRef ds:uri="http://purl.org/dc/elements/1.1/"/>
    <ds:schemaRef ds:uri="http://purl.org/dc/terms/"/>
    <ds:schemaRef ds:uri="http://purl.org/dc/dcmitype/"/>
    <ds:schemaRef ds:uri="http://schemas.microsoft.com/office/2006/metadata/properties"/>
    <ds:schemaRef ds:uri="http://schemas.microsoft.com/office/2006/documentManagement/types"/>
    <ds:schemaRef ds:uri="http://www.w3.org/XML/1998/namespace"/>
    <ds:schemaRef ds:uri="04e156a7-4389-4348-bdc5-772e1b15193f"/>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F1A5CBCA-5C46-421F-82AE-43D33A5EF3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156a7-4389-4348-bdc5-772e1b1519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FF2462E-604D-4679-AF5C-432077A5DBC5}">
  <ds:schemaRefs>
    <ds:schemaRef ds:uri="http://schemas.openxmlformats.org/officeDocument/2006/bibliography"/>
  </ds:schemaRefs>
</ds:datastoreItem>
</file>

<file path=customXml/itemProps6.xml><?xml version="1.0" encoding="utf-8"?>
<ds:datastoreItem xmlns:ds="http://schemas.openxmlformats.org/officeDocument/2006/customXml" ds:itemID="{4B58917F-8E46-4384-9865-E8F791D4F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3620</Words>
  <Characters>20432</Characters>
  <Application>Microsoft Office Word</Application>
  <DocSecurity>0</DocSecurity>
  <Lines>170</Lines>
  <Paragraphs>48</Paragraphs>
  <ScaleCrop>false</ScaleCrop>
  <HeadingPairs>
    <vt:vector size="10" baseType="variant">
      <vt:variant>
        <vt:lpstr>Titel</vt:lpstr>
      </vt:variant>
      <vt:variant>
        <vt:i4>1</vt:i4>
      </vt: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24004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Sarah Schröder</dc:creator>
  <cp:lastModifiedBy>Wirnhier, Oliver</cp:lastModifiedBy>
  <cp:revision>5</cp:revision>
  <cp:lastPrinted>2015-02-18T11:01:00Z</cp:lastPrinted>
  <dcterms:created xsi:type="dcterms:W3CDTF">2016-11-18T11:08:00Z</dcterms:created>
  <dcterms:modified xsi:type="dcterms:W3CDTF">2016-11-18T11:51:00Z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0x010100AE6B8B4649F0FA42BC4F4897A77999EC010300188820D3D298344EB8B4A088C96902B2</vt:lpwstr>
  </property>
  <property fmtid="{D5CDD505-2E9C-101B-9397-08002B2CF9AE}" pid="3" name="_dlc_DocIdItemGuid">
    <vt:lpwstr>c461fb49-589e-4220-88a8-7ddc3aa23684</vt:lpwstr>
  </property>
  <property fmtid="{D5CDD505-2E9C-101B-9397-08002B2CF9AE}" pid="4" name="EsmaAudience">
    <vt:lpwstr/>
  </property>
  <property fmtid="{D5CDD505-2E9C-101B-9397-08002B2CF9AE}" pid="5" name="TeamName">
    <vt:lpwstr>1;#Communications|7759f44a-d057-4de2-8be6-5ed35b270d6d</vt:lpwstr>
  </property>
  <property fmtid="{D5CDD505-2E9C-101B-9397-08002B2CF9AE}" pid="6" name="Topic">
    <vt:lpwstr>76;#Publications|e7965682-b06b-4956-a8ca-d94498dfae3d</vt:lpwstr>
  </property>
  <property fmtid="{D5CDD505-2E9C-101B-9397-08002B2CF9AE}" pid="7" name="ConfidentialityLevel">
    <vt:lpwstr>2;#Regular|07f1e362-856b-423d-bea6-a14079762141</vt:lpwstr>
  </property>
  <property fmtid="{D5CDD505-2E9C-101B-9397-08002B2CF9AE}" pid="8" name="DocumentType">
    <vt:lpwstr>85;#Form / Request|efe27f23-61a2-47e7-916e-544dd02c80f4</vt:lpwstr>
  </property>
</Properties>
</file>