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9193641" w14:textId="77777777" w:rsidTr="00315E96">
        <w:trPr>
          <w:trHeight w:val="284"/>
        </w:trPr>
        <w:tc>
          <w:tcPr>
            <w:tcW w:w="9412" w:type="dxa"/>
          </w:tcPr>
          <w:p w14:paraId="6AD692A8" w14:textId="77777777" w:rsidR="00A52EBB" w:rsidRPr="00A52EBB" w:rsidRDefault="00A52EBB" w:rsidP="00A52EBB">
            <w:pPr>
              <w:pStyle w:val="Footer"/>
              <w:rPr>
                <w:rFonts w:cs="Arial"/>
                <w:sz w:val="22"/>
                <w:szCs w:val="22"/>
              </w:rPr>
            </w:pPr>
            <w:r w:rsidRPr="00A52EBB">
              <w:rPr>
                <w:rFonts w:cs="Arial"/>
                <w:color w:val="FFFFFF" w:themeColor="background1"/>
                <w:sz w:val="22"/>
                <w:szCs w:val="22"/>
              </w:rPr>
              <w:ptab w:relativeTo="margin" w:alignment="center" w:leader="none"/>
            </w:r>
            <w:r w:rsidRPr="00A52EBB">
              <w:rPr>
                <w:rFonts w:cs="Arial"/>
                <w:color w:val="FFFFFF" w:themeColor="background1"/>
                <w:sz w:val="22"/>
                <w:szCs w:val="22"/>
              </w:rPr>
              <w:ptab w:relativeTo="margin" w:alignment="right" w:leader="none"/>
            </w:r>
            <w:r w:rsidRPr="00A52EBB">
              <w:rPr>
                <w:rFonts w:cs="Arial"/>
                <w:color w:val="FFFFFF" w:themeColor="background1"/>
                <w:sz w:val="22"/>
                <w:szCs w:val="22"/>
              </w:rPr>
              <w:t>20 September 2016 | ESMA/2016/1389</w:t>
            </w:r>
          </w:p>
          <w:p w14:paraId="44C51DE8" w14:textId="77777777" w:rsidR="00C2094B" w:rsidRPr="00A52EBB" w:rsidRDefault="00C2094B" w:rsidP="00C81798">
            <w:pPr>
              <w:pStyle w:val="00bDBInfo"/>
              <w:rPr>
                <w:rFonts w:cs="Arial"/>
                <w:color w:val="auto"/>
                <w:sz w:val="22"/>
                <w:szCs w:val="22"/>
              </w:rPr>
            </w:pPr>
          </w:p>
        </w:tc>
      </w:tr>
    </w:tbl>
    <w:p w14:paraId="374347D0"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12E4A88C" w14:textId="77777777" w:rsidTr="00B835D5">
        <w:trPr>
          <w:trHeight w:hRule="exact" w:val="1209"/>
        </w:trPr>
        <w:tc>
          <w:tcPr>
            <w:tcW w:w="9397" w:type="dxa"/>
            <w:vAlign w:val="bottom"/>
          </w:tcPr>
          <w:p w14:paraId="2B26B521" w14:textId="77777777"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AB4824">
              <w:rPr>
                <w:rFonts w:cs="Arial"/>
              </w:rPr>
              <w:t>Discussion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w:t>
            </w:r>
            <w:r w:rsidR="00D06937">
              <w:rPr>
                <w:rFonts w:cs="Arial"/>
              </w:rPr>
              <w:t>d</w:t>
            </w:r>
            <w:r w:rsidR="00D06937">
              <w:rPr>
                <w:rFonts w:cs="Arial"/>
              </w:rPr>
              <w:t>ing o</w:t>
            </w:r>
            <w:r w:rsidR="00AB4824" w:rsidRPr="00AB4824">
              <w:rPr>
                <w:rFonts w:cs="Arial"/>
              </w:rPr>
              <w:t xml:space="preserve">bligation </w:t>
            </w:r>
            <w:r w:rsidR="00D06937">
              <w:rPr>
                <w:rFonts w:cs="Arial"/>
              </w:rPr>
              <w:t xml:space="preserve">for derivatives </w:t>
            </w:r>
            <w:r w:rsidR="00AB4824" w:rsidRPr="00AB4824">
              <w:rPr>
                <w:rFonts w:cs="Arial"/>
              </w:rPr>
              <w:t xml:space="preserve">under </w:t>
            </w:r>
            <w:proofErr w:type="spellStart"/>
            <w:r w:rsidR="00AB4824" w:rsidRPr="00AB4824">
              <w:rPr>
                <w:rFonts w:cs="Arial"/>
              </w:rPr>
              <w:t>MiFIR</w:t>
            </w:r>
            <w:proofErr w:type="spellEnd"/>
          </w:p>
          <w:p w14:paraId="06FF802B" w14:textId="77777777" w:rsidR="00791EB4" w:rsidRPr="00616B9B" w:rsidRDefault="00791EB4" w:rsidP="00C000A5">
            <w:pPr>
              <w:pStyle w:val="01aDBTitle"/>
              <w:rPr>
                <w:rFonts w:cs="Arial"/>
              </w:rPr>
            </w:pPr>
          </w:p>
        </w:tc>
      </w:tr>
      <w:tr w:rsidR="00060F72" w:rsidRPr="00616B9B" w14:paraId="748BA978" w14:textId="77777777" w:rsidTr="00B835D5">
        <w:trPr>
          <w:trHeight w:hRule="exact" w:val="605"/>
        </w:trPr>
        <w:tc>
          <w:tcPr>
            <w:tcW w:w="9397" w:type="dxa"/>
            <w:tcMar>
              <w:top w:w="142" w:type="dxa"/>
            </w:tcMar>
          </w:tcPr>
          <w:p w14:paraId="6922BBCD"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2CF1666B"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56AAEE96" w14:textId="77777777" w:rsidTr="00315E96">
        <w:trPr>
          <w:trHeight w:hRule="exact" w:val="964"/>
        </w:trPr>
        <w:tc>
          <w:tcPr>
            <w:tcW w:w="2325" w:type="dxa"/>
          </w:tcPr>
          <w:p w14:paraId="43F2DA3B" w14:textId="77777777" w:rsidR="00620D7C" w:rsidRPr="00A52EBB" w:rsidRDefault="00620D7C" w:rsidP="00C81798">
            <w:pPr>
              <w:pStyle w:val="02Date"/>
              <w:rPr>
                <w:rFonts w:cs="Arial"/>
              </w:rPr>
            </w:pPr>
            <w:r w:rsidRPr="00A52EBB">
              <w:rPr>
                <w:rFonts w:cs="Arial"/>
              </w:rPr>
              <w:lastRenderedPageBreak/>
              <w:t xml:space="preserve">Date: </w:t>
            </w:r>
            <w:r w:rsidR="00416ABC" w:rsidRPr="00A52EBB">
              <w:rPr>
                <w:rFonts w:cs="Arial"/>
              </w:rPr>
              <w:t>20</w:t>
            </w:r>
            <w:r w:rsidR="004E49B0" w:rsidRPr="00A52EBB">
              <w:rPr>
                <w:rFonts w:cs="Arial"/>
              </w:rPr>
              <w:t xml:space="preserve"> </w:t>
            </w:r>
            <w:r w:rsidR="00416ABC" w:rsidRPr="00A52EBB">
              <w:rPr>
                <w:rFonts w:cs="Arial"/>
              </w:rPr>
              <w:t>September</w:t>
            </w:r>
            <w:r w:rsidR="004E49B0" w:rsidRPr="00A52EBB">
              <w:rPr>
                <w:rFonts w:cs="Arial"/>
              </w:rPr>
              <w:t xml:space="preserve"> 201</w:t>
            </w:r>
            <w:r w:rsidR="00416ABC" w:rsidRPr="00A52EBB">
              <w:rPr>
                <w:rFonts w:cs="Arial"/>
              </w:rPr>
              <w:t>6</w:t>
            </w:r>
          </w:p>
        </w:tc>
      </w:tr>
    </w:tbl>
    <w:p w14:paraId="768FD292"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68E2254"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 xml:space="preserve">under </w:t>
      </w:r>
      <w:proofErr w:type="spellStart"/>
      <w:r w:rsidR="002E76FC">
        <w:rPr>
          <w:rFonts w:cs="Arial"/>
        </w:rPr>
        <w:t>MiFIR</w:t>
      </w:r>
      <w:proofErr w:type="spellEnd"/>
      <w:r w:rsidR="00015B5E" w:rsidRPr="00EF0769">
        <w:rPr>
          <w:rFonts w:cs="Arial"/>
        </w:rPr>
        <w:t>, published on the ESMA website</w:t>
      </w:r>
      <w:r w:rsidR="004E49B0" w:rsidRPr="00EF0769">
        <w:rPr>
          <w:rFonts w:cs="Arial"/>
        </w:rPr>
        <w:t>.</w:t>
      </w:r>
    </w:p>
    <w:p w14:paraId="15C7AA97" w14:textId="77777777" w:rsidR="001D000A" w:rsidRDefault="001D000A" w:rsidP="00F574D0">
      <w:pPr>
        <w:autoSpaceDE w:val="0"/>
        <w:autoSpaceDN w:val="0"/>
        <w:adjustRightInd w:val="0"/>
        <w:spacing w:before="120" w:after="120" w:line="276" w:lineRule="auto"/>
        <w:jc w:val="both"/>
        <w:rPr>
          <w:rStyle w:val="Strong4"/>
          <w:rFonts w:cs="Arial"/>
          <w:i/>
        </w:rPr>
      </w:pPr>
    </w:p>
    <w:p w14:paraId="27E80D91"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C5D3BAF"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w:t>
      </w:r>
      <w:proofErr w:type="gramStart"/>
      <w:r w:rsidR="00332304">
        <w:rPr>
          <w:rFonts w:cs="Arial"/>
        </w:rPr>
        <w:t>responses which</w:t>
      </w:r>
      <w:proofErr w:type="gramEnd"/>
      <w:r w:rsidR="00332304">
        <w:rPr>
          <w:rFonts w:cs="Arial"/>
        </w:rPr>
        <w:t xml:space="preserve"> follow the instructions described </w:t>
      </w:r>
      <w:r w:rsidRPr="00EF0769">
        <w:rPr>
          <w:rFonts w:cs="Arial"/>
        </w:rPr>
        <w:t>below</w:t>
      </w:r>
      <w:r w:rsidR="00F574D0" w:rsidRPr="00EF0769">
        <w:rPr>
          <w:rFonts w:cs="Arial"/>
        </w:rPr>
        <w:t>:</w:t>
      </w:r>
    </w:p>
    <w:p w14:paraId="6FC77167" w14:textId="77777777" w:rsidR="00F574D0" w:rsidRPr="00EF0769" w:rsidRDefault="00F574D0" w:rsidP="00573871">
      <w:pPr>
        <w:pStyle w:val="04bList"/>
        <w:numPr>
          <w:ilvl w:val="0"/>
          <w:numId w:val="32"/>
        </w:numPr>
        <w:spacing w:before="120" w:after="120"/>
        <w:rPr>
          <w:rFonts w:cs="Arial"/>
        </w:rPr>
      </w:pPr>
      <w:proofErr w:type="gramStart"/>
      <w:r w:rsidRPr="00EF0769">
        <w:rPr>
          <w:rFonts w:cs="Arial"/>
        </w:rPr>
        <w:t>use</w:t>
      </w:r>
      <w:proofErr w:type="gramEnd"/>
      <w:r w:rsidRPr="00EF0769">
        <w:rPr>
          <w:rFonts w:cs="Arial"/>
        </w:rPr>
        <w:t xml:space="preserv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w:t>
      </w:r>
      <w:proofErr w:type="spellStart"/>
      <w:r w:rsidR="00955F48" w:rsidRPr="00EF0769">
        <w:rPr>
          <w:rFonts w:cs="Arial"/>
        </w:rPr>
        <w:t>pdf</w:t>
      </w:r>
      <w:proofErr w:type="spellEnd"/>
      <w:r w:rsidR="00955F48" w:rsidRPr="00EF0769">
        <w:rPr>
          <w:rFonts w:cs="Arial"/>
        </w:rPr>
        <w:t xml:space="preserve"> documents will not be considered e</w:t>
      </w:r>
      <w:r w:rsidR="00955F48" w:rsidRPr="00EF0769">
        <w:rPr>
          <w:rFonts w:cs="Arial"/>
        </w:rPr>
        <w:t>x</w:t>
      </w:r>
      <w:r w:rsidR="00955F48" w:rsidRPr="00EF0769">
        <w:rPr>
          <w:rFonts w:cs="Arial"/>
        </w:rPr>
        <w:t>cept for annexes);</w:t>
      </w:r>
    </w:p>
    <w:p w14:paraId="51566B89" w14:textId="77777777" w:rsidR="00F574D0" w:rsidRPr="00EF0769" w:rsidRDefault="00D75FEE" w:rsidP="00573871">
      <w:pPr>
        <w:pStyle w:val="04bList"/>
        <w:numPr>
          <w:ilvl w:val="0"/>
          <w:numId w:val="32"/>
        </w:numPr>
        <w:spacing w:before="120" w:after="120"/>
        <w:rPr>
          <w:rFonts w:cs="Arial"/>
        </w:rPr>
      </w:pPr>
      <w:proofErr w:type="gramStart"/>
      <w:r w:rsidRPr="00EF0769">
        <w:rPr>
          <w:rFonts w:cs="Arial"/>
        </w:rPr>
        <w:t>do</w:t>
      </w:r>
      <w:proofErr w:type="gramEnd"/>
      <w:r w:rsidRPr="00EF0769">
        <w:rPr>
          <w:rFonts w:cs="Arial"/>
        </w:rPr>
        <w:t xml:space="preserve">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14:paraId="7B684EFE" w14:textId="77777777"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6BAB598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2795DE84" w14:textId="77777777" w:rsidR="00F574D0" w:rsidRPr="00EF0769" w:rsidRDefault="00F574D0" w:rsidP="00573871">
      <w:pPr>
        <w:pStyle w:val="04bList"/>
        <w:numPr>
          <w:ilvl w:val="0"/>
          <w:numId w:val="33"/>
        </w:numPr>
        <w:spacing w:before="120" w:after="120"/>
        <w:rPr>
          <w:rFonts w:cs="Arial"/>
        </w:rPr>
      </w:pPr>
      <w:proofErr w:type="gramStart"/>
      <w:r w:rsidRPr="00EF0769">
        <w:rPr>
          <w:rFonts w:cs="Arial"/>
        </w:rPr>
        <w:t>if</w:t>
      </w:r>
      <w:proofErr w:type="gramEnd"/>
      <w:r w:rsidRPr="00EF0769">
        <w:rPr>
          <w:rFonts w:cs="Arial"/>
        </w:rPr>
        <w:t xml:space="preserve"> they respond to the question stated;</w:t>
      </w:r>
    </w:p>
    <w:p w14:paraId="3B864565" w14:textId="77777777" w:rsidR="00F574D0" w:rsidRPr="00EF0769" w:rsidRDefault="00F574D0" w:rsidP="00573871">
      <w:pPr>
        <w:pStyle w:val="04bList"/>
        <w:numPr>
          <w:ilvl w:val="0"/>
          <w:numId w:val="33"/>
        </w:numPr>
        <w:spacing w:before="120" w:after="120"/>
        <w:rPr>
          <w:rFonts w:cs="Arial"/>
        </w:rPr>
      </w:pPr>
      <w:proofErr w:type="gramStart"/>
      <w:r w:rsidRPr="00EF0769">
        <w:rPr>
          <w:rFonts w:cs="Arial"/>
        </w:rPr>
        <w:t>contain</w:t>
      </w:r>
      <w:proofErr w:type="gramEnd"/>
      <w:r w:rsidRPr="00EF0769">
        <w:rPr>
          <w:rFonts w:cs="Arial"/>
        </w:rPr>
        <w:t xml:space="preserve"> a clear rationale, including on any related costs and benefits; and</w:t>
      </w:r>
    </w:p>
    <w:p w14:paraId="29210C8F" w14:textId="77777777" w:rsidR="00A35728" w:rsidRPr="00EF0769" w:rsidRDefault="00F574D0" w:rsidP="00573871">
      <w:pPr>
        <w:pStyle w:val="04bList"/>
        <w:numPr>
          <w:ilvl w:val="0"/>
          <w:numId w:val="33"/>
        </w:numPr>
        <w:spacing w:before="120" w:after="120"/>
        <w:rPr>
          <w:rFonts w:cs="Arial"/>
        </w:rPr>
      </w:pPr>
      <w:proofErr w:type="gramStart"/>
      <w:r w:rsidRPr="00EF0769">
        <w:rPr>
          <w:rFonts w:cs="Arial"/>
        </w:rPr>
        <w:t>describe</w:t>
      </w:r>
      <w:proofErr w:type="gramEnd"/>
      <w:r w:rsidRPr="00EF0769">
        <w:rPr>
          <w:rFonts w:cs="Arial"/>
        </w:rPr>
        <w:t xml:space="preserve"> any alternatives that ESMA should consider</w:t>
      </w:r>
      <w:r w:rsidR="00E90774">
        <w:rPr>
          <w:rFonts w:cs="Arial"/>
        </w:rPr>
        <w:t>.</w:t>
      </w:r>
    </w:p>
    <w:p w14:paraId="73EB8DC2" w14:textId="77777777" w:rsidR="001D000A" w:rsidRDefault="001D000A" w:rsidP="000D17AA">
      <w:pPr>
        <w:pStyle w:val="04BodyText"/>
        <w:spacing w:before="120" w:after="120"/>
        <w:jc w:val="left"/>
        <w:rPr>
          <w:rFonts w:cs="Arial"/>
          <w:b/>
        </w:rPr>
      </w:pPr>
    </w:p>
    <w:p w14:paraId="2EAA3414" w14:textId="77777777" w:rsidR="000D17AA" w:rsidRPr="00EF0769" w:rsidRDefault="00606240" w:rsidP="000D17AA">
      <w:pPr>
        <w:pStyle w:val="04BodyText"/>
        <w:spacing w:before="120" w:after="120"/>
        <w:jc w:val="left"/>
        <w:rPr>
          <w:rFonts w:cs="Arial"/>
          <w:b/>
        </w:rPr>
      </w:pPr>
      <w:r>
        <w:rPr>
          <w:rFonts w:cs="Arial"/>
          <w:b/>
        </w:rPr>
        <w:t>Naming protocol</w:t>
      </w:r>
    </w:p>
    <w:p w14:paraId="529CAC9F"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proofErr w:type="gramStart"/>
      <w:r w:rsidRPr="00EF0769">
        <w:rPr>
          <w:rFonts w:cs="Arial"/>
        </w:rPr>
        <w:t>stakeholders</w:t>
      </w:r>
      <w:proofErr w:type="gramEnd"/>
      <w:r w:rsidRPr="00EF0769">
        <w:rPr>
          <w:rFonts w:cs="Arial"/>
        </w:rPr>
        <w:t xml:space="preserve"> responses please save your document using the follo</w:t>
      </w:r>
      <w:r w:rsidRPr="00EF0769">
        <w:rPr>
          <w:rFonts w:cs="Arial"/>
        </w:rPr>
        <w:t>w</w:t>
      </w:r>
      <w:r w:rsidRPr="00EF0769">
        <w:rPr>
          <w:rFonts w:cs="Arial"/>
        </w:rPr>
        <w:t>ing format:</w:t>
      </w:r>
    </w:p>
    <w:p w14:paraId="5F9722EE" w14:textId="77777777" w:rsidR="000D17AA" w:rsidRPr="00EF0769" w:rsidRDefault="00021E83" w:rsidP="000D17AA">
      <w:pPr>
        <w:pStyle w:val="04BodyText"/>
        <w:spacing w:before="120" w:after="120"/>
        <w:jc w:val="left"/>
        <w:rPr>
          <w:rFonts w:cs="Arial"/>
        </w:rPr>
      </w:pPr>
      <w:proofErr w:type="spellStart"/>
      <w:r w:rsidRPr="00EF0769">
        <w:rPr>
          <w:rFonts w:cs="Arial"/>
        </w:rPr>
        <w:t>ESMA_MiFID_</w:t>
      </w:r>
      <w:r w:rsidR="00AB4824">
        <w:rPr>
          <w:rFonts w:cs="Arial"/>
        </w:rPr>
        <w:t>TO</w:t>
      </w:r>
      <w:r w:rsidRPr="00EF0769">
        <w:rPr>
          <w:rFonts w:cs="Arial"/>
        </w:rPr>
        <w:t>_NAMEOFCOMPANY_NAMEOFDOCUMENT</w:t>
      </w:r>
      <w:proofErr w:type="spellEnd"/>
      <w:r w:rsidR="000D17AA" w:rsidRPr="00EF0769">
        <w:rPr>
          <w:rFonts w:cs="Arial"/>
        </w:rPr>
        <w:t>.</w:t>
      </w:r>
    </w:p>
    <w:p w14:paraId="4423F621" w14:textId="77777777" w:rsidR="00021E83" w:rsidRPr="00EF0769" w:rsidRDefault="00E90774" w:rsidP="000D17AA">
      <w:pPr>
        <w:pStyle w:val="04BodyText"/>
        <w:spacing w:before="120" w:after="120"/>
        <w:jc w:val="left"/>
        <w:rPr>
          <w:rFonts w:cs="Arial"/>
        </w:rPr>
      </w:pPr>
      <w:proofErr w:type="gramStart"/>
      <w:r>
        <w:rPr>
          <w:rFonts w:cs="Arial"/>
        </w:rPr>
        <w:t>e</w:t>
      </w:r>
      <w:proofErr w:type="gramEnd"/>
      <w:r w:rsidR="000D17AA" w:rsidRPr="00EF0769">
        <w:rPr>
          <w:rFonts w:cs="Arial"/>
        </w:rPr>
        <w:t xml:space="preserve">.g. if the respondent were ESMA, the </w:t>
      </w:r>
      <w:r w:rsidR="00021E83" w:rsidRPr="00EF0769">
        <w:rPr>
          <w:rFonts w:cs="Arial"/>
        </w:rPr>
        <w:t>name of the reply form would be:</w:t>
      </w:r>
    </w:p>
    <w:p w14:paraId="32A61885" w14:textId="77777777" w:rsidR="00021E83" w:rsidRPr="00EF0769" w:rsidRDefault="00021E83" w:rsidP="000D17AA">
      <w:pPr>
        <w:pStyle w:val="04BodyText"/>
        <w:spacing w:before="120" w:after="120"/>
        <w:jc w:val="left"/>
        <w:rPr>
          <w:rFonts w:cs="Arial"/>
        </w:rPr>
      </w:pPr>
      <w:proofErr w:type="spellStart"/>
      <w:r w:rsidRPr="00EF0769">
        <w:rPr>
          <w:rFonts w:cs="Arial"/>
        </w:rPr>
        <w:t>ESMA_MiFID</w:t>
      </w:r>
      <w:r w:rsidR="00332304">
        <w:rPr>
          <w:rFonts w:cs="Arial"/>
        </w:rPr>
        <w:t>_</w:t>
      </w:r>
      <w:r w:rsidR="00AB4824">
        <w:rPr>
          <w:rFonts w:cs="Arial"/>
        </w:rPr>
        <w:t>TO</w:t>
      </w:r>
      <w:r w:rsidR="00332304">
        <w:rPr>
          <w:rFonts w:cs="Arial"/>
        </w:rPr>
        <w:t>_</w:t>
      </w:r>
      <w:r w:rsidRPr="00EF0769">
        <w:rPr>
          <w:rFonts w:cs="Arial"/>
        </w:rPr>
        <w:t>ESMA_REPLYFORM</w:t>
      </w:r>
      <w:proofErr w:type="spellEnd"/>
      <w:r w:rsidRPr="00EF0769">
        <w:rPr>
          <w:rFonts w:cs="Arial"/>
        </w:rPr>
        <w:t xml:space="preserve"> or </w:t>
      </w:r>
    </w:p>
    <w:p w14:paraId="29077990" w14:textId="77777777"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14:paraId="1ECF5B96"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3F94DE8"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E2E6A89"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416ABC">
        <w:rPr>
          <w:rFonts w:cs="Arial"/>
          <w:b/>
        </w:rPr>
        <w:t>21 November 2016</w:t>
      </w:r>
      <w:r w:rsidR="00021E83" w:rsidRPr="00EF0769">
        <w:rPr>
          <w:rFonts w:cs="Arial"/>
          <w:b/>
        </w:rPr>
        <w:t>.</w:t>
      </w:r>
    </w:p>
    <w:p w14:paraId="35B9FEE2"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3B73FA45"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B54FE8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6B69774"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5DD1F6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5F095E5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5763AB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23B6DD37"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95147F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E41D4E5" w14:textId="77777777" w:rsidR="00332304" w:rsidRDefault="00332304">
      <w:pPr>
        <w:rPr>
          <w:rFonts w:cs="Arial"/>
          <w:b/>
          <w:bCs/>
          <w:kern w:val="32"/>
          <w:sz w:val="24"/>
          <w:szCs w:val="32"/>
        </w:rPr>
      </w:pPr>
      <w:r>
        <w:br w:type="page"/>
      </w:r>
    </w:p>
    <w:p w14:paraId="3E91480F" w14:textId="77777777" w:rsidR="00D34282" w:rsidRDefault="00D34282" w:rsidP="00D34282">
      <w:pPr>
        <w:pStyle w:val="Heading1"/>
        <w:numPr>
          <w:ilvl w:val="0"/>
          <w:numId w:val="0"/>
        </w:numPr>
        <w:ind w:left="431" w:hanging="431"/>
      </w:pPr>
      <w:r>
        <w:lastRenderedPageBreak/>
        <w:t>Introduction</w:t>
      </w:r>
    </w:p>
    <w:p w14:paraId="66862C75" w14:textId="77777777" w:rsidR="00D34282" w:rsidRPr="001D47A5" w:rsidRDefault="00D34282" w:rsidP="00D34282">
      <w:pPr>
        <w:rPr>
          <w:rStyle w:val="IntenseEmphasis"/>
        </w:rPr>
      </w:pPr>
      <w:r w:rsidRPr="001D47A5">
        <w:rPr>
          <w:rStyle w:val="IntenseEmphasis"/>
        </w:rPr>
        <w:t>Please make your introductory comments below, if any:</w:t>
      </w:r>
    </w:p>
    <w:p w14:paraId="44646982" w14:textId="77777777"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14:paraId="5B30745F" w14:textId="77777777" w:rsidR="0050041B" w:rsidRDefault="0050041B" w:rsidP="00D34282"/>
    <w:p w14:paraId="6CED39AD" w14:textId="3B29143C" w:rsidR="0050041B" w:rsidRDefault="0050041B" w:rsidP="0050041B">
      <w:pPr>
        <w:pStyle w:val="ListParagraph"/>
        <w:widowControl w:val="0"/>
        <w:numPr>
          <w:ilvl w:val="0"/>
          <w:numId w:val="37"/>
        </w:numPr>
        <w:autoSpaceDE w:val="0"/>
        <w:autoSpaceDN w:val="0"/>
        <w:adjustRightInd w:val="0"/>
        <w:spacing w:line="276" w:lineRule="auto"/>
        <w:rPr>
          <w:rFonts w:asciiTheme="majorHAnsi" w:hAnsiTheme="majorHAnsi" w:cs="Arial"/>
          <w:color w:val="1A1A1A"/>
          <w:lang w:val="en-US"/>
        </w:rPr>
      </w:pPr>
      <w:r w:rsidRPr="00141AB0">
        <w:rPr>
          <w:rFonts w:asciiTheme="majorHAnsi" w:hAnsiTheme="majorHAnsi" w:cs="Arial"/>
          <w:color w:val="1A1A1A"/>
          <w:lang w:val="en-US"/>
        </w:rPr>
        <w:t xml:space="preserve">Clarus Financial Technology </w:t>
      </w:r>
      <w:r w:rsidRPr="00141AB0">
        <w:rPr>
          <w:rFonts w:asciiTheme="majorHAnsi" w:hAnsiTheme="majorHAnsi" w:cs="Arial"/>
          <w:lang w:val="en-US"/>
        </w:rPr>
        <w:t>welcomes the opportunity to comment on this discussion paper.  Clarus</w:t>
      </w:r>
      <w:r w:rsidRPr="00141AB0">
        <w:rPr>
          <w:rFonts w:asciiTheme="majorHAnsi" w:hAnsiTheme="majorHAnsi" w:cs="Arial"/>
          <w:color w:val="FF0000"/>
          <w:lang w:val="en-US"/>
        </w:rPr>
        <w:t xml:space="preserve"> </w:t>
      </w:r>
      <w:r w:rsidRPr="00141AB0">
        <w:rPr>
          <w:rFonts w:asciiTheme="majorHAnsi" w:hAnsiTheme="majorHAnsi" w:cs="Arial"/>
          <w:color w:val="1A1A1A"/>
          <w:lang w:val="en-US"/>
        </w:rPr>
        <w:t>provides research, data and analytics for the Swap markets.  Our Data products provide transparency on OTC Derivatives trading by collecting and normalizing data from Trade Repositories, Clearing Houses and Swap Execution Facilities.</w:t>
      </w:r>
      <w:r w:rsidR="00931D52">
        <w:rPr>
          <w:rFonts w:asciiTheme="majorHAnsi" w:hAnsiTheme="majorHAnsi" w:cs="Arial"/>
          <w:color w:val="1A1A1A"/>
          <w:lang w:val="en-US"/>
        </w:rPr>
        <w:t xml:space="preserve"> </w:t>
      </w:r>
      <w:r w:rsidRPr="00931D52">
        <w:rPr>
          <w:rFonts w:asciiTheme="majorHAnsi" w:hAnsiTheme="majorHAnsi" w:cs="Arial"/>
          <w:color w:val="1A1A1A"/>
          <w:sz w:val="18"/>
          <w:szCs w:val="18"/>
          <w:lang w:val="en-US"/>
        </w:rPr>
        <w:t xml:space="preserve">See </w:t>
      </w:r>
      <w:hyperlink r:id="rId19" w:history="1">
        <w:r w:rsidR="00931D52" w:rsidRPr="00931D52">
          <w:rPr>
            <w:rStyle w:val="Hyperlink"/>
            <w:rFonts w:asciiTheme="majorHAnsi" w:hAnsiTheme="majorHAnsi" w:cs="Arial"/>
            <w:sz w:val="18"/>
            <w:szCs w:val="18"/>
            <w:lang w:val="en-US"/>
          </w:rPr>
          <w:t>https://www.clarusft.com/products/about-our-data-products/</w:t>
        </w:r>
      </w:hyperlink>
    </w:p>
    <w:p w14:paraId="63CA8187" w14:textId="77777777" w:rsidR="0050041B" w:rsidRPr="00141AB0" w:rsidRDefault="0050041B" w:rsidP="0050041B">
      <w:pPr>
        <w:widowControl w:val="0"/>
        <w:autoSpaceDE w:val="0"/>
        <w:autoSpaceDN w:val="0"/>
        <w:adjustRightInd w:val="0"/>
        <w:spacing w:line="276" w:lineRule="auto"/>
        <w:rPr>
          <w:rFonts w:asciiTheme="majorHAnsi" w:hAnsiTheme="majorHAnsi" w:cs="Arial"/>
          <w:color w:val="1A1A1A"/>
          <w:lang w:val="en-US"/>
        </w:rPr>
      </w:pPr>
    </w:p>
    <w:p w14:paraId="6AD81698" w14:textId="77777777" w:rsidR="0050041B" w:rsidRPr="00913CB5" w:rsidRDefault="0050041B" w:rsidP="0050041B">
      <w:pPr>
        <w:pStyle w:val="ListParagraph"/>
        <w:widowControl w:val="0"/>
        <w:numPr>
          <w:ilvl w:val="0"/>
          <w:numId w:val="37"/>
        </w:numPr>
        <w:autoSpaceDE w:val="0"/>
        <w:autoSpaceDN w:val="0"/>
        <w:adjustRightInd w:val="0"/>
        <w:spacing w:line="276" w:lineRule="auto"/>
        <w:rPr>
          <w:rFonts w:asciiTheme="majorHAnsi" w:hAnsiTheme="majorHAnsi" w:cs="Arial"/>
          <w:color w:val="1A1A1A"/>
          <w:lang w:val="en-US"/>
        </w:rPr>
      </w:pPr>
      <w:r>
        <w:rPr>
          <w:rFonts w:asciiTheme="majorHAnsi" w:hAnsiTheme="majorHAnsi" w:cs="Arial"/>
          <w:color w:val="1A1A1A"/>
          <w:lang w:val="en-US"/>
        </w:rPr>
        <w:t xml:space="preserve">Our comments are on Section 7 Liquidity assessment and Section 9 Package Transactions, as </w:t>
      </w:r>
      <w:r w:rsidRPr="00913CB5">
        <w:rPr>
          <w:rFonts w:asciiTheme="majorHAnsi" w:hAnsiTheme="majorHAnsi" w:cs="Arial"/>
          <w:color w:val="1A1A1A"/>
          <w:lang w:val="en-US"/>
        </w:rPr>
        <w:t>we are concerned that the qual</w:t>
      </w:r>
      <w:bookmarkStart w:id="3" w:name="_GoBack"/>
      <w:bookmarkEnd w:id="3"/>
      <w:r w:rsidRPr="00913CB5">
        <w:rPr>
          <w:rFonts w:asciiTheme="majorHAnsi" w:hAnsiTheme="majorHAnsi" w:cs="Arial"/>
          <w:color w:val="1A1A1A"/>
          <w:lang w:val="en-US"/>
        </w:rPr>
        <w:t>ity and granularity of the TR data used for the Liquidity assessment is not good enough for this purpose.</w:t>
      </w:r>
    </w:p>
    <w:p w14:paraId="7EE7BD66" w14:textId="77777777" w:rsidR="0050041B" w:rsidRPr="00913CB5" w:rsidRDefault="0050041B" w:rsidP="0050041B">
      <w:pPr>
        <w:widowControl w:val="0"/>
        <w:autoSpaceDE w:val="0"/>
        <w:autoSpaceDN w:val="0"/>
        <w:adjustRightInd w:val="0"/>
        <w:spacing w:line="276" w:lineRule="auto"/>
        <w:rPr>
          <w:rFonts w:asciiTheme="majorHAnsi" w:hAnsiTheme="majorHAnsi" w:cs="Arial"/>
          <w:color w:val="1A1A1A"/>
          <w:lang w:val="en-US"/>
        </w:rPr>
      </w:pPr>
    </w:p>
    <w:p w14:paraId="1B59FFBF" w14:textId="77777777" w:rsidR="0050041B" w:rsidRDefault="0050041B" w:rsidP="0050041B">
      <w:pPr>
        <w:pStyle w:val="ListParagraph"/>
        <w:widowControl w:val="0"/>
        <w:numPr>
          <w:ilvl w:val="0"/>
          <w:numId w:val="37"/>
        </w:numPr>
        <w:autoSpaceDE w:val="0"/>
        <w:autoSpaceDN w:val="0"/>
        <w:adjustRightInd w:val="0"/>
        <w:spacing w:line="276" w:lineRule="auto"/>
        <w:rPr>
          <w:rFonts w:asciiTheme="majorHAnsi" w:hAnsiTheme="majorHAnsi" w:cs="Arial"/>
          <w:color w:val="1A1A1A"/>
          <w:lang w:val="en-US"/>
        </w:rPr>
      </w:pPr>
      <w:r w:rsidRPr="00913CB5">
        <w:rPr>
          <w:rFonts w:asciiTheme="majorHAnsi" w:hAnsiTheme="majorHAnsi" w:cs="Arial"/>
          <w:color w:val="1A1A1A"/>
          <w:lang w:val="en-US"/>
        </w:rPr>
        <w:t>OTC Derivatives are a global market, one with global participants and global liquidity and we believe</w:t>
      </w:r>
      <w:r>
        <w:rPr>
          <w:rFonts w:asciiTheme="majorHAnsi" w:hAnsiTheme="majorHAnsi" w:cs="Arial"/>
          <w:color w:val="1A1A1A"/>
          <w:lang w:val="en-US"/>
        </w:rPr>
        <w:t xml:space="preserve"> that trading o</w:t>
      </w:r>
      <w:r w:rsidRPr="00913CB5">
        <w:rPr>
          <w:rFonts w:asciiTheme="majorHAnsi" w:hAnsiTheme="majorHAnsi" w:cs="Arial"/>
          <w:color w:val="1A1A1A"/>
          <w:lang w:val="en-US"/>
        </w:rPr>
        <w:t xml:space="preserve">bligations should be consistent across jurisdictions for the same currency and product. Comparing the ESMA preliminary analysis results with CFTC MAT determinations in the US </w:t>
      </w:r>
      <w:r>
        <w:rPr>
          <w:rFonts w:asciiTheme="majorHAnsi" w:hAnsiTheme="majorHAnsi" w:cs="Arial"/>
          <w:color w:val="1A1A1A"/>
          <w:lang w:val="en-US"/>
        </w:rPr>
        <w:t>and with US Swap Repository Data shows significant differences. We believe these would not be present if E</w:t>
      </w:r>
      <w:r>
        <w:rPr>
          <w:rFonts w:asciiTheme="majorHAnsi" w:hAnsiTheme="majorHAnsi" w:cs="Arial"/>
          <w:color w:val="1A1A1A"/>
          <w:lang w:val="en-US"/>
        </w:rPr>
        <w:t>S</w:t>
      </w:r>
      <w:r>
        <w:rPr>
          <w:rFonts w:asciiTheme="majorHAnsi" w:hAnsiTheme="majorHAnsi" w:cs="Arial"/>
          <w:color w:val="1A1A1A"/>
          <w:lang w:val="en-US"/>
        </w:rPr>
        <w:t>MA had access to a more granular dataset and we would encourage ESMA to conduct another asses</w:t>
      </w:r>
      <w:r>
        <w:rPr>
          <w:rFonts w:asciiTheme="majorHAnsi" w:hAnsiTheme="majorHAnsi" w:cs="Arial"/>
          <w:color w:val="1A1A1A"/>
          <w:lang w:val="en-US"/>
        </w:rPr>
        <w:t>s</w:t>
      </w:r>
      <w:r>
        <w:rPr>
          <w:rFonts w:asciiTheme="majorHAnsi" w:hAnsiTheme="majorHAnsi" w:cs="Arial"/>
          <w:color w:val="1A1A1A"/>
          <w:lang w:val="en-US"/>
        </w:rPr>
        <w:t>ment with a better dataset.</w:t>
      </w:r>
    </w:p>
    <w:p w14:paraId="66B50871" w14:textId="77777777" w:rsidR="0050041B" w:rsidRPr="00913CB5" w:rsidRDefault="0050041B" w:rsidP="0050041B">
      <w:pPr>
        <w:widowControl w:val="0"/>
        <w:autoSpaceDE w:val="0"/>
        <w:autoSpaceDN w:val="0"/>
        <w:adjustRightInd w:val="0"/>
        <w:spacing w:line="276" w:lineRule="auto"/>
        <w:rPr>
          <w:rFonts w:asciiTheme="majorHAnsi" w:hAnsiTheme="majorHAnsi" w:cs="Arial"/>
          <w:color w:val="1A1A1A"/>
          <w:lang w:val="en-US"/>
        </w:rPr>
      </w:pPr>
    </w:p>
    <w:p w14:paraId="4A11D0E2" w14:textId="77777777" w:rsidR="0050041B" w:rsidRPr="000B57D8" w:rsidRDefault="0050041B" w:rsidP="0050041B">
      <w:pPr>
        <w:pStyle w:val="ListParagraph"/>
        <w:numPr>
          <w:ilvl w:val="0"/>
          <w:numId w:val="37"/>
        </w:numPr>
        <w:spacing w:line="276" w:lineRule="auto"/>
        <w:rPr>
          <w:rFonts w:ascii="Calibri" w:hAnsi="Calibri"/>
        </w:rPr>
      </w:pPr>
      <w:r w:rsidRPr="00645D1C">
        <w:rPr>
          <w:rFonts w:ascii="Calibri" w:hAnsi="Calibri"/>
        </w:rPr>
        <w:t xml:space="preserve">An article with many of our comments was published in Sep 2016 at </w:t>
      </w:r>
      <w:hyperlink r:id="rId20" w:history="1">
        <w:r w:rsidRPr="00AA4793">
          <w:rPr>
            <w:rStyle w:val="Hyperlink"/>
            <w:rFonts w:ascii="Calibri" w:hAnsi="Calibri"/>
            <w:sz w:val="22"/>
            <w:szCs w:val="22"/>
          </w:rPr>
          <w:t>https://goo.gl/igiZqI</w:t>
        </w:r>
      </w:hyperlink>
      <w:r>
        <w:rPr>
          <w:rFonts w:ascii="Calibri" w:hAnsi="Calibri"/>
          <w:sz w:val="22"/>
          <w:szCs w:val="22"/>
        </w:rPr>
        <w:t xml:space="preserve"> </w:t>
      </w:r>
      <w:r w:rsidRPr="000B57D8">
        <w:rPr>
          <w:rFonts w:ascii="Calibri" w:hAnsi="Calibri"/>
        </w:rPr>
        <w:t xml:space="preserve">and this has been widely read by industry participants along with the Oct 2015 article at </w:t>
      </w:r>
      <w:hyperlink r:id="rId21" w:history="1">
        <w:r w:rsidRPr="000B57D8">
          <w:rPr>
            <w:rStyle w:val="Hyperlink"/>
            <w:rFonts w:ascii="Calibri" w:hAnsi="Calibri"/>
            <w:sz w:val="22"/>
            <w:szCs w:val="22"/>
          </w:rPr>
          <w:t>https://goo.gl/yJPeqH</w:t>
        </w:r>
      </w:hyperlink>
    </w:p>
    <w:p w14:paraId="16ED96A3" w14:textId="77777777" w:rsidR="0050041B" w:rsidRDefault="0050041B" w:rsidP="00D34282"/>
    <w:p w14:paraId="33B8AF7A" w14:textId="77777777"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14:paraId="4F30A101" w14:textId="77777777" w:rsidR="00A8728B" w:rsidRPr="00070630" w:rsidRDefault="00F32462" w:rsidP="00EF314C">
      <w:pPr>
        <w:pStyle w:val="CPQuestions"/>
      </w:pPr>
      <w:r>
        <w:rPr>
          <w:rFonts w:cs="Arial"/>
          <w:szCs w:val="22"/>
        </w:rPr>
        <w:br w:type="page"/>
      </w:r>
      <w:r w:rsidR="00EF314C" w:rsidRPr="00EF314C">
        <w:lastRenderedPageBreak/>
        <w:t>Do you agree that the level of granularity for the purpose of the trading obligation should apply at the same level as the one used for calibrating the transparency r</w:t>
      </w:r>
      <w:r w:rsidR="00EF314C" w:rsidRPr="00EF314C">
        <w:t>e</w:t>
      </w:r>
      <w:r w:rsidR="00EF314C" w:rsidRPr="00EF314C">
        <w:t>gime of non-equity instruments?</w:t>
      </w:r>
      <w:r w:rsidR="00EF314C">
        <w:t xml:space="preserve"> </w:t>
      </w:r>
      <w:r w:rsidR="00EF314C" w:rsidRPr="00EF314C">
        <w:t>If not, which level of granularity for the TO would you recommend and why? Would that differ by asset class and type of instr</w:t>
      </w:r>
      <w:r w:rsidR="00EF314C" w:rsidRPr="00EF314C">
        <w:t>u</w:t>
      </w:r>
      <w:r w:rsidR="00EF314C" w:rsidRPr="00EF314C">
        <w:t>ment</w:t>
      </w:r>
      <w:r w:rsidR="00070630" w:rsidRPr="00070630">
        <w:t>?</w:t>
      </w:r>
    </w:p>
    <w:p w14:paraId="179D7A5C" w14:textId="77777777" w:rsidR="00A8728B" w:rsidRDefault="00A8728B" w:rsidP="00A8728B">
      <w:r>
        <w:t>&lt;ESMA_QUESTION</w:t>
      </w:r>
      <w:r w:rsidR="00D920D1">
        <w:t>_MIFID</w:t>
      </w:r>
      <w:r w:rsidR="00AB4824">
        <w:t>_TO_</w:t>
      </w:r>
      <w:r>
        <w:t>1&gt;</w:t>
      </w:r>
    </w:p>
    <w:p w14:paraId="0F6BCA7B" w14:textId="77777777" w:rsidR="00A8728B" w:rsidRDefault="00A8728B" w:rsidP="00A8728B">
      <w:permStart w:id="26882160" w:edGrp="everyone"/>
      <w:r>
        <w:t>TYPE YOUR TEXT HERE</w:t>
      </w:r>
    </w:p>
    <w:permEnd w:id="26882160"/>
    <w:p w14:paraId="354386DC" w14:textId="77777777" w:rsidR="00A8728B" w:rsidRDefault="00A8728B" w:rsidP="00A8728B">
      <w:r>
        <w:t>&lt;ESMA_QUESTION</w:t>
      </w:r>
      <w:r w:rsidR="00D920D1">
        <w:t>_MIFID</w:t>
      </w:r>
      <w:r w:rsidR="00AB4824">
        <w:t>_TO_</w:t>
      </w:r>
      <w:r>
        <w:t>1&gt;</w:t>
      </w:r>
    </w:p>
    <w:p w14:paraId="7A9965E8" w14:textId="77777777" w:rsidR="00431DA4" w:rsidRPr="00431DA4" w:rsidRDefault="00F016BE" w:rsidP="00F016BE">
      <w:pPr>
        <w:pStyle w:val="CPQuestions"/>
      </w:pPr>
      <w:r w:rsidRPr="00F016BE">
        <w:t>Do you agree that all derivatives currently subject to or considered for the CO are admitted to trading or traded on at least one trading venue?  If not, please explain which classes of derivatives are not available for trading on at least one trading venue</w:t>
      </w:r>
      <w:r w:rsidR="00070630" w:rsidRPr="00070630">
        <w:t>.</w:t>
      </w:r>
    </w:p>
    <w:p w14:paraId="69E77A20" w14:textId="77777777" w:rsidR="00A8728B" w:rsidRDefault="00A8728B" w:rsidP="00A8728B">
      <w:r>
        <w:t>&lt;ESMA_QUESTION</w:t>
      </w:r>
      <w:r w:rsidR="00D920D1">
        <w:t>_MIFID</w:t>
      </w:r>
      <w:r w:rsidR="00AB4824">
        <w:t>_TO_</w:t>
      </w:r>
      <w:r>
        <w:t>2&gt;</w:t>
      </w:r>
    </w:p>
    <w:p w14:paraId="70451FC6" w14:textId="77777777" w:rsidR="00A8728B" w:rsidRDefault="00A8728B" w:rsidP="00A8728B">
      <w:permStart w:id="1114902376" w:edGrp="everyone"/>
      <w:r>
        <w:t>TYPE YOUR TEXT HERE</w:t>
      </w:r>
    </w:p>
    <w:permEnd w:id="1114902376"/>
    <w:p w14:paraId="26E0DC54" w14:textId="77777777" w:rsidR="00A8728B" w:rsidRDefault="00A8728B" w:rsidP="00A8728B">
      <w:r>
        <w:t>&lt;ESMA_QUESTION</w:t>
      </w:r>
      <w:r w:rsidR="00D920D1">
        <w:t>_MIFID</w:t>
      </w:r>
      <w:r w:rsidR="00AB4824">
        <w:t>_TO_</w:t>
      </w:r>
      <w:r>
        <w:t>2&gt;</w:t>
      </w:r>
    </w:p>
    <w:p w14:paraId="1B713D7D" w14:textId="77777777" w:rsidR="00A8728B" w:rsidRPr="00B62727" w:rsidRDefault="00F016BE" w:rsidP="00F016BE">
      <w:pPr>
        <w:pStyle w:val="CPQuestions"/>
      </w:pPr>
      <w:r w:rsidRPr="00F016BE">
        <w:t>How should ESMA determine the total number of market participants trading in a class of derivatives? Do you consider it appropriate to carry out this assessment with TR data or would you recommend other data sources</w:t>
      </w:r>
      <w:r>
        <w:t>?</w:t>
      </w:r>
    </w:p>
    <w:p w14:paraId="62509603" w14:textId="77777777" w:rsidR="00A8728B" w:rsidRDefault="00A8728B" w:rsidP="00A8728B">
      <w:r>
        <w:t>&lt;ESMA_QUESTION</w:t>
      </w:r>
      <w:r w:rsidR="00D920D1">
        <w:t>_MIFID</w:t>
      </w:r>
      <w:r w:rsidR="00AB4824">
        <w:t>_TO_</w:t>
      </w:r>
      <w:r>
        <w:t>3&gt;</w:t>
      </w:r>
    </w:p>
    <w:p w14:paraId="4897D45F" w14:textId="77777777" w:rsidR="00A8728B" w:rsidRDefault="00A8728B" w:rsidP="00A8728B">
      <w:permStart w:id="522004909" w:edGrp="everyone"/>
      <w:r>
        <w:t>TYPE YOUR TEXT HERE</w:t>
      </w:r>
    </w:p>
    <w:permEnd w:id="522004909"/>
    <w:p w14:paraId="03BB0DD7" w14:textId="77777777" w:rsidR="00A8728B" w:rsidRDefault="00A8728B" w:rsidP="00A8728B">
      <w:r>
        <w:t>&lt;ESMA_QUESTION</w:t>
      </w:r>
      <w:r w:rsidR="00D920D1">
        <w:t>_MIFID</w:t>
      </w:r>
      <w:r w:rsidR="00AB4824">
        <w:t>_TO_</w:t>
      </w:r>
      <w:r>
        <w:t>3&gt;</w:t>
      </w:r>
    </w:p>
    <w:p w14:paraId="3A0EB5F7" w14:textId="77777777" w:rsidR="00A8728B" w:rsidRPr="00B62727" w:rsidRDefault="00F016BE" w:rsidP="00F016BE">
      <w:pPr>
        <w:pStyle w:val="CPQuestions"/>
      </w:pPr>
      <w:r w:rsidRPr="00F016BE">
        <w:t xml:space="preserve">In your view, what should be the minimum total number of market participants to consider the following classes of derivatives as sufficiently liquid for the purpose of the trading obligation? </w:t>
      </w:r>
      <w:proofErr w:type="spellStart"/>
      <w:r w:rsidRPr="00F016BE">
        <w:t>i</w:t>
      </w:r>
      <w:proofErr w:type="spellEnd"/>
      <w:r w:rsidRPr="00F016BE">
        <w:t>) OTC interest rate derivatives denominated in EUR, USD, GBP and JPY; ii) OTC interest rate derivatives denominated in NOK, PLN and SEK; iii) Credit default swaps (CDS) indices? Should you consider that this a</w:t>
      </w:r>
      <w:r w:rsidRPr="00F016BE">
        <w:t>s</w:t>
      </w:r>
      <w:r w:rsidRPr="00F016BE">
        <w:t>sessment should be done on a more granular level, please provide your views on the relevant subsets of derivatives specified in 1</w:t>
      </w:r>
      <w:proofErr w:type="gramStart"/>
      <w:r w:rsidRPr="00F016BE">
        <w:t>.-</w:t>
      </w:r>
      <w:proofErr w:type="gramEnd"/>
      <w:r w:rsidRPr="00F016BE">
        <w:t>3.</w:t>
      </w:r>
    </w:p>
    <w:p w14:paraId="61679BCC" w14:textId="77777777" w:rsidR="00A8728B" w:rsidRDefault="00A8728B" w:rsidP="00A8728B">
      <w:r>
        <w:t>&lt;ESMA_QUESTION</w:t>
      </w:r>
      <w:r w:rsidR="00D920D1">
        <w:t>_MIFID</w:t>
      </w:r>
      <w:r w:rsidR="00AB4824">
        <w:t>_TO_</w:t>
      </w:r>
      <w:r>
        <w:t>4&gt;</w:t>
      </w:r>
    </w:p>
    <w:p w14:paraId="5ED0BD7F" w14:textId="77777777" w:rsidR="00A8728B" w:rsidRDefault="00A8728B" w:rsidP="00A8728B">
      <w:permStart w:id="83512017" w:edGrp="everyone"/>
      <w:r>
        <w:t>TYPE YOUR TEXT HERE</w:t>
      </w:r>
    </w:p>
    <w:permEnd w:id="83512017"/>
    <w:p w14:paraId="0902898E" w14:textId="77777777" w:rsidR="00A8728B" w:rsidRDefault="00A8728B" w:rsidP="00A8728B">
      <w:r>
        <w:t>&lt;ESMA_QUESTION</w:t>
      </w:r>
      <w:r w:rsidR="00D920D1">
        <w:t>_MIFID</w:t>
      </w:r>
      <w:r w:rsidR="00AB4824">
        <w:t>_TO_</w:t>
      </w:r>
      <w:r>
        <w:t>4&gt;</w:t>
      </w:r>
    </w:p>
    <w:p w14:paraId="4163CCF3" w14:textId="77777777" w:rsidR="00431DA4" w:rsidRPr="00B62727" w:rsidRDefault="00F016BE" w:rsidP="00F016BE">
      <w:pPr>
        <w:pStyle w:val="CPQuestions"/>
      </w:pPr>
      <w:r w:rsidRPr="00F016BE">
        <w:t>Do you agree with this approach? Do you consider alternative ways to identify the number of trading venues admitting to trading or trading a class of derivatives as more appropriate</w:t>
      </w:r>
      <w:r>
        <w:t>?</w:t>
      </w:r>
    </w:p>
    <w:p w14:paraId="2CBA613E" w14:textId="77777777" w:rsidR="00A8728B" w:rsidRDefault="00A8728B" w:rsidP="00A8728B">
      <w:r>
        <w:t>&lt;ESMA_QUESTION</w:t>
      </w:r>
      <w:r w:rsidR="00D920D1">
        <w:t>_MIFID</w:t>
      </w:r>
      <w:r w:rsidR="00AB4824">
        <w:t>_TO_</w:t>
      </w:r>
      <w:r>
        <w:t>5&gt;</w:t>
      </w:r>
    </w:p>
    <w:p w14:paraId="05314EA2" w14:textId="77777777" w:rsidR="00A8728B" w:rsidRDefault="00A8728B" w:rsidP="00A8728B">
      <w:permStart w:id="1375871687" w:edGrp="everyone"/>
      <w:r>
        <w:t>TYPE YOUR TEXT HERE</w:t>
      </w:r>
    </w:p>
    <w:permEnd w:id="1375871687"/>
    <w:p w14:paraId="4FA25ECA" w14:textId="77777777" w:rsidR="00A8728B" w:rsidRDefault="00A8728B" w:rsidP="00A8728B">
      <w:r>
        <w:t>&lt;ESMA_QUESTION</w:t>
      </w:r>
      <w:r w:rsidR="00D920D1">
        <w:t>_MIFID</w:t>
      </w:r>
      <w:r w:rsidR="00AB4824">
        <w:t>_TO_</w:t>
      </w:r>
      <w:r>
        <w:t>5&gt;</w:t>
      </w:r>
    </w:p>
    <w:p w14:paraId="231B3F3B" w14:textId="77777777" w:rsidR="00431DA4" w:rsidRPr="000E6B5B" w:rsidRDefault="00F016BE" w:rsidP="00F016BE">
      <w:pPr>
        <w:pStyle w:val="CPQuestions"/>
      </w:pPr>
      <w:r w:rsidRPr="00F016BE">
        <w:t>On how many trading venues should a derivative or a class of derivatives be tra</w:t>
      </w:r>
      <w:r w:rsidRPr="00F016BE">
        <w:t>d</w:t>
      </w:r>
      <w:r w:rsidRPr="00F016BE">
        <w:t xml:space="preserve">ed in order to be considered subject to the </w:t>
      </w:r>
      <w:proofErr w:type="gramStart"/>
      <w:r w:rsidRPr="00F016BE">
        <w:t>TO</w:t>
      </w:r>
      <w:proofErr w:type="gramEnd"/>
      <w:r w:rsidR="00070630">
        <w:t>?</w:t>
      </w:r>
    </w:p>
    <w:p w14:paraId="675577B9" w14:textId="77777777" w:rsidR="00A8728B" w:rsidRDefault="00A8728B" w:rsidP="00A8728B">
      <w:r>
        <w:lastRenderedPageBreak/>
        <w:t>&lt;ESMA_QUESTION</w:t>
      </w:r>
      <w:r w:rsidR="00D920D1">
        <w:t>_MIFID</w:t>
      </w:r>
      <w:r w:rsidR="00AB4824">
        <w:t>_TO_</w:t>
      </w:r>
      <w:r>
        <w:t>6&gt;</w:t>
      </w:r>
    </w:p>
    <w:p w14:paraId="54DEE460" w14:textId="77777777" w:rsidR="00A8728B" w:rsidRDefault="00A8728B" w:rsidP="00A8728B">
      <w:permStart w:id="1542346960" w:edGrp="everyone"/>
      <w:r>
        <w:t>TYPE YOUR TEXT HERE</w:t>
      </w:r>
    </w:p>
    <w:permEnd w:id="1542346960"/>
    <w:p w14:paraId="05EC0D7F" w14:textId="77777777" w:rsidR="00A8728B" w:rsidRDefault="00A8728B" w:rsidP="00A8728B">
      <w:r>
        <w:t>&lt;ESMA_QUESTION</w:t>
      </w:r>
      <w:r w:rsidR="00D920D1">
        <w:t>_MIFID</w:t>
      </w:r>
      <w:r w:rsidR="00AB4824">
        <w:t>_TO_</w:t>
      </w:r>
      <w:r>
        <w:t>6&gt;</w:t>
      </w:r>
    </w:p>
    <w:p w14:paraId="4BCE73B7" w14:textId="77777777" w:rsidR="00F32462" w:rsidRDefault="00F32462">
      <w:pPr>
        <w:rPr>
          <w:rFonts w:cs="Arial"/>
          <w:b/>
          <w:sz w:val="22"/>
          <w:szCs w:val="22"/>
          <w:lang w:eastAsia="en-US"/>
        </w:rPr>
      </w:pPr>
    </w:p>
    <w:p w14:paraId="4A39FE42" w14:textId="77777777" w:rsidR="00070630" w:rsidRPr="000E6B5B" w:rsidRDefault="00F016BE" w:rsidP="00F016BE">
      <w:pPr>
        <w:pStyle w:val="CPQuestions"/>
      </w:pPr>
      <w:r w:rsidRPr="00F016BE">
        <w:t xml:space="preserve">What would be in your view the most efficient approach to assess the total number of market makers for a class of derivatives? Where necessary, please distinguish between: </w:t>
      </w:r>
      <w:proofErr w:type="spellStart"/>
      <w:r w:rsidRPr="00F016BE">
        <w:t>i</w:t>
      </w:r>
      <w:proofErr w:type="spellEnd"/>
      <w:r w:rsidRPr="00F016BE">
        <w:t xml:space="preserve">) The phase prior to the application of </w:t>
      </w:r>
      <w:proofErr w:type="spellStart"/>
      <w:r w:rsidRPr="00F016BE">
        <w:t>MiFID</w:t>
      </w:r>
      <w:proofErr w:type="spellEnd"/>
      <w:r w:rsidRPr="00F016BE">
        <w:t xml:space="preserve"> II (i.e. before January 2018); ii) </w:t>
      </w:r>
      <w:proofErr w:type="gramStart"/>
      <w:r w:rsidRPr="00F016BE">
        <w:t>The</w:t>
      </w:r>
      <w:proofErr w:type="gramEnd"/>
      <w:r w:rsidRPr="00F016BE">
        <w:t xml:space="preserve"> phase after the application of </w:t>
      </w:r>
      <w:proofErr w:type="spellStart"/>
      <w:r w:rsidRPr="00F016BE">
        <w:t>MiFID</w:t>
      </w:r>
      <w:proofErr w:type="spellEnd"/>
      <w:r w:rsidRPr="00F016BE">
        <w:t xml:space="preserve"> II (i.e. after January 2018)</w:t>
      </w:r>
      <w:r>
        <w:t>.</w:t>
      </w:r>
    </w:p>
    <w:p w14:paraId="2DDC0E75" w14:textId="77777777" w:rsidR="00070630" w:rsidRDefault="00070630" w:rsidP="00070630">
      <w:r>
        <w:t>&lt;ESMA_QUESTION_MIFID</w:t>
      </w:r>
      <w:r w:rsidR="00AB4824">
        <w:t>_TO_</w:t>
      </w:r>
      <w:r>
        <w:t>7&gt;</w:t>
      </w:r>
    </w:p>
    <w:p w14:paraId="6E23683B" w14:textId="77777777" w:rsidR="00070630" w:rsidRDefault="00070630" w:rsidP="00070630">
      <w:permStart w:id="1189219093" w:edGrp="everyone"/>
      <w:r>
        <w:t>TYPE YOUR TEXT HERE</w:t>
      </w:r>
    </w:p>
    <w:permEnd w:id="1189219093"/>
    <w:p w14:paraId="5F629572" w14:textId="77777777" w:rsidR="00070630" w:rsidRDefault="00070630" w:rsidP="00070630">
      <w:r>
        <w:t>&lt;ESMA_QUESTION_MIFID</w:t>
      </w:r>
      <w:r w:rsidR="00AB4824">
        <w:t>_TO_</w:t>
      </w:r>
      <w:r>
        <w:t>7&gt;</w:t>
      </w:r>
    </w:p>
    <w:p w14:paraId="640C138C" w14:textId="77777777" w:rsidR="00070630" w:rsidRDefault="00070630">
      <w:pPr>
        <w:rPr>
          <w:rFonts w:cs="Arial"/>
          <w:b/>
          <w:sz w:val="22"/>
          <w:szCs w:val="22"/>
          <w:lang w:eastAsia="en-US"/>
        </w:rPr>
      </w:pPr>
    </w:p>
    <w:p w14:paraId="3E56D998" w14:textId="77777777" w:rsidR="00EF314C" w:rsidRPr="000E6B5B" w:rsidRDefault="00F016BE" w:rsidP="00F016BE">
      <w:pPr>
        <w:pStyle w:val="CPQuestions"/>
      </w:pPr>
      <w:r w:rsidRPr="00F016BE">
        <w:t>How many market makers and other market participants under a binding written agreement or an obligation to provide liquidity should be in place for a derivative or a class of derivatives to be considered subject to the TO</w:t>
      </w:r>
      <w:r w:rsidR="00EF314C" w:rsidRPr="00070630">
        <w:t>?</w:t>
      </w:r>
    </w:p>
    <w:p w14:paraId="24E6801A" w14:textId="77777777" w:rsidR="00EF314C" w:rsidRDefault="00EF314C" w:rsidP="00EF314C">
      <w:r>
        <w:t>&lt;ESMA_QUESTION_MIFID_TO_</w:t>
      </w:r>
      <w:r w:rsidR="00273633">
        <w:t>8</w:t>
      </w:r>
      <w:r>
        <w:t>&gt;</w:t>
      </w:r>
    </w:p>
    <w:p w14:paraId="39CD1DCB" w14:textId="77777777" w:rsidR="00EF314C" w:rsidRDefault="00EF314C" w:rsidP="00EF314C">
      <w:permStart w:id="135858449" w:edGrp="everyone"/>
      <w:r>
        <w:t>TYPE YOUR TEXT HERE</w:t>
      </w:r>
    </w:p>
    <w:permEnd w:id="135858449"/>
    <w:p w14:paraId="0CFCBF01" w14:textId="77777777" w:rsidR="00EF314C" w:rsidRDefault="00EF314C" w:rsidP="00EF314C">
      <w:r>
        <w:t>&lt;ESMA_QUESTION_MIFID_TO_</w:t>
      </w:r>
      <w:r w:rsidR="00273633">
        <w:t>8</w:t>
      </w:r>
      <w:r>
        <w:t>&gt;</w:t>
      </w:r>
    </w:p>
    <w:p w14:paraId="57383D10" w14:textId="77777777" w:rsidR="00EF314C" w:rsidRDefault="00EF314C" w:rsidP="00EF314C">
      <w:pPr>
        <w:rPr>
          <w:rFonts w:cs="Arial"/>
          <w:b/>
          <w:sz w:val="22"/>
          <w:szCs w:val="22"/>
          <w:lang w:eastAsia="en-US"/>
        </w:rPr>
      </w:pPr>
    </w:p>
    <w:p w14:paraId="238B7564" w14:textId="77777777" w:rsidR="00EF314C" w:rsidRPr="000E6B5B" w:rsidRDefault="00F016BE" w:rsidP="00F016BE">
      <w:pPr>
        <w:pStyle w:val="CPQuestions"/>
      </w:pPr>
      <w:r w:rsidRPr="00F016BE">
        <w:t>Do you agree with the proposed approach or do you consider an alternative a</w:t>
      </w:r>
      <w:r w:rsidRPr="00F016BE">
        <w:t>p</w:t>
      </w:r>
      <w:r w:rsidRPr="00F016BE">
        <w:t>proach as more appropriate</w:t>
      </w:r>
      <w:r w:rsidR="00EF314C" w:rsidRPr="00070630">
        <w:t>?</w:t>
      </w:r>
    </w:p>
    <w:p w14:paraId="38234A5B" w14:textId="77777777" w:rsidR="00EF314C" w:rsidRDefault="00EF314C" w:rsidP="00EF314C">
      <w:r>
        <w:t>&lt;ESMA_QUESTION_MIFID_TO_</w:t>
      </w:r>
      <w:r w:rsidR="00273633">
        <w:t>9</w:t>
      </w:r>
      <w:r>
        <w:t>&gt;</w:t>
      </w:r>
    </w:p>
    <w:p w14:paraId="3CE85468" w14:textId="77777777" w:rsidR="00EF314C" w:rsidRDefault="00EF314C" w:rsidP="00EF314C">
      <w:permStart w:id="909336466" w:edGrp="everyone"/>
      <w:r>
        <w:t>TYPE YOUR TEXT HERE</w:t>
      </w:r>
    </w:p>
    <w:permEnd w:id="909336466"/>
    <w:p w14:paraId="37FB0155" w14:textId="77777777" w:rsidR="00EF314C" w:rsidRDefault="00EF314C" w:rsidP="00EF314C">
      <w:r>
        <w:t>&lt;ESMA_QUESTION_MIFID_TO_</w:t>
      </w:r>
      <w:r w:rsidR="00273633">
        <w:t>9</w:t>
      </w:r>
      <w:r>
        <w:t>&gt;</w:t>
      </w:r>
    </w:p>
    <w:p w14:paraId="336EF4C5" w14:textId="77777777" w:rsidR="00EF314C" w:rsidRDefault="00EF314C" w:rsidP="00EF314C">
      <w:pPr>
        <w:rPr>
          <w:rFonts w:cs="Arial"/>
          <w:b/>
          <w:sz w:val="22"/>
          <w:szCs w:val="22"/>
          <w:lang w:eastAsia="en-US"/>
        </w:rPr>
      </w:pPr>
    </w:p>
    <w:p w14:paraId="42B0E9B5" w14:textId="77777777" w:rsidR="00EF314C" w:rsidRPr="000E6B5B" w:rsidRDefault="00F016BE" w:rsidP="00F016BE">
      <w:pPr>
        <w:pStyle w:val="CPQuestions"/>
      </w:pPr>
      <w:r w:rsidRPr="00F016BE">
        <w:t>Do you agree that the criterion of average size of spreads, in particular in case of absence of information on spreads, should receive a lower weighting than the ot</w:t>
      </w:r>
      <w:r w:rsidRPr="00F016BE">
        <w:t>h</w:t>
      </w:r>
      <w:r w:rsidRPr="00F016BE">
        <w:t>er liquidity criteria? If not, please specify your reasons</w:t>
      </w:r>
    </w:p>
    <w:p w14:paraId="18028AD1" w14:textId="77777777" w:rsidR="00EF314C" w:rsidRDefault="00EF314C" w:rsidP="00EF314C">
      <w:r>
        <w:t>&lt;ESMA_QUESTION_MIFID_TO_</w:t>
      </w:r>
      <w:r w:rsidR="00273633">
        <w:t>10</w:t>
      </w:r>
      <w:r>
        <w:t>&gt;</w:t>
      </w:r>
    </w:p>
    <w:p w14:paraId="34942109" w14:textId="77777777" w:rsidR="00EF314C" w:rsidRDefault="00EF314C" w:rsidP="00EF314C">
      <w:permStart w:id="656084679" w:edGrp="everyone"/>
      <w:r>
        <w:t>TYPE YOUR TEXT HERE</w:t>
      </w:r>
    </w:p>
    <w:permEnd w:id="656084679"/>
    <w:p w14:paraId="31C41715" w14:textId="77777777" w:rsidR="00EF314C" w:rsidRDefault="00EF314C" w:rsidP="00EF314C">
      <w:r>
        <w:t>&lt;ESMA_QUESTION_MIFID_TO_</w:t>
      </w:r>
      <w:r w:rsidR="00273633">
        <w:t>10</w:t>
      </w:r>
      <w:r>
        <w:t>&gt;</w:t>
      </w:r>
    </w:p>
    <w:p w14:paraId="4AB65F0A" w14:textId="77777777" w:rsidR="00EF314C" w:rsidRDefault="00EF314C" w:rsidP="00EF314C">
      <w:pPr>
        <w:rPr>
          <w:rFonts w:cs="Arial"/>
          <w:b/>
          <w:sz w:val="22"/>
          <w:szCs w:val="22"/>
          <w:lang w:eastAsia="en-US"/>
        </w:rPr>
      </w:pPr>
    </w:p>
    <w:p w14:paraId="5168D760" w14:textId="77777777" w:rsidR="00EF314C" w:rsidRPr="000E6B5B" w:rsidRDefault="00F016BE" w:rsidP="00F016BE">
      <w:pPr>
        <w:pStyle w:val="CPQuestions"/>
      </w:pPr>
      <w:r w:rsidRPr="00F016BE">
        <w:t>Which sources do you recommend for obtaining information on the average size of spreads by asset class</w:t>
      </w:r>
      <w:r w:rsidR="00EF314C" w:rsidRPr="00070630">
        <w:t>?</w:t>
      </w:r>
    </w:p>
    <w:p w14:paraId="3E1B686C" w14:textId="77777777" w:rsidR="00EF314C" w:rsidRDefault="00EF314C" w:rsidP="00EF314C">
      <w:r>
        <w:t>&lt;ESMA_QUESTION_MIFID_TO_</w:t>
      </w:r>
      <w:r w:rsidR="00273633">
        <w:t>11</w:t>
      </w:r>
      <w:r>
        <w:t>&gt;</w:t>
      </w:r>
    </w:p>
    <w:p w14:paraId="3C81DC50" w14:textId="77777777" w:rsidR="00EF314C" w:rsidRDefault="00EF314C" w:rsidP="00EF314C">
      <w:permStart w:id="1032027078" w:edGrp="everyone"/>
      <w:r>
        <w:t>TYPE YOUR TEXT HERE</w:t>
      </w:r>
    </w:p>
    <w:permEnd w:id="1032027078"/>
    <w:p w14:paraId="5CEDC42D" w14:textId="77777777" w:rsidR="00EF314C" w:rsidRDefault="00EF314C" w:rsidP="00EF314C">
      <w:r>
        <w:t>&lt;ESMA_QUESTION_MIFID_TO_</w:t>
      </w:r>
      <w:r w:rsidR="00273633">
        <w:t>11</w:t>
      </w:r>
      <w:r>
        <w:t>&gt;</w:t>
      </w:r>
    </w:p>
    <w:p w14:paraId="288BC765" w14:textId="77777777" w:rsidR="00EF314C" w:rsidRDefault="00EF314C" w:rsidP="00EF314C">
      <w:pPr>
        <w:rPr>
          <w:rFonts w:cs="Arial"/>
          <w:b/>
          <w:sz w:val="22"/>
          <w:szCs w:val="22"/>
          <w:lang w:eastAsia="en-US"/>
        </w:rPr>
      </w:pPr>
    </w:p>
    <w:p w14:paraId="156D2764" w14:textId="77777777" w:rsidR="00EF314C" w:rsidRPr="000E6B5B" w:rsidRDefault="00F016BE" w:rsidP="00F016BE">
      <w:pPr>
        <w:pStyle w:val="CPQuestions"/>
      </w:pPr>
      <w:r w:rsidRPr="00F016BE">
        <w:t>What do you consider as an appropriate proxy in case of lack of information on a</w:t>
      </w:r>
      <w:r w:rsidRPr="00F016BE">
        <w:t>c</w:t>
      </w:r>
      <w:r w:rsidRPr="00F016BE">
        <w:t>tual spreads</w:t>
      </w:r>
      <w:r w:rsidR="00EF314C" w:rsidRPr="00070630">
        <w:t>?</w:t>
      </w:r>
    </w:p>
    <w:p w14:paraId="178CD590" w14:textId="77777777" w:rsidR="00EF314C" w:rsidRDefault="00EF314C" w:rsidP="00EF314C">
      <w:r>
        <w:lastRenderedPageBreak/>
        <w:t>&lt;ESMA_QUESTION_MIFID_TO_</w:t>
      </w:r>
      <w:r w:rsidR="00273633">
        <w:t>12</w:t>
      </w:r>
      <w:r>
        <w:t>&gt;</w:t>
      </w:r>
    </w:p>
    <w:p w14:paraId="10E9AB90" w14:textId="77777777" w:rsidR="00EF314C" w:rsidRDefault="00EF314C" w:rsidP="00EF314C">
      <w:permStart w:id="353178685" w:edGrp="everyone"/>
      <w:r>
        <w:t>TYPE YOUR TEXT HERE</w:t>
      </w:r>
    </w:p>
    <w:permEnd w:id="353178685"/>
    <w:p w14:paraId="6F677A44" w14:textId="77777777" w:rsidR="00EF314C" w:rsidRDefault="00EF314C" w:rsidP="00EF314C">
      <w:r>
        <w:t>&lt;ESMA_QUESTION_MIFID_TO_</w:t>
      </w:r>
      <w:r w:rsidR="00273633">
        <w:t>12</w:t>
      </w:r>
      <w:r>
        <w:t>&gt;</w:t>
      </w:r>
    </w:p>
    <w:p w14:paraId="6FCA836D" w14:textId="77777777" w:rsidR="00EF314C" w:rsidRDefault="00EF314C" w:rsidP="00EF314C">
      <w:pPr>
        <w:rPr>
          <w:rFonts w:cs="Arial"/>
          <w:b/>
          <w:sz w:val="22"/>
          <w:szCs w:val="22"/>
          <w:lang w:eastAsia="en-US"/>
        </w:rPr>
      </w:pPr>
    </w:p>
    <w:p w14:paraId="4720EF33" w14:textId="77777777" w:rsidR="00EF314C" w:rsidRPr="000E6B5B" w:rsidRDefault="00F016BE" w:rsidP="00F016BE">
      <w:pPr>
        <w:pStyle w:val="CPQuestions"/>
      </w:pPr>
      <w:r w:rsidRPr="00F016BE">
        <w:t>Do you agree with the suggested approach? If not, what approach would you re</w:t>
      </w:r>
      <w:r w:rsidRPr="00F016BE">
        <w:t>c</w:t>
      </w:r>
      <w:r w:rsidRPr="00F016BE">
        <w:t>ommend</w:t>
      </w:r>
      <w:r w:rsidR="00EF314C" w:rsidRPr="00070630">
        <w:t>?</w:t>
      </w:r>
    </w:p>
    <w:p w14:paraId="55854214" w14:textId="77777777" w:rsidR="00EF314C" w:rsidRDefault="00EF314C" w:rsidP="00EF314C">
      <w:r>
        <w:t>&lt;ESMA_QUESTION_MIFID_TO_</w:t>
      </w:r>
      <w:r w:rsidR="00273633">
        <w:t>13</w:t>
      </w:r>
      <w:r>
        <w:t>&gt;</w:t>
      </w:r>
    </w:p>
    <w:p w14:paraId="7444EF33" w14:textId="77777777" w:rsidR="00EF314C" w:rsidRDefault="00EF314C" w:rsidP="00EF314C">
      <w:permStart w:id="794644929" w:edGrp="everyone"/>
      <w:r>
        <w:t>TYPE YOUR TEXT HERE</w:t>
      </w:r>
    </w:p>
    <w:permEnd w:id="794644929"/>
    <w:p w14:paraId="139973FC" w14:textId="77777777" w:rsidR="00EF314C" w:rsidRDefault="00EF314C" w:rsidP="00EF314C">
      <w:r>
        <w:t>&lt;ESMA_QUESTION_MIFID_TO_</w:t>
      </w:r>
      <w:r w:rsidR="00273633">
        <w:t>13</w:t>
      </w:r>
      <w:r>
        <w:t>&gt;</w:t>
      </w:r>
    </w:p>
    <w:p w14:paraId="01035927" w14:textId="77777777" w:rsidR="00EF314C" w:rsidRDefault="00EF314C" w:rsidP="00EF314C">
      <w:pPr>
        <w:rPr>
          <w:rFonts w:cs="Arial"/>
          <w:b/>
          <w:sz w:val="22"/>
          <w:szCs w:val="22"/>
          <w:lang w:eastAsia="en-US"/>
        </w:rPr>
      </w:pPr>
    </w:p>
    <w:p w14:paraId="787FCF08" w14:textId="77777777" w:rsidR="00EF314C" w:rsidRPr="000E6B5B" w:rsidRDefault="00F016BE" w:rsidP="00F016BE">
      <w:pPr>
        <w:pStyle w:val="CPQuestions"/>
      </w:pPr>
      <w:r w:rsidRPr="00F016BE">
        <w:t xml:space="preserve">Do you agree that trades above the post-trade large in scale threshold should not be subject to the </w:t>
      </w:r>
      <w:proofErr w:type="gramStart"/>
      <w:r w:rsidRPr="00F016BE">
        <w:t>TO</w:t>
      </w:r>
      <w:proofErr w:type="gramEnd"/>
      <w:r w:rsidRPr="00F016BE">
        <w:t>? If not, what approach would you suggest? Should transa</w:t>
      </w:r>
      <w:r w:rsidRPr="00F016BE">
        <w:t>c</w:t>
      </w:r>
      <w:r w:rsidRPr="00F016BE">
        <w:t>tions above the post-trade LIS threshold meet further conditions in order to be e</w:t>
      </w:r>
      <w:r w:rsidRPr="00F016BE">
        <w:t>x</w:t>
      </w:r>
      <w:r w:rsidRPr="00F016BE">
        <w:t xml:space="preserve">empted from the </w:t>
      </w:r>
      <w:proofErr w:type="gramStart"/>
      <w:r w:rsidRPr="00F016BE">
        <w:t>TO</w:t>
      </w:r>
      <w:proofErr w:type="gramEnd"/>
      <w:r w:rsidR="00EF314C" w:rsidRPr="00070630">
        <w:t>?</w:t>
      </w:r>
    </w:p>
    <w:p w14:paraId="5A366A01" w14:textId="77777777" w:rsidR="00EF314C" w:rsidRDefault="00EF314C" w:rsidP="00EF314C">
      <w:r>
        <w:t>&lt;ESMA_QUESTION_MIFID_TO_</w:t>
      </w:r>
      <w:r w:rsidR="00273633">
        <w:t>14</w:t>
      </w:r>
      <w:r>
        <w:t>&gt;</w:t>
      </w:r>
    </w:p>
    <w:p w14:paraId="748D96BB" w14:textId="77777777" w:rsidR="00EF314C" w:rsidRDefault="00EF314C" w:rsidP="00EF314C">
      <w:permStart w:id="1481261258" w:edGrp="everyone"/>
      <w:r>
        <w:t>TYPE YOUR TEXT HERE</w:t>
      </w:r>
    </w:p>
    <w:permEnd w:id="1481261258"/>
    <w:p w14:paraId="76DC7320" w14:textId="77777777" w:rsidR="00EF314C" w:rsidRDefault="00EF314C" w:rsidP="00EF314C">
      <w:r>
        <w:t>&lt;ESMA_QUESTION_MIFID_TO_</w:t>
      </w:r>
      <w:r w:rsidR="00273633">
        <w:t>14</w:t>
      </w:r>
      <w:r>
        <w:t>&gt;</w:t>
      </w:r>
    </w:p>
    <w:p w14:paraId="023981BF" w14:textId="77777777" w:rsidR="00EF314C" w:rsidRDefault="00EF314C" w:rsidP="00EF314C">
      <w:pPr>
        <w:rPr>
          <w:rFonts w:cs="Arial"/>
          <w:b/>
          <w:sz w:val="22"/>
          <w:szCs w:val="22"/>
          <w:lang w:eastAsia="en-US"/>
        </w:rPr>
      </w:pPr>
    </w:p>
    <w:p w14:paraId="73333E3F" w14:textId="77777777" w:rsidR="00EF314C" w:rsidRPr="000E6B5B" w:rsidRDefault="00F016BE" w:rsidP="00F016BE">
      <w:pPr>
        <w:pStyle w:val="CPQuestions"/>
      </w:pPr>
      <w:r w:rsidRPr="00F016BE">
        <w:t>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w:t>
      </w:r>
      <w:r w:rsidRPr="00F016BE">
        <w:t>r</w:t>
      </w:r>
      <w:r w:rsidRPr="00F016BE">
        <w:t xml:space="preserve">ency), how should the two liquidity </w:t>
      </w:r>
      <w:proofErr w:type="spellStart"/>
      <w:r w:rsidRPr="00F016BE">
        <w:t>tresholds</w:t>
      </w:r>
      <w:proofErr w:type="spellEnd"/>
      <w:r w:rsidRPr="00F016BE">
        <w:t xml:space="preserve"> relate to each other</w:t>
      </w:r>
      <w:r w:rsidR="00EF314C" w:rsidRPr="00070630">
        <w:t>?</w:t>
      </w:r>
    </w:p>
    <w:p w14:paraId="0FE7EA22" w14:textId="77777777" w:rsidR="00EF314C" w:rsidRDefault="00EF314C" w:rsidP="00EF314C">
      <w:r>
        <w:t>&lt;ESMA_QUESTION_MIFID_TO_</w:t>
      </w:r>
      <w:r w:rsidR="00273633">
        <w:t>15</w:t>
      </w:r>
      <w:r>
        <w:t>&gt;</w:t>
      </w:r>
    </w:p>
    <w:p w14:paraId="4F0DCC7A" w14:textId="77777777" w:rsidR="00EF314C" w:rsidRDefault="00EF314C" w:rsidP="00EF314C">
      <w:permStart w:id="259017783" w:edGrp="everyone"/>
      <w:r>
        <w:t>TYPE YOUR TEXT HERE</w:t>
      </w:r>
    </w:p>
    <w:permEnd w:id="259017783"/>
    <w:p w14:paraId="5F6A5204" w14:textId="77777777" w:rsidR="00EF314C" w:rsidRDefault="00EF314C" w:rsidP="00EF314C">
      <w:r>
        <w:t>&lt;ESMA_QUESTION_MIFID_TO_</w:t>
      </w:r>
      <w:r w:rsidR="00273633">
        <w:t>15</w:t>
      </w:r>
      <w:r>
        <w:t>&gt;</w:t>
      </w:r>
    </w:p>
    <w:p w14:paraId="0CD93A4C" w14:textId="77777777" w:rsidR="00EF314C" w:rsidRDefault="00EF314C" w:rsidP="00EF314C">
      <w:pPr>
        <w:rPr>
          <w:rFonts w:cs="Arial"/>
          <w:b/>
          <w:sz w:val="22"/>
          <w:szCs w:val="22"/>
          <w:lang w:eastAsia="en-US"/>
        </w:rPr>
      </w:pPr>
    </w:p>
    <w:p w14:paraId="049E3D18" w14:textId="77777777" w:rsidR="00EF314C" w:rsidRPr="000E6B5B" w:rsidRDefault="00FF5939" w:rsidP="00FF5939">
      <w:pPr>
        <w:pStyle w:val="CPQuestions"/>
      </w:pPr>
      <w:r w:rsidRPr="00FF5939">
        <w:t>Do you agree with the proposed methodology to eliminate duplicated trades or would you recommend another approach? Do you agree with selecting Option 2</w:t>
      </w:r>
      <w:r w:rsidR="00EF314C" w:rsidRPr="00070630">
        <w:t>?</w:t>
      </w:r>
    </w:p>
    <w:p w14:paraId="459A8022" w14:textId="77777777" w:rsidR="00EF314C" w:rsidRDefault="00EF314C" w:rsidP="00EF314C">
      <w:r>
        <w:t>&lt;ESMA_QUESTION_MIFID_TO_</w:t>
      </w:r>
      <w:r w:rsidR="00273633">
        <w:t>16</w:t>
      </w:r>
      <w:r>
        <w:t>&gt;</w:t>
      </w:r>
    </w:p>
    <w:p w14:paraId="53327DF4" w14:textId="77777777" w:rsidR="0050041B" w:rsidRDefault="0050041B" w:rsidP="0050041B">
      <w:pPr>
        <w:shd w:val="clear" w:color="auto" w:fill="FFFFFF"/>
        <w:spacing w:after="150" w:line="390" w:lineRule="atLeast"/>
        <w:rPr>
          <w:rFonts w:ascii="Calibri" w:hAnsi="Calibri"/>
        </w:rPr>
      </w:pPr>
      <w:r>
        <w:rPr>
          <w:rFonts w:ascii="Calibri" w:hAnsi="Calibri"/>
        </w:rPr>
        <w:t>ESMA should not select Option 2 based on the stated rational that “</w:t>
      </w:r>
      <w:r w:rsidRPr="006A27E6">
        <w:rPr>
          <w:sz w:val="22"/>
          <w:szCs w:val="22"/>
        </w:rPr>
        <w:t>Option 2 was chosen because it r</w:t>
      </w:r>
      <w:r w:rsidRPr="006A27E6">
        <w:rPr>
          <w:sz w:val="22"/>
          <w:szCs w:val="22"/>
        </w:rPr>
        <w:t>e</w:t>
      </w:r>
      <w:r w:rsidRPr="006A27E6">
        <w:rPr>
          <w:sz w:val="22"/>
          <w:szCs w:val="22"/>
        </w:rPr>
        <w:t>moves a number of records that is in between Option 1 and 3 and allows a more precise data selection (contrary to Option 1 it captures also the situation of non-direct clearing, and contrary to Option 3 it is not based on solely one field but takes into account a combination of fields).</w:t>
      </w:r>
      <w:r>
        <w:rPr>
          <w:sz w:val="22"/>
          <w:szCs w:val="22"/>
        </w:rPr>
        <w:t>”</w:t>
      </w:r>
    </w:p>
    <w:p w14:paraId="5316DF2B" w14:textId="77777777" w:rsidR="0050041B" w:rsidRDefault="0050041B" w:rsidP="0050041B">
      <w:r>
        <w:t xml:space="preserve">Instead ESMA should look for a control dataset that can be compared covering the product types and time period and determine whether the trade counts and trade </w:t>
      </w:r>
      <w:proofErr w:type="spellStart"/>
      <w:r>
        <w:t>notionals</w:t>
      </w:r>
      <w:proofErr w:type="spellEnd"/>
      <w:r>
        <w:t xml:space="preserve"> for the Options are reasonable.</w:t>
      </w:r>
    </w:p>
    <w:p w14:paraId="2F7C532F" w14:textId="77777777" w:rsidR="0050041B" w:rsidRDefault="0050041B" w:rsidP="0050041B"/>
    <w:p w14:paraId="4F8FEE64" w14:textId="77777777" w:rsidR="0050041B" w:rsidRDefault="0050041B" w:rsidP="0050041B">
      <w:r>
        <w:t xml:space="preserve">As a comparison we looked just at US Trade Repository data that we collect in our SDRView product on the basis that we have confidence in this dataset given that public dissemination in the US is single side </w:t>
      </w:r>
      <w:r>
        <w:lastRenderedPageBreak/>
        <w:t>reported and sufficiently granular (trade level) to allow us to isolate price forming trades and sub types of trades</w:t>
      </w:r>
    </w:p>
    <w:p w14:paraId="5FB954A2" w14:textId="77777777" w:rsidR="0050041B" w:rsidRDefault="0050041B" w:rsidP="0050041B"/>
    <w:p w14:paraId="63F0B0AD" w14:textId="77777777" w:rsidR="0050041B" w:rsidRDefault="0050041B" w:rsidP="0050041B">
      <w:r w:rsidRPr="004322B1">
        <w:t>Using </w:t>
      </w:r>
      <w:r w:rsidRPr="004322B1">
        <w:fldChar w:fldCharType="begin"/>
      </w:r>
      <w:r w:rsidRPr="004322B1">
        <w:instrText xml:space="preserve"> HYPERLINK "http://sdrview.clarusft.com/" \t "_blank" </w:instrText>
      </w:r>
      <w:r w:rsidRPr="004322B1">
        <w:fldChar w:fldCharType="separate"/>
      </w:r>
      <w:r w:rsidRPr="004322B1">
        <w:rPr>
          <w:u w:val="single"/>
        </w:rPr>
        <w:t>SDRView</w:t>
      </w:r>
      <w:r w:rsidRPr="004322B1">
        <w:fldChar w:fldCharType="end"/>
      </w:r>
      <w:r>
        <w:t> for the same six-</w:t>
      </w:r>
      <w:r w:rsidRPr="004322B1">
        <w:t xml:space="preserve">month period </w:t>
      </w:r>
      <w:r>
        <w:t xml:space="preserve">that ESMA used </w:t>
      </w:r>
      <w:r w:rsidRPr="004322B1">
        <w:t>and the largest 7 IRS</w:t>
      </w:r>
      <w:r>
        <w:t xml:space="preserve"> Fixed Float</w:t>
      </w:r>
      <w:r w:rsidRPr="004322B1">
        <w:t xml:space="preserve"> curre</w:t>
      </w:r>
      <w:r w:rsidRPr="004322B1">
        <w:t>n</w:t>
      </w:r>
      <w:r w:rsidRPr="004322B1">
        <w:t>cies, cleared and price forming trades only, we see the following:</w:t>
      </w:r>
    </w:p>
    <w:p w14:paraId="23B6D748" w14:textId="77777777" w:rsidR="0050041B" w:rsidRDefault="0050041B" w:rsidP="0050041B">
      <w:r>
        <w:rPr>
          <w:rFonts w:ascii="Helvetica Neue" w:hAnsi="Helvetica Neue"/>
          <w:noProof/>
          <w:color w:val="666666"/>
          <w:lang w:val="en-US" w:eastAsia="en-US"/>
        </w:rPr>
        <w:drawing>
          <wp:inline distT="0" distB="0" distL="0" distR="0" wp14:anchorId="249B8965" wp14:editId="7DF29F82">
            <wp:extent cx="5435600" cy="2052320"/>
            <wp:effectExtent l="0" t="0" r="0" b="5080"/>
            <wp:docPr id="9" name="Picture 9" descr="Macintosh HD:Users:amirkhw:Desktop:Docs:Marketing:Blogs:Trading Obligation under MiFiR:EST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irkhw:Desktop:Docs:Marketing:Blogs:Trading Obligation under MiFiR:ESTO-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0" cy="2052320"/>
                    </a:xfrm>
                    <a:prstGeom prst="rect">
                      <a:avLst/>
                    </a:prstGeom>
                    <a:noFill/>
                    <a:ln>
                      <a:noFill/>
                    </a:ln>
                  </pic:spPr>
                </pic:pic>
              </a:graphicData>
            </a:graphic>
          </wp:inline>
        </w:drawing>
      </w:r>
    </w:p>
    <w:p w14:paraId="386DB75A" w14:textId="77777777" w:rsidR="0050041B" w:rsidRDefault="0050041B" w:rsidP="0050041B"/>
    <w:p w14:paraId="641FDB7F" w14:textId="77777777" w:rsidR="0050041B" w:rsidRDefault="0050041B" w:rsidP="0050041B">
      <w:r w:rsidRPr="004322B1">
        <w:t xml:space="preserve">An average of 35,000 trades a month, while other currencies only add 1,500 to this number. </w:t>
      </w:r>
      <w:r>
        <w:t xml:space="preserve"> If we also include </w:t>
      </w:r>
      <w:proofErr w:type="spellStart"/>
      <w:r>
        <w:t>Uncleared</w:t>
      </w:r>
      <w:proofErr w:type="spellEnd"/>
      <w:r>
        <w:t xml:space="preserve"> Swaps, the monthly average rises to 40,000 trades. Meaning </w:t>
      </w:r>
      <w:r w:rsidRPr="004322B1">
        <w:t>th</w:t>
      </w:r>
      <w:r>
        <w:t>at in the US, there were 240,000</w:t>
      </w:r>
      <w:r w:rsidRPr="004322B1">
        <w:t xml:space="preserve"> </w:t>
      </w:r>
      <w:r>
        <w:t xml:space="preserve">Fixed Float Swaps </w:t>
      </w:r>
      <w:r w:rsidRPr="004322B1">
        <w:t>reported in the same six</w:t>
      </w:r>
      <w:r>
        <w:t>-</w:t>
      </w:r>
      <w:r w:rsidRPr="004322B1">
        <w:t xml:space="preserve"> month period</w:t>
      </w:r>
      <w:r>
        <w:t xml:space="preserve"> as ESMA’s Option 2 dataset with</w:t>
      </w:r>
      <w:r w:rsidRPr="004322B1">
        <w:t xml:space="preserve"> 475,515 trades.</w:t>
      </w:r>
    </w:p>
    <w:p w14:paraId="3534953E" w14:textId="77777777" w:rsidR="0050041B" w:rsidRPr="004322B1" w:rsidRDefault="0050041B" w:rsidP="0050041B"/>
    <w:p w14:paraId="3D4E39E6" w14:textId="77777777" w:rsidR="0050041B" w:rsidRDefault="0050041B" w:rsidP="0050041B">
      <w:pPr>
        <w:rPr>
          <w:shd w:val="clear" w:color="auto" w:fill="FFFFFF"/>
        </w:rPr>
      </w:pPr>
      <w:r w:rsidRPr="002057F4">
        <w:rPr>
          <w:shd w:val="clear" w:color="auto" w:fill="FFFFFF"/>
        </w:rPr>
        <w:t xml:space="preserve">The BIS </w:t>
      </w:r>
      <w:r>
        <w:rPr>
          <w:shd w:val="clear" w:color="auto" w:fill="FFFFFF"/>
        </w:rPr>
        <w:t xml:space="preserve">Triennial Survey </w:t>
      </w:r>
      <w:r w:rsidRPr="002057F4">
        <w:rPr>
          <w:shd w:val="clear" w:color="auto" w:fill="FFFFFF"/>
        </w:rPr>
        <w:t xml:space="preserve">(2016) found that turnover of OTC Interest Rate Derivatives is broadly </w:t>
      </w:r>
      <w:r>
        <w:rPr>
          <w:shd w:val="clear" w:color="auto" w:fill="FFFFFF"/>
        </w:rPr>
        <w:t xml:space="preserve">similar in New York and London, </w:t>
      </w:r>
      <w:r w:rsidRPr="002057F4">
        <w:rPr>
          <w:shd w:val="clear" w:color="auto" w:fill="FFFFFF"/>
        </w:rPr>
        <w:t>both accounting for ~40% o</w:t>
      </w:r>
      <w:r>
        <w:rPr>
          <w:shd w:val="clear" w:color="auto" w:fill="FFFFFF"/>
        </w:rPr>
        <w:t>f global volumes</w:t>
      </w:r>
      <w:r w:rsidRPr="002057F4">
        <w:rPr>
          <w:shd w:val="clear" w:color="auto" w:fill="FFFFFF"/>
        </w:rPr>
        <w:t xml:space="preserve">. </w:t>
      </w:r>
    </w:p>
    <w:p w14:paraId="7D10063E" w14:textId="77777777" w:rsidR="0050041B" w:rsidRDefault="0050041B" w:rsidP="0050041B">
      <w:pPr>
        <w:rPr>
          <w:shd w:val="clear" w:color="auto" w:fill="FFFFFF"/>
        </w:rPr>
      </w:pPr>
    </w:p>
    <w:p w14:paraId="6ACC629F" w14:textId="77777777" w:rsidR="0050041B" w:rsidRDefault="0050041B" w:rsidP="0050041B">
      <w:r w:rsidRPr="002057F4">
        <w:rPr>
          <w:shd w:val="clear" w:color="auto" w:fill="FFFFFF"/>
        </w:rPr>
        <w:t xml:space="preserve">We would therefore expect </w:t>
      </w:r>
      <w:r>
        <w:rPr>
          <w:shd w:val="clear" w:color="auto" w:fill="FFFFFF"/>
        </w:rPr>
        <w:t>a similar</w:t>
      </w:r>
      <w:r w:rsidRPr="002057F4">
        <w:rPr>
          <w:shd w:val="clear" w:color="auto" w:fill="FFFFFF"/>
        </w:rPr>
        <w:t xml:space="preserve"> number of trades in the ESMA data set as were reported</w:t>
      </w:r>
      <w:r>
        <w:rPr>
          <w:shd w:val="clear" w:color="auto" w:fill="FFFFFF"/>
        </w:rPr>
        <w:t xml:space="preserve"> to US SDRs (24</w:t>
      </w:r>
      <w:r w:rsidRPr="002057F4">
        <w:rPr>
          <w:shd w:val="clear" w:color="auto" w:fill="FFFFFF"/>
        </w:rPr>
        <w:t>0,000 trades)</w:t>
      </w:r>
      <w:r>
        <w:rPr>
          <w:shd w:val="clear" w:color="auto" w:fill="FFFFFF"/>
        </w:rPr>
        <w:t xml:space="preserve"> and the fact that the ESMA Option 2 number is almost double the US one is concerning.</w:t>
      </w:r>
    </w:p>
    <w:p w14:paraId="3DF04F65" w14:textId="77777777" w:rsidR="0050041B" w:rsidRDefault="0050041B" w:rsidP="0050041B"/>
    <w:p w14:paraId="4722A33E" w14:textId="77777777" w:rsidR="0050041B" w:rsidRDefault="0050041B" w:rsidP="0050041B"/>
    <w:p w14:paraId="16DD5B4A" w14:textId="77777777" w:rsidR="00EF314C" w:rsidRDefault="00EF314C" w:rsidP="0050041B">
      <w:r>
        <w:t>&lt;ESMA_QUESTION_MIFID_TO_</w:t>
      </w:r>
      <w:r w:rsidR="00273633">
        <w:t>16</w:t>
      </w:r>
      <w:r>
        <w:t>&gt;</w:t>
      </w:r>
    </w:p>
    <w:p w14:paraId="4503F096" w14:textId="77777777" w:rsidR="00EF314C" w:rsidRDefault="00EF314C" w:rsidP="00EF314C">
      <w:pPr>
        <w:rPr>
          <w:rFonts w:cs="Arial"/>
          <w:b/>
          <w:sz w:val="22"/>
          <w:szCs w:val="22"/>
          <w:lang w:eastAsia="en-US"/>
        </w:rPr>
      </w:pPr>
    </w:p>
    <w:p w14:paraId="43318801" w14:textId="77777777" w:rsidR="00EF314C" w:rsidRPr="000E6B5B" w:rsidRDefault="00FF5939" w:rsidP="00FF5939">
      <w:pPr>
        <w:pStyle w:val="CPQuestions"/>
      </w:pPr>
      <w:r w:rsidRPr="00FF5939">
        <w:t>Do you agree with the approach taken with regard to calculating tenors</w:t>
      </w:r>
      <w:r w:rsidR="00EF314C" w:rsidRPr="00070630">
        <w:t>?</w:t>
      </w:r>
    </w:p>
    <w:p w14:paraId="5E3B5C36" w14:textId="77777777" w:rsidR="00EF314C" w:rsidRDefault="00EF314C" w:rsidP="00EF314C">
      <w:r>
        <w:t>&lt;ESMA_QUESTION_MIFID_TO_</w:t>
      </w:r>
      <w:r w:rsidR="00273633">
        <w:t>1</w:t>
      </w:r>
      <w:r>
        <w:t>7&gt;</w:t>
      </w:r>
    </w:p>
    <w:p w14:paraId="3235C3B9" w14:textId="77777777" w:rsidR="00626D19" w:rsidRDefault="00626D19" w:rsidP="00EF314C"/>
    <w:p w14:paraId="36F86742" w14:textId="77777777" w:rsidR="00626D19" w:rsidRDefault="00626D19" w:rsidP="00626D19">
      <w:r w:rsidRPr="004322B1">
        <w:t xml:space="preserve">It is wrong to calculate tenor as the difference between </w:t>
      </w:r>
      <w:r>
        <w:t xml:space="preserve">maturity and execution date, instead tenor should be determined by using trade date, effective (start) date and maturity date and using the business holiday calendar and date roll conventions specific to each currency. </w:t>
      </w:r>
    </w:p>
    <w:p w14:paraId="729E2837" w14:textId="77777777" w:rsidR="00626D19" w:rsidRDefault="00626D19" w:rsidP="00626D19">
      <w:pPr>
        <w:pStyle w:val="Default"/>
        <w:rPr>
          <w:rFonts w:ascii="Calibri" w:hAnsi="Calibri"/>
          <w:bCs/>
        </w:rPr>
      </w:pPr>
    </w:p>
    <w:p w14:paraId="2EE096FF" w14:textId="77777777" w:rsidR="00626D19" w:rsidRDefault="00626D19" w:rsidP="00626D19">
      <w:r>
        <w:rPr>
          <w:bCs/>
        </w:rPr>
        <w:t xml:space="preserve">In addition spot starting swaps (e.g. 5Y Swap) should be distinguished from forward starting swaps (e.g. 1Y into 4Y). </w:t>
      </w:r>
      <w:r w:rsidRPr="00C701D7">
        <w:t xml:space="preserve">The flaw in </w:t>
      </w:r>
      <w:r>
        <w:t>not doing so is that</w:t>
      </w:r>
      <w:r w:rsidRPr="00C701D7">
        <w:t xml:space="preserve"> many swaps are forward start, which are not distinguished from spot starting, so a 5Y into 5Y forward would end up in a 10Y tenor. This approach is carried down into the liquidity assessment by tenor further muddying the figures for liquidity in a vanilla swap for a benchmark tenor. We know from </w:t>
      </w:r>
      <w:r>
        <w:t>US TR D</w:t>
      </w:r>
      <w:r w:rsidRPr="00C701D7">
        <w:t>ata that Forward Start Swaps represent roughly 20% of the overall volume in USD IRS.</w:t>
      </w:r>
    </w:p>
    <w:p w14:paraId="1805D129" w14:textId="77777777" w:rsidR="00626D19" w:rsidRDefault="00626D19" w:rsidP="00626D19"/>
    <w:p w14:paraId="05319333" w14:textId="790D8DCC" w:rsidR="00EF314C" w:rsidRDefault="00EF314C" w:rsidP="00626D19">
      <w:r>
        <w:t>&lt;ESMA_QUESTION_MIFID_TO_</w:t>
      </w:r>
      <w:r w:rsidR="00273633">
        <w:t>1</w:t>
      </w:r>
      <w:r>
        <w:t>7&gt;</w:t>
      </w:r>
    </w:p>
    <w:p w14:paraId="59E8C42C" w14:textId="77777777" w:rsidR="00EF314C" w:rsidRDefault="00EF314C" w:rsidP="00EF314C">
      <w:pPr>
        <w:rPr>
          <w:rFonts w:cs="Arial"/>
          <w:b/>
          <w:sz w:val="22"/>
          <w:szCs w:val="22"/>
          <w:lang w:eastAsia="en-US"/>
        </w:rPr>
      </w:pPr>
    </w:p>
    <w:p w14:paraId="51BAB21C" w14:textId="77777777" w:rsidR="00EF314C" w:rsidRPr="000E6B5B" w:rsidRDefault="00FF5939" w:rsidP="00FF5939">
      <w:pPr>
        <w:pStyle w:val="CPQuestions"/>
      </w:pPr>
      <w:r w:rsidRPr="00FF5939">
        <w:t>Do you agree with the reasons mentioned above or is there another explanation for the significant number of trades outside of benchmark dates</w:t>
      </w:r>
      <w:r w:rsidR="00EF314C" w:rsidRPr="00070630">
        <w:t>?</w:t>
      </w:r>
    </w:p>
    <w:p w14:paraId="024FCC1E" w14:textId="77777777" w:rsidR="00EF314C" w:rsidRDefault="00EF314C" w:rsidP="00EF314C">
      <w:r>
        <w:lastRenderedPageBreak/>
        <w:t>&lt;ESMA_QUESTION_MIFID_TO_</w:t>
      </w:r>
      <w:r w:rsidR="00273633">
        <w:t>18</w:t>
      </w:r>
      <w:r>
        <w:t>&gt;</w:t>
      </w:r>
    </w:p>
    <w:p w14:paraId="4A565C9C" w14:textId="77777777" w:rsidR="00EF314C" w:rsidRDefault="00EF314C" w:rsidP="00EF314C">
      <w:permStart w:id="32531866" w:edGrp="everyone"/>
      <w:r>
        <w:t>TYPE YOUR TEXT HERE</w:t>
      </w:r>
    </w:p>
    <w:permEnd w:id="32531866"/>
    <w:p w14:paraId="6E2BB1FA" w14:textId="77777777" w:rsidR="00EF314C" w:rsidRDefault="00EF314C" w:rsidP="00EF314C">
      <w:r>
        <w:t>&lt;ESMA_QUESTION_MIFID_TO_</w:t>
      </w:r>
      <w:r w:rsidR="00273633">
        <w:t>18</w:t>
      </w:r>
      <w:r>
        <w:t>&gt;</w:t>
      </w:r>
    </w:p>
    <w:p w14:paraId="1D57A47B" w14:textId="77777777" w:rsidR="00EF314C" w:rsidRDefault="00EF314C" w:rsidP="00EF314C">
      <w:pPr>
        <w:rPr>
          <w:rFonts w:cs="Arial"/>
          <w:b/>
          <w:sz w:val="22"/>
          <w:szCs w:val="22"/>
          <w:lang w:eastAsia="en-US"/>
        </w:rPr>
      </w:pPr>
    </w:p>
    <w:p w14:paraId="464DC273" w14:textId="77777777" w:rsidR="00EF314C" w:rsidRPr="000E6B5B" w:rsidRDefault="00FF5939" w:rsidP="00FF5939">
      <w:pPr>
        <w:pStyle w:val="CPQuestions"/>
      </w:pPr>
      <w:r w:rsidRPr="00FF5939">
        <w:t>Does this result reflect your assessment of liquidity in fixed-float IRS? If not, please explain on which subclasses you disagree and why</w:t>
      </w:r>
      <w:r>
        <w:t>.</w:t>
      </w:r>
    </w:p>
    <w:p w14:paraId="30297F5C" w14:textId="77777777" w:rsidR="00EF314C" w:rsidRDefault="00EF314C" w:rsidP="00EF314C">
      <w:r>
        <w:t>&lt;ESMA_QUESTION_MIFID_TO_</w:t>
      </w:r>
      <w:r w:rsidR="00273633">
        <w:t>19</w:t>
      </w:r>
      <w:r>
        <w:t>&gt;</w:t>
      </w:r>
    </w:p>
    <w:p w14:paraId="702EA406" w14:textId="77777777" w:rsidR="00626D19" w:rsidRDefault="00626D19" w:rsidP="00EF314C"/>
    <w:p w14:paraId="5E31FEB6" w14:textId="77777777" w:rsidR="00626D19" w:rsidRDefault="00626D19" w:rsidP="00626D19">
      <w:r>
        <w:t>No it does not, as t</w:t>
      </w:r>
      <w:r w:rsidRPr="00DF472A">
        <w:t xml:space="preserve">he types of fixed-float IRS are crucial to understand liquidity and the information on the conventions are necessary to distinguish types of Swaps. Standard Swaps trade with respect to a specific Index (e.g. </w:t>
      </w:r>
      <w:proofErr w:type="spellStart"/>
      <w:r w:rsidRPr="00DF472A">
        <w:t>Euribor</w:t>
      </w:r>
      <w:proofErr w:type="spellEnd"/>
      <w:r w:rsidRPr="00DF472A">
        <w:t>, Libor) and Tenor as well as specific conventions on payment frequency, day count and calendars. Such Swaps are well traded and likely to be liquid, while Swaps with non-standard terms are less likely to be liquid.</w:t>
      </w:r>
    </w:p>
    <w:p w14:paraId="3F0571F2" w14:textId="77777777" w:rsidR="00626D19" w:rsidRPr="00DF472A" w:rsidRDefault="00626D19" w:rsidP="00626D19">
      <w:pPr>
        <w:pStyle w:val="Default"/>
        <w:rPr>
          <w:rFonts w:ascii="Calibri" w:hAnsi="Calibri"/>
        </w:rPr>
      </w:pPr>
    </w:p>
    <w:p w14:paraId="4EF124FC" w14:textId="77777777" w:rsidR="00626D19" w:rsidRPr="00DF472A" w:rsidRDefault="00626D19" w:rsidP="00626D19">
      <w:r w:rsidRPr="00DF472A">
        <w:t>In the US the CFTC </w:t>
      </w:r>
      <w:r w:rsidRPr="00DF472A">
        <w:fldChar w:fldCharType="begin"/>
      </w:r>
      <w:r w:rsidRPr="00DF472A">
        <w:instrText xml:space="preserve"> HYPERLINK "https://www.clarusft.com/glossary/mat/" \o "Glossary: MAT" \t "_blank" </w:instrText>
      </w:r>
      <w:r w:rsidRPr="00DF472A">
        <w:fldChar w:fldCharType="separate"/>
      </w:r>
      <w:r w:rsidRPr="00DF472A">
        <w:rPr>
          <w:u w:val="single"/>
        </w:rPr>
        <w:t>MAT</w:t>
      </w:r>
      <w:r w:rsidRPr="00DF472A">
        <w:fldChar w:fldCharType="end"/>
      </w:r>
      <w:r w:rsidRPr="00DF472A">
        <w:t> table distingu</w:t>
      </w:r>
      <w:r>
        <w:t>ishes between Spot starting par swaps, IMM swaps, MAC swaps,</w:t>
      </w:r>
      <w:r w:rsidRPr="00DF472A">
        <w:t xml:space="preserve"> none of which has been possible for ESMA to do with TR data.</w:t>
      </w:r>
    </w:p>
    <w:p w14:paraId="1424A9BF" w14:textId="77777777" w:rsidR="00626D19" w:rsidRDefault="00626D19" w:rsidP="00626D19">
      <w:r>
        <w:t xml:space="preserve">ESMA analysis shows that EUR </w:t>
      </w:r>
      <w:r w:rsidRPr="00DF472A">
        <w:t>1Y, 8Y, 9Y, 12Y have a much lower number of trades than the other tenors</w:t>
      </w:r>
      <w:r>
        <w:t xml:space="preserve"> and comparing with the CFTC </w:t>
      </w:r>
      <w:r w:rsidRPr="00DF472A">
        <w:t>tables we find that these tenors are not MAT</w:t>
      </w:r>
      <w:r>
        <w:t>.</w:t>
      </w:r>
    </w:p>
    <w:p w14:paraId="5D90C1D4" w14:textId="77777777" w:rsidR="00626D19" w:rsidRPr="00DF472A" w:rsidRDefault="00626D19" w:rsidP="00626D19"/>
    <w:p w14:paraId="1568B9C2" w14:textId="77777777" w:rsidR="00626D19" w:rsidRDefault="00626D19" w:rsidP="00626D19">
      <w:r>
        <w:t xml:space="preserve">Again we need </w:t>
      </w:r>
      <w:r w:rsidRPr="00DF472A">
        <w:t>a control dataset to know whether the above is reasonable.</w:t>
      </w:r>
      <w:r>
        <w:t xml:space="preserve"> </w:t>
      </w:r>
      <w:r w:rsidRPr="00DF472A">
        <w:t>So lets turn again to </w:t>
      </w:r>
      <w:r w:rsidRPr="00DF472A">
        <w:fldChar w:fldCharType="begin"/>
      </w:r>
      <w:r w:rsidRPr="00DF472A">
        <w:instrText xml:space="preserve"> HYPERLINK "http://sdrview.clarusft.com/" \t "_blank" </w:instrText>
      </w:r>
      <w:r w:rsidRPr="00DF472A">
        <w:fldChar w:fldCharType="separate"/>
      </w:r>
      <w:r w:rsidRPr="00DF472A">
        <w:rPr>
          <w:u w:val="single"/>
        </w:rPr>
        <w:t>SDRView</w:t>
      </w:r>
      <w:r w:rsidRPr="00DF472A">
        <w:fldChar w:fldCharType="end"/>
      </w:r>
      <w:r w:rsidRPr="00DF472A">
        <w:t xml:space="preserve"> on the assumption that EUR IRS traded by US persons are likely to be a fraction of the European, most likely less than half. </w:t>
      </w:r>
    </w:p>
    <w:p w14:paraId="6DAB15D9" w14:textId="77777777" w:rsidR="00626D19" w:rsidRDefault="00626D19" w:rsidP="00626D19"/>
    <w:p w14:paraId="577225E2" w14:textId="77777777" w:rsidR="00626D19" w:rsidRPr="00DF472A" w:rsidRDefault="00626D19" w:rsidP="00626D19">
      <w:r w:rsidRPr="00DF472A">
        <w:t>The table below shows this data.</w:t>
      </w:r>
    </w:p>
    <w:p w14:paraId="48575FC8" w14:textId="77777777" w:rsidR="00626D19" w:rsidRDefault="00626D19" w:rsidP="00EF314C"/>
    <w:p w14:paraId="51243946" w14:textId="1DCBC9A8" w:rsidR="00626D19" w:rsidRDefault="00626D19" w:rsidP="00EF314C">
      <w:r>
        <w:rPr>
          <w:rFonts w:ascii="Calibri" w:hAnsi="Calibri"/>
          <w:noProof/>
          <w:lang w:val="en-US" w:eastAsia="en-US"/>
        </w:rPr>
        <w:drawing>
          <wp:inline distT="0" distB="0" distL="0" distR="0" wp14:anchorId="2E0400C8" wp14:editId="6A9ECED2">
            <wp:extent cx="2854325" cy="2921223"/>
            <wp:effectExtent l="0" t="0" r="0" b="0"/>
            <wp:docPr id="10" name="Picture 10" descr="Macintosh HD:Users:amirkhw:Desktop:Docs:Marketing:Blogs:Trading Obligation under MiFiR:EST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mirkhw:Desktop:Docs:Marketing:Blogs:Trading Obligation under MiFiR:ESTO-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5021" cy="2921935"/>
                    </a:xfrm>
                    <a:prstGeom prst="rect">
                      <a:avLst/>
                    </a:prstGeom>
                    <a:noFill/>
                    <a:ln>
                      <a:noFill/>
                    </a:ln>
                  </pic:spPr>
                </pic:pic>
              </a:graphicData>
            </a:graphic>
          </wp:inline>
        </w:drawing>
      </w:r>
    </w:p>
    <w:p w14:paraId="3A3650F2" w14:textId="77777777" w:rsidR="00626D19" w:rsidRDefault="00626D19" w:rsidP="00EF314C"/>
    <w:p w14:paraId="6B974509" w14:textId="77777777" w:rsidR="00626D19" w:rsidRPr="00DF472A" w:rsidRDefault="00626D19" w:rsidP="00626D19">
      <w:pPr>
        <w:shd w:val="clear" w:color="auto" w:fill="FFFFFF"/>
        <w:spacing w:after="150" w:line="390" w:lineRule="atLeast"/>
        <w:rPr>
          <w:rFonts w:ascii="Calibri" w:hAnsi="Calibri"/>
        </w:rPr>
      </w:pPr>
      <w:r w:rsidRPr="00DF472A">
        <w:rPr>
          <w:rFonts w:ascii="Calibri" w:hAnsi="Calibri"/>
        </w:rPr>
        <w:t>Comparing the two datasets:</w:t>
      </w:r>
    </w:p>
    <w:p w14:paraId="25405FFC" w14:textId="77777777" w:rsidR="00626D19" w:rsidRPr="00DF472A" w:rsidRDefault="00626D19" w:rsidP="00626D19">
      <w:pPr>
        <w:pStyle w:val="ListParagraph"/>
        <w:numPr>
          <w:ilvl w:val="0"/>
          <w:numId w:val="38"/>
        </w:numPr>
        <w:shd w:val="clear" w:color="auto" w:fill="FFFFFF"/>
        <w:spacing w:before="100" w:beforeAutospacing="1" w:after="100" w:afterAutospacing="1" w:line="390" w:lineRule="atLeast"/>
        <w:rPr>
          <w:rFonts w:ascii="Calibri" w:hAnsi="Calibri"/>
        </w:rPr>
      </w:pPr>
      <w:r w:rsidRPr="00DF472A">
        <w:rPr>
          <w:rFonts w:ascii="Calibri" w:hAnsi="Calibri"/>
        </w:rPr>
        <w:t xml:space="preserve">It is surprising that the ESMA counts and </w:t>
      </w:r>
      <w:proofErr w:type="spellStart"/>
      <w:r w:rsidRPr="00DF472A">
        <w:rPr>
          <w:rFonts w:ascii="Calibri" w:hAnsi="Calibri"/>
        </w:rPr>
        <w:t>notionals</w:t>
      </w:r>
      <w:proofErr w:type="spellEnd"/>
      <w:r w:rsidRPr="00DF472A">
        <w:rPr>
          <w:rFonts w:ascii="Calibri" w:hAnsi="Calibri"/>
        </w:rPr>
        <w:t xml:space="preserve"> are not much higher</w:t>
      </w:r>
    </w:p>
    <w:p w14:paraId="31AF07D0" w14:textId="77777777" w:rsidR="00626D19" w:rsidRPr="00DF472A" w:rsidRDefault="00626D19" w:rsidP="00626D19">
      <w:pPr>
        <w:pStyle w:val="ListParagraph"/>
        <w:numPr>
          <w:ilvl w:val="1"/>
          <w:numId w:val="38"/>
        </w:numPr>
        <w:shd w:val="clear" w:color="auto" w:fill="FFFFFF"/>
        <w:spacing w:before="100" w:beforeAutospacing="1" w:after="100" w:afterAutospacing="1" w:line="390" w:lineRule="atLeast"/>
        <w:rPr>
          <w:rFonts w:ascii="Calibri" w:hAnsi="Calibri"/>
        </w:rPr>
      </w:pPr>
      <w:proofErr w:type="gramStart"/>
      <w:r w:rsidRPr="00DF472A">
        <w:rPr>
          <w:rFonts w:ascii="Calibri" w:hAnsi="Calibri"/>
        </w:rPr>
        <w:t>e</w:t>
      </w:r>
      <w:proofErr w:type="gramEnd"/>
      <w:r w:rsidRPr="00DF472A">
        <w:rPr>
          <w:rFonts w:ascii="Calibri" w:hAnsi="Calibri"/>
        </w:rPr>
        <w:t>.g. for 5Y </w:t>
      </w:r>
      <w:r w:rsidRPr="00DF472A">
        <w:rPr>
          <w:rFonts w:ascii="Calibri" w:hAnsi="Calibri"/>
        </w:rPr>
        <w:fldChar w:fldCharType="begin"/>
      </w:r>
      <w:r w:rsidRPr="00DF472A">
        <w:rPr>
          <w:rFonts w:ascii="Calibri" w:hAnsi="Calibri"/>
        </w:rPr>
        <w:instrText xml:space="preserve"> HYPERLINK "https://www.clarusft.com/glossary/sdrview/" \o "Glossary: SDRView" \t "_blank" </w:instrText>
      </w:r>
      <w:r w:rsidRPr="00DF472A">
        <w:rPr>
          <w:rFonts w:ascii="Calibri" w:hAnsi="Calibri"/>
        </w:rPr>
        <w:fldChar w:fldCharType="separate"/>
      </w:r>
      <w:r w:rsidRPr="00DF472A">
        <w:rPr>
          <w:rFonts w:ascii="Calibri" w:hAnsi="Calibri"/>
          <w:u w:val="single"/>
        </w:rPr>
        <w:t>SDRView</w:t>
      </w:r>
      <w:r w:rsidRPr="00DF472A">
        <w:rPr>
          <w:rFonts w:ascii="Calibri" w:hAnsi="Calibri"/>
        </w:rPr>
        <w:fldChar w:fldCharType="end"/>
      </w:r>
      <w:r w:rsidRPr="00DF472A">
        <w:rPr>
          <w:rFonts w:ascii="Calibri" w:hAnsi="Calibri"/>
        </w:rPr>
        <w:t> has 6,320 trades while ESMA has 8,918.</w:t>
      </w:r>
    </w:p>
    <w:p w14:paraId="22CB720F" w14:textId="77777777" w:rsidR="00626D19" w:rsidRPr="00DF472A" w:rsidRDefault="00626D19" w:rsidP="00626D19">
      <w:pPr>
        <w:pStyle w:val="ListParagraph"/>
        <w:numPr>
          <w:ilvl w:val="0"/>
          <w:numId w:val="38"/>
        </w:numPr>
        <w:shd w:val="clear" w:color="auto" w:fill="FFFFFF"/>
        <w:spacing w:before="100" w:beforeAutospacing="1" w:after="100" w:afterAutospacing="1" w:line="390" w:lineRule="atLeast"/>
        <w:rPr>
          <w:rFonts w:ascii="Calibri" w:hAnsi="Calibri"/>
        </w:rPr>
      </w:pPr>
      <w:r w:rsidRPr="00DF472A">
        <w:rPr>
          <w:rFonts w:ascii="Calibri" w:hAnsi="Calibri"/>
        </w:rPr>
        <w:t>USD SDR data lends credence to the ESMA finding tha</w:t>
      </w:r>
      <w:r>
        <w:rPr>
          <w:rFonts w:ascii="Calibri" w:hAnsi="Calibri"/>
        </w:rPr>
        <w:t>t 1Y and 9Y may be liquid</w:t>
      </w:r>
    </w:p>
    <w:p w14:paraId="71E36577" w14:textId="77777777" w:rsidR="00626D19" w:rsidRPr="00DF472A" w:rsidRDefault="00626D19" w:rsidP="00626D19">
      <w:pPr>
        <w:pStyle w:val="ListParagraph"/>
        <w:numPr>
          <w:ilvl w:val="0"/>
          <w:numId w:val="38"/>
        </w:numPr>
        <w:shd w:val="clear" w:color="auto" w:fill="FFFFFF"/>
        <w:spacing w:before="100" w:beforeAutospacing="1" w:after="100" w:afterAutospacing="1" w:line="390" w:lineRule="atLeast"/>
        <w:rPr>
          <w:rFonts w:ascii="Calibri" w:hAnsi="Calibri"/>
        </w:rPr>
      </w:pPr>
      <w:r w:rsidRPr="00DF472A">
        <w:rPr>
          <w:rFonts w:ascii="Calibri" w:hAnsi="Calibri"/>
        </w:rPr>
        <w:lastRenderedPageBreak/>
        <w:t>But it does not support the ESMA finding on 8Y and 12Y</w:t>
      </w:r>
    </w:p>
    <w:p w14:paraId="3BB87307" w14:textId="77777777" w:rsidR="00626D19" w:rsidRDefault="00626D19" w:rsidP="00626D19">
      <w:r w:rsidRPr="00DF472A">
        <w:t xml:space="preserve">However the fact remains that in this case the ESMA numbers look lower compared to </w:t>
      </w:r>
      <w:r>
        <w:t>the US than we</w:t>
      </w:r>
      <w:r w:rsidRPr="00DF472A">
        <w:t xml:space="preserve"> would expect. And the Sum of the ESMA EUR trade counts also looks a much smaller fraction of the overall IRS total in Option 2 of 475,515; a number I would expect to be dominated by EUR IRS in benc</w:t>
      </w:r>
      <w:r w:rsidRPr="00DF472A">
        <w:t>h</w:t>
      </w:r>
      <w:r w:rsidRPr="00DF472A">
        <w:t>mark tenors.</w:t>
      </w:r>
    </w:p>
    <w:p w14:paraId="2E21A37E" w14:textId="77777777" w:rsidR="00626D19" w:rsidRPr="00DF472A" w:rsidRDefault="00626D19" w:rsidP="00626D19"/>
    <w:p w14:paraId="5B89EB58" w14:textId="77777777" w:rsidR="00626D19" w:rsidRPr="00DF472A" w:rsidRDefault="00626D19" w:rsidP="00626D19">
      <w:pPr>
        <w:shd w:val="clear" w:color="auto" w:fill="FFFFFF"/>
        <w:spacing w:after="150" w:line="390" w:lineRule="atLeast"/>
        <w:rPr>
          <w:rFonts w:ascii="Calibri" w:hAnsi="Calibri"/>
        </w:rPr>
      </w:pPr>
      <w:r>
        <w:rPr>
          <w:rFonts w:ascii="Calibri" w:hAnsi="Calibri"/>
        </w:rPr>
        <w:t>For the other currencies:</w:t>
      </w:r>
    </w:p>
    <w:p w14:paraId="55166F40"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GBP only has 5Y, 10Y, 30Y as sufficiently liquid</w:t>
      </w:r>
    </w:p>
    <w:p w14:paraId="58B6D3BF"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Contrast this with CFTC MAT which has 2Y, 3Y, 4Y, 5Y, 6Y, 7Y, 10Y, 15Y, 20Y, 30Y</w:t>
      </w:r>
    </w:p>
    <w:p w14:paraId="78E63CFF"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SDRView data shows that 1Y, 2Y, 3Y, 15Y should be considered</w:t>
      </w:r>
    </w:p>
    <w:p w14:paraId="33BEF115"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JPY has 5Y, 7Y, 10Y, 20Y as sufficiently liquid</w:t>
      </w:r>
    </w:p>
    <w:p w14:paraId="3F338294"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CFTC does not have a MAT in place for JPY IRS</w:t>
      </w:r>
    </w:p>
    <w:p w14:paraId="36253A56"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Japan has 5Y, 7Y, 10Y as MAT</w:t>
      </w:r>
    </w:p>
    <w:p w14:paraId="4D3BD586"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USD has 1Y as sufficiently liquid while it is not MAT for CFTC</w:t>
      </w:r>
    </w:p>
    <w:p w14:paraId="0B7B5F2F"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CFTC has 2Y, 3Y, 4Y, 5Y, 6Y, 7Y, 10Y, 12Y, 15Y, 20Y, 30Y</w:t>
      </w:r>
    </w:p>
    <w:p w14:paraId="16FF37F6"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SDRView data is higher than ESMA for USD IRS, as we would expect</w:t>
      </w:r>
    </w:p>
    <w:p w14:paraId="5812A072" w14:textId="77777777" w:rsidR="00626D19" w:rsidRPr="00DF472A" w:rsidRDefault="00626D19" w:rsidP="00626D19">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SDRView for 10Y has 34,876 trades while ESMA has 12,014</w:t>
      </w:r>
    </w:p>
    <w:p w14:paraId="055726A3" w14:textId="15492FD8" w:rsidR="00626D19" w:rsidRPr="00626D19" w:rsidRDefault="00626D19" w:rsidP="00EF314C">
      <w:pPr>
        <w:pStyle w:val="ListParagraph"/>
        <w:numPr>
          <w:ilvl w:val="0"/>
          <w:numId w:val="39"/>
        </w:numPr>
        <w:shd w:val="clear" w:color="auto" w:fill="FFFFFF"/>
        <w:spacing w:before="100" w:beforeAutospacing="1" w:after="100" w:afterAutospacing="1" w:line="390" w:lineRule="atLeast"/>
        <w:rPr>
          <w:rFonts w:ascii="Calibri" w:hAnsi="Calibri"/>
        </w:rPr>
      </w:pPr>
      <w:r w:rsidRPr="00DF472A">
        <w:rPr>
          <w:rFonts w:ascii="Calibri" w:hAnsi="Calibri"/>
        </w:rPr>
        <w:t>SDRView for 7Y has 8,857 trades wile ESMA has 1,921</w:t>
      </w:r>
    </w:p>
    <w:p w14:paraId="7B71F787" w14:textId="77777777" w:rsidR="00626D19" w:rsidRDefault="00626D19" w:rsidP="00EF314C"/>
    <w:p w14:paraId="18B033A8" w14:textId="77777777" w:rsidR="00EF314C" w:rsidRDefault="00EF314C" w:rsidP="00EF314C">
      <w:r>
        <w:t>&lt;ESMA_QUESTION_MIFID_TO_</w:t>
      </w:r>
      <w:r w:rsidR="00273633">
        <w:t>19</w:t>
      </w:r>
      <w:r>
        <w:t>&gt;</w:t>
      </w:r>
    </w:p>
    <w:p w14:paraId="3ABA7DB0" w14:textId="77777777" w:rsidR="00EF314C" w:rsidRDefault="00EF314C" w:rsidP="00EF314C">
      <w:pPr>
        <w:rPr>
          <w:rFonts w:cs="Arial"/>
          <w:b/>
          <w:sz w:val="22"/>
          <w:szCs w:val="22"/>
          <w:lang w:eastAsia="en-US"/>
        </w:rPr>
      </w:pPr>
    </w:p>
    <w:p w14:paraId="1F74919F" w14:textId="77777777" w:rsidR="00EF314C" w:rsidRPr="000E6B5B" w:rsidRDefault="00FF5939" w:rsidP="00FF5939">
      <w:pPr>
        <w:pStyle w:val="CPQuestions"/>
      </w:pPr>
      <w:r w:rsidRPr="00FF5939">
        <w:t>What thresholds would you propose as the liquidity criteria? What minimum nu</w:t>
      </w:r>
      <w:r w:rsidRPr="00FF5939">
        <w:t>m</w:t>
      </w:r>
      <w:r w:rsidRPr="00FF5939">
        <w:t xml:space="preserve">ber of counterparties would you consider appropriate for introducing the </w:t>
      </w:r>
      <w:proofErr w:type="gramStart"/>
      <w:r w:rsidRPr="00FF5939">
        <w:t>TO</w:t>
      </w:r>
      <w:proofErr w:type="gramEnd"/>
      <w:r w:rsidR="00EF314C" w:rsidRPr="00070630">
        <w:t>?</w:t>
      </w:r>
    </w:p>
    <w:p w14:paraId="56033B94" w14:textId="77777777" w:rsidR="00EF314C" w:rsidRDefault="00EF314C" w:rsidP="00EF314C">
      <w:r>
        <w:t>&lt;ESMA_QUESTION_MIFID_TO_</w:t>
      </w:r>
      <w:r w:rsidR="00273633">
        <w:t>20</w:t>
      </w:r>
      <w:r>
        <w:t>&gt;</w:t>
      </w:r>
    </w:p>
    <w:p w14:paraId="55118D28" w14:textId="77777777" w:rsidR="00EF314C" w:rsidRDefault="00EF314C" w:rsidP="00EF314C">
      <w:permStart w:id="1367111793" w:edGrp="everyone"/>
      <w:r>
        <w:t>TYPE YOUR TEXT HERE</w:t>
      </w:r>
    </w:p>
    <w:permEnd w:id="1367111793"/>
    <w:p w14:paraId="1D61230E" w14:textId="77777777" w:rsidR="00EF314C" w:rsidRDefault="00EF314C" w:rsidP="00EF314C">
      <w:r>
        <w:t>&lt;ESMA_QUESTION_MIFID_TO_</w:t>
      </w:r>
      <w:r w:rsidR="00273633">
        <w:t>20</w:t>
      </w:r>
      <w:r>
        <w:t>&gt;</w:t>
      </w:r>
    </w:p>
    <w:p w14:paraId="328A9CAA" w14:textId="77777777" w:rsidR="00EF314C" w:rsidRDefault="00EF314C" w:rsidP="00EF314C">
      <w:pPr>
        <w:rPr>
          <w:rFonts w:cs="Arial"/>
          <w:b/>
          <w:sz w:val="22"/>
          <w:szCs w:val="22"/>
          <w:lang w:eastAsia="en-US"/>
        </w:rPr>
      </w:pPr>
    </w:p>
    <w:p w14:paraId="0AA8F1AA" w14:textId="77777777"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w:t>
      </w:r>
      <w:r w:rsidRPr="00FF5939">
        <w:t>d</w:t>
      </w:r>
      <w:r w:rsidRPr="00FF5939">
        <w:t>ing obligation for fixed-float IRS? How would you determine these additional spec</w:t>
      </w:r>
      <w:r w:rsidRPr="00FF5939">
        <w:t>i</w:t>
      </w:r>
      <w:r w:rsidRPr="00FF5939">
        <w:t>fications</w:t>
      </w:r>
      <w:r w:rsidR="00EF314C" w:rsidRPr="00070630">
        <w:t>?</w:t>
      </w:r>
    </w:p>
    <w:p w14:paraId="0E4BBA50" w14:textId="77777777" w:rsidR="00EF314C" w:rsidRDefault="00EF314C" w:rsidP="00EF314C">
      <w:r>
        <w:t>&lt;ESMA_QUESTION_MIFID_TO_</w:t>
      </w:r>
      <w:r w:rsidR="00273633">
        <w:t>21</w:t>
      </w:r>
      <w:r>
        <w:t>&gt;</w:t>
      </w:r>
    </w:p>
    <w:p w14:paraId="2F3FA101" w14:textId="77777777" w:rsidR="00626D19" w:rsidRDefault="00626D19" w:rsidP="00EF314C"/>
    <w:p w14:paraId="0AA3937A" w14:textId="77777777" w:rsidR="00626D19" w:rsidRDefault="00626D19" w:rsidP="00626D19">
      <w:pPr>
        <w:spacing w:line="276" w:lineRule="auto"/>
        <w:rPr>
          <w:rFonts w:ascii="Calibri" w:hAnsi="Calibri"/>
        </w:rPr>
      </w:pPr>
      <w:r>
        <w:rPr>
          <w:rFonts w:ascii="Calibri" w:hAnsi="Calibri"/>
        </w:rPr>
        <w:t xml:space="preserve">Firstly subtypes of fixed-float IRS need to be characterised, so Vanilla Spot Starting Par Swaps, Forward Swaps, IMM, </w:t>
      </w:r>
      <w:proofErr w:type="gramStart"/>
      <w:r>
        <w:rPr>
          <w:rFonts w:ascii="Calibri" w:hAnsi="Calibri"/>
        </w:rPr>
        <w:t>MAC</w:t>
      </w:r>
      <w:proofErr w:type="gramEnd"/>
      <w:r>
        <w:rPr>
          <w:rFonts w:ascii="Calibri" w:hAnsi="Calibri"/>
        </w:rPr>
        <w:t xml:space="preserve"> etc.</w:t>
      </w:r>
    </w:p>
    <w:p w14:paraId="405D6784" w14:textId="77777777" w:rsidR="00626D19" w:rsidRDefault="00626D19" w:rsidP="00626D19">
      <w:pPr>
        <w:spacing w:line="276" w:lineRule="auto"/>
        <w:rPr>
          <w:rFonts w:ascii="Calibri" w:hAnsi="Calibri"/>
        </w:rPr>
      </w:pPr>
    </w:p>
    <w:p w14:paraId="5A5915A2" w14:textId="77777777" w:rsidR="00626D19" w:rsidRDefault="00626D19" w:rsidP="00626D19">
      <w:pPr>
        <w:spacing w:line="276" w:lineRule="auto"/>
        <w:rPr>
          <w:rFonts w:ascii="Calibri" w:hAnsi="Calibri"/>
        </w:rPr>
      </w:pPr>
      <w:r>
        <w:rPr>
          <w:rFonts w:ascii="Calibri" w:hAnsi="Calibri"/>
        </w:rPr>
        <w:t>And the conventions for the standard trade established and the volume of these checked in a dataset to establish the trading obligation.</w:t>
      </w:r>
    </w:p>
    <w:p w14:paraId="269FCA29" w14:textId="77777777" w:rsidR="00626D19" w:rsidRDefault="00626D19" w:rsidP="00626D19">
      <w:pPr>
        <w:spacing w:line="276" w:lineRule="auto"/>
        <w:rPr>
          <w:rFonts w:ascii="Calibri" w:hAnsi="Calibri"/>
        </w:rPr>
      </w:pPr>
    </w:p>
    <w:p w14:paraId="5B1B465C" w14:textId="77777777" w:rsidR="00626D19" w:rsidRDefault="00626D19" w:rsidP="00626D19">
      <w:pPr>
        <w:spacing w:line="276" w:lineRule="auto"/>
        <w:rPr>
          <w:rFonts w:ascii="Calibri" w:hAnsi="Calibri"/>
        </w:rPr>
      </w:pPr>
      <w:r>
        <w:rPr>
          <w:rFonts w:ascii="Calibri" w:hAnsi="Calibri"/>
        </w:rPr>
        <w:t>For EUR this means:</w:t>
      </w:r>
    </w:p>
    <w:p w14:paraId="40670B7E" w14:textId="77777777" w:rsidR="00626D19" w:rsidRDefault="00626D19" w:rsidP="00626D19">
      <w:pPr>
        <w:pStyle w:val="ListParagraph"/>
        <w:numPr>
          <w:ilvl w:val="0"/>
          <w:numId w:val="40"/>
        </w:numPr>
        <w:spacing w:line="276" w:lineRule="auto"/>
        <w:rPr>
          <w:rFonts w:ascii="Calibri" w:hAnsi="Calibri"/>
        </w:rPr>
      </w:pPr>
      <w:r>
        <w:rPr>
          <w:rFonts w:ascii="Calibri" w:hAnsi="Calibri"/>
        </w:rPr>
        <w:t>Floating Leg,</w:t>
      </w:r>
      <w:r w:rsidRPr="00F03780">
        <w:rPr>
          <w:rFonts w:ascii="Calibri" w:hAnsi="Calibri"/>
        </w:rPr>
        <w:t xml:space="preserve"> Index as EURIBOR 6M, reset freque</w:t>
      </w:r>
      <w:r>
        <w:rPr>
          <w:rFonts w:ascii="Calibri" w:hAnsi="Calibri"/>
        </w:rPr>
        <w:t xml:space="preserve">ncy as 6M, payment frequency </w:t>
      </w:r>
      <w:r w:rsidRPr="00F03780">
        <w:rPr>
          <w:rFonts w:ascii="Calibri" w:hAnsi="Calibri"/>
        </w:rPr>
        <w:t>as 6M</w:t>
      </w:r>
      <w:r>
        <w:rPr>
          <w:rFonts w:ascii="Calibri" w:hAnsi="Calibri"/>
        </w:rPr>
        <w:t xml:space="preserve"> and </w:t>
      </w:r>
      <w:proofErr w:type="spellStart"/>
      <w:r>
        <w:rPr>
          <w:rFonts w:ascii="Calibri" w:hAnsi="Calibri"/>
        </w:rPr>
        <w:t>daycount</w:t>
      </w:r>
      <w:proofErr w:type="spellEnd"/>
      <w:r>
        <w:rPr>
          <w:rFonts w:ascii="Calibri" w:hAnsi="Calibri"/>
        </w:rPr>
        <w:t xml:space="preserve"> as ACT/360, calendar as EUTA</w:t>
      </w:r>
    </w:p>
    <w:p w14:paraId="4C30B2F8" w14:textId="77777777" w:rsidR="00626D19" w:rsidRDefault="00626D19" w:rsidP="00626D19">
      <w:pPr>
        <w:pStyle w:val="ListParagraph"/>
        <w:numPr>
          <w:ilvl w:val="0"/>
          <w:numId w:val="40"/>
        </w:numPr>
        <w:spacing w:line="276" w:lineRule="auto"/>
        <w:rPr>
          <w:rFonts w:ascii="Calibri" w:hAnsi="Calibri"/>
        </w:rPr>
      </w:pPr>
      <w:r>
        <w:rPr>
          <w:rFonts w:ascii="Calibri" w:hAnsi="Calibri"/>
        </w:rPr>
        <w:t xml:space="preserve">Fixed Leg, fixed rate at par, </w:t>
      </w:r>
      <w:r w:rsidRPr="00F03780">
        <w:rPr>
          <w:rFonts w:ascii="Calibri" w:hAnsi="Calibri"/>
        </w:rPr>
        <w:t>payment frequency as 1Y, day count as 30</w:t>
      </w:r>
      <w:r>
        <w:rPr>
          <w:rFonts w:ascii="Calibri" w:hAnsi="Calibri"/>
        </w:rPr>
        <w:t>U</w:t>
      </w:r>
      <w:r w:rsidRPr="00F03780">
        <w:rPr>
          <w:rFonts w:ascii="Calibri" w:hAnsi="Calibri"/>
        </w:rPr>
        <w:t>/360</w:t>
      </w:r>
      <w:r>
        <w:rPr>
          <w:rFonts w:ascii="Calibri" w:hAnsi="Calibri"/>
        </w:rPr>
        <w:t>, calendar as EUTA</w:t>
      </w:r>
    </w:p>
    <w:p w14:paraId="034EB7E7" w14:textId="77777777" w:rsidR="00626D19" w:rsidRPr="00F03780" w:rsidRDefault="00626D19" w:rsidP="00626D19">
      <w:pPr>
        <w:spacing w:line="276" w:lineRule="auto"/>
        <w:rPr>
          <w:rFonts w:ascii="Calibri" w:hAnsi="Calibri"/>
        </w:rPr>
      </w:pPr>
    </w:p>
    <w:p w14:paraId="7DF1CA4B" w14:textId="77777777" w:rsidR="00626D19" w:rsidRDefault="00626D19" w:rsidP="00626D19">
      <w:pPr>
        <w:spacing w:line="276" w:lineRule="auto"/>
        <w:rPr>
          <w:rFonts w:ascii="Calibri" w:hAnsi="Calibri"/>
        </w:rPr>
      </w:pPr>
      <w:r>
        <w:rPr>
          <w:rFonts w:ascii="Calibri" w:hAnsi="Calibri"/>
        </w:rPr>
        <w:t>These conventions are known to market participants and documented by ISDA/</w:t>
      </w:r>
      <w:proofErr w:type="spellStart"/>
      <w:r>
        <w:rPr>
          <w:rFonts w:ascii="Calibri" w:hAnsi="Calibri"/>
        </w:rPr>
        <w:t>FpML</w:t>
      </w:r>
      <w:proofErr w:type="spellEnd"/>
      <w:r>
        <w:rPr>
          <w:rFonts w:ascii="Calibri" w:hAnsi="Calibri"/>
        </w:rPr>
        <w:t xml:space="preserve"> or may be gleaned from trade level data in TRs as these will be the most numerous trades in benchmark tenors.</w:t>
      </w:r>
    </w:p>
    <w:p w14:paraId="3710629B" w14:textId="77777777" w:rsidR="00626D19" w:rsidRDefault="00626D19" w:rsidP="00EF314C"/>
    <w:p w14:paraId="04D27BE1" w14:textId="77777777" w:rsidR="00EF314C" w:rsidRDefault="00EF314C" w:rsidP="00EF314C">
      <w:r>
        <w:t>&lt;ESMA_QUESTION_MIFID_TO_</w:t>
      </w:r>
      <w:r w:rsidR="00273633">
        <w:t>21</w:t>
      </w:r>
      <w:r>
        <w:t>&gt;</w:t>
      </w:r>
    </w:p>
    <w:p w14:paraId="19E70EFA" w14:textId="77777777" w:rsidR="00EF314C" w:rsidRDefault="00EF314C" w:rsidP="00EF314C">
      <w:pPr>
        <w:rPr>
          <w:rFonts w:cs="Arial"/>
          <w:b/>
          <w:sz w:val="22"/>
          <w:szCs w:val="22"/>
          <w:lang w:eastAsia="en-US"/>
        </w:rPr>
      </w:pPr>
    </w:p>
    <w:p w14:paraId="5036550D" w14:textId="77777777" w:rsidR="00EF314C" w:rsidRPr="000E6B5B" w:rsidRDefault="00FF5939" w:rsidP="00FF5939">
      <w:pPr>
        <w:pStyle w:val="CPQuestions"/>
      </w:pPr>
      <w:r w:rsidRPr="00FF5939">
        <w:t>Does this result reflect your assessment of liquidity in OIS? If not, please explain on which subclasses you disagree and why</w:t>
      </w:r>
      <w:r>
        <w:t>.</w:t>
      </w:r>
    </w:p>
    <w:p w14:paraId="4F69B175" w14:textId="77777777" w:rsidR="00EF314C" w:rsidRDefault="00EF314C" w:rsidP="00EF314C">
      <w:r>
        <w:t>&lt;ESMA_QUESTION_MIFID_TO_</w:t>
      </w:r>
      <w:r w:rsidR="00273633">
        <w:t>22</w:t>
      </w:r>
      <w:r>
        <w:t>&gt;</w:t>
      </w:r>
    </w:p>
    <w:p w14:paraId="24C9B843" w14:textId="77777777" w:rsidR="00EF314C" w:rsidRDefault="00EF314C" w:rsidP="00EF314C">
      <w:permStart w:id="567490223" w:edGrp="everyone"/>
      <w:r>
        <w:t>TYPE YOUR TEXT HERE</w:t>
      </w:r>
    </w:p>
    <w:permEnd w:id="567490223"/>
    <w:p w14:paraId="69AEA540" w14:textId="77777777" w:rsidR="00EF314C" w:rsidRDefault="00EF314C" w:rsidP="00EF314C">
      <w:r>
        <w:t>&lt;ESMA_QUESTION_MIFID_TO_</w:t>
      </w:r>
      <w:r w:rsidR="00273633">
        <w:t>22</w:t>
      </w:r>
      <w:r>
        <w:t>&gt;</w:t>
      </w:r>
    </w:p>
    <w:p w14:paraId="6C0669F4" w14:textId="77777777" w:rsidR="00EF314C" w:rsidRDefault="00EF314C" w:rsidP="00EF314C">
      <w:pPr>
        <w:rPr>
          <w:rFonts w:cs="Arial"/>
          <w:b/>
          <w:sz w:val="22"/>
          <w:szCs w:val="22"/>
          <w:lang w:eastAsia="en-US"/>
        </w:rPr>
      </w:pPr>
    </w:p>
    <w:p w14:paraId="4D1BB073" w14:textId="77777777" w:rsidR="00EF314C" w:rsidRPr="000E6B5B" w:rsidRDefault="00FF5939" w:rsidP="00FF5939">
      <w:pPr>
        <w:pStyle w:val="CPQuestions"/>
      </w:pPr>
      <w:r w:rsidRPr="00FF5939">
        <w:t>What thresholds would you propose for the liquidity criteria? What minimum nu</w:t>
      </w:r>
      <w:r w:rsidRPr="00FF5939">
        <w:t>m</w:t>
      </w:r>
      <w:r w:rsidRPr="00FF5939">
        <w:t xml:space="preserve">ber of counterparties would you consider appropriate for introducing the </w:t>
      </w:r>
      <w:proofErr w:type="gramStart"/>
      <w:r w:rsidRPr="00FF5939">
        <w:t>TO</w:t>
      </w:r>
      <w:proofErr w:type="gramEnd"/>
      <w:r w:rsidR="00EF314C" w:rsidRPr="00070630">
        <w:t>?</w:t>
      </w:r>
    </w:p>
    <w:p w14:paraId="3A4CFA87" w14:textId="77777777" w:rsidR="00EF314C" w:rsidRDefault="00EF314C" w:rsidP="00EF314C">
      <w:r>
        <w:t>&lt;ESMA_QUESTION_MIFID_TO_</w:t>
      </w:r>
      <w:r w:rsidR="00273633">
        <w:t>23</w:t>
      </w:r>
      <w:r>
        <w:t>&gt;</w:t>
      </w:r>
    </w:p>
    <w:p w14:paraId="3633E336" w14:textId="77777777" w:rsidR="00EF314C" w:rsidRDefault="00EF314C" w:rsidP="00EF314C">
      <w:permStart w:id="1541168259" w:edGrp="everyone"/>
      <w:r>
        <w:t>TYPE YOUR TEXT HERE</w:t>
      </w:r>
    </w:p>
    <w:permEnd w:id="1541168259"/>
    <w:p w14:paraId="7FA0641B" w14:textId="77777777" w:rsidR="00EF314C" w:rsidRDefault="00EF314C" w:rsidP="00EF314C">
      <w:r>
        <w:t>&lt;ESMA_QUESTION_MIFID_TO_</w:t>
      </w:r>
      <w:r w:rsidR="00273633">
        <w:t>23</w:t>
      </w:r>
      <w:r>
        <w:t>&gt;</w:t>
      </w:r>
    </w:p>
    <w:p w14:paraId="472D69AD" w14:textId="77777777" w:rsidR="00EF314C" w:rsidRDefault="00EF314C" w:rsidP="00EF314C">
      <w:pPr>
        <w:rPr>
          <w:rFonts w:cs="Arial"/>
          <w:b/>
          <w:sz w:val="22"/>
          <w:szCs w:val="22"/>
          <w:lang w:eastAsia="en-US"/>
        </w:rPr>
      </w:pPr>
    </w:p>
    <w:p w14:paraId="343BF414" w14:textId="77777777"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w:t>
      </w:r>
      <w:r w:rsidRPr="00FF5939">
        <w:t>d</w:t>
      </w:r>
      <w:r w:rsidRPr="00FF5939">
        <w:t>ing obligation for OIS? How would you determine these additional specifications</w:t>
      </w:r>
      <w:r w:rsidR="00EF314C" w:rsidRPr="00070630">
        <w:t>?</w:t>
      </w:r>
    </w:p>
    <w:p w14:paraId="7B0F821F" w14:textId="77777777" w:rsidR="00EF314C" w:rsidRDefault="00EF314C" w:rsidP="00EF314C">
      <w:r>
        <w:t>&lt;ESMA_QUESTION_MIFID_TO_</w:t>
      </w:r>
      <w:r w:rsidR="00273633">
        <w:t>24</w:t>
      </w:r>
      <w:r>
        <w:t>&gt;</w:t>
      </w:r>
    </w:p>
    <w:p w14:paraId="1CFFDDD1" w14:textId="77777777" w:rsidR="00EF314C" w:rsidRDefault="00EF314C" w:rsidP="00EF314C">
      <w:permStart w:id="1725320723" w:edGrp="everyone"/>
      <w:r>
        <w:t>TYPE YOUR TEXT HERE</w:t>
      </w:r>
    </w:p>
    <w:permEnd w:id="1725320723"/>
    <w:p w14:paraId="1EED6CD3" w14:textId="77777777" w:rsidR="00EF314C" w:rsidRDefault="00EF314C" w:rsidP="00EF314C">
      <w:r>
        <w:t>&lt;ESMA_QUESTION_MIFID_TO_</w:t>
      </w:r>
      <w:r w:rsidR="00273633">
        <w:t>24</w:t>
      </w:r>
      <w:r>
        <w:t>&gt;</w:t>
      </w:r>
    </w:p>
    <w:p w14:paraId="1574A296" w14:textId="77777777" w:rsidR="00EF314C" w:rsidRDefault="00EF314C" w:rsidP="00EF314C">
      <w:pPr>
        <w:rPr>
          <w:rFonts w:cs="Arial"/>
          <w:b/>
          <w:sz w:val="22"/>
          <w:szCs w:val="22"/>
          <w:lang w:eastAsia="en-US"/>
        </w:rPr>
      </w:pPr>
    </w:p>
    <w:p w14:paraId="368E165B" w14:textId="77777777" w:rsidR="00EF314C" w:rsidRPr="000E6B5B" w:rsidRDefault="00FF5939" w:rsidP="00FF5939">
      <w:pPr>
        <w:pStyle w:val="CPQuestions"/>
      </w:pPr>
      <w:r w:rsidRPr="00FF5939">
        <w:t xml:space="preserve">Do you agree that due to the specificities of the FRA-market, FRAs should not be considered for the </w:t>
      </w:r>
      <w:proofErr w:type="gramStart"/>
      <w:r w:rsidRPr="00FF5939">
        <w:t>TO</w:t>
      </w:r>
      <w:proofErr w:type="gramEnd"/>
      <w:r w:rsidRPr="00FF5939">
        <w:t xml:space="preserve">? Do you agree that the majority of FRAs transactions serve post-trade risk reduction purposes rather than actual </w:t>
      </w:r>
      <w:proofErr w:type="gramStart"/>
      <w:r w:rsidRPr="00FF5939">
        <w:t>trades</w:t>
      </w:r>
      <w:r>
        <w:t>.</w:t>
      </w:r>
      <w:proofErr w:type="gramEnd"/>
    </w:p>
    <w:p w14:paraId="03FC6DF0" w14:textId="77777777" w:rsidR="00EF314C" w:rsidRDefault="00EF314C" w:rsidP="00EF314C">
      <w:r>
        <w:t>&lt;ESMA_QUESTION_MIFID_TO_</w:t>
      </w:r>
      <w:r w:rsidR="00273633">
        <w:t>25</w:t>
      </w:r>
      <w:r>
        <w:t>&gt;</w:t>
      </w:r>
    </w:p>
    <w:p w14:paraId="0612519B" w14:textId="77777777" w:rsidR="00EF314C" w:rsidRDefault="00EF314C" w:rsidP="00EF314C">
      <w:permStart w:id="1051487657" w:edGrp="everyone"/>
      <w:r>
        <w:t>TYPE YOUR TEXT HERE</w:t>
      </w:r>
    </w:p>
    <w:permEnd w:id="1051487657"/>
    <w:p w14:paraId="07D14A61" w14:textId="77777777" w:rsidR="00EF314C" w:rsidRDefault="00EF314C" w:rsidP="00EF314C">
      <w:r>
        <w:t>&lt;ESMA_QUESTION_MIFID_TO_</w:t>
      </w:r>
      <w:r w:rsidR="00273633">
        <w:t>25</w:t>
      </w:r>
      <w:r>
        <w:t>&gt;</w:t>
      </w:r>
    </w:p>
    <w:p w14:paraId="031F1F05" w14:textId="77777777" w:rsidR="00EF314C" w:rsidRDefault="00EF314C" w:rsidP="00EF314C">
      <w:pPr>
        <w:rPr>
          <w:rFonts w:cs="Arial"/>
          <w:b/>
          <w:sz w:val="22"/>
          <w:szCs w:val="22"/>
          <w:lang w:eastAsia="en-US"/>
        </w:rPr>
      </w:pPr>
    </w:p>
    <w:p w14:paraId="5BF5A3A2" w14:textId="77777777" w:rsidR="00EF314C" w:rsidRPr="000E6B5B" w:rsidRDefault="00FF5939" w:rsidP="00FF5939">
      <w:pPr>
        <w:pStyle w:val="CPQuestions"/>
      </w:pPr>
      <w:r w:rsidRPr="00FF5939">
        <w:t xml:space="preserve">In case you consider FRAs should be considered for the TO, which FRA sub-classes are in your view sufficiently liquid and based on which criteria? How should a TO for FRAs best be expressed? Should it be based on the first (effective </w:t>
      </w:r>
      <w:r w:rsidRPr="00FF5939">
        <w:lastRenderedPageBreak/>
        <w:t>date) or the second period (reference date)? Apart from the tenor, which elements do you consider necessary for specifying the TO for FRAs and why</w:t>
      </w:r>
      <w:r w:rsidR="00EF314C" w:rsidRPr="00070630">
        <w:t>?</w:t>
      </w:r>
    </w:p>
    <w:p w14:paraId="79936D1F" w14:textId="77777777" w:rsidR="00EF314C" w:rsidRDefault="00EF314C" w:rsidP="00EF314C">
      <w:r>
        <w:t>&lt;ESMA_QUESTION_MIFID_TO_</w:t>
      </w:r>
      <w:r w:rsidR="00273633">
        <w:t>26</w:t>
      </w:r>
      <w:r>
        <w:t>&gt;</w:t>
      </w:r>
    </w:p>
    <w:p w14:paraId="27CE24FD" w14:textId="77777777" w:rsidR="00EF314C" w:rsidRDefault="00EF314C" w:rsidP="00EF314C">
      <w:permStart w:id="54534095" w:edGrp="everyone"/>
      <w:r>
        <w:t>TYPE YOUR TEXT HERE</w:t>
      </w:r>
    </w:p>
    <w:permEnd w:id="54534095"/>
    <w:p w14:paraId="2A6DD8F3" w14:textId="77777777" w:rsidR="00EF314C" w:rsidRDefault="00EF314C" w:rsidP="00EF314C">
      <w:r>
        <w:t>&lt;ESMA_QUESTION_MIFID_TO_</w:t>
      </w:r>
      <w:r w:rsidR="00273633">
        <w:t>26</w:t>
      </w:r>
      <w:r>
        <w:t>&gt;</w:t>
      </w:r>
    </w:p>
    <w:p w14:paraId="5328B05A" w14:textId="77777777" w:rsidR="00EF314C" w:rsidRDefault="00EF314C" w:rsidP="00EF314C">
      <w:pPr>
        <w:rPr>
          <w:rFonts w:cs="Arial"/>
          <w:b/>
          <w:sz w:val="22"/>
          <w:szCs w:val="22"/>
          <w:lang w:eastAsia="en-US"/>
        </w:rPr>
      </w:pPr>
    </w:p>
    <w:p w14:paraId="5B0250E0" w14:textId="77777777" w:rsidR="00EF314C" w:rsidRPr="000E6B5B" w:rsidRDefault="004C2CD0" w:rsidP="00FF5939">
      <w:pPr>
        <w:pStyle w:val="CPQuestions"/>
      </w:pPr>
      <w:r>
        <w:t>Would you consider</w:t>
      </w:r>
      <w:r w:rsidR="00FF5939" w:rsidRPr="00FF5939">
        <w:t xml:space="preserve"> the two index CDS as sufficiently liquid for being covered by the </w:t>
      </w:r>
      <w:proofErr w:type="gramStart"/>
      <w:r w:rsidR="00FF5939" w:rsidRPr="00FF5939">
        <w:t>TO</w:t>
      </w:r>
      <w:proofErr w:type="gramEnd"/>
      <w:r w:rsidR="00EF314C" w:rsidRPr="00070630">
        <w:t>?</w:t>
      </w:r>
    </w:p>
    <w:p w14:paraId="02E57599" w14:textId="77777777" w:rsidR="00EF314C" w:rsidRDefault="00EF314C" w:rsidP="00EF314C">
      <w:r>
        <w:t>&lt;ESMA_QUESTION_MIFID_TO_</w:t>
      </w:r>
      <w:r w:rsidR="00273633">
        <w:t>2</w:t>
      </w:r>
      <w:r>
        <w:t>7&gt;</w:t>
      </w:r>
    </w:p>
    <w:p w14:paraId="37DD285A" w14:textId="77777777" w:rsidR="00EF314C" w:rsidRDefault="00EF314C" w:rsidP="00EF314C">
      <w:permStart w:id="1454791651" w:edGrp="everyone"/>
      <w:r>
        <w:t>TYPE YOUR TEXT HERE</w:t>
      </w:r>
    </w:p>
    <w:permEnd w:id="1454791651"/>
    <w:p w14:paraId="3A61E043" w14:textId="77777777" w:rsidR="00EF314C" w:rsidRDefault="00EF314C" w:rsidP="00EF314C">
      <w:r>
        <w:t>&lt;ESMA_QUESTION_MIFID_TO_</w:t>
      </w:r>
      <w:r w:rsidR="00273633">
        <w:t>2</w:t>
      </w:r>
      <w:r>
        <w:t>7&gt;</w:t>
      </w:r>
    </w:p>
    <w:p w14:paraId="57E53378" w14:textId="77777777" w:rsidR="00EF314C" w:rsidRDefault="00EF314C" w:rsidP="00EF314C">
      <w:pPr>
        <w:rPr>
          <w:rFonts w:cs="Arial"/>
          <w:b/>
          <w:sz w:val="22"/>
          <w:szCs w:val="22"/>
          <w:lang w:eastAsia="en-US"/>
        </w:rPr>
      </w:pPr>
    </w:p>
    <w:p w14:paraId="0EF4673A" w14:textId="77777777" w:rsidR="00EF314C" w:rsidRPr="000E6B5B" w:rsidRDefault="00FF5939" w:rsidP="00FF5939">
      <w:pPr>
        <w:pStyle w:val="CPQuestions"/>
      </w:pPr>
      <w:r w:rsidRPr="00FF5939">
        <w:t>Do you agree that the TO for CDS should cover the on-the-run series as well as the first thirty working days of the most recent off-the run-series? If not, please explain why and propose an alternative approach</w:t>
      </w:r>
      <w:r>
        <w:t>.</w:t>
      </w:r>
    </w:p>
    <w:p w14:paraId="5128CD5F" w14:textId="77777777" w:rsidR="00EF314C" w:rsidRDefault="00EF314C" w:rsidP="00EF314C">
      <w:r>
        <w:t>&lt;ESMA_QUESTION_MIFID_TO_</w:t>
      </w:r>
      <w:r w:rsidR="00273633">
        <w:t>28</w:t>
      </w:r>
      <w:r>
        <w:t>&gt;</w:t>
      </w:r>
    </w:p>
    <w:p w14:paraId="255BA349" w14:textId="77777777" w:rsidR="00EF314C" w:rsidRDefault="00EF314C" w:rsidP="00EF314C">
      <w:permStart w:id="1218662356" w:edGrp="everyone"/>
      <w:r>
        <w:t>TYPE YOUR TEXT HERE</w:t>
      </w:r>
    </w:p>
    <w:permEnd w:id="1218662356"/>
    <w:p w14:paraId="4793DEF7" w14:textId="77777777" w:rsidR="00EF314C" w:rsidRDefault="00EF314C" w:rsidP="00EF314C">
      <w:r>
        <w:t>&lt;ESMA_QUESTION_MIFID_TO_</w:t>
      </w:r>
      <w:r w:rsidR="00273633">
        <w:t>28</w:t>
      </w:r>
      <w:r>
        <w:t>&gt;</w:t>
      </w:r>
    </w:p>
    <w:p w14:paraId="0EDD9375" w14:textId="77777777" w:rsidR="00EF314C" w:rsidRDefault="00EF314C" w:rsidP="00EF314C">
      <w:pPr>
        <w:rPr>
          <w:rFonts w:cs="Arial"/>
          <w:b/>
          <w:sz w:val="22"/>
          <w:szCs w:val="22"/>
          <w:lang w:eastAsia="en-US"/>
        </w:rPr>
      </w:pPr>
    </w:p>
    <w:p w14:paraId="656EAE4B" w14:textId="77777777" w:rsidR="00EF314C" w:rsidRPr="000E6B5B" w:rsidRDefault="00FF5939" w:rsidP="00FF5939">
      <w:pPr>
        <w:pStyle w:val="CPQuestions"/>
      </w:pPr>
      <w:r w:rsidRPr="00FF5939">
        <w:t>Apart from the tenor, which elements do you consider indispensable for specifying the TO for CDSs and why</w:t>
      </w:r>
      <w:r w:rsidR="00EF314C" w:rsidRPr="00070630">
        <w:t>?</w:t>
      </w:r>
    </w:p>
    <w:p w14:paraId="62215553" w14:textId="77777777" w:rsidR="00EF314C" w:rsidRDefault="00EF314C" w:rsidP="00EF314C">
      <w:r>
        <w:t>&lt;ESMA_QUESTION_MIFID_TO_</w:t>
      </w:r>
      <w:r w:rsidR="00273633">
        <w:t>29</w:t>
      </w:r>
      <w:r>
        <w:t>&gt;</w:t>
      </w:r>
    </w:p>
    <w:p w14:paraId="33D34870" w14:textId="77777777" w:rsidR="00EF314C" w:rsidRDefault="00EF314C" w:rsidP="00EF314C">
      <w:permStart w:id="475613038" w:edGrp="everyone"/>
      <w:r>
        <w:t>TYPE YOUR TEXT HERE</w:t>
      </w:r>
    </w:p>
    <w:permEnd w:id="475613038"/>
    <w:p w14:paraId="4B8ED11F" w14:textId="77777777" w:rsidR="00EF314C" w:rsidRDefault="00EF314C" w:rsidP="00EF314C">
      <w:r>
        <w:t>&lt;ESMA_QUESTION_MIFID_TO_</w:t>
      </w:r>
      <w:r w:rsidR="00273633">
        <w:t>29</w:t>
      </w:r>
      <w:r>
        <w:t>&gt;</w:t>
      </w:r>
    </w:p>
    <w:p w14:paraId="40F96356" w14:textId="77777777" w:rsidR="00EF314C" w:rsidRDefault="00EF314C" w:rsidP="00EF314C">
      <w:pPr>
        <w:rPr>
          <w:rFonts w:cs="Arial"/>
          <w:b/>
          <w:sz w:val="22"/>
          <w:szCs w:val="22"/>
          <w:lang w:eastAsia="en-US"/>
        </w:rPr>
      </w:pPr>
    </w:p>
    <w:p w14:paraId="3A64A240" w14:textId="77777777" w:rsidR="00EF314C" w:rsidRPr="000E6B5B" w:rsidRDefault="00FF5939" w:rsidP="00FF5939">
      <w:pPr>
        <w:pStyle w:val="CPQuestions"/>
      </w:pPr>
      <w:r w:rsidRPr="00FF5939">
        <w:t>Do you agree with the proposed application dates? If not, please provide an alte</w:t>
      </w:r>
      <w:r w:rsidRPr="00FF5939">
        <w:t>r</w:t>
      </w:r>
      <w:r w:rsidRPr="00FF5939">
        <w:t>native and explain your reasoning</w:t>
      </w:r>
      <w:r>
        <w:t>.</w:t>
      </w:r>
    </w:p>
    <w:p w14:paraId="41B13A15" w14:textId="77777777" w:rsidR="00EF314C" w:rsidRDefault="00EF314C" w:rsidP="00EF314C">
      <w:r>
        <w:t>&lt;ESMA_QUESTION_MIFID_TO_</w:t>
      </w:r>
      <w:r w:rsidR="00273633">
        <w:t>30</w:t>
      </w:r>
      <w:r>
        <w:t>&gt;</w:t>
      </w:r>
    </w:p>
    <w:p w14:paraId="470E0062" w14:textId="77777777" w:rsidR="00EF314C" w:rsidRDefault="00EF314C" w:rsidP="00EF314C">
      <w:permStart w:id="777468071" w:edGrp="everyone"/>
      <w:r>
        <w:t>TYPE YOUR TEXT HERE</w:t>
      </w:r>
    </w:p>
    <w:permEnd w:id="777468071"/>
    <w:p w14:paraId="7F3197C0" w14:textId="77777777" w:rsidR="00EF314C" w:rsidRDefault="00EF314C" w:rsidP="00EF314C">
      <w:r>
        <w:t>&lt;ESMA_QUESTION_MIFID_TO_</w:t>
      </w:r>
      <w:r w:rsidR="00273633">
        <w:t>30</w:t>
      </w:r>
      <w:r>
        <w:t>&gt;</w:t>
      </w:r>
    </w:p>
    <w:p w14:paraId="2C978D06" w14:textId="77777777" w:rsidR="00EF314C" w:rsidRDefault="00EF314C" w:rsidP="00EF314C">
      <w:pPr>
        <w:rPr>
          <w:rFonts w:cs="Arial"/>
          <w:b/>
          <w:sz w:val="22"/>
          <w:szCs w:val="22"/>
          <w:lang w:eastAsia="en-US"/>
        </w:rPr>
      </w:pPr>
    </w:p>
    <w:p w14:paraId="4D09E4CA" w14:textId="77777777" w:rsidR="00EF314C" w:rsidRPr="000E6B5B" w:rsidRDefault="00FF5939" w:rsidP="00FF5939">
      <w:pPr>
        <w:pStyle w:val="CPQuestions"/>
      </w:pPr>
      <w:r w:rsidRPr="00FF5939">
        <w:t>Do you consider necessary to provide for an additional phase-in for the TO for o</w:t>
      </w:r>
      <w:r w:rsidRPr="00FF5939">
        <w:t>p</w:t>
      </w:r>
      <w:r w:rsidRPr="00FF5939">
        <w:t>erational purposed and to avoid bottlenecks? If yes, please provide a proposal on the appropriate length of such a phase-in for the different categories of counte</w:t>
      </w:r>
      <w:r w:rsidRPr="00FF5939">
        <w:t>r</w:t>
      </w:r>
      <w:r w:rsidRPr="00FF5939">
        <w:t>parties and explain your reasoning</w:t>
      </w:r>
      <w:r>
        <w:t>.</w:t>
      </w:r>
    </w:p>
    <w:p w14:paraId="0F9AE969" w14:textId="77777777" w:rsidR="00EF314C" w:rsidRDefault="00EF314C" w:rsidP="00EF314C">
      <w:r>
        <w:t>&lt;ESMA_QUESTION_MIFID_TO_</w:t>
      </w:r>
      <w:r w:rsidR="00273633">
        <w:t>31</w:t>
      </w:r>
      <w:r>
        <w:t>&gt;</w:t>
      </w:r>
    </w:p>
    <w:p w14:paraId="44F91452" w14:textId="77777777" w:rsidR="00EF314C" w:rsidRDefault="00EF314C" w:rsidP="00EF314C">
      <w:permStart w:id="1230861668" w:edGrp="everyone"/>
      <w:r>
        <w:t>TYPE YOUR TEXT HERE</w:t>
      </w:r>
    </w:p>
    <w:permEnd w:id="1230861668"/>
    <w:p w14:paraId="228D69F4" w14:textId="77777777" w:rsidR="00EF314C" w:rsidRDefault="00EF314C" w:rsidP="00EF314C">
      <w:r>
        <w:t>&lt;ESMA_QUESTION_MIFID_TO_</w:t>
      </w:r>
      <w:r w:rsidR="00273633">
        <w:t>31</w:t>
      </w:r>
      <w:r>
        <w:t>&gt;</w:t>
      </w:r>
    </w:p>
    <w:p w14:paraId="26267927" w14:textId="77777777" w:rsidR="00EF314C" w:rsidRDefault="00EF314C" w:rsidP="00EF314C">
      <w:pPr>
        <w:rPr>
          <w:rFonts w:cs="Arial"/>
          <w:b/>
          <w:sz w:val="22"/>
          <w:szCs w:val="22"/>
          <w:lang w:eastAsia="en-US"/>
        </w:rPr>
      </w:pPr>
    </w:p>
    <w:p w14:paraId="2D0299E5" w14:textId="77777777" w:rsidR="00EF314C" w:rsidRPr="000E6B5B" w:rsidRDefault="00FF5939" w:rsidP="00FF5939">
      <w:pPr>
        <w:pStyle w:val="CPQuestions"/>
      </w:pPr>
      <w:r w:rsidRPr="00FF5939">
        <w:lastRenderedPageBreak/>
        <w:t>Which types of package transactions are carried out comprising components of classes of derivatives that are assessed for the purpose of the TO, i.e. IRD and/or CDS? Please describe the package and its components as well as your view on the liquidity of those packages</w:t>
      </w:r>
      <w:r>
        <w:t>.</w:t>
      </w:r>
    </w:p>
    <w:p w14:paraId="57D6C008" w14:textId="77777777" w:rsidR="00EF314C" w:rsidRDefault="00EF314C" w:rsidP="00EF314C">
      <w:r>
        <w:t>&lt;ESMA_QUESTION_MIFID_TO_</w:t>
      </w:r>
      <w:r w:rsidR="00273633">
        <w:t>32</w:t>
      </w:r>
      <w:r>
        <w:t>&gt;</w:t>
      </w:r>
    </w:p>
    <w:p w14:paraId="3273C8FF" w14:textId="77777777" w:rsidR="00626D19" w:rsidRDefault="00626D19" w:rsidP="00EF314C"/>
    <w:p w14:paraId="55937452" w14:textId="77777777" w:rsidR="00626D19" w:rsidRDefault="00626D19" w:rsidP="00626D19">
      <w:r w:rsidRPr="0053247F">
        <w:t xml:space="preserve">In IRS a significant amount </w:t>
      </w:r>
      <w:r>
        <w:t xml:space="preserve">of volume is traded as packages, which we categorize into two distinct types, first those where each leg is an IRS (e.g. Curve/Switch and Butterflies) and second those where one leg is an IRS and the other a Future or a Bond (Invoice Spreads, Asset Swaps). </w:t>
      </w:r>
    </w:p>
    <w:p w14:paraId="14E251BF" w14:textId="77777777" w:rsidR="00626D19" w:rsidRDefault="00626D19" w:rsidP="00626D19"/>
    <w:p w14:paraId="4966CBB3" w14:textId="77777777" w:rsidR="00626D19" w:rsidRPr="0053247F" w:rsidRDefault="00626D19" w:rsidP="00626D19">
      <w:pPr>
        <w:rPr>
          <w:b/>
          <w:color w:val="FF0000"/>
        </w:rPr>
      </w:pPr>
      <w:r>
        <w:t xml:space="preserve">US SDR data for the same 6-month period in 2015 shows that Curves and Butterflies in USD IRS Fixed Float are 25% by trade count of the overall trade volume of price forming trades. </w:t>
      </w:r>
    </w:p>
    <w:p w14:paraId="07A17E87" w14:textId="77777777" w:rsidR="00626D19" w:rsidRDefault="00626D19" w:rsidP="00626D19"/>
    <w:p w14:paraId="597FB51E" w14:textId="77777777" w:rsidR="00626D19" w:rsidRPr="002057F4" w:rsidRDefault="00626D19" w:rsidP="00626D19">
      <w:pPr>
        <w:rPr>
          <w:szCs w:val="20"/>
        </w:rPr>
      </w:pPr>
      <w:r w:rsidRPr="002057F4">
        <w:rPr>
          <w:shd w:val="clear" w:color="auto" w:fill="FFFFFF"/>
        </w:rPr>
        <w:t>Curves and Butterflies should be subject to a liquidity assessment independently from outright swaps, with a TO determined accordingly</w:t>
      </w:r>
      <w:r>
        <w:rPr>
          <w:shd w:val="clear" w:color="auto" w:fill="FFFFFF"/>
        </w:rPr>
        <w:t xml:space="preserve"> </w:t>
      </w:r>
      <w:r>
        <w:t xml:space="preserve">e.g. </w:t>
      </w:r>
      <w:proofErr w:type="gramStart"/>
      <w:r>
        <w:t>A  5Y10Y</w:t>
      </w:r>
      <w:proofErr w:type="gramEnd"/>
      <w:r>
        <w:t xml:space="preserve"> Curve might be liquid and subject to </w:t>
      </w:r>
      <w:proofErr w:type="spellStart"/>
      <w:r>
        <w:t>TO</w:t>
      </w:r>
      <w:proofErr w:type="spellEnd"/>
      <w:r>
        <w:t xml:space="preserve"> while a 4Y5Y Curve may not.</w:t>
      </w:r>
    </w:p>
    <w:p w14:paraId="135422F5" w14:textId="77777777" w:rsidR="00626D19" w:rsidRDefault="00626D19" w:rsidP="00626D19"/>
    <w:p w14:paraId="1DCDC96D" w14:textId="77777777" w:rsidR="00626D19" w:rsidRPr="000F13BF" w:rsidRDefault="00626D19" w:rsidP="00626D19">
      <w:r w:rsidRPr="000F13BF">
        <w:t>Invoice Spreads and Asset Swaps require more detailed analysis as evidence suggests that trading of these is more prevalent in Europe than in the US.</w:t>
      </w:r>
    </w:p>
    <w:p w14:paraId="1EF2BCD3" w14:textId="77777777" w:rsidR="00626D19" w:rsidRDefault="00626D19" w:rsidP="00EF314C"/>
    <w:p w14:paraId="6142AA7D" w14:textId="77777777" w:rsidR="00626D19" w:rsidRDefault="00626D19" w:rsidP="00EF314C"/>
    <w:p w14:paraId="472F3B28" w14:textId="77777777" w:rsidR="00EF314C" w:rsidRDefault="00EF314C" w:rsidP="00EF314C">
      <w:r>
        <w:t>&lt;ESMA_QUESTION_MIFID_TO_</w:t>
      </w:r>
      <w:r w:rsidR="00273633">
        <w:t>32</w:t>
      </w:r>
      <w:r>
        <w:t>&gt;</w:t>
      </w:r>
    </w:p>
    <w:p w14:paraId="79FD3BC1" w14:textId="77777777" w:rsidR="00EF314C" w:rsidRDefault="00EF314C" w:rsidP="00EF314C">
      <w:pPr>
        <w:rPr>
          <w:rFonts w:cs="Arial"/>
          <w:b/>
          <w:sz w:val="22"/>
          <w:szCs w:val="22"/>
          <w:lang w:eastAsia="en-US"/>
        </w:rPr>
      </w:pPr>
    </w:p>
    <w:p w14:paraId="02EA4D3C" w14:textId="77777777" w:rsidR="00EF314C" w:rsidRPr="000E6B5B" w:rsidRDefault="00FF5939" w:rsidP="00FF5939">
      <w:pPr>
        <w:pStyle w:val="CPQuestions"/>
      </w:pPr>
      <w:r w:rsidRPr="00FF5939">
        <w:t xml:space="preserve">Are there packages that only comprise components of classes of derivatives that are assessed for the purpose of the </w:t>
      </w:r>
      <w:proofErr w:type="gramStart"/>
      <w:r w:rsidRPr="00FF5939">
        <w:t>TO</w:t>
      </w:r>
      <w:proofErr w:type="gramEnd"/>
      <w:r w:rsidRPr="00FF5939">
        <w:t>? Do you consider those package transa</w:t>
      </w:r>
      <w:r w:rsidRPr="00FF5939">
        <w:t>c</w:t>
      </w:r>
      <w:r w:rsidRPr="00FF5939">
        <w:t>tions to be standardised and sufficiently liquid</w:t>
      </w:r>
      <w:r w:rsidR="00EF314C" w:rsidRPr="00070630">
        <w:t>?</w:t>
      </w:r>
    </w:p>
    <w:p w14:paraId="71A19C7C" w14:textId="77777777" w:rsidR="00EF314C" w:rsidRDefault="00EF314C" w:rsidP="00EF314C">
      <w:r>
        <w:t>&lt;ESMA_QUESTION_MIFID_TO_</w:t>
      </w:r>
      <w:r w:rsidR="00273633">
        <w:t>33</w:t>
      </w:r>
      <w:r>
        <w:t>&gt;</w:t>
      </w:r>
    </w:p>
    <w:p w14:paraId="5FFD28E6" w14:textId="77777777" w:rsidR="00EF314C" w:rsidRDefault="00EF314C" w:rsidP="00EF314C">
      <w:permStart w:id="141505369" w:edGrp="everyone"/>
      <w:r>
        <w:t>TYPE YOUR TEXT HERE</w:t>
      </w:r>
    </w:p>
    <w:permEnd w:id="141505369"/>
    <w:p w14:paraId="0E16E709" w14:textId="77777777" w:rsidR="00EF314C" w:rsidRDefault="00EF314C" w:rsidP="00EF314C">
      <w:r>
        <w:t>&lt;ESMA_QUESTION_MIFID_TO_</w:t>
      </w:r>
      <w:r w:rsidR="00273633">
        <w:t>33</w:t>
      </w:r>
      <w:r>
        <w:t>&gt;</w:t>
      </w:r>
    </w:p>
    <w:p w14:paraId="1FA9F1D4" w14:textId="77777777" w:rsidR="00EF314C" w:rsidRDefault="00EF314C" w:rsidP="00EF314C">
      <w:pPr>
        <w:rPr>
          <w:rFonts w:cs="Arial"/>
          <w:b/>
          <w:sz w:val="22"/>
          <w:szCs w:val="22"/>
          <w:lang w:eastAsia="en-US"/>
        </w:rPr>
      </w:pPr>
    </w:p>
    <w:p w14:paraId="55AF1646" w14:textId="77777777" w:rsidR="00EF314C" w:rsidRPr="000E6B5B" w:rsidRDefault="00FF5939" w:rsidP="00FF5939">
      <w:pPr>
        <w:pStyle w:val="CPQuestions"/>
      </w:pPr>
      <w:r w:rsidRPr="00FF5939">
        <w:t>Do you agree that package transactions that are comprised only of components subject to the TO should also be covered by the TO or should the TO only apply to categories of package transactions that are considered liquid? If not, please e</w:t>
      </w:r>
      <w:r w:rsidRPr="00FF5939">
        <w:t>x</w:t>
      </w:r>
      <w:r w:rsidRPr="00FF5939">
        <w:t>plain</w:t>
      </w:r>
      <w:r>
        <w:t>.</w:t>
      </w:r>
    </w:p>
    <w:p w14:paraId="38F6677A" w14:textId="77777777" w:rsidR="00273633" w:rsidRDefault="00EF314C" w:rsidP="00273633">
      <w:pPr>
        <w:pStyle w:val="00bDBInfo"/>
        <w:framePr w:hSpace="142" w:wrap="around" w:vAnchor="page" w:hAnchor="page" w:x="1248" w:y="15820"/>
        <w:suppressOverlap/>
      </w:pPr>
      <w:r>
        <w:t>&lt;ESMA_QUESTION_MIFID_TO</w:t>
      </w:r>
    </w:p>
    <w:p w14:paraId="5FEC8A4F" w14:textId="77777777" w:rsidR="00273633" w:rsidRDefault="00273633" w:rsidP="00273633">
      <w:r>
        <w:t>&lt;ESMA_QUESTION_MIFID_TO_34&gt;</w:t>
      </w:r>
    </w:p>
    <w:p w14:paraId="1082F47C" w14:textId="77777777" w:rsidR="00273633" w:rsidRDefault="00273633" w:rsidP="00273633">
      <w:permStart w:id="1797930644" w:edGrp="everyone"/>
      <w:r>
        <w:t>TYPE YOUR TEXT HERE</w:t>
      </w:r>
    </w:p>
    <w:permEnd w:id="1797930644"/>
    <w:p w14:paraId="0AE9EF39" w14:textId="77777777" w:rsidR="00273633" w:rsidRDefault="00273633" w:rsidP="00273633">
      <w:r>
        <w:t>&lt;ESMA_QUESTION_MIFID_TO_34&gt;</w:t>
      </w:r>
    </w:p>
    <w:p w14:paraId="4B8B1DB2" w14:textId="77777777" w:rsidR="00EF314C" w:rsidRDefault="00EF314C" w:rsidP="00EF314C">
      <w:pPr>
        <w:rPr>
          <w:rFonts w:cs="Arial"/>
          <w:b/>
          <w:sz w:val="22"/>
          <w:szCs w:val="22"/>
          <w:lang w:eastAsia="en-US"/>
        </w:rPr>
      </w:pPr>
    </w:p>
    <w:p w14:paraId="32FF1426" w14:textId="77777777" w:rsidR="00EF314C" w:rsidRPr="000E6B5B" w:rsidRDefault="00FF5939" w:rsidP="00FF5939">
      <w:pPr>
        <w:pStyle w:val="CPQuestions"/>
      </w:pPr>
      <w:r w:rsidRPr="00FF5939">
        <w:t xml:space="preserve">How should the TO apply for package transactions that include some components subject to the TO, whereas other components are not subject to the </w:t>
      </w:r>
      <w:proofErr w:type="gramStart"/>
      <w:r w:rsidRPr="00FF5939">
        <w:t>TO</w:t>
      </w:r>
      <w:proofErr w:type="gramEnd"/>
      <w:r w:rsidR="00EF314C" w:rsidRPr="00070630">
        <w:t>?</w:t>
      </w:r>
    </w:p>
    <w:p w14:paraId="7EB4D183" w14:textId="77777777" w:rsidR="00EF314C" w:rsidRDefault="00EF314C" w:rsidP="00EF314C">
      <w:r>
        <w:t>&lt;ESMA_QUESTION_MIFID_TO_35&gt;</w:t>
      </w:r>
    </w:p>
    <w:p w14:paraId="79D69B60" w14:textId="77777777" w:rsidR="00EF314C" w:rsidRDefault="00EF314C" w:rsidP="00EF314C">
      <w:permStart w:id="767297310" w:edGrp="everyone"/>
      <w:r>
        <w:t>TYPE YOUR TEXT HERE</w:t>
      </w:r>
    </w:p>
    <w:permEnd w:id="767297310"/>
    <w:p w14:paraId="3913BDC4" w14:textId="77777777" w:rsidR="00EF314C" w:rsidRDefault="00EF314C" w:rsidP="00EF314C">
      <w:r>
        <w:t>&lt;ESMA_QUESTION_MIFID_TO_35&gt;</w:t>
      </w:r>
    </w:p>
    <w:p w14:paraId="4563E6D6" w14:textId="77777777" w:rsidR="00EF314C" w:rsidRDefault="00EF314C" w:rsidP="00EF314C">
      <w:pPr>
        <w:rPr>
          <w:rFonts w:cs="Arial"/>
          <w:b/>
          <w:sz w:val="22"/>
          <w:szCs w:val="22"/>
          <w:lang w:eastAsia="en-US"/>
        </w:rPr>
      </w:pPr>
    </w:p>
    <w:sectPr w:rsidR="00EF314C"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8516E" w14:textId="77777777" w:rsidR="00B55C57" w:rsidRDefault="00B55C57">
      <w:r>
        <w:separator/>
      </w:r>
    </w:p>
    <w:p w14:paraId="4D28AE0B" w14:textId="77777777" w:rsidR="00B55C57" w:rsidRDefault="00B55C57"/>
  </w:endnote>
  <w:endnote w:type="continuationSeparator" w:id="0">
    <w:p w14:paraId="0869451F" w14:textId="77777777" w:rsidR="00B55C57" w:rsidRDefault="00B55C57">
      <w:r>
        <w:continuationSeparator/>
      </w:r>
    </w:p>
    <w:p w14:paraId="498D6970" w14:textId="77777777" w:rsidR="00B55C57" w:rsidRDefault="00B55C57"/>
  </w:endnote>
  <w:endnote w:type="continuationNotice" w:id="1">
    <w:p w14:paraId="58D673B4" w14:textId="77777777"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45732519" w14:textId="77777777" w:rsidTr="00315E96">
      <w:trPr>
        <w:trHeight w:val="284"/>
      </w:trPr>
      <w:tc>
        <w:tcPr>
          <w:tcW w:w="8460" w:type="dxa"/>
        </w:tcPr>
        <w:p w14:paraId="5F69EB15" w14:textId="77777777" w:rsidR="00811EDA" w:rsidRPr="00315E96" w:rsidRDefault="00811EDA" w:rsidP="00315E96">
          <w:pPr>
            <w:pStyle w:val="00Footer"/>
            <w:rPr>
              <w:lang w:val="fr-FR"/>
            </w:rPr>
          </w:pPr>
        </w:p>
      </w:tc>
      <w:tc>
        <w:tcPr>
          <w:tcW w:w="952" w:type="dxa"/>
        </w:tcPr>
        <w:p w14:paraId="7D6C7937"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352B7">
            <w:rPr>
              <w:rFonts w:cs="Arial"/>
              <w:noProof/>
              <w:sz w:val="22"/>
              <w:szCs w:val="22"/>
            </w:rPr>
            <w:t>3</w:t>
          </w:r>
          <w:r w:rsidRPr="00616B9B">
            <w:rPr>
              <w:rFonts w:cs="Arial"/>
              <w:noProof/>
              <w:sz w:val="22"/>
              <w:szCs w:val="22"/>
            </w:rPr>
            <w:fldChar w:fldCharType="end"/>
          </w:r>
        </w:p>
      </w:tc>
    </w:tr>
  </w:tbl>
  <w:p w14:paraId="6D62FC22" w14:textId="77777777" w:rsidR="00811EDA" w:rsidRDefault="00811E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2A2D" w14:textId="77777777" w:rsidR="00811EDA" w:rsidRDefault="00811E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E4ACA" w14:textId="77777777" w:rsidR="00B55C57" w:rsidRDefault="00B55C57">
      <w:r>
        <w:separator/>
      </w:r>
    </w:p>
    <w:p w14:paraId="6DE81E4B" w14:textId="77777777" w:rsidR="00B55C57" w:rsidRDefault="00B55C57"/>
  </w:footnote>
  <w:footnote w:type="continuationSeparator" w:id="0">
    <w:p w14:paraId="1324155C" w14:textId="77777777" w:rsidR="00B55C57" w:rsidRDefault="00B55C57">
      <w:r>
        <w:continuationSeparator/>
      </w:r>
    </w:p>
    <w:p w14:paraId="6A541833" w14:textId="77777777" w:rsidR="00B55C57" w:rsidRDefault="00B55C57"/>
  </w:footnote>
  <w:footnote w:type="continuationNotice" w:id="1">
    <w:p w14:paraId="7BA564C4" w14:textId="77777777" w:rsidR="00B55C57" w:rsidRDefault="00B55C5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4F86"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7C8133F9" wp14:editId="03B3CA07">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235A17AE" wp14:editId="524B3D56">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E6812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7771"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2B7CDEE4" wp14:editId="707F91B7">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6905FEDB" wp14:editId="260F0E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6442" w14:textId="77777777" w:rsidR="00811EDA" w:rsidRDefault="00811EDA"/>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4423775B" w14:textId="77777777" w:rsidTr="000C06C9">
      <w:trPr>
        <w:trHeight w:val="284"/>
      </w:trPr>
      <w:tc>
        <w:tcPr>
          <w:tcW w:w="8460" w:type="dxa"/>
        </w:tcPr>
        <w:p w14:paraId="2082529D" w14:textId="77777777" w:rsidR="00811EDA" w:rsidRPr="000C3B6D" w:rsidRDefault="00811EDA" w:rsidP="000C06C9">
          <w:pPr>
            <w:pStyle w:val="00Footer"/>
            <w:rPr>
              <w:lang w:val="fr-FR"/>
            </w:rPr>
          </w:pPr>
        </w:p>
      </w:tc>
      <w:tc>
        <w:tcPr>
          <w:tcW w:w="952" w:type="dxa"/>
        </w:tcPr>
        <w:p w14:paraId="42A80DBA" w14:textId="77777777" w:rsidR="00811EDA" w:rsidRPr="00146B34" w:rsidRDefault="00811EDA" w:rsidP="000C06C9">
          <w:pPr>
            <w:pStyle w:val="00aPagenumber"/>
            <w:rPr>
              <w:lang w:val="fr-FR"/>
            </w:rPr>
          </w:pPr>
        </w:p>
      </w:tc>
    </w:tr>
  </w:tbl>
  <w:p w14:paraId="1FA6AF48" w14:textId="77777777" w:rsidR="00811EDA" w:rsidRPr="00DB46C3" w:rsidRDefault="00811EDA">
    <w:pPr>
      <w:rPr>
        <w:lang w:val="fr-FR"/>
      </w:rPr>
    </w:pPr>
  </w:p>
  <w:p w14:paraId="589F3319" w14:textId="77777777" w:rsidR="00811EDA" w:rsidRPr="002F4496" w:rsidRDefault="00811EDA">
    <w:pPr>
      <w:pStyle w:val="Header"/>
      <w:rPr>
        <w:lang w:val="fr-FR"/>
      </w:rPr>
    </w:pPr>
  </w:p>
  <w:p w14:paraId="6E782D08" w14:textId="77777777" w:rsidR="00811EDA" w:rsidRPr="002F4496" w:rsidRDefault="00811EDA" w:rsidP="000C06C9">
    <w:pPr>
      <w:pStyle w:val="Header"/>
      <w:tabs>
        <w:tab w:val="clear" w:pos="4536"/>
        <w:tab w:val="clear" w:pos="9072"/>
        <w:tab w:val="left" w:pos="8227"/>
      </w:tabs>
      <w:rPr>
        <w:lang w:val="fr-FR"/>
      </w:rPr>
    </w:pPr>
  </w:p>
  <w:p w14:paraId="13647BC7" w14:textId="77777777" w:rsidR="00811EDA" w:rsidRPr="002F4496" w:rsidRDefault="00811EDA" w:rsidP="000C06C9">
    <w:pPr>
      <w:pStyle w:val="Header"/>
      <w:tabs>
        <w:tab w:val="clear" w:pos="4536"/>
        <w:tab w:val="clear" w:pos="9072"/>
        <w:tab w:val="left" w:pos="8227"/>
      </w:tabs>
      <w:rPr>
        <w:lang w:val="fr-FR"/>
      </w:rPr>
    </w:pPr>
  </w:p>
  <w:p w14:paraId="10ED3C1D" w14:textId="77777777" w:rsidR="00811EDA" w:rsidRPr="002F4496" w:rsidRDefault="00811EDA">
    <w:pPr>
      <w:pStyle w:val="Header"/>
      <w:rPr>
        <w:lang w:val="fr-FR"/>
      </w:rPr>
    </w:pPr>
  </w:p>
  <w:p w14:paraId="7827EE90" w14:textId="77777777" w:rsidR="00811EDA" w:rsidRPr="002F4496" w:rsidRDefault="00811EDA">
    <w:pPr>
      <w:pStyle w:val="Header"/>
      <w:rPr>
        <w:lang w:val="fr-FR"/>
      </w:rPr>
    </w:pPr>
  </w:p>
  <w:p w14:paraId="2EF7F5D6" w14:textId="77777777" w:rsidR="00811EDA" w:rsidRPr="002F4496" w:rsidRDefault="00811EDA">
    <w:pPr>
      <w:pStyle w:val="Header"/>
      <w:rPr>
        <w:lang w:val="fr-FR"/>
      </w:rPr>
    </w:pPr>
  </w:p>
  <w:p w14:paraId="799EDF64" w14:textId="77777777" w:rsidR="00811EDA" w:rsidRPr="002F4496" w:rsidRDefault="00811EDA">
    <w:pPr>
      <w:pStyle w:val="Header"/>
      <w:rPr>
        <w:lang w:val="fr-FR"/>
      </w:rPr>
    </w:pPr>
  </w:p>
  <w:p w14:paraId="5EECF890" w14:textId="77777777" w:rsidR="00811EDA" w:rsidRPr="002F4496" w:rsidRDefault="00811EDA">
    <w:pPr>
      <w:pStyle w:val="Header"/>
      <w:rPr>
        <w:highlight w:val="yellow"/>
        <w:lang w:val="fr-FR"/>
      </w:rPr>
    </w:pPr>
  </w:p>
  <w:p w14:paraId="44088241"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2AB0B54B" wp14:editId="5827B55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E0BB5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0663D1AD" wp14:editId="3E6F86E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3DE700C3"/>
    <w:multiLevelType w:val="multilevel"/>
    <w:tmpl w:val="E06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8935156"/>
    <w:multiLevelType w:val="hybridMultilevel"/>
    <w:tmpl w:val="3F8A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954F3C"/>
    <w:multiLevelType w:val="hybridMultilevel"/>
    <w:tmpl w:val="C128A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nsid w:val="7F2D442D"/>
    <w:multiLevelType w:val="hybridMultilevel"/>
    <w:tmpl w:val="8D7C46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6"/>
  </w:num>
  <w:num w:numId="22">
    <w:abstractNumId w:val="24"/>
  </w:num>
  <w:num w:numId="23">
    <w:abstractNumId w:val="9"/>
  </w:num>
  <w:num w:numId="24">
    <w:abstractNumId w:val="30"/>
  </w:num>
  <w:num w:numId="25">
    <w:abstractNumId w:val="29"/>
  </w:num>
  <w:num w:numId="26">
    <w:abstractNumId w:val="19"/>
  </w:num>
  <w:num w:numId="27">
    <w:abstractNumId w:val="33"/>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4"/>
  </w:num>
  <w:num w:numId="37">
    <w:abstractNumId w:val="38"/>
  </w:num>
  <w:num w:numId="38">
    <w:abstractNumId w:val="40"/>
  </w:num>
  <w:num w:numId="39">
    <w:abstractNumId w:val="17"/>
  </w:num>
  <w:num w:numId="40">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94A"/>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2B7"/>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041B"/>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6D19"/>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D52"/>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d4491,#283583"/>
    </o:shapedefaults>
    <o:shapelayout v:ext="edit">
      <o:idmap v:ext="edit" data="1"/>
    </o:shapelayout>
  </w:shapeDefaults>
  <w:decimalSymbol w:val="."/>
  <w:listSeparator w:val=","/>
  <w14:docId w14:val="3B06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yperlink" Target="https://goo.gl/igiZqI" TargetMode="External"/><Relationship Id="rId21" Type="http://schemas.openxmlformats.org/officeDocument/2006/relationships/hyperlink" Target="https://goo.gl/yJPeqH" TargetMode="External"/><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hyperlink" Target="http://www.esma.europa.eu" TargetMode="External"/><Relationship Id="rId18" Type="http://schemas.openxmlformats.org/officeDocument/2006/relationships/hyperlink" Target="http://www.esma.europa.eu" TargetMode="External"/><Relationship Id="rId19" Type="http://schemas.openxmlformats.org/officeDocument/2006/relationships/hyperlink" Target="https://www.clarusft.com/products/about-our-data-product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2589F347-7A4D-644D-A3E1-E2020D8317BE}">
  <ds:schemaRefs>
    <ds:schemaRef ds:uri="http://schemas.openxmlformats.org/officeDocument/2006/bibliography"/>
  </ds:schemaRefs>
</ds:datastoreItem>
</file>

<file path=customXml/itemProps6.xml><?xml version="1.0" encoding="utf-8"?>
<ds:datastoreItem xmlns:ds="http://schemas.openxmlformats.org/officeDocument/2006/customXml" ds:itemID="{84034BE7-4006-6E45-B250-E7C96965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3118</Words>
  <Characters>17777</Characters>
  <Application>Microsoft Macintosh Word</Application>
  <DocSecurity>0</DocSecurity>
  <Lines>148</Lines>
  <Paragraphs>41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20854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Amir Khwaja</cp:lastModifiedBy>
  <cp:revision>6</cp:revision>
  <cp:lastPrinted>2015-02-18T11:01:00Z</cp:lastPrinted>
  <dcterms:created xsi:type="dcterms:W3CDTF">2016-11-21T15:26:00Z</dcterms:created>
  <dcterms:modified xsi:type="dcterms:W3CDTF">2016-11-21T15:41:00Z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