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70249C" w:rsidP="00F37DFE">
            <w:pPr>
              <w:pStyle w:val="00bDBInfo"/>
              <w:rPr>
                <w:rFonts w:cs="Arial"/>
              </w:rPr>
            </w:pPr>
            <w:r>
              <w:rPr>
                <w:rFonts w:cs="Arial"/>
              </w:rPr>
              <w:t>30</w:t>
            </w:r>
            <w:r w:rsidR="003A5DAC">
              <w:rPr>
                <w:rFonts w:cs="Arial"/>
              </w:rPr>
              <w:t xml:space="preserve"> </w:t>
            </w:r>
            <w:r w:rsidR="00F37DFE">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3413A" w:rsidRDefault="00AE627C" w:rsidP="0043413A">
            <w:pPr>
              <w:pStyle w:val="01aDBTitle"/>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990FF9">
              <w:rPr>
                <w:rFonts w:cs="Arial"/>
                <w:sz w:val="32"/>
              </w:rPr>
              <w:t>Consultation</w:t>
            </w:r>
            <w:r w:rsidR="009C6CE1" w:rsidRPr="009C6CE1">
              <w:rPr>
                <w:rFonts w:cs="Arial"/>
                <w:sz w:val="32"/>
              </w:rPr>
              <w:t xml:space="preserve"> Paper </w:t>
            </w:r>
          </w:p>
          <w:p w:rsidR="00791EB4" w:rsidRPr="009A053D" w:rsidRDefault="0043413A" w:rsidP="0043413A">
            <w:pPr>
              <w:pStyle w:val="01aDBTitle"/>
              <w:rPr>
                <w:rFonts w:cs="Arial"/>
                <w:sz w:val="32"/>
              </w:rPr>
            </w:pPr>
            <w:r w:rsidRPr="0043413A">
              <w:rPr>
                <w:rFonts w:cs="Arial"/>
                <w:sz w:val="32"/>
              </w:rPr>
              <w:t>Draft RTS and ITS under SFTR and amendments to related EMIR RTS</w:t>
            </w:r>
          </w:p>
        </w:tc>
      </w:tr>
      <w:tr w:rsidR="00060F72" w:rsidRPr="00616B9B" w:rsidTr="00B835D5">
        <w:trPr>
          <w:trHeight w:hRule="exact" w:val="605"/>
        </w:trPr>
        <w:tc>
          <w:tcPr>
            <w:tcW w:w="9397" w:type="dxa"/>
            <w:tcMar>
              <w:top w:w="142" w:type="dxa"/>
            </w:tcMar>
          </w:tcPr>
          <w:p w:rsidR="00D91010" w:rsidRPr="009A053D" w:rsidRDefault="00D91010" w:rsidP="00027ECF">
            <w:pPr>
              <w:pStyle w:val="01bDBSubtitle"/>
              <w:rPr>
                <w:rFonts w:ascii="Arial" w:hAnsi="Arial" w:cs="Arial"/>
                <w:sz w:val="32"/>
              </w:rPr>
            </w:pP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3413A">
            <w:pPr>
              <w:pStyle w:val="02Date"/>
              <w:rPr>
                <w:rFonts w:cs="Arial"/>
                <w:highlight w:val="red"/>
              </w:rPr>
            </w:pPr>
            <w:r w:rsidRPr="007C3918">
              <w:rPr>
                <w:rFonts w:cs="Arial"/>
              </w:rPr>
              <w:lastRenderedPageBreak/>
              <w:t>Date</w:t>
            </w:r>
            <w:r w:rsidR="004049C0">
              <w:rPr>
                <w:rFonts w:cs="Arial"/>
              </w:rPr>
              <w:t xml:space="preserve">: </w:t>
            </w:r>
            <w:r w:rsidR="0043413A">
              <w:rPr>
                <w:rFonts w:cs="Arial"/>
              </w:rPr>
              <w:t>30</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43413A" w:rsidRPr="0043413A">
        <w:rPr>
          <w:rFonts w:cs="Arial"/>
        </w:rPr>
        <w:t>Draft RTS and ITS under SFTR and amendments to related EMIR RTS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43413A">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43413A">
        <w:t>SFTR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440DF5" w:rsidRPr="00440DF5">
        <w:t>SFTR</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440DF5">
        <w:rPr>
          <w:rFonts w:cs="Arial"/>
          <w:b/>
        </w:rPr>
        <w:t>30</w:t>
      </w:r>
      <w:r w:rsidR="00F37DFE">
        <w:rPr>
          <w:rFonts w:cs="Arial"/>
          <w:b/>
        </w:rPr>
        <w:t xml:space="preserve"> </w:t>
      </w:r>
      <w:r w:rsidR="00440DF5">
        <w:rPr>
          <w:rFonts w:cs="Arial"/>
          <w:b/>
        </w:rPr>
        <w:t>November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EF74DB" w:rsidRDefault="00EF74DB"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43413A">
        <w:t>SFTR</w:t>
      </w:r>
      <w:r w:rsidR="00D61A37" w:rsidRPr="00176639">
        <w:t>_1</w:t>
      </w:r>
      <w:r w:rsidRPr="00176639">
        <w:t>&gt;</w:t>
      </w:r>
    </w:p>
    <w:p w:rsidR="00EA37CB" w:rsidRDefault="00EA37CB" w:rsidP="00EA37CB">
      <w:pPr>
        <w:rPr>
          <w:rFonts w:cs="Arial"/>
        </w:rPr>
      </w:pPr>
      <w:permStart w:id="215101196" w:edGrp="everyone"/>
    </w:p>
    <w:p w:rsidR="00EA37CB" w:rsidRDefault="00EA37CB" w:rsidP="00EA37CB">
      <w:pPr>
        <w:rPr>
          <w:rFonts w:cs="Arial"/>
        </w:rPr>
      </w:pPr>
      <w:r w:rsidRPr="00637224">
        <w:rPr>
          <w:rFonts w:cs="Arial"/>
        </w:rPr>
        <w:t>On behalf of the European Repo and Collateral Council (“ERCC”) of the International Capital Market Association (“ICMA”),</w:t>
      </w:r>
      <w:r w:rsidRPr="00637224">
        <w:rPr>
          <w:rFonts w:cs="Arial"/>
          <w:vertAlign w:val="superscript"/>
        </w:rPr>
        <w:footnoteReference w:id="2"/>
      </w:r>
      <w:r w:rsidR="0027725F">
        <w:rPr>
          <w:rFonts w:cs="Arial"/>
        </w:rPr>
        <w:t xml:space="preserve"> the purpose of this submission</w:t>
      </w:r>
      <w:r w:rsidRPr="00637224">
        <w:rPr>
          <w:rFonts w:cs="Arial"/>
        </w:rPr>
        <w:t xml:space="preserve"> is to provide feedback on ESMA’s</w:t>
      </w:r>
      <w:r>
        <w:rPr>
          <w:rFonts w:cs="Arial"/>
        </w:rPr>
        <w:t xml:space="preserve"> consultation p</w:t>
      </w:r>
      <w:r w:rsidRPr="00637224">
        <w:rPr>
          <w:rFonts w:cs="Arial"/>
        </w:rPr>
        <w:t>aper</w:t>
      </w:r>
      <w:r>
        <w:rPr>
          <w:rFonts w:cs="Arial"/>
        </w:rPr>
        <w:t xml:space="preserve"> (CP)</w:t>
      </w:r>
      <w:r w:rsidRPr="00637224">
        <w:rPr>
          <w:rFonts w:cs="Arial"/>
        </w:rPr>
        <w:t xml:space="preserve"> on </w:t>
      </w:r>
      <w:r w:rsidRPr="00637224">
        <w:rPr>
          <w:rFonts w:cs="Arial"/>
          <w:i/>
        </w:rPr>
        <w:t>Draft RTS and ITS under the EU SFT Regulation</w:t>
      </w:r>
      <w:r w:rsidRPr="00637224">
        <w:rPr>
          <w:rFonts w:cs="Arial"/>
        </w:rPr>
        <w:t>.</w:t>
      </w:r>
      <w:r>
        <w:rPr>
          <w:rFonts w:cs="Arial"/>
        </w:rPr>
        <w:t xml:space="preserve"> This response complements our detailed comments submitted in April 2016 in response to ESMA’s related discussion paper (DP) as well as our written responses to a set of additional questions sent to us by ESMA in preparation for this consultation.</w:t>
      </w:r>
    </w:p>
    <w:p w:rsidR="00EA37CB" w:rsidRDefault="00EA37CB" w:rsidP="00EA37CB">
      <w:pPr>
        <w:rPr>
          <w:rFonts w:cs="Arial"/>
        </w:rPr>
      </w:pPr>
    </w:p>
    <w:p w:rsidR="00D34282" w:rsidRDefault="00EA37CB" w:rsidP="00EA37CB">
      <w:pPr>
        <w:rPr>
          <w:rFonts w:cs="Arial"/>
          <w:iCs/>
          <w:lang w:val="it-IT"/>
        </w:rPr>
      </w:pPr>
      <w:r w:rsidRPr="00C02F04">
        <w:rPr>
          <w:rFonts w:cs="Arial"/>
        </w:rPr>
        <w:t>We would like</w:t>
      </w:r>
      <w:bookmarkStart w:id="3" w:name="_GoBack"/>
      <w:bookmarkEnd w:id="3"/>
      <w:r w:rsidRPr="00C02F04">
        <w:rPr>
          <w:rFonts w:cs="Arial"/>
        </w:rPr>
        <w:t xml:space="preserve"> to thank ESMA for the </w:t>
      </w:r>
      <w:r>
        <w:rPr>
          <w:rFonts w:cs="Arial"/>
        </w:rPr>
        <w:t>opportunity to respond to this c</w:t>
      </w:r>
      <w:r w:rsidRPr="00C02F04">
        <w:rPr>
          <w:rFonts w:cs="Arial"/>
        </w:rPr>
        <w:t>onsultation</w:t>
      </w:r>
      <w:r>
        <w:rPr>
          <w:rFonts w:cs="Arial"/>
        </w:rPr>
        <w:t xml:space="preserve"> paper</w:t>
      </w:r>
      <w:r w:rsidRPr="00C02F04">
        <w:rPr>
          <w:rFonts w:cs="Arial"/>
        </w:rPr>
        <w:t xml:space="preserve"> and note that the</w:t>
      </w:r>
      <w:r>
        <w:rPr>
          <w:rFonts w:cs="Arial"/>
        </w:rPr>
        <w:t xml:space="preserve"> ICMA</w:t>
      </w:r>
      <w:r w:rsidRPr="00C02F04">
        <w:rPr>
          <w:rFonts w:cs="Arial"/>
        </w:rPr>
        <w:t xml:space="preserve"> ERCC supports the objective of ensuring that there is appropriate transparency of </w:t>
      </w:r>
      <w:r>
        <w:rPr>
          <w:rFonts w:cs="Arial"/>
        </w:rPr>
        <w:t>securities financing transactions (</w:t>
      </w:r>
      <w:r w:rsidRPr="00C02F04">
        <w:rPr>
          <w:rFonts w:cs="Arial"/>
        </w:rPr>
        <w:t>SFTs</w:t>
      </w:r>
      <w:r>
        <w:rPr>
          <w:rFonts w:cs="Arial"/>
        </w:rPr>
        <w:t>)</w:t>
      </w:r>
      <w:r w:rsidRPr="00C02F04">
        <w:rPr>
          <w:rFonts w:cs="Arial"/>
        </w:rPr>
        <w:t xml:space="preserve">. The </w:t>
      </w:r>
      <w:r>
        <w:rPr>
          <w:rFonts w:cs="Arial"/>
        </w:rPr>
        <w:t xml:space="preserve">ICMA </w:t>
      </w:r>
      <w:r w:rsidRPr="00C02F04">
        <w:rPr>
          <w:rFonts w:cs="Arial"/>
        </w:rPr>
        <w:t xml:space="preserve">ERCC has itself actively contributed to this through its bi-annual </w:t>
      </w:r>
      <w:r>
        <w:rPr>
          <w:rFonts w:cs="Arial"/>
        </w:rPr>
        <w:t>repo market s</w:t>
      </w:r>
      <w:r w:rsidRPr="00C02F04">
        <w:rPr>
          <w:rFonts w:cs="Arial"/>
        </w:rPr>
        <w:t>urveys published since 2001</w:t>
      </w:r>
      <w:r>
        <w:rPr>
          <w:rFonts w:cs="Arial"/>
        </w:rPr>
        <w:t>, which have given a special insight into the collection of market data</w:t>
      </w:r>
      <w:r w:rsidRPr="00C02F04">
        <w:rPr>
          <w:rFonts w:cs="Arial"/>
        </w:rPr>
        <w:t>. In line with the mandate of the ERCC, the focus of this response is on thos</w:t>
      </w:r>
      <w:r>
        <w:rPr>
          <w:rFonts w:cs="Arial"/>
        </w:rPr>
        <w:t>e questions of ESMA’s CP</w:t>
      </w:r>
      <w:r w:rsidRPr="00C02F04">
        <w:rPr>
          <w:rFonts w:cs="Arial"/>
        </w:rPr>
        <w:t xml:space="preserve"> that are of </w:t>
      </w:r>
      <w:proofErr w:type="gramStart"/>
      <w:r w:rsidRPr="00C02F04">
        <w:rPr>
          <w:rFonts w:cs="Arial"/>
        </w:rPr>
        <w:t>particular relevance</w:t>
      </w:r>
      <w:proofErr w:type="gramEnd"/>
      <w:r w:rsidRPr="00C02F04">
        <w:rPr>
          <w:rFonts w:cs="Arial"/>
        </w:rPr>
        <w:t xml:space="preserve"> for the repo market.</w:t>
      </w:r>
      <w:r>
        <w:rPr>
          <w:rFonts w:cs="Arial"/>
        </w:rPr>
        <w:t xml:space="preserve"> Given the challenging timeline for the adoption of the draft RTS and ITS, we have tried to be as constructive as possible in our comments and to set out concrete alternatives where possible, both in the individual responses and the attached Excel tables. The ICMA ERCC remains at ESMA’s disposal if there is any need for clarification and follow-up discussion. We believe that sufficient time is needed to carefully analyse the important challenges related to SFT reporting and to design a reporting regime that is effective from the outset for both regulators and the industry, even if this comes at the cost of a further delay in the adoption process. </w:t>
      </w:r>
      <w:r w:rsidRPr="00A63B20">
        <w:rPr>
          <w:rFonts w:cs="Arial"/>
          <w:iCs/>
          <w:lang w:val="it-IT"/>
        </w:rPr>
        <w:t xml:space="preserve">Before </w:t>
      </w:r>
      <w:r>
        <w:rPr>
          <w:rFonts w:cs="Arial"/>
          <w:iCs/>
          <w:lang w:val="it-IT"/>
        </w:rPr>
        <w:t>addressing t</w:t>
      </w:r>
      <w:r w:rsidRPr="00A63B20">
        <w:rPr>
          <w:rFonts w:cs="Arial"/>
          <w:iCs/>
          <w:lang w:val="it-IT"/>
        </w:rPr>
        <w:t xml:space="preserve">he specific questions posed by </w:t>
      </w:r>
      <w:r>
        <w:rPr>
          <w:rFonts w:cs="Arial"/>
          <w:iCs/>
          <w:lang w:val="it-IT"/>
        </w:rPr>
        <w:t>ESMA in the CP</w:t>
      </w:r>
      <w:r w:rsidRPr="00A63B20">
        <w:rPr>
          <w:rFonts w:cs="Arial"/>
          <w:iCs/>
          <w:lang w:val="it-IT"/>
        </w:rPr>
        <w:t>, we would like to</w:t>
      </w:r>
      <w:r>
        <w:rPr>
          <w:rFonts w:cs="Arial"/>
          <w:iCs/>
          <w:lang w:val="it-IT"/>
        </w:rPr>
        <w:t xml:space="preserve"> set out a number of key</w:t>
      </w:r>
      <w:r w:rsidRPr="00A63B20">
        <w:rPr>
          <w:rFonts w:cs="Arial"/>
          <w:iCs/>
          <w:lang w:val="it-IT"/>
        </w:rPr>
        <w:t xml:space="preserve"> comments which are further articulat</w:t>
      </w:r>
      <w:r>
        <w:rPr>
          <w:rFonts w:cs="Arial"/>
          <w:iCs/>
          <w:lang w:val="it-IT"/>
        </w:rPr>
        <w:t>ed in the following paragraphs:</w:t>
      </w:r>
    </w:p>
    <w:p w:rsidR="00EA37CB" w:rsidRDefault="00EA37CB" w:rsidP="00EA37CB">
      <w:pPr>
        <w:rPr>
          <w:rFonts w:cs="Arial"/>
          <w:iCs/>
          <w:lang w:val="it-IT"/>
        </w:rPr>
      </w:pPr>
    </w:p>
    <w:p w:rsidR="00EA37CB" w:rsidRDefault="00EA37CB" w:rsidP="00EA37CB">
      <w:pPr>
        <w:rPr>
          <w:rFonts w:cs="Arial"/>
          <w:szCs w:val="20"/>
        </w:rPr>
      </w:pPr>
      <w:r w:rsidRPr="00C02F04">
        <w:rPr>
          <w:rFonts w:cs="Arial"/>
          <w:b/>
          <w:szCs w:val="20"/>
        </w:rPr>
        <w:t>(1</w:t>
      </w:r>
      <w:r>
        <w:rPr>
          <w:rFonts w:cs="Arial"/>
          <w:b/>
          <w:szCs w:val="20"/>
        </w:rPr>
        <w:t xml:space="preserve">) </w:t>
      </w:r>
      <w:r w:rsidRPr="00C02F04">
        <w:rPr>
          <w:rFonts w:cs="Arial"/>
          <w:b/>
          <w:szCs w:val="20"/>
        </w:rPr>
        <w:t>Workability of the reporting regime:</w:t>
      </w:r>
      <w:r w:rsidRPr="00C02F04">
        <w:rPr>
          <w:rFonts w:cs="Arial"/>
          <w:szCs w:val="20"/>
        </w:rPr>
        <w:t xml:space="preserve"> </w:t>
      </w:r>
    </w:p>
    <w:p w:rsidR="00EA37CB" w:rsidRDefault="00EA37CB" w:rsidP="00EA37CB">
      <w:pPr>
        <w:rPr>
          <w:rFonts w:cs="Arial"/>
          <w:szCs w:val="20"/>
        </w:rPr>
      </w:pPr>
    </w:p>
    <w:p w:rsidR="00EA37CB" w:rsidRPr="00C02F04" w:rsidRDefault="00EA37CB" w:rsidP="00EA37CB">
      <w:pPr>
        <w:rPr>
          <w:rFonts w:cs="Arial"/>
          <w:szCs w:val="20"/>
        </w:rPr>
      </w:pPr>
      <w:r w:rsidRPr="00C02F04">
        <w:rPr>
          <w:rFonts w:cs="Arial"/>
        </w:rPr>
        <w:t>ICMA ERCC</w:t>
      </w:r>
      <w:r>
        <w:rPr>
          <w:rFonts w:cs="Arial"/>
        </w:rPr>
        <w:t xml:space="preserve"> members</w:t>
      </w:r>
      <w:r w:rsidRPr="00C02F04">
        <w:rPr>
          <w:rFonts w:cs="Arial"/>
        </w:rPr>
        <w:t xml:space="preserve"> </w:t>
      </w:r>
      <w:r>
        <w:rPr>
          <w:rFonts w:cs="Arial"/>
        </w:rPr>
        <w:t>strongly believe that it is a shared interest of both industry and supervisors that the</w:t>
      </w:r>
      <w:r w:rsidRPr="00C02F04">
        <w:rPr>
          <w:rFonts w:cs="Arial"/>
        </w:rPr>
        <w:t xml:space="preserve"> SFTR reporting regime is </w:t>
      </w:r>
      <w:r>
        <w:rPr>
          <w:rFonts w:cs="Arial"/>
        </w:rPr>
        <w:t xml:space="preserve">both </w:t>
      </w:r>
      <w:r w:rsidRPr="00C02F04">
        <w:rPr>
          <w:rFonts w:cs="Arial"/>
        </w:rPr>
        <w:t xml:space="preserve">effective in </w:t>
      </w:r>
      <w:r>
        <w:rPr>
          <w:rFonts w:cs="Arial"/>
        </w:rPr>
        <w:t xml:space="preserve">its ambition to </w:t>
      </w:r>
      <w:r w:rsidRPr="00C02F04">
        <w:rPr>
          <w:rFonts w:cs="Arial"/>
        </w:rPr>
        <w:t>increas</w:t>
      </w:r>
      <w:r>
        <w:rPr>
          <w:rFonts w:cs="Arial"/>
        </w:rPr>
        <w:t>e the</w:t>
      </w:r>
      <w:r w:rsidRPr="00C02F04">
        <w:rPr>
          <w:rFonts w:cs="Arial"/>
        </w:rPr>
        <w:t xml:space="preserve"> transparency of SFT markets</w:t>
      </w:r>
      <w:r>
        <w:rPr>
          <w:rFonts w:cs="Arial"/>
        </w:rPr>
        <w:t xml:space="preserve"> and efficient in achieving its goals without disproportionately burdening reporting firms. We would point out that the latter is an objective that has been repeatedly stressed by European legislators, most recently in the Commission’s follow-up communication on the Call for Evidence.</w:t>
      </w:r>
      <w:r>
        <w:rPr>
          <w:rStyle w:val="FootnoteReference"/>
          <w:rFonts w:cs="Arial"/>
        </w:rPr>
        <w:footnoteReference w:id="3"/>
      </w:r>
      <w:r>
        <w:rPr>
          <w:rFonts w:cs="Arial"/>
        </w:rPr>
        <w:t xml:space="preserve"> The ICMA ERCC is keen to support ESMA in the most constructive way possible to help achieve </w:t>
      </w:r>
      <w:proofErr w:type="gramStart"/>
      <w:r>
        <w:rPr>
          <w:rFonts w:cs="Arial"/>
        </w:rPr>
        <w:t>both of these</w:t>
      </w:r>
      <w:proofErr w:type="gramEnd"/>
      <w:r>
        <w:rPr>
          <w:rFonts w:cs="Arial"/>
        </w:rPr>
        <w:t xml:space="preserve"> objectives. We welcome the progress made by ESMA since the DP, but would like to highlight that there is still significant scope for further improvements that would lead to a more effective reporting regime for regulators without disproportionately burdening the industry. First and foremost, we believe that this requires a significant reduction of both reporting fields and reconciliation fields, as well as a substantial increase in the applicable tolerance levels. The current proposals risk undermining the effectiveness of the SFTR regime while at the same time disproportionately burdening the industry and supervisors alike. </w:t>
      </w:r>
      <w:r w:rsidRPr="00BD1E38">
        <w:rPr>
          <w:rFonts w:cs="Arial"/>
          <w:szCs w:val="20"/>
        </w:rPr>
        <w:t>To illustrate the disproportionate nature of the current proposal</w:t>
      </w:r>
      <w:r>
        <w:rPr>
          <w:rFonts w:cs="Arial"/>
          <w:szCs w:val="20"/>
        </w:rPr>
        <w:t>s</w:t>
      </w:r>
      <w:r w:rsidRPr="00BD1E38">
        <w:rPr>
          <w:rFonts w:cs="Arial"/>
          <w:szCs w:val="20"/>
        </w:rPr>
        <w:t>, we would like to draw ESMA’s a</w:t>
      </w:r>
      <w:r>
        <w:rPr>
          <w:rFonts w:cs="Arial"/>
          <w:szCs w:val="20"/>
        </w:rPr>
        <w:t>ttention to the fact that the 74</w:t>
      </w:r>
      <w:r w:rsidRPr="00BD1E38">
        <w:rPr>
          <w:rFonts w:cs="Arial"/>
          <w:szCs w:val="20"/>
        </w:rPr>
        <w:t xml:space="preserve"> reporting fields</w:t>
      </w:r>
      <w:r>
        <w:rPr>
          <w:rFonts w:cs="Arial"/>
          <w:szCs w:val="20"/>
        </w:rPr>
        <w:t xml:space="preserve"> for repo (excluding margining and re-use data) proposed by ESMA is </w:t>
      </w:r>
      <w:r w:rsidRPr="00BD1E38">
        <w:rPr>
          <w:rFonts w:cs="Arial"/>
          <w:szCs w:val="20"/>
        </w:rPr>
        <w:t xml:space="preserve">three times the number required in the ECB’s money market statistical reporting (25) and </w:t>
      </w:r>
      <w:r>
        <w:rPr>
          <w:rFonts w:cs="Arial"/>
          <w:szCs w:val="20"/>
        </w:rPr>
        <w:t xml:space="preserve">two and a half </w:t>
      </w:r>
      <w:r w:rsidRPr="00BD1E38">
        <w:rPr>
          <w:rFonts w:cs="Arial"/>
          <w:szCs w:val="20"/>
        </w:rPr>
        <w:t>times the number required in the Bank of England’s equivalent regime (30); and is even more granular in comparison to the recommendations of the FSB.</w:t>
      </w:r>
    </w:p>
    <w:p w:rsidR="00EA37CB" w:rsidRPr="00C02F04" w:rsidRDefault="00EA37CB" w:rsidP="00EA37CB"/>
    <w:p w:rsidR="00EA37CB" w:rsidRDefault="00EA37CB" w:rsidP="00EA37CB">
      <w:pPr>
        <w:rPr>
          <w:rFonts w:cs="Arial"/>
          <w:szCs w:val="20"/>
        </w:rPr>
      </w:pPr>
      <w:r w:rsidRPr="00BD1E38">
        <w:rPr>
          <w:rFonts w:cs="Arial"/>
          <w:szCs w:val="20"/>
        </w:rPr>
        <w:t xml:space="preserve">As highlighted throughout our response and in our separate comments in relation to the reporting fields in the attached </w:t>
      </w:r>
      <w:r>
        <w:rPr>
          <w:rFonts w:cs="Arial"/>
          <w:szCs w:val="20"/>
        </w:rPr>
        <w:t>Excel</w:t>
      </w:r>
      <w:r w:rsidRPr="00BD1E38">
        <w:rPr>
          <w:rFonts w:cs="Arial"/>
          <w:szCs w:val="20"/>
        </w:rPr>
        <w:t xml:space="preserve"> file, there is significant scope to re</w:t>
      </w:r>
      <w:r>
        <w:rPr>
          <w:rFonts w:cs="Arial"/>
          <w:szCs w:val="20"/>
        </w:rPr>
        <w:t>duce the number of required reporting</w:t>
      </w:r>
      <w:r w:rsidRPr="00BD1E38">
        <w:rPr>
          <w:rFonts w:cs="Arial"/>
          <w:szCs w:val="20"/>
        </w:rPr>
        <w:t xml:space="preserve"> fields, without </w:t>
      </w:r>
      <w:r w:rsidRPr="00BD1E38">
        <w:rPr>
          <w:rFonts w:cs="Arial"/>
          <w:szCs w:val="20"/>
        </w:rPr>
        <w:lastRenderedPageBreak/>
        <w:t xml:space="preserve">reducing the level of transparency. </w:t>
      </w:r>
      <w:r>
        <w:rPr>
          <w:rFonts w:cs="Arial"/>
          <w:szCs w:val="20"/>
        </w:rPr>
        <w:t>Many of the proposed</w:t>
      </w:r>
      <w:r w:rsidRPr="00BD1E38">
        <w:rPr>
          <w:rFonts w:cs="Arial"/>
          <w:szCs w:val="20"/>
        </w:rPr>
        <w:t xml:space="preserve"> fields can be derived in a straightforward way </w:t>
      </w:r>
      <w:r>
        <w:rPr>
          <w:rFonts w:cs="Arial"/>
          <w:szCs w:val="20"/>
        </w:rPr>
        <w:t>from other reported items or are readily available from central data sources, which</w:t>
      </w:r>
      <w:r w:rsidRPr="00BD1E38">
        <w:rPr>
          <w:rFonts w:cs="Arial"/>
          <w:szCs w:val="20"/>
        </w:rPr>
        <w:t xml:space="preserve"> shoul</w:t>
      </w:r>
      <w:r>
        <w:rPr>
          <w:rFonts w:cs="Arial"/>
          <w:szCs w:val="20"/>
        </w:rPr>
        <w:t>d be leveraged whenever this is reasonably possible.</w:t>
      </w:r>
      <w:r w:rsidRPr="00BD1E38">
        <w:rPr>
          <w:rFonts w:cs="Arial"/>
          <w:szCs w:val="20"/>
        </w:rPr>
        <w:t xml:space="preserve"> </w:t>
      </w:r>
      <w:r>
        <w:rPr>
          <w:rFonts w:cs="Arial"/>
          <w:szCs w:val="20"/>
        </w:rPr>
        <w:t xml:space="preserve">If ESMA is unwilling to allow such derivation to be performed by trade repositories, it should be possible to delegate this task to the ESCB SFT </w:t>
      </w:r>
      <w:proofErr w:type="spellStart"/>
      <w:r>
        <w:rPr>
          <w:rFonts w:cs="Arial"/>
          <w:szCs w:val="20"/>
        </w:rPr>
        <w:t>Datastore</w:t>
      </w:r>
      <w:proofErr w:type="spellEnd"/>
      <w:r>
        <w:rPr>
          <w:rFonts w:cs="Arial"/>
          <w:szCs w:val="20"/>
        </w:rPr>
        <w:t>. As detailed in our comments on the specific fields, t</w:t>
      </w:r>
      <w:r w:rsidRPr="00BD1E38">
        <w:rPr>
          <w:rFonts w:cs="Arial"/>
          <w:szCs w:val="20"/>
        </w:rPr>
        <w:t>his is relevant for many data items</w:t>
      </w:r>
      <w:r>
        <w:rPr>
          <w:rFonts w:cs="Arial"/>
          <w:szCs w:val="20"/>
        </w:rPr>
        <w:t>, and particularly collateral-related information</w:t>
      </w:r>
      <w:r w:rsidRPr="00BD1E38">
        <w:rPr>
          <w:rFonts w:cs="Arial"/>
          <w:szCs w:val="20"/>
        </w:rPr>
        <w:t>.</w:t>
      </w:r>
      <w:r>
        <w:rPr>
          <w:rFonts w:cs="Arial"/>
          <w:szCs w:val="20"/>
        </w:rPr>
        <w:t xml:space="preserve"> In fact, we have identified at least 24 fields in the attached Excel file (again excluding margining and re-use data) that could be removed from the list of reporting fields without any loss in terms of transparency. We would also like to highlight that a significant reduction in the number of fields would by no means be inconsistent with the Level 1 SFTR text which explicitly lists only a relatively small subset of fields as core information to be collected. S</w:t>
      </w:r>
      <w:r w:rsidRPr="007328DD">
        <w:rPr>
          <w:rFonts w:cs="Arial"/>
          <w:szCs w:val="20"/>
        </w:rPr>
        <w:t xml:space="preserve">imilarly, </w:t>
      </w:r>
      <w:r>
        <w:rPr>
          <w:rFonts w:cs="Arial"/>
          <w:szCs w:val="20"/>
        </w:rPr>
        <w:t>we would urge ESMA to reduce drastically t</w:t>
      </w:r>
      <w:r w:rsidRPr="007328DD">
        <w:rPr>
          <w:rFonts w:cs="Arial"/>
          <w:szCs w:val="20"/>
        </w:rPr>
        <w:t xml:space="preserve">he number of </w:t>
      </w:r>
      <w:r>
        <w:rPr>
          <w:rFonts w:cs="Arial"/>
          <w:szCs w:val="20"/>
        </w:rPr>
        <w:t xml:space="preserve">reconciliation (i.e. </w:t>
      </w:r>
      <w:r w:rsidRPr="007328DD">
        <w:rPr>
          <w:rFonts w:cs="Arial"/>
          <w:szCs w:val="20"/>
        </w:rPr>
        <w:t>matching</w:t>
      </w:r>
      <w:r>
        <w:rPr>
          <w:rFonts w:cs="Arial"/>
          <w:szCs w:val="20"/>
        </w:rPr>
        <w:t>)</w:t>
      </w:r>
      <w:r w:rsidRPr="007328DD">
        <w:rPr>
          <w:rFonts w:cs="Arial"/>
          <w:szCs w:val="20"/>
        </w:rPr>
        <w:t xml:space="preserve"> fields</w:t>
      </w:r>
      <w:r>
        <w:rPr>
          <w:rFonts w:cs="Arial"/>
          <w:szCs w:val="20"/>
        </w:rPr>
        <w:t xml:space="preserve"> </w:t>
      </w:r>
      <w:r w:rsidRPr="007328DD">
        <w:rPr>
          <w:rFonts w:cs="Arial"/>
          <w:szCs w:val="20"/>
        </w:rPr>
        <w:t>and</w:t>
      </w:r>
      <w:r>
        <w:rPr>
          <w:rFonts w:cs="Arial"/>
          <w:szCs w:val="20"/>
        </w:rPr>
        <w:t>/or to increase substantially</w:t>
      </w:r>
      <w:r w:rsidRPr="007328DD">
        <w:rPr>
          <w:rFonts w:cs="Arial"/>
          <w:szCs w:val="20"/>
        </w:rPr>
        <w:t xml:space="preserve"> the proposed tolerance levels</w:t>
      </w:r>
      <w:r>
        <w:rPr>
          <w:rFonts w:cs="Arial"/>
          <w:szCs w:val="20"/>
        </w:rPr>
        <w:t xml:space="preserve">, presuming that the aim is to achieve </w:t>
      </w:r>
      <w:r w:rsidRPr="007328DD">
        <w:rPr>
          <w:rFonts w:cs="Arial"/>
          <w:szCs w:val="20"/>
        </w:rPr>
        <w:t>meaningful matching rates</w:t>
      </w:r>
      <w:r>
        <w:rPr>
          <w:rFonts w:cs="Arial"/>
          <w:szCs w:val="20"/>
        </w:rPr>
        <w:t xml:space="preserve"> post Trade Repository reconciliation</w:t>
      </w:r>
      <w:r w:rsidRPr="007328DD">
        <w:rPr>
          <w:rFonts w:cs="Arial"/>
          <w:szCs w:val="20"/>
        </w:rPr>
        <w:t xml:space="preserve">. </w:t>
      </w:r>
    </w:p>
    <w:p w:rsidR="00EA37CB" w:rsidRDefault="00EA37CB" w:rsidP="00EA37CB">
      <w:pPr>
        <w:rPr>
          <w:rFonts w:cs="Arial"/>
          <w:szCs w:val="20"/>
        </w:rPr>
      </w:pPr>
      <w:r w:rsidRPr="00BD1E38">
        <w:rPr>
          <w:rFonts w:cs="Arial"/>
          <w:szCs w:val="20"/>
        </w:rPr>
        <w:t xml:space="preserve"> </w:t>
      </w:r>
    </w:p>
    <w:p w:rsidR="00EA37CB" w:rsidRDefault="00EA37CB" w:rsidP="00EA37CB">
      <w:pPr>
        <w:rPr>
          <w:rFonts w:cs="Arial"/>
          <w:szCs w:val="20"/>
        </w:rPr>
      </w:pPr>
      <w:r>
        <w:rPr>
          <w:rFonts w:cs="Arial"/>
          <w:szCs w:val="20"/>
        </w:rPr>
        <w:t>We would also like to point out that this does not preclude ESMA and/or the co-legislators from increasing the number of reporting fields and, probably even more importantly, reconciliation fields over time, where this is deemed necessary. Starting with less</w:t>
      </w:r>
      <w:r w:rsidRPr="00BD1E38">
        <w:rPr>
          <w:rFonts w:cs="Arial"/>
          <w:szCs w:val="20"/>
        </w:rPr>
        <w:t xml:space="preserve"> fields and getting the process working well would seem to make far more sense than overburdening all concerned and finding that it is simply not possible to establish a robust process. </w:t>
      </w:r>
      <w:r>
        <w:rPr>
          <w:rFonts w:cs="Arial"/>
          <w:szCs w:val="20"/>
        </w:rPr>
        <w:t>I</w:t>
      </w:r>
      <w:r w:rsidRPr="00BD1E38">
        <w:rPr>
          <w:rFonts w:cs="Arial"/>
          <w:szCs w:val="20"/>
        </w:rPr>
        <w:t xml:space="preserve">n case data analysis </w:t>
      </w:r>
      <w:r>
        <w:rPr>
          <w:rFonts w:cs="Arial"/>
          <w:szCs w:val="20"/>
        </w:rPr>
        <w:t>subsequently</w:t>
      </w:r>
      <w:r w:rsidRPr="00BD1E38">
        <w:rPr>
          <w:rFonts w:cs="Arial"/>
          <w:szCs w:val="20"/>
        </w:rPr>
        <w:t xml:space="preserve"> highlights </w:t>
      </w:r>
      <w:proofErr w:type="gramStart"/>
      <w:r w:rsidRPr="00BD1E38">
        <w:rPr>
          <w:rFonts w:cs="Arial"/>
          <w:szCs w:val="20"/>
        </w:rPr>
        <w:t>that</w:t>
      </w:r>
      <w:proofErr w:type="gramEnd"/>
      <w:r w:rsidRPr="00BD1E38">
        <w:rPr>
          <w:rFonts w:cs="Arial"/>
          <w:szCs w:val="20"/>
        </w:rPr>
        <w:t xml:space="preserve"> there are still important gaps needing to be suitably addressed to properly inform policymakers, it will of course always re</w:t>
      </w:r>
      <w:r>
        <w:rPr>
          <w:rFonts w:cs="Arial"/>
          <w:szCs w:val="20"/>
        </w:rPr>
        <w:t>main possible to introduce additional</w:t>
      </w:r>
      <w:r w:rsidRPr="00BD1E38">
        <w:rPr>
          <w:rFonts w:cs="Arial"/>
          <w:szCs w:val="20"/>
        </w:rPr>
        <w:t xml:space="preserve"> required reporting fields.</w:t>
      </w:r>
      <w:r>
        <w:rPr>
          <w:rFonts w:cs="Arial"/>
          <w:szCs w:val="20"/>
        </w:rPr>
        <w:t xml:space="preserve"> Similarly, reconciliation can be increased where supervisors observe a low level of data quality in relevant data items. Again, a gradual approach appears to be fully consistent with EMSA’s mandate provided in the Level 1 text, both in relation to reporting and reconciliation fields.</w:t>
      </w:r>
    </w:p>
    <w:p w:rsidR="00EA37CB" w:rsidRDefault="00EA37CB" w:rsidP="00EA37CB">
      <w:pPr>
        <w:rPr>
          <w:rFonts w:cs="Arial"/>
          <w:szCs w:val="20"/>
        </w:rPr>
      </w:pPr>
    </w:p>
    <w:p w:rsidR="00EA37CB" w:rsidRDefault="00EA37CB" w:rsidP="00EA37CB">
      <w:pPr>
        <w:rPr>
          <w:rFonts w:cs="Arial"/>
          <w:szCs w:val="20"/>
        </w:rPr>
      </w:pPr>
      <w:r>
        <w:rPr>
          <w:rFonts w:cs="Arial"/>
          <w:szCs w:val="20"/>
        </w:rPr>
        <w:t xml:space="preserve">The </w:t>
      </w:r>
      <w:r w:rsidRPr="00D56CE1">
        <w:rPr>
          <w:rFonts w:cs="Arial"/>
          <w:szCs w:val="20"/>
        </w:rPr>
        <w:t>ICMA ERCC</w:t>
      </w:r>
      <w:r>
        <w:rPr>
          <w:rFonts w:cs="Arial"/>
          <w:szCs w:val="20"/>
        </w:rPr>
        <w:t xml:space="preserve"> continues to have serious doubts on the need for splitting repo reporting between repurchase transactions (classic repo) and buy/sell-backs, and thus duplicating the reporting fields. We welcome the improvements introduced by ESMA in this regard, but set out in our response below and the attached Excel table </w:t>
      </w:r>
      <w:proofErr w:type="gramStart"/>
      <w:r>
        <w:rPr>
          <w:rFonts w:cs="Arial"/>
          <w:szCs w:val="20"/>
        </w:rPr>
        <w:t>a number of</w:t>
      </w:r>
      <w:proofErr w:type="gramEnd"/>
      <w:r>
        <w:rPr>
          <w:rFonts w:cs="Arial"/>
          <w:szCs w:val="20"/>
        </w:rPr>
        <w:t xml:space="preserve"> proposals to further align the reporting framework for repos and buy/sell-backs.</w:t>
      </w:r>
    </w:p>
    <w:p w:rsidR="00EA37CB" w:rsidRDefault="00EA37CB" w:rsidP="00EA37CB">
      <w:pPr>
        <w:rPr>
          <w:rFonts w:cs="Arial"/>
          <w:szCs w:val="20"/>
        </w:rPr>
      </w:pPr>
    </w:p>
    <w:p w:rsidR="00EA37CB" w:rsidRDefault="00EA37CB" w:rsidP="00EA37CB">
      <w:pPr>
        <w:rPr>
          <w:rFonts w:cs="Arial"/>
          <w:szCs w:val="20"/>
        </w:rPr>
      </w:pPr>
      <w:r w:rsidRPr="007328DD">
        <w:rPr>
          <w:rFonts w:cs="Arial"/>
          <w:b/>
          <w:szCs w:val="20"/>
        </w:rPr>
        <w:t xml:space="preserve">(2) Reporting by </w:t>
      </w:r>
      <w:r>
        <w:rPr>
          <w:rFonts w:cs="Arial"/>
          <w:b/>
          <w:szCs w:val="20"/>
        </w:rPr>
        <w:t>Financial</w:t>
      </w:r>
      <w:r w:rsidRPr="007328DD">
        <w:rPr>
          <w:rFonts w:cs="Arial"/>
          <w:b/>
          <w:szCs w:val="20"/>
        </w:rPr>
        <w:t xml:space="preserve"> </w:t>
      </w:r>
      <w:r>
        <w:rPr>
          <w:rFonts w:cs="Arial"/>
          <w:b/>
          <w:szCs w:val="20"/>
        </w:rPr>
        <w:t>M</w:t>
      </w:r>
      <w:r w:rsidRPr="007328DD">
        <w:rPr>
          <w:rFonts w:cs="Arial"/>
          <w:b/>
          <w:szCs w:val="20"/>
        </w:rPr>
        <w:t xml:space="preserve">arket </w:t>
      </w:r>
      <w:r>
        <w:rPr>
          <w:rFonts w:cs="Arial"/>
          <w:b/>
          <w:szCs w:val="20"/>
        </w:rPr>
        <w:t>I</w:t>
      </w:r>
      <w:r w:rsidRPr="007328DD">
        <w:rPr>
          <w:rFonts w:cs="Arial"/>
          <w:b/>
          <w:szCs w:val="20"/>
        </w:rPr>
        <w:t>nfrastructures:</w:t>
      </w:r>
      <w:r>
        <w:rPr>
          <w:rFonts w:cs="Arial"/>
          <w:szCs w:val="20"/>
        </w:rPr>
        <w:t xml:space="preserve"> </w:t>
      </w:r>
    </w:p>
    <w:p w:rsidR="00EA37CB" w:rsidRDefault="00EA37CB" w:rsidP="00EA37CB">
      <w:pPr>
        <w:rPr>
          <w:rFonts w:cs="Arial"/>
          <w:szCs w:val="20"/>
        </w:rPr>
      </w:pPr>
    </w:p>
    <w:p w:rsidR="00EA37CB" w:rsidRDefault="00EA37CB" w:rsidP="00EA37CB">
      <w:pPr>
        <w:rPr>
          <w:rFonts w:cs="Arial"/>
          <w:szCs w:val="20"/>
        </w:rPr>
      </w:pPr>
      <w:r w:rsidRPr="008D0E6E">
        <w:rPr>
          <w:rFonts w:cs="Arial"/>
          <w:szCs w:val="20"/>
        </w:rPr>
        <w:t>Collect</w:t>
      </w:r>
      <w:r>
        <w:rPr>
          <w:rFonts w:cs="Arial"/>
          <w:szCs w:val="20"/>
        </w:rPr>
        <w:t>ing</w:t>
      </w:r>
      <w:r w:rsidRPr="008D0E6E">
        <w:rPr>
          <w:rFonts w:cs="Arial"/>
          <w:szCs w:val="20"/>
        </w:rPr>
        <w:t xml:space="preserve"> information directly from </w:t>
      </w:r>
      <w:r>
        <w:rPr>
          <w:rFonts w:cs="Arial"/>
          <w:szCs w:val="20"/>
        </w:rPr>
        <w:t xml:space="preserve">the relevant market </w:t>
      </w:r>
      <w:r w:rsidRPr="008D0E6E">
        <w:rPr>
          <w:rFonts w:cs="Arial"/>
          <w:szCs w:val="20"/>
        </w:rPr>
        <w:t xml:space="preserve">infrastructures, such as CCPs </w:t>
      </w:r>
      <w:r>
        <w:rPr>
          <w:rFonts w:cs="Arial"/>
          <w:szCs w:val="20"/>
        </w:rPr>
        <w:t>and</w:t>
      </w:r>
      <w:r w:rsidRPr="008D0E6E">
        <w:rPr>
          <w:rFonts w:cs="Arial"/>
          <w:szCs w:val="20"/>
        </w:rPr>
        <w:t xml:space="preserve"> tri-party agents</w:t>
      </w:r>
      <w:r>
        <w:rPr>
          <w:rFonts w:cs="Arial"/>
          <w:szCs w:val="20"/>
        </w:rPr>
        <w:t>, would be another way to increase significantly both accuracy and timeliness of the reporting, as well as reducing the aggregate reporting burden for the industry</w:t>
      </w:r>
      <w:r w:rsidRPr="008D0E6E">
        <w:rPr>
          <w:rFonts w:cs="Arial"/>
          <w:szCs w:val="20"/>
        </w:rPr>
        <w:t xml:space="preserve">. </w:t>
      </w:r>
      <w:r>
        <w:rPr>
          <w:rFonts w:cs="Arial"/>
          <w:szCs w:val="20"/>
        </w:rPr>
        <w:t>This would be particularly relevant in those instances where the relevant infrastructures are</w:t>
      </w:r>
      <w:r w:rsidRPr="008D0E6E">
        <w:rPr>
          <w:rFonts w:cs="Arial"/>
          <w:szCs w:val="20"/>
        </w:rPr>
        <w:t xml:space="preserve"> themselves subject to a repor</w:t>
      </w:r>
      <w:r>
        <w:rPr>
          <w:rFonts w:cs="Arial"/>
          <w:szCs w:val="20"/>
        </w:rPr>
        <w:t>ting obligation. The most obvious example would be CCPs in the case of the reporting of margining of CCP-cleared SFTs</w:t>
      </w:r>
      <w:r w:rsidRPr="008D0E6E">
        <w:rPr>
          <w:rFonts w:cs="Arial"/>
          <w:szCs w:val="20"/>
        </w:rPr>
        <w:t>, which can be far more efficiently and accurately collected from CCPs directly</w:t>
      </w:r>
      <w:r>
        <w:rPr>
          <w:rFonts w:cs="Arial"/>
          <w:szCs w:val="20"/>
        </w:rPr>
        <w:t>, given the complications introduced by netting and the fact that only these institutions see the whole process</w:t>
      </w:r>
      <w:r w:rsidRPr="008D0E6E">
        <w:rPr>
          <w:rFonts w:cs="Arial"/>
          <w:szCs w:val="20"/>
        </w:rPr>
        <w:t>.</w:t>
      </w:r>
      <w:r>
        <w:rPr>
          <w:rFonts w:cs="Arial"/>
          <w:szCs w:val="20"/>
        </w:rPr>
        <w:t xml:space="preserve"> </w:t>
      </w:r>
    </w:p>
    <w:p w:rsidR="00EA37CB" w:rsidRDefault="00EA37CB" w:rsidP="00EA37CB">
      <w:pPr>
        <w:rPr>
          <w:rFonts w:cs="Arial"/>
          <w:szCs w:val="20"/>
        </w:rPr>
      </w:pPr>
    </w:p>
    <w:p w:rsidR="00EA37CB" w:rsidRPr="00412782" w:rsidRDefault="00EA37CB" w:rsidP="00EA37CB">
      <w:pPr>
        <w:rPr>
          <w:rFonts w:cs="Arial"/>
          <w:szCs w:val="20"/>
        </w:rPr>
      </w:pPr>
      <w:r w:rsidRPr="008D0E6E">
        <w:rPr>
          <w:rFonts w:cs="Arial"/>
          <w:szCs w:val="20"/>
        </w:rPr>
        <w:t xml:space="preserve">On a related issue and as already pointed out in our response </w:t>
      </w:r>
      <w:r>
        <w:rPr>
          <w:rFonts w:cs="Arial"/>
          <w:szCs w:val="20"/>
        </w:rPr>
        <w:t>ESMA’s</w:t>
      </w:r>
      <w:r w:rsidRPr="008D0E6E">
        <w:rPr>
          <w:rFonts w:cs="Arial"/>
          <w:szCs w:val="20"/>
        </w:rPr>
        <w:t xml:space="preserve"> DP, we would like to reiterate that</w:t>
      </w:r>
      <w:r>
        <w:rPr>
          <w:rFonts w:cs="Arial"/>
          <w:szCs w:val="20"/>
        </w:rPr>
        <w:t xml:space="preserve"> </w:t>
      </w:r>
      <w:r w:rsidRPr="008D0E6E">
        <w:rPr>
          <w:rFonts w:cs="Arial"/>
          <w:szCs w:val="20"/>
        </w:rPr>
        <w:t xml:space="preserve">in our view it is unnecessary and misleading to require bilateral repo trades that are intended for </w:t>
      </w:r>
      <w:r>
        <w:rPr>
          <w:rFonts w:cs="Arial"/>
          <w:szCs w:val="20"/>
        </w:rPr>
        <w:t>registration with CCPs post trade</w:t>
      </w:r>
      <w:r w:rsidRPr="008D0E6E">
        <w:rPr>
          <w:rFonts w:cs="Arial"/>
          <w:szCs w:val="20"/>
        </w:rPr>
        <w:t xml:space="preserve"> to be reported twice. Given that these are </w:t>
      </w:r>
      <w:r>
        <w:rPr>
          <w:rFonts w:cs="Arial"/>
          <w:szCs w:val="20"/>
        </w:rPr>
        <w:t xml:space="preserve">contractually </w:t>
      </w:r>
      <w:r w:rsidRPr="008D0E6E">
        <w:rPr>
          <w:rFonts w:cs="Arial"/>
          <w:szCs w:val="20"/>
        </w:rPr>
        <w:t xml:space="preserve">contingent on the CCP accepting the trade and given the generally very short timeline of the process any trades intended for CCP clearing will only exist for reporting purposes as trades with the CCP as counterparty. </w:t>
      </w:r>
    </w:p>
    <w:p w:rsidR="00EA37CB" w:rsidRDefault="00EA37CB" w:rsidP="00EA37CB">
      <w:pPr>
        <w:rPr>
          <w:rFonts w:cs="Arial"/>
          <w:szCs w:val="20"/>
        </w:rPr>
      </w:pPr>
      <w:r w:rsidRPr="008D0E6E">
        <w:rPr>
          <w:rFonts w:cs="Arial"/>
          <w:szCs w:val="20"/>
        </w:rPr>
        <w:t xml:space="preserve"> </w:t>
      </w:r>
    </w:p>
    <w:p w:rsidR="00EA37CB" w:rsidRDefault="00EA37CB" w:rsidP="00EA37CB">
      <w:pPr>
        <w:rPr>
          <w:rFonts w:cs="Arial"/>
          <w:b/>
          <w:szCs w:val="20"/>
        </w:rPr>
      </w:pPr>
      <w:r w:rsidRPr="007328DD">
        <w:rPr>
          <w:rFonts w:cs="Arial"/>
          <w:b/>
          <w:szCs w:val="20"/>
        </w:rPr>
        <w:t xml:space="preserve">(3) Reporting of re-use: </w:t>
      </w:r>
    </w:p>
    <w:p w:rsidR="00EA37CB" w:rsidRDefault="00EA37CB" w:rsidP="00EA37CB">
      <w:pPr>
        <w:rPr>
          <w:rFonts w:cs="Arial"/>
          <w:b/>
          <w:szCs w:val="20"/>
        </w:rPr>
      </w:pPr>
    </w:p>
    <w:p w:rsidR="00EA37CB" w:rsidRDefault="00EA37CB" w:rsidP="00EA37CB">
      <w:pPr>
        <w:rPr>
          <w:rFonts w:cs="Arial"/>
          <w:szCs w:val="20"/>
        </w:rPr>
      </w:pPr>
      <w:r>
        <w:rPr>
          <w:rFonts w:cs="Arial"/>
          <w:szCs w:val="20"/>
        </w:rPr>
        <w:t>As the ICMA ERCC has highlighted repeatedly, the required reporting of r</w:t>
      </w:r>
      <w:r w:rsidRPr="008D0E6E">
        <w:rPr>
          <w:rFonts w:cs="Arial"/>
          <w:szCs w:val="20"/>
        </w:rPr>
        <w:t xml:space="preserve">e-use is a particularly problematic aspect of the proposed reporting regime, which </w:t>
      </w:r>
      <w:proofErr w:type="gramStart"/>
      <w:r w:rsidRPr="008D0E6E">
        <w:rPr>
          <w:rFonts w:cs="Arial"/>
          <w:szCs w:val="20"/>
        </w:rPr>
        <w:t>in itself will</w:t>
      </w:r>
      <w:proofErr w:type="gramEnd"/>
      <w:r w:rsidRPr="008D0E6E">
        <w:rPr>
          <w:rFonts w:cs="Arial"/>
          <w:szCs w:val="20"/>
        </w:rPr>
        <w:t xml:space="preserve"> cause substantial implementation costs.</w:t>
      </w:r>
      <w:r>
        <w:rPr>
          <w:rFonts w:cs="Arial"/>
          <w:szCs w:val="20"/>
        </w:rPr>
        <w:t xml:space="preserve"> We</w:t>
      </w:r>
      <w:r w:rsidRPr="008D0E6E">
        <w:rPr>
          <w:rFonts w:cs="Arial"/>
          <w:szCs w:val="20"/>
        </w:rPr>
        <w:t xml:space="preserve"> strongly support reporting of re-use on a monthly</w:t>
      </w:r>
      <w:r>
        <w:rPr>
          <w:rFonts w:cs="Arial"/>
          <w:szCs w:val="20"/>
        </w:rPr>
        <w:t>,</w:t>
      </w:r>
      <w:r w:rsidRPr="008D0E6E">
        <w:rPr>
          <w:rFonts w:cs="Arial"/>
          <w:szCs w:val="20"/>
        </w:rPr>
        <w:t xml:space="preserve"> not </w:t>
      </w:r>
      <w:proofErr w:type="gramStart"/>
      <w:r w:rsidRPr="008D0E6E">
        <w:rPr>
          <w:rFonts w:cs="Arial"/>
          <w:szCs w:val="20"/>
        </w:rPr>
        <w:t>on a daily basis</w:t>
      </w:r>
      <w:proofErr w:type="gramEnd"/>
      <w:r w:rsidRPr="008D0E6E">
        <w:rPr>
          <w:rFonts w:cs="Arial"/>
          <w:szCs w:val="20"/>
        </w:rPr>
        <w:t>.</w:t>
      </w:r>
      <w:r>
        <w:rPr>
          <w:rFonts w:cs="Arial"/>
          <w:szCs w:val="20"/>
        </w:rPr>
        <w:t xml:space="preserve"> </w:t>
      </w:r>
      <w:r w:rsidRPr="008D0E6E">
        <w:rPr>
          <w:rFonts w:cs="Arial"/>
          <w:szCs w:val="20"/>
        </w:rPr>
        <w:t>This would significantly reduce the</w:t>
      </w:r>
      <w:r>
        <w:rPr>
          <w:rFonts w:cs="Arial"/>
          <w:szCs w:val="20"/>
        </w:rPr>
        <w:t xml:space="preserve"> ongoing</w:t>
      </w:r>
      <w:r w:rsidRPr="008D0E6E">
        <w:rPr>
          <w:rFonts w:cs="Arial"/>
          <w:szCs w:val="20"/>
        </w:rPr>
        <w:t xml:space="preserve"> </w:t>
      </w:r>
      <w:r>
        <w:rPr>
          <w:rFonts w:cs="Arial"/>
          <w:szCs w:val="20"/>
        </w:rPr>
        <w:t>reporting burden</w:t>
      </w:r>
      <w:r w:rsidRPr="008D0E6E">
        <w:rPr>
          <w:rFonts w:cs="Arial"/>
          <w:szCs w:val="20"/>
        </w:rPr>
        <w:t xml:space="preserve"> without reducing disproportionately the value of the information for regulators. </w:t>
      </w:r>
      <w:r>
        <w:rPr>
          <w:rFonts w:cs="Arial"/>
          <w:szCs w:val="20"/>
        </w:rPr>
        <w:t>Both the FSB and ESRB see changes in re-use as a gradual and longer-term process.</w:t>
      </w:r>
    </w:p>
    <w:p w:rsidR="00EA37CB" w:rsidRPr="008D0E6E" w:rsidRDefault="00EA37CB" w:rsidP="00EA37CB">
      <w:pPr>
        <w:rPr>
          <w:rFonts w:cs="Arial"/>
          <w:b/>
          <w:i/>
          <w:szCs w:val="20"/>
        </w:rPr>
      </w:pPr>
    </w:p>
    <w:p w:rsidR="00EA37CB" w:rsidRDefault="00EA37CB" w:rsidP="00EA37CB">
      <w:pPr>
        <w:rPr>
          <w:rFonts w:cs="Arial"/>
          <w:szCs w:val="20"/>
        </w:rPr>
      </w:pPr>
      <w:r>
        <w:rPr>
          <w:rFonts w:cs="Arial"/>
          <w:szCs w:val="20"/>
        </w:rPr>
        <w:t>Estimated r</w:t>
      </w:r>
      <w:r w:rsidRPr="008D0E6E">
        <w:rPr>
          <w:rFonts w:cs="Arial"/>
          <w:szCs w:val="20"/>
        </w:rPr>
        <w:t>e-use</w:t>
      </w:r>
      <w:r>
        <w:rPr>
          <w:rFonts w:cs="Arial"/>
          <w:szCs w:val="20"/>
        </w:rPr>
        <w:t xml:space="preserve"> figures should be reported as a snapshot</w:t>
      </w:r>
      <w:r w:rsidRPr="008D0E6E">
        <w:rPr>
          <w:rFonts w:cs="Arial"/>
          <w:szCs w:val="20"/>
        </w:rPr>
        <w:t>, on an aggregated ISIN by ISIN basis</w:t>
      </w:r>
      <w:r>
        <w:rPr>
          <w:rFonts w:cs="Arial"/>
          <w:szCs w:val="20"/>
        </w:rPr>
        <w:t xml:space="preserve"> and as part of the proposed (separate) r</w:t>
      </w:r>
      <w:r w:rsidRPr="008D0E6E">
        <w:rPr>
          <w:rFonts w:cs="Arial"/>
          <w:szCs w:val="20"/>
        </w:rPr>
        <w:t>e</w:t>
      </w:r>
      <w:r>
        <w:rPr>
          <w:rFonts w:cs="Arial"/>
          <w:szCs w:val="20"/>
        </w:rPr>
        <w:t>-use report</w:t>
      </w:r>
      <w:r w:rsidRPr="008D0E6E">
        <w:rPr>
          <w:rFonts w:cs="Arial"/>
          <w:szCs w:val="20"/>
        </w:rPr>
        <w:t>.</w:t>
      </w:r>
    </w:p>
    <w:p w:rsidR="00EA37CB" w:rsidRDefault="00EA37CB" w:rsidP="00EA37CB">
      <w:pPr>
        <w:rPr>
          <w:rFonts w:cs="Arial"/>
          <w:szCs w:val="20"/>
        </w:rPr>
      </w:pPr>
    </w:p>
    <w:p w:rsidR="00EA37CB" w:rsidRDefault="00EA37CB" w:rsidP="00EA37CB">
      <w:pPr>
        <w:rPr>
          <w:rFonts w:cs="Arial"/>
          <w:b/>
          <w:szCs w:val="20"/>
        </w:rPr>
      </w:pPr>
      <w:r w:rsidRPr="007328DD">
        <w:rPr>
          <w:rFonts w:cs="Arial"/>
          <w:b/>
          <w:szCs w:val="20"/>
        </w:rPr>
        <w:t>(4) Reporting of margining:</w:t>
      </w:r>
      <w:r>
        <w:rPr>
          <w:rFonts w:cs="Arial"/>
          <w:b/>
          <w:szCs w:val="20"/>
        </w:rPr>
        <w:t xml:space="preserve"> </w:t>
      </w:r>
    </w:p>
    <w:p w:rsidR="00EA37CB" w:rsidRDefault="00EA37CB" w:rsidP="00EA37CB">
      <w:pPr>
        <w:rPr>
          <w:rFonts w:cs="Arial"/>
          <w:b/>
          <w:szCs w:val="20"/>
        </w:rPr>
      </w:pPr>
    </w:p>
    <w:p w:rsidR="00EA37CB" w:rsidRDefault="00EA37CB" w:rsidP="00EA37CB">
      <w:pPr>
        <w:rPr>
          <w:rFonts w:cs="Arial"/>
          <w:szCs w:val="20"/>
        </w:rPr>
      </w:pPr>
      <w:r>
        <w:rPr>
          <w:rFonts w:cs="Arial"/>
          <w:szCs w:val="20"/>
        </w:rPr>
        <w:t>In the ICMA ERCC’s view, t</w:t>
      </w:r>
      <w:r w:rsidRPr="00D669E6">
        <w:rPr>
          <w:rFonts w:cs="Arial"/>
          <w:szCs w:val="20"/>
        </w:rPr>
        <w:t>he current f</w:t>
      </w:r>
      <w:r>
        <w:rPr>
          <w:rFonts w:cs="Arial"/>
          <w:szCs w:val="20"/>
        </w:rPr>
        <w:t>ramework for the reporting of margin data needs further adjustments. In the case of CCP-cleared SFTs, the separate margin data table</w:t>
      </w:r>
      <w:r w:rsidRPr="00D669E6">
        <w:rPr>
          <w:rFonts w:cs="Arial"/>
          <w:szCs w:val="20"/>
        </w:rPr>
        <w:t xml:space="preserve"> </w:t>
      </w:r>
      <w:r>
        <w:rPr>
          <w:rFonts w:cs="Arial"/>
          <w:szCs w:val="20"/>
        </w:rPr>
        <w:t xml:space="preserve">currently </w:t>
      </w:r>
      <w:r w:rsidRPr="00D669E6">
        <w:rPr>
          <w:rFonts w:cs="Arial"/>
          <w:szCs w:val="20"/>
        </w:rPr>
        <w:t>does not support margin in the form of securities.</w:t>
      </w:r>
      <w:r>
        <w:rPr>
          <w:rFonts w:cs="Arial"/>
          <w:szCs w:val="20"/>
        </w:rPr>
        <w:t xml:space="preserve"> In the case of bilateral repo trades, </w:t>
      </w:r>
      <w:proofErr w:type="gramStart"/>
      <w:r>
        <w:rPr>
          <w:rFonts w:cs="Arial"/>
          <w:szCs w:val="20"/>
        </w:rPr>
        <w:t>in order to</w:t>
      </w:r>
      <w:proofErr w:type="gramEnd"/>
      <w:r>
        <w:rPr>
          <w:rFonts w:cs="Arial"/>
          <w:szCs w:val="20"/>
        </w:rPr>
        <w:t xml:space="preserve"> avoid confusion, it seems preferable to split the reporting of margining more clearly from the reporting of collateral updates. This could be achieved by defining another</w:t>
      </w:r>
      <w:r w:rsidRPr="00D669E6">
        <w:rPr>
          <w:rFonts w:cs="Arial"/>
          <w:szCs w:val="20"/>
        </w:rPr>
        <w:t xml:space="preserve"> </w:t>
      </w:r>
      <w:r>
        <w:rPr>
          <w:rFonts w:cs="Arial"/>
          <w:szCs w:val="20"/>
        </w:rPr>
        <w:t xml:space="preserve">report specifically for the margining of bilateral trades, </w:t>
      </w:r>
      <w:r w:rsidRPr="00D669E6">
        <w:rPr>
          <w:rFonts w:cs="Arial"/>
          <w:szCs w:val="20"/>
        </w:rPr>
        <w:t xml:space="preserve">separate </w:t>
      </w:r>
      <w:r>
        <w:rPr>
          <w:rFonts w:cs="Arial"/>
          <w:szCs w:val="20"/>
        </w:rPr>
        <w:t xml:space="preserve">from the </w:t>
      </w:r>
      <w:r w:rsidRPr="00D669E6">
        <w:rPr>
          <w:rFonts w:cs="Arial"/>
          <w:szCs w:val="20"/>
        </w:rPr>
        <w:t xml:space="preserve">template for </w:t>
      </w:r>
      <w:r>
        <w:rPr>
          <w:rFonts w:cs="Arial"/>
          <w:szCs w:val="20"/>
        </w:rPr>
        <w:t>the margining of CCP-cleared trades, which would allow firms to report bilateral margining on a position level. The Repo industry is predominantly governed by the Global Master Repurchase Agreement (GMRA) which dictates that business is conducted in this way, with a clear distinction between trade collateral and portfolio level margin collateral.</w:t>
      </w:r>
    </w:p>
    <w:p w:rsidR="00EA37CB" w:rsidRDefault="00EA37CB" w:rsidP="00EA37CB">
      <w:pPr>
        <w:rPr>
          <w:rFonts w:cs="Arial"/>
          <w:szCs w:val="20"/>
        </w:rPr>
      </w:pPr>
    </w:p>
    <w:p w:rsidR="00EA37CB" w:rsidRDefault="00EA37CB" w:rsidP="00EA37CB">
      <w:pPr>
        <w:rPr>
          <w:rFonts w:cs="Arial"/>
          <w:color w:val="C0504D" w:themeColor="accent2"/>
          <w:szCs w:val="20"/>
        </w:rPr>
      </w:pPr>
      <w:r>
        <w:rPr>
          <w:rFonts w:cs="Arial"/>
          <w:b/>
          <w:szCs w:val="20"/>
        </w:rPr>
        <w:t>(5</w:t>
      </w:r>
      <w:r w:rsidRPr="007328DD">
        <w:rPr>
          <w:rFonts w:cs="Arial"/>
          <w:b/>
          <w:szCs w:val="20"/>
        </w:rPr>
        <w:t>) Reporting timeline:</w:t>
      </w:r>
      <w:r>
        <w:rPr>
          <w:rFonts w:cs="Arial"/>
          <w:color w:val="C0504D" w:themeColor="accent2"/>
          <w:szCs w:val="20"/>
        </w:rPr>
        <w:t xml:space="preserve"> </w:t>
      </w:r>
    </w:p>
    <w:p w:rsidR="00EA37CB" w:rsidRDefault="00EA37CB" w:rsidP="00EA37CB">
      <w:pPr>
        <w:rPr>
          <w:rFonts w:cs="Arial"/>
          <w:color w:val="C0504D" w:themeColor="accent2"/>
          <w:szCs w:val="20"/>
        </w:rPr>
      </w:pPr>
    </w:p>
    <w:p w:rsidR="00EA37CB" w:rsidRPr="00D669E6" w:rsidRDefault="00EA37CB" w:rsidP="00EA37CB">
      <w:pPr>
        <w:rPr>
          <w:rFonts w:cs="Arial"/>
          <w:szCs w:val="20"/>
        </w:rPr>
      </w:pPr>
      <w:r w:rsidRPr="00D669E6">
        <w:rPr>
          <w:rFonts w:cs="Arial"/>
          <w:szCs w:val="20"/>
        </w:rPr>
        <w:t xml:space="preserve">The </w:t>
      </w:r>
      <w:r>
        <w:rPr>
          <w:rFonts w:cs="Arial"/>
          <w:szCs w:val="20"/>
        </w:rPr>
        <w:t xml:space="preserve">ICMA ERCC welcomes ESMA’s recognition that collateral-related information is in many cases not available by the T+1 reporting timeline, </w:t>
      </w:r>
      <w:proofErr w:type="gramStart"/>
      <w:r>
        <w:rPr>
          <w:rFonts w:cs="Arial"/>
          <w:szCs w:val="20"/>
        </w:rPr>
        <w:t>in particular for</w:t>
      </w:r>
      <w:proofErr w:type="gramEnd"/>
      <w:r>
        <w:rPr>
          <w:rFonts w:cs="Arial"/>
          <w:szCs w:val="20"/>
        </w:rPr>
        <w:t xml:space="preserve"> agent managed activity. However, we regret that ESMA has </w:t>
      </w:r>
      <w:r w:rsidRPr="00D669E6">
        <w:rPr>
          <w:rFonts w:cs="Arial"/>
          <w:szCs w:val="20"/>
        </w:rPr>
        <w:t>“correct</w:t>
      </w:r>
      <w:r>
        <w:rPr>
          <w:rFonts w:cs="Arial"/>
          <w:szCs w:val="20"/>
        </w:rPr>
        <w:t>ed</w:t>
      </w:r>
      <w:r w:rsidRPr="00D669E6">
        <w:rPr>
          <w:rFonts w:cs="Arial"/>
          <w:szCs w:val="20"/>
        </w:rPr>
        <w:t xml:space="preserve">” the </w:t>
      </w:r>
      <w:r>
        <w:rPr>
          <w:rFonts w:cs="Arial"/>
          <w:szCs w:val="20"/>
        </w:rPr>
        <w:t xml:space="preserve">initially proposed reporting timeline in cases where this information is not available on T+1. We would like to underscore that the proposal to require </w:t>
      </w:r>
      <w:r w:rsidRPr="00D669E6">
        <w:rPr>
          <w:rFonts w:cs="Arial"/>
          <w:szCs w:val="20"/>
        </w:rPr>
        <w:t>collateral allocations to be reported on Value Date (as opposed to VD+1) presents a significant reporting challenge and is likely to result in a marked deterioration in data accuracy and quality. Much of this data will only be available outside normal working hours, such that if it is</w:t>
      </w:r>
      <w:r>
        <w:rPr>
          <w:rFonts w:cs="Arial"/>
          <w:szCs w:val="20"/>
        </w:rPr>
        <w:t xml:space="preserve"> then</w:t>
      </w:r>
      <w:r w:rsidRPr="00D669E6">
        <w:rPr>
          <w:rFonts w:cs="Arial"/>
          <w:szCs w:val="20"/>
        </w:rPr>
        <w:t xml:space="preserve"> populated it is unlikely to be reconciled or validated prior to submission.</w:t>
      </w:r>
      <w:r>
        <w:rPr>
          <w:rFonts w:cs="Arial"/>
          <w:szCs w:val="20"/>
        </w:rPr>
        <w:t xml:space="preserve"> </w:t>
      </w:r>
      <w:r w:rsidRPr="00D669E6">
        <w:rPr>
          <w:rFonts w:cs="Arial"/>
          <w:szCs w:val="20"/>
        </w:rPr>
        <w:t xml:space="preserve">As such we suggest the requirement should be for reporting </w:t>
      </w:r>
      <w:r>
        <w:rPr>
          <w:rFonts w:cs="Arial"/>
          <w:szCs w:val="20"/>
        </w:rPr>
        <w:t xml:space="preserve">at the latest </w:t>
      </w:r>
      <w:r w:rsidRPr="00D669E6">
        <w:rPr>
          <w:rFonts w:cs="Arial"/>
          <w:szCs w:val="20"/>
        </w:rPr>
        <w:t>on VD+1, essentially mirroring the use of T+1 (rather than T) for the basic transaction reporting.</w:t>
      </w:r>
    </w:p>
    <w:p w:rsidR="00EA37CB" w:rsidRPr="00603CDA" w:rsidRDefault="00EA37CB" w:rsidP="00EA37CB">
      <w:pPr>
        <w:pStyle w:val="ListParagraph"/>
        <w:ind w:left="360"/>
        <w:rPr>
          <w:rFonts w:cs="Arial"/>
          <w:szCs w:val="20"/>
        </w:rPr>
      </w:pPr>
    </w:p>
    <w:p w:rsidR="00EA37CB" w:rsidRDefault="00EA37CB" w:rsidP="00EA37CB">
      <w:pPr>
        <w:rPr>
          <w:rFonts w:cs="Arial"/>
          <w:szCs w:val="20"/>
        </w:rPr>
      </w:pPr>
      <w:r w:rsidRPr="007328DD">
        <w:rPr>
          <w:rFonts w:cs="Arial"/>
          <w:b/>
          <w:szCs w:val="20"/>
        </w:rPr>
        <w:t>(6) Alignment with EMIR</w:t>
      </w:r>
      <w:r>
        <w:rPr>
          <w:rFonts w:cs="Arial"/>
          <w:b/>
          <w:szCs w:val="20"/>
        </w:rPr>
        <w:t xml:space="preserve"> and global SFT reporting initiatives</w:t>
      </w:r>
      <w:r w:rsidRPr="007328DD">
        <w:rPr>
          <w:rFonts w:cs="Arial"/>
          <w:b/>
          <w:szCs w:val="20"/>
        </w:rPr>
        <w:t>:</w:t>
      </w:r>
      <w:r>
        <w:rPr>
          <w:rFonts w:cs="Arial"/>
          <w:szCs w:val="20"/>
        </w:rPr>
        <w:t xml:space="preserve"> </w:t>
      </w:r>
    </w:p>
    <w:p w:rsidR="00EA37CB" w:rsidRDefault="00EA37CB" w:rsidP="00EA37CB">
      <w:pPr>
        <w:rPr>
          <w:rFonts w:cs="Arial"/>
          <w:szCs w:val="20"/>
        </w:rPr>
      </w:pPr>
    </w:p>
    <w:p w:rsidR="00EA37CB" w:rsidRDefault="00EA37CB" w:rsidP="00EA37CB">
      <w:pPr>
        <w:rPr>
          <w:rFonts w:cs="Arial"/>
          <w:szCs w:val="20"/>
        </w:rPr>
      </w:pPr>
      <w:r>
        <w:rPr>
          <w:rFonts w:cs="Arial"/>
          <w:szCs w:val="20"/>
        </w:rPr>
        <w:t>The ICMA ERCC</w:t>
      </w:r>
      <w:r w:rsidRPr="00D669E6">
        <w:rPr>
          <w:rFonts w:cs="Arial"/>
          <w:szCs w:val="20"/>
        </w:rPr>
        <w:t xml:space="preserve"> welcome</w:t>
      </w:r>
      <w:r>
        <w:rPr>
          <w:rFonts w:cs="Arial"/>
          <w:szCs w:val="20"/>
        </w:rPr>
        <w:t>s</w:t>
      </w:r>
      <w:r w:rsidRPr="00D669E6">
        <w:rPr>
          <w:rFonts w:cs="Arial"/>
          <w:szCs w:val="20"/>
        </w:rPr>
        <w:t xml:space="preserve"> </w:t>
      </w:r>
      <w:r>
        <w:rPr>
          <w:rFonts w:cs="Arial"/>
          <w:szCs w:val="20"/>
        </w:rPr>
        <w:t>ESMA’s efforts to</w:t>
      </w:r>
      <w:r w:rsidRPr="00D669E6">
        <w:rPr>
          <w:rFonts w:cs="Arial"/>
          <w:szCs w:val="20"/>
        </w:rPr>
        <w:t xml:space="preserve"> </w:t>
      </w:r>
      <w:r>
        <w:rPr>
          <w:rFonts w:cs="Arial"/>
          <w:szCs w:val="20"/>
        </w:rPr>
        <w:t xml:space="preserve">further </w:t>
      </w:r>
      <w:r w:rsidRPr="00D669E6">
        <w:rPr>
          <w:rFonts w:cs="Arial"/>
          <w:szCs w:val="20"/>
        </w:rPr>
        <w:t>align</w:t>
      </w:r>
      <w:r>
        <w:rPr>
          <w:rFonts w:cs="Arial"/>
          <w:szCs w:val="20"/>
        </w:rPr>
        <w:t xml:space="preserve"> the SFTR reporting regime with the one already implemented under EMIR for OTC Derivatives (OTCD). We would, however, </w:t>
      </w:r>
      <w:r w:rsidRPr="00D669E6">
        <w:rPr>
          <w:rFonts w:cs="Arial"/>
          <w:szCs w:val="20"/>
        </w:rPr>
        <w:t xml:space="preserve">also </w:t>
      </w:r>
      <w:r>
        <w:rPr>
          <w:rFonts w:cs="Arial"/>
          <w:szCs w:val="20"/>
        </w:rPr>
        <w:t>caution</w:t>
      </w:r>
      <w:r w:rsidRPr="00D669E6">
        <w:rPr>
          <w:rFonts w:cs="Arial"/>
          <w:szCs w:val="20"/>
        </w:rPr>
        <w:t xml:space="preserve"> that there are important differences between OTCD and SFT markets which need to be</w:t>
      </w:r>
      <w:r>
        <w:rPr>
          <w:rFonts w:cs="Arial"/>
          <w:szCs w:val="20"/>
        </w:rPr>
        <w:t xml:space="preserve"> appropriately</w:t>
      </w:r>
      <w:r w:rsidRPr="00D669E6">
        <w:rPr>
          <w:rFonts w:cs="Arial"/>
          <w:szCs w:val="20"/>
        </w:rPr>
        <w:t xml:space="preserve"> reflected in the reporting framework</w:t>
      </w:r>
      <w:r>
        <w:rPr>
          <w:rFonts w:cs="Arial"/>
          <w:szCs w:val="20"/>
        </w:rPr>
        <w:t xml:space="preserve">. One example of such differences is </w:t>
      </w:r>
      <w:r w:rsidRPr="00D669E6">
        <w:rPr>
          <w:rFonts w:cs="Arial"/>
          <w:szCs w:val="20"/>
        </w:rPr>
        <w:t>collateral valuation.</w:t>
      </w:r>
      <w:r>
        <w:rPr>
          <w:rFonts w:cs="Arial"/>
          <w:szCs w:val="20"/>
        </w:rPr>
        <w:t xml:space="preserve"> </w:t>
      </w:r>
      <w:r w:rsidRPr="00D70882">
        <w:rPr>
          <w:rFonts w:cs="Arial"/>
          <w:szCs w:val="20"/>
        </w:rPr>
        <w:t>Collateral valuation is currently conducted un</w:t>
      </w:r>
      <w:r>
        <w:rPr>
          <w:rFonts w:cs="Arial"/>
          <w:szCs w:val="20"/>
        </w:rPr>
        <w:t>der each firm’s bilateral terms of business</w:t>
      </w:r>
      <w:r w:rsidRPr="00D70882">
        <w:rPr>
          <w:rFonts w:cs="Arial"/>
          <w:szCs w:val="20"/>
        </w:rPr>
        <w:t xml:space="preserve"> and trading agreements (GMRA, GMSLA, EMA </w:t>
      </w:r>
      <w:proofErr w:type="spellStart"/>
      <w:r w:rsidRPr="00D70882">
        <w:rPr>
          <w:rFonts w:cs="Arial"/>
          <w:szCs w:val="20"/>
        </w:rPr>
        <w:t>etc</w:t>
      </w:r>
      <w:proofErr w:type="spellEnd"/>
      <w:r w:rsidRPr="00D70882">
        <w:rPr>
          <w:rFonts w:cs="Arial"/>
          <w:szCs w:val="20"/>
        </w:rPr>
        <w:t xml:space="preserve">). As a reporting regime, it would not appear appropriate for SFTR to impose any accountancy standard (including IFRS 13) on how firms go about their business. </w:t>
      </w:r>
      <w:r w:rsidRPr="00D669E6">
        <w:rPr>
          <w:rFonts w:cs="Arial"/>
          <w:szCs w:val="20"/>
        </w:rPr>
        <w:t xml:space="preserve"> </w:t>
      </w:r>
    </w:p>
    <w:p w:rsidR="00EA37CB" w:rsidRDefault="00EA37CB" w:rsidP="00EA37CB">
      <w:pPr>
        <w:rPr>
          <w:rFonts w:cs="Arial"/>
          <w:szCs w:val="20"/>
        </w:rPr>
      </w:pPr>
    </w:p>
    <w:p w:rsidR="00EA37CB" w:rsidRDefault="00EA37CB" w:rsidP="00EA37CB">
      <w:pPr>
        <w:rPr>
          <w:rFonts w:cs="Arial"/>
          <w:szCs w:val="20"/>
        </w:rPr>
      </w:pPr>
      <w:r>
        <w:rPr>
          <w:rFonts w:cs="Arial"/>
          <w:szCs w:val="20"/>
        </w:rPr>
        <w:t>Similarly, at a global level t</w:t>
      </w:r>
      <w:r w:rsidRPr="00037261">
        <w:rPr>
          <w:rFonts w:cs="Arial"/>
          <w:szCs w:val="20"/>
        </w:rPr>
        <w:t>he FSB is playing an impo</w:t>
      </w:r>
      <w:r>
        <w:rPr>
          <w:rFonts w:cs="Arial"/>
          <w:szCs w:val="20"/>
        </w:rPr>
        <w:t>rtant part in creating globally-</w:t>
      </w:r>
      <w:r w:rsidRPr="00037261">
        <w:rPr>
          <w:rFonts w:cs="Arial"/>
          <w:szCs w:val="20"/>
        </w:rPr>
        <w:t xml:space="preserve">agreed recommendations applicable to SFTs. These should be respected </w:t>
      </w:r>
      <w:proofErr w:type="gramStart"/>
      <w:r w:rsidRPr="00037261">
        <w:rPr>
          <w:rFonts w:cs="Arial"/>
          <w:szCs w:val="20"/>
        </w:rPr>
        <w:t>to the fullest extent</w:t>
      </w:r>
      <w:proofErr w:type="gramEnd"/>
      <w:r w:rsidRPr="00037261">
        <w:rPr>
          <w:rFonts w:cs="Arial"/>
          <w:szCs w:val="20"/>
        </w:rPr>
        <w:t xml:space="preserve"> possible and those areas where the FSB is still engaged in ongoing work should not be pre-empted.</w:t>
      </w:r>
      <w:r>
        <w:rPr>
          <w:rFonts w:cs="Arial"/>
          <w:szCs w:val="20"/>
        </w:rPr>
        <w:t xml:space="preserve"> </w:t>
      </w:r>
      <w:r w:rsidRPr="00D669E6">
        <w:rPr>
          <w:rFonts w:cs="Arial"/>
          <w:szCs w:val="20"/>
        </w:rPr>
        <w:t xml:space="preserve">The same applies to the alignment with global work undertaken in relation to derivatives data elements (see e.g. </w:t>
      </w:r>
      <w:r>
        <w:rPr>
          <w:rFonts w:cs="Arial"/>
          <w:szCs w:val="20"/>
        </w:rPr>
        <w:t xml:space="preserve">the </w:t>
      </w:r>
      <w:r w:rsidRPr="00D669E6">
        <w:rPr>
          <w:rFonts w:cs="Arial"/>
          <w:szCs w:val="20"/>
        </w:rPr>
        <w:t xml:space="preserve">latest CPMI-IOSCO </w:t>
      </w:r>
      <w:hyperlink r:id="rId14" w:history="1">
        <w:r w:rsidRPr="00D669E6">
          <w:rPr>
            <w:rStyle w:val="Hyperlink"/>
            <w:rFonts w:cs="Arial"/>
            <w:szCs w:val="20"/>
          </w:rPr>
          <w:t>consultation</w:t>
        </w:r>
      </w:hyperlink>
      <w:r w:rsidRPr="00D669E6">
        <w:rPr>
          <w:rFonts w:cs="Arial"/>
          <w:szCs w:val="20"/>
        </w:rPr>
        <w:t xml:space="preserve"> on critical OTCD data elements other than UPI and UTI). </w:t>
      </w:r>
      <w:r>
        <w:rPr>
          <w:rFonts w:cs="Arial"/>
          <w:szCs w:val="20"/>
        </w:rPr>
        <w:t>However, also in this case, w</w:t>
      </w:r>
      <w:r w:rsidRPr="00D669E6">
        <w:rPr>
          <w:rFonts w:cs="Arial"/>
          <w:szCs w:val="20"/>
        </w:rPr>
        <w:t>hile an alignment is in principle very welcome, the specific characteristics of SFT markets</w:t>
      </w:r>
      <w:r>
        <w:rPr>
          <w:rFonts w:cs="Arial"/>
          <w:szCs w:val="20"/>
        </w:rPr>
        <w:t xml:space="preserve"> need to be carefully </w:t>
      </w:r>
      <w:proofErr w:type="gramStart"/>
      <w:r>
        <w:rPr>
          <w:rFonts w:cs="Arial"/>
          <w:szCs w:val="20"/>
        </w:rPr>
        <w:t>taken into account</w:t>
      </w:r>
      <w:proofErr w:type="gramEnd"/>
      <w:r w:rsidRPr="00D669E6">
        <w:rPr>
          <w:rFonts w:cs="Arial"/>
          <w:szCs w:val="20"/>
        </w:rPr>
        <w:t>.</w:t>
      </w:r>
    </w:p>
    <w:p w:rsidR="00EA37CB" w:rsidRDefault="00EA37CB" w:rsidP="00EA37CB"/>
    <w:permEnd w:id="215101196"/>
    <w:p w:rsidR="00D34282" w:rsidRPr="00BF28DA" w:rsidRDefault="00D34282" w:rsidP="00D34282">
      <w:r w:rsidRPr="00BF28DA">
        <w:t>&lt;</w:t>
      </w:r>
      <w:r w:rsidR="00D61A37" w:rsidRPr="00BF28DA">
        <w:t>ESMA_COMMENT_</w:t>
      </w:r>
      <w:r w:rsidR="0043413A">
        <w:t>SFTR</w:t>
      </w:r>
      <w:r w:rsidR="00D61A37" w:rsidRPr="00BF28DA">
        <w:t>_1</w:t>
      </w:r>
      <w:r w:rsidRPr="00BF28DA">
        <w:t>&gt;</w:t>
      </w:r>
    </w:p>
    <w:p w:rsidR="00F31E57" w:rsidRPr="00BF28DA" w:rsidRDefault="00F31E57" w:rsidP="00D34282"/>
    <w:p w:rsidR="0043413A" w:rsidRPr="00943DDF" w:rsidRDefault="00F31E57" w:rsidP="0043413A">
      <w:pPr>
        <w:pStyle w:val="Questionstyle"/>
        <w:numPr>
          <w:ilvl w:val="0"/>
          <w:numId w:val="40"/>
        </w:numPr>
      </w:pPr>
      <w:r w:rsidRPr="0075015C">
        <w:br w:type="page"/>
      </w:r>
      <w:r w:rsidR="0043413A" w:rsidRPr="00943DDF">
        <w:lastRenderedPageBreak/>
        <w:t>Do you agree with the above proposals? What else needs to be considered? What are the potential costs and benefits of those? Please elaborate.</w:t>
      </w:r>
    </w:p>
    <w:p w:rsidR="0043413A" w:rsidRDefault="0043413A" w:rsidP="0043413A">
      <w:r>
        <w:t>&lt;ESMA_QUESTION_SFTR_1&gt;</w:t>
      </w:r>
    </w:p>
    <w:p w:rsidR="0043413A" w:rsidRDefault="0043413A" w:rsidP="0043413A">
      <w:permStart w:id="767299251" w:edGrp="everyone"/>
      <w:r>
        <w:t>TYPE YOUR TEXT HERE</w:t>
      </w:r>
    </w:p>
    <w:permEnd w:id="767299251"/>
    <w:p w:rsidR="0043413A" w:rsidRDefault="0043413A" w:rsidP="0043413A">
      <w:r>
        <w:t>&lt;ESMA_QUESTION_SFTR_1&gt;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potential costs and benefits of those? Please elaborate.</w:t>
      </w:r>
    </w:p>
    <w:p w:rsidR="0043413A" w:rsidRDefault="0043413A" w:rsidP="0043413A">
      <w:r>
        <w:t>&lt;ESMA_QUESTION_SFTR_2&gt;</w:t>
      </w:r>
    </w:p>
    <w:p w:rsidR="0043413A" w:rsidRDefault="0043413A" w:rsidP="0043413A">
      <w:permStart w:id="1027749462" w:edGrp="everyone"/>
    </w:p>
    <w:p w:rsidR="00EA37CB" w:rsidRPr="00EA37CB" w:rsidRDefault="00EA37CB" w:rsidP="0043413A">
      <w:pPr>
        <w:rPr>
          <w:rFonts w:cs="Arial"/>
          <w:szCs w:val="20"/>
        </w:rPr>
      </w:pPr>
      <w:r w:rsidRPr="0037001A">
        <w:rPr>
          <w:rFonts w:cs="Arial"/>
          <w:szCs w:val="20"/>
        </w:rPr>
        <w:t>The ICMA ERCC welcomes ESMA’s clarification that TRs will not be required to check the authorisation of reporting entities to report on behalf of counterparties in the case of a “mandatory delegation” under article 4(3) SFTR.</w:t>
      </w:r>
      <w:r>
        <w:rPr>
          <w:rFonts w:cs="Arial"/>
          <w:szCs w:val="20"/>
        </w:rPr>
        <w:t xml:space="preserve"> We note that this proposal is in line with EMIR requirements.</w:t>
      </w:r>
      <w:r w:rsidRPr="00ED31FA">
        <w:rPr>
          <w:rFonts w:cs="Arial"/>
          <w:szCs w:val="20"/>
        </w:rPr>
        <w:t xml:space="preserve"> </w:t>
      </w:r>
    </w:p>
    <w:p w:rsidR="00EA37CB" w:rsidRDefault="00EA37CB" w:rsidP="0043413A"/>
    <w:permEnd w:id="1027749462"/>
    <w:p w:rsidR="0043413A" w:rsidRDefault="0043413A" w:rsidP="0043413A">
      <w:r>
        <w:t>&lt;ESMA_QUESTION_SFTR_2&gt;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potential costs and benefits of those? Please elaborate.</w:t>
      </w:r>
    </w:p>
    <w:p w:rsidR="0043413A" w:rsidRDefault="0043413A" w:rsidP="0043413A">
      <w:r>
        <w:t>&lt;ESMA_QUESTION_SFTR_3&gt;</w:t>
      </w:r>
    </w:p>
    <w:p w:rsidR="0043413A" w:rsidRDefault="0043413A" w:rsidP="0043413A">
      <w:permStart w:id="561011928" w:edGrp="everyone"/>
      <w:r>
        <w:t>TYPE YOUR TEXT HERE</w:t>
      </w:r>
    </w:p>
    <w:permEnd w:id="561011928"/>
    <w:p w:rsidR="0043413A" w:rsidRDefault="0043413A" w:rsidP="0043413A">
      <w:r>
        <w:t>&lt;ESMA_QUESTION_SFTR_3&gt;</w:t>
      </w:r>
    </w:p>
    <w:p w:rsidR="0043413A" w:rsidRDefault="0043413A" w:rsidP="0043413A"/>
    <w:p w:rsidR="0043413A" w:rsidRPr="00943DDF" w:rsidRDefault="0043413A" w:rsidP="0043413A">
      <w:pPr>
        <w:pStyle w:val="Questionstyle"/>
        <w:numPr>
          <w:ilvl w:val="0"/>
          <w:numId w:val="40"/>
        </w:numPr>
      </w:pPr>
      <w:r w:rsidRPr="00943DDF">
        <w:t>Do you consider that the currently used classification of counterparties is granular enough to provide information on the classification of the relevant counterparties? Alternatively, would the SNA be a proper way to classify them? Please elaborate.</w:t>
      </w:r>
    </w:p>
    <w:p w:rsidR="0043413A" w:rsidRDefault="0043413A" w:rsidP="0043413A">
      <w:r>
        <w:t>&lt;ESMA_QUESTION_SFTR_4&gt;</w:t>
      </w:r>
    </w:p>
    <w:p w:rsidR="0043413A" w:rsidRDefault="0043413A" w:rsidP="0043413A">
      <w:permStart w:id="1083797125" w:edGrp="everyone"/>
    </w:p>
    <w:p w:rsidR="00EA37CB" w:rsidRPr="0037001A" w:rsidRDefault="00EA37CB" w:rsidP="00EA37CB">
      <w:pPr>
        <w:rPr>
          <w:rFonts w:cs="Arial"/>
          <w:szCs w:val="20"/>
        </w:rPr>
      </w:pPr>
      <w:r w:rsidRPr="0037001A">
        <w:rPr>
          <w:rFonts w:cs="Arial"/>
          <w:szCs w:val="20"/>
        </w:rPr>
        <w:t>As pointed out in our response to ESMA’s DP</w:t>
      </w:r>
      <w:r>
        <w:rPr>
          <w:rFonts w:cs="Arial"/>
          <w:szCs w:val="20"/>
        </w:rPr>
        <w:t xml:space="preserve"> and our high-level comments above</w:t>
      </w:r>
      <w:r w:rsidRPr="0037001A">
        <w:rPr>
          <w:rFonts w:cs="Arial"/>
          <w:szCs w:val="20"/>
        </w:rPr>
        <w:t xml:space="preserve">, we would urge ESMA to derive as many data fields as possible from central static data sources, either at trade repository level or at the level of authorities. The classification of counterparties is a good example for a </w:t>
      </w:r>
      <w:r>
        <w:rPr>
          <w:rFonts w:cs="Arial"/>
          <w:szCs w:val="20"/>
        </w:rPr>
        <w:t xml:space="preserve">data </w:t>
      </w:r>
      <w:r w:rsidRPr="0037001A">
        <w:rPr>
          <w:rFonts w:cs="Arial"/>
          <w:szCs w:val="20"/>
        </w:rPr>
        <w:t xml:space="preserve">field that </w:t>
      </w:r>
      <w:r>
        <w:rPr>
          <w:rFonts w:cs="Arial"/>
          <w:szCs w:val="20"/>
        </w:rPr>
        <w:t>could easily be populated</w:t>
      </w:r>
      <w:r w:rsidRPr="0037001A">
        <w:rPr>
          <w:rFonts w:cs="Arial"/>
          <w:szCs w:val="20"/>
        </w:rPr>
        <w:t xml:space="preserve"> </w:t>
      </w:r>
      <w:r>
        <w:rPr>
          <w:rFonts w:cs="Arial"/>
          <w:szCs w:val="20"/>
        </w:rPr>
        <w:t xml:space="preserve">at central level </w:t>
      </w:r>
      <w:r w:rsidRPr="0037001A">
        <w:rPr>
          <w:rFonts w:cs="Arial"/>
          <w:szCs w:val="20"/>
        </w:rPr>
        <w:t>us</w:t>
      </w:r>
      <w:r>
        <w:rPr>
          <w:rFonts w:cs="Arial"/>
          <w:szCs w:val="20"/>
        </w:rPr>
        <w:t>ing</w:t>
      </w:r>
      <w:r w:rsidRPr="0037001A">
        <w:rPr>
          <w:rFonts w:cs="Arial"/>
          <w:szCs w:val="20"/>
        </w:rPr>
        <w:t xml:space="preserve"> a central</w:t>
      </w:r>
      <w:r>
        <w:rPr>
          <w:rFonts w:cs="Arial"/>
          <w:szCs w:val="20"/>
        </w:rPr>
        <w:t>ised</w:t>
      </w:r>
      <w:r w:rsidRPr="0037001A">
        <w:rPr>
          <w:rFonts w:cs="Arial"/>
          <w:szCs w:val="20"/>
        </w:rPr>
        <w:t xml:space="preserve"> database</w:t>
      </w:r>
      <w:r>
        <w:rPr>
          <w:rFonts w:cs="Arial"/>
          <w:szCs w:val="20"/>
        </w:rPr>
        <w:t>. This would</w:t>
      </w:r>
      <w:r w:rsidRPr="0037001A">
        <w:rPr>
          <w:rFonts w:cs="Arial"/>
          <w:szCs w:val="20"/>
        </w:rPr>
        <w:t xml:space="preserve"> </w:t>
      </w:r>
      <w:r>
        <w:rPr>
          <w:rFonts w:cs="Arial"/>
          <w:szCs w:val="20"/>
        </w:rPr>
        <w:t xml:space="preserve">significantly reduce the reporting burden for firms and </w:t>
      </w:r>
      <w:r w:rsidRPr="0037001A">
        <w:rPr>
          <w:rFonts w:cs="Arial"/>
          <w:szCs w:val="20"/>
        </w:rPr>
        <w:t>avoid unnecessary matching errors</w:t>
      </w:r>
      <w:r>
        <w:rPr>
          <w:rFonts w:cs="Arial"/>
          <w:szCs w:val="20"/>
        </w:rPr>
        <w:t>, result</w:t>
      </w:r>
      <w:r w:rsidRPr="0037001A">
        <w:rPr>
          <w:rFonts w:cs="Arial"/>
          <w:szCs w:val="20"/>
        </w:rPr>
        <w:t xml:space="preserve">ing </w:t>
      </w:r>
      <w:r>
        <w:rPr>
          <w:rFonts w:cs="Arial"/>
          <w:szCs w:val="20"/>
        </w:rPr>
        <w:t xml:space="preserve">in </w:t>
      </w:r>
      <w:r w:rsidRPr="0037001A">
        <w:rPr>
          <w:rFonts w:cs="Arial"/>
          <w:szCs w:val="20"/>
        </w:rPr>
        <w:t>a high</w:t>
      </w:r>
      <w:r>
        <w:rPr>
          <w:rFonts w:cs="Arial"/>
          <w:szCs w:val="20"/>
        </w:rPr>
        <w:t>er</w:t>
      </w:r>
      <w:r w:rsidRPr="0037001A">
        <w:rPr>
          <w:rFonts w:cs="Arial"/>
          <w:szCs w:val="20"/>
        </w:rPr>
        <w:t xml:space="preserve"> level of data quality.</w:t>
      </w:r>
    </w:p>
    <w:p w:rsidR="00EA37CB" w:rsidRDefault="00EA37CB" w:rsidP="00EA37CB">
      <w:pPr>
        <w:rPr>
          <w:rFonts w:cs="Arial"/>
          <w:szCs w:val="20"/>
        </w:rPr>
      </w:pPr>
    </w:p>
    <w:p w:rsidR="00EA37CB" w:rsidRPr="0037001A" w:rsidRDefault="00EA37CB" w:rsidP="00EA37CB">
      <w:pPr>
        <w:rPr>
          <w:rFonts w:cs="Arial"/>
          <w:szCs w:val="20"/>
        </w:rPr>
      </w:pPr>
      <w:r w:rsidRPr="0037001A">
        <w:rPr>
          <w:rFonts w:cs="Arial"/>
          <w:szCs w:val="20"/>
        </w:rPr>
        <w:t>Should ESMA insist on the need to capture this information from counterparties</w:t>
      </w:r>
      <w:r>
        <w:rPr>
          <w:rFonts w:cs="Arial"/>
          <w:szCs w:val="20"/>
        </w:rPr>
        <w:t xml:space="preserve"> directly</w:t>
      </w:r>
      <w:r w:rsidRPr="0037001A">
        <w:rPr>
          <w:rFonts w:cs="Arial"/>
          <w:szCs w:val="20"/>
        </w:rPr>
        <w:t xml:space="preserve">, the ICMA ERCC generally supports the use of a classification system that is consistent with EMIR. As both EMIR and SFTR, unlike MMSR, rely on trade repositories to collect the data, consistency between these regimes would appear to be of highest priority to allow trade repositories to develop a consistent offering across asset classes.  </w:t>
      </w:r>
    </w:p>
    <w:p w:rsidR="00EA37CB" w:rsidRPr="00C22283" w:rsidRDefault="00EA37CB" w:rsidP="00EA37CB">
      <w:pPr>
        <w:rPr>
          <w:rFonts w:cs="Arial"/>
          <w:szCs w:val="20"/>
        </w:rPr>
      </w:pPr>
    </w:p>
    <w:p w:rsidR="00EA37CB" w:rsidRPr="0037001A" w:rsidRDefault="00EA37CB" w:rsidP="00EA37CB">
      <w:pPr>
        <w:rPr>
          <w:rFonts w:cs="Arial"/>
          <w:b/>
          <w:i/>
          <w:szCs w:val="20"/>
        </w:rPr>
      </w:pPr>
      <w:r>
        <w:rPr>
          <w:rFonts w:cs="Arial"/>
          <w:szCs w:val="20"/>
        </w:rPr>
        <w:t>An important</w:t>
      </w:r>
      <w:r w:rsidRPr="0037001A">
        <w:rPr>
          <w:rFonts w:cs="Arial"/>
          <w:szCs w:val="20"/>
        </w:rPr>
        <w:t xml:space="preserve"> concern regarding </w:t>
      </w:r>
      <w:r>
        <w:rPr>
          <w:rFonts w:cs="Arial"/>
          <w:szCs w:val="20"/>
        </w:rPr>
        <w:t xml:space="preserve">the proposed classification of </w:t>
      </w:r>
      <w:r w:rsidRPr="0037001A">
        <w:rPr>
          <w:rFonts w:cs="Arial"/>
          <w:szCs w:val="20"/>
        </w:rPr>
        <w:t>counterpart</w:t>
      </w:r>
      <w:r>
        <w:rPr>
          <w:rFonts w:cs="Arial"/>
          <w:szCs w:val="20"/>
        </w:rPr>
        <w:t>ies</w:t>
      </w:r>
      <w:r w:rsidRPr="0037001A">
        <w:rPr>
          <w:rFonts w:cs="Arial"/>
          <w:szCs w:val="20"/>
        </w:rPr>
        <w:t xml:space="preserve"> </w:t>
      </w:r>
      <w:r>
        <w:rPr>
          <w:rFonts w:cs="Arial"/>
          <w:szCs w:val="20"/>
        </w:rPr>
        <w:t>r</w:t>
      </w:r>
      <w:r w:rsidRPr="0037001A">
        <w:rPr>
          <w:rFonts w:cs="Arial"/>
          <w:szCs w:val="20"/>
        </w:rPr>
        <w:t xml:space="preserve">elates to the definition of </w:t>
      </w:r>
      <w:r w:rsidRPr="00B0204A">
        <w:rPr>
          <w:rFonts w:cs="Arial"/>
          <w:szCs w:val="20"/>
        </w:rPr>
        <w:t>‘small non-financial counterparty’</w:t>
      </w:r>
      <w:r w:rsidRPr="0037001A">
        <w:rPr>
          <w:rFonts w:cs="Arial"/>
          <w:szCs w:val="20"/>
        </w:rPr>
        <w:t>. While this is defined in the</w:t>
      </w:r>
      <w:r>
        <w:rPr>
          <w:rFonts w:cs="Arial"/>
          <w:szCs w:val="20"/>
        </w:rPr>
        <w:t xml:space="preserve"> SFTR</w:t>
      </w:r>
      <w:r w:rsidRPr="0037001A">
        <w:rPr>
          <w:rFonts w:cs="Arial"/>
          <w:szCs w:val="20"/>
        </w:rPr>
        <w:t xml:space="preserve"> level 1 text in terms of balance sheet size and </w:t>
      </w:r>
      <w:proofErr w:type="gramStart"/>
      <w:r w:rsidRPr="0037001A">
        <w:rPr>
          <w:rFonts w:cs="Arial"/>
          <w:szCs w:val="20"/>
        </w:rPr>
        <w:t>with reference to</w:t>
      </w:r>
      <w:proofErr w:type="gramEnd"/>
      <w:r w:rsidRPr="0037001A">
        <w:rPr>
          <w:rFonts w:cs="Arial"/>
          <w:szCs w:val="20"/>
        </w:rPr>
        <w:t xml:space="preserve"> the EU Accounting Directive, it is not clear to us who will be responsible for tracking this information on an ongoing basis. </w:t>
      </w:r>
      <w:r>
        <w:rPr>
          <w:rFonts w:cs="Arial"/>
          <w:szCs w:val="20"/>
        </w:rPr>
        <w:t>We would like to stress that f</w:t>
      </w:r>
      <w:r w:rsidRPr="0037001A">
        <w:rPr>
          <w:rFonts w:cs="Arial"/>
          <w:szCs w:val="20"/>
        </w:rPr>
        <w:t xml:space="preserve">inancial counterparties will not be </w:t>
      </w:r>
      <w:proofErr w:type="gramStart"/>
      <w:r w:rsidRPr="0037001A">
        <w:rPr>
          <w:rFonts w:cs="Arial"/>
          <w:szCs w:val="20"/>
        </w:rPr>
        <w:t>in a position to</w:t>
      </w:r>
      <w:proofErr w:type="gramEnd"/>
      <w:r w:rsidRPr="0037001A">
        <w:rPr>
          <w:rFonts w:cs="Arial"/>
          <w:szCs w:val="20"/>
        </w:rPr>
        <w:t xml:space="preserve"> continuously monitor the changing scope of</w:t>
      </w:r>
      <w:r>
        <w:rPr>
          <w:rFonts w:cs="Arial"/>
          <w:szCs w:val="20"/>
        </w:rPr>
        <w:t xml:space="preserve"> the</w:t>
      </w:r>
      <w:r w:rsidRPr="0037001A">
        <w:rPr>
          <w:rFonts w:cs="Arial"/>
          <w:szCs w:val="20"/>
        </w:rPr>
        <w:t xml:space="preserve"> “mandatory delegation” and apply the SME exemption themselves.</w:t>
      </w:r>
      <w:r>
        <w:rPr>
          <w:rFonts w:cs="Arial"/>
          <w:szCs w:val="20"/>
        </w:rPr>
        <w:t xml:space="preserve"> It should thus be clarified that it is the responsibility of the relevant exempt NFC to flag its status to the financial counterparty. We understand that this approach would be in line with EMIR. In the absence of such notice, the financial counterparty would have to assume that the NFC does not qualify as an exempt NFC and is itself subject to a reporting obligation. </w:t>
      </w:r>
    </w:p>
    <w:p w:rsidR="00EA37CB" w:rsidRDefault="00EA37CB" w:rsidP="00EA37CB">
      <w:pPr>
        <w:rPr>
          <w:rFonts w:cs="Arial"/>
          <w:szCs w:val="20"/>
        </w:rPr>
      </w:pPr>
    </w:p>
    <w:p w:rsidR="00EA37CB" w:rsidRDefault="00EA37CB" w:rsidP="00EA37CB">
      <w:pPr>
        <w:rPr>
          <w:rFonts w:cs="Arial"/>
          <w:szCs w:val="20"/>
        </w:rPr>
      </w:pPr>
      <w:r>
        <w:rPr>
          <w:rFonts w:cs="Arial"/>
          <w:szCs w:val="20"/>
        </w:rPr>
        <w:t xml:space="preserve">We would also point out that the related </w:t>
      </w:r>
      <w:r w:rsidRPr="0037001A">
        <w:rPr>
          <w:rFonts w:cs="Arial"/>
          <w:szCs w:val="20"/>
        </w:rPr>
        <w:t xml:space="preserve">implementation challenges resulting from the changing scope of the mandatory delegation in art.4(3), </w:t>
      </w:r>
      <w:r>
        <w:rPr>
          <w:rFonts w:cs="Arial"/>
          <w:szCs w:val="20"/>
        </w:rPr>
        <w:t xml:space="preserve">could be significantly reduced by </w:t>
      </w:r>
      <w:r w:rsidRPr="0037001A">
        <w:rPr>
          <w:rFonts w:cs="Arial"/>
          <w:szCs w:val="20"/>
        </w:rPr>
        <w:t>extend</w:t>
      </w:r>
      <w:r>
        <w:rPr>
          <w:rFonts w:cs="Arial"/>
          <w:szCs w:val="20"/>
        </w:rPr>
        <w:t>ing</w:t>
      </w:r>
      <w:r w:rsidRPr="0037001A">
        <w:rPr>
          <w:rFonts w:cs="Arial"/>
          <w:szCs w:val="20"/>
        </w:rPr>
        <w:t xml:space="preserve"> the scope of the exemption to all non-financial counterparties. In the context of EMIR, we understand that it is b</w:t>
      </w:r>
      <w:r>
        <w:rPr>
          <w:rFonts w:cs="Arial"/>
          <w:szCs w:val="20"/>
        </w:rPr>
        <w:t>eing considered to apply single-</w:t>
      </w:r>
      <w:r w:rsidRPr="0037001A">
        <w:rPr>
          <w:rFonts w:cs="Arial"/>
          <w:szCs w:val="20"/>
        </w:rPr>
        <w:t>sided reporting to all non-financial counterparties with the upcoming revisions of that law. The SFTR could be a useful test case for such a</w:t>
      </w:r>
      <w:r>
        <w:rPr>
          <w:rFonts w:cs="Arial"/>
          <w:szCs w:val="20"/>
        </w:rPr>
        <w:t xml:space="preserve"> simplified</w:t>
      </w:r>
      <w:r w:rsidRPr="0037001A">
        <w:rPr>
          <w:rFonts w:cs="Arial"/>
          <w:szCs w:val="20"/>
        </w:rPr>
        <w:t xml:space="preserve"> regime. As a more general matter, we would like to stress ICMA’s consistent support for single sided reporting as a concept which promises important gains in terms of efficiency, reduced cost and most importantly for authorities increased data quality.</w:t>
      </w:r>
    </w:p>
    <w:p w:rsidR="00EA37CB" w:rsidRDefault="00EA37CB" w:rsidP="00EA37CB">
      <w:pPr>
        <w:rPr>
          <w:rFonts w:cs="Arial"/>
          <w:szCs w:val="20"/>
        </w:rPr>
      </w:pPr>
    </w:p>
    <w:p w:rsidR="00EA37CB" w:rsidRDefault="00EA37CB" w:rsidP="00EA37CB">
      <w:pPr>
        <w:rPr>
          <w:rFonts w:cs="Arial"/>
          <w:szCs w:val="20"/>
        </w:rPr>
      </w:pPr>
      <w:r>
        <w:rPr>
          <w:rFonts w:cs="Arial"/>
          <w:szCs w:val="20"/>
        </w:rPr>
        <w:t xml:space="preserve">Regarding </w:t>
      </w:r>
      <w:r w:rsidRPr="00EA37CB">
        <w:rPr>
          <w:rFonts w:cs="Arial"/>
          <w:b/>
          <w:szCs w:val="20"/>
        </w:rPr>
        <w:t>section 4.1 on ISO20022</w:t>
      </w:r>
      <w:r>
        <w:rPr>
          <w:rFonts w:cs="Arial"/>
          <w:szCs w:val="20"/>
        </w:rPr>
        <w:t xml:space="preserve">, we would remark the following: </w:t>
      </w:r>
    </w:p>
    <w:p w:rsidR="00EA37CB" w:rsidRDefault="00EA37CB" w:rsidP="00EA37CB">
      <w:pPr>
        <w:rPr>
          <w:rFonts w:cs="Arial"/>
          <w:szCs w:val="20"/>
        </w:rPr>
      </w:pPr>
      <w:r w:rsidRPr="0037001A">
        <w:rPr>
          <w:rFonts w:cs="Arial"/>
          <w:szCs w:val="20"/>
        </w:rPr>
        <w:t xml:space="preserve">As pointed out in our response to ESMA’s </w:t>
      </w:r>
      <w:r>
        <w:rPr>
          <w:rFonts w:cs="Arial"/>
          <w:szCs w:val="20"/>
        </w:rPr>
        <w:t>discussion paper (DP)</w:t>
      </w:r>
      <w:r w:rsidRPr="0037001A">
        <w:rPr>
          <w:rFonts w:cs="Arial"/>
          <w:szCs w:val="20"/>
        </w:rPr>
        <w:t>, the ICMA ERCC supports the use of a standardised ISO20022 reporting regime based on XML and notes that this has already been piloted and used for similar regimes, such as the ECB’s MMSR and the Bank of England’s money market reporting regime. Full alignment with ISO20022 standards will avoid unnecessary inconsistencies in the reported data.</w:t>
      </w:r>
    </w:p>
    <w:p w:rsidR="00EA37CB" w:rsidRPr="0037001A" w:rsidRDefault="00EA37CB" w:rsidP="00EA37CB">
      <w:pPr>
        <w:rPr>
          <w:rFonts w:cs="Arial"/>
          <w:szCs w:val="20"/>
        </w:rPr>
      </w:pPr>
    </w:p>
    <w:p w:rsidR="00EA37CB" w:rsidRPr="0037001A" w:rsidRDefault="00EA37CB" w:rsidP="00EA37CB">
      <w:pPr>
        <w:rPr>
          <w:rFonts w:cs="Arial"/>
          <w:szCs w:val="20"/>
        </w:rPr>
      </w:pPr>
      <w:r w:rsidRPr="0037001A">
        <w:rPr>
          <w:rFonts w:cs="Arial"/>
          <w:szCs w:val="20"/>
        </w:rPr>
        <w:t xml:space="preserve">However, we would also like to reiterate our previous comments in relation to ISO20022 governance arrangements and global consistency. If ISO20022 is mandated as standardised reporting format, it is important that appropriate ISO governance arrangements are in place that are open and sufficiently flexible to allow for timely adaptions to the standards where and when required by market needs. It is also important to note that the ISO20022 framework does not yet fully accommodate SFTs. We would expect European authorities to play an active role at a global level to push for the use of harmonised or at least fully interoperable </w:t>
      </w:r>
      <w:r>
        <w:rPr>
          <w:rFonts w:cs="Arial"/>
          <w:szCs w:val="20"/>
        </w:rPr>
        <w:t xml:space="preserve">messaging </w:t>
      </w:r>
      <w:r w:rsidRPr="0037001A">
        <w:rPr>
          <w:rFonts w:cs="Arial"/>
          <w:szCs w:val="20"/>
        </w:rPr>
        <w:t xml:space="preserve">standards for SFTs. </w:t>
      </w:r>
    </w:p>
    <w:p w:rsidR="00EA37CB" w:rsidRDefault="00EA37CB" w:rsidP="0043413A"/>
    <w:permEnd w:id="1083797125"/>
    <w:p w:rsidR="0043413A" w:rsidRDefault="0043413A" w:rsidP="0043413A">
      <w:r>
        <w:t>&lt;ESMA_QUESTION_SFTR_4&gt;</w:t>
      </w:r>
    </w:p>
    <w:p w:rsidR="0043413A" w:rsidRDefault="0043413A" w:rsidP="0043413A"/>
    <w:p w:rsidR="0043413A" w:rsidRPr="00943DDF" w:rsidRDefault="0043413A" w:rsidP="0043413A">
      <w:pPr>
        <w:pStyle w:val="Questionstyle"/>
        <w:numPr>
          <w:ilvl w:val="0"/>
          <w:numId w:val="40"/>
        </w:numPr>
      </w:pPr>
      <w:r w:rsidRPr="00943DDF">
        <w:t>Do you foresee issues in identifying the counterparties of an SFT trade following the above-mentioned definitions?</w:t>
      </w:r>
    </w:p>
    <w:p w:rsidR="0043413A" w:rsidRDefault="0043413A" w:rsidP="0043413A">
      <w:r>
        <w:t>&lt;ESMA_QUESTION_SFTR_5&gt;</w:t>
      </w:r>
    </w:p>
    <w:p w:rsidR="0043413A" w:rsidRDefault="0043413A" w:rsidP="0043413A">
      <w:permStart w:id="1545168147" w:edGrp="everyone"/>
    </w:p>
    <w:p w:rsidR="00EA37CB" w:rsidRPr="00EA37CB" w:rsidRDefault="00EA37CB" w:rsidP="0043413A">
      <w:pPr>
        <w:rPr>
          <w:rFonts w:cs="Arial"/>
          <w:i/>
          <w:color w:val="FF0000"/>
          <w:szCs w:val="20"/>
        </w:rPr>
      </w:pPr>
      <w:r w:rsidRPr="0037001A">
        <w:rPr>
          <w:rFonts w:cs="Arial"/>
          <w:bCs/>
          <w:szCs w:val="20"/>
        </w:rPr>
        <w:t xml:space="preserve">In the case of repo, identifying the counterparties should be relatively straightforward. The definitions provided by ESMA should generally be sufficient for this purpose, with the exceptions pointed out in our response to Q6. </w:t>
      </w:r>
    </w:p>
    <w:p w:rsidR="00EA37CB" w:rsidRDefault="00EA37CB" w:rsidP="0043413A"/>
    <w:permEnd w:id="1545168147"/>
    <w:p w:rsidR="0043413A" w:rsidRDefault="0043413A" w:rsidP="0043413A">
      <w:r>
        <w:t>&lt;ESMA_QUESTION_SFTR_5&gt;</w:t>
      </w:r>
    </w:p>
    <w:p w:rsidR="0043413A" w:rsidRDefault="0043413A" w:rsidP="0043413A"/>
    <w:p w:rsidR="0043413A" w:rsidRPr="00943DDF" w:rsidRDefault="0043413A" w:rsidP="0043413A">
      <w:pPr>
        <w:pStyle w:val="Questionstyle"/>
        <w:numPr>
          <w:ilvl w:val="0"/>
          <w:numId w:val="40"/>
        </w:numPr>
      </w:pPr>
      <w:r w:rsidRPr="00943DDF">
        <w:t>Are there cases for which these definitions leave room for interpretation? Please elaborate.</w:t>
      </w:r>
    </w:p>
    <w:p w:rsidR="0043413A" w:rsidRDefault="0043413A" w:rsidP="0043413A">
      <w:r>
        <w:t>&lt;ESMA_QUESTION_SFTR_6&gt;</w:t>
      </w:r>
    </w:p>
    <w:p w:rsidR="0043413A" w:rsidRDefault="0043413A" w:rsidP="0043413A">
      <w:permStart w:id="218002079" w:edGrp="everyone"/>
    </w:p>
    <w:p w:rsidR="0013259B" w:rsidRDefault="0013259B" w:rsidP="0013259B">
      <w:pPr>
        <w:rPr>
          <w:rFonts w:cs="Arial"/>
        </w:rPr>
      </w:pPr>
      <w:r w:rsidRPr="0037001A">
        <w:rPr>
          <w:rFonts w:cs="Arial"/>
          <w:szCs w:val="20"/>
        </w:rPr>
        <w:t xml:space="preserve">As pointed out in our response to ESMA’s DP, we would like to reiterate that the definition of ‘broker’ is not sufficiently clear and might lead to differences in interpretation. In this section as well as later in the CP, ESMA </w:t>
      </w:r>
      <w:r w:rsidRPr="0037001A">
        <w:rPr>
          <w:rFonts w:cs="Arial"/>
        </w:rPr>
        <w:t>appears to regard a ‘broker’ sometimes as an agent and sometimes as a principal. In the description of the trade scenarios in section 4.2.4, ESMA introduce</w:t>
      </w:r>
      <w:r>
        <w:rPr>
          <w:rFonts w:cs="Arial"/>
        </w:rPr>
        <w:t>s</w:t>
      </w:r>
      <w:r w:rsidRPr="0037001A">
        <w:rPr>
          <w:rFonts w:cs="Arial"/>
        </w:rPr>
        <w:t xml:space="preserve"> the term ‘broker/agent’ in repo scenario 1 but then also uses the term in the concept of ‘broker but on its own account’ (repo scenario 2). Furthermore, no provision appears to have been made for agents in the repo market, e.g. asset managers acting in an agent </w:t>
      </w:r>
      <w:r>
        <w:rPr>
          <w:rFonts w:cs="Arial"/>
        </w:rPr>
        <w:t>capacity</w:t>
      </w:r>
      <w:r w:rsidRPr="0037001A">
        <w:rPr>
          <w:rFonts w:cs="Arial"/>
        </w:rPr>
        <w:t xml:space="preserve">. ‘Broker’ is </w:t>
      </w:r>
      <w:r>
        <w:rPr>
          <w:rFonts w:cs="Arial"/>
        </w:rPr>
        <w:t xml:space="preserve">also </w:t>
      </w:r>
      <w:r w:rsidRPr="0037001A">
        <w:rPr>
          <w:rFonts w:cs="Arial"/>
        </w:rPr>
        <w:t xml:space="preserve">not a helpful term, given the possible confusion with broker-dealers. We therefore suggest to delete any reference to ‘broker’ and introduce instead a general category of ‘agent’, which </w:t>
      </w:r>
      <w:r>
        <w:rPr>
          <w:rFonts w:cs="Arial"/>
        </w:rPr>
        <w:t>is</w:t>
      </w:r>
      <w:r w:rsidRPr="0037001A">
        <w:rPr>
          <w:rFonts w:cs="Arial"/>
        </w:rPr>
        <w:t xml:space="preserve"> clearer and </w:t>
      </w:r>
      <w:r>
        <w:rPr>
          <w:rFonts w:cs="Arial"/>
        </w:rPr>
        <w:t xml:space="preserve">would </w:t>
      </w:r>
      <w:r w:rsidRPr="0037001A">
        <w:rPr>
          <w:rFonts w:cs="Arial"/>
        </w:rPr>
        <w:t xml:space="preserve">avoid ambiguities. This would also avoid </w:t>
      </w:r>
      <w:r>
        <w:rPr>
          <w:rFonts w:cs="Arial"/>
        </w:rPr>
        <w:t xml:space="preserve">the </w:t>
      </w:r>
      <w:r w:rsidRPr="0037001A">
        <w:rPr>
          <w:rFonts w:cs="Arial"/>
        </w:rPr>
        <w:t>confusion with the term ‘prime broker’</w:t>
      </w:r>
      <w:r>
        <w:rPr>
          <w:rFonts w:cs="Arial"/>
        </w:rPr>
        <w:t xml:space="preserve"> mentioned by ESMA</w:t>
      </w:r>
      <w:r w:rsidRPr="0037001A">
        <w:rPr>
          <w:rFonts w:cs="Arial"/>
        </w:rPr>
        <w:t xml:space="preserve"> which we note acts as a principal.</w:t>
      </w:r>
    </w:p>
    <w:p w:rsidR="0013259B" w:rsidRPr="0037001A" w:rsidRDefault="0013259B" w:rsidP="0013259B">
      <w:pPr>
        <w:rPr>
          <w:rFonts w:cs="Arial"/>
          <w:szCs w:val="20"/>
        </w:rPr>
      </w:pPr>
    </w:p>
    <w:p w:rsidR="0013259B" w:rsidRDefault="0013259B" w:rsidP="0013259B">
      <w:r w:rsidRPr="0037001A">
        <w:rPr>
          <w:rFonts w:cs="Arial"/>
          <w:szCs w:val="20"/>
        </w:rPr>
        <w:t xml:space="preserve">Another issue that we raised in our response to the DP and which does not appear to be addressed in the CP is the treatment of natural persons. We would like to ask ESMA to clarify how the reporting obligation applies to natural persons, which do not seem to be covered by the definitions for financial or non-financial </w:t>
      </w:r>
      <w:r w:rsidRPr="0037001A">
        <w:rPr>
          <w:rFonts w:cs="Arial"/>
          <w:szCs w:val="20"/>
        </w:rPr>
        <w:lastRenderedPageBreak/>
        <w:t>counterparties. In this context</w:t>
      </w:r>
      <w:r>
        <w:rPr>
          <w:rFonts w:cs="Arial"/>
          <w:szCs w:val="20"/>
        </w:rPr>
        <w:t>,</w:t>
      </w:r>
      <w:r w:rsidRPr="0037001A">
        <w:rPr>
          <w:rFonts w:cs="Arial"/>
          <w:szCs w:val="20"/>
        </w:rPr>
        <w:t xml:space="preserve"> we remark that the </w:t>
      </w:r>
      <w:r w:rsidRPr="0037001A">
        <w:rPr>
          <w:rFonts w:cs="Arial"/>
        </w:rPr>
        <w:t>European Commission in its FAQs (No.14) in relation to EMIR states that individuals not carrying out an economic activity and who are consequently not considered as undertakings are not subject to the reporting obligation under EMIR. We would therefore ask ESMA to clarify whether this is also true for SFTR.</w:t>
      </w:r>
    </w:p>
    <w:p w:rsidR="0013259B" w:rsidRDefault="0013259B" w:rsidP="0043413A"/>
    <w:permEnd w:id="218002079"/>
    <w:p w:rsidR="0043413A" w:rsidRDefault="0043413A" w:rsidP="0043413A">
      <w:r>
        <w:t>&lt;ESMA_QUESTION_SFTR_6&gt;</w:t>
      </w:r>
    </w:p>
    <w:p w:rsidR="0043413A" w:rsidRDefault="0043413A" w:rsidP="0043413A"/>
    <w:p w:rsidR="0043413A" w:rsidRPr="00943DDF" w:rsidRDefault="0043413A" w:rsidP="0043413A">
      <w:pPr>
        <w:pStyle w:val="Questionstyle"/>
        <w:numPr>
          <w:ilvl w:val="0"/>
          <w:numId w:val="40"/>
        </w:numPr>
      </w:pPr>
      <w:r w:rsidRPr="00943DDF">
        <w:t>Based on your experience, do you consider that the conditions detailed in paragraph 105 hold for CCP-cleared SFTs? Please elaborate.</w:t>
      </w:r>
    </w:p>
    <w:p w:rsidR="0043413A" w:rsidRDefault="0043413A" w:rsidP="0043413A">
      <w:r>
        <w:t>&lt;ESMA_QUESTION_SFTR_7&gt;</w:t>
      </w:r>
    </w:p>
    <w:p w:rsidR="0043413A" w:rsidRDefault="0043413A" w:rsidP="0043413A">
      <w:permStart w:id="1574707310" w:edGrp="everyone"/>
    </w:p>
    <w:p w:rsidR="0013259B" w:rsidRPr="0037001A" w:rsidRDefault="0013259B" w:rsidP="0013259B">
      <w:pPr>
        <w:rPr>
          <w:rFonts w:cs="Arial"/>
          <w:szCs w:val="20"/>
        </w:rPr>
      </w:pPr>
      <w:r>
        <w:rPr>
          <w:rFonts w:cs="Arial"/>
          <w:szCs w:val="20"/>
        </w:rPr>
        <w:t>The ICMA ERCC</w:t>
      </w:r>
      <w:r w:rsidRPr="0037001A">
        <w:rPr>
          <w:rFonts w:cs="Arial"/>
          <w:szCs w:val="20"/>
        </w:rPr>
        <w:t xml:space="preserve"> welcome</w:t>
      </w:r>
      <w:r>
        <w:rPr>
          <w:rFonts w:cs="Arial"/>
          <w:szCs w:val="20"/>
        </w:rPr>
        <w:t>s</w:t>
      </w:r>
      <w:r w:rsidRPr="0037001A">
        <w:rPr>
          <w:rFonts w:cs="Arial"/>
          <w:szCs w:val="20"/>
        </w:rPr>
        <w:t xml:space="preserve"> the clarifications provided by ESMA in relation to the concept of complementary position level reporting</w:t>
      </w:r>
      <w:r>
        <w:rPr>
          <w:rFonts w:cs="Arial"/>
          <w:szCs w:val="20"/>
        </w:rPr>
        <w:t>.</w:t>
      </w:r>
      <w:r w:rsidRPr="0037001A">
        <w:rPr>
          <w:rFonts w:cs="Arial"/>
          <w:szCs w:val="20"/>
        </w:rPr>
        <w:t xml:space="preserve"> </w:t>
      </w:r>
      <w:proofErr w:type="gramStart"/>
      <w:r>
        <w:rPr>
          <w:rFonts w:cs="Arial"/>
          <w:szCs w:val="20"/>
        </w:rPr>
        <w:t>I</w:t>
      </w:r>
      <w:r w:rsidRPr="0037001A">
        <w:rPr>
          <w:rFonts w:cs="Arial"/>
          <w:szCs w:val="20"/>
        </w:rPr>
        <w:t>n particular</w:t>
      </w:r>
      <w:r>
        <w:rPr>
          <w:rFonts w:cs="Arial"/>
          <w:szCs w:val="20"/>
        </w:rPr>
        <w:t>, we</w:t>
      </w:r>
      <w:proofErr w:type="gramEnd"/>
      <w:r>
        <w:rPr>
          <w:rFonts w:cs="Arial"/>
          <w:szCs w:val="20"/>
        </w:rPr>
        <w:t xml:space="preserve"> note</w:t>
      </w:r>
      <w:r w:rsidRPr="0037001A">
        <w:rPr>
          <w:rFonts w:cs="Arial"/>
          <w:szCs w:val="20"/>
        </w:rPr>
        <w:t xml:space="preserve"> that this would not be an “addition to trade level reporting” and thus not an “extra reporting burden”. We also note that complementary position level reporting is a “possibility that can be used when the conditions [set out in paragraph 106] are met” (para 101) and is thus optional rather than mandatory so that it can be applied where it makes sense from the perspective of the reporting entities concerned. Under EMIR for instance this position level reporting clearly makes sense in the</w:t>
      </w:r>
      <w:r>
        <w:rPr>
          <w:rFonts w:cs="Arial"/>
          <w:szCs w:val="20"/>
        </w:rPr>
        <w:t xml:space="preserve"> specific</w:t>
      </w:r>
      <w:r w:rsidRPr="0037001A">
        <w:rPr>
          <w:rFonts w:cs="Arial"/>
          <w:szCs w:val="20"/>
        </w:rPr>
        <w:t xml:space="preserve"> case of ETDs.</w:t>
      </w:r>
    </w:p>
    <w:p w:rsidR="0013259B" w:rsidRDefault="0013259B" w:rsidP="0013259B">
      <w:pPr>
        <w:rPr>
          <w:rFonts w:cs="Arial"/>
          <w:szCs w:val="20"/>
        </w:rPr>
      </w:pPr>
    </w:p>
    <w:p w:rsidR="0013259B" w:rsidRPr="001E58B3" w:rsidRDefault="0013259B" w:rsidP="0013259B">
      <w:pPr>
        <w:rPr>
          <w:rFonts w:cs="Arial"/>
          <w:szCs w:val="20"/>
        </w:rPr>
      </w:pPr>
      <w:r>
        <w:rPr>
          <w:rFonts w:cs="Arial"/>
          <w:szCs w:val="20"/>
        </w:rPr>
        <w:t>In the context</w:t>
      </w:r>
      <w:r w:rsidRPr="0037001A">
        <w:rPr>
          <w:rFonts w:cs="Arial"/>
          <w:szCs w:val="20"/>
        </w:rPr>
        <w:t xml:space="preserve"> of </w:t>
      </w:r>
      <w:r>
        <w:rPr>
          <w:rFonts w:cs="Arial"/>
          <w:szCs w:val="20"/>
        </w:rPr>
        <w:t xml:space="preserve">CCP-cleared </w:t>
      </w:r>
      <w:r w:rsidRPr="0037001A">
        <w:rPr>
          <w:rFonts w:cs="Arial"/>
          <w:szCs w:val="20"/>
        </w:rPr>
        <w:t>SFTs</w:t>
      </w:r>
      <w:r>
        <w:rPr>
          <w:rFonts w:cs="Arial"/>
          <w:szCs w:val="20"/>
        </w:rPr>
        <w:t>,</w:t>
      </w:r>
      <w:r w:rsidRPr="0037001A">
        <w:rPr>
          <w:rFonts w:cs="Arial"/>
          <w:szCs w:val="20"/>
        </w:rPr>
        <w:t xml:space="preserve"> optional position level reporting seems to be most relevant for </w:t>
      </w:r>
      <w:r>
        <w:rPr>
          <w:rFonts w:cs="Arial"/>
          <w:szCs w:val="20"/>
        </w:rPr>
        <w:t xml:space="preserve">the reporting of margining. As we pointed out above, this information could be most efficiently collected from CCPs directly. Moreover, as further explained in our comments to </w:t>
      </w:r>
      <w:r w:rsidRPr="0033117D">
        <w:rPr>
          <w:rFonts w:cs="Arial"/>
          <w:szCs w:val="20"/>
        </w:rPr>
        <w:t>Q35,</w:t>
      </w:r>
      <w:r>
        <w:rPr>
          <w:rFonts w:cs="Arial"/>
          <w:szCs w:val="20"/>
        </w:rPr>
        <w:t xml:space="preserve"> we would point out that position level reporting would also be required for the reporting of margining in the case of bilateral trades. </w:t>
      </w:r>
    </w:p>
    <w:p w:rsidR="0013259B" w:rsidRDefault="0013259B" w:rsidP="0013259B">
      <w:pPr>
        <w:rPr>
          <w:rFonts w:cs="Arial"/>
          <w:szCs w:val="20"/>
        </w:rPr>
      </w:pPr>
    </w:p>
    <w:p w:rsidR="0013259B" w:rsidRDefault="0013259B" w:rsidP="0013259B">
      <w:r>
        <w:rPr>
          <w:rFonts w:cs="Arial"/>
          <w:szCs w:val="20"/>
        </w:rPr>
        <w:t>Finally, we note that there</w:t>
      </w:r>
      <w:r w:rsidRPr="0037001A">
        <w:rPr>
          <w:rFonts w:cs="Arial"/>
          <w:szCs w:val="20"/>
        </w:rPr>
        <w:t xml:space="preserve"> need</w:t>
      </w:r>
      <w:r>
        <w:rPr>
          <w:rFonts w:cs="Arial"/>
          <w:szCs w:val="20"/>
        </w:rPr>
        <w:t>s</w:t>
      </w:r>
      <w:r w:rsidRPr="0037001A">
        <w:rPr>
          <w:rFonts w:cs="Arial"/>
          <w:szCs w:val="20"/>
        </w:rPr>
        <w:t xml:space="preserve"> to be a common understanding among counterparties as to when optional position level reporting would be applied if there is an expectation to match such reports.</w:t>
      </w:r>
    </w:p>
    <w:p w:rsidR="0013259B" w:rsidRDefault="0013259B" w:rsidP="0043413A"/>
    <w:permEnd w:id="1574707310"/>
    <w:p w:rsidR="0043413A" w:rsidRDefault="0043413A" w:rsidP="0043413A">
      <w:r>
        <w:t>&lt;ESMA_QUESTION_SFTR_7&gt;</w:t>
      </w:r>
    </w:p>
    <w:p w:rsidR="0043413A" w:rsidRDefault="0043413A" w:rsidP="0043413A"/>
    <w:p w:rsidR="0043413A" w:rsidRPr="00943DDF" w:rsidRDefault="0043413A" w:rsidP="0043413A">
      <w:pPr>
        <w:pStyle w:val="Questionstyle"/>
        <w:numPr>
          <w:ilvl w:val="0"/>
          <w:numId w:val="40"/>
        </w:numPr>
      </w:pPr>
      <w:r w:rsidRPr="00943DDF">
        <w:t>In the case of CCP-cleared SFT trades, is it always possible to assign and report collateral valuation and margin to separately concluded SFTs? If not, would this impair the possibility for the counterparties to comply with the reporting obligation under Article 4 SFTR? Please provide concrete examples.</w:t>
      </w:r>
    </w:p>
    <w:p w:rsidR="0043413A" w:rsidRDefault="0043413A" w:rsidP="0043413A">
      <w:r>
        <w:t>&lt;ESMA_QUESTION_SFTR_8&gt;</w:t>
      </w:r>
    </w:p>
    <w:p w:rsidR="0043413A" w:rsidRDefault="0043413A" w:rsidP="0043413A">
      <w:permStart w:id="270012777" w:edGrp="everyone"/>
    </w:p>
    <w:p w:rsidR="0013259B" w:rsidRPr="0037001A" w:rsidRDefault="0013259B" w:rsidP="0013259B">
      <w:pPr>
        <w:rPr>
          <w:rFonts w:cs="Arial"/>
          <w:szCs w:val="20"/>
        </w:rPr>
      </w:pPr>
      <w:r w:rsidRPr="0037001A">
        <w:rPr>
          <w:rFonts w:cs="Arial"/>
          <w:szCs w:val="20"/>
        </w:rPr>
        <w:t xml:space="preserve">As a general </w:t>
      </w:r>
      <w:r>
        <w:rPr>
          <w:rFonts w:cs="Arial"/>
          <w:szCs w:val="20"/>
        </w:rPr>
        <w:t>comment</w:t>
      </w:r>
      <w:r w:rsidRPr="0037001A">
        <w:rPr>
          <w:rFonts w:cs="Arial"/>
          <w:szCs w:val="20"/>
        </w:rPr>
        <w:t>, we would like to reiterate that prices for collateral valuation and margining information in the case of CCP-cleared SFTs could be far more efficiently collected directly from CCPs</w:t>
      </w:r>
      <w:r>
        <w:rPr>
          <w:rFonts w:cs="Arial"/>
          <w:szCs w:val="20"/>
        </w:rPr>
        <w:t>. Given that CCPs</w:t>
      </w:r>
      <w:r w:rsidRPr="0037001A">
        <w:rPr>
          <w:rFonts w:cs="Arial"/>
          <w:szCs w:val="20"/>
        </w:rPr>
        <w:t xml:space="preserve"> have </w:t>
      </w:r>
      <w:r>
        <w:rPr>
          <w:rFonts w:cs="Arial"/>
          <w:szCs w:val="20"/>
        </w:rPr>
        <w:t xml:space="preserve">a </w:t>
      </w:r>
      <w:r w:rsidRPr="0037001A">
        <w:rPr>
          <w:rFonts w:cs="Arial"/>
          <w:szCs w:val="20"/>
        </w:rPr>
        <w:t>reporting obligation</w:t>
      </w:r>
      <w:r>
        <w:rPr>
          <w:rFonts w:cs="Arial"/>
          <w:szCs w:val="20"/>
        </w:rPr>
        <w:t xml:space="preserve"> themselves such a regime should be relatively straightforward to implement and not cause significant legal challenges.</w:t>
      </w:r>
      <w:r w:rsidRPr="0037001A">
        <w:rPr>
          <w:rFonts w:cs="Arial"/>
          <w:szCs w:val="20"/>
        </w:rPr>
        <w:t xml:space="preserve"> </w:t>
      </w:r>
    </w:p>
    <w:p w:rsidR="0013259B" w:rsidRDefault="0013259B" w:rsidP="0013259B">
      <w:pPr>
        <w:rPr>
          <w:rFonts w:cs="Arial"/>
          <w:szCs w:val="20"/>
        </w:rPr>
      </w:pPr>
    </w:p>
    <w:p w:rsidR="0013259B" w:rsidRDefault="0013259B" w:rsidP="0013259B">
      <w:r>
        <w:rPr>
          <w:rFonts w:cs="Arial"/>
          <w:szCs w:val="20"/>
        </w:rPr>
        <w:t>In addition, we would point out that, a</w:t>
      </w:r>
      <w:r w:rsidRPr="0037001A">
        <w:rPr>
          <w:rFonts w:cs="Arial"/>
          <w:szCs w:val="20"/>
        </w:rPr>
        <w:t>s is the case with bilateral repo,</w:t>
      </w:r>
      <w:r>
        <w:rPr>
          <w:rFonts w:cs="Arial"/>
          <w:szCs w:val="20"/>
        </w:rPr>
        <w:t xml:space="preserve"> margining</w:t>
      </w:r>
      <w:r w:rsidRPr="0037001A">
        <w:rPr>
          <w:rFonts w:cs="Arial"/>
          <w:szCs w:val="20"/>
        </w:rPr>
        <w:t xml:space="preserve"> information</w:t>
      </w:r>
      <w:r>
        <w:rPr>
          <w:rFonts w:cs="Arial"/>
          <w:szCs w:val="20"/>
        </w:rPr>
        <w:t xml:space="preserve"> for CCP-cleared SFTs</w:t>
      </w:r>
      <w:r w:rsidRPr="0037001A">
        <w:rPr>
          <w:rFonts w:cs="Arial"/>
          <w:szCs w:val="20"/>
        </w:rPr>
        <w:t xml:space="preserve"> will only be available at the arrangement/portfolio level.</w:t>
      </w:r>
    </w:p>
    <w:p w:rsidR="0013259B" w:rsidRDefault="0013259B" w:rsidP="0043413A"/>
    <w:permEnd w:id="270012777"/>
    <w:p w:rsidR="0043413A" w:rsidRDefault="0043413A" w:rsidP="0043413A">
      <w:r>
        <w:t>&lt;ESMA_QUESTION_SFTR_8&gt;</w:t>
      </w:r>
    </w:p>
    <w:p w:rsidR="0043413A" w:rsidRDefault="0043413A" w:rsidP="0043413A"/>
    <w:p w:rsidR="0043413A" w:rsidRPr="00943DDF" w:rsidRDefault="0043413A" w:rsidP="0043413A">
      <w:pPr>
        <w:pStyle w:val="Questionstyle"/>
        <w:numPr>
          <w:ilvl w:val="0"/>
          <w:numId w:val="40"/>
        </w:numPr>
      </w:pPr>
      <w:r w:rsidRPr="00943DDF">
        <w:t>Would the suggested data elements allow for accurate reporting at individual SFT level and CCP-cleared position level? in line with approach described above?</w:t>
      </w:r>
    </w:p>
    <w:p w:rsidR="0043413A" w:rsidRDefault="0043413A" w:rsidP="0043413A">
      <w:r>
        <w:t>&lt;ESMA_QUESTION_SFTR_9&gt;</w:t>
      </w:r>
    </w:p>
    <w:p w:rsidR="0043413A" w:rsidRDefault="0043413A" w:rsidP="0043413A">
      <w:permStart w:id="1703616272" w:edGrp="everyone"/>
    </w:p>
    <w:p w:rsidR="0013259B" w:rsidRDefault="0013259B" w:rsidP="0013259B">
      <w:pPr>
        <w:rPr>
          <w:rFonts w:cs="Arial"/>
          <w:i/>
          <w:color w:val="FF0000"/>
          <w:szCs w:val="20"/>
        </w:rPr>
      </w:pPr>
    </w:p>
    <w:p w:rsidR="0013259B" w:rsidRPr="0037001A" w:rsidRDefault="0013259B" w:rsidP="0013259B">
      <w:pPr>
        <w:rPr>
          <w:rFonts w:cs="Arial"/>
          <w:szCs w:val="20"/>
        </w:rPr>
      </w:pPr>
      <w:r w:rsidRPr="0037001A">
        <w:rPr>
          <w:rFonts w:cs="Arial"/>
          <w:szCs w:val="20"/>
        </w:rPr>
        <w:lastRenderedPageBreak/>
        <w:t xml:space="preserve">We agree with ESMA that an additional field to distinguish trade level from position level reports would be necessary. Given that position level reporting is expected to be the exception it might make sense to define this as a flag to be added only in the case of position level reports. </w:t>
      </w:r>
    </w:p>
    <w:p w:rsidR="0013259B" w:rsidRDefault="0013259B" w:rsidP="0013259B">
      <w:pPr>
        <w:rPr>
          <w:rFonts w:cs="Arial"/>
          <w:szCs w:val="20"/>
        </w:rPr>
      </w:pPr>
    </w:p>
    <w:p w:rsidR="0013259B" w:rsidRDefault="0013259B" w:rsidP="0013259B">
      <w:pPr>
        <w:rPr>
          <w:rFonts w:cs="Arial"/>
          <w:szCs w:val="20"/>
        </w:rPr>
      </w:pPr>
      <w:r w:rsidRPr="0037001A">
        <w:rPr>
          <w:rFonts w:cs="Arial"/>
          <w:szCs w:val="20"/>
        </w:rPr>
        <w:t xml:space="preserve">It is not clear </w:t>
      </w:r>
      <w:r>
        <w:rPr>
          <w:rFonts w:cs="Arial"/>
          <w:szCs w:val="20"/>
        </w:rPr>
        <w:t xml:space="preserve">to us </w:t>
      </w:r>
      <w:r w:rsidRPr="0037001A">
        <w:rPr>
          <w:rFonts w:cs="Arial"/>
          <w:szCs w:val="20"/>
        </w:rPr>
        <w:t>why a new action type for “position components” would be necessary.</w:t>
      </w:r>
      <w:r>
        <w:rPr>
          <w:rFonts w:cs="Arial"/>
          <w:szCs w:val="20"/>
        </w:rPr>
        <w:t xml:space="preserve"> </w:t>
      </w:r>
    </w:p>
    <w:p w:rsidR="0013259B" w:rsidRPr="0037001A" w:rsidRDefault="0013259B" w:rsidP="0013259B">
      <w:pPr>
        <w:rPr>
          <w:rFonts w:cs="Arial"/>
          <w:szCs w:val="20"/>
        </w:rPr>
      </w:pPr>
    </w:p>
    <w:p w:rsidR="0013259B" w:rsidRDefault="0013259B" w:rsidP="0013259B">
      <w:r w:rsidRPr="0037001A">
        <w:rPr>
          <w:rFonts w:cs="Arial"/>
          <w:szCs w:val="20"/>
        </w:rPr>
        <w:t>As pointed out in our response to ESMA’s DP, we believe that position level reporting requires significantly fewer reporting fields</w:t>
      </w:r>
      <w:r>
        <w:rPr>
          <w:rFonts w:cs="Arial"/>
          <w:szCs w:val="20"/>
        </w:rPr>
        <w:t xml:space="preserve"> and believe that the FSB’s work on data reporting should </w:t>
      </w:r>
      <w:proofErr w:type="gramStart"/>
      <w:r>
        <w:rPr>
          <w:rFonts w:cs="Arial"/>
          <w:szCs w:val="20"/>
        </w:rPr>
        <w:t>be seen as</w:t>
      </w:r>
      <w:proofErr w:type="gramEnd"/>
      <w:r>
        <w:rPr>
          <w:rFonts w:cs="Arial"/>
          <w:szCs w:val="20"/>
        </w:rPr>
        <w:t xml:space="preserve"> a sensible basis upon which to define what would be necessary</w:t>
      </w:r>
      <w:r w:rsidRPr="0037001A">
        <w:rPr>
          <w:rFonts w:cs="Arial"/>
          <w:szCs w:val="20"/>
        </w:rPr>
        <w:t>.</w:t>
      </w:r>
    </w:p>
    <w:p w:rsidR="0013259B" w:rsidRDefault="0013259B" w:rsidP="0043413A"/>
    <w:permEnd w:id="1703616272"/>
    <w:p w:rsidR="0043413A" w:rsidRDefault="0043413A" w:rsidP="0043413A">
      <w:r>
        <w:t>&lt;ESMA_QUESTION_SFTR_9&gt;</w:t>
      </w:r>
    </w:p>
    <w:p w:rsidR="0043413A" w:rsidRDefault="0043413A" w:rsidP="0043413A"/>
    <w:p w:rsidR="0043413A" w:rsidRPr="00943DDF" w:rsidRDefault="0043413A" w:rsidP="0043413A">
      <w:pPr>
        <w:pStyle w:val="Questionstyle"/>
        <w:numPr>
          <w:ilvl w:val="0"/>
          <w:numId w:val="40"/>
        </w:numPr>
      </w:pPr>
      <w:r w:rsidRPr="00943DDF">
        <w:t>If so, are there any specific issues that need to be taken into account to adapt the EMIR approach to the SFT reporting?</w:t>
      </w:r>
    </w:p>
    <w:p w:rsidR="0043413A" w:rsidRDefault="0043413A" w:rsidP="0043413A">
      <w:r>
        <w:t>&lt;ESMA_QUESTION_SFTR_10&gt;</w:t>
      </w:r>
    </w:p>
    <w:p w:rsidR="0043413A" w:rsidRDefault="0043413A" w:rsidP="0043413A">
      <w:permStart w:id="7298227" w:edGrp="everyone"/>
    </w:p>
    <w:p w:rsidR="008F53F6" w:rsidRDefault="008F53F6" w:rsidP="0043413A">
      <w:r w:rsidRPr="0033117D">
        <w:rPr>
          <w:rFonts w:cs="Arial"/>
          <w:szCs w:val="20"/>
        </w:rPr>
        <w:t xml:space="preserve">In the case of repos and securities lending a </w:t>
      </w:r>
      <w:r>
        <w:rPr>
          <w:rFonts w:cs="Arial"/>
          <w:szCs w:val="20"/>
        </w:rPr>
        <w:t xml:space="preserve">standardised </w:t>
      </w:r>
      <w:r w:rsidRPr="0033117D">
        <w:rPr>
          <w:rFonts w:cs="Arial"/>
          <w:szCs w:val="20"/>
        </w:rPr>
        <w:t xml:space="preserve">concept of </w:t>
      </w:r>
      <w:r>
        <w:rPr>
          <w:rFonts w:cs="Arial"/>
          <w:szCs w:val="20"/>
        </w:rPr>
        <w:t>‘</w:t>
      </w:r>
      <w:r w:rsidRPr="0033117D">
        <w:rPr>
          <w:rFonts w:cs="Arial"/>
          <w:szCs w:val="20"/>
        </w:rPr>
        <w:t>execution timestamp</w:t>
      </w:r>
      <w:r>
        <w:rPr>
          <w:rFonts w:cs="Arial"/>
          <w:szCs w:val="20"/>
        </w:rPr>
        <w:t>’</w:t>
      </w:r>
      <w:r w:rsidRPr="0033117D">
        <w:rPr>
          <w:rFonts w:cs="Arial"/>
          <w:szCs w:val="20"/>
        </w:rPr>
        <w:t xml:space="preserve"> comparable to </w:t>
      </w:r>
      <w:r>
        <w:rPr>
          <w:rFonts w:cs="Arial"/>
          <w:szCs w:val="20"/>
        </w:rPr>
        <w:t xml:space="preserve">the </w:t>
      </w:r>
      <w:r w:rsidRPr="0033117D">
        <w:rPr>
          <w:rFonts w:cs="Arial"/>
          <w:szCs w:val="20"/>
        </w:rPr>
        <w:t>derivatives</w:t>
      </w:r>
      <w:r>
        <w:rPr>
          <w:rFonts w:cs="Arial"/>
          <w:szCs w:val="20"/>
        </w:rPr>
        <w:t xml:space="preserve"> space </w:t>
      </w:r>
      <w:r w:rsidRPr="0033117D">
        <w:rPr>
          <w:rFonts w:cs="Arial"/>
          <w:szCs w:val="20"/>
        </w:rPr>
        <w:t>does not</w:t>
      </w:r>
      <w:r>
        <w:rPr>
          <w:rFonts w:cs="Arial"/>
          <w:szCs w:val="20"/>
        </w:rPr>
        <w:t xml:space="preserve"> currently</w:t>
      </w:r>
      <w:r w:rsidRPr="0033117D">
        <w:rPr>
          <w:rFonts w:cs="Arial"/>
          <w:szCs w:val="20"/>
        </w:rPr>
        <w:t xml:space="preserve"> exist</w:t>
      </w:r>
      <w:r>
        <w:rPr>
          <w:rFonts w:cs="Arial"/>
          <w:szCs w:val="20"/>
        </w:rPr>
        <w:t xml:space="preserve"> and would be challenging to implement, at least for repos that are traded off venue</w:t>
      </w:r>
      <w:r w:rsidRPr="0033117D">
        <w:rPr>
          <w:rFonts w:cs="Arial"/>
          <w:szCs w:val="20"/>
        </w:rPr>
        <w:t>.</w:t>
      </w:r>
      <w:r>
        <w:rPr>
          <w:rFonts w:cs="Arial"/>
          <w:szCs w:val="20"/>
        </w:rPr>
        <w:t xml:space="preserve"> The point of execution is not defined in either SFTR or any other applicable law and seems less relevant in the context of SFTs which are considered non-price forming trades under MIFIDII/R. C</w:t>
      </w:r>
      <w:r w:rsidRPr="0033117D">
        <w:rPr>
          <w:rFonts w:cs="Arial"/>
          <w:szCs w:val="20"/>
        </w:rPr>
        <w:t xml:space="preserve">urrent market convention on voice </w:t>
      </w:r>
      <w:r>
        <w:rPr>
          <w:rFonts w:cs="Arial"/>
          <w:szCs w:val="20"/>
        </w:rPr>
        <w:t xml:space="preserve">repo </w:t>
      </w:r>
      <w:r w:rsidRPr="0033117D">
        <w:rPr>
          <w:rFonts w:cs="Arial"/>
          <w:szCs w:val="20"/>
        </w:rPr>
        <w:t>trade</w:t>
      </w:r>
      <w:r>
        <w:rPr>
          <w:rFonts w:cs="Arial"/>
          <w:szCs w:val="20"/>
        </w:rPr>
        <w:t>s</w:t>
      </w:r>
      <w:r w:rsidRPr="0033117D">
        <w:rPr>
          <w:rFonts w:cs="Arial"/>
          <w:szCs w:val="20"/>
        </w:rPr>
        <w:t xml:space="preserve"> will be </w:t>
      </w:r>
      <w:r>
        <w:rPr>
          <w:rFonts w:cs="Arial"/>
          <w:szCs w:val="20"/>
        </w:rPr>
        <w:t>the relevant time the counterparties book the trade in their system, which might differ significantly. We would therefore recommend to remove the ‘execution timestamp’ field from the reporting template. As an alternative, this should not be a matching field and ESMA needs to be aware that the reported times might differ initially by</w:t>
      </w:r>
      <w:r w:rsidRPr="0033117D">
        <w:rPr>
          <w:rFonts w:cs="Arial"/>
          <w:szCs w:val="20"/>
        </w:rPr>
        <w:t xml:space="preserve"> sever</w:t>
      </w:r>
      <w:r>
        <w:rPr>
          <w:rFonts w:cs="Arial"/>
          <w:szCs w:val="20"/>
        </w:rPr>
        <w:t>al hours, not minutes</w:t>
      </w:r>
      <w:r w:rsidRPr="0033117D">
        <w:rPr>
          <w:rFonts w:cs="Arial"/>
          <w:szCs w:val="20"/>
        </w:rPr>
        <w:t xml:space="preserve">. </w:t>
      </w:r>
      <w:r>
        <w:rPr>
          <w:rFonts w:cs="Arial"/>
          <w:szCs w:val="20"/>
        </w:rPr>
        <w:t xml:space="preserve">In the longer term, we understand that a standardised concept could be developed if needed, but this would require </w:t>
      </w:r>
      <w:r w:rsidRPr="0033117D">
        <w:rPr>
          <w:rFonts w:cs="Arial"/>
          <w:szCs w:val="20"/>
        </w:rPr>
        <w:t>a multi-year phasing in process</w:t>
      </w:r>
      <w:r>
        <w:rPr>
          <w:rFonts w:cs="Arial"/>
          <w:szCs w:val="20"/>
        </w:rPr>
        <w:t>, during which the industry</w:t>
      </w:r>
      <w:r w:rsidRPr="0033117D">
        <w:rPr>
          <w:rFonts w:cs="Arial"/>
          <w:szCs w:val="20"/>
        </w:rPr>
        <w:t xml:space="preserve"> can </w:t>
      </w:r>
      <w:r>
        <w:rPr>
          <w:rFonts w:cs="Arial"/>
          <w:szCs w:val="20"/>
        </w:rPr>
        <w:t xml:space="preserve">be </w:t>
      </w:r>
      <w:r w:rsidRPr="0033117D">
        <w:rPr>
          <w:rFonts w:cs="Arial"/>
          <w:szCs w:val="20"/>
        </w:rPr>
        <w:t>encourage</w:t>
      </w:r>
      <w:r>
        <w:rPr>
          <w:rFonts w:cs="Arial"/>
          <w:szCs w:val="20"/>
        </w:rPr>
        <w:t>d</w:t>
      </w:r>
      <w:r w:rsidRPr="0033117D">
        <w:rPr>
          <w:rFonts w:cs="Arial"/>
          <w:szCs w:val="20"/>
        </w:rPr>
        <w:t xml:space="preserve"> to capture the actual point of execution</w:t>
      </w:r>
      <w:r>
        <w:rPr>
          <w:rFonts w:cs="Arial"/>
          <w:szCs w:val="20"/>
        </w:rPr>
        <w:t>, provided a standardised definition is available</w:t>
      </w:r>
      <w:r w:rsidRPr="0033117D">
        <w:rPr>
          <w:rFonts w:cs="Arial"/>
          <w:szCs w:val="20"/>
        </w:rPr>
        <w:t>.</w:t>
      </w:r>
    </w:p>
    <w:p w:rsidR="008F53F6" w:rsidRDefault="008F53F6" w:rsidP="0043413A"/>
    <w:permEnd w:id="7298227"/>
    <w:p w:rsidR="0043413A" w:rsidRDefault="0043413A" w:rsidP="0043413A">
      <w:r>
        <w:t>&lt;ESMA_QUESTION_SFTR_10&gt;</w:t>
      </w:r>
    </w:p>
    <w:p w:rsidR="0043413A" w:rsidRDefault="0043413A" w:rsidP="0043413A"/>
    <w:p w:rsidR="0043413A" w:rsidRPr="00943DDF" w:rsidRDefault="0043413A" w:rsidP="0043413A">
      <w:pPr>
        <w:pStyle w:val="Questionstyle"/>
        <w:numPr>
          <w:ilvl w:val="0"/>
          <w:numId w:val="40"/>
        </w:numPr>
      </w:pPr>
      <w:r w:rsidRPr="00943DDF">
        <w:t>Do you agree with the proposed report types and action types? Do you agree with the proposed combinations between action types and report types? What other aspects need to be considered? Please elaborate.</w:t>
      </w:r>
    </w:p>
    <w:p w:rsidR="0043413A" w:rsidRDefault="0043413A" w:rsidP="0043413A">
      <w:r>
        <w:t>&lt;ESMA_QUESTION_SFTR_11&gt;</w:t>
      </w:r>
    </w:p>
    <w:p w:rsidR="0043413A" w:rsidRDefault="0043413A" w:rsidP="0043413A">
      <w:permStart w:id="897859258" w:edGrp="everyone"/>
    </w:p>
    <w:p w:rsidR="008F53F6" w:rsidRPr="00A72410" w:rsidRDefault="008F53F6" w:rsidP="008F53F6">
      <w:pPr>
        <w:rPr>
          <w:rFonts w:cs="Arial"/>
          <w:b/>
          <w:szCs w:val="20"/>
        </w:rPr>
      </w:pPr>
      <w:r w:rsidRPr="00A72410">
        <w:rPr>
          <w:rFonts w:cs="Arial"/>
          <w:b/>
          <w:szCs w:val="20"/>
        </w:rPr>
        <w:t>1. Action types:</w:t>
      </w:r>
    </w:p>
    <w:p w:rsidR="008F53F6" w:rsidRPr="0037001A" w:rsidRDefault="008F53F6" w:rsidP="008F53F6">
      <w:pPr>
        <w:rPr>
          <w:rFonts w:cs="Arial"/>
          <w:b/>
          <w:i/>
          <w:szCs w:val="20"/>
        </w:rPr>
      </w:pPr>
      <w:r>
        <w:rPr>
          <w:rFonts w:cs="Arial"/>
          <w:szCs w:val="20"/>
        </w:rPr>
        <w:t>The ICMA ERCC</w:t>
      </w:r>
      <w:r w:rsidRPr="0037001A">
        <w:rPr>
          <w:rFonts w:cs="Arial"/>
          <w:szCs w:val="20"/>
        </w:rPr>
        <w:t xml:space="preserve"> support</w:t>
      </w:r>
      <w:r>
        <w:rPr>
          <w:rFonts w:cs="Arial"/>
          <w:szCs w:val="20"/>
        </w:rPr>
        <w:t>s</w:t>
      </w:r>
      <w:r w:rsidRPr="0037001A">
        <w:rPr>
          <w:rFonts w:cs="Arial"/>
          <w:szCs w:val="20"/>
        </w:rPr>
        <w:t xml:space="preserve"> ESMA’s proposal to maintain an EMIR-aligned approach based on action types. </w:t>
      </w:r>
      <w:r>
        <w:rPr>
          <w:rFonts w:cs="Arial"/>
          <w:szCs w:val="20"/>
        </w:rPr>
        <w:t xml:space="preserve">We </w:t>
      </w:r>
      <w:r w:rsidRPr="0037001A">
        <w:rPr>
          <w:rFonts w:cs="Arial"/>
          <w:szCs w:val="20"/>
        </w:rPr>
        <w:t>furthermore welcome ESMA’s proposal to limit the number of action types. As outlined in our response to ESMA’s list of preparatory questions ahead of this consultation, fewer action types would significantly simplify reporting and reduce the risk of matching errors due to reporting entities using different action types. In line with this thinking, we would question the need to distinguish the “modification of business terms” and “other modification”. In our view</w:t>
      </w:r>
      <w:r>
        <w:rPr>
          <w:rFonts w:cs="Arial"/>
          <w:szCs w:val="20"/>
        </w:rPr>
        <w:t>,</w:t>
      </w:r>
      <w:r w:rsidRPr="0037001A">
        <w:rPr>
          <w:rFonts w:cs="Arial"/>
          <w:szCs w:val="20"/>
        </w:rPr>
        <w:t xml:space="preserve"> a single action type for modifications would be sufficient and preferable. We also </w:t>
      </w:r>
      <w:r>
        <w:rPr>
          <w:rFonts w:cs="Arial"/>
          <w:szCs w:val="20"/>
        </w:rPr>
        <w:t xml:space="preserve">note </w:t>
      </w:r>
      <w:r w:rsidRPr="0037001A">
        <w:rPr>
          <w:rFonts w:cs="Arial"/>
          <w:szCs w:val="20"/>
        </w:rPr>
        <w:t xml:space="preserve">that this approach would be in line with the EMIR reporting logic. </w:t>
      </w:r>
      <w:r>
        <w:rPr>
          <w:rFonts w:cs="Arial"/>
          <w:szCs w:val="20"/>
        </w:rPr>
        <w:t>Furthermore, w</w:t>
      </w:r>
      <w:r w:rsidRPr="0037001A">
        <w:rPr>
          <w:rFonts w:cs="Arial"/>
          <w:szCs w:val="20"/>
        </w:rPr>
        <w:t>e would remark that a single action type would allow firms to submit a single daily update report</w:t>
      </w:r>
      <w:r>
        <w:rPr>
          <w:rFonts w:cs="Arial"/>
          <w:szCs w:val="20"/>
        </w:rPr>
        <w:t xml:space="preserve"> per SFT, which would significantly reduce the reporting burden for firms</w:t>
      </w:r>
      <w:r w:rsidRPr="0037001A">
        <w:rPr>
          <w:rFonts w:cs="Arial"/>
          <w:szCs w:val="20"/>
        </w:rPr>
        <w:t>. In the case of several action types</w:t>
      </w:r>
      <w:r>
        <w:rPr>
          <w:rFonts w:cs="Arial"/>
          <w:szCs w:val="20"/>
        </w:rPr>
        <w:t>,</w:t>
      </w:r>
      <w:r w:rsidRPr="0037001A">
        <w:rPr>
          <w:rFonts w:cs="Arial"/>
          <w:szCs w:val="20"/>
        </w:rPr>
        <w:t xml:space="preserve"> it might not</w:t>
      </w:r>
      <w:r>
        <w:rPr>
          <w:rFonts w:cs="Arial"/>
          <w:szCs w:val="20"/>
        </w:rPr>
        <w:t xml:space="preserve"> always</w:t>
      </w:r>
      <w:r w:rsidRPr="0037001A">
        <w:rPr>
          <w:rFonts w:cs="Arial"/>
          <w:szCs w:val="20"/>
        </w:rPr>
        <w:t xml:space="preserve"> be clear which action type to use if the changes fall under different action types. </w:t>
      </w:r>
    </w:p>
    <w:p w:rsidR="008F53F6" w:rsidRDefault="008F53F6" w:rsidP="008F53F6">
      <w:pPr>
        <w:rPr>
          <w:rFonts w:cs="Arial"/>
        </w:rPr>
      </w:pPr>
    </w:p>
    <w:p w:rsidR="008F53F6" w:rsidRPr="0037001A" w:rsidRDefault="008F53F6" w:rsidP="008F53F6">
      <w:pPr>
        <w:rPr>
          <w:rFonts w:cs="Arial"/>
          <w:b/>
          <w:i/>
          <w:szCs w:val="20"/>
        </w:rPr>
      </w:pPr>
      <w:r w:rsidRPr="0037001A">
        <w:rPr>
          <w:rFonts w:cs="Arial"/>
        </w:rPr>
        <w:t>If ESMA insists on two distinct action types</w:t>
      </w:r>
      <w:r>
        <w:rPr>
          <w:rFonts w:cs="Arial"/>
        </w:rPr>
        <w:t xml:space="preserve"> for </w:t>
      </w:r>
      <w:proofErr w:type="gramStart"/>
      <w:r>
        <w:rPr>
          <w:rFonts w:cs="Arial"/>
        </w:rPr>
        <w:t>modifications</w:t>
      </w:r>
      <w:proofErr w:type="gramEnd"/>
      <w:r w:rsidRPr="0037001A">
        <w:rPr>
          <w:rFonts w:cs="Arial"/>
        </w:rPr>
        <w:t xml:space="preserve"> we would recommend that the action type ‘modification of business terms’ might be better labelled ‘material modification of initial economic terms’</w:t>
      </w:r>
      <w:r>
        <w:rPr>
          <w:rFonts w:cs="Arial"/>
        </w:rPr>
        <w:t xml:space="preserve"> to avoid ambiguity</w:t>
      </w:r>
      <w:r w:rsidRPr="0037001A">
        <w:rPr>
          <w:rFonts w:cs="Arial"/>
        </w:rPr>
        <w:t>.</w:t>
      </w:r>
    </w:p>
    <w:p w:rsidR="008F53F6" w:rsidRDefault="008F53F6" w:rsidP="008F53F6">
      <w:pPr>
        <w:rPr>
          <w:rFonts w:cs="Arial"/>
          <w:szCs w:val="20"/>
        </w:rPr>
      </w:pPr>
    </w:p>
    <w:p w:rsidR="008F53F6" w:rsidRDefault="008F53F6" w:rsidP="008F53F6">
      <w:pPr>
        <w:rPr>
          <w:rFonts w:cs="Arial"/>
          <w:szCs w:val="20"/>
        </w:rPr>
      </w:pPr>
      <w:r>
        <w:rPr>
          <w:rFonts w:cs="Arial"/>
          <w:szCs w:val="20"/>
        </w:rPr>
        <w:t>Regarding other action types, w</w:t>
      </w:r>
      <w:r w:rsidRPr="0037001A">
        <w:rPr>
          <w:rFonts w:cs="Arial"/>
          <w:szCs w:val="20"/>
        </w:rPr>
        <w:t xml:space="preserve">e understand that the ‘cancellation’ action type would be used to delete erroneously created UTIs and would thus correspond to the ‘error’ action type in EMIR. We would like to </w:t>
      </w:r>
      <w:r w:rsidRPr="0037001A">
        <w:rPr>
          <w:rFonts w:cs="Arial"/>
          <w:szCs w:val="20"/>
        </w:rPr>
        <w:lastRenderedPageBreak/>
        <w:t>point out that table 2 on page 43 of the CP refers to this action type as ‘error’ instead of ‘cancellation’. The terminology needs to be aligned.</w:t>
      </w:r>
    </w:p>
    <w:p w:rsidR="008F53F6" w:rsidRDefault="008F53F6" w:rsidP="008F53F6">
      <w:pPr>
        <w:rPr>
          <w:rFonts w:cs="Arial"/>
          <w:szCs w:val="20"/>
        </w:rPr>
      </w:pPr>
    </w:p>
    <w:p w:rsidR="008F53F6" w:rsidRDefault="008F53F6" w:rsidP="008F53F6">
      <w:pPr>
        <w:rPr>
          <w:rFonts w:cs="Arial"/>
          <w:szCs w:val="20"/>
        </w:rPr>
      </w:pPr>
      <w:r>
        <w:rPr>
          <w:rFonts w:cs="Arial"/>
          <w:szCs w:val="20"/>
        </w:rPr>
        <w:t>In this context, we would also reiterate</w:t>
      </w:r>
      <w:r w:rsidRPr="0037001A">
        <w:rPr>
          <w:rFonts w:cs="Arial"/>
          <w:szCs w:val="20"/>
        </w:rPr>
        <w:t xml:space="preserve"> the</w:t>
      </w:r>
      <w:r>
        <w:rPr>
          <w:rFonts w:cs="Arial"/>
          <w:szCs w:val="20"/>
        </w:rPr>
        <w:t xml:space="preserve"> need to ensure </w:t>
      </w:r>
      <w:r w:rsidRPr="0037001A">
        <w:rPr>
          <w:rFonts w:cs="Arial"/>
          <w:szCs w:val="20"/>
        </w:rPr>
        <w:t xml:space="preserve">consistency with global </w:t>
      </w:r>
      <w:r>
        <w:rPr>
          <w:rFonts w:cs="Arial"/>
          <w:szCs w:val="20"/>
        </w:rPr>
        <w:t>initiatives</w:t>
      </w:r>
      <w:r w:rsidRPr="0037001A">
        <w:rPr>
          <w:rFonts w:cs="Arial"/>
          <w:szCs w:val="20"/>
        </w:rPr>
        <w:t xml:space="preserve">, </w:t>
      </w:r>
      <w:proofErr w:type="gramStart"/>
      <w:r w:rsidRPr="0037001A">
        <w:rPr>
          <w:rFonts w:cs="Arial"/>
          <w:szCs w:val="20"/>
        </w:rPr>
        <w:t>in particular</w:t>
      </w:r>
      <w:r>
        <w:rPr>
          <w:rFonts w:cs="Arial"/>
          <w:szCs w:val="20"/>
        </w:rPr>
        <w:t xml:space="preserve"> </w:t>
      </w:r>
      <w:r w:rsidRPr="0037001A">
        <w:rPr>
          <w:rFonts w:cs="Arial"/>
          <w:szCs w:val="20"/>
        </w:rPr>
        <w:t>CPMI-IOSCO</w:t>
      </w:r>
      <w:r>
        <w:rPr>
          <w:rFonts w:cs="Arial"/>
          <w:szCs w:val="20"/>
        </w:rPr>
        <w:t>’s</w:t>
      </w:r>
      <w:proofErr w:type="gramEnd"/>
      <w:r w:rsidRPr="0037001A">
        <w:rPr>
          <w:rFonts w:cs="Arial"/>
          <w:szCs w:val="20"/>
        </w:rPr>
        <w:t xml:space="preserve"> </w:t>
      </w:r>
      <w:r>
        <w:rPr>
          <w:rFonts w:cs="Arial"/>
          <w:szCs w:val="20"/>
        </w:rPr>
        <w:t xml:space="preserve">ongoing </w:t>
      </w:r>
      <w:r w:rsidRPr="0037001A">
        <w:rPr>
          <w:rFonts w:cs="Arial"/>
          <w:szCs w:val="20"/>
        </w:rPr>
        <w:t>work on other OTC derivatives data elements. It would be extremely important to align data elements and reporting logic between the different initiatives.</w:t>
      </w:r>
      <w:r>
        <w:rPr>
          <w:rFonts w:cs="Arial"/>
          <w:szCs w:val="20"/>
        </w:rPr>
        <w:t xml:space="preserve"> </w:t>
      </w:r>
      <w:r w:rsidRPr="00CA7501">
        <w:rPr>
          <w:rFonts w:cs="Arial"/>
          <w:szCs w:val="20"/>
        </w:rPr>
        <w:t xml:space="preserve">In any case, ESMA </w:t>
      </w:r>
      <w:r>
        <w:rPr>
          <w:rFonts w:cs="Arial"/>
          <w:szCs w:val="20"/>
        </w:rPr>
        <w:t>should</w:t>
      </w:r>
      <w:r w:rsidRPr="00CA7501">
        <w:rPr>
          <w:rFonts w:cs="Arial"/>
          <w:szCs w:val="20"/>
        </w:rPr>
        <w:t xml:space="preserve"> be aware that </w:t>
      </w:r>
      <w:r>
        <w:rPr>
          <w:rFonts w:cs="Arial"/>
          <w:szCs w:val="20"/>
        </w:rPr>
        <w:t>the necessary</w:t>
      </w:r>
      <w:r w:rsidRPr="00CA7501">
        <w:rPr>
          <w:rFonts w:cs="Arial"/>
          <w:szCs w:val="20"/>
        </w:rPr>
        <w:t xml:space="preserve"> business practices do not</w:t>
      </w:r>
      <w:r>
        <w:rPr>
          <w:rFonts w:cs="Arial"/>
          <w:szCs w:val="20"/>
        </w:rPr>
        <w:t xml:space="preserve"> currently</w:t>
      </w:r>
      <w:r w:rsidRPr="00CA7501">
        <w:rPr>
          <w:rFonts w:cs="Arial"/>
          <w:szCs w:val="20"/>
        </w:rPr>
        <w:t xml:space="preserve"> exist and</w:t>
      </w:r>
      <w:r>
        <w:rPr>
          <w:rFonts w:cs="Arial"/>
          <w:szCs w:val="20"/>
        </w:rPr>
        <w:t xml:space="preserve"> will thus have</w:t>
      </w:r>
      <w:r w:rsidRPr="00CA7501">
        <w:rPr>
          <w:rFonts w:cs="Arial"/>
          <w:szCs w:val="20"/>
        </w:rPr>
        <w:t xml:space="preserve"> to be agreed</w:t>
      </w:r>
      <w:r>
        <w:rPr>
          <w:rFonts w:cs="Arial"/>
          <w:szCs w:val="20"/>
        </w:rPr>
        <w:t xml:space="preserve"> and implemented first</w:t>
      </w:r>
      <w:r w:rsidRPr="00CA7501">
        <w:rPr>
          <w:rFonts w:cs="Arial"/>
          <w:szCs w:val="20"/>
        </w:rPr>
        <w:t>. The related challenges</w:t>
      </w:r>
      <w:r>
        <w:rPr>
          <w:rFonts w:cs="Arial"/>
          <w:szCs w:val="20"/>
        </w:rPr>
        <w:t xml:space="preserve"> and timeline</w:t>
      </w:r>
      <w:r w:rsidRPr="00CA7501">
        <w:rPr>
          <w:rFonts w:cs="Arial"/>
          <w:szCs w:val="20"/>
        </w:rPr>
        <w:t xml:space="preserve"> should not be underestimated.</w:t>
      </w:r>
    </w:p>
    <w:p w:rsidR="008F53F6" w:rsidRDefault="008F53F6" w:rsidP="008F53F6">
      <w:pPr>
        <w:rPr>
          <w:rFonts w:cs="Arial"/>
          <w:b/>
          <w:i/>
          <w:szCs w:val="20"/>
        </w:rPr>
      </w:pPr>
    </w:p>
    <w:p w:rsidR="008F53F6" w:rsidRDefault="008F53F6" w:rsidP="008F53F6">
      <w:pPr>
        <w:rPr>
          <w:rFonts w:cs="Arial"/>
          <w:b/>
          <w:szCs w:val="20"/>
        </w:rPr>
      </w:pPr>
      <w:r w:rsidRPr="0093408E">
        <w:rPr>
          <w:rFonts w:cs="Arial"/>
          <w:b/>
          <w:szCs w:val="20"/>
        </w:rPr>
        <w:t>2. Report types:</w:t>
      </w:r>
    </w:p>
    <w:p w:rsidR="008F53F6" w:rsidRPr="0037001A" w:rsidRDefault="008F53F6" w:rsidP="008F53F6">
      <w:pPr>
        <w:rPr>
          <w:rFonts w:cs="Arial"/>
          <w:szCs w:val="20"/>
        </w:rPr>
      </w:pPr>
      <w:r w:rsidRPr="0037001A">
        <w:rPr>
          <w:rFonts w:cs="Arial"/>
          <w:szCs w:val="20"/>
        </w:rPr>
        <w:t>As pointed out in our response to ESMA’s DP, the ICMA ERCC does not believe that separate reporting schemas are needed for repo and buy/sell-back trades. We note and welcome the adjustments made by ESMA to align terminology and reporting fields used in relation to repos and buy/sell-back trades. However, as explained previously, we insist that repo and buy/sell-backs are</w:t>
      </w:r>
      <w:r>
        <w:rPr>
          <w:rFonts w:cs="Arial"/>
          <w:szCs w:val="20"/>
        </w:rPr>
        <w:t xml:space="preserve"> economically</w:t>
      </w:r>
      <w:r w:rsidRPr="0037001A">
        <w:rPr>
          <w:rFonts w:cs="Arial"/>
          <w:szCs w:val="20"/>
        </w:rPr>
        <w:t xml:space="preserve"> equivalent instruments and that a</w:t>
      </w:r>
      <w:r>
        <w:rPr>
          <w:rFonts w:cs="Arial"/>
          <w:szCs w:val="20"/>
        </w:rPr>
        <w:t>ny</w:t>
      </w:r>
      <w:r w:rsidRPr="0037001A">
        <w:rPr>
          <w:rFonts w:cs="Arial"/>
          <w:szCs w:val="20"/>
        </w:rPr>
        <w:t xml:space="preserve"> distinction</w:t>
      </w:r>
      <w:r w:rsidRPr="0037001A">
        <w:rPr>
          <w:rFonts w:cs="Arial"/>
          <w:bCs/>
          <w:szCs w:val="20"/>
        </w:rPr>
        <w:t xml:space="preserve"> would increase the complexity of reporting and institute an artificial s</w:t>
      </w:r>
      <w:r>
        <w:rPr>
          <w:rFonts w:cs="Arial"/>
          <w:bCs/>
          <w:szCs w:val="20"/>
        </w:rPr>
        <w:t>egmentation of the repo market. We would like to refer ESMA to the attached Excel table which contains concrete proposals on how to further align fields and reporting logic for repo and buy/sell-backs</w:t>
      </w:r>
      <w:r w:rsidRPr="0037001A">
        <w:rPr>
          <w:rFonts w:cs="Arial"/>
          <w:bCs/>
          <w:szCs w:val="20"/>
        </w:rPr>
        <w:t>.</w:t>
      </w:r>
    </w:p>
    <w:p w:rsidR="008F53F6" w:rsidRDefault="008F53F6" w:rsidP="008F53F6">
      <w:pPr>
        <w:rPr>
          <w:rFonts w:cs="Arial"/>
          <w:szCs w:val="20"/>
        </w:rPr>
      </w:pPr>
    </w:p>
    <w:p w:rsidR="008F53F6" w:rsidRDefault="008F53F6" w:rsidP="008F53F6">
      <w:pPr>
        <w:rPr>
          <w:rFonts w:cs="Arial"/>
          <w:szCs w:val="20"/>
        </w:rPr>
      </w:pPr>
      <w:r w:rsidRPr="0037001A">
        <w:rPr>
          <w:rFonts w:cs="Arial"/>
          <w:szCs w:val="20"/>
        </w:rPr>
        <w:t xml:space="preserve">From the table of data fields </w:t>
      </w:r>
      <w:proofErr w:type="gramStart"/>
      <w:r w:rsidRPr="0037001A">
        <w:rPr>
          <w:rFonts w:cs="Arial"/>
          <w:szCs w:val="20"/>
        </w:rPr>
        <w:t>it would appear that the</w:t>
      </w:r>
      <w:proofErr w:type="gramEnd"/>
      <w:r w:rsidRPr="0037001A">
        <w:rPr>
          <w:rFonts w:cs="Arial"/>
          <w:szCs w:val="20"/>
        </w:rPr>
        <w:t xml:space="preserve"> main reason why ESMA proposes that repurchase agreements and buy/sell-backs need to be distinguished is the assumption that buy/sell-backs are quoted exclusively in terms of the forward price and only repurchase agreements are quoted in terms of the repo rate. However, we would like to point out that buy/sell-backs can be quoted either way, so the repo rate should not be an exclusive property.</w:t>
      </w:r>
    </w:p>
    <w:p w:rsidR="008F53F6" w:rsidRPr="00686D66" w:rsidRDefault="008F53F6" w:rsidP="008F53F6">
      <w:pPr>
        <w:rPr>
          <w:rFonts w:cs="Arial"/>
          <w:szCs w:val="20"/>
        </w:rPr>
      </w:pPr>
      <w:r>
        <w:rPr>
          <w:rFonts w:cs="Arial"/>
          <w:szCs w:val="20"/>
        </w:rPr>
        <w:t>Moreover, i</w:t>
      </w:r>
      <w:r w:rsidRPr="00130F28">
        <w:rPr>
          <w:rFonts w:cs="Arial"/>
          <w:szCs w:val="20"/>
        </w:rPr>
        <w:t>t can be seen f</w:t>
      </w:r>
      <w:r>
        <w:rPr>
          <w:rFonts w:cs="Arial"/>
          <w:szCs w:val="20"/>
        </w:rPr>
        <w:t xml:space="preserve">rom the detailed analysis </w:t>
      </w:r>
      <w:r w:rsidRPr="00130F28">
        <w:rPr>
          <w:rFonts w:cs="Arial"/>
          <w:szCs w:val="20"/>
        </w:rPr>
        <w:t>that, where the schedules for buy/sell-backs and repurchase agreements differ,</w:t>
      </w:r>
      <w:r>
        <w:rPr>
          <w:rFonts w:cs="Arial"/>
          <w:szCs w:val="20"/>
        </w:rPr>
        <w:t xml:space="preserve"> it is largely because the table includes duplicate</w:t>
      </w:r>
      <w:r w:rsidRPr="00130F28">
        <w:rPr>
          <w:rFonts w:cs="Arial"/>
          <w:szCs w:val="20"/>
        </w:rPr>
        <w:t xml:space="preserve"> fields, </w:t>
      </w:r>
      <w:r>
        <w:rPr>
          <w:rFonts w:cs="Arial"/>
          <w:szCs w:val="20"/>
        </w:rPr>
        <w:t>which have simply been reallocated to a different sub-section. These fields have different names, although the content is identical</w:t>
      </w:r>
      <w:r w:rsidRPr="00130F28">
        <w:rPr>
          <w:rFonts w:cs="Arial"/>
          <w:szCs w:val="20"/>
        </w:rPr>
        <w:t>. In oth</w:t>
      </w:r>
      <w:r>
        <w:rPr>
          <w:rFonts w:cs="Arial"/>
          <w:szCs w:val="20"/>
        </w:rPr>
        <w:t>er words, this creates an artificial</w:t>
      </w:r>
      <w:r w:rsidRPr="00130F28">
        <w:rPr>
          <w:rFonts w:cs="Arial"/>
          <w:szCs w:val="20"/>
        </w:rPr>
        <w:t xml:space="preserve"> distinction between the two types of repo. </w:t>
      </w:r>
      <w:r>
        <w:rPr>
          <w:rFonts w:cs="Arial"/>
          <w:szCs w:val="20"/>
        </w:rPr>
        <w:t>All fields should be fully aligned in</w:t>
      </w:r>
      <w:r w:rsidRPr="00130F28">
        <w:rPr>
          <w:rFonts w:cs="Arial"/>
          <w:szCs w:val="20"/>
        </w:rPr>
        <w:t xml:space="preserve"> a combined transaction schedule</w:t>
      </w:r>
      <w:r>
        <w:rPr>
          <w:rFonts w:cs="Arial"/>
          <w:szCs w:val="20"/>
        </w:rPr>
        <w:t>. A single additional reporting field would be sufficient to distinguish buy/sell-back and</w:t>
      </w:r>
      <w:r w:rsidRPr="00130F28">
        <w:rPr>
          <w:rFonts w:cs="Arial"/>
          <w:szCs w:val="20"/>
        </w:rPr>
        <w:t xml:space="preserve"> repurchase transaction</w:t>
      </w:r>
      <w:r>
        <w:rPr>
          <w:rFonts w:cs="Arial"/>
          <w:szCs w:val="20"/>
        </w:rPr>
        <w:t>s. In addition, a</w:t>
      </w:r>
      <w:r w:rsidRPr="00130F28">
        <w:rPr>
          <w:rFonts w:cs="Arial"/>
          <w:szCs w:val="20"/>
        </w:rPr>
        <w:t xml:space="preserve"> ‘forward price’ field </w:t>
      </w:r>
      <w:r>
        <w:rPr>
          <w:rFonts w:cs="Arial"/>
          <w:szCs w:val="20"/>
        </w:rPr>
        <w:t xml:space="preserve">could be maintained </w:t>
      </w:r>
      <w:proofErr w:type="gramStart"/>
      <w:r w:rsidRPr="00130F28">
        <w:rPr>
          <w:rFonts w:cs="Arial"/>
          <w:szCs w:val="20"/>
        </w:rPr>
        <w:t>in order to</w:t>
      </w:r>
      <w:proofErr w:type="gramEnd"/>
      <w:r w:rsidRPr="00130F28">
        <w:rPr>
          <w:rFonts w:cs="Arial"/>
          <w:szCs w:val="20"/>
        </w:rPr>
        <w:t xml:space="preserve"> allow reporters the choice of reporting </w:t>
      </w:r>
      <w:r>
        <w:rPr>
          <w:rFonts w:cs="Arial"/>
          <w:szCs w:val="20"/>
        </w:rPr>
        <w:t xml:space="preserve">either </w:t>
      </w:r>
      <w:r w:rsidRPr="00130F28">
        <w:rPr>
          <w:rFonts w:cs="Arial"/>
          <w:szCs w:val="20"/>
        </w:rPr>
        <w:t>that or</w:t>
      </w:r>
      <w:r>
        <w:rPr>
          <w:rFonts w:cs="Arial"/>
          <w:szCs w:val="20"/>
        </w:rPr>
        <w:t xml:space="preserve"> the</w:t>
      </w:r>
      <w:r w:rsidRPr="00130F28">
        <w:rPr>
          <w:rFonts w:cs="Arial"/>
          <w:szCs w:val="20"/>
        </w:rPr>
        <w:t xml:space="preserve"> repo rate.</w:t>
      </w:r>
    </w:p>
    <w:p w:rsidR="008F53F6" w:rsidRPr="00391442" w:rsidRDefault="008F53F6" w:rsidP="008F53F6">
      <w:pPr>
        <w:rPr>
          <w:rFonts w:cs="Arial"/>
          <w:szCs w:val="20"/>
        </w:rPr>
      </w:pPr>
    </w:p>
    <w:p w:rsidR="008F53F6" w:rsidRPr="0037001A" w:rsidRDefault="008F53F6" w:rsidP="008F53F6">
      <w:pPr>
        <w:rPr>
          <w:rFonts w:cs="Arial"/>
          <w:b/>
          <w:i/>
          <w:szCs w:val="20"/>
        </w:rPr>
      </w:pPr>
      <w:r w:rsidRPr="0037001A">
        <w:rPr>
          <w:rFonts w:cs="Arial"/>
          <w:szCs w:val="20"/>
        </w:rPr>
        <w:t>In this context</w:t>
      </w:r>
      <w:r>
        <w:rPr>
          <w:rFonts w:cs="Arial"/>
          <w:szCs w:val="20"/>
        </w:rPr>
        <w:t>,</w:t>
      </w:r>
      <w:r w:rsidRPr="0037001A">
        <w:rPr>
          <w:rFonts w:cs="Arial"/>
          <w:szCs w:val="20"/>
        </w:rPr>
        <w:t xml:space="preserve"> we would like to highlight some important concerns with the definitions of buy/sell</w:t>
      </w:r>
      <w:r>
        <w:rPr>
          <w:rFonts w:cs="Arial"/>
          <w:szCs w:val="20"/>
        </w:rPr>
        <w:t>-</w:t>
      </w:r>
      <w:r w:rsidRPr="0037001A">
        <w:rPr>
          <w:rFonts w:cs="Arial"/>
          <w:szCs w:val="20"/>
        </w:rPr>
        <w:t>backs and repurchase transactions as included in article 3 of the level 1 text</w:t>
      </w:r>
      <w:r>
        <w:rPr>
          <w:rFonts w:cs="Arial"/>
          <w:szCs w:val="20"/>
        </w:rPr>
        <w:t>:</w:t>
      </w:r>
    </w:p>
    <w:p w:rsidR="008F53F6" w:rsidRDefault="008F53F6" w:rsidP="008F53F6">
      <w:pPr>
        <w:rPr>
          <w:rFonts w:cs="Arial"/>
          <w:b/>
          <w:i/>
          <w:szCs w:val="20"/>
        </w:rPr>
      </w:pPr>
    </w:p>
    <w:p w:rsidR="008F53F6" w:rsidRPr="00D142C0" w:rsidRDefault="008F53F6" w:rsidP="008F53F6">
      <w:pPr>
        <w:pStyle w:val="ListParagraph"/>
        <w:numPr>
          <w:ilvl w:val="0"/>
          <w:numId w:val="41"/>
        </w:numPr>
        <w:rPr>
          <w:rFonts w:cs="Arial"/>
          <w:szCs w:val="20"/>
        </w:rPr>
      </w:pPr>
      <w:r w:rsidRPr="0037001A">
        <w:rPr>
          <w:rFonts w:cs="Arial"/>
          <w:szCs w:val="20"/>
        </w:rPr>
        <w:t xml:space="preserve">The primary issue with the </w:t>
      </w:r>
      <w:r w:rsidRPr="00193A39">
        <w:rPr>
          <w:rFonts w:cs="Arial"/>
          <w:szCs w:val="20"/>
        </w:rPr>
        <w:t>l</w:t>
      </w:r>
      <w:r w:rsidRPr="0037001A">
        <w:rPr>
          <w:rFonts w:cs="Arial"/>
          <w:szCs w:val="20"/>
        </w:rPr>
        <w:t>evel 1 definition is that a buy/sell-back is defined as undocumented: “such buy-sell back or sell-buy back transactions not being governed by a repurchase agreement or by a reverse repurchase agreement within the meaning of point (9);”</w:t>
      </w:r>
      <w:r w:rsidRPr="00193A39">
        <w:rPr>
          <w:rFonts w:cs="Arial"/>
          <w:szCs w:val="20"/>
        </w:rPr>
        <w:t xml:space="preserve"> </w:t>
      </w:r>
      <w:r>
        <w:rPr>
          <w:rFonts w:cs="Arial"/>
          <w:szCs w:val="20"/>
        </w:rPr>
        <w:t>However, it is important</w:t>
      </w:r>
      <w:r w:rsidRPr="00193A39">
        <w:rPr>
          <w:rFonts w:cs="Arial"/>
          <w:szCs w:val="20"/>
        </w:rPr>
        <w:t xml:space="preserve"> to stress that most buy/sell-back trades are documented under the GMRA. The </w:t>
      </w:r>
      <w:r w:rsidRPr="00A67EA4">
        <w:rPr>
          <w:rFonts w:cs="Arial"/>
          <w:szCs w:val="20"/>
        </w:rPr>
        <w:t>SFTR definition would</w:t>
      </w:r>
      <w:r>
        <w:rPr>
          <w:rFonts w:cs="Arial"/>
          <w:szCs w:val="20"/>
        </w:rPr>
        <w:t xml:space="preserve"> thus</w:t>
      </w:r>
      <w:r w:rsidRPr="00A67EA4">
        <w:rPr>
          <w:rFonts w:cs="Arial"/>
          <w:szCs w:val="20"/>
        </w:rPr>
        <w:t xml:space="preserve"> seem to indicate that the reporting provisions only apply to undocumented buy/sell-backs, </w:t>
      </w:r>
      <w:r>
        <w:rPr>
          <w:rFonts w:cs="Arial"/>
          <w:szCs w:val="20"/>
        </w:rPr>
        <w:t>although</w:t>
      </w:r>
      <w:r w:rsidRPr="00193A39">
        <w:rPr>
          <w:rFonts w:cs="Arial"/>
          <w:szCs w:val="20"/>
        </w:rPr>
        <w:t xml:space="preserve"> </w:t>
      </w:r>
      <w:r>
        <w:rPr>
          <w:rFonts w:cs="Arial"/>
          <w:szCs w:val="20"/>
        </w:rPr>
        <w:t>such trades in practice</w:t>
      </w:r>
      <w:r w:rsidRPr="00A67EA4">
        <w:rPr>
          <w:rFonts w:cs="Arial"/>
          <w:szCs w:val="20"/>
        </w:rPr>
        <w:t xml:space="preserve"> simply consist of two cash trades, one sp</w:t>
      </w:r>
      <w:r w:rsidRPr="00D142C0">
        <w:rPr>
          <w:rFonts w:cs="Arial"/>
          <w:szCs w:val="20"/>
        </w:rPr>
        <w:t>ot and the other forward, and are likely not seen as an SFT at all.</w:t>
      </w:r>
    </w:p>
    <w:p w:rsidR="008F53F6" w:rsidRPr="0037001A" w:rsidRDefault="008F53F6" w:rsidP="008F53F6">
      <w:pPr>
        <w:pStyle w:val="ListParagraph"/>
        <w:numPr>
          <w:ilvl w:val="0"/>
          <w:numId w:val="41"/>
        </w:numPr>
        <w:rPr>
          <w:rFonts w:cs="Arial"/>
          <w:szCs w:val="20"/>
        </w:rPr>
      </w:pPr>
      <w:r>
        <w:rPr>
          <w:rFonts w:cs="Arial"/>
          <w:szCs w:val="20"/>
        </w:rPr>
        <w:t>We also note that d</w:t>
      </w:r>
      <w:r w:rsidRPr="009A308A">
        <w:rPr>
          <w:rFonts w:cs="Arial"/>
          <w:szCs w:val="20"/>
        </w:rPr>
        <w:t>espite defining repurchase agreements as documented and buy/sell-backs as undocumented, the proposed reporting fields include three documentation questions in the buy/</w:t>
      </w:r>
      <w:r>
        <w:rPr>
          <w:rFonts w:cs="Arial"/>
          <w:szCs w:val="20"/>
        </w:rPr>
        <w:t xml:space="preserve">sell-back reporting schema. </w:t>
      </w:r>
      <w:r w:rsidRPr="0037001A">
        <w:rPr>
          <w:rFonts w:cs="Arial"/>
          <w:szCs w:val="20"/>
        </w:rPr>
        <w:t xml:space="preserve">The reporting field ‘method used to provide collateral’ is also contrary to the Level 1 definition. </w:t>
      </w:r>
    </w:p>
    <w:p w:rsidR="008F53F6" w:rsidRDefault="008F53F6" w:rsidP="008F53F6">
      <w:pPr>
        <w:pStyle w:val="ListParagraph"/>
        <w:numPr>
          <w:ilvl w:val="0"/>
          <w:numId w:val="41"/>
        </w:numPr>
        <w:rPr>
          <w:rFonts w:cs="Arial"/>
          <w:szCs w:val="20"/>
        </w:rPr>
      </w:pPr>
      <w:r>
        <w:rPr>
          <w:rFonts w:cs="Arial"/>
          <w:szCs w:val="20"/>
        </w:rPr>
        <w:t>Furthermore, t</w:t>
      </w:r>
      <w:r w:rsidRPr="009A308A">
        <w:rPr>
          <w:rFonts w:cs="Arial"/>
          <w:szCs w:val="20"/>
        </w:rPr>
        <w:t xml:space="preserve">he definition of </w:t>
      </w:r>
      <w:r>
        <w:rPr>
          <w:rFonts w:cs="Arial"/>
          <w:szCs w:val="20"/>
        </w:rPr>
        <w:t>‘</w:t>
      </w:r>
      <w:r w:rsidRPr="009A308A">
        <w:rPr>
          <w:rFonts w:cs="Arial"/>
          <w:szCs w:val="20"/>
        </w:rPr>
        <w:t>buy/sell-back</w:t>
      </w:r>
      <w:r>
        <w:rPr>
          <w:rFonts w:cs="Arial"/>
          <w:szCs w:val="20"/>
        </w:rPr>
        <w:t>’</w:t>
      </w:r>
      <w:r w:rsidRPr="009A308A">
        <w:rPr>
          <w:rFonts w:cs="Arial"/>
          <w:szCs w:val="20"/>
        </w:rPr>
        <w:t xml:space="preserve"> states that collateral is bought or sold. For a repurchase transaction, collateral is said to be transferred. It is unhelpful for it to be suggested that repurchase transactions involve a method of conveyance other than transfer of title. The definition may increase </w:t>
      </w:r>
      <w:proofErr w:type="spellStart"/>
      <w:r w:rsidRPr="009A308A">
        <w:rPr>
          <w:rFonts w:cs="Arial"/>
          <w:szCs w:val="20"/>
        </w:rPr>
        <w:t>recharacterisation</w:t>
      </w:r>
      <w:proofErr w:type="spellEnd"/>
      <w:r w:rsidRPr="009A308A">
        <w:rPr>
          <w:rFonts w:cs="Arial"/>
          <w:szCs w:val="20"/>
        </w:rPr>
        <w:t xml:space="preserve"> risk in some jurisdictions, as it could be implied that repurchase transactions are pledges.</w:t>
      </w:r>
    </w:p>
    <w:p w:rsidR="008F53F6" w:rsidRPr="00E15E27" w:rsidRDefault="008F53F6" w:rsidP="008F53F6">
      <w:pPr>
        <w:pStyle w:val="ListParagraph"/>
        <w:numPr>
          <w:ilvl w:val="0"/>
          <w:numId w:val="41"/>
        </w:numPr>
        <w:rPr>
          <w:rFonts w:cs="Arial"/>
          <w:szCs w:val="20"/>
        </w:rPr>
      </w:pPr>
      <w:r w:rsidRPr="00E15E27">
        <w:rPr>
          <w:rFonts w:cs="Arial"/>
          <w:szCs w:val="20"/>
        </w:rPr>
        <w:t>The definitions for both repurchase transaction and buy/sell-back list as collateral “securities, commodities or guaranteed rights”. It is however not clear to us what is meant by ‘guaranteed rights’. In the case of repurchase transactions, the definition of ‘guaranteed rights’ is expanded to ‘guaranteed rights relating to title to securities or commodities where that guarantee is issued by a recognised exchange which holds the rights to the securities or commodities’.</w:t>
      </w:r>
      <w:r>
        <w:rPr>
          <w:rFonts w:cs="Arial"/>
          <w:szCs w:val="20"/>
        </w:rPr>
        <w:t xml:space="preserve"> Again, we would like to seek further clarification from ESMA or the Commission what precisely is meant here.</w:t>
      </w:r>
      <w:r w:rsidRPr="00E15E27">
        <w:rPr>
          <w:rFonts w:cs="Arial"/>
          <w:szCs w:val="20"/>
        </w:rPr>
        <w:t xml:space="preserve"> </w:t>
      </w:r>
    </w:p>
    <w:p w:rsidR="008F53F6" w:rsidRDefault="008F53F6" w:rsidP="008F53F6">
      <w:pPr>
        <w:pStyle w:val="ListParagraph"/>
        <w:numPr>
          <w:ilvl w:val="0"/>
          <w:numId w:val="41"/>
        </w:numPr>
        <w:rPr>
          <w:rFonts w:cs="Arial"/>
          <w:szCs w:val="20"/>
        </w:rPr>
      </w:pPr>
      <w:r>
        <w:rPr>
          <w:rFonts w:cs="Arial"/>
          <w:szCs w:val="20"/>
        </w:rPr>
        <w:lastRenderedPageBreak/>
        <w:t>It is also not clear to us w</w:t>
      </w:r>
      <w:r w:rsidRPr="009A308A">
        <w:rPr>
          <w:rFonts w:cs="Arial"/>
          <w:szCs w:val="20"/>
        </w:rPr>
        <w:t xml:space="preserve">hy </w:t>
      </w:r>
      <w:r>
        <w:rPr>
          <w:rFonts w:cs="Arial"/>
          <w:szCs w:val="20"/>
        </w:rPr>
        <w:t>c</w:t>
      </w:r>
      <w:r w:rsidRPr="009A308A">
        <w:rPr>
          <w:rFonts w:cs="Arial"/>
          <w:szCs w:val="20"/>
        </w:rPr>
        <w:t>ollateral</w:t>
      </w:r>
      <w:r>
        <w:rPr>
          <w:rFonts w:cs="Arial"/>
          <w:szCs w:val="20"/>
        </w:rPr>
        <w:t xml:space="preserve"> is</w:t>
      </w:r>
      <w:r w:rsidRPr="009A308A">
        <w:rPr>
          <w:rFonts w:cs="Arial"/>
          <w:szCs w:val="20"/>
        </w:rPr>
        <w:t xml:space="preserve"> defined differently for buy/sell-backs and repurchase transactions</w:t>
      </w:r>
      <w:r>
        <w:rPr>
          <w:rFonts w:cs="Arial"/>
          <w:szCs w:val="20"/>
        </w:rPr>
        <w:t xml:space="preserve">. This would seem to suggest that </w:t>
      </w:r>
      <w:r w:rsidRPr="009A308A">
        <w:rPr>
          <w:rFonts w:cs="Arial"/>
          <w:szCs w:val="20"/>
        </w:rPr>
        <w:t>the use of one type of repo as opposed to the other depends on the type of collateral</w:t>
      </w:r>
      <w:r>
        <w:rPr>
          <w:rFonts w:cs="Arial"/>
          <w:szCs w:val="20"/>
        </w:rPr>
        <w:t>, which is clearly not correct.</w:t>
      </w:r>
    </w:p>
    <w:p w:rsidR="008F53F6" w:rsidRPr="008F53F6" w:rsidRDefault="008F53F6" w:rsidP="008F53F6">
      <w:pPr>
        <w:pStyle w:val="ListParagraph"/>
        <w:numPr>
          <w:ilvl w:val="0"/>
          <w:numId w:val="41"/>
        </w:numPr>
        <w:rPr>
          <w:rFonts w:cs="Arial"/>
          <w:szCs w:val="20"/>
        </w:rPr>
      </w:pPr>
      <w:r w:rsidRPr="008F53F6">
        <w:rPr>
          <w:rFonts w:cs="Arial"/>
          <w:szCs w:val="20"/>
        </w:rPr>
        <w:t xml:space="preserve">In our view, no definition of repo outside the US should include the word ‘pledge’. As pointed out above, this unnecessarily increases </w:t>
      </w:r>
      <w:proofErr w:type="spellStart"/>
      <w:r w:rsidRPr="008F53F6">
        <w:rPr>
          <w:rFonts w:cs="Arial"/>
          <w:szCs w:val="20"/>
        </w:rPr>
        <w:t>recharacterisation</w:t>
      </w:r>
      <w:proofErr w:type="spellEnd"/>
      <w:r w:rsidRPr="008F53F6">
        <w:rPr>
          <w:rFonts w:cs="Arial"/>
          <w:szCs w:val="20"/>
        </w:rPr>
        <w:t xml:space="preserve"> risk.</w:t>
      </w:r>
    </w:p>
    <w:p w:rsidR="008F53F6" w:rsidRPr="008F53F6" w:rsidRDefault="008F53F6" w:rsidP="008F53F6">
      <w:pPr>
        <w:pStyle w:val="ListParagraph"/>
        <w:numPr>
          <w:ilvl w:val="0"/>
          <w:numId w:val="41"/>
        </w:numPr>
        <w:rPr>
          <w:rFonts w:cs="Arial"/>
          <w:szCs w:val="20"/>
        </w:rPr>
      </w:pPr>
      <w:r w:rsidRPr="009A308A">
        <w:rPr>
          <w:rFonts w:cs="Arial"/>
          <w:szCs w:val="20"/>
        </w:rPr>
        <w:t>The definition of a repurchase transaction refers to the repurchase date as ‘a future date specified, or to be specified by the transferor’. While an open repo with a put option to the seller is conceivable, why include just this type? There is no provision for a standard open repo (where either buyer or seller can terminate).</w:t>
      </w:r>
    </w:p>
    <w:p w:rsidR="008F53F6" w:rsidRDefault="008F53F6" w:rsidP="0043413A"/>
    <w:permEnd w:id="897859258"/>
    <w:p w:rsidR="0043413A" w:rsidRDefault="0043413A" w:rsidP="0043413A">
      <w:r>
        <w:t>&lt;ESMA_QUESTION_SFTR_11&gt;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“Modification of business terms”? Please justify your proposals.</w:t>
      </w:r>
    </w:p>
    <w:p w:rsidR="0043413A" w:rsidRDefault="0043413A" w:rsidP="0043413A">
      <w:r>
        <w:t>&lt;ESMA_QUESTION_SFTR_12&gt;</w:t>
      </w:r>
    </w:p>
    <w:p w:rsidR="0043413A" w:rsidRDefault="0043413A" w:rsidP="0043413A">
      <w:permStart w:id="418396330" w:edGrp="everyone"/>
    </w:p>
    <w:p w:rsidR="008F53F6" w:rsidRDefault="008F53F6" w:rsidP="0043413A">
      <w:r w:rsidRPr="0037001A">
        <w:rPr>
          <w:rFonts w:cs="Arial"/>
        </w:rPr>
        <w:t>As pointed out in our response to Q11, we do not believe that a distinction between two different modification action types is necessary. A single action type would be simpler to implement and would avoid reporting inconsistencies linked purely to the use of different action types.</w:t>
      </w:r>
      <w:r>
        <w:rPr>
          <w:rFonts w:cs="Arial"/>
        </w:rPr>
        <w:t xml:space="preserve"> </w:t>
      </w:r>
      <w:r w:rsidRPr="0037001A">
        <w:rPr>
          <w:rFonts w:cs="Arial"/>
        </w:rPr>
        <w:t>If ESMA decides to maintain two distinct modification action types, there are some ambiguous cases where it is not clear which action type should be used. As an example, in the case of a re-rating of a floating-rate repo, would this be a ‘modification of initial economic terms’ or an ‘other modification’ or does the reporter not have to update recognised indices?</w:t>
      </w:r>
      <w:r>
        <w:rPr>
          <w:rFonts w:cs="Arial"/>
        </w:rPr>
        <w:t xml:space="preserve"> We would appreciate if ESMA could clarify this point.</w:t>
      </w:r>
    </w:p>
    <w:p w:rsidR="008F53F6" w:rsidRDefault="008F53F6" w:rsidP="0043413A"/>
    <w:permEnd w:id="418396330"/>
    <w:p w:rsidR="0043413A" w:rsidRDefault="0043413A" w:rsidP="0043413A">
      <w:r>
        <w:t>&lt;ESMA_QUESTION_SFTR_12&gt;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“Other modification”? Please justify your proposals.</w:t>
      </w:r>
    </w:p>
    <w:p w:rsidR="0043413A" w:rsidRDefault="0043413A" w:rsidP="0043413A">
      <w:r>
        <w:t>&lt;ESMA_QUESTION_SFTR_13&gt;</w:t>
      </w:r>
    </w:p>
    <w:p w:rsidR="0043413A" w:rsidRDefault="0043413A" w:rsidP="0043413A">
      <w:permStart w:id="291073838" w:edGrp="everyone"/>
    </w:p>
    <w:p w:rsidR="008F53F6" w:rsidRDefault="008F53F6" w:rsidP="0043413A">
      <w:r w:rsidRPr="0037001A">
        <w:rPr>
          <w:rFonts w:cs="Arial"/>
        </w:rPr>
        <w:t xml:space="preserve">We note that table 2 </w:t>
      </w:r>
      <w:r>
        <w:rPr>
          <w:rFonts w:cs="Arial"/>
        </w:rPr>
        <w:t xml:space="preserve">(p.43) </w:t>
      </w:r>
      <w:r w:rsidRPr="0037001A">
        <w:rPr>
          <w:rFonts w:cs="Arial"/>
        </w:rPr>
        <w:t>shows margin across SFT types as ‘other modification’. We understand that the reporting of variation margin in the separate report would be restricted to CCP-cleared SFTs. If this is the case, this should be clearly indicated in the table.</w:t>
      </w:r>
      <w:r>
        <w:rPr>
          <w:rFonts w:cs="Arial"/>
        </w:rPr>
        <w:t xml:space="preserve"> However, as</w:t>
      </w:r>
      <w:r w:rsidRPr="0093408E">
        <w:rPr>
          <w:rFonts w:cs="Arial"/>
        </w:rPr>
        <w:t xml:space="preserve"> explained further below, </w:t>
      </w:r>
      <w:r>
        <w:rPr>
          <w:rFonts w:cs="Arial"/>
        </w:rPr>
        <w:t>there is also a case for a separate report for the margining of bilateral trades.</w:t>
      </w:r>
    </w:p>
    <w:p w:rsidR="008F53F6" w:rsidRDefault="008F53F6" w:rsidP="0043413A"/>
    <w:permEnd w:id="291073838"/>
    <w:p w:rsidR="0043413A" w:rsidRDefault="0043413A" w:rsidP="0043413A">
      <w:r>
        <w:t>&lt;ESMA_QUESTION_SFTR_13&gt;</w:t>
      </w:r>
    </w:p>
    <w:p w:rsidR="0043413A" w:rsidRDefault="0043413A" w:rsidP="0043413A"/>
    <w:p w:rsidR="0043413A" w:rsidRPr="00943DDF" w:rsidRDefault="0043413A" w:rsidP="0043413A">
      <w:pPr>
        <w:pStyle w:val="Questionstyle"/>
        <w:numPr>
          <w:ilvl w:val="0"/>
          <w:numId w:val="40"/>
        </w:numPr>
      </w:pPr>
      <w:r w:rsidRPr="00943DDF">
        <w:t>Do you agree with the revised proposal to use the terms “collateral taker” and “collateral giver” for all types of SFTs?</w:t>
      </w:r>
    </w:p>
    <w:p w:rsidR="0043413A" w:rsidRDefault="0043413A" w:rsidP="0043413A">
      <w:r>
        <w:t>&lt;ESMA_QUESTION_SFTR_14&gt;</w:t>
      </w:r>
    </w:p>
    <w:p w:rsidR="0043413A" w:rsidRDefault="0043413A" w:rsidP="0043413A">
      <w:permStart w:id="599540280" w:edGrp="everyone"/>
    </w:p>
    <w:p w:rsidR="008F53F6" w:rsidRDefault="008F53F6" w:rsidP="0043413A">
      <w:r>
        <w:rPr>
          <w:rFonts w:cs="Arial"/>
          <w:color w:val="000000"/>
          <w:szCs w:val="23"/>
          <w:lang w:eastAsia="en-US"/>
        </w:rPr>
        <w:t xml:space="preserve">Although we would maintain, in line with our response to the DP, that this field is not strictly needed and that it would otherwise be more consistent to use SFT specific terms, we also note that the use of the proposed terms should be relatively straightforward to implement in the case of repo. In that case, we would however strongly recommend that the description of this field clearly references the appropriate business terms applicable to each type of SFT (i.e. buyer/seller in the case of repo) </w:t>
      </w:r>
      <w:proofErr w:type="gramStart"/>
      <w:r>
        <w:rPr>
          <w:rFonts w:cs="Arial"/>
          <w:color w:val="000000"/>
          <w:szCs w:val="23"/>
          <w:lang w:eastAsia="en-US"/>
        </w:rPr>
        <w:t>in order to</w:t>
      </w:r>
      <w:proofErr w:type="gramEnd"/>
      <w:r>
        <w:rPr>
          <w:rFonts w:cs="Arial"/>
          <w:color w:val="000000"/>
          <w:szCs w:val="23"/>
          <w:lang w:eastAsia="en-US"/>
        </w:rPr>
        <w:t xml:space="preserve"> ensure consistent reporting.</w:t>
      </w:r>
    </w:p>
    <w:p w:rsidR="008F53F6" w:rsidRDefault="008F53F6" w:rsidP="0043413A"/>
    <w:permEnd w:id="599540280"/>
    <w:p w:rsidR="0043413A" w:rsidRDefault="0043413A" w:rsidP="0043413A">
      <w:r>
        <w:t>&lt;ESMA_QUESTION_SFTR_14&gt;</w:t>
      </w:r>
    </w:p>
    <w:p w:rsidR="0043413A" w:rsidRDefault="0043413A" w:rsidP="0043413A"/>
    <w:p w:rsidR="0043413A" w:rsidRPr="00943DDF" w:rsidRDefault="0043413A" w:rsidP="0043413A">
      <w:pPr>
        <w:pStyle w:val="Questionstyle"/>
        <w:numPr>
          <w:ilvl w:val="0"/>
          <w:numId w:val="40"/>
        </w:numPr>
      </w:pPr>
      <w:r w:rsidRPr="00943DDF">
        <w:lastRenderedPageBreak/>
        <w:t>Are the proposed rules for determination of the collateral taker and collateral giver clear and comprehensive?</w:t>
      </w:r>
    </w:p>
    <w:p w:rsidR="0043413A" w:rsidRDefault="0043413A" w:rsidP="0043413A">
      <w:r>
        <w:t>&lt;ESMA_QUESTION_SFTR_15&gt;</w:t>
      </w:r>
    </w:p>
    <w:p w:rsidR="0043413A" w:rsidRDefault="0043413A" w:rsidP="0043413A">
      <w:permStart w:id="953688550" w:edGrp="everyone"/>
    </w:p>
    <w:p w:rsidR="008F53F6" w:rsidRPr="008F53F6" w:rsidRDefault="008F53F6" w:rsidP="0043413A">
      <w:pPr>
        <w:rPr>
          <w:rFonts w:cs="Arial"/>
          <w:szCs w:val="20"/>
        </w:rPr>
      </w:pPr>
      <w:r w:rsidRPr="0037001A">
        <w:rPr>
          <w:rFonts w:cs="Arial"/>
          <w:szCs w:val="20"/>
        </w:rPr>
        <w:t>See ou</w:t>
      </w:r>
      <w:r>
        <w:rPr>
          <w:rFonts w:cs="Arial"/>
          <w:szCs w:val="20"/>
        </w:rPr>
        <w:t>r response to Q14.</w:t>
      </w:r>
    </w:p>
    <w:p w:rsidR="008F53F6" w:rsidRDefault="008F53F6" w:rsidP="0043413A"/>
    <w:permEnd w:id="953688550"/>
    <w:p w:rsidR="0043413A" w:rsidRDefault="0043413A" w:rsidP="0043413A">
      <w:r>
        <w:t>&lt;ESMA_QUESTION_SFTR_15&gt;</w:t>
      </w:r>
    </w:p>
    <w:p w:rsidR="0043413A" w:rsidRDefault="0043413A" w:rsidP="0043413A"/>
    <w:p w:rsidR="0043413A" w:rsidRPr="00943DDF" w:rsidRDefault="0043413A" w:rsidP="0043413A">
      <w:pPr>
        <w:pStyle w:val="Questionstyle"/>
        <w:numPr>
          <w:ilvl w:val="0"/>
          <w:numId w:val="40"/>
        </w:numPr>
      </w:pPr>
      <w:r w:rsidRPr="00943DDF">
        <w:t>Are you aware of any other bilateral repo trade scenario? Are there any other actors missing which is not a broker or counterparty? Please elaborate.</w:t>
      </w:r>
    </w:p>
    <w:p w:rsidR="0043413A" w:rsidRDefault="0043413A" w:rsidP="0043413A">
      <w:r>
        <w:t>&lt;ESMA_QUESTION_SFTR_16&gt;</w:t>
      </w:r>
    </w:p>
    <w:p w:rsidR="0043413A" w:rsidRDefault="0043413A" w:rsidP="0043413A">
      <w:permStart w:id="336227659" w:edGrp="everyone"/>
    </w:p>
    <w:p w:rsidR="008F53F6" w:rsidRDefault="008F53F6" w:rsidP="008F53F6">
      <w:pPr>
        <w:rPr>
          <w:rFonts w:cs="Arial"/>
        </w:rPr>
      </w:pPr>
      <w:r w:rsidRPr="0037001A">
        <w:rPr>
          <w:rFonts w:cs="Arial"/>
        </w:rPr>
        <w:t>As pointed out in our response to Q6, repo scenario 2 should</w:t>
      </w:r>
      <w:r>
        <w:rPr>
          <w:rFonts w:cs="Arial"/>
        </w:rPr>
        <w:t xml:space="preserve"> </w:t>
      </w:r>
      <w:r w:rsidRPr="0037001A">
        <w:rPr>
          <w:rFonts w:cs="Arial"/>
        </w:rPr>
        <w:t>n</w:t>
      </w:r>
      <w:r>
        <w:rPr>
          <w:rFonts w:cs="Arial"/>
        </w:rPr>
        <w:t>o</w:t>
      </w:r>
      <w:r w:rsidRPr="0037001A">
        <w:rPr>
          <w:rFonts w:cs="Arial"/>
        </w:rPr>
        <w:t>t be referred to as a broking scenario. More accurately this can be described as trading, or even market-making. Broking is only a meaningful term where the broker is a pure agent.</w:t>
      </w:r>
      <w:r>
        <w:rPr>
          <w:rFonts w:cs="Arial"/>
        </w:rPr>
        <w:t xml:space="preserve"> </w:t>
      </w:r>
      <w:proofErr w:type="gramStart"/>
      <w:r w:rsidRPr="0037001A">
        <w:rPr>
          <w:rFonts w:cs="Arial"/>
        </w:rPr>
        <w:t>As regards</w:t>
      </w:r>
      <w:proofErr w:type="gramEnd"/>
      <w:r w:rsidRPr="0037001A">
        <w:rPr>
          <w:rFonts w:cs="Arial"/>
        </w:rPr>
        <w:t xml:space="preserve"> ESMA’s statement in paragraph 137 that scenario 2 also covers “matched principal brokers”, we would like to point out that we are not aware that this concept exists for repo. UCITS/AIF managers are agents and should be identified as such. It will give a false impression of exposures and inflate leverage if agents start to be identified as principals.</w:t>
      </w:r>
    </w:p>
    <w:p w:rsidR="008F53F6" w:rsidRDefault="008F53F6" w:rsidP="008F53F6">
      <w:pPr>
        <w:rPr>
          <w:rFonts w:cs="Arial"/>
        </w:rPr>
      </w:pPr>
    </w:p>
    <w:p w:rsidR="008F53F6" w:rsidRDefault="008F53F6" w:rsidP="008F53F6">
      <w:r>
        <w:rPr>
          <w:rFonts w:cs="Arial"/>
        </w:rPr>
        <w:t>We wonder whether there is a need to also represent a bilateral repo scenario without broker intervention. This could for instance be the case where two counterparties conclude a trade electronically on a platform that does not act as broker/agent. For instance, we understand, that the relevant repo</w:t>
      </w:r>
      <w:r>
        <w:rPr>
          <w:rFonts w:cs="Arial"/>
          <w:szCs w:val="20"/>
          <w:lang w:eastAsia="en-US"/>
        </w:rPr>
        <w:t xml:space="preserve"> platforms list instruments that can be traded as bilateral (“request for quote” basis). The counterparties to the trade find out who each other is at the time of the trade being executed, without the platform acting as broker.</w:t>
      </w:r>
    </w:p>
    <w:p w:rsidR="008F53F6" w:rsidRDefault="008F53F6" w:rsidP="0043413A"/>
    <w:permEnd w:id="336227659"/>
    <w:p w:rsidR="0043413A" w:rsidRDefault="0043413A" w:rsidP="0043413A">
      <w:r>
        <w:t>&lt;ESMA_QUESTION_SFTR_16&gt;</w:t>
      </w:r>
    </w:p>
    <w:p w:rsidR="0043413A" w:rsidRDefault="0043413A" w:rsidP="0043413A"/>
    <w:p w:rsidR="0043413A" w:rsidRPr="00943DDF" w:rsidRDefault="0043413A" w:rsidP="0043413A">
      <w:pPr>
        <w:pStyle w:val="Questionstyle"/>
        <w:numPr>
          <w:ilvl w:val="0"/>
          <w:numId w:val="40"/>
        </w:numPr>
      </w:pPr>
      <w:r w:rsidRPr="00943DDF">
        <w:t>Do you consider that the above scenarios also accurately capture the conclusion of buy/sell-back and sell/buy back trades? If not, what additional aspect should be included? Please elaborate.</w:t>
      </w:r>
    </w:p>
    <w:p w:rsidR="0043413A" w:rsidRDefault="0043413A" w:rsidP="0043413A">
      <w:r>
        <w:t>&lt;ESMA_QUESTION_SFTR_17&gt;</w:t>
      </w:r>
    </w:p>
    <w:p w:rsidR="0043413A" w:rsidRDefault="0043413A" w:rsidP="0043413A">
      <w:permStart w:id="1255958333" w:edGrp="everyone"/>
    </w:p>
    <w:p w:rsidR="008F53F6" w:rsidRDefault="008F53F6" w:rsidP="0043413A">
      <w:r w:rsidRPr="0037001A">
        <w:rPr>
          <w:rFonts w:cs="Arial"/>
          <w:szCs w:val="20"/>
        </w:rPr>
        <w:t>Yes. As explained</w:t>
      </w:r>
      <w:r>
        <w:rPr>
          <w:rFonts w:cs="Arial"/>
          <w:szCs w:val="20"/>
        </w:rPr>
        <w:t xml:space="preserve"> in our response to Q11</w:t>
      </w:r>
      <w:r w:rsidRPr="0037001A">
        <w:rPr>
          <w:rFonts w:cs="Arial"/>
          <w:szCs w:val="20"/>
        </w:rPr>
        <w:t>, buy/sell-back and repo trades are economically equivalent instruments that only differ in some operational aspects</w:t>
      </w:r>
      <w:r>
        <w:rPr>
          <w:rFonts w:cs="Arial"/>
          <w:szCs w:val="20"/>
        </w:rPr>
        <w:t xml:space="preserve"> which are not relevant from a reporting perspective</w:t>
      </w:r>
      <w:r w:rsidRPr="0037001A">
        <w:rPr>
          <w:rFonts w:cs="Arial"/>
          <w:szCs w:val="20"/>
        </w:rPr>
        <w:t>. The same trading scenarios apply.</w:t>
      </w:r>
    </w:p>
    <w:p w:rsidR="008F53F6" w:rsidRDefault="008F53F6" w:rsidP="0043413A"/>
    <w:permEnd w:id="1255958333"/>
    <w:p w:rsidR="0043413A" w:rsidRDefault="0043413A" w:rsidP="0043413A">
      <w:r>
        <w:t>&lt;ESMA_QUESTION_SFTR_17&gt;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t>&lt;ESMA_QUESTION_SFTR_18&gt;</w:t>
      </w:r>
    </w:p>
    <w:p w:rsidR="0043413A" w:rsidRDefault="0043413A" w:rsidP="0043413A">
      <w:permStart w:id="429723742" w:edGrp="everyone"/>
    </w:p>
    <w:p w:rsidR="008F53F6" w:rsidRDefault="008F53F6" w:rsidP="008F53F6">
      <w:pPr>
        <w:rPr>
          <w:rFonts w:cs="Arial"/>
          <w:iCs/>
          <w:szCs w:val="20"/>
        </w:rPr>
      </w:pPr>
      <w:r w:rsidRPr="0037001A">
        <w:rPr>
          <w:rFonts w:cs="Arial"/>
          <w:szCs w:val="20"/>
        </w:rPr>
        <w:t>Most importantly, we would like to reiterate a</w:t>
      </w:r>
      <w:r>
        <w:rPr>
          <w:rFonts w:cs="Arial"/>
          <w:szCs w:val="20"/>
        </w:rPr>
        <w:t>n important point</w:t>
      </w:r>
      <w:r w:rsidRPr="0037001A">
        <w:rPr>
          <w:rFonts w:cs="Arial"/>
          <w:szCs w:val="20"/>
        </w:rPr>
        <w:t xml:space="preserve"> that we already </w:t>
      </w:r>
      <w:r>
        <w:rPr>
          <w:rFonts w:cs="Arial"/>
          <w:szCs w:val="20"/>
        </w:rPr>
        <w:t>highlighted</w:t>
      </w:r>
      <w:r w:rsidRPr="0037001A">
        <w:rPr>
          <w:rFonts w:cs="Arial"/>
          <w:szCs w:val="20"/>
        </w:rPr>
        <w:t xml:space="preserve"> in our response to ESMA’s DP but which has not been addressed in the CP. In the description of repo scenario 3, ESMA state</w:t>
      </w:r>
      <w:r>
        <w:rPr>
          <w:rFonts w:cs="Arial"/>
          <w:szCs w:val="20"/>
        </w:rPr>
        <w:t>s</w:t>
      </w:r>
      <w:r w:rsidRPr="0037001A">
        <w:rPr>
          <w:rFonts w:cs="Arial"/>
          <w:szCs w:val="20"/>
        </w:rPr>
        <w:t xml:space="preserve"> that a bilateral trade which is subsequently submitted to a CCP (post-trade name give-up) should first be reported as a bilateral trade.</w:t>
      </w:r>
      <w:r w:rsidRPr="00221E33">
        <w:rPr>
          <w:rFonts w:cs="Arial"/>
          <w:i/>
          <w:szCs w:val="20"/>
        </w:rPr>
        <w:t xml:space="preserve"> </w:t>
      </w:r>
      <w:r w:rsidRPr="0037001A">
        <w:rPr>
          <w:rFonts w:cs="Arial"/>
          <w:szCs w:val="20"/>
        </w:rPr>
        <w:t xml:space="preserve">We do not agree with this proposal and would point ESMA to a recent </w:t>
      </w:r>
      <w:r>
        <w:rPr>
          <w:rFonts w:cs="Arial"/>
          <w:szCs w:val="20"/>
        </w:rPr>
        <w:lastRenderedPageBreak/>
        <w:t xml:space="preserve">ICMA ERCC </w:t>
      </w:r>
      <w:r w:rsidRPr="0037001A">
        <w:rPr>
          <w:rFonts w:cs="Arial"/>
          <w:szCs w:val="20"/>
        </w:rPr>
        <w:t>study in relation to CCP trade registration published in September 2016.</w:t>
      </w:r>
      <w:r>
        <w:rPr>
          <w:rStyle w:val="FootnoteReference"/>
          <w:rFonts w:cs="Arial"/>
          <w:szCs w:val="20"/>
        </w:rPr>
        <w:footnoteReference w:id="4"/>
      </w:r>
      <w:r w:rsidRPr="0037001A">
        <w:rPr>
          <w:rFonts w:cs="Arial"/>
          <w:szCs w:val="20"/>
        </w:rPr>
        <w:t xml:space="preserve"> The paper aims to formally establish an already existing understanding in the market that bilateral trades which are concluded with the intention </w:t>
      </w:r>
      <w:r>
        <w:rPr>
          <w:rFonts w:cs="Arial"/>
          <w:szCs w:val="20"/>
        </w:rPr>
        <w:t>of</w:t>
      </w:r>
      <w:r w:rsidRPr="0037001A">
        <w:rPr>
          <w:rFonts w:cs="Arial"/>
          <w:szCs w:val="20"/>
        </w:rPr>
        <w:t xml:space="preserve"> CCP-clearing are always contingent upon the CCP accepting the trade for clearing. In the extremely rare cases where such trades are not submitted to the CCP (or not accepted by the CCP) there is</w:t>
      </w:r>
      <w:r>
        <w:rPr>
          <w:rFonts w:cs="Arial"/>
          <w:szCs w:val="20"/>
        </w:rPr>
        <w:t xml:space="preserve"> thus</w:t>
      </w:r>
      <w:r w:rsidRPr="0037001A">
        <w:rPr>
          <w:rFonts w:cs="Arial"/>
          <w:szCs w:val="20"/>
        </w:rPr>
        <w:t xml:space="preserve"> no original b</w:t>
      </w:r>
      <w:r>
        <w:rPr>
          <w:rFonts w:cs="Arial"/>
          <w:szCs w:val="20"/>
        </w:rPr>
        <w:t>ilateral trade. ESMA should</w:t>
      </w:r>
      <w:r w:rsidRPr="0037001A">
        <w:rPr>
          <w:rFonts w:cs="Arial"/>
          <w:szCs w:val="20"/>
        </w:rPr>
        <w:t xml:space="preserve"> allow such CCP-contingent trades to be recorded only </w:t>
      </w:r>
      <w:r>
        <w:rPr>
          <w:rFonts w:cs="Arial"/>
          <w:szCs w:val="20"/>
        </w:rPr>
        <w:t xml:space="preserve">once, </w:t>
      </w:r>
      <w:r w:rsidRPr="0037001A">
        <w:rPr>
          <w:rFonts w:cs="Arial"/>
          <w:szCs w:val="20"/>
        </w:rPr>
        <w:t>as a CCP trade. We</w:t>
      </w:r>
      <w:r w:rsidRPr="0037001A">
        <w:rPr>
          <w:rFonts w:cs="Arial"/>
          <w:iCs/>
          <w:szCs w:val="20"/>
        </w:rPr>
        <w:t xml:space="preserve"> do not believe that it is justified from a risk perspective to distinguish such bilateral trades </w:t>
      </w:r>
      <w:r>
        <w:rPr>
          <w:rFonts w:cs="Arial"/>
          <w:iCs/>
          <w:szCs w:val="20"/>
        </w:rPr>
        <w:t xml:space="preserve">intended for CCP-clearing </w:t>
      </w:r>
      <w:r w:rsidRPr="0037001A">
        <w:rPr>
          <w:rFonts w:cs="Arial"/>
          <w:iCs/>
          <w:szCs w:val="20"/>
        </w:rPr>
        <w:t xml:space="preserve">from CCP-cleared trades executed electronically, given that </w:t>
      </w:r>
      <w:r>
        <w:rPr>
          <w:rFonts w:cs="Arial"/>
          <w:iCs/>
          <w:szCs w:val="20"/>
        </w:rPr>
        <w:t xml:space="preserve">in both cases </w:t>
      </w:r>
      <w:r w:rsidRPr="0037001A">
        <w:rPr>
          <w:rFonts w:cs="Arial"/>
          <w:iCs/>
          <w:szCs w:val="20"/>
        </w:rPr>
        <w:t>the validity is dependent on the clearing taking place.</w:t>
      </w:r>
      <w:r>
        <w:rPr>
          <w:rFonts w:cs="Arial"/>
          <w:iCs/>
          <w:szCs w:val="20"/>
        </w:rPr>
        <w:t xml:space="preserve"> Finally, we note that the proposed approach would also be in line with ESMA’s proposals in relation to reconciliation, specifically the proposal in paragraph 354 that “the TRs reconcile only the latest state of a given SFT at the end of a given day”.</w:t>
      </w:r>
    </w:p>
    <w:p w:rsidR="008F53F6" w:rsidRDefault="008F53F6" w:rsidP="008F53F6">
      <w:pPr>
        <w:rPr>
          <w:rFonts w:cs="Arial"/>
          <w:szCs w:val="20"/>
        </w:rPr>
      </w:pPr>
    </w:p>
    <w:p w:rsidR="008F53F6" w:rsidRPr="0037001A" w:rsidRDefault="008F53F6" w:rsidP="008F53F6">
      <w:pPr>
        <w:rPr>
          <w:rFonts w:cs="Arial"/>
          <w:szCs w:val="20"/>
        </w:rPr>
      </w:pPr>
      <w:r w:rsidRPr="0037001A">
        <w:rPr>
          <w:rFonts w:cs="Arial"/>
          <w:szCs w:val="20"/>
        </w:rPr>
        <w:t xml:space="preserve">As described in our response to ESMA’s DP, we would point out once again that the agency clearing model for repo (scenario 5) is purely hypothetical. It is also unlikely to be established in the future, as no CCP would </w:t>
      </w:r>
      <w:r>
        <w:rPr>
          <w:rFonts w:cs="Arial"/>
          <w:szCs w:val="20"/>
        </w:rPr>
        <w:t xml:space="preserve">want to </w:t>
      </w:r>
      <w:r w:rsidRPr="0037001A">
        <w:rPr>
          <w:rFonts w:cs="Arial"/>
          <w:szCs w:val="20"/>
        </w:rPr>
        <w:t xml:space="preserve">take an exposure to a non-member, </w:t>
      </w:r>
      <w:r>
        <w:rPr>
          <w:rFonts w:cs="Arial"/>
          <w:szCs w:val="20"/>
        </w:rPr>
        <w:t>with whom it has</w:t>
      </w:r>
      <w:r w:rsidRPr="0037001A">
        <w:rPr>
          <w:rFonts w:cs="Arial"/>
          <w:szCs w:val="20"/>
        </w:rPr>
        <w:t xml:space="preserve"> </w:t>
      </w:r>
      <w:r>
        <w:rPr>
          <w:rFonts w:cs="Arial"/>
          <w:szCs w:val="20"/>
        </w:rPr>
        <w:t xml:space="preserve">no </w:t>
      </w:r>
      <w:r w:rsidRPr="0037001A">
        <w:rPr>
          <w:rFonts w:cs="Arial"/>
          <w:szCs w:val="20"/>
        </w:rPr>
        <w:t>contractual relationship, and no CCP membership would accept exposure to non-members given their commitment to mutualisation. Should a clearing member sponsor a customer, the clearing member takes the exposure, making this model identical economically to the current clearing model.</w:t>
      </w:r>
    </w:p>
    <w:p w:rsidR="008F53F6" w:rsidRDefault="008F53F6" w:rsidP="008F53F6">
      <w:pPr>
        <w:rPr>
          <w:rFonts w:cs="Arial"/>
          <w:szCs w:val="20"/>
        </w:rPr>
      </w:pPr>
    </w:p>
    <w:p w:rsidR="008F53F6" w:rsidRDefault="008F53F6" w:rsidP="008F53F6">
      <w:pPr>
        <w:rPr>
          <w:rFonts w:cs="Arial"/>
          <w:szCs w:val="20"/>
        </w:rPr>
      </w:pPr>
      <w:r w:rsidRPr="0037001A">
        <w:rPr>
          <w:rFonts w:cs="Arial"/>
          <w:szCs w:val="20"/>
        </w:rPr>
        <w:t>Regarding ESMA’s proposal in relation to the reporting of collateral market value in paragraph 151, we would remark that this will pose significant challenges in terms of matching. There is no common methodology to establish the market value of securities and mismatches are thus difficult to avoid.</w:t>
      </w:r>
      <w:r>
        <w:rPr>
          <w:rFonts w:cs="Arial"/>
          <w:szCs w:val="20"/>
        </w:rPr>
        <w:t xml:space="preserve"> As stated in our response to Q80, w</w:t>
      </w:r>
      <w:r w:rsidRPr="0037001A">
        <w:rPr>
          <w:rFonts w:cs="Arial"/>
          <w:szCs w:val="20"/>
        </w:rPr>
        <w:t xml:space="preserve">e would thus recommend to remove the field from the </w:t>
      </w:r>
      <w:r>
        <w:rPr>
          <w:rFonts w:cs="Arial"/>
          <w:szCs w:val="20"/>
        </w:rPr>
        <w:t xml:space="preserve">proposed list of reconciliation </w:t>
      </w:r>
      <w:r w:rsidRPr="0037001A">
        <w:rPr>
          <w:rFonts w:cs="Arial"/>
          <w:szCs w:val="20"/>
        </w:rPr>
        <w:t>fields in the table on pages 12</w:t>
      </w:r>
      <w:r>
        <w:rPr>
          <w:rFonts w:cs="Arial"/>
          <w:szCs w:val="20"/>
        </w:rPr>
        <w:t>4</w:t>
      </w:r>
      <w:r w:rsidRPr="0037001A">
        <w:rPr>
          <w:rFonts w:cs="Arial"/>
          <w:szCs w:val="20"/>
        </w:rPr>
        <w:t>-1</w:t>
      </w:r>
      <w:r>
        <w:rPr>
          <w:rFonts w:cs="Arial"/>
          <w:szCs w:val="20"/>
        </w:rPr>
        <w:t>26</w:t>
      </w:r>
      <w:r w:rsidRPr="0037001A">
        <w:rPr>
          <w:rFonts w:cs="Arial"/>
          <w:szCs w:val="20"/>
        </w:rPr>
        <w:t xml:space="preserve"> of the CP</w:t>
      </w:r>
      <w:r>
        <w:rPr>
          <w:rFonts w:cs="Arial"/>
          <w:szCs w:val="20"/>
        </w:rPr>
        <w:t>. We understand</w:t>
      </w:r>
      <w:r w:rsidRPr="0037001A">
        <w:rPr>
          <w:rFonts w:cs="Arial"/>
          <w:szCs w:val="20"/>
        </w:rPr>
        <w:t xml:space="preserve"> that this would be consistent with the EMIR framework where the collateral value is not a required matching field. If ESMA insists on</w:t>
      </w:r>
      <w:r>
        <w:rPr>
          <w:rFonts w:cs="Arial"/>
          <w:szCs w:val="20"/>
        </w:rPr>
        <w:t xml:space="preserve"> reconciliation</w:t>
      </w:r>
      <w:r w:rsidRPr="0037001A">
        <w:rPr>
          <w:rFonts w:cs="Arial"/>
          <w:szCs w:val="20"/>
        </w:rPr>
        <w:t xml:space="preserve"> for this field, at the very least it needs to be ensured that the calculated tolerance is sufficiently large to avoid consistent matching fails. </w:t>
      </w:r>
    </w:p>
    <w:p w:rsidR="008F53F6" w:rsidRDefault="008F53F6" w:rsidP="008F53F6">
      <w:pPr>
        <w:rPr>
          <w:rFonts w:cs="Arial"/>
          <w:szCs w:val="20"/>
        </w:rPr>
      </w:pPr>
    </w:p>
    <w:p w:rsidR="008F53F6" w:rsidRDefault="008F53F6" w:rsidP="008F53F6">
      <w:pPr>
        <w:rPr>
          <w:rFonts w:cs="Arial"/>
          <w:szCs w:val="20"/>
        </w:rPr>
      </w:pPr>
      <w:r>
        <w:rPr>
          <w:rFonts w:cs="Arial"/>
          <w:szCs w:val="20"/>
        </w:rPr>
        <w:t xml:space="preserve">In this context, we are particularly concerned about ESMA’s proposal in paragraph 247 to require the use of IFRS 13 Fair Value Measurement. We note that this proposal follows a similar proposal in ESMA’s final report on the review of RTS and ITS </w:t>
      </w:r>
      <w:proofErr w:type="gramStart"/>
      <w:r>
        <w:rPr>
          <w:rFonts w:cs="Arial"/>
          <w:szCs w:val="20"/>
        </w:rPr>
        <w:t>under EMIR</w:t>
      </w:r>
      <w:proofErr w:type="gramEnd"/>
      <w:r>
        <w:rPr>
          <w:rFonts w:cs="Arial"/>
          <w:szCs w:val="20"/>
        </w:rPr>
        <w:t xml:space="preserve"> article 9. However, we would like to stress that this has not been formally consulted on previously. In our view, the imposition of IFRS13 for reporting purposes is inappropriate and should be removed for the following reasons:</w:t>
      </w:r>
    </w:p>
    <w:p w:rsidR="001B0B50" w:rsidRPr="00107BBA" w:rsidRDefault="008F53F6" w:rsidP="001B0B50">
      <w:pPr>
        <w:pStyle w:val="ListParagraph"/>
        <w:numPr>
          <w:ilvl w:val="0"/>
          <w:numId w:val="42"/>
        </w:numPr>
        <w:rPr>
          <w:rFonts w:cs="Arial"/>
          <w:szCs w:val="20"/>
        </w:rPr>
      </w:pPr>
      <w:r w:rsidRPr="0000383F">
        <w:rPr>
          <w:rFonts w:cs="Arial"/>
          <w:szCs w:val="20"/>
        </w:rPr>
        <w:t>First</w:t>
      </w:r>
      <w:r w:rsidRPr="00107BBA">
        <w:rPr>
          <w:rFonts w:cs="Arial"/>
          <w:szCs w:val="20"/>
        </w:rPr>
        <w:t xml:space="preserve"> and foremost,</w:t>
      </w:r>
      <w:r w:rsidRPr="0000383F">
        <w:rPr>
          <w:rFonts w:cs="Arial"/>
          <w:szCs w:val="20"/>
        </w:rPr>
        <w:t xml:space="preserve"> IFRS (IAS) is an accounting standard and not a rep</w:t>
      </w:r>
      <w:r w:rsidRPr="00107BBA">
        <w:rPr>
          <w:rFonts w:cs="Arial"/>
          <w:szCs w:val="20"/>
        </w:rPr>
        <w:t>orting standard.</w:t>
      </w:r>
      <w:r>
        <w:rPr>
          <w:rFonts w:cs="Arial"/>
          <w:szCs w:val="20"/>
        </w:rPr>
        <w:t xml:space="preserve"> The relevant teams involved in the reporting process will</w:t>
      </w:r>
      <w:r w:rsidRPr="00714F63">
        <w:rPr>
          <w:rFonts w:cs="Arial"/>
          <w:szCs w:val="20"/>
        </w:rPr>
        <w:t xml:space="preserve"> have little or no experi</w:t>
      </w:r>
      <w:r>
        <w:rPr>
          <w:rFonts w:cs="Arial"/>
          <w:szCs w:val="20"/>
        </w:rPr>
        <w:t>ence in applying any accounting</w:t>
      </w:r>
      <w:r w:rsidRPr="00714F63">
        <w:rPr>
          <w:rFonts w:cs="Arial"/>
          <w:szCs w:val="20"/>
        </w:rPr>
        <w:t xml:space="preserve"> standards</w:t>
      </w:r>
      <w:r>
        <w:rPr>
          <w:rFonts w:cs="Arial"/>
          <w:szCs w:val="20"/>
        </w:rPr>
        <w:t>, and would thus face significant implementation challenges</w:t>
      </w:r>
      <w:r w:rsidRPr="00714F63">
        <w:rPr>
          <w:rFonts w:cs="Arial"/>
          <w:szCs w:val="20"/>
        </w:rPr>
        <w:t>.</w:t>
      </w:r>
      <w:r>
        <w:rPr>
          <w:rFonts w:cs="Arial"/>
          <w:szCs w:val="20"/>
        </w:rPr>
        <w:t xml:space="preserve"> </w:t>
      </w:r>
      <w:r w:rsidRPr="00D70882">
        <w:rPr>
          <w:rFonts w:cs="Arial"/>
          <w:szCs w:val="20"/>
        </w:rPr>
        <w:t>Collateral valuation is currently conducted un</w:t>
      </w:r>
      <w:r>
        <w:rPr>
          <w:rFonts w:cs="Arial"/>
          <w:szCs w:val="20"/>
        </w:rPr>
        <w:t>der each firm’s bilateral terms of business</w:t>
      </w:r>
      <w:r w:rsidRPr="00D70882">
        <w:rPr>
          <w:rFonts w:cs="Arial"/>
          <w:szCs w:val="20"/>
        </w:rPr>
        <w:t xml:space="preserve"> and trading agreements (GMRA, GMSLA, EMA </w:t>
      </w:r>
      <w:proofErr w:type="spellStart"/>
      <w:r w:rsidRPr="00D70882">
        <w:rPr>
          <w:rFonts w:cs="Arial"/>
          <w:szCs w:val="20"/>
        </w:rPr>
        <w:t>etc</w:t>
      </w:r>
      <w:proofErr w:type="spellEnd"/>
      <w:r w:rsidRPr="00D70882">
        <w:rPr>
          <w:rFonts w:cs="Arial"/>
          <w:szCs w:val="20"/>
        </w:rPr>
        <w:t>).</w:t>
      </w:r>
      <w:r w:rsidRPr="00714F63">
        <w:rPr>
          <w:rFonts w:cs="Arial"/>
          <w:szCs w:val="20"/>
        </w:rPr>
        <w:t xml:space="preserve"> </w:t>
      </w:r>
      <w:r>
        <w:rPr>
          <w:rFonts w:cs="Arial"/>
          <w:szCs w:val="20"/>
        </w:rPr>
        <w:t>Moreover</w:t>
      </w:r>
      <w:r w:rsidRPr="00107BBA">
        <w:rPr>
          <w:rFonts w:cs="Arial"/>
          <w:szCs w:val="20"/>
        </w:rPr>
        <w:t>, in its current form IFRS 13 is not s</w:t>
      </w:r>
      <w:r>
        <w:rPr>
          <w:rFonts w:cs="Arial"/>
          <w:szCs w:val="20"/>
        </w:rPr>
        <w:t>uitable for reporting purposes.</w:t>
      </w:r>
      <w:r w:rsidRPr="00107BBA">
        <w:rPr>
          <w:rFonts w:cs="Arial"/>
          <w:color w:val="FF0000"/>
          <w:szCs w:val="20"/>
        </w:rPr>
        <w:t xml:space="preserve"> </w:t>
      </w:r>
      <w:r w:rsidRPr="00107BBA">
        <w:rPr>
          <w:rFonts w:cs="Arial"/>
          <w:szCs w:val="20"/>
        </w:rPr>
        <w:t>This would require lengthy and unjustifiable modifications to</w:t>
      </w:r>
      <w:r w:rsidR="001B0B50">
        <w:rPr>
          <w:rFonts w:cs="Arial"/>
          <w:szCs w:val="20"/>
        </w:rPr>
        <w:t xml:space="preserve"> </w:t>
      </w:r>
      <w:r w:rsidR="001B0B50" w:rsidRPr="00107BBA">
        <w:rPr>
          <w:rFonts w:cs="Arial"/>
          <w:szCs w:val="20"/>
        </w:rPr>
        <w:t>IFRS 13. Examples include the necessary implementation of daily CVA- and DVA-adjustments, as well as the integration of the FVA-valuation in the CVA- and DVA-calculation.</w:t>
      </w:r>
    </w:p>
    <w:p w:rsidR="001B0B50" w:rsidRDefault="001B0B50" w:rsidP="001B0B50">
      <w:pPr>
        <w:pStyle w:val="ListParagraph"/>
        <w:numPr>
          <w:ilvl w:val="0"/>
          <w:numId w:val="42"/>
        </w:numPr>
        <w:rPr>
          <w:rFonts w:cs="Arial"/>
          <w:szCs w:val="20"/>
        </w:rPr>
      </w:pPr>
      <w:r w:rsidRPr="0037001A">
        <w:rPr>
          <w:rFonts w:cs="Arial"/>
          <w:szCs w:val="20"/>
        </w:rPr>
        <w:t>T</w:t>
      </w:r>
      <w:r w:rsidRPr="0000383F">
        <w:rPr>
          <w:rFonts w:cs="Arial"/>
          <w:szCs w:val="20"/>
        </w:rPr>
        <w:t xml:space="preserve">he use of IFRS 13 would not avoid deviations in the reported market value, which are mainly the result of the use of different market data sources. </w:t>
      </w:r>
      <w:r w:rsidRPr="0037001A">
        <w:rPr>
          <w:rFonts w:cs="Arial"/>
          <w:szCs w:val="20"/>
        </w:rPr>
        <w:t xml:space="preserve">Even where the same source is used, </w:t>
      </w:r>
      <w:r w:rsidRPr="0000383F">
        <w:rPr>
          <w:rFonts w:cs="Arial"/>
          <w:szCs w:val="20"/>
        </w:rPr>
        <w:t xml:space="preserve">differences could also arise </w:t>
      </w:r>
      <w:proofErr w:type="gramStart"/>
      <w:r w:rsidRPr="0000383F">
        <w:rPr>
          <w:rFonts w:cs="Arial"/>
          <w:szCs w:val="20"/>
        </w:rPr>
        <w:t>as a result of</w:t>
      </w:r>
      <w:proofErr w:type="gramEnd"/>
      <w:r w:rsidRPr="0000383F">
        <w:rPr>
          <w:rFonts w:cs="Arial"/>
          <w:szCs w:val="20"/>
        </w:rPr>
        <w:t xml:space="preserve"> differences in the time that the </w:t>
      </w:r>
      <w:r w:rsidRPr="0037001A">
        <w:rPr>
          <w:rFonts w:cs="Arial"/>
          <w:szCs w:val="20"/>
        </w:rPr>
        <w:t>data is rece</w:t>
      </w:r>
      <w:r w:rsidRPr="0000383F">
        <w:rPr>
          <w:rFonts w:cs="Arial"/>
          <w:szCs w:val="20"/>
        </w:rPr>
        <w:t>ived/extracted</w:t>
      </w:r>
      <w:r w:rsidRPr="0037001A">
        <w:rPr>
          <w:rFonts w:cs="Arial"/>
          <w:szCs w:val="20"/>
        </w:rPr>
        <w:t>.</w:t>
      </w:r>
      <w:r w:rsidRPr="0000383F">
        <w:rPr>
          <w:rFonts w:cs="Arial"/>
          <w:szCs w:val="20"/>
        </w:rPr>
        <w:t xml:space="preserve"> </w:t>
      </w:r>
      <w:r w:rsidRPr="0037001A">
        <w:rPr>
          <w:rFonts w:cs="Arial"/>
          <w:szCs w:val="20"/>
        </w:rPr>
        <w:t xml:space="preserve">Moreover, the </w:t>
      </w:r>
      <w:r w:rsidRPr="0000383F">
        <w:rPr>
          <w:rFonts w:cs="Arial"/>
          <w:szCs w:val="20"/>
        </w:rPr>
        <w:t xml:space="preserve">calculation of CVA, DVA and FVA is based on the financial institution’s internal assessments of the </w:t>
      </w:r>
      <w:r w:rsidRPr="0037001A">
        <w:rPr>
          <w:rFonts w:cs="Arial"/>
          <w:szCs w:val="20"/>
        </w:rPr>
        <w:t>counterparty’s creditworthiness, which would also inevitably lead to mismatches in the reported values.</w:t>
      </w:r>
    </w:p>
    <w:p w:rsidR="008F53F6" w:rsidRPr="001B0B50" w:rsidRDefault="001B0B50" w:rsidP="001B0B50">
      <w:pPr>
        <w:pStyle w:val="ListParagraph"/>
        <w:numPr>
          <w:ilvl w:val="0"/>
          <w:numId w:val="42"/>
        </w:numPr>
        <w:rPr>
          <w:rFonts w:cs="Arial"/>
          <w:szCs w:val="20"/>
        </w:rPr>
      </w:pPr>
      <w:r w:rsidRPr="001B0B50">
        <w:rPr>
          <w:rFonts w:cs="Arial"/>
          <w:szCs w:val="20"/>
        </w:rPr>
        <w:t xml:space="preserve">Finally, we understand that at least in some Member States only accounts of listed companies </w:t>
      </w:r>
      <w:proofErr w:type="gramStart"/>
      <w:r w:rsidRPr="001B0B50">
        <w:rPr>
          <w:rFonts w:cs="Arial"/>
          <w:szCs w:val="20"/>
        </w:rPr>
        <w:t>have to</w:t>
      </w:r>
      <w:proofErr w:type="gramEnd"/>
      <w:r w:rsidRPr="001B0B50">
        <w:rPr>
          <w:rFonts w:cs="Arial"/>
          <w:szCs w:val="20"/>
        </w:rPr>
        <w:t xml:space="preserve"> be drawn up according to IFRS 13. ESMA’s proposal to impose IFRS 13 for reporting purposes is thus clearly disproportionate, </w:t>
      </w:r>
      <w:proofErr w:type="gramStart"/>
      <w:r w:rsidRPr="001B0B50">
        <w:rPr>
          <w:rFonts w:cs="Arial"/>
          <w:szCs w:val="20"/>
        </w:rPr>
        <w:t>in particular for</w:t>
      </w:r>
      <w:proofErr w:type="gramEnd"/>
      <w:r w:rsidRPr="001B0B50">
        <w:rPr>
          <w:rFonts w:cs="Arial"/>
          <w:szCs w:val="20"/>
        </w:rPr>
        <w:t xml:space="preserve"> those non-listed banks that are otherwise not required to use the standard. A particularly relevant example is Germany, where a </w:t>
      </w:r>
      <w:proofErr w:type="gramStart"/>
      <w:r w:rsidRPr="001B0B50">
        <w:rPr>
          <w:rFonts w:cs="Arial"/>
          <w:szCs w:val="20"/>
        </w:rPr>
        <w:t>vast majority</w:t>
      </w:r>
      <w:proofErr w:type="gramEnd"/>
      <w:r w:rsidRPr="001B0B50">
        <w:rPr>
          <w:rFonts w:cs="Arial"/>
          <w:szCs w:val="20"/>
        </w:rPr>
        <w:t xml:space="preserve"> of banking institutions are credit cooperatives, small savings banks, public banks or alike, and, thus, not listed companies; their accounts do not need to comply with IFRS 13.</w:t>
      </w:r>
    </w:p>
    <w:p w:rsidR="008F53F6" w:rsidRDefault="008F53F6" w:rsidP="0043413A"/>
    <w:permEnd w:id="429723742"/>
    <w:p w:rsidR="0043413A" w:rsidRDefault="0043413A" w:rsidP="0043413A">
      <w:r>
        <w:t>&lt;ESMA_QUESTION_SFTR_18&gt;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t>&lt;ESMA_QUESTION_SFTR_19&gt;</w:t>
      </w:r>
    </w:p>
    <w:p w:rsidR="0043413A" w:rsidRDefault="0043413A" w:rsidP="0043413A">
      <w:permStart w:id="586040541" w:edGrp="everyone"/>
      <w:r>
        <w:t>TYPE YOUR TEXT HERE</w:t>
      </w:r>
    </w:p>
    <w:permEnd w:id="586040541"/>
    <w:p w:rsidR="0043413A" w:rsidRDefault="0043413A" w:rsidP="0043413A">
      <w:r>
        <w:t>&lt;ESMA_QUESTION_SFTR_19&gt;</w:t>
      </w:r>
    </w:p>
    <w:p w:rsidR="0043413A" w:rsidRDefault="0043413A" w:rsidP="0043413A"/>
    <w:p w:rsidR="0043413A" w:rsidRPr="00943DDF" w:rsidRDefault="0043413A" w:rsidP="0043413A">
      <w:pPr>
        <w:pStyle w:val="Questionstyle"/>
        <w:numPr>
          <w:ilvl w:val="0"/>
          <w:numId w:val="40"/>
        </w:numPr>
      </w:pPr>
      <w:r w:rsidRPr="00943DDF">
        <w:t>Would it be possible to link the 8 trade reports to constitute the “principal clearing model” picture? If yes, would the method for linking proposed in section 4.3.4 be suitable?</w:t>
      </w:r>
    </w:p>
    <w:p w:rsidR="0043413A" w:rsidRDefault="0043413A" w:rsidP="0043413A">
      <w:r>
        <w:t>&lt;ESMA_QUESTION_SFTR_20&gt;</w:t>
      </w:r>
    </w:p>
    <w:p w:rsidR="0043413A" w:rsidRDefault="0043413A" w:rsidP="0043413A">
      <w:permStart w:id="895760165" w:edGrp="everyone"/>
      <w:r>
        <w:t>TYPE YOUR TEXT HERE</w:t>
      </w:r>
    </w:p>
    <w:permEnd w:id="895760165"/>
    <w:p w:rsidR="0043413A" w:rsidRDefault="0043413A" w:rsidP="0043413A">
      <w:r>
        <w:t>&lt;ESMA_QUESTION_SFTR_20&gt;</w:t>
      </w:r>
    </w:p>
    <w:p w:rsidR="0043413A" w:rsidRDefault="0043413A" w:rsidP="0043413A"/>
    <w:p w:rsidR="0043413A" w:rsidRPr="00943DDF" w:rsidRDefault="0043413A" w:rsidP="0043413A">
      <w:pPr>
        <w:pStyle w:val="Questionstyle"/>
        <w:numPr>
          <w:ilvl w:val="0"/>
          <w:numId w:val="40"/>
        </w:numPr>
      </w:pPr>
      <w:r w:rsidRPr="00943DDF">
        <w:t>In the case of securities lending transactions are there any other actors missing?</w:t>
      </w:r>
    </w:p>
    <w:p w:rsidR="0043413A" w:rsidRDefault="0043413A" w:rsidP="0043413A">
      <w:r>
        <w:t>&lt;ESMA_QUESTION_SFTR_21&gt;</w:t>
      </w:r>
    </w:p>
    <w:p w:rsidR="0043413A" w:rsidRDefault="0043413A" w:rsidP="0043413A">
      <w:permStart w:id="2068579904" w:edGrp="everyone"/>
      <w:r>
        <w:t>TYPE YOUR TEXT HERE</w:t>
      </w:r>
    </w:p>
    <w:permEnd w:id="2068579904"/>
    <w:p w:rsidR="0043413A" w:rsidRDefault="0043413A" w:rsidP="0043413A">
      <w:r>
        <w:t>&lt;ESMA_QUESTION_SFTR_21&gt;</w:t>
      </w:r>
    </w:p>
    <w:p w:rsidR="0043413A" w:rsidRDefault="0043413A" w:rsidP="0043413A"/>
    <w:p w:rsidR="0043413A" w:rsidRPr="00943DDF" w:rsidRDefault="0043413A" w:rsidP="0043413A">
      <w:pPr>
        <w:pStyle w:val="Questionstyle"/>
        <w:numPr>
          <w:ilvl w:val="0"/>
          <w:numId w:val="40"/>
        </w:numPr>
      </w:pPr>
      <w:r w:rsidRPr="00943DDF">
        <w:t>What potential issues do reporting counterparties face regarding the reporting of the market value of the securities on loan or borrowed?</w:t>
      </w:r>
    </w:p>
    <w:p w:rsidR="0043413A" w:rsidRDefault="0043413A" w:rsidP="0043413A">
      <w:r>
        <w:t>&lt;ESMA_QUESTION_SFTR_22&gt;</w:t>
      </w:r>
    </w:p>
    <w:p w:rsidR="0043413A" w:rsidRDefault="0043413A" w:rsidP="0043413A">
      <w:permStart w:id="2048419979" w:edGrp="everyone"/>
      <w:r>
        <w:t>TYPE YOUR TEXT HERE</w:t>
      </w:r>
    </w:p>
    <w:permEnd w:id="2048419979"/>
    <w:p w:rsidR="0043413A" w:rsidRDefault="0043413A" w:rsidP="0043413A">
      <w:r>
        <w:t>&lt;ESMA_QUESTION_SFTR_22&gt;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uncollateralised SFTs? Please elaborate.</w:t>
      </w:r>
    </w:p>
    <w:p w:rsidR="0043413A" w:rsidRDefault="0043413A" w:rsidP="0043413A">
      <w:r>
        <w:t>&lt;ESMA_QUESTION_SFTR_23&gt;</w:t>
      </w:r>
    </w:p>
    <w:p w:rsidR="0043413A" w:rsidRDefault="0043413A" w:rsidP="0043413A">
      <w:permStart w:id="1987523686" w:edGrp="everyone"/>
      <w:r>
        <w:t>TYPE YOUR TEXT HERE</w:t>
      </w:r>
    </w:p>
    <w:permEnd w:id="1987523686"/>
    <w:p w:rsidR="0043413A" w:rsidRDefault="0043413A" w:rsidP="0043413A">
      <w:r>
        <w:t>&lt;ESMA_QUESTION_SFTR_23&gt;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SFTs involving commodities? Please elaborate.</w:t>
      </w:r>
    </w:p>
    <w:p w:rsidR="0043413A" w:rsidRDefault="0043413A" w:rsidP="0043413A">
      <w:r>
        <w:t>&lt;ESMA_QUESTION_SFTR_24&gt;</w:t>
      </w:r>
    </w:p>
    <w:p w:rsidR="0043413A" w:rsidRDefault="0043413A" w:rsidP="0043413A">
      <w:permStart w:id="1947995989" w:edGrp="everyone"/>
      <w:r>
        <w:t>TYPE YOUR TEXT HERE</w:t>
      </w:r>
    </w:p>
    <w:permEnd w:id="1947995989"/>
    <w:p w:rsidR="0043413A" w:rsidRDefault="0043413A" w:rsidP="0043413A">
      <w:r>
        <w:t>&lt;ESMA_QUESTION_SFTR_24&gt;</w:t>
      </w:r>
    </w:p>
    <w:p w:rsidR="0043413A" w:rsidRDefault="0043413A" w:rsidP="0043413A"/>
    <w:p w:rsidR="0043413A" w:rsidRPr="00943DDF" w:rsidRDefault="0043413A" w:rsidP="0043413A">
      <w:pPr>
        <w:pStyle w:val="Questionstyle"/>
        <w:numPr>
          <w:ilvl w:val="0"/>
          <w:numId w:val="40"/>
        </w:numPr>
      </w:pPr>
      <w:r w:rsidRPr="00943DDF">
        <w:t>Are there any obstacles to daily position reporting by margin lending counterparties? Do prime brokers provide information to their clients about intraday margin loans?</w:t>
      </w:r>
    </w:p>
    <w:p w:rsidR="0043413A" w:rsidRDefault="0043413A" w:rsidP="0043413A">
      <w:r>
        <w:t>&lt;ESMA_QUESTION_SFTR_25&gt;</w:t>
      </w:r>
    </w:p>
    <w:p w:rsidR="0043413A" w:rsidRDefault="0043413A" w:rsidP="0043413A">
      <w:permStart w:id="342440333" w:edGrp="everyone"/>
      <w:r>
        <w:t>TYPE YOUR TEXT HERE</w:t>
      </w:r>
    </w:p>
    <w:permEnd w:id="342440333"/>
    <w:p w:rsidR="0043413A" w:rsidRDefault="0043413A" w:rsidP="0043413A">
      <w:r>
        <w:t>&lt;ESMA_QUESTION_SFTR_25&gt;</w:t>
      </w:r>
    </w:p>
    <w:p w:rsidR="0043413A" w:rsidRDefault="0043413A" w:rsidP="0043413A"/>
    <w:p w:rsidR="0043413A" w:rsidRPr="00943DDF" w:rsidRDefault="0043413A" w:rsidP="0043413A">
      <w:pPr>
        <w:pStyle w:val="Questionstyle"/>
        <w:numPr>
          <w:ilvl w:val="0"/>
          <w:numId w:val="40"/>
        </w:numPr>
      </w:pPr>
      <w:r w:rsidRPr="00943DDF">
        <w:lastRenderedPageBreak/>
        <w:t>Which kind of guarantees or indemnifications exist in relationship to prime brokerage margin lending? Are there other parties possibly involved in a margin loan? Please provide an example.</w:t>
      </w:r>
    </w:p>
    <w:p w:rsidR="0043413A" w:rsidRDefault="0043413A" w:rsidP="0043413A">
      <w:r>
        <w:t>&lt;ESMA_QUESTION_SFTR_26&gt;</w:t>
      </w:r>
    </w:p>
    <w:p w:rsidR="0043413A" w:rsidRDefault="0043413A" w:rsidP="0043413A">
      <w:permStart w:id="1260734073" w:edGrp="everyone"/>
      <w:r>
        <w:t>TYPE YOUR TEXT HERE</w:t>
      </w:r>
    </w:p>
    <w:permEnd w:id="1260734073"/>
    <w:p w:rsidR="0043413A" w:rsidRDefault="0043413A" w:rsidP="0043413A">
      <w:r>
        <w:t>&lt;ESMA_QUESTION_SFTR_26&gt;</w:t>
      </w:r>
    </w:p>
    <w:p w:rsidR="0043413A" w:rsidRDefault="0043413A" w:rsidP="0043413A"/>
    <w:p w:rsidR="0043413A" w:rsidRPr="00943DDF" w:rsidRDefault="0043413A" w:rsidP="0043413A">
      <w:pPr>
        <w:pStyle w:val="Questionstyle"/>
        <w:numPr>
          <w:ilvl w:val="0"/>
          <w:numId w:val="40"/>
        </w:numPr>
      </w:pPr>
      <w:r w:rsidRPr="00943DDF">
        <w:t>What types of loans or activities, other than prime brokerage margin lending, would be captured in the scope of margin lending under the SFTR definition? Please provide details on their nature, their objective(s), the execution and settlement, the parties involved, the existing reporting regimes that these may already be subject to, as well as any other information that you deem relevant for the purpose of reporting.</w:t>
      </w:r>
    </w:p>
    <w:p w:rsidR="0043413A" w:rsidRDefault="0043413A" w:rsidP="0043413A">
      <w:r>
        <w:t>&lt;ESMA_QUESTION_SFTR_27&gt;</w:t>
      </w:r>
    </w:p>
    <w:p w:rsidR="0043413A" w:rsidRDefault="0043413A" w:rsidP="0043413A">
      <w:permStart w:id="1475021686" w:edGrp="everyone"/>
      <w:r>
        <w:t>TYPE YOUR TEXT HERE</w:t>
      </w:r>
    </w:p>
    <w:permEnd w:id="1475021686"/>
    <w:p w:rsidR="0043413A" w:rsidRDefault="0043413A" w:rsidP="0043413A">
      <w:r>
        <w:t>&lt;ESMA_QUESTION_SFTR_27&gt;</w:t>
      </w:r>
    </w:p>
    <w:p w:rsidR="0043413A" w:rsidRDefault="0043413A" w:rsidP="0043413A"/>
    <w:p w:rsidR="0043413A" w:rsidRPr="00943DDF" w:rsidRDefault="0043413A" w:rsidP="0043413A">
      <w:pPr>
        <w:pStyle w:val="Questionstyle"/>
        <w:numPr>
          <w:ilvl w:val="0"/>
          <w:numId w:val="40"/>
        </w:numPr>
      </w:pPr>
      <w:r w:rsidRPr="00943DDF">
        <w:t>Are there any obstacles to the collection of data on the amount of margin financing available and outstanding margin balance? Are there any alternatives to collect data on “Free credit balances”, as required by the FSB? Please provide an example.</w:t>
      </w:r>
    </w:p>
    <w:p w:rsidR="0043413A" w:rsidRDefault="0043413A" w:rsidP="0043413A">
      <w:r>
        <w:t>&lt;ESMA_QUESTION_SFTR_28&gt;</w:t>
      </w:r>
    </w:p>
    <w:p w:rsidR="0043413A" w:rsidRDefault="0043413A" w:rsidP="0043413A">
      <w:permStart w:id="1108875543" w:edGrp="everyone"/>
      <w:r>
        <w:t>TYPE YOUR TEXT HERE</w:t>
      </w:r>
    </w:p>
    <w:permEnd w:id="1108875543"/>
    <w:p w:rsidR="0043413A" w:rsidRDefault="0043413A" w:rsidP="0043413A">
      <w:r>
        <w:t>&lt;ESMA_QUESTION_SFTR_28&gt;</w:t>
      </w:r>
    </w:p>
    <w:p w:rsidR="0043413A" w:rsidRDefault="0043413A" w:rsidP="0043413A"/>
    <w:p w:rsidR="0043413A" w:rsidRPr="00943DDF" w:rsidRDefault="0043413A" w:rsidP="0043413A">
      <w:pPr>
        <w:pStyle w:val="Questionstyle"/>
        <w:numPr>
          <w:ilvl w:val="0"/>
          <w:numId w:val="40"/>
        </w:numPr>
      </w:pPr>
      <w:r w:rsidRPr="00943DDF">
        <w:t>Are there any obstacles to the reporting of (positive or negative) cash balances in the context of margin lending?</w:t>
      </w:r>
    </w:p>
    <w:p w:rsidR="0043413A" w:rsidRDefault="0043413A" w:rsidP="0043413A">
      <w:r>
        <w:t>&lt;ESMA_QUESTION_SFTR_29&gt;</w:t>
      </w:r>
    </w:p>
    <w:p w:rsidR="0043413A" w:rsidRDefault="0043413A" w:rsidP="0043413A">
      <w:permStart w:id="1804619953" w:edGrp="everyone"/>
      <w:r>
        <w:t>TYPE YOUR TEXT HERE</w:t>
      </w:r>
    </w:p>
    <w:permEnd w:id="1804619953"/>
    <w:p w:rsidR="0043413A" w:rsidRDefault="0043413A" w:rsidP="0043413A">
      <w:r>
        <w:t>&lt;ESMA_QUESTION_SFTR_29&gt;</w:t>
      </w:r>
    </w:p>
    <w:p w:rsidR="0043413A" w:rsidRDefault="0043413A" w:rsidP="0043413A"/>
    <w:p w:rsidR="0043413A" w:rsidRPr="00943DDF" w:rsidRDefault="0043413A" w:rsidP="0043413A">
      <w:pPr>
        <w:pStyle w:val="Questionstyle"/>
        <w:numPr>
          <w:ilvl w:val="0"/>
          <w:numId w:val="40"/>
        </w:numPr>
      </w:pPr>
      <w:r w:rsidRPr="00943DDF">
        <w:t>Are data elements on margin financing available and outstanding balances relevant for margin loans outside the prime brokerage context? Please provide examples.</w:t>
      </w:r>
    </w:p>
    <w:p w:rsidR="0043413A" w:rsidRDefault="0043413A" w:rsidP="0043413A">
      <w:r>
        <w:t>&lt;ESMA_QUESTION_SFTR_30&gt;</w:t>
      </w:r>
    </w:p>
    <w:p w:rsidR="0043413A" w:rsidRDefault="0043413A" w:rsidP="0043413A">
      <w:permStart w:id="684077977" w:edGrp="everyone"/>
      <w:r>
        <w:t>TYPE YOUR TEXT HERE</w:t>
      </w:r>
    </w:p>
    <w:permEnd w:id="684077977"/>
    <w:p w:rsidR="0043413A" w:rsidRDefault="0043413A" w:rsidP="0043413A">
      <w:r>
        <w:t>&lt;ESMA_QUESTION_SFTR_30&gt;</w:t>
      </w:r>
    </w:p>
    <w:p w:rsidR="0043413A" w:rsidRDefault="0043413A" w:rsidP="0043413A"/>
    <w:p w:rsidR="0043413A" w:rsidRPr="00943DDF" w:rsidRDefault="0043413A" w:rsidP="0043413A">
      <w:pPr>
        <w:pStyle w:val="Questionstyle"/>
        <w:numPr>
          <w:ilvl w:val="0"/>
          <w:numId w:val="40"/>
        </w:numPr>
      </w:pPr>
      <w:r w:rsidRPr="00943DDF">
        <w:t>Is the short market value reported to clients at the end of the day part of the position snapshot? What is the typical format and level of granularity included in the information communicated to clients?</w:t>
      </w:r>
    </w:p>
    <w:p w:rsidR="0043413A" w:rsidRDefault="0043413A" w:rsidP="0043413A">
      <w:r>
        <w:t>&lt;ESMA_QUESTION_SFTR_31&gt;</w:t>
      </w:r>
    </w:p>
    <w:p w:rsidR="0043413A" w:rsidRDefault="0043413A" w:rsidP="0043413A">
      <w:permStart w:id="521232150" w:edGrp="everyone"/>
      <w:r>
        <w:t>TYPE YOUR TEXT HERE</w:t>
      </w:r>
    </w:p>
    <w:permEnd w:id="521232150"/>
    <w:p w:rsidR="0043413A" w:rsidRDefault="0043413A" w:rsidP="0043413A">
      <w:r>
        <w:t>&lt;ESMA_QUESTION_SFTR_31&gt;</w:t>
      </w:r>
    </w:p>
    <w:p w:rsidR="0043413A" w:rsidRDefault="0043413A" w:rsidP="0043413A"/>
    <w:p w:rsidR="0043413A" w:rsidRPr="00943DDF" w:rsidRDefault="0043413A" w:rsidP="0043413A">
      <w:pPr>
        <w:pStyle w:val="Questionstyle"/>
        <w:numPr>
          <w:ilvl w:val="0"/>
          <w:numId w:val="40"/>
        </w:numPr>
      </w:pPr>
      <w:r w:rsidRPr="00943DDF">
        <w:lastRenderedPageBreak/>
        <w:t>Is the data element on short market value relevant for margin loans outside the prime brokerage context? Please provide examples.</w:t>
      </w:r>
    </w:p>
    <w:p w:rsidR="0043413A" w:rsidRDefault="0043413A" w:rsidP="0043413A">
      <w:r>
        <w:t>&lt;ESMA_QUESTION_SFTR_32&gt;</w:t>
      </w:r>
    </w:p>
    <w:p w:rsidR="0043413A" w:rsidRDefault="0043413A" w:rsidP="0043413A">
      <w:permStart w:id="1735655482" w:edGrp="everyone"/>
      <w:r>
        <w:t>TYPE YOUR TEXT HERE</w:t>
      </w:r>
    </w:p>
    <w:permEnd w:id="1735655482"/>
    <w:p w:rsidR="0043413A" w:rsidRDefault="0043413A" w:rsidP="0043413A">
      <w:r>
        <w:t>&lt;ESMA_QUESTION_SFTR_32&gt;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SFT reports? If not, how you would consider that the reporting of reuse and margin should be organised? Please provide specific examples.</w:t>
      </w:r>
    </w:p>
    <w:p w:rsidR="0043413A" w:rsidRDefault="0043413A" w:rsidP="0043413A">
      <w:r>
        <w:t>&lt;ESMA_QUESTION_SFTR_33&gt;</w:t>
      </w:r>
    </w:p>
    <w:p w:rsidR="0043413A" w:rsidRDefault="0043413A" w:rsidP="0043413A">
      <w:permStart w:id="1890716858" w:edGrp="everyone"/>
    </w:p>
    <w:p w:rsidR="001B0B50" w:rsidRPr="0037001A" w:rsidRDefault="001B0B50" w:rsidP="001B0B50">
      <w:pPr>
        <w:rPr>
          <w:rFonts w:cs="Arial"/>
          <w:szCs w:val="20"/>
        </w:rPr>
      </w:pPr>
      <w:r w:rsidRPr="0037001A">
        <w:rPr>
          <w:rFonts w:cs="Arial"/>
          <w:szCs w:val="20"/>
        </w:rPr>
        <w:t xml:space="preserve">We </w:t>
      </w:r>
      <w:r>
        <w:rPr>
          <w:rFonts w:cs="Arial"/>
          <w:szCs w:val="20"/>
        </w:rPr>
        <w:t xml:space="preserve">generally </w:t>
      </w:r>
      <w:r w:rsidRPr="0037001A">
        <w:rPr>
          <w:rFonts w:cs="Arial"/>
          <w:szCs w:val="20"/>
        </w:rPr>
        <w:t xml:space="preserve">agree with the proposed structure of the reports and the grouping of the data into four subsets. </w:t>
      </w:r>
      <w:r>
        <w:rPr>
          <w:rFonts w:cs="Arial"/>
          <w:szCs w:val="20"/>
        </w:rPr>
        <w:t>We would however recommend that a separate table be added for the margining of bilateral trades to avoid any ambiguities with collateral updates.</w:t>
      </w:r>
      <w:r w:rsidRPr="0037001A">
        <w:rPr>
          <w:rFonts w:cs="Arial"/>
          <w:szCs w:val="20"/>
        </w:rPr>
        <w:t xml:space="preserve"> </w:t>
      </w:r>
    </w:p>
    <w:p w:rsidR="001B0B50" w:rsidRDefault="001B0B50" w:rsidP="001B0B50">
      <w:pPr>
        <w:rPr>
          <w:rFonts w:cs="Arial"/>
          <w:szCs w:val="20"/>
        </w:rPr>
      </w:pPr>
    </w:p>
    <w:p w:rsidR="001B0B50" w:rsidRDefault="001B0B50" w:rsidP="001B0B50">
      <w:r w:rsidRPr="0037001A">
        <w:rPr>
          <w:rFonts w:cs="Arial"/>
          <w:szCs w:val="20"/>
        </w:rPr>
        <w:t>As a more general comment related to the format of the reporting tables annexed to the draft RTS and ITS, we would find it helpful if ESMA could provide separate tables for each type of</w:t>
      </w:r>
      <w:r w:rsidRPr="0037001A">
        <w:rPr>
          <w:rFonts w:cs="Arial"/>
        </w:rPr>
        <w:t xml:space="preserve"> SFT.</w:t>
      </w:r>
    </w:p>
    <w:p w:rsidR="001B0B50" w:rsidRDefault="001B0B50" w:rsidP="0043413A"/>
    <w:permEnd w:id="1890716858"/>
    <w:p w:rsidR="0043413A" w:rsidRDefault="0043413A" w:rsidP="0043413A">
      <w:r>
        <w:t>&lt;ESMA_QUESTION_SFTR_33&gt;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re-use information as a separate report and not as part of the counterparty data? Please elaborate.</w:t>
      </w:r>
    </w:p>
    <w:p w:rsidR="0043413A" w:rsidRDefault="0043413A" w:rsidP="0043413A">
      <w:r>
        <w:t>&lt;ESMA_QUESTION_SFTR_34&gt;</w:t>
      </w:r>
    </w:p>
    <w:p w:rsidR="0043413A" w:rsidRDefault="0043413A" w:rsidP="0043413A">
      <w:permStart w:id="1822436584" w:edGrp="everyone"/>
    </w:p>
    <w:p w:rsidR="001B0B50" w:rsidRDefault="001B0B50" w:rsidP="001B0B50">
      <w:pPr>
        <w:rPr>
          <w:rFonts w:cs="Arial"/>
          <w:szCs w:val="20"/>
        </w:rPr>
      </w:pPr>
      <w:r>
        <w:rPr>
          <w:rFonts w:cs="Arial"/>
          <w:szCs w:val="20"/>
        </w:rPr>
        <w:t>As a general remark, we would like to stress again that the reporting of re-use as such will require very substantial implementation costs and create important challenges. We would urge ESMA to carefully consider these costs when drawing up the final standards. That said, w</w:t>
      </w:r>
      <w:r w:rsidRPr="004E614A">
        <w:rPr>
          <w:rFonts w:cs="Arial"/>
          <w:szCs w:val="20"/>
        </w:rPr>
        <w:t>e agree with the proposal to include a separate section for the reporting of re-use data.</w:t>
      </w:r>
      <w:r>
        <w:rPr>
          <w:rFonts w:cs="Arial"/>
          <w:szCs w:val="20"/>
        </w:rPr>
        <w:t xml:space="preserve"> Separate reporting would seem more logical. </w:t>
      </w:r>
      <w:r w:rsidRPr="00973D37">
        <w:rPr>
          <w:rFonts w:cs="Arial"/>
          <w:szCs w:val="20"/>
        </w:rPr>
        <w:t>A single report will ensure that re-use is captured across every business and every system at a single point in time. This will prevent duplication, timing issues and reconciliation differences.</w:t>
      </w:r>
    </w:p>
    <w:p w:rsidR="001B0B50" w:rsidRDefault="001B0B50" w:rsidP="001B0B50">
      <w:pPr>
        <w:rPr>
          <w:rFonts w:cs="Arial"/>
          <w:szCs w:val="20"/>
        </w:rPr>
      </w:pPr>
    </w:p>
    <w:p w:rsidR="001B0B50" w:rsidRDefault="001B0B50" w:rsidP="001B0B50">
      <w:r w:rsidRPr="00973D37">
        <w:rPr>
          <w:rFonts w:cs="Arial"/>
          <w:szCs w:val="20"/>
        </w:rPr>
        <w:t>On the specific data fields, we would like to ask ESMA to provide clear guidance as to which fields are required where</w:t>
      </w:r>
      <w:r>
        <w:rPr>
          <w:rFonts w:cs="Arial"/>
          <w:szCs w:val="20"/>
        </w:rPr>
        <w:t>:</w:t>
      </w:r>
      <w:r w:rsidRPr="00973D37">
        <w:rPr>
          <w:rFonts w:cs="Arial"/>
          <w:szCs w:val="20"/>
        </w:rPr>
        <w:t xml:space="preserve"> (a) assets are distinguishable and (b) where they are not. This needs to be clear</w:t>
      </w:r>
      <w:r>
        <w:rPr>
          <w:rFonts w:cs="Arial"/>
          <w:szCs w:val="20"/>
        </w:rPr>
        <w:t>ly indicated in</w:t>
      </w:r>
      <w:r w:rsidRPr="00973D37">
        <w:rPr>
          <w:rFonts w:cs="Arial"/>
          <w:szCs w:val="20"/>
        </w:rPr>
        <w:t xml:space="preserve"> the reporting template</w:t>
      </w:r>
      <w:r>
        <w:rPr>
          <w:rFonts w:cs="Arial"/>
          <w:szCs w:val="20"/>
        </w:rPr>
        <w:t>s</w:t>
      </w:r>
      <w:r w:rsidRPr="00973D37">
        <w:rPr>
          <w:rFonts w:cs="Arial"/>
          <w:szCs w:val="20"/>
        </w:rPr>
        <w:t xml:space="preserve">. Please also see our more detailed comments </w:t>
      </w:r>
      <w:r>
        <w:rPr>
          <w:rFonts w:cs="Arial"/>
          <w:szCs w:val="20"/>
        </w:rPr>
        <w:t>on re-use data in the attached Excel</w:t>
      </w:r>
      <w:r w:rsidRPr="00973D37">
        <w:rPr>
          <w:rFonts w:cs="Arial"/>
          <w:szCs w:val="20"/>
        </w:rPr>
        <w:t xml:space="preserve"> file.</w:t>
      </w:r>
    </w:p>
    <w:p w:rsidR="001B0B50" w:rsidRDefault="001B0B50" w:rsidP="0043413A"/>
    <w:permEnd w:id="1822436584"/>
    <w:p w:rsidR="0043413A" w:rsidRDefault="0043413A" w:rsidP="0043413A">
      <w:r>
        <w:t>&lt;ESMA_QUESTION_SFTR_34&gt;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margin information as a separate report and not as part of the counterparty data? Please elaborate.</w:t>
      </w:r>
    </w:p>
    <w:p w:rsidR="0043413A" w:rsidRDefault="0043413A" w:rsidP="0043413A">
      <w:r>
        <w:t>&lt;ESMA_QUESTION_SFTR_35&gt;</w:t>
      </w:r>
    </w:p>
    <w:p w:rsidR="0043413A" w:rsidRDefault="0043413A" w:rsidP="0043413A">
      <w:permStart w:id="68294510" w:edGrp="everyone"/>
    </w:p>
    <w:p w:rsidR="001B0B50" w:rsidRDefault="001B0B50" w:rsidP="001B0B50">
      <w:pPr>
        <w:rPr>
          <w:rFonts w:cs="Arial"/>
          <w:szCs w:val="20"/>
        </w:rPr>
      </w:pPr>
      <w:r w:rsidRPr="004E614A">
        <w:rPr>
          <w:rFonts w:cs="Arial"/>
          <w:szCs w:val="20"/>
        </w:rPr>
        <w:t>We agree with the propos</w:t>
      </w:r>
      <w:r>
        <w:rPr>
          <w:rFonts w:cs="Arial"/>
          <w:szCs w:val="20"/>
        </w:rPr>
        <w:t>al to include a separate report</w:t>
      </w:r>
      <w:r w:rsidRPr="004E614A">
        <w:rPr>
          <w:rFonts w:cs="Arial"/>
          <w:szCs w:val="20"/>
        </w:rPr>
        <w:t xml:space="preserve"> </w:t>
      </w:r>
      <w:r>
        <w:rPr>
          <w:rFonts w:cs="Arial"/>
          <w:szCs w:val="20"/>
        </w:rPr>
        <w:t>for the reporting of margin information in relation to CCP-cleared SFTs</w:t>
      </w:r>
      <w:r w:rsidRPr="004E614A">
        <w:rPr>
          <w:rFonts w:cs="Arial"/>
          <w:szCs w:val="20"/>
        </w:rPr>
        <w:t>.</w:t>
      </w:r>
      <w:r>
        <w:rPr>
          <w:rFonts w:cs="Arial"/>
          <w:szCs w:val="20"/>
        </w:rPr>
        <w:t xml:space="preserve"> A separate section for margin information would seem logical and should not cause significant costs. As pointed out in our response to Q8, this information should be provided directly by CCPs and not separately required by other counterparties.</w:t>
      </w:r>
    </w:p>
    <w:p w:rsidR="001B0B50" w:rsidRDefault="001B0B50" w:rsidP="001B0B50">
      <w:pPr>
        <w:rPr>
          <w:rFonts w:cs="Arial"/>
          <w:szCs w:val="20"/>
        </w:rPr>
      </w:pPr>
    </w:p>
    <w:p w:rsidR="001B0B50" w:rsidRDefault="001B0B50" w:rsidP="001B0B50">
      <w:r>
        <w:rPr>
          <w:rFonts w:cs="Arial"/>
          <w:szCs w:val="20"/>
        </w:rPr>
        <w:t xml:space="preserve">In addition, the reporting of margin for bilateral trades would also seem to be more appropriately done through a separate report. The current proposal to capture bilateral margining through collateral updates is </w:t>
      </w:r>
      <w:r>
        <w:rPr>
          <w:rFonts w:cs="Arial"/>
          <w:szCs w:val="20"/>
        </w:rPr>
        <w:lastRenderedPageBreak/>
        <w:t xml:space="preserve">likely to lead to confusion and create implementation challenges given that many of the fields specified in the loan and collateral data table do not apply to margining. A cleaner and more appropriate solution would thus appear to be a separate report for the provision of this information. As mentioned in our response to </w:t>
      </w:r>
      <w:r w:rsidRPr="0033117D">
        <w:rPr>
          <w:rFonts w:cs="Arial"/>
          <w:szCs w:val="20"/>
        </w:rPr>
        <w:t>Q7</w:t>
      </w:r>
      <w:r>
        <w:rPr>
          <w:rFonts w:cs="Arial"/>
          <w:szCs w:val="20"/>
        </w:rPr>
        <w:t xml:space="preserve"> and </w:t>
      </w:r>
      <w:proofErr w:type="gramStart"/>
      <w:r>
        <w:rPr>
          <w:rFonts w:cs="Arial"/>
          <w:szCs w:val="20"/>
        </w:rPr>
        <w:t>similar to</w:t>
      </w:r>
      <w:proofErr w:type="gramEnd"/>
      <w:r>
        <w:rPr>
          <w:rFonts w:cs="Arial"/>
          <w:szCs w:val="20"/>
        </w:rPr>
        <w:t xml:space="preserve"> the margin reporting for CCP-cleared SFTs, this information would require reporting on a position level. Otherwise, the two reports should be separate given the differences between bilateral and CCP-cleared SFTs.</w:t>
      </w:r>
    </w:p>
    <w:p w:rsidR="001B0B50" w:rsidRDefault="001B0B50" w:rsidP="0043413A"/>
    <w:permEnd w:id="68294510"/>
    <w:p w:rsidR="0043413A" w:rsidRDefault="0043413A" w:rsidP="0043413A">
      <w:r>
        <w:t>&lt;ESMA_QUESTION_SFTR_35&gt;</w:t>
      </w:r>
    </w:p>
    <w:p w:rsidR="0043413A" w:rsidRDefault="0043413A" w:rsidP="0043413A"/>
    <w:p w:rsidR="0043413A" w:rsidRPr="00943DDF" w:rsidRDefault="0043413A" w:rsidP="0043413A">
      <w:pPr>
        <w:pStyle w:val="Questionstyle"/>
        <w:numPr>
          <w:ilvl w:val="0"/>
          <w:numId w:val="40"/>
        </w:numPr>
      </w:pPr>
      <w:r w:rsidRPr="00943DDF">
        <w:t>Are there any fields which in your view should be moved from the Counterparty to the Trade-related data or vice-versa? If so, please specify the fields clarifying why they should be moved.</w:t>
      </w:r>
    </w:p>
    <w:p w:rsidR="0043413A" w:rsidRDefault="0043413A" w:rsidP="0043413A">
      <w:r>
        <w:t>&lt;ESMA_QUESTION_SFTR_36&gt;</w:t>
      </w:r>
    </w:p>
    <w:p w:rsidR="0043413A" w:rsidRDefault="0043413A" w:rsidP="0043413A">
      <w:permStart w:id="1311854832" w:edGrp="everyone"/>
    </w:p>
    <w:p w:rsidR="001B0B50" w:rsidRPr="001B0B50" w:rsidRDefault="001B0B50" w:rsidP="0043413A">
      <w:pPr>
        <w:rPr>
          <w:rFonts w:cs="Arial"/>
          <w:szCs w:val="20"/>
        </w:rPr>
      </w:pPr>
      <w:r>
        <w:rPr>
          <w:rFonts w:cs="Arial"/>
          <w:szCs w:val="20"/>
        </w:rPr>
        <w:t>See</w:t>
      </w:r>
      <w:r w:rsidRPr="00314E81">
        <w:rPr>
          <w:rFonts w:cs="Arial"/>
          <w:szCs w:val="20"/>
        </w:rPr>
        <w:t xml:space="preserve"> detailed comments in the</w:t>
      </w:r>
      <w:r>
        <w:rPr>
          <w:rFonts w:cs="Arial"/>
          <w:szCs w:val="20"/>
        </w:rPr>
        <w:t xml:space="preserve"> attached Excel table. </w:t>
      </w:r>
    </w:p>
    <w:p w:rsidR="001B0B50" w:rsidRDefault="001B0B50" w:rsidP="0043413A"/>
    <w:permEnd w:id="1311854832"/>
    <w:p w:rsidR="0043413A" w:rsidRDefault="0043413A" w:rsidP="0043413A">
      <w:r>
        <w:t>&lt;ESMA_QUESTION_SFTR_36&gt;</w:t>
      </w:r>
    </w:p>
    <w:p w:rsidR="0043413A" w:rsidRDefault="0043413A" w:rsidP="0043413A"/>
    <w:p w:rsidR="0043413A" w:rsidRPr="00943DDF" w:rsidRDefault="0043413A" w:rsidP="0043413A">
      <w:pPr>
        <w:pStyle w:val="Questionstyle"/>
        <w:numPr>
          <w:ilvl w:val="0"/>
          <w:numId w:val="40"/>
        </w:numPr>
      </w:pPr>
      <w:r w:rsidRPr="00943DDF">
        <w:t>Is Triparty agent expected to be the same for both counterparties in all cases? If not, please specify in which circumstances it can be different.</w:t>
      </w:r>
    </w:p>
    <w:p w:rsidR="0043413A" w:rsidRDefault="0043413A" w:rsidP="0043413A">
      <w:r>
        <w:t>&lt;ESMA_QUESTION_SFTR_37&gt;</w:t>
      </w:r>
    </w:p>
    <w:p w:rsidR="0043413A" w:rsidRDefault="0043413A" w:rsidP="0043413A">
      <w:permStart w:id="1573551017" w:edGrp="everyone"/>
    </w:p>
    <w:p w:rsidR="001B0B50" w:rsidRDefault="001B0B50" w:rsidP="001B0B50">
      <w:pPr>
        <w:rPr>
          <w:rFonts w:cs="Arial"/>
          <w:szCs w:val="20"/>
        </w:rPr>
      </w:pPr>
      <w:r w:rsidRPr="00284A62">
        <w:rPr>
          <w:rFonts w:cs="Arial"/>
          <w:szCs w:val="20"/>
        </w:rPr>
        <w:t>Usually yes, but this is not necessarily the case where interoperability arrangements exist between tri-party agents. We note that there are ongoing initiatives by the relevant providers to develop interoperable solutions which may gain further traction in the future.</w:t>
      </w:r>
    </w:p>
    <w:p w:rsidR="001B0B50" w:rsidRDefault="001B0B50" w:rsidP="001B0B50">
      <w:pPr>
        <w:rPr>
          <w:rFonts w:cs="Arial"/>
          <w:szCs w:val="20"/>
        </w:rPr>
      </w:pPr>
    </w:p>
    <w:p w:rsidR="001B0B50" w:rsidRPr="001B0B50" w:rsidRDefault="001B0B50" w:rsidP="001B0B50">
      <w:pPr>
        <w:rPr>
          <w:b/>
        </w:rPr>
      </w:pPr>
      <w:r>
        <w:rPr>
          <w:rFonts w:cs="Arial"/>
          <w:szCs w:val="20"/>
        </w:rPr>
        <w:t>More generally</w:t>
      </w:r>
      <w:r w:rsidRPr="0033117D">
        <w:rPr>
          <w:rFonts w:cs="Arial"/>
          <w:szCs w:val="20"/>
        </w:rPr>
        <w:t xml:space="preserve">, </w:t>
      </w:r>
      <w:r>
        <w:rPr>
          <w:rFonts w:cs="Arial"/>
          <w:szCs w:val="20"/>
        </w:rPr>
        <w:t>it needs to be carefully considered whether the current framework caters sufficiently for the reporting of tri-party trades. As further explained in our response to Q54, our members are concerned that there are some instances</w:t>
      </w:r>
      <w:r w:rsidRPr="0033117D">
        <w:rPr>
          <w:rFonts w:cs="Arial"/>
          <w:szCs w:val="20"/>
        </w:rPr>
        <w:t xml:space="preserve"> </w:t>
      </w:r>
      <w:r>
        <w:rPr>
          <w:rFonts w:cs="Arial"/>
          <w:szCs w:val="20"/>
        </w:rPr>
        <w:t xml:space="preserve">where it is </w:t>
      </w:r>
      <w:r w:rsidRPr="0033117D">
        <w:rPr>
          <w:rFonts w:cs="Arial"/>
          <w:szCs w:val="20"/>
        </w:rPr>
        <w:t>not clear how the p</w:t>
      </w:r>
      <w:r>
        <w:rPr>
          <w:rFonts w:cs="Arial"/>
          <w:szCs w:val="20"/>
        </w:rPr>
        <w:t>roposals can be applied</w:t>
      </w:r>
      <w:r w:rsidRPr="0033117D">
        <w:rPr>
          <w:rFonts w:cs="Arial"/>
          <w:szCs w:val="20"/>
        </w:rPr>
        <w:t>.</w:t>
      </w:r>
      <w:r>
        <w:rPr>
          <w:rFonts w:cs="Arial"/>
          <w:szCs w:val="20"/>
        </w:rPr>
        <w:t xml:space="preserve"> It is important to note that in the case of tri-party repo all collateral management activities are fully outsourced to the tri-party agent, which makes these trades very distinct from other repos. Further guidance is thus needed for tri-party repo, which might include a separate reporting template for this activity.</w:t>
      </w:r>
    </w:p>
    <w:p w:rsidR="001B0B50" w:rsidRDefault="001B0B50" w:rsidP="0043413A"/>
    <w:permEnd w:id="1573551017"/>
    <w:p w:rsidR="0043413A" w:rsidRDefault="0043413A" w:rsidP="0043413A">
      <w:r>
        <w:t>&lt;ESMA_QUESTION_SFTR_37&gt;</w:t>
      </w:r>
    </w:p>
    <w:p w:rsidR="0043413A" w:rsidRDefault="0043413A" w:rsidP="0043413A"/>
    <w:p w:rsidR="0043413A" w:rsidRPr="00943DDF" w:rsidRDefault="0043413A" w:rsidP="0043413A">
      <w:pPr>
        <w:pStyle w:val="Questionstyle"/>
        <w:numPr>
          <w:ilvl w:val="0"/>
          <w:numId w:val="40"/>
        </w:numPr>
      </w:pPr>
      <w:r w:rsidRPr="00943DDF">
        <w:t>Do you agree with the proposed fields included in the attached Excel document? Please provide your comments in the specified column.</w:t>
      </w:r>
    </w:p>
    <w:p w:rsidR="0043413A" w:rsidRDefault="0043413A" w:rsidP="0043413A">
      <w:r>
        <w:t>&lt;ESMA_QUESTION_SFTR_38&gt;</w:t>
      </w:r>
    </w:p>
    <w:p w:rsidR="0043413A" w:rsidRDefault="0043413A" w:rsidP="0043413A">
      <w:permStart w:id="928540089" w:edGrp="everyone"/>
    </w:p>
    <w:p w:rsidR="001B0B50" w:rsidRPr="002C66DC" w:rsidRDefault="001B0B50" w:rsidP="001B0B50">
      <w:pPr>
        <w:rPr>
          <w:rFonts w:cs="Arial"/>
          <w:szCs w:val="20"/>
        </w:rPr>
      </w:pPr>
      <w:r>
        <w:rPr>
          <w:rFonts w:cs="Arial"/>
          <w:szCs w:val="20"/>
        </w:rPr>
        <w:t>See</w:t>
      </w:r>
      <w:r w:rsidRPr="00314E81">
        <w:rPr>
          <w:rFonts w:cs="Arial"/>
          <w:szCs w:val="20"/>
        </w:rPr>
        <w:t xml:space="preserve"> detailed comments in the</w:t>
      </w:r>
      <w:r>
        <w:rPr>
          <w:rFonts w:cs="Arial"/>
          <w:szCs w:val="20"/>
        </w:rPr>
        <w:t xml:space="preserve"> attached Excel table.</w:t>
      </w:r>
    </w:p>
    <w:p w:rsidR="001B0B50" w:rsidRDefault="001B0B50" w:rsidP="001B0B50">
      <w:pPr>
        <w:rPr>
          <w:rFonts w:cs="Arial"/>
          <w:i/>
          <w:szCs w:val="20"/>
        </w:rPr>
      </w:pPr>
    </w:p>
    <w:p w:rsidR="001B0B50" w:rsidRPr="001B0B50" w:rsidRDefault="001B0B50" w:rsidP="0043413A">
      <w:pPr>
        <w:rPr>
          <w:rFonts w:cs="Arial"/>
          <w:b/>
          <w:i/>
          <w:szCs w:val="20"/>
        </w:rPr>
      </w:pPr>
      <w:r>
        <w:rPr>
          <w:rFonts w:cs="Arial"/>
          <w:szCs w:val="20"/>
        </w:rPr>
        <w:t xml:space="preserve">In the table on collateral and loan data </w:t>
      </w:r>
      <w:proofErr w:type="gramStart"/>
      <w:r>
        <w:rPr>
          <w:rFonts w:cs="Arial"/>
          <w:szCs w:val="20"/>
        </w:rPr>
        <w:t>in particular, we</w:t>
      </w:r>
      <w:proofErr w:type="gramEnd"/>
      <w:r>
        <w:rPr>
          <w:rFonts w:cs="Arial"/>
          <w:szCs w:val="20"/>
        </w:rPr>
        <w:t xml:space="preserve"> highlighted a number of proposed fields that appear to be</w:t>
      </w:r>
      <w:r w:rsidRPr="00A61780">
        <w:rPr>
          <w:rFonts w:cs="Arial"/>
          <w:szCs w:val="20"/>
        </w:rPr>
        <w:t xml:space="preserve"> duplicates</w:t>
      </w:r>
      <w:r>
        <w:rPr>
          <w:rFonts w:cs="Arial"/>
          <w:szCs w:val="20"/>
        </w:rPr>
        <w:t>. The field</w:t>
      </w:r>
      <w:r w:rsidRPr="00A61780">
        <w:rPr>
          <w:rFonts w:cs="Arial"/>
          <w:szCs w:val="20"/>
        </w:rPr>
        <w:t xml:space="preserve"> names </w:t>
      </w:r>
      <w:r>
        <w:rPr>
          <w:rFonts w:cs="Arial"/>
          <w:szCs w:val="20"/>
        </w:rPr>
        <w:t>differ across SFT types despite the common format</w:t>
      </w:r>
      <w:r w:rsidRPr="00A61780">
        <w:rPr>
          <w:rFonts w:cs="Arial"/>
          <w:szCs w:val="20"/>
        </w:rPr>
        <w:t xml:space="preserve">. </w:t>
      </w:r>
      <w:r>
        <w:rPr>
          <w:rFonts w:cs="Arial"/>
          <w:szCs w:val="20"/>
        </w:rPr>
        <w:t xml:space="preserve">We strongly encourage ESMA to </w:t>
      </w:r>
      <w:r w:rsidRPr="00A61780">
        <w:rPr>
          <w:rFonts w:cs="Arial"/>
          <w:szCs w:val="20"/>
        </w:rPr>
        <w:t>use commo</w:t>
      </w:r>
      <w:r>
        <w:rPr>
          <w:rFonts w:cs="Arial"/>
          <w:szCs w:val="20"/>
        </w:rPr>
        <w:t>n names and reduce the number of required</w:t>
      </w:r>
      <w:r w:rsidRPr="00A61780">
        <w:rPr>
          <w:rFonts w:cs="Arial"/>
          <w:szCs w:val="20"/>
        </w:rPr>
        <w:t xml:space="preserve"> fields where possible. </w:t>
      </w:r>
      <w:r>
        <w:rPr>
          <w:rFonts w:cs="Arial"/>
          <w:szCs w:val="20"/>
        </w:rPr>
        <w:t>It is not clear why ESMA insists on the need for a common term to indicate the direction of the trade while proposing unnecessary</w:t>
      </w:r>
      <w:r w:rsidRPr="00284A62">
        <w:rPr>
          <w:rFonts w:cs="Arial"/>
          <w:szCs w:val="20"/>
        </w:rPr>
        <w:t xml:space="preserve"> instrument-specific terms here.</w:t>
      </w:r>
    </w:p>
    <w:p w:rsidR="001B0B50" w:rsidRDefault="001B0B50" w:rsidP="0043413A"/>
    <w:permEnd w:id="928540089"/>
    <w:p w:rsidR="0043413A" w:rsidRDefault="0043413A" w:rsidP="0043413A">
      <w:r>
        <w:t>&lt;ESMA_QUESTION_SFTR_38&gt;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proposal to identify the country of the branches with ISO country codes?</w:t>
      </w:r>
    </w:p>
    <w:p w:rsidR="0043413A" w:rsidRDefault="0043413A" w:rsidP="0043413A">
      <w:r>
        <w:t>&lt;ESMA_QUESTION_SFTR_39&gt;</w:t>
      </w:r>
    </w:p>
    <w:p w:rsidR="0043413A" w:rsidRDefault="0043413A" w:rsidP="0043413A">
      <w:permStart w:id="1181378184" w:edGrp="everyone"/>
    </w:p>
    <w:p w:rsidR="001B0B50" w:rsidRDefault="001B0B50" w:rsidP="0043413A">
      <w:r w:rsidRPr="0037001A">
        <w:rPr>
          <w:rFonts w:cs="Arial"/>
          <w:szCs w:val="20"/>
        </w:rPr>
        <w:t>In line with our comments in response to the DP, we maintai</w:t>
      </w:r>
      <w:r>
        <w:rPr>
          <w:rFonts w:cs="Arial"/>
          <w:szCs w:val="20"/>
        </w:rPr>
        <w:t>n our</w:t>
      </w:r>
      <w:r w:rsidRPr="0037001A">
        <w:rPr>
          <w:rFonts w:cs="Arial"/>
          <w:szCs w:val="20"/>
        </w:rPr>
        <w:t xml:space="preserve"> preference for the use of LEI codes for branches once available.</w:t>
      </w:r>
      <w:r>
        <w:rPr>
          <w:rFonts w:cs="Arial"/>
          <w:szCs w:val="20"/>
        </w:rPr>
        <w:t xml:space="preserve"> As also stated previously, if this is not available by the time SFTR reporting starts and if ESMA wants to insist on the identification of branches, we agree that ISO country codes would be an acceptable alternative which is moreover aligned with reporting requirements under EMIR and </w:t>
      </w:r>
      <w:proofErr w:type="spellStart"/>
      <w:r>
        <w:rPr>
          <w:rFonts w:cs="Arial"/>
          <w:szCs w:val="20"/>
        </w:rPr>
        <w:t>MiFIDII</w:t>
      </w:r>
      <w:proofErr w:type="spellEnd"/>
      <w:r>
        <w:rPr>
          <w:rFonts w:cs="Arial"/>
          <w:szCs w:val="20"/>
        </w:rPr>
        <w:t>/R.</w:t>
      </w:r>
    </w:p>
    <w:p w:rsidR="001B0B50" w:rsidRDefault="001B0B50" w:rsidP="0043413A"/>
    <w:permEnd w:id="1181378184"/>
    <w:p w:rsidR="0043413A" w:rsidRDefault="0043413A" w:rsidP="0043413A">
      <w:r>
        <w:t>&lt;ESMA_QUESTION_SFTR_39&gt;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the reporting of information on beneficiaries? If not, what other aspects need to be considered? Please elaborate.</w:t>
      </w:r>
    </w:p>
    <w:p w:rsidR="0043413A" w:rsidRDefault="0043413A" w:rsidP="0043413A">
      <w:r>
        <w:t>&lt;ESMA_QUESTION_SFTR_40&gt;</w:t>
      </w:r>
    </w:p>
    <w:p w:rsidR="0043413A" w:rsidRDefault="0043413A" w:rsidP="0043413A">
      <w:permStart w:id="1316030118" w:edGrp="everyone"/>
    </w:p>
    <w:p w:rsidR="001B0B50" w:rsidRPr="001B0B50" w:rsidRDefault="001B0B50" w:rsidP="0043413A">
      <w:pPr>
        <w:rPr>
          <w:rFonts w:cs="Arial"/>
          <w:szCs w:val="20"/>
        </w:rPr>
      </w:pPr>
      <w:r w:rsidRPr="00610754">
        <w:rPr>
          <w:rFonts w:cs="Arial"/>
          <w:szCs w:val="20"/>
        </w:rPr>
        <w:t>We generally agree with the propo</w:t>
      </w:r>
      <w:r>
        <w:rPr>
          <w:rFonts w:cs="Arial"/>
          <w:szCs w:val="20"/>
        </w:rPr>
        <w:t>sed approach, but note that the concept of beneficiary</w:t>
      </w:r>
      <w:r w:rsidRPr="00610754">
        <w:rPr>
          <w:rFonts w:cs="Arial"/>
          <w:szCs w:val="20"/>
        </w:rPr>
        <w:t xml:space="preserve"> is of </w:t>
      </w:r>
      <w:r>
        <w:rPr>
          <w:rFonts w:cs="Arial"/>
          <w:szCs w:val="20"/>
        </w:rPr>
        <w:t>limited applicability for repo.</w:t>
      </w:r>
    </w:p>
    <w:p w:rsidR="001B0B50" w:rsidRDefault="001B0B50" w:rsidP="0043413A"/>
    <w:permEnd w:id="1316030118"/>
    <w:p w:rsidR="0043413A" w:rsidRDefault="0043413A" w:rsidP="0043413A">
      <w:r>
        <w:t>&lt;ESMA_QUESTION_SFTR_40&gt;</w:t>
      </w:r>
    </w:p>
    <w:p w:rsidR="0043413A" w:rsidRDefault="0043413A" w:rsidP="0043413A"/>
    <w:p w:rsidR="0043413A" w:rsidRPr="00943DDF" w:rsidRDefault="0043413A" w:rsidP="0043413A">
      <w:pPr>
        <w:pStyle w:val="Questionstyle"/>
        <w:numPr>
          <w:ilvl w:val="0"/>
          <w:numId w:val="40"/>
        </w:numPr>
      </w:pPr>
      <w:r w:rsidRPr="00943DDF">
        <w:t>Would exempting CCPs from reporting the Report Tracking Number field would reduce the reporting burden on the industry.</w:t>
      </w:r>
    </w:p>
    <w:p w:rsidR="0043413A" w:rsidRDefault="0043413A" w:rsidP="0043413A">
      <w:r>
        <w:t>&lt;ESMA_QUESTION_SFTR_41&gt;</w:t>
      </w:r>
    </w:p>
    <w:p w:rsidR="0043413A" w:rsidRDefault="0043413A" w:rsidP="0043413A">
      <w:permStart w:id="1620184283" w:edGrp="everyone"/>
    </w:p>
    <w:p w:rsidR="001B0B50" w:rsidRDefault="001B0B50" w:rsidP="001B0B50">
      <w:pPr>
        <w:rPr>
          <w:rFonts w:cs="Arial"/>
          <w:szCs w:val="20"/>
        </w:rPr>
      </w:pPr>
      <w:r w:rsidRPr="0037001A">
        <w:rPr>
          <w:rFonts w:cs="Arial"/>
          <w:szCs w:val="20"/>
        </w:rPr>
        <w:t xml:space="preserve">We agree with </w:t>
      </w:r>
      <w:r>
        <w:rPr>
          <w:rFonts w:cs="Arial"/>
          <w:szCs w:val="20"/>
        </w:rPr>
        <w:t>ESMA’s</w:t>
      </w:r>
      <w:r w:rsidRPr="0037001A">
        <w:rPr>
          <w:rFonts w:cs="Arial"/>
          <w:szCs w:val="20"/>
        </w:rPr>
        <w:t xml:space="preserve"> proposal not to require CCPs to report a Report Tracking Number which they would need to obtain from clearing members. This would clearly be an unnecessary and costly requirement.</w:t>
      </w:r>
      <w:r>
        <w:rPr>
          <w:rFonts w:cs="Arial"/>
          <w:szCs w:val="20"/>
        </w:rPr>
        <w:t xml:space="preserve"> </w:t>
      </w:r>
      <w:r w:rsidRPr="0037001A">
        <w:rPr>
          <w:rFonts w:cs="Arial"/>
          <w:szCs w:val="20"/>
        </w:rPr>
        <w:t xml:space="preserve">More generally though, we would like to remark that the section on the linking of transactions seems to be based on a fundamental misconception about CCP-clearing of </w:t>
      </w:r>
      <w:r>
        <w:rPr>
          <w:rFonts w:cs="Arial"/>
          <w:szCs w:val="20"/>
        </w:rPr>
        <w:t>SFTs as it</w:t>
      </w:r>
      <w:r w:rsidRPr="0037001A">
        <w:rPr>
          <w:rFonts w:cs="Arial"/>
          <w:szCs w:val="20"/>
        </w:rPr>
        <w:t xml:space="preserve"> appears to </w:t>
      </w:r>
      <w:proofErr w:type="gramStart"/>
      <w:r w:rsidRPr="0037001A">
        <w:rPr>
          <w:rFonts w:cs="Arial"/>
          <w:szCs w:val="20"/>
        </w:rPr>
        <w:t>be based on the assumption</w:t>
      </w:r>
      <w:proofErr w:type="gramEnd"/>
      <w:r w:rsidRPr="0037001A">
        <w:rPr>
          <w:rFonts w:cs="Arial"/>
          <w:szCs w:val="20"/>
        </w:rPr>
        <w:t xml:space="preserve"> that there is or is likely to be a client-clearing model in SFTs that works in the same way as client-clearing in derivatives. In Europe, client-clearing of derivatives is a principal model, while in the US it is an agency model. However, although the legal relationships and the contractual framework underpinning the agency and principal models are different, both models are, in practice, broadly similar in terms of the relevant participants’ rights and obligations. Two clients trade with each other and then give up the trades to clearing members, who clear with the CCP. This model does not currently exist for </w:t>
      </w:r>
      <w:r>
        <w:rPr>
          <w:rFonts w:cs="Arial"/>
          <w:szCs w:val="20"/>
        </w:rPr>
        <w:t>repo</w:t>
      </w:r>
      <w:r w:rsidRPr="0037001A">
        <w:rPr>
          <w:rFonts w:cs="Arial"/>
          <w:szCs w:val="20"/>
        </w:rPr>
        <w:t xml:space="preserve"> and</w:t>
      </w:r>
      <w:r>
        <w:rPr>
          <w:rFonts w:cs="Arial"/>
          <w:szCs w:val="20"/>
        </w:rPr>
        <w:t xml:space="preserve"> there does not appear to be any</w:t>
      </w:r>
      <w:r w:rsidRPr="0037001A">
        <w:rPr>
          <w:rFonts w:cs="Arial"/>
          <w:szCs w:val="20"/>
        </w:rPr>
        <w:t xml:space="preserve"> prospect of it being adopted. </w:t>
      </w:r>
      <w:r>
        <w:rPr>
          <w:rFonts w:cs="Arial"/>
          <w:szCs w:val="20"/>
        </w:rPr>
        <w:t>I</w:t>
      </w:r>
      <w:r w:rsidRPr="0037001A">
        <w:rPr>
          <w:rFonts w:cs="Arial"/>
          <w:szCs w:val="20"/>
        </w:rPr>
        <w:t>t seems disproportionate to attempt at this stage to introduce a complex process to link SFTs just to future-proof the SFTR for a clearing model that will very likely not be implemented.</w:t>
      </w:r>
    </w:p>
    <w:p w:rsidR="001B0B50" w:rsidRPr="0037001A" w:rsidRDefault="001B0B50" w:rsidP="001B0B50">
      <w:pPr>
        <w:rPr>
          <w:rFonts w:cs="Arial"/>
          <w:szCs w:val="20"/>
        </w:rPr>
      </w:pPr>
    </w:p>
    <w:p w:rsidR="001B0B50" w:rsidRDefault="001B0B50" w:rsidP="001B0B50">
      <w:r w:rsidRPr="0037001A">
        <w:rPr>
          <w:rFonts w:cs="Arial"/>
          <w:szCs w:val="20"/>
        </w:rPr>
        <w:t xml:space="preserve">We also reiterate our concerns in relation to the duplicate reporting of bilateral trades intended for CCP-clearing. These trades are usually submitted to the CCP immediately and should not be required to be reported separately as bilateral trades for the reasons set out in our response to Q18. </w:t>
      </w:r>
      <w:r>
        <w:rPr>
          <w:rFonts w:cs="Arial"/>
          <w:szCs w:val="20"/>
        </w:rPr>
        <w:t xml:space="preserve">As mentioned, this would also be in line with ESMA’s proposals in paragraph 354. </w:t>
      </w:r>
      <w:proofErr w:type="gramStart"/>
      <w:r>
        <w:rPr>
          <w:rFonts w:cs="Arial"/>
          <w:szCs w:val="20"/>
        </w:rPr>
        <w:t>As a result</w:t>
      </w:r>
      <w:proofErr w:type="gramEnd"/>
      <w:r>
        <w:rPr>
          <w:rFonts w:cs="Arial"/>
          <w:szCs w:val="20"/>
        </w:rPr>
        <w:t xml:space="preserve">, a prior UTI would not be needed in these cases. </w:t>
      </w:r>
      <w:r w:rsidRPr="0037001A">
        <w:rPr>
          <w:rFonts w:cs="Arial"/>
          <w:szCs w:val="20"/>
        </w:rPr>
        <w:t>Only in the exceptional cas</w:t>
      </w:r>
      <w:r>
        <w:rPr>
          <w:rFonts w:cs="Arial"/>
          <w:szCs w:val="20"/>
        </w:rPr>
        <w:t>e where such trades are</w:t>
      </w:r>
      <w:r w:rsidRPr="0037001A">
        <w:rPr>
          <w:rFonts w:cs="Arial"/>
          <w:szCs w:val="20"/>
        </w:rPr>
        <w:t xml:space="preserve"> </w:t>
      </w:r>
      <w:r>
        <w:rPr>
          <w:rFonts w:cs="Arial"/>
          <w:szCs w:val="20"/>
        </w:rPr>
        <w:t>not submitted to the CCP on trade date</w:t>
      </w:r>
      <w:r w:rsidRPr="0037001A">
        <w:rPr>
          <w:rFonts w:cs="Arial"/>
          <w:szCs w:val="20"/>
        </w:rPr>
        <w:t xml:space="preserve">, </w:t>
      </w:r>
      <w:r>
        <w:rPr>
          <w:rFonts w:cs="Arial"/>
          <w:szCs w:val="20"/>
        </w:rPr>
        <w:t>it c</w:t>
      </w:r>
      <w:r w:rsidRPr="0037001A">
        <w:rPr>
          <w:rFonts w:cs="Arial"/>
          <w:szCs w:val="20"/>
        </w:rPr>
        <w:t>ould make sense to require a separate report and this applies equally to trades executed electronically and those executed bilaterally.</w:t>
      </w:r>
      <w:r>
        <w:rPr>
          <w:rFonts w:cs="Arial"/>
          <w:szCs w:val="20"/>
        </w:rPr>
        <w:t xml:space="preserve"> </w:t>
      </w:r>
      <w:r w:rsidRPr="0037001A">
        <w:rPr>
          <w:rFonts w:cs="Arial"/>
          <w:szCs w:val="20"/>
        </w:rPr>
        <w:t>We assume that in those rare cases a UTI (or report tracking number issued by the trading venue) could be provided by the counterparties which would allow to link the initial trade report to the trade submitted to the CCP. Although we would also point out that from a financial stability perspective the rationale for such linking is very weak given that this scenario is rare, as an overwhelming majority of CCP-cleared repo trades are executed electronically (around 95%</w:t>
      </w:r>
      <w:r>
        <w:rPr>
          <w:rFonts w:cs="Arial"/>
          <w:szCs w:val="20"/>
        </w:rPr>
        <w:t>,</w:t>
      </w:r>
      <w:r w:rsidRPr="0037001A">
        <w:rPr>
          <w:rFonts w:cs="Arial"/>
          <w:szCs w:val="20"/>
        </w:rPr>
        <w:t xml:space="preserve"> </w:t>
      </w:r>
      <w:proofErr w:type="gramStart"/>
      <w:r w:rsidRPr="0037001A">
        <w:rPr>
          <w:rFonts w:cs="Arial"/>
          <w:szCs w:val="20"/>
        </w:rPr>
        <w:t>according to</w:t>
      </w:r>
      <w:proofErr w:type="gramEnd"/>
      <w:r w:rsidRPr="0037001A">
        <w:rPr>
          <w:rFonts w:cs="Arial"/>
          <w:szCs w:val="20"/>
        </w:rPr>
        <w:t xml:space="preserve"> ICMA’s latest Repo Market Survey).</w:t>
      </w:r>
    </w:p>
    <w:p w:rsidR="001B0B50" w:rsidRDefault="001B0B50" w:rsidP="0043413A"/>
    <w:permEnd w:id="1620184283"/>
    <w:p w:rsidR="0043413A" w:rsidRDefault="0043413A" w:rsidP="0043413A">
      <w:r>
        <w:t>&lt;ESMA_QUESTION_SFTR_41&gt;</w:t>
      </w:r>
    </w:p>
    <w:p w:rsidR="0043413A" w:rsidRDefault="0043413A" w:rsidP="0043413A"/>
    <w:p w:rsidR="0043413A" w:rsidRPr="00943DDF" w:rsidRDefault="0043413A" w:rsidP="0043413A">
      <w:pPr>
        <w:pStyle w:val="Questionstyle"/>
        <w:numPr>
          <w:ilvl w:val="0"/>
          <w:numId w:val="40"/>
        </w:numPr>
      </w:pPr>
      <w:r w:rsidRPr="00943DDF">
        <w:t>Could you please provide information on incremental costs of implementing the proposal, taking into account that systems will have to be changed to implement the SFTR reporting regime in general?</w:t>
      </w:r>
    </w:p>
    <w:p w:rsidR="0043413A" w:rsidRDefault="0043413A" w:rsidP="0043413A">
      <w:r>
        <w:t>&lt;ESMA_QUESTION_SFTR_42&gt;</w:t>
      </w:r>
    </w:p>
    <w:p w:rsidR="0043413A" w:rsidRDefault="0043413A" w:rsidP="0043413A">
      <w:permStart w:id="1670649802" w:edGrp="everyone"/>
      <w:r>
        <w:t>TYPE YOUR TEXT HERE</w:t>
      </w:r>
    </w:p>
    <w:permEnd w:id="1670649802"/>
    <w:p w:rsidR="0043413A" w:rsidRDefault="0043413A" w:rsidP="0043413A">
      <w:r>
        <w:t>&lt;ESMA_QUESTION_SFTR_42&gt;</w:t>
      </w:r>
    </w:p>
    <w:p w:rsidR="0043413A" w:rsidRDefault="0043413A" w:rsidP="0043413A"/>
    <w:p w:rsidR="0043413A" w:rsidRPr="00943DDF" w:rsidRDefault="0043413A" w:rsidP="0043413A">
      <w:pPr>
        <w:pStyle w:val="Questionstyle"/>
        <w:numPr>
          <w:ilvl w:val="0"/>
          <w:numId w:val="40"/>
        </w:numPr>
      </w:pPr>
      <w:r w:rsidRPr="00943DDF">
        <w:t>Could you please provide views on whether you would prefer Alternative 1 (prior-UTI) over Alternative 2 (relative referencing solution)? Please provide relative costs of implementing both proposals.</w:t>
      </w:r>
    </w:p>
    <w:p w:rsidR="0043413A" w:rsidRDefault="0043413A" w:rsidP="0043413A">
      <w:r>
        <w:t>&lt;ESMA_QUESTION_SFTR_43&gt;</w:t>
      </w:r>
    </w:p>
    <w:p w:rsidR="0043413A" w:rsidRDefault="0043413A" w:rsidP="0043413A">
      <w:permStart w:id="345989917" w:edGrp="everyone"/>
      <w:r>
        <w:t>TYPE YOUR TEXT HERE</w:t>
      </w:r>
    </w:p>
    <w:permEnd w:id="345989917"/>
    <w:p w:rsidR="0043413A" w:rsidRDefault="0043413A" w:rsidP="0043413A">
      <w:r>
        <w:t>&lt;ESMA_QUESTION_SFTR_43&gt;</w:t>
      </w:r>
    </w:p>
    <w:p w:rsidR="0043413A" w:rsidRDefault="0043413A" w:rsidP="0043413A"/>
    <w:p w:rsidR="0043413A" w:rsidRPr="00943DDF" w:rsidRDefault="0043413A" w:rsidP="0043413A">
      <w:pPr>
        <w:pStyle w:val="Questionstyle"/>
        <w:numPr>
          <w:ilvl w:val="0"/>
          <w:numId w:val="40"/>
        </w:numPr>
      </w:pPr>
      <w:r w:rsidRPr="00943DDF">
        <w:t>Do you agree with the above rules for determining the entity responsible for the generation and transmission of the UTI? If not what other aspects should be taken into account? Please elaborate.</w:t>
      </w:r>
    </w:p>
    <w:p w:rsidR="0043413A" w:rsidRDefault="0043413A" w:rsidP="0043413A">
      <w:r>
        <w:t>&lt;ESMA_QUESTION_SFTR_44&gt;</w:t>
      </w:r>
    </w:p>
    <w:p w:rsidR="0043413A" w:rsidRDefault="0043413A" w:rsidP="0043413A">
      <w:permStart w:id="1863341180" w:edGrp="everyone"/>
    </w:p>
    <w:p w:rsidR="001B0B50" w:rsidRPr="001B0B50" w:rsidRDefault="001B0B50" w:rsidP="0043413A">
      <w:pPr>
        <w:rPr>
          <w:rFonts w:cs="Arial"/>
          <w:szCs w:val="20"/>
        </w:rPr>
      </w:pPr>
      <w:r w:rsidRPr="0037001A">
        <w:rPr>
          <w:rFonts w:cs="Arial"/>
          <w:szCs w:val="20"/>
        </w:rPr>
        <w:t xml:space="preserve">We welcome ESMA’s intention to learn the lessons from EMIR experience and to provide clear and detailed guidance in relation to the generation of UTIs. In the absence of a globally standardised UTI, the flow chart set out on page 80 of the CP seems sensible and aligned with the guidance developed under EMIR. We would however also insist on the importance of CPMI-IOSCO’s ongoing work on a globally consistent UTI solution. Once this work is finalised, it will be important for EU authorities to adjust EU regulation accordingly </w:t>
      </w:r>
      <w:r w:rsidRPr="00A67EA4">
        <w:rPr>
          <w:rFonts w:cs="Arial"/>
          <w:szCs w:val="20"/>
        </w:rPr>
        <w:t>to</w:t>
      </w:r>
      <w:r w:rsidRPr="0037001A">
        <w:rPr>
          <w:rFonts w:cs="Arial"/>
          <w:szCs w:val="20"/>
        </w:rPr>
        <w:t xml:space="preserve"> ensure full alignment with global standards, as ESMA seem</w:t>
      </w:r>
      <w:r>
        <w:rPr>
          <w:rFonts w:cs="Arial"/>
          <w:szCs w:val="20"/>
        </w:rPr>
        <w:t>s to indicate in paragraph 224.</w:t>
      </w:r>
    </w:p>
    <w:p w:rsidR="001B0B50" w:rsidRDefault="001B0B50" w:rsidP="0043413A"/>
    <w:permEnd w:id="1863341180"/>
    <w:p w:rsidR="0043413A" w:rsidRDefault="0043413A" w:rsidP="0043413A">
      <w:r>
        <w:t>&lt;ESMA_QUESTION_SFTR_44&gt;</w:t>
      </w:r>
    </w:p>
    <w:p w:rsidR="0043413A" w:rsidRDefault="0043413A" w:rsidP="0043413A"/>
    <w:p w:rsidR="0043413A" w:rsidRPr="00943DDF" w:rsidRDefault="0043413A" w:rsidP="0043413A">
      <w:pPr>
        <w:pStyle w:val="Questionstyle"/>
        <w:numPr>
          <w:ilvl w:val="0"/>
          <w:numId w:val="40"/>
        </w:numPr>
      </w:pPr>
      <w:r w:rsidRPr="00943DDF">
        <w:t>Do you agree with the logic and framework for reporting of margins for CCP-cleared SFTs? What other aspects should be taken into account? Please elaborate.</w:t>
      </w:r>
    </w:p>
    <w:p w:rsidR="0043413A" w:rsidRDefault="0043413A" w:rsidP="0043413A">
      <w:r>
        <w:t>&lt;ESMA_QUESTION_SFTR_45&gt;</w:t>
      </w:r>
    </w:p>
    <w:p w:rsidR="0043413A" w:rsidRDefault="0043413A" w:rsidP="0043413A">
      <w:permStart w:id="1542944160" w:edGrp="everyone"/>
    </w:p>
    <w:p w:rsidR="001B0B50" w:rsidRPr="004531A4" w:rsidRDefault="001B0B50" w:rsidP="001B0B50">
      <w:pPr>
        <w:rPr>
          <w:rFonts w:cs="Arial"/>
          <w:szCs w:val="20"/>
        </w:rPr>
      </w:pPr>
      <w:r w:rsidRPr="004531A4">
        <w:rPr>
          <w:rFonts w:cs="Arial"/>
          <w:szCs w:val="20"/>
        </w:rPr>
        <w:t xml:space="preserve">The ICMA ERCC agrees with ESMA that the margining process in the case of CCP-cleared SFTs differs from the bilateral scenario, as we highlighted in our responses to ESMA’s questions ahead of this consultation. It therefore makes sense to collect information on margining of CCP-cleared SFTs in a separate report. </w:t>
      </w:r>
    </w:p>
    <w:p w:rsidR="001B0B50" w:rsidRPr="004531A4" w:rsidRDefault="001B0B50" w:rsidP="001B0B50">
      <w:pPr>
        <w:rPr>
          <w:rFonts w:cs="Arial"/>
          <w:szCs w:val="20"/>
        </w:rPr>
      </w:pPr>
    </w:p>
    <w:p w:rsidR="001B0B50" w:rsidRPr="004531A4" w:rsidRDefault="001B0B50" w:rsidP="001B0B50">
      <w:pPr>
        <w:rPr>
          <w:rFonts w:cs="Arial"/>
          <w:szCs w:val="20"/>
        </w:rPr>
      </w:pPr>
      <w:r w:rsidRPr="004531A4">
        <w:rPr>
          <w:rFonts w:cs="Arial"/>
          <w:szCs w:val="20"/>
        </w:rPr>
        <w:t>In line with our general comments above, we would however also reiterate that it would be far more efficient if this information was collected directly from CCPs, given that it is the CCP that determines the relevant margining flows. Considering that margining information is not mentioned as a core reporting element in the relevant Level 1 provision (article 4(9)), it would appear possible and indeed much more sensible to adopt a single</w:t>
      </w:r>
      <w:r>
        <w:rPr>
          <w:rFonts w:cs="Arial"/>
          <w:szCs w:val="20"/>
        </w:rPr>
        <w:t>-</w:t>
      </w:r>
      <w:r w:rsidRPr="004531A4">
        <w:rPr>
          <w:rFonts w:cs="Arial"/>
          <w:szCs w:val="20"/>
        </w:rPr>
        <w:t xml:space="preserve">sided reporting approach for these elements. This would reduce the implementation challenges and costs and would result in an improved level of data quality. Such an approach would also be </w:t>
      </w:r>
      <w:r w:rsidRPr="004531A4">
        <w:rPr>
          <w:rFonts w:cs="Arial"/>
          <w:szCs w:val="20"/>
        </w:rPr>
        <w:lastRenderedPageBreak/>
        <w:t>clearly preferable given that CCP-margining is not limited to SFTs, as ESMA rightly states in paragraph 241, but can cover a wide range of trades including derivatives.</w:t>
      </w:r>
    </w:p>
    <w:p w:rsidR="001B0B50" w:rsidRPr="004531A4" w:rsidRDefault="001B0B50" w:rsidP="001B0B50">
      <w:pPr>
        <w:rPr>
          <w:rFonts w:cs="Arial"/>
          <w:szCs w:val="20"/>
        </w:rPr>
      </w:pPr>
    </w:p>
    <w:p w:rsidR="001B0B50" w:rsidRDefault="001B0B50" w:rsidP="001B0B50">
      <w:r w:rsidRPr="004531A4">
        <w:rPr>
          <w:rFonts w:cs="Arial"/>
          <w:szCs w:val="20"/>
        </w:rPr>
        <w:t>While we acknowledge that the proposals set out by ESMA in relation to the margining of CCP-cleared trades are in line with the EMIR framework, this needs to be considered in the context of the clearing obligation under EMIR. Again, we would point to our general comments above and the important differences between SFT and derivatives markets which need to be reflected in the respective reporting regimes, while maintaining consistency where appropriate.</w:t>
      </w:r>
    </w:p>
    <w:p w:rsidR="001B0B50" w:rsidRDefault="001B0B50" w:rsidP="0043413A"/>
    <w:permEnd w:id="1542944160"/>
    <w:p w:rsidR="0043413A" w:rsidRDefault="0043413A" w:rsidP="0043413A">
      <w:r>
        <w:t>&lt;ESMA_QUESTION_SFTR_45&gt;</w:t>
      </w:r>
    </w:p>
    <w:p w:rsidR="0043413A" w:rsidRDefault="0043413A" w:rsidP="0043413A"/>
    <w:p w:rsidR="0043413A" w:rsidRPr="00943DDF" w:rsidRDefault="0043413A" w:rsidP="0043413A">
      <w:pPr>
        <w:pStyle w:val="Questionstyle"/>
        <w:numPr>
          <w:ilvl w:val="0"/>
          <w:numId w:val="40"/>
        </w:numPr>
      </w:pPr>
      <w:r w:rsidRPr="00943DDF">
        <w:t>Would you agree with the definition of terms? If not, please explain.</w:t>
      </w:r>
    </w:p>
    <w:p w:rsidR="0043413A" w:rsidRDefault="0043413A" w:rsidP="0043413A">
      <w:r>
        <w:t>&lt;ESMA_QUESTION_SFTR_46&gt;</w:t>
      </w:r>
    </w:p>
    <w:p w:rsidR="0043413A" w:rsidRDefault="0043413A" w:rsidP="0043413A">
      <w:permStart w:id="1712547131" w:edGrp="everyone"/>
    </w:p>
    <w:p w:rsidR="001B0B50" w:rsidRPr="004531A4" w:rsidRDefault="001B0B50" w:rsidP="001B0B50">
      <w:pPr>
        <w:rPr>
          <w:rFonts w:cs="Arial"/>
          <w:szCs w:val="20"/>
        </w:rPr>
      </w:pPr>
      <w:r w:rsidRPr="004531A4">
        <w:rPr>
          <w:rFonts w:cs="Arial"/>
          <w:szCs w:val="20"/>
        </w:rPr>
        <w:t xml:space="preserve">Whilst we generally agree with the </w:t>
      </w:r>
      <w:proofErr w:type="gramStart"/>
      <w:r w:rsidRPr="004531A4">
        <w:rPr>
          <w:rFonts w:cs="Arial"/>
          <w:szCs w:val="20"/>
        </w:rPr>
        <w:t>high level</w:t>
      </w:r>
      <w:proofErr w:type="gramEnd"/>
      <w:r w:rsidRPr="004531A4">
        <w:rPr>
          <w:rFonts w:cs="Arial"/>
          <w:szCs w:val="20"/>
        </w:rPr>
        <w:t xml:space="preserve"> definitions set out in paragraph 248, it would be important to be more specific as to the precise meaning of the three terms to avoid any confusion. We would thus like to clarify the following:</w:t>
      </w:r>
    </w:p>
    <w:p w:rsidR="001B0B50" w:rsidRPr="004531A4" w:rsidRDefault="001B0B50" w:rsidP="001B0B50">
      <w:pPr>
        <w:rPr>
          <w:rFonts w:cs="Arial"/>
          <w:szCs w:val="20"/>
        </w:rPr>
      </w:pPr>
    </w:p>
    <w:p w:rsidR="001B0B50" w:rsidRPr="004531A4" w:rsidRDefault="001B0B50" w:rsidP="001B0B50">
      <w:pPr>
        <w:rPr>
          <w:rFonts w:cs="Arial"/>
          <w:szCs w:val="20"/>
        </w:rPr>
      </w:pPr>
      <w:r w:rsidRPr="004531A4">
        <w:rPr>
          <w:rFonts w:cs="Arial"/>
          <w:b/>
          <w:szCs w:val="20"/>
        </w:rPr>
        <w:t>Collateral pool</w:t>
      </w:r>
      <w:r w:rsidRPr="004531A4">
        <w:rPr>
          <w:rFonts w:cs="Arial"/>
          <w:szCs w:val="20"/>
        </w:rPr>
        <w:t xml:space="preserve"> — This is a collection of several securities placed in the custody of a central bank or a custodian, and available for delivery or pledge </w:t>
      </w:r>
      <w:proofErr w:type="gramStart"/>
      <w:r w:rsidRPr="004531A4">
        <w:rPr>
          <w:rFonts w:cs="Arial"/>
          <w:szCs w:val="20"/>
        </w:rPr>
        <w:t>in order to</w:t>
      </w:r>
      <w:proofErr w:type="gramEnd"/>
      <w:r w:rsidRPr="004531A4">
        <w:rPr>
          <w:rFonts w:cs="Arial"/>
          <w:szCs w:val="20"/>
        </w:rPr>
        <w:t xml:space="preserve"> collateralise subsequent SFTs. The securities in the pool can be substituted. In terms of </w:t>
      </w:r>
      <w:proofErr w:type="gramStart"/>
      <w:r w:rsidRPr="004531A4">
        <w:rPr>
          <w:rFonts w:cs="Arial"/>
          <w:szCs w:val="20"/>
        </w:rPr>
        <w:t xml:space="preserve">examples,  </w:t>
      </w:r>
      <w:proofErr w:type="spellStart"/>
      <w:r w:rsidRPr="004531A4">
        <w:rPr>
          <w:rFonts w:cs="Arial"/>
          <w:szCs w:val="20"/>
        </w:rPr>
        <w:t>Eurex</w:t>
      </w:r>
      <w:proofErr w:type="spellEnd"/>
      <w:proofErr w:type="gramEnd"/>
      <w:r w:rsidRPr="004531A4">
        <w:rPr>
          <w:rFonts w:cs="Arial"/>
          <w:szCs w:val="20"/>
        </w:rPr>
        <w:t xml:space="preserve"> uses this structure for their GC Pooling product, as do other tri-party agents and central banks.</w:t>
      </w:r>
    </w:p>
    <w:p w:rsidR="001B0B50" w:rsidRPr="004531A4" w:rsidRDefault="001B0B50" w:rsidP="001B0B50">
      <w:pPr>
        <w:rPr>
          <w:rFonts w:cs="Arial"/>
          <w:szCs w:val="20"/>
        </w:rPr>
      </w:pPr>
    </w:p>
    <w:p w:rsidR="001B0B50" w:rsidRPr="004531A4" w:rsidRDefault="001B0B50" w:rsidP="001B0B50">
      <w:pPr>
        <w:rPr>
          <w:rFonts w:cs="Arial"/>
          <w:szCs w:val="20"/>
        </w:rPr>
      </w:pPr>
      <w:r w:rsidRPr="004531A4">
        <w:rPr>
          <w:rFonts w:cs="Arial"/>
          <w:b/>
          <w:szCs w:val="20"/>
        </w:rPr>
        <w:t>Collateral basket</w:t>
      </w:r>
      <w:r w:rsidRPr="004531A4">
        <w:rPr>
          <w:rFonts w:cs="Arial"/>
          <w:szCs w:val="20"/>
        </w:rPr>
        <w:t xml:space="preserve"> — This generally re</w:t>
      </w:r>
      <w:r>
        <w:rPr>
          <w:rFonts w:cs="Arial"/>
          <w:szCs w:val="20"/>
        </w:rPr>
        <w:t>fers to a pre-agreed list of all</w:t>
      </w:r>
      <w:r w:rsidRPr="004531A4">
        <w:rPr>
          <w:rFonts w:cs="Arial"/>
          <w:szCs w:val="20"/>
        </w:rPr>
        <w:t xml:space="preserve"> security issues or types of security that are eligible to deliver or pledge </w:t>
      </w:r>
      <w:proofErr w:type="gramStart"/>
      <w:r w:rsidRPr="004531A4">
        <w:rPr>
          <w:rFonts w:cs="Arial"/>
          <w:szCs w:val="20"/>
        </w:rPr>
        <w:t>in order to</w:t>
      </w:r>
      <w:proofErr w:type="gramEnd"/>
      <w:r w:rsidRPr="004531A4">
        <w:rPr>
          <w:rFonts w:cs="Arial"/>
          <w:szCs w:val="20"/>
        </w:rPr>
        <w:t xml:space="preserve"> collateralise an SFT or portfolio of SFTs. </w:t>
      </w:r>
    </w:p>
    <w:p w:rsidR="001B0B50" w:rsidRPr="004531A4" w:rsidRDefault="001B0B50" w:rsidP="001B0B50">
      <w:pPr>
        <w:rPr>
          <w:rFonts w:cs="Arial"/>
          <w:szCs w:val="20"/>
        </w:rPr>
      </w:pPr>
      <w:r>
        <w:rPr>
          <w:rFonts w:cs="Arial"/>
          <w:szCs w:val="20"/>
        </w:rPr>
        <w:t>In practice, t</w:t>
      </w:r>
      <w:r w:rsidRPr="004531A4">
        <w:rPr>
          <w:rFonts w:cs="Arial"/>
          <w:szCs w:val="20"/>
        </w:rPr>
        <w:t xml:space="preserve">his term is also often used to describe a collection of several securities delivered </w:t>
      </w:r>
      <w:proofErr w:type="gramStart"/>
      <w:r w:rsidRPr="004531A4">
        <w:rPr>
          <w:rFonts w:cs="Arial"/>
          <w:szCs w:val="20"/>
        </w:rPr>
        <w:t>in order to</w:t>
      </w:r>
      <w:proofErr w:type="gramEnd"/>
      <w:r w:rsidRPr="004531A4">
        <w:rPr>
          <w:rFonts w:cs="Arial"/>
          <w:szCs w:val="20"/>
        </w:rPr>
        <w:t xml:space="preserve"> collateralise an SFT. However, the two concepts should not be confused. The latter should more consistently be referred to as 'multiple collateral delivery'.</w:t>
      </w:r>
    </w:p>
    <w:p w:rsidR="001B0B50" w:rsidRPr="004531A4" w:rsidRDefault="001B0B50" w:rsidP="001B0B50">
      <w:pPr>
        <w:rPr>
          <w:rFonts w:cs="Arial"/>
          <w:szCs w:val="20"/>
        </w:rPr>
      </w:pPr>
    </w:p>
    <w:p w:rsidR="001B0B50" w:rsidRPr="004531A4" w:rsidRDefault="001B0B50" w:rsidP="001B0B50">
      <w:pPr>
        <w:rPr>
          <w:rFonts w:cs="Arial"/>
          <w:szCs w:val="20"/>
        </w:rPr>
      </w:pPr>
      <w:r w:rsidRPr="004531A4">
        <w:rPr>
          <w:rFonts w:cs="Arial"/>
          <w:szCs w:val="20"/>
        </w:rPr>
        <w:t>A “</w:t>
      </w:r>
      <w:r w:rsidRPr="004531A4">
        <w:rPr>
          <w:rFonts w:cs="Arial"/>
          <w:bCs/>
          <w:iCs/>
          <w:color w:val="000000"/>
          <w:szCs w:val="20"/>
        </w:rPr>
        <w:t xml:space="preserve">collateral pool" can be a subset of a "collateral basket" in that what is pre-deposited as a pool will typically not be all the securities that are eligible as collateral (i.e. the "collateral basket"). The pool is an allocation from what the seller </w:t>
      </w:r>
      <w:proofErr w:type="gramStart"/>
      <w:r w:rsidRPr="004531A4">
        <w:rPr>
          <w:rFonts w:cs="Arial"/>
          <w:bCs/>
          <w:iCs/>
          <w:color w:val="000000"/>
          <w:szCs w:val="20"/>
        </w:rPr>
        <w:t>actually has</w:t>
      </w:r>
      <w:proofErr w:type="gramEnd"/>
      <w:r w:rsidRPr="004531A4">
        <w:rPr>
          <w:rFonts w:cs="Arial"/>
          <w:bCs/>
          <w:iCs/>
          <w:color w:val="000000"/>
          <w:szCs w:val="20"/>
        </w:rPr>
        <w:t xml:space="preserve"> in his account on the day. For example, the </w:t>
      </w:r>
      <w:proofErr w:type="spellStart"/>
      <w:r w:rsidRPr="004531A4">
        <w:rPr>
          <w:rFonts w:cs="Arial"/>
          <w:bCs/>
          <w:iCs/>
          <w:color w:val="000000"/>
          <w:szCs w:val="20"/>
        </w:rPr>
        <w:t>Eurex</w:t>
      </w:r>
      <w:proofErr w:type="spellEnd"/>
      <w:r w:rsidRPr="004531A4">
        <w:rPr>
          <w:rFonts w:cs="Arial"/>
          <w:bCs/>
          <w:iCs/>
          <w:color w:val="000000"/>
          <w:szCs w:val="20"/>
        </w:rPr>
        <w:t xml:space="preserve"> </w:t>
      </w:r>
      <w:proofErr w:type="spellStart"/>
      <w:r w:rsidRPr="004531A4">
        <w:rPr>
          <w:rFonts w:cs="Arial"/>
          <w:bCs/>
          <w:iCs/>
          <w:color w:val="000000"/>
          <w:szCs w:val="20"/>
        </w:rPr>
        <w:t>GCPooling</w:t>
      </w:r>
      <w:proofErr w:type="spellEnd"/>
      <w:r w:rsidRPr="004531A4">
        <w:rPr>
          <w:rFonts w:cs="Arial"/>
          <w:bCs/>
          <w:iCs/>
          <w:color w:val="000000"/>
          <w:szCs w:val="20"/>
        </w:rPr>
        <w:t xml:space="preserve"> product mentioned above has about 7,000-8,000 securities in its ECB-eligible </w:t>
      </w:r>
      <w:r w:rsidRPr="004531A4">
        <w:rPr>
          <w:rFonts w:cs="Arial"/>
          <w:bCs/>
          <w:iCs/>
          <w:color w:val="000000"/>
          <w:szCs w:val="20"/>
          <w:u w:val="single"/>
        </w:rPr>
        <w:t>basket </w:t>
      </w:r>
      <w:r>
        <w:rPr>
          <w:rFonts w:cs="Arial"/>
          <w:bCs/>
          <w:iCs/>
          <w:color w:val="000000"/>
          <w:szCs w:val="20"/>
        </w:rPr>
        <w:t>but users would typically put significantly</w:t>
      </w:r>
      <w:r w:rsidRPr="004531A4">
        <w:rPr>
          <w:rFonts w:cs="Arial"/>
          <w:bCs/>
          <w:iCs/>
          <w:color w:val="000000"/>
          <w:szCs w:val="20"/>
        </w:rPr>
        <w:t xml:space="preserve"> fewer securities into their </w:t>
      </w:r>
      <w:r w:rsidRPr="004531A4">
        <w:rPr>
          <w:rFonts w:cs="Arial"/>
          <w:bCs/>
          <w:iCs/>
          <w:color w:val="000000"/>
          <w:szCs w:val="20"/>
          <w:u w:val="single"/>
        </w:rPr>
        <w:t>pool</w:t>
      </w:r>
      <w:r w:rsidRPr="004531A4">
        <w:rPr>
          <w:rFonts w:cs="Arial"/>
          <w:bCs/>
          <w:iCs/>
          <w:color w:val="000000"/>
          <w:szCs w:val="20"/>
        </w:rPr>
        <w:t>.</w:t>
      </w:r>
    </w:p>
    <w:p w:rsidR="001B0B50" w:rsidRPr="004531A4" w:rsidRDefault="001B0B50" w:rsidP="001B0B50">
      <w:pPr>
        <w:rPr>
          <w:rFonts w:cs="Arial"/>
          <w:szCs w:val="20"/>
        </w:rPr>
      </w:pPr>
    </w:p>
    <w:p w:rsidR="001B0B50" w:rsidRPr="004531A4" w:rsidRDefault="001B0B50" w:rsidP="001B0B50">
      <w:pPr>
        <w:rPr>
          <w:rFonts w:cs="Arial"/>
          <w:szCs w:val="20"/>
        </w:rPr>
      </w:pPr>
      <w:r w:rsidRPr="004531A4">
        <w:rPr>
          <w:rFonts w:cs="Arial"/>
          <w:b/>
          <w:szCs w:val="20"/>
        </w:rPr>
        <w:t>Collateral schedule</w:t>
      </w:r>
      <w:r w:rsidRPr="004531A4">
        <w:rPr>
          <w:rFonts w:cs="Arial"/>
          <w:szCs w:val="20"/>
        </w:rPr>
        <w:t xml:space="preserve"> — This is a synonym for collateral basket used in securities lending and triparty repo.</w:t>
      </w:r>
    </w:p>
    <w:p w:rsidR="001B0B50" w:rsidRPr="004531A4" w:rsidRDefault="001B0B50" w:rsidP="001B0B50">
      <w:pPr>
        <w:rPr>
          <w:rFonts w:cs="Arial"/>
          <w:szCs w:val="20"/>
        </w:rPr>
      </w:pPr>
    </w:p>
    <w:p w:rsidR="001B0B50" w:rsidRDefault="001B0B50" w:rsidP="001B0B50">
      <w:pPr>
        <w:rPr>
          <w:rFonts w:cs="Arial"/>
          <w:szCs w:val="20"/>
        </w:rPr>
      </w:pPr>
      <w:r w:rsidRPr="004531A4">
        <w:rPr>
          <w:rFonts w:cs="Arial"/>
          <w:szCs w:val="20"/>
        </w:rPr>
        <w:t>It is important for ESMA to apply the three terms in a consistent way throughout the relevant draft RTS and ITS (including the relevant data fields). We note that the terms “collateral pool” and “collateral basket” appear to be used interchangeably in some sections. An example is field 91 in the loan and collateral data template which asks for a ‘collateral basket identifier’, while the heading restricts the use of this field to the case of ‘collateral pools’. It is also important to specify the remit of the terms above</w:t>
      </w:r>
      <w:r>
        <w:rPr>
          <w:rFonts w:cs="Arial"/>
          <w:szCs w:val="20"/>
        </w:rPr>
        <w:t>, i.e. that they</w:t>
      </w:r>
      <w:r w:rsidRPr="004531A4">
        <w:rPr>
          <w:rFonts w:cs="Arial"/>
          <w:szCs w:val="20"/>
        </w:rPr>
        <w:t xml:space="preserve"> apply to transactions and not to the separate margining process.</w:t>
      </w:r>
    </w:p>
    <w:p w:rsidR="001B0B50" w:rsidRDefault="001B0B50" w:rsidP="001B0B50"/>
    <w:p w:rsidR="001B0B50" w:rsidRDefault="001B0B50" w:rsidP="0043413A">
      <w:r w:rsidRPr="004531A4">
        <w:rPr>
          <w:rFonts w:cs="Arial"/>
          <w:szCs w:val="20"/>
        </w:rPr>
        <w:t xml:space="preserve">On collateral </w:t>
      </w:r>
      <w:proofErr w:type="gramStart"/>
      <w:r w:rsidRPr="004531A4">
        <w:rPr>
          <w:rFonts w:cs="Arial"/>
          <w:szCs w:val="20"/>
        </w:rPr>
        <w:t>reporting</w:t>
      </w:r>
      <w:proofErr w:type="gramEnd"/>
      <w:r w:rsidRPr="004531A4">
        <w:rPr>
          <w:rFonts w:cs="Arial"/>
          <w:szCs w:val="20"/>
        </w:rPr>
        <w:t xml:space="preserve"> more generally, we would like to reiterate our concerns in relation to ESMA’s proposal in paragraph 247</w:t>
      </w:r>
      <w:r>
        <w:rPr>
          <w:rFonts w:cs="Arial"/>
          <w:szCs w:val="20"/>
        </w:rPr>
        <w:t xml:space="preserve"> to require the use of IFRS 13 Fair V</w:t>
      </w:r>
      <w:r w:rsidRPr="004531A4">
        <w:rPr>
          <w:rFonts w:cs="Arial"/>
          <w:szCs w:val="20"/>
        </w:rPr>
        <w:t>alue measurement to determine collateral market value. As explained in more detail in our response to Q18, the imposition of this standard is inappropriate in this context and would cause significant implementation challenges.</w:t>
      </w:r>
    </w:p>
    <w:p w:rsidR="001B0B50" w:rsidRDefault="001B0B50" w:rsidP="0043413A"/>
    <w:permEnd w:id="1712547131"/>
    <w:p w:rsidR="0043413A" w:rsidRDefault="0043413A" w:rsidP="0043413A">
      <w:r>
        <w:t>&lt;ESMA_QUESTION_SFTR_46&gt;</w:t>
      </w:r>
    </w:p>
    <w:p w:rsidR="0043413A" w:rsidRDefault="0043413A" w:rsidP="0043413A"/>
    <w:p w:rsidR="0043413A" w:rsidRPr="00943DDF" w:rsidRDefault="0043413A" w:rsidP="0043413A">
      <w:pPr>
        <w:pStyle w:val="Questionstyle"/>
        <w:numPr>
          <w:ilvl w:val="0"/>
          <w:numId w:val="40"/>
        </w:numPr>
      </w:pPr>
      <w:r w:rsidRPr="00943DDF">
        <w:t>Are the cases for which collateral can be reported on trade level accurately described? If not, please explain.</w:t>
      </w:r>
    </w:p>
    <w:p w:rsidR="0043413A" w:rsidRDefault="0043413A" w:rsidP="0043413A">
      <w:r>
        <w:lastRenderedPageBreak/>
        <w:t>&lt;ESMA_QUESTION_SFTR_47&gt;</w:t>
      </w:r>
    </w:p>
    <w:p w:rsidR="0043413A" w:rsidRDefault="0043413A" w:rsidP="0043413A">
      <w:permStart w:id="370287378" w:edGrp="everyone"/>
    </w:p>
    <w:p w:rsidR="001B0B50" w:rsidRDefault="001B0B50" w:rsidP="0043413A">
      <w:r w:rsidRPr="004531A4">
        <w:rPr>
          <w:rFonts w:cs="Arial"/>
          <w:szCs w:val="20"/>
        </w:rPr>
        <w:t xml:space="preserve">The descriptions are generally accurate. It is very important to clearly distinguish in this context between collateralisation in relation to the </w:t>
      </w:r>
      <w:r w:rsidRPr="004531A4">
        <w:rPr>
          <w:rFonts w:cs="Arial"/>
          <w:bCs/>
          <w:iCs/>
          <w:color w:val="000000"/>
          <w:szCs w:val="20"/>
          <w:shd w:val="clear" w:color="auto" w:fill="FFFFFF"/>
        </w:rPr>
        <w:t xml:space="preserve">initial sale and delivery, which </w:t>
      </w:r>
      <w:r>
        <w:rPr>
          <w:rFonts w:cs="Arial"/>
          <w:bCs/>
          <w:iCs/>
          <w:color w:val="000000"/>
          <w:szCs w:val="20"/>
          <w:shd w:val="clear" w:color="auto" w:fill="FFFFFF"/>
        </w:rPr>
        <w:t xml:space="preserve">in the case of repo </w:t>
      </w:r>
      <w:r w:rsidRPr="004531A4">
        <w:rPr>
          <w:rFonts w:cs="Arial"/>
          <w:bCs/>
          <w:iCs/>
          <w:color w:val="000000"/>
          <w:szCs w:val="20"/>
          <w:shd w:val="clear" w:color="auto" w:fill="FFFFFF"/>
        </w:rPr>
        <w:t>is generally on a trade level basis, and the separate process for exchanging variation margin</w:t>
      </w:r>
      <w:r>
        <w:rPr>
          <w:rFonts w:cs="Arial"/>
          <w:bCs/>
          <w:iCs/>
          <w:color w:val="000000"/>
          <w:szCs w:val="20"/>
          <w:shd w:val="clear" w:color="auto" w:fill="FFFFFF"/>
        </w:rPr>
        <w:t>, which is usually done</w:t>
      </w:r>
      <w:r w:rsidRPr="004531A4">
        <w:rPr>
          <w:rFonts w:cs="Arial"/>
          <w:bCs/>
          <w:iCs/>
          <w:color w:val="000000"/>
          <w:szCs w:val="20"/>
          <w:shd w:val="clear" w:color="auto" w:fill="FFFFFF"/>
        </w:rPr>
        <w:t xml:space="preserve"> on a net exposure basis for all types of repo. It would be helpful to clearly distinguish the two processes and not to refer to the latter as collateralisation.</w:t>
      </w:r>
    </w:p>
    <w:p w:rsidR="001B0B50" w:rsidRDefault="001B0B50" w:rsidP="0043413A"/>
    <w:permEnd w:id="370287378"/>
    <w:p w:rsidR="0043413A" w:rsidRDefault="0043413A" w:rsidP="0043413A">
      <w:r>
        <w:t>&lt;ESMA_QUESTION_SFTR_47&gt;</w:t>
      </w:r>
    </w:p>
    <w:p w:rsidR="0043413A" w:rsidRDefault="0043413A" w:rsidP="0043413A"/>
    <w:p w:rsidR="0043413A" w:rsidRPr="00943DDF" w:rsidRDefault="0043413A" w:rsidP="0043413A">
      <w:pPr>
        <w:pStyle w:val="Questionstyle"/>
        <w:numPr>
          <w:ilvl w:val="0"/>
          <w:numId w:val="40"/>
        </w:numPr>
      </w:pPr>
      <w:r w:rsidRPr="00943DDF">
        <w:t>In addition to the exceptions listed above, when would the collateral for a repo trade that does not involve a collateral basket not be known by the reporting deadline of end of T + 1?</w:t>
      </w:r>
    </w:p>
    <w:p w:rsidR="0043413A" w:rsidRDefault="0043413A" w:rsidP="0043413A">
      <w:r>
        <w:t>&lt;ESMA_QUESTION_SFTR_48&gt;</w:t>
      </w:r>
    </w:p>
    <w:p w:rsidR="001B0B50" w:rsidRPr="004531A4" w:rsidRDefault="001B0B50" w:rsidP="001B0B50">
      <w:pPr>
        <w:pageBreakBefore/>
        <w:autoSpaceDE w:val="0"/>
        <w:autoSpaceDN w:val="0"/>
        <w:adjustRightInd w:val="0"/>
        <w:rPr>
          <w:rFonts w:cs="Arial"/>
          <w:i/>
          <w:szCs w:val="20"/>
        </w:rPr>
      </w:pPr>
      <w:permStart w:id="226121870" w:edGrp="everyone"/>
      <w:r w:rsidRPr="004531A4">
        <w:rPr>
          <w:rFonts w:cs="Arial"/>
          <w:szCs w:val="20"/>
        </w:rPr>
        <w:lastRenderedPageBreak/>
        <w:t xml:space="preserve">For bilateral repos not based on a collateral basket, the allocation of collateral should generally be available at the end of trade date. However, the collateral allocation will not be known in the case of most, if not all, agent </w:t>
      </w:r>
      <w:r w:rsidRPr="004531A4">
        <w:rPr>
          <w:rFonts w:cs="Arial"/>
          <w:color w:val="000000"/>
          <w:szCs w:val="20"/>
          <w:lang w:eastAsia="en-US"/>
        </w:rPr>
        <w:t>managed products, whether they are based on a collateral pool (typical tri-party repo) or on a collateral basket (e.g. CREST’s DBV product).</w:t>
      </w:r>
    </w:p>
    <w:p w:rsidR="001B0B50" w:rsidRPr="004531A4" w:rsidRDefault="001B0B50" w:rsidP="001B0B50">
      <w:pPr>
        <w:rPr>
          <w:rFonts w:cs="Arial"/>
          <w:szCs w:val="20"/>
        </w:rPr>
      </w:pPr>
    </w:p>
    <w:p w:rsidR="001B0B50" w:rsidRPr="004531A4" w:rsidRDefault="001B0B50" w:rsidP="001B0B50">
      <w:pPr>
        <w:rPr>
          <w:rFonts w:cs="Arial"/>
          <w:i/>
          <w:szCs w:val="20"/>
        </w:rPr>
      </w:pPr>
      <w:r w:rsidRPr="004531A4">
        <w:rPr>
          <w:rFonts w:cs="Arial"/>
          <w:szCs w:val="20"/>
        </w:rPr>
        <w:t>Where reporting of collateral information on T+1 is not possible, the reporting timeline needs to be clear and sufficiently flexible to capture all cases. We were disappointed to see that ESMA’s initial proposal to require reporting of collateral information</w:t>
      </w:r>
      <w:r w:rsidRPr="004531A4">
        <w:rPr>
          <w:rFonts w:cs="Arial"/>
          <w:color w:val="C0504D" w:themeColor="accent2"/>
          <w:szCs w:val="20"/>
        </w:rPr>
        <w:t xml:space="preserve"> </w:t>
      </w:r>
      <w:r w:rsidRPr="004531A4">
        <w:rPr>
          <w:rFonts w:cs="Arial"/>
          <w:szCs w:val="20"/>
        </w:rPr>
        <w:t xml:space="preserve">as soon as possible and by VD+1 at the latest was subsequently changed to VD at the latest. We would strongly recommend to reinstate the VD+1 reporting deadline. If ESMA insists on an earlier deadline, this data is in many cases unlikely to be consistent between counterparties, reconciled or validated by firms prior to reporting. Many collateral related information and calculations, </w:t>
      </w:r>
      <w:proofErr w:type="gramStart"/>
      <w:r w:rsidRPr="004531A4">
        <w:rPr>
          <w:rFonts w:cs="Arial"/>
          <w:szCs w:val="20"/>
        </w:rPr>
        <w:t>in particular in</w:t>
      </w:r>
      <w:proofErr w:type="gramEnd"/>
      <w:r w:rsidRPr="004531A4">
        <w:rPr>
          <w:rFonts w:cs="Arial"/>
          <w:szCs w:val="20"/>
        </w:rPr>
        <w:t xml:space="preserve"> the case of SFTs concluded with counterparties in other time zones, will only be available outside of normal working hours on VD. </w:t>
      </w:r>
      <w:proofErr w:type="gramStart"/>
      <w:r w:rsidRPr="004531A4">
        <w:rPr>
          <w:rFonts w:cs="Arial"/>
          <w:szCs w:val="20"/>
        </w:rPr>
        <w:t>As a result</w:t>
      </w:r>
      <w:proofErr w:type="gramEnd"/>
      <w:r w:rsidRPr="004531A4">
        <w:rPr>
          <w:rFonts w:cs="Arial"/>
          <w:szCs w:val="20"/>
        </w:rPr>
        <w:t xml:space="preserve">, providing this information on VD would require fully automated solutions and would leave no room for any human intervention. The result would be poorly reconciled and often inaccurate data. In our view, a deadline of VD+1 would essentially follow the same logic as the general reporting deadline on T+1. </w:t>
      </w:r>
    </w:p>
    <w:p w:rsidR="001B0B50" w:rsidRPr="004531A4" w:rsidRDefault="001B0B50" w:rsidP="001B0B50">
      <w:pPr>
        <w:rPr>
          <w:rFonts w:cs="Arial"/>
          <w:szCs w:val="20"/>
        </w:rPr>
      </w:pPr>
    </w:p>
    <w:p w:rsidR="001B0B50" w:rsidRPr="004531A4" w:rsidRDefault="001B0B50" w:rsidP="001B0B50">
      <w:pPr>
        <w:rPr>
          <w:rFonts w:cs="Arial"/>
          <w:i/>
          <w:szCs w:val="20"/>
        </w:rPr>
      </w:pPr>
      <w:r w:rsidRPr="004531A4">
        <w:rPr>
          <w:rFonts w:cs="Arial"/>
          <w:szCs w:val="20"/>
        </w:rPr>
        <w:t xml:space="preserve">In relation to table 8 (p.87-88), we would like to point out the following: </w:t>
      </w:r>
    </w:p>
    <w:p w:rsidR="001B0B50" w:rsidRPr="004531A4" w:rsidRDefault="001B0B50" w:rsidP="001B0B50">
      <w:pPr>
        <w:pStyle w:val="ListParagraph"/>
        <w:numPr>
          <w:ilvl w:val="0"/>
          <w:numId w:val="43"/>
        </w:numPr>
        <w:rPr>
          <w:rFonts w:cs="Arial"/>
          <w:szCs w:val="20"/>
        </w:rPr>
      </w:pPr>
      <w:r w:rsidRPr="004531A4">
        <w:rPr>
          <w:rFonts w:cs="Arial"/>
          <w:szCs w:val="20"/>
        </w:rPr>
        <w:t xml:space="preserve">The trade type ‘repos not involving collateral basket’ in row 1 should not include triparty repo, as all tri-party repo involves a collateral basket. As mentioned above, it is important to use both terms in a consistent way. </w:t>
      </w:r>
    </w:p>
    <w:p w:rsidR="001B0B50" w:rsidRPr="004531A4" w:rsidRDefault="001B0B50" w:rsidP="001B0B50">
      <w:pPr>
        <w:numPr>
          <w:ilvl w:val="0"/>
          <w:numId w:val="43"/>
        </w:numPr>
        <w:shd w:val="clear" w:color="auto" w:fill="FFFFFF"/>
        <w:spacing w:before="100" w:beforeAutospacing="1" w:after="100" w:afterAutospacing="1"/>
        <w:rPr>
          <w:rFonts w:cs="Arial"/>
          <w:szCs w:val="20"/>
        </w:rPr>
      </w:pPr>
      <w:r w:rsidRPr="004531A4">
        <w:rPr>
          <w:rFonts w:cs="Arial"/>
          <w:bCs/>
          <w:iCs/>
          <w:color w:val="000000"/>
          <w:szCs w:val="20"/>
        </w:rPr>
        <w:t xml:space="preserve">It is possible that some parties agree on a basket bilaterally when they set up their GMRA but this would not stop them from expanding the basket on an informal ad hoc basis by </w:t>
      </w:r>
      <w:proofErr w:type="gramStart"/>
      <w:r w:rsidRPr="004531A4">
        <w:rPr>
          <w:rFonts w:cs="Arial"/>
          <w:bCs/>
          <w:iCs/>
          <w:color w:val="000000"/>
          <w:szCs w:val="20"/>
        </w:rPr>
        <w:t>mutual agreement</w:t>
      </w:r>
      <w:proofErr w:type="gramEnd"/>
      <w:r w:rsidRPr="004531A4">
        <w:rPr>
          <w:rFonts w:cs="Arial"/>
          <w:bCs/>
          <w:iCs/>
          <w:color w:val="000000"/>
          <w:szCs w:val="20"/>
        </w:rPr>
        <w:t xml:space="preserve"> (the basket is a guide only), so the meaning of collateral basket is different from that in triparty, where the basket can only be expanded or otherwise changes by formal permanent renegotiation. </w:t>
      </w:r>
    </w:p>
    <w:p w:rsidR="0043413A" w:rsidRDefault="001B0B50" w:rsidP="001B0B50">
      <w:r w:rsidRPr="004531A4">
        <w:rPr>
          <w:rFonts w:cs="Arial"/>
          <w:szCs w:val="20"/>
        </w:rPr>
        <w:t>For the trade type ‘repo trade involving collateral basket’ (row 2), the collateral basket is almost certainly known before trading, even if the collateral pool is not. As mentioned above, the specific collateral allocation may not be known until VD+1, as for repo trades not involving collateral baskets. Hence the need to apply a consistent reporting deadline of VD+1.</w:t>
      </w:r>
    </w:p>
    <w:p w:rsidR="001B0B50" w:rsidRDefault="001B0B50" w:rsidP="0043413A"/>
    <w:permEnd w:id="226121870"/>
    <w:p w:rsidR="0043413A" w:rsidRDefault="0043413A" w:rsidP="0043413A">
      <w:r>
        <w:t>&lt;ESMA_QUESTION_SFTR_48&gt;</w:t>
      </w:r>
    </w:p>
    <w:p w:rsidR="0043413A" w:rsidRDefault="0043413A" w:rsidP="0043413A"/>
    <w:p w:rsidR="0043413A" w:rsidRPr="00943DDF" w:rsidRDefault="0043413A" w:rsidP="0043413A">
      <w:pPr>
        <w:pStyle w:val="Questionstyle"/>
        <w:numPr>
          <w:ilvl w:val="0"/>
          <w:numId w:val="40"/>
        </w:numPr>
      </w:pPr>
      <w:r w:rsidRPr="00943DDF">
        <w:t>Could the counterparties to a CCP-cleared cash rebate securities lending trade report an estimated value for the cash collateral in the markets in which the CCP calculates the initial cash value on the intended settlement date? If not, please explain.</w:t>
      </w:r>
    </w:p>
    <w:p w:rsidR="0043413A" w:rsidRDefault="0043413A" w:rsidP="0043413A">
      <w:r>
        <w:t>&lt;ESMA_QUESTION_SFTR_49&gt;</w:t>
      </w:r>
    </w:p>
    <w:p w:rsidR="0043413A" w:rsidRDefault="0043413A" w:rsidP="0043413A">
      <w:permStart w:id="1074938525" w:edGrp="everyone"/>
      <w:r>
        <w:t>TYPE YOUR TEXT HERE</w:t>
      </w:r>
    </w:p>
    <w:permEnd w:id="1074938525"/>
    <w:p w:rsidR="0043413A" w:rsidRDefault="0043413A" w:rsidP="0043413A">
      <w:r>
        <w:t>&lt;ESMA_QUESTION_SFTR_49&gt;</w:t>
      </w:r>
    </w:p>
    <w:p w:rsidR="0043413A" w:rsidRDefault="0043413A" w:rsidP="0043413A"/>
    <w:p w:rsidR="0043413A" w:rsidRPr="00943DDF" w:rsidRDefault="0043413A" w:rsidP="0043413A">
      <w:pPr>
        <w:pStyle w:val="Questionstyle"/>
        <w:numPr>
          <w:ilvl w:val="0"/>
          <w:numId w:val="40"/>
        </w:numPr>
      </w:pPr>
      <w:r w:rsidRPr="00943DDF">
        <w:t>Are the cases for which collateral would be reported on the basis of the net exposure accurately described? If not, please explain.</w:t>
      </w:r>
    </w:p>
    <w:p w:rsidR="0043413A" w:rsidRDefault="0043413A" w:rsidP="0043413A">
      <w:r>
        <w:t>&lt;ESMA_QUESTION_SFTR_50&gt;</w:t>
      </w:r>
    </w:p>
    <w:p w:rsidR="0043413A" w:rsidRDefault="0043413A" w:rsidP="0043413A">
      <w:permStart w:id="1552566045" w:edGrp="everyone"/>
    </w:p>
    <w:p w:rsidR="001B0B50" w:rsidRPr="004531A4" w:rsidRDefault="001B0B50" w:rsidP="001B0B50">
      <w:pPr>
        <w:rPr>
          <w:rFonts w:cs="Arial"/>
          <w:szCs w:val="20"/>
        </w:rPr>
      </w:pPr>
      <w:r>
        <w:rPr>
          <w:rFonts w:cs="Arial"/>
          <w:szCs w:val="20"/>
        </w:rPr>
        <w:t xml:space="preserve">Again, it would be helpful if ESMA could more clearly distinguish for bilateral trades between collateral allocation for the </w:t>
      </w:r>
      <w:r w:rsidRPr="004531A4">
        <w:rPr>
          <w:rFonts w:cs="Arial"/>
          <w:bCs/>
          <w:iCs/>
          <w:szCs w:val="20"/>
        </w:rPr>
        <w:t>initial sale and delivery</w:t>
      </w:r>
      <w:r w:rsidRPr="004531A4">
        <w:rPr>
          <w:rFonts w:cs="Arial"/>
          <w:szCs w:val="20"/>
        </w:rPr>
        <w:t xml:space="preserve"> </w:t>
      </w:r>
      <w:r>
        <w:rPr>
          <w:rFonts w:cs="Arial"/>
          <w:szCs w:val="20"/>
        </w:rPr>
        <w:t>and the separate process for exchanging variation margin. Considering the latter, the</w:t>
      </w:r>
      <w:r w:rsidRPr="004531A4">
        <w:rPr>
          <w:rFonts w:cs="Arial"/>
          <w:szCs w:val="20"/>
        </w:rPr>
        <w:t xml:space="preserve"> cases listed in para</w:t>
      </w:r>
      <w:r>
        <w:rPr>
          <w:rFonts w:cs="Arial"/>
          <w:szCs w:val="20"/>
        </w:rPr>
        <w:t>graph 252 are generally correct. However, w</w:t>
      </w:r>
      <w:r w:rsidRPr="004531A4">
        <w:rPr>
          <w:rFonts w:cs="Arial"/>
          <w:szCs w:val="20"/>
        </w:rPr>
        <w:t>e would like to clarify the following:</w:t>
      </w:r>
    </w:p>
    <w:p w:rsidR="001B0B50" w:rsidRDefault="001B0B50" w:rsidP="001B0B50">
      <w:pPr>
        <w:pStyle w:val="ListParagraph"/>
        <w:numPr>
          <w:ilvl w:val="0"/>
          <w:numId w:val="43"/>
        </w:numPr>
        <w:rPr>
          <w:rFonts w:cs="Arial"/>
          <w:szCs w:val="20"/>
        </w:rPr>
      </w:pPr>
      <w:r w:rsidRPr="004531A4">
        <w:rPr>
          <w:rFonts w:cs="Arial"/>
          <w:szCs w:val="20"/>
        </w:rPr>
        <w:t xml:space="preserve">Para 252(b): </w:t>
      </w:r>
      <w:r>
        <w:rPr>
          <w:rFonts w:cs="Arial"/>
          <w:szCs w:val="20"/>
        </w:rPr>
        <w:t>This is correct if</w:t>
      </w:r>
      <w:r w:rsidRPr="004531A4">
        <w:rPr>
          <w:rFonts w:cs="Arial"/>
          <w:bCs/>
          <w:iCs/>
          <w:szCs w:val="20"/>
        </w:rPr>
        <w:t xml:space="preserve"> </w:t>
      </w:r>
      <w:r>
        <w:rPr>
          <w:rFonts w:cs="Arial"/>
          <w:bCs/>
          <w:iCs/>
          <w:szCs w:val="20"/>
        </w:rPr>
        <w:t>ESMA refers to the exchange of variation margin and if open repo refers to open positions in all types of repo, not only “open repo” in the sense of repo trades without fixed maturity date</w:t>
      </w:r>
      <w:r w:rsidRPr="004531A4">
        <w:rPr>
          <w:rFonts w:cs="Arial"/>
          <w:bCs/>
          <w:iCs/>
          <w:szCs w:val="20"/>
        </w:rPr>
        <w:t>.</w:t>
      </w:r>
      <w:r w:rsidRPr="004531A4">
        <w:rPr>
          <w:rFonts w:cs="Arial"/>
          <w:szCs w:val="20"/>
        </w:rPr>
        <w:t xml:space="preserve"> </w:t>
      </w:r>
    </w:p>
    <w:p w:rsidR="001B0B50" w:rsidRPr="001B0B50" w:rsidRDefault="001B0B50" w:rsidP="001B0B50">
      <w:pPr>
        <w:pStyle w:val="ListParagraph"/>
        <w:numPr>
          <w:ilvl w:val="0"/>
          <w:numId w:val="43"/>
        </w:numPr>
        <w:rPr>
          <w:rFonts w:cs="Arial"/>
          <w:szCs w:val="20"/>
        </w:rPr>
      </w:pPr>
      <w:r w:rsidRPr="001B0B50">
        <w:rPr>
          <w:rFonts w:cs="Arial"/>
          <w:szCs w:val="20"/>
        </w:rPr>
        <w:lastRenderedPageBreak/>
        <w:t>Para 252(d): ESMA correctly states that CCP-cleared SFTs are not included in the calculation of bilateral net exposure. It is important to note that these trades are concluded under the CCP Rules and not under bilateral agreements like the GMRA.</w:t>
      </w:r>
    </w:p>
    <w:p w:rsidR="001B0B50" w:rsidRDefault="001B0B50" w:rsidP="0043413A"/>
    <w:permEnd w:id="1552566045"/>
    <w:p w:rsidR="0043413A" w:rsidRDefault="0043413A" w:rsidP="0043413A">
      <w:r>
        <w:t>&lt;ESMA_QUESTION_SFTR_50&gt;</w:t>
      </w:r>
    </w:p>
    <w:p w:rsidR="0043413A" w:rsidRDefault="0043413A" w:rsidP="0043413A"/>
    <w:p w:rsidR="0043413A" w:rsidRPr="00943DDF" w:rsidRDefault="0043413A" w:rsidP="0043413A">
      <w:pPr>
        <w:pStyle w:val="Questionstyle"/>
        <w:numPr>
          <w:ilvl w:val="0"/>
          <w:numId w:val="40"/>
        </w:numPr>
      </w:pPr>
      <w:r w:rsidRPr="00943DDF">
        <w:t>Is the understanding of ESMA correct that CCP-cleared trades are excluded from the calculation of net exposures between two counterparties? If not, please explain.</w:t>
      </w:r>
    </w:p>
    <w:p w:rsidR="0043413A" w:rsidRDefault="0043413A" w:rsidP="0043413A">
      <w:r>
        <w:t>&lt;ESMA_QUESTION_SFTR_51&gt;</w:t>
      </w:r>
    </w:p>
    <w:p w:rsidR="0043413A" w:rsidRDefault="0043413A" w:rsidP="0043413A">
      <w:permStart w:id="129653722" w:edGrp="everyone"/>
    </w:p>
    <w:p w:rsidR="001B0B50" w:rsidRPr="001B0B50" w:rsidRDefault="001B0B50" w:rsidP="0043413A">
      <w:pPr>
        <w:rPr>
          <w:rFonts w:cs="Arial"/>
          <w:szCs w:val="20"/>
        </w:rPr>
      </w:pPr>
      <w:r w:rsidRPr="004531A4">
        <w:rPr>
          <w:rFonts w:cs="Arial"/>
          <w:szCs w:val="20"/>
        </w:rPr>
        <w:t>Yes, ESMA’s interpretation is correct.</w:t>
      </w:r>
      <w:r>
        <w:rPr>
          <w:rFonts w:cs="Arial"/>
          <w:szCs w:val="20"/>
        </w:rPr>
        <w:t xml:space="preserve"> See our response to Q50.</w:t>
      </w:r>
    </w:p>
    <w:p w:rsidR="001B0B50" w:rsidRDefault="001B0B50" w:rsidP="0043413A"/>
    <w:permEnd w:id="129653722"/>
    <w:p w:rsidR="0043413A" w:rsidRDefault="0043413A" w:rsidP="0043413A">
      <w:r>
        <w:t>&lt;ESMA_QUESTION_SFTR_51&gt;</w:t>
      </w:r>
    </w:p>
    <w:p w:rsidR="0043413A" w:rsidRDefault="0043413A" w:rsidP="0043413A"/>
    <w:p w:rsidR="0043413A" w:rsidRPr="00943DDF" w:rsidRDefault="0043413A" w:rsidP="0043413A">
      <w:pPr>
        <w:pStyle w:val="Questionstyle"/>
        <w:numPr>
          <w:ilvl w:val="0"/>
          <w:numId w:val="40"/>
        </w:numPr>
      </w:pPr>
      <w:r w:rsidRPr="00943DDF">
        <w:t>Is the assumption correct that the counterparties can report the assets available for collateralisation in the collateral portfolio for margin lending with the balance of the outstanding loan? If not, please explain.</w:t>
      </w:r>
    </w:p>
    <w:p w:rsidR="0043413A" w:rsidRDefault="0043413A" w:rsidP="0043413A">
      <w:r>
        <w:t>&lt;ESMA_QUESTION_SFTR_52&gt;</w:t>
      </w:r>
    </w:p>
    <w:p w:rsidR="0043413A" w:rsidRDefault="0043413A" w:rsidP="0043413A">
      <w:permStart w:id="1277103573" w:edGrp="everyone"/>
      <w:r>
        <w:t>TYPE YOUR TEXT HERE</w:t>
      </w:r>
    </w:p>
    <w:permEnd w:id="1277103573"/>
    <w:p w:rsidR="0043413A" w:rsidRDefault="0043413A" w:rsidP="0043413A">
      <w:r>
        <w:t>&lt;ESMA_QUESTION_SFTR_52&gt;</w:t>
      </w:r>
    </w:p>
    <w:p w:rsidR="0043413A" w:rsidRDefault="0043413A" w:rsidP="0043413A"/>
    <w:p w:rsidR="0043413A" w:rsidRPr="00943DDF" w:rsidRDefault="0043413A" w:rsidP="0043413A">
      <w:pPr>
        <w:pStyle w:val="Questionstyle"/>
        <w:numPr>
          <w:ilvl w:val="0"/>
          <w:numId w:val="40"/>
        </w:numPr>
      </w:pPr>
      <w:r w:rsidRPr="00943DDF">
        <w:t>Are you aware of any scenarios that would require at the end of day the reporting of cash not only as principal amount, but also as cash collateral for repos? If yes, please describe.</w:t>
      </w:r>
    </w:p>
    <w:p w:rsidR="0043413A" w:rsidRDefault="0043413A" w:rsidP="0043413A">
      <w:r>
        <w:t>&lt;ESMA_QUESTION_SFTR_53&gt;</w:t>
      </w:r>
    </w:p>
    <w:p w:rsidR="0043413A" w:rsidRDefault="0043413A" w:rsidP="0043413A">
      <w:permStart w:id="2112097343" w:edGrp="everyone"/>
    </w:p>
    <w:p w:rsidR="001B0B50" w:rsidRPr="004531A4" w:rsidRDefault="001B0B50" w:rsidP="001B0B50">
      <w:pPr>
        <w:pStyle w:val="ListParagraph"/>
        <w:numPr>
          <w:ilvl w:val="0"/>
          <w:numId w:val="44"/>
        </w:numPr>
        <w:rPr>
          <w:rFonts w:cs="Arial"/>
          <w:szCs w:val="20"/>
          <w:u w:val="single"/>
        </w:rPr>
      </w:pPr>
      <w:r w:rsidRPr="004531A4">
        <w:rPr>
          <w:rFonts w:cs="Arial"/>
          <w:szCs w:val="20"/>
          <w:u w:val="single"/>
        </w:rPr>
        <w:t>Cash collateral element:</w:t>
      </w:r>
    </w:p>
    <w:p w:rsidR="001B0B50" w:rsidRPr="004531A4" w:rsidRDefault="001B0B50" w:rsidP="001B0B50">
      <w:pPr>
        <w:rPr>
          <w:rFonts w:cs="Arial"/>
          <w:szCs w:val="20"/>
          <w:u w:val="single"/>
        </w:rPr>
      </w:pPr>
    </w:p>
    <w:p w:rsidR="001B0B50" w:rsidRPr="004531A4" w:rsidRDefault="001B0B50" w:rsidP="001B0B50">
      <w:pPr>
        <w:rPr>
          <w:rFonts w:cs="Arial"/>
          <w:szCs w:val="20"/>
        </w:rPr>
      </w:pPr>
      <w:r w:rsidRPr="004531A4">
        <w:rPr>
          <w:rFonts w:cs="Arial"/>
          <w:szCs w:val="20"/>
        </w:rPr>
        <w:t xml:space="preserve">Generally, we would like to highlight that the GMRA allows for the use of both securities and cash collateral for repo trades so the possibility to report cash collateral should exist for repos as well. </w:t>
      </w:r>
    </w:p>
    <w:p w:rsidR="001B0B50" w:rsidRPr="004531A4" w:rsidRDefault="001B0B50" w:rsidP="001B0B50">
      <w:pPr>
        <w:rPr>
          <w:rFonts w:cs="Arial"/>
          <w:szCs w:val="20"/>
        </w:rPr>
      </w:pPr>
    </w:p>
    <w:p w:rsidR="001B0B50" w:rsidRPr="004531A4" w:rsidRDefault="001B0B50" w:rsidP="001B0B50">
      <w:pPr>
        <w:rPr>
          <w:rFonts w:cs="Arial"/>
          <w:szCs w:val="20"/>
        </w:rPr>
      </w:pPr>
      <w:r w:rsidRPr="004531A4">
        <w:rPr>
          <w:rFonts w:cs="Arial"/>
          <w:szCs w:val="20"/>
        </w:rPr>
        <w:t xml:space="preserve">As an </w:t>
      </w:r>
      <w:proofErr w:type="gramStart"/>
      <w:r w:rsidRPr="004531A4">
        <w:rPr>
          <w:rFonts w:cs="Arial"/>
          <w:szCs w:val="20"/>
        </w:rPr>
        <w:t>example</w:t>
      </w:r>
      <w:proofErr w:type="gramEnd"/>
      <w:r w:rsidRPr="004531A4">
        <w:rPr>
          <w:rFonts w:cs="Arial"/>
          <w:szCs w:val="20"/>
        </w:rPr>
        <w:t xml:space="preserve"> for the use of cash collateral, in a bilateral scenario counterparties</w:t>
      </w:r>
      <w:r>
        <w:rPr>
          <w:rFonts w:cs="Arial"/>
          <w:szCs w:val="20"/>
        </w:rPr>
        <w:t xml:space="preserve"> may wish to temporarily substitute</w:t>
      </w:r>
      <w:r w:rsidRPr="004531A4">
        <w:rPr>
          <w:rFonts w:cs="Arial"/>
          <w:szCs w:val="20"/>
        </w:rPr>
        <w:t xml:space="preserve"> securities collateral by cash where they want to avoid terminating an existing open trade. Furthermore, in a tri-party context, as explained in our responses to ESMA ahead of this consultation, we understand that firms provide triparty agents with contractual rights to access their cash and securities accounts. If the triparty agent experiences a shortfall in eligible collateral, tri-party agents are permitted to substitute that collateral with cash, provided as a short-term loan to the seller. For more details on the latter case, the relevant tri-party agents will be able to provide further explanations on their specific service offering and business practices. </w:t>
      </w:r>
    </w:p>
    <w:p w:rsidR="001B0B50" w:rsidRPr="004531A4" w:rsidRDefault="001B0B50" w:rsidP="001B0B50">
      <w:pPr>
        <w:rPr>
          <w:rFonts w:cs="Arial"/>
          <w:szCs w:val="20"/>
        </w:rPr>
      </w:pPr>
    </w:p>
    <w:p w:rsidR="001B0B50" w:rsidRDefault="001B0B50" w:rsidP="001B0B50">
      <w:r w:rsidRPr="004531A4">
        <w:rPr>
          <w:rFonts w:cs="Arial"/>
          <w:szCs w:val="20"/>
        </w:rPr>
        <w:t>Finally, cash collateral would also be relevant for the reporting of variation margin in a bilateral (non-CCP cleared) repo scenario, which often involves securities and cash. If ESMA maintains its proposal to report variation margin through collateral updates (on a net exposure basis), this would thus also require provisioning for a cash collateral element for repo.</w:t>
      </w:r>
      <w:r>
        <w:rPr>
          <w:rFonts w:cs="Arial"/>
          <w:szCs w:val="20"/>
        </w:rPr>
        <w:t xml:space="preserve"> As further explained e.g. in our response to Q35 we believe that defining a separate report for the margining of bilateral trades would be more appropriate.</w:t>
      </w:r>
    </w:p>
    <w:p w:rsidR="001B0B50" w:rsidRDefault="001B0B50" w:rsidP="0043413A"/>
    <w:p w:rsidR="001B0B50" w:rsidRPr="004531A4" w:rsidRDefault="001B0B50" w:rsidP="001B0B50">
      <w:pPr>
        <w:pStyle w:val="ListParagraph"/>
        <w:numPr>
          <w:ilvl w:val="0"/>
          <w:numId w:val="44"/>
        </w:numPr>
        <w:rPr>
          <w:rFonts w:cs="Arial"/>
          <w:szCs w:val="20"/>
          <w:u w:val="single"/>
        </w:rPr>
      </w:pPr>
      <w:r w:rsidRPr="004531A4">
        <w:rPr>
          <w:rFonts w:cs="Arial"/>
          <w:szCs w:val="20"/>
          <w:u w:val="single"/>
        </w:rPr>
        <w:t>Securities collateral element:</w:t>
      </w:r>
    </w:p>
    <w:p w:rsidR="001B0B50" w:rsidRPr="004531A4" w:rsidRDefault="001B0B50" w:rsidP="001B0B50">
      <w:pPr>
        <w:rPr>
          <w:rFonts w:cs="Arial"/>
          <w:i/>
          <w:color w:val="FF0000"/>
          <w:szCs w:val="20"/>
        </w:rPr>
      </w:pPr>
    </w:p>
    <w:p w:rsidR="001B0B50" w:rsidRPr="004531A4" w:rsidRDefault="001B0B50" w:rsidP="001B0B50">
      <w:pPr>
        <w:rPr>
          <w:rFonts w:cs="Arial"/>
          <w:b/>
          <w:i/>
          <w:szCs w:val="20"/>
        </w:rPr>
      </w:pPr>
      <w:r w:rsidRPr="004531A4">
        <w:rPr>
          <w:rFonts w:cs="Arial"/>
          <w:szCs w:val="20"/>
        </w:rPr>
        <w:t xml:space="preserve">As repeatedly stressed in our response to ESMA’s DP and outlined in the general comments above, we would like to reiterate the importance of reducing the number of reporting fields wherever this is possible to design a practical reporting regime. The securities collateral element is a good example where at least some of the proposed data fields could be easily derived from static data, particularly the ISIN code which </w:t>
      </w:r>
      <w:r w:rsidRPr="004531A4">
        <w:rPr>
          <w:rFonts w:cs="Arial"/>
          <w:szCs w:val="20"/>
        </w:rPr>
        <w:lastRenderedPageBreak/>
        <w:t xml:space="preserve">will be provided by reporting parties. ESMA acknowledges in paragraph 260 that </w:t>
      </w:r>
      <w:r w:rsidRPr="004531A4">
        <w:rPr>
          <w:rFonts w:cs="Arial"/>
          <w:szCs w:val="20"/>
          <w:u w:val="single"/>
        </w:rPr>
        <w:t>all</w:t>
      </w:r>
      <w:r w:rsidRPr="004531A4">
        <w:rPr>
          <w:rFonts w:cs="Arial"/>
          <w:szCs w:val="20"/>
        </w:rPr>
        <w:t xml:space="preserve"> respondents have stated that the proposed collateral information is too extensive. We urge ESMA to take this feedback into account when finalising the proposals on the required data fields. </w:t>
      </w:r>
      <w:proofErr w:type="gramStart"/>
      <w:r w:rsidRPr="004531A4">
        <w:rPr>
          <w:rFonts w:cs="Arial"/>
          <w:szCs w:val="20"/>
        </w:rPr>
        <w:t>In particular, we</w:t>
      </w:r>
      <w:proofErr w:type="gramEnd"/>
      <w:r w:rsidRPr="004531A4">
        <w:rPr>
          <w:rFonts w:cs="Arial"/>
          <w:szCs w:val="20"/>
        </w:rPr>
        <w:t xml:space="preserve"> note that the level 1 text does not preclude that some reported items can be implied from other reported items or from centralised data sources. </w:t>
      </w:r>
      <w:proofErr w:type="gramStart"/>
      <w:r w:rsidRPr="004531A4">
        <w:rPr>
          <w:rFonts w:cs="Arial"/>
          <w:szCs w:val="20"/>
        </w:rPr>
        <w:t>With reference to</w:t>
      </w:r>
      <w:proofErr w:type="gramEnd"/>
      <w:r w:rsidRPr="004531A4">
        <w:rPr>
          <w:rFonts w:cs="Arial"/>
          <w:szCs w:val="20"/>
        </w:rPr>
        <w:t xml:space="preserve"> ESMA’s statement in paragraph 260 that the level 1 text “requires the reporting of individual assets, their type, quality and value”, we would like to remark that this also does not prevent ESMA from deriving more specific information related to the security collateral, including for instance the jurisdiction of the issuer. </w:t>
      </w:r>
    </w:p>
    <w:p w:rsidR="001B0B50" w:rsidRPr="004531A4" w:rsidRDefault="001B0B50" w:rsidP="001B0B50">
      <w:pPr>
        <w:rPr>
          <w:rFonts w:cs="Arial"/>
          <w:szCs w:val="20"/>
        </w:rPr>
      </w:pPr>
    </w:p>
    <w:p w:rsidR="001B0B50" w:rsidRPr="004531A4" w:rsidRDefault="001B0B50" w:rsidP="001B0B50">
      <w:pPr>
        <w:rPr>
          <w:rFonts w:cs="Arial"/>
          <w:b/>
          <w:i/>
          <w:szCs w:val="20"/>
        </w:rPr>
      </w:pPr>
      <w:r w:rsidRPr="004531A4">
        <w:rPr>
          <w:rFonts w:cs="Arial"/>
          <w:szCs w:val="20"/>
        </w:rPr>
        <w:t>If ESMA insists on maintaining the proposed fields, it should at least be ensured that these are not required for reconciliation as this will likely lead to matching errors. Again, we would like to refer ESMA to the attached Excel template for more detailed comments on the individual fields</w:t>
      </w:r>
      <w:r w:rsidRPr="004531A4">
        <w:rPr>
          <w:rFonts w:cs="Arial"/>
          <w:b/>
          <w:i/>
          <w:szCs w:val="20"/>
        </w:rPr>
        <w:t>.</w:t>
      </w:r>
    </w:p>
    <w:p w:rsidR="001B0B50" w:rsidRDefault="001B0B50" w:rsidP="0043413A"/>
    <w:permEnd w:id="2112097343"/>
    <w:p w:rsidR="0043413A" w:rsidRDefault="0043413A" w:rsidP="0043413A">
      <w:r>
        <w:t>&lt;ESMA_QUESTION_SFTR_53&gt;</w:t>
      </w:r>
    </w:p>
    <w:p w:rsidR="0043413A" w:rsidRDefault="0043413A" w:rsidP="0043413A"/>
    <w:p w:rsidR="0043413A" w:rsidRPr="00943DDF" w:rsidRDefault="0043413A" w:rsidP="0043413A">
      <w:pPr>
        <w:pStyle w:val="Questionstyle"/>
        <w:numPr>
          <w:ilvl w:val="0"/>
          <w:numId w:val="40"/>
        </w:numPr>
      </w:pPr>
      <w:r w:rsidRPr="00943DDF">
        <w:t>Would you foresee any specific challenges in implementing the proposed logic for linking? If yes, please explain.</w:t>
      </w:r>
    </w:p>
    <w:p w:rsidR="0043413A" w:rsidRDefault="0043413A" w:rsidP="0043413A">
      <w:r>
        <w:t>&lt;ESMA_QUESTION_SFTR_54&gt;</w:t>
      </w:r>
    </w:p>
    <w:p w:rsidR="0043413A" w:rsidRDefault="0043413A" w:rsidP="0043413A">
      <w:permStart w:id="1404467496" w:edGrp="everyone"/>
    </w:p>
    <w:p w:rsidR="001B0B50" w:rsidRPr="004531A4" w:rsidRDefault="001B0B50" w:rsidP="001B0B50">
      <w:pPr>
        <w:pStyle w:val="ListParagraph"/>
        <w:numPr>
          <w:ilvl w:val="0"/>
          <w:numId w:val="46"/>
        </w:numPr>
        <w:rPr>
          <w:rFonts w:cs="Arial"/>
          <w:szCs w:val="20"/>
          <w:u w:val="single"/>
        </w:rPr>
      </w:pPr>
      <w:r w:rsidRPr="004531A4">
        <w:rPr>
          <w:rFonts w:cs="Arial"/>
          <w:szCs w:val="20"/>
          <w:u w:val="single"/>
        </w:rPr>
        <w:t>Trade based collateral allocation:</w:t>
      </w:r>
    </w:p>
    <w:p w:rsidR="001B0B50" w:rsidRPr="004531A4" w:rsidRDefault="001B0B50" w:rsidP="001B0B50">
      <w:pPr>
        <w:pStyle w:val="ListParagraph"/>
        <w:rPr>
          <w:rFonts w:cs="Arial"/>
          <w:szCs w:val="20"/>
          <w:u w:val="single"/>
        </w:rPr>
      </w:pPr>
    </w:p>
    <w:p w:rsidR="001B0B50" w:rsidRPr="004531A4" w:rsidRDefault="001B0B50" w:rsidP="001B0B50">
      <w:pPr>
        <w:rPr>
          <w:rFonts w:cs="Arial"/>
          <w:szCs w:val="20"/>
        </w:rPr>
      </w:pPr>
      <w:r w:rsidRPr="004531A4">
        <w:rPr>
          <w:rFonts w:cs="Arial"/>
          <w:szCs w:val="20"/>
        </w:rPr>
        <w:t xml:space="preserve">The proposed algorithm for linking loan and collateral data seems generally feasible, although this obviously depends critically on the implementation of a consistent method to generate and communicate UTIs. We note from examples 4.1 and 4.2 that the basket identifier/ISIN only needs to be provided where the specific collateral is not available on T+1, which makes sense. </w:t>
      </w:r>
    </w:p>
    <w:p w:rsidR="001B0B50" w:rsidRPr="004531A4" w:rsidRDefault="001B0B50" w:rsidP="001B0B50">
      <w:pPr>
        <w:rPr>
          <w:rFonts w:cs="Arial"/>
          <w:b/>
          <w:i/>
          <w:szCs w:val="20"/>
        </w:rPr>
      </w:pPr>
    </w:p>
    <w:p w:rsidR="001B0B50" w:rsidRPr="004531A4" w:rsidRDefault="001B0B50" w:rsidP="001B0B50">
      <w:pPr>
        <w:pStyle w:val="ListParagraph"/>
        <w:numPr>
          <w:ilvl w:val="0"/>
          <w:numId w:val="46"/>
        </w:numPr>
        <w:rPr>
          <w:rFonts w:cs="Arial"/>
          <w:szCs w:val="20"/>
          <w:u w:val="single"/>
        </w:rPr>
      </w:pPr>
      <w:r w:rsidRPr="004531A4">
        <w:rPr>
          <w:rFonts w:cs="Arial"/>
          <w:szCs w:val="20"/>
          <w:u w:val="single"/>
        </w:rPr>
        <w:t>Collateralisation based on net exposure:</w:t>
      </w:r>
    </w:p>
    <w:p w:rsidR="001B0B50" w:rsidRPr="004531A4" w:rsidRDefault="001B0B50" w:rsidP="001B0B50">
      <w:pPr>
        <w:rPr>
          <w:rFonts w:cs="Arial"/>
          <w:szCs w:val="20"/>
          <w:u w:val="single"/>
        </w:rPr>
      </w:pPr>
    </w:p>
    <w:p w:rsidR="001B0B50" w:rsidRPr="004531A4" w:rsidRDefault="001B0B50" w:rsidP="001B0B50">
      <w:pPr>
        <w:rPr>
          <w:rFonts w:cs="Arial"/>
          <w:szCs w:val="20"/>
        </w:rPr>
      </w:pPr>
      <w:r w:rsidRPr="004531A4">
        <w:rPr>
          <w:rFonts w:cs="Arial"/>
          <w:szCs w:val="20"/>
        </w:rPr>
        <w:t xml:space="preserve">We fully support ESMA’s proposal to use LEIs and master agreements as a basis to link trades and collateral. As highlighted in our response to ESMA’s DP, we believe this is sufficient in all cases. </w:t>
      </w:r>
    </w:p>
    <w:p w:rsidR="001B0B50" w:rsidRPr="004531A4" w:rsidRDefault="001B0B50" w:rsidP="001B0B50">
      <w:pPr>
        <w:rPr>
          <w:rFonts w:cs="Arial"/>
          <w:szCs w:val="20"/>
        </w:rPr>
      </w:pPr>
    </w:p>
    <w:p w:rsidR="001B0B50" w:rsidRPr="004531A4" w:rsidRDefault="001B0B50" w:rsidP="001B0B50">
      <w:pPr>
        <w:rPr>
          <w:rFonts w:cs="Arial"/>
          <w:szCs w:val="20"/>
        </w:rPr>
      </w:pPr>
      <w:r w:rsidRPr="004531A4">
        <w:rPr>
          <w:rFonts w:cs="Arial"/>
          <w:szCs w:val="20"/>
        </w:rPr>
        <w:t>Regarding collateral updates, we would like to ask ESMA to clarify how this is exactly intended to work. Is it the intention to require counterparties to report a daily update on the new full collateral position or are counterparties required to report only the delta (</w:t>
      </w:r>
      <w:proofErr w:type="spellStart"/>
      <w:r w:rsidRPr="004531A4">
        <w:rPr>
          <w:rFonts w:cs="Arial"/>
          <w:szCs w:val="20"/>
        </w:rPr>
        <w:t>ie</w:t>
      </w:r>
      <w:proofErr w:type="spellEnd"/>
      <w:r w:rsidRPr="004531A4">
        <w:rPr>
          <w:rFonts w:cs="Arial"/>
          <w:szCs w:val="20"/>
        </w:rPr>
        <w:t xml:space="preserve"> the change of the position compared with the previous day)? From the perspective of the reporting party it seems significantly easier to report the updated full position.</w:t>
      </w:r>
    </w:p>
    <w:p w:rsidR="001B0B50" w:rsidRPr="004531A4" w:rsidRDefault="001B0B50" w:rsidP="001B0B50">
      <w:pPr>
        <w:rPr>
          <w:rFonts w:cs="Arial"/>
          <w:szCs w:val="20"/>
        </w:rPr>
      </w:pPr>
      <w:r w:rsidRPr="004531A4">
        <w:rPr>
          <w:rFonts w:cs="Arial"/>
          <w:szCs w:val="20"/>
        </w:rPr>
        <w:t xml:space="preserve"> </w:t>
      </w:r>
    </w:p>
    <w:p w:rsidR="001B0B50" w:rsidRPr="004531A4" w:rsidRDefault="001B0B50" w:rsidP="001B0B50">
      <w:pPr>
        <w:rPr>
          <w:rFonts w:cs="Arial"/>
          <w:szCs w:val="20"/>
        </w:rPr>
      </w:pPr>
      <w:r w:rsidRPr="004531A4">
        <w:rPr>
          <w:rFonts w:cs="Arial"/>
          <w:szCs w:val="20"/>
        </w:rPr>
        <w:t>We understand from ESMA’s explanations that the algorithm on page 101 intends to cover both collateral updates resulting e.g. from collateral substitutions and those resulting from the daily exchange of variation margin. We would recommend to separate the two processes and to represent the exchange of variation margin separately. As further explained</w:t>
      </w:r>
      <w:r>
        <w:rPr>
          <w:rFonts w:cs="Arial"/>
          <w:szCs w:val="20"/>
        </w:rPr>
        <w:t xml:space="preserve"> e.g.</w:t>
      </w:r>
      <w:r w:rsidRPr="004531A4">
        <w:rPr>
          <w:rFonts w:cs="Arial"/>
          <w:szCs w:val="20"/>
        </w:rPr>
        <w:t xml:space="preserve"> in our response to Q35, we believe this would provide a clearer picture for both reporting parties and regulators.</w:t>
      </w:r>
    </w:p>
    <w:p w:rsidR="001B0B50" w:rsidRPr="004531A4" w:rsidRDefault="001B0B50" w:rsidP="001B0B50">
      <w:pPr>
        <w:rPr>
          <w:rFonts w:cs="Arial"/>
          <w:szCs w:val="20"/>
        </w:rPr>
      </w:pPr>
    </w:p>
    <w:p w:rsidR="001B0B50" w:rsidRDefault="001B0B50" w:rsidP="001B0B50">
      <w:r w:rsidRPr="004531A4">
        <w:rPr>
          <w:rFonts w:cs="Arial"/>
          <w:szCs w:val="20"/>
        </w:rPr>
        <w:t>Finally, it is not fully clear to us how the described process can apply to the reporting of tri-party trades. We would welcome clear guidance from ESMA on this process. We do expect this to be a huge challenge for reporting firms, given the</w:t>
      </w:r>
      <w:r w:rsidRPr="004531A4">
        <w:rPr>
          <w:rFonts w:cs="Arial"/>
          <w:color w:val="FF0000"/>
          <w:szCs w:val="20"/>
        </w:rPr>
        <w:t xml:space="preserve"> </w:t>
      </w:r>
      <w:r w:rsidRPr="004531A4">
        <w:rPr>
          <w:rFonts w:cs="Arial"/>
          <w:szCs w:val="20"/>
        </w:rPr>
        <w:t xml:space="preserve">sheer volume of data and the fact that firms </w:t>
      </w:r>
      <w:proofErr w:type="gramStart"/>
      <w:r w:rsidRPr="004531A4">
        <w:rPr>
          <w:rFonts w:cs="Arial"/>
          <w:szCs w:val="20"/>
        </w:rPr>
        <w:t>will have to</w:t>
      </w:r>
      <w:proofErr w:type="gramEnd"/>
      <w:r w:rsidRPr="004531A4">
        <w:rPr>
          <w:rFonts w:cs="Arial"/>
          <w:szCs w:val="20"/>
        </w:rPr>
        <w:t xml:space="preserve"> rely entirely on reports from tri-party agents. We would like to reiterate that this data could be far more efficiently collected directly from tri-party agents as these have direct access to the information. Not only would such a regime be far less costly, it would also lead to important improvements in data quality and timeliness.</w:t>
      </w:r>
    </w:p>
    <w:p w:rsidR="001B0B50" w:rsidRDefault="001B0B50" w:rsidP="0043413A"/>
    <w:permEnd w:id="1404467496"/>
    <w:p w:rsidR="0043413A" w:rsidRDefault="0043413A" w:rsidP="0043413A">
      <w:r>
        <w:t>&lt;ESMA_QUESTION_SFTR_54&gt;</w:t>
      </w:r>
    </w:p>
    <w:p w:rsidR="0043413A" w:rsidRDefault="0043413A" w:rsidP="0043413A"/>
    <w:p w:rsidR="0043413A" w:rsidRPr="00943DDF" w:rsidRDefault="0043413A" w:rsidP="0043413A">
      <w:pPr>
        <w:pStyle w:val="Questionstyle"/>
        <w:numPr>
          <w:ilvl w:val="0"/>
          <w:numId w:val="40"/>
        </w:numPr>
      </w:pPr>
      <w:r w:rsidRPr="00943DDF">
        <w:t>In which case would counterparties need to provide a bilaterally agreed unique code to for linking trades to collateral? If yes, please explain.</w:t>
      </w:r>
    </w:p>
    <w:p w:rsidR="0043413A" w:rsidRDefault="0043413A" w:rsidP="0043413A">
      <w:r>
        <w:lastRenderedPageBreak/>
        <w:t>&lt;ESMA_QUESTION_SFTR_55&gt;</w:t>
      </w:r>
    </w:p>
    <w:p w:rsidR="0043413A" w:rsidRDefault="0043413A" w:rsidP="0043413A">
      <w:permStart w:id="744570844" w:edGrp="everyone"/>
    </w:p>
    <w:p w:rsidR="00241A7D" w:rsidRDefault="00241A7D" w:rsidP="0043413A">
      <w:r w:rsidRPr="004531A4">
        <w:rPr>
          <w:rFonts w:cs="Arial"/>
          <w:szCs w:val="20"/>
        </w:rPr>
        <w:t xml:space="preserve">A bilaterally agreed code could be needed in case of fully bespoke bilateral agreements, although we understand that this is relatively rare. We do not think that there is a need for a bilaterally agreed code in the case of the adoption of new market wide master agreements as suggested by ESMA in paragraph 279. While this is a rare occasion anyway, there is usually a long consultation and transition period before such agreements are </w:t>
      </w:r>
      <w:proofErr w:type="gramStart"/>
      <w:r w:rsidRPr="004531A4">
        <w:rPr>
          <w:rFonts w:cs="Arial"/>
          <w:szCs w:val="20"/>
        </w:rPr>
        <w:t>actually used</w:t>
      </w:r>
      <w:proofErr w:type="gramEnd"/>
      <w:r w:rsidRPr="004531A4">
        <w:rPr>
          <w:rFonts w:cs="Arial"/>
          <w:szCs w:val="20"/>
        </w:rPr>
        <w:t xml:space="preserve"> so this should give ESMA and the relevant NCAs sufficient time to update the code list in the reporting template.</w:t>
      </w:r>
    </w:p>
    <w:p w:rsidR="00241A7D" w:rsidRDefault="00241A7D" w:rsidP="0043413A"/>
    <w:permEnd w:id="744570844"/>
    <w:p w:rsidR="0043413A" w:rsidRDefault="0043413A" w:rsidP="0043413A">
      <w:r>
        <w:t>&lt;ESMA_QUESTION_SFTR_55&gt;</w:t>
      </w:r>
    </w:p>
    <w:p w:rsidR="0043413A" w:rsidRDefault="0043413A" w:rsidP="0043413A"/>
    <w:p w:rsidR="0043413A" w:rsidRPr="00943DDF" w:rsidRDefault="0043413A" w:rsidP="0043413A">
      <w:pPr>
        <w:pStyle w:val="Questionstyle"/>
        <w:numPr>
          <w:ilvl w:val="0"/>
          <w:numId w:val="40"/>
        </w:numPr>
      </w:pPr>
      <w:r w:rsidRPr="00943DDF">
        <w:t>Is there a case where more than one bespoke bilateral agreement is concluded between two counterparties?</w:t>
      </w:r>
    </w:p>
    <w:p w:rsidR="0043413A" w:rsidRDefault="0043413A" w:rsidP="0043413A">
      <w:r>
        <w:t>&lt;ESMA_QUESTION_SFTR_56&gt;</w:t>
      </w:r>
    </w:p>
    <w:p w:rsidR="0043413A" w:rsidRDefault="0043413A" w:rsidP="0043413A">
      <w:permStart w:id="1082732448" w:edGrp="everyone"/>
    </w:p>
    <w:p w:rsidR="00241A7D" w:rsidRPr="00241A7D" w:rsidRDefault="00241A7D" w:rsidP="0043413A">
      <w:pPr>
        <w:rPr>
          <w:rFonts w:cs="Arial"/>
          <w:szCs w:val="20"/>
        </w:rPr>
      </w:pPr>
      <w:r w:rsidRPr="004531A4">
        <w:rPr>
          <w:rFonts w:cs="Arial"/>
          <w:szCs w:val="20"/>
        </w:rPr>
        <w:t xml:space="preserve">It is possible for two counterparties to conclude more than one bespoke agreement, </w:t>
      </w:r>
      <w:proofErr w:type="gramStart"/>
      <w:r w:rsidRPr="004531A4">
        <w:rPr>
          <w:rFonts w:cs="Arial"/>
          <w:szCs w:val="20"/>
        </w:rPr>
        <w:t>in particular across</w:t>
      </w:r>
      <w:proofErr w:type="gramEnd"/>
      <w:r w:rsidRPr="004531A4">
        <w:rPr>
          <w:rFonts w:cs="Arial"/>
          <w:szCs w:val="20"/>
        </w:rPr>
        <w:t xml:space="preserve"> SFT types, i</w:t>
      </w:r>
      <w:r>
        <w:rPr>
          <w:rFonts w:cs="Arial"/>
          <w:szCs w:val="20"/>
        </w:rPr>
        <w:t>.</w:t>
      </w:r>
      <w:r w:rsidRPr="004531A4">
        <w:rPr>
          <w:rFonts w:cs="Arial"/>
          <w:szCs w:val="20"/>
        </w:rPr>
        <w:t>e</w:t>
      </w:r>
      <w:r>
        <w:rPr>
          <w:rFonts w:cs="Arial"/>
          <w:szCs w:val="20"/>
        </w:rPr>
        <w:t>.</w:t>
      </w:r>
      <w:r w:rsidRPr="004531A4">
        <w:rPr>
          <w:rFonts w:cs="Arial"/>
          <w:szCs w:val="20"/>
        </w:rPr>
        <w:t xml:space="preserve"> one bespoke agreement per SFT type. However, as further explained in our response to Q57, we understand that it is unlikely that there is more than one besp</w:t>
      </w:r>
      <w:r>
        <w:rPr>
          <w:rFonts w:cs="Arial"/>
          <w:szCs w:val="20"/>
        </w:rPr>
        <w:t xml:space="preserve">oke agreement per type of SFT. </w:t>
      </w:r>
    </w:p>
    <w:p w:rsidR="00241A7D" w:rsidRDefault="00241A7D" w:rsidP="0043413A"/>
    <w:permEnd w:id="1082732448"/>
    <w:p w:rsidR="0043413A" w:rsidRDefault="0043413A" w:rsidP="0043413A">
      <w:r>
        <w:t>&lt;ESMA_QUESTION_SFTR_56&gt;</w:t>
      </w:r>
    </w:p>
    <w:p w:rsidR="0043413A" w:rsidRDefault="0043413A" w:rsidP="0043413A"/>
    <w:p w:rsidR="0043413A" w:rsidRPr="00943DDF" w:rsidRDefault="0043413A" w:rsidP="0043413A">
      <w:pPr>
        <w:pStyle w:val="Questionstyle"/>
        <w:numPr>
          <w:ilvl w:val="0"/>
          <w:numId w:val="40"/>
        </w:numPr>
      </w:pPr>
      <w:r w:rsidRPr="00943DDF">
        <w:t>Is it possible, for a pair of counterparties to have more than one master agreement or more than one bespoke agreement per SFT type? In these cases, please specify, how these agreements are identified between the counterparties? Please provide examples.</w:t>
      </w:r>
    </w:p>
    <w:p w:rsidR="0043413A" w:rsidRDefault="0043413A" w:rsidP="0043413A">
      <w:r>
        <w:t>&lt;ESMA_QUESTION_SFTR_57&gt;</w:t>
      </w:r>
    </w:p>
    <w:p w:rsidR="0043413A" w:rsidRDefault="0043413A" w:rsidP="0043413A">
      <w:permStart w:id="110657521" w:edGrp="everyone"/>
    </w:p>
    <w:p w:rsidR="00241A7D" w:rsidRDefault="00241A7D" w:rsidP="0043413A">
      <w:r w:rsidRPr="004531A4">
        <w:rPr>
          <w:rFonts w:cs="Arial"/>
          <w:szCs w:val="20"/>
        </w:rPr>
        <w:t xml:space="preserve">While again possible for two counterparties to </w:t>
      </w:r>
      <w:proofErr w:type="gramStart"/>
      <w:r w:rsidRPr="004531A4">
        <w:rPr>
          <w:rFonts w:cs="Arial"/>
          <w:szCs w:val="20"/>
        </w:rPr>
        <w:t>negotiate</w:t>
      </w:r>
      <w:proofErr w:type="gramEnd"/>
      <w:r w:rsidRPr="004531A4">
        <w:rPr>
          <w:rFonts w:cs="Arial"/>
          <w:szCs w:val="20"/>
        </w:rPr>
        <w:t xml:space="preserve"> and use two bespoke agreements for a single SFT type, we think this is very unlikely. </w:t>
      </w:r>
      <w:proofErr w:type="gramStart"/>
      <w:r w:rsidRPr="004531A4">
        <w:rPr>
          <w:rFonts w:cs="Arial"/>
          <w:szCs w:val="20"/>
        </w:rPr>
        <w:t>As regards</w:t>
      </w:r>
      <w:proofErr w:type="gramEnd"/>
      <w:r w:rsidRPr="004531A4">
        <w:rPr>
          <w:rFonts w:cs="Arial"/>
          <w:szCs w:val="20"/>
        </w:rPr>
        <w:t xml:space="preserve"> master agreements or a combination of a master agreement and a bespoke agreement, this seems to be more likely, particularly in the case where jurisdiction specific market agreements are used or where a bespoke agreement covers a specific product.</w:t>
      </w:r>
    </w:p>
    <w:p w:rsidR="00241A7D" w:rsidRDefault="00241A7D" w:rsidP="0043413A"/>
    <w:permEnd w:id="110657521"/>
    <w:p w:rsidR="0043413A" w:rsidRDefault="0043413A" w:rsidP="0043413A">
      <w:r>
        <w:t>&lt;ESMA_QUESTION_SFTR_57&gt;</w:t>
      </w:r>
    </w:p>
    <w:p w:rsidR="0043413A" w:rsidRDefault="0043413A" w:rsidP="0043413A"/>
    <w:p w:rsidR="0043413A" w:rsidRPr="00943DDF" w:rsidRDefault="0043413A" w:rsidP="0043413A">
      <w:pPr>
        <w:pStyle w:val="Questionstyle"/>
        <w:numPr>
          <w:ilvl w:val="0"/>
          <w:numId w:val="40"/>
        </w:numPr>
      </w:pPr>
      <w:r w:rsidRPr="00943DDF">
        <w:t>How costly would it be for your firm to report individual securities? If possible, please provide a quantitative estimation of the costs.</w:t>
      </w:r>
    </w:p>
    <w:p w:rsidR="0043413A" w:rsidRDefault="0043413A" w:rsidP="0043413A">
      <w:r>
        <w:t>&lt;ESMA_QUESTION_SFTR_58&gt;</w:t>
      </w:r>
    </w:p>
    <w:p w:rsidR="0043413A" w:rsidRDefault="0043413A" w:rsidP="0043413A">
      <w:permStart w:id="126560401" w:edGrp="everyone"/>
      <w:r>
        <w:t>TYPE YOUR TEXT HERE</w:t>
      </w:r>
    </w:p>
    <w:permEnd w:id="126560401"/>
    <w:p w:rsidR="0043413A" w:rsidRDefault="0043413A" w:rsidP="0043413A">
      <w:r>
        <w:t>&lt;ESMA_QUESTION_SFTR_58&gt;</w:t>
      </w:r>
    </w:p>
    <w:p w:rsidR="0043413A" w:rsidRDefault="0043413A" w:rsidP="0043413A"/>
    <w:p w:rsidR="0043413A" w:rsidRPr="00943DDF" w:rsidRDefault="0043413A" w:rsidP="0043413A">
      <w:pPr>
        <w:pStyle w:val="Questionstyle"/>
        <w:numPr>
          <w:ilvl w:val="0"/>
          <w:numId w:val="40"/>
        </w:numPr>
      </w:pPr>
      <w:r w:rsidRPr="00943DDF">
        <w:t>Would the reporting of outstanding balances by asset class facilitate reporting? How costly would it be for your firm to develop and implement such a reporting? If possible, please provide a quantitative estimation.</w:t>
      </w:r>
    </w:p>
    <w:p w:rsidR="0043413A" w:rsidRDefault="0043413A" w:rsidP="0043413A">
      <w:r>
        <w:t>&lt;ESMA_QUESTION_SFTR_59&gt;</w:t>
      </w:r>
    </w:p>
    <w:p w:rsidR="0043413A" w:rsidRDefault="0043413A" w:rsidP="0043413A">
      <w:permStart w:id="1028727414" w:edGrp="everyone"/>
      <w:r>
        <w:t>TYPE YOUR TEXT HERE</w:t>
      </w:r>
    </w:p>
    <w:permEnd w:id="1028727414"/>
    <w:p w:rsidR="0043413A" w:rsidRDefault="0043413A" w:rsidP="0043413A">
      <w:r>
        <w:t>&lt;ESMA_QUESTION_SFTR_59&gt;</w:t>
      </w:r>
    </w:p>
    <w:p w:rsidR="0043413A" w:rsidRDefault="0043413A" w:rsidP="0043413A"/>
    <w:p w:rsidR="0043413A" w:rsidRPr="00943DDF" w:rsidRDefault="0043413A" w:rsidP="0043413A">
      <w:pPr>
        <w:pStyle w:val="Questionstyle"/>
        <w:numPr>
          <w:ilvl w:val="0"/>
          <w:numId w:val="40"/>
        </w:numPr>
      </w:pPr>
      <w:r w:rsidRPr="00943DDF">
        <w:lastRenderedPageBreak/>
        <w:t>Are there other obstacles to collecting position-level data on funding sources for each prime broker? If this is the case, please provide an example, and whether there is a viable alternative.</w:t>
      </w:r>
    </w:p>
    <w:p w:rsidR="0043413A" w:rsidRDefault="0043413A" w:rsidP="0043413A">
      <w:r>
        <w:t>&lt;ESMA_QUESTION_SFTR_60&gt;</w:t>
      </w:r>
    </w:p>
    <w:p w:rsidR="0043413A" w:rsidRDefault="0043413A" w:rsidP="0043413A">
      <w:permStart w:id="1605111253" w:edGrp="everyone"/>
      <w:r>
        <w:t>TYPE YOUR TEXT HERE</w:t>
      </w:r>
    </w:p>
    <w:permEnd w:id="1605111253"/>
    <w:p w:rsidR="0043413A" w:rsidRDefault="0043413A" w:rsidP="0043413A">
      <w:r>
        <w:t>&lt;ESMA_QUESTION_SFTR_60&gt;</w:t>
      </w:r>
    </w:p>
    <w:p w:rsidR="0043413A" w:rsidRDefault="0043413A" w:rsidP="0043413A"/>
    <w:p w:rsidR="0043413A" w:rsidRPr="00943DDF" w:rsidRDefault="0043413A" w:rsidP="0043413A">
      <w:pPr>
        <w:pStyle w:val="Questionstyle"/>
        <w:numPr>
          <w:ilvl w:val="0"/>
          <w:numId w:val="40"/>
        </w:numPr>
      </w:pPr>
      <w:r w:rsidRPr="00943DDF">
        <w:t>What type of information or guidance would be required in order for funding sources to be reported consistently across all reporting counterparties?</w:t>
      </w:r>
    </w:p>
    <w:p w:rsidR="0043413A" w:rsidRDefault="0043413A" w:rsidP="0043413A">
      <w:r>
        <w:t>&lt;ESMA_QUESTION_SFTR_61&gt;</w:t>
      </w:r>
    </w:p>
    <w:p w:rsidR="0043413A" w:rsidRDefault="0043413A" w:rsidP="0043413A">
      <w:permStart w:id="481955654" w:edGrp="everyone"/>
      <w:r>
        <w:t>TYPE YOUR TEXT HERE</w:t>
      </w:r>
    </w:p>
    <w:permEnd w:id="481955654"/>
    <w:p w:rsidR="0043413A" w:rsidRDefault="0043413A" w:rsidP="0043413A">
      <w:r>
        <w:t>&lt;ESMA_QUESTION_SFTR_61&gt;</w:t>
      </w:r>
    </w:p>
    <w:p w:rsidR="0043413A" w:rsidRDefault="0043413A" w:rsidP="0043413A"/>
    <w:p w:rsidR="0043413A" w:rsidRPr="00943DDF" w:rsidRDefault="0043413A" w:rsidP="0043413A">
      <w:pPr>
        <w:pStyle w:val="Questionstyle"/>
        <w:numPr>
          <w:ilvl w:val="0"/>
          <w:numId w:val="40"/>
        </w:numPr>
      </w:pPr>
      <w:r w:rsidRPr="00943DDF">
        <w:t>Can data elements on funding sources be reported for margin loans outside the prime brokerage context? Please provide examples.</w:t>
      </w:r>
    </w:p>
    <w:p w:rsidR="0043413A" w:rsidRDefault="0043413A" w:rsidP="0043413A">
      <w:r>
        <w:t>&lt;ESMA_QUESTION_SFTR_62&gt;</w:t>
      </w:r>
    </w:p>
    <w:p w:rsidR="0043413A" w:rsidRDefault="0043413A" w:rsidP="0043413A">
      <w:permStart w:id="1500531688" w:edGrp="everyone"/>
      <w:r>
        <w:t>TYPE YOUR TEXT HERE</w:t>
      </w:r>
    </w:p>
    <w:permEnd w:id="1500531688"/>
    <w:p w:rsidR="0043413A" w:rsidRDefault="0043413A" w:rsidP="0043413A">
      <w:r>
        <w:t>&lt;ESMA_QUESTION_SFTR_62&gt;</w:t>
      </w:r>
    </w:p>
    <w:p w:rsidR="0043413A" w:rsidRDefault="0043413A" w:rsidP="0043413A"/>
    <w:p w:rsidR="0043413A" w:rsidRPr="00943DDF" w:rsidRDefault="0043413A" w:rsidP="0043413A">
      <w:pPr>
        <w:pStyle w:val="Questionstyle"/>
        <w:numPr>
          <w:ilvl w:val="0"/>
          <w:numId w:val="40"/>
        </w:numPr>
      </w:pPr>
      <w:r w:rsidRPr="00943DDF">
        <w:t>How are portfolio leverage ratios calculated? Please provide an example of the formulas typically used.</w:t>
      </w:r>
    </w:p>
    <w:p w:rsidR="0043413A" w:rsidRDefault="0043413A" w:rsidP="0043413A">
      <w:r>
        <w:t>&lt;ESMA_QUESTION_SFTR_63&gt;</w:t>
      </w:r>
    </w:p>
    <w:p w:rsidR="0043413A" w:rsidRDefault="0043413A" w:rsidP="0043413A">
      <w:permStart w:id="2095606704" w:edGrp="everyone"/>
      <w:r>
        <w:t>TYPE YOUR TEXT HERE</w:t>
      </w:r>
    </w:p>
    <w:permEnd w:id="2095606704"/>
    <w:p w:rsidR="0043413A" w:rsidRDefault="0043413A" w:rsidP="0043413A">
      <w:r>
        <w:t>&lt;ESMA_QUESTION_SFTR_63&gt;</w:t>
      </w:r>
    </w:p>
    <w:p w:rsidR="0043413A" w:rsidRDefault="0043413A" w:rsidP="0043413A"/>
    <w:p w:rsidR="0043413A" w:rsidRPr="00943DDF" w:rsidRDefault="0043413A" w:rsidP="0043413A">
      <w:pPr>
        <w:pStyle w:val="Questionstyle"/>
        <w:numPr>
          <w:ilvl w:val="0"/>
          <w:numId w:val="40"/>
        </w:numPr>
      </w:pPr>
      <w:r w:rsidRPr="00943DDF">
        <w:t>What are the potential costs of providing the re-use data as outlined in this section? Are there other options to link collateral that is re-used to a given SFT or counterparty? Please document the potential issues. Please elaborate.</w:t>
      </w:r>
    </w:p>
    <w:p w:rsidR="0043413A" w:rsidRDefault="0043413A" w:rsidP="0043413A">
      <w:r>
        <w:t>&lt;ESMA_QUESTION_SFTR_64&gt;</w:t>
      </w:r>
    </w:p>
    <w:p w:rsidR="0043413A" w:rsidRDefault="0043413A" w:rsidP="0043413A">
      <w:permStart w:id="369175051" w:edGrp="everyone"/>
    </w:p>
    <w:p w:rsidR="00241A7D" w:rsidRDefault="00241A7D" w:rsidP="00241A7D">
      <w:pPr>
        <w:rPr>
          <w:rFonts w:cs="Arial"/>
          <w:szCs w:val="20"/>
        </w:rPr>
      </w:pPr>
      <w:r w:rsidRPr="0037001A">
        <w:rPr>
          <w:rFonts w:cs="Arial"/>
          <w:szCs w:val="20"/>
        </w:rPr>
        <w:t>We agree with ESMA’s analysis regarding the general fungibility of securities and the impracticality of identifying re-use at the level of individual SFTs. We continue to think that the tracking of re-use is a problematic element of the SFTR and we would refer ESMA to our response to ESMA’s DP as well as to our detailed response to the FSB on reuse for a more detailed account of our general concerns in relation to the tracking of re-use.</w:t>
      </w:r>
    </w:p>
    <w:p w:rsidR="00241A7D" w:rsidRDefault="00241A7D" w:rsidP="00241A7D">
      <w:pPr>
        <w:rPr>
          <w:rFonts w:cs="Arial"/>
          <w:szCs w:val="20"/>
        </w:rPr>
      </w:pPr>
    </w:p>
    <w:p w:rsidR="00241A7D" w:rsidRPr="00BC1001" w:rsidRDefault="00241A7D" w:rsidP="00241A7D">
      <w:pPr>
        <w:rPr>
          <w:rFonts w:cs="Arial"/>
          <w:szCs w:val="20"/>
        </w:rPr>
      </w:pPr>
      <w:r>
        <w:rPr>
          <w:rFonts w:cs="Arial"/>
          <w:szCs w:val="20"/>
        </w:rPr>
        <w:t xml:space="preserve">In relation to the concrete proposals in the CP, we strongly support ESMA’s intention to follow closely the work of the FSB and would like to stress again that the evolution of those global standards should be taken fully into account. </w:t>
      </w:r>
      <w:proofErr w:type="gramStart"/>
      <w:r w:rsidRPr="00BC1001">
        <w:rPr>
          <w:rFonts w:cs="Arial"/>
          <w:szCs w:val="20"/>
        </w:rPr>
        <w:t>As regards</w:t>
      </w:r>
      <w:proofErr w:type="gramEnd"/>
      <w:r w:rsidRPr="00BC1001">
        <w:rPr>
          <w:rFonts w:cs="Arial"/>
          <w:szCs w:val="20"/>
        </w:rPr>
        <w:t xml:space="preserve"> the proposed formula more specifically, and as pointed out in our response to the </w:t>
      </w:r>
      <w:r>
        <w:rPr>
          <w:rFonts w:cs="Arial"/>
          <w:szCs w:val="20"/>
        </w:rPr>
        <w:t xml:space="preserve">related </w:t>
      </w:r>
      <w:r w:rsidRPr="00BC1001">
        <w:rPr>
          <w:rFonts w:cs="Arial"/>
          <w:szCs w:val="20"/>
        </w:rPr>
        <w:t>FSB</w:t>
      </w:r>
      <w:r>
        <w:rPr>
          <w:rFonts w:cs="Arial"/>
          <w:szCs w:val="20"/>
        </w:rPr>
        <w:t xml:space="preserve"> consultation (annexed to our response to ESMA’s DP)</w:t>
      </w:r>
      <w:r w:rsidRPr="00BC1001">
        <w:rPr>
          <w:rFonts w:cs="Arial"/>
          <w:szCs w:val="20"/>
        </w:rPr>
        <w:t>, we</w:t>
      </w:r>
      <w:r>
        <w:rPr>
          <w:rFonts w:cs="Arial"/>
          <w:szCs w:val="20"/>
        </w:rPr>
        <w:t xml:space="preserve"> consider that the use of this approach gives rise to an arbitrary measurement of reuse. As such it is important that great care is taken in drawing any conclusions from the reporting of reuse on such a basis, since there is a significant risk that these are inappropriate.</w:t>
      </w:r>
      <w:r w:rsidRPr="00BC1001">
        <w:rPr>
          <w:rFonts w:cs="Arial"/>
          <w:szCs w:val="20"/>
        </w:rPr>
        <w:t xml:space="preserve">    </w:t>
      </w:r>
    </w:p>
    <w:p w:rsidR="00241A7D" w:rsidRDefault="00241A7D" w:rsidP="00241A7D">
      <w:pPr>
        <w:rPr>
          <w:rFonts w:cs="Arial"/>
          <w:szCs w:val="20"/>
        </w:rPr>
      </w:pPr>
    </w:p>
    <w:p w:rsidR="00241A7D" w:rsidRDefault="00241A7D" w:rsidP="00241A7D">
      <w:pPr>
        <w:rPr>
          <w:rFonts w:cs="Arial"/>
          <w:szCs w:val="20"/>
        </w:rPr>
      </w:pPr>
      <w:r>
        <w:rPr>
          <w:rFonts w:cs="Arial"/>
          <w:szCs w:val="20"/>
        </w:rPr>
        <w:t>Regarding the rationale for the collection of reuse information set out by ESMA in para 289, we would like to point out that asset encumbrance risk is already monitored separately by the EBA and is thus not rele</w:t>
      </w:r>
      <w:r>
        <w:rPr>
          <w:rFonts w:cs="Arial"/>
          <w:szCs w:val="20"/>
        </w:rPr>
        <w:lastRenderedPageBreak/>
        <w:t>vant in the context of reuse. Moreover, we do not agree with ESMA’s statement that the monitoring of reuse would help assessing interconnectedness, as SFTs based on title transfer create separate exposures, not chains of exposures.</w:t>
      </w:r>
    </w:p>
    <w:p w:rsidR="00241A7D" w:rsidRDefault="00241A7D" w:rsidP="00241A7D">
      <w:pPr>
        <w:rPr>
          <w:rFonts w:cs="Arial"/>
          <w:szCs w:val="20"/>
        </w:rPr>
      </w:pPr>
    </w:p>
    <w:p w:rsidR="00241A7D" w:rsidRDefault="00241A7D" w:rsidP="00241A7D">
      <w:pPr>
        <w:rPr>
          <w:rFonts w:cs="Arial"/>
          <w:szCs w:val="20"/>
        </w:rPr>
      </w:pPr>
      <w:r>
        <w:rPr>
          <w:rFonts w:cs="Arial"/>
          <w:szCs w:val="20"/>
        </w:rPr>
        <w:t>Regarding the concrete data fields in relation to reuse set out in the Excel table, we would welcome clarification from ESMA as to the meaning of “N/A” in this context. Is our understanding correct that, in line with art.4(1) of the draft RTS (Annex VIII), the reuse reporting fields (</w:t>
      </w:r>
      <w:proofErr w:type="gramStart"/>
      <w:r>
        <w:rPr>
          <w:rFonts w:cs="Arial"/>
          <w:szCs w:val="20"/>
        </w:rPr>
        <w:t>with the exception of</w:t>
      </w:r>
      <w:proofErr w:type="gramEnd"/>
      <w:r>
        <w:rPr>
          <w:rFonts w:cs="Arial"/>
          <w:szCs w:val="20"/>
        </w:rPr>
        <w:t xml:space="preserve"> field 8) are only required where the collateral can be distinguished from other assets? In all other cases, we understand that, besides the generally applicable fields, only field 8 (estimated reuse of collateral) would have to be reported. ESMA should clearly indicate which fields are required. We also suggest to remove field 84 (Collateral re-use) from the Loan &amp; Collateral data table as this seems redundant given the separate re-use report. </w:t>
      </w:r>
    </w:p>
    <w:p w:rsidR="00241A7D" w:rsidRPr="00132EAE" w:rsidRDefault="00241A7D" w:rsidP="00241A7D">
      <w:pPr>
        <w:rPr>
          <w:rFonts w:cs="Arial"/>
          <w:szCs w:val="20"/>
        </w:rPr>
      </w:pPr>
    </w:p>
    <w:p w:rsidR="00241A7D" w:rsidRDefault="00241A7D" w:rsidP="00241A7D">
      <w:r>
        <w:rPr>
          <w:rFonts w:cs="Arial"/>
          <w:szCs w:val="20"/>
        </w:rPr>
        <w:t xml:space="preserve">Finally, </w:t>
      </w:r>
      <w:proofErr w:type="gramStart"/>
      <w:r>
        <w:rPr>
          <w:rFonts w:cs="Arial"/>
          <w:szCs w:val="20"/>
        </w:rPr>
        <w:t>a</w:t>
      </w:r>
      <w:r w:rsidRPr="0037001A">
        <w:rPr>
          <w:rFonts w:cs="Arial"/>
          <w:szCs w:val="20"/>
        </w:rPr>
        <w:t>s regards</w:t>
      </w:r>
      <w:proofErr w:type="gramEnd"/>
      <w:r w:rsidRPr="0037001A">
        <w:rPr>
          <w:rFonts w:cs="Arial"/>
          <w:szCs w:val="20"/>
        </w:rPr>
        <w:t xml:space="preserve"> the definition of re-use </w:t>
      </w:r>
      <w:r>
        <w:rPr>
          <w:rFonts w:cs="Arial"/>
          <w:szCs w:val="20"/>
        </w:rPr>
        <w:t xml:space="preserve">set out </w:t>
      </w:r>
      <w:r w:rsidRPr="0037001A">
        <w:rPr>
          <w:rFonts w:cs="Arial"/>
          <w:szCs w:val="20"/>
        </w:rPr>
        <w:t xml:space="preserve">in paragraph </w:t>
      </w:r>
      <w:r>
        <w:rPr>
          <w:rFonts w:cs="Arial"/>
          <w:szCs w:val="20"/>
        </w:rPr>
        <w:t>290</w:t>
      </w:r>
      <w:r w:rsidRPr="0037001A">
        <w:rPr>
          <w:rFonts w:cs="Arial"/>
          <w:szCs w:val="20"/>
        </w:rPr>
        <w:t xml:space="preserve">, it is not clear to us how a counterparty can re-use received collateral </w:t>
      </w:r>
      <w:r>
        <w:rPr>
          <w:rFonts w:cs="Arial"/>
          <w:szCs w:val="20"/>
        </w:rPr>
        <w:t>“</w:t>
      </w:r>
      <w:r w:rsidRPr="0037001A">
        <w:rPr>
          <w:rFonts w:cs="Arial"/>
          <w:szCs w:val="20"/>
        </w:rPr>
        <w:t>on the account of another counterparty</w:t>
      </w:r>
      <w:r>
        <w:rPr>
          <w:rFonts w:cs="Arial"/>
          <w:szCs w:val="20"/>
        </w:rPr>
        <w:t>”</w:t>
      </w:r>
      <w:r w:rsidRPr="0037001A">
        <w:rPr>
          <w:rFonts w:cs="Arial"/>
          <w:szCs w:val="20"/>
        </w:rPr>
        <w:t>. It would be helpful if ESMA (or the Commission, given that this is stated in the level 1 text) could elaborate on this point.</w:t>
      </w:r>
    </w:p>
    <w:p w:rsidR="00241A7D" w:rsidRDefault="00241A7D" w:rsidP="0043413A"/>
    <w:permEnd w:id="369175051"/>
    <w:p w:rsidR="0043413A" w:rsidRDefault="0043413A" w:rsidP="0043413A">
      <w:r>
        <w:t>&lt;ESMA_QUESTION_SFTR_64&gt;</w:t>
      </w:r>
    </w:p>
    <w:p w:rsidR="0043413A" w:rsidRDefault="0043413A" w:rsidP="0043413A"/>
    <w:p w:rsidR="0043413A" w:rsidRPr="00943DDF" w:rsidRDefault="0043413A" w:rsidP="0043413A">
      <w:pPr>
        <w:pStyle w:val="Questionstyle"/>
        <w:numPr>
          <w:ilvl w:val="0"/>
          <w:numId w:val="40"/>
        </w:numPr>
      </w:pPr>
      <w:r w:rsidRPr="00943DDF">
        <w:t>Would it be easier to report collateral re-use in a separate message as proposed or, it will be better repeating the information as part of the counterparty data?</w:t>
      </w:r>
    </w:p>
    <w:p w:rsidR="0043413A" w:rsidRDefault="0043413A" w:rsidP="0043413A">
      <w:r>
        <w:t>&lt;ESMA_QUESTION_SFTR_65&gt;</w:t>
      </w:r>
    </w:p>
    <w:p w:rsidR="0043413A" w:rsidRDefault="0043413A" w:rsidP="0043413A">
      <w:permStart w:id="1478912719" w:edGrp="everyone"/>
    </w:p>
    <w:p w:rsidR="00241A7D" w:rsidRDefault="00241A7D" w:rsidP="0043413A">
      <w:r w:rsidRPr="0037001A">
        <w:rPr>
          <w:rFonts w:cs="Arial"/>
          <w:szCs w:val="20"/>
        </w:rPr>
        <w:t xml:space="preserve">Reporting of collateral re-use for </w:t>
      </w:r>
      <w:r w:rsidRPr="007E67E9">
        <w:rPr>
          <w:rFonts w:cs="Arial"/>
          <w:szCs w:val="20"/>
        </w:rPr>
        <w:t>SFTs</w:t>
      </w:r>
      <w:r w:rsidRPr="0037001A">
        <w:rPr>
          <w:rFonts w:cs="Arial"/>
          <w:szCs w:val="20"/>
        </w:rPr>
        <w:t xml:space="preserve"> should be separate because it is based on aggregate</w:t>
      </w:r>
      <w:r>
        <w:rPr>
          <w:rFonts w:cs="Arial"/>
          <w:szCs w:val="20"/>
        </w:rPr>
        <w:t>d</w:t>
      </w:r>
      <w:r w:rsidRPr="0037001A">
        <w:rPr>
          <w:rFonts w:cs="Arial"/>
          <w:szCs w:val="20"/>
        </w:rPr>
        <w:t xml:space="preserve"> data.</w:t>
      </w:r>
      <w:r>
        <w:rPr>
          <w:rFonts w:cs="Arial"/>
          <w:szCs w:val="20"/>
        </w:rPr>
        <w:t xml:space="preserve"> We would expect that this would have to be reported as a single point in time snapshot, but would welcome confirmation by ESMA on the details of re-use reporting. We note that anything other than a snapshot would significantly increase implementation costs.</w:t>
      </w:r>
    </w:p>
    <w:p w:rsidR="00241A7D" w:rsidRDefault="00241A7D" w:rsidP="0043413A"/>
    <w:permEnd w:id="1478912719"/>
    <w:p w:rsidR="0043413A" w:rsidRDefault="0043413A" w:rsidP="0043413A">
      <w:r>
        <w:t>&lt;ESMA_QUESTION_SFTR_65&gt;</w:t>
      </w:r>
    </w:p>
    <w:p w:rsidR="0043413A" w:rsidRDefault="0043413A" w:rsidP="0043413A"/>
    <w:p w:rsidR="0043413A" w:rsidRPr="00943DDF" w:rsidRDefault="0043413A" w:rsidP="0043413A">
      <w:pPr>
        <w:pStyle w:val="Questionstyle"/>
        <w:numPr>
          <w:ilvl w:val="0"/>
          <w:numId w:val="40"/>
        </w:numPr>
      </w:pPr>
      <w:r w:rsidRPr="00943DDF">
        <w:t>Would the effort of reporting re-use on a weekly or monthly basis reduce significantly the costs?</w:t>
      </w:r>
    </w:p>
    <w:p w:rsidR="0043413A" w:rsidRDefault="0043413A" w:rsidP="0043413A">
      <w:r>
        <w:t>&lt;ESMA_QUESTION_SFTR_66&gt;</w:t>
      </w:r>
    </w:p>
    <w:p w:rsidR="0043413A" w:rsidRDefault="0043413A" w:rsidP="0043413A">
      <w:permStart w:id="1162174692" w:edGrp="everyone"/>
    </w:p>
    <w:p w:rsidR="00241A7D" w:rsidRPr="0037001A" w:rsidRDefault="00241A7D" w:rsidP="00241A7D">
      <w:pPr>
        <w:rPr>
          <w:rFonts w:cs="Arial"/>
          <w:b/>
          <w:i/>
          <w:szCs w:val="20"/>
        </w:rPr>
      </w:pPr>
      <w:r w:rsidRPr="0037001A">
        <w:rPr>
          <w:rFonts w:cs="Arial"/>
          <w:szCs w:val="20"/>
        </w:rPr>
        <w:t>Yes. Monthly reporting would significantly reduce the</w:t>
      </w:r>
      <w:r>
        <w:rPr>
          <w:rFonts w:cs="Arial"/>
          <w:szCs w:val="20"/>
        </w:rPr>
        <w:t xml:space="preserve"> ongoing operational</w:t>
      </w:r>
      <w:r w:rsidRPr="0037001A">
        <w:rPr>
          <w:rFonts w:cs="Arial"/>
          <w:szCs w:val="20"/>
        </w:rPr>
        <w:t xml:space="preserve"> costs. While the reporting of re-use remains generally problematic</w:t>
      </w:r>
      <w:r>
        <w:rPr>
          <w:rFonts w:cs="Arial"/>
          <w:szCs w:val="20"/>
        </w:rPr>
        <w:t xml:space="preserve"> and very costly to implement</w:t>
      </w:r>
      <w:r w:rsidRPr="0037001A">
        <w:rPr>
          <w:rFonts w:cs="Arial"/>
          <w:szCs w:val="20"/>
        </w:rPr>
        <w:t xml:space="preserve">, </w:t>
      </w:r>
      <w:r>
        <w:rPr>
          <w:rFonts w:cs="Arial"/>
          <w:szCs w:val="20"/>
        </w:rPr>
        <w:t xml:space="preserve">with a similarly high set-up cost regardless of the reporting periodicity, </w:t>
      </w:r>
      <w:r w:rsidRPr="0037001A">
        <w:rPr>
          <w:rFonts w:cs="Arial"/>
          <w:szCs w:val="20"/>
        </w:rPr>
        <w:t xml:space="preserve">we strongly support the proposal to collect re-use information </w:t>
      </w:r>
      <w:proofErr w:type="gramStart"/>
      <w:r w:rsidRPr="0037001A">
        <w:rPr>
          <w:rFonts w:cs="Arial"/>
          <w:szCs w:val="20"/>
        </w:rPr>
        <w:t>on a monthly basis</w:t>
      </w:r>
      <w:proofErr w:type="gramEnd"/>
      <w:r w:rsidRPr="0037001A">
        <w:rPr>
          <w:rFonts w:cs="Arial"/>
          <w:szCs w:val="20"/>
        </w:rPr>
        <w:t xml:space="preserve"> and note that this would be in line with the FSB proposals. Not only would daily reporting add significant costs but it is in our view also unnecessary from a supervisory perspective. The systemic risks which re-use is intended to help monitor are not fast-changing, as the FSB and ES</w:t>
      </w:r>
      <w:r>
        <w:rPr>
          <w:rFonts w:cs="Arial"/>
          <w:szCs w:val="20"/>
        </w:rPr>
        <w:t>RB have both clearly recognised.</w:t>
      </w:r>
      <w:r w:rsidRPr="0037001A">
        <w:rPr>
          <w:rFonts w:cs="Arial"/>
          <w:szCs w:val="20"/>
        </w:rPr>
        <w:t xml:space="preserve"> Monthly reporting should therefore be adequate and would also be more suited to the proposed estimation method for re-use (</w:t>
      </w:r>
      <w:proofErr w:type="spellStart"/>
      <w:r w:rsidRPr="0037001A">
        <w:rPr>
          <w:rFonts w:cs="Arial"/>
          <w:szCs w:val="20"/>
        </w:rPr>
        <w:t>ie</w:t>
      </w:r>
      <w:proofErr w:type="spellEnd"/>
      <w:r w:rsidRPr="0037001A">
        <w:rPr>
          <w:rFonts w:cs="Arial"/>
          <w:szCs w:val="20"/>
        </w:rPr>
        <w:t xml:space="preserve"> the </w:t>
      </w:r>
      <w:r>
        <w:rPr>
          <w:rFonts w:cs="Arial"/>
          <w:szCs w:val="20"/>
        </w:rPr>
        <w:t>formula set out in paragraph 304</w:t>
      </w:r>
      <w:r w:rsidRPr="0037001A">
        <w:rPr>
          <w:rFonts w:cs="Arial"/>
          <w:szCs w:val="20"/>
        </w:rPr>
        <w:t>).</w:t>
      </w:r>
      <w:r>
        <w:rPr>
          <w:rFonts w:cs="Arial"/>
          <w:szCs w:val="20"/>
        </w:rPr>
        <w:t xml:space="preserve"> We would also point out that ESMA’s proposal in para 306 to update the reuse estimate each time it changes would be clearly disproportionate as this would, due to the proposed formula, require updating the figure with every trade concluded, whether SFT or cash trade. Naturally, this would not seem to be applicable in the case of monthly reporting based on a single snapshot.</w:t>
      </w:r>
    </w:p>
    <w:p w:rsidR="00241A7D" w:rsidRDefault="00241A7D" w:rsidP="00241A7D">
      <w:pPr>
        <w:rPr>
          <w:rFonts w:cs="Arial"/>
          <w:b/>
          <w:i/>
          <w:szCs w:val="20"/>
        </w:rPr>
      </w:pPr>
    </w:p>
    <w:p w:rsidR="00241A7D" w:rsidRDefault="00241A7D" w:rsidP="00241A7D">
      <w:r>
        <w:rPr>
          <w:rFonts w:cs="Arial"/>
          <w:szCs w:val="20"/>
        </w:rPr>
        <w:t>For more detailed</w:t>
      </w:r>
      <w:r w:rsidRPr="007E67E9">
        <w:rPr>
          <w:rFonts w:cs="Arial"/>
          <w:szCs w:val="20"/>
        </w:rPr>
        <w:t xml:space="preserve"> cost estimates</w:t>
      </w:r>
      <w:r>
        <w:rPr>
          <w:rFonts w:cs="Arial"/>
          <w:szCs w:val="20"/>
        </w:rPr>
        <w:t>,</w:t>
      </w:r>
      <w:r w:rsidRPr="007E67E9">
        <w:rPr>
          <w:rFonts w:cs="Arial"/>
          <w:szCs w:val="20"/>
        </w:rPr>
        <w:t xml:space="preserve"> we would refer ESM</w:t>
      </w:r>
      <w:r>
        <w:rPr>
          <w:rFonts w:cs="Arial"/>
          <w:szCs w:val="20"/>
        </w:rPr>
        <w:t>A to the figures provided by those of our</w:t>
      </w:r>
      <w:r w:rsidRPr="007E67E9">
        <w:rPr>
          <w:rFonts w:cs="Arial"/>
          <w:szCs w:val="20"/>
        </w:rPr>
        <w:t xml:space="preserve"> member firms who contributed directly to the c</w:t>
      </w:r>
      <w:r>
        <w:rPr>
          <w:rFonts w:cs="Arial"/>
          <w:szCs w:val="20"/>
        </w:rPr>
        <w:t>ost-benefit analysis</w:t>
      </w:r>
      <w:r w:rsidRPr="007E67E9">
        <w:rPr>
          <w:rFonts w:cs="Arial"/>
          <w:szCs w:val="20"/>
        </w:rPr>
        <w:t xml:space="preserve"> </w:t>
      </w:r>
      <w:r>
        <w:rPr>
          <w:rFonts w:cs="Arial"/>
          <w:szCs w:val="20"/>
        </w:rPr>
        <w:t xml:space="preserve">undertaken by the </w:t>
      </w:r>
      <w:r w:rsidRPr="007E67E9">
        <w:rPr>
          <w:rFonts w:cs="Arial"/>
          <w:szCs w:val="20"/>
        </w:rPr>
        <w:t>external consultancy</w:t>
      </w:r>
      <w:r>
        <w:rPr>
          <w:rFonts w:cs="Arial"/>
          <w:szCs w:val="20"/>
        </w:rPr>
        <w:t xml:space="preserve"> mandated by ESMA</w:t>
      </w:r>
      <w:r w:rsidRPr="007E67E9">
        <w:rPr>
          <w:rFonts w:cs="Arial"/>
          <w:szCs w:val="20"/>
        </w:rPr>
        <w:t xml:space="preserve">. We understand from our members, that daily re-use reporting would require daily reconciliation, validation and controls to be deployed. This would involve at least one full time employee </w:t>
      </w:r>
      <w:r>
        <w:rPr>
          <w:rFonts w:cs="Arial"/>
          <w:szCs w:val="20"/>
        </w:rPr>
        <w:t>to implement and cost at least $</w:t>
      </w:r>
      <w:r w:rsidRPr="007E67E9">
        <w:rPr>
          <w:rFonts w:cs="Arial"/>
          <w:szCs w:val="20"/>
        </w:rPr>
        <w:t>100,000 per firm per annum.</w:t>
      </w:r>
      <w:r>
        <w:rPr>
          <w:rFonts w:cs="Arial"/>
          <w:szCs w:val="20"/>
        </w:rPr>
        <w:t xml:space="preserve"> This figure would be roughly the same across member firms, irrespective of their size and would thus need to be multiplied by the total number of firms </w:t>
      </w:r>
      <w:r>
        <w:rPr>
          <w:rFonts w:cs="Arial"/>
          <w:szCs w:val="20"/>
        </w:rPr>
        <w:lastRenderedPageBreak/>
        <w:t>in the scope of SFTR. If re-use reporting</w:t>
      </w:r>
      <w:r w:rsidRPr="007E67E9">
        <w:rPr>
          <w:rFonts w:cs="Arial"/>
          <w:szCs w:val="20"/>
        </w:rPr>
        <w:t xml:space="preserve"> was required once a month in a single point in time </w:t>
      </w:r>
      <w:proofErr w:type="gramStart"/>
      <w:r w:rsidRPr="007E67E9">
        <w:rPr>
          <w:rFonts w:cs="Arial"/>
          <w:szCs w:val="20"/>
        </w:rPr>
        <w:t>snapshot</w:t>
      </w:r>
      <w:proofErr w:type="gramEnd"/>
      <w:r w:rsidRPr="007E67E9">
        <w:rPr>
          <w:rFonts w:cs="Arial"/>
          <w:szCs w:val="20"/>
        </w:rPr>
        <w:t xml:space="preserve"> then we would anticipate that this function could </w:t>
      </w:r>
      <w:r>
        <w:rPr>
          <w:rFonts w:cs="Arial"/>
          <w:szCs w:val="20"/>
        </w:rPr>
        <w:t xml:space="preserve">probably </w:t>
      </w:r>
      <w:r w:rsidRPr="007E67E9">
        <w:rPr>
          <w:rFonts w:cs="Arial"/>
          <w:szCs w:val="20"/>
        </w:rPr>
        <w:t>be carried out by 1/10th of a headcount at a cost of $10,000 per year</w:t>
      </w:r>
      <w:r>
        <w:rPr>
          <w:rFonts w:cs="Arial"/>
          <w:szCs w:val="20"/>
        </w:rPr>
        <w:t xml:space="preserve"> at a minimum</w:t>
      </w:r>
      <w:r w:rsidRPr="007E67E9">
        <w:rPr>
          <w:rFonts w:cs="Arial"/>
          <w:szCs w:val="20"/>
        </w:rPr>
        <w:t>. However, if it were a once a month report of re-use for every day then this would provide little saving over daily reporting on the basis that the reconciliations and remediation would still be required</w:t>
      </w:r>
      <w:r>
        <w:rPr>
          <w:rFonts w:cs="Arial"/>
          <w:szCs w:val="20"/>
        </w:rPr>
        <w:t xml:space="preserve"> </w:t>
      </w:r>
      <w:proofErr w:type="gramStart"/>
      <w:r>
        <w:rPr>
          <w:rFonts w:cs="Arial"/>
          <w:szCs w:val="20"/>
        </w:rPr>
        <w:t>on a</w:t>
      </w:r>
      <w:r w:rsidRPr="007E67E9">
        <w:rPr>
          <w:rFonts w:cs="Arial"/>
          <w:szCs w:val="20"/>
        </w:rPr>
        <w:t xml:space="preserve"> daily</w:t>
      </w:r>
      <w:r>
        <w:rPr>
          <w:rFonts w:cs="Arial"/>
          <w:szCs w:val="20"/>
        </w:rPr>
        <w:t xml:space="preserve"> basis</w:t>
      </w:r>
      <w:proofErr w:type="gramEnd"/>
      <w:r w:rsidRPr="007E67E9">
        <w:rPr>
          <w:rFonts w:cs="Arial"/>
          <w:szCs w:val="20"/>
        </w:rPr>
        <w:t>.</w:t>
      </w:r>
    </w:p>
    <w:p w:rsidR="00241A7D" w:rsidRDefault="00241A7D" w:rsidP="0043413A"/>
    <w:permEnd w:id="1162174692"/>
    <w:p w:rsidR="0043413A" w:rsidRDefault="0043413A" w:rsidP="0043413A">
      <w:r>
        <w:t>&lt;ESMA_QUESTION_SFTR_66&gt;</w:t>
      </w:r>
    </w:p>
    <w:p w:rsidR="0043413A" w:rsidRDefault="0043413A" w:rsidP="0043413A"/>
    <w:p w:rsidR="0043413A" w:rsidRPr="00943DDF" w:rsidRDefault="0043413A" w:rsidP="0043413A">
      <w:pPr>
        <w:pStyle w:val="Questionstyle"/>
        <w:numPr>
          <w:ilvl w:val="0"/>
          <w:numId w:val="40"/>
        </w:numPr>
      </w:pPr>
      <w:r w:rsidRPr="00943DDF">
        <w:t>Are there  cash re-investment programmes for agent lenders acting as principal?</w:t>
      </w:r>
    </w:p>
    <w:p w:rsidR="0043413A" w:rsidRDefault="0043413A" w:rsidP="0043413A">
      <w:r>
        <w:t>&lt;ESMA_QUESTION_SFTR_67&gt;</w:t>
      </w:r>
    </w:p>
    <w:p w:rsidR="0043413A" w:rsidRDefault="0043413A" w:rsidP="0043413A">
      <w:permStart w:id="51587274" w:edGrp="everyone"/>
      <w:r>
        <w:t>TYPE YOUR TEXT HERE</w:t>
      </w:r>
    </w:p>
    <w:permEnd w:id="51587274"/>
    <w:p w:rsidR="0043413A" w:rsidRDefault="0043413A" w:rsidP="0043413A">
      <w:r>
        <w:t>&lt;ESMA_QUESTION_SFTR_67&gt;</w:t>
      </w:r>
    </w:p>
    <w:p w:rsidR="0043413A" w:rsidRDefault="0043413A" w:rsidP="0043413A"/>
    <w:p w:rsidR="0043413A" w:rsidRPr="00943DDF" w:rsidRDefault="0043413A" w:rsidP="0043413A">
      <w:pPr>
        <w:pStyle w:val="Questionstyle"/>
        <w:numPr>
          <w:ilvl w:val="0"/>
          <w:numId w:val="40"/>
        </w:numPr>
      </w:pPr>
      <w:r w:rsidRPr="00943DDF">
        <w:t>Do you agree that the term type and the way maturity is measured (e.g. weighted average maturity) are appropriate elements for the purpose of monitoring potential liquidity risks from maturity mismatch between the securities loan and the reinvestment of cash collateral? Are there other elements you believe ESMA should consider collecting? Do you see any obstacles to the reporting of these elements, or their analysis? Please explain.</w:t>
      </w:r>
    </w:p>
    <w:p w:rsidR="0043413A" w:rsidRDefault="0043413A" w:rsidP="0043413A">
      <w:r>
        <w:t>&lt;ESMA_QUESTION_SFTR_68&gt;</w:t>
      </w:r>
    </w:p>
    <w:p w:rsidR="0043413A" w:rsidRDefault="0043413A" w:rsidP="0043413A">
      <w:permStart w:id="1802120721" w:edGrp="everyone"/>
      <w:r>
        <w:t>TYPE YOUR TEXT HERE</w:t>
      </w:r>
    </w:p>
    <w:permEnd w:id="1802120721"/>
    <w:p w:rsidR="0043413A" w:rsidRDefault="0043413A" w:rsidP="0043413A">
      <w:r>
        <w:t>&lt;ESMA_QUESTION_SFTR_68&gt;</w:t>
      </w:r>
    </w:p>
    <w:p w:rsidR="0043413A" w:rsidRDefault="0043413A" w:rsidP="0043413A"/>
    <w:p w:rsidR="0043413A" w:rsidRPr="00943DDF" w:rsidRDefault="0043413A" w:rsidP="0043413A">
      <w:pPr>
        <w:pStyle w:val="Questionstyle"/>
        <w:numPr>
          <w:ilvl w:val="0"/>
          <w:numId w:val="40"/>
        </w:numPr>
      </w:pPr>
      <w:r w:rsidRPr="00943DDF">
        <w:t>What is the methodology your firm uses to compute the weighted-average life and maturity of cash collateral portfolios? Do you expect this methodology to vary significantly across firms?</w:t>
      </w:r>
    </w:p>
    <w:p w:rsidR="0043413A" w:rsidRDefault="0043413A" w:rsidP="0043413A">
      <w:r>
        <w:t>&lt;ESMA_QUESTION_SFTR_69&gt;</w:t>
      </w:r>
    </w:p>
    <w:p w:rsidR="0043413A" w:rsidRDefault="0043413A" w:rsidP="0043413A">
      <w:permStart w:id="104079304" w:edGrp="everyone"/>
      <w:r>
        <w:t>TYPE YOUR TEXT HERE</w:t>
      </w:r>
    </w:p>
    <w:permEnd w:id="104079304"/>
    <w:p w:rsidR="0043413A" w:rsidRDefault="0043413A" w:rsidP="0043413A">
      <w:r>
        <w:t>&lt;ESMA_QUESTION_SFTR_69&gt;</w:t>
      </w:r>
    </w:p>
    <w:p w:rsidR="0043413A" w:rsidRDefault="0043413A" w:rsidP="0043413A"/>
    <w:p w:rsidR="0043413A" w:rsidRPr="00943DDF" w:rsidRDefault="0043413A" w:rsidP="0043413A">
      <w:pPr>
        <w:pStyle w:val="Questionstyle"/>
        <w:numPr>
          <w:ilvl w:val="0"/>
          <w:numId w:val="40"/>
        </w:numPr>
      </w:pPr>
      <w:r w:rsidRPr="00943DDF">
        <w:t>Do you agree with the proposed approach? What other aspects need to be taken into account? Pleas elaborate.</w:t>
      </w:r>
    </w:p>
    <w:p w:rsidR="0043413A" w:rsidRDefault="0043413A" w:rsidP="0043413A">
      <w:r>
        <w:t>&lt;ESMA_QUESTION_SFTR_70&gt;</w:t>
      </w:r>
    </w:p>
    <w:p w:rsidR="0043413A" w:rsidRDefault="0043413A" w:rsidP="0043413A">
      <w:permStart w:id="1623144527" w:edGrp="everyone"/>
    </w:p>
    <w:p w:rsidR="00241A7D" w:rsidRDefault="00241A7D" w:rsidP="0043413A">
      <w:r w:rsidRPr="0037001A">
        <w:rPr>
          <w:rFonts w:cs="Arial"/>
          <w:szCs w:val="20"/>
        </w:rPr>
        <w:t>We agree with ESMA’s statement in p</w:t>
      </w:r>
      <w:r>
        <w:rPr>
          <w:rFonts w:cs="Arial"/>
          <w:szCs w:val="20"/>
        </w:rPr>
        <w:t>aragraph 308</w:t>
      </w:r>
      <w:r w:rsidRPr="0037001A">
        <w:rPr>
          <w:rFonts w:cs="Arial"/>
          <w:szCs w:val="20"/>
        </w:rPr>
        <w:t xml:space="preserve"> that repo and securities lending trades under GMRA/GMSLA are generally TTCA and the collateral thereunder thus available for re-use. We therefore do not understand the con</w:t>
      </w:r>
      <w:r>
        <w:rPr>
          <w:rFonts w:cs="Arial"/>
          <w:szCs w:val="20"/>
        </w:rPr>
        <w:t>clusion reached in paragraph 310</w:t>
      </w:r>
      <w:r w:rsidRPr="0037001A">
        <w:rPr>
          <w:rFonts w:cs="Arial"/>
          <w:szCs w:val="20"/>
        </w:rPr>
        <w:t>. It is not clear why an automated definition of re-usability would be complex for GMRA/GMSLA based trades. The fact that it cannot be assumed that margin lending agreements will allow for re-use does not justify, in our view, the inclusion of this field in the repo and securities lending reporting templates. Given that there are separate schemas for different types of SFTs a differentiation between those types of instruments should be straightforward.</w:t>
      </w:r>
    </w:p>
    <w:p w:rsidR="00241A7D" w:rsidRDefault="00241A7D" w:rsidP="0043413A"/>
    <w:permEnd w:id="1623144527"/>
    <w:p w:rsidR="0043413A" w:rsidRDefault="0043413A" w:rsidP="0043413A">
      <w:r>
        <w:t>&lt;ESMA_QUESTION_SFTR_70&gt;</w:t>
      </w:r>
    </w:p>
    <w:p w:rsidR="0043413A" w:rsidRDefault="0043413A" w:rsidP="0043413A"/>
    <w:p w:rsidR="0043413A" w:rsidRPr="00943DDF" w:rsidRDefault="0043413A" w:rsidP="0043413A">
      <w:pPr>
        <w:pStyle w:val="Questionstyle"/>
        <w:numPr>
          <w:ilvl w:val="0"/>
          <w:numId w:val="40"/>
        </w:numPr>
      </w:pPr>
      <w:r w:rsidRPr="00943DDF">
        <w:t>Do you agree with the proposed approach? Please elaborate.</w:t>
      </w:r>
    </w:p>
    <w:p w:rsidR="0043413A" w:rsidRDefault="0043413A" w:rsidP="0043413A">
      <w:r>
        <w:t>&lt;ESMA_QUESTION_SFTR_71&gt;</w:t>
      </w:r>
    </w:p>
    <w:p w:rsidR="00241A7D" w:rsidRDefault="00241A7D" w:rsidP="00241A7D">
      <w:pPr>
        <w:rPr>
          <w:rFonts w:cs="Arial"/>
          <w:szCs w:val="20"/>
        </w:rPr>
      </w:pPr>
      <w:permStart w:id="1375750133" w:edGrp="everyone"/>
    </w:p>
    <w:p w:rsidR="00241A7D" w:rsidRPr="0037001A" w:rsidRDefault="00241A7D" w:rsidP="00241A7D">
      <w:pPr>
        <w:rPr>
          <w:rFonts w:cs="Arial"/>
          <w:szCs w:val="20"/>
        </w:rPr>
      </w:pPr>
      <w:r w:rsidRPr="0037001A">
        <w:rPr>
          <w:rFonts w:cs="Arial"/>
          <w:szCs w:val="20"/>
        </w:rPr>
        <w:lastRenderedPageBreak/>
        <w:t>We w</w:t>
      </w:r>
      <w:r>
        <w:rPr>
          <w:rFonts w:cs="Arial"/>
          <w:szCs w:val="20"/>
        </w:rPr>
        <w:t xml:space="preserve">elcome ESMA’s proposal to </w:t>
      </w:r>
      <w:proofErr w:type="gramStart"/>
      <w:r>
        <w:rPr>
          <w:rFonts w:cs="Arial"/>
          <w:szCs w:val="20"/>
        </w:rPr>
        <w:t>take into account</w:t>
      </w:r>
      <w:proofErr w:type="gramEnd"/>
      <w:r>
        <w:rPr>
          <w:rFonts w:cs="Arial"/>
          <w:szCs w:val="20"/>
        </w:rPr>
        <w:t xml:space="preserve"> the</w:t>
      </w:r>
      <w:r w:rsidRPr="0037001A">
        <w:rPr>
          <w:rFonts w:cs="Arial"/>
          <w:szCs w:val="20"/>
        </w:rPr>
        <w:t xml:space="preserve"> feedback provided by stakeholders and to significantly reduce the number of settlement related fields. Nevertheless, we continue to believe that a field to capture information about the ‘CSD participant or indirect participant’ is </w:t>
      </w:r>
      <w:r>
        <w:rPr>
          <w:rFonts w:cs="Arial"/>
          <w:szCs w:val="20"/>
        </w:rPr>
        <w:t>confusing</w:t>
      </w:r>
      <w:r w:rsidRPr="0037001A">
        <w:rPr>
          <w:rFonts w:cs="Arial"/>
          <w:szCs w:val="20"/>
        </w:rPr>
        <w:t xml:space="preserve"> and unlikely to add any value. This information is often not known </w:t>
      </w:r>
      <w:r>
        <w:rPr>
          <w:rFonts w:cs="Arial"/>
          <w:szCs w:val="20"/>
        </w:rPr>
        <w:t xml:space="preserve">to the reporting firm </w:t>
      </w:r>
      <w:r w:rsidRPr="0037001A">
        <w:rPr>
          <w:rFonts w:cs="Arial"/>
          <w:szCs w:val="20"/>
        </w:rPr>
        <w:t xml:space="preserve">on trade date and is likely to lead to data inconsistencies, although we recognise that it is not proposed as matching field. </w:t>
      </w:r>
    </w:p>
    <w:p w:rsidR="00241A7D" w:rsidRDefault="00241A7D" w:rsidP="00241A7D">
      <w:pPr>
        <w:rPr>
          <w:rFonts w:cs="Arial"/>
          <w:szCs w:val="20"/>
        </w:rPr>
      </w:pPr>
    </w:p>
    <w:p w:rsidR="0043413A" w:rsidRDefault="00241A7D" w:rsidP="00241A7D">
      <w:pPr>
        <w:rPr>
          <w:rFonts w:cs="Arial"/>
          <w:szCs w:val="20"/>
        </w:rPr>
      </w:pPr>
      <w:r>
        <w:rPr>
          <w:rFonts w:cs="Arial"/>
          <w:szCs w:val="20"/>
        </w:rPr>
        <w:t>If ESMA insists on a field to capture</w:t>
      </w:r>
      <w:r w:rsidRPr="0037001A">
        <w:rPr>
          <w:rFonts w:cs="Arial"/>
          <w:szCs w:val="20"/>
        </w:rPr>
        <w:t xml:space="preserve"> </w:t>
      </w:r>
      <w:r>
        <w:rPr>
          <w:rFonts w:cs="Arial"/>
          <w:szCs w:val="20"/>
        </w:rPr>
        <w:t>settlement related information</w:t>
      </w:r>
      <w:r w:rsidRPr="0037001A">
        <w:rPr>
          <w:rFonts w:cs="Arial"/>
          <w:szCs w:val="20"/>
        </w:rPr>
        <w:t xml:space="preserve">, at least this needs </w:t>
      </w:r>
      <w:r>
        <w:rPr>
          <w:rFonts w:cs="Arial"/>
          <w:szCs w:val="20"/>
        </w:rPr>
        <w:t>r</w:t>
      </w:r>
      <w:r w:rsidRPr="0037001A">
        <w:rPr>
          <w:rFonts w:cs="Arial"/>
          <w:szCs w:val="20"/>
        </w:rPr>
        <w:t>elabell</w:t>
      </w:r>
      <w:r>
        <w:rPr>
          <w:rFonts w:cs="Arial"/>
          <w:szCs w:val="20"/>
        </w:rPr>
        <w:t>ing</w:t>
      </w:r>
      <w:r w:rsidRPr="0037001A">
        <w:rPr>
          <w:rFonts w:cs="Arial"/>
          <w:szCs w:val="20"/>
        </w:rPr>
        <w:t>, as the current name is ambiguous and w</w:t>
      </w:r>
      <w:r>
        <w:rPr>
          <w:rFonts w:cs="Arial"/>
          <w:szCs w:val="20"/>
        </w:rPr>
        <w:t>ill likely lead to confusion. I</w:t>
      </w:r>
      <w:r w:rsidRPr="0037001A">
        <w:rPr>
          <w:rFonts w:cs="Arial"/>
          <w:szCs w:val="20"/>
        </w:rPr>
        <w:t>n our</w:t>
      </w:r>
      <w:r>
        <w:rPr>
          <w:rFonts w:cs="Arial"/>
          <w:szCs w:val="20"/>
        </w:rPr>
        <w:t xml:space="preserve"> response to ESMA’s DP, we</w:t>
      </w:r>
      <w:r w:rsidRPr="0037001A">
        <w:rPr>
          <w:rFonts w:cs="Arial"/>
          <w:szCs w:val="20"/>
        </w:rPr>
        <w:t xml:space="preserve"> suggest</w:t>
      </w:r>
      <w:r>
        <w:rPr>
          <w:rFonts w:cs="Arial"/>
          <w:szCs w:val="20"/>
        </w:rPr>
        <w:t>ed</w:t>
      </w:r>
      <w:r w:rsidRPr="0037001A">
        <w:rPr>
          <w:rFonts w:cs="Arial"/>
          <w:szCs w:val="20"/>
        </w:rPr>
        <w:t xml:space="preserve"> ‘settlement agent’ as a better alternative.</w:t>
      </w:r>
      <w:r>
        <w:rPr>
          <w:rFonts w:cs="Arial"/>
          <w:szCs w:val="20"/>
        </w:rPr>
        <w:t xml:space="preserve"> Another alternative would be ‘intermediary acting on behalf of the reporting counterparty’ which we understand has been proposed to ESMA by ECSDA, the European CSD Association, and which we would support.</w:t>
      </w:r>
    </w:p>
    <w:p w:rsidR="00241A7D" w:rsidRDefault="00241A7D" w:rsidP="00241A7D">
      <w:pPr>
        <w:rPr>
          <w:rFonts w:cs="Arial"/>
          <w:szCs w:val="20"/>
        </w:rPr>
      </w:pPr>
    </w:p>
    <w:p w:rsidR="00241A7D" w:rsidRDefault="00241A7D" w:rsidP="00241A7D">
      <w:pPr>
        <w:rPr>
          <w:rFonts w:cs="Arial"/>
          <w:szCs w:val="20"/>
        </w:rPr>
      </w:pPr>
      <w:r>
        <w:rPr>
          <w:rFonts w:cs="Arial"/>
          <w:szCs w:val="20"/>
        </w:rPr>
        <w:t xml:space="preserve">Regarding </w:t>
      </w:r>
      <w:r w:rsidRPr="00241A7D">
        <w:rPr>
          <w:rFonts w:cs="Arial"/>
          <w:b/>
          <w:szCs w:val="20"/>
        </w:rPr>
        <w:t>section 4.3.7 on clearing information</w:t>
      </w:r>
      <w:r>
        <w:rPr>
          <w:rFonts w:cs="Arial"/>
          <w:szCs w:val="20"/>
        </w:rPr>
        <w:t>, we would like to remark the following:</w:t>
      </w:r>
    </w:p>
    <w:p w:rsidR="00241A7D" w:rsidRDefault="00241A7D" w:rsidP="00241A7D">
      <w:pPr>
        <w:rPr>
          <w:rFonts w:cs="Arial"/>
          <w:szCs w:val="20"/>
        </w:rPr>
      </w:pPr>
      <w:r w:rsidRPr="0037001A">
        <w:rPr>
          <w:rFonts w:cs="Arial"/>
          <w:szCs w:val="20"/>
        </w:rPr>
        <w:t>In line with our general comments above, we would reiterate that any clearing-related information could be more efficiently collected directly from the CCPs</w:t>
      </w:r>
      <w:r>
        <w:rPr>
          <w:rFonts w:cs="Arial"/>
          <w:szCs w:val="20"/>
        </w:rPr>
        <w:t xml:space="preserve"> through single-sided reporting</w:t>
      </w:r>
      <w:r w:rsidRPr="0037001A">
        <w:rPr>
          <w:rFonts w:cs="Arial"/>
          <w:szCs w:val="20"/>
        </w:rPr>
        <w:t xml:space="preserve">. </w:t>
      </w:r>
    </w:p>
    <w:p w:rsidR="00241A7D" w:rsidRPr="0037001A" w:rsidRDefault="00241A7D" w:rsidP="00241A7D">
      <w:pPr>
        <w:rPr>
          <w:rFonts w:cs="Arial"/>
          <w:b/>
          <w:i/>
          <w:szCs w:val="20"/>
        </w:rPr>
      </w:pPr>
    </w:p>
    <w:p w:rsidR="00241A7D" w:rsidRPr="0037001A" w:rsidRDefault="00241A7D" w:rsidP="00241A7D">
      <w:pPr>
        <w:rPr>
          <w:rFonts w:cs="Arial"/>
          <w:b/>
          <w:i/>
          <w:szCs w:val="20"/>
        </w:rPr>
      </w:pPr>
      <w:r w:rsidRPr="0037001A">
        <w:rPr>
          <w:rFonts w:cs="Arial"/>
          <w:szCs w:val="20"/>
        </w:rPr>
        <w:t>In relation to para 316(a), we would also remark</w:t>
      </w:r>
      <w:r>
        <w:rPr>
          <w:rFonts w:cs="Arial"/>
          <w:szCs w:val="20"/>
        </w:rPr>
        <w:t xml:space="preserve"> once</w:t>
      </w:r>
      <w:r w:rsidRPr="0037001A">
        <w:rPr>
          <w:rFonts w:cs="Arial"/>
          <w:szCs w:val="20"/>
        </w:rPr>
        <w:t xml:space="preserve"> again that an agency clearing model for SFTs does not currently exist and is not expected to exist in the future.</w:t>
      </w:r>
    </w:p>
    <w:p w:rsidR="00241A7D" w:rsidRDefault="00241A7D" w:rsidP="00241A7D">
      <w:pPr>
        <w:rPr>
          <w:rFonts w:cs="Arial"/>
          <w:szCs w:val="20"/>
        </w:rPr>
      </w:pPr>
    </w:p>
    <w:p w:rsidR="00241A7D" w:rsidRDefault="00241A7D" w:rsidP="00241A7D">
      <w:pPr>
        <w:rPr>
          <w:rFonts w:cs="Arial"/>
          <w:szCs w:val="20"/>
        </w:rPr>
      </w:pPr>
      <w:r w:rsidRPr="0037001A">
        <w:rPr>
          <w:rFonts w:cs="Arial"/>
          <w:szCs w:val="20"/>
        </w:rPr>
        <w:t xml:space="preserve">Finally, we would like to ask ESMA to clarify </w:t>
      </w:r>
      <w:r w:rsidRPr="0037001A">
        <w:rPr>
          <w:rFonts w:cs="Arial"/>
          <w:iCs/>
          <w:szCs w:val="20"/>
        </w:rPr>
        <w:t>whether firms need to identify CCPs irrespective of whether these have been recognised by ESMA and meet ESMA’s definition of a CCP. This question has been raised in the context of EMIR and addressed in Q&amp;As (see Q43). This should be clarified in the context of SFTR as well.</w:t>
      </w:r>
    </w:p>
    <w:p w:rsidR="00241A7D" w:rsidRDefault="00241A7D" w:rsidP="00241A7D"/>
    <w:permEnd w:id="1375750133"/>
    <w:p w:rsidR="0043413A" w:rsidRDefault="0043413A" w:rsidP="0043413A">
      <w:r>
        <w:t>&lt;ESMA_QUESTION_SFTR_71&gt;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master agreements? What other aspects need to be considered? Please elaborate.</w:t>
      </w:r>
    </w:p>
    <w:p w:rsidR="0043413A" w:rsidRDefault="0043413A" w:rsidP="0043413A">
      <w:r>
        <w:t>&lt;ESMA_QUESTION_SFTR_72&gt;</w:t>
      </w:r>
    </w:p>
    <w:p w:rsidR="0043413A" w:rsidRDefault="0043413A" w:rsidP="0043413A">
      <w:permStart w:id="1085546942" w:edGrp="everyone"/>
    </w:p>
    <w:p w:rsidR="00241A7D" w:rsidRPr="0037001A" w:rsidRDefault="00241A7D" w:rsidP="00241A7D">
      <w:pPr>
        <w:rPr>
          <w:rFonts w:cs="Arial"/>
          <w:szCs w:val="20"/>
        </w:rPr>
      </w:pPr>
      <w:r w:rsidRPr="0037001A">
        <w:rPr>
          <w:rFonts w:cs="Arial"/>
          <w:szCs w:val="20"/>
        </w:rPr>
        <w:t xml:space="preserve">Yes, we agree with the proposals. </w:t>
      </w:r>
      <w:proofErr w:type="gramStart"/>
      <w:r w:rsidRPr="0037001A">
        <w:rPr>
          <w:rFonts w:cs="Arial"/>
          <w:szCs w:val="20"/>
        </w:rPr>
        <w:t>In particular, we</w:t>
      </w:r>
      <w:proofErr w:type="gramEnd"/>
      <w:r w:rsidRPr="0037001A">
        <w:rPr>
          <w:rFonts w:cs="Arial"/>
          <w:szCs w:val="20"/>
        </w:rPr>
        <w:t xml:space="preserve"> welcome the proposed deletion of two fields related to master agreements, which as pointed out in our response to ESMA’s DP would have been particularly challenging to implement.</w:t>
      </w:r>
    </w:p>
    <w:p w:rsidR="00241A7D" w:rsidRDefault="00241A7D" w:rsidP="00241A7D">
      <w:r w:rsidRPr="0037001A">
        <w:rPr>
          <w:rFonts w:cs="Arial"/>
          <w:szCs w:val="20"/>
        </w:rPr>
        <w:t>While we understand why ESMA wants to collect information on the master agreements, we would also remark that the justifications provided in para</w:t>
      </w:r>
      <w:r>
        <w:rPr>
          <w:rFonts w:cs="Arial"/>
          <w:szCs w:val="20"/>
        </w:rPr>
        <w:t>graph 324</w:t>
      </w:r>
      <w:r w:rsidRPr="0037001A">
        <w:rPr>
          <w:rFonts w:cs="Arial"/>
          <w:szCs w:val="20"/>
        </w:rPr>
        <w:t xml:space="preserve"> are not convincing. Standardisation of the sort that affects liquidity takes place at the level of trading convention (325(a)), not legal agreement. And it is improbable that repo rates reflect </w:t>
      </w:r>
      <w:proofErr w:type="gramStart"/>
      <w:r w:rsidRPr="0037001A">
        <w:rPr>
          <w:rFonts w:cs="Arial"/>
          <w:szCs w:val="20"/>
        </w:rPr>
        <w:t>particular master</w:t>
      </w:r>
      <w:proofErr w:type="gramEnd"/>
      <w:r w:rsidRPr="0037001A">
        <w:rPr>
          <w:rFonts w:cs="Arial"/>
          <w:szCs w:val="20"/>
        </w:rPr>
        <w:t xml:space="preserve"> agreements (325(b)). Moreover, features such as optionality are specified at trade level, not in the legal agreement.</w:t>
      </w:r>
    </w:p>
    <w:p w:rsidR="00241A7D" w:rsidRDefault="00241A7D" w:rsidP="0043413A"/>
    <w:permEnd w:id="1085546942"/>
    <w:p w:rsidR="0043413A" w:rsidRDefault="0043413A" w:rsidP="0043413A">
      <w:r>
        <w:t>&lt;ESMA_QUESTION_SFTR_72&gt;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method of trading? What other aspects need to be considered? Please elaborate.</w:t>
      </w:r>
    </w:p>
    <w:p w:rsidR="0043413A" w:rsidRDefault="0043413A" w:rsidP="0043413A">
      <w:r>
        <w:t>&lt;ESMA_QUESTION_SFTR_73&gt;</w:t>
      </w:r>
    </w:p>
    <w:p w:rsidR="0043413A" w:rsidRDefault="0043413A" w:rsidP="0043413A">
      <w:permStart w:id="1210741592" w:edGrp="everyone"/>
    </w:p>
    <w:p w:rsidR="00241A7D" w:rsidRPr="00241A7D" w:rsidRDefault="00241A7D" w:rsidP="0043413A">
      <w:pPr>
        <w:rPr>
          <w:rFonts w:cs="Arial"/>
          <w:szCs w:val="20"/>
        </w:rPr>
      </w:pPr>
      <w:r w:rsidRPr="00DC7659">
        <w:rPr>
          <w:rFonts w:cs="Arial"/>
          <w:szCs w:val="20"/>
        </w:rPr>
        <w:t>Yes, we agree with the deletion of the reporting field.</w:t>
      </w:r>
      <w:r>
        <w:rPr>
          <w:rFonts w:cs="Arial"/>
          <w:szCs w:val="20"/>
        </w:rPr>
        <w:t xml:space="preserve"> There are no other aspects to consider. The identification of the trading venue should provide sufficient information.</w:t>
      </w:r>
    </w:p>
    <w:p w:rsidR="00241A7D" w:rsidRDefault="00241A7D" w:rsidP="0043413A"/>
    <w:permEnd w:id="1210741592"/>
    <w:p w:rsidR="0043413A" w:rsidRDefault="0043413A" w:rsidP="0043413A">
      <w:r>
        <w:t>&lt;ESMA_QUESTION_SFTR_73&gt;</w:t>
      </w:r>
    </w:p>
    <w:p w:rsidR="0043413A" w:rsidRDefault="0043413A" w:rsidP="0043413A"/>
    <w:p w:rsidR="0043413A" w:rsidRPr="00943DDF" w:rsidRDefault="0043413A" w:rsidP="0043413A">
      <w:pPr>
        <w:pStyle w:val="Questionstyle"/>
        <w:numPr>
          <w:ilvl w:val="0"/>
          <w:numId w:val="40"/>
        </w:numPr>
      </w:pPr>
      <w:r w:rsidRPr="00943DDF">
        <w:t xml:space="preserve">In your view, what information on the nature of the indemnification (guarantee of the value, replacement of the securities, etc.), relevant for the monitoring of financial stability in </w:t>
      </w:r>
      <w:r w:rsidRPr="00943DDF">
        <w:lastRenderedPageBreak/>
        <w:t>relation to indemnifications could be reported? What type of data would be reported for each of the suggested elements reported e.g. values, percentages, other? Please elaborate.</w:t>
      </w:r>
    </w:p>
    <w:p w:rsidR="0043413A" w:rsidRDefault="0043413A" w:rsidP="0043413A">
      <w:r>
        <w:t>&lt;ESMA_QUESTION_SFTR_74&gt;</w:t>
      </w:r>
    </w:p>
    <w:p w:rsidR="0043413A" w:rsidRDefault="0043413A" w:rsidP="0043413A">
      <w:permStart w:id="1705453893" w:edGrp="everyone"/>
      <w:r>
        <w:t>TYPE YOUR TEXT HERE</w:t>
      </w:r>
    </w:p>
    <w:permEnd w:id="1705453893"/>
    <w:p w:rsidR="0043413A" w:rsidRDefault="0043413A" w:rsidP="0043413A">
      <w:r>
        <w:t>&lt;ESMA_QUESTION_SFTR_74&gt;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validation rules? If not, what other aspects should be taken into account. Please elaborate.</w:t>
      </w:r>
    </w:p>
    <w:p w:rsidR="0043413A" w:rsidRDefault="0043413A" w:rsidP="0043413A">
      <w:r>
        <w:t>&lt;ESMA_QUESTION_SFTR_75&gt;</w:t>
      </w:r>
    </w:p>
    <w:p w:rsidR="0043413A" w:rsidRDefault="0043413A" w:rsidP="0043413A">
      <w:permStart w:id="565383576" w:edGrp="everyone"/>
    </w:p>
    <w:p w:rsidR="00241A7D" w:rsidRPr="00241A7D" w:rsidRDefault="00241A7D" w:rsidP="0043413A">
      <w:pPr>
        <w:rPr>
          <w:rFonts w:cs="Arial"/>
          <w:i/>
          <w:szCs w:val="20"/>
        </w:rPr>
      </w:pPr>
      <w:r w:rsidRPr="00F36A4D">
        <w:rPr>
          <w:rFonts w:cs="Arial"/>
          <w:szCs w:val="20"/>
        </w:rPr>
        <w:t xml:space="preserve">We would like to ask </w:t>
      </w:r>
      <w:r>
        <w:rPr>
          <w:rFonts w:cs="Arial"/>
          <w:szCs w:val="20"/>
        </w:rPr>
        <w:t xml:space="preserve">ESMA to clarify the process </w:t>
      </w:r>
      <w:proofErr w:type="gramStart"/>
      <w:r>
        <w:rPr>
          <w:rFonts w:cs="Arial"/>
          <w:szCs w:val="20"/>
        </w:rPr>
        <w:t>according to</w:t>
      </w:r>
      <w:proofErr w:type="gramEnd"/>
      <w:r>
        <w:rPr>
          <w:rFonts w:cs="Arial"/>
          <w:szCs w:val="20"/>
        </w:rPr>
        <w:t xml:space="preserve"> which reporting parties are permissioned to undertake delegated reporting on behalf of other counterparties (see paragraph 343). ESMA should note that some reporting firms expect to be reporting on behalf of a very large number of SFT counterparties</w:t>
      </w:r>
      <w:r>
        <w:rPr>
          <w:rFonts w:cs="Arial"/>
          <w:i/>
          <w:szCs w:val="20"/>
        </w:rPr>
        <w:t xml:space="preserve">. </w:t>
      </w:r>
      <w:r w:rsidRPr="00F36A4D">
        <w:rPr>
          <w:rFonts w:cs="Arial"/>
          <w:szCs w:val="20"/>
        </w:rPr>
        <w:t>The permission process thus needs to be as tra</w:t>
      </w:r>
      <w:r>
        <w:rPr>
          <w:rFonts w:cs="Arial"/>
          <w:szCs w:val="20"/>
        </w:rPr>
        <w:t>nsparent and simple as possible to avoid undue administrative burden.</w:t>
      </w:r>
      <w:r>
        <w:rPr>
          <w:rFonts w:cs="Arial"/>
          <w:i/>
          <w:szCs w:val="20"/>
        </w:rPr>
        <w:t xml:space="preserve"> </w:t>
      </w:r>
    </w:p>
    <w:p w:rsidR="00241A7D" w:rsidRDefault="00241A7D" w:rsidP="0043413A"/>
    <w:permEnd w:id="565383576"/>
    <w:p w:rsidR="0043413A" w:rsidRDefault="0043413A" w:rsidP="0043413A">
      <w:r>
        <w:t>&lt;ESMA_QUESTION_SFTR_75&gt;</w:t>
      </w:r>
    </w:p>
    <w:p w:rsidR="0043413A" w:rsidRDefault="0043413A" w:rsidP="0043413A"/>
    <w:p w:rsidR="0043413A" w:rsidRPr="00943DDF" w:rsidRDefault="0043413A" w:rsidP="0043413A">
      <w:pPr>
        <w:pStyle w:val="Questionstyle"/>
        <w:numPr>
          <w:ilvl w:val="0"/>
          <w:numId w:val="40"/>
        </w:numPr>
      </w:pPr>
      <w:r w:rsidRPr="00943DDF">
        <w:t>Do you agree with the proposed scope of the reconciliation process? If not, what other aspects should be taken into account. Please elaborate.</w:t>
      </w:r>
    </w:p>
    <w:p w:rsidR="0043413A" w:rsidRDefault="0043413A" w:rsidP="0043413A">
      <w:r>
        <w:t>&lt;ESMA_QUESTION_SFTR_76&gt;</w:t>
      </w:r>
    </w:p>
    <w:p w:rsidR="0043413A" w:rsidRDefault="0043413A" w:rsidP="0043413A">
      <w:permStart w:id="1595177707" w:edGrp="everyone"/>
      <w:r>
        <w:t>TYPE YOUR TEXT HERE</w:t>
      </w:r>
    </w:p>
    <w:permEnd w:id="1595177707"/>
    <w:p w:rsidR="0043413A" w:rsidRDefault="0043413A" w:rsidP="0043413A">
      <w:r>
        <w:t>&lt;ESMA_QUESTION_SFTR_76&gt;</w:t>
      </w:r>
    </w:p>
    <w:p w:rsidR="0043413A" w:rsidRDefault="0043413A" w:rsidP="0043413A"/>
    <w:p w:rsidR="0043413A" w:rsidRPr="00943DDF" w:rsidRDefault="0043413A" w:rsidP="0043413A">
      <w:pPr>
        <w:pStyle w:val="Questionstyle"/>
        <w:numPr>
          <w:ilvl w:val="0"/>
          <w:numId w:val="40"/>
        </w:numPr>
      </w:pPr>
      <w:r w:rsidRPr="00943DDF">
        <w:t>Do you consider that the proposed framework for collateral reconciliation process should take place in parallel with the reconciliation of the loan data? If not, what other aspects should be taken into account. Please elaborate.</w:t>
      </w:r>
    </w:p>
    <w:p w:rsidR="0043413A" w:rsidRDefault="0043413A" w:rsidP="0043413A">
      <w:r>
        <w:t>&lt;ESMA_QUESTION_SFTR_77&gt;</w:t>
      </w:r>
    </w:p>
    <w:p w:rsidR="0043413A" w:rsidRDefault="0043413A" w:rsidP="0043413A">
      <w:permStart w:id="1335707157" w:edGrp="everyone"/>
      <w:r>
        <w:t>TYPE YOUR TEXT HERE</w:t>
      </w:r>
    </w:p>
    <w:permEnd w:id="1335707157"/>
    <w:p w:rsidR="0043413A" w:rsidRDefault="0043413A" w:rsidP="0043413A">
      <w:r>
        <w:t>&lt;ESMA_QUESTION_SFTR_77&gt;</w:t>
      </w:r>
    </w:p>
    <w:p w:rsidR="0043413A" w:rsidRDefault="0043413A" w:rsidP="0043413A"/>
    <w:p w:rsidR="0043413A" w:rsidRPr="00943DDF" w:rsidRDefault="0043413A" w:rsidP="0043413A">
      <w:pPr>
        <w:pStyle w:val="Questionstyle"/>
        <w:numPr>
          <w:ilvl w:val="0"/>
          <w:numId w:val="40"/>
        </w:numPr>
      </w:pPr>
      <w:r w:rsidRPr="00943DDF">
        <w:t>Do you agree with the use of ISO 20022 for the purposes of ensuring common format and common encoding of files exchanged between TRs during the inter-TR reconciliation process? If not, what other common standard would you propose?</w:t>
      </w:r>
    </w:p>
    <w:p w:rsidR="0043413A" w:rsidRDefault="0043413A" w:rsidP="0043413A">
      <w:r>
        <w:t>&lt;ESMA_QUESTION_SFTR_78&gt;</w:t>
      </w:r>
    </w:p>
    <w:p w:rsidR="0043413A" w:rsidRDefault="0043413A" w:rsidP="0043413A">
      <w:permStart w:id="1093730551" w:edGrp="everyone"/>
      <w:r>
        <w:t>TYPE YOUR TEXT HERE</w:t>
      </w:r>
    </w:p>
    <w:permEnd w:id="1093730551"/>
    <w:p w:rsidR="0043413A" w:rsidRDefault="0043413A" w:rsidP="0043413A">
      <w:r>
        <w:t>&lt;ESMA_QUESTION_SFTR_78&gt;</w:t>
      </w:r>
    </w:p>
    <w:p w:rsidR="0043413A" w:rsidRDefault="0043413A" w:rsidP="0043413A"/>
    <w:p w:rsidR="0043413A" w:rsidRPr="00943DDF" w:rsidRDefault="0043413A" w:rsidP="0043413A">
      <w:pPr>
        <w:pStyle w:val="Questionstyle"/>
        <w:numPr>
          <w:ilvl w:val="0"/>
          <w:numId w:val="40"/>
        </w:numPr>
      </w:pPr>
      <w:r w:rsidRPr="00943DDF">
        <w:t>Do you agree with standardising the timeline for finalisation of the inter-TR reconciliation process? Do you agree with the proposed timeline for finalisation of the inter-TR reconciliation process? If not, what would be a most appropriate timeline? What other aspects should be taken into account? Please elaborate.</w:t>
      </w:r>
    </w:p>
    <w:p w:rsidR="0043413A" w:rsidRDefault="0043413A" w:rsidP="0043413A">
      <w:r>
        <w:t>&lt;ESMA_QUESTION_SFTR_79&gt;</w:t>
      </w:r>
    </w:p>
    <w:p w:rsidR="0043413A" w:rsidRDefault="0043413A" w:rsidP="0043413A">
      <w:permStart w:id="1230716476" w:edGrp="everyone"/>
      <w:r>
        <w:t>TYPE YOUR TEXT HERE</w:t>
      </w:r>
    </w:p>
    <w:permEnd w:id="1230716476"/>
    <w:p w:rsidR="0043413A" w:rsidRDefault="0043413A" w:rsidP="0043413A">
      <w:r>
        <w:lastRenderedPageBreak/>
        <w:t>&lt;ESMA_QUESTION_SFTR_79&gt;</w:t>
      </w:r>
    </w:p>
    <w:p w:rsidR="0043413A" w:rsidRDefault="0043413A" w:rsidP="0043413A"/>
    <w:p w:rsidR="0043413A" w:rsidRPr="00943DDF" w:rsidRDefault="0043413A" w:rsidP="0043413A">
      <w:pPr>
        <w:pStyle w:val="Questionstyle"/>
        <w:numPr>
          <w:ilvl w:val="0"/>
          <w:numId w:val="40"/>
        </w:numPr>
      </w:pPr>
      <w:r w:rsidRPr="00943DDF">
        <w:t>Do you agree with the fields proposed for reconciliation? Which other should be included, or which ones should be excluded? Please elaborate.</w:t>
      </w:r>
    </w:p>
    <w:p w:rsidR="0043413A" w:rsidRDefault="0043413A" w:rsidP="0043413A">
      <w:r>
        <w:t>&lt;ESMA_QUESTION_SFTR_80&gt;</w:t>
      </w:r>
    </w:p>
    <w:p w:rsidR="00241A7D" w:rsidRDefault="00241A7D" w:rsidP="00241A7D">
      <w:pPr>
        <w:rPr>
          <w:rFonts w:cs="Arial"/>
          <w:b/>
          <w:i/>
          <w:szCs w:val="20"/>
        </w:rPr>
      </w:pPr>
      <w:permStart w:id="2093511700" w:edGrp="everyone"/>
    </w:p>
    <w:p w:rsidR="00241A7D" w:rsidRDefault="00241A7D" w:rsidP="00241A7D">
      <w:pPr>
        <w:rPr>
          <w:rFonts w:cs="Arial"/>
          <w:szCs w:val="20"/>
        </w:rPr>
      </w:pPr>
      <w:r w:rsidRPr="0037001A">
        <w:rPr>
          <w:rFonts w:cs="Arial"/>
          <w:szCs w:val="20"/>
        </w:rPr>
        <w:t>We strongly believe that the number of proposed reconciliation fields would have to be significantly reduced if the aim is to achieve meaningful matching rates</w:t>
      </w:r>
      <w:r>
        <w:rPr>
          <w:rFonts w:cs="Arial"/>
          <w:szCs w:val="20"/>
        </w:rPr>
        <w:t xml:space="preserve"> post TR reconciliation</w:t>
      </w:r>
      <w:r w:rsidRPr="0037001A">
        <w:rPr>
          <w:rFonts w:cs="Arial"/>
          <w:szCs w:val="20"/>
        </w:rPr>
        <w:t xml:space="preserve">. </w:t>
      </w:r>
      <w:r>
        <w:rPr>
          <w:rFonts w:cs="Arial"/>
          <w:szCs w:val="20"/>
        </w:rPr>
        <w:t>In our view, matching should be limited to those fields that have a clear economic relevance for the trade. In terms of concrete fields appropriate for matching, we would like to refer ESMA to ICMA’s standardised template for trade matching and affirmation which the ICMA ERCC Operations Group developed in close collaboration with the relevant vendors and published in December 2015.</w:t>
      </w:r>
      <w:r>
        <w:rPr>
          <w:rStyle w:val="FootnoteReference"/>
          <w:rFonts w:cs="Arial"/>
          <w:szCs w:val="20"/>
        </w:rPr>
        <w:footnoteReference w:id="5"/>
      </w:r>
      <w:r>
        <w:rPr>
          <w:rFonts w:cs="Arial"/>
          <w:szCs w:val="20"/>
        </w:rPr>
        <w:t xml:space="preserve"> We consider that the mandatory matching fields in this template are the logical starting point for identifying which sub-set of fields should be matched and that any additions to this ought to be only in case shown to be clearly justifiable.</w:t>
      </w:r>
    </w:p>
    <w:p w:rsidR="00241A7D" w:rsidRDefault="00241A7D" w:rsidP="00241A7D">
      <w:pPr>
        <w:rPr>
          <w:rFonts w:cs="Arial"/>
          <w:szCs w:val="20"/>
        </w:rPr>
      </w:pPr>
    </w:p>
    <w:p w:rsidR="00241A7D" w:rsidRPr="0037001A" w:rsidRDefault="00241A7D" w:rsidP="00241A7D">
      <w:pPr>
        <w:rPr>
          <w:rFonts w:cs="Arial"/>
          <w:szCs w:val="20"/>
        </w:rPr>
      </w:pPr>
      <w:r>
        <w:rPr>
          <w:rFonts w:cs="Arial"/>
          <w:szCs w:val="20"/>
        </w:rPr>
        <w:t>In relation to the matching of reports, i</w:t>
      </w:r>
      <w:r w:rsidRPr="0037001A">
        <w:rPr>
          <w:rFonts w:cs="Arial"/>
          <w:szCs w:val="20"/>
        </w:rPr>
        <w:t>t would be important to learn</w:t>
      </w:r>
      <w:r>
        <w:rPr>
          <w:rFonts w:cs="Arial"/>
          <w:szCs w:val="20"/>
        </w:rPr>
        <w:t xml:space="preserve"> the lessons from</w:t>
      </w:r>
      <w:r w:rsidRPr="0037001A">
        <w:rPr>
          <w:rFonts w:cs="Arial"/>
          <w:szCs w:val="20"/>
        </w:rPr>
        <w:t xml:space="preserve"> </w:t>
      </w:r>
      <w:r>
        <w:rPr>
          <w:rFonts w:cs="Arial"/>
          <w:szCs w:val="20"/>
        </w:rPr>
        <w:t>EMIR implementation</w:t>
      </w:r>
      <w:r w:rsidRPr="0037001A">
        <w:rPr>
          <w:rFonts w:cs="Arial"/>
          <w:szCs w:val="20"/>
        </w:rPr>
        <w:t>. In our view</w:t>
      </w:r>
      <w:r>
        <w:rPr>
          <w:rFonts w:cs="Arial"/>
          <w:szCs w:val="20"/>
        </w:rPr>
        <w:t>,</w:t>
      </w:r>
      <w:r w:rsidRPr="0037001A">
        <w:rPr>
          <w:rFonts w:cs="Arial"/>
          <w:szCs w:val="20"/>
        </w:rPr>
        <w:t xml:space="preserve"> it would make much more sense to start with a very limited number of reconciliation fields which can then be gradually increased as market practice</w:t>
      </w:r>
      <w:r>
        <w:rPr>
          <w:rFonts w:cs="Arial"/>
          <w:szCs w:val="20"/>
        </w:rPr>
        <w:t>s</w:t>
      </w:r>
      <w:r w:rsidRPr="0037001A">
        <w:rPr>
          <w:rFonts w:cs="Arial"/>
          <w:szCs w:val="20"/>
        </w:rPr>
        <w:t xml:space="preserve"> are being established and the consistency of reported data improves accordingly. </w:t>
      </w:r>
    </w:p>
    <w:p w:rsidR="00241A7D" w:rsidRDefault="00241A7D" w:rsidP="00241A7D">
      <w:pPr>
        <w:rPr>
          <w:rFonts w:cs="Arial"/>
          <w:szCs w:val="20"/>
        </w:rPr>
      </w:pPr>
    </w:p>
    <w:p w:rsidR="00241A7D" w:rsidRDefault="00241A7D" w:rsidP="00241A7D">
      <w:r>
        <w:rPr>
          <w:rFonts w:cs="Arial"/>
          <w:szCs w:val="20"/>
        </w:rPr>
        <w:t>One example is the proposed field on collateral market value. As explained in our response to Q18, this field should not be a reconciliation field given that this would almost certainly lead to matching fails. At a minimum, if ESMA insists on this field for reconciliation, the defined tolerance level needs to be substantially increased.</w:t>
      </w:r>
    </w:p>
    <w:p w:rsidR="00241A7D" w:rsidRDefault="00241A7D" w:rsidP="0043413A"/>
    <w:permEnd w:id="2093511700"/>
    <w:p w:rsidR="0043413A" w:rsidRDefault="0043413A" w:rsidP="0043413A">
      <w:r>
        <w:t>&lt;ESMA_QUESTION_SFTR_80&gt;</w:t>
      </w:r>
    </w:p>
    <w:p w:rsidR="0043413A" w:rsidRDefault="0043413A" w:rsidP="0043413A"/>
    <w:p w:rsidR="0043413A" w:rsidRPr="00943DDF" w:rsidRDefault="0043413A" w:rsidP="0043413A">
      <w:pPr>
        <w:pStyle w:val="Questionstyle"/>
        <w:numPr>
          <w:ilvl w:val="0"/>
          <w:numId w:val="40"/>
        </w:numPr>
      </w:pPr>
      <w:r w:rsidRPr="00943DDF">
        <w:t>Do you agree with the proposed tolerance levels? Which other tolerance levels would you suggest? Please elaborate.</w:t>
      </w:r>
    </w:p>
    <w:p w:rsidR="0043413A" w:rsidRDefault="0043413A" w:rsidP="0043413A">
      <w:r>
        <w:t>&lt;ESMA_QUESTION_SFTR_81&gt;</w:t>
      </w:r>
    </w:p>
    <w:p w:rsidR="0043413A" w:rsidRDefault="0043413A" w:rsidP="0043413A">
      <w:permStart w:id="546989740" w:edGrp="everyone"/>
    </w:p>
    <w:p w:rsidR="00241A7D" w:rsidRDefault="00241A7D" w:rsidP="00241A7D">
      <w:pPr>
        <w:rPr>
          <w:rFonts w:cs="Arial"/>
          <w:szCs w:val="20"/>
        </w:rPr>
      </w:pPr>
      <w:r w:rsidRPr="0037001A">
        <w:rPr>
          <w:rFonts w:cs="Arial"/>
          <w:szCs w:val="20"/>
        </w:rPr>
        <w:t>In our view</w:t>
      </w:r>
      <w:r>
        <w:rPr>
          <w:rFonts w:cs="Arial"/>
          <w:szCs w:val="20"/>
        </w:rPr>
        <w:t xml:space="preserve">, many of the </w:t>
      </w:r>
      <w:r w:rsidRPr="0037001A">
        <w:rPr>
          <w:rFonts w:cs="Arial"/>
          <w:szCs w:val="20"/>
        </w:rPr>
        <w:t>proposed tolerance levels would need to be increased substantially to achieve their purpose.</w:t>
      </w:r>
      <w:r>
        <w:rPr>
          <w:rFonts w:cs="Arial"/>
          <w:szCs w:val="20"/>
        </w:rPr>
        <w:t xml:space="preserve"> This is particularly true for those fields without impact on the economics of the trade.</w:t>
      </w:r>
      <w:r w:rsidRPr="0037001A">
        <w:rPr>
          <w:rFonts w:cs="Arial"/>
          <w:szCs w:val="20"/>
        </w:rPr>
        <w:t xml:space="preserve"> </w:t>
      </w:r>
      <w:r>
        <w:rPr>
          <w:rFonts w:cs="Arial"/>
          <w:szCs w:val="20"/>
        </w:rPr>
        <w:t>In general, w</w:t>
      </w:r>
      <w:r w:rsidRPr="0037001A">
        <w:rPr>
          <w:rFonts w:cs="Arial"/>
          <w:szCs w:val="20"/>
        </w:rPr>
        <w:t xml:space="preserve">e do not think that the proposed very low levels would make any significant difference to matching rates. In addition, tolerance levels should be defined for more reconciliation fields. </w:t>
      </w:r>
      <w:proofErr w:type="gramStart"/>
      <w:r w:rsidRPr="0037001A">
        <w:rPr>
          <w:rFonts w:cs="Arial"/>
          <w:szCs w:val="20"/>
        </w:rPr>
        <w:t>Similar to</w:t>
      </w:r>
      <w:proofErr w:type="gramEnd"/>
      <w:r w:rsidRPr="0037001A">
        <w:rPr>
          <w:rFonts w:cs="Arial"/>
          <w:szCs w:val="20"/>
        </w:rPr>
        <w:t xml:space="preserve"> our comments on reconciliation fields, we would point out that tolerance levels could also be decreased over time as market practices stabilise.</w:t>
      </w:r>
    </w:p>
    <w:p w:rsidR="00241A7D" w:rsidRDefault="00241A7D" w:rsidP="00241A7D">
      <w:pPr>
        <w:rPr>
          <w:rFonts w:cs="Arial"/>
          <w:szCs w:val="20"/>
        </w:rPr>
      </w:pPr>
    </w:p>
    <w:p w:rsidR="00241A7D" w:rsidRPr="00241A7D" w:rsidRDefault="00241A7D" w:rsidP="0043413A">
      <w:pPr>
        <w:rPr>
          <w:rFonts w:cs="Arial"/>
          <w:szCs w:val="20"/>
        </w:rPr>
      </w:pPr>
      <w:r>
        <w:rPr>
          <w:rFonts w:cs="Arial"/>
          <w:szCs w:val="20"/>
        </w:rPr>
        <w:t>While we have not included concrete proposals in relation to applicable tolerance levels in this response, due to the limited time available, the ICMA ERCC would be keen to further engage with ESMA following this consultation and to support ESMA in identifying appropriate reconciliation fields and tolerance levels. As pointed out above, these are critical elements to ensure the effectiveness of the reporting regime from the outset and sufficient time should be dedicated to calibrating these appropriately.</w:t>
      </w:r>
    </w:p>
    <w:p w:rsidR="00241A7D" w:rsidRDefault="00241A7D" w:rsidP="0043413A"/>
    <w:permEnd w:id="546989740"/>
    <w:p w:rsidR="0043413A" w:rsidRDefault="0043413A" w:rsidP="0043413A">
      <w:r>
        <w:t>&lt;ESMA_QUESTION_SFTR_81&gt;</w:t>
      </w:r>
    </w:p>
    <w:p w:rsidR="0043413A" w:rsidRDefault="0043413A" w:rsidP="0043413A"/>
    <w:p w:rsidR="0043413A" w:rsidRPr="00943DDF" w:rsidRDefault="0043413A" w:rsidP="0043413A">
      <w:pPr>
        <w:pStyle w:val="Questionstyle"/>
        <w:numPr>
          <w:ilvl w:val="0"/>
          <w:numId w:val="40"/>
        </w:numPr>
      </w:pPr>
      <w:r w:rsidRPr="00943DDF">
        <w:lastRenderedPageBreak/>
        <w:t>What other fields are suitable for establishing tolerance levels? What should be the tolerance level for those fields? Should the tolerance level be linearly or logarithmically related to the values? What other aspects should be taken into account? Please elaborate.</w:t>
      </w:r>
    </w:p>
    <w:p w:rsidR="0043413A" w:rsidRDefault="0043413A" w:rsidP="0043413A">
      <w:r>
        <w:t>&lt;ESMA_QUESTION_SFTR_82&gt;</w:t>
      </w:r>
    </w:p>
    <w:p w:rsidR="0043413A" w:rsidRDefault="0043413A" w:rsidP="0043413A">
      <w:permStart w:id="1225028940" w:edGrp="everyone"/>
      <w:r>
        <w:t>TYPE YOUR TEXT HERE</w:t>
      </w:r>
    </w:p>
    <w:permEnd w:id="1225028940"/>
    <w:p w:rsidR="0043413A" w:rsidRDefault="0043413A" w:rsidP="0043413A">
      <w:r>
        <w:t>&lt;ESMA_QUESTION_SFTR_82&gt;</w:t>
      </w:r>
    </w:p>
    <w:p w:rsidR="0043413A" w:rsidRDefault="0043413A" w:rsidP="0043413A"/>
    <w:p w:rsidR="0043413A" w:rsidRPr="00943DDF" w:rsidRDefault="0043413A" w:rsidP="0043413A">
      <w:pPr>
        <w:pStyle w:val="Questionstyle"/>
        <w:numPr>
          <w:ilvl w:val="0"/>
          <w:numId w:val="40"/>
        </w:numPr>
      </w:pPr>
      <w:r w:rsidRPr="00943DDF">
        <w:t>Do you agree with the proposed logic for rejections messages? Do you agree with the proposed statuses of rejection messages? What other aspects should be taken into account? Please elaborate.</w:t>
      </w:r>
    </w:p>
    <w:p w:rsidR="0043413A" w:rsidRDefault="0043413A" w:rsidP="0043413A">
      <w:r>
        <w:t>&lt;ESMA_QUESTION_SFTR_83&gt;</w:t>
      </w:r>
    </w:p>
    <w:p w:rsidR="0043413A" w:rsidRDefault="0043413A" w:rsidP="0043413A">
      <w:permStart w:id="2047039570" w:edGrp="everyone"/>
      <w:r>
        <w:t>TYPE YOUR TEXT HERE</w:t>
      </w:r>
    </w:p>
    <w:permEnd w:id="2047039570"/>
    <w:p w:rsidR="0043413A" w:rsidRDefault="0043413A" w:rsidP="0043413A">
      <w:r>
        <w:t>&lt;ESMA_QUESTION_SFTR_83&gt;</w:t>
      </w:r>
    </w:p>
    <w:p w:rsidR="0043413A" w:rsidRDefault="0043413A" w:rsidP="0043413A"/>
    <w:p w:rsidR="0043413A" w:rsidRPr="00943DDF" w:rsidRDefault="0043413A" w:rsidP="0043413A">
      <w:pPr>
        <w:pStyle w:val="Questionstyle"/>
        <w:numPr>
          <w:ilvl w:val="0"/>
          <w:numId w:val="40"/>
        </w:numPr>
      </w:pPr>
      <w:r w:rsidRPr="00943DDF">
        <w:t>Do you agree with the proposed reconciliation statuses? What other aspects should be taken into account? Please elaborate.</w:t>
      </w:r>
    </w:p>
    <w:p w:rsidR="0043413A" w:rsidRDefault="0043413A" w:rsidP="0043413A">
      <w:r>
        <w:t>&lt;ESMA_QUESTION_SFTR_84&gt;</w:t>
      </w:r>
    </w:p>
    <w:p w:rsidR="0043413A" w:rsidRDefault="0043413A" w:rsidP="0043413A">
      <w:permStart w:id="1516443324" w:edGrp="everyone"/>
    </w:p>
    <w:p w:rsidR="00241A7D" w:rsidRPr="00241A7D" w:rsidRDefault="00241A7D" w:rsidP="0043413A">
      <w:pPr>
        <w:rPr>
          <w:rFonts w:cs="Arial"/>
          <w:i/>
          <w:szCs w:val="20"/>
        </w:rPr>
      </w:pPr>
      <w:proofErr w:type="gramStart"/>
      <w:r>
        <w:rPr>
          <w:rFonts w:cs="Arial"/>
          <w:szCs w:val="20"/>
        </w:rPr>
        <w:t>A</w:t>
      </w:r>
      <w:r w:rsidRPr="00F36A4D">
        <w:rPr>
          <w:rFonts w:cs="Arial"/>
          <w:szCs w:val="20"/>
        </w:rPr>
        <w:t>s regards</w:t>
      </w:r>
      <w:proofErr w:type="gramEnd"/>
      <w:r w:rsidRPr="00F36A4D">
        <w:rPr>
          <w:rFonts w:cs="Arial"/>
          <w:szCs w:val="20"/>
        </w:rPr>
        <w:t xml:space="preserve"> E</w:t>
      </w:r>
      <w:r>
        <w:rPr>
          <w:rFonts w:cs="Arial"/>
          <w:szCs w:val="20"/>
        </w:rPr>
        <w:t>SMA’s statement in paragraph 369</w:t>
      </w:r>
      <w:r w:rsidRPr="00F36A4D">
        <w:rPr>
          <w:rFonts w:cs="Arial"/>
          <w:szCs w:val="20"/>
        </w:rPr>
        <w:t xml:space="preserve"> that the </w:t>
      </w:r>
      <w:r>
        <w:rPr>
          <w:rFonts w:cs="Arial"/>
          <w:szCs w:val="20"/>
        </w:rPr>
        <w:t>“</w:t>
      </w:r>
      <w:r w:rsidRPr="00F36A4D">
        <w:rPr>
          <w:rFonts w:cs="Arial"/>
          <w:szCs w:val="20"/>
        </w:rPr>
        <w:t>TR should provide to the reporting counterparties or the entities acting on their behalf response messages describing whether the SFT is reconciled or not</w:t>
      </w:r>
      <w:r>
        <w:rPr>
          <w:rFonts w:cs="Arial"/>
          <w:szCs w:val="20"/>
        </w:rPr>
        <w:t>”, we would like to point out that it</w:t>
      </w:r>
      <w:r w:rsidRPr="00F36A4D">
        <w:rPr>
          <w:rFonts w:cs="Arial"/>
          <w:szCs w:val="20"/>
        </w:rPr>
        <w:t xml:space="preserve"> needs to be </w:t>
      </w:r>
      <w:r>
        <w:rPr>
          <w:rFonts w:cs="Arial"/>
          <w:szCs w:val="20"/>
        </w:rPr>
        <w:t xml:space="preserve">very </w:t>
      </w:r>
      <w:r w:rsidRPr="00F36A4D">
        <w:rPr>
          <w:rFonts w:cs="Arial"/>
          <w:szCs w:val="20"/>
        </w:rPr>
        <w:t>clear who receives the</w:t>
      </w:r>
      <w:r>
        <w:rPr>
          <w:rFonts w:cs="Arial"/>
          <w:szCs w:val="20"/>
        </w:rPr>
        <w:t>se</w:t>
      </w:r>
      <w:r w:rsidRPr="00F36A4D">
        <w:rPr>
          <w:rFonts w:cs="Arial"/>
          <w:szCs w:val="20"/>
        </w:rPr>
        <w:t xml:space="preserve"> report</w:t>
      </w:r>
      <w:r>
        <w:rPr>
          <w:rFonts w:cs="Arial"/>
          <w:szCs w:val="20"/>
        </w:rPr>
        <w:t>s</w:t>
      </w:r>
      <w:r w:rsidRPr="00F36A4D">
        <w:rPr>
          <w:rFonts w:cs="Arial"/>
          <w:szCs w:val="20"/>
        </w:rPr>
        <w:t>.</w:t>
      </w:r>
      <w:r>
        <w:rPr>
          <w:rFonts w:cs="Arial"/>
          <w:szCs w:val="20"/>
        </w:rPr>
        <w:t xml:space="preserve"> In the case of delegated reporting, it needs to be at least ensured that the party that reports on behalf of the reporting counterparty receives back the response message.</w:t>
      </w:r>
    </w:p>
    <w:p w:rsidR="00241A7D" w:rsidRDefault="00241A7D" w:rsidP="0043413A"/>
    <w:permEnd w:id="1516443324"/>
    <w:p w:rsidR="0043413A" w:rsidRDefault="0043413A" w:rsidP="0043413A">
      <w:r>
        <w:t>&lt;ESMA_QUESTION_SFTR_84&gt;</w:t>
      </w:r>
    </w:p>
    <w:p w:rsidR="0043413A" w:rsidRDefault="0043413A" w:rsidP="0043413A"/>
    <w:p w:rsidR="0043413A" w:rsidRPr="00943DDF" w:rsidRDefault="0043413A" w:rsidP="0043413A">
      <w:pPr>
        <w:pStyle w:val="Questionstyle"/>
        <w:numPr>
          <w:ilvl w:val="0"/>
          <w:numId w:val="40"/>
        </w:numPr>
      </w:pPr>
      <w:r w:rsidRPr="00943DDF">
        <w:t>Do you agree with the proposed end-of-day response to reporting counterparties, report submitting entities and entities responsible for reporting? What other information should be included? What are the potential costs of this information? Please elaborate.</w:t>
      </w:r>
    </w:p>
    <w:p w:rsidR="0043413A" w:rsidRDefault="0043413A" w:rsidP="0043413A">
      <w:r>
        <w:t>&lt;ESMA_QUESTION_SFTR_85&gt;</w:t>
      </w:r>
    </w:p>
    <w:p w:rsidR="0043413A" w:rsidRDefault="0043413A" w:rsidP="0043413A">
      <w:permStart w:id="1925994738" w:edGrp="everyone"/>
      <w:r>
        <w:t>TYPE YOUR TEXT HERE</w:t>
      </w:r>
    </w:p>
    <w:permEnd w:id="1925994738"/>
    <w:p w:rsidR="0043413A" w:rsidRDefault="0043413A" w:rsidP="0043413A">
      <w:r>
        <w:t>&lt;ESMA_QUESTION_SFTR_85&gt;</w:t>
      </w:r>
    </w:p>
    <w:p w:rsidR="0043413A" w:rsidRDefault="0043413A" w:rsidP="0043413A"/>
    <w:p w:rsidR="0043413A" w:rsidRPr="00943DDF" w:rsidRDefault="0043413A" w:rsidP="0043413A">
      <w:pPr>
        <w:pStyle w:val="Questionstyle"/>
        <w:numPr>
          <w:ilvl w:val="0"/>
          <w:numId w:val="40"/>
        </w:numPr>
      </w:pPr>
      <w:r w:rsidRPr="00943DDF">
        <w:t>What other End-of-day reports can be provided to reporting counterparties, report submitting entities and entities responsible for reporting</w:t>
      </w:r>
    </w:p>
    <w:p w:rsidR="0043413A" w:rsidRDefault="0043413A" w:rsidP="0043413A">
      <w:r>
        <w:t>&lt;ESMA_QUESTION_SFTR_86&gt;</w:t>
      </w:r>
    </w:p>
    <w:p w:rsidR="0043413A" w:rsidRDefault="0043413A" w:rsidP="0043413A">
      <w:permStart w:id="1172919866" w:edGrp="everyone"/>
      <w:r>
        <w:t>TYPE YOUR TEXT HERE</w:t>
      </w:r>
    </w:p>
    <w:permEnd w:id="1172919866"/>
    <w:p w:rsidR="0043413A" w:rsidRDefault="0043413A" w:rsidP="0043413A">
      <w:r>
        <w:t>&lt;ESMA_QUESTION_SFTR_86&gt;</w:t>
      </w:r>
    </w:p>
    <w:p w:rsidR="0043413A" w:rsidRDefault="0043413A" w:rsidP="0043413A"/>
    <w:p w:rsidR="0043413A" w:rsidRPr="00943DDF" w:rsidRDefault="0043413A" w:rsidP="0043413A">
      <w:pPr>
        <w:pStyle w:val="Questionstyle"/>
        <w:numPr>
          <w:ilvl w:val="0"/>
          <w:numId w:val="40"/>
        </w:numPr>
      </w:pPr>
      <w:r w:rsidRPr="00943DDF">
        <w:t>Do you agree with the proposed aggregation criteria? What other aspects should be taken into account? Please elaborate.</w:t>
      </w:r>
    </w:p>
    <w:p w:rsidR="0043413A" w:rsidRDefault="0043413A" w:rsidP="0043413A">
      <w:r>
        <w:t>&lt;ESMA_QUESTION_SFTR_87&gt;</w:t>
      </w:r>
    </w:p>
    <w:p w:rsidR="0043413A" w:rsidRDefault="0043413A" w:rsidP="0043413A">
      <w:permStart w:id="547698548" w:edGrp="everyone"/>
    </w:p>
    <w:p w:rsidR="00241A7D" w:rsidRPr="008852FA" w:rsidRDefault="00241A7D" w:rsidP="00241A7D">
      <w:pPr>
        <w:rPr>
          <w:rFonts w:cs="Arial"/>
          <w:b/>
          <w:szCs w:val="20"/>
        </w:rPr>
      </w:pPr>
      <w:r w:rsidRPr="0037001A">
        <w:rPr>
          <w:rFonts w:cs="Arial"/>
          <w:szCs w:val="20"/>
        </w:rPr>
        <w:t xml:space="preserve">We would like to reiterate our comments submitted </w:t>
      </w:r>
      <w:r>
        <w:rPr>
          <w:rFonts w:cs="Arial"/>
          <w:szCs w:val="20"/>
        </w:rPr>
        <w:t xml:space="preserve">in response </w:t>
      </w:r>
      <w:r w:rsidRPr="0037001A">
        <w:rPr>
          <w:rFonts w:cs="Arial"/>
          <w:szCs w:val="20"/>
        </w:rPr>
        <w:t xml:space="preserve">to ESMA’s </w:t>
      </w:r>
      <w:r>
        <w:rPr>
          <w:rFonts w:cs="Arial"/>
          <w:szCs w:val="20"/>
        </w:rPr>
        <w:t>DP</w:t>
      </w:r>
      <w:r w:rsidRPr="0037001A">
        <w:rPr>
          <w:rFonts w:cs="Arial"/>
          <w:szCs w:val="20"/>
        </w:rPr>
        <w:t xml:space="preserve">, stressing the need for extreme care when defining data elements to be published </w:t>
      </w:r>
      <w:proofErr w:type="gramStart"/>
      <w:r w:rsidRPr="0037001A">
        <w:rPr>
          <w:rFonts w:cs="Arial"/>
          <w:szCs w:val="20"/>
        </w:rPr>
        <w:t>in order to</w:t>
      </w:r>
      <w:proofErr w:type="gramEnd"/>
      <w:r w:rsidRPr="0037001A">
        <w:rPr>
          <w:rFonts w:cs="Arial"/>
          <w:szCs w:val="20"/>
        </w:rPr>
        <w:t xml:space="preserve"> ensure that no commercially sensitive </w:t>
      </w:r>
      <w:r w:rsidRPr="0037001A">
        <w:rPr>
          <w:rFonts w:cs="Arial"/>
          <w:szCs w:val="20"/>
        </w:rPr>
        <w:lastRenderedPageBreak/>
        <w:t>information is being made public.</w:t>
      </w:r>
      <w:r>
        <w:rPr>
          <w:rFonts w:cs="Arial"/>
          <w:szCs w:val="20"/>
        </w:rPr>
        <w:t xml:space="preserve"> </w:t>
      </w:r>
      <w:r w:rsidRPr="0037001A">
        <w:rPr>
          <w:rFonts w:cs="Arial"/>
          <w:szCs w:val="20"/>
        </w:rPr>
        <w:t>In our response to the DP we recommended that the data that the TR will be required to make public should provide as little granularity as possible, as it is currently the case under EMIR.</w:t>
      </w:r>
      <w:r w:rsidRPr="008852FA">
        <w:rPr>
          <w:rFonts w:cs="Arial"/>
          <w:szCs w:val="20"/>
        </w:rPr>
        <w:t xml:space="preserve"> </w:t>
      </w:r>
    </w:p>
    <w:p w:rsidR="00241A7D" w:rsidRDefault="00241A7D" w:rsidP="00241A7D">
      <w:pPr>
        <w:rPr>
          <w:rFonts w:cs="Arial"/>
          <w:szCs w:val="20"/>
        </w:rPr>
      </w:pPr>
    </w:p>
    <w:p w:rsidR="00241A7D" w:rsidRDefault="00241A7D" w:rsidP="00241A7D">
      <w:r w:rsidRPr="0037001A">
        <w:rPr>
          <w:rFonts w:cs="Arial"/>
          <w:szCs w:val="20"/>
        </w:rPr>
        <w:t>In relation to para</w:t>
      </w:r>
      <w:r>
        <w:rPr>
          <w:rFonts w:cs="Arial"/>
          <w:szCs w:val="20"/>
        </w:rPr>
        <w:t>graph 383</w:t>
      </w:r>
      <w:r w:rsidRPr="0037001A">
        <w:rPr>
          <w:rFonts w:cs="Arial"/>
          <w:szCs w:val="20"/>
        </w:rPr>
        <w:t xml:space="preserve">(e), we would recommend not to use the word ‘exchange’ in this context. Electronic trading is not done on exchanges. It would be more appropriate to refer to ‘trading venue’, in line with </w:t>
      </w:r>
      <w:proofErr w:type="spellStart"/>
      <w:r w:rsidRPr="0037001A">
        <w:rPr>
          <w:rFonts w:cs="Arial"/>
          <w:szCs w:val="20"/>
        </w:rPr>
        <w:t>MiFIDII</w:t>
      </w:r>
      <w:proofErr w:type="spellEnd"/>
      <w:r w:rsidRPr="0037001A">
        <w:rPr>
          <w:rFonts w:cs="Arial"/>
          <w:szCs w:val="20"/>
        </w:rPr>
        <w:t>/R terminology.</w:t>
      </w:r>
    </w:p>
    <w:p w:rsidR="00241A7D" w:rsidRDefault="00241A7D" w:rsidP="0043413A"/>
    <w:permEnd w:id="547698548"/>
    <w:p w:rsidR="0043413A" w:rsidRDefault="0043413A" w:rsidP="0043413A">
      <w:r>
        <w:t>&lt;ESMA_QUESTION_SFTR_87&gt;</w:t>
      </w:r>
    </w:p>
    <w:p w:rsidR="0043413A" w:rsidRDefault="0043413A" w:rsidP="0043413A"/>
    <w:p w:rsidR="0043413A" w:rsidRPr="00943DDF" w:rsidRDefault="0043413A" w:rsidP="0043413A">
      <w:pPr>
        <w:pStyle w:val="Questionstyle"/>
        <w:numPr>
          <w:ilvl w:val="0"/>
          <w:numId w:val="40"/>
        </w:numPr>
      </w:pPr>
      <w:r w:rsidRPr="00943DDF">
        <w:t>Do you agree with the proposed technical aspects on aggregation of data? What other aspects should be taken into account?</w:t>
      </w:r>
    </w:p>
    <w:p w:rsidR="0043413A" w:rsidRDefault="0043413A" w:rsidP="0043413A">
      <w:r>
        <w:t>&lt;ESMA_QUESTION_SFTR_88&gt;</w:t>
      </w:r>
    </w:p>
    <w:p w:rsidR="0043413A" w:rsidRDefault="0043413A" w:rsidP="0043413A">
      <w:permStart w:id="932783060" w:edGrp="everyone"/>
      <w:r>
        <w:t>TYPE YOUR TEXT HERE</w:t>
      </w:r>
    </w:p>
    <w:permEnd w:id="932783060"/>
    <w:p w:rsidR="0043413A" w:rsidRDefault="0043413A" w:rsidP="0043413A">
      <w:r>
        <w:t>&lt;ESMA_QUESTION_SFTR_88&gt;</w:t>
      </w:r>
    </w:p>
    <w:p w:rsidR="0043413A" w:rsidRDefault="0043413A" w:rsidP="0043413A"/>
    <w:p w:rsidR="0043413A" w:rsidRPr="00943DDF" w:rsidRDefault="0043413A" w:rsidP="0043413A">
      <w:pPr>
        <w:pStyle w:val="Questionstyle"/>
        <w:numPr>
          <w:ilvl w:val="0"/>
          <w:numId w:val="40"/>
        </w:numPr>
      </w:pPr>
      <w:r w:rsidRPr="00943DDF">
        <w:t>Do you agree with the proposed timeline for keeping the data available on the website? Please elaborate.</w:t>
      </w:r>
    </w:p>
    <w:p w:rsidR="0043413A" w:rsidRDefault="0043413A" w:rsidP="0043413A">
      <w:r>
        <w:t>&lt;ESMA_QUESTION_SFTR_89&gt;</w:t>
      </w:r>
    </w:p>
    <w:p w:rsidR="0043413A" w:rsidRDefault="0043413A" w:rsidP="0043413A">
      <w:permStart w:id="749937630" w:edGrp="everyone"/>
      <w:r>
        <w:t>TYPE YOUR TEXT HERE</w:t>
      </w:r>
    </w:p>
    <w:permEnd w:id="749937630"/>
    <w:p w:rsidR="0043413A" w:rsidRDefault="0043413A" w:rsidP="0043413A">
      <w:r>
        <w:t>&lt;ESMA_QUESTION_SFTR_89&gt;</w:t>
      </w:r>
    </w:p>
    <w:p w:rsidR="0043413A" w:rsidRDefault="0043413A" w:rsidP="0043413A"/>
    <w:p w:rsidR="0043413A" w:rsidRPr="00943DDF" w:rsidRDefault="0043413A" w:rsidP="0043413A">
      <w:pPr>
        <w:pStyle w:val="Questionstyle"/>
        <w:numPr>
          <w:ilvl w:val="0"/>
          <w:numId w:val="40"/>
        </w:numPr>
      </w:pPr>
      <w:r w:rsidRPr="00943DDF">
        <w:t>At which point in time do you consider that the additional data elements regarding an SFT will be available for authorities? What are the potential costs of the inclusion of the above mentioned additional data elements?  Please elaborate.</w:t>
      </w:r>
    </w:p>
    <w:p w:rsidR="0043413A" w:rsidRDefault="0043413A" w:rsidP="0043413A">
      <w:r>
        <w:t>&lt;ESMA_QUESTION_SFTR_90&gt;</w:t>
      </w:r>
    </w:p>
    <w:p w:rsidR="0043413A" w:rsidRDefault="0043413A" w:rsidP="0043413A">
      <w:permStart w:id="1835862552" w:edGrp="everyone"/>
      <w:r>
        <w:t>TYPE YOUR TEXT HERE</w:t>
      </w:r>
    </w:p>
    <w:permEnd w:id="1835862552"/>
    <w:p w:rsidR="0043413A" w:rsidRDefault="0043413A" w:rsidP="0043413A">
      <w:r>
        <w:t>&lt;ESMA_QUESTION_SFTR_90&gt;</w:t>
      </w:r>
    </w:p>
    <w:p w:rsidR="0043413A" w:rsidRDefault="0043413A" w:rsidP="0043413A"/>
    <w:p w:rsidR="0043413A" w:rsidRPr="00943DDF" w:rsidRDefault="0043413A" w:rsidP="0043413A">
      <w:pPr>
        <w:pStyle w:val="Questionstyle"/>
        <w:numPr>
          <w:ilvl w:val="0"/>
          <w:numId w:val="40"/>
        </w:numPr>
      </w:pPr>
      <w:r w:rsidRPr="00943DDF">
        <w:t>What other data elements could be generated by the TRs and provided to authorities? Please elaborate.</w:t>
      </w:r>
    </w:p>
    <w:p w:rsidR="0043413A" w:rsidRDefault="0043413A" w:rsidP="0043413A">
      <w:r>
        <w:t>&lt;ESMA_QUESTION_SFTR_91&gt;</w:t>
      </w:r>
    </w:p>
    <w:p w:rsidR="0043413A" w:rsidRDefault="0043413A" w:rsidP="0043413A">
      <w:permStart w:id="1955018334" w:edGrp="everyone"/>
      <w:r>
        <w:t>TYPE YOUR TEXT HERE</w:t>
      </w:r>
    </w:p>
    <w:permEnd w:id="1955018334"/>
    <w:p w:rsidR="0043413A" w:rsidRDefault="0043413A" w:rsidP="0043413A">
      <w:r>
        <w:t>&lt;ESMA_QUESTION_SFTR_91&gt;</w:t>
      </w:r>
    </w:p>
    <w:p w:rsidR="0043413A" w:rsidRDefault="0043413A" w:rsidP="0043413A"/>
    <w:p w:rsidR="0043413A" w:rsidRPr="00943DDF" w:rsidRDefault="0043413A" w:rsidP="0043413A">
      <w:pPr>
        <w:pStyle w:val="Questionstyle"/>
        <w:numPr>
          <w:ilvl w:val="0"/>
          <w:numId w:val="40"/>
        </w:numPr>
      </w:pPr>
      <w:r w:rsidRPr="00943DDF">
        <w:t>In case a preliminary reconciliation status report is provided, what elements it should include? Please elaborate</w:t>
      </w:r>
    </w:p>
    <w:p w:rsidR="0043413A" w:rsidRDefault="0043413A" w:rsidP="0043413A">
      <w:r>
        <w:t>&lt;ESMA_QUESTION_SFTR_92&gt;</w:t>
      </w:r>
    </w:p>
    <w:p w:rsidR="0043413A" w:rsidRDefault="0043413A" w:rsidP="0043413A">
      <w:permStart w:id="526134895" w:edGrp="everyone"/>
      <w:r>
        <w:t>TYPE YOUR TEXT HERE</w:t>
      </w:r>
    </w:p>
    <w:permEnd w:id="526134895"/>
    <w:p w:rsidR="0043413A" w:rsidRDefault="0043413A" w:rsidP="0043413A">
      <w:r>
        <w:t>&lt;ESMA_QUESTION_SFTR_92&gt;</w:t>
      </w:r>
    </w:p>
    <w:p w:rsidR="0043413A" w:rsidRDefault="0043413A" w:rsidP="0043413A"/>
    <w:p w:rsidR="0043413A" w:rsidRPr="00943DDF" w:rsidRDefault="0043413A" w:rsidP="0043413A">
      <w:pPr>
        <w:pStyle w:val="Questionstyle"/>
        <w:numPr>
          <w:ilvl w:val="0"/>
          <w:numId w:val="40"/>
        </w:numPr>
      </w:pPr>
      <w:r w:rsidRPr="00943DDF">
        <w:t>Considering the proposed termination of the inter-TR reconciliation process at 18:00, when at the earliest can a TR submit the reconciled data to the authorities?</w:t>
      </w:r>
    </w:p>
    <w:p w:rsidR="0043413A" w:rsidRDefault="0043413A" w:rsidP="0043413A">
      <w:r>
        <w:t>&lt;ESMA_QUESTION_SFTR_93&gt;</w:t>
      </w:r>
    </w:p>
    <w:p w:rsidR="0043413A" w:rsidRDefault="0043413A" w:rsidP="0043413A">
      <w:permStart w:id="762467204" w:edGrp="everyone"/>
      <w:r>
        <w:t>TYPE YOUR TEXT HERE</w:t>
      </w:r>
    </w:p>
    <w:permEnd w:id="762467204"/>
    <w:p w:rsidR="0043413A" w:rsidRDefault="0043413A" w:rsidP="0043413A">
      <w:r>
        <w:lastRenderedPageBreak/>
        <w:t>&lt;ESMA_QUESTION_SFTR_93&gt;</w:t>
      </w:r>
    </w:p>
    <w:p w:rsidR="0043413A" w:rsidRDefault="0043413A" w:rsidP="0043413A"/>
    <w:p w:rsidR="0043413A" w:rsidRPr="00943DDF" w:rsidRDefault="0043413A" w:rsidP="0043413A">
      <w:pPr>
        <w:pStyle w:val="Questionstyle"/>
        <w:numPr>
          <w:ilvl w:val="0"/>
          <w:numId w:val="40"/>
        </w:numPr>
      </w:pPr>
      <w:r w:rsidRPr="00943DDF">
        <w:t>What is the optimal delay for provision of SFT position-level reports? What are the potential costs of the generation of above mentioned position reports? What other reports would you suggest to be provided by the TRs? Please elaborate.</w:t>
      </w:r>
    </w:p>
    <w:p w:rsidR="0043413A" w:rsidRDefault="0043413A" w:rsidP="0043413A">
      <w:r>
        <w:t>&lt;ESMA_QUESTION_SFTR_94&gt;</w:t>
      </w:r>
    </w:p>
    <w:p w:rsidR="0043413A" w:rsidRDefault="0043413A" w:rsidP="0043413A">
      <w:permStart w:id="536883607" w:edGrp="everyone"/>
      <w:r>
        <w:t>TYPE YOUR TEXT HERE</w:t>
      </w:r>
    </w:p>
    <w:permEnd w:id="536883607"/>
    <w:p w:rsidR="0043413A" w:rsidRDefault="0043413A" w:rsidP="0043413A">
      <w:r>
        <w:t>&lt;ESMA_QUESTION_SFTR_94&gt;</w:t>
      </w:r>
    </w:p>
    <w:p w:rsidR="0043413A" w:rsidRDefault="0043413A" w:rsidP="0043413A"/>
    <w:p w:rsidR="0043413A" w:rsidRPr="00943DDF" w:rsidRDefault="0043413A" w:rsidP="0043413A">
      <w:pPr>
        <w:pStyle w:val="Questionstyle"/>
        <w:numPr>
          <w:ilvl w:val="0"/>
          <w:numId w:val="40"/>
        </w:numPr>
      </w:pPr>
      <w:r w:rsidRPr="00943DDF">
        <w:t>Do you consider that there should be one position report including both reconciled and non-reconciled data or that there should be two position reports, one containing only reconciled data and the other one containing only non-reconciled data? What are the potential costs of the separation of above mentioned position reports? What are the benefits of the separation above mentioned position reports? Please elaborate.</w:t>
      </w:r>
    </w:p>
    <w:p w:rsidR="0043413A" w:rsidRDefault="0043413A" w:rsidP="0043413A">
      <w:r>
        <w:t>&lt;ESMA_QUESTION_SFTR_95&gt;</w:t>
      </w:r>
    </w:p>
    <w:p w:rsidR="0043413A" w:rsidRDefault="0043413A" w:rsidP="0043413A">
      <w:permStart w:id="70274863" w:edGrp="everyone"/>
      <w:r>
        <w:t>TYPE YOUR TEXT HERE</w:t>
      </w:r>
    </w:p>
    <w:permEnd w:id="70274863"/>
    <w:p w:rsidR="0043413A" w:rsidRDefault="0043413A" w:rsidP="0043413A">
      <w:r>
        <w:t>&lt;ESMA_QUESTION_SFTR_95&gt;</w:t>
      </w:r>
    </w:p>
    <w:p w:rsidR="0043413A" w:rsidRDefault="0043413A" w:rsidP="0043413A"/>
    <w:p w:rsidR="0043413A" w:rsidRPr="00943DDF" w:rsidRDefault="0043413A" w:rsidP="0043413A">
      <w:pPr>
        <w:pStyle w:val="Questionstyle"/>
        <w:numPr>
          <w:ilvl w:val="0"/>
          <w:numId w:val="40"/>
        </w:numPr>
      </w:pPr>
      <w:r w:rsidRPr="00943DDF">
        <w:t>Do you agree with the proposal? What other aspects should be taken into account? Please elaborate.</w:t>
      </w:r>
    </w:p>
    <w:p w:rsidR="0043413A" w:rsidRDefault="0043413A" w:rsidP="0043413A">
      <w:r>
        <w:t>&lt;ESMA_QUESTION_SFTR_96&gt;</w:t>
      </w:r>
    </w:p>
    <w:p w:rsidR="0043413A" w:rsidRDefault="0043413A" w:rsidP="0043413A">
      <w:permStart w:id="1759537057" w:edGrp="everyone"/>
      <w:r>
        <w:t>TYPE YOUR TEXT HERE</w:t>
      </w:r>
    </w:p>
    <w:permEnd w:id="1759537057"/>
    <w:p w:rsidR="0043413A" w:rsidRDefault="0043413A" w:rsidP="0043413A">
      <w:r>
        <w:t>&lt;ESMA_QUESTION_SFTR_96&gt;</w:t>
      </w:r>
    </w:p>
    <w:p w:rsidR="0043413A" w:rsidRDefault="0043413A" w:rsidP="0043413A"/>
    <w:p w:rsidR="0043413A" w:rsidRPr="00943DDF" w:rsidRDefault="0043413A" w:rsidP="0043413A">
      <w:pPr>
        <w:pStyle w:val="Questionstyle"/>
        <w:numPr>
          <w:ilvl w:val="0"/>
          <w:numId w:val="40"/>
        </w:numPr>
      </w:pPr>
      <w:r w:rsidRPr="00943DDF">
        <w:t>Do you agree with the proposed approach to avoid double counting? If not, what other aspects should be taken into account. Please elaborate.</w:t>
      </w:r>
    </w:p>
    <w:p w:rsidR="0043413A" w:rsidRDefault="0043413A" w:rsidP="0043413A">
      <w:r>
        <w:t>&lt;ESMA_QUESTION_SFTR_97&gt;</w:t>
      </w:r>
    </w:p>
    <w:p w:rsidR="0043413A" w:rsidRDefault="0043413A" w:rsidP="0043413A">
      <w:permStart w:id="759831537" w:edGrp="everyone"/>
      <w:r>
        <w:t>TYPE YOUR TEXT HERE</w:t>
      </w:r>
    </w:p>
    <w:permEnd w:id="759831537"/>
    <w:p w:rsidR="0043413A" w:rsidRDefault="0043413A" w:rsidP="0043413A">
      <w:r>
        <w:t>&lt;ESMA_QUESTION_SFTR_97&gt;</w:t>
      </w:r>
    </w:p>
    <w:p w:rsidR="0043413A" w:rsidRDefault="0043413A" w:rsidP="0043413A"/>
    <w:p w:rsidR="0043413A" w:rsidRPr="00943DDF" w:rsidRDefault="0043413A" w:rsidP="0043413A">
      <w:pPr>
        <w:pStyle w:val="Questionstyle"/>
        <w:numPr>
          <w:ilvl w:val="0"/>
          <w:numId w:val="40"/>
        </w:numPr>
      </w:pPr>
      <w:r w:rsidRPr="00943DDF">
        <w:t>Do you agree with the proposed approach for single access per authority irrespective of the number of responsibilities and mandates it has? If not, what other aspects should be taken into account. Please elaborate.</w:t>
      </w:r>
    </w:p>
    <w:p w:rsidR="0043413A" w:rsidRDefault="0043413A" w:rsidP="0043413A">
      <w:r>
        <w:t>&lt;ESMA_QUESTION_SFTR_98&gt;</w:t>
      </w:r>
    </w:p>
    <w:p w:rsidR="0043413A" w:rsidRDefault="0043413A" w:rsidP="0043413A">
      <w:permStart w:id="1826036036" w:edGrp="everyone"/>
      <w:r>
        <w:t>TYPE YOUR TEXT HERE</w:t>
      </w:r>
    </w:p>
    <w:permEnd w:id="1826036036"/>
    <w:p w:rsidR="0043413A" w:rsidRDefault="0043413A" w:rsidP="0043413A">
      <w:r>
        <w:t>&lt;ESMA_QUESTION_SFTR_98&gt;</w:t>
      </w:r>
    </w:p>
    <w:p w:rsidR="0043413A" w:rsidRDefault="0043413A" w:rsidP="0043413A"/>
    <w:p w:rsidR="0043413A" w:rsidRPr="00943DDF" w:rsidRDefault="0043413A" w:rsidP="0043413A">
      <w:pPr>
        <w:pStyle w:val="Questionstyle"/>
        <w:numPr>
          <w:ilvl w:val="0"/>
          <w:numId w:val="40"/>
        </w:numPr>
      </w:pPr>
      <w:r w:rsidRPr="00943DDF">
        <w:t>Do you agree with the proposed way to establish transaction level access to data reported under EMIR? What are the costs of establishing such a level of access? Please elaborate.</w:t>
      </w:r>
    </w:p>
    <w:p w:rsidR="0043413A" w:rsidRDefault="0043413A" w:rsidP="0043413A">
      <w:r>
        <w:t>&lt;ESMA_QUESTION_SFTR_99&gt;</w:t>
      </w:r>
    </w:p>
    <w:p w:rsidR="0043413A" w:rsidRDefault="0043413A" w:rsidP="0043413A">
      <w:permStart w:id="580080369" w:edGrp="everyone"/>
      <w:r>
        <w:t>TYPE YOUR TEXT HERE</w:t>
      </w:r>
    </w:p>
    <w:permEnd w:id="580080369"/>
    <w:p w:rsidR="0043413A" w:rsidRDefault="0043413A" w:rsidP="0043413A">
      <w:r>
        <w:t>&lt;ESMA_QUESTION_SFTR_99&gt;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way to establish transaction level access to data reported under SFTR? What are the costs of establishing such a level of access? Please elaborate.</w:t>
      </w:r>
    </w:p>
    <w:p w:rsidR="0043413A" w:rsidRDefault="0043413A" w:rsidP="0043413A">
      <w:r>
        <w:t>&lt;ESMA_QUESTION_SFTR_100&gt;</w:t>
      </w:r>
    </w:p>
    <w:p w:rsidR="0043413A" w:rsidRDefault="0043413A" w:rsidP="0043413A">
      <w:permStart w:id="2137204421" w:edGrp="everyone"/>
      <w:r>
        <w:t>TYPE YOUR TEXT HERE</w:t>
      </w:r>
    </w:p>
    <w:permEnd w:id="2137204421"/>
    <w:p w:rsidR="0043413A" w:rsidRDefault="0043413A" w:rsidP="0043413A">
      <w:r>
        <w:t>&lt;ESMA_QUESTION_SFTR_100&gt;</w:t>
      </w:r>
    </w:p>
    <w:p w:rsidR="0043413A" w:rsidRDefault="0043413A" w:rsidP="0043413A"/>
    <w:p w:rsidR="0043413A" w:rsidRPr="00943DDF" w:rsidRDefault="0043413A" w:rsidP="0043413A">
      <w:pPr>
        <w:pStyle w:val="Questionstyle"/>
        <w:numPr>
          <w:ilvl w:val="0"/>
          <w:numId w:val="40"/>
        </w:numPr>
      </w:pPr>
      <w:r w:rsidRPr="00943DDF">
        <w:t>Do you agree with the proposed functional approach under EMIR? If not, what other aspects should be taken into account. Please elaborate.</w:t>
      </w:r>
    </w:p>
    <w:p w:rsidR="0043413A" w:rsidRDefault="0043413A" w:rsidP="0043413A">
      <w:r>
        <w:t>&lt;ESMA_QUESTION_SFTR_101&gt;</w:t>
      </w:r>
    </w:p>
    <w:p w:rsidR="0043413A" w:rsidRDefault="0043413A" w:rsidP="0043413A">
      <w:permStart w:id="254040099" w:edGrp="everyone"/>
      <w:r>
        <w:t>TYPE YOUR TEXT HERE</w:t>
      </w:r>
    </w:p>
    <w:permEnd w:id="254040099"/>
    <w:p w:rsidR="0043413A" w:rsidRDefault="0043413A" w:rsidP="0043413A">
      <w:r>
        <w:t>&lt;ESMA_QUESTION_SFTR_101&gt;</w:t>
      </w:r>
    </w:p>
    <w:p w:rsidR="0043413A" w:rsidRDefault="0043413A" w:rsidP="0043413A"/>
    <w:p w:rsidR="0043413A" w:rsidRPr="00943DDF" w:rsidRDefault="0043413A" w:rsidP="0043413A">
      <w:pPr>
        <w:pStyle w:val="Questionstyle"/>
        <w:numPr>
          <w:ilvl w:val="0"/>
          <w:numId w:val="40"/>
        </w:numPr>
      </w:pPr>
      <w:r w:rsidRPr="00943DDF">
        <w:t>Do you agree with the proposed territorial approach under SFTR? If not, what other aspects should be taken into account. Please elaborate.</w:t>
      </w:r>
    </w:p>
    <w:p w:rsidR="0043413A" w:rsidRDefault="0043413A" w:rsidP="0043413A">
      <w:r>
        <w:t>&lt;ESMA_QUESTION_SFTR_102&gt;</w:t>
      </w:r>
    </w:p>
    <w:p w:rsidR="0043413A" w:rsidRDefault="0043413A" w:rsidP="0043413A">
      <w:permStart w:id="1196755436" w:edGrp="everyone"/>
      <w:r>
        <w:t>TYPE YOUR TEXT HERE</w:t>
      </w:r>
    </w:p>
    <w:permEnd w:id="1196755436"/>
    <w:p w:rsidR="0043413A" w:rsidRDefault="0043413A" w:rsidP="0043413A">
      <w:r>
        <w:t>&lt;ESMA_QUESTION_SFTR_102&gt;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branches included in section 6.5? If not, what other aspects should be taken into account. Please elaborate.</w:t>
      </w:r>
    </w:p>
    <w:p w:rsidR="0043413A" w:rsidRDefault="0043413A" w:rsidP="0043413A">
      <w:r>
        <w:t>&lt;ESMA_QUESTION_SFTR_103&gt;</w:t>
      </w:r>
    </w:p>
    <w:p w:rsidR="0043413A" w:rsidRDefault="0043413A" w:rsidP="0043413A">
      <w:permStart w:id="325537306" w:edGrp="everyone"/>
      <w:r>
        <w:t>TYPE YOUR TEXT HERE</w:t>
      </w:r>
    </w:p>
    <w:permEnd w:id="325537306"/>
    <w:p w:rsidR="0043413A" w:rsidRDefault="0043413A" w:rsidP="0043413A">
      <w:r>
        <w:t>&lt;ESMA_QUESTION_SFTR_103&gt;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subsidiaries under EMIR included in sections 6.5.1 – 6.5.5? If not, what other aspects should be taken into account. Please elaborate.</w:t>
      </w:r>
    </w:p>
    <w:p w:rsidR="0043413A" w:rsidRDefault="0043413A" w:rsidP="0043413A">
      <w:r>
        <w:t>&lt;ESMA_QUESTION_SFTR_104&gt;</w:t>
      </w:r>
    </w:p>
    <w:p w:rsidR="0043413A" w:rsidRDefault="0043413A" w:rsidP="0043413A">
      <w:permStart w:id="1833769380" w:edGrp="everyone"/>
      <w:r>
        <w:t>TYPE YOUR TEXT HERE</w:t>
      </w:r>
    </w:p>
    <w:permEnd w:id="1833769380"/>
    <w:p w:rsidR="0043413A" w:rsidRDefault="0043413A" w:rsidP="0043413A">
      <w:r>
        <w:t>&lt;ESMA_QUESTION_SFTR_104&gt;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data reported by subsidiaries under SFTR included in sections 6.5.1 –6.5.5? If not, what other aspects should be taken into account. Please elaborate.</w:t>
      </w:r>
    </w:p>
    <w:p w:rsidR="0043413A" w:rsidRDefault="0043413A" w:rsidP="0043413A">
      <w:r>
        <w:t>&lt;ESMA_QUESTION_SFTR_105&gt;</w:t>
      </w:r>
    </w:p>
    <w:p w:rsidR="0043413A" w:rsidRDefault="0043413A" w:rsidP="0043413A">
      <w:permStart w:id="1498443031" w:edGrp="everyone"/>
      <w:r>
        <w:t>TYPE YOUR TEXT HERE</w:t>
      </w:r>
    </w:p>
    <w:permEnd w:id="1498443031"/>
    <w:p w:rsidR="0043413A" w:rsidRDefault="0043413A" w:rsidP="0043413A">
      <w:r>
        <w:t>&lt;ESMA_QUESTION_SFTR_105&gt;</w:t>
      </w:r>
    </w:p>
    <w:p w:rsidR="0043413A" w:rsidRDefault="0043413A" w:rsidP="0043413A"/>
    <w:p w:rsidR="0043413A" w:rsidRPr="00943DDF" w:rsidRDefault="0043413A" w:rsidP="0043413A">
      <w:pPr>
        <w:pStyle w:val="Questionstyle"/>
        <w:numPr>
          <w:ilvl w:val="0"/>
          <w:numId w:val="40"/>
        </w:numPr>
      </w:pPr>
      <w:r w:rsidRPr="00943DDF">
        <w:t>Is there any possible way to ensure the access to TR data from the perspective of commodities? Please elaborate.</w:t>
      </w:r>
    </w:p>
    <w:p w:rsidR="0043413A" w:rsidRDefault="0043413A" w:rsidP="0043413A">
      <w:r>
        <w:t>&lt;ESMA_QUESTION_SFTR_106&gt;</w:t>
      </w:r>
    </w:p>
    <w:p w:rsidR="0043413A" w:rsidRDefault="0043413A" w:rsidP="0043413A">
      <w:permStart w:id="1817123423" w:edGrp="everyone"/>
      <w:r>
        <w:t>TYPE YOUR TEXT HERE</w:t>
      </w:r>
    </w:p>
    <w:permEnd w:id="1817123423"/>
    <w:p w:rsidR="0043413A" w:rsidRDefault="0043413A" w:rsidP="0043413A">
      <w:r>
        <w:t>&lt;ESMA_QUESTION_SFTR_106&gt;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securities and markets? If not, what other aspects should be taken into account. Please elaborate.</w:t>
      </w:r>
    </w:p>
    <w:p w:rsidR="0043413A" w:rsidRDefault="0043413A" w:rsidP="0043413A">
      <w:r>
        <w:t>&lt;ESMA_QUESTION_SFTR_107&gt;</w:t>
      </w:r>
    </w:p>
    <w:p w:rsidR="0043413A" w:rsidRDefault="0043413A" w:rsidP="0043413A">
      <w:permStart w:id="91844024" w:edGrp="everyone"/>
      <w:r>
        <w:t>TYPE YOUR TEXT HERE</w:t>
      </w:r>
    </w:p>
    <w:permEnd w:id="91844024"/>
    <w:p w:rsidR="0043413A" w:rsidRDefault="0043413A" w:rsidP="0043413A">
      <w:r>
        <w:t>&lt;ESMA_QUESTION_SFTR_107&gt;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supervising CCPs? If not, what other aspects should be taken into account. Please elaborate.</w:t>
      </w:r>
    </w:p>
    <w:p w:rsidR="0043413A" w:rsidRDefault="0043413A" w:rsidP="0043413A">
      <w:r>
        <w:t>&lt;ESMA_QUESTION_SFTR_108&gt;</w:t>
      </w:r>
    </w:p>
    <w:p w:rsidR="0043413A" w:rsidRDefault="0043413A" w:rsidP="0043413A">
      <w:permStart w:id="742663904" w:edGrp="everyone"/>
      <w:r>
        <w:t>TYPE YOUR TEXT HERE</w:t>
      </w:r>
    </w:p>
    <w:permEnd w:id="742663904"/>
    <w:p w:rsidR="0043413A" w:rsidRDefault="0043413A" w:rsidP="0043413A">
      <w:r>
        <w:t>&lt;ESMA_QUESTION_SFTR_108&gt;</w:t>
      </w:r>
    </w:p>
    <w:p w:rsidR="0043413A" w:rsidRDefault="0043413A" w:rsidP="0043413A"/>
    <w:p w:rsidR="0043413A" w:rsidRPr="00943DDF" w:rsidRDefault="0043413A" w:rsidP="0043413A">
      <w:pPr>
        <w:pStyle w:val="Questionstyle"/>
        <w:numPr>
          <w:ilvl w:val="0"/>
          <w:numId w:val="40"/>
        </w:numPr>
      </w:pPr>
      <w:r w:rsidRPr="00943DDF">
        <w:t>Do you agree with maintaining the current access levels under EMIR for ESCB issuer of the currency? If not, what other aspects should be taken into account. Please elaborate.</w:t>
      </w:r>
    </w:p>
    <w:p w:rsidR="0043413A" w:rsidRDefault="0043413A" w:rsidP="0043413A">
      <w:r>
        <w:t>&lt;ESMA_QUESTION_SFTR_109&gt;</w:t>
      </w:r>
    </w:p>
    <w:p w:rsidR="0043413A" w:rsidRDefault="0043413A" w:rsidP="0043413A">
      <w:permStart w:id="2142197865" w:edGrp="everyone"/>
      <w:r>
        <w:t>TYPE YOUR TEXT HERE</w:t>
      </w:r>
    </w:p>
    <w:permEnd w:id="2142197865"/>
    <w:p w:rsidR="0043413A" w:rsidRDefault="0043413A" w:rsidP="0043413A">
      <w:r>
        <w:t>&lt;ESMA_QUESTION_SFTR_109&gt;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ESCB issuer of the currency? If not, what other aspects should be taken into account. Please elaborate.</w:t>
      </w:r>
    </w:p>
    <w:p w:rsidR="0043413A" w:rsidRDefault="0043413A" w:rsidP="0043413A">
      <w:r>
        <w:t>&lt;ESMA_QUESTION_SFTR_110&gt;</w:t>
      </w:r>
    </w:p>
    <w:p w:rsidR="0043413A" w:rsidRDefault="0043413A" w:rsidP="0043413A">
      <w:permStart w:id="474818816" w:edGrp="everyone"/>
      <w:r>
        <w:t>TYPE YOUR TEXT HERE</w:t>
      </w:r>
    </w:p>
    <w:permEnd w:id="474818816"/>
    <w:p w:rsidR="0043413A" w:rsidRDefault="0043413A" w:rsidP="0043413A">
      <w:r>
        <w:t>&lt;ESMA_QUESTION_SFTR_110&gt;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takeover bids? If not, what other aspects should be taken into account. Please elaborate.</w:t>
      </w:r>
    </w:p>
    <w:p w:rsidR="0043413A" w:rsidRDefault="0043413A" w:rsidP="0043413A">
      <w:r>
        <w:t>&lt;ESMA_QUESTION_SFTR_111&gt;</w:t>
      </w:r>
    </w:p>
    <w:p w:rsidR="0043413A" w:rsidRDefault="0043413A" w:rsidP="0043413A">
      <w:permStart w:id="811890640" w:edGrp="everyone"/>
      <w:r>
        <w:t>TYPE YOUR TEXT HERE</w:t>
      </w:r>
    </w:p>
    <w:permEnd w:id="811890640"/>
    <w:p w:rsidR="0043413A" w:rsidRDefault="0043413A" w:rsidP="0043413A">
      <w:r>
        <w:t>&lt;ESMA_QUESTION_SFTR_111&gt;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ESMA and ESRB? If not, what other aspects should be taken into account. Please elaborate.</w:t>
      </w:r>
    </w:p>
    <w:p w:rsidR="0043413A" w:rsidRDefault="0043413A" w:rsidP="0043413A">
      <w:r>
        <w:t>&lt;ESMA_QUESTION_SFTR_112&gt;</w:t>
      </w:r>
    </w:p>
    <w:p w:rsidR="0043413A" w:rsidRDefault="0043413A" w:rsidP="0043413A">
      <w:permStart w:id="353903651" w:edGrp="everyone"/>
      <w:r>
        <w:t>TYPE YOUR TEXT HERE</w:t>
      </w:r>
    </w:p>
    <w:permEnd w:id="353903651"/>
    <w:p w:rsidR="0043413A" w:rsidRDefault="0043413A" w:rsidP="0043413A">
      <w:r>
        <w:t>&lt;ESMA_QUESTION_SFTR_112&gt;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ACER? If not, what other aspects should be taken into account. Please elaborate.</w:t>
      </w:r>
    </w:p>
    <w:p w:rsidR="0043413A" w:rsidRDefault="0043413A" w:rsidP="0043413A">
      <w:r>
        <w:t>&lt;ESMA_QUESTION_SFTR_113&gt;</w:t>
      </w:r>
    </w:p>
    <w:p w:rsidR="0043413A" w:rsidRDefault="0043413A" w:rsidP="0043413A">
      <w:permStart w:id="873299367" w:edGrp="everyone"/>
      <w:r>
        <w:t>TYPE YOUR TEXT HERE</w:t>
      </w:r>
    </w:p>
    <w:permEnd w:id="873299367"/>
    <w:p w:rsidR="0043413A" w:rsidRDefault="0043413A" w:rsidP="0043413A">
      <w:r>
        <w:t>&lt;ESMA_QUESTION_SFTR_113&gt;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access levels under EMIR for EBA and EIOPA? If not, what other aspects should be taken into account. Please elaborate.</w:t>
      </w:r>
    </w:p>
    <w:p w:rsidR="0043413A" w:rsidRDefault="0043413A" w:rsidP="0043413A">
      <w:r>
        <w:t>&lt;ESMA_QUESTION_SFTR_114&gt;</w:t>
      </w:r>
    </w:p>
    <w:p w:rsidR="0043413A" w:rsidRDefault="0043413A" w:rsidP="0043413A">
      <w:permStart w:id="435691825" w:edGrp="everyone"/>
      <w:r>
        <w:t>TYPE YOUR TEXT HERE</w:t>
      </w:r>
    </w:p>
    <w:permEnd w:id="435691825"/>
    <w:p w:rsidR="0043413A" w:rsidRDefault="0043413A" w:rsidP="0043413A">
      <w:r>
        <w:t>&lt;ESMA_QUESTION_SFTR_114&gt;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EBA and EIOPA? If not, what other aspects should be taken into account. Please elaborate.</w:t>
      </w:r>
    </w:p>
    <w:p w:rsidR="0043413A" w:rsidRDefault="0043413A" w:rsidP="0043413A">
      <w:r>
        <w:t>&lt;ESMA_QUESTION_SFTR_115&gt;</w:t>
      </w:r>
    </w:p>
    <w:p w:rsidR="0043413A" w:rsidRDefault="0043413A" w:rsidP="0043413A">
      <w:permStart w:id="1513842683" w:edGrp="everyone"/>
      <w:r>
        <w:t>TYPE YOUR TEXT HERE</w:t>
      </w:r>
    </w:p>
    <w:permEnd w:id="1513842683"/>
    <w:p w:rsidR="0043413A" w:rsidRDefault="0043413A" w:rsidP="0043413A">
      <w:r>
        <w:t>&lt;ESMA_QUESTION_SFTR_115&gt;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ECB in carrying out its tasks within a single supervisory mechanism? If not, what other aspects should be taken into account. Please elaborate.</w:t>
      </w:r>
    </w:p>
    <w:p w:rsidR="0043413A" w:rsidRDefault="0043413A" w:rsidP="0043413A">
      <w:r>
        <w:t>&lt;ESMA_QUESTION_SFTR_116&gt;</w:t>
      </w:r>
    </w:p>
    <w:p w:rsidR="0043413A" w:rsidRDefault="0043413A" w:rsidP="0043413A">
      <w:permStart w:id="2033600386" w:edGrp="everyone"/>
      <w:r>
        <w:t>TYPE YOUR TEXT HERE</w:t>
      </w:r>
    </w:p>
    <w:permEnd w:id="2033600386"/>
    <w:p w:rsidR="0043413A" w:rsidRDefault="0043413A" w:rsidP="0043413A">
      <w:r>
        <w:t>&lt;ESMA_QUESTION_SFTR_116&gt;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ECB in carrying out its tasks within a single supervisory mechanism? If not, what other aspects should be taken into account. Please elaborate.</w:t>
      </w:r>
    </w:p>
    <w:p w:rsidR="0043413A" w:rsidRDefault="0043413A" w:rsidP="0043413A">
      <w:r>
        <w:t>&lt;ESMA_QUESTION_SFTR_117&gt;</w:t>
      </w:r>
    </w:p>
    <w:p w:rsidR="0043413A" w:rsidRDefault="0043413A" w:rsidP="0043413A">
      <w:permStart w:id="234313747" w:edGrp="everyone"/>
      <w:r>
        <w:t>TYPE YOUR TEXT HERE</w:t>
      </w:r>
    </w:p>
    <w:permEnd w:id="234313747"/>
    <w:p w:rsidR="0043413A" w:rsidRDefault="0043413A" w:rsidP="0043413A">
      <w:r>
        <w:t>&lt;ESMA_QUESTION_SFTR_117&gt;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participate in the SSM? If not, what other aspects should be taken into account. Please elaborate.</w:t>
      </w:r>
    </w:p>
    <w:p w:rsidR="0043413A" w:rsidRDefault="0043413A" w:rsidP="0043413A">
      <w:r>
        <w:t>&lt;ESMA_QUESTION_SFTR_118&gt;</w:t>
      </w:r>
    </w:p>
    <w:p w:rsidR="0043413A" w:rsidRDefault="0043413A" w:rsidP="0043413A">
      <w:permStart w:id="760898367" w:edGrp="everyone"/>
      <w:r>
        <w:t>TYPE YOUR TEXT HERE</w:t>
      </w:r>
    </w:p>
    <w:permEnd w:id="760898367"/>
    <w:p w:rsidR="0043413A" w:rsidRDefault="0043413A" w:rsidP="0043413A">
      <w:r>
        <w:t>&lt;ESMA_QUESTION_SFTR_118&gt;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competent for the prudential supervision under CRD IV and CRR which participate in the SSM? If not, what other aspects should be taken into account. Please elaborate.</w:t>
      </w:r>
    </w:p>
    <w:p w:rsidR="0043413A" w:rsidRDefault="0043413A" w:rsidP="0043413A">
      <w:r>
        <w:t>&lt;ESMA_QUESTION_SFTR_119&gt;</w:t>
      </w:r>
    </w:p>
    <w:p w:rsidR="0043413A" w:rsidRDefault="0043413A" w:rsidP="0043413A">
      <w:permStart w:id="742985419" w:edGrp="everyone"/>
      <w:r>
        <w:t>TYPE YOUR TEXT HERE</w:t>
      </w:r>
    </w:p>
    <w:permEnd w:id="742985419"/>
    <w:p w:rsidR="0043413A" w:rsidRDefault="0043413A" w:rsidP="0043413A">
      <w:r>
        <w:t>&lt;ESMA_QUESTION_SFTR_119&gt;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do not participate in the SSM? If not, what other aspects should be taken into account. Please elaborate.</w:t>
      </w:r>
    </w:p>
    <w:p w:rsidR="0043413A" w:rsidRDefault="0043413A" w:rsidP="0043413A">
      <w:r>
        <w:lastRenderedPageBreak/>
        <w:t>&lt;ESMA_QUESTION_SFTR_120&gt;</w:t>
      </w:r>
    </w:p>
    <w:p w:rsidR="0043413A" w:rsidRDefault="0043413A" w:rsidP="0043413A">
      <w:permStart w:id="1591489798" w:edGrp="everyone"/>
      <w:r>
        <w:t>TYPE YOUR TEXT HERE</w:t>
      </w:r>
    </w:p>
    <w:permEnd w:id="1591489798"/>
    <w:p w:rsidR="0043413A" w:rsidRDefault="0043413A" w:rsidP="0043413A">
      <w:r>
        <w:t>&lt;ESMA_QUESTION_SFTR_120&gt;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competent for the prudential supervision under CRD IV and CRR which do not participate in the SSM? If not, what other aspects should be taken into account. Please elaborate.</w:t>
      </w:r>
    </w:p>
    <w:p w:rsidR="0043413A" w:rsidRDefault="0043413A" w:rsidP="0043413A">
      <w:r>
        <w:t>&lt;ESMA_QUESTION_SFTR_121&gt;</w:t>
      </w:r>
    </w:p>
    <w:p w:rsidR="0043413A" w:rsidRDefault="0043413A" w:rsidP="0043413A">
      <w:permStart w:id="1115906055" w:edGrp="everyone"/>
      <w:r>
        <w:t>TYPE YOUR TEXT HERE</w:t>
      </w:r>
    </w:p>
    <w:permEnd w:id="1115906055"/>
    <w:p w:rsidR="0043413A" w:rsidRDefault="0043413A" w:rsidP="0043413A">
      <w:r>
        <w:t>&lt;ESMA_QUESTION_SFTR_121&gt;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supervisory authorities under Solvency II? If not, what other aspects should be taken into account. Please elaborate.</w:t>
      </w:r>
    </w:p>
    <w:p w:rsidR="0043413A" w:rsidRDefault="0043413A" w:rsidP="0043413A">
      <w:r>
        <w:t>&lt;ESMA_QUESTION_SFTR_122&gt;</w:t>
      </w:r>
    </w:p>
    <w:p w:rsidR="0043413A" w:rsidRDefault="0043413A" w:rsidP="0043413A">
      <w:permStart w:id="101862685" w:edGrp="everyone"/>
      <w:r>
        <w:t>TYPE YOUR TEXT HERE</w:t>
      </w:r>
    </w:p>
    <w:permEnd w:id="101862685"/>
    <w:p w:rsidR="0043413A" w:rsidRDefault="0043413A" w:rsidP="0043413A">
      <w:r>
        <w:t>&lt;ESMA_QUESTION_SFTR_122&gt;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supervisory authorities under Solvency II? If not, what other aspects should be taken into account. Please elaborate.</w:t>
      </w:r>
    </w:p>
    <w:p w:rsidR="0043413A" w:rsidRDefault="0043413A" w:rsidP="0043413A">
      <w:r>
        <w:t>&lt;ESMA_QUESTION_SFTR_123&gt;</w:t>
      </w:r>
    </w:p>
    <w:p w:rsidR="0043413A" w:rsidRDefault="0043413A" w:rsidP="0043413A">
      <w:permStart w:id="642717200" w:edGrp="everyone"/>
      <w:r>
        <w:t>TYPE YOUR TEXT HERE</w:t>
      </w:r>
    </w:p>
    <w:permEnd w:id="642717200"/>
    <w:p w:rsidR="0043413A" w:rsidRDefault="0043413A" w:rsidP="0043413A">
      <w:r>
        <w:t>&lt;ESMA_QUESTION_SFTR_123&gt;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competent authorities under UCITS and AIFMD? If not, what other aspects should be taken into account. Please elaborate.</w:t>
      </w:r>
    </w:p>
    <w:p w:rsidR="0043413A" w:rsidRDefault="0043413A" w:rsidP="0043413A">
      <w:r>
        <w:t>&lt;ESMA_QUESTION_SFTR_124&gt;</w:t>
      </w:r>
    </w:p>
    <w:p w:rsidR="0043413A" w:rsidRDefault="0043413A" w:rsidP="0043413A">
      <w:permStart w:id="2143178449" w:edGrp="everyone"/>
      <w:r>
        <w:t>TYPE YOUR TEXT HERE</w:t>
      </w:r>
    </w:p>
    <w:permEnd w:id="2143178449"/>
    <w:p w:rsidR="0043413A" w:rsidRDefault="0043413A" w:rsidP="0043413A">
      <w:r>
        <w:t>&lt;ESMA_QUESTION_SFTR_124&gt;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competent authorities determined under Solvency II? If not, what other aspects should be taken into account. Please elaborate.</w:t>
      </w:r>
    </w:p>
    <w:p w:rsidR="0043413A" w:rsidRDefault="0043413A" w:rsidP="0043413A">
      <w:r>
        <w:t>&lt;ESMA_QUESTION_SFTR_125&gt;</w:t>
      </w:r>
    </w:p>
    <w:p w:rsidR="0043413A" w:rsidRDefault="0043413A" w:rsidP="0043413A">
      <w:permStart w:id="1913151713" w:edGrp="everyone"/>
      <w:r>
        <w:t>TYPE YOUR TEXT HERE</w:t>
      </w:r>
    </w:p>
    <w:permEnd w:id="1913151713"/>
    <w:p w:rsidR="0043413A" w:rsidRDefault="0043413A" w:rsidP="0043413A">
      <w:r>
        <w:t>&lt;ESMA_QUESTION_SFTR_125&gt;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resolution authorities? If not, what other aspects should be taken into account. Please elaborate.</w:t>
      </w:r>
    </w:p>
    <w:p w:rsidR="0043413A" w:rsidRDefault="0043413A" w:rsidP="0043413A">
      <w:r>
        <w:t>&lt;ESMA_QUESTION_SFTR_126&gt;</w:t>
      </w:r>
    </w:p>
    <w:p w:rsidR="0043413A" w:rsidRDefault="0043413A" w:rsidP="0043413A">
      <w:permStart w:id="1762552187" w:edGrp="everyone"/>
      <w:r>
        <w:t>TYPE YOUR TEXT HERE</w:t>
      </w:r>
    </w:p>
    <w:permEnd w:id="1762552187"/>
    <w:p w:rsidR="0043413A" w:rsidRDefault="0043413A" w:rsidP="0043413A">
      <w:r>
        <w:t>&lt;ESMA_QUESTION_SFTR_126&gt;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SRB? If not, what other aspects should be taken into account. Please elaborate.</w:t>
      </w:r>
    </w:p>
    <w:p w:rsidR="0043413A" w:rsidRDefault="0043413A" w:rsidP="0043413A">
      <w:r>
        <w:t>&lt;ESMA_QUESTION_SFTR_127&gt;</w:t>
      </w:r>
    </w:p>
    <w:p w:rsidR="0043413A" w:rsidRDefault="0043413A" w:rsidP="0043413A">
      <w:permStart w:id="1813581977" w:edGrp="everyone"/>
      <w:r>
        <w:t>TYPE YOUR TEXT HERE</w:t>
      </w:r>
    </w:p>
    <w:permEnd w:id="1813581977"/>
    <w:p w:rsidR="0043413A" w:rsidRDefault="0043413A" w:rsidP="0043413A">
      <w:r>
        <w:t>&lt;ESMA_QUESTION_SFTR_127&gt;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resolution authorities? If not, what other aspects should be taken into account. Please elaborate.</w:t>
      </w:r>
    </w:p>
    <w:p w:rsidR="0043413A" w:rsidRDefault="0043413A" w:rsidP="0043413A">
      <w:r>
        <w:t>&lt;ESMA_QUESTION_SFTR_128&gt;</w:t>
      </w:r>
    </w:p>
    <w:p w:rsidR="0043413A" w:rsidRDefault="0043413A" w:rsidP="0043413A">
      <w:permStart w:id="37569386" w:edGrp="everyone"/>
      <w:r>
        <w:t>TYPE YOUR TEXT HERE</w:t>
      </w:r>
    </w:p>
    <w:permEnd w:id="37569386"/>
    <w:p w:rsidR="0043413A" w:rsidRDefault="0043413A" w:rsidP="0043413A">
      <w:r>
        <w:t>&lt;ESMA_QUESTION_SFTR_128&gt;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SRB? If not, what other aspects should be taken into account. Please elaborate.</w:t>
      </w:r>
    </w:p>
    <w:p w:rsidR="0043413A" w:rsidRDefault="0043413A" w:rsidP="0043413A">
      <w:r>
        <w:t>&lt;ESMA_QUESTION_SFTR_129&gt;</w:t>
      </w:r>
    </w:p>
    <w:p w:rsidR="0043413A" w:rsidRDefault="0043413A" w:rsidP="0043413A">
      <w:permStart w:id="1587876830" w:edGrp="everyone"/>
      <w:r>
        <w:t>TYPE YOUR TEXT HERE</w:t>
      </w:r>
    </w:p>
    <w:permEnd w:id="1587876830"/>
    <w:p w:rsidR="0043413A" w:rsidRDefault="0043413A" w:rsidP="0043413A">
      <w:r>
        <w:t>&lt;ESMA_QUESTION_SFTR_129&gt;</w:t>
      </w:r>
    </w:p>
    <w:p w:rsidR="0043413A" w:rsidRDefault="0043413A" w:rsidP="0043413A"/>
    <w:p w:rsidR="0043413A" w:rsidRPr="00943DDF" w:rsidRDefault="0043413A" w:rsidP="0043413A">
      <w:pPr>
        <w:pStyle w:val="Questionstyle"/>
        <w:numPr>
          <w:ilvl w:val="0"/>
          <w:numId w:val="40"/>
        </w:numPr>
      </w:pPr>
      <w:r w:rsidRPr="00943DDF">
        <w:t>Are there any other aspects that need to be included in the procedure to be put in place by the trade repository? Please elaborate.</w:t>
      </w:r>
    </w:p>
    <w:p w:rsidR="0043413A" w:rsidRDefault="0043413A" w:rsidP="0043413A">
      <w:r>
        <w:t>&lt;ESMA_QUESTION_SFTR_130&gt;</w:t>
      </w:r>
    </w:p>
    <w:p w:rsidR="0043413A" w:rsidRDefault="0043413A" w:rsidP="0043413A">
      <w:permStart w:id="815800356" w:edGrp="everyone"/>
      <w:r>
        <w:t>TYPE YOUR TEXT HERE</w:t>
      </w:r>
    </w:p>
    <w:permEnd w:id="815800356"/>
    <w:p w:rsidR="0043413A" w:rsidRDefault="0043413A" w:rsidP="0043413A">
      <w:r>
        <w:t>&lt;ESMA_QUESTION_SFTR_130&gt;</w:t>
      </w:r>
    </w:p>
    <w:p w:rsidR="0043413A" w:rsidRDefault="0043413A" w:rsidP="0043413A"/>
    <w:p w:rsidR="0043413A" w:rsidRPr="00943DDF" w:rsidRDefault="0043413A" w:rsidP="0043413A">
      <w:pPr>
        <w:pStyle w:val="Questionstyle"/>
        <w:numPr>
          <w:ilvl w:val="0"/>
          <w:numId w:val="40"/>
        </w:numPr>
      </w:pPr>
      <w:r w:rsidRPr="00943DDF">
        <w:t>Is there any additional information that needs to be included in the templates and tables? Please elaborate.</w:t>
      </w:r>
    </w:p>
    <w:p w:rsidR="0043413A" w:rsidRDefault="0043413A" w:rsidP="0043413A">
      <w:r>
        <w:t>&lt;ESMA_QUESTION_SFTR_131&gt;</w:t>
      </w:r>
    </w:p>
    <w:p w:rsidR="0043413A" w:rsidRDefault="0043413A" w:rsidP="0043413A">
      <w:permStart w:id="1619467854" w:edGrp="everyone"/>
      <w:r>
        <w:t>TYPE YOUR TEXT HERE</w:t>
      </w:r>
    </w:p>
    <w:permEnd w:id="1619467854"/>
    <w:p w:rsidR="0043413A" w:rsidRDefault="0043413A" w:rsidP="0043413A">
      <w:r>
        <w:t>&lt;ESMA_QUESTION_SFTR_131&gt;</w:t>
      </w:r>
    </w:p>
    <w:p w:rsidR="008701E5" w:rsidRDefault="008701E5" w:rsidP="0043413A">
      <w:pPr>
        <w:pStyle w:val="Questionstyle"/>
        <w:numPr>
          <w:ilvl w:val="0"/>
          <w:numId w:val="0"/>
        </w:numPr>
      </w:pPr>
    </w:p>
    <w:sectPr w:rsidR="008701E5"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9B" w:rsidRDefault="0013259B">
      <w:r>
        <w:separator/>
      </w:r>
    </w:p>
    <w:p w:rsidR="0013259B" w:rsidRDefault="0013259B"/>
  </w:endnote>
  <w:endnote w:type="continuationSeparator" w:id="0">
    <w:p w:rsidR="0013259B" w:rsidRDefault="0013259B">
      <w:r>
        <w:continuationSeparator/>
      </w:r>
    </w:p>
    <w:p w:rsidR="0013259B" w:rsidRDefault="0013259B"/>
  </w:endnote>
  <w:endnote w:type="continuationNotice" w:id="1">
    <w:p w:rsidR="0013259B" w:rsidRDefault="00132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3259B" w:rsidRPr="00616B9B" w:rsidTr="00315E96">
      <w:trPr>
        <w:trHeight w:val="284"/>
      </w:trPr>
      <w:tc>
        <w:tcPr>
          <w:tcW w:w="8460" w:type="dxa"/>
        </w:tcPr>
        <w:p w:rsidR="0013259B" w:rsidRPr="00315E96" w:rsidRDefault="0013259B" w:rsidP="00315E96">
          <w:pPr>
            <w:pStyle w:val="00Footer"/>
            <w:rPr>
              <w:lang w:val="fr-FR"/>
            </w:rPr>
          </w:pPr>
        </w:p>
      </w:tc>
      <w:tc>
        <w:tcPr>
          <w:tcW w:w="952" w:type="dxa"/>
        </w:tcPr>
        <w:p w:rsidR="0013259B" w:rsidRPr="00616B9B" w:rsidRDefault="0013259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7725F">
            <w:rPr>
              <w:rFonts w:cs="Arial"/>
              <w:noProof/>
              <w:sz w:val="22"/>
              <w:szCs w:val="22"/>
            </w:rPr>
            <w:t>21</w:t>
          </w:r>
          <w:r w:rsidRPr="00616B9B">
            <w:rPr>
              <w:rFonts w:cs="Arial"/>
              <w:noProof/>
              <w:sz w:val="22"/>
              <w:szCs w:val="22"/>
            </w:rPr>
            <w:fldChar w:fldCharType="end"/>
          </w:r>
        </w:p>
      </w:tc>
    </w:tr>
  </w:tbl>
  <w:p w:rsidR="0013259B" w:rsidRDefault="00132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9B" w:rsidRDefault="00132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9B" w:rsidRDefault="0013259B">
      <w:r>
        <w:separator/>
      </w:r>
    </w:p>
    <w:p w:rsidR="0013259B" w:rsidRDefault="0013259B"/>
  </w:footnote>
  <w:footnote w:type="continuationSeparator" w:id="0">
    <w:p w:rsidR="0013259B" w:rsidRDefault="0013259B">
      <w:r>
        <w:continuationSeparator/>
      </w:r>
    </w:p>
    <w:p w:rsidR="0013259B" w:rsidRDefault="0013259B"/>
  </w:footnote>
  <w:footnote w:type="continuationNotice" w:id="1">
    <w:p w:rsidR="0013259B" w:rsidRDefault="0013259B"/>
  </w:footnote>
  <w:footnote w:id="2">
    <w:p w:rsidR="0013259B" w:rsidRPr="00420E2C" w:rsidRDefault="0013259B" w:rsidP="00EA37CB">
      <w:pPr>
        <w:pStyle w:val="FootnoteText"/>
        <w:spacing w:line="276" w:lineRule="auto"/>
        <w:rPr>
          <w:rFonts w:cs="Arial"/>
        </w:rPr>
      </w:pPr>
      <w:r w:rsidRPr="00420E2C">
        <w:rPr>
          <w:rStyle w:val="FootnoteReference"/>
          <w:rFonts w:cs="Arial"/>
        </w:rPr>
        <w:footnoteRef/>
      </w:r>
      <w:r w:rsidRPr="00420E2C">
        <w:rPr>
          <w:rFonts w:cs="Arial"/>
        </w:rPr>
        <w:t xml:space="preserve"> Since the early 1990’s, the </w:t>
      </w:r>
      <w:hyperlink r:id="rId1" w:history="1">
        <w:r w:rsidRPr="00420E2C">
          <w:rPr>
            <w:rStyle w:val="Hyperlink"/>
            <w:rFonts w:cs="Arial"/>
          </w:rPr>
          <w:t>International Capital Market Association</w:t>
        </w:r>
      </w:hyperlink>
      <w:r w:rsidRPr="00420E2C">
        <w:rPr>
          <w:rFonts w:cs="Arial"/>
          <w:color w:val="1F497D"/>
        </w:rPr>
        <w:t xml:space="preserve"> </w:t>
      </w:r>
      <w:r w:rsidRPr="00420E2C">
        <w:rPr>
          <w:rFonts w:cs="Arial"/>
        </w:rPr>
        <w:t>(ICMA) has played a significant role in promoting the interests and activities of the international repo market, and of the product itself.  The ICMA</w:t>
      </w:r>
      <w:r w:rsidRPr="00420E2C">
        <w:rPr>
          <w:rFonts w:cs="Arial"/>
          <w:color w:val="1F497D"/>
        </w:rPr>
        <w:t xml:space="preserve"> </w:t>
      </w:r>
      <w:hyperlink r:id="rId2" w:history="1">
        <w:r w:rsidRPr="00420E2C">
          <w:rPr>
            <w:rStyle w:val="Hyperlink"/>
            <w:rFonts w:cs="Arial"/>
          </w:rPr>
          <w:t>European Repo</w:t>
        </w:r>
        <w:r>
          <w:rPr>
            <w:rStyle w:val="Hyperlink"/>
            <w:rFonts w:cs="Arial"/>
          </w:rPr>
          <w:t xml:space="preserve"> and Collateral</w:t>
        </w:r>
        <w:r w:rsidRPr="00420E2C">
          <w:rPr>
            <w:rStyle w:val="Hyperlink"/>
            <w:rFonts w:cs="Arial"/>
          </w:rPr>
          <w:t xml:space="preserve"> Council</w:t>
        </w:r>
      </w:hyperlink>
      <w:r w:rsidRPr="00420E2C">
        <w:rPr>
          <w:rFonts w:cs="Arial"/>
          <w:color w:val="1F497D"/>
        </w:rPr>
        <w:t xml:space="preserve"> </w:t>
      </w:r>
      <w:r w:rsidRPr="00420E2C">
        <w:rPr>
          <w:rFonts w:cs="Arial"/>
        </w:rPr>
        <w:t>(ERC</w:t>
      </w:r>
      <w:r>
        <w:rPr>
          <w:rFonts w:cs="Arial"/>
        </w:rPr>
        <w:t>C</w:t>
      </w:r>
      <w:r w:rsidRPr="00420E2C">
        <w:rPr>
          <w:rFonts w:cs="Arial"/>
        </w:rPr>
        <w:t>) has become the industry representative body that has fashioned consensus solutions to the emerging, practical issues in a rapidly evolving marketplace, consolidating and codifying best market practice. The discussions that take place at the ICMA ERC</w:t>
      </w:r>
      <w:r>
        <w:rPr>
          <w:rFonts w:cs="Arial"/>
        </w:rPr>
        <w:t>C</w:t>
      </w:r>
      <w:r w:rsidRPr="00420E2C">
        <w:rPr>
          <w:rFonts w:cs="Arial"/>
        </w:rPr>
        <w:t xml:space="preserve"> meetings underpin the strong sense of community and common interest that characterises the professional repo market in Europe. In support of the work of the ICMA ERC</w:t>
      </w:r>
      <w:r>
        <w:rPr>
          <w:rFonts w:cs="Arial"/>
        </w:rPr>
        <w:t>C</w:t>
      </w:r>
      <w:r w:rsidRPr="00420E2C">
        <w:rPr>
          <w:rFonts w:cs="Arial"/>
        </w:rPr>
        <w:t>, the</w:t>
      </w:r>
      <w:r w:rsidRPr="00420E2C">
        <w:rPr>
          <w:rFonts w:cs="Arial"/>
          <w:color w:val="1F497D"/>
        </w:rPr>
        <w:t xml:space="preserve"> </w:t>
      </w:r>
      <w:hyperlink r:id="rId3" w:history="1">
        <w:r w:rsidRPr="00420E2C">
          <w:rPr>
            <w:rStyle w:val="Hyperlink"/>
            <w:rFonts w:cs="Arial"/>
          </w:rPr>
          <w:t>ICMA ER</w:t>
        </w:r>
        <w:r>
          <w:rPr>
            <w:rStyle w:val="Hyperlink"/>
            <w:rFonts w:cs="Arial"/>
          </w:rPr>
          <w:t>C</w:t>
        </w:r>
        <w:r w:rsidRPr="00420E2C">
          <w:rPr>
            <w:rStyle w:val="Hyperlink"/>
            <w:rFonts w:cs="Arial"/>
          </w:rPr>
          <w:t>C’s Operations Group</w:t>
        </w:r>
      </w:hyperlink>
      <w:r w:rsidRPr="00420E2C">
        <w:rPr>
          <w:rFonts w:cs="Arial"/>
          <w:color w:val="1F497D"/>
        </w:rPr>
        <w:t xml:space="preserve"> </w:t>
      </w:r>
      <w:r w:rsidRPr="00420E2C">
        <w:rPr>
          <w:rFonts w:cs="Arial"/>
        </w:rPr>
        <w:t>brings together relevant specialists to focus on all applicable post trade activities</w:t>
      </w:r>
      <w:r>
        <w:rPr>
          <w:rFonts w:cs="Arial"/>
        </w:rPr>
        <w:t xml:space="preserve"> and has contributed substantially to this response</w:t>
      </w:r>
      <w:r w:rsidRPr="00420E2C">
        <w:rPr>
          <w:rFonts w:cs="Arial"/>
        </w:rPr>
        <w:t>.</w:t>
      </w:r>
    </w:p>
  </w:footnote>
  <w:footnote w:id="3">
    <w:p w:rsidR="0013259B" w:rsidRPr="001D1BB2" w:rsidRDefault="0013259B" w:rsidP="00EA37CB">
      <w:pPr>
        <w:pStyle w:val="FootnoteText"/>
        <w:rPr>
          <w:rFonts w:cs="Arial"/>
        </w:rPr>
      </w:pPr>
      <w:r w:rsidRPr="001D1BB2">
        <w:rPr>
          <w:rStyle w:val="FootnoteReference"/>
          <w:rFonts w:cs="Arial"/>
        </w:rPr>
        <w:footnoteRef/>
      </w:r>
      <w:r w:rsidRPr="001D1BB2">
        <w:rPr>
          <w:rFonts w:cs="Arial"/>
        </w:rPr>
        <w:t xml:space="preserve"> See: </w:t>
      </w:r>
      <w:hyperlink r:id="rId4" w:history="1">
        <w:r w:rsidRPr="001D1BB2">
          <w:rPr>
            <w:rStyle w:val="Hyperlink"/>
            <w:rFonts w:cs="Arial"/>
          </w:rPr>
          <w:t>http://ec.europa.eu/finance/general-policy/docs/general/161123-communication_en.pdf</w:t>
        </w:r>
      </w:hyperlink>
      <w:r w:rsidRPr="001D1BB2">
        <w:rPr>
          <w:rFonts w:cs="Arial"/>
        </w:rPr>
        <w:t xml:space="preserve"> </w:t>
      </w:r>
    </w:p>
  </w:footnote>
  <w:footnote w:id="4">
    <w:p w:rsidR="008F53F6" w:rsidRPr="00B0204A" w:rsidRDefault="008F53F6" w:rsidP="008F53F6">
      <w:pPr>
        <w:pStyle w:val="FootnoteText"/>
        <w:rPr>
          <w:rFonts w:cs="Arial"/>
        </w:rPr>
      </w:pPr>
      <w:r w:rsidRPr="00B0204A">
        <w:rPr>
          <w:rStyle w:val="FootnoteReference"/>
          <w:rFonts w:cs="Arial"/>
        </w:rPr>
        <w:footnoteRef/>
      </w:r>
      <w:r w:rsidRPr="00B0204A">
        <w:rPr>
          <w:rFonts w:cs="Arial"/>
        </w:rPr>
        <w:t xml:space="preserve"> See: </w:t>
      </w:r>
      <w:hyperlink r:id="rId5" w:history="1">
        <w:r w:rsidRPr="00B0204A">
          <w:rPr>
            <w:rStyle w:val="Hyperlink"/>
            <w:rFonts w:cs="Arial"/>
          </w:rPr>
          <w:t>http://www.icmagroup.org/Regulatory-Policy-and-Market-Practice/repo-and-collateral-markets/ercc-publications/icma-ercc-reports/icma-ercc-report-on-the-trade-registration-models-used-by-european-ccps-for-repo-transactions/</w:t>
        </w:r>
      </w:hyperlink>
      <w:r w:rsidRPr="00B0204A">
        <w:rPr>
          <w:rFonts w:cs="Arial"/>
        </w:rPr>
        <w:t xml:space="preserve"> </w:t>
      </w:r>
    </w:p>
  </w:footnote>
  <w:footnote w:id="5">
    <w:p w:rsidR="00241A7D" w:rsidRPr="00261DC8" w:rsidRDefault="00241A7D" w:rsidP="00241A7D">
      <w:pPr>
        <w:pStyle w:val="FootnoteText"/>
        <w:rPr>
          <w:rFonts w:cs="Arial"/>
        </w:rPr>
      </w:pPr>
      <w:r w:rsidRPr="00261DC8">
        <w:rPr>
          <w:rStyle w:val="FootnoteReference"/>
          <w:rFonts w:cs="Arial"/>
        </w:rPr>
        <w:footnoteRef/>
      </w:r>
      <w:r w:rsidRPr="00261DC8">
        <w:rPr>
          <w:rFonts w:cs="Arial"/>
        </w:rPr>
        <w:t xml:space="preserve"> See: </w:t>
      </w:r>
      <w:hyperlink r:id="rId6" w:history="1">
        <w:r w:rsidRPr="00261DC8">
          <w:rPr>
            <w:rStyle w:val="Hyperlink"/>
            <w:rFonts w:cs="Arial"/>
          </w:rPr>
          <w:t>http://www.icmagroup.org/Regulatory-Policy-and-Market-Practice/repo-and-collateral-markets/ercc-publications/trade-matching-and-affirmation-of-repo-standardised-icma-template/</w:t>
        </w:r>
      </w:hyperlink>
      <w:r w:rsidRPr="00261DC8">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9B" w:rsidRDefault="0013259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9B" w:rsidRDefault="0013259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9B" w:rsidRDefault="0013259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3259B" w:rsidRPr="002F4496" w:rsidTr="000C06C9">
      <w:trPr>
        <w:trHeight w:val="284"/>
      </w:trPr>
      <w:tc>
        <w:tcPr>
          <w:tcW w:w="8460" w:type="dxa"/>
        </w:tcPr>
        <w:p w:rsidR="0013259B" w:rsidRPr="000C3B6D" w:rsidRDefault="0013259B" w:rsidP="000C06C9">
          <w:pPr>
            <w:pStyle w:val="00Footer"/>
            <w:rPr>
              <w:lang w:val="fr-FR"/>
            </w:rPr>
          </w:pPr>
        </w:p>
      </w:tc>
      <w:tc>
        <w:tcPr>
          <w:tcW w:w="952" w:type="dxa"/>
        </w:tcPr>
        <w:p w:rsidR="0013259B" w:rsidRPr="00146B34" w:rsidRDefault="0013259B" w:rsidP="000C06C9">
          <w:pPr>
            <w:pStyle w:val="00aPagenumber"/>
            <w:rPr>
              <w:lang w:val="fr-FR"/>
            </w:rPr>
          </w:pPr>
        </w:p>
      </w:tc>
    </w:tr>
  </w:tbl>
  <w:p w:rsidR="0013259B" w:rsidRPr="00DB46C3" w:rsidRDefault="0013259B">
    <w:pPr>
      <w:rPr>
        <w:lang w:val="fr-FR"/>
      </w:rPr>
    </w:pPr>
  </w:p>
  <w:p w:rsidR="0013259B" w:rsidRPr="002F4496" w:rsidRDefault="0013259B">
    <w:pPr>
      <w:pStyle w:val="Header"/>
      <w:rPr>
        <w:lang w:val="fr-FR"/>
      </w:rPr>
    </w:pPr>
  </w:p>
  <w:p w:rsidR="0013259B" w:rsidRPr="002F4496" w:rsidRDefault="0013259B" w:rsidP="000C06C9">
    <w:pPr>
      <w:pStyle w:val="Header"/>
      <w:tabs>
        <w:tab w:val="clear" w:pos="4536"/>
        <w:tab w:val="clear" w:pos="9072"/>
        <w:tab w:val="left" w:pos="8227"/>
      </w:tabs>
      <w:rPr>
        <w:lang w:val="fr-FR"/>
      </w:rPr>
    </w:pPr>
  </w:p>
  <w:p w:rsidR="0013259B" w:rsidRPr="002F4496" w:rsidRDefault="0013259B" w:rsidP="000C06C9">
    <w:pPr>
      <w:pStyle w:val="Header"/>
      <w:tabs>
        <w:tab w:val="clear" w:pos="4536"/>
        <w:tab w:val="clear" w:pos="9072"/>
        <w:tab w:val="left" w:pos="8227"/>
      </w:tabs>
      <w:rPr>
        <w:lang w:val="fr-FR"/>
      </w:rPr>
    </w:pPr>
  </w:p>
  <w:p w:rsidR="0013259B" w:rsidRPr="002F4496" w:rsidRDefault="0013259B">
    <w:pPr>
      <w:pStyle w:val="Header"/>
      <w:rPr>
        <w:lang w:val="fr-FR"/>
      </w:rPr>
    </w:pPr>
  </w:p>
  <w:p w:rsidR="0013259B" w:rsidRPr="002F4496" w:rsidRDefault="0013259B">
    <w:pPr>
      <w:pStyle w:val="Header"/>
      <w:rPr>
        <w:lang w:val="fr-FR"/>
      </w:rPr>
    </w:pPr>
  </w:p>
  <w:p w:rsidR="0013259B" w:rsidRPr="002F4496" w:rsidRDefault="0013259B">
    <w:pPr>
      <w:pStyle w:val="Header"/>
      <w:rPr>
        <w:lang w:val="fr-FR"/>
      </w:rPr>
    </w:pPr>
  </w:p>
  <w:p w:rsidR="0013259B" w:rsidRPr="002F4496" w:rsidRDefault="0013259B">
    <w:pPr>
      <w:pStyle w:val="Header"/>
      <w:rPr>
        <w:lang w:val="fr-FR"/>
      </w:rPr>
    </w:pPr>
  </w:p>
  <w:p w:rsidR="0013259B" w:rsidRPr="002F4496" w:rsidRDefault="0013259B">
    <w:pPr>
      <w:pStyle w:val="Header"/>
      <w:rPr>
        <w:highlight w:val="yellow"/>
        <w:lang w:val="fr-FR"/>
      </w:rPr>
    </w:pPr>
  </w:p>
  <w:p w:rsidR="0013259B" w:rsidRDefault="0013259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9880076"/>
    <w:multiLevelType w:val="hybridMultilevel"/>
    <w:tmpl w:val="19C63CC0"/>
    <w:lvl w:ilvl="0" w:tplc="7FBE2C5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FC516C"/>
    <w:multiLevelType w:val="hybridMultilevel"/>
    <w:tmpl w:val="BE58EB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6654F10"/>
    <w:multiLevelType w:val="hybridMultilevel"/>
    <w:tmpl w:val="38A4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A552DFC4"/>
    <w:lvl w:ilvl="0" w:tplc="0A04798E">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43209"/>
    <w:multiLevelType w:val="hybridMultilevel"/>
    <w:tmpl w:val="52863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D5C165C"/>
    <w:multiLevelType w:val="hybridMultilevel"/>
    <w:tmpl w:val="C2864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E039BA"/>
    <w:multiLevelType w:val="hybridMultilevel"/>
    <w:tmpl w:val="8CF03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1"/>
  </w:num>
  <w:num w:numId="3">
    <w:abstractNumId w:val="14"/>
  </w:num>
  <w:num w:numId="4">
    <w:abstractNumId w:val="27"/>
  </w:num>
  <w:num w:numId="5">
    <w:abstractNumId w:val="29"/>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6"/>
  </w:num>
  <w:num w:numId="15">
    <w:abstractNumId w:val="12"/>
  </w:num>
  <w:num w:numId="16">
    <w:abstractNumId w:val="1"/>
  </w:num>
  <w:num w:numId="17">
    <w:abstractNumId w:val="16"/>
  </w:num>
  <w:num w:numId="18">
    <w:abstractNumId w:val="17"/>
  </w:num>
  <w:num w:numId="19">
    <w:abstractNumId w:val="19"/>
  </w:num>
  <w:num w:numId="20">
    <w:abstractNumId w:val="30"/>
  </w:num>
  <w:num w:numId="21">
    <w:abstractNumId w:val="41"/>
  </w:num>
  <w:num w:numId="22">
    <w:abstractNumId w:val="28"/>
  </w:num>
  <w:num w:numId="23">
    <w:abstractNumId w:val="11"/>
  </w:num>
  <w:num w:numId="24">
    <w:abstractNumId w:val="34"/>
  </w:num>
  <w:num w:numId="25">
    <w:abstractNumId w:val="33"/>
  </w:num>
  <w:num w:numId="26">
    <w:abstractNumId w:val="23"/>
  </w:num>
  <w:num w:numId="27">
    <w:abstractNumId w:val="37"/>
  </w:num>
  <w:num w:numId="28">
    <w:abstractNumId w:val="44"/>
  </w:num>
  <w:num w:numId="29">
    <w:abstractNumId w:val="8"/>
  </w:num>
  <w:num w:numId="30">
    <w:abstractNumId w:val="4"/>
  </w:num>
  <w:num w:numId="31">
    <w:abstractNumId w:val="25"/>
  </w:num>
  <w:num w:numId="32">
    <w:abstractNumId w:val="2"/>
  </w:num>
  <w:num w:numId="33">
    <w:abstractNumId w:val="7"/>
  </w:num>
  <w:num w:numId="34">
    <w:abstractNumId w:val="24"/>
  </w:num>
  <w:num w:numId="35">
    <w:abstractNumId w:val="39"/>
  </w:num>
  <w:num w:numId="36">
    <w:abstractNumId w:val="38"/>
  </w:num>
  <w:num w:numId="37">
    <w:abstractNumId w:val="13"/>
  </w:num>
  <w:num w:numId="38">
    <w:abstractNumId w:val="3"/>
  </w:num>
  <w:num w:numId="39">
    <w:abstractNumId w:val="42"/>
  </w:num>
  <w:num w:numId="40">
    <w:abstractNumId w:val="32"/>
  </w:num>
  <w:num w:numId="41">
    <w:abstractNumId w:val="20"/>
  </w:num>
  <w:num w:numId="42">
    <w:abstractNumId w:val="22"/>
  </w:num>
  <w:num w:numId="43">
    <w:abstractNumId w:val="10"/>
  </w:num>
  <w:num w:numId="44">
    <w:abstractNumId w:val="46"/>
  </w:num>
  <w:num w:numId="45">
    <w:abstractNumId w:val="40"/>
  </w:num>
  <w:num w:numId="46">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ZtmvWlGGg32ZnDA3uEGDdBamfs28wrKo3kEZL89n1CEQS9AythZgqFfHt8VHigO7Qj/9CpodiZDDiulwizA7w==" w:salt="/9IcdhEdCI6ISWJbA67oZw=="/>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259B"/>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0B50"/>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1A7D"/>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36D7"/>
    <w:rsid w:val="002754B5"/>
    <w:rsid w:val="002764C5"/>
    <w:rsid w:val="0027725F"/>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13A"/>
    <w:rsid w:val="0043453F"/>
    <w:rsid w:val="00434A74"/>
    <w:rsid w:val="00437929"/>
    <w:rsid w:val="00437A4A"/>
    <w:rsid w:val="00440541"/>
    <w:rsid w:val="00440DF5"/>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5C2"/>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49C"/>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17"/>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0AB2"/>
    <w:rsid w:val="008F1462"/>
    <w:rsid w:val="008F2413"/>
    <w:rsid w:val="008F248D"/>
    <w:rsid w:val="008F4B2C"/>
    <w:rsid w:val="008F4C08"/>
    <w:rsid w:val="008F53F6"/>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488"/>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693"/>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2C9"/>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7C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4DB"/>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14:docId w14:val="77961785"/>
  <w15:docId w15:val="{8C5303D0-C371-4F10-A8C7-2464B832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iosco.org/library/pubdocs/pdf/IOSCOPD545.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cmagroup.org/About-ICMA/icma-councils-and-committees/European-Repo-Council/European-Repo-Committee/ICMA-ERC-Operations-Group/" TargetMode="External"/><Relationship Id="rId2" Type="http://schemas.openxmlformats.org/officeDocument/2006/relationships/hyperlink" Target="http://www.icmagroup.org/About-ICMA/icma-councils-and-committees/European-Repo-Council/" TargetMode="External"/><Relationship Id="rId1" Type="http://schemas.openxmlformats.org/officeDocument/2006/relationships/hyperlink" Target="http://www.icmagroup.org/" TargetMode="External"/><Relationship Id="rId6" Type="http://schemas.openxmlformats.org/officeDocument/2006/relationships/hyperlink" Target="http://www.icmagroup.org/Regulatory-Policy-and-Market-Practice/repo-and-collateral-markets/ercc-publications/trade-matching-and-affirmation-of-repo-standardised-icma-template/" TargetMode="External"/><Relationship Id="rId5" Type="http://schemas.openxmlformats.org/officeDocument/2006/relationships/hyperlink" Target="http://www.icmagroup.org/Regulatory-Policy-and-Market-Practice/repo-and-collateral-markets/ercc-publications/icma-ercc-reports/icma-ercc-report-on-the-trade-registration-models-used-by-european-ccps-for-repo-transactions/" TargetMode="External"/><Relationship Id="rId4" Type="http://schemas.openxmlformats.org/officeDocument/2006/relationships/hyperlink" Target="http://ec.europa.eu/finance/general-policy/docs/general/161123-communication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50D4A-1A8B-47E1-B7A4-1EFC75C89D1C}">
  <ds:schemaRefs>
    <ds:schemaRef ds:uri="http://schemas.openxmlformats.org/officeDocument/2006/bibliography"/>
  </ds:schemaRefs>
</ds:datastoreItem>
</file>

<file path=customXml/itemProps2.xml><?xml version="1.0" encoding="utf-8"?>
<ds:datastoreItem xmlns:ds="http://schemas.openxmlformats.org/officeDocument/2006/customXml" ds:itemID="{7A21BF6F-51BB-4A12-ABFC-6C18665B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16209</Words>
  <Characters>88722</Characters>
  <Application>Microsoft Office Word</Application>
  <DocSecurity>8</DocSecurity>
  <Lines>739</Lines>
  <Paragraphs>209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104722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Alexander Westphal</cp:lastModifiedBy>
  <cp:revision>5</cp:revision>
  <cp:lastPrinted>2015-02-18T11:01:00Z</cp:lastPrinted>
  <dcterms:created xsi:type="dcterms:W3CDTF">2016-11-29T18:26:00Z</dcterms:created>
  <dcterms:modified xsi:type="dcterms:W3CDTF">2016-11-30T16:58:00Z</dcterms:modified>
</cp:coreProperties>
</file>