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CF5B86" w:rsidP="00284149">
            <w:pPr>
              <w:pStyle w:val="00bDBInfo"/>
              <w:rPr>
                <w:rFonts w:cs="Arial"/>
              </w:rPr>
            </w:pPr>
            <w:r>
              <w:rPr>
                <w:rFonts w:cs="Arial"/>
              </w:rPr>
              <w:t>13</w:t>
            </w:r>
            <w:r w:rsidR="003A5DAC">
              <w:rPr>
                <w:rFonts w:cs="Arial"/>
              </w:rPr>
              <w:t xml:space="preserve"> </w:t>
            </w:r>
            <w:r w:rsidR="004049C0">
              <w:rPr>
                <w:rFonts w:cs="Arial"/>
              </w:rPr>
              <w:t>Ju</w:t>
            </w:r>
            <w:r w:rsidR="00284149">
              <w:rPr>
                <w:rFonts w:cs="Arial"/>
              </w:rPr>
              <w:t>ly</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284149">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284149" w:rsidRPr="00284149">
              <w:rPr>
                <w:rFonts w:cs="Arial"/>
                <w:sz w:val="32"/>
              </w:rPr>
              <w:t>Guidelines on validation and review of Credit Rating Agencies’ methodologies</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284149">
            <w:pPr>
              <w:pStyle w:val="02Date"/>
              <w:rPr>
                <w:rFonts w:cs="Arial"/>
                <w:highlight w:val="red"/>
              </w:rPr>
            </w:pPr>
            <w:r w:rsidRPr="007C3918">
              <w:rPr>
                <w:rFonts w:cs="Arial"/>
              </w:rPr>
              <w:t>Date</w:t>
            </w:r>
            <w:r w:rsidR="00CF5B86">
              <w:rPr>
                <w:rFonts w:cs="Arial"/>
              </w:rPr>
              <w:t>: 13</w:t>
            </w:r>
            <w:r w:rsidR="007C3918" w:rsidRPr="007C3918">
              <w:rPr>
                <w:rFonts w:cs="Arial"/>
              </w:rPr>
              <w:t xml:space="preserve"> </w:t>
            </w:r>
            <w:r w:rsidR="004049C0">
              <w:rPr>
                <w:rFonts w:cs="Arial"/>
              </w:rPr>
              <w:t>Ju</w:t>
            </w:r>
            <w:r w:rsidR="00284149">
              <w:rPr>
                <w:rFonts w:cs="Arial"/>
              </w:rPr>
              <w:t>ly</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CF5B86">
        <w:rPr>
          <w:rFonts w:cs="Arial"/>
        </w:rPr>
        <w:t xml:space="preserve">the </w:t>
      </w:r>
      <w:r w:rsidR="008701E5">
        <w:rPr>
          <w:rFonts w:cs="Arial"/>
        </w:rPr>
        <w:t xml:space="preserve">Consultation Paper on </w:t>
      </w:r>
      <w:r w:rsidR="00974A21" w:rsidRPr="00974A21">
        <w:rPr>
          <w:rFonts w:cs="Arial"/>
        </w:rPr>
        <w:t>Guidelines on validation a</w:t>
      </w:r>
      <w:r w:rsidR="00974A21">
        <w:rPr>
          <w:rFonts w:cs="Arial"/>
        </w:rPr>
        <w:t>nd review of Credit Rating Agen</w:t>
      </w:r>
      <w:r w:rsidR="00974A21" w:rsidRPr="00974A21">
        <w:rPr>
          <w:rFonts w:cs="Arial"/>
        </w:rPr>
        <w:t>cies’ methodologies</w:t>
      </w:r>
      <w:r w:rsidR="008701E5" w:rsidRPr="008701E5">
        <w:rPr>
          <w:rFonts w:cs="Arial"/>
        </w:rPr>
        <w:t xml:space="preserve"> (</w:t>
      </w:r>
      <w:r w:rsidR="00974A21">
        <w:rPr>
          <w:rFonts w:cs="Arial"/>
        </w:rPr>
        <w:t>GCRA</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 xml:space="preserve">Please note that, in order to facilitate the analysis of </w:t>
      </w:r>
      <w:r w:rsidR="00CF5B86">
        <w:rPr>
          <w:rFonts w:cs="Arial"/>
        </w:rPr>
        <w:t>the</w:t>
      </w:r>
      <w:r w:rsidRPr="00176639">
        <w:rPr>
          <w:rFonts w:cs="Arial"/>
        </w:rPr>
        <w:t xml:space="preserve"> responses, you are requested to use this file to send your response to ESMA so as to allow us to process it properly. Therefore,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except for annexes);</w:t>
      </w:r>
    </w:p>
    <w:p w:rsidR="00F574D0" w:rsidRPr="00176639" w:rsidRDefault="00D75FEE" w:rsidP="00974A21">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w:t>
      </w:r>
      <w:r w:rsidR="00974A21" w:rsidRPr="00974A21">
        <w:t>GCRA</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w:t>
      </w:r>
      <w:r w:rsidR="00CF5B86">
        <w:rPr>
          <w:rFonts w:cs="Arial"/>
        </w:rPr>
        <w:t>’</w:t>
      </w:r>
      <w:r w:rsidRPr="00EF0769">
        <w:rPr>
          <w:rFonts w:cs="Arial"/>
        </w:rPr>
        <w:t xml:space="preserve"> responses</w:t>
      </w:r>
      <w:r w:rsidR="00CF5B86">
        <w:rPr>
          <w:rFonts w:cs="Arial"/>
        </w:rPr>
        <w:t>,</w:t>
      </w:r>
      <w:r w:rsidRPr="00EF0769">
        <w:rPr>
          <w:rFonts w:cs="Arial"/>
        </w:rPr>
        <w:t xml:space="preserve"> please sav</w:t>
      </w:r>
      <w:r w:rsidR="00A96324">
        <w:rPr>
          <w:rFonts w:cs="Arial"/>
        </w:rPr>
        <w:t>e your document using the follow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w:t>
      </w:r>
      <w:r w:rsidR="00974A21" w:rsidRPr="00974A21">
        <w:t>GCRA</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974A21" w:rsidRPr="00974A21">
        <w:t>GCRA</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w:t>
      </w:r>
      <w:r w:rsidR="00974A21" w:rsidRPr="00974A21">
        <w:t>GCRA</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w:t>
      </w:r>
      <w:r w:rsidRPr="001B0222">
        <w:rPr>
          <w:rFonts w:cs="Arial"/>
        </w:rPr>
        <w:t xml:space="preserve">by </w:t>
      </w:r>
      <w:r w:rsidR="00CF5B86" w:rsidRPr="001B0222">
        <w:rPr>
          <w:rFonts w:cs="Arial"/>
          <w:b/>
        </w:rPr>
        <w:t>22</w:t>
      </w:r>
      <w:r w:rsidRPr="001B0222">
        <w:rPr>
          <w:rFonts w:cs="Arial"/>
          <w:b/>
        </w:rPr>
        <w:t xml:space="preserve"> </w:t>
      </w:r>
      <w:r w:rsidR="00CF5B86" w:rsidRPr="001B0222">
        <w:rPr>
          <w:rFonts w:cs="Arial"/>
          <w:b/>
        </w:rPr>
        <w:t>August</w:t>
      </w:r>
      <w:r w:rsidRPr="001B0222">
        <w:rPr>
          <w:rFonts w:cs="Arial"/>
          <w:b/>
        </w:rPr>
        <w:t xml:space="preserve"> 2016</w:t>
      </w:r>
      <w:r w:rsidR="00021E83" w:rsidRPr="001B0222">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w:t>
      </w:r>
      <w:r w:rsidR="002039F0">
        <w:t>GCRA</w:t>
      </w:r>
      <w:r w:rsidR="00D61A37" w:rsidRPr="00176639">
        <w:t>_1</w:t>
      </w:r>
      <w:r w:rsidRPr="00176639">
        <w:t>&gt;</w:t>
      </w:r>
    </w:p>
    <w:p w:rsidR="00C861AF" w:rsidRDefault="00C861AF" w:rsidP="00A65E0E">
      <w:permStart w:id="954223638" w:edGrp="everyone"/>
      <w:r>
        <w:t>K</w:t>
      </w:r>
      <w:r w:rsidR="00D77461">
        <w:t>roll Bond Rating Agency (K</w:t>
      </w:r>
      <w:r>
        <w:t>BRA</w:t>
      </w:r>
      <w:r w:rsidR="00D77461">
        <w:t>)</w:t>
      </w:r>
      <w:r>
        <w:t xml:space="preserve"> appreciates the opportunity to respond to </w:t>
      </w:r>
      <w:r w:rsidR="004C0F44">
        <w:t xml:space="preserve">ESMA’s </w:t>
      </w:r>
      <w:r w:rsidRPr="00C861AF">
        <w:t>Consultation Paper on Guidelines on validation and review of Credit Rating Agencies’ methodologies</w:t>
      </w:r>
      <w:r w:rsidR="004C0F44">
        <w:t>.</w:t>
      </w:r>
      <w:r>
        <w:t xml:space="preserve">  KBRA is of the opinion that validation and review of our methodologies </w:t>
      </w:r>
      <w:r w:rsidR="00105033">
        <w:t>are critical</w:t>
      </w:r>
      <w:r>
        <w:t xml:space="preserve"> component</w:t>
      </w:r>
      <w:r w:rsidR="009E1C35">
        <w:t>s</w:t>
      </w:r>
      <w:r>
        <w:t xml:space="preserve"> of our business, and </w:t>
      </w:r>
      <w:r w:rsidR="00A83E84">
        <w:t xml:space="preserve">we </w:t>
      </w:r>
      <w:r>
        <w:t>welcome the guidance provided by ESMA</w:t>
      </w:r>
      <w:r w:rsidR="00404643">
        <w:t xml:space="preserve">. </w:t>
      </w:r>
      <w:r w:rsidR="009E1C35">
        <w:t>Further,</w:t>
      </w:r>
      <w:r w:rsidR="009E1C35" w:rsidRPr="009E1C35">
        <w:t xml:space="preserve"> KBRA appreciates the flexibility that has been given to CRAs as a result of the initial responses to the Proposed Guidelines.  </w:t>
      </w:r>
      <w:r w:rsidR="009E1C35">
        <w:t xml:space="preserve"> </w:t>
      </w:r>
      <w:r>
        <w:t xml:space="preserve"> </w:t>
      </w:r>
    </w:p>
    <w:p w:rsidR="00C861AF" w:rsidRDefault="00C861AF" w:rsidP="00A65E0E"/>
    <w:p w:rsidR="00C861AF" w:rsidRDefault="00404643" w:rsidP="00A65E0E">
      <w:r>
        <w:t xml:space="preserve">While ESMA </w:t>
      </w:r>
      <w:r w:rsidR="00287D4B">
        <w:t xml:space="preserve">states it does not intend to “exclude the benefits brought to the validation process from the use of qualitative measures and expert judgment applied by staff”, KBRA notes that overreliance on certain quantitative measures stated in the Proposed Guidelines may indeed have that effect.  </w:t>
      </w:r>
      <w:r w:rsidR="009E1C35">
        <w:t>KBRA is hopeful that ESMA continues to recognize, per Paragraph 10 of the Proposed Guidelines, the</w:t>
      </w:r>
      <w:r w:rsidR="00105033">
        <w:t xml:space="preserve"> importance of expert judgment.</w:t>
      </w:r>
    </w:p>
    <w:p w:rsidR="0079412A" w:rsidRDefault="0079412A" w:rsidP="00A65E0E"/>
    <w:p w:rsidR="0079412A" w:rsidRDefault="003463A6" w:rsidP="00A65E0E">
      <w:r>
        <w:t xml:space="preserve">KBRA is pleased to provide our </w:t>
      </w:r>
      <w:r w:rsidR="0079412A">
        <w:t xml:space="preserve">answers </w:t>
      </w:r>
      <w:r w:rsidR="00A83E84">
        <w:t xml:space="preserve">below </w:t>
      </w:r>
      <w:r w:rsidR="0079412A">
        <w:t>to the eight questions posed in the l</w:t>
      </w:r>
      <w:r w:rsidR="00A83E84">
        <w:t>atest request for response</w:t>
      </w:r>
      <w:r w:rsidR="0079412A">
        <w:t xml:space="preserve">. </w:t>
      </w:r>
    </w:p>
    <w:permEnd w:id="954223638"/>
    <w:p w:rsidR="00D34282" w:rsidRPr="00BF28DA" w:rsidRDefault="00D34282" w:rsidP="00D34282">
      <w:r w:rsidRPr="00BF28DA">
        <w:t>&lt;</w:t>
      </w:r>
      <w:r w:rsidR="002039F0" w:rsidRPr="002039F0">
        <w:t xml:space="preserve"> </w:t>
      </w:r>
      <w:r w:rsidR="002039F0" w:rsidRPr="00176639">
        <w:t>ESMA_COMMENT_</w:t>
      </w:r>
      <w:r w:rsidR="002039F0">
        <w:t>CP_GCRA</w:t>
      </w:r>
      <w:r w:rsidR="002039F0" w:rsidRPr="00176639">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486FD5" w:rsidP="00486FD5">
      <w:pPr>
        <w:pStyle w:val="Questionstyle"/>
      </w:pPr>
      <w:r w:rsidRPr="00486FD5">
        <w:t xml:space="preserve">Has ESMA captured all related costs and benefits </w:t>
      </w:r>
      <w:r>
        <w:t>in its analysis under Annex II?</w:t>
      </w:r>
    </w:p>
    <w:p w:rsidR="00A83E84" w:rsidRDefault="00665C07" w:rsidP="0079412A">
      <w:r>
        <w:t>&lt;ESMA_QUESTION_C</w:t>
      </w:r>
      <w:r w:rsidR="009A2624">
        <w:t>P_</w:t>
      </w:r>
      <w:r w:rsidR="00486FD5">
        <w:t>GCRA</w:t>
      </w:r>
      <w:r w:rsidR="009A2624">
        <w:t>_1</w:t>
      </w:r>
      <w:r w:rsidR="00A83E84">
        <w:t>&gt;</w:t>
      </w:r>
    </w:p>
    <w:p w:rsidR="0079412A" w:rsidRDefault="00A83E84" w:rsidP="0079412A">
      <w:permStart w:id="1530863476" w:edGrp="everyone"/>
      <w:r>
        <w:t>T</w:t>
      </w:r>
      <w:r w:rsidR="0079412A">
        <w:t xml:space="preserve">he qualitative nature of the cost benefit analysis makes it difficult to assess its completeness.  </w:t>
      </w:r>
      <w:r w:rsidR="00CD23B4">
        <w:t xml:space="preserve">However, </w:t>
      </w:r>
      <w:r w:rsidR="0079412A">
        <w:t xml:space="preserve">KBRA </w:t>
      </w:r>
      <w:r w:rsidR="00CD23B4">
        <w:t>believes that</w:t>
      </w:r>
      <w:r w:rsidR="004C0F44">
        <w:t xml:space="preserve"> the Proposed G</w:t>
      </w:r>
      <w:r w:rsidR="00D77461">
        <w:t>uidelines will create cost</w:t>
      </w:r>
      <w:r w:rsidR="00CD23B4">
        <w:t>s</w:t>
      </w:r>
      <w:r w:rsidR="00D77461">
        <w:t xml:space="preserve"> </w:t>
      </w:r>
      <w:r w:rsidR="0079412A">
        <w:t xml:space="preserve">beyond </w:t>
      </w:r>
      <w:r w:rsidR="004C0F44">
        <w:t xml:space="preserve">those </w:t>
      </w:r>
      <w:r w:rsidR="0079412A">
        <w:t xml:space="preserve">embedded in </w:t>
      </w:r>
      <w:r w:rsidR="004C0F44">
        <w:t>L</w:t>
      </w:r>
      <w:r w:rsidR="0079412A">
        <w:t>evel 1 and Level 2 legislation</w:t>
      </w:r>
      <w:r w:rsidR="00105033">
        <w:t xml:space="preserve">.  </w:t>
      </w:r>
      <w:r w:rsidR="0079412A">
        <w:t xml:space="preserve">It seems likely that KBRA will incur additional cost beyond the “additional resource in the CRAs Review Functions and … training costs for staff. “  There </w:t>
      </w:r>
      <w:r>
        <w:t>may</w:t>
      </w:r>
      <w:r w:rsidR="0079412A">
        <w:t xml:space="preserve"> be additional resource</w:t>
      </w:r>
      <w:r>
        <w:t>s required</w:t>
      </w:r>
      <w:r w:rsidR="0079412A">
        <w:t xml:space="preserve"> in the analytical staff, </w:t>
      </w:r>
      <w:r w:rsidR="0061629A">
        <w:t>and it is likely that</w:t>
      </w:r>
      <w:r w:rsidR="0079412A">
        <w:t xml:space="preserve"> </w:t>
      </w:r>
      <w:r w:rsidR="0061629A">
        <w:t xml:space="preserve">there will be </w:t>
      </w:r>
      <w:r w:rsidR="0079412A">
        <w:t>IT and data infrastructure costs created by these requirements.</w:t>
      </w:r>
      <w:r w:rsidR="003371FF">
        <w:t xml:space="preserve"> </w:t>
      </w:r>
      <w:r w:rsidR="00CD23B4">
        <w:t>Further, t</w:t>
      </w:r>
      <w:r w:rsidR="00DF6197">
        <w:t>here may be additional 3</w:t>
      </w:r>
      <w:r w:rsidR="00DF6197" w:rsidRPr="00105033">
        <w:rPr>
          <w:vertAlign w:val="superscript"/>
        </w:rPr>
        <w:t>rd</w:t>
      </w:r>
      <w:r w:rsidR="00DF6197">
        <w:t>-party data costs due to the proposed requirements regarding cases where KBRA chooses to use data enhancement techniques.</w:t>
      </w:r>
    </w:p>
    <w:permEnd w:id="1530863476"/>
    <w:p w:rsidR="009A2624" w:rsidRDefault="00665C07" w:rsidP="009A2624">
      <w:r>
        <w:t>&lt;ESMA_QUESTION_C</w:t>
      </w:r>
      <w:r w:rsidR="009A2624">
        <w:t>P_</w:t>
      </w:r>
      <w:r w:rsidR="00486FD5">
        <w:t>GCRA</w:t>
      </w:r>
      <w:r w:rsidR="009A2624">
        <w:t>_1&gt;</w:t>
      </w:r>
    </w:p>
    <w:p w:rsidR="009A2624" w:rsidRDefault="009A2624" w:rsidP="009A2624"/>
    <w:p w:rsidR="009A2624" w:rsidRPr="007F44BF" w:rsidRDefault="00486FD5" w:rsidP="00486FD5">
      <w:pPr>
        <w:pStyle w:val="Questionstyle"/>
      </w:pPr>
      <w:r w:rsidRPr="00486FD5">
        <w:rPr>
          <w:lang w:val="en-US"/>
        </w:rPr>
        <w:t>Do you agree that it is appropriate to set out certain measures as ones that ESMA “typically expects”? If not, please explain why</w:t>
      </w:r>
      <w:r>
        <w:rPr>
          <w:lang w:val="en-US"/>
        </w:rPr>
        <w:t>.</w:t>
      </w:r>
    </w:p>
    <w:p w:rsidR="009A2624" w:rsidRDefault="00665C07" w:rsidP="009A2624">
      <w:r>
        <w:t>&lt;ESMA_QUESTION_C</w:t>
      </w:r>
      <w:r w:rsidR="009A2624">
        <w:t>P_</w:t>
      </w:r>
      <w:r w:rsidR="00486FD5" w:rsidRPr="00486FD5">
        <w:t>GCRA</w:t>
      </w:r>
      <w:r w:rsidR="009A2624">
        <w:t>_2&gt;</w:t>
      </w:r>
    </w:p>
    <w:p w:rsidR="00101151" w:rsidRDefault="00101151" w:rsidP="00101151">
      <w:permStart w:id="97994105" w:edGrp="everyone"/>
      <w:r>
        <w:t xml:space="preserve">KBRA is generally more comfortable with the change from “measures that a CRA should use” to “measures that ESMA typically expects a CRA to use”.  However, despite the change in nomenclature, KBRA still believes there is a risk that these measures will be elevated to </w:t>
      </w:r>
      <w:r w:rsidRPr="00105033">
        <w:rPr>
          <w:i/>
        </w:rPr>
        <w:t>de</w:t>
      </w:r>
      <w:r w:rsidR="00CD23B4" w:rsidRPr="00105033">
        <w:rPr>
          <w:i/>
        </w:rPr>
        <w:t xml:space="preserve"> </w:t>
      </w:r>
      <w:r w:rsidRPr="00105033">
        <w:rPr>
          <w:i/>
        </w:rPr>
        <w:t>facto</w:t>
      </w:r>
      <w:r>
        <w:t xml:space="preserve"> standard measures</w:t>
      </w:r>
      <w:r w:rsidR="00F50C1C">
        <w:t>, which could potentially yield unintended consequences.</w:t>
      </w:r>
    </w:p>
    <w:p w:rsidR="00101151" w:rsidRDefault="00101151" w:rsidP="00101151"/>
    <w:p w:rsidR="00101151" w:rsidRPr="008C015C" w:rsidRDefault="00101151" w:rsidP="00101151">
      <w:r>
        <w:t>Additionally, KBRA would appreciate more guidance from ESMA on the measures that can be considered complementary measures.</w:t>
      </w:r>
    </w:p>
    <w:permEnd w:id="97994105"/>
    <w:p w:rsidR="009A2624" w:rsidRDefault="00665C07" w:rsidP="009A2624">
      <w:r>
        <w:t>&lt;ESMA_QUESTION_C</w:t>
      </w:r>
      <w:r w:rsidR="009A2624">
        <w:t>P_</w:t>
      </w:r>
      <w:r w:rsidR="00486FD5" w:rsidRPr="00486FD5">
        <w:t>GCRA</w:t>
      </w:r>
      <w:r w:rsidR="009A2624">
        <w:t>_2&gt;</w:t>
      </w:r>
    </w:p>
    <w:p w:rsidR="009A2624" w:rsidRDefault="009A2624" w:rsidP="009A2624"/>
    <w:p w:rsidR="009A2624" w:rsidRDefault="002B6866" w:rsidP="002B6866">
      <w:pPr>
        <w:pStyle w:val="Questionstyle"/>
        <w:rPr>
          <w:rFonts w:cstheme="minorHAnsi"/>
        </w:rPr>
      </w:pPr>
      <w:r w:rsidRPr="002B6866">
        <w:t>Where a CRA diverges from measures ESMA typically expects to be used, do you agree that it should document its rationale and explain how it meets the regulatory requirements? If not, please explain why.</w:t>
      </w:r>
    </w:p>
    <w:p w:rsidR="009A2624" w:rsidRDefault="00665C07" w:rsidP="009A2624">
      <w:r>
        <w:t>&lt;ESMA_QUESTION_C</w:t>
      </w:r>
      <w:r w:rsidR="009A2624">
        <w:t>P_</w:t>
      </w:r>
      <w:r w:rsidR="002B6866" w:rsidRPr="002B6866">
        <w:t>GCRA</w:t>
      </w:r>
      <w:r w:rsidR="009A2624">
        <w:t>_3&gt;</w:t>
      </w:r>
    </w:p>
    <w:p w:rsidR="00101151" w:rsidRDefault="00101151" w:rsidP="00CF1310">
      <w:permStart w:id="1201091091" w:edGrp="everyone"/>
      <w:r>
        <w:t xml:space="preserve">KBRA is in agreement that divergence from the measures that ESMA typically expects to use should be documented, including </w:t>
      </w:r>
      <w:r w:rsidR="00062261">
        <w:t>a</w:t>
      </w:r>
      <w:r>
        <w:t xml:space="preserve"> rationale and </w:t>
      </w:r>
      <w:r w:rsidR="00062261">
        <w:t xml:space="preserve">an </w:t>
      </w:r>
      <w:r>
        <w:t xml:space="preserve">explanation of how </w:t>
      </w:r>
      <w:r w:rsidR="00062261">
        <w:t xml:space="preserve">what is being </w:t>
      </w:r>
      <w:r w:rsidR="00F50C1C">
        <w:t>provided meets</w:t>
      </w:r>
      <w:r>
        <w:t xml:space="preserve"> the regulatory requirement.  KBRA </w:t>
      </w:r>
      <w:r w:rsidR="00374BE5">
        <w:t>would appreciate guidance on ESMA’s</w:t>
      </w:r>
      <w:r>
        <w:t xml:space="preserve"> criteria for de</w:t>
      </w:r>
      <w:r w:rsidR="00374BE5">
        <w:t>termin</w:t>
      </w:r>
      <w:r>
        <w:t>ing how a measure that is not typically expected meets the regulatory requirements.</w:t>
      </w:r>
    </w:p>
    <w:permEnd w:id="1201091091"/>
    <w:p w:rsidR="009A2624" w:rsidRDefault="00665C07" w:rsidP="009A2624">
      <w:r>
        <w:t>&lt;ESMA_QUESTION_C</w:t>
      </w:r>
      <w:r w:rsidR="009A2624">
        <w:t>P_</w:t>
      </w:r>
      <w:r w:rsidR="002B6866" w:rsidRPr="002B6866">
        <w:t>GCRA</w:t>
      </w:r>
      <w:r w:rsidR="009A2624">
        <w:t>_3&gt;</w:t>
      </w:r>
    </w:p>
    <w:p w:rsidR="009A2624" w:rsidRDefault="009A2624" w:rsidP="009A2624"/>
    <w:p w:rsidR="009A2624" w:rsidRPr="00B37C5D" w:rsidRDefault="002B6866" w:rsidP="002B6866">
      <w:pPr>
        <w:pStyle w:val="Questionstyle"/>
      </w:pPr>
      <w:r w:rsidRPr="002B6866">
        <w:rPr>
          <w:rFonts w:cstheme="minorHAnsi"/>
          <w:szCs w:val="22"/>
          <w:lang w:val="en-US"/>
        </w:rPr>
        <w:t>Do you agree that where a CRA does not use the CAP curve, the ROC curve should be added as an alternative measure that ESMA should typically expect? If not, please explain why</w:t>
      </w:r>
      <w:r>
        <w:rPr>
          <w:rFonts w:cstheme="minorHAnsi"/>
          <w:szCs w:val="22"/>
          <w:lang w:val="en-US"/>
        </w:rPr>
        <w:t>.</w:t>
      </w:r>
    </w:p>
    <w:p w:rsidR="009A2624" w:rsidRDefault="00665C07" w:rsidP="009A2624">
      <w:r>
        <w:t>&lt;ESMA_QUESTION_C</w:t>
      </w:r>
      <w:r w:rsidR="009A2624">
        <w:t>P_</w:t>
      </w:r>
      <w:r w:rsidR="002B6866" w:rsidRPr="002B6866">
        <w:t>GCRA</w:t>
      </w:r>
      <w:r w:rsidR="009A2624">
        <w:t>_4&gt;</w:t>
      </w:r>
    </w:p>
    <w:p w:rsidR="009B2641" w:rsidRDefault="009B2641" w:rsidP="009A2624">
      <w:permStart w:id="1238580312" w:edGrp="everyone"/>
      <w:r>
        <w:t>Since these two curves are essentially the same, CRAs should have the ability to provide either a CAP curve or a ROC curve, whichever they are most comfortable providing.</w:t>
      </w:r>
    </w:p>
    <w:p w:rsidR="00DF6197" w:rsidRDefault="00DF6197" w:rsidP="009A2624"/>
    <w:p w:rsidR="00DF6197" w:rsidRDefault="00062261" w:rsidP="009A2624">
      <w:r>
        <w:t>KBRA would like to take the opportunity to point out that these measures may be impossible to compute or unreliable</w:t>
      </w:r>
      <w:r w:rsidR="00DF6197">
        <w:t xml:space="preserve"> for </w:t>
      </w:r>
      <w:r w:rsidR="00F50C1C">
        <w:t>sectors which have</w:t>
      </w:r>
      <w:r w:rsidR="00374BE5">
        <w:t xml:space="preserve"> limited</w:t>
      </w:r>
      <w:r w:rsidR="00DF6197">
        <w:t xml:space="preserve"> coverage </w:t>
      </w:r>
      <w:r w:rsidR="00F50C1C">
        <w:t>or low</w:t>
      </w:r>
      <w:r w:rsidR="00DF6197">
        <w:t>- or no-default experience.</w:t>
      </w:r>
    </w:p>
    <w:permEnd w:id="1238580312"/>
    <w:p w:rsidR="009A2624" w:rsidRDefault="00665C07" w:rsidP="009A2624">
      <w:r>
        <w:t>&lt;ESMA_QUESTION_C</w:t>
      </w:r>
      <w:r w:rsidR="009A2624">
        <w:t>P_</w:t>
      </w:r>
      <w:r w:rsidR="002B6866" w:rsidRPr="002B6866">
        <w:t>GCRA</w:t>
      </w:r>
      <w:r w:rsidR="009A2624">
        <w:t>_4&gt;</w:t>
      </w:r>
    </w:p>
    <w:p w:rsidR="009A2624" w:rsidRDefault="009A2624" w:rsidP="009A2624"/>
    <w:p w:rsidR="009A2624" w:rsidRDefault="002B6866" w:rsidP="002342EC">
      <w:pPr>
        <w:pStyle w:val="Questionstyle"/>
      </w:pPr>
      <w:r>
        <w:rPr>
          <w:lang w:val="nl-BE"/>
        </w:rPr>
        <w:t>Do you agree that ESMA should include a reference to qualitative measures under potential complementary measures? If not, please explain why.</w:t>
      </w:r>
    </w:p>
    <w:p w:rsidR="009A2624" w:rsidRDefault="00665C07" w:rsidP="009A2624">
      <w:r>
        <w:t>&lt;ESMA_QUESTION_C</w:t>
      </w:r>
      <w:r w:rsidR="009A2624">
        <w:t>P_</w:t>
      </w:r>
      <w:r w:rsidR="002B6866" w:rsidRPr="002B6866">
        <w:t>GCRA</w:t>
      </w:r>
      <w:r w:rsidR="009A2624">
        <w:t>_5&gt;</w:t>
      </w:r>
    </w:p>
    <w:p w:rsidR="009A2624" w:rsidRDefault="00887233" w:rsidP="009A2624">
      <w:permStart w:id="404774598" w:edGrp="everyone"/>
      <w:r>
        <w:t xml:space="preserve">KBRA agrees that ESMA should include a reference to qualitative measures under potential complementary measures.  </w:t>
      </w:r>
      <w:r w:rsidR="00024E24">
        <w:t>Further, KBRA n</w:t>
      </w:r>
      <w:r>
        <w:t>ote</w:t>
      </w:r>
      <w:r w:rsidR="00024E24">
        <w:t>s</w:t>
      </w:r>
      <w:r>
        <w:t xml:space="preserve"> that the </w:t>
      </w:r>
      <w:r w:rsidR="009B2641">
        <w:t xml:space="preserve">context of </w:t>
      </w:r>
      <w:r>
        <w:t xml:space="preserve">this question is </w:t>
      </w:r>
      <w:r w:rsidR="009B2641">
        <w:t xml:space="preserve">“for credit ratings </w:t>
      </w:r>
      <w:r w:rsidR="00024E24">
        <w:t>which</w:t>
      </w:r>
      <w:r w:rsidR="009B2641">
        <w:t xml:space="preserve"> refer to default probabilities”.  </w:t>
      </w:r>
      <w:r>
        <w:t xml:space="preserve">KBRA believes that </w:t>
      </w:r>
      <w:r w:rsidR="009B2641">
        <w:t>CRAs should also have the ability to include qualitative measures as complementary measures for credit ratings that refer to creditworthiness</w:t>
      </w:r>
      <w:r w:rsidR="00024E24">
        <w:t xml:space="preserve"> measures other than default probabilities</w:t>
      </w:r>
      <w:r w:rsidR="009B2641">
        <w:t xml:space="preserve">. </w:t>
      </w:r>
      <w:permEnd w:id="404774598"/>
      <w:r w:rsidR="00665C07">
        <w:t>&lt;ESMA_QUESTION_C</w:t>
      </w:r>
      <w:r w:rsidR="009A2624">
        <w:t>P_</w:t>
      </w:r>
      <w:r w:rsidR="002B6866" w:rsidRPr="002B6866">
        <w:t>GCRA</w:t>
      </w:r>
      <w:r w:rsidR="009A2624">
        <w:t>_5&gt;</w:t>
      </w:r>
    </w:p>
    <w:p w:rsidR="009A2624" w:rsidRDefault="009A2624" w:rsidP="009A2624"/>
    <w:p w:rsidR="009A2624" w:rsidRPr="007F44BF" w:rsidRDefault="00416D8F" w:rsidP="00416D8F">
      <w:pPr>
        <w:pStyle w:val="Questionstyle"/>
      </w:pPr>
      <w:r w:rsidRPr="00416D8F">
        <w:rPr>
          <w:rFonts w:cs="Arial"/>
          <w:lang w:val="en-US"/>
        </w:rPr>
        <w:t>Do you agree that the Population / System Stability Index is more appropriate as a complementary measure? If not, please explain why.</w:t>
      </w:r>
    </w:p>
    <w:p w:rsidR="009A2624" w:rsidRDefault="00665C07" w:rsidP="009A2624">
      <w:r>
        <w:t>&lt;ESMA_QUESTION_C</w:t>
      </w:r>
      <w:r w:rsidR="009A2624">
        <w:t>P_</w:t>
      </w:r>
      <w:r w:rsidR="00416D8F" w:rsidRPr="00416D8F">
        <w:t>GCRA</w:t>
      </w:r>
      <w:r w:rsidR="009A2624">
        <w:t>_6&gt;</w:t>
      </w:r>
    </w:p>
    <w:p w:rsidR="009A2624" w:rsidRDefault="00887233" w:rsidP="009A2624">
      <w:permStart w:id="869353941" w:edGrp="everyone"/>
      <w:r>
        <w:t xml:space="preserve">KBRA </w:t>
      </w:r>
      <w:r w:rsidR="00024E24">
        <w:t>agrees</w:t>
      </w:r>
      <w:r>
        <w:t xml:space="preserve"> that the Population / System Stability Index is more appropriate as a complementary measure than a typically expected measure.</w:t>
      </w:r>
      <w:r w:rsidR="00CF1310">
        <w:t xml:space="preserve"> </w:t>
      </w:r>
    </w:p>
    <w:permEnd w:id="869353941"/>
    <w:p w:rsidR="009A2624" w:rsidRDefault="00665C07" w:rsidP="009A2624">
      <w:r>
        <w:t>&lt;ESMA_QUESTION_C</w:t>
      </w:r>
      <w:r w:rsidR="009A2624">
        <w:t>P_</w:t>
      </w:r>
      <w:r w:rsidR="00416D8F" w:rsidRPr="002B6866">
        <w:t>GCRA</w:t>
      </w:r>
      <w:r w:rsidR="009A2624">
        <w:t>_6&gt;</w:t>
      </w:r>
    </w:p>
    <w:p w:rsidR="009A2624" w:rsidRDefault="009A2624" w:rsidP="009A2624"/>
    <w:p w:rsidR="009A2624" w:rsidRPr="007F44BF" w:rsidRDefault="00DE63E9" w:rsidP="00DE63E9">
      <w:pPr>
        <w:pStyle w:val="Questionstyle"/>
      </w:pPr>
      <w:r w:rsidRPr="00DE63E9">
        <w:rPr>
          <w:rFonts w:cs="Arial"/>
          <w:lang w:val="en-US"/>
        </w:rPr>
        <w:t>Do you agree that where a CRA chooses to use data enhancement techniques it should be subject to verifying data quality and safeguarding the characteristics of the rated population, including its default rate? If not, please explain why.</w:t>
      </w:r>
    </w:p>
    <w:p w:rsidR="009A2624" w:rsidRDefault="00665C07" w:rsidP="009A2624">
      <w:r>
        <w:t>&lt;ESMA_QUESTION_C</w:t>
      </w:r>
      <w:r w:rsidR="009A2624">
        <w:t>P_</w:t>
      </w:r>
      <w:r w:rsidR="00DE63E9" w:rsidRPr="00DE63E9">
        <w:t>GCRA</w:t>
      </w:r>
      <w:r w:rsidR="009A2624">
        <w:t>_7&gt;</w:t>
      </w:r>
    </w:p>
    <w:p w:rsidR="009A2624" w:rsidRDefault="00887233" w:rsidP="009A2624">
      <w:permStart w:id="1934232559" w:edGrp="everyone"/>
      <w:r>
        <w:t>KBRA believes that data enhancement techniques</w:t>
      </w:r>
      <w:r w:rsidR="00FA4020">
        <w:t xml:space="preserve">, which can be effective in certain situations </w:t>
      </w:r>
      <w:r w:rsidR="00374BE5">
        <w:t>where data is lacking</w:t>
      </w:r>
      <w:r w:rsidR="00FA4020">
        <w:t>, have</w:t>
      </w:r>
      <w:r w:rsidR="00F50C1C">
        <w:t xml:space="preserve"> </w:t>
      </w:r>
      <w:r>
        <w:t>limitations.  KBRA would appreciate guidance on the term “safeguarding” as it is used in this regulation</w:t>
      </w:r>
      <w:r w:rsidR="00FA4020">
        <w:t xml:space="preserve"> and how ESMA intends to evaluate whether characteristics of the rated population have been sufficiently “safeguarded”</w:t>
      </w:r>
      <w:r w:rsidR="00F50C1C">
        <w:t>.</w:t>
      </w:r>
      <w:r>
        <w:t xml:space="preserve">  </w:t>
      </w:r>
      <w:r w:rsidR="00024E24">
        <w:t>While</w:t>
      </w:r>
      <w:r w:rsidR="00F50C1C">
        <w:t xml:space="preserve"> </w:t>
      </w:r>
      <w:r>
        <w:t>CRAs should strive to enhance data sets with data that is representative of the rated population</w:t>
      </w:r>
      <w:r w:rsidR="00024E24">
        <w:t>,</w:t>
      </w:r>
      <w:r>
        <w:t xml:space="preserve"> in practice it can be difficult to get data proxies that are perfectly representative</w:t>
      </w:r>
      <w:r w:rsidR="00FA4020">
        <w:t>.</w:t>
      </w:r>
    </w:p>
    <w:permEnd w:id="1934232559"/>
    <w:p w:rsidR="009A2624" w:rsidRDefault="00665C07" w:rsidP="009A2624">
      <w:r>
        <w:t>&lt;ESMA_QUESTION_C</w:t>
      </w:r>
      <w:r w:rsidR="009A2624">
        <w:t>P_</w:t>
      </w:r>
      <w:r w:rsidR="00DE63E9" w:rsidRPr="00DE63E9">
        <w:t>GCRA</w:t>
      </w:r>
      <w:r w:rsidR="009A2624">
        <w:t>_7&gt;</w:t>
      </w:r>
    </w:p>
    <w:p w:rsidR="009A2624" w:rsidRDefault="009A2624" w:rsidP="009A2624"/>
    <w:p w:rsidR="009A2624" w:rsidRPr="007F44BF" w:rsidRDefault="00021863" w:rsidP="00021863">
      <w:pPr>
        <w:pStyle w:val="Questionstyle"/>
      </w:pPr>
      <w:r w:rsidRPr="00021863">
        <w:rPr>
          <w:rFonts w:cs="Arial"/>
          <w:lang w:val="en-US"/>
        </w:rPr>
        <w:t>Do you agree that a CRA needs to adopt a consistent approach in setting thresholds for both qualitative and quantitative validation techniques? If not, please explain why.</w:t>
      </w:r>
    </w:p>
    <w:p w:rsidR="009A2624" w:rsidRDefault="00665C07" w:rsidP="009A2624">
      <w:r>
        <w:t>&lt;ESMA_QUESTION_C</w:t>
      </w:r>
      <w:r w:rsidR="009A2624">
        <w:t>P_</w:t>
      </w:r>
      <w:r w:rsidR="00021863" w:rsidRPr="00021863">
        <w:t>GCRA</w:t>
      </w:r>
      <w:r w:rsidR="009A2624">
        <w:t>_8&gt;</w:t>
      </w:r>
    </w:p>
    <w:p w:rsidR="00887233" w:rsidRDefault="00887233" w:rsidP="00887233">
      <w:permStart w:id="1341006428" w:edGrp="everyone"/>
      <w:r>
        <w:t>Since these thresholds are difficult to arrive at, CRAs should have the ability to use a threshold setting approach that is appropriate, even if it</w:t>
      </w:r>
      <w:r w:rsidR="00024E24">
        <w:t xml:space="preserve"> is</w:t>
      </w:r>
      <w:r>
        <w:t xml:space="preserve"> not </w:t>
      </w:r>
      <w:r w:rsidR="00374BE5">
        <w:t>necessarily consistent between</w:t>
      </w:r>
      <w:r>
        <w:t xml:space="preserve"> quantitative </w:t>
      </w:r>
      <w:r w:rsidR="00374BE5">
        <w:t>and qualitative techniques</w:t>
      </w:r>
      <w:r>
        <w:t xml:space="preserve">.  </w:t>
      </w:r>
      <w:r w:rsidR="00374BE5">
        <w:t>It is difficult to compare qualitative and quantitative approaches, and overlaying a quantitative approach to expert judgment would not be feasible or practical.  A variety of approaches</w:t>
      </w:r>
      <w:r>
        <w:t xml:space="preserve"> for threshold setting should be allowed, provided that sufficient ju</w:t>
      </w:r>
      <w:r w:rsidR="004C0F44">
        <w:t>stification and documentation are</w:t>
      </w:r>
      <w:r>
        <w:t xml:space="preserve"> presented.</w:t>
      </w:r>
    </w:p>
    <w:permEnd w:id="1341006428"/>
    <w:p w:rsidR="00BE3CE5" w:rsidRDefault="00665C07" w:rsidP="009A2624">
      <w:r>
        <w:t>&lt;ESMA_QUESTION_C</w:t>
      </w:r>
      <w:r w:rsidR="009A2624">
        <w:t>P_</w:t>
      </w:r>
      <w:r w:rsidR="00021863" w:rsidRPr="00021863">
        <w:t>GCRA</w:t>
      </w:r>
      <w:r w:rsidR="009A2624">
        <w:t>_8&gt;</w:t>
      </w:r>
    </w:p>
    <w:sectPr w:rsidR="00BE3CE5"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B7C" w:rsidRDefault="00D50B7C">
      <w:r>
        <w:separator/>
      </w:r>
    </w:p>
    <w:p w:rsidR="00D50B7C" w:rsidRDefault="00D50B7C"/>
  </w:endnote>
  <w:endnote w:type="continuationSeparator" w:id="0">
    <w:p w:rsidR="00D50B7C" w:rsidRDefault="00D50B7C">
      <w:r>
        <w:continuationSeparator/>
      </w:r>
    </w:p>
    <w:p w:rsidR="00D50B7C" w:rsidRDefault="00D50B7C"/>
  </w:endnote>
  <w:endnote w:type="continuationNotice" w:id="1">
    <w:p w:rsidR="00D50B7C" w:rsidRDefault="00D50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4C0F44">
            <w:rPr>
              <w:rFonts w:cs="Arial"/>
              <w:noProof/>
              <w:sz w:val="22"/>
              <w:szCs w:val="22"/>
            </w:rPr>
            <w:t>6</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B7C" w:rsidRDefault="00D50B7C">
      <w:r>
        <w:separator/>
      </w:r>
    </w:p>
    <w:p w:rsidR="00D50B7C" w:rsidRDefault="00D50B7C"/>
  </w:footnote>
  <w:footnote w:type="continuationSeparator" w:id="0">
    <w:p w:rsidR="00D50B7C" w:rsidRDefault="00D50B7C">
      <w:r>
        <w:continuationSeparator/>
      </w:r>
    </w:p>
    <w:p w:rsidR="00D50B7C" w:rsidRDefault="00D50B7C"/>
  </w:footnote>
  <w:footnote w:type="continuationNotice" w:id="1">
    <w:p w:rsidR="00D50B7C" w:rsidRDefault="00D50B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B128"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56D3"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6CB1BAA"/>
    <w:multiLevelType w:val="hybridMultilevel"/>
    <w:tmpl w:val="02B4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9807566"/>
    <w:multiLevelType w:val="hybridMultilevel"/>
    <w:tmpl w:val="40567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CC3748"/>
    <w:multiLevelType w:val="hybridMultilevel"/>
    <w:tmpl w:val="F2FC3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E465FC"/>
    <w:multiLevelType w:val="hybridMultilevel"/>
    <w:tmpl w:val="8F3C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8"/>
  </w:num>
  <w:num w:numId="5">
    <w:abstractNumId w:val="30"/>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5"/>
  </w:num>
  <w:num w:numId="15">
    <w:abstractNumId w:val="11"/>
  </w:num>
  <w:num w:numId="16">
    <w:abstractNumId w:val="1"/>
  </w:num>
  <w:num w:numId="17">
    <w:abstractNumId w:val="15"/>
  </w:num>
  <w:num w:numId="18">
    <w:abstractNumId w:val="16"/>
  </w:num>
  <w:num w:numId="19">
    <w:abstractNumId w:val="18"/>
  </w:num>
  <w:num w:numId="20">
    <w:abstractNumId w:val="31"/>
  </w:num>
  <w:num w:numId="21">
    <w:abstractNumId w:val="40"/>
  </w:num>
  <w:num w:numId="22">
    <w:abstractNumId w:val="29"/>
  </w:num>
  <w:num w:numId="23">
    <w:abstractNumId w:val="10"/>
  </w:num>
  <w:num w:numId="24">
    <w:abstractNumId w:val="34"/>
  </w:num>
  <w:num w:numId="25">
    <w:abstractNumId w:val="33"/>
  </w:num>
  <w:num w:numId="26">
    <w:abstractNumId w:val="21"/>
  </w:num>
  <w:num w:numId="27">
    <w:abstractNumId w:val="37"/>
  </w:num>
  <w:num w:numId="28">
    <w:abstractNumId w:val="43"/>
  </w:num>
  <w:num w:numId="29">
    <w:abstractNumId w:val="8"/>
  </w:num>
  <w:num w:numId="30">
    <w:abstractNumId w:val="4"/>
  </w:num>
  <w:num w:numId="31">
    <w:abstractNumId w:val="24"/>
  </w:num>
  <w:num w:numId="32">
    <w:abstractNumId w:val="2"/>
  </w:num>
  <w:num w:numId="33">
    <w:abstractNumId w:val="7"/>
  </w:num>
  <w:num w:numId="34">
    <w:abstractNumId w:val="23"/>
  </w:num>
  <w:num w:numId="35">
    <w:abstractNumId w:val="39"/>
  </w:num>
  <w:num w:numId="36">
    <w:abstractNumId w:val="38"/>
  </w:num>
  <w:num w:numId="37">
    <w:abstractNumId w:val="12"/>
  </w:num>
  <w:num w:numId="38">
    <w:abstractNumId w:val="3"/>
  </w:num>
  <w:num w:numId="39">
    <w:abstractNumId w:val="41"/>
  </w:num>
  <w:num w:numId="40">
    <w:abstractNumId w:val="27"/>
  </w:num>
  <w:num w:numId="41">
    <w:abstractNumId w:val="20"/>
  </w:num>
  <w:num w:numId="42">
    <w:abstractNumId w:val="22"/>
  </w:num>
  <w:num w:numId="43">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863"/>
    <w:rsid w:val="00021E83"/>
    <w:rsid w:val="00023713"/>
    <w:rsid w:val="00023C4D"/>
    <w:rsid w:val="00024E24"/>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261"/>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3EB"/>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469A"/>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1151"/>
    <w:rsid w:val="001027F1"/>
    <w:rsid w:val="00104F2E"/>
    <w:rsid w:val="00105033"/>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4452"/>
    <w:rsid w:val="0019508A"/>
    <w:rsid w:val="001960D8"/>
    <w:rsid w:val="001A1642"/>
    <w:rsid w:val="001A371B"/>
    <w:rsid w:val="001A4766"/>
    <w:rsid w:val="001A5E5C"/>
    <w:rsid w:val="001A6A0D"/>
    <w:rsid w:val="001A6C51"/>
    <w:rsid w:val="001A6FAA"/>
    <w:rsid w:val="001A7D73"/>
    <w:rsid w:val="001B0222"/>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685F"/>
    <w:rsid w:val="001D722A"/>
    <w:rsid w:val="001E04FC"/>
    <w:rsid w:val="001E407D"/>
    <w:rsid w:val="001E40FB"/>
    <w:rsid w:val="001E66EC"/>
    <w:rsid w:val="001E68C5"/>
    <w:rsid w:val="001F0F63"/>
    <w:rsid w:val="001F3996"/>
    <w:rsid w:val="001F44A4"/>
    <w:rsid w:val="001F579D"/>
    <w:rsid w:val="001F65EF"/>
    <w:rsid w:val="001F697B"/>
    <w:rsid w:val="002005A6"/>
    <w:rsid w:val="002039F0"/>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4149"/>
    <w:rsid w:val="00286064"/>
    <w:rsid w:val="002867B1"/>
    <w:rsid w:val="00287BBB"/>
    <w:rsid w:val="00287D4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866"/>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371FF"/>
    <w:rsid w:val="00341B25"/>
    <w:rsid w:val="00341EC0"/>
    <w:rsid w:val="0034240C"/>
    <w:rsid w:val="00344496"/>
    <w:rsid w:val="00345968"/>
    <w:rsid w:val="003463A6"/>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4BE5"/>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1D3"/>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643"/>
    <w:rsid w:val="004049C0"/>
    <w:rsid w:val="00406E90"/>
    <w:rsid w:val="00410240"/>
    <w:rsid w:val="00412253"/>
    <w:rsid w:val="004142ED"/>
    <w:rsid w:val="0041634D"/>
    <w:rsid w:val="00416D8F"/>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3DD"/>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6FD5"/>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0F44"/>
    <w:rsid w:val="004C14E7"/>
    <w:rsid w:val="004C1D89"/>
    <w:rsid w:val="004C2A94"/>
    <w:rsid w:val="004C3DAB"/>
    <w:rsid w:val="004C4681"/>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34B4"/>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29A"/>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27BF"/>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0B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12A"/>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B6134"/>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233"/>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A2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2641"/>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1C35"/>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3CE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5E0E"/>
    <w:rsid w:val="00A66BEE"/>
    <w:rsid w:val="00A671C9"/>
    <w:rsid w:val="00A67DFD"/>
    <w:rsid w:val="00A74F9F"/>
    <w:rsid w:val="00A750B3"/>
    <w:rsid w:val="00A75559"/>
    <w:rsid w:val="00A7623D"/>
    <w:rsid w:val="00A824A7"/>
    <w:rsid w:val="00A83644"/>
    <w:rsid w:val="00A83C07"/>
    <w:rsid w:val="00A83E84"/>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9C1"/>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777A0"/>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1AF"/>
    <w:rsid w:val="00C86471"/>
    <w:rsid w:val="00C8677B"/>
    <w:rsid w:val="00C86F96"/>
    <w:rsid w:val="00C90904"/>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3B4"/>
    <w:rsid w:val="00CD279E"/>
    <w:rsid w:val="00CD2F92"/>
    <w:rsid w:val="00CD4EB0"/>
    <w:rsid w:val="00CD512D"/>
    <w:rsid w:val="00CD5831"/>
    <w:rsid w:val="00CD6F6E"/>
    <w:rsid w:val="00CE157F"/>
    <w:rsid w:val="00CE1966"/>
    <w:rsid w:val="00CE1ED4"/>
    <w:rsid w:val="00CE2216"/>
    <w:rsid w:val="00CE3014"/>
    <w:rsid w:val="00CE30E5"/>
    <w:rsid w:val="00CE6FC6"/>
    <w:rsid w:val="00CF1310"/>
    <w:rsid w:val="00CF2056"/>
    <w:rsid w:val="00CF3024"/>
    <w:rsid w:val="00CF4471"/>
    <w:rsid w:val="00CF51C0"/>
    <w:rsid w:val="00CF5B2A"/>
    <w:rsid w:val="00CF5B86"/>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5641"/>
    <w:rsid w:val="00D50B7C"/>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461"/>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70E"/>
    <w:rsid w:val="00DE63E9"/>
    <w:rsid w:val="00DE64A6"/>
    <w:rsid w:val="00DE66EB"/>
    <w:rsid w:val="00DE7035"/>
    <w:rsid w:val="00DF12E3"/>
    <w:rsid w:val="00DF2E8E"/>
    <w:rsid w:val="00DF3F1D"/>
    <w:rsid w:val="00DF595C"/>
    <w:rsid w:val="00DF6197"/>
    <w:rsid w:val="00DF7EA7"/>
    <w:rsid w:val="00E04548"/>
    <w:rsid w:val="00E0484E"/>
    <w:rsid w:val="00E063F8"/>
    <w:rsid w:val="00E114D6"/>
    <w:rsid w:val="00E1166E"/>
    <w:rsid w:val="00E11DBD"/>
    <w:rsid w:val="00E13211"/>
    <w:rsid w:val="00E1554F"/>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0C1C"/>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4020"/>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007A"/>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EA06C029-EC7C-4CF7-8238-9FF46360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E0E"/>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c8637115ca234e04bb3384934748beb0>
    <gda4d86408c5493e8985022410f7cd57 xmlns="04e156a7-4389-4348-bdc5-772e1b15193f">
      <Terms xmlns="http://schemas.microsoft.com/office/infopath/2007/PartnerControls"/>
    </gda4d86408c5493e8985022410f7cd57>
    <Year xmlns="04e156a7-4389-4348-bdc5-772e1b15193f"/>
    <i5bb2eea380a44bda7ee278cd0cc8b9c xmlns="04e156a7-4389-4348-bdc5-772e1b15193f">
      <Terms xmlns="http://schemas.microsoft.com/office/infopath/2007/PartnerControls"/>
    </i5bb2eea380a44bda7ee278cd0cc8b9c>
    <ecffb14172554a4ba7481deb4c063ead xmlns="04e156a7-4389-4348-bdc5-772e1b15193f">
      <Terms xmlns="http://schemas.microsoft.com/office/infopath/2007/PartnerControls"/>
    </ecffb14172554a4ba7481deb4c063ead>
    <j05422ce24ce4e4ab320b03641ea4418 xmlns="04e156a7-4389-4348-bdc5-772e1b15193f">
      <Terms xmlns="http://schemas.microsoft.com/office/infopath/2007/PartnerControls"/>
    </j05422ce24ce4e4ab320b03641ea4418>
    <TaxCatchAll xmlns="04e156a7-4389-4348-bdc5-772e1b15193f"/>
    <_dlc_DocId xmlns="04e156a7-4389-4348-bdc5-772e1b15193f" xsi:nil="true"/>
    <_dlc_DocIdUrl xmlns="04e156a7-4389-4348-bdc5-772e1b15193f">
      <Url xsi:nil="true"/>
      <Description xsi:nil="true"/>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4D82-EB57-40C1-B963-40E5BD9EC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8AB98-E1CF-4DDA-BE89-907EBDA95291}">
  <ds:schemaRefs>
    <ds:schemaRef ds:uri="http://schemas.microsoft.com/office/2006/metadata/properties"/>
    <ds:schemaRef ds:uri="http://schemas.microsoft.com/office/infopath/2007/PartnerControls"/>
    <ds:schemaRef ds:uri="04e156a7-4389-4348-bdc5-772e1b15193f"/>
  </ds:schemaRefs>
</ds:datastoreItem>
</file>

<file path=customXml/itemProps3.xml><?xml version="1.0" encoding="utf-8"?>
<ds:datastoreItem xmlns:ds="http://schemas.openxmlformats.org/officeDocument/2006/customXml" ds:itemID="{9EC3DA14-2B04-4992-A3D0-284ED5ED88CC}">
  <ds:schemaRefs>
    <ds:schemaRef ds:uri="http://schemas.microsoft.com/sharepoint/events"/>
  </ds:schemaRefs>
</ds:datastoreItem>
</file>

<file path=customXml/itemProps4.xml><?xml version="1.0" encoding="utf-8"?>
<ds:datastoreItem xmlns:ds="http://schemas.openxmlformats.org/officeDocument/2006/customXml" ds:itemID="{6F60BA45-44F3-426B-B81E-2B500873AA7E}">
  <ds:schemaRefs>
    <ds:schemaRef ds:uri="http://schemas.microsoft.com/sharepoint/v3/contenttype/forms"/>
  </ds:schemaRefs>
</ds:datastoreItem>
</file>

<file path=customXml/itemProps5.xml><?xml version="1.0" encoding="utf-8"?>
<ds:datastoreItem xmlns:ds="http://schemas.openxmlformats.org/officeDocument/2006/customXml" ds:itemID="{D173982E-6353-4B93-B792-0FEBBE3B8847}">
  <ds:schemaRefs>
    <ds:schemaRef ds:uri="http://schemas.openxmlformats.org/officeDocument/2006/bibliography"/>
  </ds:schemaRefs>
</ds:datastoreItem>
</file>

<file path=customXml/itemProps6.xml><?xml version="1.0" encoding="utf-8"?>
<ds:datastoreItem xmlns:ds="http://schemas.openxmlformats.org/officeDocument/2006/customXml" ds:itemID="{167BED03-46BB-425E-A70E-DE91E78B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1354</Words>
  <Characters>7721</Characters>
  <Application>Microsoft Office Word</Application>
  <DocSecurity>0</DocSecurity>
  <Lines>64</Lines>
  <Paragraphs>18</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9057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Matthew Mcdonald</cp:lastModifiedBy>
  <cp:revision>2</cp:revision>
  <cp:lastPrinted>2016-08-31T14:08:00Z</cp:lastPrinted>
  <dcterms:created xsi:type="dcterms:W3CDTF">2016-08-30T16:58:00Z</dcterms:created>
  <dcterms:modified xsi:type="dcterms:W3CDTF">2016-08-30T16:58:00Z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a678ce81-37be-4fbf-a8c5-8fd5f81dec37</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