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9412"/>
      </w:tblGrid>
      <w:tr w:rsidR="00C2094B" w:rsidRPr="004E49B0" w:rsidTr="00315E96">
        <w:trPr>
          <w:trHeight w:val="284"/>
        </w:trPr>
        <w:tc>
          <w:tcPr>
            <w:tcW w:w="9412" w:type="dxa"/>
          </w:tcPr>
          <w:p w:rsidR="00C2094B" w:rsidRPr="004E49B0" w:rsidRDefault="00DA32B8" w:rsidP="00284149">
            <w:pPr>
              <w:pStyle w:val="00bDBInfo"/>
              <w:rPr>
                <w:rFonts w:cs="Arial"/>
              </w:rPr>
            </w:pPr>
            <w:r>
              <w:rPr>
                <w:rFonts w:cs="Arial"/>
              </w:rPr>
              <w:t>15</w:t>
            </w:r>
            <w:r w:rsidR="003A5DAC">
              <w:rPr>
                <w:rFonts w:cs="Arial"/>
              </w:rPr>
              <w:t xml:space="preserve"> </w:t>
            </w:r>
            <w:r w:rsidR="004049C0">
              <w:rPr>
                <w:rFonts w:cs="Arial"/>
              </w:rPr>
              <w:t>Ju</w:t>
            </w:r>
            <w:r w:rsidR="00284149">
              <w:rPr>
                <w:rFonts w:cs="Arial"/>
              </w:rPr>
              <w:t>ly</w:t>
            </w:r>
            <w:r w:rsidR="007C3918">
              <w:rPr>
                <w:rFonts w:cs="Arial"/>
              </w:rPr>
              <w:t xml:space="preserve"> </w:t>
            </w:r>
            <w:r w:rsidR="006F4B04" w:rsidRPr="004E49B0">
              <w:rPr>
                <w:rFonts w:cs="Arial"/>
              </w:rPr>
              <w:t>20</w:t>
            </w:r>
            <w:r w:rsidR="003A5DAC">
              <w:rPr>
                <w:rFonts w:cs="Arial"/>
              </w:rPr>
              <w:t>1</w:t>
            </w:r>
            <w:r w:rsidR="007C3918">
              <w:rPr>
                <w:rFonts w:cs="Arial"/>
              </w:rPr>
              <w:t>6</w:t>
            </w:r>
          </w:p>
        </w:tc>
      </w:tr>
    </w:tbl>
    <w:p w:rsidR="00FD7A8D" w:rsidRPr="00616B9B" w:rsidRDefault="00FD7A8D" w:rsidP="00FD7A8D">
      <w:pPr>
        <w:rPr>
          <w:rFonts w:cs="Arial"/>
          <w:vanish/>
        </w:rPr>
      </w:pPr>
    </w:p>
    <w:tbl>
      <w:tblPr>
        <w:tblpPr w:leftFromText="8505" w:vertAnchor="page" w:horzAnchor="page" w:tblpX="1248" w:tblpY="4401"/>
        <w:tblW w:w="9397" w:type="dxa"/>
        <w:tblLayout w:type="fixed"/>
        <w:tblCellMar>
          <w:left w:w="0" w:type="dxa"/>
          <w:right w:w="0" w:type="dxa"/>
        </w:tblCellMar>
        <w:tblLook w:val="01E0" w:firstRow="1" w:lastRow="1" w:firstColumn="1" w:lastColumn="1" w:noHBand="0" w:noVBand="0"/>
      </w:tblPr>
      <w:tblGrid>
        <w:gridCol w:w="9397"/>
      </w:tblGrid>
      <w:tr w:rsidR="00060F72" w:rsidRPr="00616B9B" w:rsidTr="00B835D5">
        <w:trPr>
          <w:trHeight w:hRule="exact" w:val="1209"/>
        </w:trPr>
        <w:tc>
          <w:tcPr>
            <w:tcW w:w="9397" w:type="dxa"/>
            <w:vAlign w:val="bottom"/>
          </w:tcPr>
          <w:p w:rsidR="00DA32B8" w:rsidRDefault="00AE627C" w:rsidP="00DA32B8">
            <w:pPr>
              <w:pStyle w:val="01aDBTitle"/>
              <w:rPr>
                <w:rFonts w:cs="Arial"/>
                <w:sz w:val="32"/>
              </w:rPr>
            </w:pPr>
            <w:r w:rsidRPr="009A053D">
              <w:rPr>
                <w:rFonts w:cs="Arial"/>
                <w:sz w:val="32"/>
              </w:rPr>
              <w:t>Reply form</w:t>
            </w:r>
            <w:r w:rsidR="00B835D5" w:rsidRPr="009A053D">
              <w:rPr>
                <w:rFonts w:cs="Arial"/>
                <w:sz w:val="32"/>
              </w:rPr>
              <w:t xml:space="preserve"> </w:t>
            </w:r>
            <w:r w:rsidR="0043173B" w:rsidRPr="009A053D">
              <w:rPr>
                <w:rFonts w:cs="Arial"/>
                <w:sz w:val="32"/>
              </w:rPr>
              <w:t>for</w:t>
            </w:r>
            <w:r w:rsidR="00027ECF" w:rsidRPr="009A053D">
              <w:rPr>
                <w:rFonts w:cs="Arial"/>
                <w:sz w:val="32"/>
              </w:rPr>
              <w:t xml:space="preserve"> the</w:t>
            </w:r>
            <w:r w:rsidR="00BF557C" w:rsidRPr="009A053D">
              <w:rPr>
                <w:rFonts w:cs="Arial"/>
                <w:sz w:val="32"/>
              </w:rPr>
              <w:t xml:space="preserve"> </w:t>
            </w:r>
            <w:r w:rsidR="00DA32B8">
              <w:rPr>
                <w:rFonts w:cs="Arial"/>
                <w:sz w:val="32"/>
              </w:rPr>
              <w:t>Call for E</w:t>
            </w:r>
            <w:r w:rsidR="00DA32B8" w:rsidRPr="00DA32B8">
              <w:rPr>
                <w:rFonts w:cs="Arial"/>
                <w:sz w:val="32"/>
              </w:rPr>
              <w:t>vidence</w:t>
            </w:r>
            <w:r w:rsidR="00DA32B8">
              <w:rPr>
                <w:rFonts w:cs="Arial"/>
                <w:sz w:val="32"/>
              </w:rPr>
              <w:t xml:space="preserve"> </w:t>
            </w:r>
          </w:p>
          <w:p w:rsidR="00791EB4" w:rsidRPr="009A053D" w:rsidRDefault="00DA32B8" w:rsidP="00DA32B8">
            <w:pPr>
              <w:pStyle w:val="01aDBTitle"/>
              <w:rPr>
                <w:rFonts w:cs="Arial"/>
                <w:sz w:val="32"/>
              </w:rPr>
            </w:pPr>
            <w:r>
              <w:rPr>
                <w:rFonts w:cs="Arial"/>
                <w:sz w:val="32"/>
              </w:rPr>
              <w:t>Asset S</w:t>
            </w:r>
            <w:r w:rsidRPr="00DA32B8">
              <w:rPr>
                <w:rFonts w:cs="Arial"/>
                <w:sz w:val="32"/>
              </w:rPr>
              <w:t>egregatio</w:t>
            </w:r>
            <w:r>
              <w:rPr>
                <w:rFonts w:cs="Arial"/>
                <w:sz w:val="32"/>
              </w:rPr>
              <w:t>n and Custody S</w:t>
            </w:r>
            <w:r w:rsidRPr="00DA32B8">
              <w:rPr>
                <w:rFonts w:cs="Arial"/>
                <w:sz w:val="32"/>
              </w:rPr>
              <w:t>ervices</w:t>
            </w:r>
            <w:r>
              <w:rPr>
                <w:rFonts w:cs="Arial"/>
                <w:sz w:val="32"/>
              </w:rPr>
              <w:t xml:space="preserve"> </w:t>
            </w:r>
            <w:r w:rsidR="009C6CE1">
              <w:rPr>
                <w:rFonts w:cs="Arial"/>
                <w:sz w:val="32"/>
              </w:rPr>
              <w:t xml:space="preserve"> </w:t>
            </w:r>
          </w:p>
        </w:tc>
      </w:tr>
      <w:tr w:rsidR="00060F72" w:rsidRPr="00616B9B" w:rsidTr="00B835D5">
        <w:trPr>
          <w:trHeight w:hRule="exact" w:val="605"/>
        </w:trPr>
        <w:tc>
          <w:tcPr>
            <w:tcW w:w="9397" w:type="dxa"/>
            <w:tcMar>
              <w:top w:w="142" w:type="dxa"/>
            </w:tcMar>
          </w:tcPr>
          <w:p w:rsidR="00D91010" w:rsidRPr="009A053D" w:rsidRDefault="00013CCE" w:rsidP="00027ECF">
            <w:pPr>
              <w:pStyle w:val="01bDBSubtitle"/>
              <w:rPr>
                <w:rFonts w:ascii="Arial" w:hAnsi="Arial" w:cs="Arial"/>
                <w:sz w:val="32"/>
              </w:rPr>
            </w:pPr>
            <w:r w:rsidRPr="009A053D">
              <w:rPr>
                <w:rFonts w:ascii="Arial" w:hAnsi="Arial" w:cs="Arial"/>
                <w:sz w:val="32"/>
              </w:rPr>
              <w:t xml:space="preserve"> </w:t>
            </w:r>
          </w:p>
        </w:tc>
      </w:tr>
    </w:tbl>
    <w:p w:rsidR="00620D7C" w:rsidRPr="00616B9B" w:rsidRDefault="00620D7C" w:rsidP="00C00012">
      <w:pPr>
        <w:pStyle w:val="05HeadlinenoIndex"/>
        <w:rPr>
          <w:rFonts w:cs="Arial"/>
        </w:rPr>
        <w:sectPr w:rsidR="00620D7C" w:rsidRPr="00616B9B" w:rsidSect="006E3C72">
          <w:headerReference w:type="default" r:id="rId13"/>
          <w:footerReference w:type="default" r:id="rId14"/>
          <w:headerReference w:type="first" r:id="rId15"/>
          <w:pgSz w:w="11906" w:h="16838" w:code="9"/>
          <w:pgMar w:top="2835" w:right="1247" w:bottom="1361" w:left="1247" w:header="709" w:footer="709" w:gutter="0"/>
          <w:cols w:space="708"/>
          <w:titlePg/>
          <w:docGrid w:linePitch="360"/>
        </w:sectPr>
      </w:pPr>
    </w:p>
    <w:tbl>
      <w:tblPr>
        <w:tblpPr w:leftFromText="8505" w:bottomFromText="1134" w:vertAnchor="page" w:horzAnchor="page" w:tblpX="8279" w:tblpY="1475"/>
        <w:tblOverlap w:val="never"/>
        <w:tblW w:w="0" w:type="auto"/>
        <w:tblLayout w:type="fixed"/>
        <w:tblCellMar>
          <w:left w:w="0" w:type="dxa"/>
          <w:right w:w="0" w:type="dxa"/>
        </w:tblCellMar>
        <w:tblLook w:val="01E0" w:firstRow="1" w:lastRow="1" w:firstColumn="1" w:lastColumn="1" w:noHBand="0" w:noVBand="0"/>
      </w:tblPr>
      <w:tblGrid>
        <w:gridCol w:w="2325"/>
      </w:tblGrid>
      <w:tr w:rsidR="00620D7C" w:rsidRPr="00616B9B" w:rsidTr="00315E96">
        <w:trPr>
          <w:trHeight w:hRule="exact" w:val="964"/>
        </w:trPr>
        <w:tc>
          <w:tcPr>
            <w:tcW w:w="2325" w:type="dxa"/>
          </w:tcPr>
          <w:p w:rsidR="00620D7C" w:rsidRPr="00176639" w:rsidRDefault="00620D7C" w:rsidP="00DA32B8">
            <w:pPr>
              <w:pStyle w:val="02Date"/>
              <w:rPr>
                <w:rFonts w:cs="Arial"/>
                <w:highlight w:val="red"/>
              </w:rPr>
            </w:pPr>
            <w:r w:rsidRPr="007C3918">
              <w:rPr>
                <w:rFonts w:cs="Arial"/>
              </w:rPr>
              <w:lastRenderedPageBreak/>
              <w:t>Date</w:t>
            </w:r>
            <w:r w:rsidR="00CF5B86">
              <w:rPr>
                <w:rFonts w:cs="Arial"/>
              </w:rPr>
              <w:t>: 1</w:t>
            </w:r>
            <w:r w:rsidR="00DA32B8">
              <w:rPr>
                <w:rFonts w:cs="Arial"/>
              </w:rPr>
              <w:t>5</w:t>
            </w:r>
            <w:r w:rsidR="007C3918" w:rsidRPr="007C3918">
              <w:rPr>
                <w:rFonts w:cs="Arial"/>
              </w:rPr>
              <w:t xml:space="preserve"> </w:t>
            </w:r>
            <w:r w:rsidR="004049C0">
              <w:rPr>
                <w:rFonts w:cs="Arial"/>
              </w:rPr>
              <w:t>Ju</w:t>
            </w:r>
            <w:r w:rsidR="00284149">
              <w:rPr>
                <w:rFonts w:cs="Arial"/>
              </w:rPr>
              <w:t>ly</w:t>
            </w:r>
            <w:r w:rsidR="004049C0">
              <w:rPr>
                <w:rFonts w:cs="Arial"/>
              </w:rPr>
              <w:t xml:space="preserve"> </w:t>
            </w:r>
            <w:r w:rsidR="007C3918" w:rsidRPr="007C3918">
              <w:rPr>
                <w:rFonts w:cs="Arial"/>
              </w:rPr>
              <w:t>2016</w:t>
            </w:r>
          </w:p>
        </w:tc>
      </w:tr>
    </w:tbl>
    <w:p w:rsidR="00F574D0" w:rsidRPr="00616B9B" w:rsidRDefault="00F574D0" w:rsidP="00F574D0">
      <w:pPr>
        <w:pStyle w:val="05HeadlinenoIndex"/>
        <w:rPr>
          <w:rFonts w:cs="Arial"/>
        </w:rPr>
      </w:pPr>
      <w:bookmarkStart w:id="0" w:name="_Toc280628648"/>
      <w:r w:rsidRPr="00616B9B">
        <w:rPr>
          <w:rFonts w:cs="Arial"/>
        </w:rPr>
        <w:t xml:space="preserve">Responding to this paper </w:t>
      </w:r>
    </w:p>
    <w:p w:rsidR="00F574D0" w:rsidRPr="00EF0769" w:rsidRDefault="00F574D0" w:rsidP="00DA32B8">
      <w:pPr>
        <w:pStyle w:val="04BodyText"/>
        <w:spacing w:before="120" w:after="120"/>
        <w:rPr>
          <w:rFonts w:cs="Arial"/>
        </w:rPr>
      </w:pPr>
      <w:r w:rsidRPr="00EF0769">
        <w:rPr>
          <w:rFonts w:cs="Arial"/>
        </w:rPr>
        <w:t>The European Securities and Markets Authority (ESMA) invites responses to the s</w:t>
      </w:r>
      <w:r w:rsidR="00955F48" w:rsidRPr="00EF0769">
        <w:rPr>
          <w:rFonts w:cs="Arial"/>
        </w:rPr>
        <w:t xml:space="preserve">pecific questions listed in </w:t>
      </w:r>
      <w:r w:rsidR="00CF5B86">
        <w:rPr>
          <w:rFonts w:cs="Arial"/>
        </w:rPr>
        <w:t xml:space="preserve">the </w:t>
      </w:r>
      <w:r w:rsidR="00DA32B8" w:rsidRPr="00DA32B8">
        <w:rPr>
          <w:rFonts w:cs="Arial"/>
        </w:rPr>
        <w:t>Call for Evidence Asset Se</w:t>
      </w:r>
      <w:r w:rsidR="00DA32B8">
        <w:rPr>
          <w:rFonts w:cs="Arial"/>
        </w:rPr>
        <w:t xml:space="preserve">gregation and Custody Services </w:t>
      </w:r>
      <w:r w:rsidR="008701E5" w:rsidRPr="008701E5">
        <w:rPr>
          <w:rFonts w:cs="Arial"/>
        </w:rPr>
        <w:t>(</w:t>
      </w:r>
      <w:r w:rsidR="00DA32B8">
        <w:rPr>
          <w:rFonts w:cs="Arial"/>
        </w:rPr>
        <w:t>ASCS</w:t>
      </w:r>
      <w:r w:rsidR="008701E5" w:rsidRPr="008701E5">
        <w:rPr>
          <w:rFonts w:cs="Arial"/>
        </w:rPr>
        <w:t>)</w:t>
      </w:r>
      <w:r w:rsidR="00015B5E" w:rsidRPr="00EF0769">
        <w:rPr>
          <w:rFonts w:cs="Arial"/>
        </w:rPr>
        <w:t>, published on the ESMA website</w:t>
      </w:r>
      <w:r w:rsidR="004E49B0" w:rsidRPr="00EF0769">
        <w:rPr>
          <w:rFonts w:cs="Arial"/>
        </w:rPr>
        <w:t>.</w:t>
      </w:r>
    </w:p>
    <w:p w:rsidR="001D000A" w:rsidRDefault="001D000A" w:rsidP="00F574D0">
      <w:pPr>
        <w:autoSpaceDE w:val="0"/>
        <w:autoSpaceDN w:val="0"/>
        <w:adjustRightInd w:val="0"/>
        <w:spacing w:before="120" w:after="120" w:line="276" w:lineRule="auto"/>
        <w:jc w:val="both"/>
        <w:rPr>
          <w:rStyle w:val="Strong4"/>
          <w:rFonts w:cs="Arial"/>
          <w:i/>
        </w:rPr>
      </w:pPr>
    </w:p>
    <w:p w:rsidR="00F574D0" w:rsidRPr="00176639" w:rsidRDefault="00F574D0" w:rsidP="00F574D0">
      <w:pPr>
        <w:autoSpaceDE w:val="0"/>
        <w:autoSpaceDN w:val="0"/>
        <w:adjustRightInd w:val="0"/>
        <w:spacing w:before="120" w:after="120" w:line="276" w:lineRule="auto"/>
        <w:jc w:val="both"/>
        <w:rPr>
          <w:rStyle w:val="Strong4"/>
          <w:rFonts w:cs="Arial"/>
          <w:i/>
        </w:rPr>
      </w:pPr>
      <w:r w:rsidRPr="00176639">
        <w:rPr>
          <w:rStyle w:val="Strong4"/>
          <w:rFonts w:cs="Arial"/>
          <w:i/>
        </w:rPr>
        <w:t>Instructions</w:t>
      </w:r>
    </w:p>
    <w:p w:rsidR="00F574D0" w:rsidRPr="00176639" w:rsidRDefault="00D75FEE" w:rsidP="00F574D0">
      <w:pPr>
        <w:pStyle w:val="04BodyText"/>
        <w:spacing w:before="120" w:after="120"/>
        <w:rPr>
          <w:rFonts w:cs="Arial"/>
        </w:rPr>
      </w:pPr>
      <w:r w:rsidRPr="00176639">
        <w:rPr>
          <w:rFonts w:cs="Arial"/>
        </w:rPr>
        <w:t xml:space="preserve">Please note that, in order to facilitate the analysis of </w:t>
      </w:r>
      <w:r w:rsidR="00CF5B86">
        <w:rPr>
          <w:rFonts w:cs="Arial"/>
        </w:rPr>
        <w:t>the</w:t>
      </w:r>
      <w:r w:rsidRPr="00176639">
        <w:rPr>
          <w:rFonts w:cs="Arial"/>
        </w:rPr>
        <w:t xml:space="preserve"> responses, you are requested to use this file to send your response to ESMA so as to allow us to process it properly. Therefore, </w:t>
      </w:r>
      <w:r w:rsidR="00332304" w:rsidRPr="00176639">
        <w:rPr>
          <w:rFonts w:cs="Arial"/>
        </w:rPr>
        <w:t xml:space="preserve">ESMA will only be able to consider responses which follow the instructions described </w:t>
      </w:r>
      <w:r w:rsidRPr="00176639">
        <w:rPr>
          <w:rFonts w:cs="Arial"/>
        </w:rPr>
        <w:t>below</w:t>
      </w:r>
      <w:r w:rsidR="00F574D0" w:rsidRPr="00176639">
        <w:rPr>
          <w:rFonts w:cs="Arial"/>
        </w:rPr>
        <w:t>:</w:t>
      </w:r>
    </w:p>
    <w:p w:rsidR="00F574D0" w:rsidRPr="00176639" w:rsidRDefault="00F574D0" w:rsidP="00573871">
      <w:pPr>
        <w:pStyle w:val="04bList"/>
        <w:numPr>
          <w:ilvl w:val="0"/>
          <w:numId w:val="32"/>
        </w:numPr>
        <w:spacing w:before="120" w:after="120"/>
        <w:rPr>
          <w:rFonts w:cs="Arial"/>
        </w:rPr>
      </w:pPr>
      <w:r w:rsidRPr="00176639">
        <w:rPr>
          <w:rFonts w:cs="Arial"/>
        </w:rPr>
        <w:t xml:space="preserve">use </w:t>
      </w:r>
      <w:r w:rsidR="00332304" w:rsidRPr="00176639">
        <w:rPr>
          <w:rFonts w:cs="Arial"/>
        </w:rPr>
        <w:t>this form</w:t>
      </w:r>
      <w:r w:rsidR="00955F48" w:rsidRPr="00176639">
        <w:rPr>
          <w:rFonts w:cs="Arial"/>
        </w:rPr>
        <w:t xml:space="preserve"> and send </w:t>
      </w:r>
      <w:r w:rsidR="00332304" w:rsidRPr="00176639">
        <w:rPr>
          <w:rFonts w:cs="Arial"/>
        </w:rPr>
        <w:t>your</w:t>
      </w:r>
      <w:r w:rsidR="00955F48" w:rsidRPr="00176639">
        <w:rPr>
          <w:rFonts w:cs="Arial"/>
        </w:rPr>
        <w:t xml:space="preserve"> responses in Word format (pdf documents will not be considered except for annexes);</w:t>
      </w:r>
    </w:p>
    <w:p w:rsidR="00F574D0" w:rsidRPr="00176639" w:rsidRDefault="00D75FEE" w:rsidP="00DA32B8">
      <w:pPr>
        <w:pStyle w:val="04bList"/>
        <w:numPr>
          <w:ilvl w:val="0"/>
          <w:numId w:val="32"/>
        </w:numPr>
        <w:spacing w:before="120" w:after="120"/>
        <w:rPr>
          <w:rFonts w:cs="Arial"/>
        </w:rPr>
      </w:pPr>
      <w:r w:rsidRPr="00176639">
        <w:rPr>
          <w:rFonts w:cs="Arial"/>
        </w:rPr>
        <w:t xml:space="preserve">do </w:t>
      </w:r>
      <w:r w:rsidR="00F574D0" w:rsidRPr="00176639">
        <w:rPr>
          <w:rFonts w:cs="Arial"/>
        </w:rPr>
        <w:t>not remove the tags of type &lt;</w:t>
      </w:r>
      <w:r w:rsidR="00BF557C" w:rsidRPr="00176639">
        <w:rPr>
          <w:rFonts w:cs="Arial"/>
        </w:rPr>
        <w:t>ESMA_QUESTION_</w:t>
      </w:r>
      <w:r w:rsidR="00665C07">
        <w:t>C</w:t>
      </w:r>
      <w:r w:rsidR="00DA32B8">
        <w:t>E</w:t>
      </w:r>
      <w:r w:rsidR="00AD0B9C">
        <w:t>_</w:t>
      </w:r>
      <w:r w:rsidR="00DA32B8" w:rsidRPr="00DA32B8">
        <w:t>ASCS</w:t>
      </w:r>
      <w:r w:rsidR="00E9344E" w:rsidRPr="00176639">
        <w:rPr>
          <w:rFonts w:cs="Arial"/>
        </w:rPr>
        <w:t>_</w:t>
      </w:r>
      <w:r w:rsidR="00F574D0" w:rsidRPr="00176639">
        <w:rPr>
          <w:rFonts w:cs="Arial"/>
        </w:rPr>
        <w:t>1&gt; - i.e. the response to one question has to be framed by the 2 tags corresponding to the question; and</w:t>
      </w:r>
    </w:p>
    <w:p w:rsidR="00F574D0" w:rsidRPr="00176639" w:rsidRDefault="00F574D0" w:rsidP="00573871">
      <w:pPr>
        <w:pStyle w:val="04bList"/>
        <w:numPr>
          <w:ilvl w:val="0"/>
          <w:numId w:val="32"/>
        </w:numPr>
        <w:spacing w:before="120" w:after="120"/>
        <w:rPr>
          <w:rFonts w:cs="Arial"/>
        </w:rPr>
      </w:pPr>
      <w:r w:rsidRPr="00176639">
        <w:rPr>
          <w:rFonts w:cs="Arial"/>
        </w:rPr>
        <w:t xml:space="preserve">if </w:t>
      </w:r>
      <w:r w:rsidR="00D75FEE" w:rsidRPr="00176639">
        <w:rPr>
          <w:rFonts w:cs="Arial"/>
        </w:rPr>
        <w:t>you do not have a</w:t>
      </w:r>
      <w:r w:rsidRPr="00176639">
        <w:rPr>
          <w:rFonts w:cs="Arial"/>
        </w:rPr>
        <w:t xml:space="preserve"> response to a question, </w:t>
      </w:r>
      <w:r w:rsidR="00D75FEE" w:rsidRPr="00176639">
        <w:rPr>
          <w:rFonts w:cs="Arial"/>
        </w:rPr>
        <w:t xml:space="preserve">do </w:t>
      </w:r>
      <w:r w:rsidRPr="00176639">
        <w:rPr>
          <w:rFonts w:cs="Arial"/>
        </w:rPr>
        <w:t>not delete it and leave the text “TYPE YOUR TEXT HERE” between the tags.</w:t>
      </w:r>
    </w:p>
    <w:p w:rsidR="00F574D0" w:rsidRPr="00176639" w:rsidRDefault="00F574D0" w:rsidP="00F574D0">
      <w:pPr>
        <w:pStyle w:val="04bList"/>
        <w:numPr>
          <w:ilvl w:val="0"/>
          <w:numId w:val="0"/>
        </w:numPr>
        <w:spacing w:before="120" w:after="120"/>
        <w:rPr>
          <w:rFonts w:cs="Arial"/>
        </w:rPr>
      </w:pPr>
      <w:r w:rsidRPr="00176639">
        <w:rPr>
          <w:rFonts w:cs="Arial"/>
        </w:rPr>
        <w:t>Responses are most helpful:</w:t>
      </w:r>
    </w:p>
    <w:p w:rsidR="00F574D0" w:rsidRPr="00176639" w:rsidRDefault="00F574D0" w:rsidP="00573871">
      <w:pPr>
        <w:pStyle w:val="04bList"/>
        <w:numPr>
          <w:ilvl w:val="0"/>
          <w:numId w:val="33"/>
        </w:numPr>
        <w:spacing w:before="120" w:after="120"/>
        <w:rPr>
          <w:rFonts w:cs="Arial"/>
        </w:rPr>
      </w:pPr>
      <w:r w:rsidRPr="00176639">
        <w:rPr>
          <w:rFonts w:cs="Arial"/>
        </w:rPr>
        <w:t>if they respond to the question stated;</w:t>
      </w:r>
    </w:p>
    <w:p w:rsidR="00F574D0" w:rsidRPr="00EF0769" w:rsidRDefault="00F574D0" w:rsidP="00573871">
      <w:pPr>
        <w:pStyle w:val="04bList"/>
        <w:numPr>
          <w:ilvl w:val="0"/>
          <w:numId w:val="33"/>
        </w:numPr>
        <w:spacing w:before="120" w:after="120"/>
        <w:rPr>
          <w:rFonts w:cs="Arial"/>
        </w:rPr>
      </w:pPr>
      <w:r w:rsidRPr="00176639">
        <w:rPr>
          <w:rFonts w:cs="Arial"/>
        </w:rPr>
        <w:t>contain a clear rationale, including on any related costs and</w:t>
      </w:r>
      <w:r w:rsidRPr="00EF0769">
        <w:rPr>
          <w:rFonts w:cs="Arial"/>
        </w:rPr>
        <w:t xml:space="preserve"> benefits; and</w:t>
      </w:r>
    </w:p>
    <w:p w:rsidR="00A35728" w:rsidRPr="00EF0769" w:rsidRDefault="00F574D0" w:rsidP="00573871">
      <w:pPr>
        <w:pStyle w:val="04bList"/>
        <w:numPr>
          <w:ilvl w:val="0"/>
          <w:numId w:val="33"/>
        </w:numPr>
        <w:spacing w:before="120" w:after="120"/>
        <w:rPr>
          <w:rFonts w:cs="Arial"/>
        </w:rPr>
      </w:pPr>
      <w:r w:rsidRPr="00EF0769">
        <w:rPr>
          <w:rFonts w:cs="Arial"/>
        </w:rPr>
        <w:t>describe any alternatives that ESMA should consider</w:t>
      </w:r>
    </w:p>
    <w:p w:rsidR="001D000A" w:rsidRDefault="001D000A" w:rsidP="000D17AA">
      <w:pPr>
        <w:pStyle w:val="04BodyText"/>
        <w:spacing w:before="120" w:after="120"/>
        <w:jc w:val="left"/>
        <w:rPr>
          <w:rFonts w:cs="Arial"/>
          <w:b/>
        </w:rPr>
      </w:pPr>
    </w:p>
    <w:p w:rsidR="000D17AA" w:rsidRPr="00EF0769" w:rsidRDefault="00606240" w:rsidP="000D17AA">
      <w:pPr>
        <w:pStyle w:val="04BodyText"/>
        <w:spacing w:before="120" w:after="120"/>
        <w:jc w:val="left"/>
        <w:rPr>
          <w:rFonts w:cs="Arial"/>
          <w:b/>
        </w:rPr>
      </w:pPr>
      <w:r>
        <w:rPr>
          <w:rFonts w:cs="Arial"/>
          <w:b/>
        </w:rPr>
        <w:t>Naming protocol</w:t>
      </w:r>
    </w:p>
    <w:p w:rsidR="000D17AA" w:rsidRPr="00EF0769" w:rsidRDefault="000D17AA" w:rsidP="000D17AA">
      <w:pPr>
        <w:pStyle w:val="04BodyText"/>
        <w:spacing w:before="120" w:after="120"/>
        <w:jc w:val="left"/>
        <w:rPr>
          <w:rFonts w:cs="Arial"/>
        </w:rPr>
      </w:pPr>
      <w:r w:rsidRPr="00EF0769">
        <w:rPr>
          <w:rFonts w:cs="Arial"/>
        </w:rPr>
        <w:t>In order to facilitate the handling of stakeholders</w:t>
      </w:r>
      <w:r w:rsidR="00CF5B86">
        <w:rPr>
          <w:rFonts w:cs="Arial"/>
        </w:rPr>
        <w:t>’</w:t>
      </w:r>
      <w:r w:rsidRPr="00EF0769">
        <w:rPr>
          <w:rFonts w:cs="Arial"/>
        </w:rPr>
        <w:t xml:space="preserve"> responses</w:t>
      </w:r>
      <w:r w:rsidR="00CF5B86">
        <w:rPr>
          <w:rFonts w:cs="Arial"/>
        </w:rPr>
        <w:t>,</w:t>
      </w:r>
      <w:r w:rsidRPr="00EF0769">
        <w:rPr>
          <w:rFonts w:cs="Arial"/>
        </w:rPr>
        <w:t xml:space="preserve"> please sav</w:t>
      </w:r>
      <w:r w:rsidR="00A96324">
        <w:rPr>
          <w:rFonts w:cs="Arial"/>
        </w:rPr>
        <w:t>e your document using the follow</w:t>
      </w:r>
      <w:r w:rsidRPr="00EF0769">
        <w:rPr>
          <w:rFonts w:cs="Arial"/>
        </w:rPr>
        <w:t>ing format:</w:t>
      </w:r>
    </w:p>
    <w:p w:rsidR="000D17AA" w:rsidRPr="00AD0B9C" w:rsidRDefault="00021E83" w:rsidP="000D17AA">
      <w:pPr>
        <w:pStyle w:val="04BodyText"/>
        <w:spacing w:before="120" w:after="120"/>
        <w:jc w:val="left"/>
        <w:rPr>
          <w:rFonts w:cs="Arial"/>
        </w:rPr>
      </w:pPr>
      <w:r w:rsidRPr="00AD0B9C">
        <w:rPr>
          <w:rFonts w:cs="Arial"/>
        </w:rPr>
        <w:t>ESMA_</w:t>
      </w:r>
      <w:r w:rsidR="003D79DA">
        <w:t>C</w:t>
      </w:r>
      <w:r w:rsidR="00DA32B8">
        <w:t>E</w:t>
      </w:r>
      <w:r w:rsidR="00AD0B9C" w:rsidRPr="00AD0B9C">
        <w:t>_</w:t>
      </w:r>
      <w:r w:rsidR="00DA32B8" w:rsidRPr="00DA32B8">
        <w:t>ASCS</w:t>
      </w:r>
      <w:r w:rsidRPr="00AD0B9C">
        <w:rPr>
          <w:rFonts w:cs="Arial"/>
        </w:rPr>
        <w:t>_NAMEOFCOMPANY_NAMEOFDOCUMENT</w:t>
      </w:r>
      <w:r w:rsidR="000D17AA" w:rsidRPr="00AD0B9C">
        <w:rPr>
          <w:rFonts w:cs="Arial"/>
        </w:rPr>
        <w:t>.</w:t>
      </w:r>
    </w:p>
    <w:p w:rsidR="00021E83" w:rsidRPr="00AD0B9C" w:rsidRDefault="000D17AA" w:rsidP="000D17AA">
      <w:pPr>
        <w:pStyle w:val="04BodyText"/>
        <w:spacing w:before="120" w:after="120"/>
        <w:jc w:val="left"/>
        <w:rPr>
          <w:rFonts w:cs="Arial"/>
        </w:rPr>
      </w:pPr>
      <w:r w:rsidRPr="00AD0B9C">
        <w:rPr>
          <w:rFonts w:cs="Arial"/>
        </w:rPr>
        <w:t xml:space="preserve">E.g. if the respondent were </w:t>
      </w:r>
      <w:r w:rsidR="00BF557C" w:rsidRPr="00AD0B9C">
        <w:rPr>
          <w:rFonts w:cs="Arial"/>
        </w:rPr>
        <w:t>XXXX</w:t>
      </w:r>
      <w:r w:rsidRPr="00AD0B9C">
        <w:rPr>
          <w:rFonts w:cs="Arial"/>
        </w:rPr>
        <w:t xml:space="preserve">, the </w:t>
      </w:r>
      <w:r w:rsidR="00021E83" w:rsidRPr="00AD0B9C">
        <w:rPr>
          <w:rFonts w:cs="Arial"/>
        </w:rPr>
        <w:t>name of the reply form would be:</w:t>
      </w:r>
    </w:p>
    <w:p w:rsidR="00021E83" w:rsidRPr="00DA32B8" w:rsidRDefault="00BF557C" w:rsidP="000D17AA">
      <w:pPr>
        <w:pStyle w:val="04BodyText"/>
        <w:spacing w:before="120" w:after="120"/>
        <w:jc w:val="left"/>
        <w:rPr>
          <w:rFonts w:cs="Arial"/>
          <w:lang w:val="fr-FR"/>
        </w:rPr>
      </w:pPr>
      <w:r w:rsidRPr="00DA32B8">
        <w:rPr>
          <w:rFonts w:cs="Arial"/>
          <w:lang w:val="fr-FR"/>
        </w:rPr>
        <w:t>ESMA_</w:t>
      </w:r>
      <w:r w:rsidR="00990FF9" w:rsidRPr="00DA32B8">
        <w:rPr>
          <w:lang w:val="fr-FR"/>
        </w:rPr>
        <w:t>C</w:t>
      </w:r>
      <w:r w:rsidR="00DA32B8" w:rsidRPr="00DA32B8">
        <w:rPr>
          <w:lang w:val="fr-FR"/>
        </w:rPr>
        <w:t>E</w:t>
      </w:r>
      <w:r w:rsidR="00AD0B9C" w:rsidRPr="00DA32B8">
        <w:rPr>
          <w:lang w:val="fr-FR"/>
        </w:rPr>
        <w:t>_</w:t>
      </w:r>
      <w:r w:rsidR="00DA32B8" w:rsidRPr="00DA32B8">
        <w:rPr>
          <w:lang w:val="fr-FR"/>
        </w:rPr>
        <w:t>ASCS</w:t>
      </w:r>
      <w:r w:rsidR="00332304" w:rsidRPr="00DA32B8">
        <w:rPr>
          <w:rFonts w:cs="Arial"/>
          <w:lang w:val="fr-FR"/>
        </w:rPr>
        <w:t>_</w:t>
      </w:r>
      <w:r w:rsidRPr="00DA32B8">
        <w:rPr>
          <w:rFonts w:cs="Arial"/>
          <w:lang w:val="fr-FR"/>
        </w:rPr>
        <w:t>XXXX</w:t>
      </w:r>
      <w:r w:rsidR="00021E83" w:rsidRPr="00DA32B8">
        <w:rPr>
          <w:rFonts w:cs="Arial"/>
          <w:lang w:val="fr-FR"/>
        </w:rPr>
        <w:t xml:space="preserve">_REPLYFORM or </w:t>
      </w:r>
    </w:p>
    <w:p w:rsidR="000D17AA" w:rsidRPr="00DA32B8" w:rsidRDefault="00BF557C" w:rsidP="000D17AA">
      <w:pPr>
        <w:pStyle w:val="04BodyText"/>
        <w:spacing w:before="120" w:after="120"/>
        <w:jc w:val="left"/>
        <w:rPr>
          <w:lang w:val="fr-FR"/>
        </w:rPr>
      </w:pPr>
      <w:r w:rsidRPr="00DA32B8">
        <w:rPr>
          <w:rFonts w:cs="Arial"/>
          <w:lang w:val="fr-FR"/>
        </w:rPr>
        <w:t>ESMA_</w:t>
      </w:r>
      <w:r w:rsidR="00990FF9" w:rsidRPr="00DA32B8">
        <w:rPr>
          <w:lang w:val="fr-FR"/>
        </w:rPr>
        <w:t>C</w:t>
      </w:r>
      <w:r w:rsidR="00DA32B8" w:rsidRPr="00DA32B8">
        <w:rPr>
          <w:lang w:val="fr-FR"/>
        </w:rPr>
        <w:t>E</w:t>
      </w:r>
      <w:r w:rsidR="00AD0B9C" w:rsidRPr="00DA32B8">
        <w:rPr>
          <w:lang w:val="fr-FR"/>
        </w:rPr>
        <w:t>_</w:t>
      </w:r>
      <w:r w:rsidR="00DA32B8" w:rsidRPr="006F7694">
        <w:rPr>
          <w:lang w:val="fr-FR"/>
        </w:rPr>
        <w:t>ASCS</w:t>
      </w:r>
      <w:r w:rsidRPr="00DA32B8">
        <w:rPr>
          <w:rFonts w:cs="Arial"/>
          <w:lang w:val="fr-FR"/>
        </w:rPr>
        <w:t>_XXXX</w:t>
      </w:r>
      <w:r w:rsidR="00021E83" w:rsidRPr="00DA32B8">
        <w:rPr>
          <w:rFonts w:cs="Arial"/>
          <w:lang w:val="fr-FR"/>
        </w:rPr>
        <w:t>_ANNEX1</w:t>
      </w:r>
    </w:p>
    <w:p w:rsidR="00332304" w:rsidRPr="00DA32B8" w:rsidRDefault="00332304" w:rsidP="00332304">
      <w:pPr>
        <w:autoSpaceDE w:val="0"/>
        <w:autoSpaceDN w:val="0"/>
        <w:adjustRightInd w:val="0"/>
        <w:spacing w:before="120" w:after="120" w:line="276" w:lineRule="auto"/>
        <w:jc w:val="both"/>
        <w:rPr>
          <w:rFonts w:cs="Arial"/>
          <w:b/>
          <w:bCs/>
          <w:i/>
          <w:color w:val="000000"/>
          <w:szCs w:val="20"/>
          <w:lang w:val="fr-FR" w:eastAsia="en-GB"/>
        </w:rPr>
      </w:pPr>
    </w:p>
    <w:p w:rsidR="00332304" w:rsidRPr="00EF0769" w:rsidRDefault="00332304" w:rsidP="00332304">
      <w:pPr>
        <w:autoSpaceDE w:val="0"/>
        <w:autoSpaceDN w:val="0"/>
        <w:adjustRightInd w:val="0"/>
        <w:spacing w:before="120" w:after="120" w:line="276" w:lineRule="auto"/>
        <w:jc w:val="both"/>
        <w:rPr>
          <w:rFonts w:cs="Arial"/>
          <w:b/>
          <w:bCs/>
          <w:i/>
          <w:color w:val="000000"/>
          <w:szCs w:val="20"/>
          <w:lang w:eastAsia="en-GB"/>
        </w:rPr>
      </w:pPr>
      <w:r>
        <w:rPr>
          <w:rFonts w:cs="Arial"/>
          <w:b/>
          <w:bCs/>
          <w:i/>
          <w:color w:val="000000"/>
          <w:szCs w:val="20"/>
          <w:lang w:eastAsia="en-GB"/>
        </w:rPr>
        <w:t>Deadline</w:t>
      </w:r>
    </w:p>
    <w:p w:rsidR="00F574D0" w:rsidRPr="00EF0769" w:rsidRDefault="007C3918" w:rsidP="00F574D0">
      <w:pPr>
        <w:pStyle w:val="04BodyText"/>
        <w:spacing w:before="120" w:after="120"/>
        <w:rPr>
          <w:rFonts w:cs="Arial"/>
        </w:rPr>
      </w:pPr>
      <w:r>
        <w:rPr>
          <w:rFonts w:cs="Arial"/>
        </w:rPr>
        <w:t xml:space="preserve">Responses must reach us </w:t>
      </w:r>
      <w:r w:rsidRPr="001B0222">
        <w:rPr>
          <w:rFonts w:cs="Arial"/>
        </w:rPr>
        <w:t xml:space="preserve">by </w:t>
      </w:r>
      <w:r w:rsidR="006F7694" w:rsidRPr="006F7694">
        <w:rPr>
          <w:rFonts w:cs="Arial"/>
          <w:b/>
        </w:rPr>
        <w:t>23 September</w:t>
      </w:r>
      <w:r w:rsidR="006F7694">
        <w:rPr>
          <w:rFonts w:cs="Arial"/>
          <w:b/>
        </w:rPr>
        <w:t xml:space="preserve"> 2016</w:t>
      </w:r>
      <w:r w:rsidR="00021E83" w:rsidRPr="001B0222">
        <w:rPr>
          <w:rFonts w:cs="Arial"/>
          <w:b/>
        </w:rPr>
        <w:t>.</w:t>
      </w:r>
    </w:p>
    <w:p w:rsidR="00F574D0" w:rsidRPr="00EF0769" w:rsidRDefault="00F574D0" w:rsidP="00F574D0">
      <w:pPr>
        <w:pStyle w:val="04BodyText"/>
        <w:spacing w:before="120" w:after="120"/>
        <w:rPr>
          <w:rFonts w:cs="Arial"/>
        </w:rPr>
      </w:pPr>
      <w:r w:rsidRPr="00EF0769">
        <w:rPr>
          <w:rFonts w:cs="Arial"/>
        </w:rPr>
        <w:t xml:space="preserve">All contributions should be submitted online at </w:t>
      </w:r>
      <w:hyperlink r:id="rId16" w:history="1">
        <w:r w:rsidRPr="00EF0769">
          <w:rPr>
            <w:rStyle w:val="Hyperlink"/>
            <w:rFonts w:cs="Arial"/>
          </w:rPr>
          <w:t>www.esma.europa.eu</w:t>
        </w:r>
      </w:hyperlink>
      <w:r w:rsidRPr="00EF0769">
        <w:rPr>
          <w:rFonts w:cs="Arial"/>
        </w:rPr>
        <w:t xml:space="preserve"> under the heading ‘Your input/Consultations’. </w:t>
      </w:r>
    </w:p>
    <w:p w:rsidR="00332304" w:rsidRDefault="00332304" w:rsidP="00F574D0">
      <w:pPr>
        <w:autoSpaceDE w:val="0"/>
        <w:autoSpaceDN w:val="0"/>
        <w:adjustRightInd w:val="0"/>
        <w:spacing w:before="120" w:after="120" w:line="276" w:lineRule="auto"/>
        <w:jc w:val="both"/>
        <w:rPr>
          <w:rFonts w:cs="Arial"/>
          <w:b/>
          <w:bCs/>
          <w:i/>
          <w:color w:val="000000"/>
          <w:szCs w:val="20"/>
          <w:lang w:eastAsia="en-GB"/>
        </w:rPr>
      </w:pPr>
      <w:bookmarkStart w:id="1" w:name="_Toc335141334"/>
    </w:p>
    <w:p w:rsidR="00A96324" w:rsidRDefault="00A96324" w:rsidP="00F574D0">
      <w:pPr>
        <w:autoSpaceDE w:val="0"/>
        <w:autoSpaceDN w:val="0"/>
        <w:adjustRightInd w:val="0"/>
        <w:spacing w:before="120" w:after="120" w:line="276" w:lineRule="auto"/>
        <w:jc w:val="both"/>
        <w:rPr>
          <w:rFonts w:cs="Arial"/>
          <w:b/>
          <w:bCs/>
          <w:i/>
          <w:color w:val="000000"/>
          <w:szCs w:val="20"/>
          <w:lang w:eastAsia="en-GB"/>
        </w:rPr>
      </w:pPr>
    </w:p>
    <w:p w:rsidR="00F574D0" w:rsidRPr="00EF0769" w:rsidRDefault="00F574D0" w:rsidP="00F574D0">
      <w:pPr>
        <w:autoSpaceDE w:val="0"/>
        <w:autoSpaceDN w:val="0"/>
        <w:adjustRightInd w:val="0"/>
        <w:spacing w:before="120" w:after="120" w:line="276" w:lineRule="auto"/>
        <w:jc w:val="both"/>
        <w:rPr>
          <w:rFonts w:cs="Arial"/>
          <w:b/>
          <w:bCs/>
          <w:i/>
          <w:color w:val="000000"/>
          <w:szCs w:val="20"/>
          <w:lang w:eastAsia="en-GB"/>
        </w:rPr>
      </w:pPr>
      <w:r w:rsidRPr="00EF0769">
        <w:rPr>
          <w:rFonts w:cs="Arial"/>
          <w:b/>
          <w:bCs/>
          <w:i/>
          <w:color w:val="000000"/>
          <w:szCs w:val="20"/>
          <w:lang w:eastAsia="en-GB"/>
        </w:rPr>
        <w:lastRenderedPageBreak/>
        <w:t>Publication of responses</w:t>
      </w:r>
      <w:bookmarkEnd w:id="1"/>
    </w:p>
    <w:p w:rsidR="00F574D0" w:rsidRPr="00EF0769" w:rsidRDefault="00F574D0" w:rsidP="00F574D0">
      <w:pPr>
        <w:pStyle w:val="04BodyText"/>
        <w:spacing w:before="120" w:after="120"/>
        <w:rPr>
          <w:rFonts w:cs="Arial"/>
        </w:rPr>
      </w:pPr>
      <w:r w:rsidRPr="00EF0769">
        <w:rPr>
          <w:rFonts w:cs="Arial"/>
        </w:rPr>
        <w:t xml:space="preserve">All contributions received will be published following the end of the consultation period, unless otherwise requested. </w:t>
      </w:r>
      <w:r w:rsidRPr="00EF0769">
        <w:rPr>
          <w:rFonts w:cs="Arial"/>
          <w:b/>
        </w:rPr>
        <w:t>Please clearly indicate by ticking the appropriate checkbox in the website submission form if you do not wish your contribution to be publicly disclosed. A standard confidentiality statement in an email message will not be treated as a request for non-disclosure.</w:t>
      </w:r>
      <w:r w:rsidRPr="00EF0769">
        <w:rPr>
          <w:rFonts w:cs="Arial"/>
        </w:rPr>
        <w:t xml:space="preserve"> Note also that a confidential response may be requested from us in accordance with ESMA’s rules on access to documents. We may consult you if we receive such a request. Any decision we make is reviewable by ESMA’s Board of Appeal and the European Ombudsman.</w:t>
      </w:r>
    </w:p>
    <w:p w:rsidR="00332304" w:rsidRDefault="00332304" w:rsidP="00F574D0">
      <w:pPr>
        <w:autoSpaceDE w:val="0"/>
        <w:autoSpaceDN w:val="0"/>
        <w:adjustRightInd w:val="0"/>
        <w:spacing w:before="120" w:after="120" w:line="276" w:lineRule="auto"/>
        <w:jc w:val="both"/>
        <w:rPr>
          <w:rFonts w:cs="Arial"/>
          <w:b/>
          <w:bCs/>
          <w:i/>
          <w:color w:val="000000"/>
          <w:szCs w:val="20"/>
          <w:lang w:eastAsia="en-GB"/>
        </w:rPr>
      </w:pPr>
      <w:bookmarkStart w:id="2" w:name="_Toc335141335"/>
    </w:p>
    <w:p w:rsidR="00F574D0" w:rsidRPr="00EF0769" w:rsidRDefault="00F574D0" w:rsidP="00F574D0">
      <w:pPr>
        <w:autoSpaceDE w:val="0"/>
        <w:autoSpaceDN w:val="0"/>
        <w:adjustRightInd w:val="0"/>
        <w:spacing w:before="120" w:after="120" w:line="276" w:lineRule="auto"/>
        <w:jc w:val="both"/>
        <w:rPr>
          <w:rFonts w:cs="Arial"/>
          <w:b/>
          <w:bCs/>
          <w:i/>
          <w:color w:val="000000"/>
          <w:szCs w:val="20"/>
          <w:lang w:eastAsia="en-GB"/>
        </w:rPr>
      </w:pPr>
      <w:r w:rsidRPr="00EF0769">
        <w:rPr>
          <w:rFonts w:cs="Arial"/>
          <w:b/>
          <w:bCs/>
          <w:i/>
          <w:color w:val="000000"/>
          <w:szCs w:val="20"/>
          <w:lang w:eastAsia="en-GB"/>
        </w:rPr>
        <w:t>Data protection</w:t>
      </w:r>
      <w:bookmarkEnd w:id="2"/>
    </w:p>
    <w:p w:rsidR="00F574D0" w:rsidRDefault="00F574D0" w:rsidP="00F574D0">
      <w:pPr>
        <w:autoSpaceDE w:val="0"/>
        <w:autoSpaceDN w:val="0"/>
        <w:adjustRightInd w:val="0"/>
        <w:spacing w:before="120" w:after="120" w:line="276" w:lineRule="auto"/>
        <w:jc w:val="both"/>
        <w:rPr>
          <w:rFonts w:cs="Arial"/>
          <w:szCs w:val="20"/>
        </w:rPr>
      </w:pPr>
      <w:r w:rsidRPr="00EF0769">
        <w:rPr>
          <w:rFonts w:cs="Arial"/>
          <w:szCs w:val="20"/>
        </w:rPr>
        <w:t xml:space="preserve">Information on data protection can be found at </w:t>
      </w:r>
      <w:hyperlink r:id="rId17" w:history="1">
        <w:r w:rsidRPr="00EF0769">
          <w:rPr>
            <w:rStyle w:val="Hyperlink"/>
            <w:rFonts w:cs="Arial"/>
            <w:szCs w:val="20"/>
          </w:rPr>
          <w:t>www.esma.europa.eu</w:t>
        </w:r>
      </w:hyperlink>
      <w:r w:rsidRPr="00EF0769">
        <w:rPr>
          <w:rFonts w:cs="Arial"/>
          <w:szCs w:val="20"/>
        </w:rPr>
        <w:t xml:space="preserve"> under the </w:t>
      </w:r>
      <w:r w:rsidR="003755C6" w:rsidRPr="00440AB1">
        <w:rPr>
          <w:rFonts w:cs="Arial"/>
          <w:szCs w:val="22"/>
          <w:lang w:eastAsia="en-GB"/>
        </w:rPr>
        <w:t>headings ‘Legal notice’ and ‘Data protection’</w:t>
      </w:r>
      <w:r w:rsidRPr="00EF0769">
        <w:rPr>
          <w:rFonts w:cs="Arial"/>
          <w:szCs w:val="20"/>
        </w:rPr>
        <w:t>.</w:t>
      </w:r>
    </w:p>
    <w:p w:rsidR="003755C6" w:rsidRDefault="003755C6" w:rsidP="00F574D0">
      <w:pPr>
        <w:autoSpaceDE w:val="0"/>
        <w:autoSpaceDN w:val="0"/>
        <w:adjustRightInd w:val="0"/>
        <w:spacing w:before="120" w:after="120" w:line="276" w:lineRule="auto"/>
        <w:jc w:val="both"/>
        <w:rPr>
          <w:rFonts w:cs="Arial"/>
          <w:szCs w:val="20"/>
        </w:rPr>
      </w:pPr>
    </w:p>
    <w:bookmarkEnd w:id="0"/>
    <w:p w:rsidR="00332304" w:rsidRDefault="00332304">
      <w:pPr>
        <w:rPr>
          <w:rFonts w:cs="Arial"/>
          <w:b/>
          <w:bCs/>
          <w:kern w:val="32"/>
          <w:sz w:val="24"/>
          <w:szCs w:val="32"/>
        </w:rPr>
      </w:pPr>
      <w:r>
        <w:br w:type="page"/>
      </w:r>
    </w:p>
    <w:p w:rsidR="00D34282" w:rsidRDefault="00D34282" w:rsidP="00D34282">
      <w:pPr>
        <w:pStyle w:val="Heading1"/>
        <w:numPr>
          <w:ilvl w:val="0"/>
          <w:numId w:val="0"/>
        </w:numPr>
        <w:ind w:left="431" w:hanging="431"/>
      </w:pPr>
      <w:r>
        <w:lastRenderedPageBreak/>
        <w:t>Introduction</w:t>
      </w:r>
    </w:p>
    <w:p w:rsidR="00D34282" w:rsidRPr="001D47A5" w:rsidRDefault="00D34282" w:rsidP="00D34282">
      <w:pPr>
        <w:rPr>
          <w:rStyle w:val="IntenseEmphasis"/>
        </w:rPr>
      </w:pPr>
      <w:r w:rsidRPr="001D47A5">
        <w:rPr>
          <w:rStyle w:val="IntenseEmphasis"/>
        </w:rPr>
        <w:t>Please make your introductory comments below, if any:</w:t>
      </w:r>
    </w:p>
    <w:p w:rsidR="00AD7675" w:rsidRPr="00BF28DA" w:rsidRDefault="00AD7675" w:rsidP="00D34282"/>
    <w:p w:rsidR="00D34282" w:rsidRPr="00176639" w:rsidRDefault="00D34282" w:rsidP="00D34282">
      <w:r w:rsidRPr="00176639">
        <w:t>&lt;</w:t>
      </w:r>
      <w:r w:rsidR="00D61A37" w:rsidRPr="00176639">
        <w:t>ESMA_COMMENT_</w:t>
      </w:r>
      <w:r w:rsidR="00665C07">
        <w:t>C</w:t>
      </w:r>
      <w:r w:rsidR="000018FA">
        <w:t>E</w:t>
      </w:r>
      <w:r w:rsidR="00176639">
        <w:t>_</w:t>
      </w:r>
      <w:r w:rsidR="000018FA" w:rsidRPr="000018FA">
        <w:t>ASCS</w:t>
      </w:r>
      <w:r w:rsidR="00D61A37" w:rsidRPr="00176639">
        <w:t>_1</w:t>
      </w:r>
      <w:r w:rsidRPr="00176639">
        <w:t>&gt;</w:t>
      </w:r>
    </w:p>
    <w:p w:rsidR="002C56F1" w:rsidRPr="00CD1F3D" w:rsidRDefault="002C56F1" w:rsidP="002C56F1">
      <w:pPr>
        <w:jc w:val="both"/>
        <w:rPr>
          <w:rFonts w:eastAsia="Calibri" w:cs="Arial"/>
          <w:szCs w:val="20"/>
          <w:lang w:val="en-IE" w:eastAsia="en-US"/>
        </w:rPr>
      </w:pPr>
      <w:permStart w:id="233375767" w:edGrp="everyone"/>
      <w:r w:rsidRPr="00CD1F3D">
        <w:rPr>
          <w:rFonts w:eastAsia="Calibri" w:cs="Arial"/>
          <w:szCs w:val="20"/>
          <w:lang w:val="en-IE" w:eastAsia="en-US"/>
        </w:rPr>
        <w:t>The Irish Funds Industry Association (“Irish Funds”) is the representative body of the international investment funds community in Ireland, representing the depositaries, administrators, managers, transfer agents, fund promoters and professional advisory firms involved in the international fund services industry in Ireland. Ireland is a leading centre for the domiciling, administration, and provision of depositary services to collective investment schemes. As of June 2016, there were 6,286 Irish domiciled UCITS and AIFs with €1.9 trillion in assets under custody (Source: Centr</w:t>
      </w:r>
      <w:bookmarkStart w:id="3" w:name="_GoBack"/>
      <w:bookmarkEnd w:id="3"/>
      <w:r w:rsidRPr="00CD1F3D">
        <w:rPr>
          <w:rFonts w:eastAsia="Calibri" w:cs="Arial"/>
          <w:szCs w:val="20"/>
          <w:lang w:val="en-IE" w:eastAsia="en-US"/>
        </w:rPr>
        <w:t xml:space="preserve">al Bank of Ireland).  This represents over 14% of all European investment fund assets (Source: EFAMA Q2 2016). Irish domiciled funds are distributed to investors in over 70 countries across the globe and invest extensively in every region of the globe (Source: Monterey Ireland Fund Encyclopaedia 2015). ESMA’s consultations on asset segregation are therefore of particular relevance and significance for the international funds industry operating in Ireland. </w:t>
      </w:r>
    </w:p>
    <w:p w:rsidR="002C56F1" w:rsidRPr="00CD1F3D" w:rsidRDefault="002C56F1" w:rsidP="002C56F1">
      <w:pPr>
        <w:rPr>
          <w:rFonts w:eastAsia="Calibri" w:cs="Arial"/>
          <w:szCs w:val="20"/>
          <w:lang w:val="en-IE" w:eastAsia="en-US"/>
        </w:rPr>
      </w:pPr>
    </w:p>
    <w:p w:rsidR="002C56F1" w:rsidRPr="00CD1F3D" w:rsidRDefault="002C56F1" w:rsidP="002C56F1">
      <w:pPr>
        <w:jc w:val="both"/>
        <w:rPr>
          <w:rFonts w:eastAsia="Calibri" w:cs="Arial"/>
          <w:szCs w:val="20"/>
          <w:lang w:val="en-IE" w:eastAsia="en-US"/>
        </w:rPr>
      </w:pPr>
      <w:r w:rsidRPr="00CD1F3D">
        <w:rPr>
          <w:rFonts w:eastAsia="Calibri" w:cs="Arial"/>
          <w:szCs w:val="20"/>
          <w:lang w:val="en-IE" w:eastAsia="en-US"/>
        </w:rPr>
        <w:t xml:space="preserve">Irish Funds responded to ESMA’s original consultation on asset segregation dated December 2014 and welcomes the fact that in recognition of the complexities and significant difficulties arising from potential asset segregation options, ESMA has decided to undertake a call for evidence on this subject.  We wish to emphasise that while we agree with ESMA’s stated objective to ensure that the interests of UCITS/AIF investors are protected in the event of an insolvency, the uniform application of greater physical account segregation is not necessary to achieve this. In the case of an insolvency of a delegate, greater asset segregation would not enhance the speed of return of assets, due to the nature of insolvency law and practices. </w:t>
      </w:r>
    </w:p>
    <w:p w:rsidR="002C56F1" w:rsidRPr="00CD1F3D" w:rsidRDefault="002C56F1" w:rsidP="002C56F1">
      <w:pPr>
        <w:rPr>
          <w:rFonts w:eastAsia="Calibri" w:cs="Arial"/>
          <w:szCs w:val="20"/>
          <w:lang w:val="en-IE" w:eastAsia="en-US"/>
        </w:rPr>
      </w:pPr>
    </w:p>
    <w:p w:rsidR="002C56F1" w:rsidRPr="00CD1F3D" w:rsidRDefault="002C56F1" w:rsidP="002C56F1">
      <w:pPr>
        <w:jc w:val="both"/>
        <w:rPr>
          <w:rFonts w:eastAsia="Calibri" w:cs="Arial"/>
          <w:szCs w:val="20"/>
          <w:lang w:val="en-IE" w:eastAsia="en-US"/>
        </w:rPr>
      </w:pPr>
      <w:r w:rsidRPr="00CD1F3D">
        <w:rPr>
          <w:rFonts w:eastAsia="Calibri" w:cs="Arial"/>
          <w:szCs w:val="20"/>
          <w:lang w:val="en-IE" w:eastAsia="en-US"/>
        </w:rPr>
        <w:t>On the other hand, the account multiplier effect from greater asset segregation will lead to increased operational complexity, increased risk of error and a higher rate of settlement failure.  This, combined with the attendant increase in account reconciliations and oversight will have a knock on impact on cost which will ultimately impact on the investor. The use of omnibus accounts is recognised under AIFMD, UCITS and under IOSCO’s Standards for the Custody of CIS Assets as appropriate and the law and market practice in many developed markets has evolved to support their existence, as a safer and more efficient way to hold and settle assets. In other jurisdictions, where it is deemed necessary under legal advice to further physically segregate UCITS or AIF assets, the depositary will ensure that these arrangements are in place in line with its legal obligations to the fund and the investors, acting in their best interests. We therefore urge ESMA to refrain from mandating a uniform model requiring greater physical asset segregation and to take into account the different nature and structure of other markets globally and the protections afforded in those markets, which make further physical segregation unnecessary.</w:t>
      </w:r>
    </w:p>
    <w:p w:rsidR="002C56F1" w:rsidRPr="00CD1F3D" w:rsidRDefault="002C56F1" w:rsidP="002C56F1">
      <w:pPr>
        <w:jc w:val="both"/>
        <w:rPr>
          <w:rFonts w:eastAsia="Calibri" w:cs="Arial"/>
          <w:szCs w:val="20"/>
          <w:lang w:val="en-IE" w:eastAsia="en-US"/>
        </w:rPr>
      </w:pPr>
      <w:r w:rsidRPr="00CD1F3D">
        <w:rPr>
          <w:rFonts w:eastAsia="Calibri" w:cs="Arial"/>
          <w:szCs w:val="20"/>
          <w:lang w:val="en-IE" w:eastAsia="en-US"/>
        </w:rPr>
        <w:t xml:space="preserve"> </w:t>
      </w:r>
    </w:p>
    <w:p w:rsidR="00CD1F3D" w:rsidRDefault="002C56F1" w:rsidP="00D34282">
      <w:pPr>
        <w:rPr>
          <w:rFonts w:eastAsia="Calibri" w:cs="Arial"/>
          <w:szCs w:val="20"/>
          <w:lang w:val="en-IE" w:eastAsia="en-US"/>
        </w:rPr>
      </w:pPr>
      <w:r w:rsidRPr="00CD1F3D">
        <w:rPr>
          <w:rFonts w:eastAsia="Calibri" w:cs="Arial"/>
          <w:szCs w:val="20"/>
          <w:lang w:val="en-IE" w:eastAsia="en-US"/>
        </w:rPr>
        <w:t>Ultimately, the depositary is held liable for loss of financial instruments held in custody in the event that the segregation requirements are not met and the depositary also has a responsibility to continually assess the local segregation arrangements to ensure that the risk of loss is minimised. From our perspective this should be the starting point when developing the guidelines, combined with the depositary’s duty to always act in the best interests of the shareholders. Taking this approach, the final segregation guidelines need to provide sufficient flexibility to allow for the most appropriate arrangements to be put in place dependent on the local legal, regulatory and operational environment.</w:t>
      </w:r>
    </w:p>
    <w:permEnd w:id="233375767"/>
    <w:p w:rsidR="00D34282" w:rsidRPr="00B42A10" w:rsidRDefault="00D34282" w:rsidP="00D34282">
      <w:pPr>
        <w:rPr>
          <w:lang w:val="fr-FR"/>
        </w:rPr>
      </w:pPr>
      <w:r w:rsidRPr="00B42A10">
        <w:rPr>
          <w:lang w:val="fr-FR"/>
        </w:rPr>
        <w:t>&lt;</w:t>
      </w:r>
      <w:r w:rsidR="002039F0" w:rsidRPr="00B42A10">
        <w:rPr>
          <w:lang w:val="fr-FR"/>
        </w:rPr>
        <w:t>ESMA_COMMENT_</w:t>
      </w:r>
      <w:r w:rsidR="000018FA" w:rsidRPr="00B42A10">
        <w:rPr>
          <w:lang w:val="fr-FR"/>
        </w:rPr>
        <w:t>CE</w:t>
      </w:r>
      <w:r w:rsidR="002039F0" w:rsidRPr="00B42A10">
        <w:rPr>
          <w:lang w:val="fr-FR"/>
        </w:rPr>
        <w:t>_</w:t>
      </w:r>
      <w:r w:rsidR="000018FA" w:rsidRPr="00B42A10">
        <w:rPr>
          <w:lang w:val="fr-FR"/>
        </w:rPr>
        <w:t>ASCS</w:t>
      </w:r>
      <w:r w:rsidR="002039F0" w:rsidRPr="00B42A10">
        <w:rPr>
          <w:lang w:val="fr-FR"/>
        </w:rPr>
        <w:t>_1</w:t>
      </w:r>
      <w:r w:rsidRPr="00B42A10">
        <w:rPr>
          <w:lang w:val="fr-FR"/>
        </w:rPr>
        <w:t>&gt;</w:t>
      </w:r>
    </w:p>
    <w:p w:rsidR="00F31E57" w:rsidRPr="00B42A10" w:rsidRDefault="00F31E57" w:rsidP="00D34282">
      <w:pPr>
        <w:rPr>
          <w:lang w:val="fr-FR"/>
        </w:rPr>
      </w:pPr>
    </w:p>
    <w:p w:rsidR="001A170B" w:rsidRPr="001A170B" w:rsidRDefault="00F31E57" w:rsidP="001A170B">
      <w:pPr>
        <w:numPr>
          <w:ilvl w:val="0"/>
          <w:numId w:val="38"/>
        </w:numPr>
        <w:spacing w:after="250" w:line="276" w:lineRule="auto"/>
        <w:jc w:val="both"/>
        <w:rPr>
          <w:b/>
          <w:bCs/>
          <w:sz w:val="22"/>
          <w:szCs w:val="20"/>
          <w:lang w:eastAsia="en-US"/>
        </w:rPr>
      </w:pPr>
      <w:r w:rsidRPr="0075015C">
        <w:br w:type="page"/>
      </w:r>
      <w:r w:rsidR="001A170B" w:rsidRPr="001A170B">
        <w:rPr>
          <w:b/>
          <w:bCs/>
          <w:sz w:val="22"/>
          <w:szCs w:val="20"/>
          <w:lang w:eastAsia="en-US"/>
        </w:rPr>
        <w:lastRenderedPageBreak/>
        <w:t>Please describe the model of asset segregation (including through the use of ‘omnibus accounts’) in your custody chain/the custody chain of the funds that you manage. Please explain what motivates your choice of asset segregation at each level (e.g. investor demand, local requirements, tax reasons).</w:t>
      </w:r>
    </w:p>
    <w:p w:rsidR="001A170B" w:rsidRPr="001A170B" w:rsidRDefault="001A170B" w:rsidP="001A170B">
      <w:pPr>
        <w:spacing w:after="250" w:line="276" w:lineRule="auto"/>
        <w:ind w:left="360"/>
        <w:jc w:val="both"/>
        <w:rPr>
          <w:b/>
          <w:bCs/>
          <w:sz w:val="22"/>
          <w:szCs w:val="20"/>
          <w:lang w:eastAsia="en-US"/>
        </w:rPr>
      </w:pPr>
      <w:r w:rsidRPr="001A170B">
        <w:rPr>
          <w:b/>
          <w:bCs/>
          <w:sz w:val="22"/>
          <w:szCs w:val="20"/>
          <w:lang w:eastAsia="en-US"/>
        </w:rPr>
        <w:t>In your description, please take into account the following:</w:t>
      </w:r>
    </w:p>
    <w:p w:rsidR="001A170B" w:rsidRPr="001A170B" w:rsidRDefault="001A170B" w:rsidP="001A170B">
      <w:pPr>
        <w:numPr>
          <w:ilvl w:val="0"/>
          <w:numId w:val="39"/>
        </w:numPr>
        <w:spacing w:after="250" w:line="276" w:lineRule="auto"/>
        <w:jc w:val="both"/>
        <w:rPr>
          <w:b/>
          <w:bCs/>
          <w:sz w:val="22"/>
          <w:szCs w:val="20"/>
          <w:lang w:eastAsia="en-US"/>
        </w:rPr>
      </w:pPr>
      <w:r w:rsidRPr="001A170B">
        <w:rPr>
          <w:b/>
          <w:bCs/>
          <w:sz w:val="22"/>
          <w:szCs w:val="20"/>
          <w:lang w:eastAsia="en-US"/>
        </w:rPr>
        <w:t xml:space="preserve">please describe – </w:t>
      </w:r>
      <w:r w:rsidRPr="001A170B">
        <w:rPr>
          <w:b/>
          <w:bCs/>
          <w:sz w:val="22"/>
          <w:szCs w:val="20"/>
          <w:u w:val="single"/>
          <w:lang w:eastAsia="en-US"/>
        </w:rPr>
        <w:t>with the use of a chart/diagram</w:t>
      </w:r>
      <w:r w:rsidRPr="001A170B">
        <w:rPr>
          <w:b/>
          <w:bCs/>
          <w:sz w:val="22"/>
          <w:szCs w:val="20"/>
          <w:lang w:eastAsia="en-US"/>
        </w:rPr>
        <w:t xml:space="preserve"> – at least three levels of account-keeping in your custody chain, as follows:</w:t>
      </w:r>
    </w:p>
    <w:p w:rsidR="001A170B" w:rsidRPr="001A170B" w:rsidRDefault="001A170B" w:rsidP="001A170B">
      <w:pPr>
        <w:numPr>
          <w:ilvl w:val="0"/>
          <w:numId w:val="40"/>
        </w:numPr>
        <w:spacing w:after="250" w:line="276" w:lineRule="auto"/>
        <w:jc w:val="both"/>
        <w:rPr>
          <w:b/>
          <w:bCs/>
          <w:sz w:val="22"/>
          <w:szCs w:val="20"/>
          <w:lang w:eastAsia="en-US"/>
        </w:rPr>
      </w:pPr>
      <w:r w:rsidRPr="001A170B">
        <w:rPr>
          <w:b/>
          <w:bCs/>
          <w:sz w:val="22"/>
          <w:szCs w:val="20"/>
          <w:lang w:eastAsia="en-US"/>
        </w:rPr>
        <w:t>the first level should be the level of the AIF/UCITS-appointed depositary,</w:t>
      </w:r>
    </w:p>
    <w:p w:rsidR="001A170B" w:rsidRPr="001A170B" w:rsidRDefault="001A170B" w:rsidP="00F579DC">
      <w:pPr>
        <w:numPr>
          <w:ilvl w:val="0"/>
          <w:numId w:val="40"/>
        </w:numPr>
        <w:spacing w:after="250" w:line="276" w:lineRule="auto"/>
        <w:jc w:val="both"/>
        <w:rPr>
          <w:b/>
          <w:bCs/>
          <w:sz w:val="22"/>
          <w:szCs w:val="20"/>
          <w:lang w:eastAsia="en-US"/>
        </w:rPr>
      </w:pPr>
      <w:r w:rsidRPr="001A170B">
        <w:rPr>
          <w:b/>
          <w:bCs/>
          <w:sz w:val="22"/>
          <w:szCs w:val="20"/>
          <w:lang w:eastAsia="en-US"/>
        </w:rPr>
        <w:t xml:space="preserve"> </w:t>
      </w:r>
      <w:r w:rsidR="00F579DC" w:rsidRPr="00F579DC">
        <w:rPr>
          <w:b/>
          <w:bCs/>
          <w:sz w:val="22"/>
          <w:szCs w:val="20"/>
          <w:lang w:eastAsia="en-US"/>
        </w:rPr>
        <w:t>the second level should be the level of a third party delegate of the depositary, and</w:t>
      </w:r>
    </w:p>
    <w:p w:rsidR="001A170B" w:rsidRPr="001A170B" w:rsidRDefault="001A170B" w:rsidP="001A170B">
      <w:pPr>
        <w:numPr>
          <w:ilvl w:val="0"/>
          <w:numId w:val="40"/>
        </w:numPr>
        <w:spacing w:after="250" w:line="276" w:lineRule="auto"/>
        <w:jc w:val="both"/>
        <w:rPr>
          <w:b/>
          <w:bCs/>
          <w:sz w:val="22"/>
          <w:szCs w:val="20"/>
          <w:lang w:eastAsia="en-US"/>
        </w:rPr>
      </w:pPr>
      <w:r w:rsidRPr="001A170B">
        <w:rPr>
          <w:b/>
          <w:bCs/>
          <w:sz w:val="22"/>
          <w:szCs w:val="20"/>
          <w:lang w:eastAsia="en-US"/>
        </w:rPr>
        <w:t>the second level should be the level of a third party delegate of the depositary, and</w:t>
      </w:r>
    </w:p>
    <w:p w:rsidR="001A170B" w:rsidRPr="001A170B" w:rsidRDefault="001A170B" w:rsidP="001A170B">
      <w:pPr>
        <w:numPr>
          <w:ilvl w:val="0"/>
          <w:numId w:val="40"/>
        </w:numPr>
        <w:spacing w:after="250" w:line="276" w:lineRule="auto"/>
        <w:jc w:val="both"/>
        <w:rPr>
          <w:b/>
          <w:bCs/>
          <w:sz w:val="22"/>
          <w:szCs w:val="20"/>
          <w:lang w:eastAsia="en-US"/>
        </w:rPr>
      </w:pPr>
      <w:r w:rsidRPr="001A170B">
        <w:rPr>
          <w:b/>
          <w:bCs/>
          <w:sz w:val="22"/>
          <w:szCs w:val="20"/>
          <w:lang w:eastAsia="en-US"/>
        </w:rPr>
        <w:t>the third level should be the level of a sub-delegate of the third party delegate or the CSD, where applicable.</w:t>
      </w:r>
    </w:p>
    <w:p w:rsidR="001A170B" w:rsidRPr="001A170B" w:rsidRDefault="001A170B" w:rsidP="001A170B">
      <w:pPr>
        <w:spacing w:after="250" w:line="276" w:lineRule="auto"/>
        <w:ind w:left="1353"/>
        <w:jc w:val="both"/>
        <w:rPr>
          <w:b/>
          <w:bCs/>
          <w:sz w:val="22"/>
          <w:szCs w:val="20"/>
          <w:lang w:eastAsia="en-US"/>
        </w:rPr>
      </w:pPr>
      <w:r w:rsidRPr="001A170B">
        <w:rPr>
          <w:b/>
          <w:bCs/>
          <w:sz w:val="22"/>
          <w:szCs w:val="20"/>
          <w:lang w:eastAsia="en-US"/>
        </w:rPr>
        <w:t>You may wish to add further levels of accounts, depending on your custody chain.</w:t>
      </w:r>
    </w:p>
    <w:p w:rsidR="001A170B" w:rsidRPr="001A170B" w:rsidRDefault="001A170B" w:rsidP="001A170B">
      <w:pPr>
        <w:numPr>
          <w:ilvl w:val="0"/>
          <w:numId w:val="39"/>
        </w:numPr>
        <w:spacing w:after="250" w:line="276" w:lineRule="auto"/>
        <w:jc w:val="both"/>
        <w:rPr>
          <w:b/>
          <w:bCs/>
          <w:sz w:val="22"/>
          <w:szCs w:val="20"/>
          <w:lang w:eastAsia="en-US"/>
        </w:rPr>
      </w:pPr>
      <w:r w:rsidRPr="001A170B">
        <w:rPr>
          <w:b/>
          <w:bCs/>
          <w:sz w:val="22"/>
          <w:szCs w:val="20"/>
          <w:lang w:eastAsia="en-US"/>
        </w:rPr>
        <w:t>if you use ‘omnibus accounts’ (i.e. accounts, in which the assets of different end investors are commingled, rather than each individual investor’s assets being held in a separate account) at any level of the custody chain, please provide, in as clear and detailed a manner as possible:</w:t>
      </w:r>
    </w:p>
    <w:p w:rsidR="001A170B" w:rsidRPr="001A170B" w:rsidRDefault="001A170B" w:rsidP="001A170B">
      <w:pPr>
        <w:numPr>
          <w:ilvl w:val="0"/>
          <w:numId w:val="41"/>
        </w:numPr>
        <w:spacing w:after="250" w:line="276" w:lineRule="auto"/>
        <w:jc w:val="both"/>
        <w:rPr>
          <w:b/>
          <w:bCs/>
          <w:sz w:val="22"/>
          <w:szCs w:val="20"/>
          <w:lang w:eastAsia="en-US"/>
        </w:rPr>
      </w:pPr>
      <w:r w:rsidRPr="001A170B">
        <w:rPr>
          <w:b/>
          <w:bCs/>
          <w:sz w:val="22"/>
          <w:szCs w:val="20"/>
          <w:lang w:eastAsia="en-US"/>
        </w:rPr>
        <w:t xml:space="preserve">an explanation including at which level of the chain you use them; </w:t>
      </w:r>
    </w:p>
    <w:p w:rsidR="001A170B" w:rsidRPr="001A170B" w:rsidRDefault="001A170B" w:rsidP="001A170B">
      <w:pPr>
        <w:numPr>
          <w:ilvl w:val="0"/>
          <w:numId w:val="41"/>
        </w:numPr>
        <w:spacing w:after="250" w:line="276" w:lineRule="auto"/>
        <w:jc w:val="both"/>
        <w:rPr>
          <w:b/>
          <w:bCs/>
          <w:sz w:val="22"/>
          <w:szCs w:val="20"/>
          <w:lang w:eastAsia="en-US"/>
        </w:rPr>
      </w:pPr>
      <w:r w:rsidRPr="001A170B">
        <w:rPr>
          <w:b/>
          <w:bCs/>
          <w:sz w:val="22"/>
          <w:szCs w:val="20"/>
          <w:lang w:eastAsia="en-US"/>
        </w:rPr>
        <w:t xml:space="preserve">a description of the features of these accounts (e.g. whose assets are held in them, who holds title to those assets or is considered to be the end investor, etc. - e.g. AIF, UCITS, other clients, depositaries or their third party delegates); </w:t>
      </w:r>
    </w:p>
    <w:p w:rsidR="001A170B" w:rsidRPr="001A170B" w:rsidRDefault="001A170B" w:rsidP="001A170B">
      <w:pPr>
        <w:numPr>
          <w:ilvl w:val="0"/>
          <w:numId w:val="41"/>
        </w:numPr>
        <w:spacing w:after="250" w:line="276" w:lineRule="auto"/>
        <w:jc w:val="both"/>
        <w:rPr>
          <w:b/>
          <w:bCs/>
          <w:sz w:val="22"/>
          <w:szCs w:val="20"/>
          <w:lang w:eastAsia="en-US"/>
        </w:rPr>
      </w:pPr>
      <w:r w:rsidRPr="001A170B">
        <w:rPr>
          <w:b/>
          <w:bCs/>
          <w:sz w:val="22"/>
          <w:szCs w:val="20"/>
          <w:lang w:eastAsia="en-US"/>
        </w:rPr>
        <w:t>an explanation on how any restriction on reuse of the assets applying to the funds (AIF/UCITS) which you have in custody/manage (e.g. the restriction under Article 22(7) of the UCITS Directive) is respected, when they are held in an omnibus account at a given level; and</w:t>
      </w:r>
    </w:p>
    <w:p w:rsidR="001A170B" w:rsidRPr="001A170B" w:rsidRDefault="001A170B" w:rsidP="001A170B">
      <w:pPr>
        <w:numPr>
          <w:ilvl w:val="0"/>
          <w:numId w:val="41"/>
        </w:numPr>
        <w:spacing w:after="250" w:line="276" w:lineRule="auto"/>
        <w:jc w:val="both"/>
        <w:rPr>
          <w:b/>
          <w:bCs/>
          <w:sz w:val="22"/>
          <w:szCs w:val="20"/>
          <w:lang w:eastAsia="en-US"/>
        </w:rPr>
      </w:pPr>
      <w:r w:rsidRPr="001A170B">
        <w:rPr>
          <w:b/>
          <w:bCs/>
          <w:sz w:val="22"/>
          <w:szCs w:val="20"/>
          <w:lang w:eastAsia="en-US"/>
        </w:rPr>
        <w:t xml:space="preserve">the number or percentage of ‘omnibus accounts’ versus ‘separate accounts’ in your custody chain. </w:t>
      </w:r>
    </w:p>
    <w:p w:rsidR="001A170B" w:rsidRPr="001A170B" w:rsidRDefault="001A170B" w:rsidP="001A170B">
      <w:pPr>
        <w:numPr>
          <w:ilvl w:val="0"/>
          <w:numId w:val="39"/>
        </w:numPr>
        <w:spacing w:after="250" w:line="276" w:lineRule="auto"/>
        <w:jc w:val="both"/>
        <w:rPr>
          <w:b/>
          <w:bCs/>
          <w:sz w:val="22"/>
          <w:szCs w:val="20"/>
          <w:lang w:eastAsia="en-US"/>
        </w:rPr>
      </w:pPr>
      <w:r w:rsidRPr="001A170B">
        <w:rPr>
          <w:b/>
          <w:bCs/>
          <w:sz w:val="22"/>
          <w:szCs w:val="20"/>
          <w:lang w:eastAsia="en-US"/>
        </w:rPr>
        <w:t xml:space="preserve">if you do not use ‘omnibus accounts’, please specify why and how far down the chain it is possible for you not to use them (i.e. whether this works in all situations </w:t>
      </w:r>
      <w:r w:rsidRPr="001A170B">
        <w:rPr>
          <w:b/>
          <w:bCs/>
          <w:sz w:val="22"/>
          <w:szCs w:val="20"/>
          <w:lang w:eastAsia="en-US"/>
        </w:rPr>
        <w:lastRenderedPageBreak/>
        <w:t>or, if it is necessary to use ‘omnibus accounts’ at some level of the custody chain, at which level)?</w:t>
      </w:r>
    </w:p>
    <w:p w:rsidR="001A170B" w:rsidRPr="001A170B" w:rsidRDefault="001A170B" w:rsidP="001A170B">
      <w:pPr>
        <w:numPr>
          <w:ilvl w:val="0"/>
          <w:numId w:val="39"/>
        </w:numPr>
        <w:spacing w:after="250" w:line="276" w:lineRule="auto"/>
        <w:jc w:val="both"/>
        <w:rPr>
          <w:b/>
          <w:bCs/>
          <w:sz w:val="22"/>
          <w:szCs w:val="20"/>
          <w:lang w:eastAsia="en-US"/>
        </w:rPr>
      </w:pPr>
      <w:r w:rsidRPr="001A170B">
        <w:rPr>
          <w:b/>
          <w:bCs/>
          <w:sz w:val="22"/>
          <w:szCs w:val="20"/>
          <w:lang w:eastAsia="en-US"/>
        </w:rPr>
        <w:t xml:space="preserve">in the chart/diagram to be provided under a), if applicable, please refer to the five options in the table under Q22 below and specify if your model matches or closely matches with any of the models described therein. </w:t>
      </w:r>
    </w:p>
    <w:p w:rsidR="001A170B" w:rsidRPr="001A170B" w:rsidRDefault="001A170B" w:rsidP="001A170B">
      <w:pPr>
        <w:numPr>
          <w:ilvl w:val="0"/>
          <w:numId w:val="39"/>
        </w:numPr>
        <w:spacing w:after="250" w:line="276" w:lineRule="auto"/>
        <w:jc w:val="both"/>
        <w:rPr>
          <w:bCs/>
          <w:sz w:val="22"/>
          <w:szCs w:val="20"/>
          <w:lang w:eastAsia="en-US"/>
        </w:rPr>
      </w:pPr>
      <w:r w:rsidRPr="001A170B">
        <w:rPr>
          <w:b/>
          <w:bCs/>
          <w:sz w:val="22"/>
          <w:szCs w:val="20"/>
          <w:lang w:eastAsia="en-US"/>
        </w:rPr>
        <w:t>if your model makes any distinction between AIF and UCITS assets, please highlight the difference between the two in the chart/diagram to be provided under a).</w:t>
      </w:r>
    </w:p>
    <w:p w:rsidR="001A170B" w:rsidRPr="001A170B" w:rsidRDefault="001A170B" w:rsidP="001A170B">
      <w:pPr>
        <w:numPr>
          <w:ilvl w:val="0"/>
          <w:numId w:val="39"/>
        </w:numPr>
        <w:spacing w:after="250" w:line="276" w:lineRule="auto"/>
        <w:jc w:val="both"/>
        <w:rPr>
          <w:rFonts w:cs="Arial"/>
          <w:b/>
          <w:bCs/>
          <w:sz w:val="22"/>
          <w:szCs w:val="20"/>
          <w:lang w:eastAsia="en-US"/>
        </w:rPr>
      </w:pPr>
      <w:r w:rsidRPr="001A170B">
        <w:rPr>
          <w:rFonts w:cs="Arial"/>
          <w:b/>
          <w:bCs/>
          <w:sz w:val="22"/>
          <w:szCs w:val="20"/>
          <w:lang w:eastAsia="en-US"/>
        </w:rPr>
        <w:t>According to a Briefing Note</w:t>
      </w:r>
      <w:r w:rsidRPr="001A170B">
        <w:rPr>
          <w:rFonts w:cs="Arial"/>
          <w:b/>
          <w:bCs/>
          <w:sz w:val="16"/>
          <w:szCs w:val="20"/>
          <w:vertAlign w:val="superscript"/>
          <w:lang w:eastAsia="en-US"/>
        </w:rPr>
        <w:footnoteReference w:id="2"/>
      </w:r>
      <w:r w:rsidRPr="001A170B">
        <w:rPr>
          <w:rFonts w:cs="Arial"/>
          <w:b/>
          <w:bCs/>
          <w:sz w:val="22"/>
          <w:szCs w:val="20"/>
          <w:lang w:eastAsia="en-US"/>
        </w:rPr>
        <w:t xml:space="preserve"> published by ECON in 2011, there are five basic models for holding securities with an intermediary: the trust model</w:t>
      </w:r>
      <w:r w:rsidRPr="001A170B">
        <w:rPr>
          <w:rFonts w:cs="Arial"/>
          <w:sz w:val="16"/>
          <w:szCs w:val="20"/>
          <w:vertAlign w:val="superscript"/>
          <w:lang w:eastAsia="en-US"/>
        </w:rPr>
        <w:footnoteReference w:id="3"/>
      </w:r>
      <w:r w:rsidRPr="001A170B">
        <w:rPr>
          <w:rFonts w:cs="Arial"/>
          <w:b/>
          <w:bCs/>
          <w:sz w:val="22"/>
          <w:szCs w:val="20"/>
          <w:lang w:eastAsia="en-US"/>
        </w:rPr>
        <w:t>, the security entitlement model</w:t>
      </w:r>
      <w:r w:rsidRPr="001A170B">
        <w:rPr>
          <w:rFonts w:cs="Arial"/>
          <w:sz w:val="16"/>
          <w:szCs w:val="20"/>
          <w:vertAlign w:val="superscript"/>
          <w:lang w:eastAsia="en-US"/>
        </w:rPr>
        <w:footnoteReference w:id="4"/>
      </w:r>
      <w:r w:rsidRPr="001A170B">
        <w:rPr>
          <w:rFonts w:cs="Arial"/>
          <w:b/>
          <w:bCs/>
          <w:sz w:val="22"/>
          <w:szCs w:val="20"/>
          <w:lang w:eastAsia="en-US"/>
        </w:rPr>
        <w:t>, the undivided property model</w:t>
      </w:r>
      <w:r w:rsidRPr="001A170B">
        <w:rPr>
          <w:rFonts w:cs="Arial"/>
          <w:sz w:val="16"/>
          <w:szCs w:val="20"/>
          <w:vertAlign w:val="superscript"/>
          <w:lang w:eastAsia="en-US"/>
        </w:rPr>
        <w:footnoteReference w:id="5"/>
      </w:r>
      <w:r w:rsidRPr="001A170B">
        <w:rPr>
          <w:rFonts w:cs="Arial"/>
          <w:b/>
          <w:bCs/>
          <w:sz w:val="22"/>
          <w:szCs w:val="20"/>
          <w:lang w:eastAsia="en-US"/>
        </w:rPr>
        <w:t>, the pooled property model</w:t>
      </w:r>
      <w:r w:rsidRPr="001A170B">
        <w:rPr>
          <w:rFonts w:cs="Arial"/>
          <w:sz w:val="16"/>
          <w:szCs w:val="20"/>
          <w:vertAlign w:val="superscript"/>
          <w:lang w:eastAsia="en-US"/>
        </w:rPr>
        <w:footnoteReference w:id="6"/>
      </w:r>
      <w:r w:rsidRPr="001A170B">
        <w:rPr>
          <w:rFonts w:cs="Arial"/>
          <w:b/>
          <w:bCs/>
          <w:sz w:val="22"/>
          <w:szCs w:val="20"/>
          <w:lang w:eastAsia="en-US"/>
        </w:rPr>
        <w:t xml:space="preserve"> and the transparent model</w:t>
      </w:r>
      <w:r w:rsidRPr="001A170B">
        <w:rPr>
          <w:rFonts w:cs="Arial"/>
          <w:sz w:val="16"/>
          <w:szCs w:val="20"/>
          <w:vertAlign w:val="superscript"/>
          <w:lang w:eastAsia="en-US"/>
        </w:rPr>
        <w:footnoteReference w:id="7"/>
      </w:r>
      <w:r w:rsidRPr="001A170B">
        <w:rPr>
          <w:rFonts w:cs="Arial"/>
          <w:b/>
          <w:bCs/>
          <w:sz w:val="22"/>
          <w:szCs w:val="20"/>
          <w:lang w:eastAsia="en-US"/>
        </w:rPr>
        <w:t>. ESMA is interested in gathering evidence on whether there may be any link between certain securities holding models and certain asset segregation models. Therefore, ESMA invites stakeholders to provide input to the following questions:</w:t>
      </w:r>
    </w:p>
    <w:p w:rsidR="001A170B" w:rsidRPr="001A170B" w:rsidRDefault="001A170B" w:rsidP="001A170B">
      <w:pPr>
        <w:numPr>
          <w:ilvl w:val="0"/>
          <w:numId w:val="42"/>
        </w:numPr>
        <w:spacing w:after="250" w:line="276" w:lineRule="auto"/>
        <w:jc w:val="both"/>
        <w:rPr>
          <w:rFonts w:cs="Arial"/>
          <w:b/>
          <w:bCs/>
          <w:sz w:val="22"/>
          <w:szCs w:val="20"/>
          <w:lang w:eastAsia="en-US"/>
        </w:rPr>
      </w:pPr>
      <w:r w:rsidRPr="001A170B">
        <w:rPr>
          <w:rFonts w:cs="Arial"/>
          <w:b/>
          <w:bCs/>
          <w:sz w:val="22"/>
          <w:szCs w:val="20"/>
          <w:lang w:eastAsia="en-US"/>
        </w:rPr>
        <w:t xml:space="preserve">What securities holding model do you use? </w:t>
      </w:r>
    </w:p>
    <w:p w:rsidR="001A170B" w:rsidRPr="001A170B" w:rsidRDefault="001A170B" w:rsidP="001A170B">
      <w:pPr>
        <w:numPr>
          <w:ilvl w:val="0"/>
          <w:numId w:val="42"/>
        </w:numPr>
        <w:spacing w:after="250" w:line="276" w:lineRule="auto"/>
        <w:jc w:val="both"/>
        <w:rPr>
          <w:rFonts w:cs="Arial"/>
          <w:b/>
          <w:bCs/>
          <w:sz w:val="22"/>
          <w:szCs w:val="20"/>
          <w:lang w:eastAsia="en-US"/>
        </w:rPr>
      </w:pPr>
      <w:r w:rsidRPr="001A170B">
        <w:rPr>
          <w:rFonts w:cs="Arial"/>
          <w:b/>
          <w:bCs/>
          <w:sz w:val="22"/>
          <w:szCs w:val="20"/>
          <w:lang w:eastAsia="en-US"/>
        </w:rPr>
        <w:t xml:space="preserve">Is such model the market standard in your jurisdiction? </w:t>
      </w:r>
    </w:p>
    <w:p w:rsidR="001A170B" w:rsidRPr="001A170B" w:rsidRDefault="001A170B" w:rsidP="001A170B">
      <w:pPr>
        <w:numPr>
          <w:ilvl w:val="0"/>
          <w:numId w:val="42"/>
        </w:numPr>
        <w:spacing w:after="250" w:line="276" w:lineRule="auto"/>
        <w:jc w:val="both"/>
        <w:rPr>
          <w:rFonts w:cs="Arial"/>
          <w:b/>
          <w:bCs/>
          <w:sz w:val="22"/>
          <w:szCs w:val="20"/>
          <w:lang w:eastAsia="en-US"/>
        </w:rPr>
      </w:pPr>
      <w:r w:rsidRPr="001A170B">
        <w:rPr>
          <w:rFonts w:cs="Arial"/>
          <w:b/>
          <w:bCs/>
          <w:sz w:val="22"/>
          <w:szCs w:val="20"/>
          <w:lang w:eastAsia="en-US"/>
        </w:rPr>
        <w:t>Is the market standard model in your jurisdiction one of the five mentioned above, or a different one? If a different one, please provide details.</w:t>
      </w:r>
    </w:p>
    <w:p w:rsidR="001A170B" w:rsidRPr="001A170B" w:rsidRDefault="001A170B" w:rsidP="001A170B">
      <w:pPr>
        <w:numPr>
          <w:ilvl w:val="0"/>
          <w:numId w:val="42"/>
        </w:numPr>
        <w:spacing w:after="250" w:line="276" w:lineRule="auto"/>
        <w:jc w:val="both"/>
        <w:rPr>
          <w:rFonts w:cs="Arial"/>
          <w:b/>
          <w:bCs/>
          <w:sz w:val="22"/>
          <w:szCs w:val="20"/>
          <w:lang w:eastAsia="en-US"/>
        </w:rPr>
      </w:pPr>
      <w:r w:rsidRPr="001A170B">
        <w:rPr>
          <w:rFonts w:cs="Arial"/>
          <w:b/>
          <w:bCs/>
          <w:sz w:val="22"/>
          <w:szCs w:val="20"/>
          <w:lang w:val="en-US" w:eastAsia="en-US"/>
        </w:rPr>
        <w:t>Does the model you refer to under f) i) require a particular way of segregating assets</w:t>
      </w:r>
      <w:r w:rsidRPr="001A170B">
        <w:rPr>
          <w:rFonts w:cs="Arial"/>
          <w:b/>
          <w:sz w:val="22"/>
          <w:szCs w:val="20"/>
          <w:lang w:val="en-US" w:eastAsia="en-US"/>
        </w:rPr>
        <w:t xml:space="preserve"> </w:t>
      </w:r>
      <w:r w:rsidRPr="001A170B">
        <w:rPr>
          <w:rFonts w:cs="Arial"/>
          <w:b/>
          <w:bCs/>
          <w:sz w:val="22"/>
          <w:szCs w:val="20"/>
          <w:lang w:val="en-US" w:eastAsia="en-US"/>
        </w:rPr>
        <w:t>or omnibus accounts at one of the levels referred to at letter a) above?</w:t>
      </w:r>
      <w:r w:rsidRPr="001A170B">
        <w:rPr>
          <w:rFonts w:cs="Arial"/>
          <w:b/>
          <w:sz w:val="22"/>
          <w:szCs w:val="20"/>
          <w:lang w:val="en-US" w:eastAsia="en-US"/>
        </w:rPr>
        <w:t xml:space="preserve"> </w:t>
      </w:r>
      <w:r w:rsidRPr="001A170B">
        <w:rPr>
          <w:rFonts w:cs="Arial"/>
          <w:b/>
          <w:bCs/>
          <w:sz w:val="22"/>
          <w:szCs w:val="20"/>
          <w:lang w:val="en-US" w:eastAsia="en-US"/>
        </w:rPr>
        <w:t>If yes, please specify.</w:t>
      </w:r>
    </w:p>
    <w:p w:rsidR="001A170B" w:rsidRPr="001A170B" w:rsidRDefault="001A170B" w:rsidP="001A170B">
      <w:pPr>
        <w:numPr>
          <w:ilvl w:val="0"/>
          <w:numId w:val="39"/>
        </w:numPr>
        <w:spacing w:after="250" w:line="276" w:lineRule="auto"/>
        <w:jc w:val="both"/>
        <w:rPr>
          <w:rFonts w:cs="Arial"/>
          <w:b/>
          <w:bCs/>
          <w:sz w:val="22"/>
          <w:szCs w:val="20"/>
          <w:lang w:eastAsia="en-US"/>
        </w:rPr>
      </w:pPr>
      <w:r w:rsidRPr="001A170B">
        <w:rPr>
          <w:rFonts w:cs="Arial"/>
          <w:b/>
          <w:bCs/>
          <w:sz w:val="22"/>
          <w:szCs w:val="20"/>
          <w:lang w:eastAsia="en-US"/>
        </w:rPr>
        <w:t>Please explain the naming conventions (i.e. in whose name is the account opened) applied to the accounts with the delegates/sub-delegates of the depositary in the model described under answers to questions a) to e) above. Please also specify if there are instances where the accounts with the immediate delegate of the depositary are opened in the name of the funds.</w:t>
      </w:r>
    </w:p>
    <w:p w:rsidR="001A170B" w:rsidRDefault="001A170B" w:rsidP="001A170B">
      <w:pPr>
        <w:spacing w:after="250" w:line="276" w:lineRule="auto"/>
        <w:jc w:val="both"/>
        <w:rPr>
          <w:rFonts w:cs="Arial"/>
          <w:b/>
          <w:bCs/>
          <w:sz w:val="22"/>
          <w:szCs w:val="20"/>
          <w:lang w:eastAsia="en-US"/>
        </w:rPr>
      </w:pPr>
    </w:p>
    <w:p w:rsidR="001A170B" w:rsidRPr="00176639" w:rsidRDefault="001A170B" w:rsidP="001A170B">
      <w:r w:rsidRPr="00176639">
        <w:t>&lt;ESMA_</w:t>
      </w:r>
      <w:r>
        <w:t>QUESTION</w:t>
      </w:r>
      <w:r w:rsidRPr="00176639">
        <w:t>_</w:t>
      </w:r>
      <w:r>
        <w:t>CE_</w:t>
      </w:r>
      <w:r w:rsidRPr="000018FA">
        <w:t>ASCS</w:t>
      </w:r>
      <w:r w:rsidRPr="00176639">
        <w:t>_1&gt;</w:t>
      </w:r>
    </w:p>
    <w:p w:rsidR="001A170B" w:rsidRPr="00CD1F3D" w:rsidRDefault="002C56F1" w:rsidP="001A170B">
      <w:pPr>
        <w:rPr>
          <w:rFonts w:cs="Arial"/>
          <w:szCs w:val="20"/>
          <w:u w:val="single"/>
        </w:rPr>
      </w:pPr>
      <w:permStart w:id="527588011" w:edGrp="everyone"/>
      <w:r w:rsidRPr="00CD1F3D">
        <w:rPr>
          <w:rFonts w:cs="Arial"/>
          <w:szCs w:val="20"/>
          <w:u w:val="single"/>
        </w:rPr>
        <w:t>Answer to Question 1(a):</w:t>
      </w:r>
    </w:p>
    <w:p w:rsidR="00C016CC" w:rsidRPr="00CD1F3D" w:rsidRDefault="00C016CC" w:rsidP="002C56F1">
      <w:pPr>
        <w:pStyle w:val="CommentText"/>
        <w:jc w:val="both"/>
        <w:rPr>
          <w:rFonts w:cs="Arial"/>
        </w:rPr>
      </w:pPr>
    </w:p>
    <w:p w:rsidR="002C56F1" w:rsidRPr="00C82C2D" w:rsidRDefault="0069070B" w:rsidP="002C56F1">
      <w:pPr>
        <w:pStyle w:val="CommentText"/>
        <w:jc w:val="both"/>
        <w:rPr>
          <w:rFonts w:cs="Arial"/>
          <w:u w:val="single"/>
          <w:lang w:val="en-IE"/>
        </w:rPr>
      </w:pPr>
      <w:r>
        <w:rPr>
          <w:rFonts w:cs="Arial"/>
          <w:lang w:val="en-IE"/>
        </w:rPr>
        <w:lastRenderedPageBreak/>
        <w:t>Firstly, we would like to point out that w</w:t>
      </w:r>
      <w:r w:rsidR="002C56F1" w:rsidRPr="00C82C2D">
        <w:rPr>
          <w:rFonts w:cs="Arial"/>
          <w:lang w:val="en-IE"/>
        </w:rPr>
        <w:t>hether an omnibus account or further segregated account is opened in a particul</w:t>
      </w:r>
      <w:r>
        <w:rPr>
          <w:rFonts w:cs="Arial"/>
          <w:lang w:val="en-IE"/>
        </w:rPr>
        <w:t>ar market is driven by local legal</w:t>
      </w:r>
      <w:r w:rsidR="002C56F1" w:rsidRPr="00C82C2D">
        <w:rPr>
          <w:rFonts w:cs="Arial"/>
          <w:lang w:val="en-IE"/>
        </w:rPr>
        <w:t xml:space="preserve"> opinions / legal analyses which are obtained by depositaries/global custodians and/or their delegates which indicate which structure is appropriate to protect such assets from the insolvency of a delegate in a particular market.  It is only when there is no legal requirement to indicate that omnibus accounts are not appropriate that other considerations may apply as set out below (such as operational efficiency and risk considerations).</w:t>
      </w:r>
      <w:r w:rsidR="002C56F1" w:rsidRPr="00C82C2D">
        <w:rPr>
          <w:rFonts w:cs="Arial"/>
          <w:u w:val="single"/>
          <w:lang w:val="en-IE"/>
        </w:rPr>
        <w:t xml:space="preserve">  </w:t>
      </w:r>
    </w:p>
    <w:p w:rsidR="00103CE4" w:rsidRPr="00C82C2D" w:rsidRDefault="00103CE4" w:rsidP="002C56F1">
      <w:pPr>
        <w:pStyle w:val="CommentText"/>
        <w:jc w:val="both"/>
        <w:rPr>
          <w:rFonts w:cs="Arial"/>
          <w:u w:val="single"/>
          <w:lang w:val="en-IE"/>
        </w:rPr>
      </w:pPr>
    </w:p>
    <w:p w:rsidR="002C56F1" w:rsidRPr="00C82C2D" w:rsidRDefault="002C56F1" w:rsidP="002C56F1">
      <w:pPr>
        <w:pStyle w:val="Default"/>
        <w:jc w:val="both"/>
        <w:rPr>
          <w:rFonts w:ascii="Arial" w:hAnsi="Arial" w:cs="Arial"/>
          <w:color w:val="auto"/>
          <w:sz w:val="20"/>
          <w:szCs w:val="20"/>
          <w:lang w:val="en-IE"/>
        </w:rPr>
      </w:pPr>
      <w:r w:rsidRPr="00C82C2D">
        <w:rPr>
          <w:rFonts w:ascii="Arial" w:hAnsi="Arial" w:cs="Arial"/>
          <w:bCs/>
          <w:color w:val="auto"/>
          <w:sz w:val="20"/>
          <w:szCs w:val="20"/>
          <w:lang w:val="en-IE"/>
        </w:rPr>
        <w:t xml:space="preserve">We would refer ESMA to the Irish Funds response to the </w:t>
      </w:r>
      <w:r w:rsidRPr="00C82C2D">
        <w:rPr>
          <w:rFonts w:ascii="Arial" w:hAnsi="Arial" w:cs="Arial"/>
          <w:color w:val="auto"/>
          <w:sz w:val="20"/>
          <w:szCs w:val="20"/>
          <w:lang w:val="en-IE"/>
        </w:rPr>
        <w:t xml:space="preserve">ESMA Consultation Paper - Guidelines on asset segregation under the AIFMD, dated </w:t>
      </w:r>
      <w:r w:rsidR="004D230D">
        <w:rPr>
          <w:rFonts w:ascii="Arial" w:hAnsi="Arial" w:cs="Arial"/>
          <w:color w:val="auto"/>
          <w:sz w:val="20"/>
          <w:szCs w:val="20"/>
          <w:lang w:val="en-IE"/>
        </w:rPr>
        <w:t>3</w:t>
      </w:r>
      <w:r w:rsidR="00CA4E67">
        <w:rPr>
          <w:rFonts w:ascii="Arial" w:hAnsi="Arial" w:cs="Arial"/>
          <w:color w:val="auto"/>
          <w:sz w:val="20"/>
          <w:szCs w:val="20"/>
          <w:lang w:val="en-IE"/>
        </w:rPr>
        <w:t>0 January</w:t>
      </w:r>
      <w:r w:rsidRPr="00C82C2D">
        <w:rPr>
          <w:rFonts w:ascii="Arial" w:hAnsi="Arial" w:cs="Arial"/>
          <w:color w:val="auto"/>
          <w:sz w:val="20"/>
          <w:szCs w:val="20"/>
          <w:lang w:val="en-IE"/>
        </w:rPr>
        <w:t xml:space="preserve"> 2015, attached for ease of reference. In our response we provided a diagrammatic representation of each of the 5 Options outlined in the Consultation Paper. </w:t>
      </w:r>
    </w:p>
    <w:p w:rsidR="002C56F1" w:rsidRPr="00C82C2D" w:rsidRDefault="002C56F1" w:rsidP="002C56F1">
      <w:pPr>
        <w:pStyle w:val="Default"/>
        <w:jc w:val="both"/>
        <w:rPr>
          <w:rFonts w:ascii="Arial" w:hAnsi="Arial" w:cs="Arial"/>
          <w:color w:val="auto"/>
          <w:sz w:val="20"/>
          <w:szCs w:val="20"/>
          <w:lang w:val="en-IE"/>
        </w:rPr>
      </w:pPr>
    </w:p>
    <w:p w:rsidR="002C56F1" w:rsidRPr="00C82C2D" w:rsidRDefault="002C56F1" w:rsidP="002C56F1">
      <w:pPr>
        <w:pStyle w:val="Default"/>
        <w:jc w:val="both"/>
        <w:rPr>
          <w:rFonts w:ascii="Arial" w:hAnsi="Arial" w:cs="Arial"/>
          <w:color w:val="auto"/>
          <w:sz w:val="20"/>
          <w:szCs w:val="20"/>
          <w:lang w:val="en-IE"/>
        </w:rPr>
      </w:pPr>
      <w:r w:rsidRPr="00C82C2D">
        <w:rPr>
          <w:rFonts w:ascii="Arial" w:hAnsi="Arial" w:cs="Arial"/>
          <w:color w:val="auto"/>
          <w:sz w:val="20"/>
          <w:szCs w:val="20"/>
          <w:lang w:val="en-IE"/>
        </w:rPr>
        <w:t>Models predominantly employed by Members of Irish Funds are Options 4 and 5, depicted below. You will note that there is no difference in either model at Level 1 or above. Global Custodians and Prime Brokers are, without exception, in a position to maintain books and records at the level of the AIF or UCITS, or at sub-fund level if relevant.</w:t>
      </w:r>
    </w:p>
    <w:p w:rsidR="002C56F1" w:rsidRPr="00C82C2D" w:rsidRDefault="002C56F1" w:rsidP="002C56F1">
      <w:pPr>
        <w:pStyle w:val="Default"/>
        <w:jc w:val="both"/>
        <w:rPr>
          <w:rFonts w:ascii="Arial" w:hAnsi="Arial" w:cs="Arial"/>
          <w:color w:val="auto"/>
          <w:sz w:val="20"/>
          <w:szCs w:val="20"/>
          <w:lang w:val="en-IE"/>
        </w:rPr>
      </w:pPr>
    </w:p>
    <w:p w:rsidR="002C56F1" w:rsidRPr="00C82C2D" w:rsidRDefault="002C56F1" w:rsidP="002C56F1">
      <w:pPr>
        <w:pStyle w:val="Default"/>
        <w:jc w:val="both"/>
        <w:rPr>
          <w:rFonts w:ascii="Arial" w:hAnsi="Arial" w:cs="Arial"/>
          <w:color w:val="auto"/>
          <w:sz w:val="20"/>
          <w:szCs w:val="20"/>
          <w:lang w:val="en-IE"/>
        </w:rPr>
      </w:pPr>
      <w:r w:rsidRPr="00C82C2D">
        <w:rPr>
          <w:rFonts w:ascii="Arial" w:hAnsi="Arial" w:cs="Arial"/>
          <w:color w:val="auto"/>
          <w:sz w:val="20"/>
          <w:szCs w:val="20"/>
          <w:lang w:val="en-IE"/>
        </w:rPr>
        <w:t xml:space="preserve">The motive for choosing any custodian chain model below Level 1 is not singular and in many markets there is no choice. The structure below Level 1 is driven by a combination of local settlement and safekeeping practices in the specific market concerned, systemic and reporting capabilities of local agent (Level 2) and CSDs (Level 3) and the local legal/regulatory requirement that has evolved over time to support the established market practices. </w:t>
      </w:r>
    </w:p>
    <w:p w:rsidR="002C56F1" w:rsidRPr="00C82C2D" w:rsidRDefault="002C56F1" w:rsidP="002C56F1">
      <w:pPr>
        <w:pStyle w:val="Default"/>
        <w:jc w:val="both"/>
        <w:rPr>
          <w:rFonts w:ascii="Arial" w:hAnsi="Arial" w:cs="Arial"/>
          <w:color w:val="auto"/>
          <w:sz w:val="20"/>
          <w:szCs w:val="20"/>
          <w:lang w:val="en-IE"/>
        </w:rPr>
      </w:pPr>
    </w:p>
    <w:p w:rsidR="002C56F1" w:rsidRPr="00C82C2D" w:rsidRDefault="002C56F1" w:rsidP="002C56F1">
      <w:pPr>
        <w:pStyle w:val="Default"/>
        <w:jc w:val="both"/>
        <w:rPr>
          <w:rFonts w:ascii="Arial" w:hAnsi="Arial" w:cs="Arial"/>
          <w:color w:val="auto"/>
          <w:sz w:val="20"/>
          <w:szCs w:val="20"/>
          <w:lang w:val="en-IE"/>
        </w:rPr>
      </w:pPr>
      <w:r w:rsidRPr="00C82C2D">
        <w:rPr>
          <w:rFonts w:ascii="Arial" w:hAnsi="Arial" w:cs="Arial"/>
          <w:color w:val="auto"/>
          <w:sz w:val="20"/>
          <w:szCs w:val="20"/>
          <w:lang w:val="en-IE"/>
        </w:rPr>
        <w:t>The primary</w:t>
      </w:r>
      <w:r w:rsidR="0069070B">
        <w:rPr>
          <w:rFonts w:ascii="Arial" w:hAnsi="Arial" w:cs="Arial"/>
          <w:color w:val="auto"/>
          <w:sz w:val="20"/>
          <w:szCs w:val="20"/>
          <w:lang w:val="en-IE"/>
        </w:rPr>
        <w:t xml:space="preserve"> concern for d</w:t>
      </w:r>
      <w:r w:rsidRPr="00C82C2D">
        <w:rPr>
          <w:rFonts w:ascii="Arial" w:hAnsi="Arial" w:cs="Arial"/>
          <w:color w:val="auto"/>
          <w:sz w:val="20"/>
          <w:szCs w:val="20"/>
          <w:lang w:val="en-IE"/>
        </w:rPr>
        <w:t>epositaries is to ensure segregation of its clients’ assets (i.e. the assets owned by AIFS and UCITS it services) from the proprietary assets of the participants in the custodial chains depicted in the Options, having regard to a number of factors, not least local law and practice as it relates to determination of ownership in the local market with reference to account structures, naming conventions and registration requirements in that market. From the perspective of the depositary the optimum model therefore, particularly given the enhanced liability it has assumed for loss of assets under the UCITS Directive and AIFMD, is the model that best protects client assets in accordance with local practice for a particular market.</w:t>
      </w:r>
    </w:p>
    <w:p w:rsidR="002C56F1" w:rsidRPr="00C82C2D" w:rsidRDefault="002C56F1" w:rsidP="002C56F1">
      <w:pPr>
        <w:pStyle w:val="Default"/>
        <w:jc w:val="both"/>
        <w:rPr>
          <w:rFonts w:ascii="Arial" w:hAnsi="Arial" w:cs="Arial"/>
          <w:color w:val="auto"/>
          <w:sz w:val="20"/>
          <w:szCs w:val="20"/>
          <w:lang w:val="en-IE"/>
        </w:rPr>
      </w:pPr>
    </w:p>
    <w:p w:rsidR="002C56F1" w:rsidRPr="00C82C2D" w:rsidRDefault="002C56F1" w:rsidP="002C56F1">
      <w:pPr>
        <w:pStyle w:val="Default"/>
        <w:jc w:val="both"/>
        <w:rPr>
          <w:rFonts w:ascii="Arial" w:hAnsi="Arial" w:cs="Arial"/>
          <w:color w:val="auto"/>
          <w:sz w:val="20"/>
          <w:szCs w:val="20"/>
          <w:lang w:val="en-IE"/>
        </w:rPr>
      </w:pPr>
      <w:r w:rsidRPr="00C82C2D">
        <w:rPr>
          <w:rFonts w:ascii="Arial" w:hAnsi="Arial" w:cs="Arial"/>
          <w:color w:val="auto"/>
          <w:sz w:val="20"/>
          <w:szCs w:val="20"/>
          <w:lang w:val="en-IE"/>
        </w:rPr>
        <w:t xml:space="preserve">In several cases, and particularly in developing markets, the model employed is Option 5 or a close variant on this, where local requirements dictate that accounts must be maintained at Level 2 in the name of the ultimate beneficial owner (i.e. UCITS/AIF or depositary on behalf of UCITS/AIF or variant of same). In certain other markets, the use of omnibus accounts at Level 2 is a legal and regulatory requirement, for example in certain countries where specific requirements are imposed on account set-up for foreign investors (e.g. Finland, Greece, Malta and Turkey). </w:t>
      </w:r>
    </w:p>
    <w:p w:rsidR="002C56F1" w:rsidRPr="00C82C2D" w:rsidRDefault="002C56F1" w:rsidP="002C56F1">
      <w:pPr>
        <w:pStyle w:val="Default"/>
        <w:jc w:val="both"/>
        <w:rPr>
          <w:rFonts w:ascii="Arial" w:hAnsi="Arial" w:cs="Arial"/>
          <w:color w:val="auto"/>
          <w:sz w:val="20"/>
          <w:szCs w:val="20"/>
          <w:lang w:val="en-IE"/>
        </w:rPr>
      </w:pPr>
    </w:p>
    <w:p w:rsidR="002C56F1" w:rsidRPr="00C82C2D" w:rsidRDefault="002C56F1" w:rsidP="002C56F1">
      <w:pPr>
        <w:pStyle w:val="Default"/>
        <w:jc w:val="both"/>
        <w:rPr>
          <w:rFonts w:ascii="Arial" w:hAnsi="Arial" w:cs="Arial"/>
          <w:color w:val="auto"/>
          <w:sz w:val="20"/>
          <w:szCs w:val="20"/>
          <w:lang w:val="en-IE"/>
        </w:rPr>
      </w:pPr>
      <w:r w:rsidRPr="00C82C2D">
        <w:rPr>
          <w:rFonts w:ascii="Arial" w:hAnsi="Arial" w:cs="Arial"/>
          <w:color w:val="auto"/>
          <w:sz w:val="20"/>
          <w:szCs w:val="20"/>
          <w:lang w:val="en-IE"/>
        </w:rPr>
        <w:t xml:space="preserve">In markets where the use of Option 4 or 5 is optional, and where there are no additional legal protections to be gained for end-investors by sub-division of existing omnibus Level 2 accounts maintained for each Level 1 Global Custodian, other factors must be considered. Many of these have already been outlined in our original response, namely increased operational risks and costs (transaction costs, legal costs, system development (all Levels in the chain), human resources etc.); increased settlement complexity and risk of failure; disruption of existing securities lending and collateral models for derivatives and repurchase contracts and medium term market disruption. </w:t>
      </w:r>
    </w:p>
    <w:p w:rsidR="002C56F1" w:rsidRPr="00C82C2D" w:rsidRDefault="002C56F1" w:rsidP="002C56F1">
      <w:pPr>
        <w:jc w:val="both"/>
        <w:rPr>
          <w:rFonts w:cs="Arial"/>
          <w:szCs w:val="20"/>
          <w:lang w:val="en-IE"/>
        </w:rPr>
      </w:pPr>
    </w:p>
    <w:p w:rsidR="002C56F1" w:rsidRPr="00CD1F3D" w:rsidRDefault="002C56F1" w:rsidP="002C56F1">
      <w:pPr>
        <w:jc w:val="both"/>
        <w:rPr>
          <w:rFonts w:cs="Arial"/>
          <w:szCs w:val="20"/>
        </w:rPr>
      </w:pPr>
      <w:r w:rsidRPr="00CD1F3D">
        <w:rPr>
          <w:rFonts w:cs="Arial"/>
          <w:noProof/>
          <w:szCs w:val="20"/>
          <w:lang w:val="en-IE" w:eastAsia="en-IE"/>
        </w:rPr>
        <w:lastRenderedPageBreak/>
        <w:drawing>
          <wp:inline distT="0" distB="0" distL="0" distR="0" wp14:anchorId="2954FFA5" wp14:editId="3CE02F37">
            <wp:extent cx="5731510" cy="4261485"/>
            <wp:effectExtent l="19050" t="19050" r="21590" b="247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731510" cy="4261485"/>
                    </a:xfrm>
                    <a:prstGeom prst="rect">
                      <a:avLst/>
                    </a:prstGeom>
                    <a:ln>
                      <a:solidFill>
                        <a:schemeClr val="tx1"/>
                      </a:solidFill>
                    </a:ln>
                  </pic:spPr>
                </pic:pic>
              </a:graphicData>
            </a:graphic>
          </wp:inline>
        </w:drawing>
      </w:r>
    </w:p>
    <w:p w:rsidR="002C56F1" w:rsidRPr="00CD1F3D" w:rsidRDefault="002C56F1" w:rsidP="002C56F1">
      <w:pPr>
        <w:jc w:val="both"/>
        <w:rPr>
          <w:rFonts w:cs="Arial"/>
          <w:szCs w:val="20"/>
        </w:rPr>
      </w:pPr>
    </w:p>
    <w:p w:rsidR="002C56F1" w:rsidRPr="00CD1F3D" w:rsidRDefault="002C56F1" w:rsidP="002C56F1">
      <w:pPr>
        <w:jc w:val="both"/>
        <w:rPr>
          <w:rFonts w:cs="Arial"/>
          <w:szCs w:val="20"/>
        </w:rPr>
      </w:pPr>
      <w:r w:rsidRPr="00CD1F3D">
        <w:rPr>
          <w:rFonts w:cs="Arial"/>
          <w:noProof/>
          <w:szCs w:val="20"/>
          <w:lang w:val="en-IE" w:eastAsia="en-IE"/>
        </w:rPr>
        <w:lastRenderedPageBreak/>
        <w:drawing>
          <wp:inline distT="0" distB="0" distL="0" distR="0" wp14:anchorId="7F801563" wp14:editId="6FC170F2">
            <wp:extent cx="5731510" cy="4241800"/>
            <wp:effectExtent l="19050" t="19050" r="21590" b="254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731510" cy="4241800"/>
                    </a:xfrm>
                    <a:prstGeom prst="rect">
                      <a:avLst/>
                    </a:prstGeom>
                    <a:ln>
                      <a:solidFill>
                        <a:schemeClr val="tx1"/>
                      </a:solidFill>
                    </a:ln>
                  </pic:spPr>
                </pic:pic>
              </a:graphicData>
            </a:graphic>
          </wp:inline>
        </w:drawing>
      </w:r>
    </w:p>
    <w:p w:rsidR="00C016CC" w:rsidRPr="00CD1F3D" w:rsidRDefault="00C016CC" w:rsidP="001A170B">
      <w:pPr>
        <w:rPr>
          <w:rFonts w:cs="Arial"/>
          <w:szCs w:val="20"/>
          <w:u w:val="single"/>
        </w:rPr>
      </w:pPr>
    </w:p>
    <w:p w:rsidR="002C56F1" w:rsidRPr="00CD1F3D" w:rsidRDefault="002C56F1" w:rsidP="001A170B">
      <w:pPr>
        <w:rPr>
          <w:rFonts w:cs="Arial"/>
          <w:szCs w:val="20"/>
        </w:rPr>
      </w:pPr>
      <w:r w:rsidRPr="00CD1F3D">
        <w:rPr>
          <w:rFonts w:cs="Arial"/>
          <w:szCs w:val="20"/>
          <w:u w:val="single"/>
        </w:rPr>
        <w:t xml:space="preserve">Answer to Question </w:t>
      </w:r>
      <w:r w:rsidR="00C016CC" w:rsidRPr="00CD1F3D">
        <w:rPr>
          <w:rFonts w:cs="Arial"/>
          <w:szCs w:val="20"/>
          <w:u w:val="single"/>
        </w:rPr>
        <w:t>1</w:t>
      </w:r>
      <w:r w:rsidRPr="00CD1F3D">
        <w:rPr>
          <w:rFonts w:cs="Arial"/>
          <w:szCs w:val="20"/>
          <w:u w:val="single"/>
        </w:rPr>
        <w:t>(b)</w:t>
      </w:r>
      <w:r w:rsidR="00C016CC" w:rsidRPr="00CD1F3D">
        <w:rPr>
          <w:rFonts w:cs="Arial"/>
          <w:szCs w:val="20"/>
          <w:u w:val="single"/>
        </w:rPr>
        <w:t>(i)</w:t>
      </w:r>
      <w:r w:rsidRPr="00CD1F3D">
        <w:rPr>
          <w:rFonts w:cs="Arial"/>
          <w:szCs w:val="20"/>
        </w:rPr>
        <w:t>:</w:t>
      </w:r>
    </w:p>
    <w:p w:rsidR="002C56F1" w:rsidRPr="00CD1F3D" w:rsidRDefault="002C56F1" w:rsidP="001A170B">
      <w:pPr>
        <w:rPr>
          <w:rFonts w:cs="Arial"/>
          <w:szCs w:val="20"/>
        </w:rPr>
      </w:pPr>
    </w:p>
    <w:p w:rsidR="002C56F1" w:rsidRPr="00C82C2D" w:rsidRDefault="002C56F1" w:rsidP="002C56F1">
      <w:pPr>
        <w:pStyle w:val="Default"/>
        <w:jc w:val="both"/>
        <w:rPr>
          <w:rFonts w:ascii="Arial" w:hAnsi="Arial" w:cs="Arial"/>
          <w:color w:val="auto"/>
          <w:sz w:val="20"/>
          <w:szCs w:val="20"/>
          <w:lang w:val="en-IE"/>
        </w:rPr>
      </w:pPr>
      <w:r w:rsidRPr="00C82C2D">
        <w:rPr>
          <w:rFonts w:ascii="Arial" w:hAnsi="Arial" w:cs="Arial"/>
          <w:color w:val="auto"/>
          <w:sz w:val="20"/>
          <w:szCs w:val="20"/>
          <w:lang w:val="en-IE"/>
        </w:rPr>
        <w:t>As noted above in response to Q1 (i), and only where omnibus accounts are employed in the custodian chain, they are employed at Level 2 and Level 3, i.e. books and records maintained by Global Custodian or Prime Broker with its local agent reflecting assets of all clients of the Global Custodian or Prime Broker (Level 2), and the local agents’ accounts with the CSD (Level 3).</w:t>
      </w:r>
    </w:p>
    <w:p w:rsidR="00C016CC" w:rsidRPr="00C82C2D" w:rsidRDefault="00C016CC" w:rsidP="002C56F1">
      <w:pPr>
        <w:pStyle w:val="Default"/>
        <w:jc w:val="both"/>
        <w:rPr>
          <w:rFonts w:ascii="Arial" w:hAnsi="Arial" w:cs="Arial"/>
          <w:color w:val="auto"/>
          <w:sz w:val="20"/>
          <w:szCs w:val="20"/>
          <w:lang w:val="en-IE"/>
        </w:rPr>
      </w:pPr>
    </w:p>
    <w:p w:rsidR="00C016CC" w:rsidRPr="00C82C2D" w:rsidRDefault="00C016CC" w:rsidP="00C016CC">
      <w:pPr>
        <w:rPr>
          <w:rFonts w:cs="Arial"/>
          <w:szCs w:val="20"/>
          <w:lang w:val="en-IE"/>
        </w:rPr>
      </w:pPr>
      <w:r w:rsidRPr="00C82C2D">
        <w:rPr>
          <w:rFonts w:cs="Arial"/>
          <w:szCs w:val="20"/>
          <w:u w:val="single"/>
          <w:lang w:val="en-IE"/>
        </w:rPr>
        <w:t>Answer to Question 1(b)(ii)</w:t>
      </w:r>
      <w:r w:rsidRPr="00C82C2D">
        <w:rPr>
          <w:rFonts w:cs="Arial"/>
          <w:szCs w:val="20"/>
          <w:lang w:val="en-IE"/>
        </w:rPr>
        <w:t>:</w:t>
      </w:r>
    </w:p>
    <w:p w:rsidR="00C016CC" w:rsidRPr="00C82C2D" w:rsidRDefault="00C016CC" w:rsidP="002C56F1">
      <w:pPr>
        <w:pStyle w:val="Default"/>
        <w:jc w:val="both"/>
        <w:rPr>
          <w:rFonts w:ascii="Arial" w:hAnsi="Arial" w:cs="Arial"/>
          <w:color w:val="auto"/>
          <w:sz w:val="20"/>
          <w:szCs w:val="20"/>
          <w:lang w:val="en-IE"/>
        </w:rPr>
      </w:pPr>
    </w:p>
    <w:p w:rsidR="00C016CC" w:rsidRPr="00C82C2D" w:rsidRDefault="00C016CC" w:rsidP="00C016CC">
      <w:pPr>
        <w:pStyle w:val="Default"/>
        <w:jc w:val="both"/>
        <w:rPr>
          <w:rFonts w:ascii="Arial" w:hAnsi="Arial" w:cs="Arial"/>
          <w:color w:val="auto"/>
          <w:sz w:val="20"/>
          <w:szCs w:val="20"/>
          <w:lang w:val="en-IE"/>
        </w:rPr>
      </w:pPr>
      <w:r w:rsidRPr="00C82C2D">
        <w:rPr>
          <w:rFonts w:ascii="Arial" w:hAnsi="Arial" w:cs="Arial"/>
          <w:color w:val="auto"/>
          <w:sz w:val="20"/>
          <w:szCs w:val="20"/>
          <w:lang w:val="en-IE"/>
        </w:rPr>
        <w:t xml:space="preserve">Legal ownership is normally determined by reference to the party registered as owner by the CSD in the local market, but is ultimately dependent on applicable law in each market. Beneficial ownership is determined by reference to books, records and contracts throughout the chain (it would normally be the AIF, UCITS or the depositary on behalf of the AIF or UCITS or variant of same). </w:t>
      </w:r>
    </w:p>
    <w:p w:rsidR="00C016CC" w:rsidRPr="00C82C2D" w:rsidRDefault="00C016CC" w:rsidP="00C016CC">
      <w:pPr>
        <w:pStyle w:val="Default"/>
        <w:jc w:val="both"/>
        <w:rPr>
          <w:rFonts w:ascii="Arial" w:hAnsi="Arial" w:cs="Arial"/>
          <w:color w:val="auto"/>
          <w:sz w:val="20"/>
          <w:szCs w:val="20"/>
          <w:lang w:val="en-IE"/>
        </w:rPr>
      </w:pPr>
    </w:p>
    <w:p w:rsidR="00C016CC" w:rsidRPr="00C82C2D" w:rsidRDefault="00C016CC" w:rsidP="00C016CC">
      <w:pPr>
        <w:autoSpaceDE w:val="0"/>
        <w:autoSpaceDN w:val="0"/>
        <w:adjustRightInd w:val="0"/>
        <w:jc w:val="both"/>
        <w:rPr>
          <w:rFonts w:cs="Arial"/>
          <w:szCs w:val="20"/>
          <w:lang w:val="en-IE"/>
        </w:rPr>
      </w:pPr>
      <w:r w:rsidRPr="00C82C2D">
        <w:rPr>
          <w:rFonts w:cs="Arial"/>
          <w:szCs w:val="20"/>
          <w:lang w:val="en-IE"/>
        </w:rPr>
        <w:t xml:space="preserve">The local agent maintains an omnibus account in the Central Securities Depositary (“CSD”) for that market. Financial instruments of the AIF are held in the omnibus account maintained by the local agent at the CSD, registered in their name comingled with financial instruments belonging to all clients of that local agent. </w:t>
      </w:r>
    </w:p>
    <w:p w:rsidR="00C016CC" w:rsidRPr="00C82C2D" w:rsidRDefault="00C016CC" w:rsidP="00C016CC">
      <w:pPr>
        <w:autoSpaceDE w:val="0"/>
        <w:autoSpaceDN w:val="0"/>
        <w:adjustRightInd w:val="0"/>
        <w:jc w:val="both"/>
        <w:rPr>
          <w:rFonts w:cs="Arial"/>
          <w:szCs w:val="20"/>
          <w:lang w:val="en-IE"/>
        </w:rPr>
      </w:pPr>
    </w:p>
    <w:p w:rsidR="00C016CC" w:rsidRPr="00C82C2D" w:rsidRDefault="00C016CC" w:rsidP="00C016CC">
      <w:pPr>
        <w:autoSpaceDE w:val="0"/>
        <w:autoSpaceDN w:val="0"/>
        <w:adjustRightInd w:val="0"/>
        <w:jc w:val="both"/>
        <w:rPr>
          <w:rFonts w:cs="Arial"/>
          <w:szCs w:val="20"/>
          <w:lang w:val="en-IE"/>
        </w:rPr>
      </w:pPr>
      <w:r w:rsidRPr="00C82C2D">
        <w:rPr>
          <w:rFonts w:cs="Arial"/>
          <w:szCs w:val="20"/>
          <w:lang w:val="en-IE"/>
        </w:rPr>
        <w:t xml:space="preserve">Each local agent reconciles the records of financial instruments it maintains on its books for its clients, typically one omnibus account for each global-custodian or prime broker, to the omnibus account it maintains at the CSD where the financial instruments of all its clients are held. </w:t>
      </w:r>
    </w:p>
    <w:p w:rsidR="00C016CC" w:rsidRPr="00C82C2D" w:rsidRDefault="00C016CC" w:rsidP="00C016CC">
      <w:pPr>
        <w:autoSpaceDE w:val="0"/>
        <w:autoSpaceDN w:val="0"/>
        <w:adjustRightInd w:val="0"/>
        <w:jc w:val="both"/>
        <w:rPr>
          <w:rFonts w:cs="Arial"/>
          <w:szCs w:val="20"/>
          <w:lang w:val="en-IE"/>
        </w:rPr>
      </w:pPr>
    </w:p>
    <w:p w:rsidR="00C016CC" w:rsidRPr="00CD1F3D" w:rsidRDefault="00C016CC" w:rsidP="00C016CC">
      <w:pPr>
        <w:autoSpaceDE w:val="0"/>
        <w:autoSpaceDN w:val="0"/>
        <w:adjustRightInd w:val="0"/>
        <w:jc w:val="both"/>
        <w:rPr>
          <w:rFonts w:cs="Arial"/>
          <w:szCs w:val="20"/>
        </w:rPr>
      </w:pPr>
      <w:r w:rsidRPr="00C82C2D">
        <w:rPr>
          <w:rFonts w:cs="Arial"/>
          <w:szCs w:val="20"/>
          <w:lang w:val="en-IE"/>
        </w:rPr>
        <w:t>The global custodian or prime broker will in turn maintain a record of financial instruments for each AIF client of the depositary, one account opened in the name of the</w:t>
      </w:r>
      <w:r w:rsidRPr="00CD1F3D">
        <w:rPr>
          <w:rFonts w:cs="Arial"/>
          <w:szCs w:val="20"/>
        </w:rPr>
        <w:t xml:space="preserve"> AIF or AIFM on behalf of the AIF for each AIF </w:t>
      </w:r>
      <w:r w:rsidRPr="00CD1F3D">
        <w:rPr>
          <w:rFonts w:cs="Arial"/>
          <w:szCs w:val="20"/>
        </w:rPr>
        <w:lastRenderedPageBreak/>
        <w:t xml:space="preserve">client. The global custodian or prime broker will reconcile its records across those AIF accounts to the omnibus account it maintains with the local agent, whose account records only those assets of the clients of the global custodian or prime broker.   </w:t>
      </w:r>
    </w:p>
    <w:p w:rsidR="00C016CC" w:rsidRPr="00CD1F3D" w:rsidRDefault="00C016CC" w:rsidP="00C016CC">
      <w:pPr>
        <w:jc w:val="both"/>
        <w:rPr>
          <w:rFonts w:cs="Arial"/>
          <w:szCs w:val="20"/>
        </w:rPr>
      </w:pPr>
      <w:r w:rsidRPr="00CD1F3D">
        <w:rPr>
          <w:rFonts w:cs="Arial"/>
          <w:szCs w:val="20"/>
        </w:rPr>
        <w:t>As part of the due diligence process, the depositary oversees the record keeping and reconciliation processes of its delegates using the practices summarised below:</w:t>
      </w:r>
    </w:p>
    <w:p w:rsidR="00C016CC" w:rsidRPr="00CD1F3D" w:rsidRDefault="00C016CC" w:rsidP="00C016CC">
      <w:pPr>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2977"/>
        <w:gridCol w:w="3488"/>
      </w:tblGrid>
      <w:tr w:rsidR="00C016CC" w:rsidRPr="00CD1F3D" w:rsidTr="000B1EF7">
        <w:tc>
          <w:tcPr>
            <w:tcW w:w="2376" w:type="dxa"/>
          </w:tcPr>
          <w:p w:rsidR="00C016CC" w:rsidRPr="00CD1F3D" w:rsidRDefault="00C016CC" w:rsidP="000B1EF7">
            <w:pPr>
              <w:rPr>
                <w:rFonts w:cs="Arial"/>
                <w:b/>
                <w:szCs w:val="20"/>
              </w:rPr>
            </w:pPr>
            <w:r w:rsidRPr="00CD1F3D">
              <w:rPr>
                <w:rFonts w:cs="Arial"/>
                <w:b/>
                <w:szCs w:val="20"/>
              </w:rPr>
              <w:t>Regulatory Obligation</w:t>
            </w:r>
          </w:p>
        </w:tc>
        <w:tc>
          <w:tcPr>
            <w:tcW w:w="2977" w:type="dxa"/>
          </w:tcPr>
          <w:p w:rsidR="00C016CC" w:rsidRPr="00CD1F3D" w:rsidRDefault="00C016CC" w:rsidP="000B1EF7">
            <w:pPr>
              <w:rPr>
                <w:rFonts w:cs="Arial"/>
                <w:b/>
                <w:szCs w:val="20"/>
              </w:rPr>
            </w:pPr>
            <w:r w:rsidRPr="00CD1F3D">
              <w:rPr>
                <w:rFonts w:cs="Arial"/>
                <w:b/>
                <w:szCs w:val="20"/>
              </w:rPr>
              <w:t>Practices Employed (Where global custodians and prime brokers are used)</w:t>
            </w:r>
          </w:p>
        </w:tc>
        <w:tc>
          <w:tcPr>
            <w:tcW w:w="3488" w:type="dxa"/>
          </w:tcPr>
          <w:p w:rsidR="00C016CC" w:rsidRPr="00CD1F3D" w:rsidRDefault="00C016CC" w:rsidP="000B1EF7">
            <w:pPr>
              <w:rPr>
                <w:rFonts w:cs="Arial"/>
                <w:b/>
                <w:szCs w:val="20"/>
              </w:rPr>
            </w:pPr>
            <w:r w:rsidRPr="00CD1F3D">
              <w:rPr>
                <w:rFonts w:cs="Arial"/>
                <w:b/>
                <w:szCs w:val="20"/>
              </w:rPr>
              <w:t xml:space="preserve">Practices Employed(where the depositary delegates custody of assets directly to local agents) </w:t>
            </w:r>
          </w:p>
        </w:tc>
      </w:tr>
      <w:tr w:rsidR="00C016CC" w:rsidRPr="00CD1F3D" w:rsidTr="000B1EF7">
        <w:tc>
          <w:tcPr>
            <w:tcW w:w="2376" w:type="dxa"/>
          </w:tcPr>
          <w:p w:rsidR="00C016CC" w:rsidRPr="00CD1F3D" w:rsidRDefault="00C016CC" w:rsidP="000B1EF7">
            <w:pPr>
              <w:rPr>
                <w:rFonts w:cs="Arial"/>
                <w:szCs w:val="20"/>
              </w:rPr>
            </w:pPr>
            <w:r w:rsidRPr="00CD1F3D">
              <w:rPr>
                <w:rFonts w:cs="Arial"/>
                <w:szCs w:val="20"/>
              </w:rPr>
              <w:t>1) Recording/Identification of Financial Instruments</w:t>
            </w:r>
          </w:p>
        </w:tc>
        <w:tc>
          <w:tcPr>
            <w:tcW w:w="2977" w:type="dxa"/>
          </w:tcPr>
          <w:p w:rsidR="00C016CC" w:rsidRPr="00CD1F3D" w:rsidRDefault="00C016CC" w:rsidP="000B1EF7">
            <w:pPr>
              <w:ind w:left="351" w:hanging="283"/>
              <w:rPr>
                <w:rFonts w:cs="Arial"/>
                <w:szCs w:val="20"/>
              </w:rPr>
            </w:pPr>
            <w:r w:rsidRPr="00CD1F3D">
              <w:rPr>
                <w:rFonts w:cs="Arial"/>
                <w:szCs w:val="20"/>
              </w:rPr>
              <w:t>- Delegated to global custodian</w:t>
            </w:r>
          </w:p>
        </w:tc>
        <w:tc>
          <w:tcPr>
            <w:tcW w:w="3488" w:type="dxa"/>
          </w:tcPr>
          <w:p w:rsidR="00C016CC" w:rsidRPr="00CD1F3D" w:rsidRDefault="00C016CC" w:rsidP="00C016CC">
            <w:pPr>
              <w:numPr>
                <w:ilvl w:val="0"/>
                <w:numId w:val="55"/>
              </w:numPr>
              <w:spacing w:after="200" w:line="360" w:lineRule="auto"/>
              <w:rPr>
                <w:rFonts w:cs="Arial"/>
                <w:szCs w:val="20"/>
              </w:rPr>
            </w:pPr>
            <w:r w:rsidRPr="00CD1F3D">
              <w:rPr>
                <w:rFonts w:cs="Arial"/>
                <w:szCs w:val="20"/>
              </w:rPr>
              <w:t>Account opening/naming</w:t>
            </w:r>
          </w:p>
          <w:p w:rsidR="00C016CC" w:rsidRPr="00CD1F3D" w:rsidRDefault="00C016CC" w:rsidP="00C016CC">
            <w:pPr>
              <w:numPr>
                <w:ilvl w:val="0"/>
                <w:numId w:val="55"/>
              </w:numPr>
              <w:spacing w:after="200" w:line="360" w:lineRule="auto"/>
              <w:rPr>
                <w:rFonts w:cs="Arial"/>
                <w:szCs w:val="20"/>
              </w:rPr>
            </w:pPr>
            <w:r w:rsidRPr="00CD1F3D">
              <w:rPr>
                <w:rFonts w:cs="Arial"/>
                <w:szCs w:val="20"/>
              </w:rPr>
              <w:t>Trade capture</w:t>
            </w:r>
          </w:p>
          <w:p w:rsidR="00C016CC" w:rsidRPr="00CD1F3D" w:rsidRDefault="00C016CC" w:rsidP="00C016CC">
            <w:pPr>
              <w:numPr>
                <w:ilvl w:val="0"/>
                <w:numId w:val="55"/>
              </w:numPr>
              <w:spacing w:after="200" w:line="360" w:lineRule="auto"/>
              <w:rPr>
                <w:rFonts w:cs="Arial"/>
                <w:szCs w:val="20"/>
              </w:rPr>
            </w:pPr>
            <w:r w:rsidRPr="00CD1F3D">
              <w:rPr>
                <w:rFonts w:cs="Arial"/>
                <w:szCs w:val="20"/>
              </w:rPr>
              <w:t>Failed trade reporting and rectification</w:t>
            </w:r>
          </w:p>
          <w:p w:rsidR="00C016CC" w:rsidRPr="00CD1F3D" w:rsidRDefault="00C016CC" w:rsidP="00C016CC">
            <w:pPr>
              <w:numPr>
                <w:ilvl w:val="0"/>
                <w:numId w:val="55"/>
              </w:numPr>
              <w:spacing w:after="200" w:line="360" w:lineRule="auto"/>
              <w:rPr>
                <w:rFonts w:cs="Arial"/>
                <w:szCs w:val="20"/>
              </w:rPr>
            </w:pPr>
            <w:r w:rsidRPr="00CD1F3D">
              <w:rPr>
                <w:rFonts w:cs="Arial"/>
                <w:szCs w:val="20"/>
              </w:rPr>
              <w:t>Corporate actions/income collection</w:t>
            </w:r>
          </w:p>
          <w:p w:rsidR="00C016CC" w:rsidRPr="00CD1F3D" w:rsidRDefault="00C016CC" w:rsidP="00C016CC">
            <w:pPr>
              <w:numPr>
                <w:ilvl w:val="0"/>
                <w:numId w:val="55"/>
              </w:numPr>
              <w:spacing w:after="200" w:line="360" w:lineRule="auto"/>
              <w:rPr>
                <w:rFonts w:cs="Arial"/>
                <w:szCs w:val="20"/>
              </w:rPr>
            </w:pPr>
            <w:r w:rsidRPr="00CD1F3D">
              <w:rPr>
                <w:rFonts w:cs="Arial"/>
                <w:szCs w:val="20"/>
              </w:rPr>
              <w:t>Effecting reconciliations</w:t>
            </w:r>
          </w:p>
          <w:p w:rsidR="00C016CC" w:rsidRPr="00CD1F3D" w:rsidRDefault="00C016CC" w:rsidP="00C016CC">
            <w:pPr>
              <w:numPr>
                <w:ilvl w:val="0"/>
                <w:numId w:val="55"/>
              </w:numPr>
              <w:spacing w:after="200" w:line="360" w:lineRule="auto"/>
              <w:rPr>
                <w:rFonts w:cs="Arial"/>
                <w:szCs w:val="20"/>
              </w:rPr>
            </w:pPr>
            <w:r w:rsidRPr="00CD1F3D">
              <w:rPr>
                <w:rFonts w:cs="Arial"/>
                <w:szCs w:val="20"/>
              </w:rPr>
              <w:t>Regular monitoring and oversight of agents employed</w:t>
            </w:r>
          </w:p>
        </w:tc>
      </w:tr>
      <w:tr w:rsidR="00C016CC" w:rsidRPr="00CD1F3D" w:rsidTr="000B1EF7">
        <w:tc>
          <w:tcPr>
            <w:tcW w:w="2376" w:type="dxa"/>
          </w:tcPr>
          <w:p w:rsidR="00C016CC" w:rsidRPr="00CD1F3D" w:rsidRDefault="00C016CC" w:rsidP="000B1EF7">
            <w:pPr>
              <w:rPr>
                <w:rFonts w:cs="Arial"/>
                <w:szCs w:val="20"/>
              </w:rPr>
            </w:pPr>
            <w:r w:rsidRPr="00CD1F3D">
              <w:rPr>
                <w:rFonts w:cs="Arial"/>
                <w:szCs w:val="20"/>
              </w:rPr>
              <w:t>2) Record Accuracy</w:t>
            </w:r>
          </w:p>
        </w:tc>
        <w:tc>
          <w:tcPr>
            <w:tcW w:w="2977" w:type="dxa"/>
          </w:tcPr>
          <w:p w:rsidR="00C016CC" w:rsidRPr="00CD1F3D" w:rsidRDefault="00C016CC" w:rsidP="00C016CC">
            <w:pPr>
              <w:numPr>
                <w:ilvl w:val="0"/>
                <w:numId w:val="55"/>
              </w:numPr>
              <w:spacing w:after="200" w:line="360" w:lineRule="auto"/>
              <w:rPr>
                <w:rFonts w:cs="Arial"/>
                <w:szCs w:val="20"/>
              </w:rPr>
            </w:pPr>
            <w:r w:rsidRPr="00CD1F3D">
              <w:rPr>
                <w:rFonts w:cs="Arial"/>
                <w:szCs w:val="20"/>
              </w:rPr>
              <w:t>Oversight of global custodian / prime broker asset servicing practices</w:t>
            </w:r>
          </w:p>
          <w:p w:rsidR="00C016CC" w:rsidRPr="00CD1F3D" w:rsidRDefault="00C016CC" w:rsidP="00C016CC">
            <w:pPr>
              <w:numPr>
                <w:ilvl w:val="0"/>
                <w:numId w:val="55"/>
              </w:numPr>
              <w:spacing w:after="200" w:line="360" w:lineRule="auto"/>
              <w:rPr>
                <w:rFonts w:cs="Arial"/>
                <w:szCs w:val="20"/>
              </w:rPr>
            </w:pPr>
            <w:r w:rsidRPr="00CD1F3D">
              <w:rPr>
                <w:rFonts w:cs="Arial"/>
                <w:szCs w:val="20"/>
              </w:rPr>
              <w:t>Failed trade reporting</w:t>
            </w:r>
          </w:p>
          <w:p w:rsidR="00C016CC" w:rsidRPr="00CD1F3D" w:rsidRDefault="00C016CC" w:rsidP="00C016CC">
            <w:pPr>
              <w:numPr>
                <w:ilvl w:val="0"/>
                <w:numId w:val="55"/>
              </w:numPr>
              <w:spacing w:after="200" w:line="360" w:lineRule="auto"/>
              <w:rPr>
                <w:rFonts w:cs="Arial"/>
                <w:szCs w:val="20"/>
              </w:rPr>
            </w:pPr>
            <w:r w:rsidRPr="00CD1F3D">
              <w:rPr>
                <w:rFonts w:cs="Arial"/>
                <w:szCs w:val="20"/>
              </w:rPr>
              <w:t xml:space="preserve">Reporting of reconciliation breaks </w:t>
            </w:r>
          </w:p>
          <w:p w:rsidR="00C016CC" w:rsidRPr="00CD1F3D" w:rsidRDefault="00C016CC" w:rsidP="00C016CC">
            <w:pPr>
              <w:numPr>
                <w:ilvl w:val="0"/>
                <w:numId w:val="55"/>
              </w:numPr>
              <w:spacing w:after="200" w:line="360" w:lineRule="auto"/>
              <w:rPr>
                <w:rFonts w:cs="Arial"/>
                <w:szCs w:val="20"/>
              </w:rPr>
            </w:pPr>
            <w:r w:rsidRPr="00CD1F3D">
              <w:rPr>
                <w:rFonts w:cs="Arial"/>
                <w:szCs w:val="20"/>
              </w:rPr>
              <w:t>Regular monitoring and oversight of reconciliation practices through the custodial chain</w:t>
            </w:r>
          </w:p>
        </w:tc>
        <w:tc>
          <w:tcPr>
            <w:tcW w:w="3488" w:type="dxa"/>
          </w:tcPr>
          <w:p w:rsidR="00C016CC" w:rsidRPr="00CD1F3D" w:rsidRDefault="00C016CC" w:rsidP="00C016CC">
            <w:pPr>
              <w:numPr>
                <w:ilvl w:val="0"/>
                <w:numId w:val="55"/>
              </w:numPr>
              <w:spacing w:after="200" w:line="360" w:lineRule="auto"/>
              <w:rPr>
                <w:rFonts w:cs="Arial"/>
                <w:szCs w:val="20"/>
              </w:rPr>
            </w:pPr>
            <w:r w:rsidRPr="00CD1F3D">
              <w:rPr>
                <w:rFonts w:cs="Arial"/>
                <w:szCs w:val="20"/>
              </w:rPr>
              <w:t>As above</w:t>
            </w:r>
          </w:p>
        </w:tc>
      </w:tr>
      <w:tr w:rsidR="00C016CC" w:rsidRPr="00CD1F3D" w:rsidTr="000B1EF7">
        <w:tc>
          <w:tcPr>
            <w:tcW w:w="2376" w:type="dxa"/>
          </w:tcPr>
          <w:p w:rsidR="00C016CC" w:rsidRPr="00CD1F3D" w:rsidRDefault="00C016CC" w:rsidP="000B1EF7">
            <w:pPr>
              <w:rPr>
                <w:rFonts w:cs="Arial"/>
                <w:szCs w:val="20"/>
              </w:rPr>
            </w:pPr>
            <w:r w:rsidRPr="00CD1F3D">
              <w:rPr>
                <w:rFonts w:cs="Arial"/>
                <w:szCs w:val="20"/>
              </w:rPr>
              <w:t>3) Reconciliation</w:t>
            </w:r>
          </w:p>
        </w:tc>
        <w:tc>
          <w:tcPr>
            <w:tcW w:w="2977" w:type="dxa"/>
          </w:tcPr>
          <w:p w:rsidR="00C016CC" w:rsidRPr="00CD1F3D" w:rsidRDefault="00C016CC" w:rsidP="00C016CC">
            <w:pPr>
              <w:numPr>
                <w:ilvl w:val="0"/>
                <w:numId w:val="55"/>
              </w:numPr>
              <w:spacing w:after="200" w:line="360" w:lineRule="auto"/>
              <w:rPr>
                <w:rFonts w:cs="Arial"/>
                <w:szCs w:val="20"/>
              </w:rPr>
            </w:pPr>
            <w:r w:rsidRPr="00CD1F3D">
              <w:rPr>
                <w:rFonts w:cs="Arial"/>
                <w:szCs w:val="20"/>
              </w:rPr>
              <w:t>Obtain evidence of reconciliations performed by global custodians/ prime brokers</w:t>
            </w:r>
          </w:p>
          <w:p w:rsidR="00C016CC" w:rsidRPr="00CD1F3D" w:rsidRDefault="00C016CC" w:rsidP="00C016CC">
            <w:pPr>
              <w:numPr>
                <w:ilvl w:val="0"/>
                <w:numId w:val="55"/>
              </w:numPr>
              <w:spacing w:after="200" w:line="360" w:lineRule="auto"/>
              <w:rPr>
                <w:rFonts w:cs="Arial"/>
                <w:szCs w:val="20"/>
              </w:rPr>
            </w:pPr>
            <w:r w:rsidRPr="00CD1F3D">
              <w:rPr>
                <w:rFonts w:cs="Arial"/>
                <w:szCs w:val="20"/>
              </w:rPr>
              <w:lastRenderedPageBreak/>
              <w:t>Onsite inspections. Oversight of reconciliations performed through the custodial chain</w:t>
            </w:r>
          </w:p>
          <w:p w:rsidR="00C016CC" w:rsidRPr="00CD1F3D" w:rsidRDefault="00C016CC" w:rsidP="00C016CC">
            <w:pPr>
              <w:numPr>
                <w:ilvl w:val="0"/>
                <w:numId w:val="55"/>
              </w:numPr>
              <w:spacing w:after="200" w:line="360" w:lineRule="auto"/>
              <w:rPr>
                <w:rFonts w:cs="Arial"/>
                <w:szCs w:val="20"/>
              </w:rPr>
            </w:pPr>
            <w:r w:rsidRPr="00CD1F3D">
              <w:rPr>
                <w:rFonts w:cs="Arial"/>
                <w:szCs w:val="20"/>
              </w:rPr>
              <w:t>Reporting of reconciliation breaks</w:t>
            </w:r>
          </w:p>
          <w:p w:rsidR="00C016CC" w:rsidRPr="00CD1F3D" w:rsidRDefault="00C016CC" w:rsidP="00C016CC">
            <w:pPr>
              <w:numPr>
                <w:ilvl w:val="0"/>
                <w:numId w:val="55"/>
              </w:numPr>
              <w:spacing w:after="200" w:line="360" w:lineRule="auto"/>
              <w:rPr>
                <w:rFonts w:cs="Arial"/>
                <w:szCs w:val="20"/>
              </w:rPr>
            </w:pPr>
            <w:r w:rsidRPr="00CD1F3D">
              <w:rPr>
                <w:rFonts w:cs="Arial"/>
                <w:szCs w:val="20"/>
              </w:rPr>
              <w:t>Materiality and aged analysis / escalation</w:t>
            </w:r>
          </w:p>
        </w:tc>
        <w:tc>
          <w:tcPr>
            <w:tcW w:w="3488" w:type="dxa"/>
          </w:tcPr>
          <w:p w:rsidR="00C016CC" w:rsidRPr="00CD1F3D" w:rsidRDefault="00C016CC" w:rsidP="00C016CC">
            <w:pPr>
              <w:numPr>
                <w:ilvl w:val="0"/>
                <w:numId w:val="55"/>
              </w:numPr>
              <w:spacing w:after="200" w:line="360" w:lineRule="auto"/>
              <w:rPr>
                <w:rFonts w:cs="Arial"/>
                <w:szCs w:val="20"/>
              </w:rPr>
            </w:pPr>
            <w:r w:rsidRPr="00CD1F3D">
              <w:rPr>
                <w:rFonts w:cs="Arial"/>
                <w:szCs w:val="20"/>
              </w:rPr>
              <w:lastRenderedPageBreak/>
              <w:t>Perform reconciliations to local agent records directly</w:t>
            </w:r>
          </w:p>
          <w:p w:rsidR="00C016CC" w:rsidRPr="00CD1F3D" w:rsidRDefault="00C016CC" w:rsidP="00C016CC">
            <w:pPr>
              <w:numPr>
                <w:ilvl w:val="0"/>
                <w:numId w:val="55"/>
              </w:numPr>
              <w:spacing w:after="200" w:line="360" w:lineRule="auto"/>
              <w:rPr>
                <w:rFonts w:cs="Arial"/>
                <w:szCs w:val="20"/>
              </w:rPr>
            </w:pPr>
            <w:r w:rsidRPr="00CD1F3D">
              <w:rPr>
                <w:rFonts w:cs="Arial"/>
                <w:szCs w:val="20"/>
              </w:rPr>
              <w:t>Onsite inspections. Oversight of reconciliations performed by local agents to CSD</w:t>
            </w:r>
          </w:p>
          <w:p w:rsidR="00C016CC" w:rsidRPr="00CD1F3D" w:rsidRDefault="00C016CC" w:rsidP="00C016CC">
            <w:pPr>
              <w:numPr>
                <w:ilvl w:val="0"/>
                <w:numId w:val="55"/>
              </w:numPr>
              <w:spacing w:after="200" w:line="360" w:lineRule="auto"/>
              <w:rPr>
                <w:rFonts w:cs="Arial"/>
                <w:szCs w:val="20"/>
              </w:rPr>
            </w:pPr>
            <w:r w:rsidRPr="00CD1F3D">
              <w:rPr>
                <w:rFonts w:cs="Arial"/>
                <w:szCs w:val="20"/>
              </w:rPr>
              <w:lastRenderedPageBreak/>
              <w:t>Reporting of reconciliation breaks</w:t>
            </w:r>
          </w:p>
          <w:p w:rsidR="00C016CC" w:rsidRPr="00CD1F3D" w:rsidRDefault="00C016CC" w:rsidP="00C016CC">
            <w:pPr>
              <w:numPr>
                <w:ilvl w:val="0"/>
                <w:numId w:val="55"/>
              </w:numPr>
              <w:spacing w:after="200" w:line="360" w:lineRule="auto"/>
              <w:rPr>
                <w:rFonts w:cs="Arial"/>
                <w:szCs w:val="20"/>
              </w:rPr>
            </w:pPr>
            <w:r w:rsidRPr="00CD1F3D">
              <w:rPr>
                <w:rFonts w:cs="Arial"/>
                <w:szCs w:val="20"/>
              </w:rPr>
              <w:t>Materiality and aged analysis / escalation</w:t>
            </w:r>
          </w:p>
        </w:tc>
      </w:tr>
      <w:tr w:rsidR="00C016CC" w:rsidRPr="00CD1F3D" w:rsidTr="000B1EF7">
        <w:tc>
          <w:tcPr>
            <w:tcW w:w="2376" w:type="dxa"/>
          </w:tcPr>
          <w:p w:rsidR="00C016CC" w:rsidRPr="00CD1F3D" w:rsidRDefault="00C016CC" w:rsidP="000B1EF7">
            <w:pPr>
              <w:rPr>
                <w:rFonts w:cs="Arial"/>
                <w:szCs w:val="20"/>
              </w:rPr>
            </w:pPr>
            <w:r w:rsidRPr="00CD1F3D">
              <w:rPr>
                <w:rFonts w:cs="Arial"/>
                <w:szCs w:val="20"/>
              </w:rPr>
              <w:lastRenderedPageBreak/>
              <w:t>4) Due Care and 5) Organisational Arrangements</w:t>
            </w:r>
          </w:p>
        </w:tc>
        <w:tc>
          <w:tcPr>
            <w:tcW w:w="2977" w:type="dxa"/>
          </w:tcPr>
          <w:p w:rsidR="00C016CC" w:rsidRPr="00CD1F3D" w:rsidRDefault="00C016CC" w:rsidP="00C016CC">
            <w:pPr>
              <w:numPr>
                <w:ilvl w:val="0"/>
                <w:numId w:val="55"/>
              </w:numPr>
              <w:spacing w:after="200" w:line="360" w:lineRule="auto"/>
              <w:rPr>
                <w:rFonts w:cs="Arial"/>
                <w:szCs w:val="20"/>
              </w:rPr>
            </w:pPr>
            <w:r w:rsidRPr="00CD1F3D">
              <w:rPr>
                <w:rFonts w:cs="Arial"/>
                <w:szCs w:val="20"/>
              </w:rPr>
              <w:t>Initial due diligence and ongoing monitoring through reporting and onsite inspections</w:t>
            </w:r>
          </w:p>
        </w:tc>
        <w:tc>
          <w:tcPr>
            <w:tcW w:w="3488" w:type="dxa"/>
          </w:tcPr>
          <w:p w:rsidR="00C016CC" w:rsidRPr="00CD1F3D" w:rsidRDefault="00C016CC" w:rsidP="00C016CC">
            <w:pPr>
              <w:numPr>
                <w:ilvl w:val="0"/>
                <w:numId w:val="55"/>
              </w:numPr>
              <w:spacing w:after="200" w:line="360" w:lineRule="auto"/>
              <w:rPr>
                <w:rFonts w:cs="Arial"/>
                <w:szCs w:val="20"/>
              </w:rPr>
            </w:pPr>
            <w:r w:rsidRPr="00CD1F3D">
              <w:rPr>
                <w:rFonts w:cs="Arial"/>
                <w:szCs w:val="20"/>
              </w:rPr>
              <w:t>As per practices Employed where global custodians and prime brokers are used</w:t>
            </w:r>
          </w:p>
        </w:tc>
      </w:tr>
      <w:tr w:rsidR="00C016CC" w:rsidRPr="00CD1F3D" w:rsidTr="000B1EF7">
        <w:tc>
          <w:tcPr>
            <w:tcW w:w="2376" w:type="dxa"/>
          </w:tcPr>
          <w:p w:rsidR="00C016CC" w:rsidRPr="00CD1F3D" w:rsidRDefault="00C016CC" w:rsidP="000B1EF7">
            <w:pPr>
              <w:rPr>
                <w:rFonts w:cs="Arial"/>
                <w:szCs w:val="20"/>
              </w:rPr>
            </w:pPr>
            <w:r w:rsidRPr="00CD1F3D">
              <w:rPr>
                <w:rFonts w:cs="Arial"/>
                <w:szCs w:val="20"/>
              </w:rPr>
              <w:t>6) Custodial Risks</w:t>
            </w:r>
          </w:p>
        </w:tc>
        <w:tc>
          <w:tcPr>
            <w:tcW w:w="2977" w:type="dxa"/>
          </w:tcPr>
          <w:p w:rsidR="00C016CC" w:rsidRPr="00CD1F3D" w:rsidRDefault="00C016CC" w:rsidP="00C016CC">
            <w:pPr>
              <w:numPr>
                <w:ilvl w:val="0"/>
                <w:numId w:val="55"/>
              </w:numPr>
              <w:spacing w:after="200" w:line="360" w:lineRule="auto"/>
              <w:rPr>
                <w:rFonts w:cs="Arial"/>
                <w:szCs w:val="20"/>
              </w:rPr>
            </w:pPr>
            <w:r w:rsidRPr="00CD1F3D">
              <w:rPr>
                <w:rFonts w:cs="Arial"/>
                <w:szCs w:val="20"/>
              </w:rPr>
              <w:t>Credit rating monitoring</w:t>
            </w:r>
          </w:p>
          <w:p w:rsidR="00C016CC" w:rsidRPr="00CD1F3D" w:rsidRDefault="00C016CC" w:rsidP="00C016CC">
            <w:pPr>
              <w:numPr>
                <w:ilvl w:val="0"/>
                <w:numId w:val="55"/>
              </w:numPr>
              <w:spacing w:after="200" w:line="360" w:lineRule="auto"/>
              <w:rPr>
                <w:rFonts w:cs="Arial"/>
                <w:szCs w:val="20"/>
              </w:rPr>
            </w:pPr>
            <w:r w:rsidRPr="00CD1F3D">
              <w:rPr>
                <w:rFonts w:cs="Arial"/>
                <w:szCs w:val="20"/>
              </w:rPr>
              <w:t>Monitoring of press releases and market surveys</w:t>
            </w:r>
          </w:p>
          <w:p w:rsidR="00C016CC" w:rsidRPr="00CD1F3D" w:rsidRDefault="00C016CC" w:rsidP="00C016CC">
            <w:pPr>
              <w:numPr>
                <w:ilvl w:val="0"/>
                <w:numId w:val="55"/>
              </w:numPr>
              <w:spacing w:after="200" w:line="360" w:lineRule="auto"/>
              <w:rPr>
                <w:rFonts w:cs="Arial"/>
                <w:szCs w:val="20"/>
              </w:rPr>
            </w:pPr>
            <w:r w:rsidRPr="00CD1F3D">
              <w:rPr>
                <w:rFonts w:cs="Arial"/>
                <w:szCs w:val="20"/>
              </w:rPr>
              <w:t>Assessment of risk identification and reporting capabilities</w:t>
            </w:r>
          </w:p>
          <w:p w:rsidR="00C016CC" w:rsidRPr="00CD1F3D" w:rsidRDefault="00C016CC" w:rsidP="00C016CC">
            <w:pPr>
              <w:numPr>
                <w:ilvl w:val="0"/>
                <w:numId w:val="55"/>
              </w:numPr>
              <w:spacing w:after="200" w:line="360" w:lineRule="auto"/>
              <w:rPr>
                <w:rFonts w:cs="Arial"/>
                <w:szCs w:val="20"/>
              </w:rPr>
            </w:pPr>
            <w:r w:rsidRPr="00CD1F3D">
              <w:rPr>
                <w:rFonts w:cs="Arial"/>
                <w:szCs w:val="20"/>
              </w:rPr>
              <w:t>Receipt of SEC Rule 17f5, 17f7 or similar legal opinions</w:t>
            </w:r>
          </w:p>
        </w:tc>
        <w:tc>
          <w:tcPr>
            <w:tcW w:w="3488" w:type="dxa"/>
          </w:tcPr>
          <w:p w:rsidR="00C016CC" w:rsidRPr="00CD1F3D" w:rsidRDefault="00C016CC" w:rsidP="00C016CC">
            <w:pPr>
              <w:numPr>
                <w:ilvl w:val="0"/>
                <w:numId w:val="55"/>
              </w:numPr>
              <w:spacing w:after="200" w:line="360" w:lineRule="auto"/>
              <w:rPr>
                <w:rFonts w:cs="Arial"/>
                <w:szCs w:val="20"/>
              </w:rPr>
            </w:pPr>
            <w:r w:rsidRPr="00CD1F3D">
              <w:rPr>
                <w:rFonts w:cs="Arial"/>
                <w:szCs w:val="20"/>
              </w:rPr>
              <w:t>As per practices Employed where global custodians and prime brokers are used</w:t>
            </w:r>
          </w:p>
        </w:tc>
      </w:tr>
      <w:tr w:rsidR="00C016CC" w:rsidRPr="00CD1F3D" w:rsidTr="000B1EF7">
        <w:tc>
          <w:tcPr>
            <w:tcW w:w="2376" w:type="dxa"/>
          </w:tcPr>
          <w:p w:rsidR="00C016CC" w:rsidRPr="00CD1F3D" w:rsidRDefault="00C016CC" w:rsidP="000B1EF7">
            <w:pPr>
              <w:rPr>
                <w:rFonts w:cs="Arial"/>
                <w:szCs w:val="20"/>
              </w:rPr>
            </w:pPr>
            <w:r w:rsidRPr="00CD1F3D">
              <w:rPr>
                <w:rFonts w:cs="Arial"/>
                <w:szCs w:val="20"/>
              </w:rPr>
              <w:t>7) Ownership rights</w:t>
            </w:r>
          </w:p>
        </w:tc>
        <w:tc>
          <w:tcPr>
            <w:tcW w:w="2977" w:type="dxa"/>
          </w:tcPr>
          <w:p w:rsidR="00C016CC" w:rsidRPr="00CD1F3D" w:rsidRDefault="00C016CC" w:rsidP="00C016CC">
            <w:pPr>
              <w:numPr>
                <w:ilvl w:val="0"/>
                <w:numId w:val="55"/>
              </w:numPr>
              <w:spacing w:after="200" w:line="360" w:lineRule="auto"/>
              <w:rPr>
                <w:rFonts w:cs="Arial"/>
                <w:szCs w:val="20"/>
              </w:rPr>
            </w:pPr>
            <w:r w:rsidRPr="00CD1F3D">
              <w:rPr>
                <w:rFonts w:cs="Arial"/>
                <w:szCs w:val="20"/>
              </w:rPr>
              <w:t>Record of account structures and naming conventions</w:t>
            </w:r>
          </w:p>
          <w:p w:rsidR="00C016CC" w:rsidRPr="00CD1F3D" w:rsidRDefault="00C016CC" w:rsidP="00C016CC">
            <w:pPr>
              <w:numPr>
                <w:ilvl w:val="0"/>
                <w:numId w:val="55"/>
              </w:numPr>
              <w:spacing w:after="200" w:line="360" w:lineRule="auto"/>
              <w:rPr>
                <w:rFonts w:cs="Arial"/>
                <w:szCs w:val="20"/>
              </w:rPr>
            </w:pPr>
            <w:r w:rsidRPr="00CD1F3D">
              <w:rPr>
                <w:rFonts w:cs="Arial"/>
                <w:szCs w:val="20"/>
              </w:rPr>
              <w:t>Record of registration methodologies</w:t>
            </w:r>
          </w:p>
          <w:p w:rsidR="00C016CC" w:rsidRPr="00CD1F3D" w:rsidRDefault="00C016CC" w:rsidP="00C016CC">
            <w:pPr>
              <w:numPr>
                <w:ilvl w:val="0"/>
                <w:numId w:val="55"/>
              </w:numPr>
              <w:spacing w:after="200" w:line="360" w:lineRule="auto"/>
              <w:rPr>
                <w:rFonts w:cs="Arial"/>
                <w:szCs w:val="20"/>
              </w:rPr>
            </w:pPr>
            <w:r w:rsidRPr="00CD1F3D">
              <w:rPr>
                <w:rFonts w:cs="Arial"/>
                <w:szCs w:val="20"/>
              </w:rPr>
              <w:t>Oversight of reconciliation process through the custodial chain</w:t>
            </w:r>
          </w:p>
          <w:p w:rsidR="00C016CC" w:rsidRPr="00CD1F3D" w:rsidRDefault="00C016CC" w:rsidP="00C016CC">
            <w:pPr>
              <w:numPr>
                <w:ilvl w:val="0"/>
                <w:numId w:val="55"/>
              </w:numPr>
              <w:spacing w:after="200" w:line="360" w:lineRule="auto"/>
              <w:rPr>
                <w:rFonts w:cs="Arial"/>
                <w:szCs w:val="20"/>
              </w:rPr>
            </w:pPr>
            <w:r w:rsidRPr="00CD1F3D">
              <w:rPr>
                <w:rFonts w:cs="Arial"/>
                <w:szCs w:val="20"/>
              </w:rPr>
              <w:lastRenderedPageBreak/>
              <w:t>Due diligence /Network Management</w:t>
            </w:r>
          </w:p>
        </w:tc>
        <w:tc>
          <w:tcPr>
            <w:tcW w:w="3488" w:type="dxa"/>
          </w:tcPr>
          <w:p w:rsidR="00C016CC" w:rsidRPr="00CD1F3D" w:rsidRDefault="00C016CC" w:rsidP="00C016CC">
            <w:pPr>
              <w:numPr>
                <w:ilvl w:val="0"/>
                <w:numId w:val="55"/>
              </w:numPr>
              <w:spacing w:after="200" w:line="360" w:lineRule="auto"/>
              <w:rPr>
                <w:rFonts w:cs="Arial"/>
                <w:szCs w:val="20"/>
              </w:rPr>
            </w:pPr>
            <w:r w:rsidRPr="00CD1F3D">
              <w:rPr>
                <w:rFonts w:cs="Arial"/>
                <w:szCs w:val="20"/>
              </w:rPr>
              <w:lastRenderedPageBreak/>
              <w:t>As per practices Employed where global custodians and prime brokers are used</w:t>
            </w:r>
          </w:p>
        </w:tc>
      </w:tr>
    </w:tbl>
    <w:p w:rsidR="00C016CC" w:rsidRPr="00CD1F3D" w:rsidRDefault="00C016CC" w:rsidP="00C016CC">
      <w:pPr>
        <w:autoSpaceDE w:val="0"/>
        <w:autoSpaceDN w:val="0"/>
        <w:adjustRightInd w:val="0"/>
        <w:rPr>
          <w:rFonts w:cs="Arial"/>
          <w:szCs w:val="20"/>
        </w:rPr>
      </w:pPr>
    </w:p>
    <w:p w:rsidR="00C016CC" w:rsidRPr="00CD1F3D" w:rsidRDefault="00C016CC" w:rsidP="00C016CC">
      <w:pPr>
        <w:autoSpaceDE w:val="0"/>
        <w:autoSpaceDN w:val="0"/>
        <w:adjustRightInd w:val="0"/>
        <w:jc w:val="both"/>
        <w:rPr>
          <w:rFonts w:cs="Arial"/>
          <w:szCs w:val="20"/>
        </w:rPr>
      </w:pPr>
      <w:r w:rsidRPr="00CD1F3D">
        <w:rPr>
          <w:rFonts w:cs="Arial"/>
          <w:szCs w:val="20"/>
        </w:rPr>
        <w:t>In order to ensure that AIF and UCITS assets are adequately safeguarded, depositaries put various measures in place for the purpose of providing client protection when using global custodians/delegates. In particular, the depositary:</w:t>
      </w:r>
    </w:p>
    <w:p w:rsidR="00C016CC" w:rsidRPr="00CD1F3D" w:rsidRDefault="00C016CC" w:rsidP="00C016CC">
      <w:pPr>
        <w:autoSpaceDE w:val="0"/>
        <w:autoSpaceDN w:val="0"/>
        <w:adjustRightInd w:val="0"/>
        <w:jc w:val="both"/>
        <w:rPr>
          <w:rFonts w:cs="Arial"/>
          <w:szCs w:val="20"/>
        </w:rPr>
      </w:pPr>
    </w:p>
    <w:p w:rsidR="00C016CC" w:rsidRPr="00CD1F3D" w:rsidRDefault="00C016CC" w:rsidP="00C016CC">
      <w:pPr>
        <w:pStyle w:val="ListParagraph"/>
        <w:numPr>
          <w:ilvl w:val="0"/>
          <w:numId w:val="56"/>
        </w:numPr>
        <w:autoSpaceDE w:val="0"/>
        <w:autoSpaceDN w:val="0"/>
        <w:adjustRightInd w:val="0"/>
        <w:spacing w:after="200"/>
        <w:jc w:val="both"/>
        <w:rPr>
          <w:rFonts w:cs="Arial"/>
          <w:szCs w:val="20"/>
        </w:rPr>
      </w:pPr>
      <w:r w:rsidRPr="00CD1F3D">
        <w:rPr>
          <w:rFonts w:cs="Arial"/>
          <w:szCs w:val="20"/>
        </w:rPr>
        <w:t>conducts an extensive due diligence process before appointing a global custodian/delegate. This process includes on-site visits to assess the global custodians/delegates’ controls and reconciliation systems. This exercise is repeated on an annual basis;</w:t>
      </w:r>
    </w:p>
    <w:p w:rsidR="00C016CC" w:rsidRPr="00CD1F3D" w:rsidRDefault="00C016CC" w:rsidP="00C016CC">
      <w:pPr>
        <w:pStyle w:val="ListParagraph"/>
        <w:numPr>
          <w:ilvl w:val="0"/>
          <w:numId w:val="56"/>
        </w:numPr>
        <w:autoSpaceDE w:val="0"/>
        <w:autoSpaceDN w:val="0"/>
        <w:adjustRightInd w:val="0"/>
        <w:spacing w:after="200"/>
        <w:jc w:val="both"/>
        <w:rPr>
          <w:rFonts w:cs="Arial"/>
          <w:szCs w:val="20"/>
        </w:rPr>
      </w:pPr>
      <w:r w:rsidRPr="00CD1F3D">
        <w:rPr>
          <w:rFonts w:cs="Arial"/>
          <w:szCs w:val="20"/>
        </w:rPr>
        <w:t xml:space="preserve">undertakes regular reconciliations of the custodian records against those held by the fund administrator; </w:t>
      </w:r>
    </w:p>
    <w:p w:rsidR="00C016CC" w:rsidRPr="00CD1F3D" w:rsidRDefault="00C016CC" w:rsidP="00C016CC">
      <w:pPr>
        <w:pStyle w:val="ListParagraph"/>
        <w:numPr>
          <w:ilvl w:val="0"/>
          <w:numId w:val="56"/>
        </w:numPr>
        <w:autoSpaceDE w:val="0"/>
        <w:autoSpaceDN w:val="0"/>
        <w:adjustRightInd w:val="0"/>
        <w:spacing w:after="200"/>
        <w:jc w:val="both"/>
        <w:rPr>
          <w:rFonts w:cs="Arial"/>
          <w:szCs w:val="20"/>
        </w:rPr>
      </w:pPr>
      <w:r w:rsidRPr="00CD1F3D">
        <w:rPr>
          <w:rFonts w:cs="Arial"/>
          <w:szCs w:val="20"/>
        </w:rPr>
        <w:t>has full and continuous access to the global custodian’s/delegate’s records via on-line portals or other similar means. Contractual requirements are generally imposed on such delegates to provide the depositary with relevant access and documentation; and</w:t>
      </w:r>
    </w:p>
    <w:p w:rsidR="00C016CC" w:rsidRPr="00CD1F3D" w:rsidRDefault="00C016CC" w:rsidP="00C016CC">
      <w:pPr>
        <w:pStyle w:val="ListParagraph"/>
        <w:numPr>
          <w:ilvl w:val="0"/>
          <w:numId w:val="56"/>
        </w:numPr>
        <w:autoSpaceDE w:val="0"/>
        <w:autoSpaceDN w:val="0"/>
        <w:adjustRightInd w:val="0"/>
        <w:spacing w:after="200"/>
        <w:jc w:val="both"/>
        <w:rPr>
          <w:rFonts w:cs="Arial"/>
          <w:szCs w:val="20"/>
        </w:rPr>
      </w:pPr>
      <w:r w:rsidRPr="00CD1F3D">
        <w:rPr>
          <w:rFonts w:cs="Arial"/>
          <w:szCs w:val="20"/>
        </w:rPr>
        <w:t xml:space="preserve">requires that delegates comply with all relevant domestic client asset protection requirements (such as CASS in the UK) or other equivalent EU provisions/applicable law  to which such delegates are subject. </w:t>
      </w:r>
    </w:p>
    <w:p w:rsidR="00C016CC" w:rsidRPr="00CD1F3D" w:rsidRDefault="00C016CC" w:rsidP="00C016CC">
      <w:pPr>
        <w:autoSpaceDE w:val="0"/>
        <w:autoSpaceDN w:val="0"/>
        <w:adjustRightInd w:val="0"/>
        <w:jc w:val="both"/>
        <w:rPr>
          <w:rFonts w:cs="Arial"/>
          <w:szCs w:val="20"/>
        </w:rPr>
      </w:pPr>
      <w:r w:rsidRPr="00CD1F3D">
        <w:rPr>
          <w:rFonts w:cs="Arial"/>
          <w:szCs w:val="20"/>
        </w:rPr>
        <w:t>As part of depositary’s due diligence, it checks that the settlement of trades, corporate actions and reconciliation processes employed by a custodian are reflective of their books and records at a local account level in the custodial chain.  This provides the depositary with comfort that there are robust processes in place to evidence that the records at the global custody fund level are an accurate reflection of assets held in the local market accounts.</w:t>
      </w:r>
    </w:p>
    <w:p w:rsidR="00C016CC" w:rsidRPr="00CD1F3D" w:rsidRDefault="00C016CC" w:rsidP="00C016CC">
      <w:pPr>
        <w:autoSpaceDE w:val="0"/>
        <w:autoSpaceDN w:val="0"/>
        <w:adjustRightInd w:val="0"/>
        <w:jc w:val="both"/>
        <w:rPr>
          <w:rFonts w:cs="Arial"/>
          <w:szCs w:val="20"/>
        </w:rPr>
      </w:pPr>
    </w:p>
    <w:p w:rsidR="00C016CC" w:rsidRPr="00CD1F3D" w:rsidRDefault="00C016CC" w:rsidP="00C016CC">
      <w:pPr>
        <w:autoSpaceDE w:val="0"/>
        <w:autoSpaceDN w:val="0"/>
        <w:adjustRightInd w:val="0"/>
        <w:jc w:val="both"/>
        <w:rPr>
          <w:rFonts w:cs="Arial"/>
          <w:szCs w:val="20"/>
        </w:rPr>
      </w:pPr>
      <w:r w:rsidRPr="00CD1F3D">
        <w:rPr>
          <w:rFonts w:cs="Arial"/>
          <w:szCs w:val="20"/>
        </w:rPr>
        <w:t>In addition, many of the third party custodians used by depositaries are large financial institutions based in the EU, which are themselves subject to domestic client asset protection regimes or other equivalent regulatory provisions that provide additional protection and do not prescribe a level of segregation equivalent to Options 1 and 2 in the Consultation.</w:t>
      </w:r>
    </w:p>
    <w:p w:rsidR="002C56F1" w:rsidRPr="00CD1F3D" w:rsidRDefault="002C56F1" w:rsidP="001A170B">
      <w:pPr>
        <w:rPr>
          <w:rFonts w:cs="Arial"/>
          <w:szCs w:val="20"/>
        </w:rPr>
      </w:pPr>
    </w:p>
    <w:p w:rsidR="00C016CC" w:rsidRPr="00CD1F3D" w:rsidRDefault="00C016CC" w:rsidP="00C016CC">
      <w:pPr>
        <w:rPr>
          <w:rFonts w:cs="Arial"/>
          <w:szCs w:val="20"/>
        </w:rPr>
      </w:pPr>
      <w:r w:rsidRPr="00CD1F3D">
        <w:rPr>
          <w:rFonts w:cs="Arial"/>
          <w:szCs w:val="20"/>
          <w:u w:val="single"/>
        </w:rPr>
        <w:t>Answer to Question 1(b)(iii)</w:t>
      </w:r>
      <w:r w:rsidRPr="00CD1F3D">
        <w:rPr>
          <w:rFonts w:cs="Arial"/>
          <w:szCs w:val="20"/>
        </w:rPr>
        <w:t>:</w:t>
      </w:r>
    </w:p>
    <w:p w:rsidR="00C016CC" w:rsidRPr="00CD1F3D" w:rsidRDefault="00C016CC" w:rsidP="001A170B">
      <w:pPr>
        <w:rPr>
          <w:rFonts w:cs="Arial"/>
          <w:szCs w:val="20"/>
        </w:rPr>
      </w:pPr>
    </w:p>
    <w:p w:rsidR="00C016CC" w:rsidRPr="00C82C2D" w:rsidRDefault="00C016CC" w:rsidP="00C016CC">
      <w:pPr>
        <w:pStyle w:val="Default"/>
        <w:jc w:val="both"/>
        <w:rPr>
          <w:rFonts w:ascii="Arial" w:hAnsi="Arial" w:cs="Arial"/>
          <w:color w:val="auto"/>
          <w:sz w:val="20"/>
          <w:szCs w:val="20"/>
          <w:lang w:val="en-IE"/>
        </w:rPr>
      </w:pPr>
      <w:r w:rsidRPr="00C82C2D">
        <w:rPr>
          <w:rFonts w:ascii="Arial" w:hAnsi="Arial" w:cs="Arial"/>
          <w:color w:val="auto"/>
          <w:sz w:val="20"/>
          <w:szCs w:val="20"/>
          <w:lang w:val="en-IE"/>
        </w:rPr>
        <w:t>Rehypothecation by parties in the custodial chain is prohibited for a UCITS by contract, both between the UCITS and depositary and through the custodial chain, although it is normal for a depositary or its agents to take a security interest in fund assets to secure any obligations the UCITS (or AIF) may have to the depositary or its agents. The adherence to parties in the custody chain to this prohibition on rehypothecation is monitored by the depositary through its monitoring and reconciliation processes as set out in the response directly above.</w:t>
      </w:r>
    </w:p>
    <w:p w:rsidR="00C016CC" w:rsidRPr="00C82C2D" w:rsidRDefault="00C016CC" w:rsidP="00C016CC">
      <w:pPr>
        <w:pStyle w:val="Default"/>
        <w:jc w:val="both"/>
        <w:rPr>
          <w:rFonts w:ascii="Arial" w:hAnsi="Arial" w:cs="Arial"/>
          <w:color w:val="auto"/>
          <w:sz w:val="20"/>
          <w:szCs w:val="20"/>
          <w:lang w:val="en-IE"/>
        </w:rPr>
      </w:pPr>
    </w:p>
    <w:p w:rsidR="00C016CC" w:rsidRPr="00C82C2D" w:rsidRDefault="00C016CC" w:rsidP="00C016CC">
      <w:pPr>
        <w:pStyle w:val="Default"/>
        <w:jc w:val="both"/>
        <w:rPr>
          <w:rFonts w:ascii="Arial" w:hAnsi="Arial" w:cs="Arial"/>
          <w:color w:val="auto"/>
          <w:sz w:val="20"/>
          <w:szCs w:val="20"/>
          <w:lang w:val="en-IE"/>
        </w:rPr>
      </w:pPr>
      <w:r w:rsidRPr="00C82C2D">
        <w:rPr>
          <w:rFonts w:ascii="Arial" w:hAnsi="Arial" w:cs="Arial"/>
          <w:color w:val="auto"/>
          <w:sz w:val="20"/>
          <w:szCs w:val="20"/>
          <w:lang w:val="en-IE"/>
        </w:rPr>
        <w:t xml:space="preserve">For AIFs the investment strategy of the AIF determines the need for receipt of financing from a prime broker, and the appointed prime broker in turn may rehypothecate assets of the AIF up to a certain percentage value of financing extended to the AIF, agreed by contract and disclosed in the AIF prospectus. </w:t>
      </w:r>
    </w:p>
    <w:p w:rsidR="00C016CC" w:rsidRPr="00C82C2D" w:rsidRDefault="00C016CC" w:rsidP="00C016CC">
      <w:pPr>
        <w:pStyle w:val="Default"/>
        <w:jc w:val="both"/>
        <w:rPr>
          <w:rFonts w:ascii="Arial" w:hAnsi="Arial" w:cs="Arial"/>
          <w:color w:val="auto"/>
          <w:sz w:val="20"/>
          <w:szCs w:val="20"/>
          <w:lang w:val="en-IE"/>
        </w:rPr>
      </w:pPr>
    </w:p>
    <w:p w:rsidR="00C016CC" w:rsidRPr="00C82C2D" w:rsidRDefault="00C016CC" w:rsidP="00C016CC">
      <w:pPr>
        <w:pStyle w:val="Default"/>
        <w:jc w:val="both"/>
        <w:rPr>
          <w:rFonts w:ascii="Arial" w:hAnsi="Arial" w:cs="Arial"/>
          <w:color w:val="auto"/>
          <w:sz w:val="20"/>
          <w:szCs w:val="20"/>
          <w:lang w:val="en-IE"/>
        </w:rPr>
      </w:pPr>
      <w:r w:rsidRPr="00C82C2D">
        <w:rPr>
          <w:rFonts w:ascii="Arial" w:hAnsi="Arial" w:cs="Arial"/>
          <w:color w:val="auto"/>
          <w:sz w:val="20"/>
          <w:szCs w:val="20"/>
          <w:lang w:val="en-IE"/>
        </w:rPr>
        <w:t>The value of assets that a Prime Broker may rehypothecate is determined by reference to its books and records for the AIF at Level 1. Prime Brokers employ systems and procedures to carry out daily mark to market valuations of assets rehypothecated (and financing extended) to ensure percentage limits are not exceeded. Any excess rehypothecation that has occurred through market movement is rectified by a return of rehypothecated securities to the AIF. Rehypothecation levels are typically monitored by AIFMs and depositaries on a daily basis to ensure compliance with any limits.</w:t>
      </w:r>
    </w:p>
    <w:p w:rsidR="00C016CC" w:rsidRPr="00C82C2D" w:rsidRDefault="00C016CC" w:rsidP="00C016CC">
      <w:pPr>
        <w:pStyle w:val="Default"/>
        <w:jc w:val="both"/>
        <w:rPr>
          <w:rFonts w:ascii="Arial" w:hAnsi="Arial" w:cs="Arial"/>
          <w:color w:val="auto"/>
          <w:sz w:val="20"/>
          <w:szCs w:val="20"/>
          <w:lang w:val="en-IE"/>
        </w:rPr>
      </w:pPr>
    </w:p>
    <w:p w:rsidR="00C016CC" w:rsidRPr="00C82C2D" w:rsidRDefault="00C016CC" w:rsidP="00C016CC">
      <w:pPr>
        <w:jc w:val="both"/>
        <w:rPr>
          <w:rFonts w:cs="Arial"/>
          <w:szCs w:val="20"/>
          <w:lang w:val="en-IE"/>
        </w:rPr>
      </w:pPr>
      <w:r w:rsidRPr="00C82C2D">
        <w:rPr>
          <w:rFonts w:cs="Arial"/>
          <w:szCs w:val="20"/>
          <w:lang w:val="en-IE"/>
        </w:rPr>
        <w:t xml:space="preserve">Where the prime broker utilises omnibus accounts for its client base at Level 2, it performs reconciliations between its Level 1 transactions across its client base and the transactions at Level 2, to mitigate the risk of excess rehypothecation. Should more granular levels of segregation be imposed at Level 2 accounts, the </w:t>
      </w:r>
      <w:r w:rsidRPr="00C82C2D">
        <w:rPr>
          <w:rFonts w:cs="Arial"/>
          <w:szCs w:val="20"/>
          <w:lang w:val="en-IE"/>
        </w:rPr>
        <w:lastRenderedPageBreak/>
        <w:t xml:space="preserve">number of transactions and reconciliations required will increase exponentially, thereby further increasing cost and operational risk.  </w:t>
      </w:r>
    </w:p>
    <w:p w:rsidR="00C016CC" w:rsidRPr="00C82C2D" w:rsidRDefault="00C016CC" w:rsidP="001A170B">
      <w:pPr>
        <w:rPr>
          <w:rFonts w:cs="Arial"/>
          <w:szCs w:val="20"/>
          <w:lang w:val="en-IE"/>
        </w:rPr>
      </w:pPr>
    </w:p>
    <w:p w:rsidR="00C016CC" w:rsidRPr="00C82C2D" w:rsidRDefault="00C016CC" w:rsidP="00C016CC">
      <w:pPr>
        <w:rPr>
          <w:rFonts w:cs="Arial"/>
          <w:szCs w:val="20"/>
          <w:lang w:val="en-IE"/>
        </w:rPr>
      </w:pPr>
      <w:r w:rsidRPr="00C82C2D">
        <w:rPr>
          <w:rFonts w:cs="Arial"/>
          <w:szCs w:val="20"/>
          <w:u w:val="single"/>
          <w:lang w:val="en-IE"/>
        </w:rPr>
        <w:t>Answer to Question 1(b)(iv)</w:t>
      </w:r>
      <w:r w:rsidRPr="00C82C2D">
        <w:rPr>
          <w:rFonts w:cs="Arial"/>
          <w:szCs w:val="20"/>
          <w:lang w:val="en-IE"/>
        </w:rPr>
        <w:t>:</w:t>
      </w:r>
    </w:p>
    <w:p w:rsidR="00C016CC" w:rsidRPr="00C82C2D" w:rsidRDefault="00C016CC" w:rsidP="001A170B">
      <w:pPr>
        <w:rPr>
          <w:rFonts w:cs="Arial"/>
          <w:szCs w:val="20"/>
          <w:lang w:val="en-IE"/>
        </w:rPr>
      </w:pPr>
    </w:p>
    <w:p w:rsidR="00C016CC" w:rsidRPr="00C82C2D" w:rsidRDefault="00C016CC" w:rsidP="00C016CC">
      <w:pPr>
        <w:pStyle w:val="Default"/>
        <w:jc w:val="both"/>
        <w:rPr>
          <w:rFonts w:ascii="Arial" w:hAnsi="Arial" w:cs="Arial"/>
          <w:color w:val="auto"/>
          <w:sz w:val="20"/>
          <w:szCs w:val="20"/>
          <w:lang w:val="en-IE"/>
        </w:rPr>
      </w:pPr>
      <w:r w:rsidRPr="00C82C2D">
        <w:rPr>
          <w:rFonts w:ascii="Arial" w:hAnsi="Arial" w:cs="Arial"/>
          <w:color w:val="auto"/>
          <w:sz w:val="20"/>
          <w:szCs w:val="20"/>
          <w:lang w:val="en-IE"/>
        </w:rPr>
        <w:t>Members of Irish Funds consider this to be commercially sensitive and proprietary information. Irish Funds is not therefore in a position to collate this data across our membership. Where members decide to respond to the Call for Evidence directly they may be in position to provide this data.</w:t>
      </w:r>
    </w:p>
    <w:p w:rsidR="00C016CC" w:rsidRPr="00C82C2D" w:rsidRDefault="00C016CC" w:rsidP="00C016CC">
      <w:pPr>
        <w:pStyle w:val="Default"/>
        <w:jc w:val="both"/>
        <w:rPr>
          <w:rFonts w:ascii="Arial" w:hAnsi="Arial" w:cs="Arial"/>
          <w:color w:val="auto"/>
          <w:sz w:val="20"/>
          <w:szCs w:val="20"/>
          <w:lang w:val="en-IE"/>
        </w:rPr>
      </w:pPr>
    </w:p>
    <w:p w:rsidR="00C016CC" w:rsidRPr="00C82C2D" w:rsidRDefault="00C016CC" w:rsidP="00C016CC">
      <w:pPr>
        <w:pStyle w:val="Default"/>
        <w:jc w:val="both"/>
        <w:rPr>
          <w:rFonts w:ascii="Arial" w:hAnsi="Arial" w:cs="Arial"/>
          <w:color w:val="auto"/>
          <w:sz w:val="20"/>
          <w:szCs w:val="20"/>
          <w:lang w:val="en-IE"/>
        </w:rPr>
      </w:pPr>
    </w:p>
    <w:p w:rsidR="00C016CC" w:rsidRPr="00C82C2D" w:rsidRDefault="00C016CC" w:rsidP="00C016CC">
      <w:pPr>
        <w:rPr>
          <w:rFonts w:cs="Arial"/>
          <w:szCs w:val="20"/>
          <w:lang w:val="en-IE"/>
        </w:rPr>
      </w:pPr>
      <w:r w:rsidRPr="00C82C2D">
        <w:rPr>
          <w:rFonts w:cs="Arial"/>
          <w:szCs w:val="20"/>
          <w:u w:val="single"/>
          <w:lang w:val="en-IE"/>
        </w:rPr>
        <w:t>Answer to Question 1(c)</w:t>
      </w:r>
      <w:r w:rsidRPr="00C82C2D">
        <w:rPr>
          <w:rFonts w:cs="Arial"/>
          <w:szCs w:val="20"/>
          <w:lang w:val="en-IE"/>
        </w:rPr>
        <w:t>:</w:t>
      </w:r>
    </w:p>
    <w:p w:rsidR="00C016CC" w:rsidRPr="00C82C2D" w:rsidRDefault="00C016CC" w:rsidP="00C016CC">
      <w:pPr>
        <w:pStyle w:val="Default"/>
        <w:jc w:val="both"/>
        <w:rPr>
          <w:rFonts w:ascii="Arial" w:hAnsi="Arial" w:cs="Arial"/>
          <w:color w:val="auto"/>
          <w:sz w:val="20"/>
          <w:szCs w:val="20"/>
          <w:lang w:val="en-IE"/>
        </w:rPr>
      </w:pPr>
    </w:p>
    <w:p w:rsidR="000B1EF7" w:rsidRPr="00C82C2D" w:rsidRDefault="000B1EF7" w:rsidP="000B1EF7">
      <w:pPr>
        <w:pStyle w:val="Default"/>
        <w:jc w:val="both"/>
        <w:rPr>
          <w:rFonts w:ascii="Arial" w:hAnsi="Arial" w:cs="Arial"/>
          <w:color w:val="auto"/>
          <w:sz w:val="20"/>
          <w:szCs w:val="20"/>
          <w:lang w:val="en-IE"/>
        </w:rPr>
      </w:pPr>
      <w:r w:rsidRPr="00C82C2D">
        <w:rPr>
          <w:rFonts w:ascii="Arial" w:hAnsi="Arial" w:cs="Arial"/>
          <w:color w:val="auto"/>
          <w:sz w:val="20"/>
          <w:szCs w:val="20"/>
          <w:lang w:val="en-IE"/>
        </w:rPr>
        <w:t xml:space="preserve">As noted above in response to Q1(a), Omnibus accounts are never used at Level 0 or Level 1 in the custody chain. Their use at Level 2 or below is dependent primarily on local market requirements and practice in the first instance. Where it is not required to use either omnibus or segregated accounts at Level 2 or below, and where omnibus accounts are currently employed, it may be possible to sub-divide omnibus accounts to the level of a particular depositary and/or its clients (AIF/UCITS). It is not something Irish Funds would support however given the lack of any obvious benefit or additional protections to end investors when compared to the additional costs, risks and market disruption such a course of action would cause.   </w:t>
      </w:r>
    </w:p>
    <w:p w:rsidR="00C016CC" w:rsidRPr="00C82C2D" w:rsidRDefault="00C016CC" w:rsidP="001A170B">
      <w:pPr>
        <w:rPr>
          <w:rFonts w:cs="Arial"/>
          <w:szCs w:val="20"/>
          <w:lang w:val="en-IE"/>
        </w:rPr>
      </w:pPr>
    </w:p>
    <w:p w:rsidR="00C016CC" w:rsidRPr="00C82C2D" w:rsidRDefault="000B1EF7" w:rsidP="001A170B">
      <w:pPr>
        <w:rPr>
          <w:rFonts w:cs="Arial"/>
          <w:szCs w:val="20"/>
          <w:lang w:val="en-IE"/>
        </w:rPr>
      </w:pPr>
      <w:r w:rsidRPr="00C82C2D">
        <w:rPr>
          <w:rFonts w:cs="Arial"/>
          <w:szCs w:val="20"/>
          <w:u w:val="single"/>
          <w:lang w:val="en-IE"/>
        </w:rPr>
        <w:t>Answer to Question 1(d)</w:t>
      </w:r>
      <w:r w:rsidRPr="00C82C2D">
        <w:rPr>
          <w:rFonts w:cs="Arial"/>
          <w:szCs w:val="20"/>
          <w:lang w:val="en-IE"/>
        </w:rPr>
        <w:t>:</w:t>
      </w:r>
    </w:p>
    <w:p w:rsidR="00C016CC" w:rsidRPr="00C82C2D" w:rsidRDefault="00C016CC" w:rsidP="001A170B">
      <w:pPr>
        <w:rPr>
          <w:rFonts w:cs="Arial"/>
          <w:szCs w:val="20"/>
          <w:lang w:val="en-IE"/>
        </w:rPr>
      </w:pPr>
    </w:p>
    <w:p w:rsidR="000B1EF7" w:rsidRPr="00C82C2D" w:rsidRDefault="000B1EF7" w:rsidP="000B1EF7">
      <w:pPr>
        <w:pStyle w:val="Default"/>
        <w:jc w:val="both"/>
        <w:rPr>
          <w:rFonts w:ascii="Arial" w:hAnsi="Arial" w:cs="Arial"/>
          <w:color w:val="auto"/>
          <w:sz w:val="20"/>
          <w:szCs w:val="20"/>
          <w:lang w:val="en-IE"/>
        </w:rPr>
      </w:pPr>
      <w:r w:rsidRPr="00C82C2D">
        <w:rPr>
          <w:rFonts w:ascii="Arial" w:hAnsi="Arial" w:cs="Arial"/>
          <w:color w:val="auto"/>
          <w:sz w:val="20"/>
          <w:szCs w:val="20"/>
          <w:lang w:val="en-IE"/>
        </w:rPr>
        <w:t xml:space="preserve">Options 4 and 5 are those that most closely match the models employed by the majority of our members, depending on the level of segregation required in the local market (please refer to response to Q1 (i) above). </w:t>
      </w:r>
    </w:p>
    <w:p w:rsidR="000B1EF7" w:rsidRPr="00C82C2D" w:rsidRDefault="000B1EF7" w:rsidP="000B1EF7">
      <w:pPr>
        <w:pStyle w:val="Default"/>
        <w:jc w:val="both"/>
        <w:rPr>
          <w:rFonts w:ascii="Arial" w:hAnsi="Arial" w:cs="Arial"/>
          <w:color w:val="auto"/>
          <w:sz w:val="20"/>
          <w:szCs w:val="20"/>
          <w:lang w:val="en-IE"/>
        </w:rPr>
      </w:pPr>
    </w:p>
    <w:p w:rsidR="000B1EF7" w:rsidRPr="00C82C2D" w:rsidRDefault="000B1EF7" w:rsidP="000B1EF7">
      <w:pPr>
        <w:pStyle w:val="Default"/>
        <w:jc w:val="both"/>
        <w:rPr>
          <w:rFonts w:ascii="Arial" w:hAnsi="Arial" w:cs="Arial"/>
          <w:color w:val="auto"/>
          <w:sz w:val="20"/>
          <w:szCs w:val="20"/>
          <w:lang w:val="en-IE"/>
        </w:rPr>
      </w:pPr>
      <w:r w:rsidRPr="00C82C2D">
        <w:rPr>
          <w:rFonts w:ascii="Arial" w:hAnsi="Arial" w:cs="Arial"/>
          <w:color w:val="auto"/>
          <w:sz w:val="20"/>
          <w:szCs w:val="20"/>
          <w:lang w:val="en-IE"/>
        </w:rPr>
        <w:t>In respect of model 4), at the level of the immediate delegate of the depositary and as noted above in response to Q1 (iv) (c), accounts are always segregated at the level of the AIF or UCITS (or sub-fund level if relevant). Omnibus level segregation will only be employed at level 2 or below.</w:t>
      </w:r>
    </w:p>
    <w:p w:rsidR="000B1EF7" w:rsidRPr="00C82C2D" w:rsidRDefault="000B1EF7" w:rsidP="000B1EF7">
      <w:pPr>
        <w:jc w:val="both"/>
        <w:rPr>
          <w:rFonts w:cs="Arial"/>
          <w:szCs w:val="20"/>
          <w:lang w:val="en-IE"/>
        </w:rPr>
      </w:pPr>
    </w:p>
    <w:p w:rsidR="000B1EF7" w:rsidRPr="00C82C2D" w:rsidRDefault="000B1EF7" w:rsidP="000B1EF7">
      <w:pPr>
        <w:rPr>
          <w:rFonts w:cs="Arial"/>
          <w:szCs w:val="20"/>
          <w:lang w:val="en-IE"/>
        </w:rPr>
      </w:pPr>
      <w:r w:rsidRPr="00C82C2D">
        <w:rPr>
          <w:rFonts w:cs="Arial"/>
          <w:szCs w:val="20"/>
          <w:u w:val="single"/>
          <w:lang w:val="en-IE"/>
        </w:rPr>
        <w:t>Answer to Question 1(e)</w:t>
      </w:r>
      <w:r w:rsidRPr="00C82C2D">
        <w:rPr>
          <w:rFonts w:cs="Arial"/>
          <w:szCs w:val="20"/>
          <w:lang w:val="en-IE"/>
        </w:rPr>
        <w:t>:</w:t>
      </w:r>
    </w:p>
    <w:p w:rsidR="000B1EF7" w:rsidRPr="00C82C2D" w:rsidRDefault="000B1EF7" w:rsidP="000B1EF7">
      <w:pPr>
        <w:jc w:val="both"/>
        <w:rPr>
          <w:rFonts w:cs="Arial"/>
          <w:szCs w:val="20"/>
          <w:lang w:val="en-IE"/>
        </w:rPr>
      </w:pPr>
    </w:p>
    <w:p w:rsidR="000B1EF7" w:rsidRPr="00C82C2D" w:rsidRDefault="000B1EF7" w:rsidP="000B1EF7">
      <w:pPr>
        <w:pStyle w:val="Default"/>
        <w:jc w:val="both"/>
        <w:rPr>
          <w:rFonts w:ascii="Arial" w:hAnsi="Arial" w:cs="Arial"/>
          <w:color w:val="auto"/>
          <w:sz w:val="20"/>
          <w:szCs w:val="20"/>
          <w:lang w:val="en-IE"/>
        </w:rPr>
      </w:pPr>
      <w:r w:rsidRPr="00C82C2D">
        <w:rPr>
          <w:rFonts w:ascii="Arial" w:hAnsi="Arial" w:cs="Arial"/>
          <w:color w:val="auto"/>
          <w:sz w:val="20"/>
          <w:szCs w:val="20"/>
          <w:lang w:val="en-IE"/>
        </w:rPr>
        <w:t>Whether assets belong to an AIF or a UCITS has no impact on the determination of the model employed. As noted above in response to Q1(iii), the investment strategy of an AIF may require the appointment of a prime broker as a custodial delegate of the depositary. The position of depositaries is the same whether a global custodian or prime broker is appointed, the most important and critical consideration being that assets are segregated from all parties through the custodial chain in a manner that best protects and ensures the speediest return of assets in the event of an insolvency in the custodial chain. This may necessitate the use of omnibus accounts at Level 2, having regard for local market practice and legal frameworks that have evolved to support those practices.</w:t>
      </w:r>
    </w:p>
    <w:p w:rsidR="000B1EF7" w:rsidRPr="00C82C2D" w:rsidRDefault="000B1EF7" w:rsidP="000B1EF7">
      <w:pPr>
        <w:pStyle w:val="Default"/>
        <w:jc w:val="both"/>
        <w:rPr>
          <w:rFonts w:ascii="Arial" w:hAnsi="Arial" w:cs="Arial"/>
          <w:color w:val="auto"/>
          <w:sz w:val="20"/>
          <w:szCs w:val="20"/>
          <w:lang w:val="en-IE"/>
        </w:rPr>
      </w:pPr>
    </w:p>
    <w:p w:rsidR="000B1EF7" w:rsidRPr="00C82C2D" w:rsidRDefault="000B1EF7" w:rsidP="000B1EF7">
      <w:pPr>
        <w:pStyle w:val="Default"/>
        <w:jc w:val="both"/>
        <w:rPr>
          <w:rFonts w:ascii="Arial" w:hAnsi="Arial" w:cs="Arial"/>
          <w:color w:val="auto"/>
          <w:sz w:val="20"/>
          <w:szCs w:val="20"/>
          <w:lang w:val="en-IE"/>
        </w:rPr>
      </w:pPr>
      <w:r w:rsidRPr="00C82C2D">
        <w:rPr>
          <w:rFonts w:ascii="Arial" w:hAnsi="Arial" w:cs="Arial"/>
          <w:color w:val="auto"/>
          <w:sz w:val="20"/>
          <w:szCs w:val="20"/>
          <w:lang w:val="en-IE"/>
        </w:rPr>
        <w:t>We do not believe there is any evidence to support the assertion that sub-division of existing segregated omnibus accounts by AIF, UCITS or depositary (or a combination of same) may expedite a return of assets. In theory, it may facilitate speedier identification of the ultimate beneficial owner (being UCITS or AIF). In practice, exponentially increasing the number accounts in the custodial chain will increase risk of settlement failure and/or reconciliation breaks through the chain and may therefore have a counterproductive impact to that intended.</w:t>
      </w:r>
    </w:p>
    <w:p w:rsidR="00C016CC" w:rsidRPr="00C82C2D" w:rsidRDefault="00C016CC" w:rsidP="001A170B">
      <w:pPr>
        <w:rPr>
          <w:rFonts w:cs="Arial"/>
          <w:szCs w:val="20"/>
          <w:lang w:val="en-IE"/>
        </w:rPr>
      </w:pPr>
    </w:p>
    <w:p w:rsidR="000B1EF7" w:rsidRPr="00C82C2D" w:rsidRDefault="000B1EF7" w:rsidP="000B1EF7">
      <w:pPr>
        <w:rPr>
          <w:rFonts w:cs="Arial"/>
          <w:szCs w:val="20"/>
          <w:lang w:val="en-IE"/>
        </w:rPr>
      </w:pPr>
      <w:r w:rsidRPr="00C82C2D">
        <w:rPr>
          <w:rFonts w:cs="Arial"/>
          <w:szCs w:val="20"/>
          <w:u w:val="single"/>
          <w:lang w:val="en-IE"/>
        </w:rPr>
        <w:t>Answer to Question 1(f)</w:t>
      </w:r>
      <w:r w:rsidRPr="00C82C2D">
        <w:rPr>
          <w:rFonts w:cs="Arial"/>
          <w:szCs w:val="20"/>
          <w:lang w:val="en-IE"/>
        </w:rPr>
        <w:t>:</w:t>
      </w:r>
    </w:p>
    <w:p w:rsidR="000B1EF7" w:rsidRPr="00C82C2D" w:rsidRDefault="000B1EF7" w:rsidP="001A170B">
      <w:pPr>
        <w:rPr>
          <w:rFonts w:cs="Arial"/>
          <w:szCs w:val="20"/>
          <w:lang w:val="en-IE"/>
        </w:rPr>
      </w:pPr>
    </w:p>
    <w:p w:rsidR="000B1EF7" w:rsidRPr="00C82C2D" w:rsidRDefault="000B1EF7" w:rsidP="000B1EF7">
      <w:pPr>
        <w:jc w:val="both"/>
        <w:rPr>
          <w:rFonts w:cs="Arial"/>
          <w:szCs w:val="20"/>
          <w:lang w:val="en-IE"/>
        </w:rPr>
      </w:pPr>
      <w:r w:rsidRPr="00C82C2D">
        <w:rPr>
          <w:rFonts w:cs="Arial"/>
          <w:szCs w:val="20"/>
          <w:lang w:val="en-IE"/>
        </w:rPr>
        <w:t>Irish Funds support</w:t>
      </w:r>
      <w:r w:rsidR="0069070B">
        <w:rPr>
          <w:rFonts w:cs="Arial"/>
          <w:szCs w:val="20"/>
          <w:lang w:val="en-IE"/>
        </w:rPr>
        <w:t>s</w:t>
      </w:r>
      <w:r w:rsidRPr="00C82C2D">
        <w:rPr>
          <w:rFonts w:cs="Arial"/>
          <w:szCs w:val="20"/>
          <w:lang w:val="en-IE"/>
        </w:rPr>
        <w:t xml:space="preserve"> the position outlined in the response by the Association of Global Custodians European Focus Committee (“AGC”).   As set out in the AGC response, depositaries are not in a position to employ a particular securities holding model through a cross-border chain of custody. For domestic holdings, this is possible, as the model employed will be a function of local law (for example, an Irish depositary/custodian holding Irish securities will do so as a bare trustee under Irish law).  As set out in the AGC the position for cross-border holdings is more complicated and we support the detailed AGC response in this regard.</w:t>
      </w:r>
    </w:p>
    <w:p w:rsidR="000B1EF7" w:rsidRPr="00C82C2D" w:rsidRDefault="000B1EF7" w:rsidP="001A170B">
      <w:pPr>
        <w:rPr>
          <w:rFonts w:cs="Arial"/>
          <w:szCs w:val="20"/>
          <w:lang w:val="en-IE"/>
        </w:rPr>
      </w:pPr>
    </w:p>
    <w:p w:rsidR="000B1EF7" w:rsidRPr="00CD1F3D" w:rsidRDefault="000B1EF7" w:rsidP="000B1EF7">
      <w:pPr>
        <w:rPr>
          <w:rFonts w:cs="Arial"/>
          <w:szCs w:val="20"/>
        </w:rPr>
      </w:pPr>
      <w:r w:rsidRPr="00CD1F3D">
        <w:rPr>
          <w:rFonts w:cs="Arial"/>
          <w:szCs w:val="20"/>
          <w:u w:val="single"/>
        </w:rPr>
        <w:lastRenderedPageBreak/>
        <w:t>Answer to Question 1(g)</w:t>
      </w:r>
      <w:r w:rsidRPr="00CD1F3D">
        <w:rPr>
          <w:rFonts w:cs="Arial"/>
          <w:szCs w:val="20"/>
        </w:rPr>
        <w:t>:</w:t>
      </w:r>
    </w:p>
    <w:p w:rsidR="000B1EF7" w:rsidRPr="00CD1F3D" w:rsidRDefault="000B1EF7" w:rsidP="001A170B">
      <w:pPr>
        <w:rPr>
          <w:rFonts w:cs="Arial"/>
          <w:szCs w:val="20"/>
        </w:rPr>
      </w:pPr>
    </w:p>
    <w:p w:rsidR="000B1EF7" w:rsidRPr="00C82C2D" w:rsidRDefault="000B1EF7" w:rsidP="000B1EF7">
      <w:pPr>
        <w:pStyle w:val="CommentText"/>
        <w:jc w:val="both"/>
        <w:rPr>
          <w:rFonts w:cs="Arial"/>
          <w:lang w:val="en-IE"/>
        </w:rPr>
      </w:pPr>
      <w:r w:rsidRPr="00C82C2D">
        <w:rPr>
          <w:rFonts w:cs="Arial"/>
          <w:lang w:val="en-IE"/>
        </w:rPr>
        <w:t xml:space="preserve">There is no definitive naming convention employed by all depositaries. Typically, the naming convention is chosen to demonstrate that the assets in the account belong to the client of the account holder (for example </w:t>
      </w:r>
      <w:r w:rsidRPr="00C82C2D">
        <w:rPr>
          <w:rFonts w:cs="Arial"/>
          <w:i/>
          <w:lang w:val="en-IE"/>
        </w:rPr>
        <w:t>abc depositary for the account of xyz UCITS or AIF</w:t>
      </w:r>
      <w:r w:rsidRPr="00C82C2D">
        <w:rPr>
          <w:rFonts w:cs="Arial"/>
          <w:lang w:val="en-IE"/>
        </w:rPr>
        <w:t xml:space="preserve">), to ensure assets are protected from the creditors of the account holder. </w:t>
      </w:r>
    </w:p>
    <w:p w:rsidR="000B1EF7" w:rsidRPr="00C82C2D" w:rsidRDefault="000B1EF7" w:rsidP="000B1EF7">
      <w:pPr>
        <w:pStyle w:val="CommentText"/>
        <w:jc w:val="both"/>
        <w:rPr>
          <w:rFonts w:cs="Arial"/>
          <w:lang w:val="en-IE"/>
        </w:rPr>
      </w:pPr>
    </w:p>
    <w:p w:rsidR="00C016CC" w:rsidRPr="00C82C2D" w:rsidRDefault="000B1EF7" w:rsidP="000B1EF7">
      <w:pPr>
        <w:pStyle w:val="Default"/>
        <w:spacing w:after="302"/>
        <w:jc w:val="both"/>
        <w:rPr>
          <w:rFonts w:asciiTheme="minorHAnsi" w:hAnsiTheme="minorHAnsi" w:cstheme="minorHAnsi"/>
          <w:color w:val="auto"/>
          <w:sz w:val="20"/>
          <w:szCs w:val="20"/>
          <w:lang w:val="en-IE"/>
        </w:rPr>
      </w:pPr>
      <w:r w:rsidRPr="00C82C2D">
        <w:rPr>
          <w:rFonts w:ascii="Arial" w:hAnsi="Arial" w:cs="Arial"/>
          <w:color w:val="auto"/>
          <w:sz w:val="20"/>
          <w:szCs w:val="20"/>
          <w:lang w:val="en-IE"/>
        </w:rPr>
        <w:t>Similarly at Level 2, a global custodian will name its accounts with its local agents in a manner that protects the assets in that account from the creditors of the global custodian, having regard for local practice or requirements. This may be for example in the name of the global custodian for the account of its client or clients, or where required in the name of the ultimate beneficial owner, should local market requirements necessitate this.</w:t>
      </w:r>
    </w:p>
    <w:permEnd w:id="527588011"/>
    <w:p w:rsidR="001A170B" w:rsidRPr="00B42A10" w:rsidRDefault="001A170B" w:rsidP="001A170B">
      <w:pPr>
        <w:rPr>
          <w:lang w:val="fr-FR"/>
        </w:rPr>
      </w:pPr>
      <w:r w:rsidRPr="00B42A10">
        <w:rPr>
          <w:lang w:val="fr-FR"/>
        </w:rPr>
        <w:t>&lt;ESMA_</w:t>
      </w:r>
      <w:r w:rsidRPr="001A170B">
        <w:rPr>
          <w:lang w:val="fr-FR"/>
        </w:rPr>
        <w:t>QUESTION</w:t>
      </w:r>
      <w:r w:rsidRPr="00B42A10">
        <w:rPr>
          <w:lang w:val="fr-FR"/>
        </w:rPr>
        <w:t>_CE_ASCS_1&gt;</w:t>
      </w:r>
    </w:p>
    <w:p w:rsidR="001A170B" w:rsidRPr="001A170B" w:rsidRDefault="001A170B" w:rsidP="001A170B">
      <w:pPr>
        <w:spacing w:after="250" w:line="276" w:lineRule="auto"/>
        <w:jc w:val="both"/>
        <w:rPr>
          <w:rFonts w:cs="Arial"/>
          <w:b/>
          <w:bCs/>
          <w:sz w:val="22"/>
          <w:szCs w:val="20"/>
          <w:lang w:eastAsia="en-US"/>
        </w:rPr>
      </w:pPr>
    </w:p>
    <w:p w:rsid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Please explain how, under the framework you have described in your response to Q1, the assets of the AIF/UCITS are protected against the insolvency of any of the parties involved in the custody chain (depositary, delegate, sub-delegate, – including prime broker – CSD) and – in case of use of ‘omnibus accounts’ – of their other clients whose assets are also held in this same account. In particular, what happens if a party, whose assets are held</w:t>
      </w:r>
      <w:r w:rsidRPr="001A170B" w:rsidDel="005B200C">
        <w:rPr>
          <w:b/>
          <w:bCs/>
          <w:sz w:val="22"/>
          <w:szCs w:val="20"/>
          <w:lang w:eastAsia="en-US"/>
        </w:rPr>
        <w:t xml:space="preserve"> </w:t>
      </w:r>
      <w:r w:rsidRPr="001A170B">
        <w:rPr>
          <w:b/>
          <w:bCs/>
          <w:sz w:val="22"/>
          <w:szCs w:val="20"/>
          <w:lang w:eastAsia="en-US"/>
        </w:rPr>
        <w:t>in another party’s ‘omnibus account’, becomes insolvent? Does this place at any disadvantage the other parties using the omnibus account who are not in default?</w:t>
      </w:r>
    </w:p>
    <w:p w:rsidR="00F579DC" w:rsidRDefault="00F579DC" w:rsidP="00F579DC">
      <w:pPr>
        <w:spacing w:after="250" w:line="276" w:lineRule="auto"/>
        <w:jc w:val="both"/>
        <w:rPr>
          <w:b/>
          <w:bCs/>
          <w:sz w:val="22"/>
          <w:szCs w:val="20"/>
          <w:lang w:eastAsia="en-US"/>
        </w:rPr>
      </w:pPr>
    </w:p>
    <w:p w:rsidR="001A170B" w:rsidRPr="00176639" w:rsidRDefault="001A170B" w:rsidP="001A170B">
      <w:r w:rsidRPr="00176639">
        <w:t>&lt;ESMA_</w:t>
      </w:r>
      <w:r>
        <w:t>QUESTION</w:t>
      </w:r>
      <w:r w:rsidRPr="00176639">
        <w:t>_</w:t>
      </w:r>
      <w:r>
        <w:t>CE_</w:t>
      </w:r>
      <w:r w:rsidRPr="000018FA">
        <w:t>ASCS</w:t>
      </w:r>
      <w:r w:rsidRPr="00176639">
        <w:t>_</w:t>
      </w:r>
      <w:r>
        <w:t>2</w:t>
      </w:r>
      <w:r w:rsidRPr="00176639">
        <w:t>&gt;</w:t>
      </w:r>
    </w:p>
    <w:p w:rsidR="000B1EF7" w:rsidRPr="00C82C2D" w:rsidRDefault="000B1EF7" w:rsidP="000B1EF7">
      <w:pPr>
        <w:pStyle w:val="Default"/>
        <w:jc w:val="both"/>
        <w:rPr>
          <w:rFonts w:ascii="Arial" w:hAnsi="Arial" w:cs="Arial"/>
          <w:bCs/>
          <w:color w:val="auto"/>
          <w:sz w:val="20"/>
          <w:szCs w:val="20"/>
          <w:lang w:val="en-IE"/>
        </w:rPr>
      </w:pPr>
      <w:permStart w:id="1104023597" w:edGrp="everyone"/>
      <w:r w:rsidRPr="00C82C2D">
        <w:rPr>
          <w:rFonts w:ascii="Arial" w:hAnsi="Arial" w:cs="Arial"/>
          <w:bCs/>
          <w:color w:val="auto"/>
          <w:sz w:val="20"/>
          <w:szCs w:val="20"/>
          <w:lang w:val="en-IE"/>
        </w:rPr>
        <w:t>A depositary authorised in Ireland to perform fund depositary services is required to be an Irish credit institution, an Irish branch of an EU credit institution or an Irish company authorised under the Investment Intermediaries Act 1995.  Irish law recognises the concept of client assets (e.g. assets of UCITS and AIF clients) being held in trust and therefore if an Irish depositary or its Irish sub-custodian becomes insolvent, assets held in trust will not form part of the estate of the Irish depositary/Irish sub-custodian.</w:t>
      </w:r>
    </w:p>
    <w:p w:rsidR="000B1EF7" w:rsidRPr="00C82C2D" w:rsidRDefault="000B1EF7" w:rsidP="000B1EF7">
      <w:pPr>
        <w:pStyle w:val="Default"/>
        <w:jc w:val="both"/>
        <w:rPr>
          <w:rFonts w:ascii="Arial" w:hAnsi="Arial" w:cs="Arial"/>
          <w:bCs/>
          <w:color w:val="auto"/>
          <w:sz w:val="20"/>
          <w:szCs w:val="20"/>
          <w:lang w:val="en-IE"/>
        </w:rPr>
      </w:pPr>
    </w:p>
    <w:p w:rsidR="000B1EF7" w:rsidRPr="00C82C2D" w:rsidRDefault="000B1EF7" w:rsidP="000B1EF7">
      <w:pPr>
        <w:pStyle w:val="Default"/>
        <w:jc w:val="both"/>
        <w:rPr>
          <w:rFonts w:ascii="Arial" w:hAnsi="Arial" w:cs="Arial"/>
          <w:bCs/>
          <w:color w:val="auto"/>
          <w:sz w:val="20"/>
          <w:szCs w:val="20"/>
          <w:lang w:val="en-IE"/>
        </w:rPr>
      </w:pPr>
      <w:r w:rsidRPr="00C82C2D">
        <w:rPr>
          <w:rFonts w:ascii="Arial" w:hAnsi="Arial" w:cs="Arial"/>
          <w:bCs/>
          <w:color w:val="auto"/>
          <w:sz w:val="20"/>
          <w:szCs w:val="20"/>
          <w:lang w:val="en-IE"/>
        </w:rPr>
        <w:t>Most “custody” assets of Irish funds are held, however, through the depositary’s global custodian based outside Ireland, or a sub-custodial network based outside Ireland, pursuant to the provisions on delegation under the UCITS and AIFM Directives.</w:t>
      </w:r>
    </w:p>
    <w:p w:rsidR="000B1EF7" w:rsidRPr="00C82C2D" w:rsidRDefault="000B1EF7" w:rsidP="000B1EF7">
      <w:pPr>
        <w:pStyle w:val="Default"/>
        <w:jc w:val="both"/>
        <w:rPr>
          <w:rFonts w:ascii="Arial" w:hAnsi="Arial" w:cs="Arial"/>
          <w:bCs/>
          <w:color w:val="auto"/>
          <w:sz w:val="20"/>
          <w:szCs w:val="20"/>
          <w:lang w:val="en-IE"/>
        </w:rPr>
      </w:pPr>
    </w:p>
    <w:p w:rsidR="000B1EF7" w:rsidRPr="00C82C2D" w:rsidRDefault="000B1EF7" w:rsidP="000B1EF7">
      <w:pPr>
        <w:jc w:val="both"/>
        <w:rPr>
          <w:rFonts w:cs="Arial"/>
          <w:szCs w:val="20"/>
          <w:lang w:val="en-IE"/>
        </w:rPr>
      </w:pPr>
      <w:r w:rsidRPr="00C82C2D">
        <w:rPr>
          <w:rFonts w:cs="Arial"/>
          <w:szCs w:val="20"/>
          <w:lang w:val="en-IE"/>
        </w:rPr>
        <w:t>The books and records of the global custodian (the first delegation level) will show separate accounts in the name of the depositary for:</w:t>
      </w:r>
    </w:p>
    <w:p w:rsidR="000B1EF7" w:rsidRPr="00C82C2D" w:rsidRDefault="000B1EF7" w:rsidP="000B1EF7">
      <w:pPr>
        <w:jc w:val="both"/>
        <w:rPr>
          <w:rFonts w:cs="Arial"/>
          <w:szCs w:val="20"/>
          <w:lang w:val="en-IE"/>
        </w:rPr>
      </w:pPr>
    </w:p>
    <w:p w:rsidR="000B1EF7" w:rsidRPr="00C82C2D" w:rsidRDefault="000B1EF7" w:rsidP="000B1EF7">
      <w:pPr>
        <w:pStyle w:val="ListParagraph"/>
        <w:numPr>
          <w:ilvl w:val="3"/>
          <w:numId w:val="58"/>
        </w:numPr>
        <w:ind w:left="567"/>
        <w:jc w:val="both"/>
        <w:rPr>
          <w:rFonts w:cs="Arial"/>
          <w:szCs w:val="20"/>
          <w:lang w:val="en-IE"/>
        </w:rPr>
      </w:pPr>
      <w:r w:rsidRPr="00C82C2D">
        <w:rPr>
          <w:rFonts w:cs="Arial"/>
          <w:szCs w:val="20"/>
          <w:lang w:val="en-IE"/>
        </w:rPr>
        <w:t>the depositary’s own proprietary assets (if applicable);</w:t>
      </w:r>
    </w:p>
    <w:p w:rsidR="000B1EF7" w:rsidRPr="00C82C2D" w:rsidRDefault="000B1EF7" w:rsidP="000B1EF7">
      <w:pPr>
        <w:pStyle w:val="ListParagraph"/>
        <w:numPr>
          <w:ilvl w:val="3"/>
          <w:numId w:val="58"/>
        </w:numPr>
        <w:ind w:left="567"/>
        <w:jc w:val="both"/>
        <w:rPr>
          <w:rFonts w:cs="Arial"/>
          <w:szCs w:val="20"/>
          <w:lang w:val="en-IE"/>
        </w:rPr>
      </w:pPr>
      <w:r w:rsidRPr="00C82C2D">
        <w:rPr>
          <w:rFonts w:cs="Arial"/>
          <w:szCs w:val="20"/>
          <w:lang w:val="en-IE"/>
        </w:rPr>
        <w:t>each of the clients of the depositary (segregated accounts in the name of the depositary and each client).</w:t>
      </w:r>
    </w:p>
    <w:p w:rsidR="000B1EF7" w:rsidRPr="00C82C2D" w:rsidRDefault="000B1EF7" w:rsidP="000B1EF7">
      <w:pPr>
        <w:jc w:val="both"/>
        <w:rPr>
          <w:rFonts w:cs="Arial"/>
          <w:szCs w:val="20"/>
          <w:lang w:val="en-IE"/>
        </w:rPr>
      </w:pPr>
    </w:p>
    <w:p w:rsidR="000B1EF7" w:rsidRPr="00C82C2D" w:rsidRDefault="000B1EF7" w:rsidP="000B1EF7">
      <w:pPr>
        <w:jc w:val="both"/>
        <w:rPr>
          <w:rFonts w:cs="Arial"/>
          <w:szCs w:val="20"/>
          <w:lang w:val="en-IE"/>
        </w:rPr>
      </w:pPr>
      <w:r w:rsidRPr="00C82C2D">
        <w:rPr>
          <w:rFonts w:cs="Arial"/>
          <w:szCs w:val="20"/>
          <w:lang w:val="en-IE"/>
        </w:rPr>
        <w:t>These assets will be segregated from the global custodian’s proprietary assets and that of its other clients.</w:t>
      </w:r>
    </w:p>
    <w:p w:rsidR="000B1EF7" w:rsidRPr="00C82C2D" w:rsidRDefault="000B1EF7" w:rsidP="000B1EF7">
      <w:pPr>
        <w:jc w:val="both"/>
        <w:rPr>
          <w:rFonts w:cs="Arial"/>
          <w:szCs w:val="20"/>
          <w:lang w:val="en-IE"/>
        </w:rPr>
      </w:pPr>
    </w:p>
    <w:p w:rsidR="000B1EF7" w:rsidRPr="00C82C2D" w:rsidRDefault="000B1EF7" w:rsidP="000B1EF7">
      <w:pPr>
        <w:jc w:val="both"/>
        <w:rPr>
          <w:rFonts w:cs="Arial"/>
          <w:szCs w:val="20"/>
          <w:lang w:val="en-IE"/>
        </w:rPr>
      </w:pPr>
      <w:r w:rsidRPr="00C82C2D">
        <w:rPr>
          <w:rFonts w:cs="Arial"/>
          <w:szCs w:val="20"/>
          <w:lang w:val="en-IE"/>
        </w:rPr>
        <w:t>The books and records of the global custodian’s sub-delegate (second delegation level) will show accounts in the name of:</w:t>
      </w:r>
    </w:p>
    <w:p w:rsidR="000B1EF7" w:rsidRPr="00C82C2D" w:rsidRDefault="000B1EF7" w:rsidP="000B1EF7">
      <w:pPr>
        <w:jc w:val="both"/>
        <w:rPr>
          <w:rFonts w:cs="Arial"/>
          <w:szCs w:val="20"/>
          <w:lang w:val="en-IE"/>
        </w:rPr>
      </w:pPr>
    </w:p>
    <w:p w:rsidR="000B1EF7" w:rsidRPr="00C82C2D" w:rsidRDefault="000B1EF7" w:rsidP="000B1EF7">
      <w:pPr>
        <w:pStyle w:val="ListParagraph"/>
        <w:numPr>
          <w:ilvl w:val="3"/>
          <w:numId w:val="58"/>
        </w:numPr>
        <w:ind w:left="567"/>
        <w:jc w:val="both"/>
        <w:rPr>
          <w:rFonts w:cs="Arial"/>
          <w:szCs w:val="20"/>
          <w:lang w:val="en-IE"/>
        </w:rPr>
      </w:pPr>
      <w:r w:rsidRPr="00C82C2D">
        <w:rPr>
          <w:rFonts w:cs="Arial"/>
          <w:szCs w:val="20"/>
          <w:lang w:val="en-IE"/>
        </w:rPr>
        <w:t>the global custodian (first delegation level) for that global custodian’s proprietary assets;</w:t>
      </w:r>
    </w:p>
    <w:p w:rsidR="000B1EF7" w:rsidRPr="00C82C2D" w:rsidRDefault="000B1EF7" w:rsidP="000B1EF7">
      <w:pPr>
        <w:pStyle w:val="ListParagraph"/>
        <w:numPr>
          <w:ilvl w:val="3"/>
          <w:numId w:val="58"/>
        </w:numPr>
        <w:ind w:left="567"/>
        <w:jc w:val="both"/>
        <w:rPr>
          <w:rFonts w:cs="Arial"/>
          <w:szCs w:val="20"/>
          <w:lang w:val="en-IE"/>
        </w:rPr>
      </w:pPr>
      <w:r w:rsidRPr="00C82C2D">
        <w:rPr>
          <w:rFonts w:cs="Arial"/>
          <w:szCs w:val="20"/>
          <w:lang w:val="en-IE"/>
        </w:rPr>
        <w:t>the clients of the global custodian (omnibus account);</w:t>
      </w:r>
    </w:p>
    <w:p w:rsidR="000B1EF7" w:rsidRPr="00C82C2D" w:rsidRDefault="000B1EF7" w:rsidP="000B1EF7">
      <w:pPr>
        <w:pStyle w:val="ListParagraph"/>
        <w:numPr>
          <w:ilvl w:val="3"/>
          <w:numId w:val="58"/>
        </w:numPr>
        <w:ind w:left="567"/>
        <w:jc w:val="both"/>
        <w:rPr>
          <w:rFonts w:cs="Arial"/>
          <w:szCs w:val="20"/>
          <w:lang w:val="en-IE"/>
        </w:rPr>
      </w:pPr>
      <w:r w:rsidRPr="00C82C2D">
        <w:rPr>
          <w:rFonts w:cs="Arial"/>
          <w:szCs w:val="20"/>
          <w:lang w:val="en-IE"/>
        </w:rPr>
        <w:lastRenderedPageBreak/>
        <w:t>the sub-delegate’s other clients (omnibus where the clients are other global custodians on behalf of their clients and segregated accounts where the sub-custodian has a direct relationship (first delegation level) with the client;</w:t>
      </w:r>
    </w:p>
    <w:p w:rsidR="000B1EF7" w:rsidRPr="00C82C2D" w:rsidRDefault="000B1EF7" w:rsidP="000B1EF7">
      <w:pPr>
        <w:pStyle w:val="ListParagraph"/>
        <w:numPr>
          <w:ilvl w:val="3"/>
          <w:numId w:val="58"/>
        </w:numPr>
        <w:ind w:left="567"/>
        <w:jc w:val="both"/>
        <w:rPr>
          <w:rFonts w:cs="Arial"/>
          <w:szCs w:val="20"/>
          <w:lang w:val="en-IE"/>
        </w:rPr>
      </w:pPr>
      <w:r w:rsidRPr="00C82C2D">
        <w:rPr>
          <w:rFonts w:cs="Arial"/>
          <w:szCs w:val="20"/>
          <w:lang w:val="en-IE"/>
        </w:rPr>
        <w:t>the sub-delegate’s own proprietary assets.</w:t>
      </w:r>
    </w:p>
    <w:p w:rsidR="000B1EF7" w:rsidRPr="00C82C2D" w:rsidRDefault="000B1EF7" w:rsidP="000B1EF7">
      <w:pPr>
        <w:jc w:val="both"/>
        <w:rPr>
          <w:rFonts w:cs="Arial"/>
          <w:szCs w:val="20"/>
          <w:u w:val="single"/>
          <w:lang w:val="en-IE"/>
        </w:rPr>
      </w:pPr>
    </w:p>
    <w:p w:rsidR="000B1EF7" w:rsidRPr="00C82C2D" w:rsidRDefault="000B1EF7" w:rsidP="000B1EF7">
      <w:pPr>
        <w:jc w:val="both"/>
        <w:rPr>
          <w:rFonts w:cs="Arial"/>
          <w:szCs w:val="20"/>
          <w:u w:val="single"/>
          <w:lang w:val="en-IE"/>
        </w:rPr>
      </w:pPr>
      <w:r w:rsidRPr="00C82C2D">
        <w:rPr>
          <w:rFonts w:cs="Arial"/>
          <w:szCs w:val="20"/>
          <w:u w:val="single"/>
          <w:lang w:val="en-IE"/>
        </w:rPr>
        <w:t>Insolvency of depositary</w:t>
      </w:r>
    </w:p>
    <w:p w:rsidR="000B1EF7" w:rsidRPr="00C82C2D" w:rsidRDefault="000B1EF7" w:rsidP="000B1EF7">
      <w:pPr>
        <w:jc w:val="both"/>
        <w:rPr>
          <w:rFonts w:cs="Arial"/>
          <w:szCs w:val="20"/>
          <w:u w:val="single"/>
          <w:lang w:val="en-IE"/>
        </w:rPr>
      </w:pPr>
    </w:p>
    <w:p w:rsidR="000B1EF7" w:rsidRPr="00C82C2D" w:rsidRDefault="000B1EF7" w:rsidP="000B1EF7">
      <w:pPr>
        <w:jc w:val="both"/>
        <w:rPr>
          <w:rFonts w:cs="Arial"/>
          <w:szCs w:val="20"/>
          <w:lang w:val="en-IE"/>
        </w:rPr>
      </w:pPr>
      <w:r w:rsidRPr="00C82C2D">
        <w:rPr>
          <w:rFonts w:cs="Arial"/>
          <w:szCs w:val="20"/>
          <w:lang w:val="en-IE"/>
        </w:rPr>
        <w:t>If the depositary becomes insolvent, client assets held in the name of the client or the depositary on behalf of the client will not form part of the insolvent estate of the depositary.</w:t>
      </w:r>
    </w:p>
    <w:p w:rsidR="000B1EF7" w:rsidRPr="00C82C2D" w:rsidRDefault="000B1EF7" w:rsidP="000B1EF7">
      <w:pPr>
        <w:jc w:val="both"/>
        <w:rPr>
          <w:rFonts w:cs="Arial"/>
          <w:szCs w:val="20"/>
          <w:lang w:val="en-IE"/>
        </w:rPr>
      </w:pPr>
    </w:p>
    <w:p w:rsidR="000B1EF7" w:rsidRPr="00C82C2D" w:rsidRDefault="000B1EF7" w:rsidP="000B1EF7">
      <w:pPr>
        <w:jc w:val="both"/>
        <w:rPr>
          <w:rFonts w:cs="Arial"/>
          <w:szCs w:val="20"/>
          <w:lang w:val="en-IE"/>
        </w:rPr>
      </w:pPr>
      <w:r w:rsidRPr="00C82C2D">
        <w:rPr>
          <w:rFonts w:cs="Arial"/>
          <w:szCs w:val="20"/>
          <w:lang w:val="en-IE"/>
        </w:rPr>
        <w:t xml:space="preserve">The liquidator will reconcile the depositary’s client books and records against the accounts held at the global custodian in the name of each of the clients of the depositary, and also reconcile the depositary’s account containing proprietary assets with the depositary’s own record of its proprietary assets.  </w:t>
      </w:r>
    </w:p>
    <w:p w:rsidR="000B1EF7" w:rsidRPr="00C82C2D" w:rsidRDefault="000B1EF7" w:rsidP="000B1EF7">
      <w:pPr>
        <w:jc w:val="both"/>
        <w:rPr>
          <w:rFonts w:cs="Arial"/>
          <w:szCs w:val="20"/>
          <w:lang w:val="en-IE"/>
        </w:rPr>
      </w:pPr>
    </w:p>
    <w:p w:rsidR="000B1EF7" w:rsidRPr="00C82C2D" w:rsidRDefault="000B1EF7" w:rsidP="000B1EF7">
      <w:pPr>
        <w:jc w:val="both"/>
        <w:rPr>
          <w:rFonts w:cs="Arial"/>
          <w:szCs w:val="20"/>
          <w:lang w:val="en-IE"/>
        </w:rPr>
      </w:pPr>
      <w:r w:rsidRPr="00C82C2D">
        <w:rPr>
          <w:rFonts w:cs="Arial"/>
          <w:szCs w:val="20"/>
          <w:lang w:val="en-IE"/>
        </w:rPr>
        <w:t xml:space="preserve">The liquidator would also reconcile the omnibus accounts in the name of the global custodian at the level of its sub-custodians with the records of the global custodian to ensure that there was a match of holdings at the sub-custodians with those of the global custodian in aggregate, for each client of the global custodian. </w:t>
      </w:r>
    </w:p>
    <w:p w:rsidR="000B1EF7" w:rsidRPr="00C82C2D" w:rsidRDefault="000B1EF7" w:rsidP="000B1EF7">
      <w:pPr>
        <w:jc w:val="both"/>
        <w:rPr>
          <w:rFonts w:cs="Arial"/>
          <w:szCs w:val="20"/>
          <w:u w:val="single"/>
          <w:lang w:val="en-IE"/>
        </w:rPr>
      </w:pPr>
    </w:p>
    <w:p w:rsidR="000B1EF7" w:rsidRPr="00C82C2D" w:rsidRDefault="000B1EF7" w:rsidP="000B1EF7">
      <w:pPr>
        <w:jc w:val="both"/>
        <w:rPr>
          <w:rFonts w:cs="Arial"/>
          <w:szCs w:val="20"/>
          <w:u w:val="single"/>
          <w:lang w:val="en-IE"/>
        </w:rPr>
      </w:pPr>
      <w:r w:rsidRPr="00C82C2D">
        <w:rPr>
          <w:rFonts w:cs="Arial"/>
          <w:szCs w:val="20"/>
          <w:u w:val="single"/>
          <w:lang w:val="en-IE"/>
        </w:rPr>
        <w:t>Insolvency of global custodian</w:t>
      </w:r>
    </w:p>
    <w:p w:rsidR="000B1EF7" w:rsidRPr="00C82C2D" w:rsidRDefault="000B1EF7" w:rsidP="000B1EF7">
      <w:pPr>
        <w:jc w:val="both"/>
        <w:rPr>
          <w:rFonts w:cs="Arial"/>
          <w:szCs w:val="20"/>
          <w:u w:val="single"/>
          <w:lang w:val="en-IE"/>
        </w:rPr>
      </w:pPr>
    </w:p>
    <w:p w:rsidR="000B1EF7" w:rsidRPr="00C82C2D" w:rsidRDefault="000B1EF7" w:rsidP="000B1EF7">
      <w:pPr>
        <w:jc w:val="both"/>
        <w:rPr>
          <w:rFonts w:cs="Arial"/>
          <w:szCs w:val="20"/>
          <w:lang w:val="en-IE"/>
        </w:rPr>
      </w:pPr>
      <w:r w:rsidRPr="00C82C2D">
        <w:rPr>
          <w:rFonts w:cs="Arial"/>
          <w:szCs w:val="20"/>
          <w:lang w:val="en-IE"/>
        </w:rPr>
        <w:t xml:space="preserve">If the global custodian (first delegation level) becomes insolvent, its client assets (i.e. the client assets of the depositary) should not form part of the insolvent estate of the global custodian. The liquidator would reconcile the statements held by the depositary for each of its clients, with the records of the global custodian.  The liquidator would also reconcile the records of the global custodian with the records of the sub-delegate to ensure a match of holdings across the entire chain from the sub-delegate, through the insolvent global custodian’s records and then onto the depositary’s records (if these are separate from the global custodian). </w:t>
      </w:r>
    </w:p>
    <w:p w:rsidR="000B1EF7" w:rsidRPr="00C82C2D" w:rsidRDefault="000B1EF7" w:rsidP="000B1EF7">
      <w:pPr>
        <w:jc w:val="both"/>
        <w:rPr>
          <w:rFonts w:cs="Arial"/>
          <w:szCs w:val="20"/>
          <w:lang w:val="en-IE"/>
        </w:rPr>
      </w:pPr>
      <w:r w:rsidRPr="00C82C2D">
        <w:rPr>
          <w:rFonts w:cs="Arial"/>
          <w:szCs w:val="20"/>
          <w:lang w:val="en-IE"/>
        </w:rPr>
        <w:t>The books of the global custodian, (the first delegation level) will show an account in the name of the depositary for:</w:t>
      </w:r>
    </w:p>
    <w:p w:rsidR="000B1EF7" w:rsidRPr="00C82C2D" w:rsidRDefault="000B1EF7" w:rsidP="000B1EF7">
      <w:pPr>
        <w:jc w:val="both"/>
        <w:rPr>
          <w:rFonts w:cs="Arial"/>
          <w:szCs w:val="20"/>
          <w:lang w:val="en-IE"/>
        </w:rPr>
      </w:pPr>
    </w:p>
    <w:p w:rsidR="000B1EF7" w:rsidRPr="00C82C2D" w:rsidRDefault="000B1EF7" w:rsidP="000B1EF7">
      <w:pPr>
        <w:pStyle w:val="ListParagraph"/>
        <w:numPr>
          <w:ilvl w:val="3"/>
          <w:numId w:val="58"/>
        </w:numPr>
        <w:ind w:left="567"/>
        <w:jc w:val="both"/>
        <w:rPr>
          <w:rFonts w:cs="Arial"/>
          <w:szCs w:val="20"/>
          <w:lang w:val="en-IE"/>
        </w:rPr>
      </w:pPr>
      <w:r w:rsidRPr="00C82C2D">
        <w:rPr>
          <w:rFonts w:cs="Arial"/>
          <w:szCs w:val="20"/>
          <w:lang w:val="en-IE"/>
        </w:rPr>
        <w:t>the depositary’s own proprietary assets, if applicable.</w:t>
      </w:r>
    </w:p>
    <w:p w:rsidR="000B1EF7" w:rsidRPr="00C82C2D" w:rsidRDefault="000B1EF7" w:rsidP="000B1EF7">
      <w:pPr>
        <w:pStyle w:val="ListParagraph"/>
        <w:numPr>
          <w:ilvl w:val="3"/>
          <w:numId w:val="58"/>
        </w:numPr>
        <w:ind w:left="567"/>
        <w:jc w:val="both"/>
        <w:rPr>
          <w:rFonts w:cs="Arial"/>
          <w:szCs w:val="20"/>
          <w:lang w:val="en-IE"/>
        </w:rPr>
      </w:pPr>
      <w:r w:rsidRPr="00C82C2D">
        <w:rPr>
          <w:rFonts w:cs="Arial"/>
          <w:szCs w:val="20"/>
          <w:lang w:val="en-IE"/>
        </w:rPr>
        <w:t xml:space="preserve">each of the clients of the depositary, (segregated accounts in the name of the depositary and each client), as well as segregated accounts for all other clients of the global custodian.  </w:t>
      </w:r>
    </w:p>
    <w:p w:rsidR="000B1EF7" w:rsidRPr="00C82C2D" w:rsidRDefault="000B1EF7" w:rsidP="000B1EF7">
      <w:pPr>
        <w:pStyle w:val="WFNALevel1"/>
        <w:numPr>
          <w:ilvl w:val="0"/>
          <w:numId w:val="0"/>
        </w:numPr>
        <w:spacing w:after="0" w:line="240" w:lineRule="auto"/>
        <w:ind w:left="720"/>
        <w:rPr>
          <w:rFonts w:cs="Arial"/>
        </w:rPr>
      </w:pPr>
    </w:p>
    <w:p w:rsidR="000B1EF7" w:rsidRPr="00C82C2D" w:rsidRDefault="000B1EF7" w:rsidP="000B1EF7">
      <w:pPr>
        <w:jc w:val="both"/>
        <w:rPr>
          <w:rFonts w:cs="Arial"/>
          <w:szCs w:val="20"/>
          <w:lang w:val="en-IE"/>
        </w:rPr>
      </w:pPr>
      <w:r w:rsidRPr="00C82C2D">
        <w:rPr>
          <w:rFonts w:cs="Arial"/>
          <w:szCs w:val="20"/>
          <w:lang w:val="en-IE"/>
        </w:rPr>
        <w:t>The books of the sub-delegate (second delegation level) will show accounts in the name of the:</w:t>
      </w:r>
    </w:p>
    <w:p w:rsidR="000B1EF7" w:rsidRPr="00C82C2D" w:rsidRDefault="000B1EF7" w:rsidP="000B1EF7">
      <w:pPr>
        <w:jc w:val="both"/>
        <w:rPr>
          <w:rFonts w:cs="Arial"/>
          <w:szCs w:val="20"/>
          <w:lang w:val="en-IE"/>
        </w:rPr>
      </w:pPr>
    </w:p>
    <w:p w:rsidR="000B1EF7" w:rsidRPr="00C82C2D" w:rsidRDefault="000B1EF7" w:rsidP="000B1EF7">
      <w:pPr>
        <w:pStyle w:val="ListParagraph"/>
        <w:numPr>
          <w:ilvl w:val="3"/>
          <w:numId w:val="58"/>
        </w:numPr>
        <w:ind w:left="567"/>
        <w:jc w:val="both"/>
        <w:rPr>
          <w:rFonts w:cs="Arial"/>
          <w:szCs w:val="20"/>
          <w:lang w:val="en-IE"/>
        </w:rPr>
      </w:pPr>
      <w:r w:rsidRPr="00C82C2D">
        <w:rPr>
          <w:rFonts w:cs="Arial"/>
          <w:szCs w:val="20"/>
          <w:lang w:val="en-IE"/>
        </w:rPr>
        <w:t>global custodian (first delegation level) for the global custodian’s proprietary assets (if any);</w:t>
      </w:r>
    </w:p>
    <w:p w:rsidR="000B1EF7" w:rsidRPr="00C82C2D" w:rsidRDefault="000B1EF7" w:rsidP="000B1EF7">
      <w:pPr>
        <w:pStyle w:val="ListParagraph"/>
        <w:numPr>
          <w:ilvl w:val="3"/>
          <w:numId w:val="58"/>
        </w:numPr>
        <w:ind w:left="567"/>
        <w:jc w:val="both"/>
        <w:rPr>
          <w:rFonts w:cs="Arial"/>
          <w:szCs w:val="20"/>
          <w:lang w:val="en-IE"/>
        </w:rPr>
      </w:pPr>
      <w:r w:rsidRPr="00C82C2D">
        <w:rPr>
          <w:rFonts w:cs="Arial"/>
          <w:szCs w:val="20"/>
          <w:lang w:val="en-IE"/>
        </w:rPr>
        <w:t>clients of the global custodian;</w:t>
      </w:r>
    </w:p>
    <w:p w:rsidR="000B1EF7" w:rsidRPr="00C82C2D" w:rsidRDefault="000B1EF7" w:rsidP="000B1EF7">
      <w:pPr>
        <w:pStyle w:val="ListParagraph"/>
        <w:numPr>
          <w:ilvl w:val="3"/>
          <w:numId w:val="58"/>
        </w:numPr>
        <w:ind w:left="567"/>
        <w:jc w:val="both"/>
        <w:rPr>
          <w:rFonts w:cs="Arial"/>
          <w:szCs w:val="20"/>
          <w:lang w:val="en-IE"/>
        </w:rPr>
      </w:pPr>
      <w:r w:rsidRPr="00C82C2D">
        <w:rPr>
          <w:rFonts w:cs="Arial"/>
          <w:szCs w:val="20"/>
          <w:lang w:val="en-IE"/>
        </w:rPr>
        <w:t>the sub-delegate’s other clients;</w:t>
      </w:r>
    </w:p>
    <w:p w:rsidR="000B1EF7" w:rsidRPr="00C82C2D" w:rsidRDefault="000B1EF7" w:rsidP="000B1EF7">
      <w:pPr>
        <w:pStyle w:val="ListParagraph"/>
        <w:numPr>
          <w:ilvl w:val="3"/>
          <w:numId w:val="58"/>
        </w:numPr>
        <w:ind w:left="567"/>
        <w:jc w:val="both"/>
        <w:rPr>
          <w:rFonts w:cs="Arial"/>
          <w:szCs w:val="20"/>
          <w:lang w:val="en-IE"/>
        </w:rPr>
      </w:pPr>
      <w:r w:rsidRPr="00C82C2D">
        <w:rPr>
          <w:rFonts w:cs="Arial"/>
          <w:szCs w:val="20"/>
          <w:lang w:val="en-IE"/>
        </w:rPr>
        <w:t>the sub-delegate’s own proprietary assets.</w:t>
      </w:r>
    </w:p>
    <w:p w:rsidR="000B1EF7" w:rsidRPr="00C82C2D" w:rsidRDefault="000B1EF7" w:rsidP="000B1EF7">
      <w:pPr>
        <w:pStyle w:val="Default"/>
        <w:adjustRightInd/>
        <w:ind w:left="720"/>
        <w:jc w:val="both"/>
        <w:rPr>
          <w:rFonts w:ascii="Arial" w:hAnsi="Arial" w:cs="Arial"/>
          <w:color w:val="auto"/>
          <w:sz w:val="20"/>
          <w:szCs w:val="20"/>
          <w:lang w:val="en-IE"/>
        </w:rPr>
      </w:pPr>
    </w:p>
    <w:p w:rsidR="000B1EF7" w:rsidRPr="00C82C2D" w:rsidRDefault="000B1EF7" w:rsidP="000B1EF7">
      <w:pPr>
        <w:keepNext/>
        <w:jc w:val="both"/>
        <w:rPr>
          <w:rFonts w:cs="Arial"/>
          <w:szCs w:val="20"/>
          <w:u w:val="single"/>
          <w:lang w:val="en-IE"/>
        </w:rPr>
      </w:pPr>
      <w:r w:rsidRPr="00C82C2D">
        <w:rPr>
          <w:rFonts w:cs="Arial"/>
          <w:szCs w:val="20"/>
          <w:u w:val="single"/>
          <w:lang w:val="en-IE"/>
        </w:rPr>
        <w:t>Insolvency of sub-delegate</w:t>
      </w:r>
    </w:p>
    <w:p w:rsidR="000B1EF7" w:rsidRPr="00C82C2D" w:rsidRDefault="000B1EF7" w:rsidP="000B1EF7">
      <w:pPr>
        <w:jc w:val="both"/>
        <w:rPr>
          <w:rFonts w:cs="Arial"/>
          <w:szCs w:val="20"/>
          <w:lang w:val="en-IE"/>
        </w:rPr>
      </w:pPr>
    </w:p>
    <w:p w:rsidR="000B1EF7" w:rsidRPr="00C82C2D" w:rsidRDefault="000B1EF7" w:rsidP="000B1EF7">
      <w:pPr>
        <w:jc w:val="both"/>
        <w:rPr>
          <w:rFonts w:cs="Arial"/>
          <w:szCs w:val="20"/>
          <w:lang w:val="en-IE"/>
        </w:rPr>
      </w:pPr>
      <w:r w:rsidRPr="00C82C2D">
        <w:rPr>
          <w:rFonts w:cs="Arial"/>
          <w:szCs w:val="20"/>
          <w:lang w:val="en-IE"/>
        </w:rPr>
        <w:t>If the sub-delegate becomes insolvent, its client assets (i.e. the assets of the global custodian) should not form part of the sub-delegate’s insolvent estate.</w:t>
      </w:r>
    </w:p>
    <w:p w:rsidR="000B1EF7" w:rsidRPr="00C82C2D" w:rsidRDefault="000B1EF7" w:rsidP="000B1EF7">
      <w:pPr>
        <w:jc w:val="both"/>
        <w:rPr>
          <w:rFonts w:cs="Arial"/>
          <w:szCs w:val="20"/>
          <w:lang w:val="en-IE"/>
        </w:rPr>
      </w:pPr>
    </w:p>
    <w:p w:rsidR="000B1EF7" w:rsidRPr="00C82C2D" w:rsidRDefault="000B1EF7" w:rsidP="000B1EF7">
      <w:pPr>
        <w:jc w:val="both"/>
        <w:rPr>
          <w:rFonts w:cs="Arial"/>
          <w:szCs w:val="20"/>
          <w:lang w:val="en-IE"/>
        </w:rPr>
      </w:pPr>
      <w:r w:rsidRPr="00C82C2D">
        <w:rPr>
          <w:rFonts w:cs="Arial"/>
          <w:szCs w:val="20"/>
          <w:lang w:val="en-IE"/>
        </w:rPr>
        <w:t>The books of the sub-delegate will show an account in the name of the global custodian for:</w:t>
      </w:r>
    </w:p>
    <w:p w:rsidR="000B1EF7" w:rsidRPr="00C82C2D" w:rsidRDefault="000B1EF7" w:rsidP="000B1EF7">
      <w:pPr>
        <w:jc w:val="both"/>
        <w:rPr>
          <w:rFonts w:cs="Arial"/>
          <w:szCs w:val="20"/>
          <w:lang w:val="en-IE"/>
        </w:rPr>
      </w:pPr>
    </w:p>
    <w:p w:rsidR="000B1EF7" w:rsidRPr="00C82C2D" w:rsidRDefault="000B1EF7" w:rsidP="000B1EF7">
      <w:pPr>
        <w:pStyle w:val="ListParagraph"/>
        <w:numPr>
          <w:ilvl w:val="3"/>
          <w:numId w:val="58"/>
        </w:numPr>
        <w:ind w:left="567"/>
        <w:jc w:val="both"/>
        <w:rPr>
          <w:rFonts w:cs="Arial"/>
          <w:szCs w:val="20"/>
          <w:lang w:val="en-IE"/>
        </w:rPr>
      </w:pPr>
      <w:r w:rsidRPr="00C82C2D">
        <w:rPr>
          <w:rFonts w:cs="Arial"/>
          <w:szCs w:val="20"/>
          <w:lang w:val="en-IE"/>
        </w:rPr>
        <w:t>the global custodian’s own proprietary assets (if applicable);</w:t>
      </w:r>
    </w:p>
    <w:p w:rsidR="000B1EF7" w:rsidRPr="00C82C2D" w:rsidRDefault="000B1EF7" w:rsidP="000B1EF7">
      <w:pPr>
        <w:pStyle w:val="ListParagraph"/>
        <w:numPr>
          <w:ilvl w:val="3"/>
          <w:numId w:val="58"/>
        </w:numPr>
        <w:ind w:left="567"/>
        <w:jc w:val="both"/>
        <w:rPr>
          <w:rFonts w:cs="Arial"/>
          <w:szCs w:val="20"/>
          <w:lang w:val="en-IE"/>
        </w:rPr>
      </w:pPr>
      <w:r w:rsidRPr="00C82C2D">
        <w:rPr>
          <w:rFonts w:cs="Arial"/>
          <w:szCs w:val="20"/>
          <w:lang w:val="en-IE"/>
        </w:rPr>
        <w:t>the clients’ of the global custodian in an omnibus account.</w:t>
      </w:r>
    </w:p>
    <w:p w:rsidR="000B1EF7" w:rsidRPr="00C82C2D" w:rsidRDefault="000B1EF7" w:rsidP="000B1EF7">
      <w:pPr>
        <w:pStyle w:val="ListParagraph"/>
        <w:numPr>
          <w:ilvl w:val="3"/>
          <w:numId w:val="58"/>
        </w:numPr>
        <w:ind w:left="567"/>
        <w:jc w:val="both"/>
        <w:rPr>
          <w:rFonts w:cs="Arial"/>
          <w:szCs w:val="20"/>
          <w:lang w:val="en-IE"/>
        </w:rPr>
      </w:pPr>
      <w:r w:rsidRPr="00C82C2D">
        <w:rPr>
          <w:rFonts w:cs="Arial"/>
          <w:szCs w:val="20"/>
          <w:lang w:val="en-IE"/>
        </w:rPr>
        <w:t>The books of the sub-delegate will also show accounts in the name of the:</w:t>
      </w:r>
    </w:p>
    <w:p w:rsidR="000B1EF7" w:rsidRPr="00C82C2D" w:rsidRDefault="000B1EF7" w:rsidP="000B1EF7">
      <w:pPr>
        <w:pStyle w:val="ListParagraph"/>
        <w:numPr>
          <w:ilvl w:val="3"/>
          <w:numId w:val="58"/>
        </w:numPr>
        <w:ind w:left="567"/>
        <w:jc w:val="both"/>
        <w:rPr>
          <w:rFonts w:cs="Arial"/>
          <w:szCs w:val="20"/>
          <w:lang w:val="en-IE"/>
        </w:rPr>
      </w:pPr>
      <w:r w:rsidRPr="00C82C2D">
        <w:rPr>
          <w:rFonts w:cs="Arial"/>
          <w:szCs w:val="20"/>
          <w:lang w:val="en-IE"/>
        </w:rPr>
        <w:t>the sub-delegate’s other clients;</w:t>
      </w:r>
    </w:p>
    <w:p w:rsidR="000B1EF7" w:rsidRPr="00C82C2D" w:rsidRDefault="000B1EF7" w:rsidP="000B1EF7">
      <w:pPr>
        <w:pStyle w:val="ListParagraph"/>
        <w:numPr>
          <w:ilvl w:val="3"/>
          <w:numId w:val="58"/>
        </w:numPr>
        <w:ind w:left="567"/>
        <w:jc w:val="both"/>
        <w:rPr>
          <w:rFonts w:cs="Arial"/>
          <w:szCs w:val="20"/>
          <w:lang w:val="en-IE"/>
        </w:rPr>
      </w:pPr>
      <w:r w:rsidRPr="00C82C2D">
        <w:rPr>
          <w:rFonts w:cs="Arial"/>
          <w:szCs w:val="20"/>
          <w:lang w:val="en-IE"/>
        </w:rPr>
        <w:t>the sub-delegate’s own proprietary assets.</w:t>
      </w:r>
    </w:p>
    <w:p w:rsidR="00CD1F3D" w:rsidRPr="00C82C2D" w:rsidRDefault="00CD1F3D" w:rsidP="00CD1F3D">
      <w:pPr>
        <w:jc w:val="both"/>
        <w:rPr>
          <w:rFonts w:cs="Arial"/>
          <w:szCs w:val="20"/>
          <w:lang w:val="en-IE"/>
        </w:rPr>
      </w:pPr>
    </w:p>
    <w:p w:rsidR="00CD1F3D" w:rsidRPr="00C82C2D" w:rsidRDefault="00CD1F3D" w:rsidP="00CD1F3D">
      <w:pPr>
        <w:jc w:val="both"/>
        <w:rPr>
          <w:rFonts w:cs="Arial"/>
          <w:szCs w:val="20"/>
          <w:lang w:val="en-IE"/>
        </w:rPr>
      </w:pPr>
    </w:p>
    <w:p w:rsidR="00CD1F3D" w:rsidRPr="00C82C2D" w:rsidRDefault="00CD1F3D" w:rsidP="00CD1F3D">
      <w:pPr>
        <w:jc w:val="both"/>
        <w:rPr>
          <w:rFonts w:cs="Arial"/>
          <w:szCs w:val="20"/>
          <w:lang w:val="en-IE"/>
        </w:rPr>
      </w:pPr>
    </w:p>
    <w:p w:rsidR="000B1EF7" w:rsidRPr="00C82C2D" w:rsidRDefault="000B1EF7" w:rsidP="000B1EF7">
      <w:pPr>
        <w:pStyle w:val="WFNALevel1"/>
        <w:numPr>
          <w:ilvl w:val="0"/>
          <w:numId w:val="0"/>
        </w:numPr>
        <w:spacing w:after="0" w:line="240" w:lineRule="auto"/>
        <w:rPr>
          <w:rFonts w:cs="Arial"/>
          <w:u w:val="single"/>
        </w:rPr>
      </w:pPr>
    </w:p>
    <w:p w:rsidR="000B1EF7" w:rsidRPr="00C82C2D" w:rsidRDefault="000B1EF7" w:rsidP="000B1EF7">
      <w:pPr>
        <w:pStyle w:val="WFNALevel1"/>
        <w:numPr>
          <w:ilvl w:val="0"/>
          <w:numId w:val="0"/>
        </w:numPr>
        <w:spacing w:after="0" w:line="240" w:lineRule="auto"/>
        <w:rPr>
          <w:rFonts w:cs="Arial"/>
          <w:u w:val="single"/>
        </w:rPr>
      </w:pPr>
      <w:r w:rsidRPr="00C82C2D">
        <w:rPr>
          <w:rFonts w:cs="Arial"/>
          <w:u w:val="single"/>
        </w:rPr>
        <w:lastRenderedPageBreak/>
        <w:t>Insolvency of Other Party</w:t>
      </w:r>
    </w:p>
    <w:p w:rsidR="000B1EF7" w:rsidRPr="00C82C2D" w:rsidRDefault="000B1EF7" w:rsidP="000B1EF7">
      <w:pPr>
        <w:pStyle w:val="WFNALevel1"/>
        <w:numPr>
          <w:ilvl w:val="0"/>
          <w:numId w:val="0"/>
        </w:numPr>
        <w:spacing w:after="0" w:line="240" w:lineRule="auto"/>
        <w:rPr>
          <w:rFonts w:cs="Arial"/>
        </w:rPr>
      </w:pPr>
    </w:p>
    <w:p w:rsidR="000B1EF7" w:rsidRPr="00C82C2D" w:rsidRDefault="000B1EF7" w:rsidP="000B1EF7">
      <w:pPr>
        <w:pStyle w:val="WFNALevel1"/>
        <w:numPr>
          <w:ilvl w:val="0"/>
          <w:numId w:val="0"/>
        </w:numPr>
        <w:spacing w:after="0" w:line="240" w:lineRule="auto"/>
        <w:rPr>
          <w:rFonts w:cs="Arial"/>
        </w:rPr>
      </w:pPr>
      <w:r w:rsidRPr="00C82C2D">
        <w:rPr>
          <w:rFonts w:cs="Arial"/>
        </w:rPr>
        <w:t>In our view, if a party whose assets are held in another person’s omnibus becomes insolvent, this of itself would not disadvantage the position of solvent parties whose assets are in the same omnibus account.  The position of the insolvent party post-insolvency should not be any stronger than it would have been prior to the liquidation i.e. it would not have a claim on assets to which it would not have been entitled prior to the insolvency.  The assets of the insolvent client will be recorded in the books and records of the depositary/global custodian separate from those of other clients and these should be capable of being reconciled with the statements of assets that have been issued to the insolvent client.  The estate of the insolvent client would not have a legitimate claim over the assets beneficially owned by other clients held in an omnibus account along with those of the insolvent client.</w:t>
      </w:r>
    </w:p>
    <w:p w:rsidR="000B1EF7" w:rsidRPr="00C82C2D" w:rsidRDefault="000B1EF7" w:rsidP="000B1EF7">
      <w:pPr>
        <w:jc w:val="both"/>
        <w:rPr>
          <w:rStyle w:val="CommentReference"/>
          <w:rFonts w:cs="Arial"/>
          <w:sz w:val="20"/>
          <w:szCs w:val="20"/>
          <w:lang w:val="en-IE"/>
        </w:rPr>
      </w:pPr>
    </w:p>
    <w:p w:rsidR="000B1EF7" w:rsidRPr="00CD1F3D" w:rsidRDefault="000B1EF7" w:rsidP="000B1EF7">
      <w:pPr>
        <w:jc w:val="both"/>
        <w:rPr>
          <w:rStyle w:val="CommentReference"/>
          <w:rFonts w:cs="Arial"/>
          <w:sz w:val="20"/>
          <w:szCs w:val="20"/>
        </w:rPr>
      </w:pPr>
      <w:r w:rsidRPr="00C82C2D">
        <w:rPr>
          <w:rStyle w:val="CommentReference"/>
          <w:rFonts w:cs="Arial"/>
          <w:sz w:val="20"/>
          <w:szCs w:val="20"/>
          <w:lang w:val="en-IE"/>
        </w:rPr>
        <w:t>We also support the AGC response to this question</w:t>
      </w:r>
      <w:r w:rsidRPr="00CD1F3D">
        <w:rPr>
          <w:rStyle w:val="CommentReference"/>
          <w:rFonts w:cs="Arial"/>
          <w:sz w:val="20"/>
          <w:szCs w:val="20"/>
        </w:rPr>
        <w:t>.</w:t>
      </w:r>
    </w:p>
    <w:permEnd w:id="1104023597"/>
    <w:p w:rsidR="001A170B" w:rsidRPr="00B42A10" w:rsidRDefault="001A170B" w:rsidP="001A170B">
      <w:pPr>
        <w:rPr>
          <w:lang w:val="fr-FR"/>
        </w:rPr>
      </w:pPr>
      <w:r w:rsidRPr="00B42A10">
        <w:rPr>
          <w:lang w:val="fr-FR"/>
        </w:rPr>
        <w:t>&lt;ESMA_</w:t>
      </w:r>
      <w:r w:rsidRPr="001A170B">
        <w:rPr>
          <w:lang w:val="fr-FR"/>
        </w:rPr>
        <w:t>QUESTION</w:t>
      </w:r>
      <w:r w:rsidRPr="00B42A10">
        <w:rPr>
          <w:lang w:val="fr-FR"/>
        </w:rPr>
        <w:t>_CE_ASCS_</w:t>
      </w:r>
      <w:r>
        <w:rPr>
          <w:lang w:val="fr-FR"/>
        </w:rPr>
        <w:t>2</w:t>
      </w:r>
      <w:r w:rsidRPr="00B42A10">
        <w:rPr>
          <w:lang w:val="fr-FR"/>
        </w:rPr>
        <w:t>&gt;</w:t>
      </w:r>
    </w:p>
    <w:p w:rsidR="001A170B" w:rsidRPr="001A170B" w:rsidRDefault="001A170B" w:rsidP="001A170B">
      <w:pPr>
        <w:spacing w:after="250" w:line="276" w:lineRule="auto"/>
        <w:jc w:val="both"/>
        <w:rPr>
          <w:b/>
          <w:bCs/>
          <w:sz w:val="22"/>
          <w:szCs w:val="20"/>
          <w:lang w:eastAsia="en-US"/>
        </w:rPr>
      </w:pPr>
    </w:p>
    <w:p w:rsid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Please describe the differences (if any) between ‘omnibus accounts’ (i.e. books and records segregation) and separate accounts in terms of return of the assets from the account in a scenario of potential insolvency or insolvency. In particular, please indicate whether the assets may be transferred to the depositary or another delegate more easily and/or quickly under a particular insolvency regime from either of the two types of account and explain why. If possible and relevant, please (i) distinguish among the various jurisdictions of which you have knowledge and (ii) explain whether a specific type of account may have an impact on the timeline for the aforementioned transfer of assets or, more generally, on the order of events in a scenario of potential insolvency or insolvency.</w:t>
      </w:r>
    </w:p>
    <w:p w:rsidR="00F579DC" w:rsidRDefault="00F579DC" w:rsidP="00F579DC">
      <w:pPr>
        <w:spacing w:after="250" w:line="276" w:lineRule="auto"/>
        <w:jc w:val="both"/>
        <w:rPr>
          <w:b/>
          <w:bCs/>
          <w:sz w:val="22"/>
          <w:szCs w:val="20"/>
          <w:lang w:eastAsia="en-US"/>
        </w:rPr>
      </w:pPr>
    </w:p>
    <w:p w:rsidR="00F579DC" w:rsidRPr="00176639" w:rsidRDefault="00F579DC" w:rsidP="00F579DC">
      <w:r w:rsidRPr="00176639">
        <w:t>&lt;ESMA_</w:t>
      </w:r>
      <w:r>
        <w:t>QUESTION</w:t>
      </w:r>
      <w:r w:rsidRPr="00176639">
        <w:t>_</w:t>
      </w:r>
      <w:r>
        <w:t>CE_</w:t>
      </w:r>
      <w:r w:rsidRPr="000018FA">
        <w:t>ASCS</w:t>
      </w:r>
      <w:r w:rsidRPr="00176639">
        <w:t>_</w:t>
      </w:r>
      <w:r>
        <w:t>3</w:t>
      </w:r>
      <w:r w:rsidRPr="00176639">
        <w:t>&gt;</w:t>
      </w:r>
    </w:p>
    <w:p w:rsidR="000B1EF7" w:rsidRPr="00C82C2D" w:rsidRDefault="000B1EF7" w:rsidP="000B1EF7">
      <w:pPr>
        <w:pStyle w:val="Default"/>
        <w:jc w:val="both"/>
        <w:rPr>
          <w:rFonts w:ascii="Arial" w:hAnsi="Arial" w:cs="Arial"/>
          <w:bCs/>
          <w:color w:val="auto"/>
          <w:sz w:val="20"/>
          <w:szCs w:val="20"/>
          <w:lang w:val="en-IE"/>
        </w:rPr>
      </w:pPr>
      <w:permStart w:id="781078137" w:edGrp="everyone"/>
      <w:r w:rsidRPr="00C82C2D">
        <w:rPr>
          <w:rFonts w:ascii="Arial" w:hAnsi="Arial" w:cs="Arial"/>
          <w:bCs/>
          <w:color w:val="auto"/>
          <w:sz w:val="20"/>
          <w:szCs w:val="20"/>
          <w:lang w:val="en-IE"/>
        </w:rPr>
        <w:t>Under Irish law, there would be no difference, in principle, between omnibus accounts and separate accounts in terms of the return of assets in an insolvency situation.  At the end of our response to Question 2 above, we indicated that the estate of an insolvent client whose assets are held in an omnibus account would have no claim on the assets of other clients held in that omnibus account, and to substantiate that position, the books and records of the relevant depositary/delegate should be capable of reconciliation against the statements of assets issued to the insolvent client.  Obviously, the ability to distinguish between clients’ interests where separate accounts are opened may initially assist in identification; however it is unlikely to lead to greater ease of speed in the return of assets on transfer to another delegate on insolvency due to a number of factors, including the following:</w:t>
      </w:r>
    </w:p>
    <w:p w:rsidR="000B1EF7" w:rsidRPr="00C82C2D" w:rsidRDefault="000B1EF7" w:rsidP="000B1EF7">
      <w:pPr>
        <w:pStyle w:val="Default"/>
        <w:jc w:val="both"/>
        <w:rPr>
          <w:rFonts w:ascii="Arial" w:hAnsi="Arial" w:cs="Arial"/>
          <w:bCs/>
          <w:color w:val="auto"/>
          <w:sz w:val="20"/>
          <w:szCs w:val="20"/>
          <w:lang w:val="en-IE"/>
        </w:rPr>
      </w:pPr>
    </w:p>
    <w:p w:rsidR="000B1EF7" w:rsidRPr="00C82C2D" w:rsidRDefault="000B1EF7" w:rsidP="000B1EF7">
      <w:pPr>
        <w:pStyle w:val="ListParagraph"/>
        <w:numPr>
          <w:ilvl w:val="3"/>
          <w:numId w:val="58"/>
        </w:numPr>
        <w:ind w:left="567"/>
        <w:jc w:val="both"/>
        <w:rPr>
          <w:rFonts w:cs="Arial"/>
          <w:szCs w:val="20"/>
          <w:lang w:val="en-IE"/>
        </w:rPr>
      </w:pPr>
      <w:r w:rsidRPr="00C82C2D">
        <w:rPr>
          <w:rFonts w:cs="Arial"/>
          <w:szCs w:val="20"/>
          <w:lang w:val="en-IE"/>
        </w:rPr>
        <w:t>the differences in insolvency law and practice in the relevant jurisdictions at the various levels of the custodial chain;</w:t>
      </w:r>
    </w:p>
    <w:p w:rsidR="000B1EF7" w:rsidRPr="00C82C2D" w:rsidRDefault="000B1EF7" w:rsidP="000B1EF7">
      <w:pPr>
        <w:pStyle w:val="ListParagraph"/>
        <w:numPr>
          <w:ilvl w:val="3"/>
          <w:numId w:val="58"/>
        </w:numPr>
        <w:ind w:left="567"/>
        <w:jc w:val="both"/>
        <w:rPr>
          <w:rFonts w:cs="Arial"/>
          <w:szCs w:val="20"/>
          <w:lang w:val="en-IE"/>
        </w:rPr>
      </w:pPr>
      <w:r w:rsidRPr="00C82C2D">
        <w:rPr>
          <w:rFonts w:cs="Arial"/>
          <w:szCs w:val="20"/>
          <w:lang w:val="en-IE"/>
        </w:rPr>
        <w:t>problems involved in unravelling securities lending and other derivative contracts to which the assets may be subject;</w:t>
      </w:r>
    </w:p>
    <w:p w:rsidR="000B1EF7" w:rsidRPr="00C82C2D" w:rsidRDefault="000B1EF7" w:rsidP="000B1EF7">
      <w:pPr>
        <w:pStyle w:val="ListParagraph"/>
        <w:numPr>
          <w:ilvl w:val="3"/>
          <w:numId w:val="58"/>
        </w:numPr>
        <w:ind w:left="567"/>
        <w:jc w:val="both"/>
        <w:rPr>
          <w:rFonts w:cs="Arial"/>
          <w:szCs w:val="20"/>
          <w:lang w:val="en-IE"/>
        </w:rPr>
      </w:pPr>
      <w:r w:rsidRPr="00C82C2D">
        <w:rPr>
          <w:rFonts w:cs="Arial"/>
          <w:szCs w:val="20"/>
          <w:lang w:val="en-IE"/>
        </w:rPr>
        <w:t>resolving the security claims and interests (including liens) of the various parties throughout the custodial chain.</w:t>
      </w:r>
    </w:p>
    <w:p w:rsidR="000B1EF7" w:rsidRPr="00C82C2D" w:rsidRDefault="000B1EF7" w:rsidP="000B1EF7">
      <w:pPr>
        <w:pStyle w:val="Default"/>
        <w:adjustRightInd/>
        <w:ind w:left="720"/>
        <w:jc w:val="both"/>
        <w:rPr>
          <w:rFonts w:ascii="Arial" w:hAnsi="Arial" w:cs="Arial"/>
          <w:color w:val="auto"/>
          <w:sz w:val="20"/>
          <w:szCs w:val="20"/>
          <w:lang w:val="en-IE"/>
        </w:rPr>
      </w:pPr>
    </w:p>
    <w:p w:rsidR="000B1EF7" w:rsidRPr="00C82C2D" w:rsidRDefault="000B1EF7" w:rsidP="000B1EF7">
      <w:pPr>
        <w:jc w:val="both"/>
        <w:rPr>
          <w:rFonts w:cs="Arial"/>
          <w:szCs w:val="20"/>
          <w:lang w:val="en-IE"/>
        </w:rPr>
      </w:pPr>
      <w:r w:rsidRPr="00C82C2D">
        <w:rPr>
          <w:rFonts w:cs="Arial"/>
          <w:szCs w:val="20"/>
          <w:lang w:val="en-IE"/>
        </w:rPr>
        <w:t>In addition, the proliferation of accounts would be likely to lead ultimately to greater difficulty in record reconciliation and risk of error.  It would also have a significant impact upon cost which would outweigh any benefits to separate accounts.</w:t>
      </w:r>
    </w:p>
    <w:p w:rsidR="000B1EF7" w:rsidRPr="00C82C2D" w:rsidRDefault="000B1EF7" w:rsidP="000B1EF7">
      <w:pPr>
        <w:jc w:val="both"/>
        <w:rPr>
          <w:rStyle w:val="CommentReference"/>
          <w:rFonts w:cs="Arial"/>
          <w:szCs w:val="20"/>
          <w:lang w:val="en-IE"/>
        </w:rPr>
      </w:pPr>
    </w:p>
    <w:p w:rsidR="000B1EF7" w:rsidRPr="00CD1F3D" w:rsidRDefault="000B1EF7" w:rsidP="000B1EF7">
      <w:pPr>
        <w:jc w:val="both"/>
        <w:rPr>
          <w:rStyle w:val="CommentReference"/>
          <w:rFonts w:cs="Arial"/>
          <w:sz w:val="20"/>
          <w:szCs w:val="20"/>
        </w:rPr>
      </w:pPr>
      <w:r w:rsidRPr="00C82C2D">
        <w:rPr>
          <w:rStyle w:val="CommentReference"/>
          <w:rFonts w:cs="Arial"/>
          <w:sz w:val="20"/>
          <w:szCs w:val="20"/>
          <w:lang w:val="en-IE"/>
        </w:rPr>
        <w:t>We also support the AGC response to this question</w:t>
      </w:r>
      <w:r w:rsidRPr="00CD1F3D">
        <w:rPr>
          <w:rStyle w:val="CommentReference"/>
          <w:rFonts w:cs="Arial"/>
          <w:sz w:val="20"/>
          <w:szCs w:val="20"/>
        </w:rPr>
        <w:t>.</w:t>
      </w:r>
    </w:p>
    <w:permEnd w:id="781078137"/>
    <w:p w:rsidR="00F579DC" w:rsidRDefault="00F579DC" w:rsidP="00F579DC">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3</w:t>
      </w:r>
      <w:r w:rsidRPr="00B42A10">
        <w:rPr>
          <w:lang w:val="fr-FR"/>
        </w:rPr>
        <w:t>&gt;</w:t>
      </w:r>
    </w:p>
    <w:p w:rsidR="00F579DC" w:rsidRPr="001A170B" w:rsidRDefault="00F579DC" w:rsidP="00F579DC">
      <w:pPr>
        <w:spacing w:after="250" w:line="276" w:lineRule="auto"/>
        <w:jc w:val="both"/>
        <w:rPr>
          <w:b/>
          <w:bCs/>
          <w:sz w:val="22"/>
          <w:szCs w:val="20"/>
          <w:lang w:eastAsia="en-US"/>
        </w:rPr>
      </w:pPr>
    </w:p>
    <w:p w:rsidR="001A170B" w:rsidRP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Should you consider that asset segregation pursuant to options 1 and 2 of the CP does not provide any additional protection to the existing arrangements you described in your response to Q1 in case of insolvency, and that these arrangements provide adequate investor protection, please explain which aspects of the regime contribute to meeting the policy objective through measures including:</w:t>
      </w:r>
    </w:p>
    <w:p w:rsidR="001A170B" w:rsidRPr="001A170B" w:rsidRDefault="001A170B" w:rsidP="001A170B">
      <w:pPr>
        <w:numPr>
          <w:ilvl w:val="0"/>
          <w:numId w:val="46"/>
        </w:numPr>
        <w:spacing w:after="250" w:line="276" w:lineRule="auto"/>
        <w:jc w:val="both"/>
        <w:rPr>
          <w:rFonts w:cs="Arial"/>
          <w:b/>
          <w:sz w:val="22"/>
          <w:szCs w:val="20"/>
          <w:lang w:eastAsia="en-US"/>
        </w:rPr>
      </w:pPr>
      <w:r w:rsidRPr="001A170B">
        <w:rPr>
          <w:rFonts w:cs="Arial"/>
          <w:b/>
          <w:sz w:val="22"/>
          <w:szCs w:val="20"/>
          <w:lang w:eastAsia="en-US"/>
        </w:rPr>
        <w:t>effective reconciliation,</w:t>
      </w:r>
    </w:p>
    <w:p w:rsidR="001A170B" w:rsidRPr="001A170B" w:rsidRDefault="001A170B" w:rsidP="001A170B">
      <w:pPr>
        <w:numPr>
          <w:ilvl w:val="0"/>
          <w:numId w:val="46"/>
        </w:numPr>
        <w:spacing w:after="250" w:line="276" w:lineRule="auto"/>
        <w:jc w:val="both"/>
        <w:rPr>
          <w:rFonts w:cs="Arial"/>
          <w:b/>
          <w:sz w:val="22"/>
          <w:szCs w:val="20"/>
          <w:lang w:eastAsia="en-US"/>
        </w:rPr>
      </w:pPr>
      <w:r w:rsidRPr="001A170B">
        <w:rPr>
          <w:rFonts w:cs="Arial"/>
          <w:b/>
          <w:sz w:val="22"/>
          <w:szCs w:val="20"/>
          <w:lang w:eastAsia="en-US"/>
        </w:rPr>
        <w:t>traceability (e.g. books and records), or</w:t>
      </w:r>
    </w:p>
    <w:p w:rsidR="001A170B" w:rsidRPr="001A170B" w:rsidRDefault="001A170B" w:rsidP="001A170B">
      <w:pPr>
        <w:numPr>
          <w:ilvl w:val="0"/>
          <w:numId w:val="46"/>
        </w:numPr>
        <w:spacing w:after="250" w:line="276" w:lineRule="auto"/>
        <w:jc w:val="both"/>
        <w:rPr>
          <w:rFonts w:cs="Arial"/>
          <w:b/>
          <w:sz w:val="22"/>
          <w:szCs w:val="20"/>
          <w:lang w:eastAsia="en-US"/>
        </w:rPr>
      </w:pPr>
      <w:r w:rsidRPr="001A170B">
        <w:rPr>
          <w:rFonts w:cs="Arial"/>
          <w:b/>
          <w:sz w:val="22"/>
          <w:szCs w:val="20"/>
          <w:lang w:eastAsia="en-US"/>
        </w:rPr>
        <w:t>any other means (e.g. legal mechanisms).</w:t>
      </w:r>
    </w:p>
    <w:p w:rsidR="001A170B" w:rsidRDefault="001A170B" w:rsidP="001A170B">
      <w:pPr>
        <w:spacing w:after="250" w:line="276" w:lineRule="auto"/>
        <w:ind w:left="360"/>
        <w:jc w:val="both"/>
        <w:rPr>
          <w:b/>
          <w:bCs/>
          <w:sz w:val="22"/>
          <w:szCs w:val="20"/>
          <w:lang w:eastAsia="en-US"/>
        </w:rPr>
      </w:pPr>
      <w:r w:rsidRPr="001A170B">
        <w:rPr>
          <w:b/>
          <w:bCs/>
          <w:sz w:val="22"/>
          <w:szCs w:val="20"/>
          <w:lang w:eastAsia="en-US"/>
        </w:rPr>
        <w:t xml:space="preserve">Please justify your response and provide details on what any of the means under i) to iii) consist of. </w:t>
      </w:r>
    </w:p>
    <w:p w:rsidR="00F579DC" w:rsidRDefault="00F579DC" w:rsidP="00F579DC">
      <w:pPr>
        <w:spacing w:after="250" w:line="276" w:lineRule="auto"/>
        <w:jc w:val="both"/>
        <w:rPr>
          <w:b/>
          <w:bCs/>
          <w:sz w:val="22"/>
          <w:szCs w:val="20"/>
          <w:lang w:eastAsia="en-US"/>
        </w:rPr>
      </w:pPr>
    </w:p>
    <w:p w:rsidR="00F579DC" w:rsidRPr="00176639" w:rsidRDefault="00F579DC" w:rsidP="00F579DC">
      <w:r w:rsidRPr="00176639">
        <w:t>&lt;ESMA_</w:t>
      </w:r>
      <w:r>
        <w:t>QUESTION</w:t>
      </w:r>
      <w:r w:rsidRPr="00176639">
        <w:t>_</w:t>
      </w:r>
      <w:r>
        <w:t>CE_</w:t>
      </w:r>
      <w:r w:rsidRPr="000018FA">
        <w:t>ASCS</w:t>
      </w:r>
      <w:r w:rsidRPr="00176639">
        <w:t>_</w:t>
      </w:r>
      <w:r>
        <w:t>4</w:t>
      </w:r>
      <w:r w:rsidRPr="00176639">
        <w:t>&gt;</w:t>
      </w:r>
    </w:p>
    <w:p w:rsidR="000B1EF7" w:rsidRPr="00CD1F3D" w:rsidRDefault="000B1EF7" w:rsidP="000B1EF7">
      <w:pPr>
        <w:pStyle w:val="Default"/>
        <w:spacing w:after="305"/>
        <w:jc w:val="both"/>
        <w:rPr>
          <w:rFonts w:ascii="Arial" w:hAnsi="Arial" w:cs="Arial"/>
          <w:color w:val="auto"/>
          <w:sz w:val="20"/>
          <w:szCs w:val="20"/>
          <w:lang w:val="en-GB"/>
        </w:rPr>
      </w:pPr>
      <w:permStart w:id="101664525" w:edGrp="everyone"/>
      <w:r w:rsidRPr="00CD1F3D">
        <w:rPr>
          <w:rFonts w:ascii="Arial" w:hAnsi="Arial" w:cs="Arial"/>
          <w:bCs/>
          <w:color w:val="auto"/>
          <w:sz w:val="20"/>
          <w:szCs w:val="20"/>
          <w:lang w:val="en-GB"/>
        </w:rPr>
        <w:t>To answer this question it may be helpful to examine the start of the ownership chain. It is unavoidable that the right of an AIF to a security will not be reflected in an omnibus account at the CSD. It follows that the AIF’s right to those securities is dependent upon the controls and processes of the sub-custodian to reconcile its records with those of the CSD.  The use of separate accounts by the sub-custodian clearly does not strengthen that reconciliation process as there would never be a one to one relationship between the positions per the CSD and the account structure used by the sub-custodian.  Once we accept that the very first link in the ownership chain starting at the CSD operates satisfactorily without separate accounts at the CSD, it follows that the same principles can be applied equally effectively throughout the custody chain.</w:t>
      </w:r>
    </w:p>
    <w:p w:rsidR="000B1EF7" w:rsidRPr="00CD1F3D" w:rsidRDefault="000B1EF7" w:rsidP="000B1EF7">
      <w:pPr>
        <w:pStyle w:val="Default"/>
        <w:numPr>
          <w:ilvl w:val="0"/>
          <w:numId w:val="59"/>
        </w:numPr>
        <w:spacing w:after="305"/>
        <w:jc w:val="both"/>
        <w:rPr>
          <w:rFonts w:ascii="Arial" w:hAnsi="Arial" w:cs="Arial"/>
          <w:bCs/>
          <w:i/>
          <w:color w:val="auto"/>
          <w:sz w:val="20"/>
          <w:szCs w:val="20"/>
          <w:lang w:val="en-GB"/>
        </w:rPr>
      </w:pPr>
      <w:r w:rsidRPr="00CD1F3D">
        <w:rPr>
          <w:rFonts w:ascii="Arial" w:hAnsi="Arial" w:cs="Arial"/>
          <w:bCs/>
          <w:i/>
          <w:color w:val="auto"/>
          <w:sz w:val="20"/>
          <w:szCs w:val="20"/>
          <w:lang w:val="en-GB"/>
        </w:rPr>
        <w:t xml:space="preserve">effective reconciliation, </w:t>
      </w:r>
    </w:p>
    <w:p w:rsidR="000B1EF7" w:rsidRPr="00CD1F3D" w:rsidRDefault="000B1EF7" w:rsidP="000B1EF7">
      <w:pPr>
        <w:pStyle w:val="Default"/>
        <w:spacing w:after="305"/>
        <w:jc w:val="both"/>
        <w:rPr>
          <w:rFonts w:ascii="Arial" w:hAnsi="Arial" w:cs="Arial"/>
          <w:color w:val="auto"/>
          <w:sz w:val="20"/>
          <w:szCs w:val="20"/>
          <w:lang w:val="en-GB"/>
        </w:rPr>
      </w:pPr>
      <w:r w:rsidRPr="00CD1F3D">
        <w:rPr>
          <w:rFonts w:ascii="Arial" w:hAnsi="Arial" w:cs="Arial"/>
          <w:color w:val="auto"/>
          <w:sz w:val="20"/>
          <w:szCs w:val="20"/>
          <w:lang w:val="en-GB"/>
        </w:rPr>
        <w:t>Depositaries and sub-custodians have developed highly effective automated reconciliations which operate equally effectively with either omnibus or separate accounts. Please see response to question 1 b (ii).  Accordingly, where possible those reconciliations are performed via SWIFT messaging.</w:t>
      </w:r>
    </w:p>
    <w:p w:rsidR="000B1EF7" w:rsidRPr="00CD1F3D" w:rsidRDefault="000B1EF7" w:rsidP="000B1EF7">
      <w:pPr>
        <w:pStyle w:val="Default"/>
        <w:numPr>
          <w:ilvl w:val="0"/>
          <w:numId w:val="59"/>
        </w:numPr>
        <w:spacing w:after="305"/>
        <w:jc w:val="both"/>
        <w:rPr>
          <w:rFonts w:ascii="Arial" w:hAnsi="Arial" w:cs="Arial"/>
          <w:bCs/>
          <w:i/>
          <w:color w:val="auto"/>
          <w:sz w:val="20"/>
          <w:szCs w:val="20"/>
          <w:lang w:val="en-GB"/>
        </w:rPr>
      </w:pPr>
      <w:r w:rsidRPr="00CD1F3D">
        <w:rPr>
          <w:rFonts w:ascii="Arial" w:hAnsi="Arial" w:cs="Arial"/>
          <w:bCs/>
          <w:i/>
          <w:color w:val="auto"/>
          <w:sz w:val="20"/>
          <w:szCs w:val="20"/>
          <w:lang w:val="en-GB"/>
        </w:rPr>
        <w:t xml:space="preserve">traceability (e.g. books and records), or </w:t>
      </w:r>
    </w:p>
    <w:p w:rsidR="000B1EF7" w:rsidRPr="00CD1F3D" w:rsidRDefault="000B1EF7" w:rsidP="000B1EF7">
      <w:pPr>
        <w:pStyle w:val="Default"/>
        <w:spacing w:after="305"/>
        <w:jc w:val="both"/>
        <w:rPr>
          <w:rFonts w:ascii="Arial" w:hAnsi="Arial" w:cs="Arial"/>
          <w:color w:val="auto"/>
          <w:sz w:val="20"/>
          <w:szCs w:val="20"/>
          <w:lang w:val="en-GB"/>
        </w:rPr>
      </w:pPr>
      <w:r w:rsidRPr="00CD1F3D">
        <w:rPr>
          <w:rFonts w:ascii="Arial" w:hAnsi="Arial" w:cs="Arial"/>
          <w:bCs/>
          <w:color w:val="auto"/>
          <w:sz w:val="20"/>
          <w:szCs w:val="20"/>
          <w:lang w:val="en-GB"/>
        </w:rPr>
        <w:t>It is sufficient that separate accounts per AIF are maintained by the depositary.  Those balances can be linked, through a reconciliation process, to the balances held by the sub-custodians with the CSDs.</w:t>
      </w:r>
    </w:p>
    <w:p w:rsidR="000B1EF7" w:rsidRPr="00CD1F3D" w:rsidRDefault="000B1EF7" w:rsidP="000B1EF7">
      <w:pPr>
        <w:pStyle w:val="Default"/>
        <w:numPr>
          <w:ilvl w:val="0"/>
          <w:numId w:val="59"/>
        </w:numPr>
        <w:spacing w:after="305"/>
        <w:jc w:val="both"/>
        <w:rPr>
          <w:rFonts w:ascii="Arial" w:hAnsi="Arial" w:cs="Arial"/>
          <w:color w:val="auto"/>
          <w:sz w:val="20"/>
          <w:szCs w:val="20"/>
          <w:lang w:val="en-GB"/>
        </w:rPr>
      </w:pPr>
      <w:r w:rsidRPr="00CD1F3D">
        <w:rPr>
          <w:rFonts w:ascii="Arial" w:hAnsi="Arial" w:cs="Arial"/>
          <w:bCs/>
          <w:i/>
          <w:color w:val="auto"/>
          <w:sz w:val="20"/>
          <w:szCs w:val="20"/>
          <w:lang w:val="en-GB"/>
        </w:rPr>
        <w:t xml:space="preserve">any other means (e.g. legal mechanisms). </w:t>
      </w:r>
    </w:p>
    <w:p w:rsidR="000B1EF7" w:rsidRPr="00CD1F3D" w:rsidRDefault="000B1EF7" w:rsidP="000B1EF7">
      <w:pPr>
        <w:jc w:val="both"/>
        <w:rPr>
          <w:rFonts w:cs="Arial"/>
          <w:szCs w:val="20"/>
        </w:rPr>
      </w:pPr>
      <w:r w:rsidRPr="00CD1F3D">
        <w:rPr>
          <w:rFonts w:cs="Arial"/>
          <w:szCs w:val="20"/>
        </w:rPr>
        <w:t xml:space="preserve">The account structure used does not change the legal relationship of any of the parties in the custody chain, nor does it give AIF any additional legal rights. </w:t>
      </w:r>
    </w:p>
    <w:p w:rsidR="000B1EF7" w:rsidRPr="00CD1F3D" w:rsidRDefault="000B1EF7" w:rsidP="000B1EF7">
      <w:pPr>
        <w:jc w:val="both"/>
        <w:rPr>
          <w:rFonts w:cs="Arial"/>
          <w:szCs w:val="20"/>
        </w:rPr>
      </w:pPr>
    </w:p>
    <w:p w:rsidR="000B1EF7" w:rsidRPr="00CD1F3D" w:rsidRDefault="000B1EF7" w:rsidP="000B1EF7">
      <w:pPr>
        <w:jc w:val="both"/>
        <w:rPr>
          <w:rFonts w:cs="Arial"/>
          <w:szCs w:val="20"/>
        </w:rPr>
      </w:pPr>
      <w:r w:rsidRPr="00CD1F3D">
        <w:rPr>
          <w:rStyle w:val="CommentReference"/>
          <w:rFonts w:cs="Arial"/>
          <w:sz w:val="20"/>
          <w:szCs w:val="20"/>
        </w:rPr>
        <w:t xml:space="preserve">We support the AGC response to this question. </w:t>
      </w:r>
      <w:r w:rsidRPr="00CD1F3D">
        <w:rPr>
          <w:rFonts w:cs="Arial"/>
          <w:szCs w:val="20"/>
        </w:rPr>
        <w:t xml:space="preserve">The model typically operated by appointed global custodians, is one where they open segregated accounts in their books in the name of each client of the depositary.  In addition, they open an omnibus account at each of their local sub-custodians worldwide classified as a client omnibus account.  They aggregate all client assets in those client omnibus accounts and instruct movements to and from the client’s segregated accounts in their books and corresponding movements at </w:t>
      </w:r>
      <w:r w:rsidRPr="00CD1F3D">
        <w:rPr>
          <w:rFonts w:cs="Arial"/>
          <w:szCs w:val="20"/>
        </w:rPr>
        <w:lastRenderedPageBreak/>
        <w:t xml:space="preserve">the sub-custodian from the client omnibus account, according to authorised instructions from the investment manager. </w:t>
      </w:r>
    </w:p>
    <w:p w:rsidR="000B1EF7" w:rsidRPr="00CD1F3D" w:rsidRDefault="000B1EF7" w:rsidP="000B1EF7">
      <w:pPr>
        <w:jc w:val="both"/>
        <w:rPr>
          <w:rFonts w:cs="Arial"/>
          <w:szCs w:val="20"/>
        </w:rPr>
      </w:pPr>
      <w:r w:rsidRPr="00CD1F3D">
        <w:rPr>
          <w:rFonts w:cs="Arial"/>
          <w:szCs w:val="20"/>
        </w:rPr>
        <w:t xml:space="preserve">  </w:t>
      </w:r>
    </w:p>
    <w:p w:rsidR="000B1EF7" w:rsidRPr="006734FA" w:rsidRDefault="000B1EF7" w:rsidP="000B1EF7">
      <w:pPr>
        <w:jc w:val="both"/>
        <w:rPr>
          <w:rFonts w:asciiTheme="minorHAnsi" w:hAnsiTheme="minorHAnsi" w:cstheme="minorHAnsi"/>
          <w:szCs w:val="20"/>
        </w:rPr>
      </w:pPr>
      <w:r w:rsidRPr="00CD1F3D">
        <w:rPr>
          <w:rFonts w:cs="Arial"/>
          <w:szCs w:val="20"/>
        </w:rPr>
        <w:t>Each day, they reconcile the sub-custodian omnibus client accounts with their own records of aggregated client holdings and resolve discrepancies, normally within 24 hours. Such daily reconciliations provide the traceability and assurance that the client’s assets are accurately recorded throughout the custody chain.</w:t>
      </w:r>
    </w:p>
    <w:permEnd w:id="101664525"/>
    <w:p w:rsidR="00F579DC" w:rsidRDefault="00F579DC" w:rsidP="00F579DC">
      <w:pPr>
        <w:spacing w:after="250" w:line="276" w:lineRule="auto"/>
        <w:jc w:val="both"/>
        <w:rPr>
          <w:b/>
          <w:bCs/>
          <w:sz w:val="22"/>
          <w:szCs w:val="20"/>
          <w:lang w:eastAsia="en-US"/>
        </w:rPr>
      </w:pPr>
      <w:r w:rsidRPr="00B42A10">
        <w:rPr>
          <w:lang w:val="fr-FR"/>
        </w:rPr>
        <w:t>&lt;ESMA_</w:t>
      </w:r>
      <w:r w:rsidRPr="001A170B">
        <w:rPr>
          <w:lang w:val="fr-FR"/>
        </w:rPr>
        <w:t>QUESTION</w:t>
      </w:r>
      <w:r w:rsidRPr="00B42A10">
        <w:rPr>
          <w:lang w:val="fr-FR"/>
        </w:rPr>
        <w:t>_CE_ASCS_</w:t>
      </w:r>
      <w:r>
        <w:rPr>
          <w:lang w:val="fr-FR"/>
        </w:rPr>
        <w:t>4</w:t>
      </w:r>
      <w:r w:rsidRPr="00B42A10">
        <w:rPr>
          <w:lang w:val="fr-FR"/>
        </w:rPr>
        <w:t>&gt;</w:t>
      </w:r>
    </w:p>
    <w:p w:rsidR="00F579DC" w:rsidRPr="001A170B" w:rsidRDefault="00F579DC" w:rsidP="00F579DC">
      <w:pPr>
        <w:spacing w:after="250" w:line="276" w:lineRule="auto"/>
        <w:jc w:val="both"/>
        <w:rPr>
          <w:b/>
          <w:bCs/>
          <w:sz w:val="22"/>
          <w:szCs w:val="20"/>
          <w:lang w:eastAsia="en-US"/>
        </w:rPr>
      </w:pPr>
    </w:p>
    <w:p w:rsidR="001A170B" w:rsidRPr="001A170B" w:rsidRDefault="001A170B" w:rsidP="001A170B">
      <w:pPr>
        <w:numPr>
          <w:ilvl w:val="0"/>
          <w:numId w:val="38"/>
        </w:numPr>
        <w:spacing w:after="250" w:line="276" w:lineRule="auto"/>
        <w:jc w:val="both"/>
        <w:rPr>
          <w:rFonts w:cs="Arial"/>
          <w:b/>
          <w:sz w:val="22"/>
          <w:szCs w:val="20"/>
          <w:lang w:eastAsia="en-US"/>
        </w:rPr>
      </w:pPr>
      <w:r w:rsidRPr="001A170B">
        <w:rPr>
          <w:rFonts w:cs="Arial"/>
          <w:b/>
          <w:sz w:val="22"/>
          <w:szCs w:val="20"/>
          <w:lang w:eastAsia="en-US"/>
        </w:rPr>
        <w:t>In the chart below (option 1 of the CP), AIF 1 would only have recourse against Depositary 1</w:t>
      </w:r>
      <w:r w:rsidRPr="001A170B">
        <w:rPr>
          <w:b/>
          <w:bCs/>
          <w:sz w:val="22"/>
          <w:szCs w:val="20"/>
          <w:lang w:eastAsia="en-US"/>
        </w:rPr>
        <w:t xml:space="preserve"> </w:t>
      </w:r>
      <w:r w:rsidRPr="001A170B">
        <w:rPr>
          <w:rFonts w:cs="Arial"/>
          <w:b/>
          <w:bCs/>
          <w:sz w:val="22"/>
          <w:szCs w:val="20"/>
          <w:lang w:eastAsia="en-US"/>
        </w:rPr>
        <w:t>under the PRIMA concept</w:t>
      </w:r>
      <w:r w:rsidRPr="001A170B">
        <w:rPr>
          <w:rFonts w:cs="Arial"/>
          <w:b/>
          <w:sz w:val="22"/>
          <w:szCs w:val="20"/>
          <w:lang w:eastAsia="en-US"/>
        </w:rPr>
        <w:t xml:space="preserve">. </w:t>
      </w:r>
    </w:p>
    <w:p w:rsidR="001A170B" w:rsidRPr="001A170B" w:rsidRDefault="001A170B" w:rsidP="001A170B">
      <w:pPr>
        <w:numPr>
          <w:ilvl w:val="0"/>
          <w:numId w:val="47"/>
        </w:numPr>
        <w:spacing w:after="250" w:line="276" w:lineRule="auto"/>
        <w:jc w:val="both"/>
        <w:rPr>
          <w:rFonts w:cs="Arial"/>
          <w:b/>
          <w:sz w:val="22"/>
          <w:szCs w:val="20"/>
          <w:lang w:eastAsia="en-US"/>
        </w:rPr>
      </w:pPr>
      <w:r w:rsidRPr="001A170B">
        <w:rPr>
          <w:rFonts w:cs="Arial"/>
          <w:b/>
          <w:sz w:val="22"/>
          <w:szCs w:val="20"/>
          <w:lang w:eastAsia="en-US"/>
        </w:rPr>
        <w:t>In the event of, for instance, a default of Depositary 2, would separate accounts at the level of the Delegate make it easier for Depositary 1 to enforce the rights in respect of the assets held in the account on its behalf against the Delegate?</w:t>
      </w:r>
    </w:p>
    <w:p w:rsidR="001A170B" w:rsidRPr="001A170B" w:rsidRDefault="001A170B" w:rsidP="001A170B">
      <w:pPr>
        <w:spacing w:after="250" w:line="276" w:lineRule="auto"/>
        <w:ind w:left="2160" w:hanging="360"/>
        <w:jc w:val="both"/>
        <w:rPr>
          <w:b/>
          <w:sz w:val="22"/>
          <w:szCs w:val="20"/>
          <w:lang w:eastAsia="en-US"/>
        </w:rPr>
      </w:pPr>
      <w:r w:rsidRPr="001A170B">
        <w:rPr>
          <w:b/>
          <w:sz w:val="22"/>
          <w:szCs w:val="20"/>
          <w:lang w:eastAsia="en-US"/>
        </w:rPr>
        <w:object w:dxaOrig="15375" w:dyaOrig="9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pt;height:238.5pt" o:ole="">
            <v:imagedata r:id="rId20" o:title=""/>
          </v:shape>
          <o:OLEObject Type="Embed" ProgID="Visio.Drawing.11" ShapeID="_x0000_i1025" DrawAspect="Content" ObjectID="_1536160320" r:id="rId21"/>
        </w:object>
      </w:r>
    </w:p>
    <w:p w:rsidR="001A170B" w:rsidRPr="00F579DC" w:rsidRDefault="001A170B" w:rsidP="001A170B">
      <w:pPr>
        <w:numPr>
          <w:ilvl w:val="0"/>
          <w:numId w:val="47"/>
        </w:numPr>
        <w:spacing w:after="250" w:line="276" w:lineRule="auto"/>
        <w:jc w:val="both"/>
        <w:rPr>
          <w:sz w:val="22"/>
          <w:szCs w:val="20"/>
          <w:lang w:eastAsia="en-US"/>
        </w:rPr>
      </w:pPr>
      <w:r w:rsidRPr="001A170B">
        <w:rPr>
          <w:b/>
          <w:bCs/>
          <w:sz w:val="22"/>
          <w:szCs w:val="20"/>
          <w:lang w:eastAsia="en-US"/>
        </w:rPr>
        <w:t xml:space="preserve">In the event of the default of the Delegate, would separate accounts at the level of the Delegate make it easier for Depositary 1 and Depositary 2 to enforce their rights in respect of the assets held in the account on their behalf against the Delegate or its liquidators? </w:t>
      </w:r>
    </w:p>
    <w:p w:rsidR="00F579DC" w:rsidRDefault="00F579DC" w:rsidP="00F579DC">
      <w:pPr>
        <w:spacing w:after="250" w:line="276" w:lineRule="auto"/>
        <w:jc w:val="both"/>
        <w:rPr>
          <w:b/>
          <w:bCs/>
          <w:sz w:val="22"/>
          <w:szCs w:val="20"/>
          <w:lang w:eastAsia="en-US"/>
        </w:rPr>
      </w:pPr>
    </w:p>
    <w:p w:rsidR="00F579DC" w:rsidRPr="00176639" w:rsidRDefault="00F579DC" w:rsidP="00F579DC">
      <w:r w:rsidRPr="00176639">
        <w:t>&lt;ESMA_</w:t>
      </w:r>
      <w:r>
        <w:t>QUESTION</w:t>
      </w:r>
      <w:r w:rsidRPr="00176639">
        <w:t>_</w:t>
      </w:r>
      <w:r>
        <w:t>CE_</w:t>
      </w:r>
      <w:r w:rsidRPr="000018FA">
        <w:t>ASCS</w:t>
      </w:r>
      <w:r w:rsidRPr="00176639">
        <w:t>_</w:t>
      </w:r>
      <w:r>
        <w:t>5</w:t>
      </w:r>
      <w:r w:rsidRPr="00176639">
        <w:t>&gt;</w:t>
      </w:r>
    </w:p>
    <w:p w:rsidR="000B1EF7" w:rsidRPr="00CD1F3D" w:rsidRDefault="000B1EF7" w:rsidP="00F579DC">
      <w:pPr>
        <w:spacing w:after="250" w:line="276" w:lineRule="auto"/>
        <w:jc w:val="both"/>
        <w:rPr>
          <w:rFonts w:cs="Arial"/>
        </w:rPr>
      </w:pPr>
      <w:permStart w:id="1369117004" w:edGrp="everyone"/>
      <w:r w:rsidRPr="00CD1F3D">
        <w:rPr>
          <w:rFonts w:cs="Arial"/>
        </w:rPr>
        <w:t>A default of Depositary 2 would not have any impact on AIFs 1 to 3 or Depositary 1.</w:t>
      </w:r>
    </w:p>
    <w:p w:rsidR="00C277C6" w:rsidRPr="00CD1F3D" w:rsidRDefault="000B1EF7" w:rsidP="00F579DC">
      <w:pPr>
        <w:spacing w:after="250" w:line="276" w:lineRule="auto"/>
        <w:jc w:val="both"/>
        <w:rPr>
          <w:rFonts w:cs="Arial"/>
        </w:rPr>
      </w:pPr>
      <w:r w:rsidRPr="00CD1F3D">
        <w:rPr>
          <w:rFonts w:cs="Arial"/>
        </w:rPr>
        <w:t xml:space="preserve">Depositary 1 and 2’s rights are dependent upon the terms of their sub-custodian agreements with the Delegate and the local insolvency laws.  Those rights do not change whether separate accounts or omnibus </w:t>
      </w:r>
      <w:r w:rsidRPr="00CD1F3D">
        <w:rPr>
          <w:rFonts w:cs="Arial"/>
        </w:rPr>
        <w:lastRenderedPageBreak/>
        <w:t xml:space="preserve">accounts are used.  In terms of speed of return of assets please note the letter on the Lehman insolvency from PwC as appended. </w:t>
      </w:r>
    </w:p>
    <w:permEnd w:id="1369117004"/>
    <w:p w:rsidR="00F579DC" w:rsidRDefault="00F579DC" w:rsidP="00F579DC">
      <w:pPr>
        <w:spacing w:after="250" w:line="276" w:lineRule="auto"/>
        <w:jc w:val="both"/>
        <w:rPr>
          <w:b/>
          <w:bCs/>
          <w:sz w:val="22"/>
          <w:szCs w:val="20"/>
          <w:lang w:eastAsia="en-US"/>
        </w:rPr>
      </w:pPr>
      <w:r w:rsidRPr="00B42A10">
        <w:rPr>
          <w:lang w:val="fr-FR"/>
        </w:rPr>
        <w:t>&lt;ESMA_</w:t>
      </w:r>
      <w:r w:rsidRPr="001A170B">
        <w:rPr>
          <w:lang w:val="fr-FR"/>
        </w:rPr>
        <w:t>QUESTION</w:t>
      </w:r>
      <w:r w:rsidRPr="00B42A10">
        <w:rPr>
          <w:lang w:val="fr-FR"/>
        </w:rPr>
        <w:t>_CE_ASCS_</w:t>
      </w:r>
      <w:r>
        <w:rPr>
          <w:lang w:val="fr-FR"/>
        </w:rPr>
        <w:t>5</w:t>
      </w:r>
      <w:r w:rsidRPr="00B42A10">
        <w:rPr>
          <w:lang w:val="fr-FR"/>
        </w:rPr>
        <w:t>&gt;</w:t>
      </w:r>
    </w:p>
    <w:p w:rsidR="00F579DC" w:rsidRPr="001A170B" w:rsidRDefault="00F579DC" w:rsidP="00F579DC">
      <w:pPr>
        <w:spacing w:after="250" w:line="276" w:lineRule="auto"/>
        <w:jc w:val="both"/>
        <w:rPr>
          <w:sz w:val="22"/>
          <w:szCs w:val="20"/>
          <w:lang w:eastAsia="en-US"/>
        </w:rPr>
      </w:pPr>
    </w:p>
    <w:p w:rsidR="001A170B" w:rsidRP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Many respondents to the CP argued that, in an insolvency scenario, imposing a model where investors have individual accounts throughout the custody chain would not necessarily provide any particular benefit over the use of IT book segregation in an omnibus account (i.e. books and records instead of separate accounts). Please explain how the level of protection indicated in the policy objective at the start of this paper can be achieved through the use of omnibus accounts. Please also:</w:t>
      </w:r>
    </w:p>
    <w:p w:rsidR="001A170B" w:rsidRPr="001A170B" w:rsidRDefault="001A170B" w:rsidP="001A170B">
      <w:pPr>
        <w:numPr>
          <w:ilvl w:val="0"/>
          <w:numId w:val="48"/>
        </w:numPr>
        <w:spacing w:after="250" w:line="276" w:lineRule="auto"/>
        <w:jc w:val="both"/>
        <w:rPr>
          <w:rFonts w:cs="Arial"/>
          <w:b/>
          <w:sz w:val="22"/>
          <w:szCs w:val="20"/>
          <w:lang w:eastAsia="en-US"/>
        </w:rPr>
      </w:pPr>
      <w:r w:rsidRPr="001A170B">
        <w:rPr>
          <w:rFonts w:cs="Arial"/>
          <w:b/>
          <w:sz w:val="22"/>
          <w:szCs w:val="20"/>
          <w:lang w:eastAsia="en-US"/>
        </w:rPr>
        <w:t>describe how segregation in books and records would ensure the aforementioned investor protection;</w:t>
      </w:r>
    </w:p>
    <w:p w:rsidR="001A170B" w:rsidRPr="001A170B" w:rsidRDefault="001A170B" w:rsidP="001A170B">
      <w:pPr>
        <w:numPr>
          <w:ilvl w:val="0"/>
          <w:numId w:val="48"/>
        </w:numPr>
        <w:spacing w:after="250" w:line="276" w:lineRule="auto"/>
        <w:jc w:val="both"/>
        <w:rPr>
          <w:b/>
          <w:sz w:val="22"/>
          <w:szCs w:val="20"/>
          <w:lang w:eastAsia="en-US"/>
        </w:rPr>
      </w:pPr>
      <w:r w:rsidRPr="001A170B">
        <w:rPr>
          <w:b/>
          <w:sz w:val="22"/>
          <w:szCs w:val="20"/>
          <w:lang w:eastAsia="en-US"/>
        </w:rPr>
        <w:t>provide an example of how such books and records are used in insolvency proceedings to trace and return client securities when omnibus accounts are used; and</w:t>
      </w:r>
    </w:p>
    <w:p w:rsidR="001A170B" w:rsidRPr="00F579DC" w:rsidRDefault="001A170B" w:rsidP="001A170B">
      <w:pPr>
        <w:numPr>
          <w:ilvl w:val="0"/>
          <w:numId w:val="48"/>
        </w:numPr>
        <w:spacing w:after="250" w:line="276" w:lineRule="auto"/>
        <w:jc w:val="both"/>
        <w:rPr>
          <w:rFonts w:cs="Arial"/>
          <w:sz w:val="22"/>
          <w:szCs w:val="20"/>
          <w:lang w:eastAsia="en-US"/>
        </w:rPr>
      </w:pPr>
      <w:r w:rsidRPr="001A170B">
        <w:rPr>
          <w:b/>
          <w:sz w:val="22"/>
          <w:szCs w:val="20"/>
          <w:lang w:eastAsia="en-US"/>
        </w:rPr>
        <w:t>explain how the above-mentioned segregation in books and records would address any of the risks</w:t>
      </w:r>
      <w:r w:rsidRPr="001A170B">
        <w:rPr>
          <w:b/>
          <w:bCs/>
          <w:sz w:val="22"/>
          <w:szCs w:val="20"/>
          <w:lang w:eastAsia="en-US"/>
        </w:rPr>
        <w:t xml:space="preserve"> of ‘omnibus accounts’</w:t>
      </w:r>
      <w:r w:rsidRPr="001A170B">
        <w:rPr>
          <w:b/>
          <w:sz w:val="22"/>
          <w:szCs w:val="20"/>
          <w:lang w:eastAsia="en-US"/>
        </w:rPr>
        <w:t xml:space="preserve"> mentioned in recent IOSCO work</w:t>
      </w:r>
      <w:r w:rsidRPr="001A170B">
        <w:rPr>
          <w:b/>
          <w:bCs/>
          <w:sz w:val="16"/>
          <w:szCs w:val="20"/>
          <w:vertAlign w:val="superscript"/>
          <w:lang w:eastAsia="en-US"/>
        </w:rPr>
        <w:footnoteReference w:id="8"/>
      </w:r>
      <w:r w:rsidRPr="001A170B">
        <w:rPr>
          <w:b/>
          <w:sz w:val="22"/>
          <w:szCs w:val="20"/>
          <w:lang w:eastAsia="en-US"/>
        </w:rPr>
        <w:t>.</w:t>
      </w:r>
    </w:p>
    <w:p w:rsidR="00F579DC" w:rsidRDefault="00F579DC" w:rsidP="00F579DC">
      <w:pPr>
        <w:spacing w:after="250" w:line="276" w:lineRule="auto"/>
        <w:jc w:val="both"/>
        <w:rPr>
          <w:b/>
          <w:sz w:val="22"/>
          <w:szCs w:val="20"/>
          <w:lang w:eastAsia="en-US"/>
        </w:rPr>
      </w:pPr>
    </w:p>
    <w:p w:rsidR="00F579DC" w:rsidRPr="00176639" w:rsidRDefault="00F579DC" w:rsidP="00F579DC">
      <w:r w:rsidRPr="00176639">
        <w:t>&lt;ESMA_</w:t>
      </w:r>
      <w:r>
        <w:t>QUESTION</w:t>
      </w:r>
      <w:r w:rsidRPr="00176639">
        <w:t>_</w:t>
      </w:r>
      <w:r>
        <w:t>CE_</w:t>
      </w:r>
      <w:r w:rsidRPr="000018FA">
        <w:t>ASCS</w:t>
      </w:r>
      <w:r w:rsidRPr="00176639">
        <w:t>_</w:t>
      </w:r>
      <w:r>
        <w:t>6</w:t>
      </w:r>
      <w:r w:rsidRPr="00176639">
        <w:t>&gt;</w:t>
      </w:r>
    </w:p>
    <w:p w:rsidR="000B1EF7" w:rsidRPr="00CD1F3D" w:rsidRDefault="000B1EF7" w:rsidP="000B1EF7">
      <w:pPr>
        <w:pStyle w:val="Default"/>
        <w:spacing w:after="305"/>
        <w:jc w:val="both"/>
        <w:rPr>
          <w:rFonts w:ascii="Arial" w:hAnsi="Arial" w:cs="Arial"/>
          <w:bCs/>
          <w:color w:val="auto"/>
          <w:sz w:val="20"/>
          <w:szCs w:val="20"/>
          <w:lang w:val="en-GB"/>
        </w:rPr>
      </w:pPr>
      <w:permStart w:id="877755668" w:edGrp="everyone"/>
      <w:r w:rsidRPr="00CD1F3D">
        <w:rPr>
          <w:rFonts w:ascii="Arial" w:hAnsi="Arial" w:cs="Arial"/>
          <w:bCs/>
          <w:color w:val="auto"/>
          <w:sz w:val="20"/>
          <w:szCs w:val="20"/>
          <w:lang w:val="en-GB"/>
        </w:rPr>
        <w:t>The two key objectives are:</w:t>
      </w:r>
    </w:p>
    <w:p w:rsidR="000B1EF7" w:rsidRPr="00CD1F3D" w:rsidRDefault="000B1EF7" w:rsidP="000B1EF7">
      <w:pPr>
        <w:pStyle w:val="Default"/>
        <w:numPr>
          <w:ilvl w:val="0"/>
          <w:numId w:val="60"/>
        </w:numPr>
        <w:spacing w:after="305"/>
        <w:jc w:val="both"/>
        <w:rPr>
          <w:rFonts w:ascii="Arial" w:hAnsi="Arial" w:cs="Arial"/>
          <w:bCs/>
          <w:color w:val="auto"/>
          <w:sz w:val="20"/>
          <w:szCs w:val="20"/>
          <w:lang w:val="en-GB"/>
        </w:rPr>
      </w:pPr>
      <w:r w:rsidRPr="00CD1F3D">
        <w:rPr>
          <w:rFonts w:ascii="Arial" w:hAnsi="Arial" w:cs="Arial"/>
          <w:bCs/>
          <w:color w:val="auto"/>
          <w:sz w:val="20"/>
          <w:szCs w:val="20"/>
          <w:lang w:val="en-GB"/>
        </w:rPr>
        <w:t>“</w:t>
      </w:r>
      <w:r w:rsidRPr="00CD1F3D">
        <w:rPr>
          <w:rFonts w:ascii="Arial" w:hAnsi="Arial" w:cs="Arial"/>
          <w:b/>
          <w:i/>
          <w:color w:val="auto"/>
          <w:sz w:val="20"/>
          <w:szCs w:val="20"/>
          <w:lang w:val="en-GB"/>
        </w:rPr>
        <w:t>clearly identifiable as belonging to the AIF/UCITS</w:t>
      </w:r>
      <w:r w:rsidRPr="00CD1F3D">
        <w:rPr>
          <w:rFonts w:ascii="Arial" w:hAnsi="Arial" w:cs="Arial"/>
          <w:bCs/>
          <w:color w:val="auto"/>
          <w:sz w:val="20"/>
          <w:szCs w:val="20"/>
          <w:lang w:val="en-GB"/>
        </w:rPr>
        <w:t>” – There is a logical link all the way from the books and records of the depositary, which will maintain separate accounts for each AIF, through omnibus accounts with sub-custodians to the position held at the CSD that will establish the assets belonging to each AIF.  It is self-evident in that without such a link, it would not be possible for the various parties in the chain to reconcile their respective records.</w:t>
      </w:r>
    </w:p>
    <w:p w:rsidR="000B1EF7" w:rsidRPr="00CD1F3D" w:rsidRDefault="000B1EF7" w:rsidP="000B1EF7">
      <w:pPr>
        <w:pStyle w:val="Default"/>
        <w:numPr>
          <w:ilvl w:val="0"/>
          <w:numId w:val="60"/>
        </w:numPr>
        <w:spacing w:after="305"/>
        <w:jc w:val="both"/>
        <w:rPr>
          <w:rFonts w:ascii="Arial" w:hAnsi="Arial" w:cs="Arial"/>
          <w:bCs/>
          <w:color w:val="auto"/>
          <w:sz w:val="20"/>
          <w:szCs w:val="20"/>
          <w:lang w:val="en-GB"/>
        </w:rPr>
      </w:pPr>
      <w:r w:rsidRPr="00CD1F3D">
        <w:rPr>
          <w:rFonts w:ascii="Arial" w:hAnsi="Arial" w:cs="Arial"/>
          <w:bCs/>
          <w:color w:val="auto"/>
          <w:sz w:val="20"/>
          <w:szCs w:val="20"/>
          <w:lang w:val="en-GB"/>
        </w:rPr>
        <w:t>“</w:t>
      </w:r>
      <w:r w:rsidRPr="00CD1F3D">
        <w:rPr>
          <w:rFonts w:ascii="Arial" w:hAnsi="Arial" w:cs="Arial"/>
          <w:b/>
          <w:bCs/>
          <w:i/>
          <w:color w:val="auto"/>
          <w:sz w:val="20"/>
          <w:szCs w:val="20"/>
          <w:lang w:val="en-GB"/>
        </w:rPr>
        <w:t>avoiding the</w:t>
      </w:r>
      <w:r w:rsidRPr="00CD1F3D">
        <w:rPr>
          <w:rFonts w:ascii="Arial" w:hAnsi="Arial" w:cs="Arial"/>
          <w:bCs/>
          <w:color w:val="auto"/>
          <w:sz w:val="20"/>
          <w:szCs w:val="20"/>
          <w:lang w:val="en-GB"/>
        </w:rPr>
        <w:t xml:space="preserve"> </w:t>
      </w:r>
      <w:r w:rsidRPr="00CD1F3D">
        <w:rPr>
          <w:rFonts w:ascii="Arial" w:hAnsi="Arial" w:cs="Arial"/>
          <w:b/>
          <w:i/>
          <w:color w:val="auto"/>
          <w:sz w:val="20"/>
          <w:szCs w:val="20"/>
          <w:lang w:val="en-GB"/>
        </w:rPr>
        <w:t>ownership of the assets being called into question in case of the insolvency</w:t>
      </w:r>
      <w:r w:rsidRPr="00CD1F3D">
        <w:rPr>
          <w:rFonts w:ascii="Arial" w:hAnsi="Arial" w:cs="Arial"/>
          <w:bCs/>
          <w:color w:val="auto"/>
          <w:sz w:val="20"/>
          <w:szCs w:val="20"/>
          <w:lang w:val="en-GB"/>
        </w:rPr>
        <w:t>” – The ownership of the assets at each point of the custody chain is determined by the contractual relationship between the two parties at that point in the chain. A UCITS/AIF has no contractual claim against a sub-custodian and consequently the use of separate accounts for each UCITS/AIF cannot influence any questions regarding ownership.</w:t>
      </w:r>
    </w:p>
    <w:p w:rsidR="000B1EF7" w:rsidRPr="00CD1F3D" w:rsidRDefault="000B1EF7" w:rsidP="000B1EF7">
      <w:pPr>
        <w:pStyle w:val="Default"/>
        <w:spacing w:after="305"/>
        <w:jc w:val="both"/>
        <w:rPr>
          <w:rFonts w:ascii="Arial" w:hAnsi="Arial" w:cs="Arial"/>
          <w:bCs/>
          <w:color w:val="auto"/>
          <w:sz w:val="20"/>
          <w:szCs w:val="20"/>
          <w:lang w:val="en-GB"/>
        </w:rPr>
      </w:pPr>
      <w:r w:rsidRPr="00CD1F3D">
        <w:rPr>
          <w:rFonts w:ascii="Arial" w:hAnsi="Arial" w:cs="Arial"/>
          <w:bCs/>
          <w:color w:val="auto"/>
          <w:sz w:val="20"/>
          <w:szCs w:val="20"/>
          <w:lang w:val="en-GB"/>
        </w:rPr>
        <w:lastRenderedPageBreak/>
        <w:t>It should be pointed out that any separate accounts maintained by a sub-custodian has no evidentiary value in showing those securities are owned by that UCITS or AIF. The sub-custodian has not verified that the UCITS or AIF owns those assets; it has simply allocated securities on the instruction of the depositary.</w:t>
      </w:r>
    </w:p>
    <w:p w:rsidR="000B1EF7" w:rsidRPr="00CD1F3D" w:rsidRDefault="000B1EF7" w:rsidP="000B1EF7">
      <w:pPr>
        <w:pStyle w:val="Default"/>
        <w:spacing w:after="305"/>
        <w:jc w:val="both"/>
        <w:rPr>
          <w:rFonts w:ascii="Arial" w:hAnsi="Arial" w:cs="Arial"/>
          <w:bCs/>
          <w:color w:val="auto"/>
          <w:sz w:val="20"/>
          <w:szCs w:val="20"/>
          <w:u w:val="single"/>
          <w:lang w:val="en-GB"/>
        </w:rPr>
      </w:pPr>
      <w:r w:rsidRPr="00CD1F3D">
        <w:rPr>
          <w:rFonts w:ascii="Arial" w:hAnsi="Arial" w:cs="Arial"/>
          <w:bCs/>
          <w:color w:val="auto"/>
          <w:sz w:val="20"/>
          <w:szCs w:val="20"/>
          <w:u w:val="single"/>
          <w:lang w:val="en-GB"/>
        </w:rPr>
        <w:t>Answer to Question 6(a)</w:t>
      </w:r>
    </w:p>
    <w:p w:rsidR="000B1EF7" w:rsidRPr="00CD1F3D" w:rsidRDefault="000B1EF7" w:rsidP="000B1EF7">
      <w:pPr>
        <w:pStyle w:val="Default"/>
        <w:spacing w:after="305"/>
        <w:jc w:val="both"/>
        <w:rPr>
          <w:rFonts w:ascii="Arial" w:hAnsi="Arial" w:cs="Arial"/>
          <w:bCs/>
          <w:color w:val="auto"/>
          <w:sz w:val="20"/>
          <w:szCs w:val="20"/>
          <w:lang w:val="en-GB"/>
        </w:rPr>
      </w:pPr>
      <w:r w:rsidRPr="00CD1F3D">
        <w:rPr>
          <w:rFonts w:ascii="Arial" w:hAnsi="Arial" w:cs="Arial"/>
          <w:bCs/>
          <w:color w:val="auto"/>
          <w:sz w:val="20"/>
          <w:szCs w:val="20"/>
          <w:lang w:val="en-GB"/>
        </w:rPr>
        <w:t xml:space="preserve">There is a logical link all the way from the books and records of the depositary/delegate of the depositary as appropriate, which will maintain separate accounts for each AIF, through omnibus accounts with sub-custodians to the position held at the CSD that will establish the assets belonging to each AIF.  </w:t>
      </w:r>
    </w:p>
    <w:p w:rsidR="000B1EF7" w:rsidRPr="00CD1F3D" w:rsidRDefault="000B1EF7" w:rsidP="000B1EF7">
      <w:pPr>
        <w:pStyle w:val="Default"/>
        <w:spacing w:after="305"/>
        <w:jc w:val="both"/>
        <w:rPr>
          <w:rFonts w:ascii="Arial" w:hAnsi="Arial" w:cs="Arial"/>
          <w:color w:val="auto"/>
          <w:sz w:val="20"/>
          <w:szCs w:val="20"/>
          <w:lang w:val="en-GB"/>
        </w:rPr>
      </w:pPr>
      <w:r w:rsidRPr="00CD1F3D">
        <w:rPr>
          <w:rFonts w:ascii="Arial" w:hAnsi="Arial" w:cs="Arial"/>
          <w:bCs/>
          <w:color w:val="auto"/>
          <w:sz w:val="20"/>
          <w:szCs w:val="20"/>
          <w:lang w:val="en-GB"/>
        </w:rPr>
        <w:t>Please note response to question 1 b (ii).</w:t>
      </w:r>
    </w:p>
    <w:p w:rsidR="000B1EF7" w:rsidRPr="00CD1F3D" w:rsidRDefault="000B1EF7" w:rsidP="000B1EF7">
      <w:pPr>
        <w:pStyle w:val="Default"/>
        <w:spacing w:after="305"/>
        <w:jc w:val="both"/>
        <w:rPr>
          <w:rFonts w:ascii="Arial" w:hAnsi="Arial" w:cs="Arial"/>
          <w:color w:val="auto"/>
          <w:sz w:val="20"/>
          <w:szCs w:val="20"/>
          <w:lang w:val="en-GB"/>
        </w:rPr>
      </w:pPr>
      <w:r w:rsidRPr="00CD1F3D">
        <w:rPr>
          <w:rFonts w:ascii="Arial" w:hAnsi="Arial" w:cs="Arial"/>
          <w:color w:val="auto"/>
          <w:sz w:val="20"/>
          <w:szCs w:val="20"/>
          <w:lang w:val="en-GB"/>
        </w:rPr>
        <w:t>Furthermore, it should be noted that:</w:t>
      </w:r>
    </w:p>
    <w:p w:rsidR="000B1EF7" w:rsidRPr="00CD1F3D" w:rsidRDefault="000B1EF7" w:rsidP="000B1EF7">
      <w:pPr>
        <w:pStyle w:val="Default"/>
        <w:spacing w:after="305"/>
        <w:ind w:left="1134" w:hanging="708"/>
        <w:jc w:val="both"/>
        <w:rPr>
          <w:rFonts w:ascii="Arial" w:hAnsi="Arial" w:cs="Arial"/>
          <w:color w:val="auto"/>
          <w:sz w:val="20"/>
          <w:szCs w:val="20"/>
          <w:lang w:val="en-GB"/>
        </w:rPr>
      </w:pPr>
      <w:r w:rsidRPr="00CD1F3D">
        <w:rPr>
          <w:rFonts w:ascii="Arial" w:hAnsi="Arial" w:cs="Arial"/>
          <w:color w:val="auto"/>
          <w:sz w:val="20"/>
          <w:szCs w:val="20"/>
          <w:lang w:val="en-GB"/>
        </w:rPr>
        <w:t>•</w:t>
      </w:r>
      <w:r w:rsidRPr="00CD1F3D">
        <w:rPr>
          <w:rFonts w:ascii="Arial" w:hAnsi="Arial" w:cs="Arial"/>
          <w:color w:val="auto"/>
          <w:sz w:val="20"/>
          <w:szCs w:val="20"/>
          <w:lang w:val="en-GB"/>
        </w:rPr>
        <w:tab/>
        <w:t>Financial instruments are held at CSDs not with depositaries or their delegates / sub</w:t>
      </w:r>
      <w:r w:rsidR="00C82C2D">
        <w:rPr>
          <w:rFonts w:ascii="Arial" w:hAnsi="Arial" w:cs="Arial"/>
          <w:color w:val="auto"/>
          <w:sz w:val="20"/>
          <w:szCs w:val="20"/>
          <w:lang w:val="en-GB"/>
        </w:rPr>
        <w:t>-</w:t>
      </w:r>
      <w:r w:rsidRPr="00CD1F3D">
        <w:rPr>
          <w:rFonts w:ascii="Arial" w:hAnsi="Arial" w:cs="Arial"/>
          <w:color w:val="auto"/>
          <w:sz w:val="20"/>
          <w:szCs w:val="20"/>
          <w:lang w:val="en-GB"/>
        </w:rPr>
        <w:t>custodians or global custodians.  In the custody chain (account providers) provide access to the (account holders).</w:t>
      </w:r>
    </w:p>
    <w:p w:rsidR="000B1EF7" w:rsidRPr="00CD1F3D" w:rsidRDefault="000B1EF7" w:rsidP="000B1EF7">
      <w:pPr>
        <w:pStyle w:val="Default"/>
        <w:spacing w:after="305"/>
        <w:ind w:left="1134" w:hanging="708"/>
        <w:jc w:val="both"/>
        <w:rPr>
          <w:rFonts w:ascii="Arial" w:hAnsi="Arial" w:cs="Arial"/>
          <w:color w:val="auto"/>
          <w:sz w:val="20"/>
          <w:szCs w:val="20"/>
          <w:lang w:val="en-GB"/>
        </w:rPr>
      </w:pPr>
      <w:r w:rsidRPr="00CD1F3D">
        <w:rPr>
          <w:rFonts w:ascii="Arial" w:hAnsi="Arial" w:cs="Arial"/>
          <w:color w:val="auto"/>
          <w:sz w:val="20"/>
          <w:szCs w:val="20"/>
          <w:lang w:val="en-GB"/>
        </w:rPr>
        <w:t>•</w:t>
      </w:r>
      <w:r w:rsidRPr="00CD1F3D">
        <w:rPr>
          <w:rFonts w:ascii="Arial" w:hAnsi="Arial" w:cs="Arial"/>
          <w:color w:val="auto"/>
          <w:sz w:val="20"/>
          <w:szCs w:val="20"/>
          <w:lang w:val="en-GB"/>
        </w:rPr>
        <w:tab/>
        <w:t>Therefore all recording keeping throughout the chain reconciles back to the CSD ultimately and the custody chain is a essentially a recording keeping and reconciliation process.</w:t>
      </w:r>
    </w:p>
    <w:p w:rsidR="000B1EF7" w:rsidRPr="00CD1F3D" w:rsidRDefault="000B1EF7" w:rsidP="000B1EF7">
      <w:pPr>
        <w:pStyle w:val="Default"/>
        <w:spacing w:after="305"/>
        <w:ind w:left="1134" w:hanging="708"/>
        <w:jc w:val="both"/>
        <w:rPr>
          <w:rFonts w:ascii="Arial" w:hAnsi="Arial" w:cs="Arial"/>
          <w:color w:val="auto"/>
          <w:sz w:val="20"/>
          <w:szCs w:val="20"/>
          <w:lang w:val="en-GB"/>
        </w:rPr>
      </w:pPr>
      <w:r w:rsidRPr="00CD1F3D">
        <w:rPr>
          <w:rFonts w:ascii="Arial" w:hAnsi="Arial" w:cs="Arial"/>
          <w:color w:val="auto"/>
          <w:sz w:val="20"/>
          <w:szCs w:val="20"/>
          <w:lang w:val="en-GB"/>
        </w:rPr>
        <w:t>•</w:t>
      </w:r>
      <w:r w:rsidRPr="00CD1F3D">
        <w:rPr>
          <w:rFonts w:ascii="Arial" w:hAnsi="Arial" w:cs="Arial"/>
          <w:color w:val="auto"/>
          <w:sz w:val="20"/>
          <w:szCs w:val="20"/>
          <w:lang w:val="en-GB"/>
        </w:rPr>
        <w:tab/>
        <w:t>Local delegates/ sub</w:t>
      </w:r>
      <w:r w:rsidR="00C82C2D">
        <w:rPr>
          <w:rFonts w:ascii="Arial" w:hAnsi="Arial" w:cs="Arial"/>
          <w:color w:val="auto"/>
          <w:sz w:val="20"/>
          <w:szCs w:val="20"/>
          <w:lang w:val="en-GB"/>
        </w:rPr>
        <w:t>-</w:t>
      </w:r>
      <w:r w:rsidRPr="00CD1F3D">
        <w:rPr>
          <w:rFonts w:ascii="Arial" w:hAnsi="Arial" w:cs="Arial"/>
          <w:color w:val="auto"/>
          <w:sz w:val="20"/>
          <w:szCs w:val="20"/>
          <w:lang w:val="en-GB"/>
        </w:rPr>
        <w:t>custodians may maintain omnibus or segregated client records or accounts.  This will be based on the factors previously outlined, legal operational efficiency etc.  Creating unnecessary additional records only serves to delay account opening processes, create costs and make the reconciliation process more complicated.</w:t>
      </w:r>
    </w:p>
    <w:p w:rsidR="000B1EF7" w:rsidRPr="00CD1F3D" w:rsidRDefault="000B1EF7" w:rsidP="000B1EF7">
      <w:pPr>
        <w:pStyle w:val="Default"/>
        <w:spacing w:after="305"/>
        <w:ind w:left="1134" w:hanging="708"/>
        <w:jc w:val="both"/>
        <w:rPr>
          <w:rFonts w:ascii="Arial" w:hAnsi="Arial" w:cs="Arial"/>
          <w:color w:val="auto"/>
          <w:sz w:val="20"/>
          <w:szCs w:val="20"/>
          <w:lang w:val="en-GB"/>
        </w:rPr>
      </w:pPr>
      <w:r w:rsidRPr="00CD1F3D">
        <w:rPr>
          <w:rFonts w:ascii="Arial" w:hAnsi="Arial" w:cs="Arial"/>
          <w:color w:val="auto"/>
          <w:sz w:val="20"/>
          <w:szCs w:val="20"/>
          <w:lang w:val="en-GB"/>
        </w:rPr>
        <w:t>•</w:t>
      </w:r>
      <w:r w:rsidRPr="00CD1F3D">
        <w:rPr>
          <w:rFonts w:ascii="Arial" w:hAnsi="Arial" w:cs="Arial"/>
          <w:color w:val="auto"/>
          <w:sz w:val="20"/>
          <w:szCs w:val="20"/>
          <w:lang w:val="en-GB"/>
        </w:rPr>
        <w:tab/>
        <w:t>Global custodians maintain client by client segregated books and records.</w:t>
      </w:r>
    </w:p>
    <w:p w:rsidR="000B1EF7" w:rsidRPr="00CD1F3D" w:rsidRDefault="000B1EF7" w:rsidP="000B1EF7">
      <w:pPr>
        <w:pStyle w:val="Default"/>
        <w:spacing w:after="305"/>
        <w:ind w:left="1134" w:hanging="708"/>
        <w:jc w:val="both"/>
        <w:rPr>
          <w:rFonts w:ascii="Arial" w:hAnsi="Arial" w:cs="Arial"/>
          <w:color w:val="auto"/>
          <w:sz w:val="20"/>
          <w:szCs w:val="20"/>
          <w:lang w:val="en-GB"/>
        </w:rPr>
      </w:pPr>
      <w:r w:rsidRPr="00CD1F3D">
        <w:rPr>
          <w:rFonts w:ascii="Arial" w:hAnsi="Arial" w:cs="Arial"/>
          <w:color w:val="auto"/>
          <w:sz w:val="20"/>
          <w:szCs w:val="20"/>
          <w:lang w:val="en-GB"/>
        </w:rPr>
        <w:t>•</w:t>
      </w:r>
      <w:r w:rsidRPr="00CD1F3D">
        <w:rPr>
          <w:rFonts w:ascii="Arial" w:hAnsi="Arial" w:cs="Arial"/>
          <w:color w:val="auto"/>
          <w:sz w:val="20"/>
          <w:szCs w:val="20"/>
          <w:lang w:val="en-GB"/>
        </w:rPr>
        <w:tab/>
        <w:t xml:space="preserve">In all levels of the custody chain - client and proprietary assets are segregated. </w:t>
      </w:r>
    </w:p>
    <w:p w:rsidR="000B1EF7" w:rsidRPr="00CD1F3D" w:rsidRDefault="000B1EF7" w:rsidP="000B1EF7">
      <w:pPr>
        <w:pStyle w:val="Default"/>
        <w:spacing w:after="305"/>
        <w:ind w:left="1134" w:hanging="708"/>
        <w:jc w:val="both"/>
        <w:rPr>
          <w:rFonts w:ascii="Arial" w:hAnsi="Arial" w:cs="Arial"/>
          <w:color w:val="auto"/>
          <w:sz w:val="20"/>
          <w:szCs w:val="20"/>
          <w:lang w:val="en-GB"/>
        </w:rPr>
      </w:pPr>
      <w:r w:rsidRPr="00CD1F3D">
        <w:rPr>
          <w:rFonts w:ascii="Arial" w:hAnsi="Arial" w:cs="Arial"/>
          <w:color w:val="auto"/>
          <w:sz w:val="20"/>
          <w:szCs w:val="20"/>
          <w:lang w:val="en-GB"/>
        </w:rPr>
        <w:t>•</w:t>
      </w:r>
      <w:r w:rsidRPr="00CD1F3D">
        <w:rPr>
          <w:rFonts w:ascii="Arial" w:hAnsi="Arial" w:cs="Arial"/>
          <w:color w:val="auto"/>
          <w:sz w:val="20"/>
          <w:szCs w:val="20"/>
          <w:lang w:val="en-GB"/>
        </w:rPr>
        <w:tab/>
        <w:t>As set out elsewhere in our responses, the depositaries monitor their delegates and the robustness of their reconciliation processes etc.</w:t>
      </w:r>
    </w:p>
    <w:p w:rsidR="000B1EF7" w:rsidRPr="00CD1F3D" w:rsidRDefault="000B1EF7" w:rsidP="000B1EF7">
      <w:pPr>
        <w:pStyle w:val="Default"/>
        <w:spacing w:after="305"/>
        <w:jc w:val="both"/>
        <w:rPr>
          <w:rFonts w:ascii="Arial" w:hAnsi="Arial" w:cs="Arial"/>
          <w:color w:val="auto"/>
          <w:sz w:val="20"/>
          <w:szCs w:val="20"/>
          <w:lang w:val="en-GB"/>
        </w:rPr>
      </w:pPr>
      <w:r w:rsidRPr="00CD1F3D">
        <w:rPr>
          <w:rFonts w:ascii="Arial" w:hAnsi="Arial" w:cs="Arial"/>
          <w:color w:val="auto"/>
          <w:sz w:val="20"/>
          <w:szCs w:val="20"/>
          <w:lang w:val="en-GB"/>
        </w:rPr>
        <w:t>Therefore, if a local delegate/ sub</w:t>
      </w:r>
      <w:r w:rsidR="00C82C2D">
        <w:rPr>
          <w:rFonts w:ascii="Arial" w:hAnsi="Arial" w:cs="Arial"/>
          <w:color w:val="auto"/>
          <w:sz w:val="20"/>
          <w:szCs w:val="20"/>
          <w:lang w:val="en-GB"/>
        </w:rPr>
        <w:t>-</w:t>
      </w:r>
      <w:r w:rsidRPr="00CD1F3D">
        <w:rPr>
          <w:rFonts w:ascii="Arial" w:hAnsi="Arial" w:cs="Arial"/>
          <w:color w:val="auto"/>
          <w:sz w:val="20"/>
          <w:szCs w:val="20"/>
          <w:lang w:val="en-GB"/>
        </w:rPr>
        <w:t>custodian is holding 100 securities for a global custodian the global custodian will reconcile back to its records and the local delegate/ sub</w:t>
      </w:r>
      <w:r w:rsidR="00C82C2D">
        <w:rPr>
          <w:rFonts w:ascii="Arial" w:hAnsi="Arial" w:cs="Arial"/>
          <w:color w:val="auto"/>
          <w:sz w:val="20"/>
          <w:szCs w:val="20"/>
          <w:lang w:val="en-GB"/>
        </w:rPr>
        <w:t>-</w:t>
      </w:r>
      <w:r w:rsidRPr="00CD1F3D">
        <w:rPr>
          <w:rFonts w:ascii="Arial" w:hAnsi="Arial" w:cs="Arial"/>
          <w:color w:val="auto"/>
          <w:sz w:val="20"/>
          <w:szCs w:val="20"/>
          <w:lang w:val="en-GB"/>
        </w:rPr>
        <w:t xml:space="preserve">custodian to the CSD.  Each delegate will have contractual and legal requirements to maintain accurate records.  Naturally, it is easier to perform reconciliations throughout the chain when the number of accounts and records are reduced as opposed to being increased for example if Options 1 and / or 2 in the CP were </w:t>
      </w:r>
      <w:r w:rsidR="004E7BA4" w:rsidRPr="00CD1F3D">
        <w:rPr>
          <w:rFonts w:ascii="Arial" w:hAnsi="Arial" w:cs="Arial"/>
          <w:color w:val="auto"/>
          <w:sz w:val="20"/>
          <w:szCs w:val="20"/>
          <w:lang w:val="en-GB"/>
        </w:rPr>
        <w:t>mandated</w:t>
      </w:r>
      <w:r w:rsidRPr="00CD1F3D">
        <w:rPr>
          <w:rFonts w:ascii="Arial" w:hAnsi="Arial" w:cs="Arial"/>
          <w:color w:val="auto"/>
          <w:sz w:val="20"/>
          <w:szCs w:val="20"/>
          <w:lang w:val="en-GB"/>
        </w:rPr>
        <w:t xml:space="preserve">. </w:t>
      </w:r>
    </w:p>
    <w:p w:rsidR="000B1EF7" w:rsidRPr="00CD1F3D" w:rsidRDefault="000B1EF7" w:rsidP="000B1EF7">
      <w:pPr>
        <w:pStyle w:val="Default"/>
        <w:spacing w:after="305"/>
        <w:jc w:val="both"/>
        <w:rPr>
          <w:rFonts w:ascii="Arial" w:hAnsi="Arial" w:cs="Arial"/>
          <w:color w:val="auto"/>
          <w:sz w:val="20"/>
          <w:szCs w:val="20"/>
          <w:lang w:val="en-GB"/>
        </w:rPr>
      </w:pPr>
      <w:r w:rsidRPr="00CD1F3D">
        <w:rPr>
          <w:rFonts w:ascii="Arial" w:hAnsi="Arial" w:cs="Arial"/>
          <w:color w:val="auto"/>
          <w:sz w:val="20"/>
          <w:szCs w:val="20"/>
          <w:lang w:val="en-GB"/>
        </w:rPr>
        <w:t>We are not aware of member depositaries or their delegates ‘losing financial instruments’ as the above process works in multiple markets with multiple delegates as the key issue is to ensure that securities are ‘ring</w:t>
      </w:r>
      <w:r w:rsidR="00C82C2D">
        <w:rPr>
          <w:rFonts w:ascii="Arial" w:hAnsi="Arial" w:cs="Arial"/>
          <w:color w:val="auto"/>
          <w:sz w:val="20"/>
          <w:szCs w:val="20"/>
          <w:lang w:val="en-GB"/>
        </w:rPr>
        <w:t>-</w:t>
      </w:r>
      <w:r w:rsidRPr="00CD1F3D">
        <w:rPr>
          <w:rFonts w:ascii="Arial" w:hAnsi="Arial" w:cs="Arial"/>
          <w:color w:val="auto"/>
          <w:sz w:val="20"/>
          <w:szCs w:val="20"/>
          <w:lang w:val="en-GB"/>
        </w:rPr>
        <w:t>fenced from the insolvency of the delegate’ and this is achieved via assessment of any local law insolvency requirements.</w:t>
      </w:r>
    </w:p>
    <w:p w:rsidR="000B1EF7" w:rsidRPr="00CD1F3D" w:rsidRDefault="000B1EF7" w:rsidP="000B1EF7">
      <w:pPr>
        <w:pStyle w:val="Default"/>
        <w:spacing w:after="305"/>
        <w:jc w:val="both"/>
        <w:rPr>
          <w:rFonts w:ascii="Arial" w:hAnsi="Arial" w:cs="Arial"/>
          <w:color w:val="auto"/>
          <w:sz w:val="20"/>
          <w:szCs w:val="20"/>
          <w:lang w:val="en-GB"/>
        </w:rPr>
      </w:pPr>
      <w:r w:rsidRPr="00CD1F3D">
        <w:rPr>
          <w:rFonts w:ascii="Arial" w:hAnsi="Arial" w:cs="Arial"/>
          <w:color w:val="auto"/>
          <w:sz w:val="20"/>
          <w:szCs w:val="20"/>
          <w:lang w:val="en-GB"/>
        </w:rPr>
        <w:t>Depositaries monitor for fraud, unusual transactions and reconciliation processes.  Where there is a fraud or error (i.e. client error with incorrect account instructions) this is traceable to the relevant fund account and is not impacted by segregation / omnibus account structures.  However, the omnibus structures provide numerous benefits i.e. in respect of corporate actions, operational efficiencies and cost saving.</w:t>
      </w:r>
    </w:p>
    <w:p w:rsidR="000B1EF7" w:rsidRPr="00CD1F3D" w:rsidRDefault="000B1EF7" w:rsidP="000B1EF7">
      <w:pPr>
        <w:pStyle w:val="Default"/>
        <w:spacing w:after="305"/>
        <w:jc w:val="both"/>
        <w:rPr>
          <w:rFonts w:ascii="Arial" w:hAnsi="Arial" w:cs="Arial"/>
          <w:color w:val="auto"/>
          <w:sz w:val="20"/>
          <w:szCs w:val="20"/>
          <w:lang w:val="en-GB"/>
        </w:rPr>
      </w:pPr>
      <w:r w:rsidRPr="00CD1F3D">
        <w:rPr>
          <w:rFonts w:ascii="Arial" w:hAnsi="Arial" w:cs="Arial"/>
          <w:color w:val="auto"/>
          <w:sz w:val="20"/>
          <w:szCs w:val="20"/>
          <w:lang w:val="en-GB"/>
        </w:rPr>
        <w:t xml:space="preserve">The creation of numerous unnecessary segregated accounts and records would mean that the reconciliation process and oversight process would become unduly complicated with no clear benefit to underlying funds.  </w:t>
      </w:r>
      <w:r w:rsidRPr="00CD1F3D">
        <w:rPr>
          <w:rFonts w:ascii="Arial" w:hAnsi="Arial" w:cs="Arial"/>
          <w:color w:val="auto"/>
          <w:sz w:val="20"/>
          <w:szCs w:val="20"/>
          <w:lang w:val="en-GB"/>
        </w:rPr>
        <w:lastRenderedPageBreak/>
        <w:t>Indeed the fraud checks would become more challenging across dramatically increased accounts and records throughout the chain with multiple reconciliation breaks thereby draining resources with no increased fraud detection capabilities.</w:t>
      </w:r>
    </w:p>
    <w:p w:rsidR="000B1EF7" w:rsidRPr="00CD1F3D" w:rsidRDefault="000B1EF7" w:rsidP="000B1EF7">
      <w:pPr>
        <w:pStyle w:val="Default"/>
        <w:spacing w:after="305"/>
        <w:jc w:val="both"/>
        <w:rPr>
          <w:rFonts w:ascii="Arial" w:hAnsi="Arial" w:cs="Arial"/>
          <w:color w:val="auto"/>
          <w:sz w:val="20"/>
          <w:szCs w:val="20"/>
          <w:lang w:val="en-GB"/>
        </w:rPr>
      </w:pPr>
      <w:r w:rsidRPr="00CD1F3D">
        <w:rPr>
          <w:rFonts w:ascii="Arial" w:hAnsi="Arial" w:cs="Arial"/>
          <w:color w:val="auto"/>
          <w:sz w:val="20"/>
          <w:szCs w:val="20"/>
          <w:lang w:val="en-GB"/>
        </w:rPr>
        <w:t>Separately, it should be noted that there are substantial differences between triparty collateral custody models and global custody services.  For example, in respect of collateral management, the beneficial ownership of collateral changes frequently, even intra-day, and it would be challenging/impossible/risky to accurately update multiple records and accounts throughout the chain.  Again this would also make fraud detection or unusual account activity more challenging to reconcile by causing delays and complications.</w:t>
      </w:r>
    </w:p>
    <w:p w:rsidR="000B1EF7" w:rsidRPr="00CD1F3D" w:rsidRDefault="00727A79" w:rsidP="000B1EF7">
      <w:pPr>
        <w:pStyle w:val="Default"/>
        <w:spacing w:after="305"/>
        <w:jc w:val="both"/>
        <w:rPr>
          <w:rFonts w:ascii="Arial" w:hAnsi="Arial" w:cs="Arial"/>
          <w:bCs/>
          <w:color w:val="auto"/>
          <w:sz w:val="20"/>
          <w:szCs w:val="20"/>
          <w:u w:val="single"/>
          <w:lang w:val="en-GB"/>
        </w:rPr>
      </w:pPr>
      <w:r w:rsidRPr="00CD1F3D">
        <w:rPr>
          <w:rFonts w:ascii="Arial" w:hAnsi="Arial" w:cs="Arial"/>
          <w:bCs/>
          <w:color w:val="auto"/>
          <w:sz w:val="20"/>
          <w:szCs w:val="20"/>
          <w:u w:val="single"/>
          <w:lang w:val="en-GB"/>
        </w:rPr>
        <w:t>Answer to Question 6(b)</w:t>
      </w:r>
    </w:p>
    <w:p w:rsidR="00727A79" w:rsidRPr="00CD1F3D" w:rsidRDefault="00727A79" w:rsidP="000B1EF7">
      <w:pPr>
        <w:pStyle w:val="Default"/>
        <w:spacing w:after="305"/>
        <w:jc w:val="both"/>
        <w:rPr>
          <w:rFonts w:ascii="Arial" w:hAnsi="Arial" w:cs="Arial"/>
          <w:bCs/>
          <w:color w:val="auto"/>
          <w:sz w:val="20"/>
          <w:szCs w:val="20"/>
          <w:lang w:val="en-GB"/>
        </w:rPr>
      </w:pPr>
      <w:r w:rsidRPr="00CD1F3D">
        <w:rPr>
          <w:rFonts w:ascii="Arial" w:hAnsi="Arial" w:cs="Arial"/>
          <w:bCs/>
          <w:color w:val="auto"/>
          <w:sz w:val="20"/>
          <w:szCs w:val="20"/>
          <w:lang w:val="en-GB"/>
        </w:rPr>
        <w:t>All that is required in insolvency proceedings of a sub-custodian, is to identify the securities that the sub-custodian holds on behalf of the depositary.  The ownership by the respective funds is not relevant for that purpose.</w:t>
      </w:r>
    </w:p>
    <w:p w:rsidR="00727A79" w:rsidRPr="00CD1F3D" w:rsidRDefault="00727A79" w:rsidP="000B1EF7">
      <w:pPr>
        <w:pStyle w:val="Default"/>
        <w:spacing w:after="305"/>
        <w:jc w:val="both"/>
        <w:rPr>
          <w:rFonts w:ascii="Arial" w:hAnsi="Arial" w:cs="Arial"/>
          <w:bCs/>
          <w:color w:val="auto"/>
          <w:sz w:val="20"/>
          <w:szCs w:val="20"/>
          <w:u w:val="single"/>
          <w:lang w:val="en-GB"/>
        </w:rPr>
      </w:pPr>
      <w:r w:rsidRPr="00CD1F3D">
        <w:rPr>
          <w:rFonts w:ascii="Arial" w:hAnsi="Arial" w:cs="Arial"/>
          <w:bCs/>
          <w:color w:val="auto"/>
          <w:sz w:val="20"/>
          <w:szCs w:val="20"/>
          <w:u w:val="single"/>
          <w:lang w:val="en-GB"/>
        </w:rPr>
        <w:t>Answer to Question 6(c)</w:t>
      </w:r>
    </w:p>
    <w:p w:rsidR="004E7BA4" w:rsidRPr="004E7BA4" w:rsidRDefault="002E05D1" w:rsidP="004E7BA4">
      <w:pPr>
        <w:pStyle w:val="Default"/>
        <w:spacing w:after="305"/>
        <w:jc w:val="both"/>
        <w:rPr>
          <w:rFonts w:ascii="Arial" w:hAnsi="Arial" w:cs="Arial"/>
          <w:bCs/>
          <w:color w:val="auto"/>
          <w:sz w:val="20"/>
          <w:szCs w:val="20"/>
          <w:lang w:val="en-GB"/>
        </w:rPr>
      </w:pPr>
      <w:r>
        <w:rPr>
          <w:rFonts w:ascii="Arial" w:hAnsi="Arial" w:cs="Arial"/>
          <w:bCs/>
          <w:color w:val="auto"/>
          <w:sz w:val="20"/>
          <w:szCs w:val="20"/>
          <w:lang w:val="en-GB"/>
        </w:rPr>
        <w:t xml:space="preserve">The </w:t>
      </w:r>
      <w:r w:rsidR="004E7BA4" w:rsidRPr="00CD1F3D">
        <w:rPr>
          <w:rFonts w:ascii="Arial" w:hAnsi="Arial" w:cs="Arial"/>
          <w:bCs/>
          <w:color w:val="auto"/>
          <w:sz w:val="20"/>
          <w:szCs w:val="20"/>
          <w:lang w:val="en-GB"/>
        </w:rPr>
        <w:t xml:space="preserve">IOSCO Final Report (FR25/2015) on Standards for the Custody of Collective Investment Schemes Assets (the “IOSCO Report”) </w:t>
      </w:r>
      <w:r w:rsidR="004E7BA4" w:rsidRPr="004E7BA4">
        <w:rPr>
          <w:rFonts w:ascii="Arial" w:hAnsi="Arial" w:cs="Arial"/>
          <w:bCs/>
          <w:color w:val="auto"/>
          <w:sz w:val="20"/>
          <w:szCs w:val="20"/>
          <w:lang w:val="en-GB"/>
        </w:rPr>
        <w:t>refers to omnibus accounts under</w:t>
      </w:r>
      <w:r>
        <w:rPr>
          <w:rFonts w:ascii="Arial" w:hAnsi="Arial" w:cs="Arial"/>
          <w:bCs/>
          <w:color w:val="auto"/>
          <w:sz w:val="20"/>
          <w:szCs w:val="20"/>
          <w:lang w:val="en-GB"/>
        </w:rPr>
        <w:t xml:space="preserve"> “</w:t>
      </w:r>
      <w:r w:rsidRPr="002E05D1">
        <w:rPr>
          <w:rFonts w:ascii="Arial" w:hAnsi="Arial" w:cs="Arial"/>
          <w:bCs/>
          <w:color w:val="auto"/>
          <w:sz w:val="20"/>
          <w:szCs w:val="20"/>
          <w:lang w:val="en-GB"/>
        </w:rPr>
        <w:t>Chapter 3 – Key risks around the custody of CIS assets</w:t>
      </w:r>
      <w:r>
        <w:rPr>
          <w:rFonts w:ascii="Arial" w:hAnsi="Arial" w:cs="Arial"/>
          <w:bCs/>
          <w:color w:val="auto"/>
          <w:sz w:val="20"/>
          <w:szCs w:val="20"/>
          <w:lang w:val="en-GB"/>
        </w:rPr>
        <w:t>” and</w:t>
      </w:r>
      <w:r w:rsidR="004E7BA4" w:rsidRPr="004E7BA4">
        <w:rPr>
          <w:rFonts w:ascii="Arial" w:hAnsi="Arial" w:cs="Arial"/>
          <w:bCs/>
          <w:color w:val="auto"/>
          <w:sz w:val="20"/>
          <w:szCs w:val="20"/>
          <w:lang w:val="en-GB"/>
        </w:rPr>
        <w:t xml:space="preserve"> the</w:t>
      </w:r>
      <w:r>
        <w:rPr>
          <w:rFonts w:ascii="Arial" w:hAnsi="Arial" w:cs="Arial"/>
          <w:bCs/>
          <w:color w:val="auto"/>
          <w:sz w:val="20"/>
          <w:szCs w:val="20"/>
          <w:lang w:val="en-GB"/>
        </w:rPr>
        <w:t xml:space="preserve"> heading</w:t>
      </w:r>
      <w:r w:rsidR="004E7BA4" w:rsidRPr="004E7BA4">
        <w:rPr>
          <w:rFonts w:ascii="Arial" w:hAnsi="Arial" w:cs="Arial"/>
          <w:bCs/>
          <w:color w:val="auto"/>
          <w:sz w:val="20"/>
          <w:szCs w:val="20"/>
          <w:lang w:val="en-GB"/>
        </w:rPr>
        <w:t xml:space="preserve"> </w:t>
      </w:r>
      <w:r>
        <w:rPr>
          <w:rFonts w:ascii="Arial" w:hAnsi="Arial" w:cs="Arial"/>
          <w:bCs/>
          <w:color w:val="auto"/>
          <w:sz w:val="20"/>
          <w:szCs w:val="20"/>
          <w:lang w:val="en-GB"/>
        </w:rPr>
        <w:t>“</w:t>
      </w:r>
      <w:r w:rsidR="004E7BA4" w:rsidRPr="004E7BA4">
        <w:rPr>
          <w:rFonts w:ascii="Arial" w:hAnsi="Arial" w:cs="Arial"/>
          <w:bCs/>
          <w:color w:val="auto"/>
          <w:sz w:val="20"/>
          <w:szCs w:val="20"/>
          <w:lang w:val="en-GB"/>
        </w:rPr>
        <w:t>Risk of co-mingling / misuse of CIS assets / segregation</w:t>
      </w:r>
      <w:r>
        <w:rPr>
          <w:rFonts w:ascii="Arial" w:hAnsi="Arial" w:cs="Arial"/>
          <w:bCs/>
          <w:color w:val="auto"/>
          <w:sz w:val="20"/>
          <w:szCs w:val="20"/>
          <w:lang w:val="en-GB"/>
        </w:rPr>
        <w:t>”</w:t>
      </w:r>
      <w:r w:rsidR="004E7BA4" w:rsidRPr="004E7BA4">
        <w:rPr>
          <w:rFonts w:ascii="Arial" w:hAnsi="Arial" w:cs="Arial"/>
          <w:bCs/>
          <w:color w:val="auto"/>
          <w:sz w:val="20"/>
          <w:szCs w:val="20"/>
          <w:lang w:val="en-GB"/>
        </w:rPr>
        <w:t xml:space="preserve">. As this </w:t>
      </w:r>
      <w:r w:rsidR="004E7BA4">
        <w:rPr>
          <w:rFonts w:ascii="Arial" w:hAnsi="Arial" w:cs="Arial"/>
          <w:bCs/>
          <w:color w:val="auto"/>
          <w:sz w:val="20"/>
          <w:szCs w:val="20"/>
          <w:lang w:val="en-GB"/>
        </w:rPr>
        <w:t xml:space="preserve">IOSCO Report </w:t>
      </w:r>
      <w:r w:rsidR="004E7BA4" w:rsidRPr="004E7BA4">
        <w:rPr>
          <w:rFonts w:ascii="Arial" w:hAnsi="Arial" w:cs="Arial"/>
          <w:bCs/>
          <w:color w:val="auto"/>
          <w:sz w:val="20"/>
          <w:szCs w:val="20"/>
          <w:lang w:val="en-GB"/>
        </w:rPr>
        <w:t xml:space="preserve">shows, the use of properly controlled omnibus accounts does not increase the risks associated with co-mingling or segregation. </w:t>
      </w:r>
    </w:p>
    <w:p w:rsidR="004E7BA4" w:rsidRPr="004E7BA4" w:rsidRDefault="004E7BA4" w:rsidP="004E7BA4">
      <w:pPr>
        <w:pStyle w:val="Default"/>
        <w:spacing w:after="305"/>
        <w:jc w:val="both"/>
        <w:rPr>
          <w:rFonts w:ascii="Arial" w:hAnsi="Arial" w:cs="Arial"/>
          <w:bCs/>
          <w:color w:val="auto"/>
          <w:sz w:val="20"/>
          <w:szCs w:val="20"/>
          <w:lang w:val="en-GB"/>
        </w:rPr>
      </w:pPr>
      <w:r w:rsidRPr="004E7BA4">
        <w:rPr>
          <w:rFonts w:ascii="Arial" w:hAnsi="Arial" w:cs="Arial"/>
          <w:bCs/>
          <w:color w:val="auto"/>
          <w:sz w:val="20"/>
          <w:szCs w:val="20"/>
          <w:lang w:val="en-GB"/>
        </w:rPr>
        <w:t>The risk of misuse of assets, exists whether the CIS is in an omnibus or segregated account throughout the custody chain.  In respect of fraud and the Madoff case, the risks of loss in that scenario are exactly the same across omnibus and segregated accounts.  Madoff had authority to move assets from client accounts whether they were classified as omnibus or segregated accounts.</w:t>
      </w:r>
    </w:p>
    <w:p w:rsidR="000B1EF7" w:rsidRPr="00CD1F3D" w:rsidRDefault="004E7BA4" w:rsidP="000B1EF7">
      <w:pPr>
        <w:pStyle w:val="Default"/>
        <w:spacing w:after="305"/>
        <w:jc w:val="both"/>
        <w:rPr>
          <w:rFonts w:ascii="Arial" w:hAnsi="Arial" w:cs="Arial"/>
          <w:bCs/>
          <w:color w:val="auto"/>
          <w:sz w:val="20"/>
          <w:szCs w:val="20"/>
          <w:lang w:val="en-GB"/>
        </w:rPr>
      </w:pPr>
      <w:r w:rsidRPr="004E7BA4">
        <w:rPr>
          <w:rFonts w:ascii="Arial" w:hAnsi="Arial" w:cs="Arial"/>
          <w:bCs/>
          <w:color w:val="auto"/>
          <w:sz w:val="20"/>
          <w:szCs w:val="20"/>
          <w:lang w:val="en-GB"/>
        </w:rPr>
        <w:t xml:space="preserve">Most importantly, we note that the </w:t>
      </w:r>
      <w:r>
        <w:rPr>
          <w:rFonts w:ascii="Arial" w:hAnsi="Arial" w:cs="Arial"/>
          <w:bCs/>
          <w:color w:val="auto"/>
          <w:sz w:val="20"/>
          <w:szCs w:val="20"/>
          <w:lang w:val="en-GB"/>
        </w:rPr>
        <w:t>IOSCO Report</w:t>
      </w:r>
      <w:r w:rsidRPr="004E7BA4">
        <w:rPr>
          <w:rFonts w:ascii="Arial" w:hAnsi="Arial" w:cs="Arial"/>
          <w:bCs/>
          <w:color w:val="auto"/>
          <w:sz w:val="20"/>
          <w:szCs w:val="20"/>
          <w:lang w:val="en-GB"/>
        </w:rPr>
        <w:t xml:space="preserve"> does not make a recommendation in respect of segregating CIS assets other than the industry standard of segregating proprietary assets from clients’ assets, which is normal commercial practice.</w:t>
      </w:r>
    </w:p>
    <w:permEnd w:id="877755668"/>
    <w:p w:rsidR="00F579DC" w:rsidRDefault="00F579DC" w:rsidP="00F579DC">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6</w:t>
      </w:r>
      <w:r w:rsidRPr="00B42A10">
        <w:rPr>
          <w:lang w:val="fr-FR"/>
        </w:rPr>
        <w:t>&gt;</w:t>
      </w:r>
    </w:p>
    <w:p w:rsidR="00F579DC" w:rsidRPr="001A170B" w:rsidRDefault="00F579DC" w:rsidP="00F579DC">
      <w:pPr>
        <w:spacing w:after="250" w:line="276" w:lineRule="auto"/>
        <w:jc w:val="both"/>
        <w:rPr>
          <w:rFonts w:cs="Arial"/>
          <w:sz w:val="22"/>
          <w:szCs w:val="20"/>
          <w:lang w:eastAsia="en-US"/>
        </w:rPr>
      </w:pPr>
    </w:p>
    <w:p w:rsidR="001A170B" w:rsidRP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Please describe the impact of settlement process and account structures on the different levels through the custody chain in the case of</w:t>
      </w:r>
    </w:p>
    <w:p w:rsidR="001A170B" w:rsidRPr="001A170B" w:rsidRDefault="001A170B" w:rsidP="001A170B">
      <w:pPr>
        <w:numPr>
          <w:ilvl w:val="0"/>
          <w:numId w:val="43"/>
        </w:numPr>
        <w:spacing w:after="250" w:line="276" w:lineRule="auto"/>
        <w:jc w:val="both"/>
        <w:rPr>
          <w:b/>
          <w:sz w:val="22"/>
          <w:szCs w:val="20"/>
          <w:lang w:eastAsia="en-US"/>
        </w:rPr>
      </w:pPr>
      <w:r w:rsidRPr="001A170B">
        <w:rPr>
          <w:b/>
          <w:sz w:val="22"/>
          <w:szCs w:val="20"/>
          <w:lang w:eastAsia="en-US"/>
        </w:rPr>
        <w:t xml:space="preserve">Cross-border investments </w:t>
      </w:r>
    </w:p>
    <w:p w:rsidR="001A170B" w:rsidRPr="001A170B" w:rsidRDefault="001A170B" w:rsidP="001A170B">
      <w:pPr>
        <w:numPr>
          <w:ilvl w:val="0"/>
          <w:numId w:val="45"/>
        </w:numPr>
        <w:spacing w:after="250" w:line="276" w:lineRule="auto"/>
        <w:jc w:val="both"/>
        <w:rPr>
          <w:b/>
          <w:sz w:val="22"/>
          <w:szCs w:val="20"/>
          <w:lang w:eastAsia="en-US"/>
        </w:rPr>
      </w:pPr>
      <w:r w:rsidRPr="001A170B">
        <w:rPr>
          <w:b/>
          <w:sz w:val="22"/>
          <w:szCs w:val="20"/>
          <w:lang w:eastAsia="en-US"/>
        </w:rPr>
        <w:t>Through CSD Links</w:t>
      </w:r>
    </w:p>
    <w:p w:rsidR="001A170B" w:rsidRPr="001A170B" w:rsidRDefault="001A170B" w:rsidP="001A170B">
      <w:pPr>
        <w:numPr>
          <w:ilvl w:val="0"/>
          <w:numId w:val="45"/>
        </w:numPr>
        <w:spacing w:after="250" w:line="276" w:lineRule="auto"/>
        <w:jc w:val="both"/>
        <w:rPr>
          <w:b/>
          <w:sz w:val="22"/>
          <w:szCs w:val="20"/>
          <w:lang w:eastAsia="en-US"/>
        </w:rPr>
      </w:pPr>
      <w:r w:rsidRPr="001A170B">
        <w:rPr>
          <w:b/>
          <w:sz w:val="22"/>
          <w:szCs w:val="20"/>
          <w:lang w:eastAsia="en-US"/>
        </w:rPr>
        <w:t>In relation to cross-border investments through CSD links, what are the functions of an investor CSD</w:t>
      </w:r>
      <w:r w:rsidRPr="001A170B">
        <w:rPr>
          <w:b/>
          <w:sz w:val="16"/>
          <w:szCs w:val="20"/>
          <w:vertAlign w:val="superscript"/>
          <w:lang w:eastAsia="en-US"/>
        </w:rPr>
        <w:footnoteReference w:id="9"/>
      </w:r>
      <w:r w:rsidRPr="001A170B">
        <w:rPr>
          <w:b/>
          <w:sz w:val="22"/>
          <w:szCs w:val="20"/>
          <w:lang w:eastAsia="en-US"/>
        </w:rPr>
        <w:t>?</w:t>
      </w:r>
    </w:p>
    <w:p w:rsidR="001A170B" w:rsidRPr="001A170B" w:rsidRDefault="001A170B" w:rsidP="001A170B">
      <w:pPr>
        <w:numPr>
          <w:ilvl w:val="0"/>
          <w:numId w:val="45"/>
        </w:numPr>
        <w:spacing w:after="250" w:line="276" w:lineRule="auto"/>
        <w:jc w:val="both"/>
        <w:rPr>
          <w:b/>
          <w:sz w:val="22"/>
          <w:szCs w:val="20"/>
          <w:lang w:eastAsia="en-US"/>
        </w:rPr>
      </w:pPr>
      <w:r w:rsidRPr="001A170B">
        <w:rPr>
          <w:b/>
          <w:sz w:val="22"/>
          <w:szCs w:val="20"/>
          <w:lang w:eastAsia="en-US"/>
        </w:rPr>
        <w:lastRenderedPageBreak/>
        <w:t>Through T2S</w:t>
      </w:r>
    </w:p>
    <w:p w:rsidR="001A170B" w:rsidRPr="001A170B" w:rsidRDefault="001A170B" w:rsidP="001A170B">
      <w:pPr>
        <w:numPr>
          <w:ilvl w:val="0"/>
          <w:numId w:val="43"/>
        </w:numPr>
        <w:spacing w:after="250" w:line="276" w:lineRule="auto"/>
        <w:jc w:val="both"/>
        <w:rPr>
          <w:b/>
          <w:sz w:val="22"/>
          <w:szCs w:val="20"/>
          <w:lang w:eastAsia="en-US"/>
        </w:rPr>
      </w:pPr>
      <w:r w:rsidRPr="001A170B">
        <w:rPr>
          <w:b/>
          <w:sz w:val="22"/>
          <w:szCs w:val="20"/>
          <w:lang w:eastAsia="en-US"/>
        </w:rPr>
        <w:t>Prime broker services</w:t>
      </w:r>
    </w:p>
    <w:p w:rsidR="001A170B" w:rsidRDefault="001A170B" w:rsidP="001A170B">
      <w:pPr>
        <w:numPr>
          <w:ilvl w:val="0"/>
          <w:numId w:val="43"/>
        </w:numPr>
        <w:spacing w:after="250" w:line="276" w:lineRule="auto"/>
        <w:jc w:val="both"/>
        <w:rPr>
          <w:b/>
          <w:sz w:val="22"/>
          <w:szCs w:val="20"/>
          <w:lang w:eastAsia="en-US"/>
        </w:rPr>
      </w:pPr>
      <w:r w:rsidRPr="001A170B">
        <w:rPr>
          <w:b/>
          <w:sz w:val="22"/>
          <w:szCs w:val="20"/>
          <w:lang w:eastAsia="en-US"/>
        </w:rPr>
        <w:t>Tri-party collateral management / securities lending.</w:t>
      </w:r>
    </w:p>
    <w:p w:rsidR="00F579DC" w:rsidRDefault="00F579DC" w:rsidP="00F579DC">
      <w:pPr>
        <w:spacing w:after="250" w:line="276" w:lineRule="auto"/>
        <w:jc w:val="both"/>
        <w:rPr>
          <w:b/>
          <w:sz w:val="22"/>
          <w:szCs w:val="20"/>
          <w:lang w:eastAsia="en-US"/>
        </w:rPr>
      </w:pPr>
    </w:p>
    <w:p w:rsidR="00F579DC" w:rsidRPr="00176639" w:rsidRDefault="00F579DC" w:rsidP="00F579DC">
      <w:r w:rsidRPr="00176639">
        <w:t>&lt;ESMA_</w:t>
      </w:r>
      <w:r>
        <w:t>QUESTION</w:t>
      </w:r>
      <w:r w:rsidRPr="00176639">
        <w:t>_</w:t>
      </w:r>
      <w:r>
        <w:t>CE_</w:t>
      </w:r>
      <w:r w:rsidRPr="000018FA">
        <w:t>ASCS</w:t>
      </w:r>
      <w:r w:rsidRPr="00176639">
        <w:t>_</w:t>
      </w:r>
      <w:r>
        <w:t>7</w:t>
      </w:r>
      <w:r w:rsidRPr="00176639">
        <w:t>&gt;</w:t>
      </w:r>
    </w:p>
    <w:p w:rsidR="00727A79" w:rsidRDefault="00727A79" w:rsidP="00F579DC">
      <w:pPr>
        <w:spacing w:after="250" w:line="276" w:lineRule="auto"/>
        <w:jc w:val="both"/>
      </w:pPr>
      <w:permStart w:id="1903839412" w:edGrp="everyone"/>
      <w:r w:rsidRPr="00727A79">
        <w:t>Irish Funds supports the AGC and AFME responses to this question.</w:t>
      </w:r>
    </w:p>
    <w:permEnd w:id="1903839412"/>
    <w:p w:rsidR="00F579DC" w:rsidRDefault="00F579DC" w:rsidP="00F579DC">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7</w:t>
      </w:r>
      <w:r w:rsidRPr="00B42A10">
        <w:rPr>
          <w:lang w:val="fr-FR"/>
        </w:rPr>
        <w:t>&gt;</w:t>
      </w:r>
    </w:p>
    <w:p w:rsidR="00F579DC" w:rsidRPr="001A170B" w:rsidRDefault="00F579DC" w:rsidP="00F579DC">
      <w:pPr>
        <w:spacing w:after="250" w:line="276" w:lineRule="auto"/>
        <w:jc w:val="both"/>
        <w:rPr>
          <w:b/>
          <w:sz w:val="22"/>
          <w:szCs w:val="20"/>
          <w:lang w:eastAsia="en-US"/>
        </w:rPr>
      </w:pPr>
    </w:p>
    <w:p w:rsid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 xml:space="preserve">It has been argued that each time a new end investor or new AIF or UCITS is added as a customer, instead of one new account being created, many new accounts would need to be created at multiple levels in the chain of custody. If you agree with this statement, please provide further details of how this would work in practice. </w:t>
      </w:r>
    </w:p>
    <w:p w:rsidR="001C29EC" w:rsidRDefault="001C29EC" w:rsidP="001C29EC">
      <w:pPr>
        <w:spacing w:after="250" w:line="276" w:lineRule="auto"/>
        <w:jc w:val="both"/>
        <w:rPr>
          <w:b/>
          <w:bCs/>
          <w:sz w:val="22"/>
          <w:szCs w:val="20"/>
          <w:lang w:eastAsia="en-US"/>
        </w:rPr>
      </w:pPr>
    </w:p>
    <w:p w:rsidR="001C29EC" w:rsidRPr="00176639" w:rsidRDefault="001C29EC" w:rsidP="001C29EC">
      <w:r w:rsidRPr="00176639">
        <w:t>&lt;ESMA_</w:t>
      </w:r>
      <w:r>
        <w:t>QUESTION</w:t>
      </w:r>
      <w:r w:rsidRPr="00176639">
        <w:t>_</w:t>
      </w:r>
      <w:r>
        <w:t>CE_</w:t>
      </w:r>
      <w:r w:rsidRPr="000018FA">
        <w:t>ASCS</w:t>
      </w:r>
      <w:r w:rsidRPr="00176639">
        <w:t>_</w:t>
      </w:r>
      <w:r>
        <w:t>8</w:t>
      </w:r>
      <w:r w:rsidRPr="00176639">
        <w:t>&gt;</w:t>
      </w:r>
    </w:p>
    <w:p w:rsidR="00727A79" w:rsidRDefault="00727A79" w:rsidP="001C29EC">
      <w:pPr>
        <w:spacing w:after="250" w:line="276" w:lineRule="auto"/>
        <w:jc w:val="both"/>
      </w:pPr>
      <w:permStart w:id="297999351" w:edGrp="everyone"/>
      <w:r w:rsidRPr="00727A79">
        <w:t>Irish Funds supports the AGC and AFME responses to this question.</w:t>
      </w:r>
    </w:p>
    <w:permEnd w:id="297999351"/>
    <w:p w:rsidR="001C29EC" w:rsidRDefault="001C29EC" w:rsidP="001C29EC">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8</w:t>
      </w:r>
      <w:r w:rsidRPr="00B42A10">
        <w:rPr>
          <w:lang w:val="fr-FR"/>
        </w:rPr>
        <w:t>&gt;</w:t>
      </w:r>
    </w:p>
    <w:p w:rsidR="001C29EC" w:rsidRPr="001A170B" w:rsidRDefault="001C29EC" w:rsidP="001C29EC">
      <w:pPr>
        <w:spacing w:after="250" w:line="276" w:lineRule="auto"/>
        <w:jc w:val="both"/>
        <w:rPr>
          <w:b/>
          <w:bCs/>
          <w:sz w:val="22"/>
          <w:szCs w:val="20"/>
          <w:lang w:eastAsia="en-US"/>
        </w:rPr>
      </w:pPr>
    </w:p>
    <w:p w:rsid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If the number of accounts were increased, what effect would it have on the efficiency of settlement operations (e.g. the ability to net off transactions)?</w:t>
      </w:r>
    </w:p>
    <w:p w:rsidR="001C29EC" w:rsidRDefault="001C29EC" w:rsidP="001C29EC">
      <w:pPr>
        <w:spacing w:after="250" w:line="276" w:lineRule="auto"/>
        <w:jc w:val="both"/>
        <w:rPr>
          <w:b/>
          <w:bCs/>
          <w:sz w:val="22"/>
          <w:szCs w:val="20"/>
          <w:lang w:eastAsia="en-US"/>
        </w:rPr>
      </w:pPr>
    </w:p>
    <w:p w:rsidR="001C29EC" w:rsidRPr="00176639" w:rsidRDefault="001C29EC" w:rsidP="001C29EC">
      <w:r w:rsidRPr="00176639">
        <w:t>&lt;ESMA_</w:t>
      </w:r>
      <w:r>
        <w:t>QUESTION</w:t>
      </w:r>
      <w:r w:rsidRPr="00176639">
        <w:t>_</w:t>
      </w:r>
      <w:r>
        <w:t>CE_</w:t>
      </w:r>
      <w:r w:rsidRPr="000018FA">
        <w:t>ASCS</w:t>
      </w:r>
      <w:r w:rsidRPr="00176639">
        <w:t>_</w:t>
      </w:r>
      <w:r>
        <w:t>9</w:t>
      </w:r>
      <w:r w:rsidRPr="00176639">
        <w:t>&gt;</w:t>
      </w:r>
    </w:p>
    <w:p w:rsidR="00727A79" w:rsidRDefault="00727A79" w:rsidP="001C29EC">
      <w:pPr>
        <w:spacing w:after="250" w:line="276" w:lineRule="auto"/>
        <w:jc w:val="both"/>
      </w:pPr>
      <w:permStart w:id="1549741180" w:edGrp="everyone"/>
      <w:r w:rsidRPr="00727A79">
        <w:t>Irish Funds supports the AGC and AFME responses to this question.</w:t>
      </w:r>
    </w:p>
    <w:permEnd w:id="1549741180"/>
    <w:p w:rsidR="001C29EC" w:rsidRDefault="001C29EC" w:rsidP="001C29EC">
      <w:pPr>
        <w:spacing w:after="250" w:line="276" w:lineRule="auto"/>
        <w:jc w:val="both"/>
        <w:rPr>
          <w:b/>
          <w:bCs/>
          <w:sz w:val="22"/>
          <w:szCs w:val="20"/>
          <w:lang w:eastAsia="en-US"/>
        </w:rPr>
      </w:pPr>
      <w:r w:rsidRPr="00B42A10">
        <w:rPr>
          <w:lang w:val="fr-FR"/>
        </w:rPr>
        <w:t>&lt;ESMA_</w:t>
      </w:r>
      <w:r w:rsidRPr="001A170B">
        <w:rPr>
          <w:lang w:val="fr-FR"/>
        </w:rPr>
        <w:t>QUESTION</w:t>
      </w:r>
      <w:r w:rsidRPr="00B42A10">
        <w:rPr>
          <w:lang w:val="fr-FR"/>
        </w:rPr>
        <w:t>_CE_ASCS_</w:t>
      </w:r>
      <w:r>
        <w:rPr>
          <w:lang w:val="fr-FR"/>
        </w:rPr>
        <w:t>9</w:t>
      </w:r>
      <w:r w:rsidRPr="00B42A10">
        <w:rPr>
          <w:lang w:val="fr-FR"/>
        </w:rPr>
        <w:t>&gt;</w:t>
      </w:r>
    </w:p>
    <w:p w:rsidR="001C29EC" w:rsidRPr="001A170B" w:rsidRDefault="001C29EC" w:rsidP="001C29EC">
      <w:pPr>
        <w:spacing w:after="250" w:line="276" w:lineRule="auto"/>
        <w:jc w:val="both"/>
        <w:rPr>
          <w:b/>
          <w:bCs/>
          <w:sz w:val="22"/>
          <w:szCs w:val="20"/>
          <w:lang w:eastAsia="en-US"/>
        </w:rPr>
      </w:pPr>
    </w:p>
    <w:p w:rsidR="001A170B" w:rsidRP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Many respondents to the CP argued that option 1 in the CP would prevent asset managers from:</w:t>
      </w:r>
    </w:p>
    <w:p w:rsidR="001A170B" w:rsidRPr="001A170B" w:rsidRDefault="001A170B" w:rsidP="001A170B">
      <w:pPr>
        <w:numPr>
          <w:ilvl w:val="0"/>
          <w:numId w:val="49"/>
        </w:numPr>
        <w:spacing w:after="250" w:line="276" w:lineRule="auto"/>
        <w:jc w:val="both"/>
        <w:rPr>
          <w:rFonts w:cs="Arial"/>
          <w:b/>
          <w:sz w:val="22"/>
          <w:szCs w:val="20"/>
          <w:lang w:eastAsia="en-US"/>
        </w:rPr>
      </w:pPr>
      <w:r w:rsidRPr="001A170B">
        <w:rPr>
          <w:rFonts w:cs="Arial"/>
          <w:b/>
          <w:sz w:val="22"/>
          <w:szCs w:val="20"/>
          <w:lang w:eastAsia="en-US"/>
        </w:rPr>
        <w:lastRenderedPageBreak/>
        <w:t>executing block trades; and</w:t>
      </w:r>
    </w:p>
    <w:p w:rsidR="001A170B" w:rsidRPr="001A170B" w:rsidRDefault="001A170B" w:rsidP="001A170B">
      <w:pPr>
        <w:numPr>
          <w:ilvl w:val="0"/>
          <w:numId w:val="49"/>
        </w:numPr>
        <w:spacing w:after="250" w:line="276" w:lineRule="auto"/>
        <w:jc w:val="both"/>
        <w:rPr>
          <w:rFonts w:cs="Arial"/>
          <w:b/>
          <w:sz w:val="22"/>
          <w:szCs w:val="20"/>
          <w:lang w:eastAsia="en-US"/>
        </w:rPr>
      </w:pPr>
      <w:r w:rsidRPr="001A170B">
        <w:rPr>
          <w:rFonts w:cs="Arial"/>
          <w:b/>
          <w:sz w:val="22"/>
          <w:szCs w:val="20"/>
          <w:lang w:eastAsia="en-US"/>
        </w:rPr>
        <w:t xml:space="preserve">benefiting from internalised settlements (settling across the account provider’s own books rather than the books of the sub-delegate). </w:t>
      </w:r>
    </w:p>
    <w:p w:rsidR="001A170B" w:rsidRDefault="001A170B" w:rsidP="001A170B">
      <w:pPr>
        <w:spacing w:after="250" w:line="276" w:lineRule="auto"/>
        <w:ind w:left="360"/>
        <w:jc w:val="both"/>
        <w:rPr>
          <w:b/>
          <w:bCs/>
          <w:sz w:val="22"/>
          <w:szCs w:val="20"/>
          <w:lang w:eastAsia="en-US"/>
        </w:rPr>
      </w:pPr>
      <w:r w:rsidRPr="001A170B">
        <w:rPr>
          <w:b/>
          <w:bCs/>
          <w:sz w:val="22"/>
          <w:szCs w:val="20"/>
          <w:lang w:eastAsia="en-US"/>
        </w:rPr>
        <w:t>If you agree with the statements under a) or b), please explain the relevant issue.</w:t>
      </w:r>
    </w:p>
    <w:p w:rsidR="00731D88" w:rsidRDefault="00731D88" w:rsidP="00731D88">
      <w:pPr>
        <w:spacing w:after="250" w:line="276" w:lineRule="auto"/>
        <w:jc w:val="both"/>
        <w:rPr>
          <w:b/>
          <w:bCs/>
          <w:sz w:val="22"/>
          <w:szCs w:val="20"/>
          <w:lang w:eastAsia="en-US"/>
        </w:rPr>
      </w:pPr>
    </w:p>
    <w:p w:rsidR="00731D88" w:rsidRDefault="00731D88" w:rsidP="00731D88">
      <w:pPr>
        <w:spacing w:after="250" w:line="276" w:lineRule="auto"/>
        <w:jc w:val="both"/>
        <w:rPr>
          <w:b/>
          <w:bCs/>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10</w:t>
      </w:r>
      <w:r w:rsidRPr="00176639">
        <w:t>&gt;</w:t>
      </w:r>
    </w:p>
    <w:p w:rsidR="00727A79" w:rsidRDefault="00727A79" w:rsidP="00731D88">
      <w:pPr>
        <w:spacing w:after="250" w:line="276" w:lineRule="auto"/>
        <w:jc w:val="both"/>
      </w:pPr>
      <w:permStart w:id="1142752534" w:edGrp="everyone"/>
      <w:r w:rsidRPr="00727A79">
        <w:t>Irish Funds supports the AGC and AFME responses to this question.</w:t>
      </w:r>
    </w:p>
    <w:permEnd w:id="1142752534"/>
    <w:p w:rsidR="00731D88" w:rsidRDefault="00731D88" w:rsidP="00731D88">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10</w:t>
      </w:r>
      <w:r w:rsidRPr="00B42A10">
        <w:rPr>
          <w:lang w:val="fr-FR"/>
        </w:rPr>
        <w:t>&gt;</w:t>
      </w:r>
    </w:p>
    <w:p w:rsidR="00731D88" w:rsidRDefault="00731D88" w:rsidP="00731D88">
      <w:pPr>
        <w:spacing w:after="250" w:line="276" w:lineRule="auto"/>
        <w:jc w:val="both"/>
        <w:rPr>
          <w:b/>
          <w:bCs/>
          <w:sz w:val="22"/>
          <w:szCs w:val="20"/>
          <w:lang w:eastAsia="en-US"/>
        </w:rPr>
      </w:pPr>
    </w:p>
    <w:p w:rsid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Many CP respondents indicated that the costs associated with option 1 are very significant. Please provide further data on quantifying the cost impact (including one-off and on-going) of option 1 on AIFs/UCITS (and their shareholders), depositaries, global custodians, prime brokers, delegates, their clients and the different markets?</w:t>
      </w:r>
    </w:p>
    <w:p w:rsidR="00731D88" w:rsidRDefault="00731D88" w:rsidP="00731D88">
      <w:pPr>
        <w:spacing w:after="250" w:line="276" w:lineRule="auto"/>
        <w:jc w:val="both"/>
        <w:rPr>
          <w:b/>
          <w:bCs/>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11</w:t>
      </w:r>
      <w:r w:rsidRPr="00176639">
        <w:t>&gt;</w:t>
      </w:r>
    </w:p>
    <w:p w:rsidR="00727A79" w:rsidRDefault="00727A79" w:rsidP="00731D88">
      <w:pPr>
        <w:spacing w:after="250" w:line="276" w:lineRule="auto"/>
        <w:jc w:val="both"/>
      </w:pPr>
      <w:permStart w:id="1644518231" w:edGrp="everyone"/>
      <w:r w:rsidRPr="00727A79">
        <w:t>Irish Funds supports the AGC and AFME responses to this question.</w:t>
      </w:r>
    </w:p>
    <w:permEnd w:id="1644518231"/>
    <w:p w:rsidR="00731D88" w:rsidRDefault="00731D88" w:rsidP="00731D88">
      <w:pPr>
        <w:spacing w:after="250" w:line="276" w:lineRule="auto"/>
        <w:jc w:val="both"/>
        <w:rPr>
          <w:b/>
          <w:bCs/>
          <w:sz w:val="22"/>
          <w:szCs w:val="20"/>
          <w:lang w:eastAsia="en-US"/>
        </w:rPr>
      </w:pPr>
      <w:r w:rsidRPr="00B42A10">
        <w:rPr>
          <w:lang w:val="fr-FR"/>
        </w:rPr>
        <w:t>&lt;ESMA_</w:t>
      </w:r>
      <w:r w:rsidRPr="001A170B">
        <w:rPr>
          <w:lang w:val="fr-FR"/>
        </w:rPr>
        <w:t>QUESTION</w:t>
      </w:r>
      <w:r w:rsidRPr="00B42A10">
        <w:rPr>
          <w:lang w:val="fr-FR"/>
        </w:rPr>
        <w:t>_CE_ASCS_</w:t>
      </w:r>
      <w:r>
        <w:rPr>
          <w:lang w:val="fr-FR"/>
        </w:rPr>
        <w:t>11</w:t>
      </w:r>
      <w:r w:rsidRPr="00B42A10">
        <w:rPr>
          <w:lang w:val="fr-FR"/>
        </w:rPr>
        <w:t>&gt;</w:t>
      </w:r>
    </w:p>
    <w:p w:rsidR="00731D88" w:rsidRPr="001A170B" w:rsidRDefault="00731D88" w:rsidP="00731D88">
      <w:pPr>
        <w:spacing w:after="250" w:line="276" w:lineRule="auto"/>
        <w:jc w:val="both"/>
        <w:rPr>
          <w:b/>
          <w:bCs/>
          <w:sz w:val="22"/>
          <w:szCs w:val="20"/>
          <w:lang w:eastAsia="en-US"/>
        </w:rPr>
      </w:pPr>
    </w:p>
    <w:p w:rsid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Are there any advantages of using omnibus accounts not covered in your responses to other questions?</w:t>
      </w:r>
    </w:p>
    <w:p w:rsidR="00731D88" w:rsidRDefault="00731D88" w:rsidP="00731D88">
      <w:pPr>
        <w:spacing w:after="250" w:line="276" w:lineRule="auto"/>
        <w:jc w:val="both"/>
        <w:rPr>
          <w:b/>
          <w:bCs/>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12</w:t>
      </w:r>
      <w:r w:rsidRPr="00176639">
        <w:t>&gt;</w:t>
      </w:r>
    </w:p>
    <w:p w:rsidR="00727A79" w:rsidRDefault="00727A79" w:rsidP="00731D88">
      <w:pPr>
        <w:spacing w:after="250" w:line="276" w:lineRule="auto"/>
        <w:jc w:val="both"/>
      </w:pPr>
      <w:permStart w:id="1558590896" w:edGrp="everyone"/>
      <w:r w:rsidRPr="00727A79">
        <w:t>Irish Funds supports the AGC and AFME responses to this question.</w:t>
      </w:r>
    </w:p>
    <w:permEnd w:id="1558590896"/>
    <w:p w:rsidR="00731D88" w:rsidRDefault="00731D88" w:rsidP="00731D88">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12</w:t>
      </w:r>
      <w:r w:rsidRPr="00B42A10">
        <w:rPr>
          <w:lang w:val="fr-FR"/>
        </w:rPr>
        <w:t>&gt;</w:t>
      </w:r>
    </w:p>
    <w:p w:rsidR="00731D88" w:rsidRPr="001A170B" w:rsidRDefault="00731D88" w:rsidP="00731D88">
      <w:pPr>
        <w:spacing w:after="250" w:line="276" w:lineRule="auto"/>
        <w:jc w:val="both"/>
        <w:rPr>
          <w:b/>
          <w:bCs/>
          <w:sz w:val="22"/>
          <w:szCs w:val="20"/>
          <w:lang w:eastAsia="en-US"/>
        </w:rPr>
      </w:pPr>
    </w:p>
    <w:p w:rsid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 xml:space="preserve">Please consider the case where a third-party delegate or sub-delegate in the custody chain also acts as a clearing member under EMIR. What would be the impact (if any) of the interaction between the approaches described under each of the options in the table </w:t>
      </w:r>
      <w:r w:rsidRPr="001A170B">
        <w:rPr>
          <w:b/>
          <w:bCs/>
          <w:sz w:val="22"/>
          <w:szCs w:val="20"/>
          <w:lang w:eastAsia="en-US"/>
        </w:rPr>
        <w:lastRenderedPageBreak/>
        <w:t>under Q22 below and the choices provided for under Article 39 (2) and (3) of EMIR</w:t>
      </w:r>
      <w:r w:rsidRPr="001A170B">
        <w:rPr>
          <w:b/>
          <w:bCs/>
          <w:sz w:val="16"/>
          <w:szCs w:val="20"/>
          <w:vertAlign w:val="superscript"/>
          <w:lang w:eastAsia="en-US"/>
        </w:rPr>
        <w:footnoteReference w:id="10"/>
      </w:r>
      <w:r w:rsidRPr="001A170B">
        <w:rPr>
          <w:b/>
          <w:bCs/>
          <w:sz w:val="22"/>
          <w:szCs w:val="20"/>
          <w:lang w:eastAsia="en-US"/>
        </w:rPr>
        <w:t xml:space="preserve"> (including if this may raise any operational difficulties)? Should you consider that there is any impact, please explain why. </w:t>
      </w:r>
    </w:p>
    <w:p w:rsidR="00731D88" w:rsidRDefault="00731D88" w:rsidP="00731D88">
      <w:pPr>
        <w:spacing w:after="250" w:line="276" w:lineRule="auto"/>
        <w:jc w:val="both"/>
        <w:rPr>
          <w:b/>
          <w:bCs/>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13</w:t>
      </w:r>
      <w:r w:rsidRPr="00176639">
        <w:t>&gt;</w:t>
      </w:r>
    </w:p>
    <w:p w:rsidR="00727A79" w:rsidRDefault="00727A79" w:rsidP="00731D88">
      <w:pPr>
        <w:spacing w:after="250" w:line="276" w:lineRule="auto"/>
        <w:jc w:val="both"/>
      </w:pPr>
      <w:permStart w:id="782384032" w:edGrp="everyone"/>
      <w:r w:rsidRPr="00727A79">
        <w:t>Irish Funds supports the AGC and AFME responses to this question.</w:t>
      </w:r>
    </w:p>
    <w:permEnd w:id="782384032"/>
    <w:p w:rsidR="00731D88" w:rsidRPr="001A170B" w:rsidRDefault="00731D88" w:rsidP="00731D88">
      <w:pPr>
        <w:spacing w:after="250" w:line="276" w:lineRule="auto"/>
        <w:jc w:val="both"/>
        <w:rPr>
          <w:b/>
          <w:bCs/>
          <w:sz w:val="22"/>
          <w:szCs w:val="20"/>
          <w:lang w:eastAsia="en-US"/>
        </w:rPr>
      </w:pPr>
      <w:r w:rsidRPr="00B42A10">
        <w:rPr>
          <w:lang w:val="fr-FR"/>
        </w:rPr>
        <w:t>&lt;ESMA_</w:t>
      </w:r>
      <w:r w:rsidRPr="001A170B">
        <w:rPr>
          <w:lang w:val="fr-FR"/>
        </w:rPr>
        <w:t>QUESTION</w:t>
      </w:r>
      <w:r w:rsidRPr="00B42A10">
        <w:rPr>
          <w:lang w:val="fr-FR"/>
        </w:rPr>
        <w:t>_CE_ASCS_</w:t>
      </w:r>
      <w:r>
        <w:rPr>
          <w:lang w:val="fr-FR"/>
        </w:rPr>
        <w:t>13</w:t>
      </w:r>
      <w:r w:rsidRPr="00B42A10">
        <w:rPr>
          <w:lang w:val="fr-FR"/>
        </w:rPr>
        <w:t>&gt;</w:t>
      </w:r>
    </w:p>
    <w:p w:rsidR="001A170B" w:rsidRP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Please describe the functioning of the following arrangements and clarify the operational reasons why, and the extent to which, the segregation requirements under option 1 would affect them:</w:t>
      </w:r>
    </w:p>
    <w:p w:rsidR="001A170B" w:rsidRPr="001A170B" w:rsidRDefault="001A170B" w:rsidP="001A170B">
      <w:pPr>
        <w:numPr>
          <w:ilvl w:val="0"/>
          <w:numId w:val="50"/>
        </w:numPr>
        <w:spacing w:after="250" w:line="276" w:lineRule="auto"/>
        <w:jc w:val="both"/>
        <w:rPr>
          <w:rFonts w:cs="Arial"/>
          <w:b/>
          <w:sz w:val="22"/>
          <w:szCs w:val="20"/>
          <w:lang w:eastAsia="en-US"/>
        </w:rPr>
      </w:pPr>
      <w:r w:rsidRPr="001A170B">
        <w:rPr>
          <w:rFonts w:cs="Arial"/>
          <w:b/>
          <w:sz w:val="22"/>
          <w:szCs w:val="20"/>
          <w:lang w:eastAsia="en-US"/>
        </w:rPr>
        <w:t>tri-party collateral management arrangements;</w:t>
      </w:r>
    </w:p>
    <w:p w:rsidR="001A170B" w:rsidRDefault="001A170B" w:rsidP="001A170B">
      <w:pPr>
        <w:numPr>
          <w:ilvl w:val="0"/>
          <w:numId w:val="50"/>
        </w:numPr>
        <w:spacing w:after="250" w:line="276" w:lineRule="auto"/>
        <w:jc w:val="both"/>
        <w:rPr>
          <w:rFonts w:cs="Arial"/>
          <w:b/>
          <w:sz w:val="22"/>
          <w:szCs w:val="20"/>
          <w:lang w:eastAsia="en-US"/>
        </w:rPr>
      </w:pPr>
      <w:r w:rsidRPr="001A170B">
        <w:rPr>
          <w:rFonts w:cs="Arial"/>
          <w:b/>
          <w:sz w:val="22"/>
          <w:szCs w:val="20"/>
          <w:lang w:eastAsia="en-US"/>
        </w:rPr>
        <w:t>prime brokerage arrangements.</w:t>
      </w:r>
    </w:p>
    <w:p w:rsidR="00731D88" w:rsidRDefault="00731D88" w:rsidP="00731D88">
      <w:pPr>
        <w:spacing w:after="250" w:line="276" w:lineRule="auto"/>
        <w:jc w:val="both"/>
        <w:rPr>
          <w:rFonts w:cs="Arial"/>
          <w:b/>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14</w:t>
      </w:r>
      <w:r w:rsidRPr="00176639">
        <w:t>&gt;</w:t>
      </w:r>
    </w:p>
    <w:p w:rsidR="009A6578" w:rsidRDefault="009A6578" w:rsidP="00731D88">
      <w:pPr>
        <w:spacing w:after="250" w:line="276" w:lineRule="auto"/>
        <w:jc w:val="both"/>
      </w:pPr>
      <w:permStart w:id="828459507" w:edGrp="everyone"/>
      <w:r w:rsidRPr="009A6578">
        <w:t>Irish Funds supports the AGC and AFME responses to this question.</w:t>
      </w:r>
    </w:p>
    <w:permEnd w:id="828459507"/>
    <w:p w:rsidR="00731D88" w:rsidRDefault="00731D88" w:rsidP="00731D88">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14</w:t>
      </w:r>
      <w:r w:rsidRPr="00B42A10">
        <w:rPr>
          <w:lang w:val="fr-FR"/>
        </w:rPr>
        <w:t>&gt;</w:t>
      </w:r>
    </w:p>
    <w:p w:rsidR="00731D88" w:rsidRPr="001A170B" w:rsidRDefault="00731D88" w:rsidP="00731D88">
      <w:pPr>
        <w:spacing w:after="250" w:line="276" w:lineRule="auto"/>
        <w:jc w:val="both"/>
        <w:rPr>
          <w:rFonts w:cs="Arial"/>
          <w:b/>
          <w:sz w:val="22"/>
          <w:szCs w:val="20"/>
          <w:lang w:eastAsia="en-US"/>
        </w:rPr>
      </w:pPr>
    </w:p>
    <w:p w:rsid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Are you able to source any data on quantifying the additional costs and market impact for prime brokers and/or collateral managers as a result of implementing option 1?</w:t>
      </w:r>
    </w:p>
    <w:p w:rsidR="00731D88" w:rsidRDefault="00731D88" w:rsidP="00731D88">
      <w:pPr>
        <w:spacing w:after="250" w:line="276" w:lineRule="auto"/>
        <w:jc w:val="both"/>
        <w:rPr>
          <w:b/>
          <w:bCs/>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15</w:t>
      </w:r>
      <w:r w:rsidRPr="00176639">
        <w:t>&gt;</w:t>
      </w:r>
    </w:p>
    <w:p w:rsidR="009A6578" w:rsidRDefault="009A6578" w:rsidP="00731D88">
      <w:pPr>
        <w:spacing w:after="250" w:line="276" w:lineRule="auto"/>
        <w:jc w:val="both"/>
      </w:pPr>
      <w:permStart w:id="545654164" w:edGrp="everyone"/>
      <w:r w:rsidRPr="009A6578">
        <w:t>Irish Funds supports the AGC and AFME responses to this question.</w:t>
      </w:r>
    </w:p>
    <w:permEnd w:id="545654164"/>
    <w:p w:rsidR="00731D88" w:rsidRPr="001A170B" w:rsidRDefault="00731D88" w:rsidP="00731D88">
      <w:pPr>
        <w:spacing w:after="250" w:line="276" w:lineRule="auto"/>
        <w:jc w:val="both"/>
        <w:rPr>
          <w:b/>
          <w:bCs/>
          <w:sz w:val="22"/>
          <w:szCs w:val="20"/>
          <w:lang w:eastAsia="en-US"/>
        </w:rPr>
      </w:pPr>
      <w:r w:rsidRPr="00B42A10">
        <w:rPr>
          <w:lang w:val="fr-FR"/>
        </w:rPr>
        <w:t>&lt;ESMA_</w:t>
      </w:r>
      <w:r w:rsidRPr="001A170B">
        <w:rPr>
          <w:lang w:val="fr-FR"/>
        </w:rPr>
        <w:t>QUESTION</w:t>
      </w:r>
      <w:r w:rsidRPr="00B42A10">
        <w:rPr>
          <w:lang w:val="fr-FR"/>
        </w:rPr>
        <w:t>_CE_ASCS_</w:t>
      </w:r>
      <w:r>
        <w:rPr>
          <w:lang w:val="fr-FR"/>
        </w:rPr>
        <w:t>15</w:t>
      </w:r>
      <w:r w:rsidRPr="00B42A10">
        <w:rPr>
          <w:lang w:val="fr-FR"/>
        </w:rPr>
        <w:t>&gt;</w:t>
      </w:r>
    </w:p>
    <w:p w:rsid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 xml:space="preserve">Many respondents to the CP argued that the requirements under option 1 would trigger ‘legal certainty risk’ and ‘attendant operational risk’ in relation to collateral management. Should you agree with these statements, please specify what precisely you </w:t>
      </w:r>
      <w:r w:rsidRPr="001A170B">
        <w:rPr>
          <w:b/>
          <w:bCs/>
          <w:sz w:val="22"/>
          <w:szCs w:val="20"/>
          <w:lang w:eastAsia="en-US"/>
        </w:rPr>
        <w:lastRenderedPageBreak/>
        <w:t>understand by “legal certainty risk and “attendant operational risk”.  How could those risks be mitigated?</w:t>
      </w:r>
    </w:p>
    <w:p w:rsidR="00731D88" w:rsidRDefault="00731D88" w:rsidP="00731D88">
      <w:pPr>
        <w:spacing w:after="250" w:line="276" w:lineRule="auto"/>
        <w:jc w:val="both"/>
        <w:rPr>
          <w:b/>
          <w:bCs/>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16</w:t>
      </w:r>
      <w:r w:rsidRPr="00176639">
        <w:t>&gt;</w:t>
      </w:r>
    </w:p>
    <w:p w:rsidR="009A6578" w:rsidRDefault="009A6578" w:rsidP="00731D88">
      <w:pPr>
        <w:spacing w:after="250" w:line="276" w:lineRule="auto"/>
        <w:jc w:val="both"/>
      </w:pPr>
      <w:permStart w:id="338910664" w:edGrp="everyone"/>
      <w:r w:rsidRPr="009A6578">
        <w:t>Irish Funds supports the AGC and AFME responses to this question.</w:t>
      </w:r>
    </w:p>
    <w:permEnd w:id="338910664"/>
    <w:p w:rsidR="00731D88" w:rsidRDefault="00731D88" w:rsidP="00731D88">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16</w:t>
      </w:r>
      <w:r w:rsidRPr="00B42A10">
        <w:rPr>
          <w:lang w:val="fr-FR"/>
        </w:rPr>
        <w:t>&gt;</w:t>
      </w:r>
    </w:p>
    <w:p w:rsidR="00731D88" w:rsidRPr="001A170B" w:rsidRDefault="00731D88" w:rsidP="00731D88">
      <w:pPr>
        <w:spacing w:after="250" w:line="276" w:lineRule="auto"/>
        <w:jc w:val="both"/>
        <w:rPr>
          <w:b/>
          <w:bCs/>
          <w:sz w:val="22"/>
          <w:szCs w:val="20"/>
          <w:lang w:eastAsia="en-US"/>
        </w:rPr>
      </w:pPr>
    </w:p>
    <w:p w:rsid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Could adaptations to IT systems help to face the challenges that option 1 represents in relation to collateral management? If so, please explain how, if possible indicating the costs and timescales of the work that would be needed.</w:t>
      </w:r>
    </w:p>
    <w:p w:rsidR="00731D88" w:rsidRDefault="00731D88" w:rsidP="00731D88">
      <w:pPr>
        <w:spacing w:after="250" w:line="276" w:lineRule="auto"/>
        <w:jc w:val="both"/>
        <w:rPr>
          <w:b/>
          <w:bCs/>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17</w:t>
      </w:r>
      <w:r w:rsidRPr="00176639">
        <w:t>&gt;</w:t>
      </w:r>
    </w:p>
    <w:p w:rsidR="009A6578" w:rsidRDefault="009A6578" w:rsidP="00731D88">
      <w:pPr>
        <w:spacing w:after="250" w:line="276" w:lineRule="auto"/>
        <w:jc w:val="both"/>
      </w:pPr>
      <w:permStart w:id="1910837368" w:edGrp="everyone"/>
      <w:r w:rsidRPr="009A6578">
        <w:t>Irish Funds supports the AGC and AFME responses to this question.</w:t>
      </w:r>
    </w:p>
    <w:permEnd w:id="1910837368"/>
    <w:p w:rsidR="00731D88" w:rsidRPr="001A170B" w:rsidRDefault="00731D88" w:rsidP="00731D88">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17</w:t>
      </w:r>
      <w:r w:rsidRPr="00B42A10">
        <w:rPr>
          <w:lang w:val="fr-FR"/>
        </w:rPr>
        <w:t>&gt;</w:t>
      </w:r>
    </w:p>
    <w:p w:rsid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Have you identified any operational (or other) challenges in terms of the impact of the requirements under option 1 of the CP for the functioning and efficiency of T2S? If your answer is yes, please explain in detail.</w:t>
      </w:r>
    </w:p>
    <w:p w:rsidR="00731D88" w:rsidRDefault="00731D88" w:rsidP="00731D88">
      <w:pPr>
        <w:spacing w:after="250" w:line="276" w:lineRule="auto"/>
        <w:jc w:val="both"/>
        <w:rPr>
          <w:b/>
          <w:bCs/>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18</w:t>
      </w:r>
      <w:r w:rsidRPr="00176639">
        <w:t>&gt;</w:t>
      </w:r>
    </w:p>
    <w:p w:rsidR="009A6578" w:rsidRDefault="009A6578" w:rsidP="00731D88">
      <w:pPr>
        <w:spacing w:after="250" w:line="276" w:lineRule="auto"/>
        <w:jc w:val="both"/>
      </w:pPr>
      <w:permStart w:id="1121270358" w:edGrp="everyone"/>
      <w:r w:rsidRPr="009A6578">
        <w:t>Irish Funds supports the AGC and AFME responses to this question.</w:t>
      </w:r>
    </w:p>
    <w:permEnd w:id="1121270358"/>
    <w:p w:rsidR="00731D88" w:rsidRDefault="00731D88" w:rsidP="00731D88">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18</w:t>
      </w:r>
      <w:r w:rsidRPr="00B42A10">
        <w:rPr>
          <w:lang w:val="fr-FR"/>
        </w:rPr>
        <w:t>&gt;</w:t>
      </w:r>
    </w:p>
    <w:p w:rsidR="00731D88" w:rsidRPr="001A170B" w:rsidRDefault="00731D88" w:rsidP="00731D88">
      <w:pPr>
        <w:spacing w:after="250" w:line="276" w:lineRule="auto"/>
        <w:jc w:val="both"/>
        <w:rPr>
          <w:b/>
          <w:bCs/>
          <w:sz w:val="22"/>
          <w:szCs w:val="20"/>
          <w:lang w:eastAsia="en-US"/>
        </w:rPr>
      </w:pPr>
    </w:p>
    <w:p w:rsidR="001A170B" w:rsidRPr="001A170B" w:rsidRDefault="001A170B" w:rsidP="001A170B">
      <w:pPr>
        <w:numPr>
          <w:ilvl w:val="0"/>
          <w:numId w:val="38"/>
        </w:numPr>
        <w:spacing w:after="250" w:line="276" w:lineRule="auto"/>
        <w:jc w:val="both"/>
        <w:rPr>
          <w:rFonts w:cs="Arial"/>
          <w:b/>
          <w:bCs/>
          <w:sz w:val="22"/>
          <w:szCs w:val="20"/>
          <w:lang w:eastAsia="en-US"/>
        </w:rPr>
      </w:pPr>
      <w:r w:rsidRPr="001A170B">
        <w:rPr>
          <w:rFonts w:cs="Arial"/>
          <w:b/>
          <w:bCs/>
          <w:sz w:val="22"/>
          <w:szCs w:val="20"/>
          <w:lang w:eastAsia="en-US"/>
        </w:rPr>
        <w:t>Many respondents to the CP argued that AIFs risk being shut out of key markets due to the following:</w:t>
      </w:r>
    </w:p>
    <w:p w:rsidR="001A170B" w:rsidRPr="001A170B" w:rsidRDefault="001A170B" w:rsidP="001A170B">
      <w:pPr>
        <w:numPr>
          <w:ilvl w:val="0"/>
          <w:numId w:val="51"/>
        </w:numPr>
        <w:spacing w:after="250" w:line="276" w:lineRule="auto"/>
        <w:jc w:val="both"/>
        <w:rPr>
          <w:rFonts w:cs="Arial"/>
          <w:b/>
          <w:sz w:val="22"/>
          <w:szCs w:val="20"/>
          <w:lang w:eastAsia="en-US"/>
        </w:rPr>
      </w:pPr>
      <w:r w:rsidRPr="001A170B">
        <w:rPr>
          <w:rFonts w:cs="Arial"/>
          <w:b/>
          <w:sz w:val="22"/>
          <w:szCs w:val="20"/>
          <w:lang w:eastAsia="en-US"/>
        </w:rPr>
        <w:t>the mismatch that will arise between local jurisdiction securities ownership rules and the mandated level of segregation required under option 1 in the CP; and/or</w:t>
      </w:r>
    </w:p>
    <w:p w:rsidR="001A170B" w:rsidRPr="001A170B" w:rsidRDefault="001A170B" w:rsidP="001A170B">
      <w:pPr>
        <w:numPr>
          <w:ilvl w:val="0"/>
          <w:numId w:val="51"/>
        </w:numPr>
        <w:spacing w:after="250" w:line="276" w:lineRule="auto"/>
        <w:jc w:val="both"/>
        <w:rPr>
          <w:rFonts w:cs="Arial"/>
          <w:b/>
          <w:sz w:val="22"/>
          <w:szCs w:val="20"/>
          <w:lang w:eastAsia="en-US"/>
        </w:rPr>
      </w:pPr>
      <w:r w:rsidRPr="001A170B">
        <w:rPr>
          <w:rFonts w:cs="Arial"/>
          <w:b/>
          <w:sz w:val="22"/>
          <w:szCs w:val="20"/>
          <w:lang w:eastAsia="en-US"/>
        </w:rPr>
        <w:t xml:space="preserve">the requirement in certain countries to hold omnibus accounts across multiple depositaries, as is the case for certain stock exchanges. </w:t>
      </w:r>
    </w:p>
    <w:p w:rsidR="001A170B" w:rsidRDefault="001A170B" w:rsidP="001A170B">
      <w:pPr>
        <w:spacing w:after="250" w:line="276" w:lineRule="auto"/>
        <w:jc w:val="both"/>
        <w:rPr>
          <w:rFonts w:cs="Arial"/>
          <w:b/>
          <w:bCs/>
          <w:sz w:val="22"/>
          <w:szCs w:val="20"/>
          <w:lang w:eastAsia="en-US"/>
        </w:rPr>
      </w:pPr>
      <w:r w:rsidRPr="001A170B">
        <w:rPr>
          <w:rFonts w:cs="Arial"/>
          <w:b/>
          <w:bCs/>
          <w:sz w:val="22"/>
          <w:szCs w:val="20"/>
          <w:lang w:eastAsia="en-US"/>
        </w:rPr>
        <w:t>If you agree with the above statement, please explain your concern with reference to specific jurisdictions and/or stock exchanges and the relevant requirements.</w:t>
      </w:r>
    </w:p>
    <w:p w:rsidR="00731D88" w:rsidRDefault="00731D88" w:rsidP="001A170B">
      <w:pPr>
        <w:spacing w:after="250" w:line="276" w:lineRule="auto"/>
        <w:jc w:val="both"/>
        <w:rPr>
          <w:rFonts w:cs="Arial"/>
          <w:b/>
          <w:bCs/>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19</w:t>
      </w:r>
      <w:r w:rsidRPr="00176639">
        <w:t>&gt;</w:t>
      </w:r>
    </w:p>
    <w:p w:rsidR="00262F81" w:rsidRPr="00C82C2D" w:rsidRDefault="00262F81" w:rsidP="00262F81">
      <w:pPr>
        <w:pStyle w:val="NormalWeb"/>
        <w:jc w:val="both"/>
        <w:rPr>
          <w:rFonts w:ascii="Calibri" w:hAnsi="Calibri"/>
          <w:sz w:val="22"/>
          <w:szCs w:val="22"/>
          <w:lang w:val="en-IE" w:eastAsia="en-US"/>
        </w:rPr>
      </w:pPr>
      <w:permStart w:id="117127461" w:edGrp="everyone"/>
      <w:r w:rsidRPr="00C82C2D">
        <w:rPr>
          <w:rFonts w:ascii="Calibri" w:hAnsi="Calibri"/>
          <w:sz w:val="22"/>
          <w:szCs w:val="22"/>
          <w:lang w:val="en-IE" w:eastAsia="en-US"/>
        </w:rPr>
        <w:t xml:space="preserve">Yes, we believe enforcement of Option 1 would negatively impact on AIF and UCITS strategies in jurisdictions that operate local customer protection rules, for example the U.S. SEC's (customer protection rule) 15 C 33.  The requirement to segregate fund assets in a manner that is not compatible with established local practice will preclude funds from being able to avail of certain investment strategies, notwithstanding the fact that the protections afforded to investors exceed those based solely on segregation alone. </w:t>
      </w:r>
    </w:p>
    <w:p w:rsidR="00262F81" w:rsidRPr="00C82C2D" w:rsidRDefault="00262F81" w:rsidP="00262F81">
      <w:pPr>
        <w:jc w:val="both"/>
        <w:rPr>
          <w:rFonts w:ascii="Calibri" w:hAnsi="Calibri"/>
          <w:sz w:val="22"/>
          <w:szCs w:val="22"/>
          <w:lang w:val="en-IE"/>
        </w:rPr>
      </w:pPr>
      <w:r w:rsidRPr="00C82C2D">
        <w:rPr>
          <w:rFonts w:ascii="Calibri" w:hAnsi="Calibri"/>
          <w:sz w:val="22"/>
          <w:szCs w:val="22"/>
          <w:lang w:val="en-IE"/>
        </w:rPr>
        <w:t xml:space="preserve">In the context of </w:t>
      </w:r>
      <w:r w:rsidR="007D3EC2" w:rsidRPr="00C82C2D">
        <w:rPr>
          <w:rFonts w:ascii="Calibri" w:hAnsi="Calibri"/>
          <w:sz w:val="22"/>
          <w:szCs w:val="22"/>
          <w:lang w:val="en-IE"/>
        </w:rPr>
        <w:t xml:space="preserve">the </w:t>
      </w:r>
      <w:r w:rsidR="000C2462" w:rsidRPr="00C82C2D">
        <w:rPr>
          <w:rFonts w:ascii="Calibri" w:hAnsi="Calibri"/>
          <w:sz w:val="22"/>
          <w:szCs w:val="22"/>
          <w:lang w:val="en-IE"/>
        </w:rPr>
        <w:t>Shanghai</w:t>
      </w:r>
      <w:r w:rsidR="007D3EC2" w:rsidRPr="00C82C2D">
        <w:rPr>
          <w:rFonts w:ascii="Calibri" w:hAnsi="Calibri"/>
          <w:sz w:val="22"/>
          <w:szCs w:val="22"/>
          <w:lang w:val="en-IE"/>
        </w:rPr>
        <w:t>-Hong Kong</w:t>
      </w:r>
      <w:r w:rsidR="000C2462" w:rsidRPr="00C82C2D">
        <w:rPr>
          <w:rFonts w:ascii="Calibri" w:hAnsi="Calibri"/>
          <w:sz w:val="22"/>
          <w:szCs w:val="22"/>
          <w:lang w:val="en-IE"/>
        </w:rPr>
        <w:t xml:space="preserve"> Stock Connect</w:t>
      </w:r>
      <w:r w:rsidR="007D3EC2" w:rsidRPr="00C82C2D">
        <w:rPr>
          <w:rFonts w:ascii="Calibri" w:hAnsi="Calibri"/>
          <w:sz w:val="22"/>
          <w:szCs w:val="22"/>
          <w:lang w:val="en-IE"/>
        </w:rPr>
        <w:t xml:space="preserve"> programme</w:t>
      </w:r>
      <w:r w:rsidR="000C2462" w:rsidRPr="00C82C2D">
        <w:rPr>
          <w:rFonts w:ascii="Calibri" w:hAnsi="Calibri"/>
          <w:sz w:val="22"/>
          <w:szCs w:val="22"/>
          <w:lang w:val="en-IE"/>
        </w:rPr>
        <w:t xml:space="preserve">, </w:t>
      </w:r>
      <w:r w:rsidRPr="00C82C2D">
        <w:rPr>
          <w:rFonts w:ascii="Calibri" w:hAnsi="Calibri"/>
          <w:sz w:val="22"/>
          <w:szCs w:val="22"/>
          <w:lang w:val="en-IE"/>
        </w:rPr>
        <w:t>if HKSCC were considered a delegate, any segregation requirements imposed on delegates would apply. As we have previously outlined to ESMA, HKSCC is not prepared to identify in its books and records accounts of underlying account holders other than those of direct participants. This raises the obvious concern that if imposed segregation requirements cannot be complied with, investors in UCITS and AIFs would not be able to access the China A-share market under such an interoperability arrangement.</w:t>
      </w:r>
    </w:p>
    <w:p w:rsidR="00262F81" w:rsidRPr="00C82C2D" w:rsidRDefault="00262F81" w:rsidP="00262F81">
      <w:pPr>
        <w:jc w:val="both"/>
        <w:rPr>
          <w:rFonts w:ascii="Calibri" w:hAnsi="Calibri"/>
          <w:sz w:val="22"/>
          <w:szCs w:val="22"/>
          <w:lang w:val="en-IE"/>
        </w:rPr>
      </w:pPr>
    </w:p>
    <w:p w:rsidR="00262F81" w:rsidRDefault="00262F81" w:rsidP="00262F81">
      <w:pPr>
        <w:jc w:val="both"/>
        <w:rPr>
          <w:rFonts w:ascii="Calibri" w:hAnsi="Calibri"/>
          <w:sz w:val="22"/>
          <w:szCs w:val="22"/>
        </w:rPr>
      </w:pPr>
      <w:r w:rsidRPr="00C82C2D">
        <w:rPr>
          <w:rFonts w:ascii="Calibri" w:hAnsi="Calibri"/>
          <w:sz w:val="22"/>
          <w:szCs w:val="22"/>
          <w:lang w:val="en-IE" w:eastAsia="en-US"/>
        </w:rPr>
        <w:t>In the case funds investing in China A shares through the Shanghai-</w:t>
      </w:r>
      <w:r w:rsidR="000C2462" w:rsidRPr="00C82C2D">
        <w:rPr>
          <w:rFonts w:ascii="Calibri" w:hAnsi="Calibri"/>
          <w:sz w:val="22"/>
          <w:szCs w:val="22"/>
          <w:lang w:val="en-IE" w:eastAsia="en-US"/>
        </w:rPr>
        <w:t>Hong Kong</w:t>
      </w:r>
      <w:r w:rsidRPr="00C82C2D">
        <w:rPr>
          <w:rFonts w:ascii="Calibri" w:hAnsi="Calibri"/>
          <w:sz w:val="22"/>
          <w:szCs w:val="22"/>
          <w:lang w:val="en-IE" w:eastAsia="en-US"/>
        </w:rPr>
        <w:t xml:space="preserve"> Stock Connect program</w:t>
      </w:r>
      <w:r w:rsidR="007D3EC2" w:rsidRPr="00C82C2D">
        <w:rPr>
          <w:rFonts w:ascii="Calibri" w:hAnsi="Calibri"/>
          <w:sz w:val="22"/>
          <w:szCs w:val="22"/>
          <w:lang w:val="en-IE" w:eastAsia="en-US"/>
        </w:rPr>
        <w:t>me</w:t>
      </w:r>
      <w:r w:rsidRPr="00C82C2D">
        <w:rPr>
          <w:rFonts w:ascii="Calibri" w:hAnsi="Calibri"/>
          <w:sz w:val="22"/>
          <w:szCs w:val="22"/>
          <w:lang w:val="en-IE" w:eastAsia="en-US"/>
        </w:rPr>
        <w:t xml:space="preserve">, notably those depositaries supporting the enhanced model through </w:t>
      </w:r>
      <w:r w:rsidR="000C2462" w:rsidRPr="00C82C2D">
        <w:rPr>
          <w:rFonts w:ascii="Calibri" w:hAnsi="Calibri"/>
          <w:sz w:val="22"/>
          <w:szCs w:val="22"/>
          <w:lang w:val="en-IE" w:eastAsia="en-US"/>
        </w:rPr>
        <w:t xml:space="preserve">the </w:t>
      </w:r>
      <w:r w:rsidRPr="00C82C2D">
        <w:rPr>
          <w:rFonts w:ascii="Calibri" w:hAnsi="Calibri"/>
          <w:sz w:val="22"/>
          <w:szCs w:val="22"/>
          <w:lang w:val="en-IE" w:eastAsia="en-US"/>
        </w:rPr>
        <w:t xml:space="preserve">Special Segregated Accounts (“SPSA”) structure, Option 1 would give rise to operational challenges linking omnibus accounts </w:t>
      </w:r>
      <w:r w:rsidR="000C2462" w:rsidRPr="00C82C2D">
        <w:rPr>
          <w:rFonts w:ascii="Calibri" w:hAnsi="Calibri"/>
          <w:sz w:val="22"/>
          <w:szCs w:val="22"/>
          <w:lang w:val="en-IE" w:eastAsia="en-US"/>
        </w:rPr>
        <w:t xml:space="preserve">between </w:t>
      </w:r>
      <w:r w:rsidRPr="00C82C2D">
        <w:rPr>
          <w:rFonts w:ascii="Calibri" w:hAnsi="Calibri"/>
          <w:sz w:val="22"/>
          <w:szCs w:val="22"/>
          <w:lang w:val="en-IE" w:eastAsia="en-US"/>
        </w:rPr>
        <w:t>China's clearing house, ChinaClear and Hong Kong’s clearing house</w:t>
      </w:r>
      <w:r w:rsidR="000C2462" w:rsidRPr="00C82C2D">
        <w:rPr>
          <w:rFonts w:ascii="Calibri" w:hAnsi="Calibri"/>
          <w:sz w:val="22"/>
          <w:szCs w:val="22"/>
          <w:lang w:val="en-IE" w:eastAsia="en-US"/>
        </w:rPr>
        <w:t>, CCASS</w:t>
      </w:r>
      <w:r>
        <w:rPr>
          <w:rFonts w:ascii="Calibri" w:hAnsi="Calibri"/>
          <w:sz w:val="22"/>
          <w:szCs w:val="22"/>
          <w:lang w:eastAsia="en-US"/>
        </w:rPr>
        <w:t>.</w:t>
      </w:r>
    </w:p>
    <w:permEnd w:id="117127461"/>
    <w:p w:rsidR="00731D88" w:rsidRDefault="00731D88" w:rsidP="00731D88">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19</w:t>
      </w:r>
      <w:r w:rsidRPr="00B42A10">
        <w:rPr>
          <w:lang w:val="fr-FR"/>
        </w:rPr>
        <w:t>&gt;</w:t>
      </w:r>
    </w:p>
    <w:p w:rsidR="00731D88" w:rsidRPr="001A170B" w:rsidRDefault="00731D88" w:rsidP="00731D88">
      <w:pPr>
        <w:spacing w:after="250" w:line="276" w:lineRule="auto"/>
        <w:jc w:val="both"/>
        <w:rPr>
          <w:rFonts w:cs="Arial"/>
          <w:b/>
          <w:bCs/>
          <w:sz w:val="22"/>
          <w:szCs w:val="20"/>
          <w:lang w:eastAsia="en-US"/>
        </w:rPr>
      </w:pPr>
    </w:p>
    <w:p w:rsidR="001A170B" w:rsidRDefault="001A170B" w:rsidP="001A170B">
      <w:pPr>
        <w:numPr>
          <w:ilvl w:val="0"/>
          <w:numId w:val="38"/>
        </w:numPr>
        <w:spacing w:after="250" w:line="276" w:lineRule="auto"/>
        <w:jc w:val="both"/>
        <w:rPr>
          <w:rFonts w:cs="Arial"/>
          <w:b/>
          <w:sz w:val="22"/>
          <w:szCs w:val="20"/>
          <w:lang w:eastAsia="en-US"/>
        </w:rPr>
      </w:pPr>
      <w:r w:rsidRPr="001A170B">
        <w:rPr>
          <w:rFonts w:cs="Arial"/>
          <w:b/>
          <w:sz w:val="22"/>
          <w:szCs w:val="20"/>
          <w:lang w:eastAsia="en-US"/>
        </w:rPr>
        <w:t>Should you/the funds that you manage comply with option 1 in the CP, please provide details on if and how you apply the requirements under this option when delegating safe-keeping duties to third parties outside the EU.</w:t>
      </w:r>
    </w:p>
    <w:p w:rsidR="00731D88" w:rsidRDefault="00731D88" w:rsidP="00731D88">
      <w:pPr>
        <w:spacing w:after="250" w:line="276" w:lineRule="auto"/>
        <w:jc w:val="both"/>
        <w:rPr>
          <w:rFonts w:cs="Arial"/>
          <w:b/>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20</w:t>
      </w:r>
      <w:r w:rsidRPr="00176639">
        <w:t>&gt;</w:t>
      </w:r>
    </w:p>
    <w:p w:rsidR="00C277C6" w:rsidRPr="00C82C2D" w:rsidRDefault="00C277C6" w:rsidP="00C277C6">
      <w:pPr>
        <w:pStyle w:val="CommentText"/>
        <w:jc w:val="both"/>
        <w:rPr>
          <w:rFonts w:cs="Arial"/>
          <w:lang w:val="en-IE"/>
        </w:rPr>
      </w:pPr>
      <w:permStart w:id="1307474823" w:edGrp="everyone"/>
      <w:r w:rsidRPr="00C82C2D">
        <w:rPr>
          <w:rFonts w:cs="Arial"/>
          <w:lang w:val="en-IE"/>
        </w:rPr>
        <w:t>As noted in our response to Question 1, the majority of our members employ Options 4 and/ or 5 from the CP, as dictated by local market practice and in accordance with applicable local law opinions.</w:t>
      </w:r>
    </w:p>
    <w:p w:rsidR="00C277C6" w:rsidRPr="00C82C2D" w:rsidRDefault="00C277C6" w:rsidP="00C277C6">
      <w:pPr>
        <w:pStyle w:val="CommentText"/>
        <w:jc w:val="both"/>
        <w:rPr>
          <w:rFonts w:cs="Arial"/>
          <w:lang w:val="en-IE"/>
        </w:rPr>
      </w:pPr>
    </w:p>
    <w:p w:rsidR="00C277C6" w:rsidRPr="00C82C2D" w:rsidRDefault="00C277C6" w:rsidP="00C277C6">
      <w:pPr>
        <w:pStyle w:val="CommentText"/>
        <w:jc w:val="both"/>
        <w:rPr>
          <w:rFonts w:cs="Arial"/>
          <w:lang w:val="en-IE"/>
        </w:rPr>
      </w:pPr>
      <w:r w:rsidRPr="00C82C2D">
        <w:rPr>
          <w:rFonts w:cs="Arial"/>
          <w:lang w:val="en-IE"/>
        </w:rPr>
        <w:t>It is our understanding that it would not be curren</w:t>
      </w:r>
      <w:r w:rsidR="00843777">
        <w:rPr>
          <w:rFonts w:cs="Arial"/>
          <w:lang w:val="en-IE"/>
        </w:rPr>
        <w:t>tly possible to employ Option 1</w:t>
      </w:r>
      <w:r w:rsidRPr="00C82C2D">
        <w:rPr>
          <w:rFonts w:cs="Arial"/>
          <w:lang w:val="en-IE"/>
        </w:rPr>
        <w:t xml:space="preserve"> for AIFs that appoint prime brokers for financing arrangements or for UCITS /AIFs which utilise BNY Mellon for triparty collateral arrangements. </w:t>
      </w:r>
    </w:p>
    <w:p w:rsidR="00C277C6" w:rsidRPr="00C82C2D" w:rsidRDefault="00C277C6" w:rsidP="00C277C6">
      <w:pPr>
        <w:pStyle w:val="CommentText"/>
        <w:jc w:val="both"/>
        <w:rPr>
          <w:rFonts w:cs="Arial"/>
          <w:lang w:val="en-IE"/>
        </w:rPr>
      </w:pPr>
      <w:r w:rsidRPr="00C82C2D">
        <w:rPr>
          <w:rFonts w:cs="Arial"/>
          <w:lang w:val="en-IE"/>
        </w:rPr>
        <w:t xml:space="preserve"> </w:t>
      </w:r>
    </w:p>
    <w:p w:rsidR="00C277C6" w:rsidRPr="00C82C2D" w:rsidRDefault="00C277C6" w:rsidP="00C277C6">
      <w:pPr>
        <w:pStyle w:val="CommentText"/>
        <w:jc w:val="both"/>
        <w:rPr>
          <w:rFonts w:cs="Arial"/>
          <w:lang w:val="en-IE"/>
        </w:rPr>
      </w:pPr>
      <w:r w:rsidRPr="00C82C2D">
        <w:rPr>
          <w:rFonts w:cs="Arial"/>
          <w:lang w:val="en-IE"/>
        </w:rPr>
        <w:t xml:space="preserve">In this regard, we would draw your attention to previous responses above; however, we understand that the additional layers of segregation in Options 1 and 2 do not add to investor protection or a speedier return of assets. We would also reiterate the increased operational risk, costs and broader issues noted above in previous responses that this added layer of complexity would introduce. </w:t>
      </w:r>
    </w:p>
    <w:p w:rsidR="00CD1F3D" w:rsidRPr="00C82C2D" w:rsidRDefault="00CD1F3D" w:rsidP="00C277C6">
      <w:pPr>
        <w:pStyle w:val="CommentText"/>
        <w:jc w:val="both"/>
        <w:rPr>
          <w:rFonts w:cs="Arial"/>
          <w:lang w:val="en-IE"/>
        </w:rPr>
      </w:pPr>
    </w:p>
    <w:p w:rsidR="009A6578" w:rsidRPr="00CD1F3D" w:rsidRDefault="00C277C6" w:rsidP="00C277C6">
      <w:pPr>
        <w:spacing w:after="250" w:line="276" w:lineRule="auto"/>
        <w:jc w:val="both"/>
        <w:rPr>
          <w:rFonts w:cs="Arial"/>
        </w:rPr>
      </w:pPr>
      <w:r w:rsidRPr="00C82C2D">
        <w:rPr>
          <w:rFonts w:cs="Arial"/>
          <w:lang w:val="en-IE"/>
        </w:rPr>
        <w:t>Securities accounting opening requests in loca</w:t>
      </w:r>
      <w:r w:rsidR="00843777">
        <w:rPr>
          <w:rFonts w:cs="Arial"/>
          <w:lang w:val="en-IE"/>
        </w:rPr>
        <w:t>l markets are initiated by the d</w:t>
      </w:r>
      <w:r w:rsidRPr="00C82C2D">
        <w:rPr>
          <w:rFonts w:cs="Arial"/>
          <w:lang w:val="en-IE"/>
        </w:rPr>
        <w:t>epositary, or the global sub custodian.  Requests are sent to each sub-custodian, governed by the terms and conditions of the sub custody agreement.  In markets where segregated accounts are not supported, financial instruments are held at central securities depositories (CSDs), such as the Depository Trust Company (DTC) or international central securities depositories (ICSDs) such as Euroclear, are held in omnibus accounts per the non-negotiable terms of these facilities</w:t>
      </w:r>
      <w:r w:rsidRPr="00CD1F3D">
        <w:rPr>
          <w:rFonts w:cs="Arial"/>
        </w:rPr>
        <w:t>.</w:t>
      </w:r>
    </w:p>
    <w:permEnd w:id="1307474823"/>
    <w:p w:rsidR="00731D88" w:rsidRDefault="00731D88" w:rsidP="00731D88">
      <w:pPr>
        <w:spacing w:after="250" w:line="276" w:lineRule="auto"/>
        <w:jc w:val="both"/>
        <w:rPr>
          <w:lang w:val="fr-FR"/>
        </w:rPr>
      </w:pPr>
      <w:r w:rsidRPr="00B42A10">
        <w:rPr>
          <w:lang w:val="fr-FR"/>
        </w:rPr>
        <w:lastRenderedPageBreak/>
        <w:t>&lt;ESMA_</w:t>
      </w:r>
      <w:r w:rsidRPr="001A170B">
        <w:rPr>
          <w:lang w:val="fr-FR"/>
        </w:rPr>
        <w:t>QUESTION</w:t>
      </w:r>
      <w:r w:rsidRPr="00B42A10">
        <w:rPr>
          <w:lang w:val="fr-FR"/>
        </w:rPr>
        <w:t>_CE_ASCS_</w:t>
      </w:r>
      <w:r>
        <w:rPr>
          <w:lang w:val="fr-FR"/>
        </w:rPr>
        <w:t>20</w:t>
      </w:r>
      <w:r w:rsidRPr="00B42A10">
        <w:rPr>
          <w:lang w:val="fr-FR"/>
        </w:rPr>
        <w:t>&gt;</w:t>
      </w:r>
    </w:p>
    <w:p w:rsidR="00731D88" w:rsidRPr="001A170B" w:rsidRDefault="00731D88" w:rsidP="00731D88">
      <w:pPr>
        <w:spacing w:after="250" w:line="276" w:lineRule="auto"/>
        <w:jc w:val="both"/>
        <w:rPr>
          <w:rFonts w:cs="Arial"/>
          <w:b/>
          <w:sz w:val="22"/>
          <w:szCs w:val="20"/>
          <w:lang w:eastAsia="en-US"/>
        </w:rPr>
      </w:pPr>
    </w:p>
    <w:p w:rsidR="00731D88" w:rsidRPr="00731D88" w:rsidRDefault="001A170B" w:rsidP="00731D88">
      <w:pPr>
        <w:numPr>
          <w:ilvl w:val="0"/>
          <w:numId w:val="38"/>
        </w:numPr>
        <w:spacing w:after="250" w:line="276" w:lineRule="auto"/>
        <w:jc w:val="both"/>
        <w:rPr>
          <w:rFonts w:cs="Arial"/>
          <w:b/>
          <w:bCs/>
          <w:sz w:val="22"/>
          <w:szCs w:val="20"/>
          <w:lang w:eastAsia="en-US"/>
        </w:rPr>
      </w:pPr>
      <w:r w:rsidRPr="001A170B">
        <w:rPr>
          <w:rFonts w:cs="Arial"/>
          <w:b/>
          <w:bCs/>
          <w:sz w:val="22"/>
          <w:szCs w:val="20"/>
          <w:lang w:eastAsia="en-US"/>
        </w:rPr>
        <w:t>Many respondents to the CP argued that, given that many delegated third parties are located outside of the EU, option 1 of the CP could lead to higher fees charged by the delegated parties. Are you able to source any data on the potential higher fees charged by the delegated parties outside the EU as a result of implementing option 1?</w:t>
      </w:r>
    </w:p>
    <w:p w:rsidR="00731D88" w:rsidRPr="00176639" w:rsidRDefault="00731D88" w:rsidP="00731D88">
      <w:r w:rsidRPr="00176639">
        <w:t>&lt;ESMA_</w:t>
      </w:r>
      <w:r>
        <w:t>QUESTION</w:t>
      </w:r>
      <w:r w:rsidRPr="00176639">
        <w:t>_</w:t>
      </w:r>
      <w:r>
        <w:t>CE_</w:t>
      </w:r>
      <w:r w:rsidRPr="000018FA">
        <w:t>ASCS</w:t>
      </w:r>
      <w:r w:rsidRPr="00176639">
        <w:t>_</w:t>
      </w:r>
      <w:r>
        <w:t>21</w:t>
      </w:r>
      <w:r w:rsidRPr="00176639">
        <w:t>&gt;</w:t>
      </w:r>
    </w:p>
    <w:p w:rsidR="00731D88" w:rsidRDefault="00C277C6" w:rsidP="00731D88">
      <w:pPr>
        <w:spacing w:after="250" w:line="276" w:lineRule="auto"/>
        <w:jc w:val="both"/>
        <w:rPr>
          <w:rFonts w:cs="Arial"/>
          <w:b/>
          <w:bCs/>
          <w:sz w:val="22"/>
          <w:szCs w:val="20"/>
          <w:lang w:eastAsia="en-US"/>
        </w:rPr>
      </w:pPr>
      <w:permStart w:id="455635142" w:edGrp="everyone"/>
      <w:r w:rsidRPr="00CD1F3D">
        <w:rPr>
          <w:rFonts w:cs="Arial"/>
        </w:rPr>
        <w:t>Account opening fees, maintenance costs etc. are subject to the negotiating power and commercial arrangements between each agent bank and its sub delegates.  It is difficult therefore to quantify what the potential costs would be not least, the push back from local delegates on the additional administrative tasks associated.</w:t>
      </w:r>
      <w:r w:rsidRPr="00C277C6">
        <w:t xml:space="preserve"> </w:t>
      </w:r>
      <w:permEnd w:id="455635142"/>
      <w:r w:rsidR="00731D88" w:rsidRPr="00B42A10">
        <w:rPr>
          <w:lang w:val="fr-FR"/>
        </w:rPr>
        <w:t>&lt;ESMA_</w:t>
      </w:r>
      <w:r w:rsidR="00731D88" w:rsidRPr="001A170B">
        <w:rPr>
          <w:lang w:val="fr-FR"/>
        </w:rPr>
        <w:t>QUESTION</w:t>
      </w:r>
      <w:r w:rsidR="00731D88" w:rsidRPr="00B42A10">
        <w:rPr>
          <w:lang w:val="fr-FR"/>
        </w:rPr>
        <w:t>_CE_ASCS_</w:t>
      </w:r>
      <w:r w:rsidR="00731D88">
        <w:rPr>
          <w:lang w:val="fr-FR"/>
        </w:rPr>
        <w:t>21</w:t>
      </w:r>
      <w:r w:rsidR="00731D88" w:rsidRPr="00B42A10">
        <w:rPr>
          <w:lang w:val="fr-FR"/>
        </w:rPr>
        <w:t>&gt;</w:t>
      </w:r>
    </w:p>
    <w:p w:rsidR="00731D88" w:rsidRPr="001A170B" w:rsidRDefault="00731D88" w:rsidP="00731D88">
      <w:pPr>
        <w:spacing w:after="250" w:line="276" w:lineRule="auto"/>
        <w:jc w:val="both"/>
        <w:rPr>
          <w:rFonts w:cs="Arial"/>
          <w:b/>
          <w:bCs/>
          <w:sz w:val="22"/>
          <w:szCs w:val="20"/>
          <w:lang w:eastAsia="en-US"/>
        </w:rPr>
      </w:pPr>
    </w:p>
    <w:p w:rsidR="001A170B" w:rsidRP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 xml:space="preserve">How would you compare and contrast the five options in the cost-benefit analysis (CBA) of the CP in terms of achieving the policy objective described in the above introduction? In your opinion, does any one of the options offer a better solution for achieving this aim, and if so, how? In answering to these questions, please refer to the table below which is copied from the CBA of the CP and adds the sub-delegate level. </w:t>
      </w:r>
    </w:p>
    <w:p w:rsidR="001A170B" w:rsidRPr="001A170B" w:rsidRDefault="001A170B" w:rsidP="001A170B">
      <w:pPr>
        <w:spacing w:after="250" w:line="276" w:lineRule="auto"/>
        <w:ind w:left="360"/>
        <w:jc w:val="both"/>
        <w:rPr>
          <w:b/>
          <w:bCs/>
          <w:sz w:val="22"/>
          <w:szCs w:val="20"/>
          <w:lang w:eastAsia="en-US"/>
        </w:rPr>
      </w:pPr>
      <w:r w:rsidRPr="001A170B">
        <w:rPr>
          <w:b/>
          <w:bCs/>
          <w:sz w:val="22"/>
          <w:szCs w:val="20"/>
          <w:lang w:eastAsia="en-US"/>
        </w:rPr>
        <w:t xml:space="preserve">Please note that as the present call for evidence is intended to cover asset segregation requirements for both AIFs and UCITS, with regard to the latter any reference in the table below to ‘AIF’ should also be read as ‘UCITS’, i.e. when applied to UCITS, references to ‘AIF’ should be read as ‘UCITS’ and references to ‘non-AIF’ should be read as ‘non-UCITS’. </w:t>
      </w:r>
    </w:p>
    <w:tbl>
      <w:tblPr>
        <w:tblW w:w="0" w:type="auto"/>
        <w:tblInd w:w="568" w:type="dxa"/>
        <w:tblCellMar>
          <w:left w:w="0" w:type="dxa"/>
          <w:right w:w="0" w:type="dxa"/>
        </w:tblCellMar>
        <w:tblLook w:val="04A0" w:firstRow="1" w:lastRow="0" w:firstColumn="1" w:lastColumn="0" w:noHBand="0" w:noVBand="1"/>
      </w:tblPr>
      <w:tblGrid>
        <w:gridCol w:w="2092"/>
        <w:gridCol w:w="6626"/>
      </w:tblGrid>
      <w:tr w:rsidR="001A170B" w:rsidRPr="001A170B" w:rsidTr="000B1EF7">
        <w:tc>
          <w:tcPr>
            <w:tcW w:w="2092" w:type="dxa"/>
            <w:tcBorders>
              <w:top w:val="nil"/>
              <w:left w:val="single" w:sz="8" w:space="0" w:color="9CC2E5"/>
              <w:bottom w:val="single" w:sz="8" w:space="0" w:color="9CC2E5"/>
              <w:right w:val="single" w:sz="8" w:space="0" w:color="9CC2E5"/>
            </w:tcBorders>
            <w:shd w:val="clear" w:color="auto" w:fill="DEEAF6"/>
            <w:tcMar>
              <w:top w:w="0" w:type="dxa"/>
              <w:left w:w="108" w:type="dxa"/>
              <w:bottom w:w="0" w:type="dxa"/>
              <w:right w:w="108" w:type="dxa"/>
            </w:tcMar>
            <w:hideMark/>
          </w:tcPr>
          <w:p w:rsidR="001A170B" w:rsidRPr="001A170B" w:rsidRDefault="001A170B" w:rsidP="001A170B">
            <w:pPr>
              <w:spacing w:after="250" w:line="276" w:lineRule="auto"/>
              <w:jc w:val="both"/>
              <w:rPr>
                <w:rFonts w:eastAsia="Calibri" w:cs="Arial"/>
                <w:b/>
                <w:bCs/>
                <w:sz w:val="22"/>
                <w:szCs w:val="22"/>
                <w:lang w:val="nl-BE" w:eastAsia="en-US"/>
              </w:rPr>
            </w:pPr>
            <w:r w:rsidRPr="001A170B">
              <w:rPr>
                <w:rFonts w:eastAsia="Calibri" w:cs="Arial"/>
                <w:b/>
                <w:bCs/>
                <w:sz w:val="22"/>
                <w:szCs w:val="22"/>
                <w:lang w:val="nl-BE" w:eastAsia="en-US"/>
              </w:rPr>
              <w:t>Option 1</w:t>
            </w:r>
          </w:p>
        </w:tc>
        <w:tc>
          <w:tcPr>
            <w:tcW w:w="6626"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hideMark/>
          </w:tcPr>
          <w:p w:rsidR="001A170B" w:rsidRPr="001A170B" w:rsidRDefault="001A170B" w:rsidP="001A170B">
            <w:pPr>
              <w:spacing w:after="250" w:line="276" w:lineRule="auto"/>
              <w:jc w:val="both"/>
              <w:rPr>
                <w:rFonts w:eastAsia="Calibri" w:cs="Arial"/>
                <w:sz w:val="22"/>
                <w:szCs w:val="22"/>
                <w:lang w:val="en-US" w:eastAsia="en-US"/>
              </w:rPr>
            </w:pPr>
            <w:r w:rsidRPr="001A170B">
              <w:rPr>
                <w:rFonts w:eastAsia="Calibri" w:cs="Arial"/>
                <w:sz w:val="22"/>
                <w:szCs w:val="22"/>
                <w:lang w:val="en-US" w:eastAsia="en-US"/>
              </w:rPr>
              <w:t xml:space="preserve">AIF and non-AIF assets should not be mixed in the same account and there should be separate accounts for AIF assets of each depositary when a delegate is holding assets for multiple depositary clients. </w:t>
            </w:r>
          </w:p>
          <w:p w:rsidR="001A170B" w:rsidRPr="001A170B" w:rsidRDefault="001A170B" w:rsidP="001A170B">
            <w:pPr>
              <w:spacing w:after="250" w:line="276" w:lineRule="auto"/>
              <w:jc w:val="both"/>
              <w:rPr>
                <w:rFonts w:eastAsia="Calibri" w:cs="Arial"/>
                <w:sz w:val="22"/>
                <w:szCs w:val="22"/>
                <w:lang w:val="en-US" w:eastAsia="en-US"/>
              </w:rPr>
            </w:pPr>
            <w:r w:rsidRPr="001A170B">
              <w:rPr>
                <w:rFonts w:eastAsia="Calibri" w:cs="Arial"/>
                <w:sz w:val="22"/>
                <w:szCs w:val="22"/>
                <w:lang w:val="en-US" w:eastAsia="en-US"/>
              </w:rPr>
              <w:t xml:space="preserve">When the delegate appoints a sub-delegate, this should hold separate accounts for AIF assets of each depositary and should not mix in the same account non-AIF assets of that depositary or AIF assets coming from different depositaries.   </w:t>
            </w:r>
          </w:p>
        </w:tc>
      </w:tr>
      <w:tr w:rsidR="001A170B" w:rsidRPr="001A170B" w:rsidTr="000B1EF7">
        <w:tc>
          <w:tcPr>
            <w:tcW w:w="2092" w:type="dxa"/>
            <w:tcBorders>
              <w:top w:val="nil"/>
              <w:left w:val="single" w:sz="8" w:space="0" w:color="9CC2E5"/>
              <w:bottom w:val="single" w:sz="8" w:space="0" w:color="9CC2E5"/>
              <w:right w:val="single" w:sz="8" w:space="0" w:color="9CC2E5"/>
            </w:tcBorders>
            <w:tcMar>
              <w:top w:w="0" w:type="dxa"/>
              <w:left w:w="108" w:type="dxa"/>
              <w:bottom w:w="0" w:type="dxa"/>
              <w:right w:w="108" w:type="dxa"/>
            </w:tcMar>
            <w:hideMark/>
          </w:tcPr>
          <w:p w:rsidR="001A170B" w:rsidRPr="001A170B" w:rsidRDefault="001A170B" w:rsidP="001A170B">
            <w:pPr>
              <w:spacing w:after="250" w:line="276" w:lineRule="auto"/>
              <w:jc w:val="both"/>
              <w:rPr>
                <w:rFonts w:eastAsia="Calibri" w:cs="Arial"/>
                <w:b/>
                <w:bCs/>
                <w:sz w:val="22"/>
                <w:szCs w:val="22"/>
                <w:lang w:val="nl-BE" w:eastAsia="en-US"/>
              </w:rPr>
            </w:pPr>
            <w:r w:rsidRPr="001A170B">
              <w:rPr>
                <w:rFonts w:eastAsia="Calibri" w:cs="Arial"/>
                <w:b/>
                <w:bCs/>
                <w:sz w:val="22"/>
                <w:szCs w:val="22"/>
                <w:lang w:val="nl-BE" w:eastAsia="en-US"/>
              </w:rPr>
              <w:t>Option 2</w:t>
            </w:r>
          </w:p>
        </w:tc>
        <w:tc>
          <w:tcPr>
            <w:tcW w:w="6626" w:type="dxa"/>
            <w:tcBorders>
              <w:top w:val="nil"/>
              <w:left w:val="nil"/>
              <w:bottom w:val="single" w:sz="8" w:space="0" w:color="9CC2E5"/>
              <w:right w:val="single" w:sz="8" w:space="0" w:color="9CC2E5"/>
            </w:tcBorders>
            <w:tcMar>
              <w:top w:w="0" w:type="dxa"/>
              <w:left w:w="108" w:type="dxa"/>
              <w:bottom w:w="0" w:type="dxa"/>
              <w:right w:w="108" w:type="dxa"/>
            </w:tcMar>
            <w:hideMark/>
          </w:tcPr>
          <w:p w:rsidR="001A170B" w:rsidRPr="001A170B" w:rsidRDefault="001A170B" w:rsidP="001A170B">
            <w:pPr>
              <w:spacing w:after="250" w:line="276" w:lineRule="auto"/>
              <w:jc w:val="both"/>
              <w:rPr>
                <w:rFonts w:eastAsia="Calibri" w:cs="Arial"/>
                <w:sz w:val="22"/>
                <w:szCs w:val="22"/>
                <w:lang w:val="en-US" w:eastAsia="en-US"/>
              </w:rPr>
            </w:pPr>
            <w:r w:rsidRPr="001A170B">
              <w:rPr>
                <w:rFonts w:eastAsia="Calibri" w:cs="Arial"/>
                <w:sz w:val="22"/>
                <w:szCs w:val="22"/>
                <w:lang w:val="en-US" w:eastAsia="en-US"/>
              </w:rPr>
              <w:t>The separation of AIF and non-AIF assets should be required, but it would be possible to combine AIF assets of multiple depositaries into a single account at delegate or sub-delegate level.</w:t>
            </w:r>
          </w:p>
        </w:tc>
      </w:tr>
      <w:tr w:rsidR="001A170B" w:rsidRPr="001A170B" w:rsidTr="000B1EF7">
        <w:tc>
          <w:tcPr>
            <w:tcW w:w="2092" w:type="dxa"/>
            <w:tcBorders>
              <w:top w:val="nil"/>
              <w:left w:val="single" w:sz="8" w:space="0" w:color="9CC2E5"/>
              <w:bottom w:val="single" w:sz="8" w:space="0" w:color="9CC2E5"/>
              <w:right w:val="single" w:sz="8" w:space="0" w:color="9CC2E5"/>
            </w:tcBorders>
            <w:shd w:val="clear" w:color="auto" w:fill="DEEAF6"/>
            <w:tcMar>
              <w:top w:w="0" w:type="dxa"/>
              <w:left w:w="108" w:type="dxa"/>
              <w:bottom w:w="0" w:type="dxa"/>
              <w:right w:w="108" w:type="dxa"/>
            </w:tcMar>
            <w:hideMark/>
          </w:tcPr>
          <w:p w:rsidR="001A170B" w:rsidRPr="001A170B" w:rsidRDefault="001A170B" w:rsidP="001A170B">
            <w:pPr>
              <w:spacing w:after="250" w:line="276" w:lineRule="auto"/>
              <w:jc w:val="both"/>
              <w:rPr>
                <w:rFonts w:eastAsia="Calibri" w:cs="Arial"/>
                <w:b/>
                <w:bCs/>
                <w:sz w:val="22"/>
                <w:szCs w:val="22"/>
                <w:lang w:val="nl-BE" w:eastAsia="en-US"/>
              </w:rPr>
            </w:pPr>
            <w:r w:rsidRPr="001A170B">
              <w:rPr>
                <w:rFonts w:eastAsia="Calibri" w:cs="Arial"/>
                <w:b/>
                <w:bCs/>
                <w:sz w:val="22"/>
                <w:szCs w:val="22"/>
                <w:lang w:val="nl-BE" w:eastAsia="en-US"/>
              </w:rPr>
              <w:t>Option 3</w:t>
            </w:r>
          </w:p>
        </w:tc>
        <w:tc>
          <w:tcPr>
            <w:tcW w:w="6626"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hideMark/>
          </w:tcPr>
          <w:p w:rsidR="001A170B" w:rsidRPr="001A170B" w:rsidRDefault="001A170B" w:rsidP="001A170B">
            <w:pPr>
              <w:spacing w:after="250" w:line="276" w:lineRule="auto"/>
              <w:jc w:val="both"/>
              <w:rPr>
                <w:rFonts w:eastAsia="Calibri" w:cs="Arial"/>
                <w:sz w:val="22"/>
                <w:szCs w:val="22"/>
                <w:lang w:val="en-US" w:eastAsia="en-US"/>
              </w:rPr>
            </w:pPr>
            <w:r w:rsidRPr="001A170B">
              <w:rPr>
                <w:rFonts w:eastAsia="Calibri" w:cs="Arial"/>
                <w:sz w:val="22"/>
                <w:szCs w:val="22"/>
                <w:lang w:val="en-US" w:eastAsia="en-US"/>
              </w:rPr>
              <w:t xml:space="preserve">AIF and non-AIF assets could be commingled in the account on which the AIF’s assets are to be kept at the level of the delegate. </w:t>
            </w:r>
            <w:r w:rsidRPr="001A170B">
              <w:rPr>
                <w:rFonts w:eastAsia="Calibri" w:cs="Arial"/>
                <w:sz w:val="22"/>
                <w:szCs w:val="22"/>
                <w:lang w:val="en-US" w:eastAsia="en-US"/>
              </w:rPr>
              <w:lastRenderedPageBreak/>
              <w:t>However, the delegate could not commingle in this account assets coming from different depositaries.</w:t>
            </w:r>
          </w:p>
          <w:p w:rsidR="001A170B" w:rsidRPr="001A170B" w:rsidRDefault="001A170B" w:rsidP="001A170B">
            <w:pPr>
              <w:spacing w:after="250" w:line="276" w:lineRule="auto"/>
              <w:jc w:val="both"/>
              <w:rPr>
                <w:rFonts w:eastAsia="Calibri" w:cs="Arial"/>
                <w:sz w:val="22"/>
                <w:szCs w:val="22"/>
                <w:lang w:val="en-US" w:eastAsia="en-US"/>
              </w:rPr>
            </w:pPr>
            <w:r w:rsidRPr="001A170B">
              <w:rPr>
                <w:rFonts w:eastAsia="Calibri" w:cs="Arial"/>
                <w:sz w:val="22"/>
                <w:szCs w:val="22"/>
                <w:lang w:val="en-US" w:eastAsia="en-US"/>
              </w:rPr>
              <w:t xml:space="preserve">When the delegate appoints a sub-delegate, this should hold separate accounts for assets coming from different depositaries. However, AIF and non-AIF assets could be commingled in the account of a given depositary in which the AIF’s assets are to be kept at the level of the sub-delegate.  </w:t>
            </w:r>
          </w:p>
        </w:tc>
      </w:tr>
      <w:tr w:rsidR="001A170B" w:rsidRPr="001A170B" w:rsidTr="000B1EF7">
        <w:tc>
          <w:tcPr>
            <w:tcW w:w="2092" w:type="dxa"/>
            <w:tcBorders>
              <w:top w:val="nil"/>
              <w:left w:val="single" w:sz="8" w:space="0" w:color="9CC2E5"/>
              <w:bottom w:val="single" w:sz="8" w:space="0" w:color="9CC2E5"/>
              <w:right w:val="single" w:sz="8" w:space="0" w:color="9CC2E5"/>
            </w:tcBorders>
            <w:tcMar>
              <w:top w:w="0" w:type="dxa"/>
              <w:left w:w="108" w:type="dxa"/>
              <w:bottom w:w="0" w:type="dxa"/>
              <w:right w:w="108" w:type="dxa"/>
            </w:tcMar>
            <w:hideMark/>
          </w:tcPr>
          <w:p w:rsidR="001A170B" w:rsidRPr="001A170B" w:rsidRDefault="001A170B" w:rsidP="001A170B">
            <w:pPr>
              <w:spacing w:after="250" w:line="276" w:lineRule="auto"/>
              <w:jc w:val="both"/>
              <w:rPr>
                <w:rFonts w:eastAsia="Calibri" w:cs="Arial"/>
                <w:b/>
                <w:bCs/>
                <w:sz w:val="22"/>
                <w:szCs w:val="22"/>
                <w:lang w:val="nl-BE" w:eastAsia="en-US"/>
              </w:rPr>
            </w:pPr>
            <w:r w:rsidRPr="001A170B">
              <w:rPr>
                <w:rFonts w:eastAsia="Calibri" w:cs="Arial"/>
                <w:b/>
                <w:bCs/>
                <w:sz w:val="22"/>
                <w:szCs w:val="22"/>
                <w:lang w:val="nl-BE" w:eastAsia="en-US"/>
              </w:rPr>
              <w:lastRenderedPageBreak/>
              <w:t>Option 4</w:t>
            </w:r>
          </w:p>
        </w:tc>
        <w:tc>
          <w:tcPr>
            <w:tcW w:w="6626" w:type="dxa"/>
            <w:tcBorders>
              <w:top w:val="nil"/>
              <w:left w:val="nil"/>
              <w:bottom w:val="single" w:sz="8" w:space="0" w:color="9CC2E5"/>
              <w:right w:val="single" w:sz="8" w:space="0" w:color="9CC2E5"/>
            </w:tcBorders>
            <w:tcMar>
              <w:top w:w="0" w:type="dxa"/>
              <w:left w:w="108" w:type="dxa"/>
              <w:bottom w:w="0" w:type="dxa"/>
              <w:right w:w="108" w:type="dxa"/>
            </w:tcMar>
            <w:hideMark/>
          </w:tcPr>
          <w:p w:rsidR="001A170B" w:rsidRPr="001A170B" w:rsidRDefault="001A170B" w:rsidP="001A170B">
            <w:pPr>
              <w:spacing w:after="250" w:line="276" w:lineRule="auto"/>
              <w:jc w:val="both"/>
              <w:rPr>
                <w:rFonts w:eastAsia="Calibri" w:cs="Arial"/>
                <w:sz w:val="22"/>
                <w:szCs w:val="22"/>
                <w:lang w:val="en-US" w:eastAsia="en-US"/>
              </w:rPr>
            </w:pPr>
            <w:r w:rsidRPr="001A170B">
              <w:rPr>
                <w:rFonts w:eastAsia="Calibri" w:cs="Arial"/>
                <w:sz w:val="22"/>
                <w:szCs w:val="22"/>
                <w:lang w:val="en-US" w:eastAsia="en-US"/>
              </w:rPr>
              <w:t>AIF and non-AIF assets could be commingled in the account on which the AIF’s assets are to be kept at the level of the delegate. The delegate could commingle in this account assets coming from different depositary clients.</w:t>
            </w:r>
          </w:p>
          <w:p w:rsidR="001A170B" w:rsidRPr="001A170B" w:rsidRDefault="001A170B" w:rsidP="001A170B">
            <w:pPr>
              <w:spacing w:after="250" w:line="276" w:lineRule="auto"/>
              <w:jc w:val="both"/>
              <w:rPr>
                <w:rFonts w:eastAsia="Calibri" w:cs="Arial"/>
                <w:sz w:val="22"/>
                <w:szCs w:val="22"/>
                <w:lang w:val="en-US" w:eastAsia="en-US"/>
              </w:rPr>
            </w:pPr>
            <w:r w:rsidRPr="001A170B">
              <w:rPr>
                <w:rFonts w:eastAsia="Calibri" w:cs="Arial"/>
                <w:sz w:val="22"/>
                <w:szCs w:val="22"/>
                <w:lang w:val="en-US" w:eastAsia="en-US"/>
              </w:rPr>
              <w:t>When the delegate appoints a sub-delegate, this could commingle in the same account AIF and non-AIF assets and assets coming from different depositaries and the delegates’ clients (but should not be mixed with the delegate’s or depositaries’ own assets).</w:t>
            </w:r>
          </w:p>
        </w:tc>
      </w:tr>
      <w:tr w:rsidR="001A170B" w:rsidRPr="001A170B" w:rsidTr="000B1EF7">
        <w:tc>
          <w:tcPr>
            <w:tcW w:w="2092" w:type="dxa"/>
            <w:tcBorders>
              <w:top w:val="nil"/>
              <w:left w:val="single" w:sz="8" w:space="0" w:color="9CC2E5"/>
              <w:bottom w:val="single" w:sz="8" w:space="0" w:color="9CC2E5"/>
              <w:right w:val="single" w:sz="8" w:space="0" w:color="9CC2E5"/>
            </w:tcBorders>
            <w:shd w:val="clear" w:color="auto" w:fill="DEEAF6"/>
            <w:tcMar>
              <w:top w:w="0" w:type="dxa"/>
              <w:left w:w="108" w:type="dxa"/>
              <w:bottom w:w="0" w:type="dxa"/>
              <w:right w:w="108" w:type="dxa"/>
            </w:tcMar>
            <w:hideMark/>
          </w:tcPr>
          <w:p w:rsidR="001A170B" w:rsidRPr="001A170B" w:rsidRDefault="001A170B" w:rsidP="001A170B">
            <w:pPr>
              <w:spacing w:after="250" w:line="276" w:lineRule="auto"/>
              <w:jc w:val="both"/>
              <w:rPr>
                <w:rFonts w:eastAsia="Calibri" w:cs="Arial"/>
                <w:b/>
                <w:bCs/>
                <w:sz w:val="22"/>
                <w:szCs w:val="22"/>
                <w:lang w:val="nl-BE" w:eastAsia="en-US"/>
              </w:rPr>
            </w:pPr>
            <w:r w:rsidRPr="001A170B">
              <w:rPr>
                <w:rFonts w:eastAsia="Calibri" w:cs="Arial"/>
                <w:b/>
                <w:bCs/>
                <w:sz w:val="22"/>
                <w:szCs w:val="22"/>
                <w:lang w:val="nl-BE" w:eastAsia="en-US"/>
              </w:rPr>
              <w:t>Option 5</w:t>
            </w:r>
          </w:p>
        </w:tc>
        <w:tc>
          <w:tcPr>
            <w:tcW w:w="6626"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hideMark/>
          </w:tcPr>
          <w:p w:rsidR="001A170B" w:rsidRPr="001A170B" w:rsidRDefault="001A170B" w:rsidP="001A170B">
            <w:pPr>
              <w:spacing w:after="250" w:line="276" w:lineRule="auto"/>
              <w:jc w:val="both"/>
              <w:rPr>
                <w:rFonts w:eastAsia="Calibri" w:cs="Arial"/>
                <w:sz w:val="22"/>
                <w:szCs w:val="22"/>
                <w:lang w:val="en-US" w:eastAsia="en-US"/>
              </w:rPr>
            </w:pPr>
            <w:r w:rsidRPr="001A170B">
              <w:rPr>
                <w:rFonts w:eastAsia="Calibri" w:cs="Arial"/>
                <w:sz w:val="22"/>
                <w:szCs w:val="22"/>
                <w:lang w:val="en-US" w:eastAsia="en-US"/>
              </w:rPr>
              <w:t>AIF assets should be segregated on an AIF-by-AIF basis at the level of the delegate or sub- delegate.</w:t>
            </w:r>
          </w:p>
        </w:tc>
      </w:tr>
    </w:tbl>
    <w:p w:rsidR="001A170B" w:rsidRDefault="001A170B" w:rsidP="00731D88">
      <w:pPr>
        <w:spacing w:after="250" w:line="276" w:lineRule="auto"/>
        <w:jc w:val="both"/>
        <w:rPr>
          <w:rFonts w:cs="Arial"/>
          <w:sz w:val="22"/>
          <w:szCs w:val="20"/>
          <w:lang w:val="en-US" w:eastAsia="en-US"/>
        </w:rPr>
      </w:pPr>
    </w:p>
    <w:p w:rsidR="00731D88" w:rsidRPr="00176639" w:rsidRDefault="00731D88" w:rsidP="00731D88">
      <w:r w:rsidRPr="00176639">
        <w:t>&lt;ESMA_</w:t>
      </w:r>
      <w:r>
        <w:t>QUESTION</w:t>
      </w:r>
      <w:r w:rsidRPr="00176639">
        <w:t>_</w:t>
      </w:r>
      <w:r>
        <w:t>CE_</w:t>
      </w:r>
      <w:r w:rsidRPr="000018FA">
        <w:t>ASCS</w:t>
      </w:r>
      <w:r w:rsidRPr="00176639">
        <w:t>_</w:t>
      </w:r>
      <w:r>
        <w:t>22</w:t>
      </w:r>
      <w:r w:rsidRPr="00176639">
        <w:t>&gt;</w:t>
      </w:r>
    </w:p>
    <w:p w:rsidR="00731D88" w:rsidRDefault="00C277C6" w:rsidP="00731D88">
      <w:permStart w:id="1625980858" w:edGrp="everyone"/>
      <w:r w:rsidRPr="00C277C6">
        <w:t>Irish Funds supports the AGC and AFME responses to this question.</w:t>
      </w:r>
    </w:p>
    <w:permEnd w:id="1625980858"/>
    <w:p w:rsidR="00731D88" w:rsidRDefault="00731D88" w:rsidP="00731D88">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22</w:t>
      </w:r>
      <w:r w:rsidRPr="00B42A10">
        <w:rPr>
          <w:lang w:val="fr-FR"/>
        </w:rPr>
        <w:t>&gt;</w:t>
      </w:r>
    </w:p>
    <w:p w:rsidR="00731D88" w:rsidRPr="001A170B" w:rsidRDefault="00731D88" w:rsidP="00731D88">
      <w:pPr>
        <w:spacing w:after="250" w:line="276" w:lineRule="auto"/>
        <w:jc w:val="both"/>
        <w:rPr>
          <w:rFonts w:cs="Arial"/>
          <w:sz w:val="22"/>
          <w:szCs w:val="20"/>
          <w:lang w:val="en-US" w:eastAsia="en-US"/>
        </w:rPr>
      </w:pPr>
    </w:p>
    <w:p w:rsidR="001A170B" w:rsidRP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Articles 38(3) and (4) of the CSDR state that a CSD shall offer its participants the choice between:</w:t>
      </w:r>
    </w:p>
    <w:p w:rsidR="001A170B" w:rsidRPr="001A170B" w:rsidRDefault="001A170B" w:rsidP="001A170B">
      <w:pPr>
        <w:numPr>
          <w:ilvl w:val="0"/>
          <w:numId w:val="52"/>
        </w:numPr>
        <w:spacing w:after="250" w:line="276" w:lineRule="auto"/>
        <w:jc w:val="both"/>
        <w:rPr>
          <w:rFonts w:cs="Arial"/>
          <w:b/>
          <w:sz w:val="22"/>
          <w:szCs w:val="20"/>
          <w:lang w:eastAsia="en-US"/>
        </w:rPr>
      </w:pPr>
      <w:r w:rsidRPr="001A170B">
        <w:rPr>
          <w:rFonts w:cs="Arial"/>
          <w:b/>
          <w:sz w:val="22"/>
          <w:szCs w:val="20"/>
          <w:lang w:eastAsia="en-US"/>
        </w:rPr>
        <w:t>‘omnibus client segregation’ at the CSD level (holding in one securities account the securities that belong to different clients of that participant);</w:t>
      </w:r>
    </w:p>
    <w:p w:rsidR="001A170B" w:rsidRPr="001A170B" w:rsidRDefault="001A170B" w:rsidP="001A170B">
      <w:pPr>
        <w:numPr>
          <w:ilvl w:val="0"/>
          <w:numId w:val="52"/>
        </w:numPr>
        <w:spacing w:after="250" w:line="276" w:lineRule="auto"/>
        <w:jc w:val="both"/>
        <w:rPr>
          <w:rFonts w:cs="Arial"/>
          <w:b/>
          <w:sz w:val="22"/>
          <w:szCs w:val="20"/>
          <w:lang w:eastAsia="en-US"/>
        </w:rPr>
      </w:pPr>
      <w:r w:rsidRPr="001A170B">
        <w:rPr>
          <w:rFonts w:cs="Arial"/>
          <w:b/>
          <w:sz w:val="22"/>
          <w:szCs w:val="20"/>
          <w:lang w:eastAsia="en-US"/>
        </w:rPr>
        <w:t>‘individual client segregation’ at the CSD level (segregating the securities of any of the participant’s clients, if and as required by the participant).</w:t>
      </w:r>
    </w:p>
    <w:p w:rsidR="001A170B" w:rsidRPr="001A170B" w:rsidRDefault="001A170B" w:rsidP="001A170B">
      <w:pPr>
        <w:spacing w:after="250" w:line="276" w:lineRule="auto"/>
        <w:ind w:left="360"/>
        <w:jc w:val="both"/>
        <w:rPr>
          <w:b/>
          <w:bCs/>
          <w:sz w:val="22"/>
          <w:szCs w:val="20"/>
          <w:lang w:eastAsia="en-US"/>
        </w:rPr>
      </w:pPr>
      <w:r w:rsidRPr="001A170B">
        <w:rPr>
          <w:b/>
          <w:bCs/>
          <w:sz w:val="22"/>
          <w:szCs w:val="20"/>
          <w:lang w:eastAsia="en-US"/>
        </w:rPr>
        <w:t>In addition, under Article 38 (5) of CSDR, a participant shall offer its clients at least the choice between omnibus client segregation and individual client segregation and inform them of the costs and risks associated with each option</w:t>
      </w:r>
      <w:r w:rsidRPr="001A170B">
        <w:rPr>
          <w:b/>
          <w:bCs/>
          <w:sz w:val="16"/>
          <w:szCs w:val="20"/>
          <w:vertAlign w:val="superscript"/>
          <w:lang w:eastAsia="en-US"/>
        </w:rPr>
        <w:footnoteReference w:id="11"/>
      </w:r>
      <w:r w:rsidRPr="001A170B">
        <w:rPr>
          <w:b/>
          <w:bCs/>
          <w:sz w:val="22"/>
          <w:szCs w:val="20"/>
          <w:lang w:eastAsia="en-US"/>
        </w:rPr>
        <w:t xml:space="preserve">. </w:t>
      </w:r>
    </w:p>
    <w:p w:rsidR="001A170B" w:rsidRPr="001A170B" w:rsidRDefault="001A170B" w:rsidP="001A170B">
      <w:pPr>
        <w:numPr>
          <w:ilvl w:val="0"/>
          <w:numId w:val="53"/>
        </w:numPr>
        <w:spacing w:after="250" w:line="276" w:lineRule="auto"/>
        <w:jc w:val="both"/>
        <w:rPr>
          <w:rFonts w:cs="Arial"/>
          <w:b/>
          <w:sz w:val="22"/>
          <w:szCs w:val="20"/>
          <w:lang w:eastAsia="en-US"/>
        </w:rPr>
      </w:pPr>
      <w:r w:rsidRPr="001A170B">
        <w:rPr>
          <w:rFonts w:cs="Arial"/>
          <w:b/>
          <w:sz w:val="22"/>
          <w:szCs w:val="20"/>
          <w:lang w:eastAsia="en-US"/>
        </w:rPr>
        <w:lastRenderedPageBreak/>
        <w:t xml:space="preserve">Do you consider that a regime similar to the one under Article 38 of the CSDR but applied throughout the custody chain (according to which the manager of AIFs/UCITS, on behalf of their investors, informs the depositary of the level of asset segregation it wishes to apply throughout the custody chain to each individual AIF/UCITS, after having duly assessed the risks and costs associated with the different options) would achieve the policy objective described in the above introduction? Please explain why and, if the answer is yes, how. </w:t>
      </w:r>
    </w:p>
    <w:p w:rsidR="001A170B" w:rsidRPr="001A170B" w:rsidRDefault="001A170B" w:rsidP="001A170B">
      <w:pPr>
        <w:numPr>
          <w:ilvl w:val="0"/>
          <w:numId w:val="53"/>
        </w:numPr>
        <w:spacing w:after="250" w:line="276" w:lineRule="auto"/>
        <w:jc w:val="both"/>
        <w:rPr>
          <w:rFonts w:cs="Arial"/>
          <w:b/>
          <w:sz w:val="22"/>
          <w:szCs w:val="20"/>
          <w:lang w:eastAsia="en-US"/>
        </w:rPr>
      </w:pPr>
      <w:r w:rsidRPr="001A170B">
        <w:rPr>
          <w:rFonts w:cs="Arial"/>
          <w:b/>
          <w:sz w:val="22"/>
          <w:szCs w:val="20"/>
          <w:lang w:eastAsia="en-US"/>
        </w:rPr>
        <w:t>Applying a regime similar to the one under Article 38 of the CSDR to the AIF/UCITS framework would mean that the fund investors would have the choice to invest in a given fund or not, after having been made aware – through appropriate disclosures – of the level of asset segregation that the managers of AIFs/UCITS had chosen and the related costs. However, investors would not have the opportunity to participate in the choice of the level of asset segregation as such a choice would have to be made by the manager for each individual fund as a whole (i.e. it would not be possible to have different levels of segregation for the investors in the same fund). Do you consider that this could raise any concern in terms of investor protection or could any concern be alleviated through appropriate disclosures? Please explain the reasons for your answer.</w:t>
      </w:r>
    </w:p>
    <w:p w:rsidR="001A170B" w:rsidRDefault="001A170B" w:rsidP="001A170B">
      <w:pPr>
        <w:numPr>
          <w:ilvl w:val="0"/>
          <w:numId w:val="53"/>
        </w:numPr>
        <w:spacing w:after="250" w:line="276" w:lineRule="auto"/>
        <w:jc w:val="both"/>
        <w:rPr>
          <w:rFonts w:cs="Arial"/>
          <w:b/>
          <w:sz w:val="22"/>
          <w:szCs w:val="20"/>
          <w:lang w:eastAsia="en-US"/>
        </w:rPr>
      </w:pPr>
      <w:r w:rsidRPr="001A170B">
        <w:rPr>
          <w:rFonts w:cs="Arial"/>
          <w:b/>
          <w:sz w:val="22"/>
          <w:szCs w:val="20"/>
          <w:lang w:eastAsia="en-US"/>
        </w:rPr>
        <w:t>Please comment on any implications of such a regime for the account related provisions under Article 39 of EMIR.</w:t>
      </w:r>
    </w:p>
    <w:p w:rsidR="00731D88" w:rsidRDefault="00731D88" w:rsidP="00731D88">
      <w:pPr>
        <w:spacing w:after="250" w:line="276" w:lineRule="auto"/>
        <w:jc w:val="both"/>
        <w:rPr>
          <w:rFonts w:cs="Arial"/>
          <w:b/>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23</w:t>
      </w:r>
      <w:r w:rsidRPr="00176639">
        <w:t>&gt;</w:t>
      </w:r>
    </w:p>
    <w:p w:rsidR="00C277C6" w:rsidRDefault="00C277C6" w:rsidP="00731D88">
      <w:pPr>
        <w:spacing w:after="250" w:line="276" w:lineRule="auto"/>
        <w:jc w:val="both"/>
      </w:pPr>
      <w:permStart w:id="1114064898" w:edGrp="everyone"/>
      <w:r w:rsidRPr="00C277C6">
        <w:t>Irish Funds supports the AGC and AFME responses to this question.</w:t>
      </w:r>
    </w:p>
    <w:permEnd w:id="1114064898"/>
    <w:p w:rsidR="00731D88" w:rsidRDefault="00731D88" w:rsidP="00731D88">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23</w:t>
      </w:r>
      <w:r w:rsidRPr="00B42A10">
        <w:rPr>
          <w:lang w:val="fr-FR"/>
        </w:rPr>
        <w:t>&gt;</w:t>
      </w:r>
    </w:p>
    <w:p w:rsidR="00731D88" w:rsidRPr="001A170B" w:rsidRDefault="00731D88" w:rsidP="00731D88">
      <w:pPr>
        <w:spacing w:after="250" w:line="276" w:lineRule="auto"/>
        <w:jc w:val="both"/>
        <w:rPr>
          <w:rFonts w:cs="Arial"/>
          <w:b/>
          <w:sz w:val="22"/>
          <w:szCs w:val="20"/>
          <w:lang w:eastAsia="en-US"/>
        </w:rPr>
      </w:pPr>
    </w:p>
    <w:p w:rsid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Please describe any alternative regime which, in your view, would achieve the policy objective described in the above introduction.</w:t>
      </w:r>
    </w:p>
    <w:p w:rsidR="00731D88" w:rsidRDefault="00731D88" w:rsidP="00731D88">
      <w:pPr>
        <w:spacing w:after="250" w:line="276" w:lineRule="auto"/>
        <w:jc w:val="both"/>
        <w:rPr>
          <w:b/>
          <w:bCs/>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24</w:t>
      </w:r>
      <w:r w:rsidRPr="00176639">
        <w:t>&gt;</w:t>
      </w:r>
    </w:p>
    <w:p w:rsidR="00731D88" w:rsidRPr="00CD1F3D" w:rsidRDefault="00C277C6" w:rsidP="00C277C6">
      <w:pPr>
        <w:jc w:val="both"/>
        <w:rPr>
          <w:rFonts w:cs="Arial"/>
          <w:szCs w:val="20"/>
        </w:rPr>
      </w:pPr>
      <w:permStart w:id="1573141870" w:edGrp="everyone"/>
      <w:r w:rsidRPr="00CD1F3D">
        <w:rPr>
          <w:rFonts w:cs="Arial"/>
          <w:szCs w:val="20"/>
        </w:rPr>
        <w:t>Irish Funds supports the AGC and AFME responses to this question.</w:t>
      </w:r>
    </w:p>
    <w:permEnd w:id="1573141870"/>
    <w:p w:rsidR="00731D88" w:rsidRDefault="00731D88" w:rsidP="00731D88">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24</w:t>
      </w:r>
      <w:r w:rsidRPr="00B42A10">
        <w:rPr>
          <w:lang w:val="fr-FR"/>
        </w:rPr>
        <w:t>&gt;</w:t>
      </w:r>
    </w:p>
    <w:p w:rsidR="00731D88" w:rsidRPr="001A170B" w:rsidRDefault="00731D88" w:rsidP="00731D88">
      <w:pPr>
        <w:spacing w:after="250" w:line="276" w:lineRule="auto"/>
        <w:jc w:val="both"/>
        <w:rPr>
          <w:b/>
          <w:bCs/>
          <w:sz w:val="22"/>
          <w:szCs w:val="20"/>
          <w:lang w:eastAsia="en-US"/>
        </w:rPr>
      </w:pPr>
    </w:p>
    <w:p w:rsidR="001A170B" w:rsidRDefault="001A170B" w:rsidP="001A170B">
      <w:pPr>
        <w:numPr>
          <w:ilvl w:val="0"/>
          <w:numId w:val="38"/>
        </w:numPr>
        <w:spacing w:after="250" w:line="276" w:lineRule="auto"/>
        <w:jc w:val="both"/>
        <w:rPr>
          <w:rFonts w:cs="Arial"/>
          <w:b/>
          <w:bCs/>
          <w:sz w:val="22"/>
          <w:szCs w:val="20"/>
          <w:lang w:eastAsia="en-US"/>
        </w:rPr>
      </w:pPr>
      <w:r w:rsidRPr="001A170B">
        <w:rPr>
          <w:rFonts w:cs="Arial"/>
          <w:b/>
          <w:bCs/>
          <w:sz w:val="22"/>
          <w:szCs w:val="20"/>
          <w:lang w:eastAsia="en-US"/>
        </w:rPr>
        <w:t xml:space="preserve">Do you see a need for detailing and further clarifying the concept of “custody” for the purposes of the AIFMD and UCITS Directive? </w:t>
      </w:r>
    </w:p>
    <w:p w:rsidR="00731D88" w:rsidRDefault="00731D88" w:rsidP="00731D88">
      <w:pPr>
        <w:spacing w:after="250" w:line="276" w:lineRule="auto"/>
        <w:jc w:val="both"/>
        <w:rPr>
          <w:rFonts w:cs="Arial"/>
          <w:b/>
          <w:bCs/>
          <w:sz w:val="22"/>
          <w:szCs w:val="20"/>
          <w:lang w:eastAsia="en-US"/>
        </w:rPr>
      </w:pPr>
    </w:p>
    <w:p w:rsidR="00731D88" w:rsidRPr="00176639" w:rsidRDefault="00731D88" w:rsidP="00731D88">
      <w:r w:rsidRPr="00176639">
        <w:lastRenderedPageBreak/>
        <w:t>&lt;ESMA_</w:t>
      </w:r>
      <w:r>
        <w:t>QUESTION</w:t>
      </w:r>
      <w:r w:rsidRPr="00176639">
        <w:t>_</w:t>
      </w:r>
      <w:r>
        <w:t>CE_</w:t>
      </w:r>
      <w:r w:rsidRPr="000018FA">
        <w:t>ASCS</w:t>
      </w:r>
      <w:r w:rsidRPr="00176639">
        <w:t>_</w:t>
      </w:r>
      <w:r>
        <w:t>25</w:t>
      </w:r>
      <w:r w:rsidRPr="00176639">
        <w:t>&gt;</w:t>
      </w:r>
    </w:p>
    <w:p w:rsidR="00C277C6" w:rsidRPr="00466C60" w:rsidRDefault="00C277C6" w:rsidP="00C277C6">
      <w:pPr>
        <w:jc w:val="both"/>
        <w:rPr>
          <w:rFonts w:cs="Arial"/>
          <w:szCs w:val="20"/>
        </w:rPr>
      </w:pPr>
      <w:permStart w:id="2132836123" w:edGrp="everyone"/>
      <w:r w:rsidRPr="00C277C6">
        <w:rPr>
          <w:rFonts w:asciiTheme="minorHAnsi" w:hAnsiTheme="minorHAnsi" w:cstheme="minorHAnsi"/>
          <w:szCs w:val="20"/>
        </w:rPr>
        <w:t xml:space="preserve"> </w:t>
      </w:r>
      <w:r w:rsidRPr="00466C60">
        <w:rPr>
          <w:rFonts w:cs="Arial"/>
          <w:szCs w:val="20"/>
        </w:rPr>
        <w:t>Yes, a common definition of custody across all relevant legislation such as AIFMD, UCITS V and CSDR would be beneficial to provide clarity in the marketplace. This definition needs to recognise the different elements of a custody service as well as the different providers including custodians, prime brokers, collateral managers, CSDs acting in an issuer CSD capacity, CSDs acting in an investor CSD capacity and financial market infrastructure interoperability arrangements. This should all be considered with overriding focus on transparency, consistency and investor protection. Furthermore, it is essential that any efforts towards establishing a common definition of custody should be consistent with global operating models, given the global nature of investment fund and securities markets. We therefore would encourage further consideration of these topics through fora such as IOSCO.</w:t>
      </w:r>
    </w:p>
    <w:p w:rsidR="00C277C6" w:rsidRPr="00466C60" w:rsidRDefault="00C277C6" w:rsidP="00C277C6">
      <w:pPr>
        <w:jc w:val="both"/>
        <w:rPr>
          <w:rFonts w:cs="Arial"/>
          <w:szCs w:val="20"/>
        </w:rPr>
      </w:pPr>
    </w:p>
    <w:p w:rsidR="00731D88" w:rsidRPr="00FF70A9" w:rsidRDefault="00C277C6" w:rsidP="00C277C6">
      <w:pPr>
        <w:jc w:val="both"/>
        <w:rPr>
          <w:rFonts w:asciiTheme="minorHAnsi" w:hAnsiTheme="minorHAnsi" w:cstheme="minorHAnsi"/>
          <w:color w:val="FF0000"/>
          <w:szCs w:val="20"/>
        </w:rPr>
      </w:pPr>
      <w:r w:rsidRPr="00466C60">
        <w:rPr>
          <w:rFonts w:cs="Arial"/>
          <w:szCs w:val="20"/>
        </w:rPr>
        <w:t>We also support the AGC response to this question.</w:t>
      </w:r>
    </w:p>
    <w:permEnd w:id="2132836123"/>
    <w:p w:rsidR="00731D88" w:rsidRDefault="00731D88" w:rsidP="00731D88">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25</w:t>
      </w:r>
      <w:r w:rsidRPr="00B42A10">
        <w:rPr>
          <w:lang w:val="fr-FR"/>
        </w:rPr>
        <w:t>&gt;</w:t>
      </w:r>
    </w:p>
    <w:p w:rsidR="00731D88" w:rsidRPr="001A170B" w:rsidRDefault="00731D88" w:rsidP="00731D88">
      <w:pPr>
        <w:spacing w:after="250" w:line="276" w:lineRule="auto"/>
        <w:jc w:val="both"/>
        <w:rPr>
          <w:rFonts w:cs="Arial"/>
          <w:b/>
          <w:bCs/>
          <w:sz w:val="22"/>
          <w:szCs w:val="20"/>
          <w:lang w:eastAsia="en-US"/>
        </w:rPr>
      </w:pPr>
    </w:p>
    <w:p w:rsidR="001A170B" w:rsidRPr="001A170B" w:rsidRDefault="001A170B" w:rsidP="001A170B">
      <w:pPr>
        <w:numPr>
          <w:ilvl w:val="0"/>
          <w:numId w:val="38"/>
        </w:numPr>
        <w:spacing w:after="250" w:line="276" w:lineRule="auto"/>
        <w:jc w:val="both"/>
        <w:rPr>
          <w:rFonts w:cs="Arial"/>
          <w:b/>
          <w:bCs/>
          <w:sz w:val="22"/>
          <w:szCs w:val="20"/>
          <w:lang w:eastAsia="en-US"/>
        </w:rPr>
      </w:pPr>
      <w:r w:rsidRPr="001A170B">
        <w:rPr>
          <w:rFonts w:cs="Arial"/>
          <w:b/>
          <w:bCs/>
          <w:sz w:val="22"/>
          <w:szCs w:val="20"/>
          <w:lang w:eastAsia="en-US"/>
        </w:rPr>
        <w:t>If your answer to Q25 is yes, should the concept of “custody” of financial instruments include the provision of any of the following services for the purpose of the AIFMD and UCITS Directive:</w:t>
      </w:r>
    </w:p>
    <w:p w:rsidR="001A170B" w:rsidRPr="001A170B" w:rsidRDefault="001A170B" w:rsidP="001A170B">
      <w:pPr>
        <w:numPr>
          <w:ilvl w:val="0"/>
          <w:numId w:val="54"/>
        </w:numPr>
        <w:spacing w:after="250" w:line="276" w:lineRule="auto"/>
        <w:jc w:val="both"/>
        <w:rPr>
          <w:rFonts w:cs="Arial"/>
          <w:b/>
          <w:sz w:val="22"/>
          <w:szCs w:val="20"/>
          <w:lang w:eastAsia="en-US"/>
        </w:rPr>
      </w:pPr>
      <w:r w:rsidRPr="001A170B">
        <w:rPr>
          <w:rFonts w:cs="Arial"/>
          <w:b/>
          <w:sz w:val="22"/>
          <w:szCs w:val="20"/>
          <w:lang w:eastAsia="en-US"/>
        </w:rPr>
        <w:t>initial recording of securities in a book-entry system (‘notary service’);</w:t>
      </w:r>
    </w:p>
    <w:p w:rsidR="001A170B" w:rsidRPr="001A170B" w:rsidRDefault="001A170B" w:rsidP="001A170B">
      <w:pPr>
        <w:numPr>
          <w:ilvl w:val="0"/>
          <w:numId w:val="54"/>
        </w:numPr>
        <w:spacing w:after="250" w:line="276" w:lineRule="auto"/>
        <w:jc w:val="both"/>
        <w:rPr>
          <w:rFonts w:cs="Arial"/>
          <w:b/>
          <w:sz w:val="22"/>
          <w:szCs w:val="20"/>
          <w:lang w:eastAsia="en-US"/>
        </w:rPr>
      </w:pPr>
      <w:r w:rsidRPr="001A170B">
        <w:rPr>
          <w:rFonts w:cs="Arial"/>
          <w:b/>
          <w:sz w:val="22"/>
          <w:szCs w:val="20"/>
          <w:lang w:eastAsia="en-US"/>
        </w:rPr>
        <w:t>providing and maintaining securities accounts at the top tier level (‘central maintenance service’)</w:t>
      </w:r>
      <w:r w:rsidRPr="001A170B">
        <w:rPr>
          <w:rFonts w:cs="Arial"/>
          <w:sz w:val="22"/>
          <w:szCs w:val="20"/>
          <w:vertAlign w:val="superscript"/>
          <w:lang w:eastAsia="en-US"/>
        </w:rPr>
        <w:footnoteReference w:id="12"/>
      </w:r>
      <w:r w:rsidRPr="001A170B">
        <w:rPr>
          <w:rFonts w:cs="Arial"/>
          <w:b/>
          <w:sz w:val="22"/>
          <w:szCs w:val="20"/>
          <w:lang w:eastAsia="en-US"/>
        </w:rPr>
        <w:t>;</w:t>
      </w:r>
    </w:p>
    <w:p w:rsidR="001A170B" w:rsidRPr="001A170B" w:rsidRDefault="001A170B" w:rsidP="001A170B">
      <w:pPr>
        <w:numPr>
          <w:ilvl w:val="0"/>
          <w:numId w:val="54"/>
        </w:numPr>
        <w:spacing w:after="250" w:line="276" w:lineRule="auto"/>
        <w:jc w:val="both"/>
        <w:rPr>
          <w:rFonts w:cs="Arial"/>
          <w:b/>
          <w:sz w:val="22"/>
          <w:szCs w:val="20"/>
          <w:lang w:eastAsia="en-US"/>
        </w:rPr>
      </w:pPr>
      <w:r w:rsidRPr="001A170B">
        <w:rPr>
          <w:rFonts w:cs="Arial"/>
          <w:b/>
          <w:sz w:val="22"/>
          <w:szCs w:val="20"/>
          <w:lang w:eastAsia="en-US"/>
        </w:rPr>
        <w:t>maintaining or operating securities accounts in relation to the settlement service;</w:t>
      </w:r>
    </w:p>
    <w:p w:rsidR="001A170B" w:rsidRPr="001A170B" w:rsidRDefault="001A170B" w:rsidP="001A170B">
      <w:pPr>
        <w:numPr>
          <w:ilvl w:val="0"/>
          <w:numId w:val="54"/>
        </w:numPr>
        <w:spacing w:after="250" w:line="276" w:lineRule="auto"/>
        <w:jc w:val="both"/>
        <w:rPr>
          <w:rFonts w:cs="Arial"/>
          <w:b/>
          <w:sz w:val="22"/>
          <w:szCs w:val="20"/>
          <w:lang w:eastAsia="en-US"/>
        </w:rPr>
      </w:pPr>
      <w:r w:rsidRPr="001A170B">
        <w:rPr>
          <w:rFonts w:cs="Arial"/>
          <w:b/>
          <w:sz w:val="22"/>
          <w:szCs w:val="20"/>
          <w:lang w:eastAsia="en-US"/>
        </w:rPr>
        <w:t>having any kind of access to the assets of the AIF/UCITS; or</w:t>
      </w:r>
    </w:p>
    <w:p w:rsidR="001A170B" w:rsidRDefault="001A170B" w:rsidP="001A170B">
      <w:pPr>
        <w:numPr>
          <w:ilvl w:val="0"/>
          <w:numId w:val="54"/>
        </w:numPr>
        <w:spacing w:after="250" w:line="276" w:lineRule="auto"/>
        <w:jc w:val="both"/>
        <w:rPr>
          <w:rFonts w:cs="Arial"/>
          <w:b/>
          <w:sz w:val="22"/>
          <w:szCs w:val="20"/>
          <w:lang w:eastAsia="en-US"/>
        </w:rPr>
      </w:pPr>
      <w:r w:rsidRPr="001A170B">
        <w:rPr>
          <w:rFonts w:cs="Arial"/>
          <w:b/>
          <w:sz w:val="22"/>
          <w:szCs w:val="20"/>
          <w:lang w:eastAsia="en-US"/>
        </w:rPr>
        <w:t>having any access to the accounts where the assets of the AIF/UCITS are booked with the right to pledge and transfer those assets from those accounts to any other party?</w:t>
      </w:r>
    </w:p>
    <w:p w:rsidR="00731D88" w:rsidRDefault="00731D88" w:rsidP="00731D88">
      <w:pPr>
        <w:spacing w:after="250" w:line="276" w:lineRule="auto"/>
        <w:jc w:val="both"/>
        <w:rPr>
          <w:rFonts w:cs="Arial"/>
          <w:b/>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26</w:t>
      </w:r>
      <w:r w:rsidRPr="00176639">
        <w:t>&gt;</w:t>
      </w:r>
    </w:p>
    <w:p w:rsidR="00731D88" w:rsidRDefault="00C277C6" w:rsidP="00C277C6">
      <w:permStart w:id="498479270" w:edGrp="everyone"/>
      <w:r>
        <w:t>No – In addition, a), b) and c) as stated describe attributes that are unique to central securities depositories. We support the AGC response to this question.</w:t>
      </w:r>
    </w:p>
    <w:permEnd w:id="498479270"/>
    <w:p w:rsidR="00731D88" w:rsidRDefault="00731D88" w:rsidP="00731D88">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26</w:t>
      </w:r>
      <w:r w:rsidRPr="00B42A10">
        <w:rPr>
          <w:lang w:val="fr-FR"/>
        </w:rPr>
        <w:t>&gt;</w:t>
      </w:r>
    </w:p>
    <w:p w:rsidR="00731D88" w:rsidRPr="001A170B" w:rsidRDefault="00731D88" w:rsidP="00731D88">
      <w:pPr>
        <w:spacing w:after="250" w:line="276" w:lineRule="auto"/>
        <w:jc w:val="both"/>
        <w:rPr>
          <w:rFonts w:cs="Arial"/>
          <w:b/>
          <w:sz w:val="22"/>
          <w:szCs w:val="20"/>
          <w:lang w:eastAsia="en-US"/>
        </w:rPr>
      </w:pPr>
    </w:p>
    <w:p w:rsidR="001A170B" w:rsidRDefault="001A170B" w:rsidP="001A170B">
      <w:pPr>
        <w:numPr>
          <w:ilvl w:val="0"/>
          <w:numId w:val="38"/>
        </w:numPr>
        <w:spacing w:after="250" w:line="276" w:lineRule="auto"/>
        <w:jc w:val="both"/>
        <w:rPr>
          <w:rFonts w:cs="Arial"/>
          <w:b/>
          <w:bCs/>
          <w:sz w:val="22"/>
          <w:szCs w:val="20"/>
          <w:lang w:eastAsia="en-US"/>
        </w:rPr>
      </w:pPr>
      <w:r w:rsidRPr="001A170B">
        <w:rPr>
          <w:rFonts w:cs="Arial"/>
          <w:b/>
          <w:bCs/>
          <w:sz w:val="22"/>
          <w:szCs w:val="20"/>
          <w:lang w:eastAsia="en-US"/>
        </w:rPr>
        <w:t>If your answer to Q25 is yes, w</w:t>
      </w:r>
      <w:r w:rsidRPr="001A170B" w:rsidDel="004F2FC4">
        <w:rPr>
          <w:rFonts w:cs="Arial"/>
          <w:b/>
          <w:bCs/>
          <w:sz w:val="22"/>
          <w:szCs w:val="20"/>
          <w:lang w:eastAsia="en-US"/>
        </w:rPr>
        <w:t xml:space="preserve">ould you include any other services in the </w:t>
      </w:r>
      <w:r w:rsidRPr="001A170B">
        <w:rPr>
          <w:rFonts w:cs="Arial"/>
          <w:b/>
          <w:bCs/>
          <w:sz w:val="22"/>
          <w:szCs w:val="20"/>
          <w:lang w:eastAsia="en-US"/>
        </w:rPr>
        <w:t>concept</w:t>
      </w:r>
      <w:r w:rsidRPr="001A170B" w:rsidDel="004F2FC4">
        <w:rPr>
          <w:rFonts w:cs="Arial"/>
          <w:b/>
          <w:bCs/>
          <w:sz w:val="22"/>
          <w:szCs w:val="20"/>
          <w:lang w:eastAsia="en-US"/>
        </w:rPr>
        <w:t xml:space="preserve"> of “custody” of financial instruments for the purpose of the AIFMD and UCITS Directive? If your answer is yes, please list </w:t>
      </w:r>
      <w:r w:rsidRPr="001A170B">
        <w:rPr>
          <w:rFonts w:cs="Arial"/>
          <w:b/>
          <w:bCs/>
          <w:sz w:val="22"/>
          <w:szCs w:val="20"/>
          <w:lang w:eastAsia="en-US"/>
        </w:rPr>
        <w:t>and describe precisely the</w:t>
      </w:r>
      <w:r w:rsidRPr="001A170B" w:rsidDel="004F2FC4">
        <w:rPr>
          <w:rFonts w:cs="Arial"/>
          <w:b/>
          <w:bCs/>
          <w:sz w:val="22"/>
          <w:szCs w:val="20"/>
          <w:lang w:eastAsia="en-US"/>
        </w:rPr>
        <w:t xml:space="preserve"> services that should be included.</w:t>
      </w:r>
    </w:p>
    <w:p w:rsidR="00731D88" w:rsidRDefault="00731D88" w:rsidP="00731D88">
      <w:pPr>
        <w:spacing w:after="250" w:line="276" w:lineRule="auto"/>
        <w:jc w:val="both"/>
        <w:rPr>
          <w:rFonts w:cs="Arial"/>
          <w:b/>
          <w:bCs/>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27</w:t>
      </w:r>
      <w:r w:rsidRPr="00176639">
        <w:t>&gt;</w:t>
      </w:r>
    </w:p>
    <w:p w:rsidR="00C277C6" w:rsidRDefault="00C277C6" w:rsidP="00731D88">
      <w:pPr>
        <w:spacing w:after="250" w:line="276" w:lineRule="auto"/>
        <w:jc w:val="both"/>
      </w:pPr>
      <w:permStart w:id="2070615057" w:edGrp="everyone"/>
      <w:r w:rsidRPr="00C277C6">
        <w:t>We support the AGC response to this question.</w:t>
      </w:r>
    </w:p>
    <w:permEnd w:id="2070615057"/>
    <w:p w:rsidR="00731D88" w:rsidRDefault="00731D88" w:rsidP="00731D88">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27</w:t>
      </w:r>
      <w:r w:rsidRPr="00B42A10">
        <w:rPr>
          <w:lang w:val="fr-FR"/>
        </w:rPr>
        <w:t>&gt;</w:t>
      </w:r>
    </w:p>
    <w:p w:rsidR="00731D88" w:rsidRPr="001A170B" w:rsidRDefault="00731D88" w:rsidP="00731D88">
      <w:pPr>
        <w:spacing w:after="250" w:line="276" w:lineRule="auto"/>
        <w:jc w:val="both"/>
        <w:rPr>
          <w:rFonts w:cs="Arial"/>
          <w:b/>
          <w:bCs/>
          <w:sz w:val="22"/>
          <w:szCs w:val="20"/>
          <w:lang w:eastAsia="en-US"/>
        </w:rPr>
      </w:pPr>
    </w:p>
    <w:p w:rsidR="001A170B" w:rsidRDefault="001A170B" w:rsidP="001A170B">
      <w:pPr>
        <w:numPr>
          <w:ilvl w:val="0"/>
          <w:numId w:val="38"/>
        </w:numPr>
        <w:spacing w:after="250" w:line="276" w:lineRule="auto"/>
        <w:jc w:val="both"/>
        <w:rPr>
          <w:rFonts w:cs="Arial"/>
          <w:b/>
          <w:bCs/>
          <w:sz w:val="22"/>
          <w:szCs w:val="20"/>
          <w:lang w:eastAsia="en-US"/>
        </w:rPr>
      </w:pPr>
      <w:r w:rsidRPr="001A170B">
        <w:rPr>
          <w:rFonts w:cs="Arial"/>
          <w:b/>
          <w:bCs/>
          <w:sz w:val="22"/>
          <w:szCs w:val="20"/>
          <w:lang w:eastAsia="en-US"/>
        </w:rPr>
        <w:t>Please explain how, in your views, “custody” services interact with “safe-keeping” services, in particular those referred to under Article 21(8) of the AIFMD (as well as Article 89 of the AIFMD Level 2</w:t>
      </w:r>
      <w:r w:rsidRPr="001A170B">
        <w:rPr>
          <w:rFonts w:cs="Arial"/>
          <w:b/>
          <w:bCs/>
          <w:sz w:val="22"/>
          <w:szCs w:val="20"/>
          <w:vertAlign w:val="superscript"/>
          <w:lang w:eastAsia="en-US"/>
        </w:rPr>
        <w:footnoteReference w:id="13"/>
      </w:r>
      <w:r w:rsidRPr="001A170B">
        <w:rPr>
          <w:rFonts w:cs="Arial"/>
          <w:b/>
          <w:bCs/>
          <w:sz w:val="22"/>
          <w:szCs w:val="20"/>
          <w:lang w:eastAsia="en-US"/>
        </w:rPr>
        <w:t>) and Article 22(5) of the UCITS Directive (as well as Article 13 of the UCITS V Level 2</w:t>
      </w:r>
      <w:r w:rsidRPr="001A170B">
        <w:rPr>
          <w:rFonts w:cs="Arial"/>
          <w:b/>
          <w:bCs/>
          <w:sz w:val="22"/>
          <w:szCs w:val="20"/>
          <w:vertAlign w:val="superscript"/>
          <w:lang w:eastAsia="en-US"/>
        </w:rPr>
        <w:footnoteReference w:id="14"/>
      </w:r>
      <w:r w:rsidRPr="001A170B">
        <w:rPr>
          <w:rFonts w:cs="Arial"/>
          <w:b/>
          <w:bCs/>
          <w:sz w:val="22"/>
          <w:szCs w:val="20"/>
          <w:lang w:eastAsia="en-US"/>
        </w:rPr>
        <w:t>).</w:t>
      </w:r>
    </w:p>
    <w:p w:rsidR="00731D88" w:rsidRDefault="00731D88" w:rsidP="00731D88">
      <w:pPr>
        <w:spacing w:after="250" w:line="276" w:lineRule="auto"/>
        <w:jc w:val="both"/>
        <w:rPr>
          <w:rFonts w:cs="Arial"/>
          <w:b/>
          <w:bCs/>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28</w:t>
      </w:r>
      <w:r w:rsidRPr="00176639">
        <w:t>&gt;</w:t>
      </w:r>
    </w:p>
    <w:p w:rsidR="00731D88" w:rsidRPr="00466C60" w:rsidRDefault="006A591C" w:rsidP="00466C60">
      <w:pPr>
        <w:jc w:val="both"/>
      </w:pPr>
      <w:permStart w:id="913471653" w:edGrp="everyone"/>
      <w:r w:rsidRPr="00466C60">
        <w:t xml:space="preserve">For the purposes of the legislation referenced above, the term ‘custody’ sets out how and where the fund assets are held.  ‘Safekeeping’ sets out the obligations imposed on a depositary to ensure that ownership of the assets is verified and that through the depositary’s decision-making </w:t>
      </w:r>
      <w:r w:rsidR="005B18C8">
        <w:t xml:space="preserve">and due diligence </w:t>
      </w:r>
      <w:r w:rsidRPr="00466C60">
        <w:t>process</w:t>
      </w:r>
      <w:r w:rsidR="007D3EC2">
        <w:t>,</w:t>
      </w:r>
      <w:r w:rsidRPr="00466C60">
        <w:t xml:space="preserve"> suitable third party/ies are selected to hold the fund assets in segregated accounts in custody and thereafter </w:t>
      </w:r>
      <w:r w:rsidR="005B18C8">
        <w:t>the depositary will</w:t>
      </w:r>
      <w:r w:rsidRPr="00466C60">
        <w:t xml:space="preserve"> perform regular monitoring and oversight of the parties selected and of the fund assets held in custody.</w:t>
      </w:r>
    </w:p>
    <w:permEnd w:id="913471653"/>
    <w:p w:rsidR="00731D88" w:rsidRPr="001A170B" w:rsidRDefault="00731D88" w:rsidP="00731D88">
      <w:pPr>
        <w:spacing w:after="250" w:line="276" w:lineRule="auto"/>
        <w:jc w:val="both"/>
        <w:rPr>
          <w:rFonts w:cs="Arial"/>
          <w:b/>
          <w:bCs/>
          <w:sz w:val="22"/>
          <w:szCs w:val="20"/>
          <w:lang w:eastAsia="en-US"/>
        </w:rPr>
      </w:pPr>
      <w:r w:rsidRPr="00B42A10">
        <w:rPr>
          <w:lang w:val="fr-FR"/>
        </w:rPr>
        <w:t>&lt;ESMA_</w:t>
      </w:r>
      <w:r w:rsidRPr="001A170B">
        <w:rPr>
          <w:lang w:val="fr-FR"/>
        </w:rPr>
        <w:t>QUESTION</w:t>
      </w:r>
      <w:r w:rsidRPr="00B42A10">
        <w:rPr>
          <w:lang w:val="fr-FR"/>
        </w:rPr>
        <w:t>_CE_ASCS_</w:t>
      </w:r>
      <w:r>
        <w:rPr>
          <w:lang w:val="fr-FR"/>
        </w:rPr>
        <w:t>28</w:t>
      </w:r>
      <w:r w:rsidRPr="00B42A10">
        <w:rPr>
          <w:lang w:val="fr-FR"/>
        </w:rPr>
        <w:t>&gt;</w:t>
      </w:r>
    </w:p>
    <w:p w:rsidR="001A170B" w:rsidRDefault="001A170B" w:rsidP="001A170B">
      <w:pPr>
        <w:numPr>
          <w:ilvl w:val="0"/>
          <w:numId w:val="38"/>
        </w:numPr>
        <w:spacing w:after="250" w:line="276" w:lineRule="auto"/>
        <w:jc w:val="both"/>
        <w:rPr>
          <w:rFonts w:cs="Arial"/>
          <w:b/>
          <w:bCs/>
          <w:sz w:val="22"/>
          <w:szCs w:val="20"/>
          <w:lang w:eastAsia="en-US"/>
        </w:rPr>
      </w:pPr>
      <w:r w:rsidRPr="001A170B">
        <w:rPr>
          <w:rFonts w:cs="Arial"/>
          <w:b/>
          <w:bCs/>
          <w:sz w:val="22"/>
          <w:szCs w:val="20"/>
          <w:lang w:eastAsia="en-US"/>
        </w:rPr>
        <w:t xml:space="preserve">If you consider that the provision by a CSD of any of the core services (i.e. services mentioned under Section A of the Annex to the CSDR) or ancillary services (i.e. services provided in accordance with Section B or Section C of the Annex to the CSDR) </w:t>
      </w:r>
      <w:r w:rsidRPr="001A170B" w:rsidDel="004F2FC4">
        <w:rPr>
          <w:rFonts w:cs="Arial"/>
          <w:b/>
          <w:bCs/>
          <w:sz w:val="22"/>
          <w:szCs w:val="20"/>
          <w:lang w:eastAsia="en-US"/>
        </w:rPr>
        <w:t xml:space="preserve">should </w:t>
      </w:r>
      <w:r w:rsidRPr="001A170B">
        <w:rPr>
          <w:rFonts w:cs="Arial"/>
          <w:b/>
          <w:bCs/>
          <w:sz w:val="22"/>
          <w:szCs w:val="20"/>
          <w:lang w:eastAsia="en-US"/>
        </w:rPr>
        <w:t xml:space="preserve">not result in the CSD </w:t>
      </w:r>
      <w:r w:rsidRPr="001A170B" w:rsidDel="004F2FC4">
        <w:rPr>
          <w:rFonts w:cs="Arial"/>
          <w:b/>
          <w:bCs/>
          <w:sz w:val="22"/>
          <w:szCs w:val="20"/>
          <w:lang w:eastAsia="en-US"/>
        </w:rPr>
        <w:t>be</w:t>
      </w:r>
      <w:r w:rsidRPr="001A170B">
        <w:rPr>
          <w:rFonts w:cs="Arial"/>
          <w:b/>
          <w:bCs/>
          <w:sz w:val="22"/>
          <w:szCs w:val="20"/>
          <w:lang w:eastAsia="en-US"/>
        </w:rPr>
        <w:t>ing</w:t>
      </w:r>
      <w:r w:rsidRPr="001A170B" w:rsidDel="004F2FC4">
        <w:rPr>
          <w:rFonts w:cs="Arial"/>
          <w:b/>
          <w:bCs/>
          <w:sz w:val="22"/>
          <w:szCs w:val="20"/>
          <w:lang w:eastAsia="en-US"/>
        </w:rPr>
        <w:t xml:space="preserve"> considered as a delegate within the meaning of Article 21(11) of the AIFMD and Article 22a of the UCITS Directive</w:t>
      </w:r>
      <w:r w:rsidRPr="001A170B">
        <w:rPr>
          <w:rFonts w:cs="Arial"/>
          <w:b/>
          <w:bCs/>
          <w:sz w:val="22"/>
          <w:szCs w:val="20"/>
          <w:lang w:eastAsia="en-US"/>
        </w:rPr>
        <w:t>, please list the specific services and</w:t>
      </w:r>
      <w:r w:rsidRPr="001A170B" w:rsidDel="004F2FC4">
        <w:rPr>
          <w:rFonts w:cs="Arial"/>
          <w:b/>
          <w:bCs/>
          <w:sz w:val="22"/>
          <w:szCs w:val="20"/>
          <w:lang w:eastAsia="en-US"/>
        </w:rPr>
        <w:t xml:space="preserve"> explain the reasons why. </w:t>
      </w:r>
    </w:p>
    <w:p w:rsidR="00731D88" w:rsidRDefault="00731D88" w:rsidP="00731D88">
      <w:pPr>
        <w:spacing w:after="250" w:line="276" w:lineRule="auto"/>
        <w:jc w:val="both"/>
        <w:rPr>
          <w:rFonts w:cs="Arial"/>
          <w:b/>
          <w:bCs/>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29</w:t>
      </w:r>
      <w:r w:rsidRPr="00176639">
        <w:t>&gt;</w:t>
      </w:r>
    </w:p>
    <w:p w:rsidR="006A591C" w:rsidRPr="00CD1F3D" w:rsidRDefault="006A591C" w:rsidP="006A591C">
      <w:pPr>
        <w:spacing w:before="120" w:after="120"/>
        <w:jc w:val="both"/>
        <w:rPr>
          <w:rFonts w:eastAsiaTheme="minorHAnsi" w:cs="Arial"/>
          <w:szCs w:val="20"/>
        </w:rPr>
      </w:pPr>
      <w:permStart w:id="1486192196" w:edGrp="everyone"/>
      <w:r w:rsidRPr="00CD1F3D">
        <w:rPr>
          <w:rFonts w:cs="Arial"/>
          <w:szCs w:val="20"/>
        </w:rPr>
        <w:t>Certain CSDs (namely those offering ancillary services under a banking license) are competing with UCITS/AIF depositaries and their third party delegates by offering identical services, and these are being offered on unequal terms due to the fact that such CSDs are exempted under EU regulation from the strict liability requirements which UCITS/AIF depositaries are intended to comply with under their respective Directives.</w:t>
      </w:r>
    </w:p>
    <w:p w:rsidR="006A591C" w:rsidRPr="00CD1F3D" w:rsidRDefault="006A591C" w:rsidP="006A591C">
      <w:pPr>
        <w:spacing w:before="120" w:after="120"/>
        <w:jc w:val="both"/>
        <w:rPr>
          <w:rFonts w:cs="Arial"/>
          <w:szCs w:val="20"/>
        </w:rPr>
      </w:pPr>
      <w:r w:rsidRPr="00CD1F3D">
        <w:rPr>
          <w:rFonts w:cs="Arial"/>
          <w:szCs w:val="20"/>
        </w:rPr>
        <w:t xml:space="preserve">Whereas under the AIFM Directive, CSDs, as operators of SSS, are outside the scope of the relevant provisions applying to third-party delegates, Recital (21) of the UCITS Directive contemplates circumstances where “entrusting the custody of securities of the UCITS to any CSD, or to any third-country CSD should be considered to be a delegation of custody functions”. </w:t>
      </w:r>
    </w:p>
    <w:p w:rsidR="006A591C" w:rsidRPr="00CD1F3D" w:rsidRDefault="006A591C" w:rsidP="006A591C">
      <w:pPr>
        <w:spacing w:before="120" w:after="120"/>
        <w:jc w:val="both"/>
        <w:rPr>
          <w:rFonts w:cs="Arial"/>
          <w:szCs w:val="20"/>
        </w:rPr>
      </w:pPr>
      <w:r w:rsidRPr="00CD1F3D">
        <w:rPr>
          <w:rFonts w:cs="Arial"/>
          <w:szCs w:val="20"/>
        </w:rPr>
        <w:t xml:space="preserve">Certain CSDs become interposed as third-party agents in the custody holding chain by providing custody in relation to securities that are initially issued in another CSD, while offering a range of ancillary services in </w:t>
      </w:r>
      <w:r w:rsidRPr="00CD1F3D">
        <w:rPr>
          <w:rFonts w:cs="Arial"/>
          <w:szCs w:val="20"/>
        </w:rPr>
        <w:lastRenderedPageBreak/>
        <w:t xml:space="preserve">direct competition with those offered by UCITS/AIF funds’ depositaries. These “investor CSDs” are domiciled in local jurisdictions where they operate an SSS, but only for a limited number of securities (either local securities or Eurobonds) and for which they also provide notary and/or central maintenance services. In this capacity, they qualify as an “issuer” CSD, but for these few securities only. </w:t>
      </w:r>
    </w:p>
    <w:p w:rsidR="006A591C" w:rsidRPr="00CD1F3D" w:rsidRDefault="006A591C" w:rsidP="006A591C">
      <w:pPr>
        <w:pStyle w:val="CommentText"/>
        <w:jc w:val="both"/>
        <w:rPr>
          <w:rFonts w:cs="Arial"/>
        </w:rPr>
      </w:pPr>
      <w:r w:rsidRPr="00CD1F3D">
        <w:rPr>
          <w:rFonts w:cs="Arial"/>
        </w:rPr>
        <w:t xml:space="preserve">For the industry to operate on a level playing field, Irish Funds is on the view that clarifications need to be made to recognise the different roles that CSDs can play.  While CSDs may be classified as either “investor” or “issuer“ CSDs  that relying solely on the issuer CSD / investor CSD distinction can be problematic and concerns have arisen that the “investor CSD” category may capture some CSDs which should not be regarded as delegates. CSDs that provide access to other CSDs using links that are intermediated by entities that are not Securities Settlement Systems (SSS) should be classified as falling within the scope of depositary delegation arrangements. However, CSDs which are providing access to other CSDs using direct links under interoperability arrangements between SSS entities should be classified as infrastructure and not as delegation arrangements. </w:t>
      </w:r>
    </w:p>
    <w:p w:rsidR="006A591C" w:rsidRPr="00CD1F3D" w:rsidRDefault="006A591C" w:rsidP="006A591C">
      <w:pPr>
        <w:pStyle w:val="CommentText"/>
        <w:jc w:val="both"/>
        <w:rPr>
          <w:rFonts w:cs="Arial"/>
        </w:rPr>
      </w:pPr>
    </w:p>
    <w:p w:rsidR="006A591C" w:rsidRPr="00CD1F3D" w:rsidRDefault="006A591C" w:rsidP="006A591C">
      <w:pPr>
        <w:pStyle w:val="CommentText"/>
        <w:jc w:val="both"/>
        <w:rPr>
          <w:rFonts w:cs="Arial"/>
        </w:rPr>
      </w:pPr>
      <w:r w:rsidRPr="00CD1F3D">
        <w:rPr>
          <w:rFonts w:cs="Arial"/>
        </w:rPr>
        <w:t>Examples would include the Target2Securities arrangements for greater cross-border settlement efficient in Europe, introduced by the ECB and the Shanghai-Hong Kong Stock Connect programme operated jointly by the Hong Kong Securities Clearing Company Limited (HKSCC) and ChinaClear. Article 7 of the China Securities Regulatory Commission (CSRC) Stock Connect Rules mandates both ChinaClear and HKSCC to perform their functions effectively as joint CSDs, together acting as a “top tier level” CSD function as described under Recital 21 of the UCITS Directive.</w:t>
      </w:r>
    </w:p>
    <w:p w:rsidR="006A591C" w:rsidRPr="00CD1F3D" w:rsidRDefault="006A591C" w:rsidP="006A591C">
      <w:pPr>
        <w:pStyle w:val="CommentText"/>
        <w:jc w:val="both"/>
        <w:rPr>
          <w:rFonts w:cs="Arial"/>
        </w:rPr>
      </w:pPr>
    </w:p>
    <w:p w:rsidR="006A591C" w:rsidRPr="00CD1F3D" w:rsidRDefault="006A591C" w:rsidP="006A591C">
      <w:pPr>
        <w:pStyle w:val="CommentText"/>
        <w:jc w:val="both"/>
        <w:rPr>
          <w:rFonts w:cs="Arial"/>
        </w:rPr>
      </w:pPr>
      <w:r w:rsidRPr="00CD1F3D">
        <w:rPr>
          <w:rFonts w:cs="Arial"/>
        </w:rPr>
        <w:t>Furthermore, there is concern that careful consideration should be given to the impact of any segregation requirement that would apply to CSDs if they are considered “delegates” due to the increasing use of financial market infrastructure (FMI) interoperability arrangements throughout the world and which are expected to grow significantly.</w:t>
      </w:r>
    </w:p>
    <w:p w:rsidR="006A591C" w:rsidRPr="00CD1F3D" w:rsidRDefault="006A591C" w:rsidP="006A591C">
      <w:pPr>
        <w:pStyle w:val="CommentText"/>
        <w:jc w:val="both"/>
        <w:rPr>
          <w:rFonts w:cs="Arial"/>
        </w:rPr>
      </w:pPr>
    </w:p>
    <w:p w:rsidR="006A591C" w:rsidRPr="00CD1F3D" w:rsidRDefault="006A591C" w:rsidP="006A591C">
      <w:pPr>
        <w:pStyle w:val="CommentText"/>
        <w:jc w:val="both"/>
        <w:rPr>
          <w:rFonts w:cs="Arial"/>
        </w:rPr>
      </w:pPr>
      <w:r w:rsidRPr="00CD1F3D">
        <w:rPr>
          <w:rFonts w:cs="Arial"/>
        </w:rPr>
        <w:t>Further clarity as to the circumstances in which a loss of assets by a CSD could be considered an “external event” would be beneficial.  We do see some merit in the introduction of such a clarification, at least in circumstances where the depositary has no choice in the selection of the CSD, would avoid a result whereby the depositary is forced to underwrite risks beyond its control.  However, in order to avoid the dilution of the protection afforded to UCITS and AIFs under the current regime, we believe that this clarification should be accompanied by steps to impose the UCITS V / AIFMD standard of care on CSDs directly where they hold financial instruments in custody on behalf of a UCITS or AIF.</w:t>
      </w:r>
    </w:p>
    <w:p w:rsidR="006A591C" w:rsidRPr="00CD1F3D" w:rsidRDefault="006A591C" w:rsidP="006A591C">
      <w:pPr>
        <w:pStyle w:val="CommentText"/>
        <w:jc w:val="both"/>
        <w:rPr>
          <w:rFonts w:cs="Arial"/>
        </w:rPr>
      </w:pPr>
    </w:p>
    <w:p w:rsidR="006A591C" w:rsidRPr="00CD1F3D" w:rsidRDefault="006A591C" w:rsidP="006A591C">
      <w:pPr>
        <w:pStyle w:val="CommentText"/>
        <w:jc w:val="both"/>
        <w:rPr>
          <w:rFonts w:cs="Arial"/>
        </w:rPr>
      </w:pPr>
      <w:r w:rsidRPr="00CD1F3D">
        <w:rPr>
          <w:rFonts w:cs="Arial"/>
        </w:rPr>
        <w:t>If the industry is required to engage with CSDs in order to re-negotiate putative “non-negotiable” terms of participation and other relevant arrangements, lack of clarity will inhibit chances of success as questions of interpretation inevitably arise. CSDs in many cases will continue to insist that requirements of UCITS V and AIFMD do not apply to them as operators of SSSs and as FMIs subject to the CSD Regulation. In this context, it is relevant to note that members of Irish Funds have received independent legal advice to the effect that the last sentence of Recital 21 of UCITS V is inoperative, as by itself it cannot change the substance of the main text. In support of this view is the argument that if the intention of the main UCITS V text had been for some CSDs to be treated as delegates, then there would have had to be a formal assessment of the impact of such a policy choice; as there is no such impact assessment, then this is a strong indication that there was no such policy intention.</w:t>
      </w:r>
    </w:p>
    <w:p w:rsidR="006A591C" w:rsidRPr="00CD1F3D" w:rsidRDefault="006A591C" w:rsidP="006A591C">
      <w:pPr>
        <w:pStyle w:val="CommentText"/>
        <w:jc w:val="both"/>
        <w:rPr>
          <w:rFonts w:cs="Arial"/>
        </w:rPr>
      </w:pPr>
    </w:p>
    <w:p w:rsidR="006A591C" w:rsidRPr="00CD1F3D" w:rsidRDefault="006A591C" w:rsidP="006A591C">
      <w:pPr>
        <w:jc w:val="both"/>
        <w:rPr>
          <w:rFonts w:cs="Arial"/>
          <w:szCs w:val="20"/>
        </w:rPr>
      </w:pPr>
      <w:r w:rsidRPr="00CD1F3D">
        <w:rPr>
          <w:rFonts w:cs="Arial"/>
          <w:szCs w:val="20"/>
        </w:rPr>
        <w:t>A second important consideration is that this discussion is not primarily a discussion about safety in sub-custody chains. By placing a restitution obligation on depositaries, AIFMD and UCITS V require depositaries to meet a very high standard with respect to safety in sub-custody chains; CSDR places similar requirements on CSDs with relation to CSD to CSD links.</w:t>
      </w:r>
    </w:p>
    <w:p w:rsidR="006A591C" w:rsidRPr="00CD1F3D" w:rsidRDefault="006A591C" w:rsidP="006A591C">
      <w:pPr>
        <w:jc w:val="both"/>
        <w:rPr>
          <w:rFonts w:cs="Arial"/>
          <w:szCs w:val="20"/>
        </w:rPr>
      </w:pPr>
    </w:p>
    <w:p w:rsidR="006A591C" w:rsidRPr="00CD1F3D" w:rsidRDefault="006A591C" w:rsidP="006A591C">
      <w:pPr>
        <w:jc w:val="both"/>
        <w:rPr>
          <w:rFonts w:cs="Arial"/>
          <w:szCs w:val="20"/>
        </w:rPr>
      </w:pPr>
      <w:r w:rsidRPr="00CD1F3D">
        <w:rPr>
          <w:rFonts w:cs="Arial"/>
          <w:szCs w:val="20"/>
        </w:rPr>
        <w:t>From the perspective of Irish Funds, this discussion is principally a discussion about ensuring clarity in regulatory obligations, and in minimising complexity and uncertainty with respect to contractual discussions and operational procedures.</w:t>
      </w:r>
    </w:p>
    <w:p w:rsidR="006A591C" w:rsidRPr="00CD1F3D" w:rsidRDefault="006A591C" w:rsidP="006A591C">
      <w:pPr>
        <w:jc w:val="both"/>
        <w:rPr>
          <w:rFonts w:cs="Arial"/>
          <w:szCs w:val="20"/>
        </w:rPr>
      </w:pPr>
    </w:p>
    <w:p w:rsidR="00731D88" w:rsidRPr="00CD1F3D" w:rsidRDefault="006A591C" w:rsidP="006A591C">
      <w:pPr>
        <w:jc w:val="both"/>
        <w:rPr>
          <w:rFonts w:cs="Arial"/>
          <w:szCs w:val="20"/>
        </w:rPr>
      </w:pPr>
      <w:r w:rsidRPr="00CD1F3D">
        <w:rPr>
          <w:rFonts w:cs="Arial"/>
          <w:szCs w:val="20"/>
        </w:rPr>
        <w:t xml:space="preserve">In light of these considerations, Irish Funds is of the view that further clarity is needed in relation to the treatment of CSDs and given the complexities involved, an impact assessment an impact assessment may </w:t>
      </w:r>
      <w:r w:rsidRPr="00CD1F3D">
        <w:rPr>
          <w:rFonts w:cs="Arial"/>
          <w:szCs w:val="20"/>
        </w:rPr>
        <w:lastRenderedPageBreak/>
        <w:t>be beneficial in relation to any changes being contemplated. Over the shorter term, a clarification that CSDs are not generally to be treated as delegates would be beneficial. However, the level playing field concern needs to be addressed as a matter of serious market concern. Irish Funds is aware that the topic of whether CSDs are delegates does give rise to concerns about competition (as, for example, there is a common perception that the use of investor CSDs grants an exemption from the restitution obligation of a depositary) and about safety in the custody chain. Irish Funds believes that these are important concerns that may be dealt with in other pieces of legislation.</w:t>
      </w:r>
    </w:p>
    <w:permEnd w:id="1486192196"/>
    <w:p w:rsidR="008701E5" w:rsidRPr="00731D88" w:rsidRDefault="00731D88" w:rsidP="00B42A10">
      <w:pPr>
        <w:spacing w:after="250" w:line="276" w:lineRule="auto"/>
        <w:jc w:val="both"/>
        <w:rPr>
          <w:rFonts w:cs="Arial"/>
          <w:b/>
          <w:bCs/>
          <w:sz w:val="22"/>
          <w:szCs w:val="20"/>
          <w:lang w:eastAsia="en-US"/>
        </w:rPr>
      </w:pPr>
      <w:r w:rsidRPr="00B42A10">
        <w:rPr>
          <w:lang w:val="fr-FR"/>
        </w:rPr>
        <w:t>&lt;ESMA_</w:t>
      </w:r>
      <w:r w:rsidRPr="001A170B">
        <w:rPr>
          <w:lang w:val="fr-FR"/>
        </w:rPr>
        <w:t>QUESTION</w:t>
      </w:r>
      <w:r w:rsidRPr="00B42A10">
        <w:rPr>
          <w:lang w:val="fr-FR"/>
        </w:rPr>
        <w:t>_CE_ASCS_</w:t>
      </w:r>
      <w:r>
        <w:rPr>
          <w:lang w:val="fr-FR"/>
        </w:rPr>
        <w:t>29</w:t>
      </w:r>
      <w:r w:rsidRPr="00B42A10">
        <w:rPr>
          <w:lang w:val="fr-FR"/>
        </w:rPr>
        <w:t>&gt;</w:t>
      </w:r>
    </w:p>
    <w:sectPr w:rsidR="008701E5" w:rsidRPr="00731D88" w:rsidSect="00A8728B">
      <w:headerReference w:type="even" r:id="rId22"/>
      <w:headerReference w:type="first" r:id="rId23"/>
      <w:footerReference w:type="first" r:id="rId24"/>
      <w:pgSz w:w="11906" w:h="16838" w:code="9"/>
      <w:pgMar w:top="2410" w:right="1247" w:bottom="1135" w:left="124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05D1" w:rsidRDefault="002E05D1">
      <w:r>
        <w:separator/>
      </w:r>
    </w:p>
    <w:p w:rsidR="002E05D1" w:rsidRDefault="002E05D1"/>
  </w:endnote>
  <w:endnote w:type="continuationSeparator" w:id="0">
    <w:p w:rsidR="002E05D1" w:rsidRDefault="002E05D1">
      <w:r>
        <w:continuationSeparator/>
      </w:r>
    </w:p>
    <w:p w:rsidR="002E05D1" w:rsidRDefault="002E05D1"/>
  </w:endnote>
  <w:endnote w:type="continuationNotice" w:id="1">
    <w:p w:rsidR="002E05D1" w:rsidRDefault="002E05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Unicode MS"/>
    <w:charset w:val="80"/>
    <w:family w:val="swiss"/>
    <w:pitch w:val="default"/>
  </w:font>
  <w:font w:name="EUAlbertina">
    <w:altName w:val="EUAlbertin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eleste">
    <w:altName w:val="Times New Roman"/>
    <w:panose1 w:val="00000000000000000000"/>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Myriad Pro Light">
    <w:altName w:val="Corbel"/>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2E05D1" w:rsidRPr="00616B9B" w:rsidTr="00315E96">
      <w:trPr>
        <w:trHeight w:val="284"/>
      </w:trPr>
      <w:tc>
        <w:tcPr>
          <w:tcW w:w="8460" w:type="dxa"/>
        </w:tcPr>
        <w:p w:rsidR="002E05D1" w:rsidRPr="00315E96" w:rsidRDefault="002E05D1" w:rsidP="00315E96">
          <w:pPr>
            <w:pStyle w:val="00Footer"/>
            <w:rPr>
              <w:lang w:val="fr-FR"/>
            </w:rPr>
          </w:pPr>
        </w:p>
      </w:tc>
      <w:tc>
        <w:tcPr>
          <w:tcW w:w="952" w:type="dxa"/>
        </w:tcPr>
        <w:p w:rsidR="002E05D1" w:rsidRPr="00616B9B" w:rsidRDefault="002E05D1" w:rsidP="002C5B2D">
          <w:pPr>
            <w:pStyle w:val="00aPagenumber"/>
            <w:rPr>
              <w:rFonts w:cs="Arial"/>
              <w:sz w:val="22"/>
              <w:szCs w:val="22"/>
            </w:rPr>
          </w:pPr>
          <w:r w:rsidRPr="00616B9B">
            <w:rPr>
              <w:rFonts w:cs="Arial"/>
              <w:sz w:val="22"/>
              <w:szCs w:val="22"/>
            </w:rPr>
            <w:fldChar w:fldCharType="begin"/>
          </w:r>
          <w:r w:rsidRPr="00616B9B">
            <w:rPr>
              <w:rFonts w:cs="Arial"/>
              <w:sz w:val="22"/>
              <w:szCs w:val="22"/>
            </w:rPr>
            <w:instrText xml:space="preserve"> PAGE </w:instrText>
          </w:r>
          <w:r w:rsidRPr="00616B9B">
            <w:rPr>
              <w:rFonts w:cs="Arial"/>
              <w:sz w:val="22"/>
              <w:szCs w:val="22"/>
            </w:rPr>
            <w:fldChar w:fldCharType="separate"/>
          </w:r>
          <w:r w:rsidR="0087077A">
            <w:rPr>
              <w:rFonts w:cs="Arial"/>
              <w:noProof/>
              <w:sz w:val="22"/>
              <w:szCs w:val="22"/>
            </w:rPr>
            <w:t>21</w:t>
          </w:r>
          <w:r w:rsidRPr="00616B9B">
            <w:rPr>
              <w:rFonts w:cs="Arial"/>
              <w:noProof/>
              <w:sz w:val="22"/>
              <w:szCs w:val="22"/>
            </w:rPr>
            <w:fldChar w:fldCharType="end"/>
          </w:r>
        </w:p>
      </w:tc>
    </w:tr>
  </w:tbl>
  <w:p w:rsidR="002E05D1" w:rsidRDefault="002E05D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5D1" w:rsidRDefault="002E05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05D1" w:rsidRDefault="002E05D1">
      <w:r>
        <w:separator/>
      </w:r>
    </w:p>
    <w:p w:rsidR="002E05D1" w:rsidRDefault="002E05D1"/>
  </w:footnote>
  <w:footnote w:type="continuationSeparator" w:id="0">
    <w:p w:rsidR="002E05D1" w:rsidRDefault="002E05D1">
      <w:r>
        <w:continuationSeparator/>
      </w:r>
    </w:p>
    <w:p w:rsidR="002E05D1" w:rsidRDefault="002E05D1"/>
  </w:footnote>
  <w:footnote w:type="continuationNotice" w:id="1">
    <w:p w:rsidR="002E05D1" w:rsidRDefault="002E05D1"/>
  </w:footnote>
  <w:footnote w:id="2">
    <w:p w:rsidR="002E05D1" w:rsidRDefault="002E05D1" w:rsidP="001A170B">
      <w:pPr>
        <w:pStyle w:val="FootnoteText"/>
      </w:pPr>
      <w:r>
        <w:rPr>
          <w:rStyle w:val="FootnoteReference"/>
        </w:rPr>
        <w:footnoteRef/>
      </w:r>
      <w:r>
        <w:t xml:space="preserve"> </w:t>
      </w:r>
      <w:hyperlink r:id="rId1" w:history="1">
        <w:r w:rsidRPr="00F674D6">
          <w:rPr>
            <w:rStyle w:val="Hyperlink"/>
          </w:rPr>
          <w:t>http://www.europarl.europa.eu/document/activities/cont/201106/20110606ATT20781/20110606ATT20781EN.pdf</w:t>
        </w:r>
      </w:hyperlink>
    </w:p>
  </w:footnote>
  <w:footnote w:id="3">
    <w:p w:rsidR="002E05D1" w:rsidRDefault="002E05D1" w:rsidP="001A170B">
      <w:pPr>
        <w:pStyle w:val="FootnoteText"/>
      </w:pPr>
      <w:r>
        <w:rPr>
          <w:rStyle w:val="FootnoteReference"/>
        </w:rPr>
        <w:footnoteRef/>
      </w:r>
      <w:r>
        <w:t xml:space="preserve"> See pages 14-15 of the Briefing Note.</w:t>
      </w:r>
    </w:p>
  </w:footnote>
  <w:footnote w:id="4">
    <w:p w:rsidR="002E05D1" w:rsidRDefault="002E05D1" w:rsidP="001A170B">
      <w:pPr>
        <w:pStyle w:val="FootnoteText"/>
      </w:pPr>
      <w:r>
        <w:rPr>
          <w:rStyle w:val="FootnoteReference"/>
        </w:rPr>
        <w:footnoteRef/>
      </w:r>
      <w:r>
        <w:t xml:space="preserve"> See page</w:t>
      </w:r>
      <w:r w:rsidRPr="00370F78">
        <w:t xml:space="preserve"> </w:t>
      </w:r>
      <w:r>
        <w:t>16</w:t>
      </w:r>
      <w:r w:rsidRPr="00370F78">
        <w:t xml:space="preserve"> of the Briefing Note.</w:t>
      </w:r>
    </w:p>
  </w:footnote>
  <w:footnote w:id="5">
    <w:p w:rsidR="002E05D1" w:rsidRDefault="002E05D1" w:rsidP="001A170B">
      <w:pPr>
        <w:pStyle w:val="FootnoteText"/>
      </w:pPr>
      <w:r>
        <w:rPr>
          <w:rStyle w:val="FootnoteReference"/>
        </w:rPr>
        <w:footnoteRef/>
      </w:r>
      <w:r>
        <w:t xml:space="preserve"> </w:t>
      </w:r>
      <w:r w:rsidRPr="00ED77C7">
        <w:t>See page 1</w:t>
      </w:r>
      <w:r>
        <w:t>7</w:t>
      </w:r>
      <w:r w:rsidRPr="00ED77C7">
        <w:t xml:space="preserve"> of the Briefing Note.</w:t>
      </w:r>
    </w:p>
  </w:footnote>
  <w:footnote w:id="6">
    <w:p w:rsidR="002E05D1" w:rsidRDefault="002E05D1" w:rsidP="001A170B">
      <w:pPr>
        <w:pStyle w:val="FootnoteText"/>
      </w:pPr>
      <w:r>
        <w:rPr>
          <w:rStyle w:val="FootnoteReference"/>
        </w:rPr>
        <w:footnoteRef/>
      </w:r>
      <w:r>
        <w:t xml:space="preserve"> </w:t>
      </w:r>
      <w:r w:rsidRPr="00ED77C7">
        <w:t>See page 1</w:t>
      </w:r>
      <w:r>
        <w:t xml:space="preserve">8 </w:t>
      </w:r>
      <w:r w:rsidRPr="00ED77C7">
        <w:t>of the Briefing Note.</w:t>
      </w:r>
    </w:p>
  </w:footnote>
  <w:footnote w:id="7">
    <w:p w:rsidR="002E05D1" w:rsidRDefault="002E05D1" w:rsidP="001A170B">
      <w:pPr>
        <w:pStyle w:val="FootnoteText"/>
      </w:pPr>
      <w:r>
        <w:rPr>
          <w:rStyle w:val="FootnoteReference"/>
        </w:rPr>
        <w:footnoteRef/>
      </w:r>
      <w:r>
        <w:t xml:space="preserve"> </w:t>
      </w:r>
      <w:r w:rsidRPr="00ED77C7">
        <w:t>See page 1</w:t>
      </w:r>
      <w:r>
        <w:t>9</w:t>
      </w:r>
      <w:r w:rsidRPr="00ED77C7">
        <w:t xml:space="preserve"> of the Briefing Note.</w:t>
      </w:r>
    </w:p>
  </w:footnote>
  <w:footnote w:id="8">
    <w:p w:rsidR="002E05D1" w:rsidRDefault="002E05D1" w:rsidP="001A170B">
      <w:pPr>
        <w:pStyle w:val="FootnoteText"/>
      </w:pPr>
      <w:r>
        <w:rPr>
          <w:rStyle w:val="FootnoteReference"/>
        </w:rPr>
        <w:footnoteRef/>
      </w:r>
      <w:r>
        <w:t xml:space="preserve"> See paragraphs 29 and 30 of the </w:t>
      </w:r>
      <w:hyperlink r:id="rId2" w:history="1">
        <w:r w:rsidRPr="0079137B">
          <w:rPr>
            <w:rStyle w:val="Hyperlink"/>
          </w:rPr>
          <w:t>Standards for the Custody of Collective Investment Schemes’ Assets – Final Report (FR25/2015)</w:t>
        </w:r>
      </w:hyperlink>
      <w:r>
        <w:t>: “</w:t>
      </w:r>
      <w:r w:rsidRPr="00AD2E92">
        <w:rPr>
          <w:i/>
        </w:rPr>
        <w:t>Depending on the operational framework in the jurisdiction, there is a risk that CIS assets in the custodian’s care can become co-mingled with (i) assets of the responsible entity; (ii) assets of the custodian; or (iii) the assets of other clients of the custodian (although it should be noted that CIS assets may be held in a permissible "omnibus account"). The consequences of these risks could result in the ownership of the assets being called into question in the event of misuse or insolvency of the custodian, which may create difficulties differentiating ownership of the assets</w:t>
      </w:r>
      <w:r>
        <w:t xml:space="preserve">”. The positive and negative aspects of omnibus accounts are also mentioned on page 11 of the IOSCO </w:t>
      </w:r>
      <w:hyperlink r:id="rId3" w:history="1">
        <w:r w:rsidRPr="00AD2E92">
          <w:rPr>
            <w:rStyle w:val="Hyperlink"/>
          </w:rPr>
          <w:t>Survey of Regimes for the Protection, Distribution and/or Transfer of Client Assets – Final Report (FR05/11)</w:t>
        </w:r>
      </w:hyperlink>
      <w:r>
        <w:t>.</w:t>
      </w:r>
    </w:p>
  </w:footnote>
  <w:footnote w:id="9">
    <w:p w:rsidR="002E05D1" w:rsidRDefault="002E05D1" w:rsidP="001A170B">
      <w:pPr>
        <w:pStyle w:val="FootnoteText"/>
      </w:pPr>
      <w:r>
        <w:rPr>
          <w:rStyle w:val="FootnoteReference"/>
        </w:rPr>
        <w:footnoteRef/>
      </w:r>
      <w:r>
        <w:t xml:space="preserve"> </w:t>
      </w:r>
      <w:r w:rsidRPr="00760AB2">
        <w:t xml:space="preserve">According to Article 1(g) of the ESMA draft </w:t>
      </w:r>
      <w:r>
        <w:t>technical standards under CSDR</w:t>
      </w:r>
      <w:r w:rsidRPr="00760AB2">
        <w:t xml:space="preserve"> </w:t>
      </w:r>
      <w:r>
        <w:t>(</w:t>
      </w:r>
      <w:r w:rsidRPr="00BC76E4">
        <w:t>ESMA/2015/1457/Annex II</w:t>
      </w:r>
      <w:r>
        <w:t>)</w:t>
      </w:r>
      <w:r w:rsidRPr="00BC76E4">
        <w:t>,</w:t>
      </w:r>
      <w:r w:rsidRPr="00760AB2">
        <w:t xml:space="preserve"> ‘investor CSD’ means a CSD that is a participant in the securities settlement system operated </w:t>
      </w:r>
      <w:r>
        <w:t xml:space="preserve">by </w:t>
      </w:r>
      <w:r w:rsidRPr="00760AB2">
        <w:t>another CSD or that uses an intermediary that is a participant in the securities settlement system operated by another CSD in</w:t>
      </w:r>
      <w:r>
        <w:t xml:space="preserve"> relation to a securities issue </w:t>
      </w:r>
      <w:r w:rsidRPr="00760AB2">
        <w:t xml:space="preserve"> (</w:t>
      </w:r>
      <w:r>
        <w:t xml:space="preserve">available at </w:t>
      </w:r>
      <w:hyperlink r:id="rId4" w:history="1">
        <w:r w:rsidRPr="00760AB2">
          <w:rPr>
            <w:rStyle w:val="Hyperlink"/>
          </w:rPr>
          <w:t>www.esma.europa.eu/sites/default/files/library/2015/11/2015-esma-1457_-_annex_ii_-_csdr_ts_on_csd_requirements_and_internalised_settlement.pdf</w:t>
        </w:r>
      </w:hyperlink>
      <w:r>
        <w:t>).</w:t>
      </w:r>
    </w:p>
  </w:footnote>
  <w:footnote w:id="10">
    <w:p w:rsidR="002E05D1" w:rsidRDefault="002E05D1" w:rsidP="001A170B">
      <w:pPr>
        <w:pStyle w:val="FootnoteText"/>
      </w:pPr>
      <w:r>
        <w:rPr>
          <w:rStyle w:val="FootnoteReference"/>
        </w:rPr>
        <w:footnoteRef/>
      </w:r>
      <w:r>
        <w:t xml:space="preserve"> Article 39(2) and (3) of EMIR states the following: “</w:t>
      </w:r>
      <w:r w:rsidRPr="00DD219E">
        <w:rPr>
          <w:i/>
        </w:rPr>
        <w:t>2. A CCP shall offer to keep separate records and accounts enabling each clearing member to distinguish in accounts with the CCP the assets and positions of that clearing member from those held for the accounts of its clients (‘omnibus client segregation’). 3. A CCP shall offer to keep separate records and accounts enabling each clearing member to distinguish in accounts with the CCP the assets and positions held for the account of a client from those held for the account of other clients (‘individual client segregation’). Upon request, the CCP shall offer clearing members the possibility to open more accounts in their own name or for the account of their clients</w:t>
      </w:r>
      <w:r>
        <w:t>”.</w:t>
      </w:r>
    </w:p>
  </w:footnote>
  <w:footnote w:id="11">
    <w:p w:rsidR="002E05D1" w:rsidRDefault="002E05D1" w:rsidP="001A170B">
      <w:pPr>
        <w:pStyle w:val="FootnoteText"/>
      </w:pPr>
      <w:r>
        <w:rPr>
          <w:rStyle w:val="FootnoteReference"/>
        </w:rPr>
        <w:footnoteRef/>
      </w:r>
      <w:r>
        <w:t xml:space="preserve"> </w:t>
      </w:r>
      <w:r w:rsidRPr="008B3A1C">
        <w:t xml:space="preserve">However, </w:t>
      </w:r>
      <w:r>
        <w:t xml:space="preserve">under Article 38(5) of the CSDR </w:t>
      </w:r>
      <w:r w:rsidRPr="008B3A1C">
        <w:t>a CSD and its participant shall provide individual clients segregation for citizens and residents of, and legal persons established in, a Member State where required under the national law under which the securities are constituted as it stands at 17 September 2014.</w:t>
      </w:r>
    </w:p>
  </w:footnote>
  <w:footnote w:id="12">
    <w:p w:rsidR="002E05D1" w:rsidRDefault="002E05D1" w:rsidP="001A170B">
      <w:pPr>
        <w:pStyle w:val="FootnoteText"/>
      </w:pPr>
      <w:r>
        <w:rPr>
          <w:rStyle w:val="FootnoteReference"/>
        </w:rPr>
        <w:footnoteRef/>
      </w:r>
      <w:r>
        <w:t xml:space="preserve"> These services are part of the c</w:t>
      </w:r>
      <w:r w:rsidRPr="00240E91">
        <w:t>ore services of central securities depositories</w:t>
      </w:r>
      <w:r>
        <w:t xml:space="preserve"> under Section A, point 2 of the Annex to </w:t>
      </w:r>
      <w:r w:rsidRPr="00240E91">
        <w:t>Regulation (EU) No 909/2014 (“CSDR”)</w:t>
      </w:r>
      <w:r>
        <w:t>.</w:t>
      </w:r>
    </w:p>
  </w:footnote>
  <w:footnote w:id="13">
    <w:p w:rsidR="002E05D1" w:rsidRDefault="002E05D1" w:rsidP="001A170B">
      <w:pPr>
        <w:pStyle w:val="FootnoteText"/>
      </w:pPr>
      <w:r>
        <w:rPr>
          <w:rStyle w:val="FootnoteReference"/>
        </w:rPr>
        <w:footnoteRef/>
      </w:r>
      <w:r>
        <w:t xml:space="preserve"> Commission Delegated Regulation (EU) </w:t>
      </w:r>
      <w:r w:rsidRPr="00B065F5">
        <w:t>No 231/2013</w:t>
      </w:r>
      <w:r>
        <w:t xml:space="preserve"> of 19 December 2012.</w:t>
      </w:r>
    </w:p>
  </w:footnote>
  <w:footnote w:id="14">
    <w:p w:rsidR="002E05D1" w:rsidRDefault="002E05D1" w:rsidP="001A170B">
      <w:pPr>
        <w:pStyle w:val="FootnoteText"/>
      </w:pPr>
      <w:r>
        <w:rPr>
          <w:rStyle w:val="FootnoteReference"/>
        </w:rPr>
        <w:footnoteRef/>
      </w:r>
      <w:r>
        <w:t xml:space="preserve"> </w:t>
      </w:r>
      <w:r w:rsidRPr="00B065F5">
        <w:t>Commission Delegated Regulation (EU) 2016/438 of 17 December 2015</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5D1" w:rsidRDefault="002E05D1">
    <w:pPr>
      <w:pStyle w:val="Header"/>
    </w:pPr>
    <w:r>
      <w:rPr>
        <w:noProof/>
        <w:lang w:val="en-IE" w:eastAsia="en-IE"/>
      </w:rPr>
      <w:drawing>
        <wp:anchor distT="0" distB="0" distL="114300" distR="114300" simplePos="0" relativeHeight="251658240" behindDoc="0" locked="0" layoutInCell="1" allowOverlap="1">
          <wp:simplePos x="0" y="0"/>
          <wp:positionH relativeFrom="page">
            <wp:posOffset>791845</wp:posOffset>
          </wp:positionH>
          <wp:positionV relativeFrom="page">
            <wp:posOffset>612140</wp:posOffset>
          </wp:positionV>
          <wp:extent cx="561975" cy="561975"/>
          <wp:effectExtent l="0" t="0" r="9525" b="9525"/>
          <wp:wrapNone/>
          <wp:docPr id="6" name="Picture 23" descr="esma_8_V3_n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ma_8_V3_n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IE" w:eastAsia="en-IE"/>
      </w:rPr>
      <mc:AlternateContent>
        <mc:Choice Requires="wps">
          <w:drawing>
            <wp:anchor distT="0" distB="0" distL="114295" distR="114295" simplePos="0" relativeHeight="251656192" behindDoc="0" locked="0" layoutInCell="1" allowOverlap="1">
              <wp:simplePos x="0" y="0"/>
              <wp:positionH relativeFrom="page">
                <wp:posOffset>1548129</wp:posOffset>
              </wp:positionH>
              <wp:positionV relativeFrom="page">
                <wp:posOffset>612140</wp:posOffset>
              </wp:positionV>
              <wp:extent cx="0" cy="558165"/>
              <wp:effectExtent l="0" t="0" r="19050" b="13335"/>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0756A61F" id="Line 16" o:spid="_x0000_s1026" style="position:absolute;z-index:251656192;visibility:visible;mso-wrap-style:square;mso-width-percent:0;mso-height-percent:0;mso-wrap-distance-left:3.17486mm;mso-wrap-distance-top:0;mso-wrap-distance-right:3.17486mm;mso-wrap-distance-bottom:0;mso-position-horizontal:absolute;mso-position-horizontal-relative:page;mso-position-vertical:absolute;mso-position-vertical-relative:page;mso-width-percent:0;mso-height-percent:0;mso-width-relative:page;mso-height-relative:page" from="121.9pt,48.2pt" to="121.9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" strokecolor="#283583" strokeweight="1pt">
              <w10:wrap anchorx="page"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5D1" w:rsidRDefault="002E05D1" w:rsidP="00013CCE">
    <w:pPr>
      <w:pStyle w:val="Header"/>
      <w:jc w:val="right"/>
    </w:pPr>
    <w:r>
      <w:rPr>
        <w:noProof/>
        <w:lang w:val="en-IE" w:eastAsia="en-IE"/>
      </w:rPr>
      <w:drawing>
        <wp:anchor distT="0" distB="0" distL="114300" distR="114300" simplePos="0" relativeHeight="251657216" behindDoc="0" locked="0" layoutInCell="1" allowOverlap="1">
          <wp:simplePos x="0" y="0"/>
          <wp:positionH relativeFrom="page">
            <wp:posOffset>377825</wp:posOffset>
          </wp:positionH>
          <wp:positionV relativeFrom="page">
            <wp:posOffset>377825</wp:posOffset>
          </wp:positionV>
          <wp:extent cx="2209800" cy="904875"/>
          <wp:effectExtent l="0" t="0" r="0" b="9525"/>
          <wp:wrapNone/>
          <wp:docPr id="4" name="Picture 22"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55168" behindDoc="1" locked="0" layoutInCell="1" allowOverlap="1">
          <wp:simplePos x="0" y="0"/>
          <wp:positionH relativeFrom="page">
            <wp:posOffset>0</wp:posOffset>
          </wp:positionH>
          <wp:positionV relativeFrom="page">
            <wp:posOffset>3895725</wp:posOffset>
          </wp:positionV>
          <wp:extent cx="7560310" cy="6800850"/>
          <wp:effectExtent l="0" t="0" r="2540" b="0"/>
          <wp:wrapNone/>
          <wp:docPr id="3" name="Picture 21" descr="report_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ort_d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8008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5D1" w:rsidRDefault="002E05D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2E05D1" w:rsidRPr="002F4496" w:rsidTr="000C06C9">
      <w:trPr>
        <w:trHeight w:val="284"/>
      </w:trPr>
      <w:tc>
        <w:tcPr>
          <w:tcW w:w="8460" w:type="dxa"/>
        </w:tcPr>
        <w:p w:rsidR="002E05D1" w:rsidRPr="000C3B6D" w:rsidRDefault="002E05D1" w:rsidP="000C06C9">
          <w:pPr>
            <w:pStyle w:val="00Footer"/>
            <w:rPr>
              <w:lang w:val="fr-FR"/>
            </w:rPr>
          </w:pPr>
        </w:p>
      </w:tc>
      <w:tc>
        <w:tcPr>
          <w:tcW w:w="952" w:type="dxa"/>
        </w:tcPr>
        <w:p w:rsidR="002E05D1" w:rsidRPr="00146B34" w:rsidRDefault="002E05D1" w:rsidP="000C06C9">
          <w:pPr>
            <w:pStyle w:val="00aPagenumber"/>
            <w:rPr>
              <w:lang w:val="fr-FR"/>
            </w:rPr>
          </w:pPr>
        </w:p>
      </w:tc>
    </w:tr>
  </w:tbl>
  <w:p w:rsidR="002E05D1" w:rsidRPr="00DB46C3" w:rsidRDefault="002E05D1">
    <w:pPr>
      <w:rPr>
        <w:lang w:val="fr-FR"/>
      </w:rPr>
    </w:pPr>
  </w:p>
  <w:p w:rsidR="002E05D1" w:rsidRPr="002F4496" w:rsidRDefault="002E05D1">
    <w:pPr>
      <w:pStyle w:val="Header"/>
      <w:rPr>
        <w:lang w:val="fr-FR"/>
      </w:rPr>
    </w:pPr>
  </w:p>
  <w:p w:rsidR="002E05D1" w:rsidRPr="002F4496" w:rsidRDefault="002E05D1" w:rsidP="000C06C9">
    <w:pPr>
      <w:pStyle w:val="Header"/>
      <w:tabs>
        <w:tab w:val="clear" w:pos="4536"/>
        <w:tab w:val="clear" w:pos="9072"/>
        <w:tab w:val="left" w:pos="8227"/>
      </w:tabs>
      <w:rPr>
        <w:lang w:val="fr-FR"/>
      </w:rPr>
    </w:pPr>
  </w:p>
  <w:p w:rsidR="002E05D1" w:rsidRPr="002F4496" w:rsidRDefault="002E05D1" w:rsidP="000C06C9">
    <w:pPr>
      <w:pStyle w:val="Header"/>
      <w:tabs>
        <w:tab w:val="clear" w:pos="4536"/>
        <w:tab w:val="clear" w:pos="9072"/>
        <w:tab w:val="left" w:pos="8227"/>
      </w:tabs>
      <w:rPr>
        <w:lang w:val="fr-FR"/>
      </w:rPr>
    </w:pPr>
  </w:p>
  <w:p w:rsidR="002E05D1" w:rsidRPr="002F4496" w:rsidRDefault="002E05D1">
    <w:pPr>
      <w:pStyle w:val="Header"/>
      <w:rPr>
        <w:lang w:val="fr-FR"/>
      </w:rPr>
    </w:pPr>
  </w:p>
  <w:p w:rsidR="002E05D1" w:rsidRPr="002F4496" w:rsidRDefault="002E05D1">
    <w:pPr>
      <w:pStyle w:val="Header"/>
      <w:rPr>
        <w:lang w:val="fr-FR"/>
      </w:rPr>
    </w:pPr>
  </w:p>
  <w:p w:rsidR="002E05D1" w:rsidRPr="002F4496" w:rsidRDefault="002E05D1">
    <w:pPr>
      <w:pStyle w:val="Header"/>
      <w:rPr>
        <w:lang w:val="fr-FR"/>
      </w:rPr>
    </w:pPr>
  </w:p>
  <w:p w:rsidR="002E05D1" w:rsidRPr="002F4496" w:rsidRDefault="002E05D1">
    <w:pPr>
      <w:pStyle w:val="Header"/>
      <w:rPr>
        <w:lang w:val="fr-FR"/>
      </w:rPr>
    </w:pPr>
  </w:p>
  <w:p w:rsidR="002E05D1" w:rsidRPr="002F4496" w:rsidRDefault="002E05D1">
    <w:pPr>
      <w:pStyle w:val="Header"/>
      <w:rPr>
        <w:highlight w:val="yellow"/>
        <w:lang w:val="fr-FR"/>
      </w:rPr>
    </w:pPr>
  </w:p>
  <w:p w:rsidR="002E05D1" w:rsidRDefault="002E05D1">
    <w:pPr>
      <w:pStyle w:val="Header"/>
    </w:pPr>
    <w:r>
      <w:rPr>
        <w:noProof/>
        <w:lang w:val="en-IE" w:eastAsia="en-IE"/>
      </w:rPr>
      <mc:AlternateContent>
        <mc:Choice Requires="wps">
          <w:drawing>
            <wp:anchor distT="0" distB="0" distL="114299" distR="114299" simplePos="0" relativeHeight="251660288" behindDoc="0" locked="0" layoutInCell="1" allowOverlap="1" wp14:anchorId="5D83E31A" wp14:editId="27AC3B28">
              <wp:simplePos x="0" y="0"/>
              <wp:positionH relativeFrom="page">
                <wp:posOffset>5040629</wp:posOffset>
              </wp:positionH>
              <wp:positionV relativeFrom="page">
                <wp:posOffset>612140</wp:posOffset>
              </wp:positionV>
              <wp:extent cx="0" cy="899795"/>
              <wp:effectExtent l="0" t="0" r="19050" b="14605"/>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16B8648A" id="Straight Connector 138" o:spid="_x0000_s1026" style="position:absolute;z-index:25166028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396.9pt,48.2pt" to="396.9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" strokecolor="#283583" strokeweight="1pt">
              <w10:wrap anchorx="page" anchory="page"/>
            </v:line>
          </w:pict>
        </mc:Fallback>
      </mc:AlternateContent>
    </w:r>
    <w:r>
      <w:rPr>
        <w:noProof/>
        <w:lang w:val="en-IE" w:eastAsia="en-IE"/>
      </w:rPr>
      <w:drawing>
        <wp:anchor distT="0" distB="0" distL="114300" distR="114300" simplePos="0" relativeHeight="251659264" behindDoc="0" locked="0" layoutInCell="1" allowOverlap="1" wp14:anchorId="156637CA" wp14:editId="0D76F416">
          <wp:simplePos x="0" y="0"/>
          <wp:positionH relativeFrom="page">
            <wp:posOffset>791845</wp:posOffset>
          </wp:positionH>
          <wp:positionV relativeFrom="page">
            <wp:posOffset>612140</wp:posOffset>
          </wp:positionV>
          <wp:extent cx="2209800" cy="904875"/>
          <wp:effectExtent l="0" t="0" r="0" b="9525"/>
          <wp:wrapNone/>
          <wp:docPr id="1" name="Picture 140"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C56CD"/>
    <w:multiLevelType w:val="hybridMultilevel"/>
    <w:tmpl w:val="E5847DAC"/>
    <w:lvl w:ilvl="0" w:tplc="C016A2D6">
      <w:start w:val="1"/>
      <w:numFmt w:val="decimal"/>
      <w:pStyle w:val="DPpara"/>
      <w:lvlText w:val="%1."/>
      <w:lvlJc w:val="left"/>
      <w:pPr>
        <w:ind w:left="473" w:hanging="360"/>
      </w:pPr>
      <w:rPr>
        <w:rFonts w:cs="Times New Roman" w:hint="default"/>
        <w:b w:val="0"/>
      </w:rPr>
    </w:lvl>
    <w:lvl w:ilvl="1" w:tplc="BF0CD940">
      <w:start w:val="1"/>
      <w:numFmt w:val="lowerLetter"/>
      <w:lvlText w:val="%2."/>
      <w:lvlJc w:val="left"/>
      <w:pPr>
        <w:ind w:left="1193" w:hanging="360"/>
      </w:pPr>
      <w:rPr>
        <w:rFonts w:cs="Times New Roman"/>
        <w:b w:val="0"/>
      </w:rPr>
    </w:lvl>
    <w:lvl w:ilvl="2" w:tplc="040C001B">
      <w:start w:val="1"/>
      <w:numFmt w:val="lowerRoman"/>
      <w:lvlText w:val="%3."/>
      <w:lvlJc w:val="right"/>
      <w:pPr>
        <w:ind w:left="1913" w:hanging="180"/>
      </w:pPr>
      <w:rPr>
        <w:rFonts w:cs="Times New Roman"/>
      </w:rPr>
    </w:lvl>
    <w:lvl w:ilvl="3" w:tplc="040C000F">
      <w:start w:val="1"/>
      <w:numFmt w:val="decimal"/>
      <w:lvlText w:val="%4."/>
      <w:lvlJc w:val="left"/>
      <w:pPr>
        <w:ind w:left="2633" w:hanging="360"/>
      </w:pPr>
      <w:rPr>
        <w:rFonts w:cs="Times New Roman"/>
      </w:rPr>
    </w:lvl>
    <w:lvl w:ilvl="4" w:tplc="040C0019" w:tentative="1">
      <w:start w:val="1"/>
      <w:numFmt w:val="lowerLetter"/>
      <w:lvlText w:val="%5."/>
      <w:lvlJc w:val="left"/>
      <w:pPr>
        <w:ind w:left="3353" w:hanging="360"/>
      </w:pPr>
      <w:rPr>
        <w:rFonts w:cs="Times New Roman"/>
      </w:rPr>
    </w:lvl>
    <w:lvl w:ilvl="5" w:tplc="040C001B" w:tentative="1">
      <w:start w:val="1"/>
      <w:numFmt w:val="lowerRoman"/>
      <w:lvlText w:val="%6."/>
      <w:lvlJc w:val="right"/>
      <w:pPr>
        <w:ind w:left="4073" w:hanging="180"/>
      </w:pPr>
      <w:rPr>
        <w:rFonts w:cs="Times New Roman"/>
      </w:rPr>
    </w:lvl>
    <w:lvl w:ilvl="6" w:tplc="040C000F" w:tentative="1">
      <w:start w:val="1"/>
      <w:numFmt w:val="decimal"/>
      <w:lvlText w:val="%7."/>
      <w:lvlJc w:val="left"/>
      <w:pPr>
        <w:ind w:left="4793" w:hanging="360"/>
      </w:pPr>
      <w:rPr>
        <w:rFonts w:cs="Times New Roman"/>
      </w:rPr>
    </w:lvl>
    <w:lvl w:ilvl="7" w:tplc="040C0019" w:tentative="1">
      <w:start w:val="1"/>
      <w:numFmt w:val="lowerLetter"/>
      <w:lvlText w:val="%8."/>
      <w:lvlJc w:val="left"/>
      <w:pPr>
        <w:ind w:left="5513" w:hanging="360"/>
      </w:pPr>
      <w:rPr>
        <w:rFonts w:cs="Times New Roman"/>
      </w:rPr>
    </w:lvl>
    <w:lvl w:ilvl="8" w:tplc="040C001B" w:tentative="1">
      <w:start w:val="1"/>
      <w:numFmt w:val="lowerRoman"/>
      <w:lvlText w:val="%9."/>
      <w:lvlJc w:val="right"/>
      <w:pPr>
        <w:ind w:left="6233" w:hanging="180"/>
      </w:pPr>
      <w:rPr>
        <w:rFonts w:cs="Times New Roman"/>
      </w:rPr>
    </w:lvl>
  </w:abstractNum>
  <w:abstractNum w:abstractNumId="1" w15:restartNumberingAfterBreak="0">
    <w:nsid w:val="027D1BC5"/>
    <w:multiLevelType w:val="hybridMultilevel"/>
    <w:tmpl w:val="00D89C44"/>
    <w:lvl w:ilvl="0" w:tplc="08090001">
      <w:start w:val="1"/>
      <w:numFmt w:val="bullet"/>
      <w:pStyle w:val="ListBullet3"/>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75A2730"/>
    <w:multiLevelType w:val="hybridMultilevel"/>
    <w:tmpl w:val="63C293E2"/>
    <w:lvl w:ilvl="0" w:tplc="18090001">
      <w:start w:val="1"/>
      <w:numFmt w:val="bullet"/>
      <w:lvlText w:val=""/>
      <w:lvlJc w:val="left"/>
      <w:pPr>
        <w:ind w:left="720" w:hanging="360"/>
      </w:pPr>
      <w:rPr>
        <w:rFonts w:ascii="Symbol" w:hAnsi="Symbol"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1">
      <w:start w:val="1"/>
      <w:numFmt w:val="bullet"/>
      <w:lvlText w:val=""/>
      <w:lvlJc w:val="left"/>
      <w:pPr>
        <w:ind w:left="2880" w:hanging="360"/>
      </w:pPr>
      <w:rPr>
        <w:rFonts w:ascii="Symbol" w:hAnsi="Symbol" w:hint="default"/>
      </w:r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7BC6EC9"/>
    <w:multiLevelType w:val="hybridMultilevel"/>
    <w:tmpl w:val="B5340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2D37D9"/>
    <w:multiLevelType w:val="hybridMultilevel"/>
    <w:tmpl w:val="1F3EE51C"/>
    <w:lvl w:ilvl="0" w:tplc="FB80131E">
      <w:start w:val="1"/>
      <w:numFmt w:val="lowerLetter"/>
      <w:lvlText w:val="%1)"/>
      <w:lvlJc w:val="left"/>
      <w:pPr>
        <w:ind w:left="927" w:hanging="360"/>
      </w:pPr>
      <w:rPr>
        <w:rFonts w:ascii="Arial" w:eastAsia="Times New Roman" w:hAnsi="Arial" w:cs="Times New Roman"/>
        <w:b/>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 w15:restartNumberingAfterBreak="0">
    <w:nsid w:val="0E4F20AB"/>
    <w:multiLevelType w:val="hybridMultilevel"/>
    <w:tmpl w:val="C9EAA7A8"/>
    <w:lvl w:ilvl="0" w:tplc="36803642">
      <w:start w:val="1"/>
      <w:numFmt w:val="lowerRoman"/>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6" w15:restartNumberingAfterBreak="0">
    <w:nsid w:val="0E8C40D7"/>
    <w:multiLevelType w:val="multilevel"/>
    <w:tmpl w:val="171E432A"/>
    <w:lvl w:ilvl="0">
      <w:start w:val="1"/>
      <w:numFmt w:val="decimal"/>
      <w:pStyle w:val="WFNALevel1"/>
      <w:lvlText w:val="%1."/>
      <w:lvlJc w:val="left"/>
      <w:pPr>
        <w:tabs>
          <w:tab w:val="num" w:pos="851"/>
        </w:tabs>
        <w:ind w:left="851" w:hanging="851"/>
      </w:pPr>
      <w:rPr>
        <w:rFonts w:ascii="Arial" w:hAnsi="Arial" w:hint="default"/>
        <w:b w:val="0"/>
        <w:i w:val="0"/>
        <w:sz w:val="20"/>
      </w:rPr>
    </w:lvl>
    <w:lvl w:ilvl="1">
      <w:start w:val="1"/>
      <w:numFmt w:val="decimal"/>
      <w:pStyle w:val="WFNALevel2"/>
      <w:lvlText w:val="%1.%2"/>
      <w:lvlJc w:val="left"/>
      <w:pPr>
        <w:tabs>
          <w:tab w:val="num" w:pos="1701"/>
        </w:tabs>
        <w:ind w:left="1701" w:hanging="850"/>
      </w:pPr>
      <w:rPr>
        <w:rFonts w:ascii="Arial" w:hAnsi="Arial" w:hint="default"/>
        <w:b w:val="0"/>
        <w:i w:val="0"/>
        <w:sz w:val="20"/>
      </w:rPr>
    </w:lvl>
    <w:lvl w:ilvl="2">
      <w:start w:val="1"/>
      <w:numFmt w:val="decimal"/>
      <w:pStyle w:val="WFNALevel3"/>
      <w:lvlText w:val="%1.%2.%3"/>
      <w:lvlJc w:val="left"/>
      <w:pPr>
        <w:tabs>
          <w:tab w:val="num" w:pos="2552"/>
        </w:tabs>
        <w:ind w:left="2552" w:hanging="851"/>
      </w:pPr>
      <w:rPr>
        <w:rFonts w:ascii="Arial" w:hAnsi="Arial" w:hint="default"/>
        <w:sz w:val="20"/>
      </w:rPr>
    </w:lvl>
    <w:lvl w:ilvl="3">
      <w:start w:val="1"/>
      <w:numFmt w:val="lowerLetter"/>
      <w:pStyle w:val="WFNALevel4"/>
      <w:lvlText w:val="(%4)"/>
      <w:lvlJc w:val="left"/>
      <w:pPr>
        <w:tabs>
          <w:tab w:val="num" w:pos="3402"/>
        </w:tabs>
        <w:ind w:left="3402" w:hanging="850"/>
      </w:pPr>
      <w:rPr>
        <w:rFonts w:ascii="Arial" w:hAnsi="Arial" w:hint="default"/>
        <w:sz w:val="20"/>
      </w:rPr>
    </w:lvl>
    <w:lvl w:ilvl="4">
      <w:start w:val="1"/>
      <w:numFmt w:val="lowerRoman"/>
      <w:pStyle w:val="WFNALevel5"/>
      <w:lvlText w:val="(%5)"/>
      <w:lvlJc w:val="left"/>
      <w:pPr>
        <w:tabs>
          <w:tab w:val="num" w:pos="4253"/>
        </w:tabs>
        <w:ind w:left="4253" w:hanging="851"/>
      </w:pPr>
      <w:rPr>
        <w:rFonts w:ascii="Arial" w:hAnsi="Arial" w:hint="default"/>
        <w:sz w:val="20"/>
      </w:rPr>
    </w:lvl>
    <w:lvl w:ilvl="5">
      <w:start w:val="1"/>
      <w:numFmt w:val="upperLetter"/>
      <w:pStyle w:val="WFNALevel6"/>
      <w:lvlText w:val="(%6)"/>
      <w:lvlJc w:val="left"/>
      <w:pPr>
        <w:tabs>
          <w:tab w:val="num" w:pos="4253"/>
        </w:tabs>
        <w:ind w:left="4253" w:hanging="851"/>
      </w:pPr>
      <w:rPr>
        <w:rFonts w:ascii="Arial" w:hAnsi="Arial" w:hint="default"/>
        <w:sz w:val="20"/>
      </w:rPr>
    </w:lvl>
    <w:lvl w:ilvl="6">
      <w:start w:val="1"/>
      <w:numFmt w:val="none"/>
      <w:suff w:val="nothing"/>
      <w:lvlText w:val=""/>
      <w:lvlJc w:val="left"/>
      <w:pPr>
        <w:ind w:left="0" w:firstLine="0"/>
      </w:pPr>
      <w:rPr>
        <w:rFonts w:ascii="Arial" w:hAnsi="Arial" w:hint="default"/>
        <w:sz w:val="20"/>
      </w:rPr>
    </w:lvl>
    <w:lvl w:ilvl="7">
      <w:start w:val="1"/>
      <w:numFmt w:val="upperLetter"/>
      <w:suff w:val="nothing"/>
      <w:lvlText w:val="(%8)"/>
      <w:lvlJc w:val="left"/>
      <w:pPr>
        <w:ind w:left="-32767" w:firstLine="0"/>
      </w:pPr>
      <w:rPr>
        <w:rFonts w:ascii="Arial" w:hAnsi="Arial" w:hint="default"/>
        <w:sz w:val="20"/>
      </w:rPr>
    </w:lvl>
    <w:lvl w:ilvl="8">
      <w:start w:val="1"/>
      <w:numFmt w:val="bullet"/>
      <w:lvlText w:val=""/>
      <w:lvlJc w:val="left"/>
      <w:pPr>
        <w:ind w:left="-32767" w:firstLine="0"/>
      </w:pPr>
      <w:rPr>
        <w:rFonts w:ascii="Symbol" w:hAnsi="Symbol" w:hint="default"/>
      </w:rPr>
    </w:lvl>
  </w:abstractNum>
  <w:abstractNum w:abstractNumId="7" w15:restartNumberingAfterBreak="0">
    <w:nsid w:val="134B538E"/>
    <w:multiLevelType w:val="hybridMultilevel"/>
    <w:tmpl w:val="203E3FEA"/>
    <w:lvl w:ilvl="0" w:tplc="5BD6AE5A">
      <w:start w:val="1"/>
      <w:numFmt w:val="lowerLetter"/>
      <w:lvlText w:val="%1)"/>
      <w:lvlJc w:val="left"/>
      <w:pPr>
        <w:ind w:left="1080" w:hanging="360"/>
      </w:pPr>
      <w:rPr>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5447AC8"/>
    <w:multiLevelType w:val="multilevel"/>
    <w:tmpl w:val="053ABE1A"/>
    <w:lvl w:ilvl="0">
      <w:start w:val="1"/>
      <w:numFmt w:val="decimal"/>
      <w:pStyle w:val="NEW-Level0"/>
      <w:lvlText w:val="%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EW-Level1"/>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B8E5258"/>
    <w:multiLevelType w:val="hybridMultilevel"/>
    <w:tmpl w:val="BDCA68A2"/>
    <w:lvl w:ilvl="0" w:tplc="E0140FB4">
      <w:start w:val="1"/>
      <w:numFmt w:val="lowerRoman"/>
      <w:pStyle w:val="aNEW-Questions"/>
      <w:lvlText w:val="%1."/>
      <w:lvlJc w:val="left"/>
      <w:pPr>
        <w:tabs>
          <w:tab w:val="num" w:pos="851"/>
        </w:tabs>
        <w:ind w:left="851" w:hanging="341"/>
      </w:pPr>
      <w:rPr>
        <w:rFonts w:hint="default"/>
        <w:lang w:val="en-GB"/>
      </w:rPr>
    </w:lvl>
    <w:lvl w:ilvl="1" w:tplc="6D76C376">
      <w:numFmt w:val="bullet"/>
      <w:lvlText w:val="-"/>
      <w:lvlJc w:val="left"/>
      <w:pPr>
        <w:ind w:left="1791" w:hanging="360"/>
      </w:pPr>
      <w:rPr>
        <w:rFonts w:ascii="Georgia" w:eastAsia="Times New Roman" w:hAnsi="Georgia" w:hint="default"/>
      </w:rPr>
    </w:lvl>
    <w:lvl w:ilvl="2" w:tplc="08090005">
      <w:start w:val="1"/>
      <w:numFmt w:val="bullet"/>
      <w:lvlText w:val=""/>
      <w:lvlJc w:val="left"/>
      <w:pPr>
        <w:ind w:left="2511" w:hanging="360"/>
      </w:pPr>
      <w:rPr>
        <w:rFonts w:ascii="Wingdings" w:hAnsi="Wingdings" w:hint="default"/>
      </w:rPr>
    </w:lvl>
    <w:lvl w:ilvl="3" w:tplc="08090001" w:tentative="1">
      <w:start w:val="1"/>
      <w:numFmt w:val="bullet"/>
      <w:lvlText w:val=""/>
      <w:lvlJc w:val="left"/>
      <w:pPr>
        <w:ind w:left="3231" w:hanging="360"/>
      </w:pPr>
      <w:rPr>
        <w:rFonts w:ascii="Symbol" w:hAnsi="Symbol" w:hint="default"/>
      </w:rPr>
    </w:lvl>
    <w:lvl w:ilvl="4" w:tplc="08090003" w:tentative="1">
      <w:start w:val="1"/>
      <w:numFmt w:val="bullet"/>
      <w:lvlText w:val="o"/>
      <w:lvlJc w:val="left"/>
      <w:pPr>
        <w:ind w:left="3951" w:hanging="360"/>
      </w:pPr>
      <w:rPr>
        <w:rFonts w:ascii="Courier New" w:hAnsi="Courier New" w:hint="default"/>
      </w:rPr>
    </w:lvl>
    <w:lvl w:ilvl="5" w:tplc="08090005" w:tentative="1">
      <w:start w:val="1"/>
      <w:numFmt w:val="bullet"/>
      <w:lvlText w:val=""/>
      <w:lvlJc w:val="left"/>
      <w:pPr>
        <w:ind w:left="4671" w:hanging="360"/>
      </w:pPr>
      <w:rPr>
        <w:rFonts w:ascii="Wingdings" w:hAnsi="Wingdings" w:hint="default"/>
      </w:rPr>
    </w:lvl>
    <w:lvl w:ilvl="6" w:tplc="08090001" w:tentative="1">
      <w:start w:val="1"/>
      <w:numFmt w:val="bullet"/>
      <w:lvlText w:val=""/>
      <w:lvlJc w:val="left"/>
      <w:pPr>
        <w:ind w:left="5391" w:hanging="360"/>
      </w:pPr>
      <w:rPr>
        <w:rFonts w:ascii="Symbol" w:hAnsi="Symbol" w:hint="default"/>
      </w:rPr>
    </w:lvl>
    <w:lvl w:ilvl="7" w:tplc="08090003" w:tentative="1">
      <w:start w:val="1"/>
      <w:numFmt w:val="bullet"/>
      <w:lvlText w:val="o"/>
      <w:lvlJc w:val="left"/>
      <w:pPr>
        <w:ind w:left="6111" w:hanging="360"/>
      </w:pPr>
      <w:rPr>
        <w:rFonts w:ascii="Courier New" w:hAnsi="Courier New" w:hint="default"/>
      </w:rPr>
    </w:lvl>
    <w:lvl w:ilvl="8" w:tplc="08090005" w:tentative="1">
      <w:start w:val="1"/>
      <w:numFmt w:val="bullet"/>
      <w:lvlText w:val=""/>
      <w:lvlJc w:val="left"/>
      <w:pPr>
        <w:ind w:left="6831" w:hanging="360"/>
      </w:pPr>
      <w:rPr>
        <w:rFonts w:ascii="Wingdings" w:hAnsi="Wingdings" w:hint="default"/>
      </w:rPr>
    </w:lvl>
  </w:abstractNum>
  <w:abstractNum w:abstractNumId="10" w15:restartNumberingAfterBreak="0">
    <w:nsid w:val="1DAE53C8"/>
    <w:multiLevelType w:val="multilevel"/>
    <w:tmpl w:val="ACFA87A8"/>
    <w:lvl w:ilvl="0">
      <w:start w:val="1"/>
      <w:numFmt w:val="decimal"/>
      <w:pStyle w:val="BodyText"/>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F3B415C"/>
    <w:multiLevelType w:val="hybridMultilevel"/>
    <w:tmpl w:val="1F3EE51C"/>
    <w:lvl w:ilvl="0" w:tplc="FB80131E">
      <w:start w:val="1"/>
      <w:numFmt w:val="lowerLetter"/>
      <w:lvlText w:val="%1)"/>
      <w:lvlJc w:val="left"/>
      <w:pPr>
        <w:ind w:left="927" w:hanging="360"/>
      </w:pPr>
      <w:rPr>
        <w:rFonts w:ascii="Arial" w:eastAsia="Times New Roman" w:hAnsi="Arial" w:cs="Times New Roman"/>
        <w:b/>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2" w15:restartNumberingAfterBreak="0">
    <w:nsid w:val="23843D77"/>
    <w:multiLevelType w:val="hybridMultilevel"/>
    <w:tmpl w:val="795A1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851D6C"/>
    <w:multiLevelType w:val="hybridMultilevel"/>
    <w:tmpl w:val="C9EAA7A8"/>
    <w:lvl w:ilvl="0" w:tplc="36803642">
      <w:start w:val="1"/>
      <w:numFmt w:val="lowerRoman"/>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4" w15:restartNumberingAfterBreak="0">
    <w:nsid w:val="25B267EC"/>
    <w:multiLevelType w:val="hybridMultilevel"/>
    <w:tmpl w:val="7562AA54"/>
    <w:lvl w:ilvl="0" w:tplc="E24E6B0C">
      <w:start w:val="1"/>
      <w:numFmt w:val="lowerLetter"/>
      <w:pStyle w:val="aStyle1"/>
      <w:lvlText w:val="%1."/>
      <w:lvlJc w:val="left"/>
      <w:pPr>
        <w:ind w:left="1778" w:hanging="360"/>
      </w:p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5" w15:restartNumberingAfterBreak="0">
    <w:nsid w:val="25B95E1B"/>
    <w:multiLevelType w:val="hybridMultilevel"/>
    <w:tmpl w:val="085619C2"/>
    <w:lvl w:ilvl="0" w:tplc="A09C2658">
      <w:start w:val="1"/>
      <w:numFmt w:val="lowerLetter"/>
      <w:pStyle w:val="Bullet"/>
      <w:lvlText w:val="%1."/>
      <w:lvlJc w:val="left"/>
      <w:pPr>
        <w:ind w:left="1193"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7" w15:restartNumberingAfterBreak="0">
    <w:nsid w:val="2B2B3A92"/>
    <w:multiLevelType w:val="multilevel"/>
    <w:tmpl w:val="5B8C61E0"/>
    <w:lvl w:ilvl="0">
      <w:start w:val="1"/>
      <w:numFmt w:val="decimal"/>
      <w:lvlRestart w:val="0"/>
      <w:pStyle w:val="Considrant"/>
      <w:lvlText w:val="(%1)"/>
      <w:lvlJc w:val="left"/>
      <w:pPr>
        <w:tabs>
          <w:tab w:val="num" w:pos="851"/>
        </w:tabs>
        <w:ind w:left="851" w:hanging="709"/>
      </w:pPr>
      <w:rPr>
        <w:rFonts w:cs="Times New Roman"/>
        <w:i w:val="0"/>
      </w:rPr>
    </w:lvl>
    <w:lvl w:ilvl="1" w:tentative="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8" w15:restartNumberingAfterBreak="0">
    <w:nsid w:val="2B9E089E"/>
    <w:multiLevelType w:val="hybridMultilevel"/>
    <w:tmpl w:val="87960D64"/>
    <w:lvl w:ilvl="0" w:tplc="4F30587E">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2EAF387C"/>
    <w:multiLevelType w:val="hybridMultilevel"/>
    <w:tmpl w:val="92F09644"/>
    <w:lvl w:ilvl="0" w:tplc="1FCC56D4">
      <w:start w:val="1"/>
      <w:numFmt w:val="decimal"/>
      <w:pStyle w:val="QuestionsFORM"/>
      <w:lvlText w:val="Q%1:"/>
      <w:lvlJc w:val="left"/>
      <w:pPr>
        <w:ind w:left="644" w:hanging="360"/>
      </w:pPr>
      <w:rPr>
        <w:rFonts w:asciiTheme="minorHAnsi" w:hAnsiTheme="minorHAnsi" w:cstheme="minorHAnsi" w:hint="default"/>
        <w:b/>
        <w:sz w:val="22"/>
        <w:szCs w:val="22"/>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0" w15:restartNumberingAfterBreak="0">
    <w:nsid w:val="30003AEB"/>
    <w:multiLevelType w:val="hybridMultilevel"/>
    <w:tmpl w:val="C9EAA7A8"/>
    <w:lvl w:ilvl="0" w:tplc="36803642">
      <w:start w:val="1"/>
      <w:numFmt w:val="lowerRoman"/>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21" w15:restartNumberingAfterBreak="0">
    <w:nsid w:val="385C6A9A"/>
    <w:multiLevelType w:val="hybridMultilevel"/>
    <w:tmpl w:val="A8704D4A"/>
    <w:lvl w:ilvl="0" w:tplc="5CB870D2">
      <w:start w:val="1"/>
      <w:numFmt w:val="bullet"/>
      <w:pStyle w:val="04bList"/>
      <w:lvlText w:val="─"/>
      <w:lvlJc w:val="left"/>
      <w:pPr>
        <w:tabs>
          <w:tab w:val="num" w:pos="568"/>
        </w:tabs>
        <w:ind w:left="568" w:hanging="284"/>
      </w:pPr>
      <w:rPr>
        <w:rFonts w:ascii="Georgia" w:hAnsi="Georgia" w:hint="default"/>
        <w:color w:val="00000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A5459E8"/>
    <w:multiLevelType w:val="singleLevel"/>
    <w:tmpl w:val="2188C922"/>
    <w:name w:val="Tiret 1"/>
    <w:lvl w:ilvl="0">
      <w:start w:val="1"/>
      <w:numFmt w:val="bullet"/>
      <w:lvlRestart w:val="0"/>
      <w:lvlText w:val="–"/>
      <w:lvlJc w:val="left"/>
      <w:pPr>
        <w:tabs>
          <w:tab w:val="num" w:pos="1417"/>
        </w:tabs>
        <w:ind w:left="1417" w:hanging="567"/>
      </w:pPr>
    </w:lvl>
  </w:abstractNum>
  <w:abstractNum w:abstractNumId="23" w15:restartNumberingAfterBreak="0">
    <w:nsid w:val="3A841364"/>
    <w:multiLevelType w:val="hybridMultilevel"/>
    <w:tmpl w:val="21CCF614"/>
    <w:lvl w:ilvl="0" w:tplc="08090017">
      <w:start w:val="1"/>
      <w:numFmt w:val="lowerLetter"/>
      <w:pStyle w:val="ListBullet4"/>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BA736C9"/>
    <w:multiLevelType w:val="singleLevel"/>
    <w:tmpl w:val="F00A6C0C"/>
    <w:lvl w:ilvl="0">
      <w:start w:val="1"/>
      <w:numFmt w:val="bullet"/>
      <w:lvlRestart w:val="0"/>
      <w:pStyle w:val="Tiret0"/>
      <w:lvlText w:val="–"/>
      <w:lvlJc w:val="left"/>
      <w:pPr>
        <w:tabs>
          <w:tab w:val="num" w:pos="850"/>
        </w:tabs>
        <w:ind w:left="850" w:hanging="850"/>
      </w:pPr>
    </w:lvl>
  </w:abstractNum>
  <w:abstractNum w:abstractNumId="25" w15:restartNumberingAfterBreak="0">
    <w:nsid w:val="3C890EB4"/>
    <w:multiLevelType w:val="hybridMultilevel"/>
    <w:tmpl w:val="D00E6092"/>
    <w:lvl w:ilvl="0" w:tplc="565C7802">
      <w:start w:val="1"/>
      <w:numFmt w:val="upperRoman"/>
      <w:pStyle w:val="05dHeadline1blue"/>
      <w:lvlText w:val="%1."/>
      <w:lvlJc w:val="left"/>
      <w:pPr>
        <w:tabs>
          <w:tab w:val="num" w:pos="284"/>
        </w:tabs>
        <w:ind w:left="284" w:hanging="284"/>
      </w:pPr>
      <w:rPr>
        <w:rFonts w:ascii="Georgia" w:hAnsi="Georgia" w:hint="default"/>
        <w:b/>
        <w:i w:val="0"/>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15:restartNumberingAfterBreak="0">
    <w:nsid w:val="3C90278F"/>
    <w:multiLevelType w:val="singleLevel"/>
    <w:tmpl w:val="0FE08974"/>
    <w:name w:val="Tiret 0"/>
    <w:lvl w:ilvl="0">
      <w:start w:val="1"/>
      <w:numFmt w:val="bullet"/>
      <w:lvlRestart w:val="0"/>
      <w:pStyle w:val="Tiret3"/>
      <w:lvlText w:val="–"/>
      <w:lvlJc w:val="left"/>
      <w:pPr>
        <w:tabs>
          <w:tab w:val="num" w:pos="2551"/>
        </w:tabs>
        <w:ind w:left="2551" w:hanging="567"/>
      </w:pPr>
    </w:lvl>
  </w:abstractNum>
  <w:abstractNum w:abstractNumId="27" w15:restartNumberingAfterBreak="0">
    <w:nsid w:val="3FC527D1"/>
    <w:multiLevelType w:val="hybridMultilevel"/>
    <w:tmpl w:val="7E46D640"/>
    <w:lvl w:ilvl="0" w:tplc="08090003">
      <w:start w:val="1"/>
      <w:numFmt w:val="bullet"/>
      <w:lvlText w:val="o"/>
      <w:lvlJc w:val="left"/>
      <w:pPr>
        <w:ind w:left="1069" w:hanging="360"/>
      </w:pPr>
      <w:rPr>
        <w:rFonts w:ascii="Courier New" w:hAnsi="Courier New" w:cs="Courier New"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8" w15:restartNumberingAfterBreak="0">
    <w:nsid w:val="40606AE6"/>
    <w:multiLevelType w:val="hybridMultilevel"/>
    <w:tmpl w:val="1F3EE51C"/>
    <w:lvl w:ilvl="0" w:tplc="FB80131E">
      <w:start w:val="1"/>
      <w:numFmt w:val="lowerLetter"/>
      <w:lvlText w:val="%1)"/>
      <w:lvlJc w:val="left"/>
      <w:pPr>
        <w:ind w:left="927" w:hanging="360"/>
      </w:pPr>
      <w:rPr>
        <w:rFonts w:ascii="Arial" w:eastAsia="Times New Roman" w:hAnsi="Arial" w:cs="Times New Roman"/>
        <w:b/>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9" w15:restartNumberingAfterBreak="0">
    <w:nsid w:val="40C74677"/>
    <w:multiLevelType w:val="hybridMultilevel"/>
    <w:tmpl w:val="1F3EE51C"/>
    <w:lvl w:ilvl="0" w:tplc="FB80131E">
      <w:start w:val="1"/>
      <w:numFmt w:val="lowerLetter"/>
      <w:lvlText w:val="%1)"/>
      <w:lvlJc w:val="left"/>
      <w:pPr>
        <w:ind w:left="927" w:hanging="360"/>
      </w:pPr>
      <w:rPr>
        <w:rFonts w:ascii="Arial" w:eastAsia="Times New Roman" w:hAnsi="Arial" w:cs="Times New Roman"/>
        <w:b/>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0" w15:restartNumberingAfterBreak="0">
    <w:nsid w:val="44261A85"/>
    <w:multiLevelType w:val="hybridMultilevel"/>
    <w:tmpl w:val="475889F8"/>
    <w:lvl w:ilvl="0" w:tplc="B8A4E8DA">
      <w:start w:val="1"/>
      <w:numFmt w:val="decimal"/>
      <w:pStyle w:val="aNEW-Paragraph"/>
      <w:lvlText w:val="%1."/>
      <w:lvlJc w:val="left"/>
      <w:pPr>
        <w:tabs>
          <w:tab w:val="num" w:pos="851"/>
        </w:tabs>
        <w:ind w:left="851" w:hanging="284"/>
      </w:pPr>
      <w:rPr>
        <w:rFonts w:ascii="Georgia" w:hAnsi="Georgia" w:hint="default"/>
        <w:b w:val="0"/>
        <w:sz w:val="20"/>
        <w:lang w:val="en-GB"/>
      </w:rPr>
    </w:lvl>
    <w:lvl w:ilvl="1" w:tplc="76C853DA">
      <w:start w:val="1"/>
      <w:numFmt w:val="lowerRoman"/>
      <w:pStyle w:val="NEW-Paragraph-level2"/>
      <w:lvlText w:val="%2."/>
      <w:lvlJc w:val="left"/>
      <w:pPr>
        <w:tabs>
          <w:tab w:val="num" w:pos="1361"/>
        </w:tabs>
        <w:ind w:left="1361" w:hanging="45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A71A21D6">
      <w:start w:val="1"/>
      <w:numFmt w:val="lowerRoman"/>
      <w:lvlText w:val="%3."/>
      <w:lvlJc w:val="left"/>
      <w:pPr>
        <w:tabs>
          <w:tab w:val="num" w:pos="2727"/>
        </w:tabs>
        <w:ind w:left="2835" w:hanging="288"/>
      </w:pPr>
      <w:rPr>
        <w:rFonts w:hint="default"/>
      </w:rPr>
    </w:lvl>
    <w:lvl w:ilvl="3" w:tplc="0407000F">
      <w:start w:val="1"/>
      <w:numFmt w:val="decimal"/>
      <w:lvlText w:val="%4."/>
      <w:lvlJc w:val="left"/>
      <w:pPr>
        <w:tabs>
          <w:tab w:val="num" w:pos="3447"/>
        </w:tabs>
        <w:ind w:left="3447" w:hanging="360"/>
      </w:pPr>
    </w:lvl>
    <w:lvl w:ilvl="4" w:tplc="04070019" w:tentative="1">
      <w:start w:val="1"/>
      <w:numFmt w:val="lowerLetter"/>
      <w:lvlText w:val="%5."/>
      <w:lvlJc w:val="left"/>
      <w:pPr>
        <w:tabs>
          <w:tab w:val="num" w:pos="4167"/>
        </w:tabs>
        <w:ind w:left="4167" w:hanging="360"/>
      </w:pPr>
    </w:lvl>
    <w:lvl w:ilvl="5" w:tplc="0407001B" w:tentative="1">
      <w:start w:val="1"/>
      <w:numFmt w:val="lowerRoman"/>
      <w:lvlText w:val="%6."/>
      <w:lvlJc w:val="right"/>
      <w:pPr>
        <w:tabs>
          <w:tab w:val="num" w:pos="4887"/>
        </w:tabs>
        <w:ind w:left="4887" w:hanging="180"/>
      </w:pPr>
    </w:lvl>
    <w:lvl w:ilvl="6" w:tplc="0407000F" w:tentative="1">
      <w:start w:val="1"/>
      <w:numFmt w:val="decimal"/>
      <w:lvlText w:val="%7."/>
      <w:lvlJc w:val="left"/>
      <w:pPr>
        <w:tabs>
          <w:tab w:val="num" w:pos="5607"/>
        </w:tabs>
        <w:ind w:left="5607" w:hanging="360"/>
      </w:pPr>
    </w:lvl>
    <w:lvl w:ilvl="7" w:tplc="04070019" w:tentative="1">
      <w:start w:val="1"/>
      <w:numFmt w:val="lowerLetter"/>
      <w:lvlText w:val="%8."/>
      <w:lvlJc w:val="left"/>
      <w:pPr>
        <w:tabs>
          <w:tab w:val="num" w:pos="6327"/>
        </w:tabs>
        <w:ind w:left="6327" w:hanging="360"/>
      </w:pPr>
    </w:lvl>
    <w:lvl w:ilvl="8" w:tplc="0407001B" w:tentative="1">
      <w:start w:val="1"/>
      <w:numFmt w:val="lowerRoman"/>
      <w:lvlText w:val="%9."/>
      <w:lvlJc w:val="right"/>
      <w:pPr>
        <w:tabs>
          <w:tab w:val="num" w:pos="7047"/>
        </w:tabs>
        <w:ind w:left="7047" w:hanging="180"/>
      </w:pPr>
    </w:lvl>
  </w:abstractNum>
  <w:abstractNum w:abstractNumId="31" w15:restartNumberingAfterBreak="0">
    <w:nsid w:val="47500471"/>
    <w:multiLevelType w:val="hybridMultilevel"/>
    <w:tmpl w:val="2A3A553A"/>
    <w:lvl w:ilvl="0" w:tplc="064E517E">
      <w:start w:val="1"/>
      <w:numFmt w:val="decimal"/>
      <w:lvlText w:val="Q%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33" w15:restartNumberingAfterBreak="0">
    <w:nsid w:val="4A8501C1"/>
    <w:multiLevelType w:val="hybridMultilevel"/>
    <w:tmpl w:val="BF34BB12"/>
    <w:lvl w:ilvl="0" w:tplc="37900E30">
      <w:start w:val="1"/>
      <w:numFmt w:val="decimal"/>
      <w:pStyle w:val="CPQuestions"/>
      <w:lvlText w:val="Q%1."/>
      <w:lvlJc w:val="right"/>
      <w:pPr>
        <w:ind w:left="720" w:hanging="360"/>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BAE2256"/>
    <w:multiLevelType w:val="hybridMultilevel"/>
    <w:tmpl w:val="13D402CA"/>
    <w:lvl w:ilvl="0" w:tplc="BEB48E84">
      <w:start w:val="1"/>
      <w:numFmt w:val="decimal"/>
      <w:lvlText w:val="%1."/>
      <w:lvlJc w:val="left"/>
      <w:pPr>
        <w:tabs>
          <w:tab w:val="num" w:pos="284"/>
        </w:tabs>
        <w:ind w:left="284" w:hanging="284"/>
      </w:pPr>
      <w:rPr>
        <w:rFonts w:ascii="Georgia" w:hAnsi="Georgia" w:hint="default"/>
        <w:b w:val="0"/>
        <w:i w:val="0"/>
        <w:sz w:val="20"/>
        <w:lang w:val="en-GB"/>
      </w:rPr>
    </w:lvl>
    <w:lvl w:ilvl="1" w:tplc="6726A2CE">
      <w:start w:val="1"/>
      <w:numFmt w:val="lowerRoman"/>
      <w:lvlText w:val="%2."/>
      <w:lvlJc w:val="left"/>
      <w:pPr>
        <w:tabs>
          <w:tab w:val="num" w:pos="1440"/>
        </w:tabs>
        <w:ind w:left="1440" w:hanging="360"/>
      </w:pPr>
      <w:rPr>
        <w:rFonts w:hint="default"/>
        <w:b w:val="0"/>
        <w:lang w:val="en-GB"/>
      </w:rPr>
    </w:lvl>
    <w:lvl w:ilvl="2" w:tplc="4C12BD96">
      <w:start w:val="1"/>
      <w:numFmt w:val="lowerLetter"/>
      <w:pStyle w:val="NEW-Paragraph-level3"/>
      <w:lvlText w:val="%3."/>
      <w:lvlJc w:val="left"/>
      <w:pPr>
        <w:tabs>
          <w:tab w:val="num" w:pos="1031"/>
        </w:tabs>
        <w:ind w:left="1139" w:hanging="288"/>
      </w:pPr>
    </w:lvl>
    <w:lvl w:ilvl="3" w:tplc="0407000F">
      <w:start w:val="1"/>
      <w:numFmt w:val="decimal"/>
      <w:lvlText w:val="%4."/>
      <w:lvlJc w:val="left"/>
      <w:pPr>
        <w:tabs>
          <w:tab w:val="num" w:pos="2880"/>
        </w:tabs>
        <w:ind w:left="2880" w:hanging="360"/>
      </w:pPr>
    </w:lvl>
    <w:lvl w:ilvl="4" w:tplc="F4C2529A">
      <w:start w:val="1"/>
      <w:numFmt w:val="lowerLetter"/>
      <w:lvlText w:val="%5)"/>
      <w:lvlJc w:val="left"/>
      <w:pPr>
        <w:ind w:left="3600" w:hanging="360"/>
      </w:pPr>
    </w:lvl>
    <w:lvl w:ilvl="5" w:tplc="FD041300">
      <w:start w:val="8"/>
      <w:numFmt w:val="bullet"/>
      <w:lvlText w:val="-"/>
      <w:lvlJc w:val="left"/>
      <w:pPr>
        <w:ind w:left="4500" w:hanging="360"/>
      </w:pPr>
      <w:rPr>
        <w:rFonts w:ascii="Georgia" w:eastAsia="Times New Roman" w:hAnsi="Georgia" w:cs="Times New Roman" w:hint="default"/>
      </w:rPr>
    </w:lvl>
    <w:lvl w:ilvl="6" w:tplc="30B61B3A">
      <w:start w:val="1"/>
      <w:numFmt w:val="lowerRoman"/>
      <w:lvlText w:val="(%7)"/>
      <w:lvlJc w:val="left"/>
      <w:pPr>
        <w:ind w:left="1004" w:hanging="72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35" w15:restartNumberingAfterBreak="0">
    <w:nsid w:val="4C7151D2"/>
    <w:multiLevelType w:val="hybridMultilevel"/>
    <w:tmpl w:val="DE90C632"/>
    <w:lvl w:ilvl="0" w:tplc="08090001">
      <w:start w:val="1"/>
      <w:numFmt w:val="bullet"/>
      <w:pStyle w:val="ListBullet"/>
      <w:lvlText w:val=""/>
      <w:lvlJc w:val="left"/>
      <w:pPr>
        <w:tabs>
          <w:tab w:val="num" w:pos="735"/>
        </w:tabs>
        <w:ind w:left="735" w:hanging="375"/>
      </w:pPr>
      <w:rPr>
        <w:rFonts w:ascii="Symbol" w:hAnsi="Symbol" w:hint="default"/>
      </w:rPr>
    </w:lvl>
    <w:lvl w:ilvl="1" w:tplc="99749D40">
      <w:start w:val="1"/>
      <w:numFmt w:val="bullet"/>
      <w:lvlText w:val=""/>
      <w:lvlJc w:val="left"/>
      <w:pPr>
        <w:tabs>
          <w:tab w:val="num" w:pos="1515"/>
        </w:tabs>
        <w:ind w:left="1515" w:hanging="435"/>
      </w:pPr>
      <w:rPr>
        <w:rFonts w:ascii="Symbol" w:hAnsi="Symbol" w:hint="default"/>
      </w:rPr>
    </w:lvl>
    <w:lvl w:ilvl="2" w:tplc="D6283A10">
      <w:numFmt w:val="bullet"/>
      <w:lvlText w:val="-"/>
      <w:lvlJc w:val="left"/>
      <w:pPr>
        <w:ind w:left="2340" w:hanging="360"/>
      </w:pPr>
      <w:rPr>
        <w:rFonts w:ascii="Georgia" w:eastAsia="Times New Roman" w:hAnsi="Georgia" w:cs="Times New Roman" w:hint="default"/>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4CA477F1"/>
    <w:multiLevelType w:val="hybridMultilevel"/>
    <w:tmpl w:val="2AB82324"/>
    <w:lvl w:ilvl="0" w:tplc="7B641D22">
      <w:start w:val="1"/>
      <w:numFmt w:val="lowerLetter"/>
      <w:pStyle w:val="Questionstyle"/>
      <w:lvlText w:val="%1)"/>
      <w:lvlJc w:val="left"/>
      <w:pPr>
        <w:ind w:left="927" w:hanging="360"/>
      </w:pPr>
      <w:rPr>
        <w:rFonts w:ascii="Arial" w:hAnsi="Arial" w:cs="Arial" w:hint="default"/>
        <w:b/>
        <w:sz w:val="20"/>
        <w:szCs w:val="20"/>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7" w15:restartNumberingAfterBreak="0">
    <w:nsid w:val="53260F13"/>
    <w:multiLevelType w:val="multilevel"/>
    <w:tmpl w:val="CCD817B6"/>
    <w:lvl w:ilvl="0">
      <w:start w:val="1"/>
      <w:numFmt w:val="upperRoman"/>
      <w:pStyle w:val="05cHeadline1"/>
      <w:lvlText w:val="%1."/>
      <w:lvlJc w:val="left"/>
      <w:pPr>
        <w:tabs>
          <w:tab w:val="num" w:pos="567"/>
        </w:tabs>
        <w:ind w:left="567" w:hanging="567"/>
      </w:pPr>
      <w:rPr>
        <w:rFonts w:ascii="Georgia" w:hAnsi="Georgia" w:hint="default"/>
        <w:b/>
        <w:i w:val="0"/>
        <w:sz w:val="20"/>
      </w:rPr>
    </w:lvl>
    <w:lvl w:ilvl="1">
      <w:start w:val="1"/>
      <w:numFmt w:val="upperRoman"/>
      <w:pStyle w:val="05eHeadline2"/>
      <w:lvlText w:val="%1.%2."/>
      <w:lvlJc w:val="left"/>
      <w:pPr>
        <w:tabs>
          <w:tab w:val="num" w:pos="567"/>
        </w:tabs>
        <w:ind w:left="567" w:hanging="283"/>
      </w:pPr>
      <w:rPr>
        <w:rFonts w:ascii="Georgia" w:hAnsi="Georgia" w:hint="default"/>
        <w:b w:val="0"/>
        <w:i w:val="0"/>
        <w:sz w:val="20"/>
      </w:rPr>
    </w:lvl>
    <w:lvl w:ilvl="2">
      <w:start w:val="2"/>
      <w:numFmt w:val="upperRoman"/>
      <w:lvlText w:val="%3.%2"/>
      <w:lvlJc w:val="left"/>
      <w:pPr>
        <w:tabs>
          <w:tab w:val="num" w:pos="567"/>
        </w:tabs>
        <w:ind w:left="567" w:hanging="283"/>
      </w:pPr>
      <w:rPr>
        <w:rFonts w:ascii="Georgia" w:hAnsi="Georgia" w:hint="default"/>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15:restartNumberingAfterBreak="0">
    <w:nsid w:val="54593082"/>
    <w:multiLevelType w:val="singleLevel"/>
    <w:tmpl w:val="EDE069AC"/>
    <w:name w:val="Default"/>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39" w15:restartNumberingAfterBreak="0">
    <w:nsid w:val="55DE60E9"/>
    <w:multiLevelType w:val="hybridMultilevel"/>
    <w:tmpl w:val="1084069A"/>
    <w:lvl w:ilvl="0" w:tplc="B532C018">
      <w:start w:val="2"/>
      <w:numFmt w:val="upperRoman"/>
      <w:pStyle w:val="Heading1"/>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563339FF"/>
    <w:multiLevelType w:val="hybridMultilevel"/>
    <w:tmpl w:val="1F3EE51C"/>
    <w:lvl w:ilvl="0" w:tplc="FB80131E">
      <w:start w:val="1"/>
      <w:numFmt w:val="lowerLetter"/>
      <w:lvlText w:val="%1)"/>
      <w:lvlJc w:val="left"/>
      <w:pPr>
        <w:ind w:left="927" w:hanging="360"/>
      </w:pPr>
      <w:rPr>
        <w:rFonts w:ascii="Arial" w:eastAsia="Times New Roman" w:hAnsi="Arial" w:cs="Times New Roman"/>
        <w:b/>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1" w15:restartNumberingAfterBreak="0">
    <w:nsid w:val="568864DC"/>
    <w:multiLevelType w:val="singleLevel"/>
    <w:tmpl w:val="485EBDAC"/>
    <w:lvl w:ilvl="0">
      <w:start w:val="1"/>
      <w:numFmt w:val="bullet"/>
      <w:lvlRestart w:val="0"/>
      <w:pStyle w:val="Tiret4"/>
      <w:lvlText w:val="–"/>
      <w:lvlJc w:val="left"/>
      <w:pPr>
        <w:tabs>
          <w:tab w:val="num" w:pos="3118"/>
        </w:tabs>
        <w:ind w:left="3118" w:hanging="567"/>
      </w:pPr>
    </w:lvl>
  </w:abstractNum>
  <w:abstractNum w:abstractNumId="42" w15:restartNumberingAfterBreak="0">
    <w:nsid w:val="56C341B9"/>
    <w:multiLevelType w:val="hybridMultilevel"/>
    <w:tmpl w:val="5A807988"/>
    <w:lvl w:ilvl="0" w:tplc="EB54967C">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 w15:restartNumberingAfterBreak="0">
    <w:nsid w:val="59F0103B"/>
    <w:multiLevelType w:val="hybridMultilevel"/>
    <w:tmpl w:val="9E10363A"/>
    <w:lvl w:ilvl="0" w:tplc="1C5E9BF6">
      <w:start w:val="1"/>
      <w:numFmt w:val="decimal"/>
      <w:lvlText w:val="%1."/>
      <w:lvlJc w:val="left"/>
      <w:pPr>
        <w:tabs>
          <w:tab w:val="num" w:pos="284"/>
        </w:tabs>
        <w:ind w:left="284" w:hanging="284"/>
      </w:pPr>
      <w:rPr>
        <w:rFonts w:ascii="Georgia" w:hAnsi="Georgia" w:hint="default"/>
        <w:sz w:val="20"/>
      </w:rPr>
    </w:lvl>
    <w:lvl w:ilvl="1" w:tplc="D85CD5A2">
      <w:start w:val="1"/>
      <w:numFmt w:val="lowerLetter"/>
      <w:pStyle w:val="aStyle"/>
      <w:lvlText w:val="%2)"/>
      <w:lvlJc w:val="left"/>
      <w:pPr>
        <w:tabs>
          <w:tab w:val="num" w:pos="1440"/>
        </w:tabs>
        <w:ind w:left="1440" w:hanging="360"/>
      </w:pPr>
      <w:rPr>
        <w:rFonts w:hint="default"/>
        <w:color w:val="auto"/>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4" w15:restartNumberingAfterBreak="0">
    <w:nsid w:val="5D930987"/>
    <w:multiLevelType w:val="hybridMultilevel"/>
    <w:tmpl w:val="1F3EE51C"/>
    <w:lvl w:ilvl="0" w:tplc="FB80131E">
      <w:start w:val="1"/>
      <w:numFmt w:val="lowerLetter"/>
      <w:lvlText w:val="%1)"/>
      <w:lvlJc w:val="left"/>
      <w:pPr>
        <w:ind w:left="927" w:hanging="360"/>
      </w:pPr>
      <w:rPr>
        <w:rFonts w:ascii="Arial" w:eastAsia="Times New Roman" w:hAnsi="Arial" w:cs="Times New Roman"/>
        <w:b/>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5"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46"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47" w15:restartNumberingAfterBreak="0">
    <w:nsid w:val="605735B9"/>
    <w:multiLevelType w:val="hybridMultilevel"/>
    <w:tmpl w:val="AD1C76E8"/>
    <w:lvl w:ilvl="0" w:tplc="6658B948">
      <w:start w:val="1"/>
      <w:numFmt w:val="decimal"/>
      <w:pStyle w:val="Heading5"/>
      <w:lvlText w:val="Q%1:"/>
      <w:lvlJc w:val="left"/>
      <w:pPr>
        <w:ind w:left="360" w:hanging="360"/>
      </w:pPr>
      <w:rPr>
        <w:rFonts w:hint="default"/>
        <w:b/>
        <w:i w:val="0"/>
        <w:color w:val="auto"/>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2970F71"/>
    <w:multiLevelType w:val="singleLevel"/>
    <w:tmpl w:val="A8CADBFA"/>
    <w:name w:val="Bullet 0"/>
    <w:lvl w:ilvl="0">
      <w:start w:val="1"/>
      <w:numFmt w:val="bullet"/>
      <w:pStyle w:val="ListNumber"/>
      <w:lvlText w:val="–"/>
      <w:lvlJc w:val="left"/>
      <w:pPr>
        <w:tabs>
          <w:tab w:val="num" w:pos="1417"/>
        </w:tabs>
        <w:ind w:left="1417" w:hanging="567"/>
      </w:pPr>
    </w:lvl>
  </w:abstractNum>
  <w:abstractNum w:abstractNumId="49" w15:restartNumberingAfterBreak="0">
    <w:nsid w:val="67F167FE"/>
    <w:multiLevelType w:val="hybridMultilevel"/>
    <w:tmpl w:val="62C47C54"/>
    <w:lvl w:ilvl="0" w:tplc="36803642">
      <w:start w:val="1"/>
      <w:numFmt w:val="lowerRoman"/>
      <w:lvlText w:val="%1)"/>
      <w:lvlJc w:val="left"/>
      <w:pPr>
        <w:ind w:left="1647" w:hanging="360"/>
      </w:pPr>
      <w:rPr>
        <w:rFonts w:hint="default"/>
      </w:rPr>
    </w:lvl>
    <w:lvl w:ilvl="1" w:tplc="08090019" w:tentative="1">
      <w:start w:val="1"/>
      <w:numFmt w:val="lowerLetter"/>
      <w:lvlText w:val="%2."/>
      <w:lvlJc w:val="left"/>
      <w:pPr>
        <w:ind w:left="2367" w:hanging="360"/>
      </w:pPr>
    </w:lvl>
    <w:lvl w:ilvl="2" w:tplc="0809001B" w:tentative="1">
      <w:start w:val="1"/>
      <w:numFmt w:val="lowerRoman"/>
      <w:lvlText w:val="%3."/>
      <w:lvlJc w:val="right"/>
      <w:pPr>
        <w:ind w:left="3087" w:hanging="180"/>
      </w:pPr>
    </w:lvl>
    <w:lvl w:ilvl="3" w:tplc="0809000F" w:tentative="1">
      <w:start w:val="1"/>
      <w:numFmt w:val="decimal"/>
      <w:lvlText w:val="%4."/>
      <w:lvlJc w:val="left"/>
      <w:pPr>
        <w:ind w:left="3807" w:hanging="360"/>
      </w:pPr>
    </w:lvl>
    <w:lvl w:ilvl="4" w:tplc="08090019" w:tentative="1">
      <w:start w:val="1"/>
      <w:numFmt w:val="lowerLetter"/>
      <w:lvlText w:val="%5."/>
      <w:lvlJc w:val="left"/>
      <w:pPr>
        <w:ind w:left="4527" w:hanging="360"/>
      </w:pPr>
    </w:lvl>
    <w:lvl w:ilvl="5" w:tplc="0809001B" w:tentative="1">
      <w:start w:val="1"/>
      <w:numFmt w:val="lowerRoman"/>
      <w:lvlText w:val="%6."/>
      <w:lvlJc w:val="right"/>
      <w:pPr>
        <w:ind w:left="5247" w:hanging="180"/>
      </w:pPr>
    </w:lvl>
    <w:lvl w:ilvl="6" w:tplc="0809000F" w:tentative="1">
      <w:start w:val="1"/>
      <w:numFmt w:val="decimal"/>
      <w:lvlText w:val="%7."/>
      <w:lvlJc w:val="left"/>
      <w:pPr>
        <w:ind w:left="5967" w:hanging="360"/>
      </w:pPr>
    </w:lvl>
    <w:lvl w:ilvl="7" w:tplc="08090019" w:tentative="1">
      <w:start w:val="1"/>
      <w:numFmt w:val="lowerLetter"/>
      <w:lvlText w:val="%8."/>
      <w:lvlJc w:val="left"/>
      <w:pPr>
        <w:ind w:left="6687" w:hanging="360"/>
      </w:pPr>
    </w:lvl>
    <w:lvl w:ilvl="8" w:tplc="0809001B" w:tentative="1">
      <w:start w:val="1"/>
      <w:numFmt w:val="lowerRoman"/>
      <w:lvlText w:val="%9."/>
      <w:lvlJc w:val="right"/>
      <w:pPr>
        <w:ind w:left="7407" w:hanging="180"/>
      </w:pPr>
    </w:lvl>
  </w:abstractNum>
  <w:abstractNum w:abstractNumId="50" w15:restartNumberingAfterBreak="0">
    <w:nsid w:val="692F0EC0"/>
    <w:multiLevelType w:val="multilevel"/>
    <w:tmpl w:val="51EEA844"/>
    <w:styleLink w:val="Formatvorlage1"/>
    <w:lvl w:ilvl="0">
      <w:start w:val="1"/>
      <w:numFmt w:val="bullet"/>
      <w:lvlText w:val=""/>
      <w:lvlJc w:val="left"/>
      <w:pPr>
        <w:tabs>
          <w:tab w:val="num" w:pos="360"/>
        </w:tabs>
        <w:ind w:left="360" w:hanging="360"/>
      </w:pPr>
      <w:rPr>
        <w:rFonts w:ascii="Symbol" w:hAnsi="Symbol" w:hint="default"/>
        <w:sz w:val="28"/>
        <w:szCs w:val="28"/>
      </w:rPr>
    </w:lvl>
    <w:lvl w:ilvl="1">
      <w:start w:val="1"/>
      <w:numFmt w:val="bullet"/>
      <w:lvlText w:val=""/>
      <w:lvlJc w:val="left"/>
      <w:pPr>
        <w:tabs>
          <w:tab w:val="num" w:pos="720"/>
        </w:tabs>
        <w:ind w:left="720" w:hanging="360"/>
      </w:pPr>
      <w:rPr>
        <w:rFonts w:ascii="Symbol" w:hAnsi="Symbol" w:hint="default"/>
        <w:sz w:val="28"/>
        <w:szCs w:val="24"/>
      </w:rPr>
    </w:lvl>
    <w:lvl w:ilvl="2">
      <w:start w:val="1"/>
      <w:numFmt w:val="bullet"/>
      <w:lvlText w:val=""/>
      <w:lvlJc w:val="left"/>
      <w:pPr>
        <w:tabs>
          <w:tab w:val="num" w:pos="1072"/>
        </w:tabs>
        <w:ind w:left="1072" w:hanging="358"/>
      </w:pPr>
      <w:rPr>
        <w:rFonts w:ascii="Symbol" w:hAnsi="Symbol" w:hint="default"/>
        <w:sz w:val="28"/>
        <w:szCs w:val="22"/>
      </w:rPr>
    </w:lvl>
    <w:lvl w:ilvl="3">
      <w:start w:val="1"/>
      <w:numFmt w:val="bullet"/>
      <w:lvlText w:val=""/>
      <w:lvlJc w:val="left"/>
      <w:pPr>
        <w:tabs>
          <w:tab w:val="num" w:pos="1429"/>
        </w:tabs>
        <w:ind w:left="1429" w:hanging="357"/>
      </w:pPr>
      <w:rPr>
        <w:rFonts w:ascii="Symbol" w:hAnsi="Symbol" w:hint="default"/>
        <w:sz w:val="28"/>
      </w:rPr>
    </w:lvl>
    <w:lvl w:ilvl="4">
      <w:start w:val="1"/>
      <w:numFmt w:val="bullet"/>
      <w:lvlText w:val=""/>
      <w:lvlJc w:val="left"/>
      <w:pPr>
        <w:tabs>
          <w:tab w:val="num" w:pos="1786"/>
        </w:tabs>
        <w:ind w:left="1786" w:hanging="357"/>
      </w:pPr>
      <w:rPr>
        <w:rFonts w:ascii="Symbol" w:hAnsi="Symbol" w:hint="default"/>
        <w:sz w:val="28"/>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1" w15:restartNumberingAfterBreak="0">
    <w:nsid w:val="69A07508"/>
    <w:multiLevelType w:val="hybridMultilevel"/>
    <w:tmpl w:val="19A2E306"/>
    <w:lvl w:ilvl="0" w:tplc="D2766E68">
      <w:numFmt w:val="bullet"/>
      <w:lvlText w:val="-"/>
      <w:lvlJc w:val="left"/>
      <w:pPr>
        <w:ind w:left="1636" w:hanging="360"/>
      </w:pPr>
      <w:rPr>
        <w:rFonts w:ascii="Arial" w:eastAsiaTheme="majorEastAsia" w:hAnsi="Arial" w:cs="Arial" w:hint="default"/>
      </w:rPr>
    </w:lvl>
    <w:lvl w:ilvl="1" w:tplc="08090003">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52" w15:restartNumberingAfterBreak="0">
    <w:nsid w:val="6C5F351D"/>
    <w:multiLevelType w:val="hybridMultilevel"/>
    <w:tmpl w:val="C5D4D560"/>
    <w:lvl w:ilvl="0" w:tplc="664C08A4">
      <w:numFmt w:val="bullet"/>
      <w:lvlText w:val="-"/>
      <w:lvlJc w:val="left"/>
      <w:pPr>
        <w:ind w:left="360" w:hanging="360"/>
      </w:pPr>
      <w:rPr>
        <w:rFonts w:ascii="Cambria" w:eastAsia="Times New Roman" w:hAnsi="Cambria" w:cs="Aria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3" w15:restartNumberingAfterBreak="0">
    <w:nsid w:val="6E271A2D"/>
    <w:multiLevelType w:val="multilevel"/>
    <w:tmpl w:val="7E924272"/>
    <w:lvl w:ilvl="0">
      <w:start w:val="2"/>
      <w:numFmt w:val="decimal"/>
      <w:pStyle w:val="CPTitle1"/>
      <w:lvlText w:val="%1."/>
      <w:lvlJc w:val="left"/>
      <w:pPr>
        <w:tabs>
          <w:tab w:val="num" w:pos="567"/>
        </w:tabs>
        <w:ind w:left="0" w:firstLine="0"/>
      </w:pPr>
      <w:rPr>
        <w:rFonts w:ascii="Arial" w:hAnsi="Arial" w:cs="Times New Roman" w:hint="default"/>
        <w:b/>
        <w:i w:val="0"/>
        <w:sz w:val="32"/>
      </w:rPr>
    </w:lvl>
    <w:lvl w:ilvl="1">
      <w:start w:val="1"/>
      <w:numFmt w:val="none"/>
      <w:lvlRestart w:val="0"/>
      <w:suff w:val="nothing"/>
      <w:lvlText w:val="%2"/>
      <w:lvlJc w:val="left"/>
      <w:pPr>
        <w:ind w:left="0" w:firstLine="0"/>
      </w:pPr>
    </w:lvl>
    <w:lvl w:ilvl="2">
      <w:start w:val="1"/>
      <w:numFmt w:val="decimal"/>
      <w:lvlRestart w:val="1"/>
      <w:pStyle w:val="CPTitle3"/>
      <w:lvlText w:val="%1.%3."/>
      <w:lvlJc w:val="left"/>
      <w:pPr>
        <w:tabs>
          <w:tab w:val="num" w:pos="567"/>
        </w:tabs>
        <w:ind w:left="0" w:firstLine="0"/>
      </w:pPr>
      <w:rPr>
        <w:rFonts w:ascii="Arial" w:hAnsi="Arial" w:cs="Times New Roman" w:hint="default"/>
        <w:b/>
        <w:i w:val="0"/>
        <w:sz w:val="28"/>
      </w:rPr>
    </w:lvl>
    <w:lvl w:ilvl="3">
      <w:start w:val="1"/>
      <w:numFmt w:val="none"/>
      <w:lvlRestart w:val="0"/>
      <w:pStyle w:val="CPTitle4"/>
      <w:suff w:val="nothing"/>
      <w:lvlText w:val=""/>
      <w:lvlJc w:val="left"/>
      <w:pPr>
        <w:ind w:left="0" w:firstLine="0"/>
      </w:pPr>
    </w:lvl>
    <w:lvl w:ilvl="4">
      <w:start w:val="1"/>
      <w:numFmt w:val="none"/>
      <w:lvlRestart w:val="0"/>
      <w:pStyle w:val="CPTitle5"/>
      <w:suff w:val="nothing"/>
      <w:lvlText w:val=""/>
      <w:lvlJc w:val="left"/>
      <w:pPr>
        <w:ind w:left="0" w:firstLine="0"/>
      </w:pPr>
    </w:lvl>
    <w:lvl w:ilvl="5">
      <w:start w:val="1"/>
      <w:numFmt w:val="none"/>
      <w:lvlRestart w:val="0"/>
      <w:pStyle w:val="CPTitle6"/>
      <w:suff w:val="nothing"/>
      <w:lvlText w:val=""/>
      <w:lvlJc w:val="left"/>
      <w:pPr>
        <w:ind w:left="0" w:firstLine="0"/>
      </w:pPr>
      <w:rPr>
        <w:rFonts w:ascii="Arial" w:hAnsi="Arial" w:cs="Times New Roman" w:hint="default"/>
        <w:sz w:val="22"/>
      </w:rPr>
    </w:lvl>
    <w:lvl w:ilvl="6">
      <w:start w:val="1"/>
      <w:numFmt w:val="decimal"/>
      <w:lvlRestart w:val="3"/>
      <w:pStyle w:val="CPNumPar"/>
      <w:lvlText w:val="%7."/>
      <w:lvlJc w:val="left"/>
      <w:pPr>
        <w:ind w:left="425" w:hanging="425"/>
      </w:pPr>
      <w:rPr>
        <w:rFonts w:ascii="Arial" w:hAnsi="Arial" w:cs="Times New Roman" w:hint="default"/>
        <w:sz w:val="22"/>
      </w:rPr>
    </w:lvl>
    <w:lvl w:ilvl="7">
      <w:start w:val="1"/>
      <w:numFmt w:val="lowerRoman"/>
      <w:pStyle w:val="CPisubtitles"/>
      <w:lvlText w:val="%8."/>
      <w:lvlJc w:val="left"/>
      <w:pPr>
        <w:ind w:left="851" w:hanging="426"/>
      </w:pPr>
      <w:rPr>
        <w:rFonts w:ascii="Arial" w:hAnsi="Arial" w:cs="Times New Roman" w:hint="default"/>
        <w:sz w:val="22"/>
      </w:rPr>
    </w:lvl>
    <w:lvl w:ilvl="8">
      <w:start w:val="1"/>
      <w:numFmt w:val="lowerLetter"/>
      <w:pStyle w:val="CPasubtitles"/>
      <w:lvlText w:val="%9."/>
      <w:lvlJc w:val="left"/>
      <w:pPr>
        <w:ind w:left="1276" w:hanging="425"/>
      </w:pPr>
      <w:rPr>
        <w:rFonts w:ascii="Arial" w:hAnsi="Arial" w:cs="Times New Roman" w:hint="default"/>
        <w:sz w:val="22"/>
      </w:rPr>
    </w:lvl>
  </w:abstractNum>
  <w:abstractNum w:abstractNumId="54" w15:restartNumberingAfterBreak="0">
    <w:nsid w:val="6E285623"/>
    <w:multiLevelType w:val="hybridMultilevel"/>
    <w:tmpl w:val="D6B6B45A"/>
    <w:lvl w:ilvl="0" w:tplc="5C48B45C">
      <w:start w:val="1"/>
      <w:numFmt w:val="decimal"/>
      <w:pStyle w:val="CPQuest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F9334E8"/>
    <w:multiLevelType w:val="hybridMultilevel"/>
    <w:tmpl w:val="4770101E"/>
    <w:lvl w:ilvl="0" w:tplc="B5E459CA">
      <w:start w:val="1"/>
      <w:numFmt w:val="decimal"/>
      <w:lvlText w:val="%1."/>
      <w:lvlJc w:val="left"/>
      <w:pPr>
        <w:ind w:left="720" w:hanging="360"/>
      </w:pPr>
      <w:rPr>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6" w15:restartNumberingAfterBreak="0">
    <w:nsid w:val="711167E2"/>
    <w:multiLevelType w:val="multilevel"/>
    <w:tmpl w:val="C3843A7A"/>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7" w15:restartNumberingAfterBreak="0">
    <w:nsid w:val="73821EE6"/>
    <w:multiLevelType w:val="hybridMultilevel"/>
    <w:tmpl w:val="700A8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73C7944"/>
    <w:multiLevelType w:val="hybridMultilevel"/>
    <w:tmpl w:val="245AED26"/>
    <w:lvl w:ilvl="0" w:tplc="E1340B26">
      <w:start w:val="1"/>
      <w:numFmt w:val="lowerLetter"/>
      <w:lvlText w:val="%1)"/>
      <w:lvlJc w:val="left"/>
      <w:pPr>
        <w:ind w:left="720" w:hanging="360"/>
      </w:pPr>
      <w:rPr>
        <w:rFonts w:hint="default"/>
        <w:b/>
      </w:rPr>
    </w:lvl>
    <w:lvl w:ilvl="1" w:tplc="7F24137E">
      <w:start w:val="1"/>
      <w:numFmt w:val="lowerRoman"/>
      <w:lvlText w:val="(%2)"/>
      <w:lvlJc w:val="left"/>
      <w:pPr>
        <w:ind w:left="1800" w:hanging="72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9" w15:restartNumberingAfterBreak="0">
    <w:nsid w:val="78D24FE2"/>
    <w:multiLevelType w:val="hybridMultilevel"/>
    <w:tmpl w:val="8DCC5F14"/>
    <w:lvl w:ilvl="0" w:tplc="0C0A000F">
      <w:start w:val="1"/>
      <w:numFmt w:val="decimal"/>
      <w:pStyle w:val="Tiret1"/>
      <w:lvlText w:val="%1."/>
      <w:lvlJc w:val="left"/>
      <w:pPr>
        <w:ind w:left="1776" w:hanging="360"/>
      </w:pPr>
    </w:lvl>
    <w:lvl w:ilvl="1" w:tplc="0C0A0019">
      <w:start w:val="1"/>
      <w:numFmt w:val="lowerLetter"/>
      <w:lvlText w:val="%2."/>
      <w:lvlJc w:val="left"/>
      <w:pPr>
        <w:ind w:left="2496" w:hanging="360"/>
      </w:pPr>
    </w:lvl>
    <w:lvl w:ilvl="2" w:tplc="0C0A001B">
      <w:start w:val="1"/>
      <w:numFmt w:val="lowerRoman"/>
      <w:lvlText w:val="%3."/>
      <w:lvlJc w:val="right"/>
      <w:pPr>
        <w:ind w:left="3216" w:hanging="180"/>
      </w:pPr>
    </w:lvl>
    <w:lvl w:ilvl="3" w:tplc="0C0A000F">
      <w:start w:val="1"/>
      <w:numFmt w:val="decimal"/>
      <w:lvlText w:val="%4."/>
      <w:lvlJc w:val="left"/>
      <w:pPr>
        <w:ind w:left="3936" w:hanging="360"/>
      </w:pPr>
    </w:lvl>
    <w:lvl w:ilvl="4" w:tplc="0C0A0019">
      <w:start w:val="1"/>
      <w:numFmt w:val="lowerLetter"/>
      <w:lvlText w:val="%5."/>
      <w:lvlJc w:val="left"/>
      <w:pPr>
        <w:ind w:left="4656" w:hanging="360"/>
      </w:pPr>
    </w:lvl>
    <w:lvl w:ilvl="5" w:tplc="0C0A001B">
      <w:start w:val="1"/>
      <w:numFmt w:val="lowerRoman"/>
      <w:lvlText w:val="%6."/>
      <w:lvlJc w:val="right"/>
      <w:pPr>
        <w:ind w:left="5376" w:hanging="180"/>
      </w:pPr>
    </w:lvl>
    <w:lvl w:ilvl="6" w:tplc="0C0A000F">
      <w:start w:val="1"/>
      <w:numFmt w:val="decimal"/>
      <w:lvlText w:val="%7."/>
      <w:lvlJc w:val="left"/>
      <w:pPr>
        <w:ind w:left="6096" w:hanging="360"/>
      </w:pPr>
    </w:lvl>
    <w:lvl w:ilvl="7" w:tplc="0C0A0019">
      <w:start w:val="1"/>
      <w:numFmt w:val="lowerLetter"/>
      <w:lvlText w:val="%8."/>
      <w:lvlJc w:val="left"/>
      <w:pPr>
        <w:ind w:left="6816" w:hanging="360"/>
      </w:pPr>
    </w:lvl>
    <w:lvl w:ilvl="8" w:tplc="0C0A001B">
      <w:start w:val="1"/>
      <w:numFmt w:val="lowerRoman"/>
      <w:lvlText w:val="%9."/>
      <w:lvlJc w:val="right"/>
      <w:pPr>
        <w:ind w:left="7536" w:hanging="180"/>
      </w:pPr>
    </w:lvl>
  </w:abstractNum>
  <w:abstractNum w:abstractNumId="60" w15:restartNumberingAfterBreak="0">
    <w:nsid w:val="7BCF77CB"/>
    <w:multiLevelType w:val="hybridMultilevel"/>
    <w:tmpl w:val="C960043C"/>
    <w:lvl w:ilvl="0" w:tplc="36803642">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1"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num w:numId="1">
    <w:abstractNumId w:val="25"/>
  </w:num>
  <w:num w:numId="2">
    <w:abstractNumId w:val="30"/>
  </w:num>
  <w:num w:numId="3">
    <w:abstractNumId w:val="21"/>
  </w:num>
  <w:num w:numId="4">
    <w:abstractNumId w:val="37"/>
  </w:num>
  <w:num w:numId="5">
    <w:abstractNumId w:val="39"/>
  </w:num>
  <w:num w:numId="6">
    <w:abstractNumId w:val="0"/>
  </w:num>
  <w:num w:numId="7">
    <w:abstractNumId w:val="9"/>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8"/>
  </w:num>
  <w:num w:numId="1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3"/>
  </w:num>
  <w:num w:numId="13">
    <w:abstractNumId w:val="47"/>
  </w:num>
  <w:num w:numId="14">
    <w:abstractNumId w:val="35"/>
  </w:num>
  <w:num w:numId="15">
    <w:abstractNumId w:val="17"/>
  </w:num>
  <w:num w:numId="16">
    <w:abstractNumId w:val="1"/>
  </w:num>
  <w:num w:numId="17">
    <w:abstractNumId w:val="23"/>
  </w:num>
  <w:num w:numId="18">
    <w:abstractNumId w:val="24"/>
  </w:num>
  <w:num w:numId="19">
    <w:abstractNumId w:val="26"/>
  </w:num>
  <w:num w:numId="20">
    <w:abstractNumId w:val="41"/>
  </w:num>
  <w:num w:numId="21">
    <w:abstractNumId w:val="56"/>
  </w:num>
  <w:num w:numId="22">
    <w:abstractNumId w:val="38"/>
  </w:num>
  <w:num w:numId="23">
    <w:abstractNumId w:val="16"/>
  </w:num>
  <w:num w:numId="24">
    <w:abstractNumId w:val="46"/>
  </w:num>
  <w:num w:numId="25">
    <w:abstractNumId w:val="45"/>
  </w:num>
  <w:num w:numId="26">
    <w:abstractNumId w:val="32"/>
  </w:num>
  <w:num w:numId="27">
    <w:abstractNumId w:val="50"/>
  </w:num>
  <w:num w:numId="28">
    <w:abstractNumId w:val="61"/>
  </w:num>
  <w:num w:numId="29">
    <w:abstractNumId w:val="14"/>
  </w:num>
  <w:num w:numId="30">
    <w:abstractNumId w:val="8"/>
  </w:num>
  <w:num w:numId="31">
    <w:abstractNumId w:val="34"/>
  </w:num>
  <w:num w:numId="32">
    <w:abstractNumId w:val="3"/>
  </w:num>
  <w:num w:numId="33">
    <w:abstractNumId w:val="12"/>
  </w:num>
  <w:num w:numId="34">
    <w:abstractNumId w:val="33"/>
  </w:num>
  <w:num w:numId="35">
    <w:abstractNumId w:val="54"/>
  </w:num>
  <w:num w:numId="36">
    <w:abstractNumId w:val="53"/>
  </w:num>
  <w:num w:numId="37">
    <w:abstractNumId w:val="19"/>
  </w:num>
  <w:num w:numId="38">
    <w:abstractNumId w:val="31"/>
  </w:num>
  <w:num w:numId="39">
    <w:abstractNumId w:val="36"/>
  </w:num>
  <w:num w:numId="40">
    <w:abstractNumId w:val="5"/>
  </w:num>
  <w:num w:numId="41">
    <w:abstractNumId w:val="13"/>
  </w:num>
  <w:num w:numId="42">
    <w:abstractNumId w:val="20"/>
  </w:num>
  <w:num w:numId="43">
    <w:abstractNumId w:val="27"/>
  </w:num>
  <w:num w:numId="44">
    <w:abstractNumId w:val="18"/>
  </w:num>
  <w:num w:numId="45">
    <w:abstractNumId w:val="51"/>
  </w:num>
  <w:num w:numId="46">
    <w:abstractNumId w:val="60"/>
  </w:num>
  <w:num w:numId="47">
    <w:abstractNumId w:val="7"/>
  </w:num>
  <w:num w:numId="48">
    <w:abstractNumId w:val="4"/>
  </w:num>
  <w:num w:numId="49">
    <w:abstractNumId w:val="28"/>
  </w:num>
  <w:num w:numId="50">
    <w:abstractNumId w:val="44"/>
  </w:num>
  <w:num w:numId="51">
    <w:abstractNumId w:val="29"/>
  </w:num>
  <w:num w:numId="52">
    <w:abstractNumId w:val="49"/>
  </w:num>
  <w:num w:numId="53">
    <w:abstractNumId w:val="11"/>
  </w:num>
  <w:num w:numId="54">
    <w:abstractNumId w:val="40"/>
  </w:num>
  <w:num w:numId="55">
    <w:abstractNumId w:val="52"/>
  </w:num>
  <w:num w:numId="56">
    <w:abstractNumId w:val="57"/>
  </w:num>
  <w:num w:numId="57">
    <w:abstractNumId w:val="6"/>
  </w:num>
  <w:num w:numId="58">
    <w:abstractNumId w:val="2"/>
  </w:num>
  <w:num w:numId="59">
    <w:abstractNumId w:val="42"/>
  </w:num>
  <w:num w:numId="60">
    <w:abstractNumId w:val="55"/>
  </w:num>
  <w:num w:numId="61">
    <w:abstractNumId w:val="5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x/kqrBK5rhT04o9+xC76jxx+rzY8E9MXHW3P4/0ODaRMSuXJPFb7P1eDji+hh3KhZCHXVoD46O5r5AeyQ+TxiA==" w:salt="keqD5JpjIOdjj229AHqcQA=="/>
  <w:defaultTabStop w:val="709"/>
  <w:autoHyphenation/>
  <w:hyphenationZone w:val="567"/>
  <w:characterSpacingControl w:val="doNotCompress"/>
  <w:hdrShapeDefaults>
    <o:shapedefaults v:ext="edit" spidmax="24577">
      <o:colormru v:ext="edit" colors="#2d4491,#28358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370"/>
    <w:rsid w:val="000006AD"/>
    <w:rsid w:val="00001490"/>
    <w:rsid w:val="000018FA"/>
    <w:rsid w:val="00002232"/>
    <w:rsid w:val="00002491"/>
    <w:rsid w:val="0000378E"/>
    <w:rsid w:val="00003AEB"/>
    <w:rsid w:val="00005BBA"/>
    <w:rsid w:val="00005D8C"/>
    <w:rsid w:val="00006C2B"/>
    <w:rsid w:val="00007014"/>
    <w:rsid w:val="00007968"/>
    <w:rsid w:val="0001067A"/>
    <w:rsid w:val="00013CCE"/>
    <w:rsid w:val="000140D5"/>
    <w:rsid w:val="0001410B"/>
    <w:rsid w:val="000141D6"/>
    <w:rsid w:val="00014A95"/>
    <w:rsid w:val="00015B5E"/>
    <w:rsid w:val="00015F1D"/>
    <w:rsid w:val="0001774B"/>
    <w:rsid w:val="00020D0F"/>
    <w:rsid w:val="000215EB"/>
    <w:rsid w:val="00021863"/>
    <w:rsid w:val="00021E83"/>
    <w:rsid w:val="00023713"/>
    <w:rsid w:val="00023C4D"/>
    <w:rsid w:val="00025E71"/>
    <w:rsid w:val="00026269"/>
    <w:rsid w:val="00027154"/>
    <w:rsid w:val="00027ECF"/>
    <w:rsid w:val="000303BE"/>
    <w:rsid w:val="000344D6"/>
    <w:rsid w:val="00034960"/>
    <w:rsid w:val="00036FAE"/>
    <w:rsid w:val="00041858"/>
    <w:rsid w:val="0004389E"/>
    <w:rsid w:val="000463A6"/>
    <w:rsid w:val="00046CC9"/>
    <w:rsid w:val="00046E91"/>
    <w:rsid w:val="000502FE"/>
    <w:rsid w:val="0005126D"/>
    <w:rsid w:val="00051992"/>
    <w:rsid w:val="00051E9A"/>
    <w:rsid w:val="000521A7"/>
    <w:rsid w:val="00052F47"/>
    <w:rsid w:val="0005399B"/>
    <w:rsid w:val="00054DE6"/>
    <w:rsid w:val="000569D7"/>
    <w:rsid w:val="000576D7"/>
    <w:rsid w:val="00060F72"/>
    <w:rsid w:val="00062592"/>
    <w:rsid w:val="000636A1"/>
    <w:rsid w:val="000649D9"/>
    <w:rsid w:val="000652BE"/>
    <w:rsid w:val="00066479"/>
    <w:rsid w:val="0006723C"/>
    <w:rsid w:val="00070376"/>
    <w:rsid w:val="00070974"/>
    <w:rsid w:val="00071EAD"/>
    <w:rsid w:val="00071F4E"/>
    <w:rsid w:val="00072271"/>
    <w:rsid w:val="00072B54"/>
    <w:rsid w:val="0007463D"/>
    <w:rsid w:val="000749F0"/>
    <w:rsid w:val="0007609D"/>
    <w:rsid w:val="00077C67"/>
    <w:rsid w:val="00080976"/>
    <w:rsid w:val="00081148"/>
    <w:rsid w:val="00081CEB"/>
    <w:rsid w:val="00081E60"/>
    <w:rsid w:val="00082D8E"/>
    <w:rsid w:val="00082E31"/>
    <w:rsid w:val="00083AA3"/>
    <w:rsid w:val="00085947"/>
    <w:rsid w:val="000868FE"/>
    <w:rsid w:val="000873EB"/>
    <w:rsid w:val="000878D1"/>
    <w:rsid w:val="000921AE"/>
    <w:rsid w:val="000921D7"/>
    <w:rsid w:val="000925FF"/>
    <w:rsid w:val="000932E0"/>
    <w:rsid w:val="00094C4C"/>
    <w:rsid w:val="00096762"/>
    <w:rsid w:val="000969C8"/>
    <w:rsid w:val="0009752D"/>
    <w:rsid w:val="00097AEE"/>
    <w:rsid w:val="000A014A"/>
    <w:rsid w:val="000A04B6"/>
    <w:rsid w:val="000A0E36"/>
    <w:rsid w:val="000A1BD2"/>
    <w:rsid w:val="000A2127"/>
    <w:rsid w:val="000A358F"/>
    <w:rsid w:val="000A43CC"/>
    <w:rsid w:val="000A7314"/>
    <w:rsid w:val="000A7B53"/>
    <w:rsid w:val="000A7B64"/>
    <w:rsid w:val="000B1EF7"/>
    <w:rsid w:val="000B275C"/>
    <w:rsid w:val="000B2C3D"/>
    <w:rsid w:val="000B469A"/>
    <w:rsid w:val="000B55C0"/>
    <w:rsid w:val="000B5DF2"/>
    <w:rsid w:val="000C06C9"/>
    <w:rsid w:val="000C1D0E"/>
    <w:rsid w:val="000C1DCC"/>
    <w:rsid w:val="000C1FBC"/>
    <w:rsid w:val="000C2462"/>
    <w:rsid w:val="000C2B6A"/>
    <w:rsid w:val="000C2F88"/>
    <w:rsid w:val="000C55C8"/>
    <w:rsid w:val="000C57C4"/>
    <w:rsid w:val="000C5FD3"/>
    <w:rsid w:val="000C701D"/>
    <w:rsid w:val="000C7C4A"/>
    <w:rsid w:val="000D17AA"/>
    <w:rsid w:val="000D2D0B"/>
    <w:rsid w:val="000D340A"/>
    <w:rsid w:val="000D4660"/>
    <w:rsid w:val="000D705D"/>
    <w:rsid w:val="000D7EB9"/>
    <w:rsid w:val="000E0223"/>
    <w:rsid w:val="000E0CF3"/>
    <w:rsid w:val="000E18A8"/>
    <w:rsid w:val="000E1AEC"/>
    <w:rsid w:val="000E3937"/>
    <w:rsid w:val="000E4926"/>
    <w:rsid w:val="000E5F7F"/>
    <w:rsid w:val="000E7086"/>
    <w:rsid w:val="000E7C65"/>
    <w:rsid w:val="000F04D2"/>
    <w:rsid w:val="000F55B7"/>
    <w:rsid w:val="000F604F"/>
    <w:rsid w:val="000F7399"/>
    <w:rsid w:val="001027F1"/>
    <w:rsid w:val="00103CE4"/>
    <w:rsid w:val="00104F2E"/>
    <w:rsid w:val="001072DD"/>
    <w:rsid w:val="00110D7A"/>
    <w:rsid w:val="00111464"/>
    <w:rsid w:val="0011167D"/>
    <w:rsid w:val="00112892"/>
    <w:rsid w:val="00112E48"/>
    <w:rsid w:val="001130EA"/>
    <w:rsid w:val="00114259"/>
    <w:rsid w:val="001168B2"/>
    <w:rsid w:val="00117C20"/>
    <w:rsid w:val="00120F0E"/>
    <w:rsid w:val="00121BED"/>
    <w:rsid w:val="00123D39"/>
    <w:rsid w:val="001244CD"/>
    <w:rsid w:val="0012566F"/>
    <w:rsid w:val="001262B1"/>
    <w:rsid w:val="00130F41"/>
    <w:rsid w:val="00130FAF"/>
    <w:rsid w:val="00135F2B"/>
    <w:rsid w:val="001372DD"/>
    <w:rsid w:val="001405BA"/>
    <w:rsid w:val="00141497"/>
    <w:rsid w:val="0014253A"/>
    <w:rsid w:val="001425C8"/>
    <w:rsid w:val="001431AE"/>
    <w:rsid w:val="00143B87"/>
    <w:rsid w:val="001459E3"/>
    <w:rsid w:val="00146A0B"/>
    <w:rsid w:val="0014761E"/>
    <w:rsid w:val="00151907"/>
    <w:rsid w:val="001544C8"/>
    <w:rsid w:val="00155FAB"/>
    <w:rsid w:val="001567A1"/>
    <w:rsid w:val="00156857"/>
    <w:rsid w:val="00157E79"/>
    <w:rsid w:val="00157EED"/>
    <w:rsid w:val="0016087A"/>
    <w:rsid w:val="00160A5C"/>
    <w:rsid w:val="001613EC"/>
    <w:rsid w:val="0016358A"/>
    <w:rsid w:val="001638D4"/>
    <w:rsid w:val="00164664"/>
    <w:rsid w:val="00164F15"/>
    <w:rsid w:val="001651A4"/>
    <w:rsid w:val="0016552B"/>
    <w:rsid w:val="00166B04"/>
    <w:rsid w:val="001670A6"/>
    <w:rsid w:val="001701FA"/>
    <w:rsid w:val="00171183"/>
    <w:rsid w:val="001725A5"/>
    <w:rsid w:val="00172681"/>
    <w:rsid w:val="00173AC7"/>
    <w:rsid w:val="001745D7"/>
    <w:rsid w:val="00175754"/>
    <w:rsid w:val="00176639"/>
    <w:rsid w:val="00176982"/>
    <w:rsid w:val="0017701C"/>
    <w:rsid w:val="00181264"/>
    <w:rsid w:val="00181BD1"/>
    <w:rsid w:val="0018204A"/>
    <w:rsid w:val="00182F7C"/>
    <w:rsid w:val="001843B5"/>
    <w:rsid w:val="00186829"/>
    <w:rsid w:val="001868CA"/>
    <w:rsid w:val="00187304"/>
    <w:rsid w:val="001875BE"/>
    <w:rsid w:val="0019017A"/>
    <w:rsid w:val="00190B8C"/>
    <w:rsid w:val="00190FF8"/>
    <w:rsid w:val="0019311A"/>
    <w:rsid w:val="0019508A"/>
    <w:rsid w:val="001960D8"/>
    <w:rsid w:val="001A1642"/>
    <w:rsid w:val="001A170B"/>
    <w:rsid w:val="001A371B"/>
    <w:rsid w:val="001A4766"/>
    <w:rsid w:val="001A5E5C"/>
    <w:rsid w:val="001A6A0D"/>
    <w:rsid w:val="001A6C51"/>
    <w:rsid w:val="001A6FAA"/>
    <w:rsid w:val="001A7D73"/>
    <w:rsid w:val="001B0222"/>
    <w:rsid w:val="001B0363"/>
    <w:rsid w:val="001B1355"/>
    <w:rsid w:val="001B3138"/>
    <w:rsid w:val="001B4E4B"/>
    <w:rsid w:val="001B50AC"/>
    <w:rsid w:val="001B5E05"/>
    <w:rsid w:val="001B6D68"/>
    <w:rsid w:val="001B6F2E"/>
    <w:rsid w:val="001C0344"/>
    <w:rsid w:val="001C0F2A"/>
    <w:rsid w:val="001C1A59"/>
    <w:rsid w:val="001C270F"/>
    <w:rsid w:val="001C29EC"/>
    <w:rsid w:val="001C4679"/>
    <w:rsid w:val="001C5770"/>
    <w:rsid w:val="001C6195"/>
    <w:rsid w:val="001D000A"/>
    <w:rsid w:val="001D0883"/>
    <w:rsid w:val="001D2205"/>
    <w:rsid w:val="001D3A1F"/>
    <w:rsid w:val="001D3FB6"/>
    <w:rsid w:val="001D4550"/>
    <w:rsid w:val="001D5498"/>
    <w:rsid w:val="001D5BAF"/>
    <w:rsid w:val="001D6401"/>
    <w:rsid w:val="001D66C9"/>
    <w:rsid w:val="001D722A"/>
    <w:rsid w:val="001E04FC"/>
    <w:rsid w:val="001E407D"/>
    <w:rsid w:val="001E40FB"/>
    <w:rsid w:val="001E66EC"/>
    <w:rsid w:val="001E68C5"/>
    <w:rsid w:val="001F0F63"/>
    <w:rsid w:val="001F3996"/>
    <w:rsid w:val="001F44A4"/>
    <w:rsid w:val="001F579D"/>
    <w:rsid w:val="001F65EF"/>
    <w:rsid w:val="001F697B"/>
    <w:rsid w:val="002005A6"/>
    <w:rsid w:val="002039F0"/>
    <w:rsid w:val="00204CBC"/>
    <w:rsid w:val="002051F1"/>
    <w:rsid w:val="002067BA"/>
    <w:rsid w:val="0021058D"/>
    <w:rsid w:val="00211E2F"/>
    <w:rsid w:val="00211E9E"/>
    <w:rsid w:val="00214FB4"/>
    <w:rsid w:val="00215940"/>
    <w:rsid w:val="00217C23"/>
    <w:rsid w:val="00220561"/>
    <w:rsid w:val="00220CE4"/>
    <w:rsid w:val="00222D9B"/>
    <w:rsid w:val="00223788"/>
    <w:rsid w:val="00223D11"/>
    <w:rsid w:val="002242D3"/>
    <w:rsid w:val="002301E6"/>
    <w:rsid w:val="00232F90"/>
    <w:rsid w:val="00233B08"/>
    <w:rsid w:val="00233C3B"/>
    <w:rsid w:val="002342EC"/>
    <w:rsid w:val="0023499C"/>
    <w:rsid w:val="00235CE3"/>
    <w:rsid w:val="0023636A"/>
    <w:rsid w:val="00236F34"/>
    <w:rsid w:val="002372F7"/>
    <w:rsid w:val="00237602"/>
    <w:rsid w:val="00240651"/>
    <w:rsid w:val="00240803"/>
    <w:rsid w:val="00242838"/>
    <w:rsid w:val="0024426D"/>
    <w:rsid w:val="00244F1D"/>
    <w:rsid w:val="00245004"/>
    <w:rsid w:val="00245FB4"/>
    <w:rsid w:val="00250898"/>
    <w:rsid w:val="00251EA9"/>
    <w:rsid w:val="00252843"/>
    <w:rsid w:val="002543F8"/>
    <w:rsid w:val="002551A4"/>
    <w:rsid w:val="002559F3"/>
    <w:rsid w:val="00256DFE"/>
    <w:rsid w:val="00261D56"/>
    <w:rsid w:val="00261FD3"/>
    <w:rsid w:val="00262F81"/>
    <w:rsid w:val="00264077"/>
    <w:rsid w:val="00266B9A"/>
    <w:rsid w:val="00270E54"/>
    <w:rsid w:val="00273681"/>
    <w:rsid w:val="002754B5"/>
    <w:rsid w:val="002764C5"/>
    <w:rsid w:val="002772AE"/>
    <w:rsid w:val="00280613"/>
    <w:rsid w:val="0028274D"/>
    <w:rsid w:val="00282B96"/>
    <w:rsid w:val="002833D6"/>
    <w:rsid w:val="00283F51"/>
    <w:rsid w:val="00284149"/>
    <w:rsid w:val="00286064"/>
    <w:rsid w:val="002867B1"/>
    <w:rsid w:val="00287BBB"/>
    <w:rsid w:val="00287E3B"/>
    <w:rsid w:val="00290638"/>
    <w:rsid w:val="00291763"/>
    <w:rsid w:val="00291D80"/>
    <w:rsid w:val="00293156"/>
    <w:rsid w:val="00293BE7"/>
    <w:rsid w:val="00293D4B"/>
    <w:rsid w:val="002946DC"/>
    <w:rsid w:val="002A0C82"/>
    <w:rsid w:val="002A0CD8"/>
    <w:rsid w:val="002A13EB"/>
    <w:rsid w:val="002A35EF"/>
    <w:rsid w:val="002A3DE0"/>
    <w:rsid w:val="002A40EA"/>
    <w:rsid w:val="002A46E8"/>
    <w:rsid w:val="002A491C"/>
    <w:rsid w:val="002B1FEF"/>
    <w:rsid w:val="002B2DF8"/>
    <w:rsid w:val="002B354F"/>
    <w:rsid w:val="002B3614"/>
    <w:rsid w:val="002B45D1"/>
    <w:rsid w:val="002B4ED8"/>
    <w:rsid w:val="002B4FAA"/>
    <w:rsid w:val="002B52C2"/>
    <w:rsid w:val="002B6866"/>
    <w:rsid w:val="002B7656"/>
    <w:rsid w:val="002C1492"/>
    <w:rsid w:val="002C1E8B"/>
    <w:rsid w:val="002C2EFE"/>
    <w:rsid w:val="002C53AA"/>
    <w:rsid w:val="002C56F1"/>
    <w:rsid w:val="002C5B2D"/>
    <w:rsid w:val="002C6AF9"/>
    <w:rsid w:val="002C7DFC"/>
    <w:rsid w:val="002D14F3"/>
    <w:rsid w:val="002D16E4"/>
    <w:rsid w:val="002D2FEF"/>
    <w:rsid w:val="002D36C2"/>
    <w:rsid w:val="002D3FCB"/>
    <w:rsid w:val="002D4FEF"/>
    <w:rsid w:val="002D502D"/>
    <w:rsid w:val="002D63F5"/>
    <w:rsid w:val="002D6E1A"/>
    <w:rsid w:val="002E036D"/>
    <w:rsid w:val="002E05D1"/>
    <w:rsid w:val="002E1517"/>
    <w:rsid w:val="002E1B22"/>
    <w:rsid w:val="002E387F"/>
    <w:rsid w:val="002E7F4B"/>
    <w:rsid w:val="002F0C91"/>
    <w:rsid w:val="002F0E3E"/>
    <w:rsid w:val="002F1B19"/>
    <w:rsid w:val="002F1FBF"/>
    <w:rsid w:val="002F4139"/>
    <w:rsid w:val="00300624"/>
    <w:rsid w:val="00300F56"/>
    <w:rsid w:val="00301006"/>
    <w:rsid w:val="00304A71"/>
    <w:rsid w:val="003066C8"/>
    <w:rsid w:val="0030739D"/>
    <w:rsid w:val="00307AFB"/>
    <w:rsid w:val="00311184"/>
    <w:rsid w:val="00312675"/>
    <w:rsid w:val="00314013"/>
    <w:rsid w:val="00314945"/>
    <w:rsid w:val="00315389"/>
    <w:rsid w:val="00315746"/>
    <w:rsid w:val="00315E96"/>
    <w:rsid w:val="00317FC8"/>
    <w:rsid w:val="003223D7"/>
    <w:rsid w:val="00323D9F"/>
    <w:rsid w:val="00324FDB"/>
    <w:rsid w:val="00325F48"/>
    <w:rsid w:val="003273FE"/>
    <w:rsid w:val="0033194F"/>
    <w:rsid w:val="00332304"/>
    <w:rsid w:val="00332406"/>
    <w:rsid w:val="00332D8D"/>
    <w:rsid w:val="00336B56"/>
    <w:rsid w:val="00341B25"/>
    <w:rsid w:val="00341EC0"/>
    <w:rsid w:val="0034240C"/>
    <w:rsid w:val="00344496"/>
    <w:rsid w:val="00345968"/>
    <w:rsid w:val="00347667"/>
    <w:rsid w:val="003507E2"/>
    <w:rsid w:val="003522B2"/>
    <w:rsid w:val="0035455E"/>
    <w:rsid w:val="00354A6F"/>
    <w:rsid w:val="00354B48"/>
    <w:rsid w:val="00354CB1"/>
    <w:rsid w:val="00355789"/>
    <w:rsid w:val="003609B6"/>
    <w:rsid w:val="00361119"/>
    <w:rsid w:val="0036538D"/>
    <w:rsid w:val="00365D12"/>
    <w:rsid w:val="0037018D"/>
    <w:rsid w:val="00372299"/>
    <w:rsid w:val="00372F02"/>
    <w:rsid w:val="00373729"/>
    <w:rsid w:val="00373C91"/>
    <w:rsid w:val="003748F0"/>
    <w:rsid w:val="003755C6"/>
    <w:rsid w:val="00375AEF"/>
    <w:rsid w:val="00376367"/>
    <w:rsid w:val="00376B02"/>
    <w:rsid w:val="0037733A"/>
    <w:rsid w:val="003776DC"/>
    <w:rsid w:val="003779C1"/>
    <w:rsid w:val="00380FEC"/>
    <w:rsid w:val="00381226"/>
    <w:rsid w:val="00381AC7"/>
    <w:rsid w:val="00381B1B"/>
    <w:rsid w:val="00381FF6"/>
    <w:rsid w:val="00383D7D"/>
    <w:rsid w:val="00384CCE"/>
    <w:rsid w:val="003865E5"/>
    <w:rsid w:val="003926C1"/>
    <w:rsid w:val="00392900"/>
    <w:rsid w:val="00393357"/>
    <w:rsid w:val="00395E7B"/>
    <w:rsid w:val="00395F4C"/>
    <w:rsid w:val="003A36D5"/>
    <w:rsid w:val="003A5DAC"/>
    <w:rsid w:val="003A6591"/>
    <w:rsid w:val="003A6E9A"/>
    <w:rsid w:val="003B08C8"/>
    <w:rsid w:val="003B2567"/>
    <w:rsid w:val="003B381A"/>
    <w:rsid w:val="003B4976"/>
    <w:rsid w:val="003B4B3F"/>
    <w:rsid w:val="003B6258"/>
    <w:rsid w:val="003B7A99"/>
    <w:rsid w:val="003C0343"/>
    <w:rsid w:val="003C1C32"/>
    <w:rsid w:val="003C40DA"/>
    <w:rsid w:val="003C42BA"/>
    <w:rsid w:val="003C462F"/>
    <w:rsid w:val="003C4A02"/>
    <w:rsid w:val="003C4F05"/>
    <w:rsid w:val="003C6191"/>
    <w:rsid w:val="003C61D3"/>
    <w:rsid w:val="003C6E49"/>
    <w:rsid w:val="003D0CBF"/>
    <w:rsid w:val="003D0DD6"/>
    <w:rsid w:val="003D4B73"/>
    <w:rsid w:val="003D503B"/>
    <w:rsid w:val="003D605E"/>
    <w:rsid w:val="003D61D1"/>
    <w:rsid w:val="003D6780"/>
    <w:rsid w:val="003D6FCB"/>
    <w:rsid w:val="003D79DA"/>
    <w:rsid w:val="003E0F84"/>
    <w:rsid w:val="003E1FF3"/>
    <w:rsid w:val="003E3ACA"/>
    <w:rsid w:val="003E50EA"/>
    <w:rsid w:val="003E68C7"/>
    <w:rsid w:val="003E79B0"/>
    <w:rsid w:val="003F0403"/>
    <w:rsid w:val="003F1094"/>
    <w:rsid w:val="003F2E45"/>
    <w:rsid w:val="003F3EFE"/>
    <w:rsid w:val="003F40B8"/>
    <w:rsid w:val="003F5C06"/>
    <w:rsid w:val="00400195"/>
    <w:rsid w:val="0040075B"/>
    <w:rsid w:val="0040254B"/>
    <w:rsid w:val="00403086"/>
    <w:rsid w:val="00403460"/>
    <w:rsid w:val="004040FF"/>
    <w:rsid w:val="00404284"/>
    <w:rsid w:val="004042C4"/>
    <w:rsid w:val="004049C0"/>
    <w:rsid w:val="00406E90"/>
    <w:rsid w:val="00410240"/>
    <w:rsid w:val="00412253"/>
    <w:rsid w:val="004142ED"/>
    <w:rsid w:val="0041634D"/>
    <w:rsid w:val="00416D8F"/>
    <w:rsid w:val="00417EF7"/>
    <w:rsid w:val="00422A7D"/>
    <w:rsid w:val="00422BFC"/>
    <w:rsid w:val="00424642"/>
    <w:rsid w:val="00425ABB"/>
    <w:rsid w:val="00425BB6"/>
    <w:rsid w:val="004261A0"/>
    <w:rsid w:val="004265AA"/>
    <w:rsid w:val="00426BC3"/>
    <w:rsid w:val="00426CE1"/>
    <w:rsid w:val="00427B53"/>
    <w:rsid w:val="00427D52"/>
    <w:rsid w:val="00430412"/>
    <w:rsid w:val="00430497"/>
    <w:rsid w:val="0043173B"/>
    <w:rsid w:val="00432A91"/>
    <w:rsid w:val="00432C1D"/>
    <w:rsid w:val="004332A4"/>
    <w:rsid w:val="0043453F"/>
    <w:rsid w:val="00434A74"/>
    <w:rsid w:val="00437929"/>
    <w:rsid w:val="00437A4A"/>
    <w:rsid w:val="00440541"/>
    <w:rsid w:val="0044162D"/>
    <w:rsid w:val="0044277A"/>
    <w:rsid w:val="004456DC"/>
    <w:rsid w:val="00447FBE"/>
    <w:rsid w:val="0045035E"/>
    <w:rsid w:val="0045175A"/>
    <w:rsid w:val="00451ED9"/>
    <w:rsid w:val="00452180"/>
    <w:rsid w:val="00453072"/>
    <w:rsid w:val="004539F8"/>
    <w:rsid w:val="00453F26"/>
    <w:rsid w:val="0045503F"/>
    <w:rsid w:val="00455273"/>
    <w:rsid w:val="00460905"/>
    <w:rsid w:val="00461E35"/>
    <w:rsid w:val="004621DB"/>
    <w:rsid w:val="004634A7"/>
    <w:rsid w:val="00463787"/>
    <w:rsid w:val="00466926"/>
    <w:rsid w:val="00466C60"/>
    <w:rsid w:val="00466FDA"/>
    <w:rsid w:val="004671D0"/>
    <w:rsid w:val="004674D1"/>
    <w:rsid w:val="00470773"/>
    <w:rsid w:val="00471FF9"/>
    <w:rsid w:val="00473E74"/>
    <w:rsid w:val="00473FEF"/>
    <w:rsid w:val="00475B8E"/>
    <w:rsid w:val="0048104E"/>
    <w:rsid w:val="004814BB"/>
    <w:rsid w:val="004815DA"/>
    <w:rsid w:val="00482458"/>
    <w:rsid w:val="004837ED"/>
    <w:rsid w:val="00483942"/>
    <w:rsid w:val="004843CE"/>
    <w:rsid w:val="00485142"/>
    <w:rsid w:val="004852A7"/>
    <w:rsid w:val="00486C17"/>
    <w:rsid w:val="00486DE2"/>
    <w:rsid w:val="00486FD5"/>
    <w:rsid w:val="00487117"/>
    <w:rsid w:val="00487A32"/>
    <w:rsid w:val="00487A91"/>
    <w:rsid w:val="004901E5"/>
    <w:rsid w:val="0049027D"/>
    <w:rsid w:val="004903D4"/>
    <w:rsid w:val="0049052B"/>
    <w:rsid w:val="00492457"/>
    <w:rsid w:val="004924A8"/>
    <w:rsid w:val="004934E9"/>
    <w:rsid w:val="00494737"/>
    <w:rsid w:val="00494D5C"/>
    <w:rsid w:val="00495A6A"/>
    <w:rsid w:val="004964F6"/>
    <w:rsid w:val="00496821"/>
    <w:rsid w:val="00497750"/>
    <w:rsid w:val="00497B44"/>
    <w:rsid w:val="004A00E5"/>
    <w:rsid w:val="004A01A7"/>
    <w:rsid w:val="004A0D09"/>
    <w:rsid w:val="004A116E"/>
    <w:rsid w:val="004A357F"/>
    <w:rsid w:val="004A3DAD"/>
    <w:rsid w:val="004B0335"/>
    <w:rsid w:val="004B0F1C"/>
    <w:rsid w:val="004B1E61"/>
    <w:rsid w:val="004B21AB"/>
    <w:rsid w:val="004B59E0"/>
    <w:rsid w:val="004B667B"/>
    <w:rsid w:val="004B71C7"/>
    <w:rsid w:val="004C03AA"/>
    <w:rsid w:val="004C0B9A"/>
    <w:rsid w:val="004C14E7"/>
    <w:rsid w:val="004C1D89"/>
    <w:rsid w:val="004C2A94"/>
    <w:rsid w:val="004C3DAB"/>
    <w:rsid w:val="004C5766"/>
    <w:rsid w:val="004C5F54"/>
    <w:rsid w:val="004C6E76"/>
    <w:rsid w:val="004C77DD"/>
    <w:rsid w:val="004C7826"/>
    <w:rsid w:val="004C7B33"/>
    <w:rsid w:val="004D1410"/>
    <w:rsid w:val="004D1478"/>
    <w:rsid w:val="004D19EE"/>
    <w:rsid w:val="004D1CF2"/>
    <w:rsid w:val="004D230D"/>
    <w:rsid w:val="004D2D3A"/>
    <w:rsid w:val="004D374D"/>
    <w:rsid w:val="004D3DEC"/>
    <w:rsid w:val="004D42C8"/>
    <w:rsid w:val="004D4F57"/>
    <w:rsid w:val="004D50F6"/>
    <w:rsid w:val="004D5A0D"/>
    <w:rsid w:val="004D7910"/>
    <w:rsid w:val="004D7DEA"/>
    <w:rsid w:val="004E0A28"/>
    <w:rsid w:val="004E1A0F"/>
    <w:rsid w:val="004E2E89"/>
    <w:rsid w:val="004E33C2"/>
    <w:rsid w:val="004E3B9A"/>
    <w:rsid w:val="004E49B0"/>
    <w:rsid w:val="004E62DE"/>
    <w:rsid w:val="004E6B05"/>
    <w:rsid w:val="004E76A1"/>
    <w:rsid w:val="004E7BA4"/>
    <w:rsid w:val="004F05DE"/>
    <w:rsid w:val="004F6376"/>
    <w:rsid w:val="004F6A93"/>
    <w:rsid w:val="004F6F14"/>
    <w:rsid w:val="004F76D9"/>
    <w:rsid w:val="004F79A6"/>
    <w:rsid w:val="00501BF5"/>
    <w:rsid w:val="00501D8B"/>
    <w:rsid w:val="00503A3E"/>
    <w:rsid w:val="00503F59"/>
    <w:rsid w:val="005049A7"/>
    <w:rsid w:val="005053B2"/>
    <w:rsid w:val="00506331"/>
    <w:rsid w:val="00507D11"/>
    <w:rsid w:val="00510662"/>
    <w:rsid w:val="005109B7"/>
    <w:rsid w:val="00510A19"/>
    <w:rsid w:val="00511AAB"/>
    <w:rsid w:val="00514D10"/>
    <w:rsid w:val="00516783"/>
    <w:rsid w:val="00517EF8"/>
    <w:rsid w:val="00520083"/>
    <w:rsid w:val="0052029E"/>
    <w:rsid w:val="0052076A"/>
    <w:rsid w:val="00520A2C"/>
    <w:rsid w:val="00520E25"/>
    <w:rsid w:val="0052183D"/>
    <w:rsid w:val="00522F44"/>
    <w:rsid w:val="0052360A"/>
    <w:rsid w:val="005242BA"/>
    <w:rsid w:val="005243B8"/>
    <w:rsid w:val="005252DD"/>
    <w:rsid w:val="00530A8D"/>
    <w:rsid w:val="00531C6D"/>
    <w:rsid w:val="00532EF4"/>
    <w:rsid w:val="005347CE"/>
    <w:rsid w:val="00535477"/>
    <w:rsid w:val="00535DEA"/>
    <w:rsid w:val="0053723A"/>
    <w:rsid w:val="00537636"/>
    <w:rsid w:val="00537B1D"/>
    <w:rsid w:val="00540191"/>
    <w:rsid w:val="00540A2A"/>
    <w:rsid w:val="00541F27"/>
    <w:rsid w:val="00542297"/>
    <w:rsid w:val="005424BC"/>
    <w:rsid w:val="00542A28"/>
    <w:rsid w:val="005441D4"/>
    <w:rsid w:val="0054672D"/>
    <w:rsid w:val="00550F4E"/>
    <w:rsid w:val="005532B5"/>
    <w:rsid w:val="00554A05"/>
    <w:rsid w:val="00555849"/>
    <w:rsid w:val="005559A8"/>
    <w:rsid w:val="00557048"/>
    <w:rsid w:val="00557FB5"/>
    <w:rsid w:val="00561AED"/>
    <w:rsid w:val="005648A8"/>
    <w:rsid w:val="00564DE3"/>
    <w:rsid w:val="00564E44"/>
    <w:rsid w:val="00566C6A"/>
    <w:rsid w:val="00566CE5"/>
    <w:rsid w:val="00566D36"/>
    <w:rsid w:val="00573569"/>
    <w:rsid w:val="00573871"/>
    <w:rsid w:val="0057389E"/>
    <w:rsid w:val="005765C0"/>
    <w:rsid w:val="005778DE"/>
    <w:rsid w:val="00580B3F"/>
    <w:rsid w:val="005825F2"/>
    <w:rsid w:val="005860AF"/>
    <w:rsid w:val="00587F1D"/>
    <w:rsid w:val="00590348"/>
    <w:rsid w:val="00591161"/>
    <w:rsid w:val="00592318"/>
    <w:rsid w:val="00593133"/>
    <w:rsid w:val="005934B4"/>
    <w:rsid w:val="0059575D"/>
    <w:rsid w:val="00596825"/>
    <w:rsid w:val="005A150A"/>
    <w:rsid w:val="005A2B3E"/>
    <w:rsid w:val="005A3644"/>
    <w:rsid w:val="005A4087"/>
    <w:rsid w:val="005A4B18"/>
    <w:rsid w:val="005A537E"/>
    <w:rsid w:val="005A6F43"/>
    <w:rsid w:val="005A767D"/>
    <w:rsid w:val="005B00F1"/>
    <w:rsid w:val="005B0CE7"/>
    <w:rsid w:val="005B10E2"/>
    <w:rsid w:val="005B1803"/>
    <w:rsid w:val="005B18C8"/>
    <w:rsid w:val="005B4079"/>
    <w:rsid w:val="005B428E"/>
    <w:rsid w:val="005B5B3C"/>
    <w:rsid w:val="005B64CB"/>
    <w:rsid w:val="005B65C0"/>
    <w:rsid w:val="005B6AAA"/>
    <w:rsid w:val="005B7554"/>
    <w:rsid w:val="005B7C78"/>
    <w:rsid w:val="005C0FB2"/>
    <w:rsid w:val="005C1169"/>
    <w:rsid w:val="005C16E2"/>
    <w:rsid w:val="005C24EF"/>
    <w:rsid w:val="005C2796"/>
    <w:rsid w:val="005C3C6C"/>
    <w:rsid w:val="005C3F4C"/>
    <w:rsid w:val="005C43AA"/>
    <w:rsid w:val="005C48C8"/>
    <w:rsid w:val="005C663C"/>
    <w:rsid w:val="005C7F55"/>
    <w:rsid w:val="005D1023"/>
    <w:rsid w:val="005D148F"/>
    <w:rsid w:val="005D2AD2"/>
    <w:rsid w:val="005D4A86"/>
    <w:rsid w:val="005D5EB1"/>
    <w:rsid w:val="005D6A29"/>
    <w:rsid w:val="005E0481"/>
    <w:rsid w:val="005E10BF"/>
    <w:rsid w:val="005E1834"/>
    <w:rsid w:val="005E49E5"/>
    <w:rsid w:val="005E5481"/>
    <w:rsid w:val="005E55E4"/>
    <w:rsid w:val="005E6C5F"/>
    <w:rsid w:val="005E7636"/>
    <w:rsid w:val="005F028E"/>
    <w:rsid w:val="005F04B4"/>
    <w:rsid w:val="005F11A4"/>
    <w:rsid w:val="005F19F8"/>
    <w:rsid w:val="005F3A40"/>
    <w:rsid w:val="005F3FB1"/>
    <w:rsid w:val="005F5ACF"/>
    <w:rsid w:val="005F60DC"/>
    <w:rsid w:val="006000DD"/>
    <w:rsid w:val="00600F63"/>
    <w:rsid w:val="006012E1"/>
    <w:rsid w:val="00602253"/>
    <w:rsid w:val="006023E1"/>
    <w:rsid w:val="006036BB"/>
    <w:rsid w:val="00605531"/>
    <w:rsid w:val="00606240"/>
    <w:rsid w:val="0060674A"/>
    <w:rsid w:val="00607832"/>
    <w:rsid w:val="0060784B"/>
    <w:rsid w:val="00610254"/>
    <w:rsid w:val="006105FB"/>
    <w:rsid w:val="00610F94"/>
    <w:rsid w:val="00611293"/>
    <w:rsid w:val="0061135E"/>
    <w:rsid w:val="0061263A"/>
    <w:rsid w:val="00612C41"/>
    <w:rsid w:val="006145DE"/>
    <w:rsid w:val="0061478E"/>
    <w:rsid w:val="00614F25"/>
    <w:rsid w:val="00616A11"/>
    <w:rsid w:val="00616B9B"/>
    <w:rsid w:val="00617520"/>
    <w:rsid w:val="00620D7C"/>
    <w:rsid w:val="00621089"/>
    <w:rsid w:val="00621E1F"/>
    <w:rsid w:val="006228B2"/>
    <w:rsid w:val="006228E1"/>
    <w:rsid w:val="00622E32"/>
    <w:rsid w:val="00623688"/>
    <w:rsid w:val="006247E0"/>
    <w:rsid w:val="00625F82"/>
    <w:rsid w:val="00627999"/>
    <w:rsid w:val="00630FF7"/>
    <w:rsid w:val="00633433"/>
    <w:rsid w:val="006341B5"/>
    <w:rsid w:val="006346C9"/>
    <w:rsid w:val="00634727"/>
    <w:rsid w:val="00634B64"/>
    <w:rsid w:val="0063578C"/>
    <w:rsid w:val="0063642C"/>
    <w:rsid w:val="0063681E"/>
    <w:rsid w:val="00636FF9"/>
    <w:rsid w:val="00640DCD"/>
    <w:rsid w:val="00641DC3"/>
    <w:rsid w:val="00642972"/>
    <w:rsid w:val="00644F4D"/>
    <w:rsid w:val="006469B1"/>
    <w:rsid w:val="00646C0D"/>
    <w:rsid w:val="006476F7"/>
    <w:rsid w:val="0064779E"/>
    <w:rsid w:val="006501FA"/>
    <w:rsid w:val="006509B0"/>
    <w:rsid w:val="006521F3"/>
    <w:rsid w:val="006524D5"/>
    <w:rsid w:val="00652BBD"/>
    <w:rsid w:val="00653633"/>
    <w:rsid w:val="00653F69"/>
    <w:rsid w:val="00654936"/>
    <w:rsid w:val="00655485"/>
    <w:rsid w:val="006558B3"/>
    <w:rsid w:val="00660BF0"/>
    <w:rsid w:val="0066189C"/>
    <w:rsid w:val="006630CF"/>
    <w:rsid w:val="00663EFF"/>
    <w:rsid w:val="00665C07"/>
    <w:rsid w:val="00666F74"/>
    <w:rsid w:val="00667FEA"/>
    <w:rsid w:val="006710D2"/>
    <w:rsid w:val="00671A8B"/>
    <w:rsid w:val="00671F53"/>
    <w:rsid w:val="006725A0"/>
    <w:rsid w:val="0067555E"/>
    <w:rsid w:val="00677FAD"/>
    <w:rsid w:val="006802DE"/>
    <w:rsid w:val="0068032D"/>
    <w:rsid w:val="0068068C"/>
    <w:rsid w:val="00681115"/>
    <w:rsid w:val="006827BF"/>
    <w:rsid w:val="00683920"/>
    <w:rsid w:val="00685147"/>
    <w:rsid w:val="00685653"/>
    <w:rsid w:val="0068590D"/>
    <w:rsid w:val="00685A89"/>
    <w:rsid w:val="006861B3"/>
    <w:rsid w:val="00686FA2"/>
    <w:rsid w:val="006870C5"/>
    <w:rsid w:val="0069070B"/>
    <w:rsid w:val="00690F0E"/>
    <w:rsid w:val="006911C0"/>
    <w:rsid w:val="00691B7C"/>
    <w:rsid w:val="00694B73"/>
    <w:rsid w:val="00694DF2"/>
    <w:rsid w:val="00695F80"/>
    <w:rsid w:val="006966CD"/>
    <w:rsid w:val="00696735"/>
    <w:rsid w:val="0069780E"/>
    <w:rsid w:val="00697D13"/>
    <w:rsid w:val="006A2CA2"/>
    <w:rsid w:val="006A591C"/>
    <w:rsid w:val="006B1329"/>
    <w:rsid w:val="006B2D40"/>
    <w:rsid w:val="006B34DF"/>
    <w:rsid w:val="006B39B2"/>
    <w:rsid w:val="006B3AF9"/>
    <w:rsid w:val="006B45A0"/>
    <w:rsid w:val="006B5668"/>
    <w:rsid w:val="006B5F71"/>
    <w:rsid w:val="006B6E44"/>
    <w:rsid w:val="006B7059"/>
    <w:rsid w:val="006B7287"/>
    <w:rsid w:val="006B7F2E"/>
    <w:rsid w:val="006C0BF8"/>
    <w:rsid w:val="006C2253"/>
    <w:rsid w:val="006C2CCB"/>
    <w:rsid w:val="006C4334"/>
    <w:rsid w:val="006C4B0F"/>
    <w:rsid w:val="006C5E96"/>
    <w:rsid w:val="006D399F"/>
    <w:rsid w:val="006D4F0C"/>
    <w:rsid w:val="006D5645"/>
    <w:rsid w:val="006E0C8A"/>
    <w:rsid w:val="006E2A23"/>
    <w:rsid w:val="006E35E5"/>
    <w:rsid w:val="006E3C72"/>
    <w:rsid w:val="006E4F20"/>
    <w:rsid w:val="006E649A"/>
    <w:rsid w:val="006E73BD"/>
    <w:rsid w:val="006F08DC"/>
    <w:rsid w:val="006F3948"/>
    <w:rsid w:val="006F4403"/>
    <w:rsid w:val="006F45EC"/>
    <w:rsid w:val="006F47B8"/>
    <w:rsid w:val="006F47D2"/>
    <w:rsid w:val="006F4B04"/>
    <w:rsid w:val="006F5456"/>
    <w:rsid w:val="006F57F2"/>
    <w:rsid w:val="006F6468"/>
    <w:rsid w:val="006F7694"/>
    <w:rsid w:val="00700247"/>
    <w:rsid w:val="00701051"/>
    <w:rsid w:val="007021C2"/>
    <w:rsid w:val="00702502"/>
    <w:rsid w:val="007033A8"/>
    <w:rsid w:val="0070421B"/>
    <w:rsid w:val="007043F0"/>
    <w:rsid w:val="0070482E"/>
    <w:rsid w:val="00704D25"/>
    <w:rsid w:val="00710519"/>
    <w:rsid w:val="00710F6E"/>
    <w:rsid w:val="00711663"/>
    <w:rsid w:val="007116B4"/>
    <w:rsid w:val="00712580"/>
    <w:rsid w:val="007133E4"/>
    <w:rsid w:val="00713788"/>
    <w:rsid w:val="00713940"/>
    <w:rsid w:val="007151A2"/>
    <w:rsid w:val="00716774"/>
    <w:rsid w:val="007209DD"/>
    <w:rsid w:val="00722E49"/>
    <w:rsid w:val="00723A08"/>
    <w:rsid w:val="00723B5C"/>
    <w:rsid w:val="00724391"/>
    <w:rsid w:val="00724C18"/>
    <w:rsid w:val="00726630"/>
    <w:rsid w:val="00727A79"/>
    <w:rsid w:val="00727F73"/>
    <w:rsid w:val="00730705"/>
    <w:rsid w:val="00730944"/>
    <w:rsid w:val="00731D88"/>
    <w:rsid w:val="0073248E"/>
    <w:rsid w:val="00733EE9"/>
    <w:rsid w:val="00735B8E"/>
    <w:rsid w:val="0073673C"/>
    <w:rsid w:val="00736935"/>
    <w:rsid w:val="00743DE7"/>
    <w:rsid w:val="0074509E"/>
    <w:rsid w:val="00745B9F"/>
    <w:rsid w:val="0074726F"/>
    <w:rsid w:val="0075015C"/>
    <w:rsid w:val="00752D4F"/>
    <w:rsid w:val="0075409F"/>
    <w:rsid w:val="0075525A"/>
    <w:rsid w:val="00755609"/>
    <w:rsid w:val="00755986"/>
    <w:rsid w:val="00755C86"/>
    <w:rsid w:val="00755E19"/>
    <w:rsid w:val="00756BFF"/>
    <w:rsid w:val="00756D77"/>
    <w:rsid w:val="00760041"/>
    <w:rsid w:val="007605C7"/>
    <w:rsid w:val="00760B08"/>
    <w:rsid w:val="00760EDA"/>
    <w:rsid w:val="00761F4E"/>
    <w:rsid w:val="00762150"/>
    <w:rsid w:val="00762621"/>
    <w:rsid w:val="00763F36"/>
    <w:rsid w:val="007648A0"/>
    <w:rsid w:val="00766F4D"/>
    <w:rsid w:val="00770268"/>
    <w:rsid w:val="007706B9"/>
    <w:rsid w:val="007707ED"/>
    <w:rsid w:val="00771C3B"/>
    <w:rsid w:val="007726F9"/>
    <w:rsid w:val="00773B94"/>
    <w:rsid w:val="00773C65"/>
    <w:rsid w:val="00775937"/>
    <w:rsid w:val="00777046"/>
    <w:rsid w:val="007770DA"/>
    <w:rsid w:val="007805B9"/>
    <w:rsid w:val="00780C3A"/>
    <w:rsid w:val="007834A1"/>
    <w:rsid w:val="00791EB4"/>
    <w:rsid w:val="007928F1"/>
    <w:rsid w:val="0079357D"/>
    <w:rsid w:val="007937CC"/>
    <w:rsid w:val="00793A31"/>
    <w:rsid w:val="00794979"/>
    <w:rsid w:val="007956B7"/>
    <w:rsid w:val="00795F1A"/>
    <w:rsid w:val="00796EDE"/>
    <w:rsid w:val="00797297"/>
    <w:rsid w:val="007974B3"/>
    <w:rsid w:val="00797875"/>
    <w:rsid w:val="007A076C"/>
    <w:rsid w:val="007A2140"/>
    <w:rsid w:val="007A23E2"/>
    <w:rsid w:val="007A31A5"/>
    <w:rsid w:val="007A411B"/>
    <w:rsid w:val="007A45E6"/>
    <w:rsid w:val="007A4B28"/>
    <w:rsid w:val="007A5C2C"/>
    <w:rsid w:val="007A7678"/>
    <w:rsid w:val="007B0CD8"/>
    <w:rsid w:val="007B0DE0"/>
    <w:rsid w:val="007B21DE"/>
    <w:rsid w:val="007B2BB9"/>
    <w:rsid w:val="007B43E8"/>
    <w:rsid w:val="007B4740"/>
    <w:rsid w:val="007B502C"/>
    <w:rsid w:val="007B5F3B"/>
    <w:rsid w:val="007C02B0"/>
    <w:rsid w:val="007C063E"/>
    <w:rsid w:val="007C1901"/>
    <w:rsid w:val="007C3918"/>
    <w:rsid w:val="007C49C0"/>
    <w:rsid w:val="007C55C1"/>
    <w:rsid w:val="007C5738"/>
    <w:rsid w:val="007C5772"/>
    <w:rsid w:val="007C5AC3"/>
    <w:rsid w:val="007C7233"/>
    <w:rsid w:val="007D10EE"/>
    <w:rsid w:val="007D1193"/>
    <w:rsid w:val="007D21D5"/>
    <w:rsid w:val="007D3E8D"/>
    <w:rsid w:val="007D3EC2"/>
    <w:rsid w:val="007D5915"/>
    <w:rsid w:val="007D5B4F"/>
    <w:rsid w:val="007D5C30"/>
    <w:rsid w:val="007E0660"/>
    <w:rsid w:val="007E1411"/>
    <w:rsid w:val="007E1882"/>
    <w:rsid w:val="007E1BB4"/>
    <w:rsid w:val="007E3514"/>
    <w:rsid w:val="007E4AAA"/>
    <w:rsid w:val="007E4BD2"/>
    <w:rsid w:val="007E4C29"/>
    <w:rsid w:val="007E5E44"/>
    <w:rsid w:val="007F0DDA"/>
    <w:rsid w:val="007F1939"/>
    <w:rsid w:val="007F365C"/>
    <w:rsid w:val="007F5066"/>
    <w:rsid w:val="007F621C"/>
    <w:rsid w:val="007F7155"/>
    <w:rsid w:val="00800C28"/>
    <w:rsid w:val="0080245E"/>
    <w:rsid w:val="00803480"/>
    <w:rsid w:val="0080359C"/>
    <w:rsid w:val="008037AE"/>
    <w:rsid w:val="008043F4"/>
    <w:rsid w:val="00804BB4"/>
    <w:rsid w:val="00805D9F"/>
    <w:rsid w:val="00807A4D"/>
    <w:rsid w:val="00807F30"/>
    <w:rsid w:val="008103DC"/>
    <w:rsid w:val="0081119F"/>
    <w:rsid w:val="0081134D"/>
    <w:rsid w:val="00811EDA"/>
    <w:rsid w:val="00812403"/>
    <w:rsid w:val="00812FD7"/>
    <w:rsid w:val="00820623"/>
    <w:rsid w:val="00821747"/>
    <w:rsid w:val="008229A3"/>
    <w:rsid w:val="00822DFB"/>
    <w:rsid w:val="00822F64"/>
    <w:rsid w:val="00824EAF"/>
    <w:rsid w:val="008253A6"/>
    <w:rsid w:val="00825A6B"/>
    <w:rsid w:val="00825C50"/>
    <w:rsid w:val="00826577"/>
    <w:rsid w:val="00827439"/>
    <w:rsid w:val="00827C79"/>
    <w:rsid w:val="0083003F"/>
    <w:rsid w:val="00831077"/>
    <w:rsid w:val="00831A4A"/>
    <w:rsid w:val="00832134"/>
    <w:rsid w:val="0083219E"/>
    <w:rsid w:val="0083497C"/>
    <w:rsid w:val="008352A6"/>
    <w:rsid w:val="00835B5B"/>
    <w:rsid w:val="008367AE"/>
    <w:rsid w:val="00836E50"/>
    <w:rsid w:val="00840477"/>
    <w:rsid w:val="0084121D"/>
    <w:rsid w:val="00841707"/>
    <w:rsid w:val="008419C1"/>
    <w:rsid w:val="00843777"/>
    <w:rsid w:val="00844515"/>
    <w:rsid w:val="0084465A"/>
    <w:rsid w:val="00844DFF"/>
    <w:rsid w:val="00845D87"/>
    <w:rsid w:val="00846C3A"/>
    <w:rsid w:val="008477BF"/>
    <w:rsid w:val="008503DA"/>
    <w:rsid w:val="00850B68"/>
    <w:rsid w:val="00850E82"/>
    <w:rsid w:val="0085122D"/>
    <w:rsid w:val="008519E8"/>
    <w:rsid w:val="008525FF"/>
    <w:rsid w:val="00852C03"/>
    <w:rsid w:val="0085590C"/>
    <w:rsid w:val="008575EB"/>
    <w:rsid w:val="00862DDD"/>
    <w:rsid w:val="0086326D"/>
    <w:rsid w:val="00863CC1"/>
    <w:rsid w:val="00865B01"/>
    <w:rsid w:val="00866D7A"/>
    <w:rsid w:val="00866EE3"/>
    <w:rsid w:val="008701E5"/>
    <w:rsid w:val="0087077A"/>
    <w:rsid w:val="00871F04"/>
    <w:rsid w:val="008746C1"/>
    <w:rsid w:val="00880224"/>
    <w:rsid w:val="0088244C"/>
    <w:rsid w:val="00883367"/>
    <w:rsid w:val="00884C47"/>
    <w:rsid w:val="00885E6F"/>
    <w:rsid w:val="008861AC"/>
    <w:rsid w:val="008868E4"/>
    <w:rsid w:val="00886A60"/>
    <w:rsid w:val="0088759B"/>
    <w:rsid w:val="008909B4"/>
    <w:rsid w:val="008922E8"/>
    <w:rsid w:val="00893916"/>
    <w:rsid w:val="0089442C"/>
    <w:rsid w:val="00895818"/>
    <w:rsid w:val="008A2585"/>
    <w:rsid w:val="008A2718"/>
    <w:rsid w:val="008A4CF6"/>
    <w:rsid w:val="008A4E42"/>
    <w:rsid w:val="008A51AA"/>
    <w:rsid w:val="008A6A12"/>
    <w:rsid w:val="008B0DC6"/>
    <w:rsid w:val="008B2B9E"/>
    <w:rsid w:val="008B31F5"/>
    <w:rsid w:val="008B4C79"/>
    <w:rsid w:val="008B5D2D"/>
    <w:rsid w:val="008B6361"/>
    <w:rsid w:val="008C0320"/>
    <w:rsid w:val="008C2A81"/>
    <w:rsid w:val="008C3863"/>
    <w:rsid w:val="008C4BDC"/>
    <w:rsid w:val="008C50FF"/>
    <w:rsid w:val="008C5435"/>
    <w:rsid w:val="008C6BD1"/>
    <w:rsid w:val="008D2DB5"/>
    <w:rsid w:val="008D3F10"/>
    <w:rsid w:val="008D611D"/>
    <w:rsid w:val="008E1B6A"/>
    <w:rsid w:val="008E3054"/>
    <w:rsid w:val="008E32FF"/>
    <w:rsid w:val="008E5625"/>
    <w:rsid w:val="008E5C5B"/>
    <w:rsid w:val="008E6A37"/>
    <w:rsid w:val="008F0354"/>
    <w:rsid w:val="008F085A"/>
    <w:rsid w:val="008F1462"/>
    <w:rsid w:val="008F2413"/>
    <w:rsid w:val="008F248D"/>
    <w:rsid w:val="008F4B2C"/>
    <w:rsid w:val="008F4C08"/>
    <w:rsid w:val="008F6851"/>
    <w:rsid w:val="008F7BC4"/>
    <w:rsid w:val="00900E7A"/>
    <w:rsid w:val="00903E11"/>
    <w:rsid w:val="00903EBE"/>
    <w:rsid w:val="009041DE"/>
    <w:rsid w:val="00905D59"/>
    <w:rsid w:val="009062CA"/>
    <w:rsid w:val="00906457"/>
    <w:rsid w:val="00907631"/>
    <w:rsid w:val="00907776"/>
    <w:rsid w:val="00913401"/>
    <w:rsid w:val="00913567"/>
    <w:rsid w:val="009137B6"/>
    <w:rsid w:val="00915EBA"/>
    <w:rsid w:val="00917093"/>
    <w:rsid w:val="0092030E"/>
    <w:rsid w:val="009217B1"/>
    <w:rsid w:val="00921A42"/>
    <w:rsid w:val="009223BB"/>
    <w:rsid w:val="00922491"/>
    <w:rsid w:val="00923BCF"/>
    <w:rsid w:val="009252EC"/>
    <w:rsid w:val="00925AEC"/>
    <w:rsid w:val="0092751A"/>
    <w:rsid w:val="009305C4"/>
    <w:rsid w:val="00931FAF"/>
    <w:rsid w:val="009360F6"/>
    <w:rsid w:val="009371DC"/>
    <w:rsid w:val="0093759D"/>
    <w:rsid w:val="00940239"/>
    <w:rsid w:val="00942BD6"/>
    <w:rsid w:val="00942DED"/>
    <w:rsid w:val="00944404"/>
    <w:rsid w:val="009452D7"/>
    <w:rsid w:val="00945FD1"/>
    <w:rsid w:val="00946CCC"/>
    <w:rsid w:val="009503E5"/>
    <w:rsid w:val="00950F71"/>
    <w:rsid w:val="00952F2C"/>
    <w:rsid w:val="009532E3"/>
    <w:rsid w:val="00953615"/>
    <w:rsid w:val="00954BAF"/>
    <w:rsid w:val="00955F48"/>
    <w:rsid w:val="009560B3"/>
    <w:rsid w:val="0095745E"/>
    <w:rsid w:val="00957CE0"/>
    <w:rsid w:val="0096002E"/>
    <w:rsid w:val="0096039E"/>
    <w:rsid w:val="00962CEF"/>
    <w:rsid w:val="00963766"/>
    <w:rsid w:val="00963FDF"/>
    <w:rsid w:val="00964C32"/>
    <w:rsid w:val="0096528F"/>
    <w:rsid w:val="009653F2"/>
    <w:rsid w:val="009661DF"/>
    <w:rsid w:val="009667BD"/>
    <w:rsid w:val="00967CE2"/>
    <w:rsid w:val="00971DA3"/>
    <w:rsid w:val="00972161"/>
    <w:rsid w:val="0097261B"/>
    <w:rsid w:val="00974881"/>
    <w:rsid w:val="00974A21"/>
    <w:rsid w:val="0097606C"/>
    <w:rsid w:val="009771D1"/>
    <w:rsid w:val="0098012D"/>
    <w:rsid w:val="00980845"/>
    <w:rsid w:val="00981BD9"/>
    <w:rsid w:val="0098225F"/>
    <w:rsid w:val="00983A3C"/>
    <w:rsid w:val="00983EFA"/>
    <w:rsid w:val="00984C15"/>
    <w:rsid w:val="00987829"/>
    <w:rsid w:val="00990FF9"/>
    <w:rsid w:val="00991276"/>
    <w:rsid w:val="009923E7"/>
    <w:rsid w:val="00992697"/>
    <w:rsid w:val="00992D4E"/>
    <w:rsid w:val="00994621"/>
    <w:rsid w:val="009947FF"/>
    <w:rsid w:val="0099544B"/>
    <w:rsid w:val="009A053D"/>
    <w:rsid w:val="009A07A6"/>
    <w:rsid w:val="009A0D56"/>
    <w:rsid w:val="009A2624"/>
    <w:rsid w:val="009A31B9"/>
    <w:rsid w:val="009A4D4F"/>
    <w:rsid w:val="009A53D8"/>
    <w:rsid w:val="009A597F"/>
    <w:rsid w:val="009A6578"/>
    <w:rsid w:val="009A7B72"/>
    <w:rsid w:val="009A7F49"/>
    <w:rsid w:val="009B03C4"/>
    <w:rsid w:val="009B0AA2"/>
    <w:rsid w:val="009B1D02"/>
    <w:rsid w:val="009B7133"/>
    <w:rsid w:val="009B7658"/>
    <w:rsid w:val="009B7CD1"/>
    <w:rsid w:val="009B7E22"/>
    <w:rsid w:val="009B7E78"/>
    <w:rsid w:val="009C10FE"/>
    <w:rsid w:val="009C13BC"/>
    <w:rsid w:val="009C1CA4"/>
    <w:rsid w:val="009C2532"/>
    <w:rsid w:val="009C2BA4"/>
    <w:rsid w:val="009C6091"/>
    <w:rsid w:val="009C634F"/>
    <w:rsid w:val="009C6CE1"/>
    <w:rsid w:val="009D0219"/>
    <w:rsid w:val="009D0D55"/>
    <w:rsid w:val="009D2295"/>
    <w:rsid w:val="009D2511"/>
    <w:rsid w:val="009D3E7C"/>
    <w:rsid w:val="009D55CA"/>
    <w:rsid w:val="009D5EF0"/>
    <w:rsid w:val="009D6401"/>
    <w:rsid w:val="009E0711"/>
    <w:rsid w:val="009E1917"/>
    <w:rsid w:val="009E2FDB"/>
    <w:rsid w:val="009E3594"/>
    <w:rsid w:val="009E6B77"/>
    <w:rsid w:val="009E7724"/>
    <w:rsid w:val="009E7D1F"/>
    <w:rsid w:val="009F1D82"/>
    <w:rsid w:val="009F37AA"/>
    <w:rsid w:val="009F544C"/>
    <w:rsid w:val="009F5731"/>
    <w:rsid w:val="009F6321"/>
    <w:rsid w:val="009F6378"/>
    <w:rsid w:val="009F7669"/>
    <w:rsid w:val="009F7F45"/>
    <w:rsid w:val="009F7FD5"/>
    <w:rsid w:val="00A005D4"/>
    <w:rsid w:val="00A0083C"/>
    <w:rsid w:val="00A01A90"/>
    <w:rsid w:val="00A02370"/>
    <w:rsid w:val="00A04685"/>
    <w:rsid w:val="00A046EF"/>
    <w:rsid w:val="00A04C57"/>
    <w:rsid w:val="00A06340"/>
    <w:rsid w:val="00A0684F"/>
    <w:rsid w:val="00A06867"/>
    <w:rsid w:val="00A10148"/>
    <w:rsid w:val="00A10776"/>
    <w:rsid w:val="00A113FD"/>
    <w:rsid w:val="00A11DDE"/>
    <w:rsid w:val="00A127A7"/>
    <w:rsid w:val="00A129F4"/>
    <w:rsid w:val="00A136F4"/>
    <w:rsid w:val="00A160D3"/>
    <w:rsid w:val="00A16DC9"/>
    <w:rsid w:val="00A20225"/>
    <w:rsid w:val="00A24269"/>
    <w:rsid w:val="00A243E4"/>
    <w:rsid w:val="00A25ED4"/>
    <w:rsid w:val="00A26C5C"/>
    <w:rsid w:val="00A30BDE"/>
    <w:rsid w:val="00A3131C"/>
    <w:rsid w:val="00A31F14"/>
    <w:rsid w:val="00A324DC"/>
    <w:rsid w:val="00A32B5A"/>
    <w:rsid w:val="00A33CCC"/>
    <w:rsid w:val="00A33ECB"/>
    <w:rsid w:val="00A34DE0"/>
    <w:rsid w:val="00A35728"/>
    <w:rsid w:val="00A36EE3"/>
    <w:rsid w:val="00A37435"/>
    <w:rsid w:val="00A4173D"/>
    <w:rsid w:val="00A41A95"/>
    <w:rsid w:val="00A4248B"/>
    <w:rsid w:val="00A4376E"/>
    <w:rsid w:val="00A4572B"/>
    <w:rsid w:val="00A46246"/>
    <w:rsid w:val="00A46349"/>
    <w:rsid w:val="00A46D5E"/>
    <w:rsid w:val="00A50847"/>
    <w:rsid w:val="00A512C7"/>
    <w:rsid w:val="00A54BFF"/>
    <w:rsid w:val="00A54C63"/>
    <w:rsid w:val="00A54FBB"/>
    <w:rsid w:val="00A55BB1"/>
    <w:rsid w:val="00A55FD6"/>
    <w:rsid w:val="00A5619C"/>
    <w:rsid w:val="00A564CD"/>
    <w:rsid w:val="00A564CE"/>
    <w:rsid w:val="00A5675F"/>
    <w:rsid w:val="00A60D6F"/>
    <w:rsid w:val="00A61009"/>
    <w:rsid w:val="00A61762"/>
    <w:rsid w:val="00A61938"/>
    <w:rsid w:val="00A61CFD"/>
    <w:rsid w:val="00A62B86"/>
    <w:rsid w:val="00A63C96"/>
    <w:rsid w:val="00A65805"/>
    <w:rsid w:val="00A66BEE"/>
    <w:rsid w:val="00A671C9"/>
    <w:rsid w:val="00A67DFD"/>
    <w:rsid w:val="00A74F9F"/>
    <w:rsid w:val="00A750B3"/>
    <w:rsid w:val="00A75559"/>
    <w:rsid w:val="00A7623D"/>
    <w:rsid w:val="00A824A7"/>
    <w:rsid w:val="00A83644"/>
    <w:rsid w:val="00A83C07"/>
    <w:rsid w:val="00A83F40"/>
    <w:rsid w:val="00A84945"/>
    <w:rsid w:val="00A85543"/>
    <w:rsid w:val="00A8728B"/>
    <w:rsid w:val="00A91682"/>
    <w:rsid w:val="00A92E4A"/>
    <w:rsid w:val="00A958CA"/>
    <w:rsid w:val="00A96324"/>
    <w:rsid w:val="00A966B6"/>
    <w:rsid w:val="00A96B46"/>
    <w:rsid w:val="00AA003B"/>
    <w:rsid w:val="00AA016B"/>
    <w:rsid w:val="00AA15DD"/>
    <w:rsid w:val="00AA1C09"/>
    <w:rsid w:val="00AA2F67"/>
    <w:rsid w:val="00AA3569"/>
    <w:rsid w:val="00AA5F4C"/>
    <w:rsid w:val="00AA615C"/>
    <w:rsid w:val="00AA6711"/>
    <w:rsid w:val="00AB2AEC"/>
    <w:rsid w:val="00AB2DC1"/>
    <w:rsid w:val="00AB3102"/>
    <w:rsid w:val="00AB3D9A"/>
    <w:rsid w:val="00AB4B1D"/>
    <w:rsid w:val="00AB6B5E"/>
    <w:rsid w:val="00AC047F"/>
    <w:rsid w:val="00AC3934"/>
    <w:rsid w:val="00AC50C8"/>
    <w:rsid w:val="00AC5581"/>
    <w:rsid w:val="00AC56AD"/>
    <w:rsid w:val="00AC61BE"/>
    <w:rsid w:val="00AD0B9C"/>
    <w:rsid w:val="00AD0CB4"/>
    <w:rsid w:val="00AD1FF2"/>
    <w:rsid w:val="00AD2A21"/>
    <w:rsid w:val="00AD3B43"/>
    <w:rsid w:val="00AD4FF2"/>
    <w:rsid w:val="00AD506C"/>
    <w:rsid w:val="00AD6BE5"/>
    <w:rsid w:val="00AD7675"/>
    <w:rsid w:val="00AD783E"/>
    <w:rsid w:val="00AE1393"/>
    <w:rsid w:val="00AE3BC6"/>
    <w:rsid w:val="00AE4D4F"/>
    <w:rsid w:val="00AE627C"/>
    <w:rsid w:val="00AE62B0"/>
    <w:rsid w:val="00AE68A2"/>
    <w:rsid w:val="00AF0029"/>
    <w:rsid w:val="00AF0354"/>
    <w:rsid w:val="00AF1236"/>
    <w:rsid w:val="00AF3C29"/>
    <w:rsid w:val="00AF4401"/>
    <w:rsid w:val="00AF4463"/>
    <w:rsid w:val="00AF53CB"/>
    <w:rsid w:val="00AF65C5"/>
    <w:rsid w:val="00B039C1"/>
    <w:rsid w:val="00B03CE2"/>
    <w:rsid w:val="00B06544"/>
    <w:rsid w:val="00B105F2"/>
    <w:rsid w:val="00B10991"/>
    <w:rsid w:val="00B12128"/>
    <w:rsid w:val="00B12945"/>
    <w:rsid w:val="00B12C1E"/>
    <w:rsid w:val="00B155DF"/>
    <w:rsid w:val="00B156CF"/>
    <w:rsid w:val="00B1570E"/>
    <w:rsid w:val="00B15999"/>
    <w:rsid w:val="00B176B9"/>
    <w:rsid w:val="00B17AD5"/>
    <w:rsid w:val="00B17DC8"/>
    <w:rsid w:val="00B17E1E"/>
    <w:rsid w:val="00B207F1"/>
    <w:rsid w:val="00B20A42"/>
    <w:rsid w:val="00B20BDE"/>
    <w:rsid w:val="00B20C41"/>
    <w:rsid w:val="00B2138D"/>
    <w:rsid w:val="00B21768"/>
    <w:rsid w:val="00B23F86"/>
    <w:rsid w:val="00B248A0"/>
    <w:rsid w:val="00B24B42"/>
    <w:rsid w:val="00B24DC6"/>
    <w:rsid w:val="00B24E30"/>
    <w:rsid w:val="00B258F3"/>
    <w:rsid w:val="00B2659C"/>
    <w:rsid w:val="00B26B13"/>
    <w:rsid w:val="00B26BD2"/>
    <w:rsid w:val="00B26FD7"/>
    <w:rsid w:val="00B270AB"/>
    <w:rsid w:val="00B2725B"/>
    <w:rsid w:val="00B306FC"/>
    <w:rsid w:val="00B309D2"/>
    <w:rsid w:val="00B30E4F"/>
    <w:rsid w:val="00B3124F"/>
    <w:rsid w:val="00B33294"/>
    <w:rsid w:val="00B33657"/>
    <w:rsid w:val="00B34885"/>
    <w:rsid w:val="00B34D68"/>
    <w:rsid w:val="00B36117"/>
    <w:rsid w:val="00B362E3"/>
    <w:rsid w:val="00B37C73"/>
    <w:rsid w:val="00B4009B"/>
    <w:rsid w:val="00B400A1"/>
    <w:rsid w:val="00B40A2B"/>
    <w:rsid w:val="00B420CB"/>
    <w:rsid w:val="00B42A10"/>
    <w:rsid w:val="00B4401C"/>
    <w:rsid w:val="00B44802"/>
    <w:rsid w:val="00B455D1"/>
    <w:rsid w:val="00B46135"/>
    <w:rsid w:val="00B472AB"/>
    <w:rsid w:val="00B47CE4"/>
    <w:rsid w:val="00B503A8"/>
    <w:rsid w:val="00B5121D"/>
    <w:rsid w:val="00B525C0"/>
    <w:rsid w:val="00B52FAB"/>
    <w:rsid w:val="00B5319A"/>
    <w:rsid w:val="00B539F9"/>
    <w:rsid w:val="00B53E56"/>
    <w:rsid w:val="00B546C3"/>
    <w:rsid w:val="00B54BD9"/>
    <w:rsid w:val="00B5503C"/>
    <w:rsid w:val="00B55640"/>
    <w:rsid w:val="00B57107"/>
    <w:rsid w:val="00B60D27"/>
    <w:rsid w:val="00B619E4"/>
    <w:rsid w:val="00B61D0B"/>
    <w:rsid w:val="00B6439A"/>
    <w:rsid w:val="00B6443B"/>
    <w:rsid w:val="00B6517B"/>
    <w:rsid w:val="00B65E71"/>
    <w:rsid w:val="00B66C26"/>
    <w:rsid w:val="00B71FB3"/>
    <w:rsid w:val="00B73492"/>
    <w:rsid w:val="00B7512A"/>
    <w:rsid w:val="00B76548"/>
    <w:rsid w:val="00B76BED"/>
    <w:rsid w:val="00B806E6"/>
    <w:rsid w:val="00B82DC1"/>
    <w:rsid w:val="00B835D5"/>
    <w:rsid w:val="00B84028"/>
    <w:rsid w:val="00B84307"/>
    <w:rsid w:val="00B8430D"/>
    <w:rsid w:val="00B85661"/>
    <w:rsid w:val="00B85C8A"/>
    <w:rsid w:val="00B86FBD"/>
    <w:rsid w:val="00B91B86"/>
    <w:rsid w:val="00B927CA"/>
    <w:rsid w:val="00B928AE"/>
    <w:rsid w:val="00B93CDA"/>
    <w:rsid w:val="00B942E9"/>
    <w:rsid w:val="00B9433A"/>
    <w:rsid w:val="00B948EE"/>
    <w:rsid w:val="00B94BF3"/>
    <w:rsid w:val="00B94F90"/>
    <w:rsid w:val="00B95DC5"/>
    <w:rsid w:val="00B97E34"/>
    <w:rsid w:val="00B97FEF"/>
    <w:rsid w:val="00BA1354"/>
    <w:rsid w:val="00BA24F8"/>
    <w:rsid w:val="00BA31AA"/>
    <w:rsid w:val="00BA45D8"/>
    <w:rsid w:val="00BA5828"/>
    <w:rsid w:val="00BA64B3"/>
    <w:rsid w:val="00BA754A"/>
    <w:rsid w:val="00BA7820"/>
    <w:rsid w:val="00BA794C"/>
    <w:rsid w:val="00BB09FB"/>
    <w:rsid w:val="00BB238D"/>
    <w:rsid w:val="00BB37CC"/>
    <w:rsid w:val="00BB48C4"/>
    <w:rsid w:val="00BB6907"/>
    <w:rsid w:val="00BB7A20"/>
    <w:rsid w:val="00BC15B1"/>
    <w:rsid w:val="00BC3C06"/>
    <w:rsid w:val="00BC4E8B"/>
    <w:rsid w:val="00BC5622"/>
    <w:rsid w:val="00BC6060"/>
    <w:rsid w:val="00BC7897"/>
    <w:rsid w:val="00BD0F35"/>
    <w:rsid w:val="00BD45A4"/>
    <w:rsid w:val="00BD4A5F"/>
    <w:rsid w:val="00BD59AA"/>
    <w:rsid w:val="00BD65E6"/>
    <w:rsid w:val="00BD6AF7"/>
    <w:rsid w:val="00BE19EF"/>
    <w:rsid w:val="00BE3CE5"/>
    <w:rsid w:val="00BE425B"/>
    <w:rsid w:val="00BE51BB"/>
    <w:rsid w:val="00BE7595"/>
    <w:rsid w:val="00BE77D3"/>
    <w:rsid w:val="00BF0138"/>
    <w:rsid w:val="00BF114B"/>
    <w:rsid w:val="00BF1620"/>
    <w:rsid w:val="00BF1AC3"/>
    <w:rsid w:val="00BF28DA"/>
    <w:rsid w:val="00BF373A"/>
    <w:rsid w:val="00BF557C"/>
    <w:rsid w:val="00BF62D2"/>
    <w:rsid w:val="00BF6D9E"/>
    <w:rsid w:val="00BF6E3E"/>
    <w:rsid w:val="00BF71BB"/>
    <w:rsid w:val="00BF76F7"/>
    <w:rsid w:val="00BF7C9F"/>
    <w:rsid w:val="00C00012"/>
    <w:rsid w:val="00C000A5"/>
    <w:rsid w:val="00C006B4"/>
    <w:rsid w:val="00C00938"/>
    <w:rsid w:val="00C00E2A"/>
    <w:rsid w:val="00C016CC"/>
    <w:rsid w:val="00C025B9"/>
    <w:rsid w:val="00C044B4"/>
    <w:rsid w:val="00C05105"/>
    <w:rsid w:val="00C05A5D"/>
    <w:rsid w:val="00C0654A"/>
    <w:rsid w:val="00C06DE3"/>
    <w:rsid w:val="00C06F97"/>
    <w:rsid w:val="00C10BE6"/>
    <w:rsid w:val="00C11296"/>
    <w:rsid w:val="00C11905"/>
    <w:rsid w:val="00C1234A"/>
    <w:rsid w:val="00C12661"/>
    <w:rsid w:val="00C126E3"/>
    <w:rsid w:val="00C1330F"/>
    <w:rsid w:val="00C13ED7"/>
    <w:rsid w:val="00C14615"/>
    <w:rsid w:val="00C14F48"/>
    <w:rsid w:val="00C15296"/>
    <w:rsid w:val="00C17750"/>
    <w:rsid w:val="00C2094B"/>
    <w:rsid w:val="00C20DC5"/>
    <w:rsid w:val="00C2294E"/>
    <w:rsid w:val="00C22A5B"/>
    <w:rsid w:val="00C23412"/>
    <w:rsid w:val="00C264C7"/>
    <w:rsid w:val="00C271C4"/>
    <w:rsid w:val="00C274F3"/>
    <w:rsid w:val="00C277C6"/>
    <w:rsid w:val="00C30A54"/>
    <w:rsid w:val="00C316F7"/>
    <w:rsid w:val="00C31DF0"/>
    <w:rsid w:val="00C33916"/>
    <w:rsid w:val="00C33BCF"/>
    <w:rsid w:val="00C353A0"/>
    <w:rsid w:val="00C368D7"/>
    <w:rsid w:val="00C36FD1"/>
    <w:rsid w:val="00C371A5"/>
    <w:rsid w:val="00C400B0"/>
    <w:rsid w:val="00C413FC"/>
    <w:rsid w:val="00C43D33"/>
    <w:rsid w:val="00C44407"/>
    <w:rsid w:val="00C456E8"/>
    <w:rsid w:val="00C46630"/>
    <w:rsid w:val="00C47A2F"/>
    <w:rsid w:val="00C50D18"/>
    <w:rsid w:val="00C51179"/>
    <w:rsid w:val="00C5282C"/>
    <w:rsid w:val="00C52FBE"/>
    <w:rsid w:val="00C5355E"/>
    <w:rsid w:val="00C535E2"/>
    <w:rsid w:val="00C53FC1"/>
    <w:rsid w:val="00C56438"/>
    <w:rsid w:val="00C570B3"/>
    <w:rsid w:val="00C6009F"/>
    <w:rsid w:val="00C60417"/>
    <w:rsid w:val="00C6046F"/>
    <w:rsid w:val="00C638C2"/>
    <w:rsid w:val="00C651D4"/>
    <w:rsid w:val="00C6669E"/>
    <w:rsid w:val="00C672B0"/>
    <w:rsid w:val="00C729C7"/>
    <w:rsid w:val="00C777AD"/>
    <w:rsid w:val="00C80C53"/>
    <w:rsid w:val="00C81195"/>
    <w:rsid w:val="00C82C2D"/>
    <w:rsid w:val="00C85387"/>
    <w:rsid w:val="00C85E52"/>
    <w:rsid w:val="00C86471"/>
    <w:rsid w:val="00C8677B"/>
    <w:rsid w:val="00C86F96"/>
    <w:rsid w:val="00C909C6"/>
    <w:rsid w:val="00C923B7"/>
    <w:rsid w:val="00C94D4C"/>
    <w:rsid w:val="00CA012C"/>
    <w:rsid w:val="00CA0AA6"/>
    <w:rsid w:val="00CA2897"/>
    <w:rsid w:val="00CA44F3"/>
    <w:rsid w:val="00CA4E67"/>
    <w:rsid w:val="00CA582C"/>
    <w:rsid w:val="00CA6077"/>
    <w:rsid w:val="00CA715B"/>
    <w:rsid w:val="00CA7988"/>
    <w:rsid w:val="00CA7BA2"/>
    <w:rsid w:val="00CB0B78"/>
    <w:rsid w:val="00CB12A5"/>
    <w:rsid w:val="00CB17FA"/>
    <w:rsid w:val="00CB23D8"/>
    <w:rsid w:val="00CB2ED9"/>
    <w:rsid w:val="00CB36A5"/>
    <w:rsid w:val="00CB56B4"/>
    <w:rsid w:val="00CB7286"/>
    <w:rsid w:val="00CB7947"/>
    <w:rsid w:val="00CC1783"/>
    <w:rsid w:val="00CC3B46"/>
    <w:rsid w:val="00CC3D8B"/>
    <w:rsid w:val="00CC4E27"/>
    <w:rsid w:val="00CC570C"/>
    <w:rsid w:val="00CC62B6"/>
    <w:rsid w:val="00CC76AA"/>
    <w:rsid w:val="00CC7CD2"/>
    <w:rsid w:val="00CD05CF"/>
    <w:rsid w:val="00CD1F3D"/>
    <w:rsid w:val="00CD1FAE"/>
    <w:rsid w:val="00CD232F"/>
    <w:rsid w:val="00CD279E"/>
    <w:rsid w:val="00CD2F92"/>
    <w:rsid w:val="00CD4EB0"/>
    <w:rsid w:val="00CD512D"/>
    <w:rsid w:val="00CD5831"/>
    <w:rsid w:val="00CD6946"/>
    <w:rsid w:val="00CD6F6E"/>
    <w:rsid w:val="00CE157F"/>
    <w:rsid w:val="00CE1966"/>
    <w:rsid w:val="00CE1ED4"/>
    <w:rsid w:val="00CE2216"/>
    <w:rsid w:val="00CE3014"/>
    <w:rsid w:val="00CE30E5"/>
    <w:rsid w:val="00CE6FC6"/>
    <w:rsid w:val="00CF2056"/>
    <w:rsid w:val="00CF3024"/>
    <w:rsid w:val="00CF4471"/>
    <w:rsid w:val="00CF51C0"/>
    <w:rsid w:val="00CF5B2A"/>
    <w:rsid w:val="00CF5B86"/>
    <w:rsid w:val="00CF5F57"/>
    <w:rsid w:val="00CF62BB"/>
    <w:rsid w:val="00CF64A7"/>
    <w:rsid w:val="00CF6730"/>
    <w:rsid w:val="00CF70E5"/>
    <w:rsid w:val="00CF7CEC"/>
    <w:rsid w:val="00D00B0F"/>
    <w:rsid w:val="00D01BF4"/>
    <w:rsid w:val="00D0272C"/>
    <w:rsid w:val="00D045CE"/>
    <w:rsid w:val="00D05082"/>
    <w:rsid w:val="00D06163"/>
    <w:rsid w:val="00D07AFD"/>
    <w:rsid w:val="00D11749"/>
    <w:rsid w:val="00D12A7D"/>
    <w:rsid w:val="00D13AB0"/>
    <w:rsid w:val="00D1519E"/>
    <w:rsid w:val="00D152B7"/>
    <w:rsid w:val="00D16EDC"/>
    <w:rsid w:val="00D17FDE"/>
    <w:rsid w:val="00D201CB"/>
    <w:rsid w:val="00D22786"/>
    <w:rsid w:val="00D228B4"/>
    <w:rsid w:val="00D25AC4"/>
    <w:rsid w:val="00D27F89"/>
    <w:rsid w:val="00D305F6"/>
    <w:rsid w:val="00D30B25"/>
    <w:rsid w:val="00D3175A"/>
    <w:rsid w:val="00D31A00"/>
    <w:rsid w:val="00D323E4"/>
    <w:rsid w:val="00D32871"/>
    <w:rsid w:val="00D33881"/>
    <w:rsid w:val="00D34282"/>
    <w:rsid w:val="00D366B1"/>
    <w:rsid w:val="00D37AE0"/>
    <w:rsid w:val="00D416A8"/>
    <w:rsid w:val="00D4217D"/>
    <w:rsid w:val="00D4257C"/>
    <w:rsid w:val="00D425AC"/>
    <w:rsid w:val="00D42823"/>
    <w:rsid w:val="00D42D5E"/>
    <w:rsid w:val="00D43F14"/>
    <w:rsid w:val="00D44C18"/>
    <w:rsid w:val="00D4556D"/>
    <w:rsid w:val="00D511C6"/>
    <w:rsid w:val="00D5121D"/>
    <w:rsid w:val="00D516AC"/>
    <w:rsid w:val="00D521BB"/>
    <w:rsid w:val="00D52875"/>
    <w:rsid w:val="00D54050"/>
    <w:rsid w:val="00D56AC0"/>
    <w:rsid w:val="00D6081B"/>
    <w:rsid w:val="00D61A37"/>
    <w:rsid w:val="00D6240A"/>
    <w:rsid w:val="00D63093"/>
    <w:rsid w:val="00D63599"/>
    <w:rsid w:val="00D63EBD"/>
    <w:rsid w:val="00D67101"/>
    <w:rsid w:val="00D71B45"/>
    <w:rsid w:val="00D71F8A"/>
    <w:rsid w:val="00D733EE"/>
    <w:rsid w:val="00D75603"/>
    <w:rsid w:val="00D75FEE"/>
    <w:rsid w:val="00D76933"/>
    <w:rsid w:val="00D76D88"/>
    <w:rsid w:val="00D77CC9"/>
    <w:rsid w:val="00D83D4B"/>
    <w:rsid w:val="00D871C6"/>
    <w:rsid w:val="00D875F8"/>
    <w:rsid w:val="00D91010"/>
    <w:rsid w:val="00DA0FA7"/>
    <w:rsid w:val="00DA12B0"/>
    <w:rsid w:val="00DA2BA0"/>
    <w:rsid w:val="00DA32B8"/>
    <w:rsid w:val="00DA39AD"/>
    <w:rsid w:val="00DA5B13"/>
    <w:rsid w:val="00DA6917"/>
    <w:rsid w:val="00DA6926"/>
    <w:rsid w:val="00DB0965"/>
    <w:rsid w:val="00DB0E47"/>
    <w:rsid w:val="00DB2BDD"/>
    <w:rsid w:val="00DB4121"/>
    <w:rsid w:val="00DB46C3"/>
    <w:rsid w:val="00DB5742"/>
    <w:rsid w:val="00DB5EDF"/>
    <w:rsid w:val="00DB6C46"/>
    <w:rsid w:val="00DB72B8"/>
    <w:rsid w:val="00DC16AF"/>
    <w:rsid w:val="00DC2A9A"/>
    <w:rsid w:val="00DC2E2E"/>
    <w:rsid w:val="00DC4D68"/>
    <w:rsid w:val="00DC6463"/>
    <w:rsid w:val="00DC7822"/>
    <w:rsid w:val="00DC7AF1"/>
    <w:rsid w:val="00DD2D92"/>
    <w:rsid w:val="00DD3026"/>
    <w:rsid w:val="00DD33DC"/>
    <w:rsid w:val="00DD3BB0"/>
    <w:rsid w:val="00DD61F5"/>
    <w:rsid w:val="00DE63E9"/>
    <w:rsid w:val="00DE64A6"/>
    <w:rsid w:val="00DE66EB"/>
    <w:rsid w:val="00DE7035"/>
    <w:rsid w:val="00DF12E3"/>
    <w:rsid w:val="00DF2E8E"/>
    <w:rsid w:val="00DF3F1D"/>
    <w:rsid w:val="00DF595C"/>
    <w:rsid w:val="00DF7EA7"/>
    <w:rsid w:val="00E04548"/>
    <w:rsid w:val="00E0484E"/>
    <w:rsid w:val="00E063F8"/>
    <w:rsid w:val="00E114D6"/>
    <w:rsid w:val="00E1166E"/>
    <w:rsid w:val="00E11DBD"/>
    <w:rsid w:val="00E13211"/>
    <w:rsid w:val="00E16FB5"/>
    <w:rsid w:val="00E179D6"/>
    <w:rsid w:val="00E21407"/>
    <w:rsid w:val="00E22668"/>
    <w:rsid w:val="00E227D3"/>
    <w:rsid w:val="00E22BFF"/>
    <w:rsid w:val="00E22CB0"/>
    <w:rsid w:val="00E23798"/>
    <w:rsid w:val="00E2585D"/>
    <w:rsid w:val="00E25DBD"/>
    <w:rsid w:val="00E25FA2"/>
    <w:rsid w:val="00E2723D"/>
    <w:rsid w:val="00E27C77"/>
    <w:rsid w:val="00E3179E"/>
    <w:rsid w:val="00E32AC9"/>
    <w:rsid w:val="00E354DA"/>
    <w:rsid w:val="00E354F5"/>
    <w:rsid w:val="00E3687E"/>
    <w:rsid w:val="00E40974"/>
    <w:rsid w:val="00E40AAB"/>
    <w:rsid w:val="00E41205"/>
    <w:rsid w:val="00E41F32"/>
    <w:rsid w:val="00E42608"/>
    <w:rsid w:val="00E43536"/>
    <w:rsid w:val="00E43DA3"/>
    <w:rsid w:val="00E44B80"/>
    <w:rsid w:val="00E47430"/>
    <w:rsid w:val="00E50FB7"/>
    <w:rsid w:val="00E5199F"/>
    <w:rsid w:val="00E526DF"/>
    <w:rsid w:val="00E53C15"/>
    <w:rsid w:val="00E54EE6"/>
    <w:rsid w:val="00E55C0E"/>
    <w:rsid w:val="00E56715"/>
    <w:rsid w:val="00E56C2C"/>
    <w:rsid w:val="00E57F8E"/>
    <w:rsid w:val="00E611C8"/>
    <w:rsid w:val="00E6344A"/>
    <w:rsid w:val="00E64E69"/>
    <w:rsid w:val="00E64FB7"/>
    <w:rsid w:val="00E669A1"/>
    <w:rsid w:val="00E679BA"/>
    <w:rsid w:val="00E70243"/>
    <w:rsid w:val="00E72CC6"/>
    <w:rsid w:val="00E73D44"/>
    <w:rsid w:val="00E7494A"/>
    <w:rsid w:val="00E74BE2"/>
    <w:rsid w:val="00E74C66"/>
    <w:rsid w:val="00E75933"/>
    <w:rsid w:val="00E77A1B"/>
    <w:rsid w:val="00E808BE"/>
    <w:rsid w:val="00E81E36"/>
    <w:rsid w:val="00E81E40"/>
    <w:rsid w:val="00E82ECE"/>
    <w:rsid w:val="00E8713B"/>
    <w:rsid w:val="00E90C61"/>
    <w:rsid w:val="00E92A82"/>
    <w:rsid w:val="00E92AA8"/>
    <w:rsid w:val="00E9344E"/>
    <w:rsid w:val="00E93E39"/>
    <w:rsid w:val="00E94391"/>
    <w:rsid w:val="00E97E2B"/>
    <w:rsid w:val="00EA08CA"/>
    <w:rsid w:val="00EA0C0C"/>
    <w:rsid w:val="00EA2AEA"/>
    <w:rsid w:val="00EA332B"/>
    <w:rsid w:val="00EA3D36"/>
    <w:rsid w:val="00EA40AA"/>
    <w:rsid w:val="00EA57E2"/>
    <w:rsid w:val="00EA7186"/>
    <w:rsid w:val="00EB018B"/>
    <w:rsid w:val="00EB1003"/>
    <w:rsid w:val="00EB167E"/>
    <w:rsid w:val="00EB24ED"/>
    <w:rsid w:val="00EB2A00"/>
    <w:rsid w:val="00EB309B"/>
    <w:rsid w:val="00EB3AA2"/>
    <w:rsid w:val="00EB4763"/>
    <w:rsid w:val="00EB6CB7"/>
    <w:rsid w:val="00EC078B"/>
    <w:rsid w:val="00EC07A0"/>
    <w:rsid w:val="00EC08E4"/>
    <w:rsid w:val="00EC3CB4"/>
    <w:rsid w:val="00EC443E"/>
    <w:rsid w:val="00EC4D83"/>
    <w:rsid w:val="00EC4EEE"/>
    <w:rsid w:val="00EC634F"/>
    <w:rsid w:val="00EC7B97"/>
    <w:rsid w:val="00ED049C"/>
    <w:rsid w:val="00ED07B7"/>
    <w:rsid w:val="00ED19D7"/>
    <w:rsid w:val="00ED2167"/>
    <w:rsid w:val="00ED351E"/>
    <w:rsid w:val="00ED4B27"/>
    <w:rsid w:val="00ED543C"/>
    <w:rsid w:val="00ED6BA4"/>
    <w:rsid w:val="00ED7DA7"/>
    <w:rsid w:val="00EE0598"/>
    <w:rsid w:val="00EE311C"/>
    <w:rsid w:val="00EE56FF"/>
    <w:rsid w:val="00EE5886"/>
    <w:rsid w:val="00EE5FBF"/>
    <w:rsid w:val="00EE6472"/>
    <w:rsid w:val="00EE76F2"/>
    <w:rsid w:val="00EF0769"/>
    <w:rsid w:val="00EF0D7C"/>
    <w:rsid w:val="00EF40E2"/>
    <w:rsid w:val="00EF61C1"/>
    <w:rsid w:val="00EF6E68"/>
    <w:rsid w:val="00EF76DB"/>
    <w:rsid w:val="00F005FD"/>
    <w:rsid w:val="00F02C04"/>
    <w:rsid w:val="00F03AF1"/>
    <w:rsid w:val="00F044BC"/>
    <w:rsid w:val="00F04BCD"/>
    <w:rsid w:val="00F05A8C"/>
    <w:rsid w:val="00F06211"/>
    <w:rsid w:val="00F10A54"/>
    <w:rsid w:val="00F123D0"/>
    <w:rsid w:val="00F13200"/>
    <w:rsid w:val="00F13411"/>
    <w:rsid w:val="00F143BA"/>
    <w:rsid w:val="00F14D98"/>
    <w:rsid w:val="00F2081B"/>
    <w:rsid w:val="00F20A43"/>
    <w:rsid w:val="00F20C51"/>
    <w:rsid w:val="00F21049"/>
    <w:rsid w:val="00F218AE"/>
    <w:rsid w:val="00F22232"/>
    <w:rsid w:val="00F2228E"/>
    <w:rsid w:val="00F22D3C"/>
    <w:rsid w:val="00F23D66"/>
    <w:rsid w:val="00F24E6F"/>
    <w:rsid w:val="00F26069"/>
    <w:rsid w:val="00F26B7E"/>
    <w:rsid w:val="00F27D7D"/>
    <w:rsid w:val="00F3002B"/>
    <w:rsid w:val="00F30BC9"/>
    <w:rsid w:val="00F31E57"/>
    <w:rsid w:val="00F32462"/>
    <w:rsid w:val="00F32FF7"/>
    <w:rsid w:val="00F33EDE"/>
    <w:rsid w:val="00F3568B"/>
    <w:rsid w:val="00F377CD"/>
    <w:rsid w:val="00F40C3B"/>
    <w:rsid w:val="00F40CE0"/>
    <w:rsid w:val="00F42DBC"/>
    <w:rsid w:val="00F4308D"/>
    <w:rsid w:val="00F44012"/>
    <w:rsid w:val="00F44947"/>
    <w:rsid w:val="00F458EF"/>
    <w:rsid w:val="00F47121"/>
    <w:rsid w:val="00F4775D"/>
    <w:rsid w:val="00F504DD"/>
    <w:rsid w:val="00F50874"/>
    <w:rsid w:val="00F516C6"/>
    <w:rsid w:val="00F52221"/>
    <w:rsid w:val="00F52B28"/>
    <w:rsid w:val="00F536BB"/>
    <w:rsid w:val="00F53755"/>
    <w:rsid w:val="00F53E59"/>
    <w:rsid w:val="00F5475B"/>
    <w:rsid w:val="00F574D0"/>
    <w:rsid w:val="00F579DC"/>
    <w:rsid w:val="00F6031F"/>
    <w:rsid w:val="00F61664"/>
    <w:rsid w:val="00F61B99"/>
    <w:rsid w:val="00F64C45"/>
    <w:rsid w:val="00F6502B"/>
    <w:rsid w:val="00F6612A"/>
    <w:rsid w:val="00F66724"/>
    <w:rsid w:val="00F67F04"/>
    <w:rsid w:val="00F70207"/>
    <w:rsid w:val="00F702CB"/>
    <w:rsid w:val="00F71AC2"/>
    <w:rsid w:val="00F739D4"/>
    <w:rsid w:val="00F77D43"/>
    <w:rsid w:val="00F80953"/>
    <w:rsid w:val="00F81312"/>
    <w:rsid w:val="00F81B90"/>
    <w:rsid w:val="00F81E6F"/>
    <w:rsid w:val="00F82FF3"/>
    <w:rsid w:val="00F8453C"/>
    <w:rsid w:val="00F84D4C"/>
    <w:rsid w:val="00F8657D"/>
    <w:rsid w:val="00F8730F"/>
    <w:rsid w:val="00F87DA3"/>
    <w:rsid w:val="00F90004"/>
    <w:rsid w:val="00F90EF4"/>
    <w:rsid w:val="00F917BF"/>
    <w:rsid w:val="00F920B4"/>
    <w:rsid w:val="00F9260D"/>
    <w:rsid w:val="00F92727"/>
    <w:rsid w:val="00F93CCF"/>
    <w:rsid w:val="00F94307"/>
    <w:rsid w:val="00F9580B"/>
    <w:rsid w:val="00F95F15"/>
    <w:rsid w:val="00F975CA"/>
    <w:rsid w:val="00FA0B60"/>
    <w:rsid w:val="00FA2528"/>
    <w:rsid w:val="00FA5535"/>
    <w:rsid w:val="00FA7206"/>
    <w:rsid w:val="00FA7EFB"/>
    <w:rsid w:val="00FB0816"/>
    <w:rsid w:val="00FB08C2"/>
    <w:rsid w:val="00FB3DD1"/>
    <w:rsid w:val="00FB51FD"/>
    <w:rsid w:val="00FB5667"/>
    <w:rsid w:val="00FB7A97"/>
    <w:rsid w:val="00FC1B9B"/>
    <w:rsid w:val="00FC318D"/>
    <w:rsid w:val="00FC36CF"/>
    <w:rsid w:val="00FC40BC"/>
    <w:rsid w:val="00FC41FC"/>
    <w:rsid w:val="00FC4F6E"/>
    <w:rsid w:val="00FC506C"/>
    <w:rsid w:val="00FC578C"/>
    <w:rsid w:val="00FC5A37"/>
    <w:rsid w:val="00FD13EA"/>
    <w:rsid w:val="00FD5EC4"/>
    <w:rsid w:val="00FD7858"/>
    <w:rsid w:val="00FD7A8D"/>
    <w:rsid w:val="00FE1330"/>
    <w:rsid w:val="00FE1CE5"/>
    <w:rsid w:val="00FE2832"/>
    <w:rsid w:val="00FE2D38"/>
    <w:rsid w:val="00FE3929"/>
    <w:rsid w:val="00FF097B"/>
    <w:rsid w:val="00FF0B6E"/>
    <w:rsid w:val="00FF1C1B"/>
    <w:rsid w:val="00FF2067"/>
    <w:rsid w:val="00FF3BC4"/>
    <w:rsid w:val="00FF4B66"/>
    <w:rsid w:val="00FF688E"/>
    <w:rsid w:val="00FF70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colormru v:ext="edit" colors="#2d4491,#283583"/>
    </o:shapedefaults>
    <o:shapelayout v:ext="edit">
      <o:idmap v:ext="edit" data="1"/>
    </o:shapelayout>
  </w:shapeDefaults>
  <w:decimalSymbol w:val="."/>
  <w:listSeparator w:val=","/>
  <w15:docId w15:val="{81EEED4D-1ACA-437D-BEE9-430B56C14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79DC"/>
    <w:rPr>
      <w:rFonts w:ascii="Arial" w:hAnsi="Arial"/>
      <w:szCs w:val="24"/>
      <w:lang w:eastAsia="de-DE"/>
    </w:rPr>
  </w:style>
  <w:style w:type="paragraph" w:styleId="Heading1">
    <w:name w:val="heading 1"/>
    <w:basedOn w:val="Normal"/>
    <w:next w:val="Normal"/>
    <w:link w:val="Heading1Char"/>
    <w:qFormat/>
    <w:rsid w:val="009E7724"/>
    <w:pPr>
      <w:keepNext/>
      <w:numPr>
        <w:numId w:val="5"/>
      </w:numPr>
      <w:spacing w:before="240" w:after="60"/>
      <w:outlineLvl w:val="0"/>
    </w:pPr>
    <w:rPr>
      <w:rFonts w:cs="Arial"/>
      <w:b/>
      <w:bCs/>
      <w:kern w:val="32"/>
      <w:sz w:val="24"/>
      <w:szCs w:val="32"/>
    </w:rPr>
  </w:style>
  <w:style w:type="paragraph" w:styleId="Heading2">
    <w:name w:val="heading 2"/>
    <w:basedOn w:val="Normal"/>
    <w:next w:val="Normal"/>
    <w:link w:val="Heading2Char2"/>
    <w:qFormat/>
    <w:rsid w:val="00886A60"/>
    <w:pPr>
      <w:keepNext/>
      <w:keepLines/>
      <w:spacing w:before="200" w:after="120"/>
      <w:outlineLvl w:val="1"/>
    </w:pPr>
    <w:rPr>
      <w:b/>
      <w:bCs/>
      <w:szCs w:val="26"/>
    </w:rPr>
  </w:style>
  <w:style w:type="paragraph" w:styleId="Heading3">
    <w:name w:val="heading 3"/>
    <w:basedOn w:val="Normal"/>
    <w:next w:val="Normal"/>
    <w:link w:val="Heading3Char2"/>
    <w:qFormat/>
    <w:rsid w:val="003865E5"/>
    <w:pPr>
      <w:keepNext/>
      <w:keepLines/>
      <w:spacing w:before="200"/>
      <w:outlineLvl w:val="2"/>
    </w:pPr>
    <w:rPr>
      <w:rFonts w:ascii="Cambria" w:hAnsi="Cambria"/>
      <w:b/>
      <w:bCs/>
      <w:color w:val="4F81BD"/>
    </w:rPr>
  </w:style>
  <w:style w:type="paragraph" w:styleId="Heading4">
    <w:name w:val="heading 4"/>
    <w:basedOn w:val="Normal"/>
    <w:next w:val="Normal"/>
    <w:link w:val="Heading4Char1"/>
    <w:qFormat/>
    <w:rsid w:val="00CB7286"/>
    <w:pPr>
      <w:keepNext/>
      <w:tabs>
        <w:tab w:val="num" w:pos="864"/>
      </w:tabs>
      <w:spacing w:before="240" w:after="60"/>
      <w:ind w:left="864" w:hanging="864"/>
      <w:outlineLvl w:val="3"/>
    </w:pPr>
    <w:rPr>
      <w:rFonts w:ascii="Times New Roman" w:hAnsi="Times New Roman"/>
      <w:b/>
      <w:bCs/>
      <w:sz w:val="28"/>
      <w:szCs w:val="28"/>
    </w:rPr>
  </w:style>
  <w:style w:type="paragraph" w:styleId="Heading5">
    <w:name w:val="heading 5"/>
    <w:aliases w:val="Questions"/>
    <w:basedOn w:val="Normal"/>
    <w:next w:val="Normal"/>
    <w:link w:val="Heading5Char14"/>
    <w:uiPriority w:val="9"/>
    <w:qFormat/>
    <w:rsid w:val="00E9344E"/>
    <w:pPr>
      <w:keepNext/>
      <w:keepLines/>
      <w:numPr>
        <w:numId w:val="13"/>
      </w:numPr>
      <w:spacing w:before="200"/>
      <w:jc w:val="both"/>
      <w:outlineLvl w:val="4"/>
    </w:pPr>
    <w:rPr>
      <w:b/>
    </w:rPr>
  </w:style>
  <w:style w:type="paragraph" w:styleId="Heading6">
    <w:name w:val="heading 6"/>
    <w:basedOn w:val="Normal"/>
    <w:next w:val="Normal"/>
    <w:link w:val="Heading6Char"/>
    <w:qFormat/>
    <w:rsid w:val="003609B6"/>
    <w:pPr>
      <w:numPr>
        <w:ilvl w:val="5"/>
        <w:numId w:val="4"/>
      </w:numPr>
      <w:spacing w:before="240" w:after="60"/>
      <w:outlineLvl w:val="5"/>
    </w:pPr>
    <w:rPr>
      <w:rFonts w:ascii="Times New Roman" w:hAnsi="Times New Roman"/>
      <w:b/>
      <w:bCs/>
      <w:szCs w:val="22"/>
    </w:rPr>
  </w:style>
  <w:style w:type="paragraph" w:styleId="Heading7">
    <w:name w:val="heading 7"/>
    <w:basedOn w:val="Normal"/>
    <w:next w:val="Normal"/>
    <w:link w:val="Heading7Char"/>
    <w:unhideWhenUsed/>
    <w:qFormat/>
    <w:rsid w:val="002D6E1A"/>
    <w:pPr>
      <w:spacing w:before="240" w:after="60"/>
      <w:ind w:left="1296" w:hanging="1296"/>
      <w:outlineLvl w:val="6"/>
    </w:pPr>
    <w:rPr>
      <w:rFonts w:ascii="Times New Roman" w:hAnsi="Times New Roman"/>
    </w:rPr>
  </w:style>
  <w:style w:type="paragraph" w:styleId="Heading8">
    <w:name w:val="heading 8"/>
    <w:basedOn w:val="Normal"/>
    <w:next w:val="Normal"/>
    <w:link w:val="Heading8Char"/>
    <w:qFormat/>
    <w:rsid w:val="003609B6"/>
    <w:pPr>
      <w:numPr>
        <w:ilvl w:val="7"/>
        <w:numId w:val="4"/>
      </w:numPr>
      <w:spacing w:before="240" w:after="60"/>
      <w:outlineLvl w:val="7"/>
    </w:pPr>
    <w:rPr>
      <w:rFonts w:ascii="Times New Roman" w:hAnsi="Times New Roman"/>
      <w:i/>
      <w:iCs/>
    </w:rPr>
  </w:style>
  <w:style w:type="paragraph" w:styleId="Heading9">
    <w:name w:val="heading 9"/>
    <w:basedOn w:val="Normal"/>
    <w:next w:val="Normal"/>
    <w:link w:val="Heading9Char"/>
    <w:qFormat/>
    <w:rsid w:val="00A06867"/>
    <w:pPr>
      <w:tabs>
        <w:tab w:val="num" w:pos="1584"/>
      </w:tabs>
      <w:spacing w:before="240" w:after="60"/>
      <w:ind w:left="1584" w:hanging="1584"/>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B64CB"/>
    <w:pPr>
      <w:tabs>
        <w:tab w:val="center" w:pos="4536"/>
        <w:tab w:val="right" w:pos="9072"/>
      </w:tabs>
    </w:pPr>
  </w:style>
  <w:style w:type="paragraph" w:styleId="Footer">
    <w:name w:val="footer"/>
    <w:basedOn w:val="Normal"/>
    <w:link w:val="FooterChar"/>
    <w:rsid w:val="005B64CB"/>
    <w:pPr>
      <w:tabs>
        <w:tab w:val="center" w:pos="4536"/>
        <w:tab w:val="right" w:pos="9072"/>
      </w:tabs>
    </w:pPr>
  </w:style>
  <w:style w:type="table" w:styleId="TableGrid">
    <w:name w:val="Table Grid"/>
    <w:basedOn w:val="TableNormal"/>
    <w:rsid w:val="00652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Footer">
    <w:name w:val="00_Footer"/>
    <w:basedOn w:val="Normal"/>
    <w:rsid w:val="003E3ACA"/>
    <w:pPr>
      <w:spacing w:line="200" w:lineRule="exact"/>
    </w:pPr>
    <w:rPr>
      <w:color w:val="2D4190"/>
      <w:sz w:val="16"/>
    </w:rPr>
  </w:style>
  <w:style w:type="paragraph" w:customStyle="1" w:styleId="05aTitle">
    <w:name w:val="05a_Title"/>
    <w:basedOn w:val="Normal"/>
    <w:rsid w:val="00791EB4"/>
    <w:pPr>
      <w:spacing w:line="340" w:lineRule="exact"/>
    </w:pPr>
    <w:rPr>
      <w:b/>
      <w:color w:val="000000"/>
      <w:sz w:val="28"/>
    </w:rPr>
  </w:style>
  <w:style w:type="paragraph" w:customStyle="1" w:styleId="02Date">
    <w:name w:val="02_Date"/>
    <w:basedOn w:val="Normal"/>
    <w:rsid w:val="001725A5"/>
    <w:pPr>
      <w:spacing w:line="220" w:lineRule="exact"/>
    </w:pPr>
    <w:rPr>
      <w:sz w:val="17"/>
    </w:rPr>
  </w:style>
  <w:style w:type="paragraph" w:customStyle="1" w:styleId="00aPagenumber">
    <w:name w:val="00a_Page number"/>
    <w:basedOn w:val="00Footer"/>
    <w:rsid w:val="003E3ACA"/>
    <w:pPr>
      <w:spacing w:line="280" w:lineRule="atLeast"/>
      <w:jc w:val="right"/>
    </w:pPr>
    <w:rPr>
      <w:color w:val="000000"/>
      <w:sz w:val="20"/>
    </w:rPr>
  </w:style>
  <w:style w:type="paragraph" w:customStyle="1" w:styleId="04BodyText">
    <w:name w:val="04_Body Text"/>
    <w:basedOn w:val="Normal"/>
    <w:link w:val="04BodyTextChar"/>
    <w:rsid w:val="001725A5"/>
    <w:pPr>
      <w:spacing w:after="250" w:line="276" w:lineRule="auto"/>
      <w:jc w:val="both"/>
    </w:pPr>
  </w:style>
  <w:style w:type="paragraph" w:customStyle="1" w:styleId="05HeadlinenoIndex">
    <w:name w:val="05_Headline no Index"/>
    <w:basedOn w:val="04BodyText"/>
    <w:rsid w:val="001725A5"/>
    <w:pPr>
      <w:spacing w:line="300" w:lineRule="exact"/>
    </w:pPr>
    <w:rPr>
      <w:b/>
      <w:sz w:val="24"/>
    </w:rPr>
  </w:style>
  <w:style w:type="paragraph" w:customStyle="1" w:styleId="05cHeadline1">
    <w:name w:val="05c_Headline 1"/>
    <w:basedOn w:val="05HeadlinenoIndex"/>
    <w:next w:val="04BodyText"/>
    <w:rsid w:val="003E3ACA"/>
    <w:pPr>
      <w:keepNext/>
      <w:numPr>
        <w:numId w:val="4"/>
      </w:numPr>
      <w:tabs>
        <w:tab w:val="left" w:pos="284"/>
        <w:tab w:val="left" w:pos="397"/>
      </w:tabs>
      <w:spacing w:after="280" w:line="280" w:lineRule="exact"/>
    </w:pPr>
    <w:rPr>
      <w:sz w:val="20"/>
    </w:rPr>
  </w:style>
  <w:style w:type="paragraph" w:customStyle="1" w:styleId="04aNumbering">
    <w:name w:val="04a_Numbering"/>
    <w:basedOn w:val="04BodyText"/>
    <w:link w:val="04aNumberingChar"/>
    <w:uiPriority w:val="99"/>
    <w:rsid w:val="00D75603"/>
    <w:pPr>
      <w:tabs>
        <w:tab w:val="num" w:pos="851"/>
      </w:tabs>
      <w:ind w:left="851" w:hanging="284"/>
    </w:pPr>
  </w:style>
  <w:style w:type="character" w:styleId="PageNumber">
    <w:name w:val="page number"/>
    <w:basedOn w:val="DefaultParagraphFont"/>
    <w:rsid w:val="00620D7C"/>
  </w:style>
  <w:style w:type="paragraph" w:customStyle="1" w:styleId="00bDBInfo">
    <w:name w:val="00b_DB_Info"/>
    <w:basedOn w:val="00aPagenumber"/>
    <w:rsid w:val="001725A5"/>
    <w:rPr>
      <w:color w:val="FFFFFF"/>
    </w:rPr>
  </w:style>
  <w:style w:type="paragraph" w:customStyle="1" w:styleId="01aDBTitle">
    <w:name w:val="01a_DB_Title"/>
    <w:basedOn w:val="05aTitle"/>
    <w:rsid w:val="00791EB4"/>
    <w:pPr>
      <w:spacing w:line="400" w:lineRule="exact"/>
      <w:jc w:val="right"/>
    </w:pPr>
    <w:rPr>
      <w:color w:val="2D4190"/>
      <w:sz w:val="40"/>
    </w:rPr>
  </w:style>
  <w:style w:type="paragraph" w:customStyle="1" w:styleId="01bDBSubtitle">
    <w:name w:val="01b_DB_Subtitle"/>
    <w:rsid w:val="001725A5"/>
    <w:pPr>
      <w:jc w:val="right"/>
    </w:pPr>
    <w:rPr>
      <w:rFonts w:ascii="Georgia" w:hAnsi="Georgia"/>
      <w:color w:val="000000"/>
      <w:sz w:val="24"/>
      <w:szCs w:val="24"/>
      <w:lang w:eastAsia="de-DE"/>
    </w:rPr>
  </w:style>
  <w:style w:type="paragraph" w:customStyle="1" w:styleId="05dHeadline1blue">
    <w:name w:val="05d_Headline 1 blue"/>
    <w:basedOn w:val="05cHeadline1"/>
    <w:next w:val="04fBodytextblue"/>
    <w:rsid w:val="003E3ACA"/>
    <w:pPr>
      <w:numPr>
        <w:numId w:val="1"/>
      </w:numPr>
      <w:pBdr>
        <w:top w:val="single" w:sz="4" w:space="10" w:color="283583"/>
      </w:pBdr>
      <w:tabs>
        <w:tab w:val="left" w:pos="284"/>
      </w:tabs>
    </w:pPr>
    <w:rPr>
      <w:color w:val="2D4190"/>
    </w:rPr>
  </w:style>
  <w:style w:type="paragraph" w:styleId="TOC1">
    <w:name w:val="toc 1"/>
    <w:basedOn w:val="Normal"/>
    <w:next w:val="Normal"/>
    <w:autoRedefine/>
    <w:uiPriority w:val="39"/>
    <w:qFormat/>
    <w:rsid w:val="006476F7"/>
    <w:pPr>
      <w:tabs>
        <w:tab w:val="left" w:pos="510"/>
        <w:tab w:val="right" w:leader="underscore" w:pos="9412"/>
      </w:tabs>
      <w:spacing w:line="250" w:lineRule="exact"/>
    </w:pPr>
  </w:style>
  <w:style w:type="paragraph" w:customStyle="1" w:styleId="04fBodytextblue">
    <w:name w:val="04f_Body text blue"/>
    <w:basedOn w:val="04BodyText"/>
    <w:rsid w:val="001725A5"/>
    <w:pPr>
      <w:pBdr>
        <w:bottom w:val="single" w:sz="4" w:space="12" w:color="283583"/>
      </w:pBdr>
    </w:pPr>
    <w:rPr>
      <w:color w:val="2D4190"/>
    </w:rPr>
  </w:style>
  <w:style w:type="character" w:styleId="Hyperlink">
    <w:name w:val="Hyperlink"/>
    <w:uiPriority w:val="99"/>
    <w:rsid w:val="00EA332B"/>
    <w:rPr>
      <w:color w:val="0000FF"/>
      <w:u w:val="single"/>
    </w:rPr>
  </w:style>
  <w:style w:type="paragraph" w:customStyle="1" w:styleId="04bList">
    <w:name w:val="04b_List"/>
    <w:basedOn w:val="04BodyText"/>
    <w:uiPriority w:val="99"/>
    <w:rsid w:val="00D75603"/>
    <w:pPr>
      <w:numPr>
        <w:numId w:val="3"/>
      </w:numPr>
    </w:pPr>
  </w:style>
  <w:style w:type="paragraph" w:customStyle="1" w:styleId="04eBodytextleft">
    <w:name w:val="04e_Body text left"/>
    <w:basedOn w:val="04BodyText"/>
    <w:rsid w:val="001725A5"/>
    <w:pPr>
      <w:spacing w:after="0"/>
      <w:jc w:val="left"/>
    </w:pPr>
  </w:style>
  <w:style w:type="paragraph" w:customStyle="1" w:styleId="05eHeadline2">
    <w:name w:val="05e_Headline 2"/>
    <w:rsid w:val="003E3ACA"/>
    <w:pPr>
      <w:numPr>
        <w:ilvl w:val="1"/>
        <w:numId w:val="4"/>
      </w:numPr>
      <w:tabs>
        <w:tab w:val="left" w:pos="397"/>
      </w:tabs>
      <w:spacing w:after="250" w:line="250" w:lineRule="exact"/>
    </w:pPr>
    <w:rPr>
      <w:rFonts w:ascii="Georgia" w:hAnsi="Georgia" w:cs="Arial"/>
      <w:bCs/>
      <w:iCs/>
      <w:lang w:eastAsia="de-DE"/>
    </w:rPr>
  </w:style>
  <w:style w:type="paragraph" w:styleId="FootnoteText">
    <w:name w:val="footnote text"/>
    <w:aliases w:val="Char3, Char3,Fußnotentextf,Fußnotentextr,stile 1,Footnote1,Footnote2,Footnote3,Footnote4,Footnote5,Footnote6,Footnote7,Footnote8,Footnote9,Footnote10,Footnote11,Footnote21,Footnote31,Footnote41,Footnote51,Footnote61,Footnote71,Fußnote"/>
    <w:basedOn w:val="Normal"/>
    <w:link w:val="FootnoteTextChar"/>
    <w:uiPriority w:val="99"/>
    <w:qFormat/>
    <w:rsid w:val="001725A5"/>
    <w:pPr>
      <w:spacing w:line="200" w:lineRule="exact"/>
    </w:pPr>
    <w:rPr>
      <w:sz w:val="16"/>
      <w:szCs w:val="20"/>
    </w:rPr>
  </w:style>
  <w:style w:type="character" w:styleId="FootnoteReference">
    <w:name w:val="footnote reference"/>
    <w:aliases w:val="SUPERS,Footnote reference number,Footnote symbol,note TESI,-E Fußnotenzeichen,number,BVI fnr,Footnote,Footnote Reference Superscript,(Footnote Reference),EN Footnote Reference,Voetnootverwijzing,Times 10 Point,Exposant 3 Poi,16 Point"/>
    <w:qFormat/>
    <w:rsid w:val="00C274F3"/>
    <w:rPr>
      <w:vertAlign w:val="superscript"/>
    </w:rPr>
  </w:style>
  <w:style w:type="paragraph" w:styleId="TOC2">
    <w:name w:val="toc 2"/>
    <w:basedOn w:val="Normal"/>
    <w:next w:val="Normal"/>
    <w:autoRedefine/>
    <w:uiPriority w:val="39"/>
    <w:qFormat/>
    <w:rsid w:val="00463787"/>
    <w:pPr>
      <w:spacing w:after="100"/>
      <w:ind w:left="220"/>
    </w:pPr>
  </w:style>
  <w:style w:type="paragraph" w:customStyle="1" w:styleId="05bHeadline1black">
    <w:name w:val="05b_Headline 1 black"/>
    <w:basedOn w:val="05dHeadline1blue"/>
    <w:rsid w:val="003E3ACA"/>
    <w:pPr>
      <w:pBdr>
        <w:top w:val="none" w:sz="0" w:space="0" w:color="auto"/>
      </w:pBdr>
    </w:pPr>
    <w:rPr>
      <w:color w:val="000000"/>
    </w:rPr>
  </w:style>
  <w:style w:type="paragraph" w:customStyle="1" w:styleId="03Headbold">
    <w:name w:val="03_Head_bold"/>
    <w:basedOn w:val="04BodyText"/>
    <w:rsid w:val="00C13ED7"/>
    <w:pPr>
      <w:tabs>
        <w:tab w:val="left" w:pos="414"/>
        <w:tab w:val="left" w:pos="454"/>
      </w:tabs>
      <w:spacing w:after="0" w:line="240" w:lineRule="auto"/>
    </w:pPr>
    <w:rPr>
      <w:b/>
    </w:rPr>
  </w:style>
  <w:style w:type="paragraph" w:customStyle="1" w:styleId="03aHead">
    <w:name w:val="03a_Head"/>
    <w:basedOn w:val="03Headbold"/>
    <w:rsid w:val="00C13ED7"/>
    <w:rPr>
      <w:b w:val="0"/>
    </w:rPr>
  </w:style>
  <w:style w:type="paragraph" w:customStyle="1" w:styleId="04dBodyTextbold">
    <w:name w:val="04d_Body Text bold"/>
    <w:basedOn w:val="04BodyText"/>
    <w:rsid w:val="00C13ED7"/>
    <w:pPr>
      <w:tabs>
        <w:tab w:val="left" w:pos="414"/>
      </w:tabs>
    </w:pPr>
    <w:rPr>
      <w:b/>
    </w:rPr>
  </w:style>
  <w:style w:type="paragraph" w:customStyle="1" w:styleId="06InfoTitle">
    <w:name w:val="06_Info_Title"/>
    <w:basedOn w:val="Normal"/>
    <w:link w:val="06InfoTitleZchn"/>
    <w:rsid w:val="00C13ED7"/>
    <w:pPr>
      <w:spacing w:after="40"/>
      <w:jc w:val="both"/>
    </w:pPr>
    <w:rPr>
      <w:b/>
      <w:sz w:val="24"/>
    </w:rPr>
  </w:style>
  <w:style w:type="character" w:customStyle="1" w:styleId="06InfoTitleZchn">
    <w:name w:val="06_Info_Title Zchn"/>
    <w:link w:val="06InfoTitle"/>
    <w:rsid w:val="00C13ED7"/>
    <w:rPr>
      <w:rFonts w:ascii="Georgia" w:hAnsi="Georgia"/>
      <w:b/>
      <w:sz w:val="24"/>
      <w:szCs w:val="24"/>
      <w:lang w:val="en-GB" w:eastAsia="de-DE" w:bidi="ar-SA"/>
    </w:rPr>
  </w:style>
  <w:style w:type="paragraph" w:customStyle="1" w:styleId="06aInfoTitle">
    <w:name w:val="06a_Info_Title"/>
    <w:basedOn w:val="06InfoTitle"/>
    <w:link w:val="06aInfoTitleZchn"/>
    <w:rsid w:val="00C13ED7"/>
    <w:rPr>
      <w:sz w:val="16"/>
    </w:rPr>
  </w:style>
  <w:style w:type="character" w:customStyle="1" w:styleId="06aInfoTitleZchn">
    <w:name w:val="06a_Info_Title Zchn"/>
    <w:link w:val="06aInfoTitle"/>
    <w:rsid w:val="00C13ED7"/>
    <w:rPr>
      <w:rFonts w:ascii="Georgia" w:hAnsi="Georgia"/>
      <w:b/>
      <w:sz w:val="16"/>
      <w:szCs w:val="24"/>
      <w:lang w:val="en-GB" w:eastAsia="de-DE" w:bidi="ar-SA"/>
    </w:rPr>
  </w:style>
  <w:style w:type="paragraph" w:customStyle="1" w:styleId="04cA">
    <w:name w:val="04c_A"/>
    <w:aliases w:val="B,C"/>
    <w:rsid w:val="004B21AB"/>
    <w:pPr>
      <w:tabs>
        <w:tab w:val="num" w:pos="907"/>
      </w:tabs>
      <w:spacing w:line="276" w:lineRule="auto"/>
      <w:ind w:left="340" w:firstLine="227"/>
    </w:pPr>
    <w:rPr>
      <w:rFonts w:ascii="Georgia" w:hAnsi="Georgia"/>
      <w:szCs w:val="24"/>
      <w:lang w:eastAsia="de-DE"/>
    </w:rPr>
  </w:style>
  <w:style w:type="paragraph" w:customStyle="1" w:styleId="05Headline1">
    <w:name w:val="05_Headline 1"/>
    <w:basedOn w:val="04BodyText"/>
    <w:rsid w:val="00942BD6"/>
    <w:pPr>
      <w:spacing w:line="300" w:lineRule="exact"/>
    </w:pPr>
    <w:rPr>
      <w:b/>
      <w:sz w:val="24"/>
    </w:rPr>
  </w:style>
  <w:style w:type="paragraph" w:customStyle="1" w:styleId="05aHeadline2">
    <w:name w:val="05a_Headline 2"/>
    <w:basedOn w:val="05Headline1"/>
    <w:next w:val="04BodyText"/>
    <w:rsid w:val="00942BD6"/>
    <w:pPr>
      <w:keepNext/>
      <w:tabs>
        <w:tab w:val="left" w:pos="397"/>
        <w:tab w:val="num" w:pos="567"/>
      </w:tabs>
      <w:spacing w:after="280" w:line="280" w:lineRule="exact"/>
      <w:ind w:left="567" w:hanging="567"/>
    </w:pPr>
    <w:rPr>
      <w:sz w:val="20"/>
    </w:rPr>
  </w:style>
  <w:style w:type="paragraph" w:customStyle="1" w:styleId="06Headline2blue">
    <w:name w:val="06_Headline 2 blue"/>
    <w:basedOn w:val="05aHeadline2"/>
    <w:next w:val="06aRunningtextblue"/>
    <w:rsid w:val="00942BD6"/>
    <w:pPr>
      <w:pBdr>
        <w:top w:val="single" w:sz="4" w:space="10" w:color="283583"/>
      </w:pBdr>
      <w:tabs>
        <w:tab w:val="clear" w:pos="567"/>
        <w:tab w:val="num" w:pos="284"/>
      </w:tabs>
      <w:ind w:left="284" w:hanging="284"/>
    </w:pPr>
    <w:rPr>
      <w:color w:val="2D4190"/>
    </w:rPr>
  </w:style>
  <w:style w:type="paragraph" w:customStyle="1" w:styleId="06aRunningtextblue">
    <w:name w:val="06a_Running text blue"/>
    <w:basedOn w:val="04BodyText"/>
    <w:rsid w:val="00942BD6"/>
    <w:pPr>
      <w:pBdr>
        <w:bottom w:val="single" w:sz="4" w:space="12" w:color="283583"/>
      </w:pBdr>
    </w:pPr>
    <w:rPr>
      <w:color w:val="2D4190"/>
    </w:rPr>
  </w:style>
  <w:style w:type="paragraph" w:customStyle="1" w:styleId="04cBodytextleft">
    <w:name w:val="04c_Body text left"/>
    <w:basedOn w:val="04BodyText"/>
    <w:rsid w:val="00942BD6"/>
    <w:pPr>
      <w:spacing w:after="0"/>
      <w:jc w:val="left"/>
    </w:pPr>
  </w:style>
  <w:style w:type="paragraph" w:customStyle="1" w:styleId="Style04RunningTextBold">
    <w:name w:val="Style 04_Running Text + Bold"/>
    <w:basedOn w:val="04BodyText"/>
    <w:rsid w:val="00942BD6"/>
    <w:pPr>
      <w:keepNext/>
    </w:pPr>
    <w:rPr>
      <w:b/>
      <w:bCs/>
    </w:rPr>
  </w:style>
  <w:style w:type="character" w:styleId="CommentReference">
    <w:name w:val="annotation reference"/>
    <w:uiPriority w:val="99"/>
    <w:rsid w:val="004B1E61"/>
    <w:rPr>
      <w:sz w:val="16"/>
      <w:szCs w:val="16"/>
    </w:rPr>
  </w:style>
  <w:style w:type="paragraph" w:styleId="CommentText">
    <w:name w:val="annotation text"/>
    <w:basedOn w:val="Normal"/>
    <w:link w:val="CommentTextChar"/>
    <w:uiPriority w:val="99"/>
    <w:rsid w:val="004B1E61"/>
    <w:rPr>
      <w:szCs w:val="20"/>
    </w:rPr>
  </w:style>
  <w:style w:type="character" w:customStyle="1" w:styleId="CommentTextChar">
    <w:name w:val="Comment Text Char"/>
    <w:link w:val="CommentText"/>
    <w:uiPriority w:val="99"/>
    <w:rsid w:val="004B1E61"/>
    <w:rPr>
      <w:rFonts w:ascii="Georgia" w:hAnsi="Georgia"/>
      <w:lang w:eastAsia="de-DE"/>
    </w:rPr>
  </w:style>
  <w:style w:type="paragraph" w:styleId="CommentSubject">
    <w:name w:val="annotation subject"/>
    <w:basedOn w:val="CommentText"/>
    <w:next w:val="CommentText"/>
    <w:link w:val="CommentSubjectChar"/>
    <w:rsid w:val="004B1E61"/>
    <w:rPr>
      <w:b/>
      <w:bCs/>
    </w:rPr>
  </w:style>
  <w:style w:type="character" w:customStyle="1" w:styleId="CommentSubjectChar">
    <w:name w:val="Comment Subject Char"/>
    <w:link w:val="CommentSubject"/>
    <w:rsid w:val="004B1E61"/>
    <w:rPr>
      <w:rFonts w:ascii="Georgia" w:hAnsi="Georgia"/>
      <w:b/>
      <w:bCs/>
      <w:lang w:eastAsia="de-DE"/>
    </w:rPr>
  </w:style>
  <w:style w:type="paragraph" w:styleId="BalloonText">
    <w:name w:val="Balloon Text"/>
    <w:basedOn w:val="Normal"/>
    <w:link w:val="BalloonTextChar"/>
    <w:rsid w:val="004B1E61"/>
    <w:rPr>
      <w:rFonts w:ascii="Tahoma" w:hAnsi="Tahoma" w:cs="Tahoma"/>
      <w:sz w:val="16"/>
      <w:szCs w:val="16"/>
    </w:rPr>
  </w:style>
  <w:style w:type="character" w:customStyle="1" w:styleId="BalloonTextChar">
    <w:name w:val="Balloon Text Char"/>
    <w:link w:val="BalloonText"/>
    <w:rsid w:val="004B1E61"/>
    <w:rPr>
      <w:rFonts w:ascii="Tahoma" w:hAnsi="Tahoma" w:cs="Tahoma"/>
      <w:sz w:val="16"/>
      <w:szCs w:val="16"/>
      <w:lang w:eastAsia="de-DE"/>
    </w:rPr>
  </w:style>
  <w:style w:type="paragraph" w:styleId="ListParagraph">
    <w:name w:val="List Paragraph"/>
    <w:aliases w:val="Paragraphe EI,Paragraphe de liste1,EC"/>
    <w:basedOn w:val="Normal"/>
    <w:link w:val="ListParagraphChar"/>
    <w:uiPriority w:val="99"/>
    <w:qFormat/>
    <w:rsid w:val="002A0C82"/>
    <w:pPr>
      <w:ind w:left="720"/>
      <w:contextualSpacing/>
    </w:pPr>
  </w:style>
  <w:style w:type="paragraph" w:styleId="TOCHeading">
    <w:name w:val="TOC Heading"/>
    <w:basedOn w:val="Heading1"/>
    <w:next w:val="Normal"/>
    <w:uiPriority w:val="39"/>
    <w:unhideWhenUsed/>
    <w:qFormat/>
    <w:rsid w:val="001C0344"/>
    <w:pPr>
      <w:keepLines/>
      <w:numPr>
        <w:numId w:val="0"/>
      </w:numPr>
      <w:spacing w:before="480" w:after="0" w:line="276" w:lineRule="auto"/>
      <w:outlineLvl w:val="9"/>
    </w:pPr>
    <w:rPr>
      <w:rFonts w:ascii="Cambria" w:hAnsi="Cambria" w:cs="Times New Roman"/>
      <w:color w:val="365F91"/>
      <w:kern w:val="0"/>
      <w:sz w:val="28"/>
      <w:szCs w:val="28"/>
      <w:lang w:val="en-US" w:eastAsia="ja-JP"/>
    </w:rPr>
  </w:style>
  <w:style w:type="paragraph" w:customStyle="1" w:styleId="04aNumeration">
    <w:name w:val="04a_Numeration"/>
    <w:basedOn w:val="04BodyText"/>
    <w:link w:val="04aNumerationChar"/>
    <w:rsid w:val="00611293"/>
    <w:pPr>
      <w:tabs>
        <w:tab w:val="num" w:pos="454"/>
      </w:tabs>
      <w:ind w:left="454" w:hanging="454"/>
    </w:pPr>
    <w:rPr>
      <w:lang w:val="fr-FR"/>
    </w:rPr>
  </w:style>
  <w:style w:type="character" w:customStyle="1" w:styleId="04aNumerationChar">
    <w:name w:val="04a_Numeration Char"/>
    <w:link w:val="04aNumeration"/>
    <w:locked/>
    <w:rsid w:val="00611293"/>
    <w:rPr>
      <w:rFonts w:ascii="Georgia" w:hAnsi="Georgia"/>
      <w:szCs w:val="24"/>
      <w:lang w:val="fr-FR" w:eastAsia="de-DE"/>
    </w:rPr>
  </w:style>
  <w:style w:type="character" w:customStyle="1" w:styleId="FootnoteTextChar">
    <w:name w:val="Footnote Text Char"/>
    <w:aliases w:val="Char3 Char, Char3 Char,Fußnotentextf Char,Fußnotentextr Char,stile 1 Char,Footnote1 Char,Footnote2 Char,Footnote3 Char,Footnote4 Char,Footnote5 Char,Footnote6 Char,Footnote7 Char,Footnote8 Char,Footnote9 Char,Footnote10 Char"/>
    <w:link w:val="FootnoteText"/>
    <w:uiPriority w:val="99"/>
    <w:locked/>
    <w:rsid w:val="00D0272C"/>
    <w:rPr>
      <w:rFonts w:ascii="Georgia" w:hAnsi="Georgia"/>
      <w:sz w:val="16"/>
      <w:lang w:eastAsia="de-DE"/>
    </w:rPr>
  </w:style>
  <w:style w:type="paragraph" w:customStyle="1" w:styleId="DPpara">
    <w:name w:val="DP para"/>
    <w:basedOn w:val="04aNumeration"/>
    <w:link w:val="DPparaChar"/>
    <w:rsid w:val="00D0272C"/>
    <w:pPr>
      <w:numPr>
        <w:numId w:val="6"/>
      </w:numPr>
    </w:pPr>
    <w:rPr>
      <w:szCs w:val="20"/>
    </w:rPr>
  </w:style>
  <w:style w:type="character" w:customStyle="1" w:styleId="DPparaChar">
    <w:name w:val="DP para Char"/>
    <w:link w:val="DPpara"/>
    <w:locked/>
    <w:rsid w:val="00D0272C"/>
    <w:rPr>
      <w:rFonts w:ascii="Arial" w:hAnsi="Arial"/>
      <w:lang w:val="fr-FR" w:eastAsia="de-DE"/>
    </w:rPr>
  </w:style>
  <w:style w:type="character" w:customStyle="1" w:styleId="CommentTextChar1">
    <w:name w:val="Comment Text Char1"/>
    <w:rsid w:val="008E1B6A"/>
    <w:rPr>
      <w:rFonts w:ascii="Georgia" w:hAnsi="Georgia"/>
      <w:lang w:eastAsia="de-DE"/>
    </w:rPr>
  </w:style>
  <w:style w:type="character" w:customStyle="1" w:styleId="FootnoteTextChar1">
    <w:name w:val="Footnote Text Char1"/>
    <w:aliases w:val="Char3 Char1, Char3 Char1"/>
    <w:locked/>
    <w:rsid w:val="008E1B6A"/>
    <w:rPr>
      <w:rFonts w:ascii="Georgia" w:hAnsi="Georgia"/>
      <w:sz w:val="16"/>
      <w:lang w:eastAsia="de-DE"/>
    </w:rPr>
  </w:style>
  <w:style w:type="paragraph" w:customStyle="1" w:styleId="Default">
    <w:name w:val="Default"/>
    <w:rsid w:val="008E1B6A"/>
    <w:pPr>
      <w:autoSpaceDE w:val="0"/>
      <w:autoSpaceDN w:val="0"/>
      <w:adjustRightInd w:val="0"/>
    </w:pPr>
    <w:rPr>
      <w:rFonts w:ascii="Georgia" w:hAnsi="Georgia" w:cs="Georgia"/>
      <w:color w:val="000000"/>
      <w:sz w:val="24"/>
      <w:szCs w:val="24"/>
      <w:lang w:val="fr-FR"/>
    </w:rPr>
  </w:style>
  <w:style w:type="character" w:customStyle="1" w:styleId="hps">
    <w:name w:val="hps"/>
    <w:basedOn w:val="DefaultParagraphFont"/>
    <w:rsid w:val="008E1B6A"/>
  </w:style>
  <w:style w:type="paragraph" w:customStyle="1" w:styleId="ManualNumPar1">
    <w:name w:val="Manual NumPar 1"/>
    <w:basedOn w:val="Normal"/>
    <w:next w:val="Normal"/>
    <w:link w:val="ManualNumPar1Char"/>
    <w:uiPriority w:val="99"/>
    <w:rsid w:val="003779C1"/>
    <w:pPr>
      <w:spacing w:before="120" w:after="120" w:line="360" w:lineRule="auto"/>
      <w:ind w:left="850" w:hanging="850"/>
      <w:outlineLvl w:val="0"/>
    </w:pPr>
    <w:rPr>
      <w:rFonts w:ascii="Times New Roman" w:hAnsi="Times New Roman"/>
      <w:sz w:val="24"/>
      <w:lang w:eastAsia="en-US"/>
    </w:rPr>
  </w:style>
  <w:style w:type="character" w:customStyle="1" w:styleId="ManualNumPar1Char">
    <w:name w:val="Manual NumPar 1 Char"/>
    <w:link w:val="ManualNumPar1"/>
    <w:uiPriority w:val="99"/>
    <w:locked/>
    <w:rsid w:val="003779C1"/>
    <w:rPr>
      <w:sz w:val="24"/>
      <w:szCs w:val="24"/>
      <w:lang w:eastAsia="en-US"/>
    </w:rPr>
  </w:style>
  <w:style w:type="character" w:customStyle="1" w:styleId="Heading1Char">
    <w:name w:val="Heading 1 Char"/>
    <w:link w:val="Heading1"/>
    <w:rsid w:val="009E7724"/>
    <w:rPr>
      <w:rFonts w:ascii="Arial" w:hAnsi="Arial" w:cs="Arial"/>
      <w:b/>
      <w:bCs/>
      <w:kern w:val="32"/>
      <w:sz w:val="24"/>
      <w:szCs w:val="32"/>
      <w:lang w:eastAsia="de-DE"/>
    </w:rPr>
  </w:style>
  <w:style w:type="character" w:customStyle="1" w:styleId="Heading2Char">
    <w:name w:val="Heading 2 Char"/>
    <w:rsid w:val="00DB4121"/>
    <w:rPr>
      <w:rFonts w:ascii="Georgia" w:hAnsi="Georgia" w:cs="Arial"/>
      <w:bCs/>
      <w:i/>
      <w:kern w:val="32"/>
      <w:szCs w:val="32"/>
      <w:lang w:eastAsia="de-DE"/>
    </w:rPr>
  </w:style>
  <w:style w:type="character" w:styleId="Emphasis">
    <w:name w:val="Emphasis"/>
    <w:uiPriority w:val="20"/>
    <w:qFormat/>
    <w:rsid w:val="005F028E"/>
    <w:rPr>
      <w:i/>
      <w:iCs/>
    </w:rPr>
  </w:style>
  <w:style w:type="paragraph" w:styleId="Revision">
    <w:name w:val="Revision"/>
    <w:link w:val="RevisionChar"/>
    <w:hidden/>
    <w:uiPriority w:val="99"/>
    <w:semiHidden/>
    <w:rsid w:val="008E6A37"/>
    <w:rPr>
      <w:rFonts w:ascii="Georgia" w:hAnsi="Georgia"/>
      <w:sz w:val="22"/>
      <w:szCs w:val="24"/>
      <w:lang w:eastAsia="de-DE"/>
    </w:rPr>
  </w:style>
  <w:style w:type="paragraph" w:styleId="TOC3">
    <w:name w:val="toc 3"/>
    <w:basedOn w:val="Normal"/>
    <w:next w:val="Normal"/>
    <w:autoRedefine/>
    <w:uiPriority w:val="39"/>
    <w:qFormat/>
    <w:rsid w:val="00463787"/>
    <w:pPr>
      <w:spacing w:after="100"/>
      <w:ind w:left="440"/>
    </w:pPr>
  </w:style>
  <w:style w:type="character" w:customStyle="1" w:styleId="SprechblasentextZeichen">
    <w:name w:val="Sprechblasentext Zeichen"/>
    <w:uiPriority w:val="99"/>
    <w:semiHidden/>
    <w:rsid w:val="00F377CD"/>
    <w:rPr>
      <w:rFonts w:ascii="Lucida Grande" w:hAnsi="Lucida Grande"/>
      <w:sz w:val="18"/>
      <w:szCs w:val="18"/>
    </w:rPr>
  </w:style>
  <w:style w:type="paragraph" w:customStyle="1" w:styleId="CM3">
    <w:name w:val="CM3"/>
    <w:basedOn w:val="Normal"/>
    <w:next w:val="Normal"/>
    <w:uiPriority w:val="99"/>
    <w:rsid w:val="00F377CD"/>
    <w:pPr>
      <w:autoSpaceDE w:val="0"/>
      <w:autoSpaceDN w:val="0"/>
      <w:adjustRightInd w:val="0"/>
    </w:pPr>
    <w:rPr>
      <w:rFonts w:ascii="EUAlbertina" w:eastAsia="Calibri" w:hAnsi="EUAlbertina"/>
      <w:sz w:val="24"/>
      <w:lang w:val="fr-FR" w:eastAsia="en-US"/>
    </w:rPr>
  </w:style>
  <w:style w:type="paragraph" w:customStyle="1" w:styleId="CM4">
    <w:name w:val="CM4"/>
    <w:basedOn w:val="Normal"/>
    <w:next w:val="Normal"/>
    <w:uiPriority w:val="99"/>
    <w:rsid w:val="00F377CD"/>
    <w:pPr>
      <w:autoSpaceDE w:val="0"/>
      <w:autoSpaceDN w:val="0"/>
      <w:adjustRightInd w:val="0"/>
    </w:pPr>
    <w:rPr>
      <w:rFonts w:ascii="EUAlbertina" w:eastAsia="Calibri" w:hAnsi="EUAlbertina"/>
      <w:sz w:val="24"/>
      <w:lang w:val="fr-FR" w:eastAsia="en-US"/>
    </w:rPr>
  </w:style>
  <w:style w:type="paragraph" w:styleId="TOC4">
    <w:name w:val="toc 4"/>
    <w:basedOn w:val="Normal"/>
    <w:next w:val="Normal"/>
    <w:autoRedefine/>
    <w:uiPriority w:val="39"/>
    <w:unhideWhenUsed/>
    <w:rsid w:val="00F377CD"/>
    <w:pPr>
      <w:spacing w:after="100" w:line="276" w:lineRule="auto"/>
      <w:ind w:left="660"/>
    </w:pPr>
    <w:rPr>
      <w:rFonts w:ascii="Calibri" w:hAnsi="Calibri"/>
      <w:szCs w:val="22"/>
      <w:lang w:eastAsia="en-GB"/>
    </w:rPr>
  </w:style>
  <w:style w:type="paragraph" w:styleId="TOC5">
    <w:name w:val="toc 5"/>
    <w:basedOn w:val="Normal"/>
    <w:next w:val="Normal"/>
    <w:autoRedefine/>
    <w:uiPriority w:val="39"/>
    <w:unhideWhenUsed/>
    <w:rsid w:val="00F377CD"/>
    <w:pPr>
      <w:spacing w:after="100" w:line="276" w:lineRule="auto"/>
      <w:ind w:left="880"/>
    </w:pPr>
    <w:rPr>
      <w:rFonts w:ascii="Calibri" w:hAnsi="Calibri"/>
      <w:szCs w:val="22"/>
      <w:lang w:eastAsia="en-GB"/>
    </w:rPr>
  </w:style>
  <w:style w:type="paragraph" w:styleId="TOC6">
    <w:name w:val="toc 6"/>
    <w:basedOn w:val="Normal"/>
    <w:next w:val="Normal"/>
    <w:autoRedefine/>
    <w:uiPriority w:val="39"/>
    <w:unhideWhenUsed/>
    <w:rsid w:val="00F377CD"/>
    <w:pPr>
      <w:spacing w:after="100" w:line="276" w:lineRule="auto"/>
      <w:ind w:left="1100"/>
    </w:pPr>
    <w:rPr>
      <w:rFonts w:ascii="Calibri" w:hAnsi="Calibri"/>
      <w:szCs w:val="22"/>
      <w:lang w:eastAsia="en-GB"/>
    </w:rPr>
  </w:style>
  <w:style w:type="paragraph" w:styleId="TOC7">
    <w:name w:val="toc 7"/>
    <w:basedOn w:val="Normal"/>
    <w:next w:val="Normal"/>
    <w:autoRedefine/>
    <w:uiPriority w:val="39"/>
    <w:unhideWhenUsed/>
    <w:rsid w:val="00F377CD"/>
    <w:pPr>
      <w:spacing w:after="100" w:line="276" w:lineRule="auto"/>
      <w:ind w:left="1320"/>
    </w:pPr>
    <w:rPr>
      <w:rFonts w:ascii="Calibri" w:hAnsi="Calibri"/>
      <w:szCs w:val="22"/>
      <w:lang w:eastAsia="en-GB"/>
    </w:rPr>
  </w:style>
  <w:style w:type="paragraph" w:styleId="TOC8">
    <w:name w:val="toc 8"/>
    <w:basedOn w:val="Normal"/>
    <w:next w:val="Normal"/>
    <w:autoRedefine/>
    <w:uiPriority w:val="39"/>
    <w:unhideWhenUsed/>
    <w:rsid w:val="00F377CD"/>
    <w:pPr>
      <w:spacing w:after="100" w:line="276" w:lineRule="auto"/>
      <w:ind w:left="1540"/>
    </w:pPr>
    <w:rPr>
      <w:rFonts w:ascii="Calibri" w:hAnsi="Calibri"/>
      <w:szCs w:val="22"/>
      <w:lang w:eastAsia="en-GB"/>
    </w:rPr>
  </w:style>
  <w:style w:type="paragraph" w:styleId="TOC9">
    <w:name w:val="toc 9"/>
    <w:basedOn w:val="Normal"/>
    <w:next w:val="Normal"/>
    <w:autoRedefine/>
    <w:uiPriority w:val="39"/>
    <w:unhideWhenUsed/>
    <w:rsid w:val="00F377CD"/>
    <w:pPr>
      <w:spacing w:after="100" w:line="276" w:lineRule="auto"/>
      <w:ind w:left="1760"/>
    </w:pPr>
    <w:rPr>
      <w:rFonts w:ascii="Calibri" w:hAnsi="Calibri"/>
      <w:szCs w:val="22"/>
      <w:lang w:eastAsia="en-GB"/>
    </w:rPr>
  </w:style>
  <w:style w:type="character" w:customStyle="1" w:styleId="DeltaViewInsertion">
    <w:name w:val="DeltaView Insertion"/>
    <w:uiPriority w:val="99"/>
    <w:rsid w:val="00F377CD"/>
    <w:rPr>
      <w:b/>
      <w:bCs/>
      <w:color w:val="FFFFFF"/>
      <w:spacing w:val="0"/>
      <w:u w:val="single"/>
    </w:rPr>
  </w:style>
  <w:style w:type="paragraph" w:styleId="Caption">
    <w:name w:val="caption"/>
    <w:basedOn w:val="Normal"/>
    <w:next w:val="Normal"/>
    <w:unhideWhenUsed/>
    <w:qFormat/>
    <w:rsid w:val="00E21407"/>
    <w:pPr>
      <w:spacing w:after="200"/>
    </w:pPr>
    <w:rPr>
      <w:b/>
      <w:bCs/>
      <w:sz w:val="18"/>
      <w:szCs w:val="18"/>
    </w:rPr>
  </w:style>
  <w:style w:type="character" w:customStyle="1" w:styleId="Heading5Char">
    <w:name w:val="Heading 5 Char"/>
    <w:uiPriority w:val="9"/>
    <w:rsid w:val="00251EA9"/>
    <w:rPr>
      <w:rFonts w:ascii="Georgia" w:eastAsia="Times New Roman" w:hAnsi="Georgia" w:cs="Times New Roman"/>
      <w:b/>
      <w:szCs w:val="24"/>
      <w:lang w:eastAsia="de-DE"/>
    </w:rPr>
  </w:style>
  <w:style w:type="paragraph" w:styleId="NormalWeb">
    <w:name w:val="Normal (Web)"/>
    <w:basedOn w:val="Normal"/>
    <w:uiPriority w:val="99"/>
    <w:rsid w:val="00900E7A"/>
    <w:pPr>
      <w:spacing w:before="100" w:beforeAutospacing="1" w:after="100" w:afterAutospacing="1"/>
    </w:pPr>
    <w:rPr>
      <w:rFonts w:ascii="Times New Roman" w:hAnsi="Times New Roman"/>
      <w:sz w:val="24"/>
      <w:lang w:val="fr-FR" w:eastAsia="fr-FR"/>
    </w:rPr>
  </w:style>
  <w:style w:type="character" w:customStyle="1" w:styleId="Heading5Char1">
    <w:name w:val="Heading 5 Char1"/>
    <w:rsid w:val="00BF1620"/>
    <w:rPr>
      <w:rFonts w:ascii="Georgia" w:hAnsi="Georgia"/>
      <w:b/>
      <w:bCs/>
      <w:iCs/>
      <w:szCs w:val="26"/>
      <w:lang w:eastAsia="de-DE"/>
    </w:rPr>
  </w:style>
  <w:style w:type="paragraph" w:styleId="DocumentMap">
    <w:name w:val="Document Map"/>
    <w:basedOn w:val="Normal"/>
    <w:link w:val="DocumentMapChar"/>
    <w:rsid w:val="00AA016B"/>
    <w:rPr>
      <w:rFonts w:ascii="Tahoma" w:hAnsi="Tahoma" w:cs="Tahoma"/>
      <w:sz w:val="16"/>
      <w:szCs w:val="16"/>
    </w:rPr>
  </w:style>
  <w:style w:type="character" w:customStyle="1" w:styleId="DocumentMapChar">
    <w:name w:val="Document Map Char"/>
    <w:link w:val="DocumentMap"/>
    <w:rsid w:val="00AA016B"/>
    <w:rPr>
      <w:rFonts w:ascii="Tahoma" w:hAnsi="Tahoma" w:cs="Tahoma"/>
      <w:sz w:val="16"/>
      <w:szCs w:val="16"/>
      <w:lang w:eastAsia="de-DE"/>
    </w:rPr>
  </w:style>
  <w:style w:type="paragraph" w:styleId="PlainText">
    <w:name w:val="Plain Text"/>
    <w:basedOn w:val="Normal"/>
    <w:link w:val="PlainTextChar"/>
    <w:unhideWhenUsed/>
    <w:rsid w:val="00AA016B"/>
    <w:rPr>
      <w:rFonts w:ascii="Consolas" w:hAnsi="Consolas"/>
      <w:sz w:val="21"/>
      <w:szCs w:val="21"/>
      <w:lang w:val="de-DE"/>
    </w:rPr>
  </w:style>
  <w:style w:type="character" w:customStyle="1" w:styleId="PlainTextChar">
    <w:name w:val="Plain Text Char"/>
    <w:link w:val="PlainText"/>
    <w:rsid w:val="00AA016B"/>
    <w:rPr>
      <w:rFonts w:ascii="Consolas" w:hAnsi="Consolas"/>
      <w:sz w:val="21"/>
      <w:szCs w:val="21"/>
      <w:lang w:val="de-DE" w:eastAsia="de-DE"/>
    </w:rPr>
  </w:style>
  <w:style w:type="paragraph" w:styleId="BodyText">
    <w:name w:val="Body Text"/>
    <w:basedOn w:val="Normal"/>
    <w:link w:val="BodyTextChar"/>
    <w:unhideWhenUsed/>
    <w:rsid w:val="00AA016B"/>
    <w:pPr>
      <w:numPr>
        <w:numId w:val="8"/>
      </w:numPr>
      <w:spacing w:after="240"/>
      <w:jc w:val="both"/>
    </w:pPr>
    <w:rPr>
      <w:rFonts w:ascii="Times New Roman" w:hAnsi="Times New Roman"/>
      <w:sz w:val="24"/>
      <w:szCs w:val="20"/>
      <w:lang w:eastAsia="en-GB"/>
    </w:rPr>
  </w:style>
  <w:style w:type="character" w:customStyle="1" w:styleId="BodyTextChar">
    <w:name w:val="Body Text Char"/>
    <w:link w:val="BodyText"/>
    <w:rsid w:val="00AA016B"/>
    <w:rPr>
      <w:sz w:val="24"/>
    </w:rPr>
  </w:style>
  <w:style w:type="paragraph" w:customStyle="1" w:styleId="ListParagraph1">
    <w:name w:val="List Paragraph1"/>
    <w:basedOn w:val="Normal"/>
    <w:qFormat/>
    <w:rsid w:val="00F67F04"/>
    <w:pPr>
      <w:spacing w:after="200" w:line="276" w:lineRule="atLeast"/>
      <w:ind w:left="720"/>
    </w:pPr>
    <w:rPr>
      <w:rFonts w:ascii="Calibri" w:hAnsi="Calibri" w:cs="Calibri"/>
      <w:szCs w:val="20"/>
      <w:lang w:val="el-GR" w:eastAsia="en-US"/>
    </w:rPr>
  </w:style>
  <w:style w:type="character" w:customStyle="1" w:styleId="Heading5Char2">
    <w:name w:val="Heading 5 Char2"/>
    <w:rsid w:val="003E68C7"/>
    <w:rPr>
      <w:rFonts w:ascii="Georgia" w:eastAsia="Times New Roman" w:hAnsi="Georgia" w:cs="Times New Roman"/>
      <w:b/>
      <w:szCs w:val="24"/>
      <w:lang w:eastAsia="de-DE"/>
    </w:rPr>
  </w:style>
  <w:style w:type="character" w:styleId="Strong">
    <w:name w:val="Strong"/>
    <w:aliases w:val="Bolded"/>
    <w:qFormat/>
    <w:rsid w:val="00974881"/>
    <w:rPr>
      <w:b/>
      <w:bCs/>
    </w:rPr>
  </w:style>
  <w:style w:type="character" w:customStyle="1" w:styleId="Strong1">
    <w:name w:val="Strong1"/>
    <w:qFormat/>
    <w:rsid w:val="00974881"/>
    <w:rPr>
      <w:b/>
      <w:bCs/>
    </w:rPr>
  </w:style>
  <w:style w:type="character" w:customStyle="1" w:styleId="Strong2">
    <w:name w:val="Strong2"/>
    <w:qFormat/>
    <w:rsid w:val="00974881"/>
    <w:rPr>
      <w:b/>
      <w:bCs/>
    </w:rPr>
  </w:style>
  <w:style w:type="character" w:customStyle="1" w:styleId="Heading5Char3">
    <w:name w:val="Heading 5 Char3"/>
    <w:rsid w:val="00FC318D"/>
    <w:rPr>
      <w:rFonts w:ascii="Georgia" w:eastAsia="Times New Roman" w:hAnsi="Georgia" w:cs="Times New Roman"/>
      <w:b/>
      <w:szCs w:val="24"/>
      <w:lang w:eastAsia="de-DE"/>
    </w:rPr>
  </w:style>
  <w:style w:type="character" w:customStyle="1" w:styleId="Heading5Char4">
    <w:name w:val="Heading 5 Char4"/>
    <w:rsid w:val="002B4ED8"/>
    <w:rPr>
      <w:rFonts w:ascii="Georgia" w:eastAsia="Times New Roman" w:hAnsi="Georgia" w:cs="Times New Roman"/>
      <w:b/>
      <w:szCs w:val="24"/>
      <w:lang w:eastAsia="de-DE"/>
    </w:rPr>
  </w:style>
  <w:style w:type="character" w:customStyle="1" w:styleId="Heading2Char1">
    <w:name w:val="Heading 2 Char1"/>
    <w:rsid w:val="00885E6F"/>
    <w:rPr>
      <w:rFonts w:ascii="Georgia" w:eastAsia="Times New Roman" w:hAnsi="Georgia" w:cs="Times New Roman"/>
      <w:b/>
      <w:bCs/>
      <w:sz w:val="22"/>
      <w:szCs w:val="26"/>
      <w:lang w:eastAsia="de-DE"/>
    </w:rPr>
  </w:style>
  <w:style w:type="character" w:customStyle="1" w:styleId="Heading3Char">
    <w:name w:val="Heading 3 Char"/>
    <w:rsid w:val="00865B01"/>
    <w:rPr>
      <w:rFonts w:ascii="Georgia" w:eastAsia="Times New Roman" w:hAnsi="Georgia" w:cs="Times New Roman"/>
      <w:b/>
      <w:sz w:val="22"/>
      <w:szCs w:val="26"/>
      <w:lang w:eastAsia="de-DE"/>
    </w:rPr>
  </w:style>
  <w:style w:type="character" w:customStyle="1" w:styleId="Heading5Char5">
    <w:name w:val="Heading 5 Char5"/>
    <w:rsid w:val="0041634D"/>
    <w:rPr>
      <w:rFonts w:ascii="Georgia" w:eastAsia="Times New Roman" w:hAnsi="Georgia" w:cs="Times New Roman"/>
      <w:b/>
      <w:szCs w:val="24"/>
      <w:lang w:eastAsia="de-DE"/>
    </w:rPr>
  </w:style>
  <w:style w:type="character" w:customStyle="1" w:styleId="Heading2Char2">
    <w:name w:val="Heading 2 Char2"/>
    <w:link w:val="Heading2"/>
    <w:rsid w:val="00886A60"/>
    <w:rPr>
      <w:rFonts w:ascii="Georgia" w:eastAsia="Times New Roman" w:hAnsi="Georgia" w:cs="Times New Roman"/>
      <w:b/>
      <w:bCs/>
      <w:sz w:val="22"/>
      <w:szCs w:val="26"/>
      <w:lang w:eastAsia="de-DE"/>
    </w:rPr>
  </w:style>
  <w:style w:type="character" w:customStyle="1" w:styleId="Strong3">
    <w:name w:val="Strong3"/>
    <w:qFormat/>
    <w:rsid w:val="00974881"/>
    <w:rPr>
      <w:b/>
      <w:bCs/>
    </w:rPr>
  </w:style>
  <w:style w:type="character" w:customStyle="1" w:styleId="Heading5Char6">
    <w:name w:val="Heading 5 Char6"/>
    <w:rsid w:val="00C36FD1"/>
    <w:rPr>
      <w:rFonts w:ascii="Georgia" w:eastAsia="Times New Roman" w:hAnsi="Georgia" w:cs="Times New Roman"/>
      <w:b/>
      <w:szCs w:val="24"/>
      <w:lang w:eastAsia="de-DE"/>
    </w:rPr>
  </w:style>
  <w:style w:type="character" w:customStyle="1" w:styleId="Heading4Char">
    <w:name w:val="Heading 4 Char"/>
    <w:rsid w:val="007805B9"/>
    <w:rPr>
      <w:rFonts w:ascii="Georgia" w:eastAsia="Times New Roman" w:hAnsi="Georgia" w:cs="Times New Roman"/>
      <w:b/>
      <w:i/>
      <w:szCs w:val="28"/>
      <w:lang w:eastAsia="de-DE"/>
    </w:rPr>
  </w:style>
  <w:style w:type="character" w:customStyle="1" w:styleId="Heading9Char">
    <w:name w:val="Heading 9 Char"/>
    <w:link w:val="Heading9"/>
    <w:rsid w:val="00A06867"/>
    <w:rPr>
      <w:rFonts w:ascii="Arial" w:hAnsi="Arial" w:cs="Arial"/>
      <w:sz w:val="22"/>
      <w:szCs w:val="22"/>
      <w:lang w:eastAsia="de-DE"/>
    </w:rPr>
  </w:style>
  <w:style w:type="character" w:customStyle="1" w:styleId="italic1">
    <w:name w:val="italic1"/>
    <w:uiPriority w:val="99"/>
    <w:rsid w:val="00A06867"/>
    <w:rPr>
      <w:rFonts w:cs="Times New Roman"/>
      <w:i/>
      <w:iCs/>
    </w:rPr>
  </w:style>
  <w:style w:type="paragraph" w:customStyle="1" w:styleId="5Normal">
    <w:name w:val="5 Normal"/>
    <w:basedOn w:val="Normal"/>
    <w:link w:val="5NormalChar"/>
    <w:rsid w:val="00A06867"/>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spacing w:val="-2"/>
      <w:lang w:eastAsia="en-GB"/>
    </w:rPr>
  </w:style>
  <w:style w:type="character" w:customStyle="1" w:styleId="5NormalChar">
    <w:name w:val="5 Normal Char"/>
    <w:link w:val="5Normal"/>
    <w:locked/>
    <w:rsid w:val="00A06867"/>
    <w:rPr>
      <w:rFonts w:ascii="Verdana" w:hAnsi="Verdana"/>
      <w:spacing w:val="-2"/>
      <w:szCs w:val="24"/>
    </w:rPr>
  </w:style>
  <w:style w:type="character" w:customStyle="1" w:styleId="Heading5Char7">
    <w:name w:val="Heading 5 Char7"/>
    <w:aliases w:val="Questions Char"/>
    <w:rsid w:val="00A06867"/>
    <w:rPr>
      <w:rFonts w:ascii="Georgia" w:eastAsia="Times New Roman" w:hAnsi="Georgia" w:cs="Times New Roman"/>
      <w:b/>
      <w:szCs w:val="24"/>
      <w:lang w:eastAsia="de-DE"/>
    </w:rPr>
  </w:style>
  <w:style w:type="character" w:customStyle="1" w:styleId="Heading5Char8">
    <w:name w:val="Heading 5 Char8"/>
    <w:aliases w:val="Questions Char1"/>
    <w:rsid w:val="00BF114B"/>
    <w:rPr>
      <w:rFonts w:ascii="Georgia" w:eastAsia="Times New Roman" w:hAnsi="Georgia" w:cs="Times New Roman"/>
      <w:b/>
      <w:szCs w:val="24"/>
      <w:lang w:eastAsia="de-DE"/>
    </w:rPr>
  </w:style>
  <w:style w:type="character" w:customStyle="1" w:styleId="Heading7Char">
    <w:name w:val="Heading 7 Char"/>
    <w:link w:val="Heading7"/>
    <w:rsid w:val="002D6E1A"/>
    <w:rPr>
      <w:sz w:val="22"/>
      <w:szCs w:val="24"/>
      <w:lang w:eastAsia="de-DE"/>
    </w:rPr>
  </w:style>
  <w:style w:type="character" w:customStyle="1" w:styleId="Heading6Char">
    <w:name w:val="Heading 6 Char"/>
    <w:link w:val="Heading6"/>
    <w:rsid w:val="002D6E1A"/>
    <w:rPr>
      <w:b/>
      <w:bCs/>
      <w:szCs w:val="22"/>
      <w:lang w:eastAsia="de-DE"/>
    </w:rPr>
  </w:style>
  <w:style w:type="character" w:customStyle="1" w:styleId="Heading8Char">
    <w:name w:val="Heading 8 Char"/>
    <w:link w:val="Heading8"/>
    <w:rsid w:val="002D6E1A"/>
    <w:rPr>
      <w:i/>
      <w:iCs/>
      <w:szCs w:val="24"/>
      <w:lang w:eastAsia="de-DE"/>
    </w:rPr>
  </w:style>
  <w:style w:type="numbering" w:customStyle="1" w:styleId="NoList1">
    <w:name w:val="No List1"/>
    <w:next w:val="NoList"/>
    <w:uiPriority w:val="99"/>
    <w:semiHidden/>
    <w:unhideWhenUsed/>
    <w:rsid w:val="002D6E1A"/>
  </w:style>
  <w:style w:type="character" w:styleId="FollowedHyperlink">
    <w:name w:val="FollowedHyperlink"/>
    <w:unhideWhenUsed/>
    <w:rsid w:val="002D6E1A"/>
    <w:rPr>
      <w:color w:val="800080"/>
      <w:u w:val="single"/>
    </w:rPr>
  </w:style>
  <w:style w:type="character" w:customStyle="1" w:styleId="HeaderChar">
    <w:name w:val="Header Char"/>
    <w:link w:val="Header"/>
    <w:rsid w:val="002D6E1A"/>
    <w:rPr>
      <w:rFonts w:ascii="Georgia" w:hAnsi="Georgia"/>
      <w:sz w:val="22"/>
      <w:szCs w:val="24"/>
      <w:lang w:eastAsia="de-DE"/>
    </w:rPr>
  </w:style>
  <w:style w:type="character" w:customStyle="1" w:styleId="FooterChar">
    <w:name w:val="Footer Char"/>
    <w:link w:val="Footer"/>
    <w:rsid w:val="002D6E1A"/>
    <w:rPr>
      <w:rFonts w:ascii="Georgia" w:hAnsi="Georgia"/>
      <w:sz w:val="22"/>
      <w:szCs w:val="24"/>
      <w:lang w:eastAsia="de-DE"/>
    </w:rPr>
  </w:style>
  <w:style w:type="paragraph" w:styleId="EndnoteText">
    <w:name w:val="endnote text"/>
    <w:basedOn w:val="Normal"/>
    <w:link w:val="EndnoteTextChar"/>
    <w:unhideWhenUsed/>
    <w:rsid w:val="002D6E1A"/>
    <w:rPr>
      <w:szCs w:val="20"/>
    </w:rPr>
  </w:style>
  <w:style w:type="character" w:customStyle="1" w:styleId="EndnoteTextChar">
    <w:name w:val="Endnote Text Char"/>
    <w:link w:val="EndnoteText"/>
    <w:rsid w:val="002D6E1A"/>
    <w:rPr>
      <w:rFonts w:ascii="Georgia" w:hAnsi="Georgia"/>
      <w:lang w:eastAsia="de-DE"/>
    </w:rPr>
  </w:style>
  <w:style w:type="paragraph" w:styleId="ListNumber">
    <w:name w:val="List Number"/>
    <w:basedOn w:val="Normal"/>
    <w:unhideWhenUsed/>
    <w:rsid w:val="002D6E1A"/>
    <w:pPr>
      <w:numPr>
        <w:numId w:val="9"/>
      </w:numPr>
      <w:spacing w:before="120" w:after="120"/>
      <w:ind w:left="360" w:hanging="360"/>
      <w:jc w:val="both"/>
    </w:pPr>
    <w:rPr>
      <w:rFonts w:ascii="Times New Roman" w:hAnsi="Times New Roman"/>
      <w:sz w:val="24"/>
      <w:lang w:eastAsia="en-US"/>
    </w:rPr>
  </w:style>
  <w:style w:type="character" w:customStyle="1" w:styleId="ListParagraphChar">
    <w:name w:val="List Paragraph Char"/>
    <w:aliases w:val="Paragraphe EI Char,Paragraphe de liste1 Char,EC Char"/>
    <w:link w:val="ListParagraph"/>
    <w:uiPriority w:val="99"/>
    <w:locked/>
    <w:rsid w:val="002D6E1A"/>
    <w:rPr>
      <w:rFonts w:ascii="Georgia" w:hAnsi="Georgia"/>
      <w:sz w:val="22"/>
      <w:szCs w:val="24"/>
      <w:lang w:eastAsia="de-DE"/>
    </w:rPr>
  </w:style>
  <w:style w:type="paragraph" w:customStyle="1" w:styleId="04anumbering0">
    <w:name w:val="04anumbering"/>
    <w:basedOn w:val="Normal"/>
    <w:rsid w:val="002D6E1A"/>
    <w:pPr>
      <w:tabs>
        <w:tab w:val="num" w:pos="360"/>
      </w:tabs>
      <w:spacing w:after="250" w:line="276" w:lineRule="auto"/>
      <w:jc w:val="both"/>
    </w:pPr>
    <w:rPr>
      <w:rFonts w:eastAsia="Calibri"/>
      <w:szCs w:val="20"/>
      <w:lang w:eastAsia="en-GB"/>
    </w:rPr>
  </w:style>
  <w:style w:type="paragraph" w:customStyle="1" w:styleId="Tiret1">
    <w:name w:val="Tiret 1"/>
    <w:basedOn w:val="Normal"/>
    <w:rsid w:val="002D6E1A"/>
    <w:pPr>
      <w:numPr>
        <w:numId w:val="10"/>
      </w:numPr>
      <w:spacing w:before="120" w:after="120"/>
      <w:jc w:val="both"/>
    </w:pPr>
    <w:rPr>
      <w:rFonts w:ascii="Times New Roman" w:hAnsi="Times New Roman"/>
      <w:sz w:val="24"/>
      <w:lang w:eastAsia="en-US"/>
    </w:rPr>
  </w:style>
  <w:style w:type="character" w:customStyle="1" w:styleId="DPChar">
    <w:name w:val="DP Char"/>
    <w:link w:val="DP"/>
    <w:locked/>
    <w:rsid w:val="002D6E1A"/>
    <w:rPr>
      <w:rFonts w:ascii="Georgia" w:hAnsi="Georgia"/>
      <w:b/>
      <w:u w:val="single"/>
      <w:lang w:eastAsia="de-DE"/>
    </w:rPr>
  </w:style>
  <w:style w:type="paragraph" w:customStyle="1" w:styleId="DP">
    <w:name w:val="DP"/>
    <w:basedOn w:val="ListParagraph"/>
    <w:link w:val="DPChar"/>
    <w:qFormat/>
    <w:rsid w:val="002D6E1A"/>
    <w:pPr>
      <w:ind w:left="708"/>
      <w:contextualSpacing w:val="0"/>
      <w:jc w:val="both"/>
    </w:pPr>
    <w:rPr>
      <w:b/>
      <w:szCs w:val="20"/>
      <w:u w:val="single"/>
    </w:rPr>
  </w:style>
  <w:style w:type="paragraph" w:customStyle="1" w:styleId="Bullet">
    <w:name w:val="Bullet"/>
    <w:basedOn w:val="Normal"/>
    <w:rsid w:val="002D6E1A"/>
    <w:pPr>
      <w:numPr>
        <w:numId w:val="11"/>
      </w:numPr>
      <w:tabs>
        <w:tab w:val="left" w:pos="708"/>
      </w:tabs>
      <w:spacing w:before="120" w:after="120" w:line="276" w:lineRule="auto"/>
      <w:jc w:val="both"/>
    </w:pPr>
    <w:rPr>
      <w:szCs w:val="20"/>
      <w:lang w:eastAsia="en-GB"/>
    </w:rPr>
  </w:style>
  <w:style w:type="character" w:styleId="EndnoteReference">
    <w:name w:val="endnote reference"/>
    <w:unhideWhenUsed/>
    <w:rsid w:val="002D6E1A"/>
    <w:rPr>
      <w:vertAlign w:val="superscript"/>
    </w:rPr>
  </w:style>
  <w:style w:type="character" w:styleId="PlaceholderText">
    <w:name w:val="Placeholder Text"/>
    <w:uiPriority w:val="99"/>
    <w:semiHidden/>
    <w:rsid w:val="002D6E1A"/>
    <w:rPr>
      <w:color w:val="808080"/>
    </w:rPr>
  </w:style>
  <w:style w:type="character" w:customStyle="1" w:styleId="apple-converted-space">
    <w:name w:val="apple-converted-space"/>
    <w:rsid w:val="002D6E1A"/>
  </w:style>
  <w:style w:type="table" w:customStyle="1" w:styleId="TableGrid1">
    <w:name w:val="Table Grid1"/>
    <w:basedOn w:val="TableNormal"/>
    <w:uiPriority w:val="59"/>
    <w:rsid w:val="002D6E1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D6E1A"/>
  </w:style>
  <w:style w:type="paragraph" w:customStyle="1" w:styleId="AutoCorrect">
    <w:name w:val="AutoCorrect"/>
    <w:rsid w:val="002D6E1A"/>
    <w:pPr>
      <w:spacing w:after="200" w:line="276" w:lineRule="auto"/>
    </w:pPr>
    <w:rPr>
      <w:rFonts w:ascii="Calibri" w:hAnsi="Calibri"/>
      <w:sz w:val="22"/>
      <w:szCs w:val="22"/>
      <w:lang w:val="en-US" w:eastAsia="en-US"/>
    </w:rPr>
  </w:style>
  <w:style w:type="character" w:styleId="LineNumber">
    <w:name w:val="line number"/>
    <w:basedOn w:val="DefaultParagraphFont"/>
    <w:uiPriority w:val="99"/>
    <w:unhideWhenUsed/>
    <w:rsid w:val="00952F2C"/>
  </w:style>
  <w:style w:type="paragraph" w:customStyle="1" w:styleId="aStyle">
    <w:name w:val="a) Style"/>
    <w:basedOn w:val="Normal"/>
    <w:qFormat/>
    <w:rsid w:val="00952F2C"/>
    <w:pPr>
      <w:numPr>
        <w:ilvl w:val="1"/>
        <w:numId w:val="12"/>
      </w:numPr>
      <w:suppressAutoHyphens/>
      <w:spacing w:before="120" w:after="120" w:line="276" w:lineRule="auto"/>
      <w:jc w:val="both"/>
    </w:pPr>
    <w:rPr>
      <w:szCs w:val="20"/>
    </w:rPr>
  </w:style>
  <w:style w:type="character" w:customStyle="1" w:styleId="04aNumberingChar">
    <w:name w:val="04a_Numbering Char"/>
    <w:link w:val="04aNumbering"/>
    <w:uiPriority w:val="99"/>
    <w:rsid w:val="00952F2C"/>
    <w:rPr>
      <w:rFonts w:ascii="Georgia" w:hAnsi="Georgia"/>
      <w:szCs w:val="24"/>
      <w:lang w:eastAsia="de-DE"/>
    </w:rPr>
  </w:style>
  <w:style w:type="paragraph" w:customStyle="1" w:styleId="Anwer">
    <w:name w:val="Anwer"/>
    <w:basedOn w:val="Caption"/>
    <w:link w:val="AnwerChar"/>
    <w:qFormat/>
    <w:rsid w:val="00952F2C"/>
    <w:pPr>
      <w:spacing w:before="120"/>
      <w:jc w:val="both"/>
    </w:pPr>
    <w:rPr>
      <w:color w:val="C0504D"/>
    </w:rPr>
  </w:style>
  <w:style w:type="character" w:customStyle="1" w:styleId="AnwerChar">
    <w:name w:val="Anwer Char"/>
    <w:link w:val="Anwer"/>
    <w:rsid w:val="00952F2C"/>
    <w:rPr>
      <w:rFonts w:ascii="Georgia" w:hAnsi="Georgia"/>
      <w:b/>
      <w:bCs/>
      <w:color w:val="C0504D"/>
      <w:sz w:val="18"/>
      <w:szCs w:val="18"/>
      <w:lang w:eastAsia="de-DE"/>
    </w:rPr>
  </w:style>
  <w:style w:type="paragraph" w:customStyle="1" w:styleId="MYNORMAL">
    <w:name w:val="MYNORMAL"/>
    <w:basedOn w:val="04aNumeration"/>
    <w:link w:val="MYNORMALChar"/>
    <w:qFormat/>
    <w:rsid w:val="00952F2C"/>
    <w:pPr>
      <w:tabs>
        <w:tab w:val="clear" w:pos="454"/>
      </w:tabs>
      <w:spacing w:before="120"/>
      <w:ind w:left="0" w:firstLine="0"/>
    </w:pPr>
  </w:style>
  <w:style w:type="character" w:customStyle="1" w:styleId="MYNORMALChar">
    <w:name w:val="MYNORMAL Char"/>
    <w:link w:val="MYNORMAL"/>
    <w:rsid w:val="00952F2C"/>
    <w:rPr>
      <w:rFonts w:ascii="Georgia" w:hAnsi="Georgia"/>
      <w:szCs w:val="24"/>
      <w:lang w:val="fr-FR" w:eastAsia="de-DE"/>
    </w:rPr>
  </w:style>
  <w:style w:type="paragraph" w:customStyle="1" w:styleId="Normal1">
    <w:name w:val="Normal1"/>
    <w:basedOn w:val="Normal"/>
    <w:rsid w:val="00952F2C"/>
    <w:pPr>
      <w:spacing w:before="100" w:beforeAutospacing="1" w:after="100" w:afterAutospacing="1"/>
    </w:pPr>
    <w:rPr>
      <w:rFonts w:ascii="Times New Roman" w:hAnsi="Times New Roman"/>
      <w:sz w:val="24"/>
      <w:lang w:eastAsia="en-GB"/>
    </w:rPr>
  </w:style>
  <w:style w:type="character" w:customStyle="1" w:styleId="Heading5Char9">
    <w:name w:val="Heading 5 Char9"/>
    <w:aliases w:val="Questions Char2"/>
    <w:rsid w:val="004C3DAB"/>
    <w:rPr>
      <w:rFonts w:ascii="Georgia" w:eastAsia="Times New Roman" w:hAnsi="Georgia" w:cs="Times New Roman"/>
      <w:b/>
      <w:szCs w:val="24"/>
      <w:lang w:eastAsia="de-DE"/>
    </w:rPr>
  </w:style>
  <w:style w:type="character" w:customStyle="1" w:styleId="Heading5Char10">
    <w:name w:val="Heading 5 Char10"/>
    <w:aliases w:val="Questions Char3"/>
    <w:rsid w:val="00256DFE"/>
    <w:rPr>
      <w:rFonts w:ascii="Georgia" w:eastAsia="Times New Roman" w:hAnsi="Georgia" w:cs="Times New Roman"/>
      <w:b/>
      <w:szCs w:val="24"/>
      <w:lang w:eastAsia="de-DE"/>
    </w:rPr>
  </w:style>
  <w:style w:type="character" w:customStyle="1" w:styleId="Heading5Char11">
    <w:name w:val="Heading 5 Char11"/>
    <w:aliases w:val="Questions Char4"/>
    <w:rsid w:val="00903EBE"/>
    <w:rPr>
      <w:rFonts w:ascii="Georgia" w:eastAsia="Times New Roman" w:hAnsi="Georgia" w:cs="Times New Roman"/>
      <w:b/>
      <w:szCs w:val="24"/>
      <w:lang w:eastAsia="de-DE"/>
    </w:rPr>
  </w:style>
  <w:style w:type="character" w:customStyle="1" w:styleId="Heading3Char1">
    <w:name w:val="Heading 3 Char1"/>
    <w:rsid w:val="003D6780"/>
    <w:rPr>
      <w:rFonts w:ascii="Georgia" w:eastAsia="Times New Roman" w:hAnsi="Georgia" w:cs="Times New Roman"/>
      <w:b/>
      <w:sz w:val="22"/>
      <w:szCs w:val="26"/>
      <w:lang w:eastAsia="de-DE"/>
    </w:rPr>
  </w:style>
  <w:style w:type="character" w:customStyle="1" w:styleId="Heading5Char12">
    <w:name w:val="Heading 5 Char12"/>
    <w:aliases w:val="Questions Char5"/>
    <w:rsid w:val="003D6780"/>
    <w:rPr>
      <w:rFonts w:ascii="Georgia" w:eastAsia="Times New Roman" w:hAnsi="Georgia" w:cs="Times New Roman"/>
      <w:b/>
      <w:szCs w:val="24"/>
      <w:lang w:eastAsia="de-DE"/>
    </w:rPr>
  </w:style>
  <w:style w:type="character" w:customStyle="1" w:styleId="Heading5Char13">
    <w:name w:val="Heading 5 Char13"/>
    <w:aliases w:val="Questions Char6"/>
    <w:rsid w:val="00704D25"/>
    <w:rPr>
      <w:rFonts w:ascii="Georgia" w:eastAsia="Times New Roman" w:hAnsi="Georgia" w:cs="Times New Roman"/>
      <w:b/>
      <w:szCs w:val="24"/>
      <w:lang w:eastAsia="de-DE"/>
    </w:rPr>
  </w:style>
  <w:style w:type="character" w:customStyle="1" w:styleId="Strong4">
    <w:name w:val="Strong4"/>
    <w:uiPriority w:val="22"/>
    <w:qFormat/>
    <w:rsid w:val="00974881"/>
    <w:rPr>
      <w:b/>
      <w:bCs/>
    </w:rPr>
  </w:style>
  <w:style w:type="character" w:customStyle="1" w:styleId="Heading5Char14">
    <w:name w:val="Heading 5 Char14"/>
    <w:aliases w:val="Questions Char7"/>
    <w:link w:val="Heading5"/>
    <w:uiPriority w:val="9"/>
    <w:rsid w:val="00E9344E"/>
    <w:rPr>
      <w:rFonts w:ascii="Arial" w:hAnsi="Arial"/>
      <w:b/>
      <w:szCs w:val="24"/>
      <w:lang w:eastAsia="de-DE"/>
    </w:rPr>
  </w:style>
  <w:style w:type="character" w:customStyle="1" w:styleId="Heading3Char2">
    <w:name w:val="Heading 3 Char2"/>
    <w:link w:val="Heading3"/>
    <w:rsid w:val="003865E5"/>
    <w:rPr>
      <w:rFonts w:ascii="Cambria" w:eastAsia="Times New Roman" w:hAnsi="Cambria" w:cs="Times New Roman"/>
      <w:b/>
      <w:bCs/>
      <w:color w:val="4F81BD"/>
      <w:sz w:val="22"/>
      <w:szCs w:val="24"/>
      <w:lang w:eastAsia="de-DE"/>
    </w:rPr>
  </w:style>
  <w:style w:type="character" w:customStyle="1" w:styleId="Heading4Char1">
    <w:name w:val="Heading 4 Char1"/>
    <w:link w:val="Heading4"/>
    <w:rsid w:val="00CB7286"/>
    <w:rPr>
      <w:b/>
      <w:bCs/>
      <w:sz w:val="28"/>
      <w:szCs w:val="28"/>
      <w:lang w:eastAsia="de-DE"/>
    </w:rPr>
  </w:style>
  <w:style w:type="table" w:styleId="LightList-Accent3">
    <w:name w:val="Light List Accent 3"/>
    <w:basedOn w:val="TableNormal"/>
    <w:uiPriority w:val="61"/>
    <w:rsid w:val="00CB7286"/>
    <w:rPr>
      <w:rFonts w:ascii="Calibri" w:hAnsi="Calibri"/>
      <w:sz w:val="22"/>
      <w:szCs w:val="22"/>
      <w:lang w:val="de-DE"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ittlereSchattierung1-Akzent11">
    <w:name w:val="Mittlere Schattierung 1 - Akzent 11"/>
    <w:basedOn w:val="TableNormal"/>
    <w:uiPriority w:val="63"/>
    <w:rsid w:val="00CB728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BalloonTextChar1">
    <w:name w:val="Balloon Text Char1"/>
    <w:uiPriority w:val="99"/>
    <w:semiHidden/>
    <w:rsid w:val="000D2D0B"/>
    <w:rPr>
      <w:rFonts w:ascii="Tahoma" w:hAnsi="Tahoma" w:cs="Tahoma"/>
      <w:sz w:val="16"/>
      <w:szCs w:val="16"/>
      <w:lang w:val="en-GB" w:eastAsia="en-GB"/>
    </w:rPr>
  </w:style>
  <w:style w:type="character" w:customStyle="1" w:styleId="31TextobasenotadeprensaCNMVCar">
    <w:name w:val="3.1. Texto base nota de prensa CNMV Car"/>
    <w:rsid w:val="000D2D0B"/>
    <w:rPr>
      <w:rFonts w:ascii="Celeste" w:hAnsi="Celeste" w:cs="Times New Roman"/>
      <w:sz w:val="22"/>
      <w:lang w:val="es-ES" w:eastAsia="es-ES" w:bidi="ar-SA"/>
    </w:rPr>
  </w:style>
  <w:style w:type="paragraph" w:customStyle="1" w:styleId="01Title">
    <w:name w:val="01_Title"/>
    <w:basedOn w:val="Normal"/>
    <w:rsid w:val="000D2D0B"/>
    <w:pPr>
      <w:spacing w:after="250" w:line="340" w:lineRule="exact"/>
      <w:ind w:left="397" w:hanging="397"/>
      <w:jc w:val="both"/>
    </w:pPr>
    <w:rPr>
      <w:b/>
      <w:caps/>
      <w:color w:val="2D4190"/>
      <w:sz w:val="28"/>
      <w:lang w:val="de-DE"/>
    </w:rPr>
  </w:style>
  <w:style w:type="paragraph" w:customStyle="1" w:styleId="04RunningText">
    <w:name w:val="04_Running Text"/>
    <w:basedOn w:val="Normal"/>
    <w:link w:val="04RunningTextChar"/>
    <w:rsid w:val="000D2D0B"/>
    <w:pPr>
      <w:spacing w:after="250" w:line="276" w:lineRule="auto"/>
      <w:ind w:left="397" w:hanging="397"/>
      <w:jc w:val="both"/>
    </w:pPr>
    <w:rPr>
      <w:lang w:val="x-none"/>
    </w:rPr>
  </w:style>
  <w:style w:type="paragraph" w:customStyle="1" w:styleId="04bListing">
    <w:name w:val="04b_Listing"/>
    <w:basedOn w:val="04RunningText"/>
    <w:rsid w:val="000D2D0B"/>
    <w:pPr>
      <w:tabs>
        <w:tab w:val="num" w:pos="568"/>
      </w:tabs>
      <w:ind w:left="568" w:hanging="284"/>
    </w:pPr>
  </w:style>
  <w:style w:type="paragraph" w:customStyle="1" w:styleId="04cRunningtextleft">
    <w:name w:val="04c_Running text left"/>
    <w:basedOn w:val="04RunningText"/>
    <w:rsid w:val="000D2D0B"/>
    <w:pPr>
      <w:spacing w:after="0"/>
      <w:jc w:val="left"/>
    </w:pPr>
  </w:style>
  <w:style w:type="paragraph" w:customStyle="1" w:styleId="05bHeadline3">
    <w:name w:val="05b_Headline 3"/>
    <w:basedOn w:val="Heading2"/>
    <w:rsid w:val="000D2D0B"/>
    <w:pPr>
      <w:keepNext w:val="0"/>
      <w:keepLines w:val="0"/>
      <w:tabs>
        <w:tab w:val="num" w:pos="567"/>
        <w:tab w:val="left" w:pos="851"/>
      </w:tabs>
      <w:suppressAutoHyphens/>
      <w:spacing w:before="0" w:after="250" w:line="250" w:lineRule="exact"/>
      <w:ind w:left="568" w:hanging="284"/>
      <w:jc w:val="both"/>
    </w:pPr>
    <w:rPr>
      <w:b w:val="0"/>
      <w:iCs/>
      <w:szCs w:val="20"/>
      <w:lang w:val="fr-FR" w:eastAsia="x-none"/>
    </w:rPr>
  </w:style>
  <w:style w:type="character" w:customStyle="1" w:styleId="WW8Num4z1">
    <w:name w:val="WW8Num4z1"/>
    <w:rsid w:val="000D2D0B"/>
    <w:rPr>
      <w:rFonts w:ascii="Courier New" w:hAnsi="Courier New" w:cs="Courier New"/>
    </w:rPr>
  </w:style>
  <w:style w:type="paragraph" w:customStyle="1" w:styleId="TOCHeading1">
    <w:name w:val="TOC Heading1"/>
    <w:basedOn w:val="Heading1"/>
    <w:next w:val="Normal"/>
    <w:unhideWhenUsed/>
    <w:qFormat/>
    <w:rsid w:val="000D2D0B"/>
    <w:pPr>
      <w:keepNext w:val="0"/>
      <w:keepLines/>
      <w:numPr>
        <w:numId w:val="0"/>
      </w:numPr>
      <w:tabs>
        <w:tab w:val="left" w:pos="397"/>
      </w:tabs>
      <w:suppressAutoHyphens/>
      <w:spacing w:before="480" w:after="0" w:line="280" w:lineRule="exact"/>
      <w:ind w:left="720" w:hanging="360"/>
      <w:jc w:val="both"/>
      <w:outlineLvl w:val="9"/>
    </w:pPr>
    <w:rPr>
      <w:rFonts w:ascii="Cambria" w:hAnsi="Cambria" w:cs="Times New Roman"/>
      <w:bCs w:val="0"/>
      <w:color w:val="365F91"/>
      <w:kern w:val="0"/>
      <w:sz w:val="28"/>
      <w:szCs w:val="28"/>
      <w:lang w:val="en-US" w:eastAsia="en-US"/>
    </w:rPr>
  </w:style>
  <w:style w:type="paragraph" w:customStyle="1" w:styleId="NoSpacing1">
    <w:name w:val="No Spacing1"/>
    <w:uiPriority w:val="1"/>
    <w:qFormat/>
    <w:rsid w:val="000D2D0B"/>
    <w:pPr>
      <w:suppressAutoHyphens/>
      <w:spacing w:after="250" w:line="276" w:lineRule="auto"/>
      <w:ind w:left="397" w:hanging="397"/>
      <w:jc w:val="both"/>
    </w:pPr>
    <w:rPr>
      <w:rFonts w:ascii="Century Schoolbook" w:hAnsi="Century Schoolbook" w:cs="Garamond"/>
      <w:szCs w:val="22"/>
      <w:lang w:eastAsia="ar-SA"/>
    </w:rPr>
  </w:style>
  <w:style w:type="paragraph" w:customStyle="1" w:styleId="04anumeration0">
    <w:name w:val="04anumeration"/>
    <w:basedOn w:val="Normal"/>
    <w:rsid w:val="000D2D0B"/>
    <w:pPr>
      <w:tabs>
        <w:tab w:val="num" w:pos="284"/>
      </w:tabs>
      <w:spacing w:after="250" w:line="276" w:lineRule="auto"/>
      <w:ind w:left="284" w:hanging="284"/>
      <w:jc w:val="both"/>
    </w:pPr>
    <w:rPr>
      <w:rFonts w:eastAsia="Calibri"/>
      <w:szCs w:val="20"/>
      <w:lang w:eastAsia="en-GB"/>
    </w:rPr>
  </w:style>
  <w:style w:type="paragraph" w:customStyle="1" w:styleId="Listenabsatz1">
    <w:name w:val="Listenabsatz1"/>
    <w:basedOn w:val="Normal"/>
    <w:rsid w:val="000D2D0B"/>
    <w:pPr>
      <w:spacing w:line="260" w:lineRule="atLeast"/>
      <w:ind w:left="720"/>
      <w:contextualSpacing/>
    </w:pPr>
    <w:rPr>
      <w:rFonts w:ascii="Verdana" w:hAnsi="Verdana"/>
      <w:kern w:val="10"/>
      <w:szCs w:val="20"/>
      <w:lang w:val="de-DE"/>
    </w:rPr>
  </w:style>
  <w:style w:type="paragraph" w:customStyle="1" w:styleId="Listenabsatz2">
    <w:name w:val="Listenabsatz2"/>
    <w:basedOn w:val="Normal"/>
    <w:rsid w:val="000D2D0B"/>
    <w:pPr>
      <w:spacing w:line="260" w:lineRule="atLeast"/>
      <w:ind w:left="720"/>
      <w:contextualSpacing/>
    </w:pPr>
    <w:rPr>
      <w:rFonts w:ascii="Verdana" w:hAnsi="Verdana"/>
      <w:kern w:val="10"/>
      <w:szCs w:val="20"/>
      <w:lang w:val="de-DE"/>
    </w:rPr>
  </w:style>
  <w:style w:type="paragraph" w:customStyle="1" w:styleId="Considrant">
    <w:name w:val="Considérant"/>
    <w:basedOn w:val="Normal"/>
    <w:rsid w:val="000D2D0B"/>
    <w:pPr>
      <w:numPr>
        <w:numId w:val="15"/>
      </w:numPr>
      <w:spacing w:before="120" w:after="120"/>
      <w:jc w:val="both"/>
    </w:pPr>
    <w:rPr>
      <w:rFonts w:ascii="Times New Roman" w:hAnsi="Times New Roman"/>
      <w:sz w:val="24"/>
      <w:lang w:eastAsia="en-US"/>
    </w:rPr>
  </w:style>
  <w:style w:type="paragraph" w:customStyle="1" w:styleId="Institutionquisigne">
    <w:name w:val="Institution qui signe"/>
    <w:basedOn w:val="Normal"/>
    <w:next w:val="Normal"/>
    <w:rsid w:val="000D2D0B"/>
    <w:pPr>
      <w:keepNext/>
      <w:tabs>
        <w:tab w:val="left" w:pos="4252"/>
      </w:tabs>
      <w:spacing w:before="720"/>
      <w:jc w:val="both"/>
    </w:pPr>
    <w:rPr>
      <w:rFonts w:ascii="Times New Roman" w:hAnsi="Times New Roman"/>
      <w:i/>
      <w:sz w:val="24"/>
      <w:lang w:eastAsia="en-US"/>
    </w:rPr>
  </w:style>
  <w:style w:type="paragraph" w:customStyle="1" w:styleId="Paragrafoelenco1">
    <w:name w:val="Paragrafo elenco1"/>
    <w:basedOn w:val="Normal"/>
    <w:rsid w:val="000D2D0B"/>
    <w:pPr>
      <w:ind w:left="720"/>
      <w:contextualSpacing/>
    </w:pPr>
    <w:rPr>
      <w:rFonts w:ascii="Cambria" w:hAnsi="Cambria"/>
      <w:sz w:val="24"/>
      <w:lang w:val="en-US" w:eastAsia="en-US"/>
    </w:rPr>
  </w:style>
  <w:style w:type="character" w:customStyle="1" w:styleId="CommentTextChar2">
    <w:name w:val="Comment Text Char2"/>
    <w:semiHidden/>
    <w:locked/>
    <w:rsid w:val="000D2D0B"/>
    <w:rPr>
      <w:rFonts w:ascii="Arial" w:hAnsi="Arial" w:cs="Times New Roman"/>
      <w:lang w:val="en-GB" w:eastAsia="en-GB" w:bidi="ar-SA"/>
    </w:rPr>
  </w:style>
  <w:style w:type="character" w:customStyle="1" w:styleId="subparatext">
    <w:name w:val="subparatext"/>
    <w:rsid w:val="000D2D0B"/>
    <w:rPr>
      <w:rFonts w:cs="Times New Roman"/>
    </w:rPr>
  </w:style>
  <w:style w:type="paragraph" w:customStyle="1" w:styleId="Normal12Hanging">
    <w:name w:val="Normal12Hanging"/>
    <w:basedOn w:val="Normal"/>
    <w:rsid w:val="000D2D0B"/>
    <w:pPr>
      <w:widowControl w:val="0"/>
      <w:spacing w:after="240"/>
      <w:ind w:left="357" w:hanging="357"/>
    </w:pPr>
    <w:rPr>
      <w:rFonts w:ascii="Times New Roman" w:hAnsi="Times New Roman"/>
      <w:sz w:val="24"/>
      <w:szCs w:val="20"/>
      <w:lang w:eastAsia="en-GB"/>
    </w:rPr>
  </w:style>
  <w:style w:type="paragraph" w:customStyle="1" w:styleId="NormalGeorgia">
    <w:name w:val="Normal + Georgia"/>
    <w:aliases w:val="10 pt"/>
    <w:basedOn w:val="Normal"/>
    <w:rsid w:val="000D2D0B"/>
    <w:rPr>
      <w:szCs w:val="20"/>
    </w:rPr>
  </w:style>
  <w:style w:type="paragraph" w:customStyle="1" w:styleId="Sbuchead">
    <w:name w:val="Sbuchead"/>
    <w:basedOn w:val="Normal"/>
    <w:rsid w:val="000D2D0B"/>
    <w:pPr>
      <w:spacing w:after="360"/>
    </w:pPr>
    <w:rPr>
      <w:rFonts w:ascii="Times New Roman" w:hAnsi="Times New Roman"/>
      <w:b/>
      <w:caps/>
      <w:sz w:val="24"/>
      <w:szCs w:val="20"/>
      <w:lang w:eastAsia="en-GB"/>
    </w:rPr>
  </w:style>
  <w:style w:type="paragraph" w:customStyle="1" w:styleId="Applicationdirecte">
    <w:name w:val="Application directe"/>
    <w:basedOn w:val="Normal"/>
    <w:next w:val="Fait"/>
    <w:rsid w:val="000D2D0B"/>
    <w:pPr>
      <w:spacing w:before="480" w:after="120"/>
      <w:jc w:val="both"/>
    </w:pPr>
    <w:rPr>
      <w:rFonts w:ascii="Times New Roman" w:hAnsi="Times New Roman"/>
      <w:sz w:val="24"/>
      <w:lang w:eastAsia="en-US"/>
    </w:rPr>
  </w:style>
  <w:style w:type="paragraph" w:customStyle="1" w:styleId="Fait">
    <w:name w:val="Fait à"/>
    <w:basedOn w:val="Normal"/>
    <w:next w:val="Institutionquisigne"/>
    <w:rsid w:val="000D2D0B"/>
    <w:pPr>
      <w:keepNext/>
      <w:spacing w:before="120"/>
      <w:jc w:val="both"/>
    </w:pPr>
    <w:rPr>
      <w:rFonts w:ascii="Times New Roman" w:hAnsi="Times New Roman"/>
      <w:sz w:val="24"/>
      <w:lang w:eastAsia="en-US"/>
    </w:rPr>
  </w:style>
  <w:style w:type="paragraph" w:customStyle="1" w:styleId="Formuledadoption">
    <w:name w:val="Formule d'adoption"/>
    <w:basedOn w:val="Normal"/>
    <w:next w:val="Titrearticle"/>
    <w:rsid w:val="000D2D0B"/>
    <w:pPr>
      <w:keepNext/>
      <w:spacing w:before="120" w:after="120"/>
      <w:jc w:val="both"/>
    </w:pPr>
    <w:rPr>
      <w:rFonts w:ascii="Times New Roman" w:hAnsi="Times New Roman"/>
      <w:sz w:val="24"/>
      <w:lang w:eastAsia="en-US"/>
    </w:rPr>
  </w:style>
  <w:style w:type="paragraph" w:customStyle="1" w:styleId="Personnequisigne">
    <w:name w:val="Personne qui signe"/>
    <w:basedOn w:val="Normal"/>
    <w:next w:val="Institutionquisigne"/>
    <w:rsid w:val="000D2D0B"/>
    <w:pPr>
      <w:tabs>
        <w:tab w:val="left" w:pos="4252"/>
      </w:tabs>
    </w:pPr>
    <w:rPr>
      <w:rFonts w:ascii="Times New Roman" w:hAnsi="Times New Roman"/>
      <w:i/>
      <w:sz w:val="24"/>
      <w:lang w:eastAsia="en-US"/>
    </w:rPr>
  </w:style>
  <w:style w:type="paragraph" w:customStyle="1" w:styleId="Titrearticle">
    <w:name w:val="Titre article"/>
    <w:basedOn w:val="Normal"/>
    <w:next w:val="Normal"/>
    <w:link w:val="TitrearticleChar"/>
    <w:uiPriority w:val="99"/>
    <w:rsid w:val="000D2D0B"/>
    <w:pPr>
      <w:keepNext/>
      <w:spacing w:before="360" w:after="120"/>
      <w:jc w:val="center"/>
    </w:pPr>
    <w:rPr>
      <w:rFonts w:ascii="Times New Roman" w:hAnsi="Times New Roman"/>
      <w:i/>
      <w:sz w:val="24"/>
      <w:lang w:val="x-none" w:eastAsia="x-none"/>
    </w:rPr>
  </w:style>
  <w:style w:type="paragraph" w:customStyle="1" w:styleId="Titreobjet">
    <w:name w:val="Titre objet"/>
    <w:basedOn w:val="Normal"/>
    <w:next w:val="Normal"/>
    <w:rsid w:val="000D2D0B"/>
    <w:pPr>
      <w:spacing w:before="360" w:after="360"/>
      <w:jc w:val="center"/>
    </w:pPr>
    <w:rPr>
      <w:rFonts w:ascii="Times New Roman" w:hAnsi="Times New Roman"/>
      <w:b/>
      <w:sz w:val="24"/>
      <w:lang w:eastAsia="en-US"/>
    </w:rPr>
  </w:style>
  <w:style w:type="paragraph" w:customStyle="1" w:styleId="Typedudocument">
    <w:name w:val="Type du document"/>
    <w:basedOn w:val="Normal"/>
    <w:next w:val="Titreobjet"/>
    <w:rsid w:val="000D2D0B"/>
    <w:pPr>
      <w:spacing w:before="360"/>
      <w:jc w:val="center"/>
    </w:pPr>
    <w:rPr>
      <w:rFonts w:ascii="Times New Roman" w:hAnsi="Times New Roman"/>
      <w:b/>
      <w:sz w:val="24"/>
      <w:lang w:eastAsia="en-US"/>
    </w:rPr>
  </w:style>
  <w:style w:type="paragraph" w:customStyle="1" w:styleId="HeaderLandscape">
    <w:name w:val="HeaderLandscape"/>
    <w:basedOn w:val="Normal"/>
    <w:rsid w:val="000D2D0B"/>
    <w:pPr>
      <w:tabs>
        <w:tab w:val="center" w:pos="7285"/>
        <w:tab w:val="right" w:pos="14003"/>
      </w:tabs>
      <w:spacing w:before="120" w:after="120"/>
      <w:jc w:val="both"/>
    </w:pPr>
    <w:rPr>
      <w:rFonts w:ascii="Times New Roman" w:hAnsi="Times New Roman"/>
      <w:sz w:val="24"/>
      <w:lang w:eastAsia="en-US"/>
    </w:rPr>
  </w:style>
  <w:style w:type="paragraph" w:customStyle="1" w:styleId="FooterLandscape">
    <w:name w:val="FooterLandscape"/>
    <w:basedOn w:val="Normal"/>
    <w:rsid w:val="000D2D0B"/>
    <w:pPr>
      <w:tabs>
        <w:tab w:val="center" w:pos="7285"/>
        <w:tab w:val="center" w:pos="10913"/>
        <w:tab w:val="right" w:pos="15137"/>
      </w:tabs>
      <w:spacing w:before="360"/>
      <w:ind w:left="-567" w:right="-567"/>
    </w:pPr>
    <w:rPr>
      <w:rFonts w:ascii="Times New Roman" w:hAnsi="Times New Roman"/>
      <w:sz w:val="24"/>
      <w:lang w:eastAsia="en-US"/>
    </w:rPr>
  </w:style>
  <w:style w:type="paragraph" w:customStyle="1" w:styleId="Text1">
    <w:name w:val="Text 1"/>
    <w:basedOn w:val="Normal"/>
    <w:rsid w:val="000D2D0B"/>
    <w:pPr>
      <w:spacing w:before="120" w:after="120"/>
      <w:ind w:left="850"/>
      <w:jc w:val="both"/>
    </w:pPr>
    <w:rPr>
      <w:rFonts w:ascii="Times New Roman" w:hAnsi="Times New Roman"/>
      <w:sz w:val="24"/>
      <w:lang w:eastAsia="en-US"/>
    </w:rPr>
  </w:style>
  <w:style w:type="paragraph" w:customStyle="1" w:styleId="Text2">
    <w:name w:val="Text 2"/>
    <w:basedOn w:val="Normal"/>
    <w:rsid w:val="000D2D0B"/>
    <w:pPr>
      <w:spacing w:before="120" w:after="120"/>
      <w:ind w:left="1417"/>
      <w:jc w:val="both"/>
    </w:pPr>
    <w:rPr>
      <w:rFonts w:ascii="Times New Roman" w:hAnsi="Times New Roman"/>
      <w:sz w:val="24"/>
      <w:lang w:eastAsia="en-US"/>
    </w:rPr>
  </w:style>
  <w:style w:type="paragraph" w:customStyle="1" w:styleId="Text3">
    <w:name w:val="Text 3"/>
    <w:basedOn w:val="Normal"/>
    <w:rsid w:val="000D2D0B"/>
    <w:pPr>
      <w:spacing w:before="120" w:after="120"/>
      <w:ind w:left="1984"/>
      <w:jc w:val="both"/>
    </w:pPr>
    <w:rPr>
      <w:rFonts w:ascii="Times New Roman" w:hAnsi="Times New Roman"/>
      <w:sz w:val="24"/>
      <w:lang w:eastAsia="en-US"/>
    </w:rPr>
  </w:style>
  <w:style w:type="paragraph" w:customStyle="1" w:styleId="Text4">
    <w:name w:val="Text 4"/>
    <w:basedOn w:val="Normal"/>
    <w:rsid w:val="000D2D0B"/>
    <w:pPr>
      <w:spacing w:before="120" w:after="120"/>
      <w:ind w:left="2551"/>
      <w:jc w:val="both"/>
    </w:pPr>
    <w:rPr>
      <w:rFonts w:ascii="Times New Roman" w:hAnsi="Times New Roman"/>
      <w:sz w:val="24"/>
      <w:lang w:eastAsia="en-US"/>
    </w:rPr>
  </w:style>
  <w:style w:type="paragraph" w:customStyle="1" w:styleId="NormalCentered">
    <w:name w:val="Normal Centered"/>
    <w:basedOn w:val="Normal"/>
    <w:rsid w:val="000D2D0B"/>
    <w:pPr>
      <w:spacing w:before="120" w:after="120"/>
      <w:jc w:val="center"/>
    </w:pPr>
    <w:rPr>
      <w:rFonts w:ascii="Times New Roman" w:hAnsi="Times New Roman"/>
      <w:sz w:val="24"/>
      <w:lang w:eastAsia="en-US"/>
    </w:rPr>
  </w:style>
  <w:style w:type="paragraph" w:customStyle="1" w:styleId="NormalLeft">
    <w:name w:val="Normal Left"/>
    <w:basedOn w:val="Normal"/>
    <w:rsid w:val="000D2D0B"/>
    <w:pPr>
      <w:spacing w:before="120" w:after="120"/>
    </w:pPr>
    <w:rPr>
      <w:rFonts w:ascii="Times New Roman" w:hAnsi="Times New Roman"/>
      <w:sz w:val="24"/>
      <w:lang w:eastAsia="en-US"/>
    </w:rPr>
  </w:style>
  <w:style w:type="paragraph" w:customStyle="1" w:styleId="NormalRight">
    <w:name w:val="Normal Right"/>
    <w:basedOn w:val="Normal"/>
    <w:rsid w:val="000D2D0B"/>
    <w:pPr>
      <w:spacing w:before="120" w:after="120"/>
      <w:jc w:val="right"/>
    </w:pPr>
    <w:rPr>
      <w:rFonts w:ascii="Times New Roman" w:hAnsi="Times New Roman"/>
      <w:sz w:val="24"/>
      <w:lang w:eastAsia="en-US"/>
    </w:rPr>
  </w:style>
  <w:style w:type="paragraph" w:customStyle="1" w:styleId="QuotedText">
    <w:name w:val="Quoted Text"/>
    <w:basedOn w:val="Normal"/>
    <w:rsid w:val="000D2D0B"/>
    <w:pPr>
      <w:spacing w:before="120" w:after="120"/>
      <w:ind w:left="1417"/>
      <w:jc w:val="both"/>
    </w:pPr>
    <w:rPr>
      <w:rFonts w:ascii="Times New Roman" w:hAnsi="Times New Roman"/>
      <w:sz w:val="24"/>
      <w:lang w:eastAsia="en-US"/>
    </w:rPr>
  </w:style>
  <w:style w:type="paragraph" w:customStyle="1" w:styleId="Point0">
    <w:name w:val="Point 0"/>
    <w:basedOn w:val="Normal"/>
    <w:rsid w:val="000D2D0B"/>
    <w:pPr>
      <w:spacing w:before="120" w:after="120"/>
      <w:ind w:left="850" w:hanging="850"/>
      <w:jc w:val="both"/>
    </w:pPr>
    <w:rPr>
      <w:rFonts w:ascii="Times New Roman" w:hAnsi="Times New Roman"/>
      <w:sz w:val="24"/>
      <w:lang w:eastAsia="en-US"/>
    </w:rPr>
  </w:style>
  <w:style w:type="paragraph" w:customStyle="1" w:styleId="Point1">
    <w:name w:val="Point 1"/>
    <w:basedOn w:val="Normal"/>
    <w:rsid w:val="000D2D0B"/>
    <w:pPr>
      <w:spacing w:before="120" w:after="120"/>
      <w:ind w:left="1417" w:hanging="567"/>
      <w:jc w:val="both"/>
    </w:pPr>
    <w:rPr>
      <w:rFonts w:ascii="Times New Roman" w:hAnsi="Times New Roman"/>
      <w:sz w:val="24"/>
      <w:lang w:eastAsia="en-US"/>
    </w:rPr>
  </w:style>
  <w:style w:type="paragraph" w:customStyle="1" w:styleId="Point2">
    <w:name w:val="Point 2"/>
    <w:basedOn w:val="Normal"/>
    <w:rsid w:val="000D2D0B"/>
    <w:pPr>
      <w:spacing w:before="120" w:after="120"/>
      <w:ind w:left="1984" w:hanging="567"/>
      <w:jc w:val="both"/>
    </w:pPr>
    <w:rPr>
      <w:rFonts w:ascii="Times New Roman" w:hAnsi="Times New Roman"/>
      <w:sz w:val="24"/>
      <w:lang w:eastAsia="en-US"/>
    </w:rPr>
  </w:style>
  <w:style w:type="paragraph" w:customStyle="1" w:styleId="Point3">
    <w:name w:val="Point 3"/>
    <w:basedOn w:val="Normal"/>
    <w:rsid w:val="000D2D0B"/>
    <w:pPr>
      <w:spacing w:before="120" w:after="120"/>
      <w:ind w:left="2551" w:hanging="567"/>
      <w:jc w:val="both"/>
    </w:pPr>
    <w:rPr>
      <w:rFonts w:ascii="Times New Roman" w:hAnsi="Times New Roman"/>
      <w:sz w:val="24"/>
      <w:lang w:eastAsia="en-US"/>
    </w:rPr>
  </w:style>
  <w:style w:type="paragraph" w:customStyle="1" w:styleId="Point4">
    <w:name w:val="Point 4"/>
    <w:basedOn w:val="Normal"/>
    <w:rsid w:val="000D2D0B"/>
    <w:pPr>
      <w:spacing w:before="120" w:after="120"/>
      <w:ind w:left="3118" w:hanging="567"/>
      <w:jc w:val="both"/>
    </w:pPr>
    <w:rPr>
      <w:rFonts w:ascii="Times New Roman" w:hAnsi="Times New Roman"/>
      <w:sz w:val="24"/>
      <w:lang w:eastAsia="en-US"/>
    </w:rPr>
  </w:style>
  <w:style w:type="paragraph" w:customStyle="1" w:styleId="Tiret0">
    <w:name w:val="Tiret 0"/>
    <w:basedOn w:val="Point0"/>
    <w:rsid w:val="000D2D0B"/>
    <w:pPr>
      <w:numPr>
        <w:numId w:val="18"/>
      </w:numPr>
    </w:pPr>
  </w:style>
  <w:style w:type="paragraph" w:customStyle="1" w:styleId="Tiret2">
    <w:name w:val="Tiret 2"/>
    <w:basedOn w:val="Point2"/>
    <w:rsid w:val="000D2D0B"/>
    <w:pPr>
      <w:tabs>
        <w:tab w:val="num" w:pos="1984"/>
      </w:tabs>
    </w:pPr>
  </w:style>
  <w:style w:type="paragraph" w:customStyle="1" w:styleId="Tiret3">
    <w:name w:val="Tiret 3"/>
    <w:basedOn w:val="Point3"/>
    <w:rsid w:val="000D2D0B"/>
    <w:pPr>
      <w:numPr>
        <w:numId w:val="19"/>
      </w:numPr>
    </w:pPr>
  </w:style>
  <w:style w:type="paragraph" w:customStyle="1" w:styleId="Tiret4">
    <w:name w:val="Tiret 4"/>
    <w:basedOn w:val="Point4"/>
    <w:rsid w:val="000D2D0B"/>
    <w:pPr>
      <w:numPr>
        <w:numId w:val="20"/>
      </w:numPr>
    </w:pPr>
  </w:style>
  <w:style w:type="paragraph" w:customStyle="1" w:styleId="PointDouble0">
    <w:name w:val="PointDouble 0"/>
    <w:basedOn w:val="Normal"/>
    <w:rsid w:val="000D2D0B"/>
    <w:pPr>
      <w:tabs>
        <w:tab w:val="left" w:pos="850"/>
      </w:tabs>
      <w:spacing w:before="120" w:after="120"/>
      <w:ind w:left="1417" w:hanging="1417"/>
      <w:jc w:val="both"/>
    </w:pPr>
    <w:rPr>
      <w:rFonts w:ascii="Times New Roman" w:hAnsi="Times New Roman"/>
      <w:sz w:val="24"/>
      <w:lang w:eastAsia="en-US"/>
    </w:rPr>
  </w:style>
  <w:style w:type="paragraph" w:customStyle="1" w:styleId="PointDouble1">
    <w:name w:val="PointDouble 1"/>
    <w:basedOn w:val="Normal"/>
    <w:rsid w:val="000D2D0B"/>
    <w:pPr>
      <w:tabs>
        <w:tab w:val="left" w:pos="1417"/>
      </w:tabs>
      <w:spacing w:before="120" w:after="120"/>
      <w:ind w:left="1984" w:hanging="1134"/>
      <w:jc w:val="both"/>
    </w:pPr>
    <w:rPr>
      <w:rFonts w:ascii="Times New Roman" w:hAnsi="Times New Roman"/>
      <w:sz w:val="24"/>
      <w:lang w:eastAsia="en-US"/>
    </w:rPr>
  </w:style>
  <w:style w:type="paragraph" w:customStyle="1" w:styleId="PointDouble2">
    <w:name w:val="PointDouble 2"/>
    <w:basedOn w:val="Normal"/>
    <w:rsid w:val="000D2D0B"/>
    <w:pPr>
      <w:tabs>
        <w:tab w:val="left" w:pos="1984"/>
      </w:tabs>
      <w:spacing w:before="120" w:after="120"/>
      <w:ind w:left="2551" w:hanging="1134"/>
      <w:jc w:val="both"/>
    </w:pPr>
    <w:rPr>
      <w:rFonts w:ascii="Times New Roman" w:hAnsi="Times New Roman"/>
      <w:sz w:val="24"/>
      <w:lang w:eastAsia="en-US"/>
    </w:rPr>
  </w:style>
  <w:style w:type="paragraph" w:customStyle="1" w:styleId="PointDouble3">
    <w:name w:val="PointDouble 3"/>
    <w:basedOn w:val="Normal"/>
    <w:rsid w:val="000D2D0B"/>
    <w:pPr>
      <w:tabs>
        <w:tab w:val="left" w:pos="2551"/>
      </w:tabs>
      <w:spacing w:before="120" w:after="120"/>
      <w:ind w:left="3118" w:hanging="1134"/>
      <w:jc w:val="both"/>
    </w:pPr>
    <w:rPr>
      <w:rFonts w:ascii="Times New Roman" w:hAnsi="Times New Roman"/>
      <w:sz w:val="24"/>
      <w:lang w:eastAsia="en-US"/>
    </w:rPr>
  </w:style>
  <w:style w:type="paragraph" w:customStyle="1" w:styleId="PointDouble4">
    <w:name w:val="PointDouble 4"/>
    <w:basedOn w:val="Normal"/>
    <w:rsid w:val="000D2D0B"/>
    <w:pPr>
      <w:tabs>
        <w:tab w:val="left" w:pos="3118"/>
      </w:tabs>
      <w:spacing w:before="120" w:after="120"/>
      <w:ind w:left="3685" w:hanging="1134"/>
      <w:jc w:val="both"/>
    </w:pPr>
    <w:rPr>
      <w:rFonts w:ascii="Times New Roman" w:hAnsi="Times New Roman"/>
      <w:sz w:val="24"/>
      <w:lang w:eastAsia="en-US"/>
    </w:rPr>
  </w:style>
  <w:style w:type="paragraph" w:customStyle="1" w:styleId="PointTriple0">
    <w:name w:val="PointTriple 0"/>
    <w:basedOn w:val="Normal"/>
    <w:rsid w:val="000D2D0B"/>
    <w:pPr>
      <w:tabs>
        <w:tab w:val="left" w:pos="850"/>
        <w:tab w:val="left" w:pos="1417"/>
      </w:tabs>
      <w:spacing w:before="120" w:after="120"/>
      <w:ind w:left="1984" w:hanging="1984"/>
      <w:jc w:val="both"/>
    </w:pPr>
    <w:rPr>
      <w:rFonts w:ascii="Times New Roman" w:hAnsi="Times New Roman"/>
      <w:sz w:val="24"/>
      <w:lang w:eastAsia="en-US"/>
    </w:rPr>
  </w:style>
  <w:style w:type="paragraph" w:customStyle="1" w:styleId="PointTriple1">
    <w:name w:val="PointTriple 1"/>
    <w:basedOn w:val="Normal"/>
    <w:rsid w:val="000D2D0B"/>
    <w:pPr>
      <w:tabs>
        <w:tab w:val="left" w:pos="1417"/>
        <w:tab w:val="left" w:pos="1984"/>
      </w:tabs>
      <w:spacing w:before="120" w:after="120"/>
      <w:ind w:left="2551" w:hanging="1701"/>
      <w:jc w:val="both"/>
    </w:pPr>
    <w:rPr>
      <w:rFonts w:ascii="Times New Roman" w:hAnsi="Times New Roman"/>
      <w:sz w:val="24"/>
      <w:lang w:eastAsia="en-US"/>
    </w:rPr>
  </w:style>
  <w:style w:type="paragraph" w:customStyle="1" w:styleId="PointTriple2">
    <w:name w:val="PointTriple 2"/>
    <w:basedOn w:val="Normal"/>
    <w:rsid w:val="000D2D0B"/>
    <w:pPr>
      <w:tabs>
        <w:tab w:val="left" w:pos="1984"/>
        <w:tab w:val="left" w:pos="2551"/>
      </w:tabs>
      <w:spacing w:before="120" w:after="120"/>
      <w:ind w:left="3118" w:hanging="1701"/>
      <w:jc w:val="both"/>
    </w:pPr>
    <w:rPr>
      <w:rFonts w:ascii="Times New Roman" w:hAnsi="Times New Roman"/>
      <w:sz w:val="24"/>
      <w:lang w:eastAsia="en-US"/>
    </w:rPr>
  </w:style>
  <w:style w:type="paragraph" w:customStyle="1" w:styleId="PointTriple3">
    <w:name w:val="PointTriple 3"/>
    <w:basedOn w:val="Normal"/>
    <w:rsid w:val="000D2D0B"/>
    <w:pPr>
      <w:tabs>
        <w:tab w:val="left" w:pos="2551"/>
        <w:tab w:val="left" w:pos="3118"/>
      </w:tabs>
      <w:spacing w:before="120" w:after="120"/>
      <w:ind w:left="3685" w:hanging="1701"/>
      <w:jc w:val="both"/>
    </w:pPr>
    <w:rPr>
      <w:rFonts w:ascii="Times New Roman" w:hAnsi="Times New Roman"/>
      <w:sz w:val="24"/>
      <w:lang w:eastAsia="en-US"/>
    </w:rPr>
  </w:style>
  <w:style w:type="paragraph" w:customStyle="1" w:styleId="PointTriple4">
    <w:name w:val="PointTriple 4"/>
    <w:basedOn w:val="Normal"/>
    <w:rsid w:val="000D2D0B"/>
    <w:pPr>
      <w:tabs>
        <w:tab w:val="left" w:pos="3118"/>
        <w:tab w:val="left" w:pos="3685"/>
      </w:tabs>
      <w:spacing w:before="120" w:after="120"/>
      <w:ind w:left="4252" w:hanging="1701"/>
      <w:jc w:val="both"/>
    </w:pPr>
    <w:rPr>
      <w:rFonts w:ascii="Times New Roman" w:hAnsi="Times New Roman"/>
      <w:sz w:val="24"/>
      <w:lang w:eastAsia="en-US"/>
    </w:rPr>
  </w:style>
  <w:style w:type="paragraph" w:customStyle="1" w:styleId="NumPar1">
    <w:name w:val="NumPar 1"/>
    <w:basedOn w:val="Normal"/>
    <w:next w:val="Text1"/>
    <w:rsid w:val="000D2D0B"/>
    <w:pPr>
      <w:numPr>
        <w:numId w:val="21"/>
      </w:numPr>
      <w:spacing w:before="120" w:after="120"/>
      <w:jc w:val="both"/>
    </w:pPr>
    <w:rPr>
      <w:rFonts w:ascii="Times New Roman" w:hAnsi="Times New Roman"/>
      <w:sz w:val="24"/>
      <w:lang w:eastAsia="en-US"/>
    </w:rPr>
  </w:style>
  <w:style w:type="paragraph" w:customStyle="1" w:styleId="NumPar2">
    <w:name w:val="NumPar 2"/>
    <w:basedOn w:val="Normal"/>
    <w:next w:val="Text1"/>
    <w:rsid w:val="000D2D0B"/>
    <w:pPr>
      <w:numPr>
        <w:ilvl w:val="1"/>
        <w:numId w:val="21"/>
      </w:numPr>
      <w:spacing w:before="120" w:after="120"/>
      <w:jc w:val="both"/>
    </w:pPr>
    <w:rPr>
      <w:rFonts w:ascii="Times New Roman" w:hAnsi="Times New Roman"/>
      <w:sz w:val="24"/>
      <w:lang w:eastAsia="en-US"/>
    </w:rPr>
  </w:style>
  <w:style w:type="paragraph" w:customStyle="1" w:styleId="NumPar3">
    <w:name w:val="NumPar 3"/>
    <w:basedOn w:val="Normal"/>
    <w:next w:val="Text1"/>
    <w:rsid w:val="000D2D0B"/>
    <w:pPr>
      <w:numPr>
        <w:ilvl w:val="2"/>
        <w:numId w:val="21"/>
      </w:numPr>
      <w:spacing w:before="120" w:after="120"/>
      <w:jc w:val="both"/>
    </w:pPr>
    <w:rPr>
      <w:rFonts w:ascii="Times New Roman" w:hAnsi="Times New Roman"/>
      <w:sz w:val="24"/>
      <w:lang w:eastAsia="en-US"/>
    </w:rPr>
  </w:style>
  <w:style w:type="paragraph" w:customStyle="1" w:styleId="NumPar4">
    <w:name w:val="NumPar 4"/>
    <w:basedOn w:val="Normal"/>
    <w:next w:val="Text1"/>
    <w:rsid w:val="000D2D0B"/>
    <w:pPr>
      <w:numPr>
        <w:ilvl w:val="3"/>
        <w:numId w:val="21"/>
      </w:numPr>
      <w:spacing w:before="120" w:after="120"/>
      <w:jc w:val="both"/>
    </w:pPr>
    <w:rPr>
      <w:rFonts w:ascii="Times New Roman" w:hAnsi="Times New Roman"/>
      <w:sz w:val="24"/>
      <w:lang w:eastAsia="en-US"/>
    </w:rPr>
  </w:style>
  <w:style w:type="paragraph" w:customStyle="1" w:styleId="ManualNumPar2">
    <w:name w:val="Manual NumPar 2"/>
    <w:basedOn w:val="Normal"/>
    <w:next w:val="Text1"/>
    <w:rsid w:val="000D2D0B"/>
    <w:pPr>
      <w:spacing w:before="120" w:after="120"/>
      <w:ind w:left="850" w:hanging="850"/>
      <w:jc w:val="both"/>
    </w:pPr>
    <w:rPr>
      <w:rFonts w:ascii="Times New Roman" w:hAnsi="Times New Roman"/>
      <w:sz w:val="24"/>
      <w:lang w:eastAsia="en-US"/>
    </w:rPr>
  </w:style>
  <w:style w:type="paragraph" w:customStyle="1" w:styleId="ManualNumPar3">
    <w:name w:val="Manual NumPar 3"/>
    <w:basedOn w:val="Normal"/>
    <w:next w:val="Text1"/>
    <w:rsid w:val="000D2D0B"/>
    <w:pPr>
      <w:spacing w:before="120" w:after="120"/>
      <w:ind w:left="850" w:hanging="850"/>
      <w:jc w:val="both"/>
    </w:pPr>
    <w:rPr>
      <w:rFonts w:ascii="Times New Roman" w:hAnsi="Times New Roman"/>
      <w:sz w:val="24"/>
      <w:lang w:eastAsia="en-US"/>
    </w:rPr>
  </w:style>
  <w:style w:type="paragraph" w:customStyle="1" w:styleId="ManualNumPar4">
    <w:name w:val="Manual NumPar 4"/>
    <w:basedOn w:val="Normal"/>
    <w:next w:val="Text1"/>
    <w:rsid w:val="000D2D0B"/>
    <w:pPr>
      <w:spacing w:before="120" w:after="120"/>
      <w:ind w:left="850" w:hanging="850"/>
      <w:jc w:val="both"/>
    </w:pPr>
    <w:rPr>
      <w:rFonts w:ascii="Times New Roman" w:hAnsi="Times New Roman"/>
      <w:sz w:val="24"/>
      <w:lang w:eastAsia="en-US"/>
    </w:rPr>
  </w:style>
  <w:style w:type="paragraph" w:customStyle="1" w:styleId="QuotedNumPar">
    <w:name w:val="Quoted NumPar"/>
    <w:basedOn w:val="Normal"/>
    <w:rsid w:val="000D2D0B"/>
    <w:pPr>
      <w:spacing w:before="120" w:after="120"/>
      <w:ind w:left="1417" w:hanging="567"/>
      <w:jc w:val="both"/>
    </w:pPr>
    <w:rPr>
      <w:rFonts w:ascii="Times New Roman" w:hAnsi="Times New Roman"/>
      <w:sz w:val="24"/>
      <w:lang w:eastAsia="en-US"/>
    </w:rPr>
  </w:style>
  <w:style w:type="paragraph" w:customStyle="1" w:styleId="ManualHeading1">
    <w:name w:val="Manual Heading 1"/>
    <w:basedOn w:val="Normal"/>
    <w:next w:val="Text1"/>
    <w:rsid w:val="000D2D0B"/>
    <w:pPr>
      <w:keepNext/>
      <w:tabs>
        <w:tab w:val="left" w:pos="850"/>
      </w:tabs>
      <w:spacing w:before="360" w:after="120"/>
      <w:ind w:left="850" w:hanging="850"/>
      <w:jc w:val="both"/>
      <w:outlineLvl w:val="0"/>
    </w:pPr>
    <w:rPr>
      <w:rFonts w:ascii="Times New Roman" w:hAnsi="Times New Roman"/>
      <w:b/>
      <w:smallCaps/>
      <w:sz w:val="24"/>
      <w:lang w:eastAsia="en-US"/>
    </w:rPr>
  </w:style>
  <w:style w:type="paragraph" w:customStyle="1" w:styleId="ManualHeading2">
    <w:name w:val="Manual Heading 2"/>
    <w:basedOn w:val="Normal"/>
    <w:next w:val="Text1"/>
    <w:rsid w:val="000D2D0B"/>
    <w:pPr>
      <w:keepNext/>
      <w:tabs>
        <w:tab w:val="left" w:pos="850"/>
      </w:tabs>
      <w:spacing w:before="120" w:after="120"/>
      <w:ind w:left="850" w:hanging="850"/>
      <w:jc w:val="both"/>
      <w:outlineLvl w:val="1"/>
    </w:pPr>
    <w:rPr>
      <w:rFonts w:ascii="Times New Roman" w:hAnsi="Times New Roman"/>
      <w:b/>
      <w:sz w:val="24"/>
      <w:lang w:eastAsia="en-US"/>
    </w:rPr>
  </w:style>
  <w:style w:type="paragraph" w:customStyle="1" w:styleId="ManualHeading3">
    <w:name w:val="Manual Heading 3"/>
    <w:basedOn w:val="Normal"/>
    <w:next w:val="Text1"/>
    <w:rsid w:val="000D2D0B"/>
    <w:pPr>
      <w:keepNext/>
      <w:tabs>
        <w:tab w:val="left" w:pos="850"/>
      </w:tabs>
      <w:spacing w:before="120" w:after="120"/>
      <w:ind w:left="850" w:hanging="850"/>
      <w:jc w:val="both"/>
      <w:outlineLvl w:val="2"/>
    </w:pPr>
    <w:rPr>
      <w:rFonts w:ascii="Times New Roman" w:hAnsi="Times New Roman"/>
      <w:i/>
      <w:sz w:val="24"/>
      <w:lang w:eastAsia="en-US"/>
    </w:rPr>
  </w:style>
  <w:style w:type="paragraph" w:customStyle="1" w:styleId="ManualHeading4">
    <w:name w:val="Manual Heading 4"/>
    <w:basedOn w:val="Normal"/>
    <w:next w:val="Text1"/>
    <w:rsid w:val="000D2D0B"/>
    <w:pPr>
      <w:keepNext/>
      <w:tabs>
        <w:tab w:val="left" w:pos="850"/>
      </w:tabs>
      <w:spacing w:before="120" w:after="120"/>
      <w:ind w:left="850" w:hanging="850"/>
      <w:jc w:val="both"/>
      <w:outlineLvl w:val="3"/>
    </w:pPr>
    <w:rPr>
      <w:rFonts w:ascii="Times New Roman" w:hAnsi="Times New Roman"/>
      <w:sz w:val="24"/>
      <w:lang w:eastAsia="en-US"/>
    </w:rPr>
  </w:style>
  <w:style w:type="paragraph" w:customStyle="1" w:styleId="ChapterTitle">
    <w:name w:val="ChapterTitle"/>
    <w:basedOn w:val="Normal"/>
    <w:next w:val="Normal"/>
    <w:rsid w:val="000D2D0B"/>
    <w:pPr>
      <w:keepNext/>
      <w:spacing w:before="120" w:after="360"/>
      <w:jc w:val="center"/>
    </w:pPr>
    <w:rPr>
      <w:rFonts w:ascii="Times New Roman" w:hAnsi="Times New Roman"/>
      <w:b/>
      <w:sz w:val="32"/>
      <w:lang w:eastAsia="en-US"/>
    </w:rPr>
  </w:style>
  <w:style w:type="paragraph" w:customStyle="1" w:styleId="PartTitle">
    <w:name w:val="PartTitle"/>
    <w:basedOn w:val="Normal"/>
    <w:next w:val="ChapterTitle"/>
    <w:rsid w:val="000D2D0B"/>
    <w:pPr>
      <w:keepNext/>
      <w:pageBreakBefore/>
      <w:spacing w:before="120" w:after="360"/>
      <w:jc w:val="center"/>
    </w:pPr>
    <w:rPr>
      <w:rFonts w:ascii="Times New Roman" w:hAnsi="Times New Roman"/>
      <w:b/>
      <w:sz w:val="36"/>
      <w:lang w:eastAsia="en-US"/>
    </w:rPr>
  </w:style>
  <w:style w:type="paragraph" w:customStyle="1" w:styleId="SectionTitle">
    <w:name w:val="SectionTitle"/>
    <w:basedOn w:val="Normal"/>
    <w:next w:val="Heading1"/>
    <w:rsid w:val="000D2D0B"/>
    <w:pPr>
      <w:keepNext/>
      <w:spacing w:before="120" w:after="360"/>
      <w:jc w:val="center"/>
    </w:pPr>
    <w:rPr>
      <w:rFonts w:ascii="Times New Roman" w:hAnsi="Times New Roman"/>
      <w:b/>
      <w:smallCaps/>
      <w:sz w:val="28"/>
      <w:lang w:eastAsia="en-US"/>
    </w:rPr>
  </w:style>
  <w:style w:type="paragraph" w:customStyle="1" w:styleId="TableTitle">
    <w:name w:val="Table Title"/>
    <w:basedOn w:val="Normal"/>
    <w:next w:val="Normal"/>
    <w:rsid w:val="000D2D0B"/>
    <w:pPr>
      <w:spacing w:before="120" w:after="120"/>
      <w:jc w:val="center"/>
    </w:pPr>
    <w:rPr>
      <w:rFonts w:ascii="Times New Roman" w:hAnsi="Times New Roman"/>
      <w:b/>
      <w:sz w:val="24"/>
      <w:lang w:eastAsia="en-US"/>
    </w:rPr>
  </w:style>
  <w:style w:type="character" w:customStyle="1" w:styleId="Marker">
    <w:name w:val="Marker"/>
    <w:rsid w:val="000D2D0B"/>
    <w:rPr>
      <w:color w:val="0000FF"/>
      <w:shd w:val="clear" w:color="auto" w:fill="auto"/>
    </w:rPr>
  </w:style>
  <w:style w:type="character" w:customStyle="1" w:styleId="Marker1">
    <w:name w:val="Marker1"/>
    <w:rsid w:val="000D2D0B"/>
    <w:rPr>
      <w:color w:val="008000"/>
      <w:shd w:val="clear" w:color="auto" w:fill="auto"/>
    </w:rPr>
  </w:style>
  <w:style w:type="character" w:customStyle="1" w:styleId="Marker2">
    <w:name w:val="Marker2"/>
    <w:rsid w:val="000D2D0B"/>
    <w:rPr>
      <w:color w:val="FF0000"/>
      <w:shd w:val="clear" w:color="auto" w:fill="auto"/>
    </w:rPr>
  </w:style>
  <w:style w:type="paragraph" w:customStyle="1" w:styleId="Point0number">
    <w:name w:val="Point 0 (number)"/>
    <w:basedOn w:val="Normal"/>
    <w:rsid w:val="000D2D0B"/>
    <w:pPr>
      <w:numPr>
        <w:numId w:val="28"/>
      </w:numPr>
      <w:spacing w:before="120" w:after="120"/>
      <w:jc w:val="both"/>
    </w:pPr>
    <w:rPr>
      <w:rFonts w:ascii="Times New Roman" w:hAnsi="Times New Roman"/>
      <w:sz w:val="24"/>
      <w:lang w:eastAsia="en-US"/>
    </w:rPr>
  </w:style>
  <w:style w:type="paragraph" w:customStyle="1" w:styleId="Point1number">
    <w:name w:val="Point 1 (number)"/>
    <w:basedOn w:val="Normal"/>
    <w:rsid w:val="000D2D0B"/>
    <w:pPr>
      <w:numPr>
        <w:ilvl w:val="2"/>
        <w:numId w:val="28"/>
      </w:numPr>
      <w:spacing w:before="120" w:after="120"/>
      <w:jc w:val="both"/>
    </w:pPr>
    <w:rPr>
      <w:rFonts w:ascii="Times New Roman" w:hAnsi="Times New Roman"/>
      <w:sz w:val="24"/>
      <w:lang w:eastAsia="en-US"/>
    </w:rPr>
  </w:style>
  <w:style w:type="paragraph" w:customStyle="1" w:styleId="Point2number">
    <w:name w:val="Point 2 (number)"/>
    <w:basedOn w:val="Normal"/>
    <w:rsid w:val="000D2D0B"/>
    <w:pPr>
      <w:numPr>
        <w:ilvl w:val="4"/>
        <w:numId w:val="28"/>
      </w:numPr>
      <w:spacing w:before="120" w:after="120"/>
      <w:jc w:val="both"/>
    </w:pPr>
    <w:rPr>
      <w:rFonts w:ascii="Times New Roman" w:hAnsi="Times New Roman"/>
      <w:sz w:val="24"/>
      <w:lang w:eastAsia="en-US"/>
    </w:rPr>
  </w:style>
  <w:style w:type="paragraph" w:customStyle="1" w:styleId="Point3number">
    <w:name w:val="Point 3 (number)"/>
    <w:basedOn w:val="Normal"/>
    <w:rsid w:val="000D2D0B"/>
    <w:pPr>
      <w:numPr>
        <w:ilvl w:val="6"/>
        <w:numId w:val="28"/>
      </w:numPr>
      <w:spacing w:before="120" w:after="120"/>
      <w:jc w:val="both"/>
    </w:pPr>
    <w:rPr>
      <w:rFonts w:ascii="Times New Roman" w:hAnsi="Times New Roman"/>
      <w:sz w:val="24"/>
      <w:lang w:eastAsia="en-US"/>
    </w:rPr>
  </w:style>
  <w:style w:type="paragraph" w:customStyle="1" w:styleId="Point0letter">
    <w:name w:val="Point 0 (letter)"/>
    <w:basedOn w:val="Normal"/>
    <w:rsid w:val="000D2D0B"/>
    <w:pPr>
      <w:numPr>
        <w:ilvl w:val="1"/>
        <w:numId w:val="28"/>
      </w:numPr>
      <w:spacing w:before="120" w:after="120"/>
      <w:jc w:val="both"/>
    </w:pPr>
    <w:rPr>
      <w:rFonts w:ascii="Times New Roman" w:hAnsi="Times New Roman"/>
      <w:sz w:val="24"/>
      <w:lang w:eastAsia="en-US"/>
    </w:rPr>
  </w:style>
  <w:style w:type="paragraph" w:customStyle="1" w:styleId="Point1letter">
    <w:name w:val="Point 1 (letter)"/>
    <w:basedOn w:val="Normal"/>
    <w:rsid w:val="000D2D0B"/>
    <w:pPr>
      <w:numPr>
        <w:ilvl w:val="3"/>
        <w:numId w:val="28"/>
      </w:numPr>
      <w:spacing w:before="120" w:after="120"/>
      <w:jc w:val="both"/>
    </w:pPr>
    <w:rPr>
      <w:rFonts w:ascii="Times New Roman" w:hAnsi="Times New Roman"/>
      <w:sz w:val="24"/>
      <w:lang w:eastAsia="en-US"/>
    </w:rPr>
  </w:style>
  <w:style w:type="paragraph" w:customStyle="1" w:styleId="Point2letter">
    <w:name w:val="Point 2 (letter)"/>
    <w:basedOn w:val="Normal"/>
    <w:rsid w:val="000D2D0B"/>
    <w:pPr>
      <w:numPr>
        <w:ilvl w:val="5"/>
        <w:numId w:val="28"/>
      </w:numPr>
      <w:spacing w:before="120" w:after="120"/>
      <w:jc w:val="both"/>
    </w:pPr>
    <w:rPr>
      <w:rFonts w:ascii="Times New Roman" w:hAnsi="Times New Roman"/>
      <w:sz w:val="24"/>
      <w:lang w:eastAsia="en-US"/>
    </w:rPr>
  </w:style>
  <w:style w:type="paragraph" w:customStyle="1" w:styleId="Point3letter">
    <w:name w:val="Point 3 (letter)"/>
    <w:basedOn w:val="Normal"/>
    <w:rsid w:val="000D2D0B"/>
    <w:pPr>
      <w:numPr>
        <w:ilvl w:val="7"/>
        <w:numId w:val="28"/>
      </w:numPr>
      <w:spacing w:before="120" w:after="120"/>
      <w:jc w:val="both"/>
    </w:pPr>
    <w:rPr>
      <w:rFonts w:ascii="Times New Roman" w:hAnsi="Times New Roman"/>
      <w:sz w:val="24"/>
      <w:lang w:eastAsia="en-US"/>
    </w:rPr>
  </w:style>
  <w:style w:type="paragraph" w:customStyle="1" w:styleId="Point4letter">
    <w:name w:val="Point 4 (letter)"/>
    <w:basedOn w:val="Normal"/>
    <w:rsid w:val="000D2D0B"/>
    <w:pPr>
      <w:numPr>
        <w:ilvl w:val="8"/>
        <w:numId w:val="28"/>
      </w:numPr>
      <w:spacing w:before="120" w:after="120"/>
      <w:jc w:val="both"/>
    </w:pPr>
    <w:rPr>
      <w:rFonts w:ascii="Times New Roman" w:hAnsi="Times New Roman"/>
      <w:sz w:val="24"/>
      <w:lang w:eastAsia="en-US"/>
    </w:rPr>
  </w:style>
  <w:style w:type="paragraph" w:customStyle="1" w:styleId="Bullet0">
    <w:name w:val="Bullet 0"/>
    <w:basedOn w:val="Normal"/>
    <w:rsid w:val="000D2D0B"/>
    <w:pPr>
      <w:numPr>
        <w:numId w:val="22"/>
      </w:numPr>
      <w:spacing w:before="120" w:after="120"/>
      <w:jc w:val="both"/>
    </w:pPr>
    <w:rPr>
      <w:rFonts w:ascii="Times New Roman" w:hAnsi="Times New Roman"/>
      <w:sz w:val="24"/>
      <w:lang w:eastAsia="en-US"/>
    </w:rPr>
  </w:style>
  <w:style w:type="paragraph" w:customStyle="1" w:styleId="Bullet1">
    <w:name w:val="Bullet 1"/>
    <w:basedOn w:val="Normal"/>
    <w:rsid w:val="000D2D0B"/>
    <w:pPr>
      <w:numPr>
        <w:numId w:val="23"/>
      </w:numPr>
      <w:spacing w:before="120" w:after="120"/>
      <w:jc w:val="both"/>
    </w:pPr>
    <w:rPr>
      <w:rFonts w:ascii="Times New Roman" w:hAnsi="Times New Roman"/>
      <w:sz w:val="24"/>
      <w:lang w:eastAsia="en-US"/>
    </w:rPr>
  </w:style>
  <w:style w:type="paragraph" w:customStyle="1" w:styleId="Bullet2">
    <w:name w:val="Bullet 2"/>
    <w:basedOn w:val="Normal"/>
    <w:rsid w:val="000D2D0B"/>
    <w:pPr>
      <w:numPr>
        <w:numId w:val="24"/>
      </w:numPr>
      <w:spacing w:before="120" w:after="120"/>
      <w:jc w:val="both"/>
    </w:pPr>
    <w:rPr>
      <w:rFonts w:ascii="Times New Roman" w:hAnsi="Times New Roman"/>
      <w:sz w:val="24"/>
      <w:lang w:eastAsia="en-US"/>
    </w:rPr>
  </w:style>
  <w:style w:type="paragraph" w:customStyle="1" w:styleId="Bullet3">
    <w:name w:val="Bullet 3"/>
    <w:basedOn w:val="Normal"/>
    <w:rsid w:val="000D2D0B"/>
    <w:pPr>
      <w:numPr>
        <w:numId w:val="25"/>
      </w:numPr>
      <w:spacing w:before="120" w:after="120"/>
      <w:jc w:val="both"/>
    </w:pPr>
    <w:rPr>
      <w:rFonts w:ascii="Times New Roman" w:hAnsi="Times New Roman"/>
      <w:sz w:val="24"/>
      <w:lang w:eastAsia="en-US"/>
    </w:rPr>
  </w:style>
  <w:style w:type="paragraph" w:customStyle="1" w:styleId="Bullet4">
    <w:name w:val="Bullet 4"/>
    <w:basedOn w:val="Normal"/>
    <w:rsid w:val="000D2D0B"/>
    <w:pPr>
      <w:numPr>
        <w:numId w:val="26"/>
      </w:numPr>
      <w:spacing w:before="120" w:after="120"/>
      <w:jc w:val="both"/>
    </w:pPr>
    <w:rPr>
      <w:rFonts w:ascii="Times New Roman" w:hAnsi="Times New Roman"/>
      <w:sz w:val="24"/>
      <w:lang w:eastAsia="en-US"/>
    </w:rPr>
  </w:style>
  <w:style w:type="paragraph" w:customStyle="1" w:styleId="Annexetitreexpos">
    <w:name w:val="Annexe titre (exposé)"/>
    <w:basedOn w:val="Normal"/>
    <w:next w:val="Normal"/>
    <w:rsid w:val="000D2D0B"/>
    <w:pPr>
      <w:spacing w:before="120" w:after="120"/>
      <w:jc w:val="center"/>
    </w:pPr>
    <w:rPr>
      <w:rFonts w:ascii="Times New Roman" w:hAnsi="Times New Roman"/>
      <w:b/>
      <w:sz w:val="24"/>
      <w:u w:val="single"/>
      <w:lang w:eastAsia="en-US"/>
    </w:rPr>
  </w:style>
  <w:style w:type="paragraph" w:customStyle="1" w:styleId="Annexetitre">
    <w:name w:val="Annexe titre"/>
    <w:basedOn w:val="Normal"/>
    <w:next w:val="Normal"/>
    <w:rsid w:val="000D2D0B"/>
    <w:pPr>
      <w:spacing w:before="120" w:after="120"/>
      <w:jc w:val="center"/>
    </w:pPr>
    <w:rPr>
      <w:rFonts w:ascii="Times New Roman" w:hAnsi="Times New Roman"/>
      <w:b/>
      <w:sz w:val="24"/>
      <w:u w:val="single"/>
      <w:lang w:eastAsia="en-US"/>
    </w:rPr>
  </w:style>
  <w:style w:type="paragraph" w:customStyle="1" w:styleId="Annexetitrefichefinancire">
    <w:name w:val="Annexe titre (fiche financière)"/>
    <w:basedOn w:val="Normal"/>
    <w:next w:val="Normal"/>
    <w:rsid w:val="000D2D0B"/>
    <w:pPr>
      <w:spacing w:before="120" w:after="120"/>
      <w:jc w:val="center"/>
    </w:pPr>
    <w:rPr>
      <w:rFonts w:ascii="Times New Roman" w:hAnsi="Times New Roman"/>
      <w:b/>
      <w:sz w:val="24"/>
      <w:u w:val="single"/>
      <w:lang w:eastAsia="en-US"/>
    </w:rPr>
  </w:style>
  <w:style w:type="paragraph" w:customStyle="1" w:styleId="Avertissementtitre">
    <w:name w:val="Avertissement titre"/>
    <w:basedOn w:val="Normal"/>
    <w:next w:val="Normal"/>
    <w:rsid w:val="000D2D0B"/>
    <w:pPr>
      <w:keepNext/>
      <w:spacing w:before="480" w:after="120"/>
      <w:jc w:val="both"/>
    </w:pPr>
    <w:rPr>
      <w:rFonts w:ascii="Times New Roman" w:hAnsi="Times New Roman"/>
      <w:sz w:val="24"/>
      <w:u w:val="single"/>
      <w:lang w:eastAsia="en-US"/>
    </w:rPr>
  </w:style>
  <w:style w:type="paragraph" w:customStyle="1" w:styleId="Confidence">
    <w:name w:val="Confidence"/>
    <w:basedOn w:val="Normal"/>
    <w:next w:val="Normal"/>
    <w:rsid w:val="000D2D0B"/>
    <w:pPr>
      <w:spacing w:before="360" w:after="120"/>
      <w:jc w:val="center"/>
    </w:pPr>
    <w:rPr>
      <w:rFonts w:ascii="Times New Roman" w:hAnsi="Times New Roman"/>
      <w:sz w:val="24"/>
      <w:lang w:eastAsia="en-US"/>
    </w:rPr>
  </w:style>
  <w:style w:type="paragraph" w:customStyle="1" w:styleId="Confidentialit">
    <w:name w:val="Confidentialité"/>
    <w:basedOn w:val="Normal"/>
    <w:next w:val="TypedudocumentPagedecouverture"/>
    <w:rsid w:val="000D2D0B"/>
    <w:pPr>
      <w:spacing w:before="240" w:after="240"/>
      <w:ind w:left="5103"/>
      <w:jc w:val="both"/>
    </w:pPr>
    <w:rPr>
      <w:rFonts w:ascii="Times New Roman" w:hAnsi="Times New Roman"/>
      <w:sz w:val="24"/>
      <w:u w:val="single"/>
      <w:lang w:eastAsia="en-US"/>
    </w:rPr>
  </w:style>
  <w:style w:type="paragraph" w:customStyle="1" w:styleId="Corrigendum">
    <w:name w:val="Corrigendum"/>
    <w:basedOn w:val="Normal"/>
    <w:next w:val="Normal"/>
    <w:rsid w:val="000D2D0B"/>
    <w:pPr>
      <w:spacing w:after="240"/>
    </w:pPr>
    <w:rPr>
      <w:rFonts w:ascii="Times New Roman" w:hAnsi="Times New Roman"/>
      <w:sz w:val="24"/>
      <w:lang w:eastAsia="en-US"/>
    </w:rPr>
  </w:style>
  <w:style w:type="paragraph" w:customStyle="1" w:styleId="Datedadoption">
    <w:name w:val="Date d'adoption"/>
    <w:basedOn w:val="Normal"/>
    <w:next w:val="Titreobjet"/>
    <w:rsid w:val="000D2D0B"/>
    <w:pPr>
      <w:spacing w:before="360"/>
      <w:jc w:val="center"/>
    </w:pPr>
    <w:rPr>
      <w:rFonts w:ascii="Times New Roman" w:hAnsi="Times New Roman"/>
      <w:b/>
      <w:sz w:val="24"/>
      <w:lang w:eastAsia="en-US"/>
    </w:rPr>
  </w:style>
  <w:style w:type="paragraph" w:customStyle="1" w:styleId="Emission">
    <w:name w:val="Emission"/>
    <w:basedOn w:val="Normal"/>
    <w:next w:val="Rfrenceinstitutionnelle"/>
    <w:rsid w:val="000D2D0B"/>
    <w:pPr>
      <w:ind w:left="5103"/>
    </w:pPr>
    <w:rPr>
      <w:rFonts w:ascii="Times New Roman" w:hAnsi="Times New Roman"/>
      <w:sz w:val="24"/>
      <w:lang w:eastAsia="en-US"/>
    </w:rPr>
  </w:style>
  <w:style w:type="paragraph" w:customStyle="1" w:styleId="Exposdesmotifstitre">
    <w:name w:val="Exposé des motifs titre"/>
    <w:basedOn w:val="Normal"/>
    <w:next w:val="Normal"/>
    <w:rsid w:val="000D2D0B"/>
    <w:pPr>
      <w:spacing w:before="120" w:after="120"/>
      <w:jc w:val="center"/>
    </w:pPr>
    <w:rPr>
      <w:rFonts w:ascii="Times New Roman" w:hAnsi="Times New Roman"/>
      <w:b/>
      <w:sz w:val="24"/>
      <w:u w:val="single"/>
      <w:lang w:eastAsia="en-US"/>
    </w:rPr>
  </w:style>
  <w:style w:type="paragraph" w:customStyle="1" w:styleId="Institutionquiagit">
    <w:name w:val="Institution qui agit"/>
    <w:basedOn w:val="Normal"/>
    <w:next w:val="Normal"/>
    <w:rsid w:val="000D2D0B"/>
    <w:pPr>
      <w:keepNext/>
      <w:spacing w:before="600" w:after="120"/>
      <w:jc w:val="both"/>
    </w:pPr>
    <w:rPr>
      <w:rFonts w:ascii="Times New Roman" w:hAnsi="Times New Roman"/>
      <w:sz w:val="24"/>
      <w:lang w:eastAsia="en-US"/>
    </w:rPr>
  </w:style>
  <w:style w:type="paragraph" w:customStyle="1" w:styleId="Langue">
    <w:name w:val="Langue"/>
    <w:basedOn w:val="Normal"/>
    <w:next w:val="Rfrenceinterne"/>
    <w:rsid w:val="000D2D0B"/>
    <w:pPr>
      <w:framePr w:wrap="around" w:vAnchor="page" w:hAnchor="text" w:xAlign="center" w:y="14741"/>
      <w:spacing w:after="600"/>
      <w:jc w:val="center"/>
    </w:pPr>
    <w:rPr>
      <w:rFonts w:ascii="Times New Roman" w:hAnsi="Times New Roman"/>
      <w:b/>
      <w:caps/>
      <w:sz w:val="24"/>
      <w:lang w:eastAsia="en-US"/>
    </w:rPr>
  </w:style>
  <w:style w:type="paragraph" w:customStyle="1" w:styleId="ManualConsidrant">
    <w:name w:val="Manual Considérant"/>
    <w:basedOn w:val="Normal"/>
    <w:rsid w:val="000D2D0B"/>
    <w:pPr>
      <w:spacing w:before="120" w:after="120"/>
      <w:ind w:left="709" w:hanging="709"/>
      <w:jc w:val="both"/>
    </w:pPr>
    <w:rPr>
      <w:rFonts w:ascii="Times New Roman" w:hAnsi="Times New Roman"/>
      <w:sz w:val="24"/>
      <w:lang w:eastAsia="en-US"/>
    </w:rPr>
  </w:style>
  <w:style w:type="paragraph" w:customStyle="1" w:styleId="Nomdelinstitution">
    <w:name w:val="Nom de l'institution"/>
    <w:basedOn w:val="Normal"/>
    <w:next w:val="Emission"/>
    <w:rsid w:val="000D2D0B"/>
    <w:rPr>
      <w:rFonts w:cs="Arial"/>
      <w:sz w:val="24"/>
      <w:lang w:eastAsia="en-US"/>
    </w:rPr>
  </w:style>
  <w:style w:type="paragraph" w:customStyle="1" w:styleId="Rfrenceinstitutionnelle">
    <w:name w:val="Référence institutionnelle"/>
    <w:basedOn w:val="Normal"/>
    <w:next w:val="Confidentialit"/>
    <w:rsid w:val="000D2D0B"/>
    <w:pPr>
      <w:spacing w:after="240"/>
      <w:ind w:left="5103"/>
    </w:pPr>
    <w:rPr>
      <w:rFonts w:ascii="Times New Roman" w:hAnsi="Times New Roman"/>
      <w:sz w:val="24"/>
      <w:lang w:eastAsia="en-US"/>
    </w:rPr>
  </w:style>
  <w:style w:type="paragraph" w:customStyle="1" w:styleId="Rfrenceinterinstitutionnelle">
    <w:name w:val="Référence interinstitutionnelle"/>
    <w:basedOn w:val="Normal"/>
    <w:next w:val="Statut"/>
    <w:rsid w:val="000D2D0B"/>
    <w:pPr>
      <w:ind w:left="5103"/>
    </w:pPr>
    <w:rPr>
      <w:rFonts w:ascii="Times New Roman" w:hAnsi="Times New Roman"/>
      <w:sz w:val="24"/>
      <w:lang w:eastAsia="en-US"/>
    </w:rPr>
  </w:style>
  <w:style w:type="paragraph" w:customStyle="1" w:styleId="Rfrenceinterne">
    <w:name w:val="Référence interne"/>
    <w:basedOn w:val="Normal"/>
    <w:next w:val="Rfrenceinterinstitutionnelle"/>
    <w:rsid w:val="000D2D0B"/>
    <w:pPr>
      <w:ind w:left="5103"/>
    </w:pPr>
    <w:rPr>
      <w:rFonts w:ascii="Times New Roman" w:hAnsi="Times New Roman"/>
      <w:sz w:val="24"/>
      <w:lang w:eastAsia="en-US"/>
    </w:rPr>
  </w:style>
  <w:style w:type="paragraph" w:customStyle="1" w:styleId="Sous-titreobjet">
    <w:name w:val="Sous-titre objet"/>
    <w:basedOn w:val="Normal"/>
    <w:rsid w:val="000D2D0B"/>
    <w:pPr>
      <w:jc w:val="center"/>
    </w:pPr>
    <w:rPr>
      <w:rFonts w:ascii="Times New Roman" w:hAnsi="Times New Roman"/>
      <w:b/>
      <w:sz w:val="24"/>
      <w:lang w:eastAsia="en-US"/>
    </w:rPr>
  </w:style>
  <w:style w:type="paragraph" w:customStyle="1" w:styleId="Statut">
    <w:name w:val="Statut"/>
    <w:basedOn w:val="Normal"/>
    <w:next w:val="Typedudocument"/>
    <w:rsid w:val="000D2D0B"/>
    <w:pPr>
      <w:spacing w:before="360"/>
      <w:jc w:val="center"/>
    </w:pPr>
    <w:rPr>
      <w:rFonts w:ascii="Times New Roman" w:hAnsi="Times New Roman"/>
      <w:sz w:val="24"/>
      <w:lang w:eastAsia="en-US"/>
    </w:rPr>
  </w:style>
  <w:style w:type="character" w:customStyle="1" w:styleId="Added">
    <w:name w:val="Added"/>
    <w:rsid w:val="000D2D0B"/>
    <w:rPr>
      <w:b/>
      <w:u w:val="single"/>
      <w:shd w:val="clear" w:color="auto" w:fill="auto"/>
    </w:rPr>
  </w:style>
  <w:style w:type="character" w:customStyle="1" w:styleId="Deleted">
    <w:name w:val="Deleted"/>
    <w:rsid w:val="000D2D0B"/>
    <w:rPr>
      <w:strike/>
      <w:shd w:val="clear" w:color="auto" w:fill="auto"/>
    </w:rPr>
  </w:style>
  <w:style w:type="paragraph" w:customStyle="1" w:styleId="Address">
    <w:name w:val="Address"/>
    <w:basedOn w:val="Normal"/>
    <w:next w:val="Normal"/>
    <w:rsid w:val="000D2D0B"/>
    <w:pPr>
      <w:keepLines/>
      <w:spacing w:before="120" w:after="120" w:line="360" w:lineRule="auto"/>
      <w:ind w:left="3402"/>
    </w:pPr>
    <w:rPr>
      <w:rFonts w:ascii="Times New Roman" w:hAnsi="Times New Roman"/>
      <w:sz w:val="24"/>
      <w:lang w:eastAsia="en-US"/>
    </w:rPr>
  </w:style>
  <w:style w:type="paragraph" w:customStyle="1" w:styleId="Objetexterne">
    <w:name w:val="Objet externe"/>
    <w:basedOn w:val="Normal"/>
    <w:next w:val="Normal"/>
    <w:rsid w:val="000D2D0B"/>
    <w:pPr>
      <w:spacing w:before="120" w:after="120"/>
      <w:jc w:val="both"/>
    </w:pPr>
    <w:rPr>
      <w:rFonts w:ascii="Times New Roman" w:hAnsi="Times New Roman"/>
      <w:i/>
      <w:caps/>
      <w:sz w:val="24"/>
      <w:lang w:eastAsia="en-US"/>
    </w:rPr>
  </w:style>
  <w:style w:type="paragraph" w:customStyle="1" w:styleId="Pagedecouverture">
    <w:name w:val="Page de couverture"/>
    <w:basedOn w:val="Normal"/>
    <w:next w:val="Normal"/>
    <w:rsid w:val="000D2D0B"/>
    <w:pPr>
      <w:spacing w:before="120" w:after="120"/>
      <w:jc w:val="both"/>
    </w:pPr>
    <w:rPr>
      <w:rFonts w:ascii="Times New Roman" w:hAnsi="Times New Roman"/>
      <w:sz w:val="24"/>
      <w:lang w:eastAsia="en-US"/>
    </w:rPr>
  </w:style>
  <w:style w:type="paragraph" w:customStyle="1" w:styleId="Supertitre">
    <w:name w:val="Supertitre"/>
    <w:basedOn w:val="Normal"/>
    <w:next w:val="Normal"/>
    <w:rsid w:val="000D2D0B"/>
    <w:pPr>
      <w:spacing w:after="600"/>
      <w:jc w:val="center"/>
    </w:pPr>
    <w:rPr>
      <w:rFonts w:ascii="Times New Roman" w:hAnsi="Times New Roman"/>
      <w:b/>
      <w:sz w:val="24"/>
      <w:lang w:eastAsia="en-US"/>
    </w:rPr>
  </w:style>
  <w:style w:type="paragraph" w:customStyle="1" w:styleId="Languesfaisantfoi">
    <w:name w:val="Langues faisant foi"/>
    <w:basedOn w:val="Normal"/>
    <w:next w:val="Normal"/>
    <w:rsid w:val="000D2D0B"/>
    <w:pPr>
      <w:spacing w:before="360"/>
      <w:jc w:val="center"/>
    </w:pPr>
    <w:rPr>
      <w:rFonts w:ascii="Times New Roman" w:hAnsi="Times New Roman"/>
      <w:sz w:val="24"/>
      <w:lang w:eastAsia="en-US"/>
    </w:rPr>
  </w:style>
  <w:style w:type="paragraph" w:customStyle="1" w:styleId="Rfrencecroise">
    <w:name w:val="Référence croisée"/>
    <w:basedOn w:val="Normal"/>
    <w:rsid w:val="000D2D0B"/>
    <w:pPr>
      <w:jc w:val="center"/>
    </w:pPr>
    <w:rPr>
      <w:rFonts w:ascii="Times New Roman" w:hAnsi="Times New Roman"/>
      <w:sz w:val="24"/>
      <w:lang w:eastAsia="en-US"/>
    </w:rPr>
  </w:style>
  <w:style w:type="paragraph" w:customStyle="1" w:styleId="Fichefinanciretitre">
    <w:name w:val="Fiche financière titre"/>
    <w:basedOn w:val="Normal"/>
    <w:next w:val="Normal"/>
    <w:rsid w:val="000D2D0B"/>
    <w:pPr>
      <w:spacing w:before="120" w:after="120"/>
      <w:jc w:val="center"/>
    </w:pPr>
    <w:rPr>
      <w:rFonts w:ascii="Times New Roman" w:hAnsi="Times New Roman"/>
      <w:b/>
      <w:sz w:val="24"/>
      <w:u w:val="single"/>
      <w:lang w:eastAsia="en-US"/>
    </w:rPr>
  </w:style>
  <w:style w:type="paragraph" w:customStyle="1" w:styleId="DatedadoptionPagedecouverture">
    <w:name w:val="Date d'adoption (Page de couverture)"/>
    <w:basedOn w:val="Datedadoption"/>
    <w:next w:val="TitreobjetPagedecouverture"/>
    <w:rsid w:val="000D2D0B"/>
  </w:style>
  <w:style w:type="paragraph" w:customStyle="1" w:styleId="RfrenceinterinstitutionnellePagedecouverture">
    <w:name w:val="Référence interinstitutionnelle (Page de couverture)"/>
    <w:basedOn w:val="Rfrenceinterinstitutionnelle"/>
    <w:next w:val="Confidentialit"/>
    <w:rsid w:val="000D2D0B"/>
  </w:style>
  <w:style w:type="paragraph" w:customStyle="1" w:styleId="Sous-titreobjetPagedecouverture">
    <w:name w:val="Sous-titre objet (Page de couverture)"/>
    <w:basedOn w:val="Sous-titreobjet"/>
    <w:rsid w:val="000D2D0B"/>
  </w:style>
  <w:style w:type="paragraph" w:customStyle="1" w:styleId="StatutPagedecouverture">
    <w:name w:val="Statut (Page de couverture)"/>
    <w:basedOn w:val="Statut"/>
    <w:next w:val="TypedudocumentPagedecouverture"/>
    <w:rsid w:val="000D2D0B"/>
  </w:style>
  <w:style w:type="paragraph" w:customStyle="1" w:styleId="TitreobjetPagedecouverture">
    <w:name w:val="Titre objet (Page de couverture)"/>
    <w:basedOn w:val="Titreobjet"/>
    <w:next w:val="Sous-titreobjetPagedecouverture"/>
    <w:rsid w:val="000D2D0B"/>
  </w:style>
  <w:style w:type="paragraph" w:customStyle="1" w:styleId="TypedudocumentPagedecouverture">
    <w:name w:val="Type du document (Page de couverture)"/>
    <w:basedOn w:val="Typedudocument"/>
    <w:next w:val="TitreobjetPagedecouverture"/>
    <w:rsid w:val="000D2D0B"/>
  </w:style>
  <w:style w:type="paragraph" w:customStyle="1" w:styleId="Volume">
    <w:name w:val="Volume"/>
    <w:basedOn w:val="Normal"/>
    <w:next w:val="Confidentialit"/>
    <w:rsid w:val="000D2D0B"/>
    <w:pPr>
      <w:spacing w:after="240"/>
      <w:ind w:left="5103"/>
    </w:pPr>
    <w:rPr>
      <w:rFonts w:ascii="Times New Roman" w:hAnsi="Times New Roman"/>
      <w:sz w:val="24"/>
      <w:lang w:eastAsia="en-US"/>
    </w:rPr>
  </w:style>
  <w:style w:type="paragraph" w:customStyle="1" w:styleId="IntrtEEE">
    <w:name w:val="Intérêt EEE"/>
    <w:basedOn w:val="Languesfaisantfoi"/>
    <w:next w:val="Normal"/>
    <w:rsid w:val="000D2D0B"/>
    <w:pPr>
      <w:spacing w:after="240"/>
    </w:pPr>
  </w:style>
  <w:style w:type="paragraph" w:customStyle="1" w:styleId="Accompagnant">
    <w:name w:val="Accompagnant"/>
    <w:basedOn w:val="Normal"/>
    <w:next w:val="Typeacteprincipal"/>
    <w:rsid w:val="000D2D0B"/>
    <w:pPr>
      <w:spacing w:after="240"/>
      <w:jc w:val="center"/>
    </w:pPr>
    <w:rPr>
      <w:rFonts w:ascii="Times New Roman" w:hAnsi="Times New Roman"/>
      <w:b/>
      <w:i/>
      <w:sz w:val="24"/>
      <w:lang w:eastAsia="en-US"/>
    </w:rPr>
  </w:style>
  <w:style w:type="paragraph" w:customStyle="1" w:styleId="Typeacteprincipal">
    <w:name w:val="Type acte principal"/>
    <w:basedOn w:val="Normal"/>
    <w:next w:val="Objetacteprincipal"/>
    <w:rsid w:val="000D2D0B"/>
    <w:pPr>
      <w:spacing w:after="240"/>
      <w:jc w:val="center"/>
    </w:pPr>
    <w:rPr>
      <w:rFonts w:ascii="Times New Roman" w:hAnsi="Times New Roman"/>
      <w:b/>
      <w:sz w:val="24"/>
      <w:lang w:eastAsia="en-US"/>
    </w:rPr>
  </w:style>
  <w:style w:type="paragraph" w:customStyle="1" w:styleId="Objetacteprincipal">
    <w:name w:val="Objet acte principal"/>
    <w:basedOn w:val="Normal"/>
    <w:next w:val="Titrearticle"/>
    <w:rsid w:val="000D2D0B"/>
    <w:pPr>
      <w:spacing w:after="360"/>
      <w:jc w:val="center"/>
    </w:pPr>
    <w:rPr>
      <w:rFonts w:ascii="Times New Roman" w:hAnsi="Times New Roman"/>
      <w:b/>
      <w:sz w:val="24"/>
      <w:lang w:eastAsia="en-US"/>
    </w:rPr>
  </w:style>
  <w:style w:type="paragraph" w:customStyle="1" w:styleId="IntrtEEEPagedecouverture">
    <w:name w:val="Intérêt EEE (Page de couverture)"/>
    <w:basedOn w:val="IntrtEEE"/>
    <w:next w:val="Rfrencecroise"/>
    <w:rsid w:val="000D2D0B"/>
  </w:style>
  <w:style w:type="paragraph" w:customStyle="1" w:styleId="AccompagnantPagedecouverture">
    <w:name w:val="Accompagnant (Page de couverture)"/>
    <w:basedOn w:val="Accompagnant"/>
    <w:next w:val="TypeacteprincipalPagedecouverture"/>
    <w:rsid w:val="000D2D0B"/>
  </w:style>
  <w:style w:type="paragraph" w:customStyle="1" w:styleId="TypeacteprincipalPagedecouverture">
    <w:name w:val="Type acte principal (Page de couverture)"/>
    <w:basedOn w:val="Typeacteprincipal"/>
    <w:next w:val="ObjetacteprincipalPagedecouverture"/>
    <w:rsid w:val="000D2D0B"/>
  </w:style>
  <w:style w:type="paragraph" w:customStyle="1" w:styleId="ObjetacteprincipalPagedecouverture">
    <w:name w:val="Objet acte principal (Page de couverture)"/>
    <w:basedOn w:val="Objetacteprincipal"/>
    <w:next w:val="Rfrencecroise"/>
    <w:rsid w:val="000D2D0B"/>
  </w:style>
  <w:style w:type="paragraph" w:customStyle="1" w:styleId="LanguesfaisantfoiPagedecouverture">
    <w:name w:val="Langues faisant foi (Page de couverture)"/>
    <w:basedOn w:val="Normal"/>
    <w:next w:val="Normal"/>
    <w:rsid w:val="000D2D0B"/>
    <w:pPr>
      <w:spacing w:before="360"/>
      <w:jc w:val="center"/>
    </w:pPr>
    <w:rPr>
      <w:rFonts w:ascii="Times New Roman" w:hAnsi="Times New Roman"/>
      <w:sz w:val="24"/>
      <w:lang w:eastAsia="en-US"/>
    </w:rPr>
  </w:style>
  <w:style w:type="paragraph" w:styleId="ListNumber2">
    <w:name w:val="List Number 2"/>
    <w:basedOn w:val="Normal"/>
    <w:rsid w:val="000D2D0B"/>
    <w:pPr>
      <w:tabs>
        <w:tab w:val="num" w:pos="643"/>
      </w:tabs>
      <w:spacing w:before="120" w:after="120"/>
      <w:ind w:left="643" w:hanging="360"/>
      <w:jc w:val="both"/>
    </w:pPr>
    <w:rPr>
      <w:rFonts w:ascii="Times New Roman" w:hAnsi="Times New Roman"/>
      <w:sz w:val="24"/>
      <w:lang w:eastAsia="en-US"/>
    </w:rPr>
  </w:style>
  <w:style w:type="paragraph" w:styleId="ListNumber3">
    <w:name w:val="List Number 3"/>
    <w:basedOn w:val="Normal"/>
    <w:rsid w:val="000D2D0B"/>
    <w:pPr>
      <w:tabs>
        <w:tab w:val="num" w:pos="926"/>
      </w:tabs>
      <w:spacing w:before="120" w:after="120"/>
      <w:ind w:left="926" w:hanging="360"/>
      <w:jc w:val="both"/>
    </w:pPr>
    <w:rPr>
      <w:rFonts w:ascii="Times New Roman" w:hAnsi="Times New Roman"/>
      <w:sz w:val="24"/>
      <w:lang w:eastAsia="en-US"/>
    </w:rPr>
  </w:style>
  <w:style w:type="paragraph" w:styleId="ListNumber4">
    <w:name w:val="List Number 4"/>
    <w:basedOn w:val="Normal"/>
    <w:rsid w:val="000D2D0B"/>
    <w:pPr>
      <w:tabs>
        <w:tab w:val="num" w:pos="1209"/>
        <w:tab w:val="num" w:pos="1417"/>
      </w:tabs>
      <w:spacing w:before="120" w:after="120"/>
      <w:ind w:left="1209" w:hanging="360"/>
      <w:jc w:val="both"/>
    </w:pPr>
    <w:rPr>
      <w:rFonts w:ascii="Times New Roman" w:hAnsi="Times New Roman"/>
      <w:sz w:val="24"/>
      <w:lang w:eastAsia="en-US"/>
    </w:rPr>
  </w:style>
  <w:style w:type="paragraph" w:styleId="ListBullet">
    <w:name w:val="List Bullet"/>
    <w:basedOn w:val="Normal"/>
    <w:rsid w:val="000D2D0B"/>
    <w:pPr>
      <w:numPr>
        <w:numId w:val="14"/>
      </w:numPr>
      <w:tabs>
        <w:tab w:val="num" w:pos="360"/>
      </w:tabs>
      <w:spacing w:before="120" w:after="120"/>
      <w:ind w:left="360" w:hanging="360"/>
      <w:jc w:val="both"/>
    </w:pPr>
    <w:rPr>
      <w:rFonts w:ascii="Times New Roman" w:hAnsi="Times New Roman"/>
      <w:sz w:val="24"/>
      <w:lang w:eastAsia="en-US"/>
    </w:rPr>
  </w:style>
  <w:style w:type="paragraph" w:styleId="ListBullet2">
    <w:name w:val="List Bullet 2"/>
    <w:basedOn w:val="Normal"/>
    <w:rsid w:val="000D2D0B"/>
    <w:pPr>
      <w:tabs>
        <w:tab w:val="num" w:pos="643"/>
        <w:tab w:val="num" w:pos="851"/>
      </w:tabs>
      <w:spacing w:before="120" w:after="120"/>
      <w:ind w:left="643" w:hanging="360"/>
      <w:jc w:val="both"/>
    </w:pPr>
    <w:rPr>
      <w:rFonts w:ascii="Times New Roman" w:hAnsi="Times New Roman"/>
      <w:sz w:val="24"/>
      <w:lang w:eastAsia="en-US"/>
    </w:rPr>
  </w:style>
  <w:style w:type="paragraph" w:styleId="ListBullet3">
    <w:name w:val="List Bullet 3"/>
    <w:basedOn w:val="Normal"/>
    <w:rsid w:val="000D2D0B"/>
    <w:pPr>
      <w:numPr>
        <w:numId w:val="16"/>
      </w:numPr>
      <w:tabs>
        <w:tab w:val="num" w:pos="926"/>
      </w:tabs>
      <w:spacing w:before="120" w:after="120"/>
      <w:ind w:left="926"/>
      <w:jc w:val="both"/>
    </w:pPr>
    <w:rPr>
      <w:rFonts w:ascii="Times New Roman" w:hAnsi="Times New Roman"/>
      <w:sz w:val="24"/>
      <w:lang w:eastAsia="en-US"/>
    </w:rPr>
  </w:style>
  <w:style w:type="paragraph" w:styleId="ListBullet4">
    <w:name w:val="List Bullet 4"/>
    <w:basedOn w:val="Normal"/>
    <w:rsid w:val="000D2D0B"/>
    <w:pPr>
      <w:numPr>
        <w:numId w:val="17"/>
      </w:numPr>
      <w:tabs>
        <w:tab w:val="num" w:pos="1209"/>
      </w:tabs>
      <w:spacing w:before="120" w:after="120"/>
      <w:ind w:left="1209"/>
      <w:jc w:val="both"/>
    </w:pPr>
    <w:rPr>
      <w:rFonts w:ascii="Times New Roman" w:hAnsi="Times New Roman"/>
      <w:sz w:val="24"/>
      <w:lang w:eastAsia="en-US"/>
    </w:rPr>
  </w:style>
  <w:style w:type="paragraph" w:styleId="TableofFigures">
    <w:name w:val="table of figures"/>
    <w:basedOn w:val="Normal"/>
    <w:next w:val="Normal"/>
    <w:rsid w:val="000D2D0B"/>
    <w:pPr>
      <w:spacing w:before="120" w:after="120"/>
      <w:jc w:val="both"/>
    </w:pPr>
    <w:rPr>
      <w:rFonts w:ascii="Times New Roman" w:hAnsi="Times New Roman"/>
      <w:sz w:val="24"/>
      <w:lang w:eastAsia="en-US"/>
    </w:rPr>
  </w:style>
  <w:style w:type="character" w:customStyle="1" w:styleId="CommentTextChar3">
    <w:name w:val="Comment Text Char3"/>
    <w:locked/>
    <w:rsid w:val="000D2D0B"/>
    <w:rPr>
      <w:rFonts w:ascii="Arial" w:hAnsi="Arial" w:cs="Times New Roman"/>
      <w:lang w:val="en-GB" w:eastAsia="en-GB" w:bidi="ar-SA"/>
    </w:rPr>
  </w:style>
  <w:style w:type="paragraph" w:customStyle="1" w:styleId="Paragrafoelenco3">
    <w:name w:val="Paragrafo elenco3"/>
    <w:basedOn w:val="Normal"/>
    <w:rsid w:val="000D2D0B"/>
    <w:pPr>
      <w:ind w:left="720"/>
      <w:contextualSpacing/>
    </w:pPr>
    <w:rPr>
      <w:rFonts w:ascii="Cambria" w:hAnsi="Cambria"/>
      <w:sz w:val="24"/>
      <w:lang w:val="en-US" w:eastAsia="en-US"/>
    </w:rPr>
  </w:style>
  <w:style w:type="paragraph" w:customStyle="1" w:styleId="Listeavsnitt1">
    <w:name w:val="Listeavsnitt1"/>
    <w:basedOn w:val="Normal"/>
    <w:rsid w:val="000D2D0B"/>
    <w:pPr>
      <w:spacing w:line="252" w:lineRule="auto"/>
      <w:ind w:left="720"/>
      <w:contextualSpacing/>
    </w:pPr>
    <w:rPr>
      <w:rFonts w:ascii="Times New Roman" w:hAnsi="Times New Roman"/>
      <w:sz w:val="24"/>
      <w:lang w:val="nb-NO" w:eastAsia="en-US"/>
    </w:rPr>
  </w:style>
  <w:style w:type="character" w:customStyle="1" w:styleId="PlainTextChar1">
    <w:name w:val="Plain Text Char1"/>
    <w:rsid w:val="000D2D0B"/>
    <w:rPr>
      <w:rFonts w:ascii="Consolas" w:hAnsi="Consolas" w:cs="Consolas"/>
      <w:sz w:val="21"/>
      <w:szCs w:val="21"/>
      <w:lang w:eastAsia="de-DE"/>
    </w:rPr>
  </w:style>
  <w:style w:type="character" w:customStyle="1" w:styleId="CharChar1">
    <w:name w:val="Char Char1"/>
    <w:semiHidden/>
    <w:locked/>
    <w:rsid w:val="000D2D0B"/>
    <w:rPr>
      <w:rFonts w:ascii="Arial" w:hAnsi="Arial"/>
      <w:lang w:val="en-GB" w:eastAsia="en-GB" w:bidi="ar-SA"/>
    </w:rPr>
  </w:style>
  <w:style w:type="character" w:customStyle="1" w:styleId="CharChar">
    <w:name w:val="Char Char"/>
    <w:semiHidden/>
    <w:locked/>
    <w:rsid w:val="000D2D0B"/>
    <w:rPr>
      <w:rFonts w:ascii="Arial" w:hAnsi="Arial"/>
      <w:lang w:val="en-GB" w:eastAsia="en-GB" w:bidi="ar-SA"/>
    </w:rPr>
  </w:style>
  <w:style w:type="character" w:customStyle="1" w:styleId="CharChar2">
    <w:name w:val="Char Char2"/>
    <w:semiHidden/>
    <w:locked/>
    <w:rsid w:val="000D2D0B"/>
    <w:rPr>
      <w:rFonts w:ascii="Arial" w:hAnsi="Arial"/>
      <w:lang w:val="en-GB" w:eastAsia="en-GB" w:bidi="ar-SA"/>
    </w:rPr>
  </w:style>
  <w:style w:type="character" w:customStyle="1" w:styleId="CharChar4">
    <w:name w:val="Char Char4"/>
    <w:semiHidden/>
    <w:locked/>
    <w:rsid w:val="000D2D0B"/>
    <w:rPr>
      <w:rFonts w:ascii="Arial" w:hAnsi="Arial" w:cs="Times New Roman"/>
      <w:lang w:val="en-GB" w:eastAsia="en-GB" w:bidi="ar-SA"/>
    </w:rPr>
  </w:style>
  <w:style w:type="numbering" w:customStyle="1" w:styleId="Formatvorlage1">
    <w:name w:val="Formatvorlage1"/>
    <w:uiPriority w:val="99"/>
    <w:rsid w:val="000D2D0B"/>
    <w:pPr>
      <w:numPr>
        <w:numId w:val="27"/>
      </w:numPr>
    </w:pPr>
  </w:style>
  <w:style w:type="character" w:customStyle="1" w:styleId="DeltaViewDeletion">
    <w:name w:val="DeltaView Deletion"/>
    <w:rsid w:val="000D2D0B"/>
    <w:rPr>
      <w:b/>
      <w:strike/>
      <w:color w:val="FFFFFF"/>
      <w:spacing w:val="0"/>
    </w:rPr>
  </w:style>
  <w:style w:type="paragraph" w:customStyle="1" w:styleId="Listenabsatz3">
    <w:name w:val="Listenabsatz3"/>
    <w:basedOn w:val="Normal"/>
    <w:rsid w:val="000D2D0B"/>
    <w:pPr>
      <w:spacing w:before="120" w:after="120"/>
      <w:ind w:left="720"/>
      <w:contextualSpacing/>
      <w:jc w:val="both"/>
    </w:pPr>
    <w:rPr>
      <w:rFonts w:ascii="Times New Roman" w:hAnsi="Times New Roman"/>
      <w:sz w:val="24"/>
      <w:lang w:eastAsia="en-US"/>
    </w:rPr>
  </w:style>
  <w:style w:type="paragraph" w:customStyle="1" w:styleId="Paragrafoelenco2">
    <w:name w:val="Paragrafo elenco2"/>
    <w:basedOn w:val="Normal"/>
    <w:uiPriority w:val="99"/>
    <w:rsid w:val="000D2D0B"/>
    <w:pPr>
      <w:ind w:left="720"/>
      <w:contextualSpacing/>
    </w:pPr>
    <w:rPr>
      <w:rFonts w:ascii="Cambria" w:hAnsi="Cambria"/>
      <w:sz w:val="24"/>
      <w:lang w:val="en-US" w:eastAsia="en-US"/>
    </w:rPr>
  </w:style>
  <w:style w:type="paragraph" w:customStyle="1" w:styleId="ListParagraph2">
    <w:name w:val="List Paragraph2"/>
    <w:basedOn w:val="Normal"/>
    <w:rsid w:val="000D2D0B"/>
    <w:pPr>
      <w:spacing w:line="252" w:lineRule="auto"/>
      <w:ind w:left="720"/>
      <w:contextualSpacing/>
    </w:pPr>
    <w:rPr>
      <w:rFonts w:ascii="Times New Roman" w:hAnsi="Times New Roman"/>
      <w:sz w:val="24"/>
      <w:lang w:val="nb-NO" w:eastAsia="en-US"/>
    </w:rPr>
  </w:style>
  <w:style w:type="paragraph" w:customStyle="1" w:styleId="Inhaltsverzeichnisberschrift1">
    <w:name w:val="Inhaltsverzeichnisüberschrift1"/>
    <w:basedOn w:val="Heading1"/>
    <w:next w:val="Normal"/>
    <w:rsid w:val="000D2D0B"/>
    <w:pPr>
      <w:keepNext w:val="0"/>
      <w:numPr>
        <w:numId w:val="0"/>
      </w:numPr>
      <w:tabs>
        <w:tab w:val="left" w:pos="397"/>
      </w:tabs>
      <w:suppressAutoHyphens/>
      <w:spacing w:before="0" w:after="280"/>
      <w:jc w:val="both"/>
      <w:outlineLvl w:val="9"/>
    </w:pPr>
    <w:rPr>
      <w:rFonts w:ascii="Cambria" w:hAnsi="Cambria" w:cs="Times New Roman"/>
      <w:bCs w:val="0"/>
      <w:color w:val="000000"/>
      <w:kern w:val="0"/>
      <w:sz w:val="20"/>
      <w:szCs w:val="20"/>
      <w:lang w:eastAsia="en-US"/>
    </w:rPr>
  </w:style>
  <w:style w:type="paragraph" w:customStyle="1" w:styleId="berarbeitung1">
    <w:name w:val="Überarbeitung1"/>
    <w:hidden/>
    <w:semiHidden/>
    <w:rsid w:val="000D2D0B"/>
    <w:rPr>
      <w:sz w:val="24"/>
      <w:szCs w:val="24"/>
      <w:lang w:eastAsia="en-US"/>
    </w:rPr>
  </w:style>
  <w:style w:type="paragraph" w:customStyle="1" w:styleId="CODParagraphes">
    <w:name w:val="COD Paragraphes"/>
    <w:basedOn w:val="Normal"/>
    <w:rsid w:val="000D2D0B"/>
    <w:pPr>
      <w:tabs>
        <w:tab w:val="left" w:pos="709"/>
      </w:tabs>
      <w:spacing w:after="240"/>
      <w:jc w:val="both"/>
    </w:pPr>
    <w:rPr>
      <w:rFonts w:ascii="Times New Roman" w:hAnsi="Times New Roman"/>
      <w:sz w:val="24"/>
      <w:szCs w:val="22"/>
      <w:lang w:val="fr-FR" w:eastAsia="en-GB"/>
    </w:rPr>
  </w:style>
  <w:style w:type="character" w:customStyle="1" w:styleId="TitrearticleChar">
    <w:name w:val="Titre article Char"/>
    <w:link w:val="Titrearticle"/>
    <w:uiPriority w:val="99"/>
    <w:locked/>
    <w:rsid w:val="000D2D0B"/>
    <w:rPr>
      <w:i/>
      <w:sz w:val="24"/>
      <w:szCs w:val="24"/>
      <w:lang w:val="x-none" w:eastAsia="x-none"/>
    </w:rPr>
  </w:style>
  <w:style w:type="paragraph" w:customStyle="1" w:styleId="CODArticle12">
    <w:name w:val="COD Article + 12"/>
    <w:basedOn w:val="Normal"/>
    <w:uiPriority w:val="99"/>
    <w:rsid w:val="000D2D0B"/>
    <w:pPr>
      <w:spacing w:after="240"/>
      <w:jc w:val="center"/>
    </w:pPr>
    <w:rPr>
      <w:rFonts w:ascii="Times New Roman" w:hAnsi="Times New Roman"/>
      <w:sz w:val="24"/>
      <w:szCs w:val="20"/>
      <w:lang w:val="fr-FR" w:eastAsia="en-GB"/>
    </w:rPr>
  </w:style>
  <w:style w:type="paragraph" w:customStyle="1" w:styleId="TableContents">
    <w:name w:val="Table Contents"/>
    <w:basedOn w:val="Normal"/>
    <w:rsid w:val="000D2D0B"/>
    <w:pPr>
      <w:widowControl w:val="0"/>
      <w:suppressLineNumbers/>
      <w:suppressAutoHyphens/>
    </w:pPr>
    <w:rPr>
      <w:rFonts w:ascii="Liberation Serif" w:hAnsi="Liberation Serif"/>
      <w:kern w:val="1"/>
      <w:sz w:val="24"/>
      <w:lang w:eastAsia="en-GB"/>
    </w:rPr>
  </w:style>
  <w:style w:type="paragraph" w:customStyle="1" w:styleId="Listeavsnitt">
    <w:name w:val="Listeavsnitt"/>
    <w:basedOn w:val="Normal"/>
    <w:uiPriority w:val="34"/>
    <w:qFormat/>
    <w:rsid w:val="000D2D0B"/>
    <w:pPr>
      <w:ind w:left="720"/>
      <w:contextualSpacing/>
    </w:pPr>
    <w:rPr>
      <w:rFonts w:ascii="Times New Roman" w:hAnsi="Times New Roman"/>
      <w:sz w:val="24"/>
      <w:lang w:eastAsia="en-GB"/>
    </w:rPr>
  </w:style>
  <w:style w:type="paragraph" w:customStyle="1" w:styleId="Listenabsatz4">
    <w:name w:val="Listenabsatz4"/>
    <w:basedOn w:val="Normal"/>
    <w:qFormat/>
    <w:rsid w:val="000D2D0B"/>
    <w:pPr>
      <w:ind w:left="720"/>
      <w:contextualSpacing/>
    </w:pPr>
    <w:rPr>
      <w:rFonts w:ascii="Times New Roman" w:hAnsi="Times New Roman"/>
      <w:sz w:val="24"/>
      <w:lang w:eastAsia="en-GB"/>
    </w:rPr>
  </w:style>
  <w:style w:type="character" w:customStyle="1" w:styleId="04BodyTextChar">
    <w:name w:val="04_Body Text Char"/>
    <w:link w:val="04BodyText"/>
    <w:rsid w:val="000D2D0B"/>
    <w:rPr>
      <w:rFonts w:ascii="Georgia" w:hAnsi="Georgia"/>
      <w:szCs w:val="24"/>
      <w:lang w:eastAsia="de-DE"/>
    </w:rPr>
  </w:style>
  <w:style w:type="paragraph" w:customStyle="1" w:styleId="05dHeadline1line">
    <w:name w:val="05d_Headline 1 line"/>
    <w:basedOn w:val="05cHeadline1"/>
    <w:next w:val="04fBodytextline"/>
    <w:rsid w:val="000D2D0B"/>
    <w:pPr>
      <w:numPr>
        <w:numId w:val="0"/>
      </w:numPr>
      <w:pBdr>
        <w:top w:val="single" w:sz="4" w:space="10" w:color="000000"/>
      </w:pBdr>
      <w:tabs>
        <w:tab w:val="num" w:pos="851"/>
      </w:tabs>
      <w:ind w:left="720" w:hanging="360"/>
    </w:pPr>
    <w:rPr>
      <w:color w:val="000000"/>
      <w:lang w:val="x-none"/>
    </w:rPr>
  </w:style>
  <w:style w:type="paragraph" w:customStyle="1" w:styleId="04fBodytextline">
    <w:name w:val="04f_Body text line"/>
    <w:basedOn w:val="04BodyText"/>
    <w:rsid w:val="000D2D0B"/>
    <w:pPr>
      <w:pBdr>
        <w:bottom w:val="single" w:sz="4" w:space="12" w:color="000000"/>
      </w:pBdr>
      <w:tabs>
        <w:tab w:val="left" w:pos="454"/>
      </w:tabs>
    </w:pPr>
    <w:rPr>
      <w:color w:val="000000"/>
      <w:lang w:val="x-none"/>
    </w:rPr>
  </w:style>
  <w:style w:type="paragraph" w:customStyle="1" w:styleId="Annex">
    <w:name w:val="Annex"/>
    <w:basedOn w:val="04aNumeration"/>
    <w:link w:val="AnnexChar"/>
    <w:qFormat/>
    <w:rsid w:val="000D2D0B"/>
    <w:pPr>
      <w:tabs>
        <w:tab w:val="clear" w:pos="454"/>
        <w:tab w:val="left" w:pos="397"/>
      </w:tabs>
      <w:suppressAutoHyphens/>
      <w:ind w:left="0" w:firstLine="0"/>
    </w:pPr>
    <w:rPr>
      <w:b/>
      <w:color w:val="000000"/>
      <w:lang w:val="x-none"/>
    </w:rPr>
  </w:style>
  <w:style w:type="character" w:customStyle="1" w:styleId="04RunningTextChar">
    <w:name w:val="04_Running Text Char"/>
    <w:link w:val="04RunningText"/>
    <w:rsid w:val="000D2D0B"/>
    <w:rPr>
      <w:rFonts w:ascii="Georgia" w:hAnsi="Georgia"/>
      <w:szCs w:val="24"/>
      <w:lang w:val="x-none" w:eastAsia="de-DE"/>
    </w:rPr>
  </w:style>
  <w:style w:type="character" w:customStyle="1" w:styleId="AnnexChar">
    <w:name w:val="Annex Char"/>
    <w:link w:val="Annex"/>
    <w:rsid w:val="000D2D0B"/>
    <w:rPr>
      <w:rFonts w:ascii="Georgia" w:hAnsi="Georgia"/>
      <w:b/>
      <w:color w:val="000000"/>
      <w:szCs w:val="24"/>
      <w:lang w:val="x-none" w:eastAsia="de-DE"/>
    </w:rPr>
  </w:style>
  <w:style w:type="paragraph" w:customStyle="1" w:styleId="CM1">
    <w:name w:val="CM1"/>
    <w:basedOn w:val="Default"/>
    <w:next w:val="Default"/>
    <w:uiPriority w:val="99"/>
    <w:rsid w:val="000D2D0B"/>
    <w:rPr>
      <w:rFonts w:ascii="EUAlbertina" w:hAnsi="EUAlbertina" w:cs="Times New Roman"/>
      <w:color w:val="auto"/>
      <w:lang w:val="de-DE" w:eastAsia="de-DE"/>
    </w:rPr>
  </w:style>
  <w:style w:type="paragraph" w:customStyle="1" w:styleId="aStyle1">
    <w:name w:val="a. Style1"/>
    <w:basedOn w:val="Normal"/>
    <w:link w:val="aStyle1Char"/>
    <w:qFormat/>
    <w:rsid w:val="000D2D0B"/>
    <w:pPr>
      <w:numPr>
        <w:numId w:val="29"/>
      </w:numPr>
      <w:suppressAutoHyphens/>
      <w:spacing w:after="250" w:line="276" w:lineRule="auto"/>
      <w:jc w:val="both"/>
    </w:pPr>
    <w:rPr>
      <w:szCs w:val="20"/>
      <w:lang w:val="x-none" w:eastAsia="x-none"/>
    </w:rPr>
  </w:style>
  <w:style w:type="character" w:customStyle="1" w:styleId="aStyle1Char">
    <w:name w:val="a. Style1 Char"/>
    <w:link w:val="aStyle1"/>
    <w:rsid w:val="000D2D0B"/>
    <w:rPr>
      <w:rFonts w:ascii="Arial" w:hAnsi="Arial"/>
      <w:lang w:val="x-none" w:eastAsia="x-none"/>
    </w:rPr>
  </w:style>
  <w:style w:type="paragraph" w:styleId="Title">
    <w:name w:val="Title"/>
    <w:basedOn w:val="Normal"/>
    <w:next w:val="Normal"/>
    <w:link w:val="TitleChar"/>
    <w:uiPriority w:val="10"/>
    <w:qFormat/>
    <w:rsid w:val="000D2D0B"/>
    <w:pPr>
      <w:overflowPunct w:val="0"/>
      <w:autoSpaceDE w:val="0"/>
      <w:autoSpaceDN w:val="0"/>
      <w:adjustRightInd w:val="0"/>
      <w:spacing w:before="240" w:after="60"/>
      <w:jc w:val="center"/>
      <w:textAlignment w:val="baseline"/>
      <w:outlineLvl w:val="0"/>
    </w:pPr>
    <w:rPr>
      <w:rFonts w:ascii="Cambria" w:hAnsi="Cambria"/>
      <w:b/>
      <w:kern w:val="28"/>
      <w:sz w:val="32"/>
      <w:szCs w:val="20"/>
      <w:lang w:val="fr-FR" w:eastAsia="fr-FR"/>
    </w:rPr>
  </w:style>
  <w:style w:type="character" w:customStyle="1" w:styleId="TitleChar">
    <w:name w:val="Title Char"/>
    <w:link w:val="Title"/>
    <w:uiPriority w:val="10"/>
    <w:rsid w:val="000D2D0B"/>
    <w:rPr>
      <w:rFonts w:ascii="Cambria" w:hAnsi="Cambria"/>
      <w:b/>
      <w:kern w:val="28"/>
      <w:sz w:val="32"/>
      <w:lang w:val="fr-FR" w:eastAsia="fr-FR"/>
    </w:rPr>
  </w:style>
  <w:style w:type="paragraph" w:customStyle="1" w:styleId="32LadilloosubtitulonotadeprensaCNMV">
    <w:name w:val="3.2. Ladillo o subtitulo nota de prensa CNMV"/>
    <w:basedOn w:val="Normal"/>
    <w:rsid w:val="000D2D0B"/>
    <w:pPr>
      <w:spacing w:before="320" w:line="260" w:lineRule="exact"/>
      <w:jc w:val="both"/>
    </w:pPr>
    <w:rPr>
      <w:rFonts w:ascii="Myriad Pro Light" w:hAnsi="Myriad Pro Light"/>
      <w:b/>
      <w:sz w:val="21"/>
      <w:szCs w:val="20"/>
      <w:lang w:val="es-ES" w:eastAsia="es-ES"/>
    </w:rPr>
  </w:style>
  <w:style w:type="character" w:customStyle="1" w:styleId="RevisionChar">
    <w:name w:val="Revision Char"/>
    <w:link w:val="Revision"/>
    <w:uiPriority w:val="99"/>
    <w:semiHidden/>
    <w:locked/>
    <w:rsid w:val="000D2D0B"/>
    <w:rPr>
      <w:rFonts w:ascii="Georgia" w:hAnsi="Georgia"/>
      <w:sz w:val="22"/>
      <w:szCs w:val="24"/>
      <w:lang w:eastAsia="de-DE"/>
    </w:rPr>
  </w:style>
  <w:style w:type="table" w:customStyle="1" w:styleId="TableGrid2">
    <w:name w:val="Table Grid2"/>
    <w:basedOn w:val="TableNormal"/>
    <w:next w:val="TableGrid"/>
    <w:uiPriority w:val="59"/>
    <w:rsid w:val="000D2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aliases w:val="Question"/>
    <w:uiPriority w:val="19"/>
    <w:qFormat/>
    <w:rsid w:val="003A6E9A"/>
    <w:rPr>
      <w:b/>
      <w:i w:val="0"/>
      <w:iCs/>
      <w:sz w:val="20"/>
    </w:rPr>
  </w:style>
  <w:style w:type="paragraph" w:customStyle="1" w:styleId="NEW-Paragraph-Level1">
    <w:name w:val="NEW-Paragraph-Level1"/>
    <w:basedOn w:val="Normal"/>
    <w:rsid w:val="003A6E9A"/>
    <w:pPr>
      <w:tabs>
        <w:tab w:val="num" w:pos="284"/>
      </w:tabs>
      <w:spacing w:after="250" w:line="276" w:lineRule="auto"/>
      <w:ind w:left="284" w:hanging="284"/>
      <w:jc w:val="both"/>
    </w:pPr>
    <w:rPr>
      <w:szCs w:val="20"/>
    </w:rPr>
  </w:style>
  <w:style w:type="paragraph" w:customStyle="1" w:styleId="NEW-Paragraph-level2">
    <w:name w:val="NEW-Paragraph-level2"/>
    <w:basedOn w:val="Normal"/>
    <w:link w:val="NEW-Paragraph-level2Char"/>
    <w:rsid w:val="00F90EF4"/>
    <w:pPr>
      <w:numPr>
        <w:ilvl w:val="1"/>
        <w:numId w:val="2"/>
      </w:numPr>
      <w:tabs>
        <w:tab w:val="clear" w:pos="1361"/>
        <w:tab w:val="num" w:pos="1276"/>
      </w:tabs>
      <w:spacing w:after="250" w:line="276" w:lineRule="auto"/>
      <w:ind w:left="567" w:hanging="283"/>
      <w:jc w:val="both"/>
    </w:pPr>
    <w:rPr>
      <w:szCs w:val="20"/>
    </w:rPr>
  </w:style>
  <w:style w:type="paragraph" w:customStyle="1" w:styleId="NEW-Paragraph-level3">
    <w:name w:val="NEW-Paragraph-level3"/>
    <w:basedOn w:val="Normal"/>
    <w:link w:val="NEW-Paragraph-level3Char"/>
    <w:rsid w:val="00F90EF4"/>
    <w:pPr>
      <w:numPr>
        <w:ilvl w:val="2"/>
        <w:numId w:val="31"/>
      </w:numPr>
      <w:tabs>
        <w:tab w:val="clear" w:pos="1031"/>
      </w:tabs>
      <w:spacing w:after="250" w:line="276" w:lineRule="auto"/>
      <w:ind w:left="851" w:hanging="284"/>
      <w:jc w:val="both"/>
    </w:pPr>
    <w:rPr>
      <w:szCs w:val="20"/>
    </w:rPr>
  </w:style>
  <w:style w:type="character" w:customStyle="1" w:styleId="NEW-Paragraph-level2Char">
    <w:name w:val="NEW-Paragraph-level2 Char"/>
    <w:link w:val="NEW-Paragraph-level2"/>
    <w:rsid w:val="00F90EF4"/>
    <w:rPr>
      <w:rFonts w:ascii="Arial" w:hAnsi="Arial"/>
      <w:lang w:eastAsia="de-DE"/>
    </w:rPr>
  </w:style>
  <w:style w:type="character" w:customStyle="1" w:styleId="NEW-Paragraph-level3Char">
    <w:name w:val="NEW-Paragraph-level3 Char"/>
    <w:link w:val="NEW-Paragraph-level3"/>
    <w:rsid w:val="00F90EF4"/>
    <w:rPr>
      <w:rFonts w:ascii="Arial" w:hAnsi="Arial"/>
      <w:lang w:eastAsia="de-DE"/>
    </w:rPr>
  </w:style>
  <w:style w:type="paragraph" w:customStyle="1" w:styleId="NEW-Level0">
    <w:name w:val="NEW-Level0"/>
    <w:basedOn w:val="Normal"/>
    <w:rsid w:val="003A6E9A"/>
    <w:pPr>
      <w:keepNext/>
      <w:numPr>
        <w:numId w:val="30"/>
      </w:numPr>
      <w:spacing w:before="240" w:after="250" w:line="276" w:lineRule="auto"/>
      <w:outlineLvl w:val="0"/>
    </w:pPr>
    <w:rPr>
      <w:rFonts w:cs="Arial"/>
      <w:b/>
      <w:bCs/>
      <w:kern w:val="32"/>
      <w:sz w:val="28"/>
      <w:szCs w:val="28"/>
    </w:rPr>
  </w:style>
  <w:style w:type="paragraph" w:customStyle="1" w:styleId="NEW-Level1">
    <w:name w:val="NEW-Level1"/>
    <w:basedOn w:val="Normal"/>
    <w:rsid w:val="003A6E9A"/>
    <w:pPr>
      <w:keepNext/>
      <w:numPr>
        <w:ilvl w:val="1"/>
        <w:numId w:val="30"/>
      </w:numPr>
      <w:spacing w:before="240" w:after="250" w:line="276" w:lineRule="auto"/>
      <w:outlineLvl w:val="0"/>
    </w:pPr>
    <w:rPr>
      <w:rFonts w:cs="Arial"/>
      <w:b/>
      <w:bCs/>
      <w:kern w:val="32"/>
      <w:sz w:val="24"/>
      <w:szCs w:val="32"/>
    </w:rPr>
  </w:style>
  <w:style w:type="paragraph" w:customStyle="1" w:styleId="NEW-Level2">
    <w:name w:val="NEW-Level2"/>
    <w:basedOn w:val="Normal"/>
    <w:link w:val="NEW-Level2Char"/>
    <w:rsid w:val="003A6E9A"/>
    <w:pPr>
      <w:autoSpaceDE w:val="0"/>
      <w:autoSpaceDN w:val="0"/>
      <w:adjustRightInd w:val="0"/>
      <w:spacing w:after="250" w:line="276" w:lineRule="auto"/>
      <w:jc w:val="both"/>
    </w:pPr>
    <w:rPr>
      <w:rFonts w:cs="Georgia"/>
      <w:b/>
      <w:bCs/>
      <w:color w:val="000000"/>
      <w:szCs w:val="20"/>
      <w:u w:val="single"/>
      <w:lang w:eastAsia="en-GB"/>
    </w:rPr>
  </w:style>
  <w:style w:type="character" w:customStyle="1" w:styleId="NEW-Level2Char">
    <w:name w:val="NEW-Level2 Char"/>
    <w:link w:val="NEW-Level2"/>
    <w:rsid w:val="003A6E9A"/>
    <w:rPr>
      <w:rFonts w:ascii="Georgia" w:hAnsi="Georgia" w:cs="Georgia"/>
      <w:b/>
      <w:bCs/>
      <w:color w:val="000000"/>
      <w:u w:val="single"/>
    </w:rPr>
  </w:style>
  <w:style w:type="paragraph" w:customStyle="1" w:styleId="aNEW-Level0">
    <w:name w:val="aNEW-Level0"/>
    <w:basedOn w:val="NEW-Level0"/>
    <w:link w:val="aNEW-Level0Char"/>
    <w:qFormat/>
    <w:rsid w:val="004E76A1"/>
    <w:pPr>
      <w:spacing w:before="120" w:after="120"/>
      <w:ind w:left="425" w:hanging="425"/>
    </w:pPr>
  </w:style>
  <w:style w:type="paragraph" w:customStyle="1" w:styleId="aNEW-Level1">
    <w:name w:val="aNEW-Level1"/>
    <w:basedOn w:val="NEW-Level1"/>
    <w:link w:val="aNEW-Level1Char"/>
    <w:qFormat/>
    <w:rsid w:val="000636A1"/>
    <w:pPr>
      <w:spacing w:before="120" w:after="120"/>
      <w:ind w:left="431" w:hanging="431"/>
    </w:pPr>
  </w:style>
  <w:style w:type="character" w:customStyle="1" w:styleId="aNEW-Level0Char">
    <w:name w:val="aNEW-Level0 Char"/>
    <w:link w:val="aNEW-Level0"/>
    <w:rsid w:val="004E76A1"/>
    <w:rPr>
      <w:rFonts w:ascii="Arial" w:hAnsi="Arial" w:cs="Arial"/>
      <w:b/>
      <w:bCs/>
      <w:kern w:val="32"/>
      <w:sz w:val="28"/>
      <w:szCs w:val="28"/>
      <w:lang w:eastAsia="de-DE"/>
    </w:rPr>
  </w:style>
  <w:style w:type="character" w:customStyle="1" w:styleId="aNEW-Level1Char">
    <w:name w:val="aNEW-Level1 Char"/>
    <w:link w:val="aNEW-Level1"/>
    <w:rsid w:val="000636A1"/>
    <w:rPr>
      <w:rFonts w:ascii="Arial" w:hAnsi="Arial" w:cs="Arial"/>
      <w:b/>
      <w:bCs/>
      <w:kern w:val="32"/>
      <w:sz w:val="24"/>
      <w:szCs w:val="32"/>
      <w:lang w:eastAsia="de-DE"/>
    </w:rPr>
  </w:style>
  <w:style w:type="paragraph" w:customStyle="1" w:styleId="aNEW-Level2">
    <w:name w:val="aNEW-Level2"/>
    <w:basedOn w:val="NEW-Level2"/>
    <w:link w:val="aNEW-Level2Char"/>
    <w:qFormat/>
    <w:rsid w:val="00176982"/>
  </w:style>
  <w:style w:type="paragraph" w:customStyle="1" w:styleId="aNEW-Level4">
    <w:name w:val="aNEW-Level4"/>
    <w:basedOn w:val="Normal"/>
    <w:link w:val="aNEW-Level4Char"/>
    <w:qFormat/>
    <w:rsid w:val="003A6E9A"/>
    <w:pPr>
      <w:tabs>
        <w:tab w:val="left" w:pos="720"/>
      </w:tabs>
      <w:spacing w:after="250" w:line="276" w:lineRule="auto"/>
      <w:jc w:val="both"/>
    </w:pPr>
    <w:rPr>
      <w:i/>
      <w:szCs w:val="20"/>
    </w:rPr>
  </w:style>
  <w:style w:type="character" w:customStyle="1" w:styleId="aNEW-Level2Char">
    <w:name w:val="aNEW-Level2 Char"/>
    <w:link w:val="aNEW-Level2"/>
    <w:rsid w:val="00176982"/>
    <w:rPr>
      <w:rFonts w:ascii="Georgia" w:hAnsi="Georgia" w:cs="Georgia"/>
      <w:b/>
      <w:bCs/>
      <w:color w:val="000000"/>
      <w:u w:val="single"/>
    </w:rPr>
  </w:style>
  <w:style w:type="paragraph" w:customStyle="1" w:styleId="aNEW-Questions">
    <w:name w:val="aNEW-Questions"/>
    <w:basedOn w:val="Normal"/>
    <w:link w:val="aNEW-QuestionsChar"/>
    <w:qFormat/>
    <w:rsid w:val="003A6E9A"/>
    <w:pPr>
      <w:numPr>
        <w:numId w:val="7"/>
      </w:numPr>
      <w:spacing w:after="250" w:line="276" w:lineRule="auto"/>
      <w:ind w:left="850" w:hanging="425"/>
      <w:jc w:val="both"/>
      <w:outlineLvl w:val="0"/>
    </w:pPr>
    <w:rPr>
      <w:rFonts w:eastAsia="Calibri"/>
      <w:b/>
      <w:bCs/>
      <w:kern w:val="28"/>
      <w:szCs w:val="32"/>
      <w:lang w:eastAsia="en-US"/>
    </w:rPr>
  </w:style>
  <w:style w:type="character" w:customStyle="1" w:styleId="aNEW-Level4Char">
    <w:name w:val="aNEW-Level4 Char"/>
    <w:link w:val="aNEW-Level4"/>
    <w:rsid w:val="003A6E9A"/>
    <w:rPr>
      <w:rFonts w:ascii="Georgia" w:hAnsi="Georgia"/>
      <w:i/>
      <w:lang w:eastAsia="de-DE"/>
    </w:rPr>
  </w:style>
  <w:style w:type="paragraph" w:customStyle="1" w:styleId="aNEW-Paragraph">
    <w:name w:val="aNEW-Paragraph"/>
    <w:basedOn w:val="NEW-Paragraph-Level1"/>
    <w:link w:val="aNEW-ParagraphChar"/>
    <w:qFormat/>
    <w:rsid w:val="001244CD"/>
    <w:pPr>
      <w:numPr>
        <w:numId w:val="2"/>
      </w:numPr>
      <w:tabs>
        <w:tab w:val="clear" w:pos="851"/>
        <w:tab w:val="num" w:pos="426"/>
      </w:tabs>
      <w:ind w:left="426" w:hanging="426"/>
    </w:pPr>
    <w:rPr>
      <w:rFonts w:eastAsia="Calibri"/>
    </w:rPr>
  </w:style>
  <w:style w:type="character" w:customStyle="1" w:styleId="aNEW-QuestionsChar">
    <w:name w:val="aNEW-Questions Char"/>
    <w:link w:val="aNEW-Questions"/>
    <w:rsid w:val="003A6E9A"/>
    <w:rPr>
      <w:rFonts w:ascii="Arial" w:eastAsia="Calibri" w:hAnsi="Arial"/>
      <w:b/>
      <w:bCs/>
      <w:kern w:val="28"/>
      <w:szCs w:val="32"/>
      <w:lang w:eastAsia="en-US"/>
    </w:rPr>
  </w:style>
  <w:style w:type="character" w:customStyle="1" w:styleId="aNEW-ParagraphChar">
    <w:name w:val="aNEW-Paragraph Char"/>
    <w:link w:val="aNEW-Paragraph"/>
    <w:rsid w:val="001244CD"/>
    <w:rPr>
      <w:rFonts w:ascii="Arial" w:eastAsia="Calibri" w:hAnsi="Arial"/>
      <w:lang w:eastAsia="de-DE"/>
    </w:rPr>
  </w:style>
  <w:style w:type="paragraph" w:customStyle="1" w:styleId="aNew-Level33">
    <w:name w:val="aNew-Level33"/>
    <w:basedOn w:val="Normal"/>
    <w:link w:val="aNew-Level33Char"/>
    <w:qFormat/>
    <w:rsid w:val="004C14E7"/>
    <w:pPr>
      <w:spacing w:after="250" w:line="276" w:lineRule="auto"/>
      <w:ind w:left="426" w:hanging="426"/>
      <w:jc w:val="both"/>
    </w:pPr>
    <w:rPr>
      <w:b/>
    </w:rPr>
  </w:style>
  <w:style w:type="paragraph" w:customStyle="1" w:styleId="aNew-BoxTitle">
    <w:name w:val="aNew-BoxTitle"/>
    <w:basedOn w:val="04aNumbering"/>
    <w:link w:val="aNew-BoxTitleChar"/>
    <w:qFormat/>
    <w:rsid w:val="003A6E9A"/>
    <w:pPr>
      <w:shd w:val="clear" w:color="auto" w:fill="D9D9D9"/>
      <w:tabs>
        <w:tab w:val="clear" w:pos="851"/>
        <w:tab w:val="left" w:pos="720"/>
      </w:tabs>
      <w:ind w:left="284"/>
    </w:pPr>
    <w:rPr>
      <w:b/>
    </w:rPr>
  </w:style>
  <w:style w:type="character" w:customStyle="1" w:styleId="aNew-Level33Char">
    <w:name w:val="aNew-Level33 Char"/>
    <w:link w:val="aNew-Level33"/>
    <w:rsid w:val="004C14E7"/>
    <w:rPr>
      <w:rFonts w:ascii="Georgia" w:hAnsi="Georgia"/>
      <w:b/>
      <w:szCs w:val="24"/>
      <w:lang w:eastAsia="de-DE"/>
    </w:rPr>
  </w:style>
  <w:style w:type="character" w:customStyle="1" w:styleId="aNew-BoxTitleChar">
    <w:name w:val="aNew-BoxTitle Char"/>
    <w:link w:val="aNew-BoxTitle"/>
    <w:rsid w:val="003A6E9A"/>
    <w:rPr>
      <w:rFonts w:ascii="Georgia" w:hAnsi="Georgia"/>
      <w:b/>
      <w:szCs w:val="24"/>
      <w:shd w:val="clear" w:color="auto" w:fill="D9D9D9"/>
      <w:lang w:eastAsia="de-DE"/>
    </w:rPr>
  </w:style>
  <w:style w:type="paragraph" w:customStyle="1" w:styleId="aNEW-Paragraph-level2">
    <w:name w:val="aNEW-Paragraph-level2"/>
    <w:basedOn w:val="NEW-Paragraph-level2"/>
    <w:link w:val="aNEW-Paragraph-level2Char"/>
    <w:qFormat/>
    <w:rsid w:val="0061478E"/>
    <w:pPr>
      <w:ind w:left="851" w:hanging="425"/>
    </w:pPr>
  </w:style>
  <w:style w:type="paragraph" w:customStyle="1" w:styleId="aNEW-Paragraph-level3">
    <w:name w:val="aNEW-Paragraph-level3"/>
    <w:basedOn w:val="NEW-Paragraph-level3"/>
    <w:link w:val="aNEW-Paragraph-level3Char"/>
    <w:qFormat/>
    <w:rsid w:val="00566D36"/>
    <w:pPr>
      <w:ind w:left="1276" w:hanging="426"/>
    </w:pPr>
  </w:style>
  <w:style w:type="character" w:customStyle="1" w:styleId="aNEW-Paragraph-level2Char">
    <w:name w:val="aNEW-Paragraph-level2 Char"/>
    <w:link w:val="aNEW-Paragraph-level2"/>
    <w:rsid w:val="0061478E"/>
    <w:rPr>
      <w:rFonts w:ascii="Arial" w:hAnsi="Arial"/>
      <w:lang w:eastAsia="de-DE"/>
    </w:rPr>
  </w:style>
  <w:style w:type="character" w:customStyle="1" w:styleId="aNEW-Paragraph-level3Char">
    <w:name w:val="aNEW-Paragraph-level3 Char"/>
    <w:link w:val="aNEW-Paragraph-level3"/>
    <w:rsid w:val="00566D36"/>
    <w:rPr>
      <w:rFonts w:ascii="Arial" w:hAnsi="Arial"/>
      <w:lang w:eastAsia="de-DE"/>
    </w:rPr>
  </w:style>
  <w:style w:type="paragraph" w:customStyle="1" w:styleId="aNew-Level5">
    <w:name w:val="aNew-Level5"/>
    <w:basedOn w:val="Normal"/>
    <w:link w:val="aNew-Level5Char"/>
    <w:qFormat/>
    <w:rsid w:val="0096528F"/>
    <w:pPr>
      <w:tabs>
        <w:tab w:val="left" w:pos="720"/>
      </w:tabs>
      <w:spacing w:after="250" w:line="276" w:lineRule="auto"/>
      <w:jc w:val="both"/>
    </w:pPr>
    <w:rPr>
      <w:i/>
      <w:szCs w:val="20"/>
      <w:u w:val="single"/>
    </w:rPr>
  </w:style>
  <w:style w:type="character" w:customStyle="1" w:styleId="aNew-Level5Char">
    <w:name w:val="aNew-Level5 Char"/>
    <w:link w:val="aNew-Level5"/>
    <w:rsid w:val="0096528F"/>
    <w:rPr>
      <w:rFonts w:ascii="Georgia" w:hAnsi="Georgia"/>
      <w:i/>
      <w:u w:val="single"/>
      <w:lang w:eastAsia="de-DE"/>
    </w:rPr>
  </w:style>
  <w:style w:type="paragraph" w:customStyle="1" w:styleId="Questions-ESMA">
    <w:name w:val="Questions-ESMA"/>
    <w:basedOn w:val="Normal"/>
    <w:link w:val="Questions-ESMAChar"/>
    <w:qFormat/>
    <w:rsid w:val="00A35728"/>
    <w:pPr>
      <w:spacing w:after="120" w:line="264" w:lineRule="auto"/>
      <w:ind w:left="705" w:hanging="705"/>
      <w:jc w:val="both"/>
    </w:pPr>
    <w:rPr>
      <w:rFonts w:ascii="Calibri" w:hAnsi="Calibri"/>
      <w:b/>
      <w:sz w:val="22"/>
      <w:szCs w:val="20"/>
      <w:lang w:eastAsia="en-US"/>
    </w:rPr>
  </w:style>
  <w:style w:type="character" w:customStyle="1" w:styleId="Questions-ESMAChar">
    <w:name w:val="Questions-ESMA Char"/>
    <w:link w:val="Questions-ESMA"/>
    <w:rsid w:val="00A35728"/>
    <w:rPr>
      <w:rFonts w:ascii="Calibri" w:hAnsi="Calibri"/>
      <w:b/>
      <w:sz w:val="22"/>
      <w:lang w:eastAsia="en-US"/>
    </w:rPr>
  </w:style>
  <w:style w:type="paragraph" w:customStyle="1" w:styleId="CPQuestions">
    <w:name w:val="CP_Questions"/>
    <w:basedOn w:val="Normal"/>
    <w:link w:val="CPQuestionsChar"/>
    <w:qFormat/>
    <w:rsid w:val="00EF0769"/>
    <w:pPr>
      <w:numPr>
        <w:numId w:val="34"/>
      </w:numPr>
      <w:spacing w:before="250" w:after="250" w:line="276" w:lineRule="auto"/>
      <w:jc w:val="both"/>
    </w:pPr>
    <w:rPr>
      <w:rFonts w:eastAsiaTheme="minorEastAsia" w:cstheme="minorBidi"/>
      <w:b/>
      <w:sz w:val="22"/>
      <w:szCs w:val="20"/>
      <w:lang w:eastAsia="en-US"/>
    </w:rPr>
  </w:style>
  <w:style w:type="character" w:customStyle="1" w:styleId="CPQuestionsChar">
    <w:name w:val="CP_Questions Char"/>
    <w:basedOn w:val="DefaultParagraphFont"/>
    <w:link w:val="CPQuestions"/>
    <w:rsid w:val="00EF0769"/>
    <w:rPr>
      <w:rFonts w:ascii="Arial" w:eastAsiaTheme="minorEastAsia" w:hAnsi="Arial" w:cstheme="minorBidi"/>
      <w:b/>
      <w:sz w:val="22"/>
      <w:lang w:eastAsia="en-US"/>
    </w:rPr>
  </w:style>
  <w:style w:type="paragraph" w:customStyle="1" w:styleId="CPQuest2">
    <w:name w:val="CP_Quest2"/>
    <w:basedOn w:val="CPQuestions"/>
    <w:link w:val="CPQuest2Char"/>
    <w:autoRedefine/>
    <w:qFormat/>
    <w:rsid w:val="00566C6A"/>
    <w:pPr>
      <w:numPr>
        <w:numId w:val="35"/>
      </w:numPr>
    </w:pPr>
    <w:rPr>
      <w:rFonts w:eastAsia="Calibri"/>
    </w:rPr>
  </w:style>
  <w:style w:type="character" w:customStyle="1" w:styleId="CPQuest2Char">
    <w:name w:val="CP_Quest2 Char"/>
    <w:basedOn w:val="CPQuestionsChar"/>
    <w:link w:val="CPQuest2"/>
    <w:rsid w:val="00566C6A"/>
    <w:rPr>
      <w:rFonts w:ascii="Arial" w:eastAsia="Calibri" w:hAnsi="Arial" w:cstheme="minorBidi"/>
      <w:b/>
      <w:sz w:val="22"/>
      <w:lang w:eastAsia="en-US"/>
    </w:rPr>
  </w:style>
  <w:style w:type="character" w:styleId="IntenseEmphasis">
    <w:name w:val="Intense Emphasis"/>
    <w:basedOn w:val="DefaultParagraphFont"/>
    <w:uiPriority w:val="21"/>
    <w:qFormat/>
    <w:rsid w:val="00D34282"/>
    <w:rPr>
      <w:b/>
      <w:bCs/>
      <w:i/>
      <w:iCs/>
    </w:rPr>
  </w:style>
  <w:style w:type="character" w:customStyle="1" w:styleId="CPTitle1Char">
    <w:name w:val="CP_Title1 Char"/>
    <w:basedOn w:val="DefaultParagraphFont"/>
    <w:link w:val="CPTitle1"/>
    <w:locked/>
    <w:rsid w:val="00D34282"/>
    <w:rPr>
      <w:rFonts w:asciiTheme="majorHAnsi" w:eastAsiaTheme="majorEastAsia" w:hAnsiTheme="majorHAnsi" w:cstheme="majorHAnsi"/>
      <w:b/>
      <w:sz w:val="32"/>
      <w:szCs w:val="32"/>
    </w:rPr>
  </w:style>
  <w:style w:type="paragraph" w:customStyle="1" w:styleId="CPTitle1">
    <w:name w:val="CP_Title1"/>
    <w:basedOn w:val="Heading1"/>
    <w:link w:val="CPTitle1Char"/>
    <w:qFormat/>
    <w:rsid w:val="00D34282"/>
    <w:pPr>
      <w:keepLines/>
      <w:numPr>
        <w:numId w:val="36"/>
      </w:numPr>
      <w:spacing w:before="320" w:after="0" w:line="276" w:lineRule="auto"/>
      <w:jc w:val="both"/>
    </w:pPr>
    <w:rPr>
      <w:rFonts w:asciiTheme="majorHAnsi" w:eastAsiaTheme="majorEastAsia" w:hAnsiTheme="majorHAnsi" w:cstheme="majorHAnsi"/>
      <w:bCs w:val="0"/>
      <w:kern w:val="0"/>
      <w:sz w:val="32"/>
      <w:lang w:eastAsia="en-GB"/>
    </w:rPr>
  </w:style>
  <w:style w:type="paragraph" w:customStyle="1" w:styleId="CPTitle3">
    <w:name w:val="CP_Title3"/>
    <w:basedOn w:val="Heading2"/>
    <w:qFormat/>
    <w:rsid w:val="00D34282"/>
    <w:pPr>
      <w:numPr>
        <w:ilvl w:val="2"/>
        <w:numId w:val="36"/>
      </w:numPr>
      <w:tabs>
        <w:tab w:val="num" w:pos="360"/>
      </w:tabs>
      <w:spacing w:before="250" w:after="0" w:line="276" w:lineRule="auto"/>
      <w:jc w:val="both"/>
    </w:pPr>
    <w:rPr>
      <w:rFonts w:asciiTheme="majorHAnsi" w:eastAsiaTheme="majorEastAsia" w:hAnsiTheme="majorHAnsi" w:cstheme="majorHAnsi"/>
      <w:bCs w:val="0"/>
      <w:sz w:val="28"/>
      <w:szCs w:val="28"/>
      <w:lang w:eastAsia="en-US"/>
    </w:rPr>
  </w:style>
  <w:style w:type="paragraph" w:customStyle="1" w:styleId="CPTitle4">
    <w:name w:val="CP_Title4"/>
    <w:basedOn w:val="Normal"/>
    <w:qFormat/>
    <w:rsid w:val="00D34282"/>
    <w:pPr>
      <w:numPr>
        <w:ilvl w:val="3"/>
        <w:numId w:val="36"/>
      </w:numPr>
      <w:spacing w:before="250" w:line="276" w:lineRule="auto"/>
      <w:jc w:val="both"/>
    </w:pPr>
    <w:rPr>
      <w:rFonts w:asciiTheme="majorHAnsi" w:eastAsiaTheme="minorEastAsia" w:hAnsiTheme="majorHAnsi" w:cstheme="majorHAnsi"/>
      <w:b/>
      <w:sz w:val="22"/>
      <w:szCs w:val="20"/>
      <w:lang w:eastAsia="en-US"/>
    </w:rPr>
  </w:style>
  <w:style w:type="paragraph" w:customStyle="1" w:styleId="CPTitle5">
    <w:name w:val="CP_Title5"/>
    <w:basedOn w:val="Normal"/>
    <w:qFormat/>
    <w:rsid w:val="00D34282"/>
    <w:pPr>
      <w:numPr>
        <w:ilvl w:val="4"/>
        <w:numId w:val="36"/>
      </w:numPr>
      <w:spacing w:before="250" w:line="276" w:lineRule="auto"/>
      <w:jc w:val="both"/>
    </w:pPr>
    <w:rPr>
      <w:rFonts w:asciiTheme="majorHAnsi" w:eastAsiaTheme="minorEastAsia" w:hAnsiTheme="majorHAnsi" w:cstheme="majorHAnsi"/>
      <w:i/>
      <w:sz w:val="22"/>
      <w:szCs w:val="20"/>
      <w:u w:val="single"/>
      <w:lang w:eastAsia="en-US"/>
    </w:rPr>
  </w:style>
  <w:style w:type="paragraph" w:customStyle="1" w:styleId="CPTitle6">
    <w:name w:val="CP_Title6"/>
    <w:basedOn w:val="Normal"/>
    <w:qFormat/>
    <w:rsid w:val="00D34282"/>
    <w:pPr>
      <w:numPr>
        <w:ilvl w:val="5"/>
        <w:numId w:val="36"/>
      </w:numPr>
      <w:spacing w:before="250" w:line="276" w:lineRule="auto"/>
      <w:jc w:val="both"/>
    </w:pPr>
    <w:rPr>
      <w:rFonts w:asciiTheme="majorHAnsi" w:eastAsiaTheme="minorEastAsia" w:hAnsiTheme="majorHAnsi" w:cstheme="majorHAnsi"/>
      <w:i/>
      <w:sz w:val="22"/>
      <w:szCs w:val="20"/>
      <w:lang w:eastAsia="en-US"/>
    </w:rPr>
  </w:style>
  <w:style w:type="paragraph" w:customStyle="1" w:styleId="CPNumPar">
    <w:name w:val="CP_NumPar"/>
    <w:basedOn w:val="Normal"/>
    <w:qFormat/>
    <w:rsid w:val="00D34282"/>
    <w:pPr>
      <w:numPr>
        <w:ilvl w:val="6"/>
        <w:numId w:val="36"/>
      </w:numPr>
      <w:spacing w:before="250" w:line="276" w:lineRule="auto"/>
      <w:jc w:val="both"/>
    </w:pPr>
    <w:rPr>
      <w:rFonts w:asciiTheme="minorHAnsi" w:eastAsiaTheme="minorEastAsia" w:hAnsiTheme="minorHAnsi" w:cstheme="minorBidi"/>
      <w:sz w:val="22"/>
      <w:szCs w:val="20"/>
      <w:lang w:eastAsia="en-US"/>
    </w:rPr>
  </w:style>
  <w:style w:type="paragraph" w:customStyle="1" w:styleId="CPisubtitles">
    <w:name w:val="CP_isubtitles"/>
    <w:basedOn w:val="Normal"/>
    <w:qFormat/>
    <w:rsid w:val="00D34282"/>
    <w:pPr>
      <w:numPr>
        <w:ilvl w:val="7"/>
        <w:numId w:val="36"/>
      </w:numPr>
      <w:spacing w:before="250" w:line="276" w:lineRule="auto"/>
      <w:jc w:val="both"/>
    </w:pPr>
    <w:rPr>
      <w:rFonts w:asciiTheme="minorHAnsi" w:eastAsiaTheme="minorEastAsia" w:hAnsiTheme="minorHAnsi" w:cstheme="minorBidi"/>
      <w:sz w:val="22"/>
      <w:szCs w:val="20"/>
      <w:lang w:eastAsia="en-US"/>
    </w:rPr>
  </w:style>
  <w:style w:type="paragraph" w:customStyle="1" w:styleId="CPasubtitles">
    <w:name w:val="CP_asubtitles"/>
    <w:basedOn w:val="Normal"/>
    <w:qFormat/>
    <w:rsid w:val="00D34282"/>
    <w:pPr>
      <w:numPr>
        <w:ilvl w:val="8"/>
        <w:numId w:val="36"/>
      </w:numPr>
      <w:spacing w:before="250" w:line="276" w:lineRule="auto"/>
      <w:jc w:val="both"/>
    </w:pPr>
    <w:rPr>
      <w:rFonts w:asciiTheme="minorHAnsi" w:eastAsiaTheme="minorEastAsia" w:hAnsiTheme="minorHAnsi" w:cstheme="minorBidi"/>
      <w:sz w:val="22"/>
      <w:szCs w:val="20"/>
      <w:lang w:eastAsia="en-US"/>
    </w:rPr>
  </w:style>
  <w:style w:type="paragraph" w:customStyle="1" w:styleId="QuestionsFORM">
    <w:name w:val="Questions_FORM"/>
    <w:basedOn w:val="Normal"/>
    <w:link w:val="QuestionsFORMChar"/>
    <w:qFormat/>
    <w:rsid w:val="0075015C"/>
    <w:pPr>
      <w:numPr>
        <w:numId w:val="37"/>
      </w:numPr>
      <w:spacing w:after="250" w:line="276" w:lineRule="auto"/>
      <w:jc w:val="both"/>
    </w:pPr>
    <w:rPr>
      <w:rFonts w:asciiTheme="minorHAnsi" w:eastAsia="Calibri" w:hAnsiTheme="minorHAnsi" w:cstheme="minorBidi"/>
      <w:b/>
      <w:sz w:val="22"/>
      <w:szCs w:val="20"/>
      <w:lang w:eastAsia="en-US"/>
    </w:rPr>
  </w:style>
  <w:style w:type="character" w:customStyle="1" w:styleId="QuestionsFORMChar">
    <w:name w:val="Questions_FORM Char"/>
    <w:basedOn w:val="DefaultParagraphFont"/>
    <w:link w:val="QuestionsFORM"/>
    <w:rsid w:val="0075015C"/>
    <w:rPr>
      <w:rFonts w:asciiTheme="minorHAnsi" w:eastAsia="Calibri" w:hAnsiTheme="minorHAnsi" w:cstheme="minorBidi"/>
      <w:b/>
      <w:sz w:val="22"/>
      <w:lang w:eastAsia="en-US"/>
    </w:rPr>
  </w:style>
  <w:style w:type="paragraph" w:customStyle="1" w:styleId="FORM2">
    <w:name w:val="FORM2"/>
    <w:basedOn w:val="QuestionsFORM"/>
    <w:link w:val="FORM2Char"/>
    <w:qFormat/>
    <w:rsid w:val="00081148"/>
    <w:pPr>
      <w:numPr>
        <w:numId w:val="0"/>
      </w:numPr>
      <w:spacing w:after="120"/>
      <w:ind w:left="284"/>
    </w:pPr>
  </w:style>
  <w:style w:type="character" w:customStyle="1" w:styleId="FORM2Char">
    <w:name w:val="FORM2 Char"/>
    <w:basedOn w:val="QuestionsFORMChar"/>
    <w:link w:val="FORM2"/>
    <w:rsid w:val="00081148"/>
    <w:rPr>
      <w:rFonts w:asciiTheme="minorHAnsi" w:eastAsia="Calibri" w:hAnsiTheme="minorHAnsi" w:cstheme="minorBidi"/>
      <w:b/>
      <w:sz w:val="22"/>
      <w:lang w:eastAsia="en-US"/>
    </w:rPr>
  </w:style>
  <w:style w:type="paragraph" w:customStyle="1" w:styleId="Questionstyle">
    <w:name w:val="Question style"/>
    <w:basedOn w:val="Normal"/>
    <w:next w:val="Normal"/>
    <w:link w:val="QuestionstyleChar"/>
    <w:autoRedefine/>
    <w:qFormat/>
    <w:rsid w:val="000C1D0E"/>
    <w:pPr>
      <w:numPr>
        <w:numId w:val="39"/>
      </w:numPr>
      <w:spacing w:after="250" w:line="276" w:lineRule="auto"/>
      <w:contextualSpacing/>
      <w:jc w:val="both"/>
    </w:pPr>
    <w:rPr>
      <w:rFonts w:eastAsiaTheme="minorEastAsia" w:cs="Arial"/>
      <w:b/>
      <w:szCs w:val="20"/>
      <w:lang w:eastAsia="en-US"/>
    </w:rPr>
  </w:style>
  <w:style w:type="character" w:customStyle="1" w:styleId="QuestionstyleChar">
    <w:name w:val="Question style Char"/>
    <w:basedOn w:val="DefaultParagraphFont"/>
    <w:link w:val="Questionstyle"/>
    <w:rsid w:val="000C1D0E"/>
    <w:rPr>
      <w:rFonts w:ascii="Arial" w:eastAsiaTheme="minorEastAsia" w:hAnsi="Arial" w:cs="Arial"/>
      <w:b/>
      <w:lang w:eastAsia="en-US"/>
    </w:rPr>
  </w:style>
  <w:style w:type="paragraph" w:customStyle="1" w:styleId="WFNALevel1">
    <w:name w:val="WF NA Level 1"/>
    <w:uiPriority w:val="9"/>
    <w:rsid w:val="000B1EF7"/>
    <w:pPr>
      <w:numPr>
        <w:numId w:val="57"/>
      </w:numPr>
      <w:spacing w:after="240" w:line="360" w:lineRule="auto"/>
      <w:jc w:val="both"/>
    </w:pPr>
    <w:rPr>
      <w:rFonts w:ascii="Arial" w:hAnsi="Arial"/>
      <w:lang w:val="en-IE" w:eastAsia="en-US"/>
    </w:rPr>
  </w:style>
  <w:style w:type="paragraph" w:customStyle="1" w:styleId="WFNALevel2">
    <w:name w:val="WF NA Level 2"/>
    <w:uiPriority w:val="9"/>
    <w:rsid w:val="000B1EF7"/>
    <w:pPr>
      <w:numPr>
        <w:ilvl w:val="1"/>
        <w:numId w:val="57"/>
      </w:numPr>
      <w:spacing w:after="240" w:line="360" w:lineRule="auto"/>
      <w:jc w:val="both"/>
    </w:pPr>
    <w:rPr>
      <w:rFonts w:ascii="Arial" w:hAnsi="Arial"/>
      <w:lang w:val="en-IE" w:eastAsia="en-US"/>
    </w:rPr>
  </w:style>
  <w:style w:type="paragraph" w:customStyle="1" w:styleId="WFNALevel3">
    <w:name w:val="WF NA Level 3"/>
    <w:uiPriority w:val="9"/>
    <w:rsid w:val="000B1EF7"/>
    <w:pPr>
      <w:numPr>
        <w:ilvl w:val="2"/>
        <w:numId w:val="57"/>
      </w:numPr>
      <w:tabs>
        <w:tab w:val="left" w:pos="1701"/>
      </w:tabs>
      <w:spacing w:after="240" w:line="360" w:lineRule="auto"/>
      <w:jc w:val="both"/>
    </w:pPr>
    <w:rPr>
      <w:rFonts w:ascii="Arial" w:hAnsi="Arial"/>
      <w:lang w:val="en-IE" w:eastAsia="en-US"/>
    </w:rPr>
  </w:style>
  <w:style w:type="paragraph" w:customStyle="1" w:styleId="WFNALevel4">
    <w:name w:val="WF NA Level 4"/>
    <w:uiPriority w:val="9"/>
    <w:rsid w:val="000B1EF7"/>
    <w:pPr>
      <w:numPr>
        <w:ilvl w:val="3"/>
        <w:numId w:val="57"/>
      </w:numPr>
      <w:spacing w:after="240" w:line="360" w:lineRule="auto"/>
      <w:jc w:val="both"/>
    </w:pPr>
    <w:rPr>
      <w:rFonts w:ascii="Arial" w:hAnsi="Arial"/>
      <w:lang w:val="en-IE" w:eastAsia="en-US"/>
    </w:rPr>
  </w:style>
  <w:style w:type="paragraph" w:customStyle="1" w:styleId="WFNALevel5">
    <w:name w:val="WF NA Level 5"/>
    <w:uiPriority w:val="9"/>
    <w:rsid w:val="000B1EF7"/>
    <w:pPr>
      <w:numPr>
        <w:ilvl w:val="4"/>
        <w:numId w:val="57"/>
      </w:numPr>
      <w:spacing w:after="240" w:line="360" w:lineRule="auto"/>
      <w:jc w:val="both"/>
    </w:pPr>
    <w:rPr>
      <w:rFonts w:ascii="Arial" w:hAnsi="Arial"/>
      <w:lang w:val="en-IE" w:eastAsia="en-US"/>
    </w:rPr>
  </w:style>
  <w:style w:type="paragraph" w:customStyle="1" w:styleId="WFNALevel6">
    <w:name w:val="WF NA Level 6"/>
    <w:uiPriority w:val="9"/>
    <w:rsid w:val="000B1EF7"/>
    <w:pPr>
      <w:numPr>
        <w:ilvl w:val="5"/>
        <w:numId w:val="57"/>
      </w:numPr>
      <w:spacing w:after="240" w:line="360" w:lineRule="auto"/>
      <w:jc w:val="both"/>
    </w:pPr>
    <w:rPr>
      <w:rFonts w:ascii="Arial" w:hAnsi="Arial"/>
      <w:lang w:val="en-I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47517">
      <w:bodyDiv w:val="1"/>
      <w:marLeft w:val="0"/>
      <w:marRight w:val="0"/>
      <w:marTop w:val="0"/>
      <w:marBottom w:val="0"/>
      <w:divBdr>
        <w:top w:val="none" w:sz="0" w:space="0" w:color="auto"/>
        <w:left w:val="none" w:sz="0" w:space="0" w:color="auto"/>
        <w:bottom w:val="none" w:sz="0" w:space="0" w:color="auto"/>
        <w:right w:val="none" w:sz="0" w:space="0" w:color="auto"/>
      </w:divBdr>
    </w:div>
    <w:div w:id="57823182">
      <w:bodyDiv w:val="1"/>
      <w:marLeft w:val="0"/>
      <w:marRight w:val="0"/>
      <w:marTop w:val="0"/>
      <w:marBottom w:val="0"/>
      <w:divBdr>
        <w:top w:val="none" w:sz="0" w:space="0" w:color="auto"/>
        <w:left w:val="none" w:sz="0" w:space="0" w:color="auto"/>
        <w:bottom w:val="none" w:sz="0" w:space="0" w:color="auto"/>
        <w:right w:val="none" w:sz="0" w:space="0" w:color="auto"/>
      </w:divBdr>
    </w:div>
    <w:div w:id="158081255">
      <w:bodyDiv w:val="1"/>
      <w:marLeft w:val="0"/>
      <w:marRight w:val="0"/>
      <w:marTop w:val="0"/>
      <w:marBottom w:val="0"/>
      <w:divBdr>
        <w:top w:val="none" w:sz="0" w:space="0" w:color="auto"/>
        <w:left w:val="none" w:sz="0" w:space="0" w:color="auto"/>
        <w:bottom w:val="none" w:sz="0" w:space="0" w:color="auto"/>
        <w:right w:val="none" w:sz="0" w:space="0" w:color="auto"/>
      </w:divBdr>
    </w:div>
    <w:div w:id="190606614">
      <w:bodyDiv w:val="1"/>
      <w:marLeft w:val="0"/>
      <w:marRight w:val="0"/>
      <w:marTop w:val="0"/>
      <w:marBottom w:val="0"/>
      <w:divBdr>
        <w:top w:val="none" w:sz="0" w:space="0" w:color="auto"/>
        <w:left w:val="none" w:sz="0" w:space="0" w:color="auto"/>
        <w:bottom w:val="none" w:sz="0" w:space="0" w:color="auto"/>
        <w:right w:val="none" w:sz="0" w:space="0" w:color="auto"/>
      </w:divBdr>
    </w:div>
    <w:div w:id="224268557">
      <w:bodyDiv w:val="1"/>
      <w:marLeft w:val="0"/>
      <w:marRight w:val="0"/>
      <w:marTop w:val="0"/>
      <w:marBottom w:val="0"/>
      <w:divBdr>
        <w:top w:val="none" w:sz="0" w:space="0" w:color="auto"/>
        <w:left w:val="none" w:sz="0" w:space="0" w:color="auto"/>
        <w:bottom w:val="none" w:sz="0" w:space="0" w:color="auto"/>
        <w:right w:val="none" w:sz="0" w:space="0" w:color="auto"/>
      </w:divBdr>
    </w:div>
    <w:div w:id="296954131">
      <w:bodyDiv w:val="1"/>
      <w:marLeft w:val="0"/>
      <w:marRight w:val="0"/>
      <w:marTop w:val="0"/>
      <w:marBottom w:val="0"/>
      <w:divBdr>
        <w:top w:val="none" w:sz="0" w:space="0" w:color="auto"/>
        <w:left w:val="none" w:sz="0" w:space="0" w:color="auto"/>
        <w:bottom w:val="none" w:sz="0" w:space="0" w:color="auto"/>
        <w:right w:val="none" w:sz="0" w:space="0" w:color="auto"/>
      </w:divBdr>
    </w:div>
    <w:div w:id="303509157">
      <w:bodyDiv w:val="1"/>
      <w:marLeft w:val="0"/>
      <w:marRight w:val="0"/>
      <w:marTop w:val="0"/>
      <w:marBottom w:val="0"/>
      <w:divBdr>
        <w:top w:val="none" w:sz="0" w:space="0" w:color="auto"/>
        <w:left w:val="none" w:sz="0" w:space="0" w:color="auto"/>
        <w:bottom w:val="none" w:sz="0" w:space="0" w:color="auto"/>
        <w:right w:val="none" w:sz="0" w:space="0" w:color="auto"/>
      </w:divBdr>
    </w:div>
    <w:div w:id="422921667">
      <w:bodyDiv w:val="1"/>
      <w:marLeft w:val="0"/>
      <w:marRight w:val="0"/>
      <w:marTop w:val="0"/>
      <w:marBottom w:val="0"/>
      <w:divBdr>
        <w:top w:val="none" w:sz="0" w:space="0" w:color="auto"/>
        <w:left w:val="none" w:sz="0" w:space="0" w:color="auto"/>
        <w:bottom w:val="none" w:sz="0" w:space="0" w:color="auto"/>
        <w:right w:val="none" w:sz="0" w:space="0" w:color="auto"/>
      </w:divBdr>
    </w:div>
    <w:div w:id="471335066">
      <w:bodyDiv w:val="1"/>
      <w:marLeft w:val="0"/>
      <w:marRight w:val="0"/>
      <w:marTop w:val="0"/>
      <w:marBottom w:val="0"/>
      <w:divBdr>
        <w:top w:val="none" w:sz="0" w:space="0" w:color="auto"/>
        <w:left w:val="none" w:sz="0" w:space="0" w:color="auto"/>
        <w:bottom w:val="none" w:sz="0" w:space="0" w:color="auto"/>
        <w:right w:val="none" w:sz="0" w:space="0" w:color="auto"/>
      </w:divBdr>
    </w:div>
    <w:div w:id="513423986">
      <w:bodyDiv w:val="1"/>
      <w:marLeft w:val="0"/>
      <w:marRight w:val="0"/>
      <w:marTop w:val="0"/>
      <w:marBottom w:val="0"/>
      <w:divBdr>
        <w:top w:val="none" w:sz="0" w:space="0" w:color="auto"/>
        <w:left w:val="none" w:sz="0" w:space="0" w:color="auto"/>
        <w:bottom w:val="none" w:sz="0" w:space="0" w:color="auto"/>
        <w:right w:val="none" w:sz="0" w:space="0" w:color="auto"/>
      </w:divBdr>
    </w:div>
    <w:div w:id="558515657">
      <w:bodyDiv w:val="1"/>
      <w:marLeft w:val="0"/>
      <w:marRight w:val="0"/>
      <w:marTop w:val="0"/>
      <w:marBottom w:val="0"/>
      <w:divBdr>
        <w:top w:val="none" w:sz="0" w:space="0" w:color="auto"/>
        <w:left w:val="none" w:sz="0" w:space="0" w:color="auto"/>
        <w:bottom w:val="none" w:sz="0" w:space="0" w:color="auto"/>
        <w:right w:val="none" w:sz="0" w:space="0" w:color="auto"/>
      </w:divBdr>
    </w:div>
    <w:div w:id="586503352">
      <w:bodyDiv w:val="1"/>
      <w:marLeft w:val="0"/>
      <w:marRight w:val="0"/>
      <w:marTop w:val="0"/>
      <w:marBottom w:val="0"/>
      <w:divBdr>
        <w:top w:val="none" w:sz="0" w:space="0" w:color="auto"/>
        <w:left w:val="none" w:sz="0" w:space="0" w:color="auto"/>
        <w:bottom w:val="none" w:sz="0" w:space="0" w:color="auto"/>
        <w:right w:val="none" w:sz="0" w:space="0" w:color="auto"/>
      </w:divBdr>
    </w:div>
    <w:div w:id="737753478">
      <w:bodyDiv w:val="1"/>
      <w:marLeft w:val="0"/>
      <w:marRight w:val="0"/>
      <w:marTop w:val="0"/>
      <w:marBottom w:val="0"/>
      <w:divBdr>
        <w:top w:val="none" w:sz="0" w:space="0" w:color="auto"/>
        <w:left w:val="none" w:sz="0" w:space="0" w:color="auto"/>
        <w:bottom w:val="none" w:sz="0" w:space="0" w:color="auto"/>
        <w:right w:val="none" w:sz="0" w:space="0" w:color="auto"/>
      </w:divBdr>
    </w:div>
    <w:div w:id="757751132">
      <w:bodyDiv w:val="1"/>
      <w:marLeft w:val="0"/>
      <w:marRight w:val="0"/>
      <w:marTop w:val="0"/>
      <w:marBottom w:val="0"/>
      <w:divBdr>
        <w:top w:val="none" w:sz="0" w:space="0" w:color="auto"/>
        <w:left w:val="none" w:sz="0" w:space="0" w:color="auto"/>
        <w:bottom w:val="none" w:sz="0" w:space="0" w:color="auto"/>
        <w:right w:val="none" w:sz="0" w:space="0" w:color="auto"/>
      </w:divBdr>
    </w:div>
    <w:div w:id="764837757">
      <w:bodyDiv w:val="1"/>
      <w:marLeft w:val="0"/>
      <w:marRight w:val="0"/>
      <w:marTop w:val="0"/>
      <w:marBottom w:val="0"/>
      <w:divBdr>
        <w:top w:val="none" w:sz="0" w:space="0" w:color="auto"/>
        <w:left w:val="none" w:sz="0" w:space="0" w:color="auto"/>
        <w:bottom w:val="none" w:sz="0" w:space="0" w:color="auto"/>
        <w:right w:val="none" w:sz="0" w:space="0" w:color="auto"/>
      </w:divBdr>
    </w:div>
    <w:div w:id="842477076">
      <w:bodyDiv w:val="1"/>
      <w:marLeft w:val="0"/>
      <w:marRight w:val="0"/>
      <w:marTop w:val="0"/>
      <w:marBottom w:val="0"/>
      <w:divBdr>
        <w:top w:val="none" w:sz="0" w:space="0" w:color="auto"/>
        <w:left w:val="none" w:sz="0" w:space="0" w:color="auto"/>
        <w:bottom w:val="none" w:sz="0" w:space="0" w:color="auto"/>
        <w:right w:val="none" w:sz="0" w:space="0" w:color="auto"/>
      </w:divBdr>
    </w:div>
    <w:div w:id="857616854">
      <w:bodyDiv w:val="1"/>
      <w:marLeft w:val="0"/>
      <w:marRight w:val="0"/>
      <w:marTop w:val="0"/>
      <w:marBottom w:val="0"/>
      <w:divBdr>
        <w:top w:val="none" w:sz="0" w:space="0" w:color="auto"/>
        <w:left w:val="none" w:sz="0" w:space="0" w:color="auto"/>
        <w:bottom w:val="none" w:sz="0" w:space="0" w:color="auto"/>
        <w:right w:val="none" w:sz="0" w:space="0" w:color="auto"/>
      </w:divBdr>
    </w:div>
    <w:div w:id="964964126">
      <w:bodyDiv w:val="1"/>
      <w:marLeft w:val="0"/>
      <w:marRight w:val="0"/>
      <w:marTop w:val="0"/>
      <w:marBottom w:val="0"/>
      <w:divBdr>
        <w:top w:val="none" w:sz="0" w:space="0" w:color="auto"/>
        <w:left w:val="none" w:sz="0" w:space="0" w:color="auto"/>
        <w:bottom w:val="none" w:sz="0" w:space="0" w:color="auto"/>
        <w:right w:val="none" w:sz="0" w:space="0" w:color="auto"/>
      </w:divBdr>
    </w:div>
    <w:div w:id="988246174">
      <w:bodyDiv w:val="1"/>
      <w:marLeft w:val="0"/>
      <w:marRight w:val="0"/>
      <w:marTop w:val="0"/>
      <w:marBottom w:val="0"/>
      <w:divBdr>
        <w:top w:val="none" w:sz="0" w:space="0" w:color="auto"/>
        <w:left w:val="none" w:sz="0" w:space="0" w:color="auto"/>
        <w:bottom w:val="none" w:sz="0" w:space="0" w:color="auto"/>
        <w:right w:val="none" w:sz="0" w:space="0" w:color="auto"/>
      </w:divBdr>
    </w:div>
    <w:div w:id="1011108495">
      <w:bodyDiv w:val="1"/>
      <w:marLeft w:val="0"/>
      <w:marRight w:val="0"/>
      <w:marTop w:val="0"/>
      <w:marBottom w:val="0"/>
      <w:divBdr>
        <w:top w:val="none" w:sz="0" w:space="0" w:color="auto"/>
        <w:left w:val="none" w:sz="0" w:space="0" w:color="auto"/>
        <w:bottom w:val="none" w:sz="0" w:space="0" w:color="auto"/>
        <w:right w:val="none" w:sz="0" w:space="0" w:color="auto"/>
      </w:divBdr>
    </w:div>
    <w:div w:id="1114903504">
      <w:bodyDiv w:val="1"/>
      <w:marLeft w:val="0"/>
      <w:marRight w:val="0"/>
      <w:marTop w:val="0"/>
      <w:marBottom w:val="0"/>
      <w:divBdr>
        <w:top w:val="none" w:sz="0" w:space="0" w:color="auto"/>
        <w:left w:val="none" w:sz="0" w:space="0" w:color="auto"/>
        <w:bottom w:val="none" w:sz="0" w:space="0" w:color="auto"/>
        <w:right w:val="none" w:sz="0" w:space="0" w:color="auto"/>
      </w:divBdr>
    </w:div>
    <w:div w:id="1191528169">
      <w:bodyDiv w:val="1"/>
      <w:marLeft w:val="0"/>
      <w:marRight w:val="0"/>
      <w:marTop w:val="0"/>
      <w:marBottom w:val="0"/>
      <w:divBdr>
        <w:top w:val="none" w:sz="0" w:space="0" w:color="auto"/>
        <w:left w:val="none" w:sz="0" w:space="0" w:color="auto"/>
        <w:bottom w:val="none" w:sz="0" w:space="0" w:color="auto"/>
        <w:right w:val="none" w:sz="0" w:space="0" w:color="auto"/>
      </w:divBdr>
    </w:div>
    <w:div w:id="1194613964">
      <w:bodyDiv w:val="1"/>
      <w:marLeft w:val="0"/>
      <w:marRight w:val="0"/>
      <w:marTop w:val="0"/>
      <w:marBottom w:val="0"/>
      <w:divBdr>
        <w:top w:val="none" w:sz="0" w:space="0" w:color="auto"/>
        <w:left w:val="none" w:sz="0" w:space="0" w:color="auto"/>
        <w:bottom w:val="none" w:sz="0" w:space="0" w:color="auto"/>
        <w:right w:val="none" w:sz="0" w:space="0" w:color="auto"/>
      </w:divBdr>
    </w:div>
    <w:div w:id="1242056670">
      <w:bodyDiv w:val="1"/>
      <w:marLeft w:val="0"/>
      <w:marRight w:val="0"/>
      <w:marTop w:val="0"/>
      <w:marBottom w:val="0"/>
      <w:divBdr>
        <w:top w:val="none" w:sz="0" w:space="0" w:color="auto"/>
        <w:left w:val="none" w:sz="0" w:space="0" w:color="auto"/>
        <w:bottom w:val="none" w:sz="0" w:space="0" w:color="auto"/>
        <w:right w:val="none" w:sz="0" w:space="0" w:color="auto"/>
      </w:divBdr>
    </w:div>
    <w:div w:id="1362826946">
      <w:bodyDiv w:val="1"/>
      <w:marLeft w:val="0"/>
      <w:marRight w:val="0"/>
      <w:marTop w:val="0"/>
      <w:marBottom w:val="0"/>
      <w:divBdr>
        <w:top w:val="none" w:sz="0" w:space="0" w:color="auto"/>
        <w:left w:val="none" w:sz="0" w:space="0" w:color="auto"/>
        <w:bottom w:val="none" w:sz="0" w:space="0" w:color="auto"/>
        <w:right w:val="none" w:sz="0" w:space="0" w:color="auto"/>
      </w:divBdr>
    </w:div>
    <w:div w:id="1386684057">
      <w:bodyDiv w:val="1"/>
      <w:marLeft w:val="0"/>
      <w:marRight w:val="0"/>
      <w:marTop w:val="0"/>
      <w:marBottom w:val="0"/>
      <w:divBdr>
        <w:top w:val="none" w:sz="0" w:space="0" w:color="auto"/>
        <w:left w:val="none" w:sz="0" w:space="0" w:color="auto"/>
        <w:bottom w:val="none" w:sz="0" w:space="0" w:color="auto"/>
        <w:right w:val="none" w:sz="0" w:space="0" w:color="auto"/>
      </w:divBdr>
    </w:div>
    <w:div w:id="1567841197">
      <w:bodyDiv w:val="1"/>
      <w:marLeft w:val="0"/>
      <w:marRight w:val="0"/>
      <w:marTop w:val="0"/>
      <w:marBottom w:val="0"/>
      <w:divBdr>
        <w:top w:val="none" w:sz="0" w:space="0" w:color="auto"/>
        <w:left w:val="none" w:sz="0" w:space="0" w:color="auto"/>
        <w:bottom w:val="none" w:sz="0" w:space="0" w:color="auto"/>
        <w:right w:val="none" w:sz="0" w:space="0" w:color="auto"/>
      </w:divBdr>
    </w:div>
    <w:div w:id="1615332089">
      <w:bodyDiv w:val="1"/>
      <w:marLeft w:val="0"/>
      <w:marRight w:val="0"/>
      <w:marTop w:val="0"/>
      <w:marBottom w:val="0"/>
      <w:divBdr>
        <w:top w:val="none" w:sz="0" w:space="0" w:color="auto"/>
        <w:left w:val="none" w:sz="0" w:space="0" w:color="auto"/>
        <w:bottom w:val="none" w:sz="0" w:space="0" w:color="auto"/>
        <w:right w:val="none" w:sz="0" w:space="0" w:color="auto"/>
      </w:divBdr>
    </w:div>
    <w:div w:id="1695645049">
      <w:bodyDiv w:val="1"/>
      <w:marLeft w:val="0"/>
      <w:marRight w:val="0"/>
      <w:marTop w:val="0"/>
      <w:marBottom w:val="0"/>
      <w:divBdr>
        <w:top w:val="none" w:sz="0" w:space="0" w:color="auto"/>
        <w:left w:val="none" w:sz="0" w:space="0" w:color="auto"/>
        <w:bottom w:val="none" w:sz="0" w:space="0" w:color="auto"/>
        <w:right w:val="none" w:sz="0" w:space="0" w:color="auto"/>
      </w:divBdr>
    </w:div>
    <w:div w:id="1802725509">
      <w:bodyDiv w:val="1"/>
      <w:marLeft w:val="0"/>
      <w:marRight w:val="0"/>
      <w:marTop w:val="0"/>
      <w:marBottom w:val="0"/>
      <w:divBdr>
        <w:top w:val="none" w:sz="0" w:space="0" w:color="auto"/>
        <w:left w:val="none" w:sz="0" w:space="0" w:color="auto"/>
        <w:bottom w:val="none" w:sz="0" w:space="0" w:color="auto"/>
        <w:right w:val="none" w:sz="0" w:space="0" w:color="auto"/>
      </w:divBdr>
    </w:div>
    <w:div w:id="1806435111">
      <w:bodyDiv w:val="1"/>
      <w:marLeft w:val="0"/>
      <w:marRight w:val="0"/>
      <w:marTop w:val="0"/>
      <w:marBottom w:val="0"/>
      <w:divBdr>
        <w:top w:val="none" w:sz="0" w:space="0" w:color="auto"/>
        <w:left w:val="none" w:sz="0" w:space="0" w:color="auto"/>
        <w:bottom w:val="none" w:sz="0" w:space="0" w:color="auto"/>
        <w:right w:val="none" w:sz="0" w:space="0" w:color="auto"/>
      </w:divBdr>
    </w:div>
    <w:div w:id="1812167854">
      <w:bodyDiv w:val="1"/>
      <w:marLeft w:val="0"/>
      <w:marRight w:val="0"/>
      <w:marTop w:val="0"/>
      <w:marBottom w:val="0"/>
      <w:divBdr>
        <w:top w:val="none" w:sz="0" w:space="0" w:color="auto"/>
        <w:left w:val="none" w:sz="0" w:space="0" w:color="auto"/>
        <w:bottom w:val="none" w:sz="0" w:space="0" w:color="auto"/>
        <w:right w:val="none" w:sz="0" w:space="0" w:color="auto"/>
      </w:divBdr>
    </w:div>
    <w:div w:id="1899977937">
      <w:bodyDiv w:val="1"/>
      <w:marLeft w:val="0"/>
      <w:marRight w:val="0"/>
      <w:marTop w:val="0"/>
      <w:marBottom w:val="0"/>
      <w:divBdr>
        <w:top w:val="none" w:sz="0" w:space="0" w:color="auto"/>
        <w:left w:val="none" w:sz="0" w:space="0" w:color="auto"/>
        <w:bottom w:val="none" w:sz="0" w:space="0" w:color="auto"/>
        <w:right w:val="none" w:sz="0" w:space="0" w:color="auto"/>
      </w:divBdr>
    </w:div>
    <w:div w:id="1926573545">
      <w:bodyDiv w:val="1"/>
      <w:marLeft w:val="0"/>
      <w:marRight w:val="0"/>
      <w:marTop w:val="0"/>
      <w:marBottom w:val="0"/>
      <w:divBdr>
        <w:top w:val="none" w:sz="0" w:space="0" w:color="auto"/>
        <w:left w:val="none" w:sz="0" w:space="0" w:color="auto"/>
        <w:bottom w:val="none" w:sz="0" w:space="0" w:color="auto"/>
        <w:right w:val="none" w:sz="0" w:space="0" w:color="auto"/>
      </w:divBdr>
    </w:div>
    <w:div w:id="2066952188">
      <w:bodyDiv w:val="1"/>
      <w:marLeft w:val="0"/>
      <w:marRight w:val="0"/>
      <w:marTop w:val="0"/>
      <w:marBottom w:val="0"/>
      <w:divBdr>
        <w:top w:val="none" w:sz="0" w:space="0" w:color="auto"/>
        <w:left w:val="none" w:sz="0" w:space="0" w:color="auto"/>
        <w:bottom w:val="none" w:sz="0" w:space="0" w:color="auto"/>
        <w:right w:val="none" w:sz="0" w:space="0" w:color="auto"/>
      </w:divBdr>
    </w:div>
    <w:div w:id="2071028652">
      <w:bodyDiv w:val="1"/>
      <w:marLeft w:val="0"/>
      <w:marRight w:val="0"/>
      <w:marTop w:val="0"/>
      <w:marBottom w:val="0"/>
      <w:divBdr>
        <w:top w:val="none" w:sz="0" w:space="0" w:color="auto"/>
        <w:left w:val="none" w:sz="0" w:space="0" w:color="auto"/>
        <w:bottom w:val="none" w:sz="0" w:space="0" w:color="auto"/>
        <w:right w:val="none" w:sz="0" w:space="0" w:color="auto"/>
      </w:divBdr>
    </w:div>
    <w:div w:id="2097969875">
      <w:bodyDiv w:val="1"/>
      <w:marLeft w:val="0"/>
      <w:marRight w:val="0"/>
      <w:marTop w:val="0"/>
      <w:marBottom w:val="0"/>
      <w:divBdr>
        <w:top w:val="none" w:sz="0" w:space="0" w:color="auto"/>
        <w:left w:val="none" w:sz="0" w:space="0" w:color="auto"/>
        <w:bottom w:val="none" w:sz="0" w:space="0" w:color="auto"/>
        <w:right w:val="none" w:sz="0" w:space="0" w:color="auto"/>
      </w:divBdr>
    </w:div>
    <w:div w:id="210025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oleObject" Target="embeddings/Microsoft_Visio_2003-2010_Drawing111111.vsd"/><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esma.europa.e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esma.europa.eu" TargetMode="External"/><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4.xml"/><Relationship Id="rId10"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www.iosco.org/library/pubdocs/pdf/IOSCOPD351.pdf" TargetMode="External"/><Relationship Id="rId2" Type="http://schemas.openxmlformats.org/officeDocument/2006/relationships/hyperlink" Target="http://www.iosco.org/library/pubdocs/pdf/IOSCOPD512.pdf" TargetMode="External"/><Relationship Id="rId1" Type="http://schemas.openxmlformats.org/officeDocument/2006/relationships/hyperlink" Target="http://www.europarl.europa.eu/document/activities/cont/201106/20110606ATT20781/20110606ATT20781EN.pdf" TargetMode="External"/><Relationship Id="rId4" Type="http://schemas.openxmlformats.org/officeDocument/2006/relationships/hyperlink" Target="http://www.esma.europa.eu/sites/default/files/library/2015/11/2015-esma-1457_-_annex_ii_-_csdr_ts_on_csd_requirements_and_internalised_settlemen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ecffb14172554a4ba7481deb4c063ead xmlns="04e156a7-4389-4348-bdc5-772e1b15193f">
      <Terms xmlns="http://schemas.microsoft.com/office/infopath/2007/PartnerControls"/>
    </ecffb14172554a4ba7481deb4c063ead>
    <j05422ce24ce4e4ab320b03641ea4418 xmlns="04e156a7-4389-4348-bdc5-772e1b15193f">
      <Terms xmlns="http://schemas.microsoft.com/office/infopath/2007/PartnerControls"/>
    </j05422ce24ce4e4ab320b03641ea4418>
    <Year xmlns="04e156a7-4389-4348-bdc5-772e1b15193f">2016</Year>
    <_dlc_DocId xmlns="04e156a7-4389-4348-bdc5-772e1b15193f">ESMA71-1154262120-42</_dlc_DocId>
    <TaxCatchAll xmlns="04e156a7-4389-4348-bdc5-772e1b15193f">
      <Value>2</Value>
      <Value>1</Value>
    </TaxCatchAll>
    <_dlc_DocIdUrl xmlns="04e156a7-4389-4348-bdc5-772e1b15193f">
      <Url>http://sherpa.esma.europa.eu/sites/COM/_layouts/15/DocIdRedir.aspx?ID=ESMA71-1154262120-42</Url>
      <Description>ESMA71-1154262120-42</Description>
    </_dlc_DocIdUrl>
    <MeetingDate xmlns="04e156a7-4389-4348-bdc5-772e1b15193f" xsi:nil="true"/>
    <gda4d86408c5493e8985022410f7cd57 xmlns="04e156a7-4389-4348-bdc5-772e1b15193f">
      <Terms xmlns="http://schemas.microsoft.com/office/infopath/2007/PartnerControls"/>
    </gda4d86408c5493e8985022410f7cd57>
    <c8637115ca234e04bb3384934748beb0 xmlns="04e156a7-4389-4348-bdc5-772e1b15193f">
      <Terms xmlns="http://schemas.microsoft.com/office/infopath/2007/PartnerControls">
        <TermInfo xmlns="http://schemas.microsoft.com/office/infopath/2007/PartnerControls">
          <TermName xmlns="http://schemas.microsoft.com/office/infopath/2007/PartnerControls">Communications</TermName>
          <TermId xmlns="http://schemas.microsoft.com/office/infopath/2007/PartnerControls">7759f44a-d057-4de2-8be6-5ed35b270d6d</TermId>
        </TermInfo>
      </Terms>
    </c8637115ca234e04bb3384934748beb0>
    <i5bb2eea380a44bda7ee278cd0cc8b9c xmlns="04e156a7-4389-4348-bdc5-772e1b15193f">
      <Terms xmlns="http://schemas.microsoft.com/office/infopath/2007/PartnerControls">
        <TermInfo xmlns="http://schemas.microsoft.com/office/infopath/2007/PartnerControls">
          <TermName xmlns="http://schemas.microsoft.com/office/infopath/2007/PartnerControls">Regular</TermName>
          <TermId xmlns="http://schemas.microsoft.com/office/infopath/2007/PartnerControls">07f1e362-856b-423d-bea6-a14079762141</TermId>
        </TermInfo>
      </Terms>
    </i5bb2eea380a44bda7ee278cd0cc8b9c>
  </documentManagement>
</p:properties>
</file>

<file path=customXml/item3.xml><?xml version="1.0" encoding="utf-8"?>
<ct:contentTypeSchema xmlns:ct="http://schemas.microsoft.com/office/2006/metadata/contentType" xmlns:ma="http://schemas.microsoft.com/office/2006/metadata/properties/metaAttributes" ct:_="" ma:_="" ma:contentTypeName="Website Document" ma:contentTypeID="0x010100AE6B8B4649F0FA42BC4F4897A77999EC010300188820D3D298344EB8B4A088C96902B2" ma:contentTypeVersion="20" ma:contentTypeDescription="" ma:contentTypeScope="" ma:versionID="3d18ff5c61fdf076612af0601d73877d">
  <xsd:schema xmlns:xsd="http://www.w3.org/2001/XMLSchema" xmlns:xs="http://www.w3.org/2001/XMLSchema" xmlns:p="http://schemas.microsoft.com/office/2006/metadata/properties" xmlns:ns2="04e156a7-4389-4348-bdc5-772e1b15193f" targetNamespace="http://schemas.microsoft.com/office/2006/metadata/properties" ma:root="true" ma:fieldsID="84e9c40e3a454abbc6e6f60aa86b77e0" ns2:_="">
    <xsd:import namespace="04e156a7-4389-4348-bdc5-772e1b15193f"/>
    <xsd:element name="properties">
      <xsd:complexType>
        <xsd:sequence>
          <xsd:element name="documentManagement">
            <xsd:complexType>
              <xsd:all>
                <xsd:element ref="ns2:Year"/>
                <xsd:element ref="ns2:MeetingDate" minOccurs="0"/>
                <xsd:element ref="ns2:_dlc_DocIdUrl" minOccurs="0"/>
                <xsd:element ref="ns2:_dlc_DocIdPersistId" minOccurs="0"/>
                <xsd:element ref="ns2:j05422ce24ce4e4ab320b03641ea4418" minOccurs="0"/>
                <xsd:element ref="ns2:TaxCatchAll" minOccurs="0"/>
                <xsd:element ref="ns2:TaxCatchAllLabel" minOccurs="0"/>
                <xsd:element ref="ns2:i5bb2eea380a44bda7ee278cd0cc8b9c" minOccurs="0"/>
                <xsd:element ref="ns2:gda4d86408c5493e8985022410f7cd57" minOccurs="0"/>
                <xsd:element ref="ns2:_dlc_DocId" minOccurs="0"/>
                <xsd:element ref="ns2:ecffb14172554a4ba7481deb4c063ead" minOccurs="0"/>
                <xsd:element ref="ns2:c8637115ca234e04bb3384934748beb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e156a7-4389-4348-bdc5-772e1b15193f" elementFormDefault="qualified">
    <xsd:import namespace="http://schemas.microsoft.com/office/2006/documentManagement/types"/>
    <xsd:import namespace="http://schemas.microsoft.com/office/infopath/2007/PartnerControls"/>
    <xsd:element name="Year" ma:index="4" ma:displayName="Year" ma:default="2016" ma:description="" ma:internalName="Year" ma:readOnly="false">
      <xsd:simpleType>
        <xsd:restriction base="dms:Text">
          <xsd:maxLength value="4"/>
        </xsd:restriction>
      </xsd:simpleType>
    </xsd:element>
    <xsd:element name="MeetingDate" ma:index="6" nillable="true" ma:displayName="Meeting Date" ma:description="" ma:format="DateOnly" ma:internalName="MeetingDate" ma:readOnly="false">
      <xsd:simpleType>
        <xsd:restriction base="dms:DateTime"/>
      </xsd:simpleType>
    </xsd:element>
    <xsd:element name="_dlc_DocIdUrl" ma:index="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8" nillable="true" ma:displayName="Persist ID" ma:description="Keep ID on add." ma:hidden="true" ma:internalName="_dlc_DocIdPersistId" ma:readOnly="true">
      <xsd:simpleType>
        <xsd:restriction base="dms:Boolean"/>
      </xsd:simpleType>
    </xsd:element>
    <xsd:element name="j05422ce24ce4e4ab320b03641ea4418" ma:index="9" ma:taxonomy="true" ma:internalName="j05422ce24ce4e4ab320b03641ea4418" ma:taxonomyFieldName="DocumentType" ma:displayName="Document Type" ma:readOnly="false" ma:default="" ma:fieldId="{305422ce-24ce-4e4a-b320-b03641ea4418}" ma:sspId="0ac1876e-32bf-4158-94e7-cdbcd053a335" ma:termSetId="f83a1c9a-b23f-455b-8c9e-17fb9037db30"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e634e61-1f3b-42f6-a906-c1c71afec3e4}" ma:internalName="TaxCatchAll" ma:showField="CatchAllData" ma:web="04e156a7-4389-4348-bdc5-772e1b15193f">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e634e61-1f3b-42f6-a906-c1c71afec3e4}" ma:internalName="TaxCatchAllLabel" ma:readOnly="true" ma:showField="CatchAllDataLabel" ma:web="04e156a7-4389-4348-bdc5-772e1b15193f">
      <xsd:complexType>
        <xsd:complexContent>
          <xsd:extension base="dms:MultiChoiceLookup">
            <xsd:sequence>
              <xsd:element name="Value" type="dms:Lookup" maxOccurs="unbounded" minOccurs="0" nillable="true"/>
            </xsd:sequence>
          </xsd:extension>
        </xsd:complexContent>
      </xsd:complexType>
    </xsd:element>
    <xsd:element name="i5bb2eea380a44bda7ee278cd0cc8b9c" ma:index="13" ma:taxonomy="true" ma:internalName="i5bb2eea380a44bda7ee278cd0cc8b9c" ma:taxonomyFieldName="ConfidentialityLevel" ma:displayName="Confidentiality Level" ma:default="2;#Regular|07f1e362-856b-423d-bea6-a14079762141" ma:fieldId="{25bb2eea-380a-44bd-a7ee-278cd0cc8b9c}" ma:sspId="0ac1876e-32bf-4158-94e7-cdbcd053a335" ma:termSetId="63da149f-0364-4b58-9838-6f5855a402c0" ma:anchorId="00000000-0000-0000-0000-000000000000" ma:open="false" ma:isKeyword="false">
      <xsd:complexType>
        <xsd:sequence>
          <xsd:element ref="pc:Terms" minOccurs="0" maxOccurs="1"/>
        </xsd:sequence>
      </xsd:complexType>
    </xsd:element>
    <xsd:element name="gda4d86408c5493e8985022410f7cd57" ma:index="16" nillable="true" ma:taxonomy="true" ma:internalName="gda4d86408c5493e8985022410f7cd57" ma:taxonomyFieldName="EsmaAudience" ma:displayName="Audience" ma:readOnly="false" ma:default="" ma:fieldId="{0da4d864-08c5-493e-8985-022410f7cd57}" ma:sspId="0ac1876e-32bf-4158-94e7-cdbcd053a335" ma:termSetId="b571f04a-7c01-4ca7-82ee-9fa9ce367c37" ma:anchorId="00000000-0000-0000-0000-000000000000" ma:open="false" ma:isKeyword="false">
      <xsd:complexType>
        <xsd:sequence>
          <xsd:element ref="pc:Terms" minOccurs="0" maxOccurs="1"/>
        </xsd:sequence>
      </xsd:complexType>
    </xsd:element>
    <xsd:element name="_dlc_DocId" ma:index="18" nillable="true" ma:displayName="Document ID Value" ma:description="The value of the document ID assigned to this item." ma:internalName="_dlc_DocId" ma:readOnly="true">
      <xsd:simpleType>
        <xsd:restriction base="dms:Text"/>
      </xsd:simpleType>
    </xsd:element>
    <xsd:element name="ecffb14172554a4ba7481deb4c063ead" ma:index="20" nillable="true" ma:taxonomy="true" ma:internalName="ecffb14172554a4ba7481deb4c063ead" ma:taxonomyFieldName="Topic" ma:displayName="Topic" ma:readOnly="false" ma:default="" ma:fieldId="{ecffb141-7255-4a4b-a748-1deb4c063ead}" ma:sspId="0ac1876e-32bf-4158-94e7-cdbcd053a335" ma:termSetId="6abdd5a6-9549-415c-8347-3fdbcce9001d" ma:anchorId="00000000-0000-0000-0000-000000000000" ma:open="true" ma:isKeyword="false">
      <xsd:complexType>
        <xsd:sequence>
          <xsd:element ref="pc:Terms" minOccurs="0" maxOccurs="1"/>
        </xsd:sequence>
      </xsd:complexType>
    </xsd:element>
    <xsd:element name="c8637115ca234e04bb3384934748beb0" ma:index="23" ma:taxonomy="true" ma:internalName="c8637115ca234e04bb3384934748beb0" ma:taxonomyFieldName="TeamName" ma:displayName="Team Name" ma:readOnly="false" ma:default="1;#Communications|7759f44a-d057-4de2-8be6-5ed35b270d6d" ma:fieldId="{c8637115-ca23-4e04-bb33-84934748beb0}" ma:sspId="0ac1876e-32bf-4158-94e7-cdbcd053a335" ma:termSetId="9ab8a8dd-aa7f-4e9e-9345-c8f50d6bfad1"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EF0CE0-674E-4133-AA83-808934C2FF6E}">
  <ds:schemaRefs>
    <ds:schemaRef ds:uri="http://schemas.microsoft.com/sharepoint/events"/>
  </ds:schemaRefs>
</ds:datastoreItem>
</file>

<file path=customXml/itemProps2.xml><?xml version="1.0" encoding="utf-8"?>
<ds:datastoreItem xmlns:ds="http://schemas.openxmlformats.org/officeDocument/2006/customXml" ds:itemID="{212662E8-9DE5-46CB-ADB2-F572307299CA}">
  <ds:schemaRefs>
    <ds:schemaRef ds:uri="http://schemas.microsoft.com/office/infopath/2007/PartnerControls"/>
    <ds:schemaRef ds:uri="http://purl.org/dc/terms/"/>
    <ds:schemaRef ds:uri="http://www.w3.org/XML/1998/namespace"/>
    <ds:schemaRef ds:uri="http://schemas.microsoft.com/office/2006/documentManagement/types"/>
    <ds:schemaRef ds:uri="http://purl.org/dc/elements/1.1/"/>
    <ds:schemaRef ds:uri="http://schemas.microsoft.com/office/2006/metadata/properties"/>
    <ds:schemaRef ds:uri="http://purl.org/dc/dcmitype/"/>
    <ds:schemaRef ds:uri="http://schemas.openxmlformats.org/package/2006/metadata/core-properties"/>
    <ds:schemaRef ds:uri="04e156a7-4389-4348-bdc5-772e1b15193f"/>
  </ds:schemaRefs>
</ds:datastoreItem>
</file>

<file path=customXml/itemProps3.xml><?xml version="1.0" encoding="utf-8"?>
<ds:datastoreItem xmlns:ds="http://schemas.openxmlformats.org/officeDocument/2006/customXml" ds:itemID="{6A8167E5-BE25-4CA9-9841-EA3A185DA3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e156a7-4389-4348-bdc5-772e1b1519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BA4AC5-82B9-4106-82AE-9B749A5D8C08}">
  <ds:schemaRefs>
    <ds:schemaRef ds:uri="http://schemas.microsoft.com/sharepoint/v3/contenttype/forms"/>
  </ds:schemaRefs>
</ds:datastoreItem>
</file>

<file path=customXml/itemProps5.xml><?xml version="1.0" encoding="utf-8"?>
<ds:datastoreItem xmlns:ds="http://schemas.openxmlformats.org/officeDocument/2006/customXml" ds:itemID="{ACB8B29B-2A22-48FA-A7D7-70B1D70F2B35}">
  <ds:schemaRefs>
    <ds:schemaRef ds:uri="http://schemas.openxmlformats.org/officeDocument/2006/bibliography"/>
  </ds:schemaRefs>
</ds:datastoreItem>
</file>

<file path=customXml/itemProps6.xml><?xml version="1.0" encoding="utf-8"?>
<ds:datastoreItem xmlns:ds="http://schemas.openxmlformats.org/officeDocument/2006/customXml" ds:itemID="{B0BEADFF-4213-42F5-BC6A-8C542DEFC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33</Pages>
  <Words>10660</Words>
  <Characters>60762</Characters>
  <Application>Microsoft Office Word</Application>
  <DocSecurity>8</DocSecurity>
  <Lines>506</Lines>
  <Paragraphs>142</Paragraphs>
  <ScaleCrop>false</ScaleCrop>
  <HeadingPairs>
    <vt:vector size="12" baseType="variant">
      <vt:variant>
        <vt:lpstr>Title</vt:lpstr>
      </vt:variant>
      <vt:variant>
        <vt:i4>1</vt:i4>
      </vt:variant>
      <vt:variant>
        <vt:lpstr>Название</vt:lpstr>
      </vt:variant>
      <vt:variant>
        <vt:i4>1</vt:i4>
      </vt:variant>
      <vt:variant>
        <vt:lpstr>Título</vt:lpstr>
      </vt:variant>
      <vt:variant>
        <vt:i4>1</vt:i4>
      </vt:variant>
      <vt:variant>
        <vt:lpstr>Titolo</vt:lpstr>
      </vt:variant>
      <vt:variant>
        <vt:i4>1</vt:i4>
      </vt:variant>
      <vt:variant>
        <vt:lpstr>Titre</vt:lpstr>
      </vt:variant>
      <vt:variant>
        <vt:i4>1</vt:i4>
      </vt:variant>
      <vt:variant>
        <vt:lpstr>Titel</vt:lpstr>
      </vt:variant>
      <vt:variant>
        <vt:i4>1</vt:i4>
      </vt:variant>
    </vt:vector>
  </HeadingPairs>
  <TitlesOfParts>
    <vt:vector size="6" baseType="lpstr">
      <vt:lpstr>Reply form for the ESEF CP</vt:lpstr>
      <vt:lpstr>Reply form for the ESEF CP</vt:lpstr>
      <vt:lpstr>20110000</vt:lpstr>
      <vt:lpstr>20110000</vt:lpstr>
      <vt:lpstr>20110000</vt:lpstr>
      <vt:lpstr>20110000</vt:lpstr>
    </vt:vector>
  </TitlesOfParts>
  <Company>ESMA</Company>
  <LinksUpToDate>false</LinksUpToDate>
  <CharactersWithSpaces>71280</CharactersWithSpaces>
  <SharedDoc>false</SharedDoc>
  <HLinks>
    <vt:vector size="12" baseType="variant">
      <vt:variant>
        <vt:i4>3932286</vt:i4>
      </vt:variant>
      <vt:variant>
        <vt:i4>3</vt:i4>
      </vt:variant>
      <vt:variant>
        <vt:i4>0</vt:i4>
      </vt:variant>
      <vt:variant>
        <vt:i4>5</vt:i4>
      </vt:variant>
      <vt:variant>
        <vt:lpwstr>http://www.esma.europa.eu/</vt:lpwstr>
      </vt:variant>
      <vt:variant>
        <vt:lpwstr/>
      </vt:variant>
      <vt:variant>
        <vt:i4>3932286</vt:i4>
      </vt:variant>
      <vt:variant>
        <vt:i4>0</vt:i4>
      </vt:variant>
      <vt:variant>
        <vt:i4>0</vt:i4>
      </vt:variant>
      <vt:variant>
        <vt:i4>5</vt:i4>
      </vt:variant>
      <vt:variant>
        <vt:lpwstr>http://www.esma.europa.eu/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Reply form for the ESEF CP</dc:title>
  <dc:creator>ESMA</dc:creator>
  <cp:lastModifiedBy>Patrick Rooney</cp:lastModifiedBy>
  <cp:revision>19</cp:revision>
  <cp:lastPrinted>2016-09-23T15:42:00Z</cp:lastPrinted>
  <dcterms:created xsi:type="dcterms:W3CDTF">2016-09-23T13:11:00Z</dcterms:created>
  <dcterms:modified xsi:type="dcterms:W3CDTF">2016-09-23T17:25:00Z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amName">
    <vt:lpwstr>1;#Communications|7759f44a-d057-4de2-8be6-5ed35b270d6d</vt:lpwstr>
  </property>
  <property fmtid="{D5CDD505-2E9C-101B-9397-08002B2CF9AE}" pid="3" name="ContentTypeId">
    <vt:lpwstr>0x010100AE6B8B4649F0FA42BC4F4897A77999EC010300188820D3D298344EB8B4A088C96902B2</vt:lpwstr>
  </property>
  <property fmtid="{D5CDD505-2E9C-101B-9397-08002B2CF9AE}" pid="4" name="ConfidentialityLevel">
    <vt:lpwstr>2;#Regular|07f1e362-856b-423d-bea6-a14079762141</vt:lpwstr>
  </property>
  <property fmtid="{D5CDD505-2E9C-101B-9397-08002B2CF9AE}" pid="5" name="_dlc_DocIdItemGuid">
    <vt:lpwstr>5f87e667-ab19-4ade-bebc-90f61f6c3914</vt:lpwstr>
  </property>
  <property fmtid="{D5CDD505-2E9C-101B-9397-08002B2CF9AE}" pid="6" name="EsmaAudience">
    <vt:lpwstr/>
  </property>
  <property fmtid="{D5CDD505-2E9C-101B-9397-08002B2CF9AE}" pid="7" name="Topic">
    <vt:lpwstr/>
  </property>
  <property fmtid="{D5CDD505-2E9C-101B-9397-08002B2CF9AE}" pid="8" name="DocumentType">
    <vt:lpwstr/>
  </property>
</Properties>
</file>