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1264"/>
        <w:gridCol w:w="4434"/>
        <w:gridCol w:w="3354"/>
      </w:tblGrid>
      <w:tr w:rsidR="00504BFA" w:rsidRPr="00504BFA" w:rsidTr="00504BFA">
        <w:tc>
          <w:tcPr>
            <w:tcW w:w="1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4BFA" w:rsidRPr="00504BFA" w:rsidRDefault="00504BFA">
            <w:pPr>
              <w:rPr>
                <w:rFonts w:ascii="Arial" w:hAnsi="Arial" w:cs="Arial"/>
                <w:color w:val="1F497D"/>
                <w:sz w:val="20"/>
                <w:lang w:val="en-US"/>
              </w:rPr>
            </w:pPr>
          </w:p>
        </w:tc>
        <w:tc>
          <w:tcPr>
            <w:tcW w:w="7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1F497D"/>
                <w:sz w:val="20"/>
                <w:lang w:val="en-US"/>
              </w:rPr>
            </w:pPr>
            <w:r w:rsidRPr="00504BFA">
              <w:rPr>
                <w:rFonts w:ascii="Arial" w:hAnsi="Arial" w:cs="Arial"/>
                <w:color w:val="1F497D"/>
                <w:sz w:val="20"/>
                <w:lang w:val="en-US"/>
              </w:rPr>
              <w:t>Question</w:t>
            </w:r>
          </w:p>
        </w:tc>
        <w:tc>
          <w:tcPr>
            <w:tcW w:w="46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1F497D"/>
                <w:sz w:val="20"/>
                <w:lang w:val="en-US"/>
              </w:rPr>
            </w:pPr>
            <w:r w:rsidRPr="00504BFA">
              <w:rPr>
                <w:rFonts w:ascii="Arial" w:hAnsi="Arial" w:cs="Arial"/>
                <w:color w:val="1F497D"/>
                <w:sz w:val="20"/>
                <w:lang w:val="en-US"/>
              </w:rPr>
              <w:t>Answer</w:t>
            </w:r>
          </w:p>
        </w:tc>
      </w:tr>
      <w:tr w:rsidR="00504BFA" w:rsidRPr="00504BFA" w:rsidTr="00504BFA">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1F497D"/>
                <w:sz w:val="20"/>
                <w:lang w:val="en-US"/>
              </w:rPr>
            </w:pPr>
            <w:r w:rsidRPr="00504BFA">
              <w:rPr>
                <w:rFonts w:ascii="Arial" w:hAnsi="Arial" w:cs="Arial"/>
                <w:sz w:val="20"/>
                <w:lang w:val="en-US"/>
              </w:rPr>
              <w:t>Question 1</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1F497D"/>
                <w:sz w:val="20"/>
                <w:lang w:val="en-US"/>
              </w:rPr>
            </w:pPr>
            <w:r w:rsidRPr="00504BFA">
              <w:rPr>
                <w:rFonts w:ascii="Arial" w:hAnsi="Arial" w:cs="Arial"/>
                <w:sz w:val="20"/>
                <w:lang w:val="en-US"/>
              </w:rPr>
              <w:t xml:space="preserve">To which category of counterparties does your </w:t>
            </w:r>
            <w:proofErr w:type="spellStart"/>
            <w:r w:rsidRPr="00504BFA">
              <w:rPr>
                <w:rFonts w:ascii="Arial" w:hAnsi="Arial" w:cs="Arial"/>
                <w:sz w:val="20"/>
                <w:lang w:val="en-US"/>
              </w:rPr>
              <w:t>organisation</w:t>
            </w:r>
            <w:proofErr w:type="spellEnd"/>
            <w:r w:rsidRPr="00504BFA">
              <w:rPr>
                <w:rFonts w:ascii="Arial" w:hAnsi="Arial" w:cs="Arial"/>
                <w:sz w:val="20"/>
                <w:lang w:val="en-US"/>
              </w:rPr>
              <w:t xml:space="preserve"> belong: (1) in the context of the 1</w:t>
            </w:r>
            <w:r w:rsidRPr="00504BFA">
              <w:rPr>
                <w:rFonts w:ascii="Arial" w:hAnsi="Arial" w:cs="Arial"/>
                <w:sz w:val="20"/>
                <w:szCs w:val="14"/>
                <w:lang w:val="en-US"/>
              </w:rPr>
              <w:t xml:space="preserve">st </w:t>
            </w:r>
            <w:r w:rsidRPr="00504BFA">
              <w:rPr>
                <w:rFonts w:ascii="Arial" w:hAnsi="Arial" w:cs="Arial"/>
                <w:sz w:val="20"/>
                <w:lang w:val="en-US"/>
              </w:rPr>
              <w:t>Commission Delegated Regulation on the clearing obligation, and (2) in the context of the 2</w:t>
            </w:r>
            <w:r w:rsidRPr="00504BFA">
              <w:rPr>
                <w:rFonts w:ascii="Arial" w:hAnsi="Arial" w:cs="Arial"/>
                <w:sz w:val="20"/>
                <w:szCs w:val="14"/>
                <w:lang w:val="en-US"/>
              </w:rPr>
              <w:t xml:space="preserve">nd </w:t>
            </w:r>
            <w:r w:rsidRPr="00504BFA">
              <w:rPr>
                <w:rFonts w:ascii="Arial" w:hAnsi="Arial" w:cs="Arial"/>
                <w:sz w:val="20"/>
                <w:lang w:val="en-US"/>
              </w:rPr>
              <w:t>Commission Delegated Regulation on the clearing obligation?</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pStyle w:val="Default"/>
              <w:rPr>
                <w:sz w:val="20"/>
                <w:szCs w:val="22"/>
                <w:lang w:val="en-US"/>
              </w:rPr>
            </w:pPr>
            <w:r w:rsidRPr="00504BFA">
              <w:rPr>
                <w:sz w:val="20"/>
                <w:szCs w:val="22"/>
                <w:lang w:val="en-US"/>
              </w:rPr>
              <w:t>Re (1) – Category 3</w:t>
            </w:r>
          </w:p>
          <w:p w:rsidR="00504BFA" w:rsidRPr="00504BFA" w:rsidRDefault="00504BFA">
            <w:pPr>
              <w:rPr>
                <w:rFonts w:ascii="Arial" w:hAnsi="Arial" w:cs="Arial"/>
                <w:color w:val="1F497D"/>
                <w:sz w:val="20"/>
                <w:lang w:val="en-US"/>
              </w:rPr>
            </w:pPr>
            <w:r w:rsidRPr="00504BFA">
              <w:rPr>
                <w:rFonts w:ascii="Arial" w:hAnsi="Arial" w:cs="Arial"/>
                <w:sz w:val="20"/>
                <w:lang w:val="en-US"/>
              </w:rPr>
              <w:t>Re (2) – not relevant</w:t>
            </w:r>
          </w:p>
        </w:tc>
      </w:tr>
      <w:tr w:rsidR="00504BFA" w:rsidRPr="00504BFA" w:rsidTr="00504BFA">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Question 2</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pStyle w:val="Default"/>
              <w:rPr>
                <w:sz w:val="20"/>
                <w:szCs w:val="22"/>
                <w:lang w:val="en-US"/>
              </w:rPr>
            </w:pPr>
            <w:r w:rsidRPr="00504BFA">
              <w:rPr>
                <w:sz w:val="20"/>
                <w:szCs w:val="22"/>
                <w:lang w:val="en-US"/>
              </w:rPr>
              <w:t xml:space="preserve">If you offer clearing services, please provide evidence on the constraints that would prevent you from offering clearing services to a wider range of clients. </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1F497D"/>
                <w:sz w:val="20"/>
                <w:lang w:val="en-US"/>
              </w:rPr>
            </w:pPr>
            <w:r w:rsidRPr="00504BFA">
              <w:rPr>
                <w:rFonts w:ascii="Arial" w:hAnsi="Arial" w:cs="Arial"/>
                <w:color w:val="000000"/>
                <w:sz w:val="20"/>
                <w:lang w:val="en-US" w:eastAsia="cs-CZ"/>
              </w:rPr>
              <w:t>Not relevant</w:t>
            </w:r>
          </w:p>
        </w:tc>
      </w:tr>
      <w:tr w:rsidR="00504BFA" w:rsidRPr="00504BFA" w:rsidTr="00504BFA">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Question 3</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1F497D"/>
                <w:sz w:val="20"/>
                <w:lang w:val="en-US"/>
              </w:rPr>
            </w:pPr>
            <w:r w:rsidRPr="00504BFA">
              <w:rPr>
                <w:rFonts w:ascii="Arial" w:hAnsi="Arial" w:cs="Arial"/>
                <w:color w:val="000000"/>
                <w:sz w:val="20"/>
                <w:lang w:val="en-US" w:eastAsia="cs-CZ"/>
              </w:rPr>
              <w:t xml:space="preserve">Have you already established clearing arrangements (1) for interest rate swaps? (2) </w:t>
            </w:r>
            <w:proofErr w:type="gramStart"/>
            <w:r w:rsidRPr="00504BFA">
              <w:rPr>
                <w:rFonts w:ascii="Arial" w:hAnsi="Arial" w:cs="Arial"/>
                <w:color w:val="000000"/>
                <w:sz w:val="20"/>
                <w:lang w:val="en-US" w:eastAsia="cs-CZ"/>
              </w:rPr>
              <w:t>for</w:t>
            </w:r>
            <w:proofErr w:type="gramEnd"/>
            <w:r w:rsidRPr="00504BFA">
              <w:rPr>
                <w:rFonts w:ascii="Arial" w:hAnsi="Arial" w:cs="Arial"/>
                <w:color w:val="000000"/>
                <w:sz w:val="20"/>
                <w:lang w:val="en-US" w:eastAsia="cs-CZ"/>
              </w:rPr>
              <w:t xml:space="preserve"> credit default swaps? If not, please explain why (including the difficulties that you may be facing in establishing such arrangements) and provide an estimation of the time needed to finalize the arrangeme</w:t>
            </w:r>
            <w:bookmarkStart w:id="0" w:name="_GoBack"/>
            <w:bookmarkEnd w:id="0"/>
            <w:r w:rsidRPr="00504BFA">
              <w:rPr>
                <w:rFonts w:ascii="Arial" w:hAnsi="Arial" w:cs="Arial"/>
                <w:color w:val="000000"/>
                <w:sz w:val="20"/>
                <w:lang w:val="en-US" w:eastAsia="cs-CZ"/>
              </w:rPr>
              <w:t>nts.</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Re (1) – No for the following reasons: -</w:t>
            </w:r>
          </w:p>
          <w:p w:rsidR="00504BFA" w:rsidRPr="00504BFA" w:rsidRDefault="00504BFA" w:rsidP="00271832">
            <w:pPr>
              <w:pStyle w:val="Odstavecseseznamem"/>
              <w:numPr>
                <w:ilvl w:val="0"/>
                <w:numId w:val="1"/>
              </w:numPr>
              <w:rPr>
                <w:rFonts w:ascii="Arial" w:hAnsi="Arial" w:cs="Arial"/>
                <w:color w:val="000000"/>
                <w:sz w:val="20"/>
                <w:lang w:val="en-US" w:eastAsia="cs-CZ"/>
              </w:rPr>
            </w:pPr>
            <w:r w:rsidRPr="00504BFA">
              <w:rPr>
                <w:rFonts w:ascii="Arial" w:hAnsi="Arial" w:cs="Arial"/>
                <w:color w:val="000000"/>
                <w:sz w:val="20"/>
                <w:lang w:val="en-US" w:eastAsia="cs-CZ"/>
              </w:rPr>
              <w:t xml:space="preserve">We use IRS for hedging our interest rate risk </w:t>
            </w:r>
          </w:p>
          <w:p w:rsidR="00504BFA" w:rsidRPr="00504BFA" w:rsidRDefault="00504BFA" w:rsidP="00271832">
            <w:pPr>
              <w:pStyle w:val="Odstavecseseznamem"/>
              <w:numPr>
                <w:ilvl w:val="0"/>
                <w:numId w:val="1"/>
              </w:numPr>
              <w:rPr>
                <w:rFonts w:ascii="Arial" w:hAnsi="Arial" w:cs="Arial"/>
                <w:color w:val="000000"/>
                <w:sz w:val="20"/>
                <w:lang w:val="en-US" w:eastAsia="cs-CZ"/>
              </w:rPr>
            </w:pPr>
            <w:r w:rsidRPr="00504BFA">
              <w:rPr>
                <w:rFonts w:ascii="Arial" w:hAnsi="Arial" w:cs="Arial"/>
                <w:color w:val="000000"/>
                <w:sz w:val="20"/>
                <w:lang w:val="en-US" w:eastAsia="cs-CZ"/>
              </w:rPr>
              <w:t>becoming a clearing member or a client would generate too high costs for the hedging to be economically acceptable</w:t>
            </w:r>
          </w:p>
          <w:p w:rsidR="00504BFA" w:rsidRPr="00504BFA" w:rsidRDefault="00504BFA" w:rsidP="00271832">
            <w:pPr>
              <w:pStyle w:val="Odstavecseseznamem"/>
              <w:numPr>
                <w:ilvl w:val="0"/>
                <w:numId w:val="1"/>
              </w:numPr>
              <w:rPr>
                <w:rFonts w:ascii="Arial" w:hAnsi="Arial" w:cs="Arial"/>
                <w:color w:val="000000"/>
                <w:sz w:val="20"/>
                <w:lang w:val="en-US" w:eastAsia="cs-CZ"/>
              </w:rPr>
            </w:pPr>
            <w:r w:rsidRPr="00504BFA">
              <w:rPr>
                <w:rFonts w:ascii="Arial" w:hAnsi="Arial" w:cs="Arial"/>
                <w:color w:val="000000"/>
                <w:sz w:val="20"/>
                <w:lang w:val="en-US" w:eastAsia="cs-CZ"/>
              </w:rPr>
              <w:t>establishing indirect clearing arrangement is not possible yet according to our survey (our counterparties and most probable partners in this area do not provide the service at the moment and they are not able to say whether they will be providing it in the foreseeable future, i.e. the conditions are not known yet)</w:t>
            </w:r>
          </w:p>
          <w:p w:rsidR="00504BFA" w:rsidRPr="00504BFA" w:rsidRDefault="00504BFA" w:rsidP="00271832">
            <w:pPr>
              <w:pStyle w:val="Odstavecseseznamem"/>
              <w:numPr>
                <w:ilvl w:val="0"/>
                <w:numId w:val="1"/>
              </w:numPr>
              <w:rPr>
                <w:rFonts w:ascii="Arial" w:hAnsi="Arial" w:cs="Arial"/>
                <w:color w:val="000000"/>
                <w:sz w:val="20"/>
                <w:lang w:val="en-US" w:eastAsia="cs-CZ"/>
              </w:rPr>
            </w:pPr>
            <w:r w:rsidRPr="00504BFA">
              <w:rPr>
                <w:rFonts w:ascii="Arial" w:hAnsi="Arial" w:cs="Arial"/>
                <w:color w:val="000000"/>
                <w:sz w:val="20"/>
                <w:lang w:val="en-US" w:eastAsia="cs-CZ"/>
              </w:rPr>
              <w:t>we would have to apply for intragroup exemption</w:t>
            </w:r>
          </w:p>
          <w:p w:rsidR="00504BFA" w:rsidRPr="00504BFA" w:rsidRDefault="00504BFA">
            <w:pPr>
              <w:rPr>
                <w:rFonts w:ascii="Arial" w:hAnsi="Arial" w:cs="Arial"/>
                <w:color w:val="1F497D"/>
                <w:sz w:val="20"/>
                <w:lang w:val="en-US"/>
              </w:rPr>
            </w:pPr>
            <w:r w:rsidRPr="00504BFA">
              <w:rPr>
                <w:rFonts w:ascii="Arial" w:hAnsi="Arial" w:cs="Arial"/>
                <w:color w:val="000000"/>
                <w:sz w:val="20"/>
                <w:lang w:val="en-US" w:eastAsia="cs-CZ"/>
              </w:rPr>
              <w:t>Re (2) – not relevant</w:t>
            </w:r>
          </w:p>
        </w:tc>
      </w:tr>
      <w:tr w:rsidR="00504BFA" w:rsidRPr="00504BFA" w:rsidTr="00504BFA">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Question 5</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1F497D"/>
                <w:sz w:val="20"/>
                <w:lang w:val="en-US"/>
              </w:rPr>
            </w:pPr>
            <w:r w:rsidRPr="00504BFA">
              <w:rPr>
                <w:rFonts w:ascii="Arial" w:hAnsi="Arial" w:cs="Arial"/>
                <w:color w:val="000000"/>
                <w:sz w:val="20"/>
                <w:lang w:val="en-US" w:eastAsia="cs-CZ"/>
              </w:rPr>
              <w:t>Do you agree with the proposal to keep the definitions of the categories of counterparties as they currently are and to postpone the date of application of the clearing obligation for Category 3? If not, which alternative would achieve a better outcome?</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1F497D"/>
                <w:sz w:val="20"/>
                <w:lang w:val="en-US"/>
              </w:rPr>
            </w:pPr>
            <w:r w:rsidRPr="00504BFA">
              <w:rPr>
                <w:rFonts w:ascii="Arial" w:hAnsi="Arial" w:cs="Arial"/>
                <w:color w:val="000000"/>
                <w:sz w:val="20"/>
                <w:lang w:val="en-US" w:eastAsia="cs-CZ"/>
              </w:rPr>
              <w:t>YES</w:t>
            </w:r>
          </w:p>
        </w:tc>
      </w:tr>
      <w:tr w:rsidR="00504BFA" w:rsidRPr="00504BFA" w:rsidTr="00504BFA">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Question 6</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Do you agree with the proposal to modify the phase-in period applicable to Category 3, by adding two years to the current compliance deadlines?</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YES</w:t>
            </w:r>
          </w:p>
        </w:tc>
      </w:tr>
      <w:tr w:rsidR="00504BFA" w:rsidRPr="00504BFA" w:rsidTr="00504BFA">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Question 7</w:t>
            </w:r>
          </w:p>
        </w:tc>
        <w:tc>
          <w:tcPr>
            <w:tcW w:w="7844"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Do you agree with the proposal to modify the three Commission Delegated Regulations on the clearing obligation at the same time?</w:t>
            </w:r>
          </w:p>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p w:rsidR="00504BFA" w:rsidRPr="00504BFA" w:rsidRDefault="00504BFA">
            <w:pPr>
              <w:rPr>
                <w:rFonts w:ascii="Arial" w:hAnsi="Arial" w:cs="Arial"/>
                <w:color w:val="000000"/>
                <w:sz w:val="20"/>
                <w:lang w:val="en-US" w:eastAsia="cs-CZ"/>
              </w:rPr>
            </w:pPr>
            <w:r w:rsidRPr="00504BFA">
              <w:rPr>
                <w:rFonts w:ascii="Arial" w:hAnsi="Arial" w:cs="Arial"/>
                <w:color w:val="000000"/>
                <w:sz w:val="20"/>
                <w:lang w:val="en-US" w:eastAsia="cs-CZ"/>
              </w:rPr>
              <w:t>YES</w:t>
            </w:r>
          </w:p>
        </w:tc>
      </w:tr>
    </w:tbl>
    <w:p w:rsidR="00217097" w:rsidRDefault="00504BFA"/>
    <w:sectPr w:rsidR="00217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76A42"/>
    <w:multiLevelType w:val="hybridMultilevel"/>
    <w:tmpl w:val="887ED04E"/>
    <w:lvl w:ilvl="0" w:tplc="A2A292B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FA"/>
    <w:rsid w:val="004A5560"/>
    <w:rsid w:val="00504BFA"/>
    <w:rsid w:val="00CE1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2EDDF-8668-4C69-A92D-08E17307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4BFA"/>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4BFA"/>
    <w:pPr>
      <w:ind w:left="720"/>
    </w:pPr>
  </w:style>
  <w:style w:type="paragraph" w:customStyle="1" w:styleId="Default">
    <w:name w:val="Default"/>
    <w:basedOn w:val="Normln"/>
    <w:uiPriority w:val="99"/>
    <w:rsid w:val="00504BFA"/>
    <w:pPr>
      <w:autoSpaceDE w:val="0"/>
      <w:autoSpaceDN w:val="0"/>
    </w:pPr>
    <w:rPr>
      <w:rFonts w:ascii="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46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1697</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Wüstenrot - stavební spořitelna a.s</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Dziadkiewicz Roman Mgr.</dc:creator>
  <cp:keywords/>
  <dc:description/>
  <cp:lastModifiedBy>Dziadkiewicz Roman Mgr.</cp:lastModifiedBy>
  <cp:revision>1</cp:revision>
  <dcterms:created xsi:type="dcterms:W3CDTF">2016-08-18T16:04:00Z</dcterms:created>
  <dcterms:modified xsi:type="dcterms:W3CDTF">2016-08-18T16:06:00Z</dcterms:modified>
</cp:coreProperties>
</file>