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CF5B86" w:rsidP="00284149">
            <w:pPr>
              <w:pStyle w:val="00bDBInfo"/>
              <w:rPr>
                <w:rFonts w:cs="Arial"/>
              </w:rPr>
            </w:pPr>
            <w:r>
              <w:rPr>
                <w:rFonts w:cs="Arial"/>
              </w:rPr>
              <w:t>13</w:t>
            </w:r>
            <w:r w:rsidR="003A5DAC">
              <w:rPr>
                <w:rFonts w:cs="Arial"/>
              </w:rPr>
              <w:t xml:space="preserve"> </w:t>
            </w:r>
            <w:r w:rsidR="004049C0">
              <w:rPr>
                <w:rFonts w:cs="Arial"/>
              </w:rPr>
              <w:t>Ju</w:t>
            </w:r>
            <w:r w:rsidR="00284149">
              <w:rPr>
                <w:rFonts w:cs="Arial"/>
              </w:rPr>
              <w:t>ly</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284149">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284149" w:rsidRPr="00284149">
              <w:rPr>
                <w:rFonts w:cs="Arial"/>
                <w:sz w:val="32"/>
              </w:rPr>
              <w:t>Guidelines on validation and review of Credit Rating Agencies’ methodologies</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284149">
            <w:pPr>
              <w:pStyle w:val="02Date"/>
              <w:rPr>
                <w:rFonts w:cs="Arial"/>
                <w:highlight w:val="red"/>
              </w:rPr>
            </w:pPr>
            <w:r w:rsidRPr="007C3918">
              <w:rPr>
                <w:rFonts w:cs="Arial"/>
              </w:rPr>
              <w:lastRenderedPageBreak/>
              <w:t>Date</w:t>
            </w:r>
            <w:r w:rsidR="00CF5B86">
              <w:rPr>
                <w:rFonts w:cs="Arial"/>
              </w:rPr>
              <w:t>: 13</w:t>
            </w:r>
            <w:r w:rsidR="007C3918" w:rsidRPr="007C3918">
              <w:rPr>
                <w:rFonts w:cs="Arial"/>
              </w:rPr>
              <w:t xml:space="preserve"> </w:t>
            </w:r>
            <w:r w:rsidR="004049C0">
              <w:rPr>
                <w:rFonts w:cs="Arial"/>
              </w:rPr>
              <w:t>Ju</w:t>
            </w:r>
            <w:r w:rsidR="00284149">
              <w:rPr>
                <w:rFonts w:cs="Arial"/>
              </w:rPr>
              <w:t>ly</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CF5B86">
        <w:rPr>
          <w:rFonts w:cs="Arial"/>
        </w:rPr>
        <w:t xml:space="preserve">the </w:t>
      </w:r>
      <w:r w:rsidR="008701E5">
        <w:rPr>
          <w:rFonts w:cs="Arial"/>
        </w:rPr>
        <w:t xml:space="preserve">Consultation Paper on </w:t>
      </w:r>
      <w:r w:rsidR="00974A21" w:rsidRPr="00974A21">
        <w:rPr>
          <w:rFonts w:cs="Arial"/>
        </w:rPr>
        <w:t>Guidelines on validation a</w:t>
      </w:r>
      <w:r w:rsidR="00974A21">
        <w:rPr>
          <w:rFonts w:cs="Arial"/>
        </w:rPr>
        <w:t>nd review of Credit Rating Agen</w:t>
      </w:r>
      <w:r w:rsidR="00974A21" w:rsidRPr="00974A21">
        <w:rPr>
          <w:rFonts w:cs="Arial"/>
        </w:rPr>
        <w:t>cies’ methodologies</w:t>
      </w:r>
      <w:r w:rsidR="008701E5" w:rsidRPr="008701E5">
        <w:rPr>
          <w:rFonts w:cs="Arial"/>
        </w:rPr>
        <w:t xml:space="preserve"> (</w:t>
      </w:r>
      <w:r w:rsidR="00974A21">
        <w:rPr>
          <w:rFonts w:cs="Arial"/>
        </w:rPr>
        <w:t>GCRA</w:t>
      </w:r>
      <w:r w:rsidR="008701E5" w:rsidRPr="008701E5">
        <w:rPr>
          <w:rFonts w:cs="Arial"/>
        </w:rPr>
        <w: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w:t>
      </w:r>
      <w:r w:rsidR="00CF5B86">
        <w:rPr>
          <w:rFonts w:cs="Arial"/>
        </w:rPr>
        <w:t>the</w:t>
      </w:r>
      <w:r w:rsidRPr="00176639">
        <w:rPr>
          <w:rFonts w:cs="Arial"/>
        </w:rPr>
        <w:t xml:space="preserve"> responses,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rsidR="00F574D0" w:rsidRPr="00176639" w:rsidRDefault="00D75FEE" w:rsidP="00974A21">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BF557C" w:rsidRPr="00176639">
        <w:rPr>
          <w:rFonts w:cs="Arial"/>
        </w:rPr>
        <w:t>ESMA_QUESTION_</w:t>
      </w:r>
      <w:r w:rsidR="00665C07">
        <w:t>C</w:t>
      </w:r>
      <w:r w:rsidR="00AD0B9C">
        <w:t>P_</w:t>
      </w:r>
      <w:r w:rsidR="00974A21" w:rsidRPr="00974A21">
        <w:t>GCRA</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w:t>
      </w:r>
      <w:r w:rsidR="00CF5B86">
        <w:rPr>
          <w:rFonts w:cs="Arial"/>
        </w:rPr>
        <w:t>’</w:t>
      </w:r>
      <w:r w:rsidRPr="00EF0769">
        <w:rPr>
          <w:rFonts w:cs="Arial"/>
        </w:rPr>
        <w:t xml:space="preserve"> responses</w:t>
      </w:r>
      <w:r w:rsidR="00CF5B86">
        <w:rPr>
          <w:rFonts w:cs="Arial"/>
        </w:rPr>
        <w:t>,</w:t>
      </w:r>
      <w:r w:rsidRPr="00EF0769">
        <w:rPr>
          <w:rFonts w:cs="Arial"/>
        </w:rPr>
        <w:t xml:space="preserve"> please sav</w:t>
      </w:r>
      <w:r w:rsidR="00A96324">
        <w:rPr>
          <w:rFonts w:cs="Arial"/>
        </w:rPr>
        <w:t>e your document using the follow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w:t>
      </w:r>
      <w:r w:rsidR="00974A21" w:rsidRPr="00974A21">
        <w:t>GCRA</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974A21" w:rsidRPr="00974A21">
        <w:t>GCRA</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974A21" w:rsidRPr="00974A21">
        <w:t>GCRA</w:t>
      </w:r>
      <w:r w:rsidRPr="00AD0B9C">
        <w:rPr>
          <w:rFonts w:cs="Arial"/>
        </w:rPr>
        <w:t>_XXXX</w:t>
      </w:r>
      <w:r w:rsidR="00021E83" w:rsidRPr="00AD0B9C">
        <w:rPr>
          <w:rFonts w:cs="Arial"/>
        </w:rPr>
        <w:t>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w:t>
      </w:r>
      <w:r w:rsidRPr="001B0222">
        <w:rPr>
          <w:rFonts w:cs="Arial"/>
        </w:rPr>
        <w:t xml:space="preserve">by </w:t>
      </w:r>
      <w:r w:rsidR="00CF5B86" w:rsidRPr="001B0222">
        <w:rPr>
          <w:rFonts w:cs="Arial"/>
          <w:b/>
        </w:rPr>
        <w:t>22</w:t>
      </w:r>
      <w:r w:rsidRPr="001B0222">
        <w:rPr>
          <w:rFonts w:cs="Arial"/>
          <w:b/>
        </w:rPr>
        <w:t xml:space="preserve"> </w:t>
      </w:r>
      <w:r w:rsidR="00CF5B86" w:rsidRPr="001B0222">
        <w:rPr>
          <w:rFonts w:cs="Arial"/>
          <w:b/>
        </w:rPr>
        <w:t>August</w:t>
      </w:r>
      <w:r w:rsidRPr="001B0222">
        <w:rPr>
          <w:rFonts w:cs="Arial"/>
          <w:b/>
        </w:rPr>
        <w:t xml:space="preserve"> 2016</w:t>
      </w:r>
      <w:r w:rsidR="00021E83" w:rsidRPr="001B0222">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96324" w:rsidRDefault="00A96324"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665C07">
        <w:t>C</w:t>
      </w:r>
      <w:r w:rsidR="00176639">
        <w:t>P_</w:t>
      </w:r>
      <w:r w:rsidR="002039F0">
        <w:t>GCRA</w:t>
      </w:r>
      <w:r w:rsidR="00D61A37" w:rsidRPr="00176639">
        <w:t>_1</w:t>
      </w:r>
      <w:r w:rsidRPr="00176639">
        <w:t>&gt;</w:t>
      </w:r>
    </w:p>
    <w:p w:rsidR="00D34282" w:rsidRDefault="00D34282" w:rsidP="00D34282">
      <w:permStart w:id="626605490" w:edGrp="everyone"/>
      <w:r>
        <w:t>TYPE YOUR TEXT HERE</w:t>
      </w:r>
    </w:p>
    <w:permEnd w:id="626605490"/>
    <w:p w:rsidR="00D34282" w:rsidRPr="00BF28DA" w:rsidRDefault="00D34282" w:rsidP="00D34282">
      <w:r w:rsidRPr="00BF28DA">
        <w:t>&lt;</w:t>
      </w:r>
      <w:r w:rsidR="002039F0" w:rsidRPr="002039F0">
        <w:t xml:space="preserve"> </w:t>
      </w:r>
      <w:r w:rsidR="002039F0" w:rsidRPr="00176639">
        <w:t>ESMA_COMMENT_</w:t>
      </w:r>
      <w:r w:rsidR="002039F0">
        <w:t>CP_GCRA</w:t>
      </w:r>
      <w:r w:rsidR="002039F0" w:rsidRPr="00176639">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486FD5" w:rsidP="00486FD5">
      <w:pPr>
        <w:pStyle w:val="Questionstyle"/>
      </w:pPr>
      <w:r w:rsidRPr="00486FD5">
        <w:lastRenderedPageBreak/>
        <w:t xml:space="preserve">Has ESMA captured all related costs and benefits </w:t>
      </w:r>
      <w:r>
        <w:t>in its analysis under Annex II?</w:t>
      </w:r>
    </w:p>
    <w:p w:rsidR="009A2624" w:rsidRDefault="00665C07" w:rsidP="009A2624">
      <w:r>
        <w:t>&lt;ESMA_QUESTION_C</w:t>
      </w:r>
      <w:r w:rsidR="009A2624">
        <w:t>P_</w:t>
      </w:r>
      <w:r w:rsidR="00486FD5">
        <w:t>GCRA</w:t>
      </w:r>
      <w:r w:rsidR="009A2624">
        <w:t>_1&gt;</w:t>
      </w:r>
    </w:p>
    <w:p w:rsidR="009A2624" w:rsidRPr="00001C24" w:rsidRDefault="00001C24" w:rsidP="00DF7C3F">
      <w:pPr>
        <w:jc w:val="both"/>
        <w:rPr>
          <w:rFonts w:cs="Arial"/>
          <w:szCs w:val="20"/>
        </w:rPr>
      </w:pPr>
      <w:permStart w:id="2068410418" w:edGrp="everyone"/>
      <w:r w:rsidRPr="00001C24">
        <w:rPr>
          <w:rFonts w:cs="Arial"/>
          <w:szCs w:val="20"/>
        </w:rPr>
        <w:t xml:space="preserve">Even though the ongoing costs of implementing these tests after a period of 4-5 </w:t>
      </w:r>
      <w:r w:rsidR="00DF7C3F" w:rsidRPr="00001C24">
        <w:rPr>
          <w:rFonts w:cs="Arial"/>
          <w:szCs w:val="20"/>
        </w:rPr>
        <w:t>years’</w:t>
      </w:r>
      <w:r w:rsidRPr="00001C24">
        <w:rPr>
          <w:rFonts w:cs="Arial"/>
          <w:szCs w:val="20"/>
        </w:rPr>
        <w:t xml:space="preserve"> </w:t>
      </w:r>
      <w:r w:rsidR="00DF7C3F">
        <w:rPr>
          <w:rFonts w:cs="Arial"/>
          <w:szCs w:val="20"/>
        </w:rPr>
        <w:t xml:space="preserve">work </w:t>
      </w:r>
      <w:r w:rsidRPr="00001C24">
        <w:rPr>
          <w:rFonts w:cs="Arial"/>
          <w:szCs w:val="20"/>
        </w:rPr>
        <w:t xml:space="preserve">after accreditation (assuming this is enough time to have sufficient data to run the statistical tests) for small and young </w:t>
      </w:r>
      <w:r w:rsidR="00DF7C3F">
        <w:rPr>
          <w:rFonts w:cs="Arial"/>
          <w:szCs w:val="20"/>
        </w:rPr>
        <w:t xml:space="preserve">credit rating </w:t>
      </w:r>
      <w:r w:rsidRPr="00001C24">
        <w:rPr>
          <w:rFonts w:cs="Arial"/>
          <w:szCs w:val="20"/>
        </w:rPr>
        <w:t xml:space="preserve">agencies </w:t>
      </w:r>
      <w:r w:rsidR="00DF7C3F">
        <w:rPr>
          <w:rFonts w:cs="Arial"/>
          <w:szCs w:val="20"/>
        </w:rPr>
        <w:t>would</w:t>
      </w:r>
      <w:r w:rsidRPr="00001C24">
        <w:rPr>
          <w:rFonts w:cs="Arial"/>
          <w:szCs w:val="20"/>
        </w:rPr>
        <w:t xml:space="preserve"> be bearable, the one-off cost would be </w:t>
      </w:r>
      <w:r w:rsidR="00DF7C3F">
        <w:rPr>
          <w:rFonts w:cs="Arial"/>
          <w:szCs w:val="20"/>
        </w:rPr>
        <w:t>rather</w:t>
      </w:r>
      <w:r w:rsidRPr="00001C24">
        <w:rPr>
          <w:rFonts w:cs="Arial"/>
          <w:szCs w:val="20"/>
        </w:rPr>
        <w:t xml:space="preserve"> high. F</w:t>
      </w:r>
      <w:r w:rsidR="00DF7C3F">
        <w:rPr>
          <w:rFonts w:cs="Arial"/>
          <w:szCs w:val="20"/>
        </w:rPr>
        <w:t xml:space="preserve">irst of all, an agency with insufficient </w:t>
      </w:r>
      <w:r w:rsidRPr="00001C24">
        <w:rPr>
          <w:rFonts w:cs="Arial"/>
          <w:szCs w:val="20"/>
        </w:rPr>
        <w:t xml:space="preserve">quantitative evidence would need to gather the enhanced data from public sources, and even this does not guarantee </w:t>
      </w:r>
      <w:r w:rsidR="00DF7C3F">
        <w:rPr>
          <w:rFonts w:cs="Arial"/>
          <w:szCs w:val="20"/>
        </w:rPr>
        <w:t xml:space="preserve">gathering sufficient </w:t>
      </w:r>
      <w:r w:rsidRPr="00001C24">
        <w:rPr>
          <w:rFonts w:cs="Arial"/>
          <w:szCs w:val="20"/>
        </w:rPr>
        <w:t>data to run the analytical models and the statistical tests (most of the models require substantial non-public information). Secondly, these data would need to be run many times through the analytical models in order to have enough scoring samples and defaults so the tests would be significant. With the estab</w:t>
      </w:r>
      <w:r w:rsidR="00DF7C3F">
        <w:rPr>
          <w:rFonts w:cs="Arial"/>
          <w:szCs w:val="20"/>
        </w:rPr>
        <w:t>lished infrastructure of a compact</w:t>
      </w:r>
      <w:r w:rsidRPr="00001C24">
        <w:rPr>
          <w:rFonts w:cs="Arial"/>
          <w:szCs w:val="20"/>
        </w:rPr>
        <w:t xml:space="preserve"> agency, the marginal cost of performing this one-off activity requires a substantial workforce and a significant amount of time.</w:t>
      </w:r>
    </w:p>
    <w:permEnd w:id="2068410418"/>
    <w:p w:rsidR="009A2624" w:rsidRDefault="00665C07" w:rsidP="009A2624">
      <w:r>
        <w:t>&lt;ESMA_QUESTION_C</w:t>
      </w:r>
      <w:r w:rsidR="009A2624">
        <w:t>P_</w:t>
      </w:r>
      <w:r w:rsidR="00486FD5">
        <w:t>GCRA</w:t>
      </w:r>
      <w:r w:rsidR="009A2624">
        <w:t>_1&gt;</w:t>
      </w:r>
    </w:p>
    <w:p w:rsidR="009A2624" w:rsidRDefault="009A2624" w:rsidP="009A2624"/>
    <w:p w:rsidR="009A2624" w:rsidRPr="007F44BF" w:rsidRDefault="00486FD5" w:rsidP="00486FD5">
      <w:pPr>
        <w:pStyle w:val="Questionstyle"/>
      </w:pPr>
      <w:r w:rsidRPr="00486FD5">
        <w:rPr>
          <w:lang w:val="en-US"/>
        </w:rPr>
        <w:t>Do you agree that it is appropriate to set out certain measures as ones that ESMA “typically expects”? If not, please explain why</w:t>
      </w:r>
      <w:r>
        <w:rPr>
          <w:lang w:val="en-US"/>
        </w:rPr>
        <w:t>.</w:t>
      </w:r>
    </w:p>
    <w:p w:rsidR="009A2624" w:rsidRDefault="00665C07" w:rsidP="009A2624">
      <w:r>
        <w:t>&lt;ESMA_QUESTION_C</w:t>
      </w:r>
      <w:r w:rsidR="009A2624">
        <w:t>P_</w:t>
      </w:r>
      <w:r w:rsidR="00486FD5" w:rsidRPr="00486FD5">
        <w:t>GCRA</w:t>
      </w:r>
      <w:r w:rsidR="009A2624">
        <w:t>_2&gt;</w:t>
      </w:r>
    </w:p>
    <w:p w:rsidR="009A2624" w:rsidRDefault="00001C24" w:rsidP="00DF7C3F">
      <w:pPr>
        <w:jc w:val="both"/>
      </w:pPr>
      <w:permStart w:id="181828949" w:edGrp="everyone"/>
      <w:r w:rsidRPr="00001C24">
        <w:t xml:space="preserve">We agree that there should be certain </w:t>
      </w:r>
      <w:r>
        <w:t xml:space="preserve">suggested </w:t>
      </w:r>
      <w:r w:rsidRPr="00001C24">
        <w:t>measures</w:t>
      </w:r>
      <w:r>
        <w:t xml:space="preserve"> in place</w:t>
      </w:r>
      <w:r w:rsidRPr="00001C24">
        <w:t xml:space="preserve"> in order to validate a methodology. However, </w:t>
      </w:r>
      <w:r>
        <w:t xml:space="preserve">after </w:t>
      </w:r>
      <w:r w:rsidRPr="00001C24">
        <w:t>going through the</w:t>
      </w:r>
      <w:r>
        <w:t xml:space="preserve"> “typically” expected measures we concluded that, when data enhancement is not feasible, </w:t>
      </w:r>
      <w:r w:rsidRPr="00001C24">
        <w:t xml:space="preserve">many rating assessments and defaults need to happen in order to be able to demonstrate </w:t>
      </w:r>
      <w:r w:rsidR="00DF7C3F">
        <w:t xml:space="preserve">the </w:t>
      </w:r>
      <w:r w:rsidRPr="00001C24">
        <w:t>discriminatory power. The suggested CAP and ROC measu</w:t>
      </w:r>
      <w:r>
        <w:t>res can only be performed with</w:t>
      </w:r>
      <w:r w:rsidRPr="00001C24">
        <w:t xml:space="preserve"> high amount of data and a minimum number of defaults in order for the tests to be relevant.</w:t>
      </w:r>
    </w:p>
    <w:permEnd w:id="181828949"/>
    <w:p w:rsidR="009A2624" w:rsidRDefault="00665C07" w:rsidP="009A2624">
      <w:r>
        <w:t>&lt;ESMA_QUESTION_C</w:t>
      </w:r>
      <w:r w:rsidR="009A2624">
        <w:t>P_</w:t>
      </w:r>
      <w:r w:rsidR="00486FD5" w:rsidRPr="00486FD5">
        <w:t>GCRA</w:t>
      </w:r>
      <w:r w:rsidR="009A2624">
        <w:t>_2&gt;</w:t>
      </w:r>
    </w:p>
    <w:p w:rsidR="009A2624" w:rsidRDefault="009A2624" w:rsidP="009A2624"/>
    <w:p w:rsidR="009A2624" w:rsidRDefault="002B6866" w:rsidP="002B6866">
      <w:pPr>
        <w:pStyle w:val="Questionstyle"/>
        <w:rPr>
          <w:rFonts w:cstheme="minorHAnsi"/>
        </w:rPr>
      </w:pPr>
      <w:r w:rsidRPr="002B6866">
        <w:t>Where a CRA diverges from measures ESMA typically expects to be used, do you agree that it should document its rationale and explain how it meets the regulatory requirements? If not, please explain why.</w:t>
      </w:r>
    </w:p>
    <w:p w:rsidR="009A2624" w:rsidRDefault="00665C07" w:rsidP="009A2624">
      <w:r>
        <w:t>&lt;ESMA_QUESTION_C</w:t>
      </w:r>
      <w:r w:rsidR="009A2624">
        <w:t>P_</w:t>
      </w:r>
      <w:r w:rsidR="002B6866" w:rsidRPr="002B6866">
        <w:t>GCRA</w:t>
      </w:r>
      <w:r w:rsidR="009A2624">
        <w:t>_3&gt;</w:t>
      </w:r>
    </w:p>
    <w:p w:rsidR="00001C24" w:rsidRDefault="00001C24" w:rsidP="00DF7C3F">
      <w:pPr>
        <w:jc w:val="both"/>
      </w:pPr>
      <w:permStart w:id="1937070689" w:edGrp="everyone"/>
      <w:r w:rsidRPr="00001C24">
        <w:t>Yes. Since small and young</w:t>
      </w:r>
      <w:r w:rsidR="001738CC">
        <w:t xml:space="preserve"> credit rating</w:t>
      </w:r>
      <w:r w:rsidRPr="00001C24">
        <w:t xml:space="preserve"> agencies don’t have enough data to perform the aforementioned tests and data enhancing is difficult to achieve for several methodologies given the non-public status of the information needed to test</w:t>
      </w:r>
      <w:r w:rsidR="00894459">
        <w:t xml:space="preserve"> and the amount of qualitative factors required in the models</w:t>
      </w:r>
      <w:r w:rsidRPr="00001C24">
        <w:t>, other methods shall be developed by the agencies and should be documented (e.g. stochastic sensitivity analyses).</w:t>
      </w:r>
    </w:p>
    <w:permEnd w:id="1937070689"/>
    <w:p w:rsidR="009A2624" w:rsidRDefault="00665C07" w:rsidP="009A2624">
      <w:r>
        <w:t>&lt;ESMA_QUESTION_C</w:t>
      </w:r>
      <w:r w:rsidR="009A2624">
        <w:t>P_</w:t>
      </w:r>
      <w:r w:rsidR="002B6866" w:rsidRPr="002B6866">
        <w:t>GCRA</w:t>
      </w:r>
      <w:r w:rsidR="009A2624">
        <w:t>_3&gt;</w:t>
      </w:r>
    </w:p>
    <w:p w:rsidR="009A2624" w:rsidRDefault="009A2624" w:rsidP="009A2624"/>
    <w:p w:rsidR="009A2624" w:rsidRPr="00B37C5D" w:rsidRDefault="002B6866" w:rsidP="002B6866">
      <w:pPr>
        <w:pStyle w:val="Questionstyle"/>
      </w:pPr>
      <w:r w:rsidRPr="002B6866">
        <w:rPr>
          <w:rFonts w:cstheme="minorHAnsi"/>
          <w:szCs w:val="22"/>
          <w:lang w:val="en-US"/>
        </w:rPr>
        <w:t>Do you agree that where a CRA does not use the CAP curve, the ROC curve should be added as an alternative measure that ESMA should typically expect? If not, please explain why</w:t>
      </w:r>
      <w:r>
        <w:rPr>
          <w:rFonts w:cstheme="minorHAnsi"/>
          <w:szCs w:val="22"/>
          <w:lang w:val="en-US"/>
        </w:rPr>
        <w:t>.</w:t>
      </w:r>
    </w:p>
    <w:p w:rsidR="009A2624" w:rsidRDefault="00665C07" w:rsidP="009A2624">
      <w:r>
        <w:t>&lt;ESMA_QUESTION_C</w:t>
      </w:r>
      <w:r w:rsidR="009A2624">
        <w:t>P_</w:t>
      </w:r>
      <w:r w:rsidR="002B6866" w:rsidRPr="002B6866">
        <w:t>GCRA</w:t>
      </w:r>
      <w:r w:rsidR="009A2624">
        <w:t>_4&gt;</w:t>
      </w:r>
    </w:p>
    <w:p w:rsidR="009A2624" w:rsidRDefault="00001C24" w:rsidP="001738CC">
      <w:pPr>
        <w:jc w:val="both"/>
      </w:pPr>
      <w:permStart w:id="699994330" w:edGrp="everyone"/>
      <w:r w:rsidRPr="00001C24">
        <w:t xml:space="preserve">From both measures one can derive the accuracy ratio, thus, the CRA </w:t>
      </w:r>
      <w:r w:rsidR="005B4084">
        <w:t>can</w:t>
      </w:r>
      <w:r w:rsidRPr="00001C24">
        <w:t xml:space="preserve"> be given the liberty to decide which one to use. </w:t>
      </w:r>
      <w:r w:rsidR="005B4084">
        <w:t xml:space="preserve">In </w:t>
      </w:r>
      <w:r w:rsidRPr="00001C24">
        <w:t>the Feedback Sta</w:t>
      </w:r>
      <w:r w:rsidR="005B4084">
        <w:t xml:space="preserve">tement ESMA acknowledges </w:t>
      </w:r>
      <w:r w:rsidRPr="00001C24">
        <w:t>the challenge of demonstrating discriminatory power in low probability of default methodologies or credit rating methodologies with limited quantitative evidence. In the proposed guidelines, ESMA provides some measures which CRAs may consider when assessing discriminato</w:t>
      </w:r>
      <w:r w:rsidR="005B4084">
        <w:t>ry power in these circumstances</w:t>
      </w:r>
      <w:r w:rsidRPr="00001C24">
        <w:t xml:space="preserve">. However, we didn’t </w:t>
      </w:r>
      <w:r w:rsidR="005B4084">
        <w:t>find</w:t>
      </w:r>
      <w:r w:rsidRPr="00001C24">
        <w:t xml:space="preserve"> any guidance in the Proposed Guidelines </w:t>
      </w:r>
      <w:r w:rsidR="005B4084" w:rsidRPr="005B4084">
        <w:t xml:space="preserve">which CRAs may consider when assessing discriminatory power </w:t>
      </w:r>
      <w:bookmarkStart w:id="3" w:name="_GoBack"/>
      <w:bookmarkEnd w:id="3"/>
      <w:r w:rsidRPr="00001C24">
        <w:t>of “low probability of default methodologies” with statistical tests. The low default rate of sovereign makes it impossible to use the CAP curve and the ROC curve. We think that creating transition matrices and benchmarking should be enough to validate low probability of default methodologies.</w:t>
      </w:r>
    </w:p>
    <w:permEnd w:id="699994330"/>
    <w:p w:rsidR="009A2624" w:rsidRDefault="00665C07" w:rsidP="009A2624">
      <w:r>
        <w:t>&lt;ESMA_QUESTION_C</w:t>
      </w:r>
      <w:r w:rsidR="009A2624">
        <w:t>P_</w:t>
      </w:r>
      <w:r w:rsidR="002B6866" w:rsidRPr="002B6866">
        <w:t>GCRA</w:t>
      </w:r>
      <w:r w:rsidR="009A2624">
        <w:t>_4&gt;</w:t>
      </w:r>
    </w:p>
    <w:p w:rsidR="009A2624" w:rsidRDefault="009A2624" w:rsidP="009A2624"/>
    <w:p w:rsidR="009A2624" w:rsidRDefault="002B6866" w:rsidP="002342EC">
      <w:pPr>
        <w:pStyle w:val="Questionstyle"/>
      </w:pPr>
      <w:r>
        <w:rPr>
          <w:lang w:val="nl-BE"/>
        </w:rPr>
        <w:t>Do you agree that ESMA should include a reference to qualitative measures under potential complementary measures? If not, please explain why.</w:t>
      </w:r>
    </w:p>
    <w:p w:rsidR="009A2624" w:rsidRDefault="00665C07" w:rsidP="009A2624">
      <w:r>
        <w:lastRenderedPageBreak/>
        <w:t>&lt;ESMA_QUESTION_C</w:t>
      </w:r>
      <w:r w:rsidR="009A2624">
        <w:t>P_</w:t>
      </w:r>
      <w:r w:rsidR="002B6866" w:rsidRPr="002B6866">
        <w:t>GCRA</w:t>
      </w:r>
      <w:r w:rsidR="009A2624">
        <w:t>_5&gt;</w:t>
      </w:r>
    </w:p>
    <w:p w:rsidR="009A2624" w:rsidRDefault="00001C24" w:rsidP="001738CC">
      <w:pPr>
        <w:jc w:val="both"/>
      </w:pPr>
      <w:permStart w:id="1412454667" w:edGrp="everyone"/>
      <w:r w:rsidRPr="00001C24">
        <w:t>Yes. However, the CRA should be free to decide which qualitative measure to use even if it is not included in the list.</w:t>
      </w:r>
    </w:p>
    <w:permEnd w:id="1412454667"/>
    <w:p w:rsidR="009A2624" w:rsidRDefault="00665C07" w:rsidP="009A2624">
      <w:r>
        <w:t>&lt;ESMA_QUESTION_C</w:t>
      </w:r>
      <w:r w:rsidR="009A2624">
        <w:t>P_</w:t>
      </w:r>
      <w:r w:rsidR="002B6866" w:rsidRPr="002B6866">
        <w:t>GCRA</w:t>
      </w:r>
      <w:r w:rsidR="009A2624">
        <w:t>_5&gt;</w:t>
      </w:r>
    </w:p>
    <w:p w:rsidR="009A2624" w:rsidRDefault="009A2624" w:rsidP="009A2624"/>
    <w:p w:rsidR="009A2624" w:rsidRPr="007F44BF" w:rsidRDefault="00416D8F" w:rsidP="00416D8F">
      <w:pPr>
        <w:pStyle w:val="Questionstyle"/>
      </w:pPr>
      <w:r w:rsidRPr="00416D8F">
        <w:rPr>
          <w:rFonts w:cs="Arial"/>
          <w:lang w:val="en-US"/>
        </w:rPr>
        <w:t>Do you agree that the Population / System Stability Index is more appropriate as a complementary measure? If not, please explain why.</w:t>
      </w:r>
    </w:p>
    <w:p w:rsidR="009A2624" w:rsidRDefault="00665C07" w:rsidP="009A2624">
      <w:r>
        <w:t>&lt;ESMA_QUESTION_C</w:t>
      </w:r>
      <w:r w:rsidR="009A2624">
        <w:t>P_</w:t>
      </w:r>
      <w:r w:rsidR="00416D8F" w:rsidRPr="00416D8F">
        <w:t>GCRA</w:t>
      </w:r>
      <w:r w:rsidR="009A2624">
        <w:t>_6&gt;</w:t>
      </w:r>
    </w:p>
    <w:p w:rsidR="009A2624" w:rsidRDefault="00001C24" w:rsidP="001738CC">
      <w:pPr>
        <w:jc w:val="both"/>
      </w:pPr>
      <w:permStart w:id="462291234" w:edGrp="everyone"/>
      <w:r w:rsidRPr="00001C24">
        <w:t>Yes. We think transition matrices should be the minimum requirement as they are not difficult to interpret, easy to build and from them it is also simple to derive further tests. However, the stability index is a very good test to perform in case we want to know how the population has changed over time and it is useful to make adjustments if the environment has drastically transformed.</w:t>
      </w:r>
    </w:p>
    <w:permEnd w:id="462291234"/>
    <w:p w:rsidR="009A2624" w:rsidRDefault="00665C07" w:rsidP="009A2624">
      <w:r>
        <w:t>&lt;ESMA_QUESTION_C</w:t>
      </w:r>
      <w:r w:rsidR="009A2624">
        <w:t>P_</w:t>
      </w:r>
      <w:r w:rsidR="00416D8F" w:rsidRPr="002B6866">
        <w:t>GCRA</w:t>
      </w:r>
      <w:r w:rsidR="009A2624">
        <w:t>_6&gt;</w:t>
      </w:r>
    </w:p>
    <w:p w:rsidR="009A2624" w:rsidRDefault="009A2624" w:rsidP="009A2624"/>
    <w:p w:rsidR="009A2624" w:rsidRPr="007F44BF" w:rsidRDefault="00DE63E9" w:rsidP="00DE63E9">
      <w:pPr>
        <w:pStyle w:val="Questionstyle"/>
      </w:pPr>
      <w:r w:rsidRPr="00DE63E9">
        <w:rPr>
          <w:rFonts w:cs="Arial"/>
          <w:lang w:val="en-US"/>
        </w:rPr>
        <w:t>Do you agree that where a CRA chooses to use data enhancement techniques it should be subject to verifying data quality and safeguarding the characteristics of the rated population, including its default rate? If not, please explain why.</w:t>
      </w:r>
    </w:p>
    <w:p w:rsidR="009A2624" w:rsidRDefault="00665C07" w:rsidP="009A2624">
      <w:r>
        <w:t>&lt;ESMA_QUESTION_C</w:t>
      </w:r>
      <w:r w:rsidR="009A2624">
        <w:t>P_</w:t>
      </w:r>
      <w:r w:rsidR="00DE63E9" w:rsidRPr="00DE63E9">
        <w:t>GCRA</w:t>
      </w:r>
      <w:r w:rsidR="009A2624">
        <w:t>_7&gt;</w:t>
      </w:r>
    </w:p>
    <w:p w:rsidR="00C97F3C" w:rsidRDefault="00C97F3C" w:rsidP="001738CC">
      <w:pPr>
        <w:jc w:val="both"/>
      </w:pPr>
      <w:permStart w:id="1726567625" w:edGrp="everyone"/>
      <w:r w:rsidRPr="00C97F3C">
        <w:t>Yes. However, first of all, data enhancement techniques are almost so</w:t>
      </w:r>
      <w:r w:rsidR="001738CC">
        <w:t>lely applicable to entities for</w:t>
      </w:r>
      <w:r w:rsidRPr="00C97F3C">
        <w:t xml:space="preserve"> which </w:t>
      </w:r>
      <w:r w:rsidR="001738CC">
        <w:t xml:space="preserve">the </w:t>
      </w:r>
      <w:r w:rsidRPr="00C97F3C">
        <w:t xml:space="preserve">data is publicly available and </w:t>
      </w:r>
      <w:r w:rsidR="001738CC">
        <w:t>assuming this</w:t>
      </w:r>
      <w:r w:rsidRPr="00C97F3C">
        <w:t xml:space="preserve"> data would be enough to run the analytical model. In order to test other methodologies for which publicly available data is not enough to run the models, one cannot use data enhancement as the majority of indicators used in our analytical models take into account non-public data. </w:t>
      </w:r>
    </w:p>
    <w:p w:rsidR="009A2624" w:rsidRDefault="00C97F3C" w:rsidP="001738CC">
      <w:pPr>
        <w:jc w:val="both"/>
      </w:pPr>
      <w:r w:rsidRPr="00C97F3C">
        <w:t xml:space="preserve">Secondly, even if data enhancement is possible, the analytical models are also based on qualitative information. This qualitative information needs to be fed to the model as well as the </w:t>
      </w:r>
      <w:r w:rsidR="00894459">
        <w:t>quantitative</w:t>
      </w:r>
      <w:r w:rsidRPr="00C97F3C">
        <w:t xml:space="preserve"> </w:t>
      </w:r>
      <w:r w:rsidR="00894459">
        <w:t>data</w:t>
      </w:r>
      <w:r w:rsidRPr="00C97F3C">
        <w:t>. Thus, by using historical data (data enhancement) the qualitative information input into the models will be biased towards macroeconomic and entity-specific events which already took place creating an artificial validation at the end.</w:t>
      </w:r>
    </w:p>
    <w:permEnd w:id="1726567625"/>
    <w:p w:rsidR="009A2624" w:rsidRDefault="00665C07" w:rsidP="009A2624">
      <w:r>
        <w:t>&lt;ESMA_QUESTION_C</w:t>
      </w:r>
      <w:r w:rsidR="009A2624">
        <w:t>P_</w:t>
      </w:r>
      <w:r w:rsidR="00DE63E9" w:rsidRPr="00DE63E9">
        <w:t>GCRA</w:t>
      </w:r>
      <w:r w:rsidR="009A2624">
        <w:t>_7&gt;</w:t>
      </w:r>
    </w:p>
    <w:p w:rsidR="009A2624" w:rsidRDefault="009A2624" w:rsidP="009A2624"/>
    <w:p w:rsidR="009A2624" w:rsidRPr="007F44BF" w:rsidRDefault="00021863" w:rsidP="00021863">
      <w:pPr>
        <w:pStyle w:val="Questionstyle"/>
      </w:pPr>
      <w:r w:rsidRPr="00021863">
        <w:rPr>
          <w:rFonts w:cs="Arial"/>
          <w:lang w:val="en-US"/>
        </w:rPr>
        <w:t>Do you agree that a CRA needs to adopt a consistent approach in setting thresholds for both qualitative and quantitative validation techniques? If not, please explain why.</w:t>
      </w:r>
    </w:p>
    <w:p w:rsidR="009A2624" w:rsidRDefault="00665C07" w:rsidP="009A2624">
      <w:r>
        <w:t>&lt;ESMA_QUESTION_C</w:t>
      </w:r>
      <w:r w:rsidR="009A2624">
        <w:t>P_</w:t>
      </w:r>
      <w:r w:rsidR="00021863" w:rsidRPr="00021863">
        <w:t>GCRA</w:t>
      </w:r>
      <w:r w:rsidR="009A2624">
        <w:t>_8&gt;</w:t>
      </w:r>
    </w:p>
    <w:p w:rsidR="00894459" w:rsidRDefault="00C97F3C" w:rsidP="001738CC">
      <w:pPr>
        <w:jc w:val="both"/>
      </w:pPr>
      <w:permStart w:id="1448301695" w:edGrp="everyone"/>
      <w:r>
        <w:t>For quantitative validation, yes. One needs to keep in mind, however, that measures of discriminatory power vary greatly over time. So one might have one threshold that triggers an in-depth analysis of anomalies and another threshold that is exceeded repeatedly, in order to revise the rating methodology.</w:t>
      </w:r>
    </w:p>
    <w:p w:rsidR="009A2624" w:rsidRDefault="00C97F3C" w:rsidP="001738CC">
      <w:pPr>
        <w:jc w:val="both"/>
      </w:pPr>
      <w:r>
        <w:t>Nonetheless, it is complicated to establish thresholds for qualitative techniques. For qualitative techniques it would be better to establish well-defined processes and guidance as to recognize different types of performances.</w:t>
      </w:r>
    </w:p>
    <w:permEnd w:id="1448301695"/>
    <w:p w:rsidR="00BE3CE5" w:rsidRDefault="00665C07" w:rsidP="009A2624">
      <w:r>
        <w:t>&lt;ESMA_QUESTION_C</w:t>
      </w:r>
      <w:r w:rsidR="009A2624">
        <w:t>P_</w:t>
      </w:r>
      <w:r w:rsidR="00021863" w:rsidRPr="00021863">
        <w:t>GCRA</w:t>
      </w:r>
      <w:r w:rsidR="009A2624">
        <w:t>_8&gt;</w:t>
      </w:r>
    </w:p>
    <w:sectPr w:rsidR="00BE3CE5"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DCE" w:rsidRDefault="000D7DCE">
      <w:r>
        <w:separator/>
      </w:r>
    </w:p>
    <w:p w:rsidR="000D7DCE" w:rsidRDefault="000D7DCE"/>
  </w:endnote>
  <w:endnote w:type="continuationSeparator" w:id="0">
    <w:p w:rsidR="000D7DCE" w:rsidRDefault="000D7DCE">
      <w:r>
        <w:continuationSeparator/>
      </w:r>
    </w:p>
    <w:p w:rsidR="000D7DCE" w:rsidRDefault="000D7DCE"/>
  </w:endnote>
  <w:endnote w:type="continuationNotice" w:id="1">
    <w:p w:rsidR="000D7DCE" w:rsidRDefault="000D7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D7260B">
            <w:rPr>
              <w:rFonts w:cs="Arial"/>
              <w:noProof/>
              <w:sz w:val="22"/>
              <w:szCs w:val="22"/>
            </w:rPr>
            <w:t>4</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DCE" w:rsidRDefault="000D7DCE">
      <w:r>
        <w:separator/>
      </w:r>
    </w:p>
    <w:p w:rsidR="000D7DCE" w:rsidRDefault="000D7DCE"/>
  </w:footnote>
  <w:footnote w:type="continuationSeparator" w:id="0">
    <w:p w:rsidR="000D7DCE" w:rsidRDefault="000D7DCE">
      <w:r>
        <w:continuationSeparator/>
      </w:r>
    </w:p>
    <w:p w:rsidR="000D7DCE" w:rsidRDefault="000D7DCE"/>
  </w:footnote>
  <w:footnote w:type="continuationNotice" w:id="1">
    <w:p w:rsidR="000D7DCE" w:rsidRDefault="000D7D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756A61F"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val="en-US" w:eastAsia="en-US"/>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6B8648A"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5"/>
  </w:num>
  <w:num w:numId="36">
    <w:abstractNumId w:val="34"/>
  </w:num>
  <w:num w:numId="37">
    <w:abstractNumId w:val="12"/>
  </w:num>
  <w:num w:numId="38">
    <w:abstractNumId w:val="3"/>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ZmPaoLqlIyYZSr9rr5KrU2rjtCcrwTnHSiplMDHo0ClHkmvdSB/ssT57Q2drnN+l0oymhXTX6MK3eG055hWr7Q==" w:salt="2xB6cqK0fyTq4mdS6pZEG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1C24"/>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863"/>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3EB"/>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469A"/>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DCE"/>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8CC"/>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222"/>
    <w:rsid w:val="001B0363"/>
    <w:rsid w:val="001B1355"/>
    <w:rsid w:val="001B3138"/>
    <w:rsid w:val="001B4E4B"/>
    <w:rsid w:val="001B50AC"/>
    <w:rsid w:val="001B5E05"/>
    <w:rsid w:val="001B6C12"/>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39F0"/>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149"/>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6866"/>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4CB1"/>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1D3"/>
    <w:rsid w:val="003C6E49"/>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6D8F"/>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6FD5"/>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4681"/>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34B4"/>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084"/>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4DF"/>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27BF"/>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4459"/>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4A2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6EF"/>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324"/>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9C1"/>
    <w:rsid w:val="00B03CE2"/>
    <w:rsid w:val="00B06544"/>
    <w:rsid w:val="00B105F2"/>
    <w:rsid w:val="00B10991"/>
    <w:rsid w:val="00B12128"/>
    <w:rsid w:val="00B12945"/>
    <w:rsid w:val="00B12C1E"/>
    <w:rsid w:val="00B155DF"/>
    <w:rsid w:val="00B156CF"/>
    <w:rsid w:val="00B1570E"/>
    <w:rsid w:val="00B15999"/>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6B"/>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3CE5"/>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7F3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3024"/>
    <w:rsid w:val="00CF4471"/>
    <w:rsid w:val="00CF51C0"/>
    <w:rsid w:val="00CF5B2A"/>
    <w:rsid w:val="00CF5B86"/>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271E"/>
    <w:rsid w:val="00D63093"/>
    <w:rsid w:val="00D63599"/>
    <w:rsid w:val="00D63EBD"/>
    <w:rsid w:val="00D67101"/>
    <w:rsid w:val="00D71B45"/>
    <w:rsid w:val="00D71F8A"/>
    <w:rsid w:val="00D7260B"/>
    <w:rsid w:val="00D75603"/>
    <w:rsid w:val="00D75FEE"/>
    <w:rsid w:val="00D76933"/>
    <w:rsid w:val="00D76D88"/>
    <w:rsid w:val="00D77CC9"/>
    <w:rsid w:val="00D83D4B"/>
    <w:rsid w:val="00D871C6"/>
    <w:rsid w:val="00D875F8"/>
    <w:rsid w:val="00D91010"/>
    <w:rsid w:val="00D91D2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3E9"/>
    <w:rsid w:val="00DE64A6"/>
    <w:rsid w:val="00DE66EB"/>
    <w:rsid w:val="00DE7035"/>
    <w:rsid w:val="00DF12E3"/>
    <w:rsid w:val="00DF2E8E"/>
    <w:rsid w:val="00DF3F1D"/>
    <w:rsid w:val="00DF595C"/>
    <w:rsid w:val="00DF7C3F"/>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81EEED4D-1ACA-437D-BEE9-430B56C1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ESMA71-1154262120-36</_dlc_DocId>
    <_dlc_DocIdUrl xmlns="04e156a7-4389-4348-bdc5-772e1b15193f">
      <Url>http://sherpa.esma.europa.eu/sites/COM/_layouts/15/DocIdRedir.aspx?ID=ESMA71-1154262120-36</Url>
      <Description>ESMA71-1154262120-36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0BA45-44F3-426B-B81E-2B500873AA7E}">
  <ds:schemaRefs>
    <ds:schemaRef ds:uri="http://schemas.microsoft.com/sharepoint/v3/contenttype/forms"/>
  </ds:schemaRefs>
</ds:datastoreItem>
</file>

<file path=customXml/itemProps2.xml><?xml version="1.0" encoding="utf-8"?>
<ds:datastoreItem xmlns:ds="http://schemas.openxmlformats.org/officeDocument/2006/customXml" ds:itemID="{D158AB98-E1CF-4DDA-BE89-907EBDA95291}">
  <ds:schemaRefs>
    <ds:schemaRef ds:uri="http://schemas.microsoft.com/office/2006/metadata/properties"/>
    <ds:schemaRef ds:uri="http://schemas.microsoft.com/office/infopath/2007/PartnerControls"/>
    <ds:schemaRef ds:uri="04e156a7-4389-4348-bdc5-772e1b15193f"/>
  </ds:schemaRefs>
</ds:datastoreItem>
</file>

<file path=customXml/itemProps3.xml><?xml version="1.0" encoding="utf-8"?>
<ds:datastoreItem xmlns:ds="http://schemas.openxmlformats.org/officeDocument/2006/customXml" ds:itemID="{A1974D82-EB57-40C1-B963-40E5BD9EC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3DA14-2B04-4992-A3D0-284ED5ED88CC}">
  <ds:schemaRefs>
    <ds:schemaRef ds:uri="http://schemas.microsoft.com/sharepoint/events"/>
  </ds:schemaRefs>
</ds:datastoreItem>
</file>

<file path=customXml/itemProps5.xml><?xml version="1.0" encoding="utf-8"?>
<ds:datastoreItem xmlns:ds="http://schemas.openxmlformats.org/officeDocument/2006/customXml" ds:itemID="{E8388ED5-AD0E-4682-9358-223E6B380EA8}">
  <ds:schemaRefs>
    <ds:schemaRef ds:uri="http://schemas.openxmlformats.org/officeDocument/2006/bibliography"/>
  </ds:schemaRefs>
</ds:datastoreItem>
</file>

<file path=customXml/itemProps6.xml><?xml version="1.0" encoding="utf-8"?>
<ds:datastoreItem xmlns:ds="http://schemas.openxmlformats.org/officeDocument/2006/customXml" ds:itemID="{77748246-8F39-4D3C-B3AE-2FE2DFEA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1372</Words>
  <Characters>7821</Characters>
  <Application>Microsoft Office Word</Application>
  <DocSecurity>8</DocSecurity>
  <Lines>65</Lines>
  <Paragraphs>18</Paragraphs>
  <ScaleCrop>false</ScaleCrop>
  <HeadingPairs>
    <vt:vector size="12" baseType="variant">
      <vt:variant>
        <vt:lpstr>Title</vt:lpstr>
      </vt:variant>
      <vt:variant>
        <vt:i4>1</vt:i4>
      </vt:variant>
      <vt:variant>
        <vt:lpstr>Название</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ESEF CP</vt:lpstr>
      <vt:lpstr>Reply form for the ESEF CP</vt:lpstr>
      <vt:lpstr>20110000</vt:lpstr>
      <vt:lpstr>20110000</vt:lpstr>
      <vt:lpstr>20110000</vt:lpstr>
      <vt:lpstr>20110000</vt:lpstr>
    </vt:vector>
  </TitlesOfParts>
  <Company>ESMA</Company>
  <LinksUpToDate>false</LinksUpToDate>
  <CharactersWithSpaces>9175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Grishankova Svetlana</cp:lastModifiedBy>
  <cp:revision>7</cp:revision>
  <cp:lastPrinted>2015-02-18T11:01:00Z</cp:lastPrinted>
  <dcterms:created xsi:type="dcterms:W3CDTF">2016-08-18T15:03:00Z</dcterms:created>
  <dcterms:modified xsi:type="dcterms:W3CDTF">2016-08-18T15:57:00Z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a678ce81-37be-4fbf-a8c5-8fd5f81dec37</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