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824486" w:rsidP="007C3918">
            <w:pPr>
              <w:pStyle w:val="00bDBInfo"/>
              <w:rPr>
                <w:rFonts w:cs="Arial"/>
              </w:rPr>
            </w:pPr>
            <w:r>
              <w:rPr>
                <w:rFonts w:cs="Arial"/>
              </w:rPr>
              <w:t>6</w:t>
            </w:r>
            <w:r w:rsidR="00836CDF">
              <w:rPr>
                <w:rFonts w:cs="Arial"/>
              </w:rPr>
              <w:t xml:space="preserve"> April</w:t>
            </w:r>
            <w:r w:rsidR="007C3918">
              <w:rPr>
                <w:rFonts w:cs="Arial"/>
              </w:rPr>
              <w:t xml:space="preserve"> </w:t>
            </w:r>
            <w:r w:rsidR="006F4B04" w:rsidRPr="004E49B0">
              <w:rPr>
                <w:rFonts w:cs="Arial"/>
              </w:rPr>
              <w:t>20</w:t>
            </w:r>
            <w:r w:rsidR="003A5DAC">
              <w:rPr>
                <w:rFonts w:cs="Arial"/>
              </w:rPr>
              <w:t>1</w:t>
            </w:r>
            <w:r w:rsidR="007C3918">
              <w:rPr>
                <w:rFonts w:cs="Arial"/>
              </w:rPr>
              <w:t>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rsidR="00791EB4" w:rsidRPr="009A053D" w:rsidRDefault="009C6CE1" w:rsidP="00051F83">
            <w:pPr>
              <w:pStyle w:val="01aDBTitle"/>
              <w:rPr>
                <w:rFonts w:cs="Arial"/>
                <w:sz w:val="32"/>
              </w:rPr>
            </w:pPr>
            <w:r w:rsidRPr="009C6CE1">
              <w:rPr>
                <w:rFonts w:cs="Arial"/>
                <w:sz w:val="32"/>
              </w:rPr>
              <w:t xml:space="preserve">Discussion Paper </w:t>
            </w:r>
            <w:r>
              <w:rPr>
                <w:rFonts w:cs="Arial"/>
                <w:sz w:val="32"/>
              </w:rPr>
              <w:t xml:space="preserve">on </w:t>
            </w:r>
            <w:r w:rsidR="00051F83">
              <w:rPr>
                <w:rFonts w:cs="Arial"/>
                <w:sz w:val="32"/>
              </w:rPr>
              <w:t>Share Classes</w:t>
            </w:r>
          </w:p>
        </w:tc>
      </w:tr>
      <w:tr w:rsidR="00060F72" w:rsidRPr="00616B9B" w:rsidTr="00B835D5">
        <w:trPr>
          <w:trHeight w:hRule="exact" w:val="605"/>
        </w:trPr>
        <w:tc>
          <w:tcPr>
            <w:tcW w:w="9397" w:type="dxa"/>
            <w:tcMar>
              <w:top w:w="142" w:type="dxa"/>
            </w:tcMar>
          </w:tcPr>
          <w:p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even" r:id="rId10"/>
          <w:headerReference w:type="default" r:id="rId11"/>
          <w:footerReference w:type="even" r:id="rId12"/>
          <w:footerReference w:type="default" r:id="rId13"/>
          <w:headerReference w:type="first" r:id="rId14"/>
          <w:foot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176639" w:rsidRDefault="00620D7C" w:rsidP="00824486">
            <w:pPr>
              <w:pStyle w:val="02Date"/>
              <w:rPr>
                <w:rFonts w:cs="Arial"/>
                <w:highlight w:val="red"/>
              </w:rPr>
            </w:pPr>
            <w:r w:rsidRPr="007C3918">
              <w:rPr>
                <w:rFonts w:cs="Arial"/>
              </w:rPr>
              <w:lastRenderedPageBreak/>
              <w:t>Date</w:t>
            </w:r>
            <w:r w:rsidR="007C3918" w:rsidRPr="007C3918">
              <w:rPr>
                <w:rFonts w:cs="Arial"/>
              </w:rPr>
              <w:t xml:space="preserve">: </w:t>
            </w:r>
            <w:r w:rsidR="00824486">
              <w:rPr>
                <w:rFonts w:cs="Arial"/>
              </w:rPr>
              <w:t>6</w:t>
            </w:r>
            <w:r w:rsidR="00A70AF5">
              <w:rPr>
                <w:rFonts w:cs="Arial"/>
              </w:rPr>
              <w:t xml:space="preserve"> April</w:t>
            </w:r>
            <w:r w:rsidR="007C3918" w:rsidRPr="007C3918">
              <w:rPr>
                <w:rFonts w:cs="Arial"/>
              </w:rPr>
              <w:t xml:space="preserve"> 2016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0514CA">
        <w:rPr>
          <w:rFonts w:cs="Arial"/>
        </w:rPr>
        <w:t xml:space="preserve">the </w:t>
      </w:r>
      <w:r w:rsidR="00A70AF5" w:rsidRPr="00A70AF5">
        <w:rPr>
          <w:rFonts w:cs="Arial"/>
        </w:rPr>
        <w:t>Discussion Paper on Share Classes</w:t>
      </w:r>
      <w:r w:rsidR="00A70AF5">
        <w:rPr>
          <w:rFonts w:cs="Arial"/>
        </w:rPr>
        <w:t xml:space="preserve"> (SC)</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176639" w:rsidRDefault="00F574D0" w:rsidP="00F574D0">
      <w:pPr>
        <w:autoSpaceDE w:val="0"/>
        <w:autoSpaceDN w:val="0"/>
        <w:adjustRightInd w:val="0"/>
        <w:spacing w:before="120" w:after="120" w:line="276" w:lineRule="auto"/>
        <w:jc w:val="both"/>
        <w:rPr>
          <w:rStyle w:val="Strong4"/>
          <w:rFonts w:cs="Arial"/>
          <w:i/>
        </w:rPr>
      </w:pPr>
      <w:r w:rsidRPr="00176639">
        <w:rPr>
          <w:rStyle w:val="Strong4"/>
          <w:rFonts w:cs="Arial"/>
          <w:i/>
        </w:rPr>
        <w:t>Instructions</w:t>
      </w:r>
    </w:p>
    <w:p w:rsidR="00F574D0" w:rsidRPr="00176639" w:rsidRDefault="00D75FEE" w:rsidP="00F574D0">
      <w:pPr>
        <w:pStyle w:val="04BodyText"/>
        <w:spacing w:before="120" w:after="120"/>
        <w:rPr>
          <w:rFonts w:cs="Arial"/>
        </w:rPr>
      </w:pPr>
      <w:r w:rsidRPr="00176639">
        <w:rPr>
          <w:rFonts w:cs="Arial"/>
        </w:rPr>
        <w:t>Please note that, in order to facilitate the analysis of the large number of responses expected, you are requested to use this file to send your response to ESMA so as to allow us to process it properly. Ther</w:t>
      </w:r>
      <w:r w:rsidRPr="00176639">
        <w:rPr>
          <w:rFonts w:cs="Arial"/>
        </w:rPr>
        <w:t>e</w:t>
      </w:r>
      <w:r w:rsidRPr="00176639">
        <w:rPr>
          <w:rFonts w:cs="Arial"/>
        </w:rPr>
        <w:t xml:space="preserve">fore, </w:t>
      </w:r>
      <w:r w:rsidR="00332304" w:rsidRPr="00176639">
        <w:rPr>
          <w:rFonts w:cs="Arial"/>
        </w:rPr>
        <w:t xml:space="preserve">ESMA will only be able to consider responses which follow the instructions described </w:t>
      </w:r>
      <w:r w:rsidRPr="00176639">
        <w:rPr>
          <w:rFonts w:cs="Arial"/>
        </w:rPr>
        <w:t>below</w:t>
      </w:r>
      <w:r w:rsidR="00F574D0" w:rsidRPr="00176639">
        <w:rPr>
          <w:rFonts w:cs="Arial"/>
        </w:rPr>
        <w:t>:</w:t>
      </w:r>
    </w:p>
    <w:p w:rsidR="00F574D0" w:rsidRPr="00176639" w:rsidRDefault="00F574D0" w:rsidP="00573871">
      <w:pPr>
        <w:pStyle w:val="04bList"/>
        <w:numPr>
          <w:ilvl w:val="0"/>
          <w:numId w:val="32"/>
        </w:numPr>
        <w:spacing w:before="120" w:after="120"/>
        <w:rPr>
          <w:rFonts w:cs="Arial"/>
        </w:rPr>
      </w:pPr>
      <w:r w:rsidRPr="00176639">
        <w:rPr>
          <w:rFonts w:cs="Arial"/>
        </w:rPr>
        <w:t xml:space="preserve">use </w:t>
      </w:r>
      <w:r w:rsidR="00332304" w:rsidRPr="00176639">
        <w:rPr>
          <w:rFonts w:cs="Arial"/>
        </w:rPr>
        <w:t>this form</w:t>
      </w:r>
      <w:r w:rsidR="00955F48" w:rsidRPr="00176639">
        <w:rPr>
          <w:rFonts w:cs="Arial"/>
        </w:rPr>
        <w:t xml:space="preserve"> and send </w:t>
      </w:r>
      <w:r w:rsidR="00332304" w:rsidRPr="00176639">
        <w:rPr>
          <w:rFonts w:cs="Arial"/>
        </w:rPr>
        <w:t>your</w:t>
      </w:r>
      <w:r w:rsidR="00955F48" w:rsidRPr="00176639">
        <w:rPr>
          <w:rFonts w:cs="Arial"/>
        </w:rPr>
        <w:t xml:space="preserve"> responses in Word format (pdf documents will not be considered e</w:t>
      </w:r>
      <w:r w:rsidR="00955F48" w:rsidRPr="00176639">
        <w:rPr>
          <w:rFonts w:cs="Arial"/>
        </w:rPr>
        <w:t>x</w:t>
      </w:r>
      <w:r w:rsidR="00955F48" w:rsidRPr="00176639">
        <w:rPr>
          <w:rFonts w:cs="Arial"/>
        </w:rPr>
        <w:t>cept for annexes);</w:t>
      </w:r>
    </w:p>
    <w:p w:rsidR="00F574D0" w:rsidRPr="00176639" w:rsidRDefault="00D75FEE" w:rsidP="00BF557C">
      <w:pPr>
        <w:pStyle w:val="04bList"/>
        <w:numPr>
          <w:ilvl w:val="0"/>
          <w:numId w:val="32"/>
        </w:numPr>
        <w:spacing w:before="120" w:after="120"/>
        <w:rPr>
          <w:rFonts w:cs="Arial"/>
        </w:rPr>
      </w:pPr>
      <w:r w:rsidRPr="00176639">
        <w:rPr>
          <w:rFonts w:cs="Arial"/>
        </w:rPr>
        <w:t xml:space="preserve">do </w:t>
      </w:r>
      <w:r w:rsidR="00F574D0" w:rsidRPr="00176639">
        <w:rPr>
          <w:rFonts w:cs="Arial"/>
        </w:rPr>
        <w:t>not remove the tags of type &lt;</w:t>
      </w:r>
      <w:r w:rsidR="00A10776" w:rsidRPr="00176639">
        <w:t xml:space="preserve"> </w:t>
      </w:r>
      <w:r w:rsidR="00BF557C" w:rsidRPr="00176639">
        <w:rPr>
          <w:rFonts w:cs="Arial"/>
        </w:rPr>
        <w:t>ESMA_QUESTION_</w:t>
      </w:r>
      <w:r w:rsidR="00AD0B9C">
        <w:t>DP_</w:t>
      </w:r>
      <w:r w:rsidR="000514CA">
        <w:t>SC</w:t>
      </w:r>
      <w:r w:rsidR="00E9344E" w:rsidRPr="00176639">
        <w:rPr>
          <w:rFonts w:cs="Arial"/>
        </w:rPr>
        <w:t>_</w:t>
      </w:r>
      <w:r w:rsidR="00F574D0" w:rsidRPr="00176639">
        <w:rPr>
          <w:rFonts w:cs="Arial"/>
        </w:rPr>
        <w:t>1&gt; - i.e. the response to one que</w:t>
      </w:r>
      <w:r w:rsidR="00F574D0" w:rsidRPr="00176639">
        <w:rPr>
          <w:rFonts w:cs="Arial"/>
        </w:rPr>
        <w:t>s</w:t>
      </w:r>
      <w:r w:rsidR="00F574D0" w:rsidRPr="00176639">
        <w:rPr>
          <w:rFonts w:cs="Arial"/>
        </w:rPr>
        <w:t>tion has to be framed by the 2 tags corresponding to the question; and</w:t>
      </w:r>
    </w:p>
    <w:p w:rsidR="00F574D0" w:rsidRPr="00176639" w:rsidRDefault="00F574D0" w:rsidP="00573871">
      <w:pPr>
        <w:pStyle w:val="04bList"/>
        <w:numPr>
          <w:ilvl w:val="0"/>
          <w:numId w:val="32"/>
        </w:numPr>
        <w:spacing w:before="120" w:after="120"/>
        <w:rPr>
          <w:rFonts w:cs="Arial"/>
        </w:rPr>
      </w:pPr>
      <w:r w:rsidRPr="00176639">
        <w:rPr>
          <w:rFonts w:cs="Arial"/>
        </w:rPr>
        <w:t xml:space="preserve">if </w:t>
      </w:r>
      <w:r w:rsidR="00D75FEE" w:rsidRPr="00176639">
        <w:rPr>
          <w:rFonts w:cs="Arial"/>
        </w:rPr>
        <w:t>you do not have a</w:t>
      </w:r>
      <w:r w:rsidRPr="00176639">
        <w:rPr>
          <w:rFonts w:cs="Arial"/>
        </w:rPr>
        <w:t xml:space="preserve"> response to a question, </w:t>
      </w:r>
      <w:r w:rsidR="00D75FEE" w:rsidRPr="00176639">
        <w:rPr>
          <w:rFonts w:cs="Arial"/>
        </w:rPr>
        <w:t xml:space="preserve">do </w:t>
      </w:r>
      <w:r w:rsidRPr="00176639">
        <w:rPr>
          <w:rFonts w:cs="Arial"/>
        </w:rPr>
        <w:t>not delete it and leave the text “TYPE YOUR TEXT HERE” between the tags.</w:t>
      </w:r>
    </w:p>
    <w:p w:rsidR="00F574D0" w:rsidRPr="00176639" w:rsidRDefault="00F574D0" w:rsidP="00F574D0">
      <w:pPr>
        <w:pStyle w:val="04bList"/>
        <w:numPr>
          <w:ilvl w:val="0"/>
          <w:numId w:val="0"/>
        </w:numPr>
        <w:spacing w:before="120" w:after="120"/>
        <w:rPr>
          <w:rFonts w:cs="Arial"/>
        </w:rPr>
      </w:pPr>
      <w:r w:rsidRPr="00176639">
        <w:rPr>
          <w:rFonts w:cs="Arial"/>
        </w:rPr>
        <w:t>Responses are most helpful:</w:t>
      </w:r>
    </w:p>
    <w:p w:rsidR="00F574D0" w:rsidRPr="00176639" w:rsidRDefault="00F574D0" w:rsidP="00573871">
      <w:pPr>
        <w:pStyle w:val="04bList"/>
        <w:numPr>
          <w:ilvl w:val="0"/>
          <w:numId w:val="33"/>
        </w:numPr>
        <w:spacing w:before="120" w:after="120"/>
        <w:rPr>
          <w:rFonts w:cs="Arial"/>
        </w:rPr>
      </w:pPr>
      <w:r w:rsidRPr="0017663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176639">
        <w:rPr>
          <w:rFonts w:cs="Arial"/>
        </w:rPr>
        <w:t>contain a clear rationale, including on any related costs and</w:t>
      </w:r>
      <w:r w:rsidRPr="00EF0769">
        <w:rPr>
          <w:rFonts w:cs="Arial"/>
        </w:rPr>
        <w:t xml:space="preserve">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7F3CFC" w:rsidRDefault="00606240" w:rsidP="000D17AA">
      <w:pPr>
        <w:pStyle w:val="04BodyText"/>
        <w:spacing w:before="120" w:after="120"/>
        <w:jc w:val="left"/>
        <w:rPr>
          <w:rFonts w:cs="Arial"/>
          <w:b/>
          <w:i/>
        </w:rPr>
      </w:pPr>
      <w:r w:rsidRPr="007F3CFC">
        <w:rPr>
          <w:rFonts w:cs="Arial"/>
          <w:b/>
          <w:i/>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AD0B9C" w:rsidRDefault="00021E83" w:rsidP="000D17AA">
      <w:pPr>
        <w:pStyle w:val="04BodyText"/>
        <w:spacing w:before="120" w:after="120"/>
        <w:jc w:val="left"/>
        <w:rPr>
          <w:rFonts w:cs="Arial"/>
        </w:rPr>
      </w:pPr>
      <w:r w:rsidRPr="00AD0B9C">
        <w:rPr>
          <w:rFonts w:cs="Arial"/>
        </w:rPr>
        <w:t>ESMA_</w:t>
      </w:r>
      <w:r w:rsidR="00AD0B9C" w:rsidRPr="00AD0B9C">
        <w:t>DP_</w:t>
      </w:r>
      <w:r w:rsidR="000514CA">
        <w:t>SC</w:t>
      </w:r>
      <w:r w:rsidR="008701E5" w:rsidRPr="00AD0B9C">
        <w:rPr>
          <w:rFonts w:cs="Arial"/>
        </w:rPr>
        <w:t xml:space="preserve"> </w:t>
      </w:r>
      <w:r w:rsidRPr="00AD0B9C">
        <w:rPr>
          <w:rFonts w:cs="Arial"/>
        </w:rPr>
        <w:t>_NAMEOFCOMPANY_NAMEOFDOCUMENT</w:t>
      </w:r>
      <w:r w:rsidR="000D17AA" w:rsidRPr="00AD0B9C">
        <w:rPr>
          <w:rFonts w:cs="Arial"/>
        </w:rPr>
        <w:t>.</w:t>
      </w:r>
    </w:p>
    <w:p w:rsidR="00021E83" w:rsidRPr="00AD0B9C" w:rsidRDefault="000D17AA" w:rsidP="000D17AA">
      <w:pPr>
        <w:pStyle w:val="04BodyText"/>
        <w:spacing w:before="120" w:after="120"/>
        <w:jc w:val="left"/>
        <w:rPr>
          <w:rFonts w:cs="Arial"/>
        </w:rPr>
      </w:pPr>
      <w:r w:rsidRPr="00AD0B9C">
        <w:rPr>
          <w:rFonts w:cs="Arial"/>
        </w:rPr>
        <w:t xml:space="preserve">E.g. if the respondent were </w:t>
      </w:r>
      <w:r w:rsidR="00BF557C" w:rsidRPr="00AD0B9C">
        <w:rPr>
          <w:rFonts w:cs="Arial"/>
        </w:rPr>
        <w:t>XXXX</w:t>
      </w:r>
      <w:r w:rsidRPr="00AD0B9C">
        <w:rPr>
          <w:rFonts w:cs="Arial"/>
        </w:rPr>
        <w:t xml:space="preserve">, the </w:t>
      </w:r>
      <w:r w:rsidR="00021E83" w:rsidRPr="00AD0B9C">
        <w:rPr>
          <w:rFonts w:cs="Arial"/>
        </w:rPr>
        <w:t>name of the reply form would be:</w:t>
      </w:r>
    </w:p>
    <w:p w:rsidR="00021E83" w:rsidRPr="00AD0B9C" w:rsidRDefault="00BF557C" w:rsidP="000D17AA">
      <w:pPr>
        <w:pStyle w:val="04BodyText"/>
        <w:spacing w:before="120" w:after="120"/>
        <w:jc w:val="left"/>
        <w:rPr>
          <w:rFonts w:cs="Arial"/>
        </w:rPr>
      </w:pPr>
      <w:r w:rsidRPr="00AD0B9C">
        <w:rPr>
          <w:rFonts w:cs="Arial"/>
        </w:rPr>
        <w:t>ESMA_</w:t>
      </w:r>
      <w:r w:rsidR="00AD0B9C" w:rsidRPr="00AD0B9C">
        <w:t>DP_</w:t>
      </w:r>
      <w:r w:rsidR="000514CA">
        <w:t>SC</w:t>
      </w:r>
      <w:r w:rsidR="00AD0B9C" w:rsidRPr="00AD0B9C">
        <w:rPr>
          <w:rFonts w:cs="Arial"/>
        </w:rPr>
        <w:t xml:space="preserve"> </w:t>
      </w:r>
      <w:r w:rsidR="00332304" w:rsidRPr="00AD0B9C">
        <w:rPr>
          <w:rFonts w:cs="Arial"/>
        </w:rPr>
        <w:t>_</w:t>
      </w:r>
      <w:r w:rsidRPr="00AD0B9C">
        <w:rPr>
          <w:rFonts w:cs="Arial"/>
        </w:rPr>
        <w:t>XXXX</w:t>
      </w:r>
      <w:r w:rsidR="00021E83" w:rsidRPr="00AD0B9C">
        <w:rPr>
          <w:rFonts w:cs="Arial"/>
        </w:rPr>
        <w:t xml:space="preserve">_REPLYFORM or </w:t>
      </w:r>
    </w:p>
    <w:p w:rsidR="000D17AA" w:rsidRPr="00EF0769" w:rsidRDefault="00BF557C" w:rsidP="000D17AA">
      <w:pPr>
        <w:pStyle w:val="04BodyText"/>
        <w:spacing w:before="120" w:after="120"/>
        <w:jc w:val="left"/>
        <w:rPr>
          <w:rFonts w:cs="Arial"/>
        </w:rPr>
      </w:pPr>
      <w:r w:rsidRPr="00AD0B9C">
        <w:rPr>
          <w:rFonts w:cs="Arial"/>
        </w:rPr>
        <w:t>ESMA_</w:t>
      </w:r>
      <w:r w:rsidR="00AD0B9C" w:rsidRPr="00AD0B9C">
        <w:t>DP_</w:t>
      </w:r>
      <w:r w:rsidR="000514CA" w:rsidRPr="000514CA">
        <w:t xml:space="preserve"> SC </w:t>
      </w:r>
      <w:r w:rsidRPr="00AD0B9C">
        <w:rPr>
          <w:rFonts w:cs="Arial"/>
        </w:rPr>
        <w:t>_XXXX</w:t>
      </w:r>
      <w:r w:rsidR="00021E83" w:rsidRPr="00AD0B9C">
        <w:rPr>
          <w:rFonts w:cs="Arial"/>
        </w:rPr>
        <w:t>_ANNEX1</w:t>
      </w:r>
    </w:p>
    <w:p w:rsidR="004E1A0F" w:rsidRPr="00EF0769" w:rsidRDefault="004E1A0F" w:rsidP="00F574D0">
      <w:pPr>
        <w:pStyle w:val="04bList"/>
        <w:numPr>
          <w:ilvl w:val="0"/>
          <w:numId w:val="0"/>
        </w:numPr>
        <w:spacing w:before="120" w:after="120"/>
        <w:rPr>
          <w:rFonts w:cs="Arial"/>
        </w:rPr>
      </w:pP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7C3918" w:rsidP="00F574D0">
      <w:pPr>
        <w:pStyle w:val="04BodyText"/>
        <w:spacing w:before="120" w:after="120"/>
        <w:rPr>
          <w:rFonts w:cs="Arial"/>
        </w:rPr>
      </w:pPr>
      <w:r>
        <w:rPr>
          <w:rFonts w:cs="Arial"/>
        </w:rPr>
        <w:t xml:space="preserve">Responses must reach us by </w:t>
      </w:r>
      <w:r w:rsidR="007F3CFC" w:rsidRPr="007F3CFC">
        <w:rPr>
          <w:rFonts w:cs="Arial"/>
          <w:b/>
        </w:rPr>
        <w:t>6 June</w:t>
      </w:r>
      <w:r w:rsidRPr="007F3CFC">
        <w:rPr>
          <w:rFonts w:cs="Arial"/>
          <w:b/>
        </w:rPr>
        <w:t xml:space="preserve"> 2016</w:t>
      </w:r>
      <w:r w:rsidR="00021E83" w:rsidRPr="007F3CFC">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6"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berschrift1"/>
        <w:numPr>
          <w:ilvl w:val="0"/>
          <w:numId w:val="0"/>
        </w:numPr>
        <w:ind w:left="431" w:hanging="431"/>
      </w:pPr>
      <w:r>
        <w:lastRenderedPageBreak/>
        <w:t>Introduction</w:t>
      </w:r>
    </w:p>
    <w:p w:rsidR="00D34282" w:rsidRPr="001D47A5" w:rsidRDefault="00D34282" w:rsidP="00D34282">
      <w:pPr>
        <w:rPr>
          <w:rStyle w:val="IntensiveHervorhebung"/>
        </w:rPr>
      </w:pPr>
      <w:r w:rsidRPr="001D47A5">
        <w:rPr>
          <w:rStyle w:val="IntensiveHervorhebung"/>
        </w:rPr>
        <w:t>Please make your introductory comments below, if any:</w:t>
      </w:r>
    </w:p>
    <w:p w:rsidR="00AD7675" w:rsidRPr="00BF28DA" w:rsidRDefault="00AD7675" w:rsidP="00D34282"/>
    <w:p w:rsidR="00D34282" w:rsidRPr="00176639" w:rsidRDefault="00D34282" w:rsidP="00D34282">
      <w:r w:rsidRPr="00176639">
        <w:t>&lt;</w:t>
      </w:r>
      <w:r w:rsidR="00D61A37" w:rsidRPr="00176639">
        <w:t>ESMA_COMMENT_</w:t>
      </w:r>
      <w:r w:rsidR="00176639" w:rsidRPr="00176639">
        <w:t xml:space="preserve"> </w:t>
      </w:r>
      <w:r w:rsidR="00176639">
        <w:t>DP_</w:t>
      </w:r>
      <w:r w:rsidR="000514CA" w:rsidRPr="000514CA">
        <w:t>SC</w:t>
      </w:r>
      <w:r w:rsidR="00D61A37" w:rsidRPr="00176639">
        <w:t>_1</w:t>
      </w:r>
      <w:r w:rsidRPr="00176639">
        <w:t>&gt;</w:t>
      </w:r>
    </w:p>
    <w:p w:rsidR="00D34282" w:rsidRDefault="00EE1C93" w:rsidP="00D34282">
      <w:permStart w:id="1743147592" w:edGrp="everyone"/>
      <w:r>
        <w:t>BVI gladly takes the opportunity to contribute its views to the envisaged common approach to the use of share classes under the UCITS Directive.</w:t>
      </w:r>
    </w:p>
    <w:p w:rsidR="006A1723" w:rsidRDefault="006A1723" w:rsidP="00D34282"/>
    <w:p w:rsidR="006A1723" w:rsidRDefault="006A1723" w:rsidP="006A1723">
      <w:pPr>
        <w:spacing w:line="288" w:lineRule="auto"/>
      </w:pPr>
      <w:r w:rsidRPr="00167CF6">
        <w:rPr>
          <w:rFonts w:cs="Arial"/>
          <w:color w:val="000000"/>
          <w:szCs w:val="20"/>
        </w:rPr>
        <w:t>BVI represents the interests of the German investment fund and asset management industry. Its 95 me</w:t>
      </w:r>
      <w:r w:rsidRPr="00167CF6">
        <w:rPr>
          <w:rFonts w:cs="Arial"/>
          <w:color w:val="000000"/>
          <w:szCs w:val="20"/>
        </w:rPr>
        <w:t>m</w:t>
      </w:r>
      <w:r w:rsidRPr="00167CF6">
        <w:rPr>
          <w:rFonts w:cs="Arial"/>
          <w:color w:val="000000"/>
          <w:szCs w:val="20"/>
        </w:rPr>
        <w:t xml:space="preserve">bers manage assets of some EUR 2.6 trillion in UCITS, AIFs and assets outside investment funds. As such, BVI is committed to promoting a level playing field for all investors. BVI members manage, directly or indirectly, the assets of 50 million private clients </w:t>
      </w:r>
      <w:r w:rsidR="009A5D40">
        <w:rPr>
          <w:rFonts w:cs="Arial"/>
          <w:color w:val="000000"/>
          <w:szCs w:val="20"/>
        </w:rPr>
        <w:t xml:space="preserve">in </w:t>
      </w:r>
      <w:r w:rsidRPr="00167CF6">
        <w:rPr>
          <w:rFonts w:cs="Arial"/>
          <w:color w:val="000000"/>
          <w:szCs w:val="20"/>
        </w:rPr>
        <w:t>over 21 million households. BVI’s ID number in the EU Transparency Register is 96816064173-47. For more information, please visit www.bvi.de/en</w:t>
      </w:r>
    </w:p>
    <w:permEnd w:id="1743147592"/>
    <w:p w:rsidR="00D34282" w:rsidRPr="00BF28DA" w:rsidRDefault="00D34282" w:rsidP="00D34282">
      <w:r w:rsidRPr="00BF28DA">
        <w:t>&lt;</w:t>
      </w:r>
      <w:r w:rsidR="00D61A37" w:rsidRPr="00BF28DA">
        <w:t>ESMA_COMMENT_</w:t>
      </w:r>
      <w:r w:rsidR="00176639" w:rsidRPr="00176639">
        <w:t xml:space="preserve"> </w:t>
      </w:r>
      <w:r w:rsidR="00176639">
        <w:t>DP_</w:t>
      </w:r>
      <w:r w:rsidR="00706816">
        <w:t>SC</w:t>
      </w:r>
      <w:r w:rsidR="00D61A37" w:rsidRPr="00BF28DA">
        <w:t>_1</w:t>
      </w:r>
      <w:r w:rsidRPr="00BF28DA">
        <w:t>&gt;</w:t>
      </w:r>
    </w:p>
    <w:p w:rsidR="00F31E57" w:rsidRPr="00BF28DA" w:rsidRDefault="00F31E57" w:rsidP="00D34282"/>
    <w:p w:rsidR="008701E5" w:rsidRDefault="00F31E57" w:rsidP="002342EC">
      <w:pPr>
        <w:pStyle w:val="Questionstyle"/>
        <w:numPr>
          <w:ilvl w:val="0"/>
          <w:numId w:val="38"/>
        </w:numPr>
      </w:pPr>
      <w:r w:rsidRPr="0075015C">
        <w:br w:type="page"/>
      </w:r>
    </w:p>
    <w:p w:rsidR="00836CDF" w:rsidRDefault="00836CDF" w:rsidP="00836CDF">
      <w:pPr>
        <w:pStyle w:val="Questionstyle"/>
        <w:numPr>
          <w:ilvl w:val="0"/>
          <w:numId w:val="40"/>
        </w:numPr>
      </w:pPr>
      <w:r>
        <w:lastRenderedPageBreak/>
        <w:t>Would you agree with the description of share classes?</w:t>
      </w:r>
    </w:p>
    <w:p w:rsidR="00836CDF" w:rsidRDefault="00836CDF" w:rsidP="00836CDF">
      <w:r>
        <w:t>&lt;ESMA_QUESTION_DP_SC_1&gt;</w:t>
      </w:r>
    </w:p>
    <w:p w:rsidR="00836CDF" w:rsidRDefault="00E067F1" w:rsidP="00836CDF">
      <w:permStart w:id="955922176" w:edGrp="everyone"/>
      <w:r>
        <w:t>W</w:t>
      </w:r>
      <w:r w:rsidR="00996EFF">
        <w:t>e agree with ESMA’s definition in</w:t>
      </w:r>
      <w:r>
        <w:t xml:space="preserve"> </w:t>
      </w:r>
      <w:r w:rsidR="00547BC5">
        <w:t>par</w:t>
      </w:r>
      <w:r>
        <w:t xml:space="preserve">. 9 of the discussion paper. In our view, it is in line with the </w:t>
      </w:r>
      <w:r w:rsidR="008B27EB">
        <w:t>defin</w:t>
      </w:r>
      <w:r w:rsidR="008B27EB">
        <w:t>i</w:t>
      </w:r>
      <w:r w:rsidR="008B27EB">
        <w:t>tion actually contained in</w:t>
      </w:r>
      <w:r w:rsidR="00B020AC">
        <w:t xml:space="preserve"> § 96 of the </w:t>
      </w:r>
      <w:r w:rsidR="008B27EB">
        <w:t>German Capital Investm</w:t>
      </w:r>
      <w:r w:rsidR="00B020AC">
        <w:t>e</w:t>
      </w:r>
      <w:r w:rsidR="008B27EB">
        <w:t>nt Code</w:t>
      </w:r>
      <w:r w:rsidR="00B020AC">
        <w:t>.</w:t>
      </w:r>
    </w:p>
    <w:permEnd w:id="955922176"/>
    <w:p w:rsidR="00836CDF" w:rsidRDefault="00836CDF" w:rsidP="00836CDF">
      <w:pPr>
        <w:rPr>
          <w:lang w:val="fr-BE"/>
        </w:rPr>
      </w:pPr>
      <w:r>
        <w:t>&lt;ESMA_QUESTION_DP_SC_1&gt;</w:t>
      </w:r>
    </w:p>
    <w:p w:rsidR="00836CDF" w:rsidRDefault="00836CDF" w:rsidP="00836CDF"/>
    <w:p w:rsidR="00836CDF" w:rsidRDefault="00836CDF" w:rsidP="00836CDF">
      <w:pPr>
        <w:pStyle w:val="Questionstyle"/>
        <w:numPr>
          <w:ilvl w:val="0"/>
          <w:numId w:val="40"/>
        </w:numPr>
      </w:pPr>
      <w:r>
        <w:t>Do you see any other reasons for setting up share classes?</w:t>
      </w:r>
    </w:p>
    <w:p w:rsidR="00836CDF" w:rsidRDefault="00836CDF" w:rsidP="00836CDF">
      <w:r>
        <w:t>&lt;ESMA_QUESTION_DP_SC_2&gt;</w:t>
      </w:r>
    </w:p>
    <w:p w:rsidR="00836CDF" w:rsidRDefault="00B020AC" w:rsidP="00836CDF">
      <w:permStart w:id="2127563555" w:edGrp="everyone"/>
      <w:r>
        <w:t xml:space="preserve">There are some other reasons which are not mentioned in </w:t>
      </w:r>
      <w:r w:rsidR="00547BC5">
        <w:t>par</w:t>
      </w:r>
      <w:r>
        <w:t xml:space="preserve">. 12 of the discussion paper, but in </w:t>
      </w:r>
      <w:r w:rsidR="00547BC5">
        <w:t>par</w:t>
      </w:r>
      <w:r>
        <w:t xml:space="preserve">. </w:t>
      </w:r>
      <w:r w:rsidR="00381096">
        <w:t xml:space="preserve">16. </w:t>
      </w:r>
      <w:r>
        <w:t xml:space="preserve">We therefore assume that ESMA has </w:t>
      </w:r>
      <w:r w:rsidR="00381096">
        <w:t xml:space="preserve">already </w:t>
      </w:r>
      <w:r>
        <w:t xml:space="preserve">taken into account that share classes may </w:t>
      </w:r>
      <w:r w:rsidR="004B2E43">
        <w:t xml:space="preserve">also </w:t>
      </w:r>
      <w:r>
        <w:t>be set up in order to better identify and quantify different groups of investors. This may for example help to improve the fund’s liquidity management.</w:t>
      </w:r>
    </w:p>
    <w:permEnd w:id="2127563555"/>
    <w:p w:rsidR="00836CDF" w:rsidRDefault="00836CDF" w:rsidP="00836CDF">
      <w:pPr>
        <w:rPr>
          <w:lang w:val="fr-BE"/>
        </w:rPr>
      </w:pPr>
      <w:r>
        <w:t>&lt;ESMA_QUESTION_DP_SC_2&gt;</w:t>
      </w:r>
    </w:p>
    <w:p w:rsidR="00836CDF" w:rsidRDefault="00836CDF" w:rsidP="00836CDF"/>
    <w:p w:rsidR="00836CDF" w:rsidRDefault="00836CDF" w:rsidP="00836CDF">
      <w:pPr>
        <w:pStyle w:val="Questionstyle"/>
        <w:numPr>
          <w:ilvl w:val="0"/>
          <w:numId w:val="40"/>
        </w:numPr>
      </w:pPr>
      <w:r>
        <w:t>What is your view on the principle of “common investment objective”?</w:t>
      </w:r>
    </w:p>
    <w:p w:rsidR="00836CDF" w:rsidRDefault="00836CDF" w:rsidP="00836CDF">
      <w:r>
        <w:t>&lt;ESMA_QUESTION_DP_SC_3&gt;</w:t>
      </w:r>
    </w:p>
    <w:p w:rsidR="00836CDF" w:rsidRDefault="00695331" w:rsidP="00836CDF">
      <w:permStart w:id="1789286248" w:edGrp="everyone"/>
      <w:r>
        <w:t>We agree with the principle of “common investment objective” as described</w:t>
      </w:r>
      <w:r w:rsidR="00227E2B">
        <w:t xml:space="preserve"> in </w:t>
      </w:r>
      <w:r w:rsidR="00547BC5">
        <w:t>par</w:t>
      </w:r>
      <w:r w:rsidR="00227E2B">
        <w:t>. 15 to 17 of the discu</w:t>
      </w:r>
      <w:r w:rsidR="00227E2B">
        <w:t>s</w:t>
      </w:r>
      <w:r w:rsidR="00227E2B">
        <w:t xml:space="preserve">sion paper. However, we do not share </w:t>
      </w:r>
      <w:r w:rsidR="00257BA5">
        <w:t>the</w:t>
      </w:r>
      <w:r w:rsidR="00227E2B">
        <w:t xml:space="preserve"> view that currency hedging at share class level </w:t>
      </w:r>
      <w:r w:rsidR="00257BA5">
        <w:t>is</w:t>
      </w:r>
      <w:r w:rsidR="00227E2B">
        <w:t xml:space="preserve"> the only type of </w:t>
      </w:r>
      <w:r w:rsidR="00381096">
        <w:t xml:space="preserve">hedging </w:t>
      </w:r>
      <w:r w:rsidR="00227E2B">
        <w:t>overlay fully compatible with th</w:t>
      </w:r>
      <w:r w:rsidR="00257BA5">
        <w:t>is</w:t>
      </w:r>
      <w:r w:rsidR="00227E2B">
        <w:t xml:space="preserve"> principle. </w:t>
      </w:r>
      <w:r w:rsidR="00257BA5">
        <w:t xml:space="preserve">ESMA’s reasoning in </w:t>
      </w:r>
      <w:r w:rsidR="00343BB6">
        <w:t xml:space="preserve">favour of currency hedging </w:t>
      </w:r>
      <w:r w:rsidR="00547BC5">
        <w:t>is based on</w:t>
      </w:r>
      <w:r w:rsidR="00343BB6">
        <w:t xml:space="preserve"> a </w:t>
      </w:r>
      <w:r w:rsidR="00381096">
        <w:t xml:space="preserve">rather </w:t>
      </w:r>
      <w:r w:rsidR="00343BB6">
        <w:t>political point of view. Though we fully agree with it, it does not reveal, on an operational level, material distinctions between currency hedging and hedging of other types of risk leading to the conclusion that other hedging types are in general less compatible with the principle of a common inves</w:t>
      </w:r>
      <w:r w:rsidR="00343BB6">
        <w:t>t</w:t>
      </w:r>
      <w:r w:rsidR="00343BB6">
        <w:t xml:space="preserve">ment objective. </w:t>
      </w:r>
    </w:p>
    <w:permEnd w:id="1789286248"/>
    <w:p w:rsidR="00836CDF" w:rsidRDefault="00836CDF" w:rsidP="00836CDF">
      <w:pPr>
        <w:rPr>
          <w:lang w:val="fr-BE"/>
        </w:rPr>
      </w:pPr>
      <w:r>
        <w:t>&lt;ESMA_QUESTION_DP_SC_3&gt;</w:t>
      </w:r>
    </w:p>
    <w:p w:rsidR="00836CDF" w:rsidRDefault="00836CDF" w:rsidP="00836CDF"/>
    <w:p w:rsidR="00836CDF" w:rsidRDefault="00836CDF" w:rsidP="00836CDF">
      <w:pPr>
        <w:pStyle w:val="Questionstyle"/>
        <w:numPr>
          <w:ilvl w:val="0"/>
          <w:numId w:val="40"/>
        </w:numPr>
      </w:pPr>
      <w:r>
        <w:t>Which kinds of hedging arrangements would you consider to be in line with this principle?</w:t>
      </w:r>
    </w:p>
    <w:p w:rsidR="00836CDF" w:rsidRDefault="00836CDF" w:rsidP="00836CDF">
      <w:r>
        <w:t>&lt;ESMA_QUESTION_DP_SC_4&gt;</w:t>
      </w:r>
    </w:p>
    <w:p w:rsidR="00AF55F6" w:rsidRDefault="005F14C9" w:rsidP="00836CDF">
      <w:permStart w:id="847651462" w:edGrp="everyone"/>
      <w:r>
        <w:t xml:space="preserve">We are of the opinion that there is no type of hedging arrangement that can be considered a priori </w:t>
      </w:r>
      <w:r w:rsidR="00AF55F6">
        <w:t xml:space="preserve">as </w:t>
      </w:r>
      <w:r>
        <w:t xml:space="preserve">not in line with said principle. Every hedging influences the risk profile of an investment, but as we understand from </w:t>
      </w:r>
      <w:r w:rsidR="00864C4A">
        <w:t>par</w:t>
      </w:r>
      <w:r>
        <w:t xml:space="preserve">. 15 to 17, an identical risk profile is not part of the common investment objective. </w:t>
      </w:r>
      <w:r w:rsidR="004B2E43">
        <w:t xml:space="preserve">We consider this an important aspect as most distinctive </w:t>
      </w:r>
      <w:r w:rsidR="00AF55F6">
        <w:t>feature</w:t>
      </w:r>
      <w:r w:rsidR="004B2E43">
        <w:t>s</w:t>
      </w:r>
      <w:r w:rsidR="00AF55F6">
        <w:t xml:space="preserve"> </w:t>
      </w:r>
      <w:r w:rsidR="004B2E43">
        <w:t>of</w:t>
      </w:r>
      <w:r w:rsidR="00AF55F6">
        <w:t xml:space="preserve"> share classes lead to </w:t>
      </w:r>
      <w:r w:rsidR="004B2E43">
        <w:t xml:space="preserve">a different </w:t>
      </w:r>
      <w:r w:rsidR="00AF55F6">
        <w:t xml:space="preserve">risk profile </w:t>
      </w:r>
      <w:r w:rsidR="004B2E43">
        <w:t>from the point of view of</w:t>
      </w:r>
      <w:r w:rsidR="00AF55F6">
        <w:t xml:space="preserve"> investors.</w:t>
      </w:r>
      <w:r w:rsidR="004B2E43">
        <w:t xml:space="preserve"> For example, if there is one share class where revenues are paid out to investors and a second share class where they are reinvested in the fund, the risk profile regarding these revenues is different. If the principle of common investment objective would encompass a common risk profile,</w:t>
      </w:r>
      <w:r w:rsidR="005923C7">
        <w:t xml:space="preserve"> most existing types of share classes </w:t>
      </w:r>
      <w:r w:rsidR="00ED53FC">
        <w:t>would not comply with this principle</w:t>
      </w:r>
      <w:r w:rsidR="005923C7">
        <w:t xml:space="preserve">. </w:t>
      </w:r>
      <w:r w:rsidR="004B2E43">
        <w:t xml:space="preserve"> </w:t>
      </w:r>
      <w:r w:rsidR="00AF55F6">
        <w:t xml:space="preserve"> </w:t>
      </w:r>
    </w:p>
    <w:p w:rsidR="00AF55F6" w:rsidRDefault="00AF55F6" w:rsidP="00836CDF"/>
    <w:p w:rsidR="00836CDF" w:rsidRDefault="00180142" w:rsidP="00836CDF">
      <w:r>
        <w:t>We concede that t</w:t>
      </w:r>
      <w:r w:rsidR="005F14C9">
        <w:t xml:space="preserve">here may be some </w:t>
      </w:r>
      <w:r w:rsidR="0094765C">
        <w:t>problematical</w:t>
      </w:r>
      <w:r w:rsidR="005F14C9">
        <w:t xml:space="preserve"> </w:t>
      </w:r>
      <w:r>
        <w:t>aspects</w:t>
      </w:r>
      <w:r w:rsidR="005F14C9">
        <w:t xml:space="preserve"> in cases where share classes </w:t>
      </w:r>
      <w:r w:rsidR="00AF55F6">
        <w:t xml:space="preserve">have, due to hedging overlays, </w:t>
      </w:r>
      <w:r w:rsidR="005F14C9">
        <w:t xml:space="preserve">extremely different risk profiles </w:t>
      </w:r>
      <w:r w:rsidR="005923C7">
        <w:t>that</w:t>
      </w:r>
      <w:r w:rsidR="00AF55F6">
        <w:t xml:space="preserve"> </w:t>
      </w:r>
      <w:r w:rsidR="005F14C9">
        <w:t xml:space="preserve">make it difficult for the fund management to act in the best interest of all investors. </w:t>
      </w:r>
      <w:r>
        <w:t>However, w</w:t>
      </w:r>
      <w:r w:rsidR="00ED53FC">
        <w:t xml:space="preserve">e think that </w:t>
      </w:r>
      <w:r w:rsidR="005F14C9">
        <w:t xml:space="preserve">these </w:t>
      </w:r>
      <w:r w:rsidR="0094765C">
        <w:t>problems</w:t>
      </w:r>
      <w:r w:rsidR="005F14C9">
        <w:t xml:space="preserve"> </w:t>
      </w:r>
      <w:r w:rsidR="00ED53FC">
        <w:t>can</w:t>
      </w:r>
      <w:r w:rsidR="005F14C9">
        <w:t xml:space="preserve"> be </w:t>
      </w:r>
      <w:r w:rsidR="00ED53FC">
        <w:t>successfully addressed</w:t>
      </w:r>
      <w:r w:rsidR="005F14C9">
        <w:t xml:space="preserve"> in connection with</w:t>
      </w:r>
      <w:r w:rsidR="00AF55F6">
        <w:t xml:space="preserve"> the principles of non-contagion and transparency.</w:t>
      </w:r>
    </w:p>
    <w:p w:rsidR="004518BD" w:rsidRDefault="004518BD" w:rsidP="00836CDF"/>
    <w:p w:rsidR="004518BD" w:rsidRDefault="004518BD" w:rsidP="00836CDF">
      <w:r>
        <w:t xml:space="preserve">As regards the definition of hedging, we do not consider the description in Box 8 of the “CESR Guidelines on Risk Measurement and the Calculation of Global Exposure and Counterparty Risk for UCITS” </w:t>
      </w:r>
      <w:r w:rsidR="00DE2020">
        <w:t>to be</w:t>
      </w:r>
      <w:r>
        <w:t xml:space="preserve"> appropriate </w:t>
      </w:r>
      <w:r w:rsidR="00DE2020">
        <w:t xml:space="preserve">for </w:t>
      </w:r>
      <w:r>
        <w:t>hedging overlays</w:t>
      </w:r>
      <w:r w:rsidR="00DE2020">
        <w:t xml:space="preserve"> as discussed here</w:t>
      </w:r>
      <w:r>
        <w:t xml:space="preserve">. The CESR Guidelines </w:t>
      </w:r>
      <w:r w:rsidR="00DE2020">
        <w:t>deal with the calculation of exposure and therefore take a mathematical approach. When it comes to overlays for share classes, hedging should be more generally inte</w:t>
      </w:r>
      <w:r w:rsidR="00DE2020">
        <w:t>r</w:t>
      </w:r>
      <w:r w:rsidR="00DE2020">
        <w:t>preted as “risk reducing / risk eliminating activity”. The crucial point is in our view that such overlays shall not increase any given risk or even introduce new kinds of risk that are not inherent to a given portfolio of assets.</w:t>
      </w:r>
    </w:p>
    <w:permEnd w:id="847651462"/>
    <w:p w:rsidR="00836CDF" w:rsidRDefault="00836CDF" w:rsidP="00836CDF">
      <w:pPr>
        <w:rPr>
          <w:lang w:val="fr-BE"/>
        </w:rPr>
      </w:pPr>
      <w:r>
        <w:t>&lt;ESMA_QUESTION_DP_SC_4&gt;</w:t>
      </w:r>
    </w:p>
    <w:p w:rsidR="00836CDF" w:rsidRDefault="00836CDF" w:rsidP="00836CDF"/>
    <w:p w:rsidR="00836CDF" w:rsidRDefault="00836CDF" w:rsidP="00836CDF">
      <w:pPr>
        <w:pStyle w:val="Questionstyle"/>
        <w:numPr>
          <w:ilvl w:val="0"/>
          <w:numId w:val="40"/>
        </w:numPr>
      </w:pPr>
      <w:r>
        <w:t>What is your view on the principle of “non-contagion”?</w:t>
      </w:r>
    </w:p>
    <w:p w:rsidR="00836CDF" w:rsidRDefault="00836CDF" w:rsidP="00836CDF">
      <w:r>
        <w:lastRenderedPageBreak/>
        <w:t>&lt;ESMA_QUESTION_DP_SC_5&gt;</w:t>
      </w:r>
    </w:p>
    <w:p w:rsidR="00836CDF" w:rsidRDefault="003065F6" w:rsidP="00836CDF">
      <w:permStart w:id="182059591" w:edGrp="everyone"/>
      <w:r>
        <w:t xml:space="preserve">We </w:t>
      </w:r>
      <w:r w:rsidR="00A7495B">
        <w:t>agree to</w:t>
      </w:r>
      <w:r>
        <w:t xml:space="preserve"> this principle but </w:t>
      </w:r>
      <w:r w:rsidR="004A3D7B">
        <w:t xml:space="preserve">would advise to clarify its relation </w:t>
      </w:r>
      <w:r w:rsidR="00CE7255">
        <w:t>to</w:t>
      </w:r>
      <w:r>
        <w:t xml:space="preserve"> the principle of common investment objective. </w:t>
      </w:r>
      <w:r w:rsidR="00A7495B">
        <w:t>Especially par. 28 and 29 of t</w:t>
      </w:r>
      <w:r w:rsidR="001274A3">
        <w:t xml:space="preserve">he discussion paper </w:t>
      </w:r>
      <w:r w:rsidR="00A7495B">
        <w:t>contain some passages that might be consi</w:t>
      </w:r>
      <w:r w:rsidR="00A7495B">
        <w:t>d</w:t>
      </w:r>
      <w:r w:rsidR="00A7495B">
        <w:t xml:space="preserve">ered as contradictive to the first principle. </w:t>
      </w:r>
      <w:r w:rsidR="00B87897">
        <w:t xml:space="preserve">In our view, the overarching rule should be that all share classes of a fund invest in a common pool of assets. </w:t>
      </w:r>
      <w:r w:rsidR="0072486E">
        <w:t>F</w:t>
      </w:r>
      <w:r w:rsidR="00EC63D9">
        <w:t>rom a legal point of view</w:t>
      </w:r>
      <w:r w:rsidR="00A7495B">
        <w:t xml:space="preserve"> </w:t>
      </w:r>
      <w:r w:rsidR="0072486E">
        <w:t xml:space="preserve">it should </w:t>
      </w:r>
      <w:r w:rsidR="00A7495B">
        <w:t>be impossible</w:t>
      </w:r>
      <w:r w:rsidR="00EC63D9">
        <w:t xml:space="preserve"> </w:t>
      </w:r>
      <w:r w:rsidR="00B87897">
        <w:t xml:space="preserve">that </w:t>
      </w:r>
      <w:r w:rsidR="00414D73">
        <w:t xml:space="preserve">unit-holders of one share class have a claim on a certain portion of this common pool (see </w:t>
      </w:r>
      <w:r w:rsidR="00EC63D9">
        <w:t>par</w:t>
      </w:r>
      <w:r w:rsidR="00414D73">
        <w:t>. 28 lit. a), that there is a NAV of only one share class (</w:t>
      </w:r>
      <w:r w:rsidR="00EC63D9">
        <w:t>par</w:t>
      </w:r>
      <w:r w:rsidR="00414D73">
        <w:t>. 29 lit. a) or that a share class has an investment strategy of its own (</w:t>
      </w:r>
      <w:r w:rsidR="00EC63D9">
        <w:t>par</w:t>
      </w:r>
      <w:r w:rsidR="00414D73">
        <w:t xml:space="preserve">. 29 lit. c). The figures </w:t>
      </w:r>
      <w:r w:rsidR="004B5510">
        <w:t xml:space="preserve">mentioned </w:t>
      </w:r>
      <w:r w:rsidR="00414D73">
        <w:t xml:space="preserve">are of course useful </w:t>
      </w:r>
      <w:r w:rsidR="004B5510">
        <w:t xml:space="preserve">and important </w:t>
      </w:r>
      <w:r w:rsidR="00414D73">
        <w:t>for accountancy and risk management purposes. However, from the point of view of an external creditor or business partner</w:t>
      </w:r>
      <w:r w:rsidR="003B0DB1">
        <w:t>, in most jurisdictions</w:t>
      </w:r>
      <w:r w:rsidR="00414D73">
        <w:t xml:space="preserve"> there is only the fund as a whole</w:t>
      </w:r>
      <w:r w:rsidR="003B0DB1">
        <w:t>. This means that n</w:t>
      </w:r>
      <w:r w:rsidR="00414D73">
        <w:t xml:space="preserve">o liability limitations </w:t>
      </w:r>
      <w:r w:rsidR="004B5510">
        <w:t xml:space="preserve">linked </w:t>
      </w:r>
      <w:r w:rsidR="00414D73">
        <w:t>to share classes</w:t>
      </w:r>
      <w:r w:rsidR="00E85425">
        <w:t xml:space="preserve"> exist</w:t>
      </w:r>
      <w:r w:rsidR="00414D73">
        <w:t xml:space="preserve">. </w:t>
      </w:r>
      <w:r w:rsidR="004B5510">
        <w:t>W</w:t>
      </w:r>
      <w:r w:rsidR="007330FB">
        <w:t xml:space="preserve">e </w:t>
      </w:r>
      <w:r w:rsidR="00DE214F">
        <w:t xml:space="preserve">would </w:t>
      </w:r>
      <w:r w:rsidR="004B5510">
        <w:t>ther</w:t>
      </w:r>
      <w:r w:rsidR="004B5510">
        <w:t>e</w:t>
      </w:r>
      <w:r w:rsidR="004B5510">
        <w:t xml:space="preserve">fore </w:t>
      </w:r>
      <w:r w:rsidR="00DE214F">
        <w:t>welcome</w:t>
      </w:r>
      <w:r w:rsidR="007330FB">
        <w:t xml:space="preserve"> </w:t>
      </w:r>
      <w:r w:rsidR="00DE214F">
        <w:t>a clarifying</w:t>
      </w:r>
      <w:r w:rsidR="007330FB">
        <w:t xml:space="preserve"> statement that the</w:t>
      </w:r>
      <w:r w:rsidR="00414D73">
        <w:t xml:space="preserve"> principle of non-contagion </w:t>
      </w:r>
      <w:r w:rsidR="005B2499">
        <w:t xml:space="preserve">has </w:t>
      </w:r>
      <w:r w:rsidR="00414D73">
        <w:t xml:space="preserve">only </w:t>
      </w:r>
      <w:r w:rsidR="005B2499">
        <w:t xml:space="preserve">to </w:t>
      </w:r>
      <w:r w:rsidR="00414D73">
        <w:t>be followed as far as it does not directly collide with the principle of common investment objective.</w:t>
      </w:r>
    </w:p>
    <w:permEnd w:id="182059591"/>
    <w:p w:rsidR="00836CDF" w:rsidRDefault="00836CDF" w:rsidP="00836CDF">
      <w:pPr>
        <w:rPr>
          <w:lang w:val="fr-BE"/>
        </w:rPr>
      </w:pPr>
      <w:r>
        <w:t>&lt;ESMA_QUESTION_DP_SC_5&gt;</w:t>
      </w:r>
    </w:p>
    <w:p w:rsidR="00836CDF" w:rsidRDefault="00836CDF" w:rsidP="00836CDF"/>
    <w:p w:rsidR="00836CDF" w:rsidRDefault="00836CDF" w:rsidP="00836CDF">
      <w:pPr>
        <w:pStyle w:val="Questionstyle"/>
        <w:numPr>
          <w:ilvl w:val="0"/>
          <w:numId w:val="40"/>
        </w:numPr>
      </w:pPr>
      <w:r>
        <w:t>Are you aware of any material evidence of investors in one share class suffering losses as a r</w:t>
      </w:r>
      <w:r>
        <w:t>e</w:t>
      </w:r>
      <w:r>
        <w:t>sult of the crystallisation of risk in another share class?</w:t>
      </w:r>
    </w:p>
    <w:p w:rsidR="00836CDF" w:rsidRDefault="00836CDF" w:rsidP="00836CDF">
      <w:r>
        <w:t>&lt;ESMA_QUESTION_DP_SC_6&gt;</w:t>
      </w:r>
    </w:p>
    <w:p w:rsidR="00836CDF" w:rsidRDefault="00D73151" w:rsidP="00836CDF">
      <w:permStart w:id="785975477" w:edGrp="everyone"/>
      <w:r>
        <w:t>As regards the German fund industry, we are not aware that such a situation has ever occurred.</w:t>
      </w:r>
    </w:p>
    <w:permEnd w:id="785975477"/>
    <w:p w:rsidR="00836CDF" w:rsidRDefault="00836CDF" w:rsidP="00836CDF">
      <w:pPr>
        <w:rPr>
          <w:lang w:val="fr-BE"/>
        </w:rPr>
      </w:pPr>
      <w:r>
        <w:t>&lt;ESMA_QUESTION_DP_SC_6&gt;</w:t>
      </w:r>
    </w:p>
    <w:p w:rsidR="00836CDF" w:rsidRDefault="00836CDF" w:rsidP="00836CDF"/>
    <w:p w:rsidR="00836CDF" w:rsidRDefault="00836CDF" w:rsidP="00836CDF">
      <w:pPr>
        <w:pStyle w:val="Questionstyle"/>
        <w:numPr>
          <w:ilvl w:val="0"/>
          <w:numId w:val="40"/>
        </w:numPr>
      </w:pPr>
      <w:r>
        <w:t>Where do you see a potential for contagion risk arising from the use of derivative hedging a</w:t>
      </w:r>
      <w:r>
        <w:t>r</w:t>
      </w:r>
      <w:r>
        <w:t>rangements? What are the elements of this contagion risk? (cf. paragraph 23)</w:t>
      </w:r>
    </w:p>
    <w:p w:rsidR="00836CDF" w:rsidRDefault="00836CDF" w:rsidP="00836CDF">
      <w:r>
        <w:t>&lt;ESMA_QUESTION_DP_SC_7&gt;</w:t>
      </w:r>
    </w:p>
    <w:p w:rsidR="00836CDF" w:rsidRDefault="00C42758" w:rsidP="00836CDF">
      <w:permStart w:id="1222865719" w:edGrp="everyone"/>
      <w:r>
        <w:t>We think that spill over risks as described in par. 23 can be adequately managed and thus minimized by operational segregation and a rigorous risk management. However, as we pointed out above, they cannot be fully eliminated due to the common pool of fund assets.</w:t>
      </w:r>
    </w:p>
    <w:p w:rsidR="00C42758" w:rsidRDefault="00C42758" w:rsidP="00836CDF"/>
    <w:p w:rsidR="00836CDF" w:rsidRDefault="00C42758" w:rsidP="00836CDF">
      <w:pPr>
        <w:rPr>
          <w:lang w:val="fr-BE"/>
        </w:rPr>
      </w:pPr>
      <w:r>
        <w:t xml:space="preserve">If a hedging overlay eliminates risk factors that are </w:t>
      </w:r>
      <w:r w:rsidR="006E1573">
        <w:t xml:space="preserve">of great </w:t>
      </w:r>
      <w:r>
        <w:t>significan</w:t>
      </w:r>
      <w:r w:rsidR="006E1573">
        <w:t xml:space="preserve">ce for a given </w:t>
      </w:r>
      <w:r w:rsidR="006F5A21">
        <w:t>investment strategy</w:t>
      </w:r>
      <w:r w:rsidR="006E1573">
        <w:t xml:space="preserve">, it may become difficult for the </w:t>
      </w:r>
      <w:r w:rsidR="00E53A17">
        <w:t xml:space="preserve">fund </w:t>
      </w:r>
      <w:r w:rsidR="006E1573">
        <w:t>management to choose a level of risk-taking that is in the best interest of all investors.</w:t>
      </w:r>
      <w:r>
        <w:t xml:space="preserve"> </w:t>
      </w:r>
      <w:r w:rsidR="00E53A17">
        <w:t>O</w:t>
      </w:r>
      <w:r w:rsidR="006E1573">
        <w:t>ne share class would be fully exposed to the risk, whereas the other class might profit from higher return chances without bearing the higher risk connected with it.</w:t>
      </w:r>
      <w:r w:rsidR="005C7BB3">
        <w:t xml:space="preserve"> However, </w:t>
      </w:r>
      <w:r w:rsidR="00A34E84">
        <w:t xml:space="preserve">we think that potential conflicts of this kind can be minimized by </w:t>
      </w:r>
      <w:r w:rsidR="00071911">
        <w:t>assiduo</w:t>
      </w:r>
      <w:r w:rsidR="00351A6A">
        <w:t>u</w:t>
      </w:r>
      <w:r w:rsidR="00071911">
        <w:t xml:space="preserve">sly </w:t>
      </w:r>
      <w:r w:rsidR="00A34E84">
        <w:t>applying the principles of pre-determination and transparency.</w:t>
      </w:r>
      <w:r w:rsidR="005C7BB3">
        <w:t xml:space="preserve">   </w:t>
      </w:r>
      <w:permEnd w:id="1222865719"/>
      <w:r w:rsidR="00836CDF">
        <w:t>&lt;ESMA_QUESTION_DP_SC_7&gt;</w:t>
      </w:r>
    </w:p>
    <w:p w:rsidR="00836CDF" w:rsidRDefault="00836CDF" w:rsidP="00836CDF"/>
    <w:p w:rsidR="00836CDF" w:rsidRDefault="00836CDF" w:rsidP="00836CDF">
      <w:pPr>
        <w:pStyle w:val="Questionstyle"/>
        <w:numPr>
          <w:ilvl w:val="0"/>
          <w:numId w:val="40"/>
        </w:numPr>
      </w:pPr>
      <w:r>
        <w:t>Do you agree with the operational principles set out in paragraphs 28 and 29?</w:t>
      </w:r>
    </w:p>
    <w:p w:rsidR="00836CDF" w:rsidRDefault="00836CDF" w:rsidP="00836CDF">
      <w:r>
        <w:t>&lt;ESMA_QUESTION_DP_SC_8&gt;</w:t>
      </w:r>
    </w:p>
    <w:p w:rsidR="00AE055E" w:rsidRDefault="00605C31" w:rsidP="00836CDF">
      <w:permStart w:id="961117043" w:edGrp="everyone"/>
      <w:r>
        <w:t xml:space="preserve">We agree with the operational principles set out in par. 28 except for lit. d. </w:t>
      </w:r>
      <w:r w:rsidR="005F5620">
        <w:t xml:space="preserve">This one principle </w:t>
      </w:r>
      <w:r w:rsidR="009C3496">
        <w:t>seems supe</w:t>
      </w:r>
      <w:r w:rsidR="009C3496">
        <w:t>r</w:t>
      </w:r>
      <w:r w:rsidR="009C3496">
        <w:t xml:space="preserve">fluous and </w:t>
      </w:r>
      <w:r w:rsidR="005F5620">
        <w:t>should be deleted</w:t>
      </w:r>
      <w:r w:rsidR="009C3496">
        <w:t xml:space="preserve">. </w:t>
      </w:r>
      <w:r w:rsidR="00CF7D17">
        <w:t xml:space="preserve">In most cases, UCITS management companies have neither </w:t>
      </w:r>
      <w:r>
        <w:t xml:space="preserve">direct contact to </w:t>
      </w:r>
      <w:r w:rsidR="00A02905">
        <w:t xml:space="preserve">their </w:t>
      </w:r>
      <w:r w:rsidR="00CF7D17">
        <w:t xml:space="preserve">actual </w:t>
      </w:r>
      <w:r>
        <w:t>investors</w:t>
      </w:r>
      <w:r w:rsidR="00CF7D17">
        <w:t xml:space="preserve">, nor to prospective investors of a new share class. </w:t>
      </w:r>
      <w:r w:rsidR="005F5620">
        <w:t xml:space="preserve">It would </w:t>
      </w:r>
      <w:r w:rsidR="00A23C4B">
        <w:t xml:space="preserve">therefore </w:t>
      </w:r>
      <w:r w:rsidR="005F5620">
        <w:t>be imposs</w:t>
      </w:r>
      <w:r w:rsidR="005F5620">
        <w:t>i</w:t>
      </w:r>
      <w:r w:rsidR="005F5620">
        <w:t>ble to demonstrate that a certain hedging overlay better align</w:t>
      </w:r>
      <w:r w:rsidR="00A23C4B">
        <w:t>s</w:t>
      </w:r>
      <w:r w:rsidR="005F5620">
        <w:t xml:space="preserve"> with the specific needs of </w:t>
      </w:r>
      <w:r w:rsidR="00A23C4B">
        <w:t>any concrete investor</w:t>
      </w:r>
      <w:r w:rsidR="00A02905">
        <w:t xml:space="preserve"> or investor group</w:t>
      </w:r>
      <w:r w:rsidR="00A23C4B">
        <w:t>.</w:t>
      </w:r>
      <w:r w:rsidR="005F5620">
        <w:t xml:space="preserve"> </w:t>
      </w:r>
      <w:r w:rsidR="00784227">
        <w:t xml:space="preserve">The management company could only describe why it is of the opinion that </w:t>
      </w:r>
      <w:r w:rsidR="00725000">
        <w:t xml:space="preserve">a certain overlay can generate additional value to some </w:t>
      </w:r>
      <w:r w:rsidR="00A23C4B">
        <w:t xml:space="preserve">anonymous </w:t>
      </w:r>
      <w:r w:rsidR="00725000">
        <w:t xml:space="preserve">group of (potential) investors. </w:t>
      </w:r>
      <w:r w:rsidR="00A23C4B">
        <w:t xml:space="preserve">For obvious economic reasons, every </w:t>
      </w:r>
      <w:r w:rsidR="00725000">
        <w:t xml:space="preserve">UCITS management company </w:t>
      </w:r>
      <w:r w:rsidR="00A23C4B">
        <w:t>assess</w:t>
      </w:r>
      <w:r w:rsidR="00B766EA">
        <w:t>es</w:t>
      </w:r>
      <w:r w:rsidR="00A23C4B">
        <w:t xml:space="preserve"> the probable interest of inve</w:t>
      </w:r>
      <w:r w:rsidR="00A23C4B">
        <w:t>s</w:t>
      </w:r>
      <w:r w:rsidR="00A23C4B">
        <w:t xml:space="preserve">tors before setting up a new share class. </w:t>
      </w:r>
      <w:r w:rsidR="00A02905">
        <w:t>It is then up to the investors to decide whether they consider the new share classes’ features as advantageous for their individual purposes.</w:t>
      </w:r>
      <w:r w:rsidR="005F5620">
        <w:t xml:space="preserve"> </w:t>
      </w:r>
    </w:p>
    <w:p w:rsidR="00AE055E" w:rsidRDefault="00AE055E" w:rsidP="00836CDF"/>
    <w:p w:rsidR="00836CDF" w:rsidRDefault="00AE055E" w:rsidP="00836CDF">
      <w:pPr>
        <w:rPr>
          <w:lang w:val="fr-BE"/>
        </w:rPr>
      </w:pPr>
      <w:r>
        <w:t xml:space="preserve">With regard to par. 28 lit e., it is our understanding that a </w:t>
      </w:r>
      <w:r w:rsidR="00A52F41">
        <w:t>“</w:t>
      </w:r>
      <w:r>
        <w:t>detailed</w:t>
      </w:r>
      <w:r w:rsidR="00A52F41">
        <w:t>”</w:t>
      </w:r>
      <w:r>
        <w:t xml:space="preserve"> and </w:t>
      </w:r>
      <w:r w:rsidR="00A52F41">
        <w:t>“</w:t>
      </w:r>
      <w:r>
        <w:t>transparent</w:t>
      </w:r>
      <w:r w:rsidR="00A52F41">
        <w:t>”</w:t>
      </w:r>
      <w:r>
        <w:t xml:space="preserve"> definition of hedging overlays does not </w:t>
      </w:r>
      <w:r w:rsidR="00A52F41">
        <w:t>mean that</w:t>
      </w:r>
      <w:r>
        <w:t xml:space="preserve"> management companies </w:t>
      </w:r>
      <w:r w:rsidR="00A52F41">
        <w:t xml:space="preserve">have </w:t>
      </w:r>
      <w:r>
        <w:t xml:space="preserve">to </w:t>
      </w:r>
      <w:r w:rsidR="00A52F41">
        <w:t>name</w:t>
      </w:r>
      <w:r w:rsidR="0029773A">
        <w:t xml:space="preserve"> and/ or describe</w:t>
      </w:r>
      <w:r>
        <w:t xml:space="preserve"> in advance every </w:t>
      </w:r>
      <w:r w:rsidR="0029773A">
        <w:t>single</w:t>
      </w:r>
      <w:r>
        <w:t xml:space="preserve"> derivative instrument that might be used for hedging purposes.</w:t>
      </w:r>
      <w:r w:rsidR="00C14A3B">
        <w:t xml:space="preserve"> The type of risk that shall be hedged as well as the envisaged degree of hedging </w:t>
      </w:r>
      <w:r w:rsidR="0029773A">
        <w:t xml:space="preserve">and the general way of how to do it </w:t>
      </w:r>
      <w:r w:rsidR="00C14A3B">
        <w:t xml:space="preserve">have of course to be defined, but the choice of concrete </w:t>
      </w:r>
      <w:r w:rsidR="0029773A">
        <w:t>instruments or counterparties</w:t>
      </w:r>
      <w:r w:rsidR="00C14A3B">
        <w:t xml:space="preserve"> to achieve this result </w:t>
      </w:r>
      <w:r w:rsidR="0029773A">
        <w:t>has to be</w:t>
      </w:r>
      <w:r w:rsidR="00C14A3B">
        <w:t xml:space="preserve"> </w:t>
      </w:r>
      <w:r w:rsidR="0029773A">
        <w:t>in the</w:t>
      </w:r>
      <w:r w:rsidR="00C14A3B">
        <w:t xml:space="preserve"> discretion of the management company.</w:t>
      </w:r>
      <w:r w:rsidR="005F5620">
        <w:t xml:space="preserve"> </w:t>
      </w:r>
      <w:permEnd w:id="961117043"/>
      <w:r w:rsidR="00836CDF">
        <w:t>&lt;E</w:t>
      </w:r>
      <w:r w:rsidR="00836CDF">
        <w:t>S</w:t>
      </w:r>
      <w:r w:rsidR="00836CDF">
        <w:t>MA_QUESTION_DP_SC_8&gt;</w:t>
      </w:r>
    </w:p>
    <w:p w:rsidR="00836CDF" w:rsidRDefault="00836CDF" w:rsidP="00836CDF"/>
    <w:p w:rsidR="00836CDF" w:rsidRDefault="00836CDF" w:rsidP="00836CDF">
      <w:pPr>
        <w:pStyle w:val="Questionstyle"/>
        <w:numPr>
          <w:ilvl w:val="0"/>
          <w:numId w:val="40"/>
        </w:numPr>
      </w:pPr>
      <w:r>
        <w:t>Do you consider the exposure limits in paragraphs 29.b and 29.c to be appropriate?</w:t>
      </w:r>
    </w:p>
    <w:p w:rsidR="00836CDF" w:rsidRDefault="00836CDF" w:rsidP="00836CDF">
      <w:r>
        <w:t>&lt;ESMA_QUESTION_DP_SC_9&gt;</w:t>
      </w:r>
    </w:p>
    <w:p w:rsidR="00DE18BE" w:rsidRDefault="00CC3E2B" w:rsidP="00836CDF">
      <w:permStart w:id="150824096" w:edGrp="everyone"/>
      <w:r>
        <w:t>We do not consider the exposure limits as appropriate in every case. Due to aspects such</w:t>
      </w:r>
      <w:r w:rsidR="0010666A">
        <w:t xml:space="preserve"> </w:t>
      </w:r>
      <w:r>
        <w:t>as asset class size, net asset flows, market impact on volume or active management decisions within the common i</w:t>
      </w:r>
      <w:r>
        <w:t>n</w:t>
      </w:r>
      <w:r>
        <w:t>vestment objective, the proposed limits could lead to a high frequency of hedging readjustments. This would lead to higher costs</w:t>
      </w:r>
      <w:r w:rsidR="0010666A">
        <w:t xml:space="preserve"> to be borne by investors.</w:t>
      </w:r>
      <w:r>
        <w:t xml:space="preserve"> Management companies should be given enough flexibility to find the best possible balance between readjustment and costs. According to the principle of transparency, the specific exposure limits should be disclosed in the </w:t>
      </w:r>
      <w:r w:rsidR="00DE18BE">
        <w:t xml:space="preserve">fund’s prospectus. </w:t>
      </w:r>
    </w:p>
    <w:p w:rsidR="00DE18BE" w:rsidRDefault="00DE18BE" w:rsidP="00836CDF"/>
    <w:p w:rsidR="00836CDF" w:rsidRDefault="00DE18BE" w:rsidP="00836CDF">
      <w:r>
        <w:t>In case of currency hedging, we would recommend allowing a limit up to + / - 10%. R</w:t>
      </w:r>
      <w:r w:rsidR="0010666A">
        <w:t>e</w:t>
      </w:r>
      <w:r>
        <w:t>garding other hed</w:t>
      </w:r>
      <w:r>
        <w:t>g</w:t>
      </w:r>
      <w:r>
        <w:t>ing strategies</w:t>
      </w:r>
      <w:r w:rsidR="0010666A">
        <w:t>,</w:t>
      </w:r>
      <w:r>
        <w:t xml:space="preserve"> an even broader approach should be considered. Since not all relevant hedging strategies are designed in a way that an exposure limit as specified seems appropriate, it should be possible to freely define an adequate limit in relation to the hedging purpose. E.g. in case of duration hedging, the relevant reduction for the duration may be reached by only a 30% hedge ratio. It should be possible to define a target duration range as limit for such hedges.</w:t>
      </w:r>
    </w:p>
    <w:permEnd w:id="150824096"/>
    <w:p w:rsidR="00836CDF" w:rsidRDefault="00836CDF" w:rsidP="00836CDF">
      <w:pPr>
        <w:rPr>
          <w:lang w:val="fr-BE"/>
        </w:rPr>
      </w:pPr>
      <w:r>
        <w:t>&lt;ESMA_QUESTION_DP_SC_9&gt;</w:t>
      </w:r>
    </w:p>
    <w:p w:rsidR="00836CDF" w:rsidRDefault="00836CDF" w:rsidP="00836CDF"/>
    <w:p w:rsidR="00836CDF" w:rsidRDefault="00836CDF" w:rsidP="00836CDF">
      <w:pPr>
        <w:pStyle w:val="Questionstyle"/>
        <w:numPr>
          <w:ilvl w:val="0"/>
          <w:numId w:val="40"/>
        </w:numPr>
      </w:pPr>
      <w:r>
        <w:t>Which stresses should be analysed as part of the stress tests?</w:t>
      </w:r>
    </w:p>
    <w:p w:rsidR="00836CDF" w:rsidRDefault="00836CDF" w:rsidP="00836CDF">
      <w:r>
        <w:t>&lt;ESMA_QUESTION_DP_SC_10&gt;</w:t>
      </w:r>
    </w:p>
    <w:p w:rsidR="00836CDF" w:rsidRDefault="0063213F" w:rsidP="00836CDF">
      <w:pPr>
        <w:rPr>
          <w:lang w:val="fr-BE"/>
        </w:rPr>
      </w:pPr>
      <w:permStart w:id="1063782791" w:edGrp="everyone"/>
      <w:r>
        <w:t xml:space="preserve">In our view, appropriate stress scenarios </w:t>
      </w:r>
      <w:r w:rsidR="00983A8B">
        <w:t xml:space="preserve">highly </w:t>
      </w:r>
      <w:r>
        <w:t>depend on the kind of risk that is being hedged by an overlay.</w:t>
      </w:r>
      <w:r w:rsidR="00983A8B">
        <w:t xml:space="preserve"> There are other individual factors that should probably be taken into consideration, for example the types of assets held in the fund’s portfolio or the size of hedged and non-hedged share classes.  </w:t>
      </w:r>
      <w:permEnd w:id="1063782791"/>
      <w:r w:rsidR="00836CDF">
        <w:t>&lt;E</w:t>
      </w:r>
      <w:r w:rsidR="00836CDF">
        <w:t>S</w:t>
      </w:r>
      <w:r w:rsidR="00836CDF">
        <w:t>MA_QUESTION_DP_SC_10&gt;</w:t>
      </w:r>
    </w:p>
    <w:p w:rsidR="00836CDF" w:rsidRDefault="00836CDF" w:rsidP="00836CDF"/>
    <w:p w:rsidR="00836CDF" w:rsidRDefault="00836CDF" w:rsidP="00836CDF">
      <w:pPr>
        <w:pStyle w:val="Questionstyle"/>
        <w:numPr>
          <w:ilvl w:val="0"/>
          <w:numId w:val="40"/>
        </w:numPr>
      </w:pPr>
      <w:r>
        <w:t>Which hedging arrangements would you consider as compatible with the operational principles outlined above? Insofar as you consider some (or all) of the hedging strategies in paragraph 30(a)-(b) as being compatible with these operational principles, please justify how such strategies are compatible with each one of the principles.</w:t>
      </w:r>
    </w:p>
    <w:p w:rsidR="00836CDF" w:rsidRDefault="00836CDF" w:rsidP="00836CDF">
      <w:r>
        <w:t>&lt;ESMA_QUESTION_DP_SC_11&gt;</w:t>
      </w:r>
    </w:p>
    <w:p w:rsidR="00836CDF" w:rsidRDefault="00CE2140" w:rsidP="00836CDF">
      <w:permStart w:id="1344879401" w:edGrp="everyone"/>
      <w:r>
        <w:t xml:space="preserve">Principally, every arrangement that meets the definition </w:t>
      </w:r>
      <w:bookmarkStart w:id="3" w:name="_GoBack"/>
      <w:bookmarkEnd w:id="3"/>
      <w:r>
        <w:t>of “hedging” as suggested in our answer to que</w:t>
      </w:r>
      <w:r>
        <w:t>s</w:t>
      </w:r>
      <w:r>
        <w:t>tion 4 should be compatible with the operational principles as outlined. There may be some derivative instruments which would be appropriate to achieve a defined hedging target, but which turn out to be pro</w:t>
      </w:r>
      <w:r>
        <w:t>b</w:t>
      </w:r>
      <w:r>
        <w:t>lematic with view to the operational requirements. However, it is then up to the management company to</w:t>
      </w:r>
      <w:r w:rsidR="005851C8">
        <w:t xml:space="preserve"> choose other instruments and </w:t>
      </w:r>
      <w:r>
        <w:t>implement the overlay not only in the most (cost) efficient way, but also in line with ESMA’s princ</w:t>
      </w:r>
      <w:r>
        <w:t>i</w:t>
      </w:r>
      <w:r>
        <w:t>ples.</w:t>
      </w:r>
    </w:p>
    <w:permEnd w:id="1344879401"/>
    <w:p w:rsidR="00836CDF" w:rsidRDefault="00836CDF" w:rsidP="00836CDF">
      <w:pPr>
        <w:rPr>
          <w:lang w:val="fr-BE"/>
        </w:rPr>
      </w:pPr>
      <w:r>
        <w:t>&lt;ESMA_QUESTION_DP_SC_11&gt;</w:t>
      </w:r>
    </w:p>
    <w:p w:rsidR="00836CDF" w:rsidRDefault="00836CDF" w:rsidP="00836CDF"/>
    <w:p w:rsidR="00836CDF" w:rsidRDefault="00836CDF" w:rsidP="00836CDF">
      <w:pPr>
        <w:pStyle w:val="Questionstyle"/>
        <w:numPr>
          <w:ilvl w:val="0"/>
          <w:numId w:val="40"/>
        </w:numPr>
      </w:pPr>
      <w:r>
        <w:t>Notwithstanding the fact that ESMA considers the above operational principles as mi</w:t>
      </w:r>
      <w:r>
        <w:t>n</w:t>
      </w:r>
      <w:r>
        <w:t>imum requirements, are there additional operational principles that should apply to address the non-contagion principle?</w:t>
      </w:r>
    </w:p>
    <w:p w:rsidR="00836CDF" w:rsidRDefault="00836CDF" w:rsidP="00836CDF">
      <w:r>
        <w:t>&lt;ESMA_QUESTION_DP_SC_12&gt;</w:t>
      </w:r>
    </w:p>
    <w:p w:rsidR="00836CDF" w:rsidRDefault="003753EA" w:rsidP="00836CDF">
      <w:permStart w:id="1525444233" w:edGrp="everyone"/>
      <w:r>
        <w:t>We don’t think that any additional operational principles are necessary.</w:t>
      </w:r>
    </w:p>
    <w:permEnd w:id="1525444233"/>
    <w:p w:rsidR="00836CDF" w:rsidRDefault="00836CDF" w:rsidP="00836CDF">
      <w:pPr>
        <w:rPr>
          <w:lang w:val="fr-BE"/>
        </w:rPr>
      </w:pPr>
      <w:r>
        <w:t>&lt;ESMA_QUESTION_DP_SC_12&gt;</w:t>
      </w:r>
    </w:p>
    <w:p w:rsidR="00836CDF" w:rsidRDefault="00836CDF" w:rsidP="00836CDF"/>
    <w:p w:rsidR="00836CDF" w:rsidRDefault="00836CDF" w:rsidP="00836CDF">
      <w:pPr>
        <w:pStyle w:val="Questionstyle"/>
        <w:numPr>
          <w:ilvl w:val="0"/>
          <w:numId w:val="40"/>
        </w:numPr>
      </w:pPr>
      <w:r>
        <w:t>What effect would these additional measures have on the compatibility of the oper</w:t>
      </w:r>
      <w:r>
        <w:t>a</w:t>
      </w:r>
      <w:r>
        <w:t>tional principles with further hedging arrangements?</w:t>
      </w:r>
    </w:p>
    <w:p w:rsidR="00836CDF" w:rsidRDefault="00836CDF" w:rsidP="00836CDF">
      <w:r>
        <w:t>&lt;ESMA_QUESTION_DP_SC_13&gt;</w:t>
      </w:r>
    </w:p>
    <w:p w:rsidR="00836CDF" w:rsidRDefault="00055B38" w:rsidP="00836CDF">
      <w:permStart w:id="2028164538" w:edGrp="everyone"/>
      <w:r>
        <w:lastRenderedPageBreak/>
        <w:t>Please see our answer to question no. 12.</w:t>
      </w:r>
    </w:p>
    <w:permEnd w:id="2028164538"/>
    <w:p w:rsidR="00836CDF" w:rsidRDefault="00836CDF" w:rsidP="00836CDF">
      <w:pPr>
        <w:rPr>
          <w:lang w:val="fr-BE"/>
        </w:rPr>
      </w:pPr>
      <w:r>
        <w:t>&lt;ESMA_QUESTION_DP_SC_13&gt;</w:t>
      </w:r>
    </w:p>
    <w:p w:rsidR="00836CDF" w:rsidRDefault="00836CDF" w:rsidP="00836CDF"/>
    <w:p w:rsidR="00836CDF" w:rsidRDefault="00836CDF" w:rsidP="00836CDF">
      <w:pPr>
        <w:pStyle w:val="Questionstyle"/>
        <w:numPr>
          <w:ilvl w:val="0"/>
          <w:numId w:val="40"/>
        </w:numPr>
      </w:pPr>
      <w:r>
        <w:t>What is your view on the principle of “pre-determination”?</w:t>
      </w:r>
    </w:p>
    <w:p w:rsidR="00836CDF" w:rsidRDefault="00836CDF" w:rsidP="00836CDF">
      <w:r>
        <w:t>&lt;ESMA_QUESTION_DP_SC_14&gt;</w:t>
      </w:r>
    </w:p>
    <w:p w:rsidR="00836CDF" w:rsidRDefault="00B27E02" w:rsidP="00836CDF">
      <w:permStart w:id="1662255496" w:edGrp="everyone"/>
      <w:r>
        <w:t xml:space="preserve">We agree with the principle of pre-determination as outlined in par. 31 to 34 of the discussion paper. </w:t>
      </w:r>
      <w:r w:rsidR="00B03716">
        <w:t xml:space="preserve">In our view, it is a precondition for adequate investor information. </w:t>
      </w:r>
      <w:r w:rsidR="00EA2D5C">
        <w:t>I</w:t>
      </w:r>
      <w:r w:rsidR="00B03716">
        <w:t>t would be impossible to adhere to the princ</w:t>
      </w:r>
      <w:r w:rsidR="00B03716">
        <w:t>i</w:t>
      </w:r>
      <w:r w:rsidR="00B03716">
        <w:t>ple of transparency by describing to investors the nature and risks of share classes if it remain</w:t>
      </w:r>
      <w:r w:rsidR="0018027F">
        <w:t>ed</w:t>
      </w:r>
      <w:r w:rsidR="00B03716">
        <w:t xml:space="preserve"> unclear what the distinctive features </w:t>
      </w:r>
      <w:r w:rsidR="0018027F">
        <w:t>are, or to which extent there are any differences at all between share classes.</w:t>
      </w:r>
    </w:p>
    <w:p w:rsidR="00634B9B" w:rsidRDefault="00634B9B" w:rsidP="00836CDF"/>
    <w:p w:rsidR="00D013C5" w:rsidRDefault="00634B9B" w:rsidP="00836CDF">
      <w:r>
        <w:t xml:space="preserve">However, par. 29 lit. b and c </w:t>
      </w:r>
      <w:r w:rsidR="00075621">
        <w:t xml:space="preserve">of the discussion paper </w:t>
      </w:r>
      <w:r>
        <w:t>seem to indicate that, when defining a hedging ove</w:t>
      </w:r>
      <w:r>
        <w:t>r</w:t>
      </w:r>
      <w:r>
        <w:t xml:space="preserve">lay as share class feature, the UCITS management company </w:t>
      </w:r>
      <w:r w:rsidR="00075621">
        <w:t>may</w:t>
      </w:r>
      <w:r>
        <w:t xml:space="preserve"> set up a “hedging corridor” </w:t>
      </w:r>
      <w:r w:rsidR="00075621">
        <w:t>and explici</w:t>
      </w:r>
      <w:r w:rsidR="00075621">
        <w:t>t</w:t>
      </w:r>
      <w:r w:rsidR="00075621">
        <w:t xml:space="preserve">ly allow </w:t>
      </w:r>
      <w:r w:rsidR="00DB692A">
        <w:t xml:space="preserve"> for example</w:t>
      </w:r>
      <w:r w:rsidR="00075621">
        <w:t xml:space="preserve"> </w:t>
      </w:r>
      <w:r w:rsidR="00DB692A">
        <w:t>a certain level of under-hedging. ESMA should therefore clarify that such pre-defined ranges or corridors are not considered as management discretion and do</w:t>
      </w:r>
      <w:r w:rsidR="00E5790E">
        <w:t xml:space="preserve"> </w:t>
      </w:r>
      <w:r w:rsidR="00DB692A">
        <w:t>n</w:t>
      </w:r>
      <w:r w:rsidR="00E5790E">
        <w:t>o</w:t>
      </w:r>
      <w:r w:rsidR="00DB692A">
        <w:t>t contradict the principle of pre-determination.</w:t>
      </w:r>
    </w:p>
    <w:p w:rsidR="00D013C5" w:rsidRDefault="00D013C5" w:rsidP="00836CDF"/>
    <w:p w:rsidR="00634B9B" w:rsidRDefault="00D013C5" w:rsidP="00836CDF">
      <w:r>
        <w:t>As already pointed out in our response to question 8, the principle of pre-determination should not refer to</w:t>
      </w:r>
      <w:r>
        <w:t xml:space="preserve"> every single derivative instrument that might be used for hed</w:t>
      </w:r>
      <w:r>
        <w:t>g</w:t>
      </w:r>
      <w:r>
        <w:t xml:space="preserve">ing purposes. </w:t>
      </w:r>
      <w:r>
        <w:t>Only t</w:t>
      </w:r>
      <w:r>
        <w:t>he type of risk that shall be hedged</w:t>
      </w:r>
      <w:r>
        <w:t xml:space="preserve">, </w:t>
      </w:r>
      <w:r>
        <w:t>the envisaged degree of hedging and the general way of how to do it have to be d</w:t>
      </w:r>
      <w:r>
        <w:t>e</w:t>
      </w:r>
      <w:r>
        <w:t>fined</w:t>
      </w:r>
      <w:r>
        <w:t xml:space="preserve"> in advance. The management company will then decide which instrument or counterparty, at a given point in time, seems most suitable and/ or least expensive to achieve the defined hedging. If </w:t>
      </w:r>
      <w:r w:rsidR="006226A7">
        <w:t>concrete instruments were to be listed in advance, this would hinder an effective management and lead to additional costs.</w:t>
      </w:r>
    </w:p>
    <w:permEnd w:id="1662255496"/>
    <w:p w:rsidR="00836CDF" w:rsidRDefault="00836CDF" w:rsidP="00836CDF">
      <w:pPr>
        <w:rPr>
          <w:lang w:val="fr-BE"/>
        </w:rPr>
      </w:pPr>
      <w:r>
        <w:t>&lt;ESMA_QUESTION_DP_SC_14&gt;</w:t>
      </w:r>
    </w:p>
    <w:p w:rsidR="00836CDF" w:rsidRDefault="00836CDF" w:rsidP="00836CDF"/>
    <w:p w:rsidR="00836CDF" w:rsidRDefault="00836CDF" w:rsidP="00836CDF">
      <w:pPr>
        <w:pStyle w:val="Questionstyle"/>
        <w:numPr>
          <w:ilvl w:val="0"/>
          <w:numId w:val="40"/>
        </w:numPr>
      </w:pPr>
      <w:r>
        <w:t>Are there additional requirements necessary to implement this principle?</w:t>
      </w:r>
    </w:p>
    <w:p w:rsidR="00836CDF" w:rsidRDefault="00836CDF" w:rsidP="00836CDF">
      <w:r>
        <w:t>&lt;ESMA_QUESTION_DP_SC_15&gt;</w:t>
      </w:r>
    </w:p>
    <w:p w:rsidR="00836CDF" w:rsidRDefault="003D2CB1" w:rsidP="00836CDF">
      <w:permStart w:id="1228685841" w:edGrp="everyone"/>
      <w:r>
        <w:t>We</w:t>
      </w:r>
      <w:r w:rsidR="008A3581">
        <w:t xml:space="preserve"> don’t see any need for additional requirements.</w:t>
      </w:r>
    </w:p>
    <w:permEnd w:id="1228685841"/>
    <w:p w:rsidR="00836CDF" w:rsidRDefault="00836CDF" w:rsidP="00836CDF">
      <w:pPr>
        <w:rPr>
          <w:lang w:val="fr-BE"/>
        </w:rPr>
      </w:pPr>
      <w:r>
        <w:t>&lt;ESMA_QUESTION_DP_SC_15&gt;</w:t>
      </w:r>
    </w:p>
    <w:p w:rsidR="00836CDF" w:rsidRDefault="00836CDF" w:rsidP="00836CDF"/>
    <w:p w:rsidR="00836CDF" w:rsidRDefault="00836CDF" w:rsidP="00836CDF">
      <w:pPr>
        <w:pStyle w:val="Questionstyle"/>
        <w:numPr>
          <w:ilvl w:val="0"/>
          <w:numId w:val="40"/>
        </w:numPr>
      </w:pPr>
      <w:r>
        <w:t>What is your view on the principle of “transparency”?</w:t>
      </w:r>
    </w:p>
    <w:p w:rsidR="00836CDF" w:rsidRDefault="00836CDF" w:rsidP="00836CDF">
      <w:r>
        <w:t>&lt;ESMA_QUESTION_DP_SC_16&gt;</w:t>
      </w:r>
    </w:p>
    <w:p w:rsidR="00836CDF" w:rsidRDefault="009E6B56" w:rsidP="00836CDF">
      <w:permStart w:id="1111833845" w:edGrp="everyone"/>
      <w:r>
        <w:t>We fully agree with this principle as described in par. 35 of the discussion paper.</w:t>
      </w:r>
    </w:p>
    <w:permEnd w:id="1111833845"/>
    <w:p w:rsidR="00836CDF" w:rsidRDefault="00836CDF" w:rsidP="00836CDF">
      <w:pPr>
        <w:rPr>
          <w:lang w:val="fr-BE"/>
        </w:rPr>
      </w:pPr>
      <w:r>
        <w:t>&lt;ESMA_QUESTION_DP_SC_16&gt;</w:t>
      </w:r>
    </w:p>
    <w:p w:rsidR="00836CDF" w:rsidRDefault="00836CDF" w:rsidP="00836CDF"/>
    <w:p w:rsidR="00836CDF" w:rsidRDefault="00836CDF" w:rsidP="00836CDF">
      <w:pPr>
        <w:pStyle w:val="Questionstyle"/>
        <w:numPr>
          <w:ilvl w:val="0"/>
          <w:numId w:val="40"/>
        </w:numPr>
      </w:pPr>
      <w:r>
        <w:t>Do you consider the disclosure requirements to be sufficient?</w:t>
      </w:r>
    </w:p>
    <w:p w:rsidR="00836CDF" w:rsidRDefault="00836CDF" w:rsidP="00836CDF">
      <w:r>
        <w:t>&lt;ESMA_QUESTION_DP_SC_17&gt;</w:t>
      </w:r>
    </w:p>
    <w:p w:rsidR="00836CDF" w:rsidRDefault="008831FD" w:rsidP="00836CDF">
      <w:permStart w:id="1700201807" w:edGrp="everyone"/>
      <w:r>
        <w:t>We deem disclosure via the fund prospectus and the periodic reports to be sufficient. German legislation</w:t>
      </w:r>
      <w:r w:rsidR="009E6B56">
        <w:t xml:space="preserve"> already provides for </w:t>
      </w:r>
      <w:r w:rsidR="001801EC">
        <w:t>it</w:t>
      </w:r>
      <w:r>
        <w:t xml:space="preserve"> (§ 165 par. 2 no. 27 KAGB, </w:t>
      </w:r>
      <w:r w:rsidR="009E6B56">
        <w:t>§ 15 KARBV)</w:t>
      </w:r>
      <w:r>
        <w:t>.</w:t>
      </w:r>
    </w:p>
    <w:permEnd w:id="1700201807"/>
    <w:p w:rsidR="00836CDF" w:rsidRDefault="00836CDF" w:rsidP="00836CDF">
      <w:pPr>
        <w:rPr>
          <w:lang w:val="fr-BE"/>
        </w:rPr>
      </w:pPr>
      <w:r>
        <w:t>&lt;ESMA_QUESTION_DP_SC_17&gt;</w:t>
      </w:r>
    </w:p>
    <w:p w:rsidR="00836CDF" w:rsidRDefault="00836CDF" w:rsidP="00836CDF"/>
    <w:p w:rsidR="00836CDF" w:rsidRDefault="00836CDF" w:rsidP="00836CDF">
      <w:pPr>
        <w:pStyle w:val="Questionstyle"/>
        <w:numPr>
          <w:ilvl w:val="0"/>
          <w:numId w:val="40"/>
        </w:numPr>
      </w:pPr>
      <w:r>
        <w:t>Notwithstanding the fact that ESMA considers the above operational principles on transparency as minimum requirements, which modifications would you deem necessary?</w:t>
      </w:r>
    </w:p>
    <w:p w:rsidR="00836CDF" w:rsidRDefault="00836CDF" w:rsidP="00836CDF">
      <w:r>
        <w:t>&lt;ESMA_QUESTION_DP_SC_18&gt;</w:t>
      </w:r>
    </w:p>
    <w:p w:rsidR="00836CDF" w:rsidRDefault="00757D34" w:rsidP="00836CDF">
      <w:permStart w:id="464325102" w:edGrp="everyone"/>
      <w:r>
        <w:t xml:space="preserve">We </w:t>
      </w:r>
      <w:r w:rsidR="001801EC">
        <w:t xml:space="preserve">advise to delete par. 36 lit. b as we are of the opinion that </w:t>
      </w:r>
      <w:r>
        <w:t>a separate list of share classes with cont</w:t>
      </w:r>
      <w:r>
        <w:t>a</w:t>
      </w:r>
      <w:r>
        <w:t xml:space="preserve">gion risk </w:t>
      </w:r>
      <w:r w:rsidR="00171BB3">
        <w:t xml:space="preserve">will </w:t>
      </w:r>
      <w:r w:rsidR="001801EC">
        <w:t xml:space="preserve">not </w:t>
      </w:r>
      <w:r w:rsidR="00171BB3">
        <w:t xml:space="preserve">be of </w:t>
      </w:r>
      <w:r w:rsidR="001801EC">
        <w:t xml:space="preserve">additional </w:t>
      </w:r>
      <w:r w:rsidR="003D4620">
        <w:t>use to investors</w:t>
      </w:r>
      <w:r>
        <w:t xml:space="preserve">. If the principle of pre-determination is adhered to, it should be clear for any new share class right from the beginning </w:t>
      </w:r>
      <w:r w:rsidR="00331935">
        <w:t xml:space="preserve">from/ to </w:t>
      </w:r>
      <w:r>
        <w:t>which other share classes</w:t>
      </w:r>
      <w:r w:rsidR="00331935">
        <w:t xml:space="preserve"> risks may spill over</w:t>
      </w:r>
      <w:r>
        <w:t>. This aspect should be part of the information given in the prospectus and in the fund r</w:t>
      </w:r>
      <w:r>
        <w:t>e</w:t>
      </w:r>
      <w:r>
        <w:t>ports</w:t>
      </w:r>
      <w:r w:rsidR="001801EC">
        <w:t xml:space="preserve"> as from the setting up of a new share class.</w:t>
      </w:r>
      <w:r>
        <w:t xml:space="preserve"> </w:t>
      </w:r>
      <w:r w:rsidR="001801EC">
        <w:t xml:space="preserve">In our view, </w:t>
      </w:r>
      <w:r>
        <w:t xml:space="preserve">the relation between share classes in terms of </w:t>
      </w:r>
      <w:r w:rsidR="00331935">
        <w:t xml:space="preserve">risk influence will not </w:t>
      </w:r>
      <w:r w:rsidR="001801EC">
        <w:t xml:space="preserve">materially </w:t>
      </w:r>
      <w:r w:rsidR="00331935">
        <w:t>change as long as the share classes’ features remain the same</w:t>
      </w:r>
      <w:r w:rsidR="001801EC">
        <w:t xml:space="preserve">. If </w:t>
      </w:r>
      <w:r w:rsidR="001801EC">
        <w:lastRenderedPageBreak/>
        <w:t>features are changed, we assume that investors have to be informed via the prospectus and fund reports. Therefore an</w:t>
      </w:r>
      <w:r w:rsidR="00EB7C9A">
        <w:t xml:space="preserve"> additional list </w:t>
      </w:r>
      <w:r w:rsidR="001801EC">
        <w:t>seems superfluous</w:t>
      </w:r>
      <w:r w:rsidR="00EB7C9A">
        <w:t>.</w:t>
      </w:r>
    </w:p>
    <w:permEnd w:id="464325102"/>
    <w:p w:rsidR="00836CDF" w:rsidRDefault="00836CDF" w:rsidP="00836CDF">
      <w:pPr>
        <w:rPr>
          <w:lang w:val="fr-BE"/>
        </w:rPr>
      </w:pPr>
      <w:r>
        <w:t>&lt;ESMA_QUESTION_DP_SC_18&gt;</w:t>
      </w:r>
    </w:p>
    <w:p w:rsidR="00836CDF" w:rsidRDefault="00836CDF" w:rsidP="00836CDF"/>
    <w:p w:rsidR="00836CDF" w:rsidRDefault="00836CDF" w:rsidP="00836CDF">
      <w:pPr>
        <w:pStyle w:val="Questionstyle"/>
        <w:numPr>
          <w:ilvl w:val="0"/>
          <w:numId w:val="40"/>
        </w:numPr>
      </w:pPr>
      <w:r>
        <w:t>Do you see merit in further disclosure vis-à-vis the investor?</w:t>
      </w:r>
    </w:p>
    <w:p w:rsidR="00836CDF" w:rsidRDefault="00836CDF" w:rsidP="00836CDF">
      <w:r>
        <w:t>&lt;ESMA_QUESTION_DP_SC_19&gt;</w:t>
      </w:r>
    </w:p>
    <w:p w:rsidR="00836CDF" w:rsidRDefault="005325E2" w:rsidP="00836CDF">
      <w:permStart w:id="190934223" w:edGrp="everyone"/>
      <w:r>
        <w:t>No, we don’t think any further disclosure would be of use to investors. As we</w:t>
      </w:r>
      <w:r w:rsidR="0022775C">
        <w:t xml:space="preserve"> already</w:t>
      </w:r>
      <w:r>
        <w:t xml:space="preserve"> indicated in </w:t>
      </w:r>
      <w:r w:rsidR="0022775C">
        <w:t>ESMA’s</w:t>
      </w:r>
      <w:r>
        <w:t xml:space="preserve"> previous consultation, investors are already being informed about the characteristics and risks of share classes not only in the prospectus, but also in the KIID.</w:t>
      </w:r>
    </w:p>
    <w:permEnd w:id="190934223"/>
    <w:p w:rsidR="00836CDF" w:rsidRDefault="00836CDF" w:rsidP="00836CDF">
      <w:r>
        <w:t>&lt;ESMA_QUESTION_DP_SC_19&gt;</w:t>
      </w:r>
    </w:p>
    <w:p w:rsidR="00836CDF" w:rsidRDefault="00836CDF" w:rsidP="00836CDF"/>
    <w:p w:rsidR="00836CDF" w:rsidRDefault="00836CDF" w:rsidP="00836CDF">
      <w:pPr>
        <w:pStyle w:val="Questionstyle"/>
        <w:numPr>
          <w:ilvl w:val="0"/>
          <w:numId w:val="40"/>
        </w:numPr>
        <w:rPr>
          <w:lang w:val="en-US"/>
        </w:rPr>
      </w:pPr>
      <w:r>
        <w:t>If a framework for share classes, based on the principles as outlined in this paper, was introduced at EU level, what impact on the European fund market could this have?</w:t>
      </w:r>
    </w:p>
    <w:p w:rsidR="00836CDF" w:rsidRDefault="00836CDF" w:rsidP="00836CDF">
      <w:r>
        <w:t>&lt;ESMA_QUESTION_DP_SC_20&gt;</w:t>
      </w:r>
    </w:p>
    <w:p w:rsidR="00836CDF" w:rsidRDefault="00350FF9" w:rsidP="00836CDF">
      <w:permStart w:id="1130899573" w:edGrp="everyone"/>
      <w:r>
        <w:t>A common understanding regarding the nature and possible features of UCIT</w:t>
      </w:r>
      <w:r w:rsidR="00BB386B">
        <w:t>S</w:t>
      </w:r>
      <w:r>
        <w:t xml:space="preserve"> share classes could co</w:t>
      </w:r>
      <w:r>
        <w:t>n</w:t>
      </w:r>
      <w:r>
        <w:t>tribute to further harmonisation of the supervisory practices and hence strengthen the Single Market for UCITS. However, the impact of a new framework will very much depend on the</w:t>
      </w:r>
      <w:r w:rsidR="00F77C84">
        <w:t xml:space="preserve"> provided </w:t>
      </w:r>
      <w:r>
        <w:t xml:space="preserve">level of flexibility for the use of share classes. If hedging overlays were to be restricted, this could be detrimental to the competitiveness of the EU fund industry in worldwide terms. It would also reduce </w:t>
      </w:r>
      <w:r w:rsidR="00F77C84">
        <w:t>UCIT</w:t>
      </w:r>
      <w:r w:rsidR="00BB386B">
        <w:t>S</w:t>
      </w:r>
      <w:r w:rsidR="00F77C84">
        <w:t xml:space="preserve"> managers’ ability to improve the (cost) effectiveness of their operations.</w:t>
      </w:r>
    </w:p>
    <w:permEnd w:id="1130899573"/>
    <w:p w:rsidR="00836CDF" w:rsidRDefault="00836CDF" w:rsidP="00836CDF">
      <w:pPr>
        <w:rPr>
          <w:lang w:val="fr-BE"/>
        </w:rPr>
      </w:pPr>
      <w:r>
        <w:t>&lt;ESMA_QUESTION_DP_SC_20&gt;</w:t>
      </w:r>
    </w:p>
    <w:p w:rsidR="00836CDF" w:rsidRDefault="00836CDF" w:rsidP="00836CDF"/>
    <w:p w:rsidR="00836CDF" w:rsidRDefault="00836CDF" w:rsidP="00836CDF">
      <w:pPr>
        <w:pStyle w:val="Questionstyle"/>
        <w:numPr>
          <w:ilvl w:val="0"/>
          <w:numId w:val="40"/>
        </w:numPr>
      </w:pPr>
      <w:r>
        <w:t>Given ESMA’s view that certain hedging arrangements currently in place might not be compliant with the common principles of share classes as outlined above, which kinds of tra</w:t>
      </w:r>
      <w:r>
        <w:t>n</w:t>
      </w:r>
      <w:r>
        <w:t>sitional provision would you deem necessary?</w:t>
      </w:r>
    </w:p>
    <w:p w:rsidR="00836CDF" w:rsidRDefault="00836CDF" w:rsidP="00836CDF">
      <w:r>
        <w:t>&lt;ESMA_QUESTION_DP_SC_21&gt;</w:t>
      </w:r>
    </w:p>
    <w:p w:rsidR="005412B0" w:rsidRDefault="005412B0" w:rsidP="00836CDF">
      <w:permStart w:id="1829641433" w:edGrp="everyone"/>
      <w:r>
        <w:t xml:space="preserve">Speaking </w:t>
      </w:r>
      <w:r w:rsidR="00BB386B">
        <w:t xml:space="preserve">on behalf </w:t>
      </w:r>
      <w:r w:rsidR="00B03716">
        <w:t>of</w:t>
      </w:r>
      <w:r>
        <w:t xml:space="preserve"> the German fund industry, we are currently not allowed to use hedging overlays except for currency hedging. However, as Germany is target market for many funds from other EU juri</w:t>
      </w:r>
      <w:r>
        <w:t>s</w:t>
      </w:r>
      <w:r>
        <w:t xml:space="preserve">dictions, the question of transitional provisions is not merely academic to us.    </w:t>
      </w:r>
    </w:p>
    <w:p w:rsidR="005412B0" w:rsidRDefault="005412B0" w:rsidP="00836CDF"/>
    <w:p w:rsidR="00836CDF" w:rsidRDefault="00752A23" w:rsidP="00836CDF">
      <w:r>
        <w:t xml:space="preserve">If the use of UCITS share classes should be restricted despite the negative consequences outlined above, a grandfathering rule for existing share classes </w:t>
      </w:r>
      <w:r w:rsidR="007A6F10">
        <w:t>would be</w:t>
      </w:r>
      <w:r>
        <w:t xml:space="preserve"> necessary. Investors have confidence in the UCITS regime as a stable and </w:t>
      </w:r>
      <w:r w:rsidR="00245623">
        <w:t xml:space="preserve">well-proven system. This should not be undermined by </w:t>
      </w:r>
      <w:r w:rsidR="00920D02">
        <w:t xml:space="preserve">mandatory </w:t>
      </w:r>
      <w:r w:rsidR="00245623">
        <w:t xml:space="preserve">changes that may materially impact the </w:t>
      </w:r>
      <w:r w:rsidR="00920D02">
        <w:t>compatibility</w:t>
      </w:r>
      <w:r w:rsidR="00245623">
        <w:t xml:space="preserve"> of a</w:t>
      </w:r>
      <w:r w:rsidR="005412B0">
        <w:t>n existing</w:t>
      </w:r>
      <w:r w:rsidR="00920D02">
        <w:t xml:space="preserve"> </w:t>
      </w:r>
      <w:r w:rsidR="00245623">
        <w:t>investment</w:t>
      </w:r>
      <w:r w:rsidR="00920D02">
        <w:t xml:space="preserve"> with the investor’s needs and wis</w:t>
      </w:r>
      <w:r w:rsidR="00920D02">
        <w:t>h</w:t>
      </w:r>
      <w:r w:rsidR="00920D02">
        <w:t>es</w:t>
      </w:r>
      <w:r w:rsidR="00245623">
        <w:t>.</w:t>
      </w:r>
    </w:p>
    <w:permEnd w:id="1829641433"/>
    <w:p w:rsidR="00836CDF" w:rsidRDefault="00836CDF" w:rsidP="00836CDF">
      <w:pPr>
        <w:rPr>
          <w:lang w:val="fr-BE"/>
        </w:rPr>
      </w:pPr>
      <w:r>
        <w:t>&lt;ESMA_QUESTION_DP_SC_21&gt;</w:t>
      </w:r>
    </w:p>
    <w:p w:rsidR="009A2624" w:rsidRDefault="009A2624" w:rsidP="009A2624"/>
    <w:p w:rsidR="00F31E57" w:rsidRPr="0075015C" w:rsidRDefault="00F31E57" w:rsidP="008701E5">
      <w:pPr>
        <w:pStyle w:val="QuestionsFORM"/>
        <w:numPr>
          <w:ilvl w:val="0"/>
          <w:numId w:val="0"/>
        </w:numPr>
        <w:rPr>
          <w:lang w:val="fr-FR"/>
        </w:rPr>
      </w:pPr>
    </w:p>
    <w:sectPr w:rsidR="00F31E57" w:rsidRPr="0075015C"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B9D" w:rsidRDefault="00D87B9D">
      <w:r>
        <w:separator/>
      </w:r>
    </w:p>
    <w:p w:rsidR="00D87B9D" w:rsidRDefault="00D87B9D"/>
  </w:endnote>
  <w:endnote w:type="continuationSeparator" w:id="0">
    <w:p w:rsidR="00D87B9D" w:rsidRDefault="00D87B9D">
      <w:r>
        <w:continuationSeparator/>
      </w:r>
    </w:p>
    <w:p w:rsidR="00D87B9D" w:rsidRDefault="00D87B9D"/>
  </w:endnote>
  <w:endnote w:type="continuationNotice" w:id="1">
    <w:p w:rsidR="00D87B9D" w:rsidRDefault="00D87B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486" w:rsidRDefault="0082448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0514CA" w:rsidRPr="00616B9B" w:rsidTr="00315E96">
      <w:trPr>
        <w:trHeight w:val="284"/>
      </w:trPr>
      <w:tc>
        <w:tcPr>
          <w:tcW w:w="8460" w:type="dxa"/>
        </w:tcPr>
        <w:p w:rsidR="000514CA" w:rsidRPr="00315E96" w:rsidRDefault="000514CA" w:rsidP="00315E96">
          <w:pPr>
            <w:pStyle w:val="00Footer"/>
            <w:rPr>
              <w:lang w:val="fr-FR"/>
            </w:rPr>
          </w:pPr>
        </w:p>
      </w:tc>
      <w:tc>
        <w:tcPr>
          <w:tcW w:w="952" w:type="dxa"/>
        </w:tcPr>
        <w:p w:rsidR="000514CA" w:rsidRPr="00616B9B" w:rsidRDefault="000514C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7D4F89">
            <w:rPr>
              <w:rFonts w:cs="Arial"/>
              <w:noProof/>
              <w:sz w:val="22"/>
              <w:szCs w:val="22"/>
            </w:rPr>
            <w:t>8</w:t>
          </w:r>
          <w:r w:rsidRPr="00616B9B">
            <w:rPr>
              <w:rFonts w:cs="Arial"/>
              <w:noProof/>
              <w:sz w:val="22"/>
              <w:szCs w:val="22"/>
            </w:rPr>
            <w:fldChar w:fldCharType="end"/>
          </w:r>
        </w:p>
      </w:tc>
    </w:tr>
  </w:tbl>
  <w:p w:rsidR="000514CA" w:rsidRDefault="000514C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486" w:rsidRDefault="00824486">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4CA" w:rsidRDefault="000514C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B9D" w:rsidRDefault="00D87B9D">
      <w:r>
        <w:separator/>
      </w:r>
    </w:p>
    <w:p w:rsidR="00D87B9D" w:rsidRDefault="00D87B9D"/>
  </w:footnote>
  <w:footnote w:type="continuationSeparator" w:id="0">
    <w:p w:rsidR="00D87B9D" w:rsidRDefault="00D87B9D">
      <w:r>
        <w:continuationSeparator/>
      </w:r>
    </w:p>
    <w:p w:rsidR="00D87B9D" w:rsidRDefault="00D87B9D"/>
  </w:footnote>
  <w:footnote w:type="continuationNotice" w:id="1">
    <w:p w:rsidR="00D87B9D" w:rsidRDefault="00D87B9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486" w:rsidRDefault="0082448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4CA" w:rsidRDefault="000514CA">
    <w:pPr>
      <w:pStyle w:val="Kopfzeile"/>
    </w:pPr>
    <w:r>
      <w:rPr>
        <w:noProof/>
        <w:lang w:val="de-DE"/>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4CA" w:rsidRDefault="000514CA" w:rsidP="00013CCE">
    <w:pPr>
      <w:pStyle w:val="Kopfzeile"/>
      <w:jc w:val="right"/>
    </w:pPr>
    <w:r>
      <w:rPr>
        <w:noProof/>
        <w:lang w:val="de-DE"/>
      </w:rPr>
      <w:drawing>
        <wp:anchor distT="0" distB="0" distL="114300" distR="114300" simplePos="0" relativeHeight="251657216" behindDoc="0" locked="0" layoutInCell="1" allowOverlap="1" wp14:anchorId="462FAF3F" wp14:editId="2E62E5A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5168" behindDoc="1" locked="0" layoutInCell="1" allowOverlap="1" wp14:anchorId="69599ABC" wp14:editId="2D9204C3">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4CA" w:rsidRDefault="000514C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0514CA" w:rsidRPr="002F4496" w:rsidTr="000C06C9">
      <w:trPr>
        <w:trHeight w:val="284"/>
      </w:trPr>
      <w:tc>
        <w:tcPr>
          <w:tcW w:w="8460" w:type="dxa"/>
        </w:tcPr>
        <w:p w:rsidR="000514CA" w:rsidRPr="000C3B6D" w:rsidRDefault="000514CA" w:rsidP="000C06C9">
          <w:pPr>
            <w:pStyle w:val="00Footer"/>
            <w:rPr>
              <w:lang w:val="fr-FR"/>
            </w:rPr>
          </w:pPr>
        </w:p>
      </w:tc>
      <w:tc>
        <w:tcPr>
          <w:tcW w:w="952" w:type="dxa"/>
        </w:tcPr>
        <w:p w:rsidR="000514CA" w:rsidRPr="00146B34" w:rsidRDefault="000514CA" w:rsidP="000C06C9">
          <w:pPr>
            <w:pStyle w:val="00aPagenumber"/>
            <w:rPr>
              <w:lang w:val="fr-FR"/>
            </w:rPr>
          </w:pPr>
        </w:p>
      </w:tc>
    </w:tr>
  </w:tbl>
  <w:p w:rsidR="000514CA" w:rsidRPr="00DB46C3" w:rsidRDefault="000514CA">
    <w:pPr>
      <w:rPr>
        <w:lang w:val="fr-FR"/>
      </w:rPr>
    </w:pPr>
  </w:p>
  <w:p w:rsidR="000514CA" w:rsidRPr="002F4496" w:rsidRDefault="000514CA">
    <w:pPr>
      <w:pStyle w:val="Kopfzeile"/>
      <w:rPr>
        <w:lang w:val="fr-FR"/>
      </w:rPr>
    </w:pPr>
  </w:p>
  <w:p w:rsidR="000514CA" w:rsidRPr="002F4496" w:rsidRDefault="000514CA" w:rsidP="000C06C9">
    <w:pPr>
      <w:pStyle w:val="Kopfzeile"/>
      <w:tabs>
        <w:tab w:val="clear" w:pos="4536"/>
        <w:tab w:val="clear" w:pos="9072"/>
        <w:tab w:val="left" w:pos="8227"/>
      </w:tabs>
      <w:rPr>
        <w:lang w:val="fr-FR"/>
      </w:rPr>
    </w:pPr>
  </w:p>
  <w:p w:rsidR="000514CA" w:rsidRPr="002F4496" w:rsidRDefault="000514CA" w:rsidP="000C06C9">
    <w:pPr>
      <w:pStyle w:val="Kopfzeile"/>
      <w:tabs>
        <w:tab w:val="clear" w:pos="4536"/>
        <w:tab w:val="clear" w:pos="9072"/>
        <w:tab w:val="left" w:pos="8227"/>
      </w:tabs>
      <w:rPr>
        <w:lang w:val="fr-FR"/>
      </w:rPr>
    </w:pPr>
  </w:p>
  <w:p w:rsidR="000514CA" w:rsidRPr="002F4496" w:rsidRDefault="000514CA">
    <w:pPr>
      <w:pStyle w:val="Kopfzeile"/>
      <w:rPr>
        <w:lang w:val="fr-FR"/>
      </w:rPr>
    </w:pPr>
  </w:p>
  <w:p w:rsidR="000514CA" w:rsidRPr="002F4496" w:rsidRDefault="000514CA">
    <w:pPr>
      <w:pStyle w:val="Kopfzeile"/>
      <w:rPr>
        <w:lang w:val="fr-FR"/>
      </w:rPr>
    </w:pPr>
  </w:p>
  <w:p w:rsidR="000514CA" w:rsidRPr="002F4496" w:rsidRDefault="000514CA">
    <w:pPr>
      <w:pStyle w:val="Kopfzeile"/>
      <w:rPr>
        <w:lang w:val="fr-FR"/>
      </w:rPr>
    </w:pPr>
  </w:p>
  <w:p w:rsidR="000514CA" w:rsidRPr="002F4496" w:rsidRDefault="000514CA">
    <w:pPr>
      <w:pStyle w:val="Kopfzeile"/>
      <w:rPr>
        <w:lang w:val="fr-FR"/>
      </w:rPr>
    </w:pPr>
  </w:p>
  <w:p w:rsidR="000514CA" w:rsidRPr="002F4496" w:rsidRDefault="000514CA">
    <w:pPr>
      <w:pStyle w:val="Kopfzeile"/>
      <w:rPr>
        <w:highlight w:val="yellow"/>
        <w:lang w:val="fr-FR"/>
      </w:rPr>
    </w:pPr>
  </w:p>
  <w:p w:rsidR="000514CA" w:rsidRDefault="000514CA">
    <w:pPr>
      <w:pStyle w:val="Kopfzeile"/>
    </w:pPr>
    <w:r>
      <w:rPr>
        <w:noProof/>
        <w:lang w:val="de-DE"/>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de-DE"/>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5D652A"/>
    <w:multiLevelType w:val="hybridMultilevel"/>
    <w:tmpl w:val="96083418"/>
    <w:lvl w:ilvl="0" w:tplc="800E09BC">
      <w:start w:val="1"/>
      <w:numFmt w:val="decimal"/>
      <w:lvlText w:val="Q%1:"/>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A1D5DFE"/>
    <w:multiLevelType w:val="hybridMultilevel"/>
    <w:tmpl w:val="3182C018"/>
    <w:lvl w:ilvl="0" w:tplc="21C04952">
      <w:start w:val="1"/>
      <w:numFmt w:val="decimal"/>
      <w:lvlText w:val="Q%1:"/>
      <w:lvlJc w:val="left"/>
      <w:pPr>
        <w:ind w:left="720" w:hanging="360"/>
      </w:pPr>
      <w:rPr>
        <w:rFonts w:cs="Times New Roman"/>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4">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74903A9"/>
    <w:multiLevelType w:val="hybridMultilevel"/>
    <w:tmpl w:val="B296BF90"/>
    <w:lvl w:ilvl="0" w:tplc="7BB661EA">
      <w:start w:val="1"/>
      <w:numFmt w:val="decimal"/>
      <w:pStyle w:val="Questionstyle"/>
      <w:lvlText w:val="Q%1:"/>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2"/>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7"/>
  </w:num>
  <w:num w:numId="21">
    <w:abstractNumId w:val="37"/>
  </w:num>
  <w:num w:numId="22">
    <w:abstractNumId w:val="25"/>
  </w:num>
  <w:num w:numId="23">
    <w:abstractNumId w:val="10"/>
  </w:num>
  <w:num w:numId="24">
    <w:abstractNumId w:val="31"/>
  </w:num>
  <w:num w:numId="25">
    <w:abstractNumId w:val="30"/>
  </w:num>
  <w:num w:numId="26">
    <w:abstractNumId w:val="20"/>
  </w:num>
  <w:num w:numId="27">
    <w:abstractNumId w:val="34"/>
  </w:num>
  <w:num w:numId="28">
    <w:abstractNumId w:val="40"/>
  </w:num>
  <w:num w:numId="29">
    <w:abstractNumId w:val="8"/>
  </w:num>
  <w:num w:numId="30">
    <w:abstractNumId w:val="4"/>
  </w:num>
  <w:num w:numId="31">
    <w:abstractNumId w:val="22"/>
  </w:num>
  <w:num w:numId="32">
    <w:abstractNumId w:val="2"/>
  </w:num>
  <w:num w:numId="33">
    <w:abstractNumId w:val="7"/>
  </w:num>
  <w:num w:numId="34">
    <w:abstractNumId w:val="21"/>
  </w:num>
  <w:num w:numId="35">
    <w:abstractNumId w:val="36"/>
  </w:num>
  <w:num w:numId="36">
    <w:abstractNumId w:val="35"/>
  </w:num>
  <w:num w:numId="37">
    <w:abstractNumId w:val="12"/>
  </w:num>
  <w:num w:numId="38">
    <w:abstractNumId w:val="3"/>
  </w:num>
  <w:num w:numId="39">
    <w:abstractNumId w:val="38"/>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WTaNJU9sgkzCB2EEnN0PsgHhLV0=" w:salt="YjsIq3pnFzWDXVdGhc+hrg=="/>
  <w:defaultTabStop w:val="709"/>
  <w:autoHyphenation/>
  <w:hyphenationZone w:val="567"/>
  <w:characterSpacingControl w:val="doNotCompress"/>
  <w:hdrShapeDefaults>
    <o:shapedefaults v:ext="edit" spidmax="2457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2A96"/>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46A"/>
    <w:rsid w:val="00025E71"/>
    <w:rsid w:val="00026269"/>
    <w:rsid w:val="00027154"/>
    <w:rsid w:val="00027ECF"/>
    <w:rsid w:val="000303BE"/>
    <w:rsid w:val="000344D6"/>
    <w:rsid w:val="00034960"/>
    <w:rsid w:val="00034AC6"/>
    <w:rsid w:val="00036FAE"/>
    <w:rsid w:val="00041858"/>
    <w:rsid w:val="0004389E"/>
    <w:rsid w:val="000463A6"/>
    <w:rsid w:val="00046CC9"/>
    <w:rsid w:val="00046E91"/>
    <w:rsid w:val="000502FE"/>
    <w:rsid w:val="0005126D"/>
    <w:rsid w:val="000514CA"/>
    <w:rsid w:val="00051992"/>
    <w:rsid w:val="00051E9A"/>
    <w:rsid w:val="00051F83"/>
    <w:rsid w:val="000521A7"/>
    <w:rsid w:val="00052F47"/>
    <w:rsid w:val="0005399B"/>
    <w:rsid w:val="00054DE6"/>
    <w:rsid w:val="00055B38"/>
    <w:rsid w:val="000569D7"/>
    <w:rsid w:val="000576D7"/>
    <w:rsid w:val="00060F72"/>
    <w:rsid w:val="000624E3"/>
    <w:rsid w:val="00062592"/>
    <w:rsid w:val="000636A1"/>
    <w:rsid w:val="000649D9"/>
    <w:rsid w:val="000652BE"/>
    <w:rsid w:val="00066479"/>
    <w:rsid w:val="0006723C"/>
    <w:rsid w:val="00070376"/>
    <w:rsid w:val="00070974"/>
    <w:rsid w:val="00071911"/>
    <w:rsid w:val="00071EAD"/>
    <w:rsid w:val="00071F4E"/>
    <w:rsid w:val="00072271"/>
    <w:rsid w:val="00072B54"/>
    <w:rsid w:val="0007463D"/>
    <w:rsid w:val="000749F0"/>
    <w:rsid w:val="00075621"/>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666A"/>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274A3"/>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1BB3"/>
    <w:rsid w:val="001725A5"/>
    <w:rsid w:val="00172681"/>
    <w:rsid w:val="00173AC7"/>
    <w:rsid w:val="001745D7"/>
    <w:rsid w:val="00175754"/>
    <w:rsid w:val="00176639"/>
    <w:rsid w:val="00176982"/>
    <w:rsid w:val="0017701C"/>
    <w:rsid w:val="00180142"/>
    <w:rsid w:val="001801EC"/>
    <w:rsid w:val="0018027F"/>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1F0"/>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4634"/>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75C"/>
    <w:rsid w:val="00227E2B"/>
    <w:rsid w:val="002301E6"/>
    <w:rsid w:val="00232F90"/>
    <w:rsid w:val="00233B08"/>
    <w:rsid w:val="00233C3B"/>
    <w:rsid w:val="002342EC"/>
    <w:rsid w:val="0023499C"/>
    <w:rsid w:val="00235CE3"/>
    <w:rsid w:val="0023636A"/>
    <w:rsid w:val="00236F34"/>
    <w:rsid w:val="002372F7"/>
    <w:rsid w:val="00237602"/>
    <w:rsid w:val="00240651"/>
    <w:rsid w:val="00240803"/>
    <w:rsid w:val="0024426D"/>
    <w:rsid w:val="00244F1D"/>
    <w:rsid w:val="00245004"/>
    <w:rsid w:val="00245623"/>
    <w:rsid w:val="00245FB4"/>
    <w:rsid w:val="00250898"/>
    <w:rsid w:val="00251EA9"/>
    <w:rsid w:val="00252843"/>
    <w:rsid w:val="002543F8"/>
    <w:rsid w:val="002551A4"/>
    <w:rsid w:val="002559F3"/>
    <w:rsid w:val="00256DFE"/>
    <w:rsid w:val="00257BA5"/>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9773A"/>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33C1"/>
    <w:rsid w:val="002F4139"/>
    <w:rsid w:val="00300624"/>
    <w:rsid w:val="00300F56"/>
    <w:rsid w:val="00301006"/>
    <w:rsid w:val="00304A71"/>
    <w:rsid w:val="003065F6"/>
    <w:rsid w:val="003066C8"/>
    <w:rsid w:val="0030739D"/>
    <w:rsid w:val="00307AFB"/>
    <w:rsid w:val="00311184"/>
    <w:rsid w:val="00312675"/>
    <w:rsid w:val="00314013"/>
    <w:rsid w:val="00314945"/>
    <w:rsid w:val="00315389"/>
    <w:rsid w:val="00315746"/>
    <w:rsid w:val="00315E96"/>
    <w:rsid w:val="00317A79"/>
    <w:rsid w:val="00317FC8"/>
    <w:rsid w:val="003223D7"/>
    <w:rsid w:val="00323D9F"/>
    <w:rsid w:val="00324FDB"/>
    <w:rsid w:val="00325F48"/>
    <w:rsid w:val="003273FE"/>
    <w:rsid w:val="00331935"/>
    <w:rsid w:val="0033194F"/>
    <w:rsid w:val="00332304"/>
    <w:rsid w:val="00332406"/>
    <w:rsid w:val="00332D8D"/>
    <w:rsid w:val="00336B56"/>
    <w:rsid w:val="00341B25"/>
    <w:rsid w:val="00341EC0"/>
    <w:rsid w:val="0034240C"/>
    <w:rsid w:val="00343BB6"/>
    <w:rsid w:val="00344496"/>
    <w:rsid w:val="00345968"/>
    <w:rsid w:val="00347667"/>
    <w:rsid w:val="003507E2"/>
    <w:rsid w:val="00350FF9"/>
    <w:rsid w:val="00351A6A"/>
    <w:rsid w:val="003522B2"/>
    <w:rsid w:val="0035455E"/>
    <w:rsid w:val="00354A6F"/>
    <w:rsid w:val="00354B48"/>
    <w:rsid w:val="00355789"/>
    <w:rsid w:val="003609B6"/>
    <w:rsid w:val="00361119"/>
    <w:rsid w:val="003618AF"/>
    <w:rsid w:val="0036538D"/>
    <w:rsid w:val="00365D12"/>
    <w:rsid w:val="0037018D"/>
    <w:rsid w:val="00372299"/>
    <w:rsid w:val="00372F02"/>
    <w:rsid w:val="00373729"/>
    <w:rsid w:val="00373C91"/>
    <w:rsid w:val="003748F0"/>
    <w:rsid w:val="003753EA"/>
    <w:rsid w:val="003755C6"/>
    <w:rsid w:val="00375AEF"/>
    <w:rsid w:val="00376367"/>
    <w:rsid w:val="00376B02"/>
    <w:rsid w:val="0037733A"/>
    <w:rsid w:val="003776DC"/>
    <w:rsid w:val="003779C1"/>
    <w:rsid w:val="00380FEC"/>
    <w:rsid w:val="00381096"/>
    <w:rsid w:val="00381226"/>
    <w:rsid w:val="00381B1B"/>
    <w:rsid w:val="00381FF6"/>
    <w:rsid w:val="00383D7D"/>
    <w:rsid w:val="00384CCE"/>
    <w:rsid w:val="003865E5"/>
    <w:rsid w:val="003926C1"/>
    <w:rsid w:val="00392900"/>
    <w:rsid w:val="00393357"/>
    <w:rsid w:val="00395E15"/>
    <w:rsid w:val="00395E7B"/>
    <w:rsid w:val="00395F4C"/>
    <w:rsid w:val="003A5DAC"/>
    <w:rsid w:val="003A6591"/>
    <w:rsid w:val="003A6E9A"/>
    <w:rsid w:val="003B08C8"/>
    <w:rsid w:val="003B0DB1"/>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2CB1"/>
    <w:rsid w:val="003D4620"/>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4D73"/>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8BD"/>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7B"/>
    <w:rsid w:val="004A3DAD"/>
    <w:rsid w:val="004B0335"/>
    <w:rsid w:val="004B0F1C"/>
    <w:rsid w:val="004B1E61"/>
    <w:rsid w:val="004B21AB"/>
    <w:rsid w:val="004B2E43"/>
    <w:rsid w:val="004B5510"/>
    <w:rsid w:val="004B59E0"/>
    <w:rsid w:val="004B667B"/>
    <w:rsid w:val="004B71C7"/>
    <w:rsid w:val="004C03AA"/>
    <w:rsid w:val="004C0B9A"/>
    <w:rsid w:val="004C14E7"/>
    <w:rsid w:val="004C1D89"/>
    <w:rsid w:val="004C2886"/>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00"/>
    <w:rsid w:val="00520083"/>
    <w:rsid w:val="0052029E"/>
    <w:rsid w:val="0052076A"/>
    <w:rsid w:val="00520A2C"/>
    <w:rsid w:val="00520E25"/>
    <w:rsid w:val="0052183D"/>
    <w:rsid w:val="00521C63"/>
    <w:rsid w:val="00522F44"/>
    <w:rsid w:val="0052360A"/>
    <w:rsid w:val="005242BA"/>
    <w:rsid w:val="005243B8"/>
    <w:rsid w:val="005252DD"/>
    <w:rsid w:val="00530A8D"/>
    <w:rsid w:val="00531C6D"/>
    <w:rsid w:val="005325E2"/>
    <w:rsid w:val="00532EF4"/>
    <w:rsid w:val="005347CE"/>
    <w:rsid w:val="00535477"/>
    <w:rsid w:val="00535DEA"/>
    <w:rsid w:val="0053723A"/>
    <w:rsid w:val="00537636"/>
    <w:rsid w:val="00537B1D"/>
    <w:rsid w:val="00540191"/>
    <w:rsid w:val="00540A2A"/>
    <w:rsid w:val="005412B0"/>
    <w:rsid w:val="00541F27"/>
    <w:rsid w:val="00542297"/>
    <w:rsid w:val="005424BC"/>
    <w:rsid w:val="00542A28"/>
    <w:rsid w:val="0054409C"/>
    <w:rsid w:val="005441D4"/>
    <w:rsid w:val="0054672D"/>
    <w:rsid w:val="00547BC5"/>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51C8"/>
    <w:rsid w:val="005860AF"/>
    <w:rsid w:val="00587F1D"/>
    <w:rsid w:val="00590348"/>
    <w:rsid w:val="00591161"/>
    <w:rsid w:val="00592318"/>
    <w:rsid w:val="005923C7"/>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2499"/>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C7BB3"/>
    <w:rsid w:val="005D1023"/>
    <w:rsid w:val="005D148F"/>
    <w:rsid w:val="005D2AD2"/>
    <w:rsid w:val="005D4A86"/>
    <w:rsid w:val="005D5EB1"/>
    <w:rsid w:val="005D6A29"/>
    <w:rsid w:val="005E0481"/>
    <w:rsid w:val="005E10BF"/>
    <w:rsid w:val="005E1834"/>
    <w:rsid w:val="005E49E5"/>
    <w:rsid w:val="005E5481"/>
    <w:rsid w:val="005E55E4"/>
    <w:rsid w:val="005E5CBE"/>
    <w:rsid w:val="005E6C5F"/>
    <w:rsid w:val="005E7636"/>
    <w:rsid w:val="005F028E"/>
    <w:rsid w:val="005F04B4"/>
    <w:rsid w:val="005F11A4"/>
    <w:rsid w:val="005F14C9"/>
    <w:rsid w:val="005F19F8"/>
    <w:rsid w:val="005F3A40"/>
    <w:rsid w:val="005F3FB1"/>
    <w:rsid w:val="005F5620"/>
    <w:rsid w:val="005F5ACF"/>
    <w:rsid w:val="005F60DC"/>
    <w:rsid w:val="006000DD"/>
    <w:rsid w:val="00600F63"/>
    <w:rsid w:val="006012E1"/>
    <w:rsid w:val="00602253"/>
    <w:rsid w:val="006023E1"/>
    <w:rsid w:val="006036BB"/>
    <w:rsid w:val="00605531"/>
    <w:rsid w:val="00605C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6A7"/>
    <w:rsid w:val="006228B2"/>
    <w:rsid w:val="006228E1"/>
    <w:rsid w:val="00622E32"/>
    <w:rsid w:val="00623688"/>
    <w:rsid w:val="006247E0"/>
    <w:rsid w:val="00625F82"/>
    <w:rsid w:val="00627999"/>
    <w:rsid w:val="00630FF7"/>
    <w:rsid w:val="0063213F"/>
    <w:rsid w:val="006333DD"/>
    <w:rsid w:val="00633433"/>
    <w:rsid w:val="006341B5"/>
    <w:rsid w:val="006346C9"/>
    <w:rsid w:val="00634727"/>
    <w:rsid w:val="00634B64"/>
    <w:rsid w:val="00634B9B"/>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331"/>
    <w:rsid w:val="00695F80"/>
    <w:rsid w:val="006966CD"/>
    <w:rsid w:val="00696735"/>
    <w:rsid w:val="0069780E"/>
    <w:rsid w:val="00697D13"/>
    <w:rsid w:val="006A1723"/>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1573"/>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5A21"/>
    <w:rsid w:val="006F6468"/>
    <w:rsid w:val="00700247"/>
    <w:rsid w:val="00701051"/>
    <w:rsid w:val="007021C2"/>
    <w:rsid w:val="00702502"/>
    <w:rsid w:val="007033A8"/>
    <w:rsid w:val="0070421B"/>
    <w:rsid w:val="007043F0"/>
    <w:rsid w:val="0070482E"/>
    <w:rsid w:val="00704D25"/>
    <w:rsid w:val="00706816"/>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86E"/>
    <w:rsid w:val="00724C18"/>
    <w:rsid w:val="00725000"/>
    <w:rsid w:val="00726630"/>
    <w:rsid w:val="00727F73"/>
    <w:rsid w:val="00730705"/>
    <w:rsid w:val="00730944"/>
    <w:rsid w:val="00730A65"/>
    <w:rsid w:val="0073248E"/>
    <w:rsid w:val="007330FB"/>
    <w:rsid w:val="00733EE9"/>
    <w:rsid w:val="00735B8E"/>
    <w:rsid w:val="0073673C"/>
    <w:rsid w:val="00736935"/>
    <w:rsid w:val="00743DE7"/>
    <w:rsid w:val="0074509E"/>
    <w:rsid w:val="00745B9F"/>
    <w:rsid w:val="0074726F"/>
    <w:rsid w:val="0075015C"/>
    <w:rsid w:val="00752A23"/>
    <w:rsid w:val="00752D4F"/>
    <w:rsid w:val="0075409F"/>
    <w:rsid w:val="0075525A"/>
    <w:rsid w:val="00755609"/>
    <w:rsid w:val="00755986"/>
    <w:rsid w:val="00755C86"/>
    <w:rsid w:val="00755E19"/>
    <w:rsid w:val="00756BFF"/>
    <w:rsid w:val="00756D77"/>
    <w:rsid w:val="00757D34"/>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84227"/>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10"/>
    <w:rsid w:val="007A7678"/>
    <w:rsid w:val="007B0CD8"/>
    <w:rsid w:val="007B0DE0"/>
    <w:rsid w:val="007B21DE"/>
    <w:rsid w:val="007B2BB9"/>
    <w:rsid w:val="007B43E8"/>
    <w:rsid w:val="007B4740"/>
    <w:rsid w:val="007B4899"/>
    <w:rsid w:val="007B502C"/>
    <w:rsid w:val="007B5F3B"/>
    <w:rsid w:val="007C02B0"/>
    <w:rsid w:val="007C063E"/>
    <w:rsid w:val="007C1901"/>
    <w:rsid w:val="007C3918"/>
    <w:rsid w:val="007C49C0"/>
    <w:rsid w:val="007C55C1"/>
    <w:rsid w:val="007C5738"/>
    <w:rsid w:val="007C5772"/>
    <w:rsid w:val="007C5AC3"/>
    <w:rsid w:val="007C7233"/>
    <w:rsid w:val="007D10EE"/>
    <w:rsid w:val="007D1193"/>
    <w:rsid w:val="007D21D5"/>
    <w:rsid w:val="007D3E8D"/>
    <w:rsid w:val="007D4F89"/>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3C8C"/>
    <w:rsid w:val="007F3CF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486"/>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CDF"/>
    <w:rsid w:val="00836E50"/>
    <w:rsid w:val="00840477"/>
    <w:rsid w:val="0084121D"/>
    <w:rsid w:val="008419C1"/>
    <w:rsid w:val="00842E53"/>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4C4A"/>
    <w:rsid w:val="00865B01"/>
    <w:rsid w:val="00866D7A"/>
    <w:rsid w:val="00866EE3"/>
    <w:rsid w:val="008701E5"/>
    <w:rsid w:val="00871F04"/>
    <w:rsid w:val="008746C1"/>
    <w:rsid w:val="008774DB"/>
    <w:rsid w:val="00880224"/>
    <w:rsid w:val="0088244C"/>
    <w:rsid w:val="008831FD"/>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3581"/>
    <w:rsid w:val="008A4CF6"/>
    <w:rsid w:val="008A4E42"/>
    <w:rsid w:val="008A51AA"/>
    <w:rsid w:val="008A6A12"/>
    <w:rsid w:val="008B0DC6"/>
    <w:rsid w:val="008B27EB"/>
    <w:rsid w:val="008B2A98"/>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D02"/>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65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0E74"/>
    <w:rsid w:val="00981BD9"/>
    <w:rsid w:val="0098225F"/>
    <w:rsid w:val="00983A3C"/>
    <w:rsid w:val="00983A8B"/>
    <w:rsid w:val="00983EFA"/>
    <w:rsid w:val="00984C15"/>
    <w:rsid w:val="00987829"/>
    <w:rsid w:val="00991276"/>
    <w:rsid w:val="009923E7"/>
    <w:rsid w:val="00992697"/>
    <w:rsid w:val="00992D4E"/>
    <w:rsid w:val="00994621"/>
    <w:rsid w:val="009947FF"/>
    <w:rsid w:val="0099544B"/>
    <w:rsid w:val="00996EFF"/>
    <w:rsid w:val="009A053D"/>
    <w:rsid w:val="009A07A6"/>
    <w:rsid w:val="009A0D56"/>
    <w:rsid w:val="009A2624"/>
    <w:rsid w:val="009A31B9"/>
    <w:rsid w:val="009A4D4F"/>
    <w:rsid w:val="009A53D8"/>
    <w:rsid w:val="009A597F"/>
    <w:rsid w:val="009A5D40"/>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3496"/>
    <w:rsid w:val="009C6091"/>
    <w:rsid w:val="009C634F"/>
    <w:rsid w:val="009C6CE1"/>
    <w:rsid w:val="009D0219"/>
    <w:rsid w:val="009D0D55"/>
    <w:rsid w:val="009D2295"/>
    <w:rsid w:val="009D2511"/>
    <w:rsid w:val="009D3E7C"/>
    <w:rsid w:val="009D55CA"/>
    <w:rsid w:val="009D5EF0"/>
    <w:rsid w:val="009D6401"/>
    <w:rsid w:val="009E0711"/>
    <w:rsid w:val="009E1917"/>
    <w:rsid w:val="009E2FDB"/>
    <w:rsid w:val="009E3594"/>
    <w:rsid w:val="009E6B56"/>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2905"/>
    <w:rsid w:val="00A04685"/>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33DB"/>
    <w:rsid w:val="00A23C4B"/>
    <w:rsid w:val="00A24269"/>
    <w:rsid w:val="00A243E4"/>
    <w:rsid w:val="00A25ED4"/>
    <w:rsid w:val="00A26C5C"/>
    <w:rsid w:val="00A30BDE"/>
    <w:rsid w:val="00A3131C"/>
    <w:rsid w:val="00A31F14"/>
    <w:rsid w:val="00A324DC"/>
    <w:rsid w:val="00A32B5A"/>
    <w:rsid w:val="00A33CCC"/>
    <w:rsid w:val="00A33ECB"/>
    <w:rsid w:val="00A34DE0"/>
    <w:rsid w:val="00A34E84"/>
    <w:rsid w:val="00A35728"/>
    <w:rsid w:val="00A36EE3"/>
    <w:rsid w:val="00A37435"/>
    <w:rsid w:val="00A4173D"/>
    <w:rsid w:val="00A41A95"/>
    <w:rsid w:val="00A4248B"/>
    <w:rsid w:val="00A4376E"/>
    <w:rsid w:val="00A4572B"/>
    <w:rsid w:val="00A46246"/>
    <w:rsid w:val="00A46349"/>
    <w:rsid w:val="00A46D5E"/>
    <w:rsid w:val="00A50847"/>
    <w:rsid w:val="00A512C7"/>
    <w:rsid w:val="00A52F41"/>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4431"/>
    <w:rsid w:val="00A65805"/>
    <w:rsid w:val="00A66B61"/>
    <w:rsid w:val="00A66BEE"/>
    <w:rsid w:val="00A671C9"/>
    <w:rsid w:val="00A67DFD"/>
    <w:rsid w:val="00A70AF5"/>
    <w:rsid w:val="00A7495B"/>
    <w:rsid w:val="00A74F9F"/>
    <w:rsid w:val="00A750B3"/>
    <w:rsid w:val="00A75559"/>
    <w:rsid w:val="00A7623D"/>
    <w:rsid w:val="00A824A7"/>
    <w:rsid w:val="00A83644"/>
    <w:rsid w:val="00A83C07"/>
    <w:rsid w:val="00A83F40"/>
    <w:rsid w:val="00A84945"/>
    <w:rsid w:val="00A85543"/>
    <w:rsid w:val="00A8728B"/>
    <w:rsid w:val="00A91682"/>
    <w:rsid w:val="00A92A84"/>
    <w:rsid w:val="00A92E4A"/>
    <w:rsid w:val="00A958CA"/>
    <w:rsid w:val="00A966B6"/>
    <w:rsid w:val="00A96B46"/>
    <w:rsid w:val="00AA003B"/>
    <w:rsid w:val="00AA016B"/>
    <w:rsid w:val="00AA15DD"/>
    <w:rsid w:val="00AA1C09"/>
    <w:rsid w:val="00AA2F67"/>
    <w:rsid w:val="00AA3569"/>
    <w:rsid w:val="00AA5F4C"/>
    <w:rsid w:val="00AA615C"/>
    <w:rsid w:val="00AA6711"/>
    <w:rsid w:val="00AB11B1"/>
    <w:rsid w:val="00AB2AEC"/>
    <w:rsid w:val="00AB2DC1"/>
    <w:rsid w:val="00AB3102"/>
    <w:rsid w:val="00AB3D9A"/>
    <w:rsid w:val="00AB4B1D"/>
    <w:rsid w:val="00AB6B5E"/>
    <w:rsid w:val="00AC047F"/>
    <w:rsid w:val="00AC3934"/>
    <w:rsid w:val="00AC50C8"/>
    <w:rsid w:val="00AC5581"/>
    <w:rsid w:val="00AC56AD"/>
    <w:rsid w:val="00AC61BE"/>
    <w:rsid w:val="00AD0B9C"/>
    <w:rsid w:val="00AD0CB4"/>
    <w:rsid w:val="00AD1FF2"/>
    <w:rsid w:val="00AD2A21"/>
    <w:rsid w:val="00AD3B43"/>
    <w:rsid w:val="00AD4FF2"/>
    <w:rsid w:val="00AD506C"/>
    <w:rsid w:val="00AD6BE5"/>
    <w:rsid w:val="00AD7675"/>
    <w:rsid w:val="00AD783E"/>
    <w:rsid w:val="00AE055E"/>
    <w:rsid w:val="00AE1393"/>
    <w:rsid w:val="00AE3BC6"/>
    <w:rsid w:val="00AE4D4F"/>
    <w:rsid w:val="00AE627C"/>
    <w:rsid w:val="00AE62B0"/>
    <w:rsid w:val="00AE68A2"/>
    <w:rsid w:val="00AF0029"/>
    <w:rsid w:val="00AF0354"/>
    <w:rsid w:val="00AF1236"/>
    <w:rsid w:val="00AF3C29"/>
    <w:rsid w:val="00AF4401"/>
    <w:rsid w:val="00AF4463"/>
    <w:rsid w:val="00AF53CB"/>
    <w:rsid w:val="00AF55F6"/>
    <w:rsid w:val="00AF65C5"/>
    <w:rsid w:val="00B020AC"/>
    <w:rsid w:val="00B03716"/>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E02"/>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6EA"/>
    <w:rsid w:val="00B76BED"/>
    <w:rsid w:val="00B806E6"/>
    <w:rsid w:val="00B82DC1"/>
    <w:rsid w:val="00B835D5"/>
    <w:rsid w:val="00B84028"/>
    <w:rsid w:val="00B84307"/>
    <w:rsid w:val="00B8430D"/>
    <w:rsid w:val="00B85661"/>
    <w:rsid w:val="00B85C8A"/>
    <w:rsid w:val="00B86FBD"/>
    <w:rsid w:val="00B8702D"/>
    <w:rsid w:val="00B87897"/>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386B"/>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2A12"/>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A3B"/>
    <w:rsid w:val="00C14F48"/>
    <w:rsid w:val="00C15296"/>
    <w:rsid w:val="00C16E79"/>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2758"/>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065D"/>
    <w:rsid w:val="00CC1783"/>
    <w:rsid w:val="00CC3B46"/>
    <w:rsid w:val="00CC3D8B"/>
    <w:rsid w:val="00CC3E2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D7E66"/>
    <w:rsid w:val="00CE157F"/>
    <w:rsid w:val="00CE1966"/>
    <w:rsid w:val="00CE1ED4"/>
    <w:rsid w:val="00CE2140"/>
    <w:rsid w:val="00CE2216"/>
    <w:rsid w:val="00CE3014"/>
    <w:rsid w:val="00CE30E5"/>
    <w:rsid w:val="00CE6FC6"/>
    <w:rsid w:val="00CE7255"/>
    <w:rsid w:val="00CF2056"/>
    <w:rsid w:val="00CF4471"/>
    <w:rsid w:val="00CF51C0"/>
    <w:rsid w:val="00CF5B2A"/>
    <w:rsid w:val="00CF5F57"/>
    <w:rsid w:val="00CF62BB"/>
    <w:rsid w:val="00CF64A7"/>
    <w:rsid w:val="00CF6730"/>
    <w:rsid w:val="00CF70E5"/>
    <w:rsid w:val="00CF7CEC"/>
    <w:rsid w:val="00CF7D17"/>
    <w:rsid w:val="00D00B0F"/>
    <w:rsid w:val="00D013C5"/>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A16"/>
    <w:rsid w:val="00D42D5E"/>
    <w:rsid w:val="00D43F14"/>
    <w:rsid w:val="00D44C18"/>
    <w:rsid w:val="00D4556D"/>
    <w:rsid w:val="00D474D5"/>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3151"/>
    <w:rsid w:val="00D75603"/>
    <w:rsid w:val="00D75FEE"/>
    <w:rsid w:val="00D76933"/>
    <w:rsid w:val="00D76D88"/>
    <w:rsid w:val="00D77CC9"/>
    <w:rsid w:val="00D83D4B"/>
    <w:rsid w:val="00D871C6"/>
    <w:rsid w:val="00D875F8"/>
    <w:rsid w:val="00D87B9D"/>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92A"/>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0D33"/>
    <w:rsid w:val="00DE18BE"/>
    <w:rsid w:val="00DE2020"/>
    <w:rsid w:val="00DE214F"/>
    <w:rsid w:val="00DE64A6"/>
    <w:rsid w:val="00DE66EB"/>
    <w:rsid w:val="00DE7035"/>
    <w:rsid w:val="00DF12E3"/>
    <w:rsid w:val="00DF2E8E"/>
    <w:rsid w:val="00DF3F1D"/>
    <w:rsid w:val="00DF595C"/>
    <w:rsid w:val="00DF7EA7"/>
    <w:rsid w:val="00E04548"/>
    <w:rsid w:val="00E0484E"/>
    <w:rsid w:val="00E063F8"/>
    <w:rsid w:val="00E067F1"/>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192"/>
    <w:rsid w:val="00E41205"/>
    <w:rsid w:val="00E41F32"/>
    <w:rsid w:val="00E42608"/>
    <w:rsid w:val="00E43536"/>
    <w:rsid w:val="00E43DA3"/>
    <w:rsid w:val="00E44B80"/>
    <w:rsid w:val="00E47430"/>
    <w:rsid w:val="00E50FB7"/>
    <w:rsid w:val="00E5199F"/>
    <w:rsid w:val="00E526DF"/>
    <w:rsid w:val="00E53A17"/>
    <w:rsid w:val="00E53C15"/>
    <w:rsid w:val="00E54EE6"/>
    <w:rsid w:val="00E55C0E"/>
    <w:rsid w:val="00E56715"/>
    <w:rsid w:val="00E56C2C"/>
    <w:rsid w:val="00E5790E"/>
    <w:rsid w:val="00E57F8E"/>
    <w:rsid w:val="00E611C8"/>
    <w:rsid w:val="00E6344A"/>
    <w:rsid w:val="00E64E69"/>
    <w:rsid w:val="00E64FB7"/>
    <w:rsid w:val="00E65B98"/>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5425"/>
    <w:rsid w:val="00E8713B"/>
    <w:rsid w:val="00E90C61"/>
    <w:rsid w:val="00E92A82"/>
    <w:rsid w:val="00E92AA8"/>
    <w:rsid w:val="00E9344E"/>
    <w:rsid w:val="00E93E39"/>
    <w:rsid w:val="00E94391"/>
    <w:rsid w:val="00E97E2B"/>
    <w:rsid w:val="00EA08CA"/>
    <w:rsid w:val="00EA0C0C"/>
    <w:rsid w:val="00EA2AEA"/>
    <w:rsid w:val="00EA2D5C"/>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B7C9A"/>
    <w:rsid w:val="00EC078B"/>
    <w:rsid w:val="00EC07A0"/>
    <w:rsid w:val="00EC08E4"/>
    <w:rsid w:val="00EC3CB4"/>
    <w:rsid w:val="00EC443E"/>
    <w:rsid w:val="00EC4D83"/>
    <w:rsid w:val="00EC4EEE"/>
    <w:rsid w:val="00EC634F"/>
    <w:rsid w:val="00EC63D9"/>
    <w:rsid w:val="00EC7B97"/>
    <w:rsid w:val="00ED049C"/>
    <w:rsid w:val="00ED07B7"/>
    <w:rsid w:val="00ED19D7"/>
    <w:rsid w:val="00ED2167"/>
    <w:rsid w:val="00ED351E"/>
    <w:rsid w:val="00ED4B27"/>
    <w:rsid w:val="00ED53FC"/>
    <w:rsid w:val="00ED543C"/>
    <w:rsid w:val="00ED6BA4"/>
    <w:rsid w:val="00ED7DA7"/>
    <w:rsid w:val="00EE0598"/>
    <w:rsid w:val="00EE1C93"/>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C8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0EFB"/>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Fußnote"/>
    <w:basedOn w:val="Standard"/>
    <w:link w:val="FunotentextZchn"/>
    <w:uiPriority w:val="99"/>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rd"/>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Absatz-Standardschriftar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rd"/>
    <w:next w:val="Standard"/>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Absatz-Standardschriftart"/>
    <w:link w:val="Questionstyle"/>
    <w:rsid w:val="009A2624"/>
    <w:rPr>
      <w:rFonts w:asciiTheme="minorHAnsi" w:eastAsiaTheme="minorEastAsia" w:hAnsiTheme="minorHAnsi" w:cstheme="minorBidi"/>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Fußnote"/>
    <w:basedOn w:val="Standard"/>
    <w:link w:val="FunotentextZchn"/>
    <w:uiPriority w:val="99"/>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rd"/>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Absatz-Standardschriftar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rd"/>
    <w:next w:val="Standard"/>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Absatz-Standardschriftart"/>
    <w:link w:val="Questionstyle"/>
    <w:rsid w:val="009A2624"/>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4103799">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39306731">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25E52-D88D-4497-8524-AF5F628BA89C}">
  <ds:schemaRefs>
    <ds:schemaRef ds:uri="http://schemas.openxmlformats.org/officeDocument/2006/bibliography"/>
  </ds:schemaRefs>
</ds:datastoreItem>
</file>

<file path=customXml/itemProps2.xml><?xml version="1.0" encoding="utf-8"?>
<ds:datastoreItem xmlns:ds="http://schemas.openxmlformats.org/officeDocument/2006/customXml" ds:itemID="{F95BF77A-F7C0-413D-9F3F-85013BEC4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3086</Words>
  <Characters>16654</Characters>
  <Application>Microsoft Office Word</Application>
  <DocSecurity>8</DocSecurity>
  <Lines>138</Lines>
  <Paragraphs>39</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ESEF CP</vt:lpstr>
      <vt:lpstr>Reply form for the ESEF CP</vt:lpstr>
      <vt:lpstr>20110000</vt:lpstr>
      <vt:lpstr>20110000</vt:lpstr>
      <vt:lpstr>20110000</vt:lpstr>
    </vt:vector>
  </TitlesOfParts>
  <Company>ESMA</Company>
  <LinksUpToDate>false</LinksUpToDate>
  <CharactersWithSpaces>19701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Claudia Benz</cp:lastModifiedBy>
  <cp:revision>98</cp:revision>
  <cp:lastPrinted>2015-02-18T11:01:00Z</cp:lastPrinted>
  <dcterms:created xsi:type="dcterms:W3CDTF">2016-04-11T14:48:00Z</dcterms:created>
  <dcterms:modified xsi:type="dcterms:W3CDTF">2016-05-24T14:52:00Z</dcterms:modified>
</cp:coreProperties>
</file>