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E42BC6" w:rsidRPr="00E3493A" w14:paraId="2833E96E" w14:textId="77777777" w:rsidTr="00F3754A">
        <w:trPr>
          <w:trHeight w:val="284"/>
        </w:trPr>
        <w:tc>
          <w:tcPr>
            <w:tcW w:w="9412" w:type="dxa"/>
          </w:tcPr>
          <w:p w14:paraId="0F26C125" w14:textId="77777777" w:rsidR="00862D7D" w:rsidRPr="00E3493A" w:rsidRDefault="00862D7D" w:rsidP="00862D7D">
            <w:pPr>
              <w:pStyle w:val="Default"/>
            </w:pPr>
          </w:p>
          <w:p w14:paraId="5CCC6462" w14:textId="77777777" w:rsidR="00E42BC6" w:rsidRPr="00E3493A" w:rsidRDefault="00862D7D" w:rsidP="00862D7D">
            <w:pPr>
              <w:pStyle w:val="00bDBInfo"/>
              <w:jc w:val="left"/>
              <w:rPr>
                <w:rFonts w:cs="Arial"/>
              </w:rPr>
            </w:pPr>
            <w:r w:rsidRPr="00E3493A">
              <w:rPr>
                <w:rFonts w:cs="Arial"/>
              </w:rPr>
              <w:t xml:space="preserve"> </w:t>
            </w:r>
            <w:r w:rsidRPr="00E3493A">
              <w:rPr>
                <w:rFonts w:cs="Arial"/>
                <w:sz w:val="22"/>
                <w:szCs w:val="22"/>
              </w:rPr>
              <w:t>27 May 2016 | ESMA/2016/723</w:t>
            </w:r>
          </w:p>
        </w:tc>
      </w:tr>
    </w:tbl>
    <w:p w14:paraId="6A8EF507" w14:textId="77777777" w:rsidR="00E42BC6" w:rsidRPr="00E3493A" w:rsidRDefault="00E42BC6" w:rsidP="00E42BC6">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E42BC6" w:rsidRPr="00E3493A" w14:paraId="3B65D3ED" w14:textId="77777777" w:rsidTr="00F3754A">
        <w:trPr>
          <w:trHeight w:hRule="exact" w:val="1209"/>
        </w:trPr>
        <w:tc>
          <w:tcPr>
            <w:tcW w:w="9397" w:type="dxa"/>
            <w:vAlign w:val="bottom"/>
          </w:tcPr>
          <w:p w14:paraId="095B061B" w14:textId="77777777" w:rsidR="00862D7D" w:rsidRPr="00E3493A" w:rsidRDefault="00862D7D" w:rsidP="00862D7D">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223"/>
            </w:tblGrid>
            <w:tr w:rsidR="00862D7D" w:rsidRPr="00E3493A" w14:paraId="73EB29FD" w14:textId="77777777" w:rsidTr="00E3493A">
              <w:trPr>
                <w:trHeight w:val="275"/>
              </w:trPr>
              <w:tc>
                <w:tcPr>
                  <w:tcW w:w="8223" w:type="dxa"/>
                </w:tcPr>
                <w:p w14:paraId="0405F741" w14:textId="77777777" w:rsidR="00862D7D" w:rsidRPr="00E3493A" w:rsidRDefault="00862D7D" w:rsidP="002D4EFF">
                  <w:pPr>
                    <w:pStyle w:val="Default"/>
                    <w:framePr w:hSpace="8505" w:wrap="around" w:vAnchor="page" w:hAnchor="page" w:x="1248" w:y="4401"/>
                    <w:rPr>
                      <w:color w:val="1F497D" w:themeColor="text2"/>
                      <w:sz w:val="56"/>
                      <w:szCs w:val="56"/>
                    </w:rPr>
                  </w:pPr>
                  <w:r w:rsidRPr="00E3493A">
                    <w:rPr>
                      <w:b/>
                      <w:bCs/>
                      <w:color w:val="1F497D" w:themeColor="text2"/>
                      <w:sz w:val="56"/>
                      <w:szCs w:val="56"/>
                    </w:rPr>
                    <w:t xml:space="preserve">Consultation Paper </w:t>
                  </w:r>
                </w:p>
              </w:tc>
            </w:tr>
            <w:tr w:rsidR="00862D7D" w:rsidRPr="00E3493A" w14:paraId="417C9125" w14:textId="77777777" w:rsidTr="00E3493A">
              <w:trPr>
                <w:trHeight w:val="137"/>
              </w:trPr>
              <w:tc>
                <w:tcPr>
                  <w:tcW w:w="8223" w:type="dxa"/>
                </w:tcPr>
                <w:p w14:paraId="1FB6C3A7" w14:textId="77777777" w:rsidR="00862D7D" w:rsidRPr="00E3493A" w:rsidRDefault="00862D7D" w:rsidP="002D4EFF">
                  <w:pPr>
                    <w:pStyle w:val="Default"/>
                    <w:framePr w:hSpace="8505" w:wrap="around" w:vAnchor="page" w:hAnchor="page" w:x="1248" w:y="4401"/>
                    <w:rPr>
                      <w:sz w:val="28"/>
                      <w:szCs w:val="28"/>
                    </w:rPr>
                  </w:pPr>
                  <w:r w:rsidRPr="00E3493A">
                    <w:rPr>
                      <w:b/>
                      <w:bCs/>
                      <w:sz w:val="28"/>
                      <w:szCs w:val="28"/>
                    </w:rPr>
                    <w:t xml:space="preserve">Draft technical advice under the Benchmarks </w:t>
                  </w:r>
                  <w:r w:rsidR="00E3493A">
                    <w:rPr>
                      <w:b/>
                      <w:bCs/>
                      <w:sz w:val="28"/>
                      <w:szCs w:val="28"/>
                    </w:rPr>
                    <w:t>Re</w:t>
                  </w:r>
                  <w:r w:rsidRPr="00E3493A">
                    <w:rPr>
                      <w:b/>
                      <w:bCs/>
                      <w:sz w:val="28"/>
                      <w:szCs w:val="28"/>
                    </w:rPr>
                    <w:t xml:space="preserve">gulation </w:t>
                  </w:r>
                </w:p>
              </w:tc>
            </w:tr>
          </w:tbl>
          <w:p w14:paraId="62D90A1D" w14:textId="77777777" w:rsidR="00E42BC6" w:rsidRPr="00E3493A" w:rsidRDefault="00E42BC6" w:rsidP="00F3754A">
            <w:pPr>
              <w:pStyle w:val="01aDBTitle"/>
              <w:rPr>
                <w:rFonts w:cs="Arial"/>
                <w:sz w:val="32"/>
              </w:rPr>
            </w:pPr>
          </w:p>
        </w:tc>
      </w:tr>
      <w:tr w:rsidR="00E42BC6" w:rsidRPr="00E3493A" w14:paraId="648CB0E7" w14:textId="77777777" w:rsidTr="00F3754A">
        <w:trPr>
          <w:trHeight w:hRule="exact" w:val="605"/>
        </w:trPr>
        <w:tc>
          <w:tcPr>
            <w:tcW w:w="9397" w:type="dxa"/>
            <w:tcMar>
              <w:top w:w="142" w:type="dxa"/>
            </w:tcMar>
          </w:tcPr>
          <w:p w14:paraId="4C7FF953" w14:textId="77777777" w:rsidR="00E42BC6" w:rsidRPr="00E3493A" w:rsidRDefault="00E42BC6" w:rsidP="00F3754A">
            <w:pPr>
              <w:pStyle w:val="01bDBSubtitle"/>
              <w:rPr>
                <w:rFonts w:ascii="Arial" w:hAnsi="Arial" w:cs="Arial"/>
                <w:sz w:val="32"/>
              </w:rPr>
            </w:pPr>
            <w:r w:rsidRPr="00E3493A">
              <w:rPr>
                <w:rFonts w:ascii="Arial" w:hAnsi="Arial" w:cs="Arial"/>
                <w:sz w:val="32"/>
              </w:rPr>
              <w:t xml:space="preserve"> </w:t>
            </w:r>
          </w:p>
        </w:tc>
      </w:tr>
    </w:tbl>
    <w:p w14:paraId="046B8043" w14:textId="77777777" w:rsidR="00E42BC6" w:rsidRPr="00E3493A" w:rsidRDefault="00E42BC6" w:rsidP="00E42BC6">
      <w:pPr>
        <w:pStyle w:val="05HeadlinenoIndex"/>
        <w:rPr>
          <w:rFonts w:cs="Arial"/>
        </w:rPr>
        <w:sectPr w:rsidR="00E42BC6" w:rsidRPr="00E3493A" w:rsidSect="00F3754A">
          <w:headerReference w:type="default" r:id="rId7"/>
          <w:footerReference w:type="default" r:id="rId8"/>
          <w:headerReference w:type="first" r:id="rId9"/>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E42BC6" w:rsidRPr="00E3493A" w14:paraId="29728071" w14:textId="77777777" w:rsidTr="00F3754A">
        <w:trPr>
          <w:trHeight w:hRule="exact" w:val="964"/>
        </w:trPr>
        <w:tc>
          <w:tcPr>
            <w:tcW w:w="2325" w:type="dxa"/>
          </w:tcPr>
          <w:p w14:paraId="2B2444DC" w14:textId="77777777" w:rsidR="00E42BC6" w:rsidRPr="00E3493A" w:rsidRDefault="00E42BC6" w:rsidP="00862D7D">
            <w:pPr>
              <w:pStyle w:val="02Date"/>
              <w:rPr>
                <w:rFonts w:cs="Arial"/>
                <w:sz w:val="20"/>
                <w:szCs w:val="20"/>
                <w:highlight w:val="red"/>
              </w:rPr>
            </w:pPr>
            <w:r w:rsidRPr="00E3493A">
              <w:rPr>
                <w:rFonts w:cs="Arial"/>
                <w:sz w:val="20"/>
                <w:szCs w:val="20"/>
              </w:rPr>
              <w:lastRenderedPageBreak/>
              <w:t xml:space="preserve">Date: </w:t>
            </w:r>
            <w:r w:rsidR="00862D7D" w:rsidRPr="00E3493A">
              <w:rPr>
                <w:rFonts w:cs="Arial"/>
                <w:sz w:val="20"/>
                <w:szCs w:val="20"/>
              </w:rPr>
              <w:t xml:space="preserve"> 25 May 2016 ESMA/2016/723 </w:t>
            </w:r>
          </w:p>
        </w:tc>
      </w:tr>
    </w:tbl>
    <w:p w14:paraId="28B644B2" w14:textId="77777777" w:rsidR="00E42BC6" w:rsidRPr="00E3493A" w:rsidRDefault="00E42BC6" w:rsidP="00E3493A">
      <w:pPr>
        <w:pStyle w:val="05HeadlinenoIndex"/>
        <w:rPr>
          <w:rFonts w:cs="Arial"/>
          <w:sz w:val="20"/>
          <w:szCs w:val="20"/>
        </w:rPr>
      </w:pPr>
      <w:bookmarkStart w:id="0" w:name="_Toc280628648"/>
      <w:r w:rsidRPr="00E3493A">
        <w:rPr>
          <w:rFonts w:cs="Arial"/>
          <w:sz w:val="20"/>
          <w:szCs w:val="20"/>
        </w:rPr>
        <w:t xml:space="preserve">Responding to this paper </w:t>
      </w:r>
    </w:p>
    <w:bookmarkEnd w:id="0"/>
    <w:p w14:paraId="73762BBD" w14:textId="77777777" w:rsidR="00862D7D" w:rsidRPr="00E3493A" w:rsidRDefault="00862D7D" w:rsidP="00E3493A">
      <w:pPr>
        <w:pStyle w:val="Default"/>
        <w:jc w:val="both"/>
        <w:rPr>
          <w:sz w:val="20"/>
          <w:szCs w:val="20"/>
        </w:rPr>
      </w:pPr>
      <w:r w:rsidRPr="00E3493A">
        <w:rPr>
          <w:sz w:val="20"/>
          <w:szCs w:val="20"/>
        </w:rPr>
        <w:t xml:space="preserve">ESMA invites comments on all matters in this paper and in particular on the specific questions summarised in Annex 1. Comments are most helpful if they: </w:t>
      </w:r>
    </w:p>
    <w:p w14:paraId="1778F204" w14:textId="77777777" w:rsidR="00862D7D" w:rsidRPr="00E3493A" w:rsidRDefault="00862D7D" w:rsidP="00E3493A">
      <w:pPr>
        <w:pStyle w:val="Default"/>
        <w:jc w:val="both"/>
        <w:rPr>
          <w:sz w:val="20"/>
          <w:szCs w:val="20"/>
        </w:rPr>
      </w:pPr>
    </w:p>
    <w:p w14:paraId="15E93CC7" w14:textId="77777777" w:rsidR="00862D7D" w:rsidRPr="00E3493A" w:rsidRDefault="00862D7D" w:rsidP="00E3493A">
      <w:pPr>
        <w:pStyle w:val="Default"/>
        <w:spacing w:after="305"/>
        <w:ind w:left="708"/>
        <w:jc w:val="both"/>
        <w:rPr>
          <w:sz w:val="20"/>
          <w:szCs w:val="20"/>
        </w:rPr>
      </w:pPr>
      <w:r w:rsidRPr="00E3493A">
        <w:rPr>
          <w:sz w:val="20"/>
          <w:szCs w:val="20"/>
        </w:rPr>
        <w:t xml:space="preserve">• respond to the question stated; </w:t>
      </w:r>
    </w:p>
    <w:p w14:paraId="2FCD500C" w14:textId="77777777" w:rsidR="00862D7D" w:rsidRPr="00E3493A" w:rsidRDefault="00862D7D" w:rsidP="00E3493A">
      <w:pPr>
        <w:pStyle w:val="Default"/>
        <w:spacing w:after="305"/>
        <w:ind w:left="708"/>
        <w:jc w:val="both"/>
        <w:rPr>
          <w:sz w:val="20"/>
          <w:szCs w:val="20"/>
        </w:rPr>
      </w:pPr>
      <w:r w:rsidRPr="00E3493A">
        <w:rPr>
          <w:sz w:val="20"/>
          <w:szCs w:val="20"/>
        </w:rPr>
        <w:t xml:space="preserve">• indicate the specific question to which the comment relates; </w:t>
      </w:r>
    </w:p>
    <w:p w14:paraId="7284A736" w14:textId="77777777" w:rsidR="00862D7D" w:rsidRPr="00E3493A" w:rsidRDefault="00862D7D" w:rsidP="00E3493A">
      <w:pPr>
        <w:pStyle w:val="Default"/>
        <w:spacing w:after="305"/>
        <w:ind w:left="708"/>
        <w:jc w:val="both"/>
        <w:rPr>
          <w:sz w:val="20"/>
          <w:szCs w:val="20"/>
        </w:rPr>
      </w:pPr>
      <w:r w:rsidRPr="00E3493A">
        <w:rPr>
          <w:sz w:val="20"/>
          <w:szCs w:val="20"/>
        </w:rPr>
        <w:t xml:space="preserve">• contain a clear rationale; and </w:t>
      </w:r>
    </w:p>
    <w:p w14:paraId="660FAE10" w14:textId="77777777" w:rsidR="00862D7D" w:rsidRPr="00E3493A" w:rsidRDefault="00862D7D" w:rsidP="00E3493A">
      <w:pPr>
        <w:pStyle w:val="Default"/>
        <w:ind w:left="708"/>
        <w:jc w:val="both"/>
        <w:rPr>
          <w:sz w:val="20"/>
          <w:szCs w:val="20"/>
        </w:rPr>
      </w:pPr>
      <w:r w:rsidRPr="00E3493A">
        <w:rPr>
          <w:sz w:val="20"/>
          <w:szCs w:val="20"/>
        </w:rPr>
        <w:t xml:space="preserve">• describe any alternatives ESMA should consider. </w:t>
      </w:r>
    </w:p>
    <w:p w14:paraId="029587F0" w14:textId="77777777" w:rsidR="00862D7D" w:rsidRPr="00E3493A" w:rsidRDefault="00862D7D" w:rsidP="00E3493A">
      <w:pPr>
        <w:pStyle w:val="Default"/>
        <w:jc w:val="both"/>
        <w:rPr>
          <w:sz w:val="20"/>
          <w:szCs w:val="20"/>
        </w:rPr>
      </w:pPr>
    </w:p>
    <w:p w14:paraId="3D8CB9C9" w14:textId="77777777" w:rsidR="00862D7D" w:rsidRPr="00E3493A" w:rsidRDefault="00862D7D" w:rsidP="00E3493A">
      <w:pPr>
        <w:pStyle w:val="Default"/>
        <w:jc w:val="both"/>
        <w:rPr>
          <w:sz w:val="20"/>
          <w:szCs w:val="20"/>
        </w:rPr>
      </w:pPr>
      <w:r w:rsidRPr="00E3493A">
        <w:rPr>
          <w:sz w:val="20"/>
          <w:szCs w:val="20"/>
        </w:rPr>
        <w:t xml:space="preserve">ESMA will consider all comments received by </w:t>
      </w:r>
      <w:r w:rsidRPr="00E3493A">
        <w:rPr>
          <w:b/>
          <w:bCs/>
          <w:sz w:val="20"/>
          <w:szCs w:val="20"/>
        </w:rPr>
        <w:t xml:space="preserve">30 June 2016. </w:t>
      </w:r>
    </w:p>
    <w:p w14:paraId="5AC02551" w14:textId="77777777" w:rsidR="00862D7D" w:rsidRPr="00E3493A" w:rsidRDefault="00862D7D" w:rsidP="00E3493A">
      <w:pPr>
        <w:pStyle w:val="Default"/>
        <w:jc w:val="both"/>
        <w:rPr>
          <w:sz w:val="20"/>
          <w:szCs w:val="20"/>
        </w:rPr>
      </w:pPr>
    </w:p>
    <w:p w14:paraId="18648858" w14:textId="77777777" w:rsidR="00862D7D" w:rsidRPr="00E3493A" w:rsidRDefault="00862D7D" w:rsidP="00E3493A">
      <w:pPr>
        <w:pStyle w:val="Default"/>
        <w:jc w:val="both"/>
        <w:rPr>
          <w:sz w:val="20"/>
          <w:szCs w:val="20"/>
        </w:rPr>
      </w:pPr>
      <w:r w:rsidRPr="00E3493A">
        <w:rPr>
          <w:sz w:val="20"/>
          <w:szCs w:val="20"/>
        </w:rPr>
        <w:t xml:space="preserve">All contributions should be submitted online at www.esma.europa.eu under the heading ‘Your input - Consultations’. </w:t>
      </w:r>
    </w:p>
    <w:p w14:paraId="63CF4B5E" w14:textId="77777777" w:rsidR="00862D7D" w:rsidRPr="00E3493A" w:rsidRDefault="00862D7D" w:rsidP="00E3493A">
      <w:pPr>
        <w:pStyle w:val="Default"/>
        <w:jc w:val="both"/>
        <w:rPr>
          <w:b/>
          <w:bCs/>
          <w:sz w:val="20"/>
          <w:szCs w:val="20"/>
        </w:rPr>
      </w:pPr>
    </w:p>
    <w:p w14:paraId="228B4638" w14:textId="77777777" w:rsidR="00862D7D" w:rsidRPr="00E3493A" w:rsidRDefault="00862D7D" w:rsidP="00E3493A">
      <w:pPr>
        <w:pStyle w:val="Default"/>
        <w:jc w:val="both"/>
        <w:rPr>
          <w:sz w:val="20"/>
          <w:szCs w:val="20"/>
        </w:rPr>
      </w:pPr>
      <w:r w:rsidRPr="00E3493A">
        <w:rPr>
          <w:b/>
          <w:bCs/>
          <w:sz w:val="20"/>
          <w:szCs w:val="20"/>
        </w:rPr>
        <w:t xml:space="preserve">Publication of responses </w:t>
      </w:r>
    </w:p>
    <w:p w14:paraId="5411897D" w14:textId="77777777" w:rsidR="00862D7D" w:rsidRPr="00E3493A" w:rsidRDefault="00862D7D" w:rsidP="00E3493A">
      <w:pPr>
        <w:pStyle w:val="Default"/>
        <w:jc w:val="both"/>
        <w:rPr>
          <w:sz w:val="20"/>
          <w:szCs w:val="20"/>
        </w:rPr>
      </w:pPr>
    </w:p>
    <w:p w14:paraId="3FD474A0" w14:textId="77777777" w:rsidR="00862D7D" w:rsidRPr="00E3493A" w:rsidRDefault="00862D7D" w:rsidP="00E3493A">
      <w:pPr>
        <w:pStyle w:val="Default"/>
        <w:jc w:val="both"/>
        <w:rPr>
          <w:sz w:val="20"/>
          <w:szCs w:val="20"/>
        </w:rPr>
      </w:pPr>
      <w:r w:rsidRPr="00E3493A">
        <w:rPr>
          <w:sz w:val="20"/>
          <w:szCs w:val="20"/>
        </w:rPr>
        <w:t>All contributions received will be published following the close of the consultation, unless you request</w:t>
      </w:r>
      <w:r w:rsidR="00E3493A">
        <w:rPr>
          <w:sz w:val="20"/>
          <w:szCs w:val="20"/>
        </w:rPr>
        <w:t xml:space="preserve"> </w:t>
      </w:r>
      <w:r w:rsidRPr="00E3493A">
        <w:rPr>
          <w:sz w:val="20"/>
          <w:szCs w:val="20"/>
        </w:rPr>
        <w:t>otherwise. Please clearly and prominently indicate in your submission</w:t>
      </w:r>
      <w:r w:rsidR="00E3493A">
        <w:rPr>
          <w:sz w:val="20"/>
          <w:szCs w:val="20"/>
        </w:rPr>
        <w:t xml:space="preserve"> any part you do not wish to be </w:t>
      </w:r>
      <w:r w:rsidRPr="00E3493A">
        <w:rPr>
          <w:sz w:val="20"/>
          <w:szCs w:val="20"/>
        </w:rPr>
        <w:t xml:space="preserve">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 </w:t>
      </w:r>
    </w:p>
    <w:p w14:paraId="548AED66" w14:textId="77777777" w:rsidR="00862D7D" w:rsidRPr="00E3493A" w:rsidRDefault="00862D7D" w:rsidP="00E3493A">
      <w:pPr>
        <w:pStyle w:val="Default"/>
        <w:jc w:val="both"/>
        <w:rPr>
          <w:b/>
          <w:bCs/>
          <w:sz w:val="20"/>
          <w:szCs w:val="20"/>
        </w:rPr>
      </w:pPr>
    </w:p>
    <w:p w14:paraId="70C242A2" w14:textId="77777777" w:rsidR="00862D7D" w:rsidRPr="00E3493A" w:rsidRDefault="00862D7D" w:rsidP="00E3493A">
      <w:pPr>
        <w:pStyle w:val="Default"/>
        <w:jc w:val="both"/>
        <w:rPr>
          <w:sz w:val="20"/>
          <w:szCs w:val="20"/>
        </w:rPr>
      </w:pPr>
      <w:r w:rsidRPr="00E3493A">
        <w:rPr>
          <w:b/>
          <w:bCs/>
          <w:sz w:val="20"/>
          <w:szCs w:val="20"/>
        </w:rPr>
        <w:t xml:space="preserve">Data protection </w:t>
      </w:r>
    </w:p>
    <w:p w14:paraId="67834639" w14:textId="77777777" w:rsidR="00862D7D" w:rsidRPr="00E3493A" w:rsidRDefault="00862D7D" w:rsidP="00E3493A">
      <w:pPr>
        <w:pStyle w:val="Default"/>
        <w:jc w:val="both"/>
        <w:rPr>
          <w:sz w:val="20"/>
          <w:szCs w:val="20"/>
        </w:rPr>
      </w:pPr>
    </w:p>
    <w:p w14:paraId="3229DED6" w14:textId="77777777" w:rsidR="00862D7D" w:rsidRPr="00E3493A" w:rsidRDefault="00862D7D" w:rsidP="00E3493A">
      <w:pPr>
        <w:pStyle w:val="Default"/>
        <w:jc w:val="both"/>
        <w:rPr>
          <w:sz w:val="20"/>
          <w:szCs w:val="20"/>
        </w:rPr>
      </w:pPr>
      <w:r w:rsidRPr="00E3493A">
        <w:rPr>
          <w:sz w:val="20"/>
          <w:szCs w:val="20"/>
        </w:rPr>
        <w:t xml:space="preserve">Information on data protection can be found at www.esma.europa.eu under the heading Legal Notice. </w:t>
      </w:r>
    </w:p>
    <w:p w14:paraId="0B568153" w14:textId="77777777" w:rsidR="00862D7D" w:rsidRPr="00E3493A" w:rsidRDefault="00862D7D" w:rsidP="00E3493A">
      <w:pPr>
        <w:pStyle w:val="Default"/>
        <w:jc w:val="both"/>
        <w:rPr>
          <w:b/>
          <w:bCs/>
          <w:sz w:val="20"/>
          <w:szCs w:val="20"/>
        </w:rPr>
      </w:pPr>
    </w:p>
    <w:p w14:paraId="10AC0EDE" w14:textId="77777777" w:rsidR="00862D7D" w:rsidRPr="00E3493A" w:rsidRDefault="00862D7D" w:rsidP="00E3493A">
      <w:pPr>
        <w:pStyle w:val="Default"/>
        <w:jc w:val="both"/>
        <w:rPr>
          <w:sz w:val="20"/>
          <w:szCs w:val="20"/>
        </w:rPr>
      </w:pPr>
      <w:r w:rsidRPr="00E3493A">
        <w:rPr>
          <w:b/>
          <w:bCs/>
          <w:sz w:val="20"/>
          <w:szCs w:val="20"/>
        </w:rPr>
        <w:t xml:space="preserve">Who should read this paper </w:t>
      </w:r>
    </w:p>
    <w:p w14:paraId="33C31997" w14:textId="77777777" w:rsidR="00862D7D" w:rsidRPr="00E3493A" w:rsidRDefault="00862D7D" w:rsidP="00E3493A">
      <w:pPr>
        <w:jc w:val="both"/>
        <w:rPr>
          <w:rFonts w:cs="Arial"/>
          <w:szCs w:val="20"/>
        </w:rPr>
      </w:pPr>
    </w:p>
    <w:p w14:paraId="5EB97F82" w14:textId="77777777" w:rsidR="00E3493A" w:rsidRDefault="00862D7D" w:rsidP="00E3493A">
      <w:pPr>
        <w:jc w:val="both"/>
        <w:rPr>
          <w:rFonts w:cs="Arial"/>
          <w:szCs w:val="20"/>
        </w:rPr>
      </w:pPr>
      <w:r w:rsidRPr="00E3493A">
        <w:rPr>
          <w:rFonts w:cs="Arial"/>
          <w:szCs w:val="20"/>
        </w:rPr>
        <w:t xml:space="preserve">This paper may be specifically of interest to administrators of benchmarks and to any investor dealing with financial instruments and financial contracts whose value is determined by a benchmark or with investment funds whose performances are measured by means of a benchmark </w:t>
      </w:r>
    </w:p>
    <w:p w14:paraId="0D5D8D46" w14:textId="77777777" w:rsidR="00E3493A" w:rsidRDefault="00E3493A" w:rsidP="00E3493A">
      <w:pPr>
        <w:jc w:val="both"/>
        <w:rPr>
          <w:rFonts w:cs="Arial"/>
          <w:szCs w:val="20"/>
        </w:rPr>
      </w:pPr>
    </w:p>
    <w:p w14:paraId="5901713F" w14:textId="77777777" w:rsidR="00E3493A" w:rsidRDefault="00E3493A" w:rsidP="00E3493A">
      <w:pPr>
        <w:jc w:val="both"/>
        <w:rPr>
          <w:rFonts w:cs="Arial"/>
          <w:szCs w:val="20"/>
        </w:rPr>
      </w:pPr>
    </w:p>
    <w:p w14:paraId="27626E48" w14:textId="77777777" w:rsidR="00E3493A" w:rsidRDefault="00E3493A" w:rsidP="00E3493A">
      <w:pPr>
        <w:jc w:val="both"/>
        <w:rPr>
          <w:rFonts w:cs="Arial"/>
          <w:szCs w:val="20"/>
        </w:rPr>
      </w:pPr>
    </w:p>
    <w:p w14:paraId="062D8552" w14:textId="77777777" w:rsidR="00E3493A" w:rsidRDefault="00E3493A" w:rsidP="00E3493A">
      <w:pPr>
        <w:jc w:val="both"/>
        <w:rPr>
          <w:rFonts w:cs="Arial"/>
          <w:szCs w:val="20"/>
        </w:rPr>
      </w:pPr>
    </w:p>
    <w:p w14:paraId="1B604101" w14:textId="77777777" w:rsidR="00E3493A" w:rsidRDefault="00E3493A" w:rsidP="00E3493A">
      <w:pPr>
        <w:jc w:val="both"/>
        <w:rPr>
          <w:rFonts w:cs="Arial"/>
          <w:szCs w:val="20"/>
        </w:rPr>
      </w:pPr>
    </w:p>
    <w:p w14:paraId="56AA8F44" w14:textId="77777777" w:rsidR="00E3493A" w:rsidRDefault="00E3493A" w:rsidP="00E3493A">
      <w:pPr>
        <w:jc w:val="both"/>
        <w:rPr>
          <w:rFonts w:cs="Arial"/>
          <w:szCs w:val="20"/>
        </w:rPr>
      </w:pPr>
    </w:p>
    <w:p w14:paraId="6846FD9D" w14:textId="77777777" w:rsidR="00E3493A" w:rsidRDefault="00E3493A" w:rsidP="00E3493A">
      <w:pPr>
        <w:jc w:val="both"/>
        <w:rPr>
          <w:rFonts w:cs="Arial"/>
          <w:szCs w:val="20"/>
        </w:rPr>
      </w:pPr>
    </w:p>
    <w:p w14:paraId="067C6F0B" w14:textId="77777777" w:rsidR="00E3493A" w:rsidRDefault="00E3493A" w:rsidP="00E3493A">
      <w:pPr>
        <w:jc w:val="both"/>
        <w:rPr>
          <w:rFonts w:cs="Arial"/>
          <w:szCs w:val="20"/>
        </w:rPr>
      </w:pPr>
    </w:p>
    <w:p w14:paraId="6EBCA7E6" w14:textId="77777777" w:rsidR="00E3493A" w:rsidRDefault="00E3493A" w:rsidP="00E3493A">
      <w:pPr>
        <w:jc w:val="both"/>
        <w:rPr>
          <w:rFonts w:cs="Arial"/>
          <w:szCs w:val="20"/>
        </w:rPr>
      </w:pPr>
    </w:p>
    <w:p w14:paraId="56821784" w14:textId="77777777" w:rsidR="00E3493A" w:rsidRDefault="00E3493A" w:rsidP="00E3493A">
      <w:pPr>
        <w:jc w:val="both"/>
        <w:rPr>
          <w:rFonts w:cs="Arial"/>
          <w:szCs w:val="20"/>
        </w:rPr>
      </w:pPr>
    </w:p>
    <w:p w14:paraId="57CD119F" w14:textId="77777777" w:rsidR="00E3493A" w:rsidRDefault="00E3493A" w:rsidP="00E3493A">
      <w:pPr>
        <w:jc w:val="both"/>
        <w:rPr>
          <w:rFonts w:cs="Arial"/>
          <w:szCs w:val="20"/>
        </w:rPr>
      </w:pPr>
    </w:p>
    <w:p w14:paraId="7129E576" w14:textId="77777777" w:rsidR="00E3493A" w:rsidRDefault="00E3493A" w:rsidP="00E3493A">
      <w:pPr>
        <w:jc w:val="both"/>
        <w:rPr>
          <w:rFonts w:cs="Arial"/>
          <w:szCs w:val="20"/>
        </w:rPr>
      </w:pPr>
    </w:p>
    <w:p w14:paraId="6F54E4DD" w14:textId="77777777" w:rsidR="00E42BC6" w:rsidRPr="00E3493A" w:rsidRDefault="00E3493A" w:rsidP="00E3493A">
      <w:pPr>
        <w:jc w:val="both"/>
        <w:rPr>
          <w:rFonts w:cs="Arial"/>
          <w:b/>
          <w:bCs/>
          <w:kern w:val="32"/>
          <w:szCs w:val="20"/>
        </w:rPr>
      </w:pPr>
      <w:r w:rsidRPr="00E3493A">
        <w:rPr>
          <w:color w:val="002060"/>
          <w:sz w:val="16"/>
          <w:szCs w:val="16"/>
          <w:lang w:val="fr-CH"/>
        </w:rPr>
        <w:t xml:space="preserve">ESMA • CS 60747 – 103 rue de Grenelle • 75345 Paris Cedex 07 • France • Tel. </w:t>
      </w:r>
      <w:r w:rsidRPr="00E3493A">
        <w:rPr>
          <w:color w:val="002060"/>
          <w:sz w:val="16"/>
          <w:szCs w:val="16"/>
        </w:rPr>
        <w:t xml:space="preserve">+33 (0) 1 58 36 43 21 • www.esma.europa.eu </w:t>
      </w:r>
      <w:r w:rsidR="00E42BC6" w:rsidRPr="00E3493A">
        <w:rPr>
          <w:rFonts w:cs="Arial"/>
          <w:szCs w:val="20"/>
        </w:rPr>
        <w:br w:type="page"/>
      </w:r>
    </w:p>
    <w:p w14:paraId="26DCDC03" w14:textId="77777777" w:rsidR="00E42BC6" w:rsidRPr="00E3493A" w:rsidRDefault="00E42BC6" w:rsidP="00E42BC6">
      <w:pPr>
        <w:rPr>
          <w:rFonts w:cs="Arial"/>
        </w:rPr>
      </w:pPr>
    </w:p>
    <w:p w14:paraId="01F11DF5" w14:textId="77777777" w:rsidR="00E42BC6" w:rsidRPr="00E3493A" w:rsidRDefault="00E42BC6" w:rsidP="00E42BC6">
      <w:pPr>
        <w:rPr>
          <w:rFonts w:cs="Arial"/>
        </w:rPr>
      </w:pPr>
    </w:p>
    <w:p w14:paraId="1A1702B1" w14:textId="77777777" w:rsidR="00A557C2" w:rsidRPr="00E3493A" w:rsidRDefault="00A557C2" w:rsidP="00A557C2">
      <w:pPr>
        <w:pStyle w:val="Questionstyle"/>
        <w:rPr>
          <w:rFonts w:ascii="Arial" w:hAnsi="Arial" w:cs="Arial"/>
          <w:sz w:val="20"/>
        </w:rPr>
      </w:pPr>
      <w:r w:rsidRPr="00E3493A">
        <w:rPr>
          <w:rFonts w:ascii="Arial" w:hAnsi="Arial" w:cs="Arial"/>
          <w:sz w:val="20"/>
        </w:rPr>
        <w:t xml:space="preserve">Do you agree with the conditions on the basis of which an index may be considered as made available to the public? </w:t>
      </w:r>
    </w:p>
    <w:p w14:paraId="7FCF0D1A" w14:textId="77777777" w:rsidR="00A557C2" w:rsidRPr="00E3493A" w:rsidRDefault="00A557C2" w:rsidP="00A557C2">
      <w:pPr>
        <w:rPr>
          <w:rFonts w:cs="Arial"/>
          <w:sz w:val="18"/>
          <w:lang w:eastAsia="en-US"/>
        </w:rPr>
      </w:pPr>
    </w:p>
    <w:p w14:paraId="45369641" w14:textId="77777777" w:rsidR="00A557C2" w:rsidRPr="00E3493A" w:rsidRDefault="00A557C2" w:rsidP="00A557C2">
      <w:pPr>
        <w:pStyle w:val="Questionstyle"/>
        <w:rPr>
          <w:rFonts w:ascii="Arial" w:hAnsi="Arial" w:cs="Arial"/>
          <w:sz w:val="20"/>
        </w:rPr>
      </w:pPr>
      <w:r w:rsidRPr="00E3493A">
        <w:rPr>
          <w:rFonts w:ascii="Arial" w:hAnsi="Arial" w:cs="Arial"/>
          <w:sz w:val="20"/>
        </w:rPr>
        <w:t xml:space="preserve">Do you agree with the proposed specification of what constitutes administering the arrangements for determining a benchmark? </w:t>
      </w:r>
    </w:p>
    <w:p w14:paraId="5A2F2689" w14:textId="77777777" w:rsidR="00A557C2" w:rsidRPr="00E3493A" w:rsidRDefault="00A557C2" w:rsidP="00A557C2">
      <w:pPr>
        <w:rPr>
          <w:rFonts w:cs="Arial"/>
          <w:sz w:val="18"/>
          <w:lang w:eastAsia="en-US"/>
        </w:rPr>
      </w:pPr>
    </w:p>
    <w:p w14:paraId="5DE63753" w14:textId="77777777" w:rsidR="00A557C2" w:rsidRPr="00E3493A" w:rsidRDefault="00A557C2" w:rsidP="00A557C2">
      <w:pPr>
        <w:pStyle w:val="Questionstyle"/>
        <w:rPr>
          <w:rFonts w:ascii="Arial" w:hAnsi="Arial" w:cs="Arial"/>
          <w:sz w:val="20"/>
        </w:rPr>
      </w:pPr>
      <w:r w:rsidRPr="00E3493A">
        <w:rPr>
          <w:rFonts w:ascii="Arial" w:hAnsi="Arial" w:cs="Arial"/>
          <w:sz w:val="20"/>
        </w:rPr>
        <w:t xml:space="preserve">Do you agree that the ‘use of a benchmark’ in derivatives that are traded on trading venues and/or systematic internalisers is linked to the determination of the amount payable under the said derivatives for any relevant purpose (trading, clearing, margining, …)? </w:t>
      </w:r>
    </w:p>
    <w:p w14:paraId="63E55805" w14:textId="77777777" w:rsidR="00A557C2" w:rsidRPr="00E3493A" w:rsidRDefault="00A557C2" w:rsidP="00A557C2">
      <w:pPr>
        <w:rPr>
          <w:rFonts w:cs="Arial"/>
          <w:sz w:val="18"/>
          <w:lang w:eastAsia="en-US"/>
        </w:rPr>
      </w:pPr>
    </w:p>
    <w:p w14:paraId="706EB518" w14:textId="77777777" w:rsidR="00A557C2" w:rsidRPr="00E3493A" w:rsidRDefault="00A557C2" w:rsidP="00A557C2">
      <w:pPr>
        <w:pStyle w:val="Questionstyle"/>
        <w:rPr>
          <w:rFonts w:ascii="Arial" w:hAnsi="Arial" w:cs="Arial"/>
          <w:sz w:val="20"/>
        </w:rPr>
      </w:pPr>
      <w:r w:rsidRPr="00E3493A">
        <w:rPr>
          <w:rFonts w:ascii="Arial" w:hAnsi="Arial" w:cs="Arial"/>
          <w:sz w:val="20"/>
        </w:rPr>
        <w:t xml:space="preserve">Do you have any comments on the proposed specification of issuance of a financial instrument? </w:t>
      </w:r>
    </w:p>
    <w:p w14:paraId="62264E88" w14:textId="77777777" w:rsidR="00A557C2" w:rsidRPr="00E3493A" w:rsidRDefault="00A557C2" w:rsidP="00A557C2">
      <w:pPr>
        <w:rPr>
          <w:rFonts w:cs="Arial"/>
          <w:sz w:val="18"/>
          <w:lang w:eastAsia="en-US"/>
        </w:rPr>
      </w:pPr>
    </w:p>
    <w:p w14:paraId="729F9823" w14:textId="77777777" w:rsidR="00A557C2" w:rsidRPr="00E3493A" w:rsidRDefault="00A557C2" w:rsidP="00A557C2">
      <w:pPr>
        <w:pStyle w:val="Questionstyle"/>
        <w:rPr>
          <w:rFonts w:ascii="Arial" w:hAnsi="Arial" w:cs="Arial"/>
          <w:sz w:val="20"/>
        </w:rPr>
      </w:pPr>
      <w:r w:rsidRPr="00E3493A">
        <w:rPr>
          <w:rFonts w:ascii="Arial" w:hAnsi="Arial" w:cs="Arial"/>
          <w:sz w:val="20"/>
        </w:rPr>
        <w:t xml:space="preserve">What are your views on the transitional regime proposed to assess the nominal amount of financial instruments other than derivatives, the notional amount of derivatives and the net asset value of investment funds in the case where the regulatory data is not available or sufficient? </w:t>
      </w:r>
    </w:p>
    <w:p w14:paraId="6F9C63A8" w14:textId="77777777" w:rsidR="00A557C2" w:rsidRPr="00E3493A" w:rsidRDefault="00A557C2" w:rsidP="00A557C2">
      <w:pPr>
        <w:rPr>
          <w:rFonts w:cs="Arial"/>
          <w:sz w:val="18"/>
          <w:lang w:eastAsia="en-US"/>
        </w:rPr>
      </w:pPr>
    </w:p>
    <w:p w14:paraId="5DA8286E" w14:textId="77777777" w:rsidR="00A557C2" w:rsidRDefault="00A557C2" w:rsidP="00A557C2">
      <w:pPr>
        <w:pStyle w:val="Questionstyle"/>
        <w:rPr>
          <w:rFonts w:ascii="Arial" w:hAnsi="Arial" w:cs="Arial"/>
          <w:sz w:val="20"/>
        </w:rPr>
      </w:pPr>
      <w:r w:rsidRPr="00E3493A">
        <w:rPr>
          <w:rFonts w:ascii="Arial" w:hAnsi="Arial" w:cs="Arial"/>
          <w:sz w:val="20"/>
        </w:rPr>
        <w:t xml:space="preserve">Do you agree with the measurement performed at a specific point in time for assessing whether a benchmark hits the thresholds specified in Article 20(1) to be considered as critical? </w:t>
      </w:r>
    </w:p>
    <w:p w14:paraId="1723DC4E" w14:textId="77777777" w:rsidR="00D71CD8" w:rsidRDefault="00D71CD8" w:rsidP="00D71CD8">
      <w:pPr>
        <w:rPr>
          <w:lang w:eastAsia="en-US"/>
        </w:rPr>
      </w:pPr>
    </w:p>
    <w:p w14:paraId="55C755BB" w14:textId="6D84F595" w:rsidR="00C33CBE" w:rsidRDefault="00D71CD8" w:rsidP="00D71CD8">
      <w:pPr>
        <w:rPr>
          <w:rFonts w:cs="Arial"/>
          <w:szCs w:val="20"/>
          <w:lang w:eastAsia="en-US"/>
        </w:rPr>
      </w:pPr>
      <w:r w:rsidRPr="00D71CD8">
        <w:rPr>
          <w:rFonts w:cs="Arial"/>
          <w:szCs w:val="20"/>
          <w:lang w:eastAsia="en-US"/>
        </w:rPr>
        <w:t>With the following</w:t>
      </w:r>
      <w:r w:rsidR="00FB6622">
        <w:rPr>
          <w:rFonts w:cs="Arial"/>
          <w:szCs w:val="20"/>
          <w:lang w:eastAsia="en-US"/>
        </w:rPr>
        <w:t>,</w:t>
      </w:r>
      <w:r w:rsidRPr="00D71CD8">
        <w:rPr>
          <w:rFonts w:cs="Arial"/>
          <w:szCs w:val="20"/>
          <w:lang w:eastAsia="en-US"/>
        </w:rPr>
        <w:t xml:space="preserve"> we would like to comment on </w:t>
      </w:r>
      <w:r w:rsidR="00FB6622">
        <w:rPr>
          <w:rFonts w:cs="Arial"/>
          <w:szCs w:val="20"/>
          <w:lang w:eastAsia="en-US"/>
        </w:rPr>
        <w:t>the s</w:t>
      </w:r>
      <w:r w:rsidRPr="00D71CD8">
        <w:rPr>
          <w:rFonts w:cs="Arial"/>
          <w:szCs w:val="20"/>
          <w:lang w:eastAsia="en-US"/>
        </w:rPr>
        <w:t>tatement</w:t>
      </w:r>
      <w:r w:rsidR="00FB6622">
        <w:rPr>
          <w:rFonts w:cs="Arial"/>
          <w:szCs w:val="20"/>
          <w:lang w:eastAsia="en-US"/>
        </w:rPr>
        <w:t>s</w:t>
      </w:r>
      <w:r w:rsidRPr="00D71CD8">
        <w:rPr>
          <w:rFonts w:cs="Arial"/>
          <w:szCs w:val="20"/>
          <w:lang w:eastAsia="en-US"/>
        </w:rPr>
        <w:t xml:space="preserve"> 79 and 80 </w:t>
      </w:r>
      <w:r w:rsidR="00FB6622">
        <w:rPr>
          <w:rFonts w:cs="Arial"/>
          <w:szCs w:val="20"/>
          <w:lang w:eastAsia="en-US"/>
        </w:rPr>
        <w:t>of</w:t>
      </w:r>
      <w:r w:rsidRPr="00D71CD8">
        <w:rPr>
          <w:rFonts w:cs="Arial"/>
          <w:szCs w:val="20"/>
          <w:lang w:eastAsia="en-US"/>
        </w:rPr>
        <w:t xml:space="preserve"> the </w:t>
      </w:r>
      <w:r w:rsidR="008808D2">
        <w:rPr>
          <w:rFonts w:cs="Arial"/>
          <w:szCs w:val="20"/>
          <w:lang w:eastAsia="en-US"/>
        </w:rPr>
        <w:t>C</w:t>
      </w:r>
      <w:r w:rsidRPr="00D71CD8">
        <w:rPr>
          <w:rFonts w:cs="Arial"/>
          <w:szCs w:val="20"/>
          <w:lang w:eastAsia="en-US"/>
        </w:rPr>
        <w:t xml:space="preserve">onsultation </w:t>
      </w:r>
      <w:r w:rsidR="008808D2">
        <w:rPr>
          <w:rFonts w:cs="Arial"/>
          <w:szCs w:val="20"/>
          <w:lang w:eastAsia="en-US"/>
        </w:rPr>
        <w:t>Paper</w:t>
      </w:r>
      <w:r w:rsidRPr="00D71CD8">
        <w:rPr>
          <w:rFonts w:cs="Arial"/>
          <w:szCs w:val="20"/>
          <w:lang w:eastAsia="en-US"/>
        </w:rPr>
        <w:t>.</w:t>
      </w:r>
    </w:p>
    <w:p w14:paraId="5B30C604" w14:textId="77777777" w:rsidR="00D71CD8" w:rsidRPr="00D71CD8" w:rsidRDefault="00D71CD8" w:rsidP="00D71CD8">
      <w:pPr>
        <w:rPr>
          <w:rFonts w:cs="Arial"/>
          <w:szCs w:val="20"/>
          <w:lang w:eastAsia="en-US"/>
        </w:rPr>
      </w:pPr>
      <w:bookmarkStart w:id="1" w:name="_GoBack"/>
      <w:bookmarkEnd w:id="1"/>
    </w:p>
    <w:p w14:paraId="0C6F1E0D" w14:textId="278ABE23" w:rsidR="00D71CD8" w:rsidRPr="00D71CD8" w:rsidRDefault="00D71CD8" w:rsidP="00D71CD8">
      <w:pPr>
        <w:rPr>
          <w:rFonts w:cs="Arial"/>
          <w:szCs w:val="20"/>
        </w:rPr>
      </w:pPr>
      <w:r w:rsidRPr="00D71CD8">
        <w:rPr>
          <w:rFonts w:cs="Arial"/>
          <w:szCs w:val="20"/>
        </w:rPr>
        <w:t xml:space="preserve">Europex agrees that only a very small number of commodity benchmarks will fall </w:t>
      </w:r>
      <w:r w:rsidR="00FB6622">
        <w:rPr>
          <w:rFonts w:cs="Arial"/>
          <w:szCs w:val="20"/>
        </w:rPr>
        <w:t>under</w:t>
      </w:r>
      <w:r w:rsidRPr="00D71CD8">
        <w:rPr>
          <w:rFonts w:cs="Arial"/>
          <w:szCs w:val="20"/>
        </w:rPr>
        <w:t xml:space="preserve"> the category of critical benchmarks.</w:t>
      </w:r>
    </w:p>
    <w:p w14:paraId="1DE089A7" w14:textId="77777777" w:rsidR="00D71CD8" w:rsidRDefault="00D71CD8" w:rsidP="00D71CD8">
      <w:pPr>
        <w:rPr>
          <w:rFonts w:cs="Arial"/>
          <w:szCs w:val="20"/>
        </w:rPr>
      </w:pPr>
    </w:p>
    <w:p w14:paraId="4A0D9699" w14:textId="78B8E003" w:rsidR="00EA3589" w:rsidRPr="00D71CD8" w:rsidRDefault="00EA3589" w:rsidP="00B80AD3">
      <w:pPr>
        <w:jc w:val="both"/>
        <w:rPr>
          <w:rFonts w:cs="Arial"/>
          <w:szCs w:val="20"/>
        </w:rPr>
      </w:pPr>
      <w:r w:rsidRPr="00D71CD8">
        <w:rPr>
          <w:rFonts w:cs="Arial"/>
          <w:szCs w:val="20"/>
        </w:rPr>
        <w:t xml:space="preserve">However, when it comes to the seasonal pattern of </w:t>
      </w:r>
      <w:r w:rsidR="00FB6622">
        <w:rPr>
          <w:rFonts w:cs="Arial"/>
          <w:szCs w:val="20"/>
        </w:rPr>
        <w:t>certain</w:t>
      </w:r>
      <w:r w:rsidR="00FB6622" w:rsidRPr="00D71CD8">
        <w:rPr>
          <w:rFonts w:cs="Arial"/>
          <w:szCs w:val="20"/>
        </w:rPr>
        <w:t xml:space="preserve"> </w:t>
      </w:r>
      <w:r w:rsidRPr="00D71CD8">
        <w:rPr>
          <w:rFonts w:cs="Arial"/>
          <w:szCs w:val="20"/>
        </w:rPr>
        <w:t>commodity price</w:t>
      </w:r>
      <w:r w:rsidR="00D03903" w:rsidRPr="00D71CD8">
        <w:rPr>
          <w:rFonts w:cs="Arial"/>
          <w:szCs w:val="20"/>
        </w:rPr>
        <w:t xml:space="preserve">s </w:t>
      </w:r>
      <w:r w:rsidR="00D04A41" w:rsidRPr="00D71CD8">
        <w:rPr>
          <w:rFonts w:cs="Arial"/>
          <w:szCs w:val="20"/>
        </w:rPr>
        <w:t xml:space="preserve">or </w:t>
      </w:r>
      <w:r w:rsidR="00FB6622">
        <w:rPr>
          <w:rFonts w:cs="Arial"/>
          <w:szCs w:val="20"/>
        </w:rPr>
        <w:t xml:space="preserve">the </w:t>
      </w:r>
      <w:r w:rsidR="00D04A41" w:rsidRPr="00D71CD8">
        <w:rPr>
          <w:rFonts w:cs="Arial"/>
          <w:szCs w:val="20"/>
        </w:rPr>
        <w:t>consumption volume</w:t>
      </w:r>
      <w:r w:rsidR="00D71CD8" w:rsidRPr="00D71CD8">
        <w:rPr>
          <w:rFonts w:cs="Arial"/>
          <w:szCs w:val="20"/>
        </w:rPr>
        <w:t>,</w:t>
      </w:r>
      <w:r w:rsidR="00D04A41" w:rsidRPr="00D71CD8">
        <w:rPr>
          <w:rFonts w:cs="Arial"/>
          <w:szCs w:val="20"/>
        </w:rPr>
        <w:t xml:space="preserve"> </w:t>
      </w:r>
      <w:r w:rsidR="00D03903" w:rsidRPr="00D71CD8">
        <w:rPr>
          <w:rFonts w:cs="Arial"/>
          <w:szCs w:val="20"/>
        </w:rPr>
        <w:t xml:space="preserve">it is not a matter of size, </w:t>
      </w:r>
      <w:r w:rsidR="00FB6622">
        <w:rPr>
          <w:rFonts w:cs="Arial"/>
          <w:szCs w:val="20"/>
        </w:rPr>
        <w:t xml:space="preserve">the </w:t>
      </w:r>
      <w:r w:rsidRPr="00D71CD8">
        <w:rPr>
          <w:rFonts w:cs="Arial"/>
          <w:szCs w:val="20"/>
        </w:rPr>
        <w:t>liquidity</w:t>
      </w:r>
      <w:r w:rsidR="00D04A41" w:rsidRPr="00D71CD8">
        <w:rPr>
          <w:rFonts w:cs="Arial"/>
          <w:szCs w:val="20"/>
        </w:rPr>
        <w:t xml:space="preserve"> </w:t>
      </w:r>
      <w:r w:rsidR="00AE095B" w:rsidRPr="00D71CD8">
        <w:rPr>
          <w:rFonts w:cs="Arial"/>
          <w:szCs w:val="20"/>
        </w:rPr>
        <w:t xml:space="preserve">of the market </w:t>
      </w:r>
      <w:r w:rsidR="00D04A41" w:rsidRPr="00D71CD8">
        <w:rPr>
          <w:rFonts w:cs="Arial"/>
          <w:szCs w:val="20"/>
        </w:rPr>
        <w:t xml:space="preserve">or </w:t>
      </w:r>
      <w:r w:rsidR="00FB6622">
        <w:rPr>
          <w:rFonts w:cs="Arial"/>
          <w:szCs w:val="20"/>
        </w:rPr>
        <w:t xml:space="preserve">the </w:t>
      </w:r>
      <w:r w:rsidR="00D04A41" w:rsidRPr="00D71CD8">
        <w:rPr>
          <w:rFonts w:cs="Arial"/>
          <w:szCs w:val="20"/>
        </w:rPr>
        <w:t xml:space="preserve">usage </w:t>
      </w:r>
      <w:r w:rsidRPr="00D71CD8">
        <w:rPr>
          <w:rFonts w:cs="Arial"/>
          <w:szCs w:val="20"/>
        </w:rPr>
        <w:t xml:space="preserve">of a </w:t>
      </w:r>
      <w:r w:rsidR="008808D2">
        <w:rPr>
          <w:rFonts w:cs="Arial"/>
          <w:szCs w:val="20"/>
        </w:rPr>
        <w:t>b</w:t>
      </w:r>
      <w:r w:rsidRPr="00D71CD8">
        <w:rPr>
          <w:rFonts w:cs="Arial"/>
          <w:szCs w:val="20"/>
        </w:rPr>
        <w:t xml:space="preserve">enchmark but </w:t>
      </w:r>
      <w:r w:rsidR="00FB6622">
        <w:rPr>
          <w:rFonts w:cs="Arial"/>
          <w:szCs w:val="20"/>
        </w:rPr>
        <w:t>it depends on</w:t>
      </w:r>
      <w:r w:rsidR="00AE095B" w:rsidRPr="00D71CD8">
        <w:rPr>
          <w:rFonts w:cs="Arial"/>
          <w:szCs w:val="20"/>
        </w:rPr>
        <w:t xml:space="preserve"> the</w:t>
      </w:r>
      <w:r w:rsidRPr="00D71CD8">
        <w:rPr>
          <w:rFonts w:cs="Arial"/>
          <w:szCs w:val="20"/>
        </w:rPr>
        <w:t xml:space="preserve"> </w:t>
      </w:r>
      <w:r w:rsidR="00FB6622">
        <w:rPr>
          <w:rFonts w:cs="Arial"/>
          <w:szCs w:val="20"/>
        </w:rPr>
        <w:t xml:space="preserve">physical </w:t>
      </w:r>
      <w:r w:rsidRPr="00D71CD8">
        <w:rPr>
          <w:rFonts w:cs="Arial"/>
          <w:szCs w:val="20"/>
        </w:rPr>
        <w:t>characteristic</w:t>
      </w:r>
      <w:r w:rsidR="00AE095B" w:rsidRPr="00D71CD8">
        <w:rPr>
          <w:rFonts w:cs="Arial"/>
          <w:szCs w:val="20"/>
        </w:rPr>
        <w:t>s</w:t>
      </w:r>
      <w:r w:rsidRPr="00D71CD8">
        <w:rPr>
          <w:rFonts w:cs="Arial"/>
          <w:szCs w:val="20"/>
        </w:rPr>
        <w:t xml:space="preserve"> of the underlying commodity. Commodities that follow seasonal pattern</w:t>
      </w:r>
      <w:r w:rsidR="00D03903" w:rsidRPr="00D71CD8">
        <w:rPr>
          <w:rFonts w:cs="Arial"/>
          <w:szCs w:val="20"/>
        </w:rPr>
        <w:t>s</w:t>
      </w:r>
      <w:r w:rsidRPr="00D71CD8">
        <w:rPr>
          <w:rFonts w:cs="Arial"/>
          <w:szCs w:val="20"/>
        </w:rPr>
        <w:t xml:space="preserve"> because of </w:t>
      </w:r>
      <w:r w:rsidR="00FB6622">
        <w:rPr>
          <w:rFonts w:cs="Arial"/>
          <w:szCs w:val="20"/>
        </w:rPr>
        <w:t xml:space="preserve">their </w:t>
      </w:r>
      <w:r w:rsidRPr="00D71CD8">
        <w:rPr>
          <w:rFonts w:cs="Arial"/>
          <w:szCs w:val="20"/>
        </w:rPr>
        <w:t xml:space="preserve">physical characteristics (e.g. </w:t>
      </w:r>
      <w:r w:rsidR="00D04A41" w:rsidRPr="00D71CD8">
        <w:rPr>
          <w:rFonts w:cs="Arial"/>
          <w:szCs w:val="20"/>
        </w:rPr>
        <w:t xml:space="preserve">non-storability, </w:t>
      </w:r>
      <w:r w:rsidRPr="00D71CD8">
        <w:rPr>
          <w:rFonts w:cs="Arial"/>
          <w:szCs w:val="20"/>
        </w:rPr>
        <w:t>weather-dependency</w:t>
      </w:r>
      <w:r w:rsidR="00D04A41" w:rsidRPr="00D71CD8">
        <w:rPr>
          <w:rFonts w:cs="Arial"/>
          <w:szCs w:val="20"/>
        </w:rPr>
        <w:t xml:space="preserve"> or season-driven consumption</w:t>
      </w:r>
      <w:r w:rsidRPr="00D71CD8">
        <w:rPr>
          <w:rFonts w:cs="Arial"/>
          <w:szCs w:val="20"/>
        </w:rPr>
        <w:t>) do so even in relatively liquid markets.</w:t>
      </w:r>
    </w:p>
    <w:p w14:paraId="065737A3" w14:textId="77777777" w:rsidR="00D71CD8" w:rsidRDefault="00D71CD8" w:rsidP="00D71CD8">
      <w:pPr>
        <w:rPr>
          <w:rFonts w:cs="Arial"/>
          <w:szCs w:val="20"/>
        </w:rPr>
      </w:pPr>
    </w:p>
    <w:p w14:paraId="5AFE29B3" w14:textId="14E8C56F" w:rsidR="002F090B" w:rsidRPr="00D71CD8" w:rsidRDefault="00E4127D" w:rsidP="00B80AD3">
      <w:pPr>
        <w:jc w:val="both"/>
        <w:rPr>
          <w:rFonts w:cs="Arial"/>
          <w:szCs w:val="20"/>
        </w:rPr>
      </w:pPr>
      <w:r w:rsidRPr="00D71CD8">
        <w:rPr>
          <w:rFonts w:cs="Arial"/>
          <w:szCs w:val="20"/>
        </w:rPr>
        <w:t>For these</w:t>
      </w:r>
      <w:r w:rsidR="00D04A41" w:rsidRPr="00D71CD8">
        <w:rPr>
          <w:rFonts w:cs="Arial"/>
          <w:szCs w:val="20"/>
        </w:rPr>
        <w:t xml:space="preserve"> commodity</w:t>
      </w:r>
      <w:r w:rsidRPr="00D71CD8">
        <w:rPr>
          <w:rFonts w:cs="Arial"/>
          <w:szCs w:val="20"/>
        </w:rPr>
        <w:t xml:space="preserve"> benchmarks a </w:t>
      </w:r>
      <w:r w:rsidR="00D04A41" w:rsidRPr="00D71CD8">
        <w:rPr>
          <w:rFonts w:cs="Arial"/>
          <w:szCs w:val="20"/>
        </w:rPr>
        <w:t>six-month</w:t>
      </w:r>
      <w:r w:rsidRPr="00D71CD8">
        <w:rPr>
          <w:rFonts w:cs="Arial"/>
          <w:szCs w:val="20"/>
        </w:rPr>
        <w:t xml:space="preserve"> average is not adequate from our</w:t>
      </w:r>
      <w:r w:rsidR="00D71CD8" w:rsidRPr="00D71CD8">
        <w:rPr>
          <w:rFonts w:cs="Arial"/>
          <w:szCs w:val="20"/>
        </w:rPr>
        <w:t xml:space="preserve"> point of</w:t>
      </w:r>
      <w:r w:rsidRPr="00D71CD8">
        <w:rPr>
          <w:rFonts w:cs="Arial"/>
          <w:szCs w:val="20"/>
        </w:rPr>
        <w:t xml:space="preserve"> view</w:t>
      </w:r>
      <w:r w:rsidR="00D71CD8" w:rsidRPr="00D71CD8">
        <w:rPr>
          <w:rFonts w:cs="Arial"/>
          <w:szCs w:val="20"/>
        </w:rPr>
        <w:t>,</w:t>
      </w:r>
      <w:r w:rsidRPr="00D71CD8">
        <w:rPr>
          <w:rFonts w:cs="Arial"/>
          <w:szCs w:val="20"/>
        </w:rPr>
        <w:t xml:space="preserve"> as the seasonality tends to</w:t>
      </w:r>
      <w:r w:rsidR="00D04A41" w:rsidRPr="00D71CD8">
        <w:rPr>
          <w:rFonts w:cs="Arial"/>
          <w:szCs w:val="20"/>
        </w:rPr>
        <w:t xml:space="preserve"> be spread over the whole year. As a result, we </w:t>
      </w:r>
      <w:r w:rsidR="002F090B" w:rsidRPr="00D71CD8">
        <w:rPr>
          <w:rFonts w:cs="Arial"/>
          <w:szCs w:val="20"/>
        </w:rPr>
        <w:t xml:space="preserve">propose to </w:t>
      </w:r>
      <w:r w:rsidR="00D04A41" w:rsidRPr="00D71CD8">
        <w:rPr>
          <w:rFonts w:cs="Arial"/>
          <w:szCs w:val="20"/>
        </w:rPr>
        <w:t xml:space="preserve">choose </w:t>
      </w:r>
      <w:r w:rsidR="002F090B" w:rsidRPr="00D71CD8">
        <w:rPr>
          <w:rFonts w:cs="Arial"/>
          <w:szCs w:val="20"/>
        </w:rPr>
        <w:t>a</w:t>
      </w:r>
      <w:r w:rsidR="00FB6622">
        <w:rPr>
          <w:rFonts w:cs="Arial"/>
          <w:szCs w:val="20"/>
        </w:rPr>
        <w:t>n</w:t>
      </w:r>
      <w:r w:rsidR="002F090B" w:rsidRPr="00D71CD8">
        <w:rPr>
          <w:rFonts w:cs="Arial"/>
          <w:szCs w:val="20"/>
        </w:rPr>
        <w:t xml:space="preserve"> </w:t>
      </w:r>
      <w:r w:rsidR="00FB6622">
        <w:rPr>
          <w:rFonts w:cs="Arial"/>
          <w:szCs w:val="20"/>
        </w:rPr>
        <w:t>annual</w:t>
      </w:r>
      <w:r w:rsidR="00FB6622" w:rsidRPr="00D71CD8">
        <w:rPr>
          <w:rFonts w:cs="Arial"/>
          <w:szCs w:val="20"/>
        </w:rPr>
        <w:t xml:space="preserve"> </w:t>
      </w:r>
      <w:r w:rsidR="002F090B" w:rsidRPr="00D71CD8">
        <w:rPr>
          <w:rFonts w:cs="Arial"/>
          <w:szCs w:val="20"/>
        </w:rPr>
        <w:t>average</w:t>
      </w:r>
      <w:r w:rsidR="000E06C2" w:rsidRPr="00D71CD8">
        <w:rPr>
          <w:rFonts w:cs="Arial"/>
          <w:szCs w:val="20"/>
        </w:rPr>
        <w:t xml:space="preserve"> as seaso</w:t>
      </w:r>
      <w:r w:rsidR="00D04A41" w:rsidRPr="00D71CD8">
        <w:rPr>
          <w:rFonts w:cs="Arial"/>
          <w:szCs w:val="20"/>
        </w:rPr>
        <w:t>nal patterns should</w:t>
      </w:r>
      <w:r w:rsidR="000E06C2" w:rsidRPr="00D71CD8">
        <w:rPr>
          <w:rFonts w:cs="Arial"/>
          <w:szCs w:val="20"/>
        </w:rPr>
        <w:t xml:space="preserve"> </w:t>
      </w:r>
      <w:r w:rsidR="00D71CD8" w:rsidRPr="00D71CD8">
        <w:rPr>
          <w:rFonts w:cs="Arial"/>
          <w:szCs w:val="20"/>
        </w:rPr>
        <w:t xml:space="preserve">then </w:t>
      </w:r>
      <w:r w:rsidR="000E06C2" w:rsidRPr="00D71CD8">
        <w:rPr>
          <w:rFonts w:cs="Arial"/>
          <w:szCs w:val="20"/>
        </w:rPr>
        <w:t xml:space="preserve">be </w:t>
      </w:r>
      <w:r w:rsidR="00D04A41" w:rsidRPr="00D71CD8">
        <w:rPr>
          <w:rFonts w:cs="Arial"/>
          <w:szCs w:val="20"/>
        </w:rPr>
        <w:t>levelled</w:t>
      </w:r>
      <w:r w:rsidR="000E06C2" w:rsidRPr="00D71CD8">
        <w:rPr>
          <w:rFonts w:cs="Arial"/>
          <w:szCs w:val="20"/>
        </w:rPr>
        <w:t xml:space="preserve"> out. </w:t>
      </w:r>
    </w:p>
    <w:p w14:paraId="6392AEC9" w14:textId="77777777" w:rsidR="00A557C2" w:rsidRPr="00E3493A" w:rsidRDefault="00A557C2" w:rsidP="00A557C2">
      <w:pPr>
        <w:rPr>
          <w:rFonts w:cs="Arial"/>
          <w:sz w:val="18"/>
          <w:lang w:eastAsia="en-US"/>
        </w:rPr>
      </w:pPr>
    </w:p>
    <w:p w14:paraId="0D485167" w14:textId="77777777" w:rsidR="00A557C2" w:rsidRPr="00E3493A" w:rsidRDefault="00A557C2" w:rsidP="00A557C2">
      <w:pPr>
        <w:pStyle w:val="Questionstyle"/>
        <w:rPr>
          <w:rFonts w:ascii="Arial" w:hAnsi="Arial" w:cs="Arial"/>
          <w:sz w:val="20"/>
        </w:rPr>
      </w:pPr>
      <w:r w:rsidRPr="00E3493A">
        <w:rPr>
          <w:rFonts w:ascii="Arial" w:hAnsi="Arial" w:cs="Arial"/>
          <w:sz w:val="20"/>
        </w:rPr>
        <w:t xml:space="preserve">What are your views on the use of licensing agreements to identify financial instruments referencing benchmarks? Would this approach be useful in particular in the case of investment funds? </w:t>
      </w:r>
    </w:p>
    <w:p w14:paraId="2A67A3FA" w14:textId="77777777" w:rsidR="00A557C2" w:rsidRPr="00E3493A" w:rsidRDefault="00A557C2" w:rsidP="00A557C2">
      <w:pPr>
        <w:rPr>
          <w:rFonts w:cs="Arial"/>
          <w:sz w:val="18"/>
          <w:lang w:eastAsia="en-US"/>
        </w:rPr>
      </w:pPr>
    </w:p>
    <w:p w14:paraId="650A7334" w14:textId="77777777" w:rsidR="00A557C2" w:rsidRPr="00E3493A" w:rsidRDefault="00A557C2" w:rsidP="00A557C2">
      <w:pPr>
        <w:pStyle w:val="Questionstyle"/>
        <w:rPr>
          <w:rFonts w:ascii="Arial" w:hAnsi="Arial" w:cs="Arial"/>
          <w:sz w:val="20"/>
        </w:rPr>
      </w:pPr>
      <w:r w:rsidRPr="00E3493A">
        <w:rPr>
          <w:rFonts w:ascii="Arial" w:hAnsi="Arial" w:cs="Arial"/>
          <w:sz w:val="20"/>
        </w:rPr>
        <w:t xml:space="preserve">Do you agree with the criteria proposed? Do you consider that additional criteria should be included in the technical advice? </w:t>
      </w:r>
    </w:p>
    <w:p w14:paraId="5CF2735F" w14:textId="77777777" w:rsidR="00A557C2" w:rsidRPr="00E3493A" w:rsidRDefault="00A557C2" w:rsidP="00A557C2">
      <w:pPr>
        <w:rPr>
          <w:rFonts w:cs="Arial"/>
          <w:sz w:val="18"/>
          <w:lang w:eastAsia="en-US"/>
        </w:rPr>
      </w:pPr>
    </w:p>
    <w:p w14:paraId="5C40E96A" w14:textId="77777777" w:rsidR="00A557C2" w:rsidRPr="00E3493A" w:rsidRDefault="00A557C2" w:rsidP="00A557C2">
      <w:pPr>
        <w:pStyle w:val="Questionstyle"/>
        <w:rPr>
          <w:rFonts w:ascii="Arial" w:hAnsi="Arial" w:cs="Arial"/>
          <w:sz w:val="20"/>
        </w:rPr>
      </w:pPr>
      <w:r w:rsidRPr="00E3493A">
        <w:rPr>
          <w:rFonts w:ascii="Arial" w:hAnsi="Arial" w:cs="Arial"/>
          <w:sz w:val="20"/>
        </w:rPr>
        <w:t xml:space="preserve">Do you think that the concept of “significant share of” should be further developed in terms of percentages or ranges of values expressed in percentages, to be used for (some of) the </w:t>
      </w:r>
      <w:r w:rsidRPr="00E3493A">
        <w:rPr>
          <w:rFonts w:ascii="Arial" w:hAnsi="Arial" w:cs="Arial"/>
          <w:sz w:val="20"/>
        </w:rPr>
        <w:lastRenderedPageBreak/>
        <w:t xml:space="preserve">criteria based on quantitative data? If yes, could you propose percentages of reference, or ranges of values expressed in percentages, to be used for one or more of the proposed criteria? </w:t>
      </w:r>
    </w:p>
    <w:p w14:paraId="4147628C" w14:textId="77777777" w:rsidR="00A557C2" w:rsidRPr="00E3493A" w:rsidRDefault="00A557C2" w:rsidP="00A557C2">
      <w:pPr>
        <w:rPr>
          <w:rFonts w:cs="Arial"/>
          <w:sz w:val="18"/>
          <w:lang w:eastAsia="en-US"/>
        </w:rPr>
      </w:pPr>
    </w:p>
    <w:p w14:paraId="6A9C62EF" w14:textId="77777777" w:rsidR="00A557C2" w:rsidRDefault="00A557C2" w:rsidP="00A557C2">
      <w:pPr>
        <w:pStyle w:val="Questionstyle"/>
        <w:rPr>
          <w:rFonts w:ascii="Arial" w:hAnsi="Arial" w:cs="Arial"/>
          <w:sz w:val="20"/>
        </w:rPr>
      </w:pPr>
      <w:r w:rsidRPr="00E3493A">
        <w:rPr>
          <w:rFonts w:ascii="Arial" w:hAnsi="Arial" w:cs="Arial"/>
          <w:sz w:val="20"/>
        </w:rPr>
        <w:t xml:space="preserve">Do you agree with the suggested indicators for objective reasons for endorsement of third-country benchmarks? </w:t>
      </w:r>
    </w:p>
    <w:p w14:paraId="0C8C4F02" w14:textId="234C6ABC" w:rsidR="0092540D" w:rsidRDefault="0092540D" w:rsidP="00107282">
      <w:pPr>
        <w:jc w:val="both"/>
        <w:rPr>
          <w:lang w:eastAsia="en-US"/>
        </w:rPr>
      </w:pPr>
      <w:r>
        <w:rPr>
          <w:lang w:eastAsia="en-US"/>
        </w:rPr>
        <w:t xml:space="preserve">Europex is concerned about potential unintended consequences of some of the proposed details </w:t>
      </w:r>
      <w:r w:rsidR="00F61DE5">
        <w:rPr>
          <w:lang w:eastAsia="en-US"/>
        </w:rPr>
        <w:t xml:space="preserve">of </w:t>
      </w:r>
      <w:r>
        <w:rPr>
          <w:lang w:eastAsia="en-US"/>
        </w:rPr>
        <w:t>the objective reasons required for endorsement</w:t>
      </w:r>
      <w:r w:rsidR="00F61DE5">
        <w:rPr>
          <w:lang w:eastAsia="en-US"/>
        </w:rPr>
        <w:t>.</w:t>
      </w:r>
    </w:p>
    <w:p w14:paraId="7DBFAD94" w14:textId="77777777" w:rsidR="0092540D" w:rsidRDefault="0092540D" w:rsidP="00107282">
      <w:pPr>
        <w:jc w:val="both"/>
        <w:rPr>
          <w:lang w:eastAsia="en-US"/>
        </w:rPr>
      </w:pPr>
    </w:p>
    <w:p w14:paraId="3D730D43" w14:textId="40AAF876" w:rsidR="0092540D" w:rsidRDefault="00F61DE5" w:rsidP="00107282">
      <w:pPr>
        <w:jc w:val="both"/>
        <w:rPr>
          <w:lang w:eastAsia="en-US"/>
        </w:rPr>
      </w:pPr>
      <w:r>
        <w:rPr>
          <w:lang w:eastAsia="en-US"/>
        </w:rPr>
        <w:t>First, t</w:t>
      </w:r>
      <w:r w:rsidR="0092540D">
        <w:rPr>
          <w:lang w:eastAsia="en-US"/>
        </w:rPr>
        <w:t xml:space="preserve">he Consultation Paper states that an index provider with a large subscriber-base outside the EU could use this fact as a valid objective reason for endorsement. </w:t>
      </w:r>
      <w:r>
        <w:rPr>
          <w:lang w:eastAsia="en-US"/>
        </w:rPr>
        <w:t xml:space="preserve">While </w:t>
      </w:r>
      <w:r w:rsidR="0092540D">
        <w:rPr>
          <w:lang w:eastAsia="en-US"/>
        </w:rPr>
        <w:t xml:space="preserve">this </w:t>
      </w:r>
      <w:r w:rsidR="0092540D" w:rsidRPr="0092540D">
        <w:rPr>
          <w:bCs/>
          <w:lang w:eastAsia="en-US"/>
        </w:rPr>
        <w:t xml:space="preserve">model </w:t>
      </w:r>
      <w:r>
        <w:rPr>
          <w:bCs/>
          <w:lang w:eastAsia="en-US"/>
        </w:rPr>
        <w:t>constitutes</w:t>
      </w:r>
      <w:r w:rsidRPr="0092540D">
        <w:rPr>
          <w:bCs/>
          <w:lang w:eastAsia="en-US"/>
        </w:rPr>
        <w:t xml:space="preserve"> </w:t>
      </w:r>
      <w:r w:rsidR="0092540D" w:rsidRPr="0092540D">
        <w:rPr>
          <w:bCs/>
          <w:lang w:eastAsia="en-US"/>
        </w:rPr>
        <w:t xml:space="preserve">a sensible solution </w:t>
      </w:r>
      <w:r>
        <w:rPr>
          <w:bCs/>
          <w:lang w:eastAsia="en-US"/>
        </w:rPr>
        <w:t>for</w:t>
      </w:r>
      <w:r w:rsidR="0092540D">
        <w:rPr>
          <w:bCs/>
          <w:lang w:eastAsia="en-US"/>
        </w:rPr>
        <w:t xml:space="preserve"> well-established benchmarks,</w:t>
      </w:r>
      <w:r w:rsidR="0092540D">
        <w:rPr>
          <w:lang w:eastAsia="en-US"/>
        </w:rPr>
        <w:t xml:space="preserve"> we believe that it creates unnecessary, higher entry barriers for new</w:t>
      </w:r>
      <w:r w:rsidR="008808D2">
        <w:rPr>
          <w:lang w:eastAsia="en-US"/>
        </w:rPr>
        <w:t>(</w:t>
      </w:r>
      <w:proofErr w:type="spellStart"/>
      <w:r w:rsidR="0092540D">
        <w:rPr>
          <w:lang w:eastAsia="en-US"/>
        </w:rPr>
        <w:t>er</w:t>
      </w:r>
      <w:proofErr w:type="spellEnd"/>
      <w:r w:rsidR="008808D2">
        <w:rPr>
          <w:lang w:eastAsia="en-US"/>
        </w:rPr>
        <w:t>)</w:t>
      </w:r>
      <w:r w:rsidR="0092540D">
        <w:rPr>
          <w:lang w:eastAsia="en-US"/>
        </w:rPr>
        <w:t xml:space="preserve"> global index providers to offer their services within the EU, thus creating an anti-competitive environment and potentially disadvantaging EU benchmark users. </w:t>
      </w:r>
    </w:p>
    <w:p w14:paraId="01D09EFB" w14:textId="77777777" w:rsidR="0092540D" w:rsidRDefault="0092540D" w:rsidP="00107282">
      <w:pPr>
        <w:jc w:val="both"/>
        <w:rPr>
          <w:lang w:eastAsia="en-US"/>
        </w:rPr>
      </w:pPr>
    </w:p>
    <w:p w14:paraId="3B6FBC48" w14:textId="7A0A9564" w:rsidR="0092540D" w:rsidRDefault="0092540D" w:rsidP="00107282">
      <w:pPr>
        <w:jc w:val="both"/>
        <w:rPr>
          <w:lang w:eastAsia="en-US"/>
        </w:rPr>
      </w:pPr>
      <w:r>
        <w:rPr>
          <w:lang w:eastAsia="en-US"/>
        </w:rPr>
        <w:t>Europex strongly suggests that ESMA consider</w:t>
      </w:r>
      <w:r w:rsidR="008808D2">
        <w:rPr>
          <w:lang w:eastAsia="en-US"/>
        </w:rPr>
        <w:t>s</w:t>
      </w:r>
      <w:r>
        <w:rPr>
          <w:lang w:eastAsia="en-US"/>
        </w:rPr>
        <w:t xml:space="preserve"> softening or expanding this language so as to </w:t>
      </w:r>
      <w:r w:rsidR="00F61DE5">
        <w:rPr>
          <w:lang w:eastAsia="en-US"/>
        </w:rPr>
        <w:t xml:space="preserve">not </w:t>
      </w:r>
      <w:r>
        <w:rPr>
          <w:lang w:eastAsia="en-US"/>
        </w:rPr>
        <w:t>create an anti-competitive landscape that discourages new index providers from offering services to EU benchmark users.</w:t>
      </w:r>
    </w:p>
    <w:p w14:paraId="4896D95E" w14:textId="77777777" w:rsidR="0092540D" w:rsidRDefault="0092540D" w:rsidP="00107282">
      <w:pPr>
        <w:jc w:val="both"/>
        <w:rPr>
          <w:lang w:eastAsia="en-US"/>
        </w:rPr>
      </w:pPr>
    </w:p>
    <w:p w14:paraId="5E1DD95E" w14:textId="051E5865" w:rsidR="00DD5308" w:rsidRDefault="00F61DE5" w:rsidP="00DD5308">
      <w:pPr>
        <w:jc w:val="both"/>
        <w:rPr>
          <w:rFonts w:cs="Arial"/>
          <w:szCs w:val="20"/>
        </w:rPr>
      </w:pPr>
      <w:r>
        <w:rPr>
          <w:rFonts w:cs="Arial"/>
          <w:szCs w:val="20"/>
        </w:rPr>
        <w:t>Second, t</w:t>
      </w:r>
      <w:r w:rsidR="00DD5308" w:rsidRPr="00C2194B">
        <w:rPr>
          <w:rFonts w:cs="Arial"/>
          <w:szCs w:val="20"/>
        </w:rPr>
        <w:t xml:space="preserve">he </w:t>
      </w:r>
      <w:r w:rsidR="00DD5308">
        <w:rPr>
          <w:rFonts w:cs="Arial"/>
          <w:szCs w:val="20"/>
        </w:rPr>
        <w:t>C</w:t>
      </w:r>
      <w:r w:rsidR="00DD5308" w:rsidRPr="00C2194B">
        <w:rPr>
          <w:rFonts w:cs="Arial"/>
          <w:szCs w:val="20"/>
        </w:rPr>
        <w:t xml:space="preserve">onsultation </w:t>
      </w:r>
      <w:r w:rsidR="00DD5308">
        <w:rPr>
          <w:rFonts w:cs="Arial"/>
          <w:szCs w:val="20"/>
        </w:rPr>
        <w:t>P</w:t>
      </w:r>
      <w:r w:rsidR="00DD5308" w:rsidRPr="00C2194B">
        <w:rPr>
          <w:rFonts w:cs="Arial"/>
          <w:szCs w:val="20"/>
        </w:rPr>
        <w:t xml:space="preserve">aper goes on to describe </w:t>
      </w:r>
      <w:r w:rsidR="00BB61C7">
        <w:rPr>
          <w:rFonts w:cs="Arial"/>
          <w:szCs w:val="20"/>
        </w:rPr>
        <w:t xml:space="preserve">that </w:t>
      </w:r>
      <w:r w:rsidR="00DD5308" w:rsidRPr="00C2194B">
        <w:rPr>
          <w:rFonts w:cs="Arial"/>
          <w:szCs w:val="20"/>
        </w:rPr>
        <w:t xml:space="preserve">a strong objective reason would include </w:t>
      </w:r>
      <w:r w:rsidR="00BB61C7">
        <w:rPr>
          <w:rFonts w:cs="Arial"/>
          <w:szCs w:val="20"/>
        </w:rPr>
        <w:t>that</w:t>
      </w:r>
      <w:r w:rsidR="00BB61C7" w:rsidRPr="00C2194B">
        <w:rPr>
          <w:rFonts w:cs="Arial"/>
          <w:szCs w:val="20"/>
        </w:rPr>
        <w:t xml:space="preserve"> </w:t>
      </w:r>
      <w:r w:rsidR="00DD5308" w:rsidRPr="00C2194B">
        <w:rPr>
          <w:rFonts w:cs="Arial"/>
          <w:szCs w:val="20"/>
        </w:rPr>
        <w:t>‘</w:t>
      </w:r>
      <w:r w:rsidR="00DD5308" w:rsidRPr="00C2194B">
        <w:rPr>
          <w:rFonts w:cs="Arial"/>
          <w:i/>
          <w:szCs w:val="20"/>
        </w:rPr>
        <w:t>relying on the individual experience and/or personal skills of the employees of the third-country benchmark provider for the provision of the benchmark leads to a reduction of costs and that this is directly and significantly advantageous to the benchmark users.</w:t>
      </w:r>
      <w:r w:rsidR="00DD5308" w:rsidRPr="00C2194B">
        <w:rPr>
          <w:rFonts w:cs="Arial"/>
          <w:szCs w:val="20"/>
        </w:rPr>
        <w:t xml:space="preserve">’ </w:t>
      </w:r>
      <w:r w:rsidR="00DD5308">
        <w:rPr>
          <w:rFonts w:cs="Arial"/>
          <w:szCs w:val="20"/>
        </w:rPr>
        <w:t>Europex</w:t>
      </w:r>
      <w:r w:rsidR="00DD5308" w:rsidRPr="00C2194B">
        <w:rPr>
          <w:rFonts w:cs="Arial"/>
          <w:szCs w:val="20"/>
        </w:rPr>
        <w:t xml:space="preserve"> believe</w:t>
      </w:r>
      <w:r w:rsidR="00DD5308">
        <w:rPr>
          <w:rFonts w:cs="Arial"/>
          <w:szCs w:val="20"/>
        </w:rPr>
        <w:t>s</w:t>
      </w:r>
      <w:r w:rsidR="00DD5308" w:rsidRPr="00C2194B">
        <w:rPr>
          <w:rFonts w:cs="Arial"/>
          <w:szCs w:val="20"/>
        </w:rPr>
        <w:t xml:space="preserve"> </w:t>
      </w:r>
      <w:r w:rsidR="00DD5308">
        <w:rPr>
          <w:rFonts w:cs="Arial"/>
          <w:szCs w:val="20"/>
        </w:rPr>
        <w:t xml:space="preserve">that </w:t>
      </w:r>
      <w:r w:rsidR="00DD5308" w:rsidRPr="00C2194B">
        <w:rPr>
          <w:rFonts w:cs="Arial"/>
          <w:szCs w:val="20"/>
        </w:rPr>
        <w:t xml:space="preserve">this wording does not account for </w:t>
      </w:r>
      <w:r>
        <w:rPr>
          <w:rFonts w:cs="Arial"/>
          <w:szCs w:val="20"/>
        </w:rPr>
        <w:t xml:space="preserve">a </w:t>
      </w:r>
      <w:r w:rsidR="00DD5308" w:rsidRPr="00C2194B">
        <w:rPr>
          <w:rFonts w:cs="Arial"/>
          <w:szCs w:val="20"/>
        </w:rPr>
        <w:t xml:space="preserve">strong physical EU presence </w:t>
      </w:r>
      <w:r w:rsidR="00DD5308">
        <w:rPr>
          <w:rFonts w:cs="Arial"/>
          <w:szCs w:val="20"/>
        </w:rPr>
        <w:t>of some</w:t>
      </w:r>
      <w:r w:rsidR="00DD5308" w:rsidRPr="00C2194B">
        <w:rPr>
          <w:rFonts w:cs="Arial"/>
          <w:szCs w:val="20"/>
        </w:rPr>
        <w:t xml:space="preserve"> </w:t>
      </w:r>
      <w:r w:rsidR="00DD5308">
        <w:rPr>
          <w:rFonts w:cs="Arial"/>
          <w:szCs w:val="20"/>
        </w:rPr>
        <w:t>benchmark providers</w:t>
      </w:r>
      <w:r w:rsidR="00DD5308" w:rsidRPr="00C2194B">
        <w:rPr>
          <w:rFonts w:cs="Arial"/>
          <w:szCs w:val="20"/>
        </w:rPr>
        <w:t xml:space="preserve">, nor </w:t>
      </w:r>
      <w:r w:rsidR="008808D2">
        <w:rPr>
          <w:rFonts w:cs="Arial"/>
          <w:szCs w:val="20"/>
        </w:rPr>
        <w:t xml:space="preserve">does it </w:t>
      </w:r>
      <w:r w:rsidR="00DD5308" w:rsidRPr="00C2194B">
        <w:rPr>
          <w:rFonts w:cs="Arial"/>
          <w:szCs w:val="20"/>
        </w:rPr>
        <w:t>recognise the support staff dedicated to assist</w:t>
      </w:r>
      <w:r w:rsidR="00DD5308">
        <w:rPr>
          <w:rFonts w:cs="Arial"/>
          <w:szCs w:val="20"/>
        </w:rPr>
        <w:t>ing</w:t>
      </w:r>
      <w:r w:rsidR="00DD5308" w:rsidRPr="00C2194B">
        <w:rPr>
          <w:rFonts w:cs="Arial"/>
          <w:szCs w:val="20"/>
        </w:rPr>
        <w:t xml:space="preserve"> </w:t>
      </w:r>
      <w:r w:rsidR="00DD5308">
        <w:rPr>
          <w:rFonts w:cs="Arial"/>
          <w:szCs w:val="20"/>
        </w:rPr>
        <w:t>their</w:t>
      </w:r>
      <w:r w:rsidR="00DD5308" w:rsidRPr="00C2194B">
        <w:rPr>
          <w:rFonts w:cs="Arial"/>
          <w:szCs w:val="20"/>
        </w:rPr>
        <w:t xml:space="preserve"> EU client benchmark users. </w:t>
      </w:r>
    </w:p>
    <w:p w14:paraId="3A28CC68" w14:textId="77777777" w:rsidR="00DD5308" w:rsidRDefault="00DD5308" w:rsidP="00107282">
      <w:pPr>
        <w:jc w:val="both"/>
        <w:rPr>
          <w:lang w:eastAsia="en-US"/>
        </w:rPr>
      </w:pPr>
    </w:p>
    <w:p w14:paraId="4A3682C7" w14:textId="6DB1731C" w:rsidR="0092540D" w:rsidRDefault="00F61DE5" w:rsidP="00107282">
      <w:pPr>
        <w:jc w:val="both"/>
        <w:rPr>
          <w:lang w:eastAsia="en-US"/>
        </w:rPr>
      </w:pPr>
      <w:r>
        <w:rPr>
          <w:lang w:eastAsia="en-US"/>
        </w:rPr>
        <w:t>Third</w:t>
      </w:r>
      <w:r w:rsidR="0092540D">
        <w:rPr>
          <w:lang w:eastAsia="en-US"/>
        </w:rPr>
        <w:t xml:space="preserve">, we would </w:t>
      </w:r>
      <w:r w:rsidR="008808D2">
        <w:rPr>
          <w:lang w:eastAsia="en-US"/>
        </w:rPr>
        <w:t xml:space="preserve">highly welcome </w:t>
      </w:r>
      <w:r w:rsidR="0092540D">
        <w:rPr>
          <w:lang w:eastAsia="en-US"/>
        </w:rPr>
        <w:t xml:space="preserve">an explicit confirmation from ESMA that the avoidance of a significant increase of costs borne by benchmark users is an analogous advantage to the users as a reduction of costs. If </w:t>
      </w:r>
      <w:r w:rsidR="00BB61C7">
        <w:rPr>
          <w:lang w:eastAsia="en-US"/>
        </w:rPr>
        <w:t xml:space="preserve">an </w:t>
      </w:r>
      <w:r w:rsidR="0092540D">
        <w:rPr>
          <w:lang w:eastAsia="en-US"/>
        </w:rPr>
        <w:t xml:space="preserve">endorsement in the EU required </w:t>
      </w:r>
      <w:r w:rsidR="00BB61C7">
        <w:rPr>
          <w:lang w:eastAsia="en-US"/>
        </w:rPr>
        <w:t xml:space="preserve">the </w:t>
      </w:r>
      <w:r w:rsidR="0092540D">
        <w:rPr>
          <w:lang w:eastAsia="en-US"/>
        </w:rPr>
        <w:t xml:space="preserve">transitioning of the benchmark operations to an EU entity, this would </w:t>
      </w:r>
      <w:r w:rsidR="00FA420A">
        <w:rPr>
          <w:lang w:eastAsia="en-US"/>
        </w:rPr>
        <w:t xml:space="preserve">constitute </w:t>
      </w:r>
      <w:r w:rsidR="0092540D">
        <w:rPr>
          <w:lang w:eastAsia="en-US"/>
        </w:rPr>
        <w:t xml:space="preserve">a significant cost burden that would ultimately have to be passed </w:t>
      </w:r>
      <w:r w:rsidR="00BB61C7">
        <w:rPr>
          <w:lang w:eastAsia="en-US"/>
        </w:rPr>
        <w:t xml:space="preserve">on </w:t>
      </w:r>
      <w:r w:rsidR="0092540D">
        <w:rPr>
          <w:lang w:eastAsia="en-US"/>
        </w:rPr>
        <w:t>to the benchmark users.</w:t>
      </w:r>
    </w:p>
    <w:p w14:paraId="2843F3B2" w14:textId="77777777" w:rsidR="0092540D" w:rsidRDefault="0092540D" w:rsidP="00107282">
      <w:pPr>
        <w:jc w:val="both"/>
        <w:rPr>
          <w:lang w:eastAsia="en-US"/>
        </w:rPr>
      </w:pPr>
    </w:p>
    <w:p w14:paraId="51E8C09D" w14:textId="4B99E2BF" w:rsidR="0092540D" w:rsidRDefault="00F61DE5" w:rsidP="00107282">
      <w:pPr>
        <w:jc w:val="both"/>
        <w:rPr>
          <w:lang w:eastAsia="en-US"/>
        </w:rPr>
      </w:pPr>
      <w:r>
        <w:rPr>
          <w:lang w:eastAsia="en-US"/>
        </w:rPr>
        <w:t>Fourth</w:t>
      </w:r>
      <w:r w:rsidR="0092540D">
        <w:rPr>
          <w:lang w:eastAsia="en-US"/>
        </w:rPr>
        <w:t xml:space="preserve">, Europex suggests including </w:t>
      </w:r>
      <w:r w:rsidR="00E931B7">
        <w:rPr>
          <w:lang w:eastAsia="en-US"/>
        </w:rPr>
        <w:t xml:space="preserve">the following </w:t>
      </w:r>
      <w:r w:rsidR="0092540D">
        <w:rPr>
          <w:lang w:eastAsia="en-US"/>
        </w:rPr>
        <w:t>additional objective reasons for endorsement.</w:t>
      </w:r>
    </w:p>
    <w:p w14:paraId="693235C7" w14:textId="77777777" w:rsidR="0092540D" w:rsidRPr="0092540D" w:rsidRDefault="0092540D" w:rsidP="00107282">
      <w:pPr>
        <w:jc w:val="both"/>
        <w:rPr>
          <w:u w:val="single"/>
          <w:lang w:eastAsia="en-US"/>
        </w:rPr>
      </w:pPr>
    </w:p>
    <w:p w14:paraId="4645FEF7" w14:textId="77777777" w:rsidR="0092540D" w:rsidRPr="0092540D" w:rsidRDefault="0092540D" w:rsidP="00107282">
      <w:pPr>
        <w:jc w:val="both"/>
        <w:rPr>
          <w:u w:val="single"/>
          <w:lang w:eastAsia="en-US"/>
        </w:rPr>
      </w:pPr>
      <w:r w:rsidRPr="0092540D">
        <w:rPr>
          <w:u w:val="single"/>
          <w:lang w:eastAsia="en-US"/>
        </w:rPr>
        <w:t>IOSCO Principles for Financial Benchmarks</w:t>
      </w:r>
    </w:p>
    <w:p w14:paraId="0653243F" w14:textId="77777777" w:rsidR="0092540D" w:rsidRDefault="0092540D" w:rsidP="00107282">
      <w:pPr>
        <w:jc w:val="both"/>
        <w:rPr>
          <w:lang w:eastAsia="en-US"/>
        </w:rPr>
      </w:pPr>
    </w:p>
    <w:p w14:paraId="3EA2488C" w14:textId="0EA3B61C" w:rsidR="0092540D" w:rsidRDefault="0092540D" w:rsidP="00107282">
      <w:pPr>
        <w:jc w:val="both"/>
        <w:rPr>
          <w:lang w:eastAsia="en-US"/>
        </w:rPr>
      </w:pPr>
      <w:r>
        <w:rPr>
          <w:lang w:eastAsia="en-US"/>
        </w:rPr>
        <w:t xml:space="preserve">According to Recital 34, the Regulation should take into account the IOSCO Principles for Financial Benchmarks which serve as a global standard for regulatory </w:t>
      </w:r>
      <w:r w:rsidR="00BB61C7">
        <w:rPr>
          <w:lang w:eastAsia="en-US"/>
        </w:rPr>
        <w:t xml:space="preserve">benchmark </w:t>
      </w:r>
      <w:r>
        <w:rPr>
          <w:lang w:eastAsia="en-US"/>
        </w:rPr>
        <w:t xml:space="preserve">requirements. Europex believes it would be prudent for ESMA to consider adding to the list of valid objective reasons one </w:t>
      </w:r>
      <w:r w:rsidR="00BB61C7">
        <w:rPr>
          <w:lang w:eastAsia="en-US"/>
        </w:rPr>
        <w:t xml:space="preserve">that allows to base a third-country benchmark endorsement on </w:t>
      </w:r>
      <w:r>
        <w:rPr>
          <w:lang w:eastAsia="en-US"/>
        </w:rPr>
        <w:t xml:space="preserve">the </w:t>
      </w:r>
      <w:r w:rsidR="00BB61C7">
        <w:rPr>
          <w:lang w:eastAsia="en-US"/>
        </w:rPr>
        <w:t xml:space="preserve">compliance with the </w:t>
      </w:r>
      <w:r>
        <w:rPr>
          <w:lang w:eastAsia="en-US"/>
        </w:rPr>
        <w:t>IOSCO Principles</w:t>
      </w:r>
      <w:r w:rsidR="00BB61C7">
        <w:rPr>
          <w:lang w:eastAsia="en-US"/>
        </w:rPr>
        <w:t xml:space="preserve"> in combination with an EU presence.</w:t>
      </w:r>
    </w:p>
    <w:p w14:paraId="72C5FD85" w14:textId="77777777" w:rsidR="0092540D" w:rsidRPr="0092540D" w:rsidRDefault="0092540D" w:rsidP="00107282">
      <w:pPr>
        <w:jc w:val="both"/>
        <w:rPr>
          <w:u w:val="single"/>
          <w:lang w:eastAsia="en-US"/>
        </w:rPr>
      </w:pPr>
    </w:p>
    <w:p w14:paraId="309BCF47" w14:textId="77777777" w:rsidR="0092540D" w:rsidRPr="0092540D" w:rsidRDefault="0092540D" w:rsidP="00107282">
      <w:pPr>
        <w:jc w:val="both"/>
        <w:rPr>
          <w:u w:val="single"/>
          <w:lang w:eastAsia="en-US"/>
        </w:rPr>
      </w:pPr>
      <w:r w:rsidRPr="0092540D">
        <w:rPr>
          <w:u w:val="single"/>
          <w:lang w:eastAsia="en-US"/>
        </w:rPr>
        <w:t>Historical presence in a third country</w:t>
      </w:r>
    </w:p>
    <w:p w14:paraId="646BA94A" w14:textId="77777777" w:rsidR="0092540D" w:rsidRDefault="0092540D" w:rsidP="00107282">
      <w:pPr>
        <w:jc w:val="both"/>
        <w:rPr>
          <w:lang w:eastAsia="en-US"/>
        </w:rPr>
      </w:pPr>
    </w:p>
    <w:p w14:paraId="114A5533" w14:textId="770CCA8A" w:rsidR="0092540D" w:rsidRDefault="0092540D" w:rsidP="00107282">
      <w:pPr>
        <w:jc w:val="both"/>
        <w:rPr>
          <w:lang w:eastAsia="en-US"/>
        </w:rPr>
      </w:pPr>
      <w:r>
        <w:rPr>
          <w:lang w:eastAsia="en-US"/>
        </w:rPr>
        <w:t xml:space="preserve">We further believe that the endorsement provisions in the BMR </w:t>
      </w:r>
      <w:r w:rsidR="00F61DE5">
        <w:rPr>
          <w:lang w:eastAsia="en-US"/>
        </w:rPr>
        <w:t xml:space="preserve">have been </w:t>
      </w:r>
      <w:r>
        <w:rPr>
          <w:lang w:eastAsia="en-US"/>
        </w:rPr>
        <w:t xml:space="preserve">drafted with the specific aim to prevent regulatory arbitrage (i.e. preventing benchmarks currently provided in the EU from moving to third countries in order to benefit from a lighter regulatory regime). However, administrators of benchmarks </w:t>
      </w:r>
      <w:r w:rsidR="00F61DE5">
        <w:rPr>
          <w:lang w:eastAsia="en-US"/>
        </w:rPr>
        <w:t xml:space="preserve">which have been </w:t>
      </w:r>
      <w:r>
        <w:rPr>
          <w:lang w:eastAsia="en-US"/>
        </w:rPr>
        <w:t xml:space="preserve">historically provided from third countries (i.e. </w:t>
      </w:r>
      <w:r w:rsidR="00F61DE5">
        <w:rPr>
          <w:lang w:eastAsia="en-US"/>
        </w:rPr>
        <w:t xml:space="preserve">before </w:t>
      </w:r>
      <w:r>
        <w:rPr>
          <w:lang w:eastAsia="en-US"/>
        </w:rPr>
        <w:t xml:space="preserve">the development of the BMR) have </w:t>
      </w:r>
      <w:r w:rsidR="00F61DE5">
        <w:rPr>
          <w:lang w:eastAsia="en-US"/>
        </w:rPr>
        <w:t xml:space="preserve">by definition </w:t>
      </w:r>
      <w:r>
        <w:rPr>
          <w:lang w:eastAsia="en-US"/>
        </w:rPr>
        <w:t>not</w:t>
      </w:r>
      <w:r w:rsidR="00F61DE5">
        <w:rPr>
          <w:lang w:eastAsia="en-US"/>
        </w:rPr>
        <w:t xml:space="preserve"> </w:t>
      </w:r>
      <w:r>
        <w:rPr>
          <w:lang w:eastAsia="en-US"/>
        </w:rPr>
        <w:t xml:space="preserve">based their </w:t>
      </w:r>
      <w:r w:rsidR="00F61DE5">
        <w:rPr>
          <w:lang w:eastAsia="en-US"/>
        </w:rPr>
        <w:t xml:space="preserve">location </w:t>
      </w:r>
      <w:r>
        <w:rPr>
          <w:lang w:eastAsia="en-US"/>
        </w:rPr>
        <w:t xml:space="preserve">decisions on the existence of the BMR. The addition of the </w:t>
      </w:r>
      <w:r w:rsidR="00F61DE5">
        <w:rPr>
          <w:lang w:eastAsia="en-US"/>
        </w:rPr>
        <w:t>criterion</w:t>
      </w:r>
      <w:r>
        <w:rPr>
          <w:lang w:eastAsia="en-US"/>
        </w:rPr>
        <w:t xml:space="preserve"> of historical presence in a third country to the list of objective reasons should therefore allow </w:t>
      </w:r>
      <w:r w:rsidR="00F61DE5">
        <w:rPr>
          <w:lang w:eastAsia="en-US"/>
        </w:rPr>
        <w:t xml:space="preserve">that </w:t>
      </w:r>
      <w:r>
        <w:rPr>
          <w:lang w:eastAsia="en-US"/>
        </w:rPr>
        <w:t xml:space="preserve">benchmarks </w:t>
      </w:r>
      <w:r w:rsidR="00F61DE5">
        <w:rPr>
          <w:lang w:eastAsia="en-US"/>
        </w:rPr>
        <w:t xml:space="preserve">which have been </w:t>
      </w:r>
      <w:r>
        <w:rPr>
          <w:lang w:eastAsia="en-US"/>
        </w:rPr>
        <w:t>historically provided from third countries directly qualify for endorsement.</w:t>
      </w:r>
    </w:p>
    <w:p w14:paraId="6BB34CC8" w14:textId="77777777" w:rsidR="0092540D" w:rsidRPr="0092540D" w:rsidRDefault="0092540D" w:rsidP="0092540D">
      <w:pPr>
        <w:rPr>
          <w:lang w:eastAsia="en-US"/>
        </w:rPr>
      </w:pPr>
    </w:p>
    <w:p w14:paraId="58958AE4" w14:textId="77777777" w:rsidR="00E3493A" w:rsidRPr="00E3493A" w:rsidRDefault="00E3493A" w:rsidP="00E3493A">
      <w:pPr>
        <w:rPr>
          <w:rFonts w:cs="Arial"/>
          <w:sz w:val="18"/>
          <w:lang w:eastAsia="en-US"/>
        </w:rPr>
      </w:pPr>
    </w:p>
    <w:p w14:paraId="7BFE3EF1" w14:textId="77777777" w:rsidR="00A557C2" w:rsidRPr="00E3493A" w:rsidRDefault="00A557C2" w:rsidP="00A557C2">
      <w:pPr>
        <w:pStyle w:val="Questionstyle"/>
        <w:rPr>
          <w:rFonts w:ascii="Arial" w:hAnsi="Arial" w:cs="Arial"/>
          <w:sz w:val="20"/>
        </w:rPr>
      </w:pPr>
      <w:r w:rsidRPr="00E3493A">
        <w:rPr>
          <w:rFonts w:ascii="Arial" w:hAnsi="Arial" w:cs="Arial"/>
          <w:sz w:val="20"/>
        </w:rPr>
        <w:lastRenderedPageBreak/>
        <w:t>Do you agree with the criteria, included in the draft technical advice, that NCAs should use when assessing whether the transitional provisions could apply to a non-compliant benchmark? Could you suggest additional criteria?</w:t>
      </w:r>
    </w:p>
    <w:sectPr w:rsidR="00A557C2" w:rsidRPr="00E3493A" w:rsidSect="00F3754A">
      <w:headerReference w:type="even" r:id="rId10"/>
      <w:headerReference w:type="first" r:id="rId11"/>
      <w:footerReference w:type="first" r:id="rId1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76B18" w14:textId="77777777" w:rsidR="00734B1D" w:rsidRDefault="00734B1D">
      <w:r>
        <w:separator/>
      </w:r>
    </w:p>
  </w:endnote>
  <w:endnote w:type="continuationSeparator" w:id="0">
    <w:p w14:paraId="63BAC07C" w14:textId="77777777" w:rsidR="00734B1D" w:rsidRDefault="0073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62D7D" w:rsidRPr="00616B9B" w14:paraId="28D3F66C" w14:textId="77777777" w:rsidTr="00F3754A">
      <w:trPr>
        <w:trHeight w:val="284"/>
      </w:trPr>
      <w:tc>
        <w:tcPr>
          <w:tcW w:w="8460" w:type="dxa"/>
        </w:tcPr>
        <w:p w14:paraId="11DA4A57" w14:textId="77777777" w:rsidR="00862D7D" w:rsidRPr="00315E96" w:rsidRDefault="00862D7D" w:rsidP="00F3754A">
          <w:pPr>
            <w:pStyle w:val="00Footer"/>
            <w:rPr>
              <w:lang w:val="fr-FR"/>
            </w:rPr>
          </w:pPr>
        </w:p>
      </w:tc>
      <w:tc>
        <w:tcPr>
          <w:tcW w:w="952" w:type="dxa"/>
        </w:tcPr>
        <w:p w14:paraId="7E62A153" w14:textId="77777777" w:rsidR="00862D7D" w:rsidRPr="00616B9B" w:rsidRDefault="00862D7D" w:rsidP="00F3754A">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80AD3">
            <w:rPr>
              <w:rFonts w:cs="Arial"/>
              <w:noProof/>
              <w:sz w:val="22"/>
              <w:szCs w:val="22"/>
            </w:rPr>
            <w:t>4</w:t>
          </w:r>
          <w:r w:rsidRPr="00616B9B">
            <w:rPr>
              <w:rFonts w:cs="Arial"/>
              <w:noProof/>
              <w:sz w:val="22"/>
              <w:szCs w:val="22"/>
            </w:rPr>
            <w:fldChar w:fldCharType="end"/>
          </w:r>
        </w:p>
      </w:tc>
    </w:tr>
  </w:tbl>
  <w:p w14:paraId="66A15E14" w14:textId="77777777" w:rsidR="00862D7D" w:rsidRDefault="00862D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360276"/>
      <w:docPartObj>
        <w:docPartGallery w:val="Page Numbers (Bottom of Page)"/>
        <w:docPartUnique/>
      </w:docPartObj>
    </w:sdtPr>
    <w:sdtEndPr>
      <w:rPr>
        <w:noProof/>
      </w:rPr>
    </w:sdtEndPr>
    <w:sdtContent>
      <w:p w14:paraId="700A3FB7" w14:textId="77777777" w:rsidR="00E3493A" w:rsidRDefault="00E3493A">
        <w:pPr>
          <w:pStyle w:val="Footer"/>
          <w:jc w:val="right"/>
        </w:pPr>
        <w:r>
          <w:fldChar w:fldCharType="begin"/>
        </w:r>
        <w:r>
          <w:instrText xml:space="preserve"> PAGE   \* MERGEFORMAT </w:instrText>
        </w:r>
        <w:r>
          <w:fldChar w:fldCharType="separate"/>
        </w:r>
        <w:r w:rsidR="00B80AD3">
          <w:rPr>
            <w:noProof/>
          </w:rPr>
          <w:t>2</w:t>
        </w:r>
        <w:r>
          <w:rPr>
            <w:noProof/>
          </w:rPr>
          <w:fldChar w:fldCharType="end"/>
        </w:r>
      </w:p>
    </w:sdtContent>
  </w:sdt>
  <w:p w14:paraId="543B3DB3" w14:textId="77777777" w:rsidR="00862D7D" w:rsidRDefault="00862D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134BB" w14:textId="77777777" w:rsidR="00734B1D" w:rsidRDefault="00734B1D">
      <w:r>
        <w:separator/>
      </w:r>
    </w:p>
  </w:footnote>
  <w:footnote w:type="continuationSeparator" w:id="0">
    <w:p w14:paraId="259ECDEF" w14:textId="77777777" w:rsidR="00734B1D" w:rsidRDefault="00734B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C8F38" w14:textId="77777777" w:rsidR="00862D7D" w:rsidRDefault="00862D7D">
    <w:pPr>
      <w:pStyle w:val="Header"/>
    </w:pPr>
    <w:r>
      <w:rPr>
        <w:noProof/>
        <w:lang w:val="en-US" w:eastAsia="en-US"/>
      </w:rPr>
      <w:drawing>
        <wp:anchor distT="0" distB="0" distL="114300" distR="114300" simplePos="0" relativeHeight="251660288" behindDoc="0" locked="0" layoutInCell="1" allowOverlap="1" wp14:anchorId="098EBB66" wp14:editId="43B7ECF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7216" behindDoc="0" locked="0" layoutInCell="1" allowOverlap="1" wp14:anchorId="020A2FA0" wp14:editId="5BD1BE9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BBEFF" id="Line 16" o:spid="_x0000_s1026" style="position:absolute;z-index:251657216;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2DEEA" w14:textId="77777777" w:rsidR="00862D7D" w:rsidRDefault="00862D7D" w:rsidP="00F3754A">
    <w:pPr>
      <w:pStyle w:val="Header"/>
      <w:jc w:val="right"/>
    </w:pPr>
    <w:r>
      <w:rPr>
        <w:noProof/>
        <w:lang w:val="en-US" w:eastAsia="en-US"/>
      </w:rPr>
      <w:drawing>
        <wp:anchor distT="0" distB="0" distL="114300" distR="114300" simplePos="0" relativeHeight="251659264" behindDoc="0" locked="0" layoutInCell="1" allowOverlap="1" wp14:anchorId="1889091D" wp14:editId="5C2F63B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2112516F" wp14:editId="56CAC7E5">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25ED" w14:textId="77777777" w:rsidR="00862D7D" w:rsidRDefault="00862D7D"/>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62D7D" w:rsidRPr="002F4496" w14:paraId="3C20BB6A" w14:textId="77777777" w:rsidTr="00F3754A">
      <w:trPr>
        <w:trHeight w:val="284"/>
      </w:trPr>
      <w:tc>
        <w:tcPr>
          <w:tcW w:w="8460" w:type="dxa"/>
        </w:tcPr>
        <w:p w14:paraId="547A76B7" w14:textId="77777777" w:rsidR="00862D7D" w:rsidRPr="000C3B6D" w:rsidRDefault="00862D7D" w:rsidP="00F3754A">
          <w:pPr>
            <w:pStyle w:val="00Footer"/>
            <w:rPr>
              <w:lang w:val="fr-FR"/>
            </w:rPr>
          </w:pPr>
        </w:p>
      </w:tc>
      <w:tc>
        <w:tcPr>
          <w:tcW w:w="952" w:type="dxa"/>
        </w:tcPr>
        <w:p w14:paraId="79292FEE" w14:textId="77777777" w:rsidR="00862D7D" w:rsidRPr="00146B34" w:rsidRDefault="00862D7D" w:rsidP="00F3754A">
          <w:pPr>
            <w:pStyle w:val="00aPagenumber"/>
            <w:rPr>
              <w:lang w:val="fr-FR"/>
            </w:rPr>
          </w:pPr>
        </w:p>
      </w:tc>
    </w:tr>
  </w:tbl>
  <w:p w14:paraId="4EC2B862" w14:textId="77777777" w:rsidR="00862D7D" w:rsidRPr="00DB46C3" w:rsidRDefault="00862D7D">
    <w:pPr>
      <w:rPr>
        <w:lang w:val="fr-FR"/>
      </w:rPr>
    </w:pPr>
  </w:p>
  <w:p w14:paraId="1F287081" w14:textId="77777777" w:rsidR="00862D7D" w:rsidRPr="002F4496" w:rsidRDefault="00862D7D">
    <w:pPr>
      <w:pStyle w:val="Header"/>
      <w:rPr>
        <w:lang w:val="fr-FR"/>
      </w:rPr>
    </w:pPr>
  </w:p>
  <w:p w14:paraId="6D70C3BA" w14:textId="77777777" w:rsidR="00862D7D" w:rsidRPr="002F4496" w:rsidRDefault="00862D7D" w:rsidP="00F3754A">
    <w:pPr>
      <w:pStyle w:val="Header"/>
      <w:tabs>
        <w:tab w:val="clear" w:pos="4536"/>
        <w:tab w:val="clear" w:pos="9072"/>
        <w:tab w:val="left" w:pos="8227"/>
      </w:tabs>
      <w:rPr>
        <w:lang w:val="fr-FR"/>
      </w:rPr>
    </w:pPr>
  </w:p>
  <w:p w14:paraId="1A119F9F" w14:textId="77777777" w:rsidR="00862D7D" w:rsidRPr="002F4496" w:rsidRDefault="00862D7D" w:rsidP="00F3754A">
    <w:pPr>
      <w:pStyle w:val="Header"/>
      <w:tabs>
        <w:tab w:val="clear" w:pos="4536"/>
        <w:tab w:val="clear" w:pos="9072"/>
        <w:tab w:val="left" w:pos="8227"/>
      </w:tabs>
      <w:rPr>
        <w:lang w:val="fr-FR"/>
      </w:rPr>
    </w:pPr>
  </w:p>
  <w:p w14:paraId="312563B7" w14:textId="77777777" w:rsidR="00862D7D" w:rsidRPr="002F4496" w:rsidRDefault="00862D7D">
    <w:pPr>
      <w:pStyle w:val="Header"/>
      <w:rPr>
        <w:lang w:val="fr-FR"/>
      </w:rPr>
    </w:pPr>
  </w:p>
  <w:p w14:paraId="026F2BDE" w14:textId="77777777" w:rsidR="00862D7D" w:rsidRPr="002F4496" w:rsidRDefault="00862D7D">
    <w:pPr>
      <w:pStyle w:val="Header"/>
      <w:rPr>
        <w:lang w:val="fr-FR"/>
      </w:rPr>
    </w:pPr>
  </w:p>
  <w:p w14:paraId="7DF28297" w14:textId="77777777" w:rsidR="00862D7D" w:rsidRPr="002F4496" w:rsidRDefault="00862D7D">
    <w:pPr>
      <w:pStyle w:val="Header"/>
      <w:rPr>
        <w:lang w:val="fr-FR"/>
      </w:rPr>
    </w:pPr>
  </w:p>
  <w:p w14:paraId="5B88DBBC" w14:textId="77777777" w:rsidR="00862D7D" w:rsidRPr="002F4496" w:rsidRDefault="00862D7D">
    <w:pPr>
      <w:pStyle w:val="Header"/>
      <w:rPr>
        <w:lang w:val="fr-FR"/>
      </w:rPr>
    </w:pPr>
  </w:p>
  <w:p w14:paraId="2C629609" w14:textId="77777777" w:rsidR="00862D7D" w:rsidRPr="002F4496" w:rsidRDefault="00862D7D">
    <w:pPr>
      <w:pStyle w:val="Header"/>
      <w:rPr>
        <w:highlight w:val="yellow"/>
        <w:lang w:val="fr-FR"/>
      </w:rPr>
    </w:pPr>
  </w:p>
  <w:p w14:paraId="5D22AFD5" w14:textId="77777777" w:rsidR="00862D7D" w:rsidRDefault="00862D7D">
    <w:pPr>
      <w:pStyle w:val="Header"/>
    </w:pPr>
    <w:r>
      <w:rPr>
        <w:noProof/>
        <w:lang w:val="en-US" w:eastAsia="en-US"/>
      </w:rPr>
      <mc:AlternateContent>
        <mc:Choice Requires="wps">
          <w:drawing>
            <wp:anchor distT="0" distB="0" distL="114299" distR="114299" simplePos="0" relativeHeight="251658240" behindDoc="0" locked="0" layoutInCell="1" allowOverlap="1" wp14:anchorId="3C637B5A" wp14:editId="4F7FF965">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6362B" id="Straight Connector 138" o:spid="_x0000_s1026" style="position:absolute;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6192" behindDoc="0" locked="0" layoutInCell="1" allowOverlap="1" wp14:anchorId="7B8F7F64" wp14:editId="4B170827">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A76C54"/>
    <w:multiLevelType w:val="hybridMultilevel"/>
    <w:tmpl w:val="4CBE63F0"/>
    <w:lvl w:ilvl="0" w:tplc="5ABE87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F9570E"/>
    <w:multiLevelType w:val="hybridMultilevel"/>
    <w:tmpl w:val="F092C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43D91B17"/>
    <w:multiLevelType w:val="hybridMultilevel"/>
    <w:tmpl w:val="F8C2E0F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ADA777B"/>
    <w:multiLevelType w:val="hybridMultilevel"/>
    <w:tmpl w:val="0EC641D0"/>
    <w:lvl w:ilvl="0" w:tplc="62A0F6C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E100F7A"/>
    <w:multiLevelType w:val="hybridMultilevel"/>
    <w:tmpl w:val="E0CA3E88"/>
    <w:lvl w:ilvl="0" w:tplc="5D26E7D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0"/>
  </w:num>
  <w:num w:numId="4">
    <w:abstractNumId w:val="2"/>
  </w:num>
  <w:num w:numId="5">
    <w:abstractNumId w:val="5"/>
  </w:num>
  <w:num w:numId="6">
    <w:abstractNumId w:val="1"/>
  </w:num>
  <w:num w:numId="7">
    <w:abstractNumId w:val="10"/>
  </w:num>
  <w:num w:numId="8">
    <w:abstractNumId w:val="11"/>
  </w:num>
  <w:num w:numId="9">
    <w:abstractNumId w:val="3"/>
  </w:num>
  <w:num w:numId="10">
    <w:abstractNumId w:val="4"/>
  </w:num>
  <w:num w:numId="11">
    <w:abstractNumId w:val="7"/>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C6"/>
    <w:rsid w:val="000E06C2"/>
    <w:rsid w:val="00107282"/>
    <w:rsid w:val="002503A4"/>
    <w:rsid w:val="00292901"/>
    <w:rsid w:val="00293983"/>
    <w:rsid w:val="002D4EFF"/>
    <w:rsid w:val="002F090B"/>
    <w:rsid w:val="00450ED2"/>
    <w:rsid w:val="006777EF"/>
    <w:rsid w:val="006A03BA"/>
    <w:rsid w:val="006C218D"/>
    <w:rsid w:val="00734B1D"/>
    <w:rsid w:val="007C1D18"/>
    <w:rsid w:val="007D1E6A"/>
    <w:rsid w:val="00816C5F"/>
    <w:rsid w:val="00821332"/>
    <w:rsid w:val="00832F29"/>
    <w:rsid w:val="00862D7D"/>
    <w:rsid w:val="008808D2"/>
    <w:rsid w:val="0092540D"/>
    <w:rsid w:val="00A025F4"/>
    <w:rsid w:val="00A557C2"/>
    <w:rsid w:val="00AD0A80"/>
    <w:rsid w:val="00AE095B"/>
    <w:rsid w:val="00B80AD3"/>
    <w:rsid w:val="00BB61C7"/>
    <w:rsid w:val="00BC392E"/>
    <w:rsid w:val="00C33CBE"/>
    <w:rsid w:val="00D02217"/>
    <w:rsid w:val="00D03903"/>
    <w:rsid w:val="00D04A41"/>
    <w:rsid w:val="00D62678"/>
    <w:rsid w:val="00D71CD8"/>
    <w:rsid w:val="00DD5308"/>
    <w:rsid w:val="00E3493A"/>
    <w:rsid w:val="00E4127D"/>
    <w:rsid w:val="00E42BC6"/>
    <w:rsid w:val="00E51953"/>
    <w:rsid w:val="00E931B7"/>
    <w:rsid w:val="00EA3589"/>
    <w:rsid w:val="00F3754A"/>
    <w:rsid w:val="00F61DE5"/>
    <w:rsid w:val="00FA420A"/>
    <w:rsid w:val="00FB66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88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BC6"/>
    <w:pPr>
      <w:spacing w:after="0" w:line="240" w:lineRule="auto"/>
    </w:pPr>
    <w:rPr>
      <w:rFonts w:ascii="Arial" w:eastAsia="Times New Roman" w:hAnsi="Arial" w:cs="Times New Roman"/>
      <w:sz w:val="20"/>
      <w:szCs w:val="24"/>
      <w:lang w:val="en-GB" w:eastAsia="de-DE"/>
    </w:rPr>
  </w:style>
  <w:style w:type="paragraph" w:styleId="Heading1">
    <w:name w:val="heading 1"/>
    <w:basedOn w:val="Normal"/>
    <w:next w:val="Normal"/>
    <w:link w:val="Heading1Char"/>
    <w:qFormat/>
    <w:rsid w:val="00E42BC6"/>
    <w:pPr>
      <w:keepNext/>
      <w:numPr>
        <w:numId w:val="2"/>
      </w:numPr>
      <w:spacing w:before="240" w:after="6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2BC6"/>
    <w:rPr>
      <w:rFonts w:ascii="Arial" w:eastAsia="Times New Roman" w:hAnsi="Arial" w:cs="Arial"/>
      <w:b/>
      <w:bCs/>
      <w:kern w:val="32"/>
      <w:sz w:val="24"/>
      <w:szCs w:val="32"/>
      <w:lang w:val="en-GB" w:eastAsia="de-DE"/>
    </w:rPr>
  </w:style>
  <w:style w:type="paragraph" w:styleId="Header">
    <w:name w:val="header"/>
    <w:basedOn w:val="Normal"/>
    <w:link w:val="HeaderChar"/>
    <w:rsid w:val="00E42BC6"/>
    <w:pPr>
      <w:tabs>
        <w:tab w:val="center" w:pos="4536"/>
        <w:tab w:val="right" w:pos="9072"/>
      </w:tabs>
    </w:pPr>
  </w:style>
  <w:style w:type="character" w:customStyle="1" w:styleId="HeaderChar">
    <w:name w:val="Header Char"/>
    <w:basedOn w:val="DefaultParagraphFont"/>
    <w:link w:val="Header"/>
    <w:rsid w:val="00E42BC6"/>
    <w:rPr>
      <w:rFonts w:ascii="Arial" w:eastAsia="Times New Roman" w:hAnsi="Arial" w:cs="Times New Roman"/>
      <w:sz w:val="20"/>
      <w:szCs w:val="24"/>
      <w:lang w:val="en-GB" w:eastAsia="de-DE"/>
    </w:rPr>
  </w:style>
  <w:style w:type="paragraph" w:styleId="Footer">
    <w:name w:val="footer"/>
    <w:basedOn w:val="Normal"/>
    <w:link w:val="FooterChar"/>
    <w:uiPriority w:val="99"/>
    <w:rsid w:val="00E42BC6"/>
    <w:pPr>
      <w:tabs>
        <w:tab w:val="center" w:pos="4536"/>
        <w:tab w:val="right" w:pos="9072"/>
      </w:tabs>
    </w:pPr>
  </w:style>
  <w:style w:type="character" w:customStyle="1" w:styleId="FooterChar">
    <w:name w:val="Footer Char"/>
    <w:basedOn w:val="DefaultParagraphFont"/>
    <w:link w:val="Footer"/>
    <w:uiPriority w:val="99"/>
    <w:rsid w:val="00E42BC6"/>
    <w:rPr>
      <w:rFonts w:ascii="Arial" w:eastAsia="Times New Roman" w:hAnsi="Arial" w:cs="Times New Roman"/>
      <w:sz w:val="20"/>
      <w:szCs w:val="24"/>
      <w:lang w:val="en-GB" w:eastAsia="de-DE"/>
    </w:rPr>
  </w:style>
  <w:style w:type="paragraph" w:customStyle="1" w:styleId="00Footer">
    <w:name w:val="00_Footer"/>
    <w:basedOn w:val="Normal"/>
    <w:rsid w:val="00E42BC6"/>
    <w:pPr>
      <w:spacing w:line="200" w:lineRule="exact"/>
    </w:pPr>
    <w:rPr>
      <w:color w:val="2D4190"/>
      <w:sz w:val="16"/>
    </w:rPr>
  </w:style>
  <w:style w:type="paragraph" w:customStyle="1" w:styleId="02Date">
    <w:name w:val="02_Date"/>
    <w:basedOn w:val="Normal"/>
    <w:rsid w:val="00E42BC6"/>
    <w:pPr>
      <w:spacing w:line="220" w:lineRule="exact"/>
    </w:pPr>
    <w:rPr>
      <w:sz w:val="17"/>
    </w:rPr>
  </w:style>
  <w:style w:type="paragraph" w:customStyle="1" w:styleId="00aPagenumber">
    <w:name w:val="00a_Page number"/>
    <w:basedOn w:val="00Footer"/>
    <w:rsid w:val="00E42BC6"/>
    <w:pPr>
      <w:spacing w:line="280" w:lineRule="atLeast"/>
      <w:jc w:val="right"/>
    </w:pPr>
    <w:rPr>
      <w:color w:val="000000"/>
      <w:sz w:val="20"/>
    </w:rPr>
  </w:style>
  <w:style w:type="paragraph" w:customStyle="1" w:styleId="04BodyText">
    <w:name w:val="04_Body Text"/>
    <w:basedOn w:val="Normal"/>
    <w:link w:val="04BodyTextChar"/>
    <w:rsid w:val="00E42BC6"/>
    <w:pPr>
      <w:spacing w:after="250" w:line="276" w:lineRule="auto"/>
      <w:jc w:val="both"/>
    </w:pPr>
  </w:style>
  <w:style w:type="paragraph" w:customStyle="1" w:styleId="05HeadlinenoIndex">
    <w:name w:val="05_Headline no Index"/>
    <w:basedOn w:val="04BodyText"/>
    <w:rsid w:val="00E42BC6"/>
    <w:pPr>
      <w:spacing w:line="300" w:lineRule="exact"/>
    </w:pPr>
    <w:rPr>
      <w:b/>
      <w:sz w:val="24"/>
    </w:rPr>
  </w:style>
  <w:style w:type="paragraph" w:customStyle="1" w:styleId="00bDBInfo">
    <w:name w:val="00b_DB_Info"/>
    <w:basedOn w:val="00aPagenumber"/>
    <w:rsid w:val="00E42BC6"/>
    <w:rPr>
      <w:color w:val="FFFFFF"/>
    </w:rPr>
  </w:style>
  <w:style w:type="paragraph" w:customStyle="1" w:styleId="01aDBTitle">
    <w:name w:val="01a_DB_Title"/>
    <w:basedOn w:val="Normal"/>
    <w:rsid w:val="00E42BC6"/>
    <w:pPr>
      <w:spacing w:line="400" w:lineRule="exact"/>
      <w:jc w:val="right"/>
    </w:pPr>
    <w:rPr>
      <w:b/>
      <w:color w:val="2D4190"/>
      <w:sz w:val="40"/>
    </w:rPr>
  </w:style>
  <w:style w:type="paragraph" w:customStyle="1" w:styleId="01bDBSubtitle">
    <w:name w:val="01b_DB_Subtitle"/>
    <w:rsid w:val="00E42BC6"/>
    <w:pPr>
      <w:spacing w:after="0" w:line="240" w:lineRule="auto"/>
      <w:jc w:val="right"/>
    </w:pPr>
    <w:rPr>
      <w:rFonts w:ascii="Georgia" w:eastAsia="Times New Roman" w:hAnsi="Georgia" w:cs="Times New Roman"/>
      <w:color w:val="000000"/>
      <w:sz w:val="24"/>
      <w:szCs w:val="24"/>
      <w:lang w:val="en-GB" w:eastAsia="de-DE"/>
    </w:rPr>
  </w:style>
  <w:style w:type="character" w:styleId="Hyperlink">
    <w:name w:val="Hyperlink"/>
    <w:uiPriority w:val="99"/>
    <w:rsid w:val="00E42BC6"/>
    <w:rPr>
      <w:color w:val="0000FF"/>
      <w:u w:val="single"/>
    </w:rPr>
  </w:style>
  <w:style w:type="paragraph" w:customStyle="1" w:styleId="04bList">
    <w:name w:val="04b_List"/>
    <w:basedOn w:val="04BodyText"/>
    <w:uiPriority w:val="99"/>
    <w:rsid w:val="00E42BC6"/>
    <w:pPr>
      <w:numPr>
        <w:numId w:val="1"/>
      </w:numPr>
      <w:tabs>
        <w:tab w:val="clear" w:pos="568"/>
        <w:tab w:val="num" w:pos="360"/>
      </w:tabs>
      <w:ind w:left="0" w:firstLine="0"/>
    </w:pPr>
  </w:style>
  <w:style w:type="character" w:customStyle="1" w:styleId="Strong4">
    <w:name w:val="Strong4"/>
    <w:uiPriority w:val="22"/>
    <w:qFormat/>
    <w:rsid w:val="00E42BC6"/>
    <w:rPr>
      <w:b/>
      <w:bCs/>
    </w:rPr>
  </w:style>
  <w:style w:type="character" w:customStyle="1" w:styleId="04BodyTextChar">
    <w:name w:val="04_Body Text Char"/>
    <w:link w:val="04BodyText"/>
    <w:rsid w:val="00E42BC6"/>
    <w:rPr>
      <w:rFonts w:ascii="Arial" w:eastAsia="Times New Roman" w:hAnsi="Arial" w:cs="Times New Roman"/>
      <w:sz w:val="20"/>
      <w:szCs w:val="24"/>
      <w:lang w:val="en-GB" w:eastAsia="de-DE"/>
    </w:rPr>
  </w:style>
  <w:style w:type="character" w:styleId="IntenseEmphasis">
    <w:name w:val="Intense Emphasis"/>
    <w:basedOn w:val="DefaultParagraphFont"/>
    <w:uiPriority w:val="21"/>
    <w:qFormat/>
    <w:rsid w:val="00E42BC6"/>
    <w:rPr>
      <w:b/>
      <w:bCs/>
      <w:i/>
      <w:iCs/>
    </w:rPr>
  </w:style>
  <w:style w:type="paragraph" w:customStyle="1" w:styleId="QuestionsFORM">
    <w:name w:val="Questions_FORM"/>
    <w:basedOn w:val="Normal"/>
    <w:link w:val="QuestionsFORMChar"/>
    <w:qFormat/>
    <w:rsid w:val="00E42BC6"/>
    <w:pPr>
      <w:numPr>
        <w:numId w:val="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E42BC6"/>
    <w:rPr>
      <w:rFonts w:eastAsia="Calibri"/>
      <w:b/>
      <w:szCs w:val="20"/>
      <w:lang w:val="en-GB"/>
    </w:rPr>
  </w:style>
  <w:style w:type="paragraph" w:customStyle="1" w:styleId="Questionstyle">
    <w:name w:val="Question style"/>
    <w:basedOn w:val="Normal"/>
    <w:next w:val="Normal"/>
    <w:link w:val="QuestionstyleChar"/>
    <w:autoRedefine/>
    <w:qFormat/>
    <w:rsid w:val="00E42BC6"/>
    <w:pPr>
      <w:numPr>
        <w:numId w:val="7"/>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E42BC6"/>
    <w:rPr>
      <w:rFonts w:eastAsiaTheme="minorEastAsia"/>
      <w:b/>
      <w:szCs w:val="20"/>
      <w:lang w:val="en-GB"/>
    </w:rPr>
  </w:style>
  <w:style w:type="paragraph" w:styleId="ListParagraph">
    <w:name w:val="List Paragraph"/>
    <w:basedOn w:val="Normal"/>
    <w:uiPriority w:val="34"/>
    <w:qFormat/>
    <w:rsid w:val="00F3754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862D7D"/>
    <w:pPr>
      <w:autoSpaceDE w:val="0"/>
      <w:autoSpaceDN w:val="0"/>
      <w:adjustRightInd w:val="0"/>
      <w:spacing w:after="0" w:line="240" w:lineRule="auto"/>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2503A4"/>
    <w:rPr>
      <w:sz w:val="16"/>
      <w:szCs w:val="16"/>
    </w:rPr>
  </w:style>
  <w:style w:type="paragraph" w:styleId="CommentText">
    <w:name w:val="annotation text"/>
    <w:basedOn w:val="Normal"/>
    <w:link w:val="CommentTextChar"/>
    <w:uiPriority w:val="99"/>
    <w:semiHidden/>
    <w:unhideWhenUsed/>
    <w:rsid w:val="002503A4"/>
    <w:rPr>
      <w:szCs w:val="20"/>
    </w:rPr>
  </w:style>
  <w:style w:type="character" w:customStyle="1" w:styleId="CommentTextChar">
    <w:name w:val="Comment Text Char"/>
    <w:basedOn w:val="DefaultParagraphFont"/>
    <w:link w:val="CommentText"/>
    <w:uiPriority w:val="99"/>
    <w:semiHidden/>
    <w:rsid w:val="002503A4"/>
    <w:rPr>
      <w:rFonts w:ascii="Arial" w:eastAsia="Times New Roman" w:hAnsi="Arial" w:cs="Times New Roman"/>
      <w:sz w:val="20"/>
      <w:szCs w:val="20"/>
      <w:lang w:val="en-GB" w:eastAsia="de-DE"/>
    </w:rPr>
  </w:style>
  <w:style w:type="paragraph" w:styleId="CommentSubject">
    <w:name w:val="annotation subject"/>
    <w:basedOn w:val="CommentText"/>
    <w:next w:val="CommentText"/>
    <w:link w:val="CommentSubjectChar"/>
    <w:uiPriority w:val="99"/>
    <w:semiHidden/>
    <w:unhideWhenUsed/>
    <w:rsid w:val="002503A4"/>
    <w:rPr>
      <w:b/>
      <w:bCs/>
    </w:rPr>
  </w:style>
  <w:style w:type="character" w:customStyle="1" w:styleId="CommentSubjectChar">
    <w:name w:val="Comment Subject Char"/>
    <w:basedOn w:val="CommentTextChar"/>
    <w:link w:val="CommentSubject"/>
    <w:uiPriority w:val="99"/>
    <w:semiHidden/>
    <w:rsid w:val="002503A4"/>
    <w:rPr>
      <w:rFonts w:ascii="Arial" w:eastAsia="Times New Roman" w:hAnsi="Arial" w:cs="Times New Roman"/>
      <w:b/>
      <w:bCs/>
      <w:sz w:val="20"/>
      <w:szCs w:val="20"/>
      <w:lang w:val="en-GB" w:eastAsia="de-DE"/>
    </w:rPr>
  </w:style>
  <w:style w:type="paragraph" w:styleId="BalloonText">
    <w:name w:val="Balloon Text"/>
    <w:basedOn w:val="Normal"/>
    <w:link w:val="BalloonTextChar"/>
    <w:uiPriority w:val="99"/>
    <w:semiHidden/>
    <w:unhideWhenUsed/>
    <w:rsid w:val="002503A4"/>
    <w:rPr>
      <w:rFonts w:ascii="Tahoma" w:hAnsi="Tahoma" w:cs="Tahoma"/>
      <w:sz w:val="16"/>
      <w:szCs w:val="16"/>
    </w:rPr>
  </w:style>
  <w:style w:type="character" w:customStyle="1" w:styleId="BalloonTextChar">
    <w:name w:val="Balloon Text Char"/>
    <w:basedOn w:val="DefaultParagraphFont"/>
    <w:link w:val="BalloonText"/>
    <w:uiPriority w:val="99"/>
    <w:semiHidden/>
    <w:rsid w:val="002503A4"/>
    <w:rPr>
      <w:rFonts w:ascii="Tahoma" w:eastAsia="Times New Roman" w:hAnsi="Tahoma" w:cs="Tahoma"/>
      <w:sz w:val="16"/>
      <w:szCs w:val="16"/>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4.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1214</Words>
  <Characters>6921</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Deutsche Börse Group</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Europex</dc:creator>
  <cp:lastModifiedBy>Christian Baer</cp:lastModifiedBy>
  <cp:revision>3</cp:revision>
  <dcterms:created xsi:type="dcterms:W3CDTF">2016-06-29T13:47:00Z</dcterms:created>
  <dcterms:modified xsi:type="dcterms:W3CDTF">2016-06-29T13:47:00Z</dcterms:modified>
</cp:coreProperties>
</file>