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4049C0" w:rsidP="004049C0">
            <w:pPr>
              <w:pStyle w:val="00bDBInfo"/>
              <w:rPr>
                <w:rFonts w:cs="Arial"/>
              </w:rPr>
            </w:pPr>
            <w:r>
              <w:rPr>
                <w:rFonts w:cs="Arial"/>
              </w:rPr>
              <w:t>1</w:t>
            </w:r>
            <w:r w:rsidR="003A5DAC">
              <w:rPr>
                <w:rFonts w:cs="Arial"/>
              </w:rPr>
              <w:t xml:space="preserve"> </w:t>
            </w:r>
            <w:r>
              <w:rPr>
                <w:rFonts w:cs="Arial"/>
              </w:rPr>
              <w:t>June</w:t>
            </w:r>
            <w:r w:rsidR="007C3918">
              <w:rPr>
                <w:rFonts w:cs="Arial"/>
              </w:rPr>
              <w:t xml:space="preserve">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90FF9" w:rsidP="00BF28DA">
            <w:pPr>
              <w:pStyle w:val="01aDBTitle"/>
              <w:rPr>
                <w:rFonts w:cs="Arial"/>
                <w:sz w:val="32"/>
              </w:rPr>
            </w:pPr>
            <w:r>
              <w:rPr>
                <w:rFonts w:cs="Arial"/>
                <w:sz w:val="32"/>
              </w:rPr>
              <w:t>Consultation</w:t>
            </w:r>
            <w:r w:rsidR="009C6CE1" w:rsidRPr="009C6CE1">
              <w:rPr>
                <w:rFonts w:cs="Arial"/>
                <w:sz w:val="32"/>
              </w:rPr>
              <w:t xml:space="preserve"> Paper </w:t>
            </w:r>
            <w:r w:rsidR="009C6CE1">
              <w:rPr>
                <w:rFonts w:cs="Arial"/>
                <w:sz w:val="32"/>
              </w:rPr>
              <w:t xml:space="preserve">on </w:t>
            </w:r>
            <w:r w:rsidR="009C6CE1" w:rsidRPr="009C6CE1">
              <w:rPr>
                <w:rFonts w:cs="Arial"/>
                <w:sz w:val="32"/>
              </w:rPr>
              <w:t>Benchmarks Regulation</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4049C0">
            <w:pPr>
              <w:pStyle w:val="02Date"/>
              <w:rPr>
                <w:rFonts w:cs="Arial"/>
                <w:highlight w:val="red"/>
              </w:rPr>
            </w:pPr>
            <w:r w:rsidRPr="007C3918">
              <w:rPr>
                <w:rFonts w:cs="Arial"/>
              </w:rPr>
              <w:lastRenderedPageBreak/>
              <w:t>Date</w:t>
            </w:r>
            <w:r w:rsidR="004049C0">
              <w:rPr>
                <w:rFonts w:cs="Arial"/>
              </w:rPr>
              <w:t>: 1</w:t>
            </w:r>
            <w:r w:rsidR="007C3918" w:rsidRPr="007C3918">
              <w:rPr>
                <w:rFonts w:cs="Arial"/>
              </w:rPr>
              <w:t xml:space="preserve"> </w:t>
            </w:r>
            <w:r w:rsidR="004049C0">
              <w:rPr>
                <w:rFonts w:cs="Arial"/>
              </w:rPr>
              <w:t xml:space="preserve">June </w:t>
            </w:r>
            <w:r w:rsidR="007C3918" w:rsidRPr="007C3918">
              <w:rPr>
                <w:rFonts w:cs="Arial"/>
              </w:rPr>
              <w:t>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Please note that, in order to facilitate the analysis of the large number of responses expected, you are requested to use this file to send your response to ESMA so as to allow us to process it properly. Ther</w:t>
      </w:r>
      <w:r w:rsidRPr="00176639">
        <w:rPr>
          <w:rFonts w:cs="Arial"/>
        </w:rPr>
        <w:t>e</w:t>
      </w:r>
      <w:r w:rsidRPr="00176639">
        <w:rPr>
          <w:rFonts w:cs="Arial"/>
        </w:rPr>
        <w:t xml:space="preserv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w:t>
      </w:r>
      <w:r w:rsidR="00955F48" w:rsidRPr="00176639">
        <w:rPr>
          <w:rFonts w:cs="Arial"/>
        </w:rPr>
        <w:t>x</w:t>
      </w:r>
      <w:r w:rsidR="00955F48" w:rsidRPr="00176639">
        <w:rPr>
          <w:rFonts w:cs="Arial"/>
        </w:rPr>
        <w:t>cept for annexes);</w:t>
      </w:r>
    </w:p>
    <w:p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BF557C" w:rsidRPr="00176639">
        <w:rPr>
          <w:rFonts w:cs="Arial"/>
        </w:rPr>
        <w:t>ESMA_QUESTION_</w:t>
      </w:r>
      <w:r w:rsidR="00665C07">
        <w:t>C</w:t>
      </w:r>
      <w:r w:rsidR="00AD0B9C">
        <w:t>P_BMR</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w:t>
      </w:r>
      <w:r w:rsidR="00A96324">
        <w:rPr>
          <w:rFonts w:cs="Arial"/>
        </w:rPr>
        <w:t>e your document using the follo</w:t>
      </w:r>
      <w:r w:rsidR="00A96324">
        <w:rPr>
          <w:rFonts w:cs="Arial"/>
        </w:rPr>
        <w:t>w</w:t>
      </w:r>
      <w:r w:rsidRPr="00EF0769">
        <w:rPr>
          <w:rFonts w:cs="Arial"/>
        </w:rPr>
        <w:t>ing format:</w:t>
      </w:r>
    </w:p>
    <w:p w:rsidR="000D17AA" w:rsidRPr="00AD0B9C" w:rsidRDefault="00021E83" w:rsidP="000D17AA">
      <w:pPr>
        <w:pStyle w:val="04BodyText"/>
        <w:spacing w:before="120" w:after="120"/>
        <w:jc w:val="left"/>
        <w:rPr>
          <w:rFonts w:cs="Arial"/>
        </w:rPr>
      </w:pPr>
      <w:r w:rsidRPr="00AD0B9C">
        <w:rPr>
          <w:rFonts w:cs="Arial"/>
        </w:rPr>
        <w:t>ESMA_</w:t>
      </w:r>
      <w:r w:rsidR="003D79DA">
        <w:t>C</w:t>
      </w:r>
      <w:r w:rsidR="00AD0B9C" w:rsidRPr="00AD0B9C">
        <w:t>P_BMR</w:t>
      </w:r>
      <w:r w:rsidR="008701E5" w:rsidRPr="00AD0B9C">
        <w:rPr>
          <w:rFonts w:cs="Arial"/>
        </w:rPr>
        <w:t xml:space="preserve"> </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Pr="00AD0B9C">
        <w:rPr>
          <w:rFonts w:cs="Arial"/>
        </w:rPr>
        <w:t>_XXXX</w:t>
      </w:r>
      <w:r w:rsidR="00021E83" w:rsidRPr="00AD0B9C">
        <w:rPr>
          <w:rFonts w:cs="Arial"/>
        </w:rPr>
        <w:t>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990FF9" w:rsidRPr="00665C07">
        <w:rPr>
          <w:rFonts w:cs="Arial"/>
          <w:b/>
        </w:rPr>
        <w:t>30</w:t>
      </w:r>
      <w:r w:rsidRPr="00665C07">
        <w:rPr>
          <w:rFonts w:cs="Arial"/>
          <w:b/>
        </w:rPr>
        <w:t xml:space="preserve"> </w:t>
      </w:r>
      <w:r w:rsidR="00990FF9" w:rsidRPr="00665C07">
        <w:rPr>
          <w:rFonts w:cs="Arial"/>
          <w:b/>
        </w:rPr>
        <w:t>June</w:t>
      </w:r>
      <w:r w:rsidRPr="00665C07">
        <w:rPr>
          <w:rFonts w:cs="Arial"/>
          <w:b/>
        </w:rPr>
        <w:t xml:space="preserve">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A96324" w:rsidRDefault="00A96324"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665C07">
        <w:t>C</w:t>
      </w:r>
      <w:r w:rsidR="00176639">
        <w:t>P_BMR</w:t>
      </w:r>
      <w:r w:rsidR="00D61A37" w:rsidRPr="00176639">
        <w:t>_1</w:t>
      </w:r>
      <w:r w:rsidRPr="00176639">
        <w:t>&gt;</w:t>
      </w:r>
    </w:p>
    <w:p w:rsidR="00EC777D" w:rsidRPr="006755CB" w:rsidRDefault="009D25D7" w:rsidP="00EC777D">
      <w:pPr>
        <w:jc w:val="both"/>
        <w:rPr>
          <w:lang w:val="de-AT"/>
        </w:rPr>
      </w:pPr>
      <w:permStart w:id="1798457204" w:edGrp="everyone"/>
      <w:r>
        <w:rPr>
          <w:rFonts w:ascii="Trebuchet MS" w:hAnsi="Trebuchet MS"/>
          <w:color w:val="1F497D"/>
        </w:rPr>
        <w:t> </w:t>
      </w:r>
      <w:r w:rsidR="00EC777D" w:rsidRPr="00EC777D">
        <w:rPr>
          <w:lang w:val="en-US"/>
        </w:rPr>
        <w:t xml:space="preserve">The Consultation Paper (CP) published on the 27th of May 2016, as a follow-up of the DP with respect to ESMA’s technical advice to the Commission on the Benchmarks Regulation, </w:t>
      </w:r>
      <w:r w:rsidR="00EC777D" w:rsidRPr="00EC777D">
        <w:rPr>
          <w:b/>
          <w:bCs/>
          <w:lang w:val="en-US"/>
        </w:rPr>
        <w:t>did not clarified sufficien</w:t>
      </w:r>
      <w:r w:rsidR="00EC777D" w:rsidRPr="00EC777D">
        <w:rPr>
          <w:b/>
          <w:bCs/>
          <w:lang w:val="en-US"/>
        </w:rPr>
        <w:t>t</w:t>
      </w:r>
      <w:r w:rsidR="00EC777D" w:rsidRPr="00EC777D">
        <w:rPr>
          <w:b/>
          <w:bCs/>
          <w:lang w:val="en-US"/>
        </w:rPr>
        <w:t>ly, the definition</w:t>
      </w:r>
      <w:r w:rsidR="00EC777D" w:rsidRPr="00EC777D">
        <w:rPr>
          <w:lang w:val="en-US"/>
        </w:rPr>
        <w:t xml:space="preserve"> </w:t>
      </w:r>
      <w:r w:rsidR="00EC777D" w:rsidRPr="00EC777D">
        <w:rPr>
          <w:b/>
          <w:bCs/>
          <w:lang w:val="en-US"/>
        </w:rPr>
        <w:t>of "use of a benchmark"</w:t>
      </w:r>
      <w:r w:rsidR="00EC777D" w:rsidRPr="00EC777D">
        <w:rPr>
          <w:lang w:val="en-US"/>
        </w:rPr>
        <w:t>, since it is still not clear whether Pension Funds when acting as “users of a benchmark”, are within the scope of this Regulation.</w:t>
      </w:r>
    </w:p>
    <w:p w:rsidR="00EC777D" w:rsidRPr="00EC777D" w:rsidRDefault="00EC777D" w:rsidP="00EC777D">
      <w:pPr>
        <w:jc w:val="both"/>
        <w:rPr>
          <w:lang w:val="en-US"/>
        </w:rPr>
      </w:pPr>
      <w:r w:rsidRPr="00EC777D">
        <w:rPr>
          <w:lang w:val="en-US"/>
        </w:rPr>
        <w:t> </w:t>
      </w:r>
    </w:p>
    <w:p w:rsidR="00EC777D" w:rsidRPr="00EC777D" w:rsidRDefault="00EC777D" w:rsidP="00EC777D">
      <w:pPr>
        <w:jc w:val="both"/>
        <w:rPr>
          <w:lang w:val="en-US"/>
        </w:rPr>
      </w:pPr>
      <w:r w:rsidRPr="00EC777D">
        <w:rPr>
          <w:lang w:val="en-US"/>
        </w:rPr>
        <w:t>For instance, Recital (8)</w:t>
      </w:r>
      <w:r w:rsidRPr="00EC777D">
        <w:rPr>
          <w:vertAlign w:val="superscript"/>
          <w:lang w:val="en-US"/>
        </w:rPr>
        <w:footnoteReference w:customMarkFollows="1" w:id="2"/>
        <w:t>[2]</w:t>
      </w:r>
      <w:r w:rsidRPr="00EC777D">
        <w:rPr>
          <w:lang w:val="en-US"/>
        </w:rPr>
        <w:t xml:space="preserve"> states that the scope of this Regulation should be as broad as necessary to create a preventive regulatory framework (…). However, neither the object established in Art.1, or the definition for “use of a benchmark” (Art.3.1.7) covers, in any of the actions mentioned, the use of a benchmark by pension funds. </w:t>
      </w:r>
      <w:r w:rsidRPr="00EC777D">
        <w:rPr>
          <w:b/>
          <w:bCs/>
          <w:lang w:val="en-US"/>
        </w:rPr>
        <w:t xml:space="preserve">Pension funds </w:t>
      </w:r>
      <w:r w:rsidRPr="00EC777D">
        <w:rPr>
          <w:b/>
          <w:bCs/>
          <w:u w:val="single"/>
          <w:lang w:val="en-US"/>
        </w:rPr>
        <w:t>do not have the nature of financial instruments</w:t>
      </w:r>
      <w:r w:rsidRPr="00EC777D">
        <w:rPr>
          <w:b/>
          <w:bCs/>
          <w:lang w:val="en-US"/>
        </w:rPr>
        <w:t xml:space="preserve"> (art.3.1.16) or Investment Funds, which only includes explicitly: UCITS or AIF, as defined under BMR</w:t>
      </w:r>
      <w:r w:rsidRPr="00EC777D">
        <w:rPr>
          <w:lang w:val="en-US"/>
        </w:rPr>
        <w:t>.</w:t>
      </w:r>
    </w:p>
    <w:p w:rsidR="00EC777D" w:rsidRPr="00EC777D" w:rsidRDefault="00EC777D" w:rsidP="00EC777D">
      <w:pPr>
        <w:jc w:val="both"/>
        <w:rPr>
          <w:lang w:val="en-US"/>
        </w:rPr>
      </w:pPr>
      <w:r w:rsidRPr="00EC777D">
        <w:rPr>
          <w:lang w:val="en-US"/>
        </w:rPr>
        <w:t> </w:t>
      </w:r>
    </w:p>
    <w:p w:rsidR="00EC777D" w:rsidRPr="00EC777D" w:rsidRDefault="00EC777D" w:rsidP="00EC777D">
      <w:pPr>
        <w:jc w:val="both"/>
        <w:rPr>
          <w:lang w:val="en-US"/>
        </w:rPr>
      </w:pPr>
      <w:r w:rsidRPr="00EC777D">
        <w:rPr>
          <w:lang w:val="en-US"/>
        </w:rPr>
        <w:t>Furthermore, among the obligations arising from the use of a benchmark, the Regulation states that:</w:t>
      </w:r>
    </w:p>
    <w:p w:rsidR="00EC777D" w:rsidRPr="00EC777D" w:rsidRDefault="00EC777D" w:rsidP="00EC777D">
      <w:pPr>
        <w:jc w:val="both"/>
        <w:rPr>
          <w:lang w:val="en-US"/>
        </w:rPr>
      </w:pPr>
      <w:r w:rsidRPr="00EC777D">
        <w:rPr>
          <w:lang w:val="en-US"/>
        </w:rPr>
        <w:t> </w:t>
      </w:r>
    </w:p>
    <w:p w:rsidR="00EC777D" w:rsidRPr="00EC777D" w:rsidRDefault="00EC777D" w:rsidP="00EC777D">
      <w:pPr>
        <w:jc w:val="both"/>
        <w:rPr>
          <w:lang w:val="en-US"/>
        </w:rPr>
      </w:pPr>
      <w:r w:rsidRPr="00EC777D">
        <w:rPr>
          <w:lang w:val="en-US"/>
        </w:rPr>
        <w:t>·        </w:t>
      </w:r>
      <w:r w:rsidRPr="00EC777D">
        <w:rPr>
          <w:b/>
          <w:bCs/>
          <w:lang w:val="en-US"/>
        </w:rPr>
        <w:t>Supervised entities</w:t>
      </w:r>
      <w:r w:rsidRPr="00EC777D">
        <w:rPr>
          <w:lang w:val="en-US"/>
        </w:rPr>
        <w:t xml:space="preserve"> may only use registered benchmarks (Article 30.1)</w:t>
      </w:r>
    </w:p>
    <w:p w:rsidR="00EC777D" w:rsidRPr="00EC777D" w:rsidRDefault="006755CB" w:rsidP="00EC777D">
      <w:pPr>
        <w:jc w:val="both"/>
        <w:rPr>
          <w:lang w:val="en-US"/>
        </w:rPr>
      </w:pPr>
      <w:r>
        <w:rPr>
          <w:lang w:val="en-US"/>
        </w:rPr>
        <w:t>·        </w:t>
      </w:r>
      <w:r w:rsidR="00EC777D" w:rsidRPr="00EC777D">
        <w:rPr>
          <w:b/>
          <w:bCs/>
          <w:lang w:val="en-US"/>
        </w:rPr>
        <w:t>Supervised entities</w:t>
      </w:r>
      <w:r w:rsidR="00EC777D" w:rsidRPr="00EC777D">
        <w:rPr>
          <w:lang w:val="en-US"/>
        </w:rPr>
        <w:t xml:space="preserve"> must have written plans setting out the actions that they would take in the event that a benchmark materially changes or ceases to be provided (Article 29.2.)</w:t>
      </w:r>
    </w:p>
    <w:p w:rsidR="00EC777D" w:rsidRPr="00EC777D" w:rsidRDefault="00EC777D" w:rsidP="00EC777D">
      <w:pPr>
        <w:jc w:val="both"/>
        <w:rPr>
          <w:lang w:val="en-US"/>
        </w:rPr>
      </w:pPr>
      <w:r w:rsidRPr="00EC777D">
        <w:rPr>
          <w:lang w:val="en-US"/>
        </w:rPr>
        <w:t> </w:t>
      </w:r>
    </w:p>
    <w:p w:rsidR="00EC777D" w:rsidRPr="00EC777D" w:rsidRDefault="00EC777D" w:rsidP="00EC777D">
      <w:pPr>
        <w:jc w:val="both"/>
        <w:rPr>
          <w:lang w:val="en-US"/>
        </w:rPr>
      </w:pPr>
      <w:r w:rsidRPr="00EC777D">
        <w:rPr>
          <w:lang w:val="en-US"/>
        </w:rPr>
        <w:t>Regarding "</w:t>
      </w:r>
      <w:r w:rsidRPr="00EC777D">
        <w:rPr>
          <w:b/>
          <w:bCs/>
          <w:lang w:val="en-US"/>
        </w:rPr>
        <w:t>supervised entities</w:t>
      </w:r>
      <w:r w:rsidRPr="00EC777D">
        <w:rPr>
          <w:lang w:val="en-US"/>
        </w:rPr>
        <w:t>", BMR foresees, among others: Investment Funds UCITS (Article 3.1.17.e), AIF ​​Managers (3.1.17.f) and Institutions for Occupational Retirement Provisions as defined in Article 6(a) of Directive 2003/41/EC (Article 3.1.17.g).</w:t>
      </w:r>
    </w:p>
    <w:p w:rsidR="00EC777D" w:rsidRPr="00EC777D" w:rsidRDefault="00EC777D" w:rsidP="00EC777D">
      <w:pPr>
        <w:jc w:val="both"/>
        <w:rPr>
          <w:lang w:val="en-US"/>
        </w:rPr>
      </w:pPr>
      <w:r w:rsidRPr="00EC777D">
        <w:rPr>
          <w:lang w:val="en-US"/>
        </w:rPr>
        <w:t> </w:t>
      </w:r>
    </w:p>
    <w:p w:rsidR="00EC777D" w:rsidRPr="00EC777D" w:rsidRDefault="00EC777D" w:rsidP="00EC777D">
      <w:pPr>
        <w:jc w:val="both"/>
        <w:rPr>
          <w:lang w:val="en-US"/>
        </w:rPr>
      </w:pPr>
      <w:r w:rsidRPr="00EC777D">
        <w:rPr>
          <w:lang w:val="en-US"/>
        </w:rPr>
        <w:t>And so, the combination of all these provisions raises some issues of legal consistency:</w:t>
      </w:r>
    </w:p>
    <w:p w:rsidR="00EC777D" w:rsidRPr="00EC777D" w:rsidRDefault="00EC777D" w:rsidP="00EC777D">
      <w:pPr>
        <w:jc w:val="both"/>
        <w:rPr>
          <w:lang w:val="en-US"/>
        </w:rPr>
      </w:pPr>
      <w:r w:rsidRPr="00EC777D">
        <w:rPr>
          <w:lang w:val="en-US"/>
        </w:rPr>
        <w:t> </w:t>
      </w:r>
    </w:p>
    <w:p w:rsidR="00EC777D" w:rsidRDefault="00EC777D" w:rsidP="00EC777D">
      <w:pPr>
        <w:jc w:val="both"/>
        <w:rPr>
          <w:lang w:val="en-US"/>
        </w:rPr>
      </w:pPr>
      <w:r w:rsidRPr="00EC777D">
        <w:rPr>
          <w:lang w:val="en-US"/>
        </w:rPr>
        <w:t xml:space="preserve">a)    </w:t>
      </w:r>
      <w:r w:rsidR="00704B16">
        <w:rPr>
          <w:lang w:val="en-US"/>
        </w:rPr>
        <w:t>First of all, whether or not</w:t>
      </w:r>
      <w:r w:rsidRPr="00EC777D">
        <w:rPr>
          <w:lang w:val="en-US"/>
        </w:rPr>
        <w:t xml:space="preserve"> the use of a benchmark by Institutions for Occupational Retirement Prov</w:t>
      </w:r>
      <w:r w:rsidRPr="00EC777D">
        <w:rPr>
          <w:lang w:val="en-US"/>
        </w:rPr>
        <w:t>i</w:t>
      </w:r>
      <w:r w:rsidRPr="00EC777D">
        <w:rPr>
          <w:lang w:val="en-US"/>
        </w:rPr>
        <w:t xml:space="preserve">sions </w:t>
      </w:r>
      <w:r w:rsidR="00704B16">
        <w:rPr>
          <w:lang w:val="en-US"/>
        </w:rPr>
        <w:t xml:space="preserve">is </w:t>
      </w:r>
      <w:r w:rsidRPr="00EC777D">
        <w:rPr>
          <w:lang w:val="en-US"/>
        </w:rPr>
        <w:t>subject to this Regulation.</w:t>
      </w:r>
    </w:p>
    <w:p w:rsidR="006755CB" w:rsidRPr="00EC777D" w:rsidRDefault="006755CB" w:rsidP="00EC777D">
      <w:pPr>
        <w:jc w:val="both"/>
        <w:rPr>
          <w:lang w:val="en-US"/>
        </w:rPr>
      </w:pPr>
    </w:p>
    <w:p w:rsidR="00EC777D" w:rsidRDefault="00EC777D" w:rsidP="00B46C76">
      <w:pPr>
        <w:jc w:val="both"/>
        <w:rPr>
          <w:lang w:val="en-US"/>
        </w:rPr>
      </w:pPr>
      <w:r w:rsidRPr="00EC777D">
        <w:rPr>
          <w:lang w:val="en-US"/>
        </w:rPr>
        <w:t>b)    If so, whether or not, other Pension Funds would also be subject to this regulation (e.g. other instit</w:t>
      </w:r>
      <w:r w:rsidRPr="00EC777D">
        <w:rPr>
          <w:lang w:val="en-US"/>
        </w:rPr>
        <w:t>u</w:t>
      </w:r>
      <w:r w:rsidRPr="00EC777D">
        <w:rPr>
          <w:lang w:val="en-US"/>
        </w:rPr>
        <w:t xml:space="preserve">tions authorized and supervised operating at national level, provided that they are recognized under national law and their primary purpose is to provide retirement benefits, in line with the provisions of Article 2(10) of EMIR Regulation). </w:t>
      </w:r>
    </w:p>
    <w:p w:rsidR="00704B16" w:rsidRDefault="00704B16" w:rsidP="00B46C76">
      <w:pPr>
        <w:jc w:val="both"/>
        <w:rPr>
          <w:lang w:val="en-US"/>
        </w:rPr>
      </w:pPr>
    </w:p>
    <w:p w:rsidR="00704B16" w:rsidRPr="00704B16" w:rsidRDefault="00704B16" w:rsidP="00B46C76">
      <w:pPr>
        <w:jc w:val="both"/>
        <w:rPr>
          <w:b/>
          <w:lang w:val="en-US"/>
        </w:rPr>
      </w:pPr>
      <w:r w:rsidRPr="00704B16">
        <w:rPr>
          <w:b/>
          <w:lang w:val="en-US"/>
        </w:rPr>
        <w:t xml:space="preserve">PensionsEurope calls on ESMA to ensure that pension funds fall outside of the scope of the </w:t>
      </w:r>
      <w:r w:rsidRPr="00704B16">
        <w:rPr>
          <w:b/>
        </w:rPr>
        <w:t>def</w:t>
      </w:r>
      <w:r w:rsidRPr="00704B16">
        <w:rPr>
          <w:b/>
        </w:rPr>
        <w:t>i</w:t>
      </w:r>
      <w:r w:rsidRPr="00704B16">
        <w:rPr>
          <w:b/>
        </w:rPr>
        <w:t>nition of “use of a benchmark” in the regulation</w:t>
      </w:r>
      <w:r w:rsidRPr="00704B16">
        <w:rPr>
          <w:b/>
        </w:rPr>
        <w:t>.</w:t>
      </w:r>
    </w:p>
    <w:p w:rsidR="006755CB" w:rsidRPr="00B46C76" w:rsidRDefault="006755CB" w:rsidP="006755CB">
      <w:pPr>
        <w:jc w:val="both"/>
        <w:rPr>
          <w:rFonts w:ascii="Trebuchet MS" w:hAnsi="Trebuchet MS"/>
        </w:rPr>
      </w:pPr>
    </w:p>
    <w:p w:rsidR="006755CB" w:rsidRDefault="00704B16" w:rsidP="006755CB">
      <w:pPr>
        <w:jc w:val="both"/>
        <w:rPr>
          <w:rFonts w:ascii="Trebuchet MS" w:hAnsi="Trebuchet MS"/>
        </w:rPr>
      </w:pPr>
      <w:r>
        <w:rPr>
          <w:rFonts w:ascii="Trebuchet MS" w:hAnsi="Trebuchet MS"/>
        </w:rPr>
        <w:t>Moreover, p</w:t>
      </w:r>
      <w:r w:rsidR="006755CB" w:rsidRPr="00B46C76">
        <w:rPr>
          <w:rFonts w:ascii="Trebuchet MS" w:hAnsi="Trebuchet MS"/>
        </w:rPr>
        <w:t xml:space="preserve">ension funds are institutions that are covered by the IORP directive. </w:t>
      </w:r>
      <w:r w:rsidR="006755CB" w:rsidRPr="00B46C76">
        <w:rPr>
          <w:lang w:val="de-AT"/>
        </w:rPr>
        <w:t>Pension funds</w:t>
      </w:r>
      <w:r w:rsidR="006755CB" w:rsidRPr="00B46C76">
        <w:rPr>
          <w:rFonts w:ascii="Trebuchet MS" w:hAnsi="Trebuchet MS"/>
        </w:rPr>
        <w:t xml:space="preserve"> calc</w:t>
      </w:r>
      <w:r w:rsidR="006755CB" w:rsidRPr="00B46C76">
        <w:rPr>
          <w:rFonts w:ascii="Trebuchet MS" w:hAnsi="Trebuchet MS"/>
        </w:rPr>
        <w:t>u</w:t>
      </w:r>
      <w:r w:rsidR="006755CB" w:rsidRPr="00B46C76">
        <w:rPr>
          <w:rFonts w:ascii="Trebuchet MS" w:hAnsi="Trebuchet MS"/>
        </w:rPr>
        <w:t>late the performance of their pension plan assets for internal comparison purposes. These performance calculations cannot and must not be used to construct financial instruments to track or trade occup</w:t>
      </w:r>
      <w:r w:rsidR="006755CB" w:rsidRPr="00B46C76">
        <w:rPr>
          <w:rFonts w:ascii="Trebuchet MS" w:hAnsi="Trebuchet MS"/>
        </w:rPr>
        <w:t>a</w:t>
      </w:r>
      <w:r w:rsidR="006755CB" w:rsidRPr="00B46C76">
        <w:rPr>
          <w:rFonts w:ascii="Trebuchet MS" w:hAnsi="Trebuchet MS"/>
        </w:rPr>
        <w:t>tional pension schemes.</w:t>
      </w:r>
    </w:p>
    <w:p w:rsidR="006755CB" w:rsidRDefault="006755CB" w:rsidP="006755CB">
      <w:pPr>
        <w:jc w:val="both"/>
        <w:rPr>
          <w:rFonts w:ascii="Trebuchet MS" w:hAnsi="Trebuchet MS"/>
        </w:rPr>
      </w:pPr>
    </w:p>
    <w:p w:rsidR="006755CB" w:rsidRPr="006755CB" w:rsidRDefault="006755CB" w:rsidP="00B46C76">
      <w:pPr>
        <w:jc w:val="both"/>
        <w:rPr>
          <w:lang w:val="de-AT"/>
        </w:rPr>
      </w:pPr>
      <w:r w:rsidRPr="00B46C76">
        <w:rPr>
          <w:rFonts w:ascii="Trebuchet MS" w:hAnsi="Trebuchet MS"/>
        </w:rPr>
        <w:t>PensionsEurope want to make sure that pension funds are not regarded as “financial instruments”</w:t>
      </w:r>
      <w:r>
        <w:rPr>
          <w:rFonts w:ascii="Trebuchet MS" w:hAnsi="Trebuchet MS"/>
        </w:rPr>
        <w:t>,</w:t>
      </w:r>
      <w:r w:rsidRPr="00B46C76">
        <w:rPr>
          <w:rFonts w:ascii="Trebuchet MS" w:hAnsi="Trebuchet MS"/>
        </w:rPr>
        <w:t xml:space="preserve"> </w:t>
      </w:r>
      <w:r>
        <w:rPr>
          <w:rFonts w:ascii="Trebuchet MS" w:hAnsi="Trebuchet MS"/>
        </w:rPr>
        <w:t xml:space="preserve">as it is recognised in the </w:t>
      </w:r>
      <w:r w:rsidRPr="009F235E">
        <w:rPr>
          <w:rFonts w:ascii="Trebuchet MS" w:hAnsi="Trebuchet MS"/>
        </w:rPr>
        <w:t>IOSCO Principles for Financial Benchmarks</w:t>
      </w:r>
      <w:r>
        <w:rPr>
          <w:rFonts w:ascii="Trebuchet MS" w:hAnsi="Trebuchet MS"/>
        </w:rPr>
        <w:t xml:space="preserve"> of </w:t>
      </w:r>
      <w:r w:rsidRPr="009F235E">
        <w:rPr>
          <w:rFonts w:ascii="Trebuchet MS" w:hAnsi="Trebuchet MS"/>
        </w:rPr>
        <w:t>8 of July 2013</w:t>
      </w:r>
      <w:r>
        <w:rPr>
          <w:rFonts w:ascii="Trebuchet MS" w:hAnsi="Trebuchet MS"/>
        </w:rPr>
        <w:t>,</w:t>
      </w:r>
      <w:r w:rsidRPr="009F235E">
        <w:rPr>
          <w:rFonts w:ascii="Trebuchet MS" w:hAnsi="Trebuchet MS"/>
        </w:rPr>
        <w:t xml:space="preserve"> </w:t>
      </w:r>
      <w:r>
        <w:rPr>
          <w:rFonts w:ascii="Trebuchet MS" w:hAnsi="Trebuchet MS"/>
        </w:rPr>
        <w:t>and</w:t>
      </w:r>
      <w:r w:rsidRPr="00B46C76">
        <w:rPr>
          <w:rFonts w:ascii="Trebuchet MS" w:hAnsi="Trebuchet MS"/>
        </w:rPr>
        <w:t xml:space="preserve"> are not covered by the Benchmarks Regulation as long as they only calculate (or give order to calculate) the perfo</w:t>
      </w:r>
      <w:r w:rsidRPr="00B46C76">
        <w:rPr>
          <w:rFonts w:ascii="Trebuchet MS" w:hAnsi="Trebuchet MS"/>
        </w:rPr>
        <w:t>r</w:t>
      </w:r>
      <w:r w:rsidRPr="00B46C76">
        <w:rPr>
          <w:rFonts w:ascii="Trebuchet MS" w:hAnsi="Trebuchet MS"/>
        </w:rPr>
        <w:t xml:space="preserve">mance of the assets of the occupational pension schemes and any further use is not allowed. </w:t>
      </w:r>
    </w:p>
    <w:p w:rsidR="009D25D7" w:rsidRPr="00B46C76" w:rsidRDefault="009D25D7" w:rsidP="009D25D7">
      <w:pPr>
        <w:rPr>
          <w:rFonts w:eastAsia="Calibri" w:cs="Arial"/>
          <w:b/>
          <w:szCs w:val="20"/>
          <w:lang w:val="de-AT"/>
        </w:rPr>
      </w:pPr>
    </w:p>
    <w:p w:rsidR="006755CB" w:rsidRPr="006755CB" w:rsidRDefault="0029189B" w:rsidP="006755CB">
      <w:pPr>
        <w:jc w:val="both"/>
        <w:rPr>
          <w:b/>
          <w:lang w:val="de-AT"/>
        </w:rPr>
      </w:pPr>
      <w:r>
        <w:rPr>
          <w:rFonts w:ascii="Trebuchet MS" w:hAnsi="Trebuchet MS"/>
          <w:b/>
          <w:lang w:val="de-AT"/>
        </w:rPr>
        <w:t>Consequ</w:t>
      </w:r>
      <w:r w:rsidR="006755CB" w:rsidRPr="006755CB">
        <w:rPr>
          <w:rFonts w:ascii="Trebuchet MS" w:hAnsi="Trebuchet MS"/>
          <w:b/>
          <w:lang w:val="de-AT"/>
        </w:rPr>
        <w:t>e</w:t>
      </w:r>
      <w:r>
        <w:rPr>
          <w:rFonts w:ascii="Trebuchet MS" w:hAnsi="Trebuchet MS"/>
          <w:b/>
          <w:lang w:val="de-AT"/>
        </w:rPr>
        <w:t>n</w:t>
      </w:r>
      <w:r w:rsidR="006755CB" w:rsidRPr="006755CB">
        <w:rPr>
          <w:rFonts w:ascii="Trebuchet MS" w:hAnsi="Trebuchet MS"/>
          <w:b/>
          <w:lang w:val="de-AT"/>
        </w:rPr>
        <w:t>t</w:t>
      </w:r>
      <w:r>
        <w:rPr>
          <w:rFonts w:ascii="Trebuchet MS" w:hAnsi="Trebuchet MS"/>
          <w:b/>
          <w:lang w:val="de-AT"/>
        </w:rPr>
        <w:t>ly, Pensio</w:t>
      </w:r>
      <w:r w:rsidR="006755CB" w:rsidRPr="006755CB">
        <w:rPr>
          <w:rFonts w:ascii="Trebuchet MS" w:hAnsi="Trebuchet MS"/>
          <w:b/>
          <w:lang w:val="de-AT"/>
        </w:rPr>
        <w:t>n</w:t>
      </w:r>
      <w:r>
        <w:rPr>
          <w:rFonts w:ascii="Trebuchet MS" w:hAnsi="Trebuchet MS"/>
          <w:b/>
          <w:lang w:val="de-AT"/>
        </w:rPr>
        <w:t>s</w:t>
      </w:r>
      <w:r w:rsidR="006755CB" w:rsidRPr="006755CB">
        <w:rPr>
          <w:rFonts w:ascii="Trebuchet MS" w:hAnsi="Trebuchet MS"/>
          <w:b/>
          <w:lang w:val="de-AT"/>
        </w:rPr>
        <w:t xml:space="preserve">Europe’s Members call on ESMA to </w:t>
      </w:r>
      <w:r w:rsidR="006755CB" w:rsidRPr="006755CB">
        <w:rPr>
          <w:rFonts w:ascii="Trebuchet MS" w:hAnsi="Trebuchet MS"/>
          <w:b/>
        </w:rPr>
        <w:t>add a paragraph as follows:</w:t>
      </w:r>
    </w:p>
    <w:p w:rsidR="006755CB" w:rsidRPr="006755CB" w:rsidRDefault="006755CB" w:rsidP="006755CB">
      <w:pPr>
        <w:jc w:val="both"/>
        <w:rPr>
          <w:b/>
          <w:lang w:val="de-AT"/>
        </w:rPr>
      </w:pPr>
      <w:r w:rsidRPr="006755CB">
        <w:rPr>
          <w:rFonts w:ascii="Trebuchet MS" w:hAnsi="Trebuchet MS"/>
          <w:b/>
        </w:rPr>
        <w:t> </w:t>
      </w:r>
    </w:p>
    <w:p w:rsidR="006755CB" w:rsidRDefault="006755CB" w:rsidP="006755CB">
      <w:pPr>
        <w:jc w:val="both"/>
        <w:rPr>
          <w:rFonts w:ascii="Trebuchet MS" w:hAnsi="Trebuchet MS"/>
          <w:b/>
        </w:rPr>
      </w:pPr>
      <w:r w:rsidRPr="006755CB">
        <w:rPr>
          <w:rFonts w:ascii="Trebuchet MS" w:hAnsi="Trebuchet MS"/>
          <w:b/>
        </w:rPr>
        <w:lastRenderedPageBreak/>
        <w:t>“Institutions covered by the IORP directive are not covered by the Benchmarks Regulation as long as they only calculate (or give orders to calculate) the performance of the assets of the occupatio</w:t>
      </w:r>
      <w:r w:rsidRPr="006755CB">
        <w:rPr>
          <w:rFonts w:ascii="Trebuchet MS" w:hAnsi="Trebuchet MS"/>
          <w:b/>
        </w:rPr>
        <w:t>n</w:t>
      </w:r>
      <w:r w:rsidRPr="006755CB">
        <w:rPr>
          <w:rFonts w:ascii="Trebuchet MS" w:hAnsi="Trebuchet MS"/>
          <w:b/>
        </w:rPr>
        <w:t>al pension schemes.</w:t>
      </w:r>
    </w:p>
    <w:p w:rsidR="009D25D7" w:rsidRDefault="009D25D7" w:rsidP="009D25D7">
      <w:pPr>
        <w:rPr>
          <w:rFonts w:eastAsia="Calibri" w:cs="Arial"/>
          <w:b/>
          <w:szCs w:val="20"/>
        </w:rPr>
      </w:pPr>
    </w:p>
    <w:p w:rsidR="006755CB" w:rsidRDefault="006755CB" w:rsidP="009D25D7">
      <w:pPr>
        <w:rPr>
          <w:rFonts w:eastAsia="Calibri" w:cs="Arial"/>
          <w:b/>
          <w:szCs w:val="20"/>
        </w:rPr>
      </w:pPr>
    </w:p>
    <w:p w:rsidR="009D25D7" w:rsidRPr="00557DF6" w:rsidRDefault="009D25D7" w:rsidP="009D25D7">
      <w:pPr>
        <w:rPr>
          <w:rFonts w:eastAsia="Calibri" w:cs="Arial"/>
          <w:b/>
          <w:szCs w:val="20"/>
        </w:rPr>
      </w:pPr>
      <w:r w:rsidRPr="00557DF6">
        <w:rPr>
          <w:rFonts w:eastAsia="Calibri" w:cs="Arial"/>
          <w:b/>
          <w:szCs w:val="20"/>
        </w:rPr>
        <w:t>About PensionsEurope</w:t>
      </w:r>
    </w:p>
    <w:p w:rsidR="009D25D7" w:rsidRPr="00557DF6" w:rsidRDefault="009D25D7" w:rsidP="009D25D7">
      <w:pPr>
        <w:rPr>
          <w:rFonts w:eastAsia="Calibri" w:cs="Arial"/>
          <w:szCs w:val="20"/>
        </w:rPr>
      </w:pPr>
    </w:p>
    <w:p w:rsidR="009D25D7" w:rsidRPr="00557DF6" w:rsidRDefault="009D25D7" w:rsidP="009D25D7">
      <w:pPr>
        <w:jc w:val="both"/>
        <w:rPr>
          <w:rFonts w:eastAsia="Calibri" w:cs="Arial"/>
          <w:szCs w:val="20"/>
        </w:rPr>
      </w:pPr>
      <w:r w:rsidRPr="00557DF6">
        <w:rPr>
          <w:rFonts w:eastAsia="Calibri" w:cs="Arial"/>
          <w:b/>
          <w:szCs w:val="20"/>
        </w:rPr>
        <w:t>PensionsEurope</w:t>
      </w:r>
      <w:r w:rsidRPr="00557DF6">
        <w:rPr>
          <w:rFonts w:eastAsia="Calibri" w:cs="Arial"/>
          <w:szCs w:val="20"/>
        </w:rPr>
        <w:t xml:space="preserve"> represents national associations of pension funds and similar institutions for workplace pensions. Some members operate purely individual pension schemes. PensionsEurope Members are large institutional investors representing the </w:t>
      </w:r>
      <w:r w:rsidRPr="00557DF6">
        <w:rPr>
          <w:rFonts w:eastAsia="Calibri" w:cs="Arial"/>
          <w:b/>
          <w:szCs w:val="20"/>
        </w:rPr>
        <w:t>buy-side</w:t>
      </w:r>
      <w:r w:rsidRPr="00557DF6">
        <w:rPr>
          <w:rFonts w:eastAsia="Calibri" w:cs="Arial"/>
          <w:szCs w:val="20"/>
        </w:rPr>
        <w:t xml:space="preserve"> on the financial markets.</w:t>
      </w:r>
    </w:p>
    <w:p w:rsidR="009D25D7" w:rsidRPr="00557DF6" w:rsidRDefault="009D25D7" w:rsidP="009D25D7">
      <w:pPr>
        <w:jc w:val="both"/>
        <w:rPr>
          <w:rFonts w:eastAsia="Calibri" w:cs="Arial"/>
          <w:szCs w:val="20"/>
        </w:rPr>
      </w:pPr>
    </w:p>
    <w:p w:rsidR="009D25D7" w:rsidRPr="00557DF6" w:rsidRDefault="009D25D7" w:rsidP="009D25D7">
      <w:pPr>
        <w:jc w:val="both"/>
        <w:rPr>
          <w:rFonts w:eastAsia="Calibri" w:cs="Arial"/>
          <w:szCs w:val="20"/>
        </w:rPr>
      </w:pPr>
      <w:r w:rsidRPr="00557DF6">
        <w:rPr>
          <w:rFonts w:eastAsia="Calibri" w:cs="Arial"/>
          <w:szCs w:val="20"/>
        </w:rPr>
        <w:t xml:space="preserve">PensionsEurope has </w:t>
      </w:r>
      <w:r w:rsidRPr="00557DF6">
        <w:rPr>
          <w:rFonts w:eastAsia="Calibri" w:cs="Arial"/>
          <w:b/>
          <w:szCs w:val="20"/>
        </w:rPr>
        <w:t>24 member associations</w:t>
      </w:r>
      <w:r w:rsidRPr="00557DF6">
        <w:rPr>
          <w:rFonts w:eastAsia="Calibri" w:cs="Arial"/>
          <w:szCs w:val="20"/>
        </w:rPr>
        <w:t xml:space="preserve"> in EU Member States and other European countries with significant – in size and relevance – workplace pension systems</w:t>
      </w:r>
      <w:r w:rsidRPr="00557DF6">
        <w:rPr>
          <w:rFonts w:eastAsia="Calibri" w:cs="Arial"/>
          <w:szCs w:val="20"/>
          <w:vertAlign w:val="superscript"/>
        </w:rPr>
        <w:footnoteReference w:id="3"/>
      </w:r>
      <w:r w:rsidRPr="00557DF6">
        <w:rPr>
          <w:rFonts w:eastAsia="Calibri" w:cs="Arial"/>
          <w:szCs w:val="20"/>
        </w:rPr>
        <w:t>.</w:t>
      </w:r>
    </w:p>
    <w:p w:rsidR="009D25D7" w:rsidRPr="00557DF6" w:rsidRDefault="009D25D7" w:rsidP="009D25D7">
      <w:pPr>
        <w:jc w:val="both"/>
        <w:rPr>
          <w:rFonts w:eastAsia="Calibri" w:cs="Arial"/>
          <w:szCs w:val="20"/>
        </w:rPr>
      </w:pPr>
    </w:p>
    <w:p w:rsidR="009D25D7" w:rsidRPr="00557DF6" w:rsidRDefault="009D25D7" w:rsidP="009D25D7">
      <w:pPr>
        <w:jc w:val="both"/>
        <w:rPr>
          <w:rFonts w:eastAsia="Calibri" w:cs="Arial"/>
          <w:szCs w:val="20"/>
        </w:rPr>
      </w:pPr>
      <w:r w:rsidRPr="00557DF6">
        <w:rPr>
          <w:rFonts w:eastAsia="Calibri" w:cs="Arial"/>
          <w:szCs w:val="20"/>
        </w:rPr>
        <w:t>PensionsEurope member organisations cover the workplace pensions of about</w:t>
      </w:r>
      <w:r w:rsidRPr="00557DF6">
        <w:rPr>
          <w:rFonts w:eastAsia="Calibri" w:cs="Arial"/>
          <w:b/>
          <w:szCs w:val="20"/>
        </w:rPr>
        <w:t xml:space="preserve"> 70 million European citizens.</w:t>
      </w:r>
      <w:r w:rsidRPr="00557DF6">
        <w:rPr>
          <w:rFonts w:eastAsia="Calibri" w:cs="Arial"/>
          <w:szCs w:val="20"/>
        </w:rPr>
        <w:t xml:space="preserve"> Through its Member Associations Pens</w:t>
      </w:r>
      <w:r>
        <w:rPr>
          <w:rFonts w:eastAsia="Calibri" w:cs="Arial"/>
          <w:szCs w:val="20"/>
        </w:rPr>
        <w:t>ionsEurope represents more than</w:t>
      </w:r>
      <w:r w:rsidRPr="00557DF6">
        <w:rPr>
          <w:rFonts w:eastAsia="Calibri" w:cs="Arial"/>
          <w:szCs w:val="20"/>
        </w:rPr>
        <w:t xml:space="preserve"> </w:t>
      </w:r>
      <w:r w:rsidRPr="00557DF6">
        <w:rPr>
          <w:rFonts w:eastAsia="Calibri" w:cs="Arial"/>
          <w:b/>
          <w:szCs w:val="20"/>
        </w:rPr>
        <w:t>€ 3.5 trillion of assets</w:t>
      </w:r>
      <w:r w:rsidRPr="00557DF6">
        <w:rPr>
          <w:rFonts w:eastAsia="Calibri" w:cs="Arial"/>
          <w:szCs w:val="20"/>
        </w:rPr>
        <w:t xml:space="preserve"> managed for future pension payments.</w:t>
      </w:r>
    </w:p>
    <w:p w:rsidR="009D25D7" w:rsidRPr="00557DF6" w:rsidRDefault="009D25D7" w:rsidP="009D25D7">
      <w:pPr>
        <w:jc w:val="both"/>
        <w:rPr>
          <w:rFonts w:eastAsia="Calibri" w:cs="Arial"/>
          <w:szCs w:val="20"/>
        </w:rPr>
      </w:pPr>
    </w:p>
    <w:p w:rsidR="009D25D7" w:rsidRPr="00557DF6" w:rsidRDefault="009D25D7" w:rsidP="009D25D7">
      <w:pPr>
        <w:jc w:val="both"/>
        <w:rPr>
          <w:rFonts w:eastAsia="Calibri" w:cs="Arial"/>
          <w:szCs w:val="20"/>
        </w:rPr>
      </w:pPr>
      <w:r w:rsidRPr="00557DF6">
        <w:rPr>
          <w:rFonts w:eastAsia="Calibri" w:cs="Arial"/>
          <w:szCs w:val="20"/>
        </w:rPr>
        <w:t xml:space="preserve">PensionsEurope also has </w:t>
      </w:r>
      <w:r w:rsidRPr="00557DF6">
        <w:rPr>
          <w:rFonts w:eastAsia="Calibri" w:cs="Arial"/>
          <w:b/>
          <w:szCs w:val="20"/>
        </w:rPr>
        <w:t>27 Corporate and Supporter Members</w:t>
      </w:r>
      <w:r w:rsidRPr="00557DF6">
        <w:rPr>
          <w:rFonts w:eastAsia="Calibri" w:cs="Arial"/>
          <w:szCs w:val="20"/>
        </w:rPr>
        <w:t xml:space="preserve"> which are various service providers and stakeholders that work with IORPs.</w:t>
      </w:r>
    </w:p>
    <w:p w:rsidR="009D25D7" w:rsidRPr="00557DF6" w:rsidRDefault="009D25D7" w:rsidP="009D25D7">
      <w:pPr>
        <w:jc w:val="both"/>
        <w:rPr>
          <w:rFonts w:eastAsia="Calibri" w:cs="Arial"/>
          <w:szCs w:val="20"/>
        </w:rPr>
      </w:pPr>
    </w:p>
    <w:p w:rsidR="009D25D7" w:rsidRPr="00557DF6" w:rsidRDefault="009D25D7" w:rsidP="009D25D7">
      <w:pPr>
        <w:jc w:val="both"/>
        <w:rPr>
          <w:rFonts w:eastAsia="Calibri" w:cs="Arial"/>
          <w:szCs w:val="20"/>
        </w:rPr>
      </w:pPr>
      <w:r w:rsidRPr="00557DF6">
        <w:rPr>
          <w:rFonts w:eastAsia="Calibri" w:cs="Arial"/>
          <w:szCs w:val="20"/>
        </w:rPr>
        <w:t xml:space="preserve">PensionsEurope has established a </w:t>
      </w:r>
      <w:r w:rsidRPr="00557DF6">
        <w:rPr>
          <w:rFonts w:eastAsia="Calibri" w:cs="Arial"/>
          <w:b/>
          <w:szCs w:val="20"/>
        </w:rPr>
        <w:t>Central &amp; Eastern European Countries Forum (CEEC Forum)</w:t>
      </w:r>
      <w:r w:rsidRPr="00557DF6">
        <w:rPr>
          <w:rFonts w:eastAsia="Calibri" w:cs="Arial"/>
          <w:szCs w:val="20"/>
        </w:rPr>
        <w:t xml:space="preserve"> to discuss issues common to pension systems in that region.</w:t>
      </w:r>
    </w:p>
    <w:p w:rsidR="009D25D7" w:rsidRPr="00557DF6" w:rsidRDefault="009D25D7" w:rsidP="009D25D7">
      <w:pPr>
        <w:jc w:val="both"/>
        <w:rPr>
          <w:rFonts w:eastAsia="Calibri" w:cs="Arial"/>
          <w:szCs w:val="20"/>
        </w:rPr>
      </w:pPr>
    </w:p>
    <w:p w:rsidR="009D25D7" w:rsidRPr="00557DF6" w:rsidRDefault="009D25D7" w:rsidP="009D25D7">
      <w:pPr>
        <w:jc w:val="both"/>
        <w:rPr>
          <w:rFonts w:eastAsia="Calibri" w:cs="Arial"/>
          <w:szCs w:val="20"/>
        </w:rPr>
      </w:pPr>
      <w:r w:rsidRPr="00557DF6">
        <w:rPr>
          <w:rFonts w:eastAsia="Calibri" w:cs="Arial"/>
          <w:szCs w:val="20"/>
        </w:rPr>
        <w:t xml:space="preserve">PensionsEurope has established a </w:t>
      </w:r>
      <w:r w:rsidRPr="00557DF6">
        <w:rPr>
          <w:rFonts w:eastAsia="Calibri" w:cs="Arial"/>
          <w:b/>
          <w:szCs w:val="20"/>
        </w:rPr>
        <w:t>Multinational Advisory Group (MAG)</w:t>
      </w:r>
      <w:r w:rsidRPr="00557DF6">
        <w:rPr>
          <w:rFonts w:eastAsia="Calibri" w:cs="Arial"/>
          <w:szCs w:val="20"/>
        </w:rPr>
        <w:t xml:space="preserve"> which delivers advice on pension issues to PensionsEurope. It provides a collective voice and information sharing for the expertise and opinions of multinationals.</w:t>
      </w:r>
    </w:p>
    <w:p w:rsidR="009D25D7" w:rsidRPr="00557DF6" w:rsidRDefault="009D25D7" w:rsidP="009D25D7">
      <w:pPr>
        <w:jc w:val="both"/>
        <w:rPr>
          <w:rFonts w:eastAsia="Calibri" w:cs="Arial"/>
          <w:szCs w:val="20"/>
        </w:rPr>
      </w:pPr>
    </w:p>
    <w:p w:rsidR="009D25D7" w:rsidRPr="00557DF6" w:rsidRDefault="009D25D7" w:rsidP="009D25D7">
      <w:pPr>
        <w:rPr>
          <w:rFonts w:eastAsia="Calibri" w:cs="Arial"/>
          <w:i/>
          <w:szCs w:val="20"/>
        </w:rPr>
      </w:pPr>
      <w:r w:rsidRPr="00557DF6">
        <w:rPr>
          <w:rFonts w:eastAsia="Calibri" w:cs="Arial"/>
          <w:i/>
          <w:szCs w:val="20"/>
        </w:rPr>
        <w:t>Contact:</w:t>
      </w:r>
    </w:p>
    <w:p w:rsidR="009D25D7" w:rsidRPr="00557DF6" w:rsidRDefault="009D25D7" w:rsidP="009D25D7">
      <w:pPr>
        <w:rPr>
          <w:rFonts w:eastAsia="Calibri" w:cs="Arial"/>
          <w:i/>
          <w:szCs w:val="20"/>
        </w:rPr>
      </w:pPr>
      <w:r w:rsidRPr="00557DF6">
        <w:rPr>
          <w:rFonts w:eastAsia="Calibri" w:cs="Arial"/>
          <w:b/>
          <w:i/>
          <w:szCs w:val="20"/>
        </w:rPr>
        <w:t xml:space="preserve">Mr Matti LEPPÄLÄ, </w:t>
      </w:r>
      <w:r w:rsidRPr="00557DF6">
        <w:rPr>
          <w:rFonts w:eastAsia="Calibri" w:cs="Arial"/>
          <w:i/>
          <w:szCs w:val="20"/>
        </w:rPr>
        <w:t>Secretary General/CEO</w:t>
      </w:r>
    </w:p>
    <w:p w:rsidR="009D25D7" w:rsidRPr="00557DF6" w:rsidRDefault="009D25D7" w:rsidP="009D25D7">
      <w:pPr>
        <w:rPr>
          <w:rFonts w:eastAsia="Calibri" w:cs="Arial"/>
          <w:i/>
          <w:szCs w:val="20"/>
        </w:rPr>
      </w:pPr>
      <w:r w:rsidRPr="00557DF6">
        <w:rPr>
          <w:rFonts w:eastAsia="Calibri" w:cs="Arial"/>
          <w:i/>
          <w:szCs w:val="20"/>
        </w:rPr>
        <w:t>Koningsstraat 97, rue Royale  – 1000 Brussels</w:t>
      </w:r>
    </w:p>
    <w:p w:rsidR="009D25D7" w:rsidRPr="00557DF6" w:rsidRDefault="009D25D7" w:rsidP="009D25D7">
      <w:pPr>
        <w:rPr>
          <w:rFonts w:eastAsia="Calibri" w:cs="Arial"/>
          <w:i/>
          <w:szCs w:val="20"/>
        </w:rPr>
      </w:pPr>
      <w:r w:rsidRPr="00557DF6">
        <w:rPr>
          <w:rFonts w:eastAsia="Calibri" w:cs="Arial"/>
          <w:i/>
          <w:szCs w:val="20"/>
        </w:rPr>
        <w:t>Belgium</w:t>
      </w:r>
    </w:p>
    <w:p w:rsidR="009D25D7" w:rsidRPr="00557DF6" w:rsidRDefault="009D25D7" w:rsidP="009D25D7">
      <w:pPr>
        <w:rPr>
          <w:rFonts w:eastAsia="Calibri" w:cs="Arial"/>
          <w:i/>
          <w:szCs w:val="20"/>
        </w:rPr>
      </w:pPr>
      <w:r w:rsidRPr="00557DF6">
        <w:rPr>
          <w:rFonts w:eastAsia="Calibri" w:cs="Arial"/>
          <w:i/>
          <w:szCs w:val="20"/>
        </w:rPr>
        <w:t>Tel: +32 (0)2 289 14 14 – Fax: +32 (0) 289 14 15</w:t>
      </w:r>
    </w:p>
    <w:p w:rsidR="009D25D7" w:rsidRPr="00557DF6" w:rsidRDefault="00704B16" w:rsidP="009D25D7">
      <w:pPr>
        <w:rPr>
          <w:rFonts w:eastAsia="Calibri" w:cs="Arial"/>
          <w:i/>
          <w:szCs w:val="20"/>
        </w:rPr>
      </w:pPr>
      <w:hyperlink r:id="rId15" w:history="1">
        <w:r w:rsidR="009D25D7" w:rsidRPr="00557DF6">
          <w:rPr>
            <w:rStyle w:val="Hyperlink"/>
            <w:rFonts w:eastAsia="Calibri" w:cs="Arial"/>
            <w:i/>
            <w:szCs w:val="20"/>
          </w:rPr>
          <w:t>matti.leppala@pensionseurope.eu</w:t>
        </w:r>
      </w:hyperlink>
    </w:p>
    <w:p w:rsidR="00D34282" w:rsidRDefault="00704B16" w:rsidP="009D25D7">
      <w:hyperlink r:id="rId16" w:history="1">
        <w:r w:rsidR="009D25D7" w:rsidRPr="00557DF6">
          <w:rPr>
            <w:rFonts w:eastAsia="Calibri" w:cs="Arial"/>
            <w:i/>
            <w:color w:val="0000FF"/>
            <w:szCs w:val="20"/>
            <w:u w:val="single"/>
          </w:rPr>
          <w:t>www.pensionseurope.eu</w:t>
        </w:r>
      </w:hyperlink>
    </w:p>
    <w:permEnd w:id="1798457204"/>
    <w:p w:rsidR="00D34282" w:rsidRPr="00BF28DA" w:rsidRDefault="00D34282" w:rsidP="00D34282">
      <w:r w:rsidRPr="00BF28DA">
        <w:t>&lt;</w:t>
      </w:r>
      <w:r w:rsidR="00D61A37" w:rsidRPr="00BF28DA">
        <w:t>ESMA_COMMENT_</w:t>
      </w:r>
      <w:r w:rsidR="00665C07">
        <w:t>C</w:t>
      </w:r>
      <w:r w:rsidR="00176639">
        <w:t>P_BMR</w:t>
      </w:r>
      <w:r w:rsidR="00D61A37" w:rsidRPr="00BF28DA">
        <w:t>_1</w:t>
      </w:r>
      <w:r w:rsidRPr="00BF28DA">
        <w:t>&gt;</w:t>
      </w:r>
    </w:p>
    <w:p w:rsidR="00F31E57" w:rsidRPr="00BF28DA" w:rsidRDefault="00F31E57" w:rsidP="00D34282"/>
    <w:p w:rsidR="008701E5" w:rsidRDefault="00F31E57" w:rsidP="002342EC">
      <w:pPr>
        <w:pStyle w:val="Questionstyle"/>
        <w:numPr>
          <w:ilvl w:val="0"/>
          <w:numId w:val="38"/>
        </w:numPr>
      </w:pPr>
      <w:r w:rsidRPr="0075015C">
        <w:br w:type="page"/>
      </w:r>
    </w:p>
    <w:p w:rsidR="009A2624" w:rsidRPr="007F44BF" w:rsidRDefault="00990FF9" w:rsidP="002342EC">
      <w:pPr>
        <w:pStyle w:val="Questionstyle"/>
      </w:pPr>
      <w:r w:rsidRPr="00D60F54">
        <w:lastRenderedPageBreak/>
        <w:t xml:space="preserve">Do you agree with the conditions on the basis of which an index may be considered </w:t>
      </w:r>
      <w:r>
        <w:t>as made available to the public</w:t>
      </w:r>
      <w:r w:rsidR="009A2624" w:rsidRPr="007F44BF">
        <w:t>?</w:t>
      </w:r>
    </w:p>
    <w:p w:rsidR="009A2624" w:rsidRDefault="00665C07" w:rsidP="009A2624">
      <w:r>
        <w:t>&lt;ESMA_QUESTION_C</w:t>
      </w:r>
      <w:r w:rsidR="009A2624">
        <w:t>P_BMR_1&gt;</w:t>
      </w:r>
    </w:p>
    <w:p w:rsidR="009D25D7" w:rsidRDefault="009D25D7" w:rsidP="009D25D7">
      <w:pPr>
        <w:spacing w:line="276" w:lineRule="auto"/>
        <w:rPr>
          <w:lang w:val="en-US"/>
        </w:rPr>
      </w:pPr>
      <w:permStart w:id="370613586" w:edGrp="everyone"/>
      <w:r w:rsidRPr="009D25D7">
        <w:rPr>
          <w:lang w:val="en-US"/>
        </w:rPr>
        <w:t>Although we appreciate the fact that ESMA has endeavored to provide further clarification on what may be considered “made available to the public”, we believe the current proposal is still ambiguous. For instance, ESMA proposes that an index is </w:t>
      </w:r>
      <w:r w:rsidRPr="009D25D7">
        <w:rPr>
          <w:u w:val="single"/>
          <w:lang w:val="en-US"/>
        </w:rPr>
        <w:t>accessible</w:t>
      </w:r>
      <w:r w:rsidR="006B48CC" w:rsidRPr="006B48CC">
        <w:rPr>
          <w:lang w:val="en-US"/>
        </w:rPr>
        <w:t xml:space="preserve"> </w:t>
      </w:r>
      <w:r w:rsidRPr="009D25D7">
        <w:rPr>
          <w:lang w:val="en-US"/>
        </w:rPr>
        <w:t>by a </w:t>
      </w:r>
      <w:r w:rsidRPr="009D25D7">
        <w:rPr>
          <w:u w:val="single"/>
          <w:lang w:val="en-US"/>
        </w:rPr>
        <w:t>large</w:t>
      </w:r>
      <w:r w:rsidRPr="009D25D7">
        <w:rPr>
          <w:lang w:val="en-US"/>
        </w:rPr>
        <w:t> or </w:t>
      </w:r>
      <w:r w:rsidRPr="009D25D7">
        <w:rPr>
          <w:u w:val="single"/>
          <w:lang w:val="en-US"/>
        </w:rPr>
        <w:t>potentially indeterminate</w:t>
      </w:r>
      <w:r w:rsidRPr="009D25D7">
        <w:rPr>
          <w:lang w:val="en-US"/>
        </w:rPr>
        <w:t> number of recipients. Without further clarification we fear all of these elements will become the subject of much debate as far as interpretation is concerned. This, in turn, can potentially have a harming effect on the principle of legal certainty. In our view, there should be no discussion on what can be considered a large number of recip</w:t>
      </w:r>
      <w:r w:rsidRPr="009D25D7">
        <w:rPr>
          <w:lang w:val="en-US"/>
        </w:rPr>
        <w:t>i</w:t>
      </w:r>
      <w:r w:rsidRPr="009D25D7">
        <w:rPr>
          <w:lang w:val="en-US"/>
        </w:rPr>
        <w:t>ents. The same applies to the condition of accessibility, which should focus much more on available content, rather than solely on means of distribution as mentioned under par. 2 of the Draft Technical Advice.</w:t>
      </w:r>
    </w:p>
    <w:p w:rsidR="00704B16" w:rsidRPr="009D25D7" w:rsidRDefault="00704B16" w:rsidP="009D25D7">
      <w:pPr>
        <w:spacing w:line="276" w:lineRule="auto"/>
        <w:rPr>
          <w:lang w:val="en-US"/>
        </w:rPr>
      </w:pPr>
      <w:bookmarkStart w:id="3" w:name="_GoBack"/>
      <w:bookmarkEnd w:id="3"/>
    </w:p>
    <w:p w:rsidR="009D25D7" w:rsidRPr="009D25D7" w:rsidRDefault="009D25D7" w:rsidP="009D25D7">
      <w:pPr>
        <w:spacing w:line="276" w:lineRule="auto"/>
        <w:rPr>
          <w:lang w:val="en-US"/>
        </w:rPr>
      </w:pPr>
      <w:r w:rsidRPr="009D25D7">
        <w:rPr>
          <w:lang w:val="en-US"/>
        </w:rPr>
        <w:t>To that end, we propose that ESMA revisits this section and unambiguously establishes the variables that will determine the scope of public availability</w:t>
      </w:r>
      <w:r>
        <w:rPr>
          <w:lang w:val="en-US"/>
        </w:rPr>
        <w:t>.</w:t>
      </w:r>
    </w:p>
    <w:permEnd w:id="370613586"/>
    <w:p w:rsidR="009A2624" w:rsidRDefault="00665C07" w:rsidP="009A2624">
      <w:r>
        <w:t>&lt;ESMA_QUESTION_C</w:t>
      </w:r>
      <w:r w:rsidR="009A2624">
        <w:t>P_BMR_1&gt;</w:t>
      </w:r>
    </w:p>
    <w:p w:rsidR="009A2624" w:rsidRDefault="009A2624" w:rsidP="009A2624"/>
    <w:p w:rsidR="009A2624" w:rsidRPr="007F44BF" w:rsidRDefault="00990FF9" w:rsidP="002342EC">
      <w:pPr>
        <w:pStyle w:val="Questionstyle"/>
      </w:pPr>
      <w:r w:rsidRPr="00990FF9">
        <w:rPr>
          <w:lang w:val="en-US"/>
        </w:rPr>
        <w:t xml:space="preserve">Do you agree with the proposed specification of what constitutes </w:t>
      </w:r>
      <w:r w:rsidRPr="00990FF9">
        <w:rPr>
          <w:i/>
          <w:lang w:val="en-US"/>
        </w:rPr>
        <w:t>administering the arrang</w:t>
      </w:r>
      <w:r w:rsidRPr="00990FF9">
        <w:rPr>
          <w:i/>
          <w:lang w:val="en-US"/>
        </w:rPr>
        <w:t>e</w:t>
      </w:r>
      <w:r w:rsidRPr="00990FF9">
        <w:rPr>
          <w:i/>
          <w:lang w:val="en-US"/>
        </w:rPr>
        <w:t>ments for determining a benchmark</w:t>
      </w:r>
      <w:r w:rsidR="009A2624" w:rsidRPr="007F44BF">
        <w:t>?</w:t>
      </w:r>
    </w:p>
    <w:p w:rsidR="009A2624" w:rsidRDefault="00665C07" w:rsidP="009A2624">
      <w:r>
        <w:t>&lt;ESMA_QUESTION_C</w:t>
      </w:r>
      <w:r w:rsidR="009A2624">
        <w:t>P_BMR_2&gt;</w:t>
      </w:r>
    </w:p>
    <w:p w:rsidR="009A2624" w:rsidRDefault="009A2624" w:rsidP="009A2624">
      <w:permStart w:id="1828204479" w:edGrp="everyone"/>
      <w:r>
        <w:t>TYPE YOUR TEXT HERE</w:t>
      </w:r>
    </w:p>
    <w:permEnd w:id="1828204479"/>
    <w:p w:rsidR="009A2624" w:rsidRDefault="00665C07" w:rsidP="009A2624">
      <w:r>
        <w:t>&lt;ESMA_QUESTION_C</w:t>
      </w:r>
      <w:r w:rsidR="009A2624">
        <w:t>P_BMR_2&gt;</w:t>
      </w:r>
    </w:p>
    <w:p w:rsidR="009A2624" w:rsidRDefault="009A2624" w:rsidP="009A2624"/>
    <w:p w:rsidR="009A2624" w:rsidRDefault="00990FF9" w:rsidP="00990FF9">
      <w:pPr>
        <w:pStyle w:val="Questionstyle"/>
        <w:rPr>
          <w:rFonts w:cstheme="minorHAnsi"/>
        </w:rPr>
      </w:pPr>
      <w:r w:rsidRPr="00990FF9">
        <w:t>Do you agree that the ‘use of a benchmark’ in derivatives that are traded on trading venues and/or systematic internalisers is linked to the determination of the amount payable under the said derivatives for any relevant purpose (trading, clearing, margining, …)?</w:t>
      </w:r>
    </w:p>
    <w:p w:rsidR="009A2624" w:rsidRDefault="00665C07" w:rsidP="009A2624">
      <w:r>
        <w:t>&lt;ESMA_QUESTION_C</w:t>
      </w:r>
      <w:r w:rsidR="009A2624">
        <w:t>P_BMR_3&gt;</w:t>
      </w:r>
    </w:p>
    <w:p w:rsidR="009A2624" w:rsidRDefault="009A2624" w:rsidP="009A2624">
      <w:permStart w:id="1284322882" w:edGrp="everyone"/>
      <w:r>
        <w:t>TYPE YOUR TEXT HERE</w:t>
      </w:r>
    </w:p>
    <w:permEnd w:id="1284322882"/>
    <w:p w:rsidR="009A2624" w:rsidRDefault="00665C07" w:rsidP="009A2624">
      <w:r>
        <w:t>&lt;ESMA_QUESTION_C</w:t>
      </w:r>
      <w:r w:rsidR="009A2624">
        <w:t>P_BMR_3&gt;</w:t>
      </w:r>
    </w:p>
    <w:p w:rsidR="009A2624" w:rsidRDefault="009A2624" w:rsidP="009A2624"/>
    <w:p w:rsidR="009A2624" w:rsidRPr="00B37C5D" w:rsidRDefault="00990FF9" w:rsidP="002342EC">
      <w:pPr>
        <w:pStyle w:val="Questionstyle"/>
      </w:pPr>
      <w:r w:rsidRPr="00571AC1">
        <w:rPr>
          <w:rFonts w:cstheme="minorHAnsi"/>
          <w:szCs w:val="22"/>
          <w:lang w:val="en-US"/>
        </w:rPr>
        <w:t>Do you have any comments on the proposed specification of issuance of a financial instr</w:t>
      </w:r>
      <w:r w:rsidRPr="00571AC1">
        <w:rPr>
          <w:rFonts w:cstheme="minorHAnsi"/>
          <w:szCs w:val="22"/>
          <w:lang w:val="en-US"/>
        </w:rPr>
        <w:t>u</w:t>
      </w:r>
      <w:r w:rsidRPr="00571AC1">
        <w:rPr>
          <w:rFonts w:cstheme="minorHAnsi"/>
          <w:szCs w:val="22"/>
          <w:lang w:val="en-US"/>
        </w:rPr>
        <w:t>ment?</w:t>
      </w:r>
    </w:p>
    <w:p w:rsidR="009A2624" w:rsidRDefault="00665C07" w:rsidP="009A2624">
      <w:r>
        <w:t>&lt;ESMA_QUESTION_C</w:t>
      </w:r>
      <w:r w:rsidR="009A2624">
        <w:t>P_BMR_4&gt;</w:t>
      </w:r>
    </w:p>
    <w:p w:rsidR="009A2624" w:rsidRDefault="009A2624" w:rsidP="009A2624">
      <w:permStart w:id="2080538188" w:edGrp="everyone"/>
      <w:r>
        <w:t>TYPE YOUR TEXT HERE</w:t>
      </w:r>
    </w:p>
    <w:permEnd w:id="2080538188"/>
    <w:p w:rsidR="009A2624" w:rsidRDefault="00665C07" w:rsidP="009A2624">
      <w:r>
        <w:t>&lt;ESMA_QUESTION_C</w:t>
      </w:r>
      <w:r w:rsidR="009A2624">
        <w:t>P_BMR_4&gt;</w:t>
      </w:r>
    </w:p>
    <w:p w:rsidR="009A2624" w:rsidRDefault="009A2624" w:rsidP="009A2624"/>
    <w:p w:rsidR="009A2624" w:rsidRDefault="00293D4B" w:rsidP="002342EC">
      <w:pPr>
        <w:pStyle w:val="Questionstyle"/>
      </w:pPr>
      <w:r w:rsidRPr="0006038D">
        <w:rPr>
          <w:rFonts w:cs="Arial"/>
          <w:lang w:val="en-US"/>
        </w:rPr>
        <w:t>Wh</w:t>
      </w:r>
      <w:r>
        <w:rPr>
          <w:rFonts w:cs="Arial"/>
          <w:lang w:val="en-US"/>
        </w:rPr>
        <w:t>at</w:t>
      </w:r>
      <w:r w:rsidRPr="0006038D">
        <w:rPr>
          <w:rFonts w:cs="Arial"/>
          <w:lang w:val="en-US"/>
        </w:rPr>
        <w:t xml:space="preserve"> are your views on the transitional regime proposed to assess the nominal amount of financial instruments other than derivatives, the notional amount of derivatives and the net asset value of investment funds in the case where the regulatory data i</w:t>
      </w:r>
      <w:r>
        <w:rPr>
          <w:rFonts w:cs="Arial"/>
          <w:lang w:val="en-US"/>
        </w:rPr>
        <w:t>s not available or sufficient</w:t>
      </w:r>
      <w:r w:rsidR="009A2624">
        <w:t xml:space="preserve">? </w:t>
      </w:r>
    </w:p>
    <w:p w:rsidR="009A2624" w:rsidRDefault="00665C07" w:rsidP="009A2624">
      <w:r>
        <w:t>&lt;ESMA_QUESTION_C</w:t>
      </w:r>
      <w:r w:rsidR="009A2624">
        <w:t>P_BMR_5&gt;</w:t>
      </w:r>
    </w:p>
    <w:p w:rsidR="009A2624" w:rsidRDefault="009A2624" w:rsidP="009A2624">
      <w:permStart w:id="1208630530" w:edGrp="everyone"/>
      <w:r>
        <w:t>TYPE YOUR TEXT HERE</w:t>
      </w:r>
    </w:p>
    <w:permEnd w:id="1208630530"/>
    <w:p w:rsidR="009A2624" w:rsidRDefault="00665C07" w:rsidP="009A2624">
      <w:r>
        <w:t>&lt;ESMA_QUESTION_C</w:t>
      </w:r>
      <w:r w:rsidR="009A2624">
        <w:t>P_BMR_5&gt;</w:t>
      </w:r>
    </w:p>
    <w:p w:rsidR="009A2624" w:rsidRDefault="009A2624" w:rsidP="009A2624"/>
    <w:p w:rsidR="009A2624" w:rsidRPr="007F44BF" w:rsidRDefault="00293D4B" w:rsidP="002342EC">
      <w:pPr>
        <w:pStyle w:val="Questionstyle"/>
      </w:pPr>
      <w:r w:rsidRPr="0006038D">
        <w:rPr>
          <w:rFonts w:cs="Arial"/>
          <w:lang w:val="en-US"/>
        </w:rPr>
        <w:t>Do you agree with the measurement performed at a specific point in time for assessing whet</w:t>
      </w:r>
      <w:r w:rsidRPr="0006038D">
        <w:rPr>
          <w:rFonts w:cs="Arial"/>
          <w:lang w:val="en-US"/>
        </w:rPr>
        <w:t>h</w:t>
      </w:r>
      <w:r w:rsidRPr="0006038D">
        <w:rPr>
          <w:rFonts w:cs="Arial"/>
          <w:lang w:val="en-US"/>
        </w:rPr>
        <w:t>er a benchmark hits the thresholds specified in Article 20(1)</w:t>
      </w:r>
      <w:r>
        <w:rPr>
          <w:rFonts w:cs="Arial"/>
          <w:lang w:val="en-US"/>
        </w:rPr>
        <w:t xml:space="preserve"> to be considered as critical?</w:t>
      </w:r>
    </w:p>
    <w:p w:rsidR="009A2624" w:rsidRDefault="00665C07" w:rsidP="009A2624">
      <w:r>
        <w:lastRenderedPageBreak/>
        <w:t>&lt;ESMA_QUESTION_C</w:t>
      </w:r>
      <w:r w:rsidR="009A2624">
        <w:t>P_BMR_6&gt;</w:t>
      </w:r>
    </w:p>
    <w:p w:rsidR="009A2624" w:rsidRDefault="009A2624" w:rsidP="009A2624">
      <w:permStart w:id="1322741378" w:edGrp="everyone"/>
      <w:r>
        <w:t>TYPE YOUR TEXT HERE</w:t>
      </w:r>
    </w:p>
    <w:permEnd w:id="1322741378"/>
    <w:p w:rsidR="009A2624" w:rsidRDefault="00665C07" w:rsidP="009A2624">
      <w:r>
        <w:t>&lt;ESMA_QUESTION_C</w:t>
      </w:r>
      <w:r w:rsidR="009A2624">
        <w:t>P_BMR_6&gt;</w:t>
      </w:r>
    </w:p>
    <w:p w:rsidR="009A2624" w:rsidRDefault="009A2624" w:rsidP="009A2624"/>
    <w:p w:rsidR="009A2624" w:rsidRPr="007F44BF" w:rsidRDefault="00293D4B" w:rsidP="002342EC">
      <w:pPr>
        <w:pStyle w:val="Questionstyle"/>
      </w:pPr>
      <w:r w:rsidRPr="0006038D">
        <w:rPr>
          <w:rFonts w:cs="Arial"/>
          <w:lang w:val="en-US"/>
        </w:rPr>
        <w:t>Wh</w:t>
      </w:r>
      <w:r>
        <w:rPr>
          <w:rFonts w:cs="Arial"/>
          <w:lang w:val="en-US"/>
        </w:rPr>
        <w:t>at</w:t>
      </w:r>
      <w:r w:rsidRPr="0006038D">
        <w:rPr>
          <w:rFonts w:cs="Arial"/>
          <w:lang w:val="en-US"/>
        </w:rPr>
        <w:t xml:space="preserve"> are your views on the use of licensing agreements to identify financial instruments referencing benchmarks? Would this approach be useful in particular in the case of investment funds?</w:t>
      </w:r>
    </w:p>
    <w:p w:rsidR="009A2624" w:rsidRDefault="00665C07" w:rsidP="009A2624">
      <w:r>
        <w:t>&lt;ESMA_QUESTION_C</w:t>
      </w:r>
      <w:r w:rsidR="009A2624">
        <w:t>P_BMR_7&gt;</w:t>
      </w:r>
    </w:p>
    <w:p w:rsidR="009A2624" w:rsidRDefault="009A2624" w:rsidP="009A2624">
      <w:permStart w:id="489116030" w:edGrp="everyone"/>
      <w:r>
        <w:t>TYPE YOUR TEXT HERE</w:t>
      </w:r>
    </w:p>
    <w:permEnd w:id="489116030"/>
    <w:p w:rsidR="009A2624" w:rsidRDefault="00665C07" w:rsidP="009A2624">
      <w:r>
        <w:t>&lt;ESMA_QUESTION_C</w:t>
      </w:r>
      <w:r w:rsidR="009A2624">
        <w:t>P_BMR_7&gt;</w:t>
      </w:r>
    </w:p>
    <w:p w:rsidR="009A2624" w:rsidRDefault="009A2624" w:rsidP="009A2624"/>
    <w:p w:rsidR="009A2624" w:rsidRPr="007F44BF" w:rsidRDefault="00293D4B" w:rsidP="002342EC">
      <w:pPr>
        <w:pStyle w:val="Questionstyle"/>
      </w:pPr>
      <w:r w:rsidRPr="00E76135">
        <w:rPr>
          <w:rFonts w:cs="Arial"/>
          <w:lang w:val="en-US"/>
        </w:rPr>
        <w:t>Do you agree with the criteria proposed? Do you consider that additional criteria should be included in the technical advice</w:t>
      </w:r>
      <w:r>
        <w:rPr>
          <w:rFonts w:cs="Arial"/>
          <w:lang w:val="en-US"/>
        </w:rPr>
        <w:t>?</w:t>
      </w:r>
      <w:r w:rsidR="009A2624" w:rsidRPr="007F44BF">
        <w:t xml:space="preserve"> </w:t>
      </w:r>
    </w:p>
    <w:p w:rsidR="009A2624" w:rsidRDefault="00665C07" w:rsidP="009A2624">
      <w:r>
        <w:t>&lt;ESMA_QUESTION_C</w:t>
      </w:r>
      <w:r w:rsidR="009A2624">
        <w:t>P_BMR_8&gt;</w:t>
      </w:r>
    </w:p>
    <w:p w:rsidR="0029189B" w:rsidRPr="0029189B" w:rsidRDefault="00704B16" w:rsidP="0029189B">
      <w:pPr>
        <w:rPr>
          <w:lang w:val="en-US"/>
        </w:rPr>
      </w:pPr>
      <w:permStart w:id="929437221" w:edGrp="everyone"/>
      <w:r>
        <w:t xml:space="preserve">PensionsEurope does </w:t>
      </w:r>
      <w:r>
        <w:rPr>
          <w:lang w:val="en-US"/>
        </w:rPr>
        <w:t>not agree with</w:t>
      </w:r>
      <w:r w:rsidR="0029189B" w:rsidRPr="0029189B">
        <w:rPr>
          <w:lang w:val="en-US"/>
        </w:rPr>
        <w:t xml:space="preserve"> the reference to the use of be</w:t>
      </w:r>
      <w:r>
        <w:rPr>
          <w:lang w:val="en-US"/>
        </w:rPr>
        <w:t>nchmark by pension funds in page</w:t>
      </w:r>
      <w:r w:rsidR="0029189B" w:rsidRPr="0029189B">
        <w:rPr>
          <w:lang w:val="en-US"/>
        </w:rPr>
        <w:t xml:space="preserve"> 43</w:t>
      </w:r>
      <w:r>
        <w:rPr>
          <w:lang w:val="en-US"/>
        </w:rPr>
        <w:t xml:space="preserve"> </w:t>
      </w:r>
      <w:r w:rsidRPr="0029189B">
        <w:rPr>
          <w:lang w:val="en-US"/>
        </w:rPr>
        <w:t xml:space="preserve">of the CP </w:t>
      </w:r>
      <w:r>
        <w:rPr>
          <w:lang w:val="en-US"/>
        </w:rPr>
        <w:t xml:space="preserve">in the section of the criteria proposed </w:t>
      </w:r>
      <w:r w:rsidR="0029189B" w:rsidRPr="0029189B">
        <w:rPr>
          <w:lang w:val="en-US"/>
        </w:rPr>
        <w:t xml:space="preserve">to be used for the assessment of </w:t>
      </w:r>
      <w:r>
        <w:rPr>
          <w:lang w:val="en-US"/>
        </w:rPr>
        <w:t xml:space="preserve">a </w:t>
      </w:r>
      <w:r w:rsidR="0029189B" w:rsidRPr="0029189B">
        <w:rPr>
          <w:lang w:val="en-US"/>
        </w:rPr>
        <w:t>critical bench</w:t>
      </w:r>
      <w:r>
        <w:rPr>
          <w:lang w:val="en-US"/>
        </w:rPr>
        <w:t>mark</w:t>
      </w:r>
      <w:r w:rsidR="0029189B" w:rsidRPr="0029189B">
        <w:rPr>
          <w:lang w:val="en-US"/>
        </w:rPr>
        <w:t>.</w:t>
      </w:r>
    </w:p>
    <w:p w:rsidR="0029189B" w:rsidRPr="0029189B" w:rsidRDefault="0029189B" w:rsidP="0029189B">
      <w:pPr>
        <w:rPr>
          <w:lang w:val="en-US"/>
        </w:rPr>
      </w:pPr>
    </w:p>
    <w:p w:rsidR="00704B16" w:rsidRDefault="00704B16" w:rsidP="0029189B">
      <w:r w:rsidRPr="00704B16">
        <w:rPr>
          <w:bCs/>
        </w:rPr>
        <w:t xml:space="preserve">Regarding the text on </w:t>
      </w:r>
      <w:r w:rsidR="0029189B" w:rsidRPr="00704B16">
        <w:rPr>
          <w:bCs/>
        </w:rPr>
        <w:t>“</w:t>
      </w:r>
      <w:r w:rsidR="0029189B" w:rsidRPr="00704B16">
        <w:rPr>
          <w:i/>
          <w:iCs/>
        </w:rPr>
        <w:t>The use of the benchmark by pension funds</w:t>
      </w:r>
      <w:r w:rsidRPr="00704B16">
        <w:t>”,</w:t>
      </w:r>
      <w:r>
        <w:t xml:space="preserve"> PensionsEurope understands that </w:t>
      </w:r>
      <w:r w:rsidR="0029189B" w:rsidRPr="00704B16">
        <w:t xml:space="preserve">pension funds </w:t>
      </w:r>
      <w:r>
        <w:t>do not,</w:t>
      </w:r>
      <w:r w:rsidR="0029189B" w:rsidRPr="00704B16">
        <w:t xml:space="preserve"> and </w:t>
      </w:r>
      <w:r>
        <w:t xml:space="preserve">considers that they </w:t>
      </w:r>
      <w:r w:rsidR="0029189B" w:rsidRPr="00704B16">
        <w:t>should not</w:t>
      </w:r>
      <w:r>
        <w:t>,</w:t>
      </w:r>
      <w:r w:rsidR="0029189B" w:rsidRPr="00704B16">
        <w:t xml:space="preserve"> fall</w:t>
      </w:r>
      <w:r w:rsidR="0029189B">
        <w:t xml:space="preserve"> under</w:t>
      </w:r>
      <w:r w:rsidR="0029189B" w:rsidRPr="0029189B">
        <w:t xml:space="preserve"> the scope of the definition of “use of a benchmark” in the regul</w:t>
      </w:r>
      <w:r w:rsidR="0029189B" w:rsidRPr="0029189B">
        <w:t>a</w:t>
      </w:r>
      <w:r w:rsidR="0029189B" w:rsidRPr="0029189B">
        <w:t xml:space="preserve">tion. </w:t>
      </w:r>
    </w:p>
    <w:p w:rsidR="00704B16" w:rsidRDefault="00704B16" w:rsidP="0029189B"/>
    <w:p w:rsidR="0029189B" w:rsidRPr="0029189B" w:rsidRDefault="0029189B" w:rsidP="0029189B">
      <w:r>
        <w:t>W</w:t>
      </w:r>
      <w:r w:rsidRPr="0029189B">
        <w:t xml:space="preserve">hile we agree </w:t>
      </w:r>
      <w:r>
        <w:t>that</w:t>
      </w:r>
      <w:r w:rsidRPr="0029189B">
        <w:t xml:space="preserve"> the inclusion of pension funds in this provision </w:t>
      </w:r>
      <w:r>
        <w:t xml:space="preserve">can help avoiding </w:t>
      </w:r>
      <w:r w:rsidRPr="0029189B">
        <w:t>possible ind</w:t>
      </w:r>
      <w:r w:rsidRPr="0029189B">
        <w:t>i</w:t>
      </w:r>
      <w:r w:rsidRPr="0029189B">
        <w:t xml:space="preserve">rect effect on the index used by pension funds from the benchmark regulation, pension funds </w:t>
      </w:r>
      <w:r w:rsidR="00704B16">
        <w:t>do not fall within the</w:t>
      </w:r>
      <w:r w:rsidRPr="0029189B">
        <w:t xml:space="preserve"> scope of the definition of “use of a benchmark” in the regulation. We therefore reco</w:t>
      </w:r>
      <w:r w:rsidRPr="0029189B">
        <w:t>m</w:t>
      </w:r>
      <w:r w:rsidRPr="0029189B">
        <w:t xml:space="preserve">mend ESMA to clarify </w:t>
      </w:r>
      <w:r w:rsidR="00704B16">
        <w:t>the rules for</w:t>
      </w:r>
      <w:r w:rsidRPr="0029189B">
        <w:t xml:space="preserve"> supervised entities that make us</w:t>
      </w:r>
      <w:r>
        <w:t>e of a benchmark in the sense of the</w:t>
      </w:r>
      <w:r w:rsidRPr="0029189B">
        <w:t xml:space="preserve"> regulation </w:t>
      </w:r>
      <w:r w:rsidR="00704B16">
        <w:t xml:space="preserve">and </w:t>
      </w:r>
      <w:r>
        <w:t>that are at the same time excluded from the scope of the definition of the</w:t>
      </w:r>
      <w:r w:rsidRPr="0029189B">
        <w:t xml:space="preserve"> </w:t>
      </w:r>
      <w:r w:rsidRPr="0029189B">
        <w:t>“use of a benc</w:t>
      </w:r>
      <w:r w:rsidRPr="0029189B">
        <w:t>h</w:t>
      </w:r>
      <w:r w:rsidRPr="0029189B">
        <w:t>mark”</w:t>
      </w:r>
      <w:r w:rsidRPr="0029189B">
        <w:t xml:space="preserve">. </w:t>
      </w:r>
    </w:p>
    <w:p w:rsidR="0029189B" w:rsidRPr="0029189B" w:rsidRDefault="0029189B" w:rsidP="0029189B"/>
    <w:p w:rsidR="009A2624" w:rsidRPr="0029189B" w:rsidRDefault="0029189B" w:rsidP="009A2624">
      <w:pPr>
        <w:rPr>
          <w:lang w:val="en-US"/>
        </w:rPr>
      </w:pPr>
      <w:r>
        <w:rPr>
          <w:lang w:val="en-US"/>
        </w:rPr>
        <w:t xml:space="preserve">PensionsEurope calls on ESMA to ensure that pension funds fall outside of the scope of the </w:t>
      </w:r>
      <w:r w:rsidRPr="0029189B">
        <w:t>definition of “use of a benchmark” in the regulation</w:t>
      </w:r>
      <w:r>
        <w:t>.</w:t>
      </w:r>
    </w:p>
    <w:permEnd w:id="929437221"/>
    <w:p w:rsidR="009A2624" w:rsidRDefault="00665C07" w:rsidP="009A2624">
      <w:r>
        <w:t>&lt;ESMA_QUESTION_C</w:t>
      </w:r>
      <w:r w:rsidR="009A2624">
        <w:t>P_BMR_8&gt;</w:t>
      </w:r>
    </w:p>
    <w:p w:rsidR="009A2624" w:rsidRDefault="009A2624" w:rsidP="009A2624"/>
    <w:p w:rsidR="009A2624" w:rsidRPr="007F44BF" w:rsidRDefault="005C7F55" w:rsidP="002342EC">
      <w:pPr>
        <w:pStyle w:val="Questionstyle"/>
      </w:pPr>
      <w:r w:rsidRPr="00E76135">
        <w:rPr>
          <w:rFonts w:cs="Arial"/>
          <w:lang w:val="en-US"/>
        </w:rPr>
        <w:t>Do you think that the concept of “significant share of” should be further developed in terms of percentages or ranges of values expressed in percentages, to be used for (some of) the criteria based on quantitative data? If yes, could you propose percentages of reference, or ranges of values e</w:t>
      </w:r>
      <w:r w:rsidRPr="00E76135">
        <w:rPr>
          <w:rFonts w:cs="Arial"/>
          <w:lang w:val="en-US"/>
        </w:rPr>
        <w:t>x</w:t>
      </w:r>
      <w:r w:rsidRPr="00E76135">
        <w:rPr>
          <w:rFonts w:cs="Arial"/>
          <w:lang w:val="en-US"/>
        </w:rPr>
        <w:t>pressed in percentages, to be used for one or more of the proposed criteria</w:t>
      </w:r>
      <w:r w:rsidR="009A2624" w:rsidRPr="007F44BF">
        <w:t>?</w:t>
      </w:r>
    </w:p>
    <w:p w:rsidR="009A2624" w:rsidRDefault="00665C07" w:rsidP="009A2624">
      <w:r>
        <w:t>&lt;ESMA_QUESTION_C</w:t>
      </w:r>
      <w:r w:rsidR="009A2624">
        <w:t>P_BMR_9&gt;</w:t>
      </w:r>
    </w:p>
    <w:p w:rsidR="009A2624" w:rsidRDefault="009A2624" w:rsidP="009A2624">
      <w:permStart w:id="1658521749" w:edGrp="everyone"/>
      <w:r>
        <w:t>TYPE YOUR TEXT HERE</w:t>
      </w:r>
    </w:p>
    <w:permEnd w:id="1658521749"/>
    <w:p w:rsidR="009A2624" w:rsidRDefault="00665C07" w:rsidP="009A2624">
      <w:r>
        <w:t>&lt;ESMA_QUESTION_C</w:t>
      </w:r>
      <w:r w:rsidR="009A2624">
        <w:t>P_BMR_9&gt;</w:t>
      </w:r>
    </w:p>
    <w:p w:rsidR="009A2624" w:rsidRDefault="009A2624" w:rsidP="009A2624"/>
    <w:p w:rsidR="009A2624" w:rsidRPr="007F44BF" w:rsidRDefault="005C7F55" w:rsidP="002342EC">
      <w:pPr>
        <w:pStyle w:val="Questionstyle"/>
      </w:pPr>
      <w:r w:rsidRPr="00837564">
        <w:rPr>
          <w:rFonts w:cs="Arial"/>
        </w:rPr>
        <w:t>Do you agree with the suggested indicators for objective reasons for endorsement of third-country benchmarks</w:t>
      </w:r>
      <w:r w:rsidR="009A2624" w:rsidRPr="007F44BF">
        <w:t xml:space="preserve">? </w:t>
      </w:r>
    </w:p>
    <w:p w:rsidR="009A2624" w:rsidRDefault="00665C07" w:rsidP="009A2624">
      <w:r>
        <w:t>&lt;ESMA_QUESTION_C</w:t>
      </w:r>
      <w:r w:rsidR="009A2624">
        <w:t>P_BMR_10&gt;</w:t>
      </w:r>
    </w:p>
    <w:p w:rsidR="009A2624" w:rsidRDefault="009A2624" w:rsidP="009A2624">
      <w:permStart w:id="32385993" w:edGrp="everyone"/>
      <w:r>
        <w:t>TYPE YOUR TEXT HERE</w:t>
      </w:r>
    </w:p>
    <w:permEnd w:id="32385993"/>
    <w:p w:rsidR="009A2624" w:rsidRDefault="00665C07" w:rsidP="009A2624">
      <w:r>
        <w:t>&lt;ESMA_QUESTION_C</w:t>
      </w:r>
      <w:r w:rsidR="009A2624">
        <w:t>P_BMR_10&gt;</w:t>
      </w:r>
    </w:p>
    <w:p w:rsidR="009A2624" w:rsidRDefault="009A2624" w:rsidP="009A2624"/>
    <w:p w:rsidR="009A2624" w:rsidRPr="007F44BF" w:rsidRDefault="005C7F55" w:rsidP="002342EC">
      <w:pPr>
        <w:pStyle w:val="Questionstyle"/>
      </w:pPr>
      <w:r>
        <w:rPr>
          <w:rFonts w:cs="Arial"/>
          <w:lang w:val="en-US"/>
        </w:rPr>
        <w:t>Do you agree with the criteria, included in the draft technical advice, that NCAs should use when assessing whether the transitional provisions could apply to a non-compliant benchmark? Could you suggest additional criteria?</w:t>
      </w:r>
      <w:r w:rsidR="009A2624" w:rsidRPr="007F44BF">
        <w:t xml:space="preserve"> </w:t>
      </w:r>
    </w:p>
    <w:p w:rsidR="009A2624" w:rsidRDefault="009A2624" w:rsidP="009A2624">
      <w:r>
        <w:lastRenderedPageBreak/>
        <w:t>&lt;ES</w:t>
      </w:r>
      <w:r w:rsidR="00665C07">
        <w:t>MA_QUESTION_C</w:t>
      </w:r>
      <w:r>
        <w:t>P_BMR_11&gt;</w:t>
      </w:r>
    </w:p>
    <w:p w:rsidR="009A2624" w:rsidRDefault="009A2624" w:rsidP="009A2624">
      <w:permStart w:id="483540582" w:edGrp="everyone"/>
      <w:r>
        <w:t>TYPE YOUR TEXT HERE</w:t>
      </w:r>
    </w:p>
    <w:permEnd w:id="483540582"/>
    <w:p w:rsidR="009A2624" w:rsidRDefault="00665C07" w:rsidP="009A2624">
      <w:r>
        <w:t>&lt;ESMA_QUESTION_C</w:t>
      </w:r>
      <w:r w:rsidR="009A2624">
        <w:t>P_BMR_11&gt;</w:t>
      </w:r>
    </w:p>
    <w:p w:rsidR="00BE3CE5" w:rsidRDefault="00BE3CE5" w:rsidP="009A2624"/>
    <w:sectPr w:rsidR="00BE3CE5" w:rsidSect="00A8728B">
      <w:headerReference w:type="even" r:id="rId17"/>
      <w:headerReference w:type="first" r:id="rId18"/>
      <w:footerReference w:type="first" r:id="rId19"/>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4BB" w:rsidRDefault="00C154BB">
      <w:r>
        <w:separator/>
      </w:r>
    </w:p>
    <w:p w:rsidR="00C154BB" w:rsidRDefault="00C154BB"/>
  </w:endnote>
  <w:endnote w:type="continuationSeparator" w:id="0">
    <w:p w:rsidR="00C154BB" w:rsidRDefault="00C154BB">
      <w:r>
        <w:continuationSeparator/>
      </w:r>
    </w:p>
    <w:p w:rsidR="00C154BB" w:rsidRDefault="00C154BB"/>
  </w:endnote>
  <w:endnote w:type="continuationNotice" w:id="1">
    <w:p w:rsidR="00C154BB" w:rsidRDefault="00C15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04B16">
            <w:rPr>
              <w:rFonts w:cs="Arial"/>
              <w:noProof/>
              <w:sz w:val="22"/>
              <w:szCs w:val="22"/>
            </w:rPr>
            <w:t>6</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4BB" w:rsidRDefault="00C154BB">
      <w:r>
        <w:separator/>
      </w:r>
    </w:p>
    <w:p w:rsidR="00C154BB" w:rsidRDefault="00C154BB"/>
  </w:footnote>
  <w:footnote w:type="continuationSeparator" w:id="0">
    <w:p w:rsidR="00C154BB" w:rsidRDefault="00C154BB">
      <w:r>
        <w:continuationSeparator/>
      </w:r>
    </w:p>
    <w:p w:rsidR="00C154BB" w:rsidRDefault="00C154BB"/>
  </w:footnote>
  <w:footnote w:type="continuationNotice" w:id="1">
    <w:p w:rsidR="00C154BB" w:rsidRDefault="00C154BB"/>
  </w:footnote>
  <w:footnote w:id="2">
    <w:p w:rsidR="00EC777D" w:rsidRDefault="00EC777D" w:rsidP="00EC777D">
      <w:pPr>
        <w:pStyle w:val="FootnoteText"/>
        <w:rPr>
          <w:rFonts w:ascii="Calibri" w:eastAsiaTheme="minorHAnsi" w:hAnsi="Calibri"/>
          <w:sz w:val="20"/>
          <w:lang w:eastAsia="en-US"/>
        </w:rPr>
      </w:pPr>
      <w:r>
        <w:rPr>
          <w:rStyle w:val="FootnoteReference"/>
          <w:color w:val="8EB4E3"/>
          <w:sz w:val="24"/>
          <w:szCs w:val="24"/>
          <w:lang w:eastAsia="en-US"/>
        </w:rPr>
        <w:t xml:space="preserve">[2] </w:t>
      </w:r>
      <w:r>
        <w:rPr>
          <w:color w:val="4F81BD"/>
          <w:sz w:val="22"/>
          <w:szCs w:val="22"/>
          <w:lang w:eastAsia="en-US"/>
        </w:rPr>
        <w:t>Articles make reference to the text of the Benchmarks Regulation as approved by the Europ</w:t>
      </w:r>
      <w:r>
        <w:rPr>
          <w:color w:val="4F81BD"/>
          <w:sz w:val="22"/>
          <w:szCs w:val="22"/>
          <w:lang w:eastAsia="en-US"/>
        </w:rPr>
        <w:t>e</w:t>
      </w:r>
      <w:r>
        <w:rPr>
          <w:color w:val="4F81BD"/>
          <w:sz w:val="22"/>
          <w:szCs w:val="22"/>
          <w:lang w:eastAsia="en-US"/>
        </w:rPr>
        <w:t>an Parliament.</w:t>
      </w:r>
      <w:r>
        <w:rPr>
          <w:rFonts w:ascii="Calibri" w:hAnsi="Calibri"/>
          <w:sz w:val="20"/>
          <w:lang w:eastAsia="en-US"/>
        </w:rPr>
        <w:t xml:space="preserve"> </w:t>
      </w:r>
    </w:p>
  </w:footnote>
  <w:footnote w:id="3">
    <w:p w:rsidR="009D25D7" w:rsidRPr="003E6CE8" w:rsidRDefault="009D25D7" w:rsidP="009D25D7">
      <w:pPr>
        <w:autoSpaceDE w:val="0"/>
        <w:autoSpaceDN w:val="0"/>
        <w:adjustRightInd w:val="0"/>
        <w:ind w:left="142" w:hanging="142"/>
        <w:rPr>
          <w:rFonts w:ascii="Helvetica" w:hAnsi="Helvetica" w:cs="Helvetica"/>
          <w:sz w:val="18"/>
          <w:szCs w:val="18"/>
          <w:lang w:val="en-US" w:eastAsia="nl-NL"/>
        </w:rPr>
      </w:pPr>
      <w:r>
        <w:rPr>
          <w:rStyle w:val="FootnoteReference"/>
        </w:rPr>
        <w:footnoteRef/>
      </w:r>
      <w:r w:rsidRPr="003E6CE8">
        <w:rPr>
          <w:lang w:val="en-US"/>
        </w:rPr>
        <w:t xml:space="preserve"> </w:t>
      </w:r>
      <w:r w:rsidRPr="003E6CE8">
        <w:rPr>
          <w:rFonts w:ascii="Helvetica" w:hAnsi="Helvetica" w:cs="Helvetica"/>
          <w:sz w:val="18"/>
          <w:szCs w:val="18"/>
          <w:lang w:val="en-US" w:eastAsia="nl-NL"/>
        </w:rPr>
        <w:t>EU Member States: Austria, Belgium, Croatia, Finland, France, Germany, Hungary, Ireland, Italy, Luxembourg,</w:t>
      </w:r>
    </w:p>
    <w:p w:rsidR="009D25D7" w:rsidRPr="009F235E" w:rsidRDefault="009D25D7" w:rsidP="009D25D7">
      <w:pPr>
        <w:autoSpaceDE w:val="0"/>
        <w:autoSpaceDN w:val="0"/>
        <w:adjustRightInd w:val="0"/>
        <w:ind w:left="142" w:hanging="142"/>
        <w:rPr>
          <w:rFonts w:ascii="Helvetica" w:hAnsi="Helvetica" w:cs="Helvetica"/>
          <w:sz w:val="18"/>
          <w:szCs w:val="18"/>
          <w:lang w:eastAsia="nl-NL"/>
        </w:rPr>
      </w:pPr>
      <w:r w:rsidRPr="003E6CE8">
        <w:rPr>
          <w:rFonts w:ascii="Helvetica" w:hAnsi="Helvetica" w:cs="Helvetica"/>
          <w:sz w:val="18"/>
          <w:szCs w:val="18"/>
          <w:lang w:val="en-US" w:eastAsia="nl-NL"/>
        </w:rPr>
        <w:t xml:space="preserve">Netherlands, Portugal, Romania, Spain, Sweden, UK. </w:t>
      </w:r>
      <w:r w:rsidRPr="009F235E">
        <w:rPr>
          <w:rFonts w:ascii="Helvetica" w:hAnsi="Helvetica" w:cs="Helvetica"/>
          <w:sz w:val="18"/>
          <w:szCs w:val="18"/>
          <w:lang w:eastAsia="nl-NL"/>
        </w:rPr>
        <w:t>Non-EU Member States: Iceland, Norway, Switzerland.</w:t>
      </w:r>
    </w:p>
    <w:p w:rsidR="009D25D7" w:rsidRPr="009F235E" w:rsidRDefault="009D25D7" w:rsidP="009D25D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Header"/>
    </w:pPr>
    <w:r>
      <w:rPr>
        <w:noProof/>
        <w:lang w:val="en-US" w:eastAsia="en-US"/>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23A9005F"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Header"/>
      <w:jc w:val="right"/>
    </w:pPr>
    <w:r>
      <w:rPr>
        <w:noProof/>
        <w:lang w:val="en-US" w:eastAsia="en-US"/>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val="en-US" w:eastAsia="en-US"/>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17EC87E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6"/>
  </w:num>
  <w:num w:numId="22">
    <w:abstractNumId w:val="25"/>
  </w:num>
  <w:num w:numId="23">
    <w:abstractNumId w:val="10"/>
  </w:num>
  <w:num w:numId="24">
    <w:abstractNumId w:val="30"/>
  </w:num>
  <w:num w:numId="25">
    <w:abstractNumId w:val="29"/>
  </w:num>
  <w:num w:numId="26">
    <w:abstractNumId w:val="20"/>
  </w:num>
  <w:num w:numId="27">
    <w:abstractNumId w:val="33"/>
  </w:num>
  <w:num w:numId="28">
    <w:abstractNumId w:val="39"/>
  </w:num>
  <w:num w:numId="29">
    <w:abstractNumId w:val="8"/>
  </w:num>
  <w:num w:numId="30">
    <w:abstractNumId w:val="4"/>
  </w:num>
  <w:num w:numId="31">
    <w:abstractNumId w:val="22"/>
  </w:num>
  <w:num w:numId="32">
    <w:abstractNumId w:val="2"/>
  </w:num>
  <w:num w:numId="33">
    <w:abstractNumId w:val="7"/>
  </w:num>
  <w:num w:numId="34">
    <w:abstractNumId w:val="21"/>
  </w:num>
  <w:num w:numId="35">
    <w:abstractNumId w:val="35"/>
  </w:num>
  <w:num w:numId="36">
    <w:abstractNumId w:val="34"/>
  </w:num>
  <w:num w:numId="37">
    <w:abstractNumId w:val="12"/>
  </w:num>
  <w:num w:numId="38">
    <w:abstractNumId w:val="3"/>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4nU0jKE/0FUl/mFLwVxG4YN4db+ZeKzs2H2iJsoDrWTrHyzzwAzXk1k7rfqlSDub/1fNztjY16PGvNsFIjDTpw==" w:salt="Zg2lf8qdCA+0wSGWROtIeQ=="/>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89B"/>
    <w:rsid w:val="00291D80"/>
    <w:rsid w:val="00293156"/>
    <w:rsid w:val="00293BE7"/>
    <w:rsid w:val="00293D4B"/>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4CB1"/>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36D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D79DA"/>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49C0"/>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7F55"/>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5C07"/>
    <w:rsid w:val="00666F74"/>
    <w:rsid w:val="00667FEA"/>
    <w:rsid w:val="006710D2"/>
    <w:rsid w:val="00671A8B"/>
    <w:rsid w:val="00671F53"/>
    <w:rsid w:val="006725A0"/>
    <w:rsid w:val="0067555E"/>
    <w:rsid w:val="006755CB"/>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48CC"/>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B16"/>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707"/>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0AEB"/>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0FF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33C8"/>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25D7"/>
    <w:rsid w:val="009D3E7C"/>
    <w:rsid w:val="009D55CA"/>
    <w:rsid w:val="009D5EF0"/>
    <w:rsid w:val="009D6401"/>
    <w:rsid w:val="009E0711"/>
    <w:rsid w:val="009E1917"/>
    <w:rsid w:val="009E2FDB"/>
    <w:rsid w:val="009E3594"/>
    <w:rsid w:val="009E6B77"/>
    <w:rsid w:val="009E7724"/>
    <w:rsid w:val="009E7D1F"/>
    <w:rsid w:val="009F1D82"/>
    <w:rsid w:val="009F235E"/>
    <w:rsid w:val="009F37AA"/>
    <w:rsid w:val="009F544C"/>
    <w:rsid w:val="009F5731"/>
    <w:rsid w:val="009F6321"/>
    <w:rsid w:val="009F6378"/>
    <w:rsid w:val="009F7669"/>
    <w:rsid w:val="009F7F45"/>
    <w:rsid w:val="009F7FD5"/>
    <w:rsid w:val="00A005D4"/>
    <w:rsid w:val="00A0083C"/>
    <w:rsid w:val="00A01A90"/>
    <w:rsid w:val="00A02370"/>
    <w:rsid w:val="00A04685"/>
    <w:rsid w:val="00A046EF"/>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324"/>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5999"/>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6C76"/>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3CE5"/>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54BB"/>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5F8"/>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77D"/>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Bullet" w:semiHidden="0" w:unhideWhenUsed="0"/>
    <w:lsdException w:name="List 3" w:semiHidden="0" w:unhideWhenUsed="0"/>
    <w:lsdException w:name="List 4" w:semiHidden="0" w:unhideWhenUsed="0"/>
    <w:lsdException w:name="Title" w:semiHidden="0" w:uiPriority="1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Bullet" w:semiHidden="0" w:unhideWhenUsed="0"/>
    <w:lsdException w:name="List 3" w:semiHidden="0" w:unhideWhenUsed="0"/>
    <w:lsdException w:name="List 4" w:semiHidden="0" w:unhideWhenUsed="0"/>
    <w:lsdException w:name="Title" w:semiHidden="0" w:uiPriority="1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07301515">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5114353">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02383639">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5048110">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36823112">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393773106">
      <w:bodyDiv w:val="1"/>
      <w:marLeft w:val="0"/>
      <w:marRight w:val="0"/>
      <w:marTop w:val="0"/>
      <w:marBottom w:val="0"/>
      <w:divBdr>
        <w:top w:val="none" w:sz="0" w:space="0" w:color="auto"/>
        <w:left w:val="none" w:sz="0" w:space="0" w:color="auto"/>
        <w:bottom w:val="none" w:sz="0" w:space="0" w:color="auto"/>
        <w:right w:val="none" w:sz="0" w:space="0" w:color="auto"/>
      </w:divBdr>
    </w:div>
    <w:div w:id="1438866336">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pensionseurope.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mailto:matti.leppala@pensionseurope.eu" TargetMode="Externa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58C79-A977-4494-8E1E-60293C150FC2}">
  <ds:schemaRefs>
    <ds:schemaRef ds:uri="http://schemas.openxmlformats.org/officeDocument/2006/bibliography"/>
  </ds:schemaRefs>
</ds:datastoreItem>
</file>

<file path=customXml/itemProps2.xml><?xml version="1.0" encoding="utf-8"?>
<ds:datastoreItem xmlns:ds="http://schemas.openxmlformats.org/officeDocument/2006/customXml" ds:itemID="{88A01404-0601-4285-84E1-CB42B6B23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1847</Words>
  <Characters>10632</Characters>
  <Application>Microsoft Office Word</Application>
  <DocSecurity>8</DocSecurity>
  <Lines>88</Lines>
  <Paragraphs>24</Paragraphs>
  <ScaleCrop>false</ScaleCrop>
  <HeadingPairs>
    <vt:vector size="12" baseType="variant">
      <vt:variant>
        <vt:lpstr>Title</vt:lpstr>
      </vt:variant>
      <vt:variant>
        <vt:i4>1</vt:i4>
      </vt:variant>
      <vt:variant>
        <vt:lpstr>Название</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ESEF CP</vt:lpstr>
      <vt:lpstr>Reply form for the ESEF CP</vt:lpstr>
      <vt:lpstr>20110000</vt:lpstr>
      <vt:lpstr>20110000</vt:lpstr>
      <vt:lpstr>20110000</vt:lpstr>
      <vt:lpstr>20110000</vt:lpstr>
    </vt:vector>
  </TitlesOfParts>
  <Company>ESMA</Company>
  <LinksUpToDate>false</LinksUpToDate>
  <CharactersWithSpaces>12455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Ursula Bordas</cp:lastModifiedBy>
  <cp:revision>2</cp:revision>
  <cp:lastPrinted>2015-02-18T11:01:00Z</cp:lastPrinted>
  <dcterms:created xsi:type="dcterms:W3CDTF">2016-06-30T13:57:00Z</dcterms:created>
  <dcterms:modified xsi:type="dcterms:W3CDTF">2016-06-30T13:57:00Z</dcterms:modified>
</cp:coreProperties>
</file>