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8873FD" w:rsidRPr="005F2B80" w:rsidRDefault="008873FD" w:rsidP="008873FD">
      <w:pPr>
        <w:spacing w:line="276" w:lineRule="auto"/>
        <w:jc w:val="both"/>
        <w:rPr>
          <w:rFonts w:cs="Arial"/>
          <w:szCs w:val="20"/>
        </w:rPr>
      </w:pPr>
      <w:permStart w:id="358166434" w:edGrp="everyone"/>
      <w:r w:rsidRPr="005F2B80">
        <w:rPr>
          <w:rFonts w:cs="Arial"/>
          <w:szCs w:val="20"/>
        </w:rPr>
        <w:t>London Stock Exchange Group (“LSEG”) and FTSE Russell support the work on the Level 2 of the Benchmarks Regulation (“BMR”), a key piece of legislation which will ensure the integrity and robustness of benchmarks.  We appreciate that ESMA is following a tight schedule to pr</w:t>
      </w:r>
      <w:r w:rsidRPr="005F2B80">
        <w:rPr>
          <w:rFonts w:cs="Arial"/>
          <w:szCs w:val="20"/>
        </w:rPr>
        <w:t>o</w:t>
      </w:r>
      <w:r w:rsidRPr="005F2B80">
        <w:rPr>
          <w:rFonts w:cs="Arial"/>
          <w:szCs w:val="20"/>
        </w:rPr>
        <w:t>duce the technical advice and technical standards envisaged in the Leve</w:t>
      </w:r>
      <w:bookmarkStart w:id="3" w:name="_GoBack"/>
      <w:bookmarkEnd w:id="3"/>
      <w:r w:rsidRPr="005F2B80">
        <w:rPr>
          <w:rFonts w:cs="Arial"/>
          <w:szCs w:val="20"/>
        </w:rPr>
        <w:t>l 1. In this position paper, we offer our views, informed by our experience as a global index provider, on how we believe ESMA could calibrate the various provisions of the Level 2 draft text.</w:t>
      </w:r>
    </w:p>
    <w:p w:rsidR="008873FD" w:rsidRPr="005F2B80" w:rsidRDefault="008873FD" w:rsidP="008873FD">
      <w:pPr>
        <w:spacing w:line="276" w:lineRule="auto"/>
        <w:jc w:val="both"/>
        <w:rPr>
          <w:rFonts w:cs="Arial"/>
          <w:szCs w:val="20"/>
        </w:rPr>
      </w:pPr>
    </w:p>
    <w:p w:rsidR="008873FD" w:rsidRPr="005F2B80" w:rsidRDefault="008873FD" w:rsidP="008873FD">
      <w:pPr>
        <w:spacing w:line="276" w:lineRule="auto"/>
        <w:jc w:val="both"/>
        <w:rPr>
          <w:rFonts w:cs="Arial"/>
          <w:szCs w:val="20"/>
        </w:rPr>
      </w:pPr>
      <w:r w:rsidRPr="005F2B80">
        <w:rPr>
          <w:rFonts w:cs="Arial"/>
          <w:szCs w:val="20"/>
        </w:rPr>
        <w:t>Aside from responding to the questions raised in the Consultation Paper, we would like to bring the follo</w:t>
      </w:r>
      <w:r w:rsidRPr="005F2B80">
        <w:rPr>
          <w:rFonts w:cs="Arial"/>
          <w:szCs w:val="20"/>
        </w:rPr>
        <w:t>w</w:t>
      </w:r>
      <w:r w:rsidRPr="005F2B80">
        <w:rPr>
          <w:rFonts w:cs="Arial"/>
          <w:szCs w:val="20"/>
        </w:rPr>
        <w:t>ing elements to ESMA’s attention:</w:t>
      </w:r>
    </w:p>
    <w:p w:rsidR="008873FD" w:rsidRPr="005F2B80" w:rsidRDefault="008873FD" w:rsidP="008873FD">
      <w:pPr>
        <w:spacing w:line="276" w:lineRule="auto"/>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Exemptions enshrined in Level 2</w:t>
      </w:r>
      <w:r w:rsidRPr="005F2B80">
        <w:rPr>
          <w:rFonts w:cs="Arial"/>
          <w:szCs w:val="20"/>
        </w:rPr>
        <w:t xml:space="preserve"> – we believe that various exemptions, mainly ste</w:t>
      </w:r>
      <w:r w:rsidRPr="005F2B80">
        <w:rPr>
          <w:rFonts w:cs="Arial"/>
          <w:szCs w:val="20"/>
        </w:rPr>
        <w:t>m</w:t>
      </w:r>
      <w:r w:rsidRPr="005F2B80">
        <w:rPr>
          <w:rFonts w:cs="Arial"/>
          <w:szCs w:val="20"/>
        </w:rPr>
        <w:t xml:space="preserve">ming out of the BMR Level 1 recitals need to be reflected in the Level 2 to avoid market / legal uncertainties. </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Dependencies of the BMR on MiFID transposition and implementation timeline</w:t>
      </w:r>
      <w:r w:rsidRPr="005F2B80">
        <w:rPr>
          <w:rFonts w:cs="Arial"/>
          <w:szCs w:val="20"/>
        </w:rPr>
        <w:t xml:space="preserve"> – and the envisaged delay in particular. ESMA should recognize the delay as it is relevant for the elements of the regulation relying on MiFID reference data. </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Core factors – methodology, outsourcing and ultimate decision-making power,</w:t>
      </w:r>
      <w:r w:rsidRPr="005F2B80">
        <w:rPr>
          <w:rFonts w:cs="Arial"/>
          <w:szCs w:val="20"/>
        </w:rPr>
        <w:t xml:space="preserve"> in particular, should be the main elements of administering the arrangements for determi</w:t>
      </w:r>
      <w:r w:rsidRPr="005F2B80">
        <w:rPr>
          <w:rFonts w:cs="Arial"/>
          <w:szCs w:val="20"/>
        </w:rPr>
        <w:t>n</w:t>
      </w:r>
      <w:r w:rsidRPr="005F2B80">
        <w:rPr>
          <w:rFonts w:cs="Arial"/>
          <w:szCs w:val="20"/>
        </w:rPr>
        <w:t>ing a benchmark.</w:t>
      </w:r>
    </w:p>
    <w:p w:rsidR="008873FD" w:rsidRPr="005F2B80" w:rsidRDefault="008873FD" w:rsidP="008873FD">
      <w:pPr>
        <w:pStyle w:val="ListParagraph"/>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 xml:space="preserve">Clarification of issuance to include exemption </w:t>
      </w:r>
      <w:r w:rsidRPr="005F2B80">
        <w:rPr>
          <w:rFonts w:cs="Arial"/>
          <w:szCs w:val="20"/>
        </w:rPr>
        <w:t>of practices such as novation of an original b</w:t>
      </w:r>
      <w:r w:rsidRPr="005F2B80">
        <w:rPr>
          <w:rFonts w:cs="Arial"/>
          <w:szCs w:val="20"/>
        </w:rPr>
        <w:t>i</w:t>
      </w:r>
      <w:r w:rsidRPr="005F2B80">
        <w:rPr>
          <w:rFonts w:cs="Arial"/>
          <w:szCs w:val="20"/>
        </w:rPr>
        <w:t>lateral contract to a CCP.</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Accessibility of information for the administrator</w:t>
      </w:r>
      <w:r w:rsidRPr="005F2B80">
        <w:rPr>
          <w:rFonts w:cs="Arial"/>
          <w:szCs w:val="20"/>
        </w:rPr>
        <w:t xml:space="preserve"> – we would like to reiterate that the required information (i.e. identification of financial instruments referencing benchmarks / outstanding pro</w:t>
      </w:r>
      <w:r w:rsidRPr="005F2B80">
        <w:rPr>
          <w:rFonts w:cs="Arial"/>
          <w:szCs w:val="20"/>
        </w:rPr>
        <w:t>d</w:t>
      </w:r>
      <w:r w:rsidRPr="005F2B80">
        <w:rPr>
          <w:rFonts w:cs="Arial"/>
          <w:szCs w:val="20"/>
        </w:rPr>
        <w:t>uct notional) is not being reported to the administrators, it is often subject to confidentiality and is not in the public domain. We encourage the regulators / NCAs to take an active role on this ma</w:t>
      </w:r>
      <w:r w:rsidRPr="005F2B80">
        <w:rPr>
          <w:rFonts w:cs="Arial"/>
          <w:szCs w:val="20"/>
        </w:rPr>
        <w:t>t</w:t>
      </w:r>
      <w:r w:rsidRPr="005F2B80">
        <w:rPr>
          <w:rFonts w:cs="Arial"/>
          <w:szCs w:val="20"/>
        </w:rPr>
        <w:t>ter.</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0"/>
        </w:numPr>
        <w:spacing w:after="200" w:line="276" w:lineRule="auto"/>
        <w:jc w:val="both"/>
        <w:rPr>
          <w:rFonts w:cs="Arial"/>
          <w:szCs w:val="20"/>
        </w:rPr>
      </w:pPr>
      <w:r w:rsidRPr="005F2B80">
        <w:rPr>
          <w:rFonts w:cs="Arial"/>
          <w:b/>
          <w:szCs w:val="20"/>
        </w:rPr>
        <w:t xml:space="preserve">Third country regime </w:t>
      </w:r>
      <w:r w:rsidRPr="005F2B80">
        <w:rPr>
          <w:rFonts w:cs="Arial"/>
          <w:szCs w:val="20"/>
        </w:rPr>
        <w:t>– The objective reasons for recognition should not be set unnecessarily high, and should recognise current investor demand as a possible supporting indicator for reco</w:t>
      </w:r>
      <w:r w:rsidRPr="005F2B80">
        <w:rPr>
          <w:rFonts w:cs="Arial"/>
          <w:szCs w:val="20"/>
        </w:rPr>
        <w:t>g</w:t>
      </w:r>
      <w:r w:rsidRPr="005F2B80">
        <w:rPr>
          <w:rFonts w:cs="Arial"/>
          <w:szCs w:val="20"/>
        </w:rPr>
        <w:t>nition.</w:t>
      </w:r>
    </w:p>
    <w:p w:rsidR="0035577D" w:rsidRPr="005F2B80" w:rsidRDefault="0035577D" w:rsidP="0035577D">
      <w:pPr>
        <w:pStyle w:val="ListParagraph"/>
        <w:rPr>
          <w:rFonts w:cs="Arial"/>
          <w:szCs w:val="20"/>
        </w:rPr>
      </w:pPr>
    </w:p>
    <w:p w:rsidR="0035577D" w:rsidRPr="005F2B80" w:rsidRDefault="0035577D" w:rsidP="0035577D">
      <w:pPr>
        <w:spacing w:line="276" w:lineRule="auto"/>
        <w:rPr>
          <w:rFonts w:cs="Arial"/>
          <w:szCs w:val="20"/>
        </w:rPr>
      </w:pPr>
      <w:r w:rsidRPr="005F2B80">
        <w:rPr>
          <w:rFonts w:cs="Arial"/>
          <w:szCs w:val="20"/>
        </w:rPr>
        <w:t xml:space="preserve">* * * * * * * * * </w:t>
      </w:r>
    </w:p>
    <w:p w:rsidR="0035577D" w:rsidRPr="005F2B80" w:rsidRDefault="0035577D" w:rsidP="0035577D">
      <w:pPr>
        <w:spacing w:line="276" w:lineRule="auto"/>
        <w:rPr>
          <w:szCs w:val="20"/>
        </w:rPr>
      </w:pPr>
      <w:r w:rsidRPr="005F2B80">
        <w:rPr>
          <w:szCs w:val="20"/>
        </w:rPr>
        <w:t xml:space="preserve"> EU Transparency Register: 550494915045-08 – contact:  Ms. Beata Sivak: BSivak@lseg.com</w:t>
      </w:r>
    </w:p>
    <w:p w:rsidR="0035577D" w:rsidRPr="005F2B80" w:rsidRDefault="0035577D" w:rsidP="0035577D">
      <w:pPr>
        <w:spacing w:line="276" w:lineRule="auto"/>
        <w:rPr>
          <w:rFonts w:cs="Arial"/>
          <w:szCs w:val="20"/>
        </w:rPr>
      </w:pPr>
    </w:p>
    <w:p w:rsidR="0035577D" w:rsidRPr="005F2B80" w:rsidRDefault="0035577D" w:rsidP="0035577D">
      <w:pPr>
        <w:spacing w:line="276" w:lineRule="auto"/>
        <w:rPr>
          <w:rFonts w:cs="Arial"/>
          <w:b/>
          <w:szCs w:val="20"/>
        </w:rPr>
      </w:pPr>
      <w:r w:rsidRPr="005F2B80">
        <w:rPr>
          <w:rFonts w:cs="Arial"/>
          <w:b/>
          <w:szCs w:val="20"/>
        </w:rPr>
        <w:t>About FTSE Russell, a part of London Stock Exchange Group (LSEG)</w:t>
      </w:r>
    </w:p>
    <w:p w:rsidR="0035577D" w:rsidRPr="005F2B80" w:rsidRDefault="0035577D" w:rsidP="0035577D">
      <w:pPr>
        <w:spacing w:line="276" w:lineRule="auto"/>
        <w:rPr>
          <w:rFonts w:cs="Arial"/>
          <w:szCs w:val="20"/>
        </w:rPr>
      </w:pPr>
    </w:p>
    <w:p w:rsidR="0035577D" w:rsidRPr="005F2B80" w:rsidRDefault="0035577D" w:rsidP="0035577D">
      <w:pPr>
        <w:spacing w:line="276" w:lineRule="auto"/>
        <w:rPr>
          <w:rFonts w:cs="Arial"/>
          <w:szCs w:val="20"/>
        </w:rPr>
      </w:pPr>
      <w:r w:rsidRPr="005F2B80">
        <w:rPr>
          <w:rFonts w:cs="Arial"/>
          <w:szCs w:val="20"/>
        </w:rPr>
        <w:t>FTSE Russell is a global index leader that provides innovative benchmarking, analytics and data solutions for investors worldwide.  FTSE Russell calculates thousands of indexes that measure and benchmark markets and asset classes in more than 80 countries, covering 98% of the i</w:t>
      </w:r>
      <w:r w:rsidRPr="005F2B80">
        <w:rPr>
          <w:rFonts w:cs="Arial"/>
          <w:szCs w:val="20"/>
        </w:rPr>
        <w:t>n</w:t>
      </w:r>
      <w:r w:rsidRPr="005F2B80">
        <w:rPr>
          <w:rFonts w:cs="Arial"/>
          <w:szCs w:val="20"/>
        </w:rPr>
        <w:t>vestable market globally.</w:t>
      </w:r>
    </w:p>
    <w:p w:rsidR="0035577D" w:rsidRPr="005F2B80" w:rsidRDefault="0035577D" w:rsidP="0035577D">
      <w:pPr>
        <w:spacing w:line="276" w:lineRule="auto"/>
        <w:rPr>
          <w:rFonts w:cs="Arial"/>
          <w:szCs w:val="20"/>
        </w:rPr>
      </w:pPr>
    </w:p>
    <w:p w:rsidR="0035577D" w:rsidRPr="005F2B80" w:rsidRDefault="0035577D" w:rsidP="0035577D">
      <w:pPr>
        <w:spacing w:line="276" w:lineRule="auto"/>
        <w:rPr>
          <w:rFonts w:cs="Arial"/>
          <w:szCs w:val="20"/>
        </w:rPr>
      </w:pPr>
      <w:r w:rsidRPr="005F2B80">
        <w:rPr>
          <w:rFonts w:cs="Arial"/>
          <w:szCs w:val="20"/>
        </w:rPr>
        <w:t>FTSE Russell index expertise and products are used extensively by institutional and retail investors glo</w:t>
      </w:r>
      <w:r w:rsidRPr="005F2B80">
        <w:rPr>
          <w:rFonts w:cs="Arial"/>
          <w:szCs w:val="20"/>
        </w:rPr>
        <w:t>b</w:t>
      </w:r>
      <w:r w:rsidRPr="005F2B80">
        <w:rPr>
          <w:rFonts w:cs="Arial"/>
          <w:szCs w:val="20"/>
        </w:rPr>
        <w:t xml:space="preserve">ally. Approximately $10 trillion is currently benchmarked to the FTSE Russell indexes. For over 30 years, leading asset owners, asset managers, ETF providers and investment banks use FTSE Russell indexes to </w:t>
      </w:r>
      <w:r w:rsidRPr="005F2B80">
        <w:rPr>
          <w:rFonts w:cs="Arial"/>
          <w:szCs w:val="20"/>
        </w:rPr>
        <w:lastRenderedPageBreak/>
        <w:t>benchmark their investment performance and create ETFs, structured products and index-based deriv</w:t>
      </w:r>
      <w:r w:rsidRPr="005F2B80">
        <w:rPr>
          <w:rFonts w:cs="Arial"/>
          <w:szCs w:val="20"/>
        </w:rPr>
        <w:t>a</w:t>
      </w:r>
      <w:r w:rsidRPr="005F2B80">
        <w:rPr>
          <w:rFonts w:cs="Arial"/>
          <w:szCs w:val="20"/>
        </w:rPr>
        <w:t xml:space="preserve">tives. </w:t>
      </w:r>
    </w:p>
    <w:p w:rsidR="0035577D" w:rsidRPr="005F2B80" w:rsidRDefault="0035577D" w:rsidP="0035577D">
      <w:pPr>
        <w:spacing w:line="276" w:lineRule="auto"/>
        <w:rPr>
          <w:rFonts w:cs="Arial"/>
          <w:szCs w:val="20"/>
        </w:rPr>
      </w:pPr>
    </w:p>
    <w:p w:rsidR="0035577D" w:rsidRPr="005F2B80" w:rsidRDefault="0035577D" w:rsidP="0035577D">
      <w:pPr>
        <w:spacing w:line="276" w:lineRule="auto"/>
        <w:rPr>
          <w:rFonts w:cs="Arial"/>
          <w:szCs w:val="20"/>
        </w:rPr>
      </w:pPr>
      <w:r w:rsidRPr="005F2B80">
        <w:rPr>
          <w:rFonts w:cs="Arial"/>
          <w:szCs w:val="20"/>
        </w:rPr>
        <w:t>A core set of universal principles guides FTSE Russell index design and management: a tran</w:t>
      </w:r>
      <w:r w:rsidRPr="005F2B80">
        <w:rPr>
          <w:rFonts w:cs="Arial"/>
          <w:szCs w:val="20"/>
        </w:rPr>
        <w:t>s</w:t>
      </w:r>
      <w:r w:rsidRPr="005F2B80">
        <w:rPr>
          <w:rFonts w:cs="Arial"/>
          <w:szCs w:val="20"/>
        </w:rPr>
        <w:t xml:space="preserve">parent rules-based methodology is informed by independent committees of leading market participants. </w:t>
      </w:r>
    </w:p>
    <w:p w:rsidR="0035577D" w:rsidRPr="005F2B80" w:rsidRDefault="0035577D" w:rsidP="0035577D">
      <w:pPr>
        <w:spacing w:line="276" w:lineRule="auto"/>
        <w:rPr>
          <w:rFonts w:cs="Arial"/>
          <w:szCs w:val="20"/>
        </w:rPr>
      </w:pPr>
    </w:p>
    <w:p w:rsidR="0035577D" w:rsidRPr="005F2B80" w:rsidRDefault="0035577D" w:rsidP="0035577D">
      <w:pPr>
        <w:spacing w:line="276" w:lineRule="auto"/>
        <w:rPr>
          <w:rFonts w:cs="Arial"/>
          <w:szCs w:val="20"/>
        </w:rPr>
      </w:pPr>
      <w:r w:rsidRPr="005F2B80">
        <w:rPr>
          <w:rFonts w:cs="Arial"/>
          <w:szCs w:val="20"/>
        </w:rPr>
        <w:t>FTSE Russell is focused on applying the highest industry standards in index design and gover</w:t>
      </w:r>
      <w:r w:rsidRPr="005F2B80">
        <w:rPr>
          <w:rFonts w:cs="Arial"/>
          <w:szCs w:val="20"/>
        </w:rPr>
        <w:t>n</w:t>
      </w:r>
      <w:r w:rsidRPr="005F2B80">
        <w:rPr>
          <w:rFonts w:cs="Arial"/>
          <w:szCs w:val="20"/>
        </w:rPr>
        <w:t>ance, and embraces the IOSCO principles. FTSE Russell is also focused on index innovation and client collaboration as it seeks to enhance the breadth, depth and reach of its offering.</w:t>
      </w:r>
    </w:p>
    <w:permEnd w:id="358166434"/>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8873FD" w:rsidRPr="005F2B80" w:rsidRDefault="008873FD" w:rsidP="008873FD">
      <w:pPr>
        <w:spacing w:line="276" w:lineRule="auto"/>
        <w:jc w:val="both"/>
        <w:rPr>
          <w:rFonts w:cs="Arial"/>
          <w:szCs w:val="20"/>
        </w:rPr>
      </w:pPr>
      <w:permStart w:id="1022237358" w:edGrp="everyone"/>
      <w:r w:rsidRPr="005F2B80">
        <w:rPr>
          <w:rFonts w:cs="Arial"/>
          <w:szCs w:val="20"/>
        </w:rPr>
        <w:t>Whilst we do not have specific remarks to make on the wording of the Draft Technical Advice that refers to the principle of “making available to the public”, and whilst we understand that the intention of the BMR is to cover a broad range of benchmarks, we believe that it would be ben</w:t>
      </w:r>
      <w:r w:rsidRPr="005F2B80">
        <w:rPr>
          <w:rFonts w:cs="Arial"/>
          <w:szCs w:val="20"/>
        </w:rPr>
        <w:t>e</w:t>
      </w:r>
      <w:r w:rsidRPr="005F2B80">
        <w:rPr>
          <w:rFonts w:cs="Arial"/>
          <w:szCs w:val="20"/>
        </w:rPr>
        <w:t>ficial if ESMA:</w:t>
      </w:r>
    </w:p>
    <w:p w:rsidR="008873FD" w:rsidRPr="005F2B80" w:rsidRDefault="008873FD" w:rsidP="008873FD">
      <w:pPr>
        <w:spacing w:line="276" w:lineRule="auto"/>
        <w:jc w:val="both"/>
        <w:rPr>
          <w:rFonts w:cs="Arial"/>
          <w:szCs w:val="20"/>
        </w:rPr>
      </w:pPr>
    </w:p>
    <w:p w:rsidR="008873FD" w:rsidRPr="005F2B80" w:rsidRDefault="008873FD" w:rsidP="008873FD">
      <w:pPr>
        <w:pStyle w:val="ListParagraph"/>
        <w:numPr>
          <w:ilvl w:val="0"/>
          <w:numId w:val="41"/>
        </w:numPr>
        <w:spacing w:after="200" w:line="276" w:lineRule="auto"/>
        <w:jc w:val="both"/>
        <w:rPr>
          <w:rFonts w:cs="Arial"/>
          <w:szCs w:val="20"/>
        </w:rPr>
      </w:pPr>
      <w:r w:rsidRPr="005F2B80">
        <w:rPr>
          <w:rFonts w:cs="Arial"/>
          <w:szCs w:val="20"/>
        </w:rPr>
        <w:t xml:space="preserve">Explicitly clarified that prices, </w:t>
      </w:r>
      <w:r w:rsidRPr="005F2B80">
        <w:rPr>
          <w:rFonts w:cs="Arial"/>
          <w:b/>
          <w:szCs w:val="20"/>
        </w:rPr>
        <w:t>single or averages – such as mid-price</w:t>
      </w:r>
      <w:r w:rsidRPr="005F2B80">
        <w:rPr>
          <w:rFonts w:cs="Arial"/>
          <w:szCs w:val="20"/>
        </w:rPr>
        <w:t xml:space="preserve"> (average between best bid and ask quotes) </w:t>
      </w:r>
      <w:r w:rsidRPr="005F2B80">
        <w:rPr>
          <w:rFonts w:cs="Arial"/>
          <w:b/>
          <w:szCs w:val="20"/>
        </w:rPr>
        <w:t>published in trading venue auctions</w:t>
      </w:r>
      <w:r w:rsidRPr="005F2B80">
        <w:rPr>
          <w:rFonts w:cs="Arial"/>
          <w:szCs w:val="20"/>
        </w:rPr>
        <w:t>, RFQ systems or similar will not be captured in the scope of the BMR, in line with Recital 18 of the BMR.</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1"/>
        </w:numPr>
        <w:spacing w:after="200" w:line="276" w:lineRule="auto"/>
        <w:jc w:val="both"/>
        <w:rPr>
          <w:rFonts w:cs="Arial"/>
          <w:szCs w:val="20"/>
        </w:rPr>
      </w:pPr>
      <w:r w:rsidRPr="005F2B80">
        <w:rPr>
          <w:rFonts w:cs="Arial"/>
          <w:szCs w:val="20"/>
        </w:rPr>
        <w:t xml:space="preserve">Explicitly clarified that </w:t>
      </w:r>
      <w:r w:rsidRPr="005F2B80">
        <w:rPr>
          <w:rFonts w:cs="Arial"/>
          <w:b/>
          <w:szCs w:val="20"/>
        </w:rPr>
        <w:t xml:space="preserve">transmission of data – such as CCP reference prices </w:t>
      </w:r>
      <w:r w:rsidRPr="005F2B80">
        <w:rPr>
          <w:rFonts w:cs="Arial"/>
          <w:szCs w:val="20"/>
        </w:rPr>
        <w:t>(exempt from the BMR scope in line with Recital 19 of the BMR)</w:t>
      </w:r>
      <w:r w:rsidRPr="005F2B80">
        <w:rPr>
          <w:rFonts w:cs="Arial"/>
          <w:b/>
          <w:szCs w:val="20"/>
        </w:rPr>
        <w:t xml:space="preserve"> – by another entity to customers on a confide</w:t>
      </w:r>
      <w:r w:rsidRPr="005F2B80">
        <w:rPr>
          <w:rFonts w:cs="Arial"/>
          <w:b/>
          <w:szCs w:val="20"/>
        </w:rPr>
        <w:t>n</w:t>
      </w:r>
      <w:r w:rsidRPr="005F2B80">
        <w:rPr>
          <w:rFonts w:cs="Arial"/>
          <w:b/>
          <w:szCs w:val="20"/>
        </w:rPr>
        <w:t>tial / contractual basis does not constitute “made available to the public”</w:t>
      </w:r>
      <w:r w:rsidRPr="005F2B80">
        <w:rPr>
          <w:rFonts w:cs="Arial"/>
          <w:szCs w:val="20"/>
        </w:rPr>
        <w:t>. Such data is no</w:t>
      </w:r>
      <w:r w:rsidRPr="005F2B80">
        <w:rPr>
          <w:rFonts w:cs="Arial"/>
          <w:szCs w:val="20"/>
        </w:rPr>
        <w:t>r</w:t>
      </w:r>
      <w:r w:rsidRPr="005F2B80">
        <w:rPr>
          <w:rFonts w:cs="Arial"/>
          <w:szCs w:val="20"/>
        </w:rPr>
        <w:t xml:space="preserve">mally already made available by the CCPs. </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1"/>
        </w:numPr>
        <w:spacing w:after="200" w:line="276" w:lineRule="auto"/>
        <w:jc w:val="both"/>
        <w:rPr>
          <w:rFonts w:cs="Arial"/>
          <w:szCs w:val="20"/>
        </w:rPr>
      </w:pPr>
      <w:r w:rsidRPr="005F2B80">
        <w:rPr>
          <w:rFonts w:cs="Arial"/>
          <w:szCs w:val="20"/>
        </w:rPr>
        <w:t xml:space="preserve">Explicitly clarified that </w:t>
      </w:r>
      <w:r w:rsidRPr="005F2B80">
        <w:rPr>
          <w:rFonts w:cs="Arial"/>
          <w:b/>
          <w:szCs w:val="20"/>
        </w:rPr>
        <w:t>combining of existing indices qualifies as “use” of a benc</w:t>
      </w:r>
      <w:r w:rsidRPr="005F2B80">
        <w:rPr>
          <w:rFonts w:cs="Arial"/>
          <w:b/>
          <w:szCs w:val="20"/>
        </w:rPr>
        <w:t>h</w:t>
      </w:r>
      <w:r w:rsidRPr="005F2B80">
        <w:rPr>
          <w:rFonts w:cs="Arial"/>
          <w:b/>
          <w:szCs w:val="20"/>
        </w:rPr>
        <w:t xml:space="preserve">mark, not a creation of a new one, </w:t>
      </w:r>
      <w:r w:rsidRPr="005F2B80">
        <w:rPr>
          <w:rFonts w:cs="Arial"/>
          <w:szCs w:val="20"/>
        </w:rPr>
        <w:t>in line with Recital 13 of the BMR, regardless off whether the combined index is “made available to the public”. For example, if a manager allocates 50% to X index and 50% to Y index and therefore creates the combined XY index to measure performance of the i</w:t>
      </w:r>
      <w:r w:rsidRPr="005F2B80">
        <w:rPr>
          <w:rFonts w:cs="Arial"/>
          <w:szCs w:val="20"/>
        </w:rPr>
        <w:t>n</w:t>
      </w:r>
      <w:r w:rsidRPr="005F2B80">
        <w:rPr>
          <w:rFonts w:cs="Arial"/>
          <w:szCs w:val="20"/>
        </w:rPr>
        <w:t>vestment, the manager is effectively just using the XY index as s/he would use the X index and the Y index. Not clarifying this could lead to market uncertainty. As the NCAs are to assess this on a case-to-case basis, we encou</w:t>
      </w:r>
      <w:r w:rsidRPr="005F2B80">
        <w:rPr>
          <w:rFonts w:cs="Arial"/>
          <w:szCs w:val="20"/>
        </w:rPr>
        <w:t>r</w:t>
      </w:r>
      <w:r w:rsidRPr="005F2B80">
        <w:rPr>
          <w:rFonts w:cs="Arial"/>
          <w:szCs w:val="20"/>
        </w:rPr>
        <w:t xml:space="preserve">age ESMA to </w:t>
      </w:r>
      <w:r w:rsidRPr="005F2B80">
        <w:rPr>
          <w:rFonts w:cs="Arial"/>
          <w:b/>
          <w:szCs w:val="20"/>
        </w:rPr>
        <w:t>maintain a dialogue with the NCAs, to ensure a consistent approach across jurisdictions</w:t>
      </w:r>
      <w:r w:rsidRPr="005F2B80">
        <w:rPr>
          <w:rFonts w:cs="Arial"/>
          <w:szCs w:val="20"/>
        </w:rPr>
        <w:t xml:space="preserve">. </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1"/>
        </w:numPr>
        <w:spacing w:after="200" w:line="276" w:lineRule="auto"/>
        <w:jc w:val="both"/>
        <w:rPr>
          <w:rFonts w:cs="Arial"/>
          <w:szCs w:val="20"/>
        </w:rPr>
      </w:pPr>
      <w:r w:rsidRPr="005F2B80">
        <w:rPr>
          <w:rFonts w:cs="Arial"/>
          <w:szCs w:val="20"/>
        </w:rPr>
        <w:t>Finally, we suggest that, in order to remain consistent, the Draft Technical Advice which refers to “making available to the public” reads as follows:</w:t>
      </w:r>
    </w:p>
    <w:p w:rsidR="008873FD" w:rsidRPr="005F2B80" w:rsidRDefault="008873FD" w:rsidP="008873FD">
      <w:pPr>
        <w:ind w:left="1440"/>
        <w:jc w:val="both"/>
        <w:rPr>
          <w:rFonts w:cs="Arial"/>
          <w:i/>
          <w:szCs w:val="20"/>
        </w:rPr>
      </w:pPr>
      <w:r w:rsidRPr="005F2B80">
        <w:rPr>
          <w:rFonts w:cs="Arial"/>
          <w:i/>
          <w:szCs w:val="20"/>
        </w:rPr>
        <w:t>“</w:t>
      </w:r>
      <w:r w:rsidRPr="005F2B80">
        <w:rPr>
          <w:rFonts w:cs="Arial"/>
          <w:i/>
          <w:color w:val="000000"/>
          <w:szCs w:val="20"/>
        </w:rPr>
        <w:t xml:space="preserve">the index is provided or is accessible to one or more supervised entities to allow the use of the index in the meaning of Article 3(1)(5) of the [BMR] and through such use the index </w:t>
      </w:r>
      <w:r w:rsidRPr="005F2B80">
        <w:rPr>
          <w:rFonts w:cs="Arial"/>
          <w:b/>
          <w:i/>
          <w:color w:val="000000"/>
          <w:szCs w:val="20"/>
          <w:u w:val="single"/>
        </w:rPr>
        <w:t>value</w:t>
      </w:r>
      <w:r w:rsidRPr="005F2B80">
        <w:rPr>
          <w:rFonts w:cs="Arial"/>
          <w:i/>
          <w:color w:val="000000"/>
          <w:szCs w:val="20"/>
        </w:rPr>
        <w:t xml:space="preserve"> becomes accessible to an indeterminate number of people.”</w:t>
      </w:r>
    </w:p>
    <w:permEnd w:id="1022237358"/>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8873FD" w:rsidRPr="005F2B80" w:rsidRDefault="008873FD" w:rsidP="008873FD">
      <w:pPr>
        <w:pStyle w:val="Default"/>
        <w:numPr>
          <w:ilvl w:val="0"/>
          <w:numId w:val="42"/>
        </w:numPr>
        <w:spacing w:line="276" w:lineRule="auto"/>
        <w:jc w:val="both"/>
        <w:rPr>
          <w:rFonts w:ascii="Arial" w:hAnsi="Arial" w:cs="Arial"/>
          <w:color w:val="auto"/>
          <w:sz w:val="20"/>
          <w:szCs w:val="20"/>
        </w:rPr>
      </w:pPr>
      <w:permStart w:id="1216231969" w:edGrp="everyone"/>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agree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with</w:t>
      </w:r>
      <w:proofErr w:type="spellEnd"/>
      <w:r w:rsidRPr="005F2B80">
        <w:rPr>
          <w:rFonts w:ascii="Arial" w:hAnsi="Arial" w:cs="Arial"/>
          <w:color w:val="auto"/>
          <w:sz w:val="20"/>
          <w:szCs w:val="20"/>
        </w:rPr>
        <w:t xml:space="preserve"> the second </w:t>
      </w:r>
      <w:proofErr w:type="spellStart"/>
      <w:r w:rsidRPr="005F2B80">
        <w:rPr>
          <w:rFonts w:ascii="Arial" w:hAnsi="Arial" w:cs="Arial"/>
          <w:color w:val="auto"/>
          <w:sz w:val="20"/>
          <w:szCs w:val="20"/>
        </w:rPr>
        <w:t>bullet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where</w:t>
      </w:r>
      <w:proofErr w:type="spellEnd"/>
      <w:r w:rsidRPr="005F2B80">
        <w:rPr>
          <w:rFonts w:ascii="Arial" w:hAnsi="Arial" w:cs="Arial"/>
          <w:color w:val="auto"/>
          <w:sz w:val="20"/>
          <w:szCs w:val="20"/>
        </w:rPr>
        <w:t xml:space="preserve"> administration of the arrangements for the </w:t>
      </w:r>
      <w:proofErr w:type="spellStart"/>
      <w:r w:rsidRPr="005F2B80">
        <w:rPr>
          <w:rFonts w:ascii="Arial" w:hAnsi="Arial" w:cs="Arial"/>
          <w:color w:val="auto"/>
          <w:sz w:val="20"/>
          <w:szCs w:val="20"/>
        </w:rPr>
        <w:t>d</w:t>
      </w:r>
      <w:r w:rsidRPr="005F2B80">
        <w:rPr>
          <w:rFonts w:ascii="Arial" w:hAnsi="Arial" w:cs="Arial"/>
          <w:color w:val="auto"/>
          <w:sz w:val="20"/>
          <w:szCs w:val="20"/>
        </w:rPr>
        <w:t>e</w:t>
      </w:r>
      <w:r w:rsidRPr="005F2B80">
        <w:rPr>
          <w:rFonts w:ascii="Arial" w:hAnsi="Arial" w:cs="Arial"/>
          <w:color w:val="auto"/>
          <w:sz w:val="20"/>
          <w:szCs w:val="20"/>
        </w:rPr>
        <w:t>termination</w:t>
      </w:r>
      <w:proofErr w:type="spellEnd"/>
      <w:r w:rsidRPr="005F2B80">
        <w:rPr>
          <w:rFonts w:ascii="Arial" w:hAnsi="Arial" w:cs="Arial"/>
          <w:color w:val="auto"/>
          <w:sz w:val="20"/>
          <w:szCs w:val="20"/>
        </w:rPr>
        <w:t xml:space="preserve"> of a benchmark </w:t>
      </w:r>
      <w:proofErr w:type="spellStart"/>
      <w:r w:rsidRPr="005F2B80">
        <w:rPr>
          <w:rFonts w:ascii="Arial" w:hAnsi="Arial" w:cs="Arial"/>
          <w:color w:val="auto"/>
          <w:sz w:val="20"/>
          <w:szCs w:val="20"/>
        </w:rPr>
        <w:t>means</w:t>
      </w:r>
      <w:proofErr w:type="spellEnd"/>
      <w:r w:rsidRPr="005F2B80">
        <w:rPr>
          <w:rFonts w:ascii="Arial" w:hAnsi="Arial" w:cs="Arial"/>
          <w:color w:val="auto"/>
          <w:sz w:val="20"/>
          <w:szCs w:val="20"/>
        </w:rPr>
        <w:t xml:space="preserve"> </w:t>
      </w:r>
      <w:r w:rsidRPr="005F2B80">
        <w:rPr>
          <w:rFonts w:ascii="Arial" w:hAnsi="Arial" w:cs="Arial"/>
          <w:b/>
          <w:color w:val="auto"/>
          <w:sz w:val="20"/>
          <w:szCs w:val="20"/>
        </w:rPr>
        <w:t xml:space="preserve">the setting of a </w:t>
      </w:r>
      <w:proofErr w:type="spellStart"/>
      <w:r w:rsidRPr="005F2B80">
        <w:rPr>
          <w:rFonts w:ascii="Arial" w:hAnsi="Arial" w:cs="Arial"/>
          <w:b/>
          <w:color w:val="auto"/>
          <w:sz w:val="20"/>
          <w:szCs w:val="20"/>
        </w:rPr>
        <w:t>specific</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methodology</w:t>
      </w:r>
      <w:proofErr w:type="spellEnd"/>
      <w:r w:rsidRPr="005F2B80">
        <w:rPr>
          <w:rFonts w:ascii="Arial" w:hAnsi="Arial" w:cs="Arial"/>
          <w:b/>
          <w:color w:val="auto"/>
          <w:sz w:val="20"/>
          <w:szCs w:val="20"/>
        </w:rPr>
        <w:t xml:space="preserve"> for the </w:t>
      </w:r>
      <w:proofErr w:type="spellStart"/>
      <w:r w:rsidRPr="005F2B80">
        <w:rPr>
          <w:rFonts w:ascii="Arial" w:hAnsi="Arial" w:cs="Arial"/>
          <w:b/>
          <w:color w:val="auto"/>
          <w:sz w:val="20"/>
          <w:szCs w:val="20"/>
        </w:rPr>
        <w:t>determination</w:t>
      </w:r>
      <w:proofErr w:type="spellEnd"/>
      <w:r w:rsidRPr="005F2B80">
        <w:rPr>
          <w:rFonts w:ascii="Arial" w:hAnsi="Arial" w:cs="Arial"/>
          <w:b/>
          <w:color w:val="auto"/>
          <w:sz w:val="20"/>
          <w:szCs w:val="20"/>
        </w:rPr>
        <w:t xml:space="preserve"> of </w:t>
      </w:r>
      <w:proofErr w:type="spellStart"/>
      <w:r w:rsidRPr="005F2B80">
        <w:rPr>
          <w:rFonts w:ascii="Arial" w:hAnsi="Arial" w:cs="Arial"/>
          <w:b/>
          <w:color w:val="auto"/>
          <w:sz w:val="20"/>
          <w:szCs w:val="20"/>
        </w:rPr>
        <w:t>each</w:t>
      </w:r>
      <w:proofErr w:type="spellEnd"/>
      <w:r w:rsidRPr="005F2B80">
        <w:rPr>
          <w:rFonts w:ascii="Arial" w:hAnsi="Arial" w:cs="Arial"/>
          <w:b/>
          <w:color w:val="auto"/>
          <w:sz w:val="20"/>
          <w:szCs w:val="20"/>
        </w:rPr>
        <w:t xml:space="preserve"> benchmark or, </w:t>
      </w:r>
      <w:proofErr w:type="spellStart"/>
      <w:r w:rsidRPr="005F2B80">
        <w:rPr>
          <w:rFonts w:ascii="Arial" w:hAnsi="Arial" w:cs="Arial"/>
          <w:b/>
          <w:color w:val="auto"/>
          <w:sz w:val="20"/>
          <w:szCs w:val="20"/>
        </w:rPr>
        <w:t>with</w:t>
      </w:r>
      <w:proofErr w:type="spellEnd"/>
      <w:r w:rsidRPr="005F2B80">
        <w:rPr>
          <w:rFonts w:ascii="Arial" w:hAnsi="Arial" w:cs="Arial"/>
          <w:b/>
          <w:color w:val="auto"/>
          <w:sz w:val="20"/>
          <w:szCs w:val="20"/>
        </w:rPr>
        <w:t xml:space="preserve"> the </w:t>
      </w:r>
      <w:proofErr w:type="spellStart"/>
      <w:r w:rsidRPr="005F2B80">
        <w:rPr>
          <w:rFonts w:ascii="Arial" w:hAnsi="Arial" w:cs="Arial"/>
          <w:b/>
          <w:color w:val="auto"/>
          <w:sz w:val="20"/>
          <w:szCs w:val="20"/>
        </w:rPr>
        <w:t>necessary</w:t>
      </w:r>
      <w:proofErr w:type="spellEnd"/>
      <w:r w:rsidRPr="005F2B80">
        <w:rPr>
          <w:rFonts w:ascii="Arial" w:hAnsi="Arial" w:cs="Arial"/>
          <w:b/>
          <w:color w:val="auto"/>
          <w:sz w:val="20"/>
          <w:szCs w:val="20"/>
        </w:rPr>
        <w:t xml:space="preserve"> adaptations, </w:t>
      </w:r>
      <w:proofErr w:type="spellStart"/>
      <w:r w:rsidRPr="005F2B80">
        <w:rPr>
          <w:rFonts w:ascii="Arial" w:hAnsi="Arial" w:cs="Arial"/>
          <w:b/>
          <w:color w:val="auto"/>
          <w:sz w:val="20"/>
          <w:szCs w:val="20"/>
        </w:rPr>
        <w:t>each</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family</w:t>
      </w:r>
      <w:proofErr w:type="spellEnd"/>
      <w:r w:rsidRPr="005F2B80">
        <w:rPr>
          <w:rFonts w:ascii="Arial" w:hAnsi="Arial" w:cs="Arial"/>
          <w:b/>
          <w:color w:val="auto"/>
          <w:sz w:val="20"/>
          <w:szCs w:val="20"/>
        </w:rPr>
        <w:t xml:space="preserve"> of benchmarks </w:t>
      </w:r>
      <w:proofErr w:type="spellStart"/>
      <w:r w:rsidRPr="005F2B80">
        <w:rPr>
          <w:rFonts w:ascii="Arial" w:hAnsi="Arial" w:cs="Arial"/>
          <w:b/>
          <w:color w:val="auto"/>
          <w:sz w:val="20"/>
          <w:szCs w:val="20"/>
        </w:rPr>
        <w:t>provided</w:t>
      </w:r>
      <w:proofErr w:type="spellEnd"/>
      <w:r w:rsidRPr="005F2B80">
        <w:rPr>
          <w:rFonts w:ascii="Arial" w:hAnsi="Arial" w:cs="Arial"/>
          <w:b/>
          <w:color w:val="auto"/>
          <w:sz w:val="20"/>
          <w:szCs w:val="20"/>
        </w:rPr>
        <w:t xml:space="preserve">, and </w:t>
      </w:r>
      <w:proofErr w:type="spellStart"/>
      <w:r w:rsidRPr="005F2B80">
        <w:rPr>
          <w:rFonts w:ascii="Arial" w:hAnsi="Arial" w:cs="Arial"/>
          <w:b/>
          <w:color w:val="auto"/>
          <w:sz w:val="20"/>
          <w:szCs w:val="20"/>
        </w:rPr>
        <w:t>its</w:t>
      </w:r>
      <w:proofErr w:type="spellEnd"/>
      <w:r w:rsidRPr="005F2B80">
        <w:rPr>
          <w:rFonts w:ascii="Arial" w:hAnsi="Arial" w:cs="Arial"/>
          <w:b/>
          <w:color w:val="auto"/>
          <w:sz w:val="20"/>
          <w:szCs w:val="20"/>
        </w:rPr>
        <w:t xml:space="preserve"> maintenance </w:t>
      </w:r>
      <w:proofErr w:type="spellStart"/>
      <w:r w:rsidRPr="005F2B80">
        <w:rPr>
          <w:rFonts w:ascii="Arial" w:hAnsi="Arial" w:cs="Arial"/>
          <w:b/>
          <w:color w:val="auto"/>
          <w:sz w:val="20"/>
          <w:szCs w:val="20"/>
        </w:rPr>
        <w:t>through</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periodic</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reviews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believe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this</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be</w:t>
      </w:r>
      <w:proofErr w:type="spellEnd"/>
      <w:r w:rsidRPr="005F2B80">
        <w:rPr>
          <w:rFonts w:ascii="Arial" w:hAnsi="Arial" w:cs="Arial"/>
          <w:color w:val="auto"/>
          <w:sz w:val="20"/>
          <w:szCs w:val="20"/>
        </w:rPr>
        <w:t xml:space="preserve"> the key </w:t>
      </w:r>
      <w:proofErr w:type="spellStart"/>
      <w:r w:rsidRPr="005F2B80">
        <w:rPr>
          <w:rFonts w:ascii="Arial" w:hAnsi="Arial" w:cs="Arial"/>
          <w:color w:val="auto"/>
          <w:sz w:val="20"/>
          <w:szCs w:val="20"/>
        </w:rPr>
        <w:t>differentiator</w:t>
      </w:r>
      <w:proofErr w:type="spellEnd"/>
      <w:r w:rsidRPr="005F2B80">
        <w:rPr>
          <w:rFonts w:ascii="Arial" w:hAnsi="Arial" w:cs="Arial"/>
          <w:color w:val="auto"/>
          <w:sz w:val="20"/>
          <w:szCs w:val="20"/>
        </w:rPr>
        <w:t xml:space="preserve"> – an </w:t>
      </w:r>
      <w:proofErr w:type="spellStart"/>
      <w:r w:rsidRPr="005F2B80">
        <w:rPr>
          <w:rFonts w:ascii="Arial" w:hAnsi="Arial" w:cs="Arial"/>
          <w:color w:val="auto"/>
          <w:sz w:val="20"/>
          <w:szCs w:val="20"/>
        </w:rPr>
        <w:t>element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specific</w:t>
      </w:r>
      <w:proofErr w:type="spellEnd"/>
      <w:r w:rsidRPr="005F2B80">
        <w:rPr>
          <w:rFonts w:ascii="Arial" w:hAnsi="Arial" w:cs="Arial"/>
          <w:color w:val="auto"/>
          <w:sz w:val="20"/>
          <w:szCs w:val="20"/>
        </w:rPr>
        <w:t xml:space="preserve"> to a </w:t>
      </w:r>
      <w:proofErr w:type="spellStart"/>
      <w:r w:rsidRPr="005F2B80">
        <w:rPr>
          <w:rFonts w:ascii="Arial" w:hAnsi="Arial" w:cs="Arial"/>
          <w:color w:val="auto"/>
          <w:sz w:val="20"/>
          <w:szCs w:val="20"/>
        </w:rPr>
        <w:t>particular</w:t>
      </w:r>
      <w:proofErr w:type="spellEnd"/>
      <w:r w:rsidRPr="005F2B80">
        <w:rPr>
          <w:rFonts w:ascii="Arial" w:hAnsi="Arial" w:cs="Arial"/>
          <w:color w:val="auto"/>
          <w:sz w:val="20"/>
          <w:szCs w:val="20"/>
        </w:rPr>
        <w:t xml:space="preserve"> benchmark - </w:t>
      </w:r>
      <w:proofErr w:type="spellStart"/>
      <w:r w:rsidRPr="005F2B80">
        <w:rPr>
          <w:rFonts w:ascii="Arial" w:hAnsi="Arial" w:cs="Arial"/>
          <w:color w:val="auto"/>
          <w:sz w:val="20"/>
          <w:szCs w:val="20"/>
        </w:rPr>
        <w:t>ther</w:t>
      </w:r>
      <w:r w:rsidRPr="005F2B80">
        <w:rPr>
          <w:rFonts w:ascii="Arial" w:hAnsi="Arial" w:cs="Arial"/>
          <w:color w:val="auto"/>
          <w:sz w:val="20"/>
          <w:szCs w:val="20"/>
        </w:rPr>
        <w:t>e</w:t>
      </w:r>
      <w:r w:rsidRPr="005F2B80">
        <w:rPr>
          <w:rFonts w:ascii="Arial" w:hAnsi="Arial" w:cs="Arial"/>
          <w:color w:val="auto"/>
          <w:sz w:val="20"/>
          <w:szCs w:val="20"/>
        </w:rPr>
        <w:t>fore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worth</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mentioning</w:t>
      </w:r>
      <w:proofErr w:type="spellEnd"/>
      <w:r w:rsidRPr="005F2B80">
        <w:rPr>
          <w:rFonts w:ascii="Arial" w:hAnsi="Arial" w:cs="Arial"/>
          <w:color w:val="auto"/>
          <w:sz w:val="20"/>
          <w:szCs w:val="20"/>
        </w:rPr>
        <w:t xml:space="preserve"> in </w:t>
      </w:r>
      <w:proofErr w:type="spellStart"/>
      <w:r w:rsidRPr="005F2B80">
        <w:rPr>
          <w:rFonts w:ascii="Arial" w:hAnsi="Arial" w:cs="Arial"/>
          <w:color w:val="auto"/>
          <w:sz w:val="20"/>
          <w:szCs w:val="20"/>
        </w:rPr>
        <w:t>this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context</w:t>
      </w:r>
      <w:proofErr w:type="spellEnd"/>
      <w:r w:rsidRPr="005F2B80">
        <w:rPr>
          <w:rFonts w:ascii="Arial" w:hAnsi="Arial" w:cs="Arial"/>
          <w:color w:val="auto"/>
          <w:sz w:val="20"/>
          <w:szCs w:val="20"/>
        </w:rPr>
        <w:t xml:space="preserve">. </w:t>
      </w:r>
    </w:p>
    <w:p w:rsidR="008873FD" w:rsidRPr="005F2B80" w:rsidRDefault="008873FD" w:rsidP="008873FD">
      <w:pPr>
        <w:pStyle w:val="Default"/>
        <w:spacing w:line="276" w:lineRule="auto"/>
        <w:ind w:left="720"/>
        <w:jc w:val="both"/>
        <w:rPr>
          <w:rFonts w:ascii="Arial" w:hAnsi="Arial" w:cs="Arial"/>
          <w:color w:val="auto"/>
          <w:sz w:val="20"/>
          <w:szCs w:val="20"/>
        </w:rPr>
      </w:pPr>
    </w:p>
    <w:p w:rsidR="008873FD" w:rsidRPr="005F2B80" w:rsidRDefault="008873FD" w:rsidP="008873FD">
      <w:pPr>
        <w:pStyle w:val="Default"/>
        <w:numPr>
          <w:ilvl w:val="0"/>
          <w:numId w:val="42"/>
        </w:numPr>
        <w:spacing w:line="276" w:lineRule="auto"/>
        <w:jc w:val="both"/>
        <w:rPr>
          <w:rFonts w:ascii="Arial" w:hAnsi="Arial" w:cs="Arial"/>
          <w:color w:val="auto"/>
          <w:sz w:val="20"/>
          <w:szCs w:val="20"/>
        </w:rPr>
      </w:pPr>
      <w:proofErr w:type="spellStart"/>
      <w:r w:rsidRPr="005F2B80">
        <w:rPr>
          <w:rFonts w:ascii="Arial" w:hAnsi="Arial" w:cs="Arial"/>
          <w:color w:val="auto"/>
          <w:sz w:val="20"/>
          <w:szCs w:val="20"/>
        </w:rPr>
        <w:t>However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question the first </w:t>
      </w:r>
      <w:proofErr w:type="spellStart"/>
      <w:r w:rsidRPr="005F2B80">
        <w:rPr>
          <w:rFonts w:ascii="Arial" w:hAnsi="Arial" w:cs="Arial"/>
          <w:color w:val="auto"/>
          <w:sz w:val="20"/>
          <w:szCs w:val="20"/>
        </w:rPr>
        <w:t>bullet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which</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addresses</w:t>
      </w:r>
      <w:proofErr w:type="spellEnd"/>
      <w:r w:rsidRPr="005F2B80">
        <w:rPr>
          <w:rFonts w:ascii="Arial" w:hAnsi="Arial" w:cs="Arial"/>
          <w:color w:val="auto"/>
          <w:sz w:val="20"/>
          <w:szCs w:val="20"/>
        </w:rPr>
        <w:t xml:space="preserve"> the </w:t>
      </w:r>
      <w:proofErr w:type="spellStart"/>
      <w:r w:rsidRPr="005F2B80">
        <w:rPr>
          <w:rFonts w:ascii="Arial" w:hAnsi="Arial" w:cs="Arial"/>
          <w:color w:val="auto"/>
          <w:sz w:val="20"/>
          <w:szCs w:val="20"/>
        </w:rPr>
        <w:t>mechanics</w:t>
      </w:r>
      <w:proofErr w:type="spellEnd"/>
      <w:r w:rsidRPr="005F2B80">
        <w:rPr>
          <w:rFonts w:ascii="Arial" w:hAnsi="Arial" w:cs="Arial"/>
          <w:color w:val="auto"/>
          <w:sz w:val="20"/>
          <w:szCs w:val="20"/>
        </w:rPr>
        <w:t xml:space="preserve"> of </w:t>
      </w:r>
      <w:proofErr w:type="spellStart"/>
      <w:r w:rsidRPr="005F2B80">
        <w:rPr>
          <w:rFonts w:ascii="Arial" w:hAnsi="Arial" w:cs="Arial"/>
          <w:color w:val="auto"/>
          <w:sz w:val="20"/>
          <w:szCs w:val="20"/>
        </w:rPr>
        <w:t>determining</w:t>
      </w:r>
      <w:proofErr w:type="spellEnd"/>
      <w:r w:rsidRPr="005F2B80">
        <w:rPr>
          <w:rFonts w:ascii="Arial" w:hAnsi="Arial" w:cs="Arial"/>
          <w:color w:val="auto"/>
          <w:sz w:val="20"/>
          <w:szCs w:val="20"/>
        </w:rPr>
        <w:t xml:space="preserve"> a be</w:t>
      </w:r>
      <w:r w:rsidRPr="005F2B80">
        <w:rPr>
          <w:rFonts w:ascii="Arial" w:hAnsi="Arial" w:cs="Arial"/>
          <w:color w:val="auto"/>
          <w:sz w:val="20"/>
          <w:szCs w:val="20"/>
        </w:rPr>
        <w:t>n</w:t>
      </w:r>
      <w:r w:rsidRPr="005F2B80">
        <w:rPr>
          <w:rFonts w:ascii="Arial" w:hAnsi="Arial" w:cs="Arial"/>
          <w:color w:val="auto"/>
          <w:sz w:val="20"/>
          <w:szCs w:val="20"/>
        </w:rPr>
        <w:t xml:space="preserve">chmark.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would</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like</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emphasize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that</w:t>
      </w:r>
      <w:proofErr w:type="spellEnd"/>
      <w:r w:rsidRPr="005F2B80">
        <w:rPr>
          <w:rFonts w:ascii="Arial" w:hAnsi="Arial" w:cs="Arial"/>
          <w:color w:val="auto"/>
          <w:sz w:val="20"/>
          <w:szCs w:val="20"/>
        </w:rPr>
        <w:t xml:space="preserve"> the </w:t>
      </w:r>
      <w:proofErr w:type="spellStart"/>
      <w:r w:rsidRPr="005F2B80">
        <w:rPr>
          <w:rFonts w:ascii="Arial" w:hAnsi="Arial" w:cs="Arial"/>
          <w:color w:val="auto"/>
          <w:sz w:val="20"/>
          <w:szCs w:val="20"/>
        </w:rPr>
        <w:t>process</w:t>
      </w:r>
      <w:proofErr w:type="spellEnd"/>
      <w:r w:rsidRPr="005F2B80">
        <w:rPr>
          <w:rFonts w:ascii="Arial" w:hAnsi="Arial" w:cs="Arial"/>
          <w:color w:val="auto"/>
          <w:sz w:val="20"/>
          <w:szCs w:val="20"/>
        </w:rPr>
        <w:t xml:space="preserve"> of </w:t>
      </w:r>
      <w:proofErr w:type="spellStart"/>
      <w:r w:rsidRPr="005F2B80">
        <w:rPr>
          <w:rFonts w:ascii="Arial" w:hAnsi="Arial" w:cs="Arial"/>
          <w:color w:val="auto"/>
          <w:sz w:val="20"/>
          <w:szCs w:val="20"/>
        </w:rPr>
        <w:t>administering</w:t>
      </w:r>
      <w:proofErr w:type="spellEnd"/>
      <w:r w:rsidRPr="005F2B80">
        <w:rPr>
          <w:rFonts w:ascii="Arial" w:hAnsi="Arial" w:cs="Arial"/>
          <w:color w:val="auto"/>
          <w:sz w:val="20"/>
          <w:szCs w:val="20"/>
        </w:rPr>
        <w:t xml:space="preserve"> a benchmark </w:t>
      </w:r>
      <w:proofErr w:type="spellStart"/>
      <w:r w:rsidRPr="005F2B80">
        <w:rPr>
          <w:rFonts w:ascii="Arial" w:hAnsi="Arial" w:cs="Arial"/>
          <w:color w:val="auto"/>
          <w:sz w:val="20"/>
          <w:szCs w:val="20"/>
        </w:rPr>
        <w:t>involves</w:t>
      </w:r>
      <w:proofErr w:type="spellEnd"/>
      <w:r w:rsidRPr="005F2B80">
        <w:rPr>
          <w:rFonts w:ascii="Arial" w:hAnsi="Arial" w:cs="Arial"/>
          <w:color w:val="auto"/>
          <w:sz w:val="20"/>
          <w:szCs w:val="20"/>
        </w:rPr>
        <w:t xml:space="preserve"> </w:t>
      </w:r>
      <w:proofErr w:type="spellStart"/>
      <w:r w:rsidRPr="005F2B80">
        <w:rPr>
          <w:rFonts w:ascii="Arial" w:hAnsi="Arial" w:cs="Arial"/>
          <w:b/>
          <w:color w:val="auto"/>
          <w:sz w:val="20"/>
          <w:szCs w:val="20"/>
        </w:rPr>
        <w:t>s</w:t>
      </w:r>
      <w:r w:rsidRPr="005F2B80">
        <w:rPr>
          <w:rFonts w:ascii="Arial" w:hAnsi="Arial" w:cs="Arial"/>
          <w:b/>
          <w:color w:val="auto"/>
          <w:sz w:val="20"/>
          <w:szCs w:val="20"/>
        </w:rPr>
        <w:t>e</w:t>
      </w:r>
      <w:r w:rsidRPr="005F2B80">
        <w:rPr>
          <w:rFonts w:ascii="Arial" w:hAnsi="Arial" w:cs="Arial"/>
          <w:b/>
          <w:color w:val="auto"/>
          <w:sz w:val="20"/>
          <w:szCs w:val="20"/>
        </w:rPr>
        <w:t>veral</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separate</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processes</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which</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could</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be</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outsourced</w:t>
      </w:r>
      <w:proofErr w:type="spellEnd"/>
      <w:r w:rsidRPr="005F2B80">
        <w:rPr>
          <w:rFonts w:ascii="Arial" w:hAnsi="Arial" w:cs="Arial"/>
          <w:b/>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encourage ESMA to </w:t>
      </w:r>
      <w:proofErr w:type="spellStart"/>
      <w:r w:rsidRPr="005F2B80">
        <w:rPr>
          <w:rFonts w:ascii="Arial" w:hAnsi="Arial" w:cs="Arial"/>
          <w:color w:val="auto"/>
          <w:sz w:val="20"/>
          <w:szCs w:val="20"/>
        </w:rPr>
        <w:t>recognise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this</w:t>
      </w:r>
      <w:proofErr w:type="spellEnd"/>
      <w:r w:rsidRPr="005F2B80">
        <w:rPr>
          <w:rFonts w:ascii="Arial" w:hAnsi="Arial" w:cs="Arial"/>
          <w:color w:val="auto"/>
          <w:sz w:val="20"/>
          <w:szCs w:val="20"/>
        </w:rPr>
        <w:t xml:space="preserve"> in the </w:t>
      </w:r>
      <w:proofErr w:type="spellStart"/>
      <w:r w:rsidRPr="005F2B80">
        <w:rPr>
          <w:rFonts w:ascii="Arial" w:hAnsi="Arial" w:cs="Arial"/>
          <w:color w:val="auto"/>
          <w:sz w:val="20"/>
          <w:szCs w:val="20"/>
        </w:rPr>
        <w:t>draft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Technical</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Advice</w:t>
      </w:r>
      <w:proofErr w:type="spellEnd"/>
      <w:r w:rsidRPr="005F2B80">
        <w:rPr>
          <w:rFonts w:ascii="Arial" w:hAnsi="Arial" w:cs="Arial"/>
          <w:color w:val="auto"/>
          <w:sz w:val="20"/>
          <w:szCs w:val="20"/>
        </w:rPr>
        <w:t xml:space="preserve">, in line </w:t>
      </w:r>
      <w:proofErr w:type="spellStart"/>
      <w:r w:rsidRPr="005F2B80">
        <w:rPr>
          <w:rFonts w:ascii="Arial" w:hAnsi="Arial" w:cs="Arial"/>
          <w:color w:val="auto"/>
          <w:sz w:val="20"/>
          <w:szCs w:val="20"/>
        </w:rPr>
        <w:t>with</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Recital</w:t>
      </w:r>
      <w:proofErr w:type="spellEnd"/>
      <w:r w:rsidRPr="005F2B80">
        <w:rPr>
          <w:rFonts w:ascii="Arial" w:hAnsi="Arial" w:cs="Arial"/>
          <w:color w:val="auto"/>
          <w:sz w:val="20"/>
          <w:szCs w:val="20"/>
        </w:rPr>
        <w:t xml:space="preserve"> 24 BMR. </w:t>
      </w:r>
    </w:p>
    <w:p w:rsidR="008873FD" w:rsidRPr="005F2B80" w:rsidRDefault="008873FD" w:rsidP="008873FD">
      <w:pPr>
        <w:autoSpaceDE w:val="0"/>
        <w:autoSpaceDN w:val="0"/>
        <w:adjustRightInd w:val="0"/>
        <w:rPr>
          <w:rFonts w:cs="Arial"/>
          <w:szCs w:val="20"/>
        </w:rPr>
      </w:pPr>
    </w:p>
    <w:p w:rsidR="008873FD" w:rsidRPr="005F2B80" w:rsidRDefault="008873FD" w:rsidP="008873FD">
      <w:pPr>
        <w:autoSpaceDE w:val="0"/>
        <w:autoSpaceDN w:val="0"/>
        <w:adjustRightInd w:val="0"/>
        <w:ind w:left="1440"/>
        <w:rPr>
          <w:rFonts w:cs="Arial"/>
          <w:i/>
          <w:color w:val="000000"/>
          <w:szCs w:val="20"/>
        </w:rPr>
      </w:pPr>
      <w:r w:rsidRPr="005F2B80">
        <w:rPr>
          <w:rFonts w:cs="Arial"/>
          <w:i/>
          <w:color w:val="000000"/>
          <w:szCs w:val="20"/>
        </w:rPr>
        <w:lastRenderedPageBreak/>
        <w:t xml:space="preserve">(…) “the ongoing management </w:t>
      </w:r>
      <w:r w:rsidRPr="005F2B80">
        <w:rPr>
          <w:rFonts w:cs="Arial"/>
          <w:b/>
          <w:i/>
          <w:color w:val="000000"/>
          <w:szCs w:val="20"/>
          <w:u w:val="single"/>
        </w:rPr>
        <w:t>and supervision</w:t>
      </w:r>
      <w:r w:rsidRPr="005F2B80">
        <w:rPr>
          <w:rFonts w:cs="Arial"/>
          <w:color w:val="FF0000"/>
          <w:szCs w:val="20"/>
        </w:rPr>
        <w:t xml:space="preserve"> </w:t>
      </w:r>
      <w:r w:rsidRPr="005F2B80">
        <w:rPr>
          <w:rFonts w:cs="Arial"/>
          <w:i/>
          <w:color w:val="000000"/>
          <w:szCs w:val="20"/>
        </w:rPr>
        <w:t xml:space="preserve">of the infrastructure, </w:t>
      </w:r>
      <w:r w:rsidRPr="005F2B80">
        <w:rPr>
          <w:rFonts w:cs="Arial"/>
          <w:b/>
          <w:i/>
          <w:strike/>
          <w:color w:val="000000"/>
          <w:szCs w:val="20"/>
          <w:u w:val="single"/>
        </w:rPr>
        <w:t>and of</w:t>
      </w:r>
      <w:r w:rsidRPr="005F2B80">
        <w:rPr>
          <w:rFonts w:cs="Arial"/>
          <w:i/>
          <w:color w:val="000000"/>
          <w:szCs w:val="20"/>
        </w:rPr>
        <w:t xml:space="preserve"> </w:t>
      </w:r>
      <w:r w:rsidRPr="005F2B80">
        <w:rPr>
          <w:rFonts w:cs="Arial"/>
          <w:b/>
          <w:i/>
          <w:strike/>
          <w:color w:val="000000"/>
          <w:szCs w:val="20"/>
          <w:u w:val="single"/>
        </w:rPr>
        <w:t>the</w:t>
      </w:r>
      <w:r w:rsidRPr="005F2B80">
        <w:rPr>
          <w:rFonts w:cs="Arial"/>
          <w:i/>
          <w:strike/>
          <w:color w:val="000000"/>
          <w:szCs w:val="20"/>
        </w:rPr>
        <w:t xml:space="preserve"> </w:t>
      </w:r>
      <w:r w:rsidRPr="005F2B80">
        <w:rPr>
          <w:rFonts w:cs="Arial"/>
          <w:i/>
          <w:color w:val="000000"/>
          <w:szCs w:val="20"/>
        </w:rPr>
        <w:t>perso</w:t>
      </w:r>
      <w:r w:rsidRPr="005F2B80">
        <w:rPr>
          <w:rFonts w:cs="Arial"/>
          <w:i/>
          <w:color w:val="000000"/>
          <w:szCs w:val="20"/>
        </w:rPr>
        <w:t>n</w:t>
      </w:r>
      <w:r w:rsidRPr="005F2B80">
        <w:rPr>
          <w:rFonts w:cs="Arial"/>
          <w:i/>
          <w:color w:val="000000"/>
          <w:szCs w:val="20"/>
        </w:rPr>
        <w:t xml:space="preserve">nel </w:t>
      </w:r>
      <w:r w:rsidRPr="005F2B80">
        <w:rPr>
          <w:rFonts w:cs="Arial"/>
          <w:b/>
          <w:i/>
          <w:color w:val="000000"/>
          <w:szCs w:val="20"/>
          <w:u w:val="single"/>
        </w:rPr>
        <w:t>and outsourcing arrangements</w:t>
      </w:r>
      <w:r w:rsidRPr="005F2B80">
        <w:rPr>
          <w:rFonts w:cs="Arial"/>
          <w:color w:val="FF0000"/>
          <w:szCs w:val="20"/>
        </w:rPr>
        <w:t xml:space="preserve"> </w:t>
      </w:r>
      <w:r w:rsidRPr="005F2B80">
        <w:rPr>
          <w:rFonts w:cs="Arial"/>
          <w:i/>
          <w:color w:val="000000"/>
          <w:szCs w:val="20"/>
        </w:rPr>
        <w:t xml:space="preserve">that are involved in the determination process of a benchmark, and” (…) </w:t>
      </w:r>
    </w:p>
    <w:permEnd w:id="1216231969"/>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8873FD" w:rsidRPr="005F2B80" w:rsidRDefault="008873FD" w:rsidP="008873FD">
      <w:pPr>
        <w:pStyle w:val="ListParagraph"/>
        <w:numPr>
          <w:ilvl w:val="0"/>
          <w:numId w:val="43"/>
        </w:numPr>
        <w:spacing w:after="200" w:line="276" w:lineRule="auto"/>
        <w:jc w:val="both"/>
        <w:rPr>
          <w:rFonts w:cs="Arial"/>
          <w:szCs w:val="20"/>
        </w:rPr>
      </w:pPr>
      <w:permStart w:id="972445836" w:edGrp="everyone"/>
      <w:r w:rsidRPr="005F2B80">
        <w:rPr>
          <w:rFonts w:cs="Arial"/>
          <w:szCs w:val="20"/>
        </w:rPr>
        <w:t xml:space="preserve">We encourage ESMA to clarify the term “determining an amount payable” by specifically </w:t>
      </w:r>
      <w:r w:rsidRPr="005F2B80">
        <w:rPr>
          <w:rFonts w:cs="Arial"/>
          <w:b/>
          <w:szCs w:val="20"/>
        </w:rPr>
        <w:t>exclu</w:t>
      </w:r>
      <w:r w:rsidRPr="005F2B80">
        <w:rPr>
          <w:rFonts w:cs="Arial"/>
          <w:b/>
          <w:szCs w:val="20"/>
        </w:rPr>
        <w:t>d</w:t>
      </w:r>
      <w:r w:rsidRPr="005F2B80">
        <w:rPr>
          <w:rFonts w:cs="Arial"/>
          <w:b/>
          <w:szCs w:val="20"/>
        </w:rPr>
        <w:t>ing the data used to determine settlement, margins and risk management</w:t>
      </w:r>
      <w:r w:rsidRPr="005F2B80">
        <w:rPr>
          <w:rFonts w:cs="Arial"/>
          <w:szCs w:val="20"/>
        </w:rPr>
        <w:t>. This would pr</w:t>
      </w:r>
      <w:r w:rsidRPr="005F2B80">
        <w:rPr>
          <w:rFonts w:cs="Arial"/>
          <w:szCs w:val="20"/>
        </w:rPr>
        <w:t>o</w:t>
      </w:r>
      <w:r w:rsidRPr="005F2B80">
        <w:rPr>
          <w:rFonts w:cs="Arial"/>
          <w:szCs w:val="20"/>
        </w:rPr>
        <w:t>mote greater regulatory convergence with EMIR where</w:t>
      </w:r>
      <w:r w:rsidRPr="005F2B80">
        <w:rPr>
          <w:rFonts w:cs="Arial"/>
          <w:b/>
          <w:szCs w:val="20"/>
        </w:rPr>
        <w:t>, for example, a (supervised) non-CCP entity</w:t>
      </w:r>
      <w:r w:rsidRPr="005F2B80">
        <w:rPr>
          <w:rFonts w:cs="Arial"/>
          <w:szCs w:val="20"/>
        </w:rPr>
        <w:t xml:space="preserve"> engages in clearing and/or margining, in line with the non-cleared margin rules (see ESMA Final draft RTS on margin requirements for non-centrally cleared derivatives), as such entity would: (</w:t>
      </w:r>
      <w:proofErr w:type="spellStart"/>
      <w:r w:rsidRPr="005F2B80">
        <w:rPr>
          <w:rFonts w:cs="Arial"/>
          <w:szCs w:val="20"/>
        </w:rPr>
        <w:t>i</w:t>
      </w:r>
      <w:proofErr w:type="spellEnd"/>
      <w:r w:rsidRPr="005F2B80">
        <w:rPr>
          <w:rFonts w:cs="Arial"/>
          <w:szCs w:val="20"/>
        </w:rPr>
        <w:t xml:space="preserve">) use the data to </w:t>
      </w:r>
      <w:r w:rsidRPr="005F2B80">
        <w:rPr>
          <w:rFonts w:cs="Arial"/>
          <w:b/>
          <w:szCs w:val="20"/>
        </w:rPr>
        <w:t>determine settlement, margins and risk management</w:t>
      </w:r>
      <w:r w:rsidRPr="005F2B80">
        <w:rPr>
          <w:rFonts w:cs="Arial"/>
          <w:szCs w:val="20"/>
        </w:rPr>
        <w:t>; and (ii) tran</w:t>
      </w:r>
      <w:r w:rsidRPr="005F2B80">
        <w:rPr>
          <w:rFonts w:cs="Arial"/>
          <w:szCs w:val="20"/>
        </w:rPr>
        <w:t>s</w:t>
      </w:r>
      <w:r w:rsidRPr="005F2B80">
        <w:rPr>
          <w:rFonts w:cs="Arial"/>
          <w:szCs w:val="20"/>
        </w:rPr>
        <w:t xml:space="preserve">mit the data to its customers on a confidential basis (i.e. using the </w:t>
      </w:r>
      <w:proofErr w:type="spellStart"/>
      <w:r w:rsidRPr="005F2B80">
        <w:rPr>
          <w:rFonts w:cs="Arial"/>
          <w:szCs w:val="20"/>
        </w:rPr>
        <w:t>the</w:t>
      </w:r>
      <w:proofErr w:type="spellEnd"/>
      <w:r w:rsidRPr="005F2B80">
        <w:rPr>
          <w:rFonts w:cs="Arial"/>
          <w:szCs w:val="20"/>
        </w:rPr>
        <w:t xml:space="preserve"> data in the same manner as a CCP). Parallel to R</w:t>
      </w:r>
      <w:r w:rsidRPr="005F2B80">
        <w:rPr>
          <w:rFonts w:cs="Arial"/>
          <w:szCs w:val="20"/>
        </w:rPr>
        <w:t>e</w:t>
      </w:r>
      <w:r w:rsidRPr="005F2B80">
        <w:rPr>
          <w:rFonts w:cs="Arial"/>
          <w:szCs w:val="20"/>
        </w:rPr>
        <w:t>cital 19 of the BMR, such</w:t>
      </w:r>
    </w:p>
    <w:p w:rsidR="008873FD" w:rsidRPr="005F2B80" w:rsidRDefault="008873FD" w:rsidP="008873FD">
      <w:pPr>
        <w:pStyle w:val="ListParagraph"/>
        <w:spacing w:after="200" w:line="276" w:lineRule="auto"/>
        <w:jc w:val="both"/>
        <w:rPr>
          <w:rFonts w:cs="Arial"/>
          <w:szCs w:val="20"/>
        </w:rPr>
      </w:pPr>
    </w:p>
    <w:p w:rsidR="008873FD" w:rsidRPr="005F2B80" w:rsidRDefault="008873FD" w:rsidP="008873FD">
      <w:pPr>
        <w:pStyle w:val="ListParagraph"/>
        <w:ind w:left="1440"/>
        <w:jc w:val="both"/>
        <w:rPr>
          <w:rFonts w:cs="Arial"/>
          <w:szCs w:val="20"/>
        </w:rPr>
      </w:pPr>
      <w:r w:rsidRPr="005F2B80">
        <w:rPr>
          <w:rFonts w:cs="Arial"/>
          <w:i/>
          <w:szCs w:val="20"/>
        </w:rPr>
        <w:t>“(…) reference prices or settlement prices should not be considered to be benchmarks because they are used to determine settlement, margins and risk management and thus do not determine the amount payable under a financial instrument or the value of a fina</w:t>
      </w:r>
      <w:r w:rsidRPr="005F2B80">
        <w:rPr>
          <w:rFonts w:cs="Arial"/>
          <w:i/>
          <w:szCs w:val="20"/>
        </w:rPr>
        <w:t>n</w:t>
      </w:r>
      <w:r w:rsidRPr="005F2B80">
        <w:rPr>
          <w:rFonts w:cs="Arial"/>
          <w:i/>
          <w:szCs w:val="20"/>
        </w:rPr>
        <w:t>cial instrument.”</w:t>
      </w:r>
    </w:p>
    <w:p w:rsidR="008873FD" w:rsidRPr="005F2B80" w:rsidRDefault="008873FD" w:rsidP="008873FD">
      <w:pPr>
        <w:pStyle w:val="ListParagraph"/>
        <w:jc w:val="both"/>
        <w:rPr>
          <w:rFonts w:cs="Arial"/>
          <w:szCs w:val="20"/>
        </w:rPr>
      </w:pPr>
    </w:p>
    <w:p w:rsidR="008873FD" w:rsidRPr="005F2B80" w:rsidRDefault="008873FD" w:rsidP="008873FD">
      <w:pPr>
        <w:pStyle w:val="ListParagraph"/>
        <w:numPr>
          <w:ilvl w:val="0"/>
          <w:numId w:val="43"/>
        </w:numPr>
        <w:spacing w:after="200" w:line="276" w:lineRule="auto"/>
        <w:jc w:val="both"/>
        <w:rPr>
          <w:rFonts w:cs="Arial"/>
          <w:szCs w:val="20"/>
        </w:rPr>
      </w:pPr>
      <w:r w:rsidRPr="005F2B80">
        <w:rPr>
          <w:rFonts w:cs="Arial"/>
          <w:szCs w:val="20"/>
        </w:rPr>
        <w:t xml:space="preserve">Further, we believe that it would be beneficial for ESMA to more explicitly clarify that a CCP which </w:t>
      </w:r>
      <w:r w:rsidRPr="005F2B80">
        <w:rPr>
          <w:rFonts w:cs="Arial"/>
          <w:b/>
          <w:szCs w:val="20"/>
        </w:rPr>
        <w:t>registers a contract does not give rise to the use of benchmark</w:t>
      </w:r>
      <w:r w:rsidRPr="005F2B80">
        <w:rPr>
          <w:rFonts w:cs="Arial"/>
          <w:szCs w:val="20"/>
        </w:rPr>
        <w:t>. For example, a swap refe</w:t>
      </w:r>
      <w:r w:rsidRPr="005F2B80">
        <w:rPr>
          <w:rFonts w:cs="Arial"/>
          <w:szCs w:val="20"/>
        </w:rPr>
        <w:t>r</w:t>
      </w:r>
      <w:r w:rsidRPr="005F2B80">
        <w:rPr>
          <w:rFonts w:cs="Arial"/>
          <w:szCs w:val="20"/>
        </w:rPr>
        <w:t>encing a benchmark for its floating leg payments is due to run from a point in time in the future (e.g. 1yr forward) for 5yrs, but is registered today. We do not need to “use” the benchmark to fix any payments until next year, so we are suggesting focusing on “</w:t>
      </w:r>
      <w:r w:rsidRPr="005F2B80">
        <w:rPr>
          <w:rFonts w:cs="Arial"/>
          <w:b/>
          <w:szCs w:val="20"/>
        </w:rPr>
        <w:t>setting contractual payments</w:t>
      </w:r>
      <w:r w:rsidRPr="005F2B80">
        <w:rPr>
          <w:rFonts w:cs="Arial"/>
          <w:szCs w:val="20"/>
        </w:rPr>
        <w:t>” as the test for when we do and do not use a benchmark.</w:t>
      </w:r>
    </w:p>
    <w:permEnd w:id="972445836"/>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8873FD" w:rsidRPr="005F2B80" w:rsidRDefault="008873FD" w:rsidP="008873FD">
      <w:pPr>
        <w:pStyle w:val="Default"/>
        <w:numPr>
          <w:ilvl w:val="0"/>
          <w:numId w:val="42"/>
        </w:numPr>
        <w:spacing w:line="276" w:lineRule="auto"/>
        <w:jc w:val="both"/>
        <w:rPr>
          <w:rFonts w:ascii="Arial" w:hAnsi="Arial" w:cs="Arial"/>
          <w:color w:val="auto"/>
          <w:sz w:val="20"/>
          <w:szCs w:val="20"/>
        </w:rPr>
      </w:pPr>
      <w:permStart w:id="750801636" w:edGrp="everyone"/>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b/>
          <w:color w:val="auto"/>
          <w:sz w:val="20"/>
          <w:szCs w:val="20"/>
        </w:rPr>
        <w:t>appreciate</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ESMA’s</w:t>
      </w:r>
      <w:proofErr w:type="spellEnd"/>
      <w:r w:rsidRPr="005F2B80">
        <w:rPr>
          <w:rFonts w:ascii="Arial" w:hAnsi="Arial" w:cs="Arial"/>
          <w:b/>
          <w:color w:val="auto"/>
          <w:sz w:val="20"/>
          <w:szCs w:val="20"/>
        </w:rPr>
        <w:t xml:space="preserve"> intention not to </w:t>
      </w:r>
      <w:proofErr w:type="spellStart"/>
      <w:r w:rsidRPr="005F2B80">
        <w:rPr>
          <w:rFonts w:ascii="Arial" w:hAnsi="Arial" w:cs="Arial"/>
          <w:b/>
          <w:color w:val="auto"/>
          <w:sz w:val="20"/>
          <w:szCs w:val="20"/>
        </w:rPr>
        <w:t>widen</w:t>
      </w:r>
      <w:proofErr w:type="spellEnd"/>
      <w:r w:rsidRPr="005F2B80">
        <w:rPr>
          <w:rFonts w:ascii="Arial" w:hAnsi="Arial" w:cs="Arial"/>
          <w:b/>
          <w:color w:val="auto"/>
          <w:sz w:val="20"/>
          <w:szCs w:val="20"/>
        </w:rPr>
        <w:t xml:space="preserve"> the </w:t>
      </w:r>
      <w:proofErr w:type="spellStart"/>
      <w:r w:rsidRPr="005F2B80">
        <w:rPr>
          <w:rFonts w:ascii="Arial" w:hAnsi="Arial" w:cs="Arial"/>
          <w:b/>
          <w:color w:val="auto"/>
          <w:sz w:val="20"/>
          <w:szCs w:val="20"/>
        </w:rPr>
        <w:t>common</w:t>
      </w:r>
      <w:proofErr w:type="spellEnd"/>
      <w:r w:rsidRPr="005F2B80">
        <w:rPr>
          <w:rFonts w:ascii="Arial" w:hAnsi="Arial" w:cs="Arial"/>
          <w:b/>
          <w:color w:val="auto"/>
          <w:sz w:val="20"/>
          <w:szCs w:val="20"/>
        </w:rPr>
        <w:t xml:space="preserve"> concept of “</w:t>
      </w:r>
      <w:proofErr w:type="spellStart"/>
      <w:r w:rsidRPr="005F2B80">
        <w:rPr>
          <w:rFonts w:ascii="Arial" w:hAnsi="Arial" w:cs="Arial"/>
          <w:b/>
          <w:color w:val="auto"/>
          <w:sz w:val="20"/>
          <w:szCs w:val="20"/>
        </w:rPr>
        <w:t>issuance</w:t>
      </w:r>
      <w:proofErr w:type="spellEnd"/>
      <w:r w:rsidRPr="005F2B80">
        <w:rPr>
          <w:rFonts w:ascii="Arial" w:hAnsi="Arial" w:cs="Arial"/>
          <w:b/>
          <w:color w:val="auto"/>
          <w:sz w:val="20"/>
          <w:szCs w:val="20"/>
        </w:rPr>
        <w:t xml:space="preserve"> of a </w:t>
      </w:r>
      <w:proofErr w:type="spellStart"/>
      <w:r w:rsidRPr="005F2B80">
        <w:rPr>
          <w:rFonts w:ascii="Arial" w:hAnsi="Arial" w:cs="Arial"/>
          <w:b/>
          <w:color w:val="auto"/>
          <w:sz w:val="20"/>
          <w:szCs w:val="20"/>
        </w:rPr>
        <w:t>fina</w:t>
      </w:r>
      <w:r w:rsidRPr="005F2B80">
        <w:rPr>
          <w:rFonts w:ascii="Arial" w:hAnsi="Arial" w:cs="Arial"/>
          <w:b/>
          <w:color w:val="auto"/>
          <w:sz w:val="20"/>
          <w:szCs w:val="20"/>
        </w:rPr>
        <w:t>n</w:t>
      </w:r>
      <w:r w:rsidRPr="005F2B80">
        <w:rPr>
          <w:rFonts w:ascii="Arial" w:hAnsi="Arial" w:cs="Arial"/>
          <w:b/>
          <w:color w:val="auto"/>
          <w:sz w:val="20"/>
          <w:szCs w:val="20"/>
        </w:rPr>
        <w:t>cial</w:t>
      </w:r>
      <w:proofErr w:type="spellEnd"/>
      <w:r w:rsidRPr="005F2B80">
        <w:rPr>
          <w:rFonts w:ascii="Arial" w:hAnsi="Arial" w:cs="Arial"/>
          <w:b/>
          <w:color w:val="auto"/>
          <w:sz w:val="20"/>
          <w:szCs w:val="20"/>
        </w:rPr>
        <w:t xml:space="preserve"> instrument” </w:t>
      </w:r>
      <w:r w:rsidRPr="005F2B80">
        <w:rPr>
          <w:rFonts w:ascii="Arial" w:hAnsi="Arial" w:cs="Arial"/>
          <w:color w:val="auto"/>
          <w:sz w:val="20"/>
          <w:szCs w:val="20"/>
        </w:rPr>
        <w:t xml:space="preserve">– in </w:t>
      </w:r>
      <w:proofErr w:type="spellStart"/>
      <w:r w:rsidRPr="005F2B80">
        <w:rPr>
          <w:rFonts w:ascii="Arial" w:hAnsi="Arial" w:cs="Arial"/>
          <w:color w:val="auto"/>
          <w:sz w:val="20"/>
          <w:szCs w:val="20"/>
        </w:rPr>
        <w:t>particular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support the </w:t>
      </w:r>
      <w:proofErr w:type="spellStart"/>
      <w:r w:rsidRPr="005F2B80">
        <w:rPr>
          <w:rFonts w:ascii="Arial" w:hAnsi="Arial" w:cs="Arial"/>
          <w:color w:val="auto"/>
          <w:sz w:val="20"/>
          <w:szCs w:val="20"/>
        </w:rPr>
        <w:t>fact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including</w:t>
      </w:r>
      <w:proofErr w:type="spellEnd"/>
      <w:r w:rsidRPr="005F2B80">
        <w:rPr>
          <w:rFonts w:ascii="Arial" w:hAnsi="Arial" w:cs="Arial"/>
          <w:color w:val="auto"/>
          <w:sz w:val="20"/>
          <w:szCs w:val="20"/>
        </w:rPr>
        <w:t xml:space="preserve"> the </w:t>
      </w:r>
      <w:proofErr w:type="spellStart"/>
      <w:r w:rsidRPr="005F2B80">
        <w:rPr>
          <w:rFonts w:ascii="Arial" w:hAnsi="Arial" w:cs="Arial"/>
          <w:color w:val="auto"/>
          <w:sz w:val="20"/>
          <w:szCs w:val="20"/>
        </w:rPr>
        <w:t>reference</w:t>
      </w:r>
      <w:proofErr w:type="spellEnd"/>
      <w:r w:rsidRPr="005F2B80">
        <w:rPr>
          <w:rFonts w:ascii="Arial" w:hAnsi="Arial" w:cs="Arial"/>
          <w:color w:val="auto"/>
          <w:sz w:val="20"/>
          <w:szCs w:val="20"/>
        </w:rPr>
        <w:t xml:space="preserve"> to a benchmark in the </w:t>
      </w:r>
      <w:proofErr w:type="spellStart"/>
      <w:r w:rsidRPr="005F2B80">
        <w:rPr>
          <w:rFonts w:ascii="Arial" w:hAnsi="Arial" w:cs="Arial"/>
          <w:color w:val="auto"/>
          <w:sz w:val="20"/>
          <w:szCs w:val="20"/>
        </w:rPr>
        <w:t>standardised</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terms</w:t>
      </w:r>
      <w:proofErr w:type="spellEnd"/>
      <w:r w:rsidRPr="005F2B80">
        <w:rPr>
          <w:rFonts w:ascii="Arial" w:hAnsi="Arial" w:cs="Arial"/>
          <w:color w:val="auto"/>
          <w:sz w:val="20"/>
          <w:szCs w:val="20"/>
        </w:rPr>
        <w:t xml:space="preserve"> of a </w:t>
      </w:r>
      <w:proofErr w:type="spellStart"/>
      <w:r w:rsidRPr="005F2B80">
        <w:rPr>
          <w:rFonts w:ascii="Arial" w:hAnsi="Arial" w:cs="Arial"/>
          <w:color w:val="auto"/>
          <w:sz w:val="20"/>
          <w:szCs w:val="20"/>
        </w:rPr>
        <w:t>financial</w:t>
      </w:r>
      <w:proofErr w:type="spellEnd"/>
      <w:r w:rsidRPr="005F2B80">
        <w:rPr>
          <w:rFonts w:ascii="Arial" w:hAnsi="Arial" w:cs="Arial"/>
          <w:color w:val="auto"/>
          <w:sz w:val="20"/>
          <w:szCs w:val="20"/>
        </w:rPr>
        <w:t xml:space="preserve"> instrument </w:t>
      </w:r>
      <w:proofErr w:type="spellStart"/>
      <w:r w:rsidRPr="005F2B80">
        <w:rPr>
          <w:rFonts w:ascii="Arial" w:hAnsi="Arial" w:cs="Arial"/>
          <w:color w:val="auto"/>
          <w:sz w:val="20"/>
          <w:szCs w:val="20"/>
        </w:rPr>
        <w:t>is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considered</w:t>
      </w:r>
      <w:proofErr w:type="spellEnd"/>
      <w:r w:rsidRPr="005F2B80">
        <w:rPr>
          <w:rFonts w:ascii="Arial" w:hAnsi="Arial" w:cs="Arial"/>
          <w:color w:val="auto"/>
          <w:sz w:val="20"/>
          <w:szCs w:val="20"/>
        </w:rPr>
        <w:t xml:space="preserve"> “use” of a be</w:t>
      </w:r>
      <w:r w:rsidRPr="005F2B80">
        <w:rPr>
          <w:rFonts w:ascii="Arial" w:hAnsi="Arial" w:cs="Arial"/>
          <w:color w:val="auto"/>
          <w:sz w:val="20"/>
          <w:szCs w:val="20"/>
        </w:rPr>
        <w:t>n</w:t>
      </w:r>
      <w:r w:rsidRPr="005F2B80">
        <w:rPr>
          <w:rFonts w:ascii="Arial" w:hAnsi="Arial" w:cs="Arial"/>
          <w:color w:val="auto"/>
          <w:sz w:val="20"/>
          <w:szCs w:val="20"/>
        </w:rPr>
        <w:t xml:space="preserve">chmark </w:t>
      </w:r>
      <w:proofErr w:type="spellStart"/>
      <w:r w:rsidRPr="005F2B80">
        <w:rPr>
          <w:rFonts w:ascii="Arial" w:hAnsi="Arial" w:cs="Arial"/>
          <w:color w:val="auto"/>
          <w:sz w:val="20"/>
          <w:szCs w:val="20"/>
        </w:rPr>
        <w:t>rather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than</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issuance</w:t>
      </w:r>
      <w:proofErr w:type="spellEnd"/>
      <w:r w:rsidRPr="005F2B80">
        <w:rPr>
          <w:rFonts w:ascii="Arial" w:hAnsi="Arial" w:cs="Arial"/>
          <w:color w:val="auto"/>
          <w:sz w:val="20"/>
          <w:szCs w:val="20"/>
        </w:rPr>
        <w:t xml:space="preserve">” of a </w:t>
      </w:r>
      <w:proofErr w:type="spellStart"/>
      <w:r w:rsidRPr="005F2B80">
        <w:rPr>
          <w:rFonts w:ascii="Arial" w:hAnsi="Arial" w:cs="Arial"/>
          <w:color w:val="auto"/>
          <w:sz w:val="20"/>
          <w:szCs w:val="20"/>
        </w:rPr>
        <w:t>financial</w:t>
      </w:r>
      <w:proofErr w:type="spellEnd"/>
      <w:r w:rsidRPr="005F2B80">
        <w:rPr>
          <w:rFonts w:ascii="Arial" w:hAnsi="Arial" w:cs="Arial"/>
          <w:color w:val="auto"/>
          <w:sz w:val="20"/>
          <w:szCs w:val="20"/>
        </w:rPr>
        <w:t xml:space="preserve"> instrument. </w:t>
      </w:r>
      <w:proofErr w:type="spellStart"/>
      <w:r w:rsidRPr="005F2B80">
        <w:rPr>
          <w:rFonts w:ascii="Arial" w:hAnsi="Arial" w:cs="Arial"/>
          <w:color w:val="auto"/>
          <w:sz w:val="20"/>
          <w:szCs w:val="20"/>
        </w:rPr>
        <w:t>Limiting</w:t>
      </w:r>
      <w:proofErr w:type="spellEnd"/>
      <w:r w:rsidRPr="005F2B80">
        <w:rPr>
          <w:rFonts w:ascii="Arial" w:hAnsi="Arial" w:cs="Arial"/>
          <w:color w:val="auto"/>
          <w:sz w:val="20"/>
          <w:szCs w:val="20"/>
        </w:rPr>
        <w:t xml:space="preserve"> the </w:t>
      </w:r>
      <w:proofErr w:type="spellStart"/>
      <w:r w:rsidRPr="005F2B80">
        <w:rPr>
          <w:rFonts w:ascii="Arial" w:hAnsi="Arial" w:cs="Arial"/>
          <w:color w:val="auto"/>
          <w:sz w:val="20"/>
          <w:szCs w:val="20"/>
        </w:rPr>
        <w:t>definition</w:t>
      </w:r>
      <w:proofErr w:type="spellEnd"/>
      <w:r w:rsidRPr="005F2B80">
        <w:rPr>
          <w:rFonts w:ascii="Arial" w:hAnsi="Arial" w:cs="Arial"/>
          <w:color w:val="auto"/>
          <w:sz w:val="20"/>
          <w:szCs w:val="20"/>
        </w:rPr>
        <w:t xml:space="preserve"> to the </w:t>
      </w:r>
      <w:proofErr w:type="spellStart"/>
      <w:r w:rsidRPr="005F2B80">
        <w:rPr>
          <w:rFonts w:ascii="Arial" w:hAnsi="Arial" w:cs="Arial"/>
          <w:color w:val="auto"/>
          <w:sz w:val="20"/>
          <w:szCs w:val="20"/>
        </w:rPr>
        <w:t>MiFID</w:t>
      </w:r>
      <w:proofErr w:type="spellEnd"/>
      <w:r w:rsidRPr="005F2B80">
        <w:rPr>
          <w:rFonts w:ascii="Arial" w:hAnsi="Arial" w:cs="Arial"/>
          <w:color w:val="auto"/>
          <w:sz w:val="20"/>
          <w:szCs w:val="20"/>
        </w:rPr>
        <w:t xml:space="preserve"> instruments (1) to (3) </w:t>
      </w:r>
      <w:proofErr w:type="spellStart"/>
      <w:r w:rsidRPr="005F2B80">
        <w:rPr>
          <w:rFonts w:ascii="Arial" w:hAnsi="Arial" w:cs="Arial"/>
          <w:color w:val="auto"/>
          <w:sz w:val="20"/>
          <w:szCs w:val="20"/>
        </w:rPr>
        <w:t>will</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also</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bring</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further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clarity</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these</w:t>
      </w:r>
      <w:proofErr w:type="spellEnd"/>
      <w:r w:rsidRPr="005F2B80">
        <w:rPr>
          <w:rFonts w:ascii="Arial" w:hAnsi="Arial" w:cs="Arial"/>
          <w:color w:val="auto"/>
          <w:sz w:val="20"/>
          <w:szCs w:val="20"/>
        </w:rPr>
        <w:t xml:space="preserve"> provisions. </w:t>
      </w:r>
    </w:p>
    <w:p w:rsidR="008873FD" w:rsidRPr="005F2B80" w:rsidRDefault="008873FD" w:rsidP="008873FD">
      <w:pPr>
        <w:pStyle w:val="Default"/>
        <w:spacing w:line="276" w:lineRule="auto"/>
        <w:ind w:left="720"/>
        <w:jc w:val="both"/>
        <w:rPr>
          <w:rFonts w:ascii="Arial" w:hAnsi="Arial" w:cs="Arial"/>
          <w:color w:val="auto"/>
          <w:sz w:val="20"/>
          <w:szCs w:val="20"/>
        </w:rPr>
      </w:pPr>
    </w:p>
    <w:p w:rsidR="008873FD" w:rsidRPr="005F2B80" w:rsidRDefault="008873FD" w:rsidP="008873FD">
      <w:pPr>
        <w:pStyle w:val="Default"/>
        <w:numPr>
          <w:ilvl w:val="0"/>
          <w:numId w:val="42"/>
        </w:numPr>
        <w:spacing w:line="276" w:lineRule="auto"/>
        <w:jc w:val="both"/>
        <w:rPr>
          <w:rFonts w:ascii="Arial" w:hAnsi="Arial" w:cs="Arial"/>
          <w:sz w:val="20"/>
          <w:szCs w:val="20"/>
          <w:u w:val="single"/>
        </w:rPr>
      </w:pPr>
      <w:proofErr w:type="spellStart"/>
      <w:r w:rsidRPr="005F2B80">
        <w:rPr>
          <w:rFonts w:ascii="Arial" w:hAnsi="Arial" w:cs="Arial"/>
          <w:color w:val="auto"/>
          <w:sz w:val="20"/>
          <w:szCs w:val="20"/>
        </w:rPr>
        <w:t>However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believe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that</w:t>
      </w:r>
      <w:proofErr w:type="spellEnd"/>
      <w:r w:rsidRPr="005F2B80">
        <w:rPr>
          <w:rFonts w:ascii="Arial" w:hAnsi="Arial" w:cs="Arial"/>
          <w:color w:val="auto"/>
          <w:sz w:val="20"/>
          <w:szCs w:val="20"/>
        </w:rPr>
        <w:t xml:space="preserve"> ESMA </w:t>
      </w:r>
      <w:proofErr w:type="spellStart"/>
      <w:r w:rsidRPr="005F2B80">
        <w:rPr>
          <w:rFonts w:ascii="Arial" w:hAnsi="Arial" w:cs="Arial"/>
          <w:color w:val="auto"/>
          <w:sz w:val="20"/>
          <w:szCs w:val="20"/>
        </w:rPr>
        <w:t>could</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further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clarify</w:t>
      </w:r>
      <w:proofErr w:type="spellEnd"/>
      <w:r w:rsidRPr="005F2B80">
        <w:rPr>
          <w:rFonts w:ascii="Arial" w:hAnsi="Arial" w:cs="Arial"/>
          <w:color w:val="auto"/>
          <w:sz w:val="20"/>
          <w:szCs w:val="20"/>
        </w:rPr>
        <w:t xml:space="preserve"> certain </w:t>
      </w:r>
      <w:proofErr w:type="spellStart"/>
      <w:r w:rsidRPr="005F2B80">
        <w:rPr>
          <w:rFonts w:ascii="Arial" w:hAnsi="Arial" w:cs="Arial"/>
          <w:color w:val="auto"/>
          <w:sz w:val="20"/>
          <w:szCs w:val="20"/>
        </w:rPr>
        <w:t>reference</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CCPs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activities</w:t>
      </w:r>
      <w:proofErr w:type="spellEnd"/>
      <w:r w:rsidRPr="005F2B80">
        <w:rPr>
          <w:rFonts w:ascii="Arial" w:hAnsi="Arial" w:cs="Arial"/>
          <w:color w:val="auto"/>
          <w:sz w:val="20"/>
          <w:szCs w:val="20"/>
        </w:rPr>
        <w:t xml:space="preserve">. For </w:t>
      </w:r>
      <w:proofErr w:type="spellStart"/>
      <w:r w:rsidRPr="005F2B80">
        <w:rPr>
          <w:rFonts w:ascii="Arial" w:hAnsi="Arial" w:cs="Arial"/>
          <w:color w:val="auto"/>
          <w:sz w:val="20"/>
          <w:szCs w:val="20"/>
        </w:rPr>
        <w:t>example</w:t>
      </w:r>
      <w:proofErr w:type="spellEnd"/>
      <w:r w:rsidRPr="005F2B80">
        <w:rPr>
          <w:rFonts w:ascii="Arial" w:hAnsi="Arial" w:cs="Arial"/>
          <w:color w:val="auto"/>
          <w:sz w:val="20"/>
          <w:szCs w:val="20"/>
        </w:rPr>
        <w:t xml:space="preserve">, ESMA </w:t>
      </w:r>
      <w:proofErr w:type="spellStart"/>
      <w:r w:rsidRPr="005F2B80">
        <w:rPr>
          <w:rFonts w:ascii="Arial" w:hAnsi="Arial" w:cs="Arial"/>
          <w:color w:val="auto"/>
          <w:sz w:val="20"/>
          <w:szCs w:val="20"/>
        </w:rPr>
        <w:t>could</w:t>
      </w:r>
      <w:proofErr w:type="spellEnd"/>
      <w:r w:rsidRPr="005F2B80">
        <w:rPr>
          <w:rFonts w:ascii="Arial" w:hAnsi="Arial" w:cs="Arial"/>
          <w:color w:val="auto"/>
          <w:sz w:val="20"/>
          <w:szCs w:val="20"/>
        </w:rPr>
        <w:t xml:space="preserve"> </w:t>
      </w:r>
      <w:proofErr w:type="spellStart"/>
      <w:r w:rsidRPr="005F2B80">
        <w:rPr>
          <w:rFonts w:ascii="Arial" w:hAnsi="Arial" w:cs="Arial"/>
          <w:b/>
          <w:color w:val="auto"/>
          <w:sz w:val="20"/>
          <w:szCs w:val="20"/>
        </w:rPr>
        <w:t>clarify</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that</w:t>
      </w:r>
      <w:proofErr w:type="spellEnd"/>
      <w:r w:rsidRPr="005F2B80">
        <w:rPr>
          <w:rFonts w:ascii="Arial" w:hAnsi="Arial" w:cs="Arial"/>
          <w:b/>
          <w:color w:val="auto"/>
          <w:sz w:val="20"/>
          <w:szCs w:val="20"/>
        </w:rPr>
        <w:t xml:space="preserve"> the novation of an original </w:t>
      </w:r>
      <w:proofErr w:type="spellStart"/>
      <w:r w:rsidRPr="005F2B80">
        <w:rPr>
          <w:rFonts w:ascii="Arial" w:hAnsi="Arial" w:cs="Arial"/>
          <w:b/>
          <w:color w:val="auto"/>
          <w:sz w:val="20"/>
          <w:szCs w:val="20"/>
        </w:rPr>
        <w:t>bilateral</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contract</w:t>
      </w:r>
      <w:proofErr w:type="spellEnd"/>
      <w:r w:rsidRPr="005F2B80">
        <w:rPr>
          <w:rFonts w:ascii="Arial" w:hAnsi="Arial" w:cs="Arial"/>
          <w:b/>
          <w:color w:val="auto"/>
          <w:sz w:val="20"/>
          <w:szCs w:val="20"/>
        </w:rPr>
        <w:t xml:space="preserve"> at a CCP </w:t>
      </w:r>
      <w:proofErr w:type="spellStart"/>
      <w:r w:rsidRPr="005F2B80">
        <w:rPr>
          <w:rFonts w:ascii="Arial" w:hAnsi="Arial" w:cs="Arial"/>
          <w:b/>
          <w:color w:val="auto"/>
          <w:sz w:val="20"/>
          <w:szCs w:val="20"/>
        </w:rPr>
        <w:t>does</w:t>
      </w:r>
      <w:proofErr w:type="spellEnd"/>
      <w:r w:rsidRPr="005F2B80">
        <w:rPr>
          <w:rFonts w:ascii="Arial" w:hAnsi="Arial" w:cs="Arial"/>
          <w:b/>
          <w:color w:val="auto"/>
          <w:sz w:val="20"/>
          <w:szCs w:val="20"/>
        </w:rPr>
        <w:t xml:space="preserve"> not </w:t>
      </w:r>
      <w:proofErr w:type="spellStart"/>
      <w:r w:rsidRPr="005F2B80">
        <w:rPr>
          <w:rFonts w:ascii="Arial" w:hAnsi="Arial" w:cs="Arial"/>
          <w:b/>
          <w:color w:val="auto"/>
          <w:sz w:val="20"/>
          <w:szCs w:val="20"/>
        </w:rPr>
        <w:t>constitute</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issuance</w:t>
      </w:r>
      <w:proofErr w:type="spellEnd"/>
      <w:r w:rsidRPr="005F2B80">
        <w:rPr>
          <w:rFonts w:ascii="Arial" w:hAnsi="Arial" w:cs="Arial"/>
          <w:color w:val="auto"/>
          <w:sz w:val="20"/>
          <w:szCs w:val="20"/>
        </w:rPr>
        <w:t>.</w:t>
      </w:r>
    </w:p>
    <w:permEnd w:id="750801636"/>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lastRenderedPageBreak/>
        <w:t>&lt;ESMA_QUESTION_C</w:t>
      </w:r>
      <w:r w:rsidR="009A2624">
        <w:t>P_BMR_5&gt;</w:t>
      </w:r>
    </w:p>
    <w:p w:rsidR="008873FD" w:rsidRPr="005F2B80" w:rsidRDefault="008873FD" w:rsidP="008873FD">
      <w:pPr>
        <w:pStyle w:val="Default"/>
        <w:numPr>
          <w:ilvl w:val="0"/>
          <w:numId w:val="42"/>
        </w:numPr>
        <w:spacing w:line="276" w:lineRule="auto"/>
        <w:jc w:val="both"/>
        <w:rPr>
          <w:rFonts w:ascii="Arial" w:hAnsi="Arial" w:cs="Arial"/>
          <w:color w:val="auto"/>
          <w:sz w:val="20"/>
          <w:szCs w:val="20"/>
        </w:rPr>
      </w:pPr>
      <w:permStart w:id="460094732" w:edGrp="everyone"/>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would</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like</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reiterate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that</w:t>
      </w:r>
      <w:proofErr w:type="spellEnd"/>
      <w:r w:rsidRPr="005F2B80">
        <w:rPr>
          <w:rFonts w:ascii="Arial" w:hAnsi="Arial" w:cs="Arial"/>
          <w:color w:val="auto"/>
          <w:sz w:val="20"/>
          <w:szCs w:val="20"/>
        </w:rPr>
        <w:t xml:space="preserve"> the </w:t>
      </w:r>
      <w:r w:rsidRPr="005F2B80">
        <w:rPr>
          <w:rFonts w:ascii="Arial" w:hAnsi="Arial" w:cs="Arial"/>
          <w:b/>
          <w:color w:val="auto"/>
          <w:sz w:val="20"/>
          <w:szCs w:val="20"/>
        </w:rPr>
        <w:t xml:space="preserve">information </w:t>
      </w:r>
      <w:proofErr w:type="spellStart"/>
      <w:r w:rsidRPr="005F2B80">
        <w:rPr>
          <w:rFonts w:ascii="Arial" w:hAnsi="Arial" w:cs="Arial"/>
          <w:b/>
          <w:color w:val="auto"/>
          <w:sz w:val="20"/>
          <w:szCs w:val="20"/>
        </w:rPr>
        <w:t>required</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is</w:t>
      </w:r>
      <w:proofErr w:type="spellEnd"/>
      <w:r w:rsidRPr="005F2B80">
        <w:rPr>
          <w:rFonts w:ascii="Arial" w:hAnsi="Arial" w:cs="Arial"/>
          <w:b/>
          <w:color w:val="auto"/>
          <w:sz w:val="20"/>
          <w:szCs w:val="20"/>
        </w:rPr>
        <w:t xml:space="preserve"> not </w:t>
      </w:r>
      <w:proofErr w:type="spellStart"/>
      <w:r w:rsidRPr="005F2B80">
        <w:rPr>
          <w:rFonts w:ascii="Arial" w:hAnsi="Arial" w:cs="Arial"/>
          <w:b/>
          <w:color w:val="auto"/>
          <w:sz w:val="20"/>
          <w:szCs w:val="20"/>
        </w:rPr>
        <w:t>being</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reported</w:t>
      </w:r>
      <w:proofErr w:type="spellEnd"/>
      <w:r w:rsidRPr="005F2B80">
        <w:rPr>
          <w:rFonts w:ascii="Arial" w:hAnsi="Arial" w:cs="Arial"/>
          <w:b/>
          <w:color w:val="auto"/>
          <w:sz w:val="20"/>
          <w:szCs w:val="20"/>
        </w:rPr>
        <w:t xml:space="preserve"> to the </w:t>
      </w:r>
      <w:proofErr w:type="spellStart"/>
      <w:r w:rsidRPr="005F2B80">
        <w:rPr>
          <w:rFonts w:ascii="Arial" w:hAnsi="Arial" w:cs="Arial"/>
          <w:b/>
          <w:color w:val="auto"/>
          <w:sz w:val="20"/>
          <w:szCs w:val="20"/>
        </w:rPr>
        <w:t>admini</w:t>
      </w:r>
      <w:r w:rsidRPr="005F2B80">
        <w:rPr>
          <w:rFonts w:ascii="Arial" w:hAnsi="Arial" w:cs="Arial"/>
          <w:b/>
          <w:color w:val="auto"/>
          <w:sz w:val="20"/>
          <w:szCs w:val="20"/>
        </w:rPr>
        <w:t>s</w:t>
      </w:r>
      <w:r w:rsidRPr="005F2B80">
        <w:rPr>
          <w:rFonts w:ascii="Arial" w:hAnsi="Arial" w:cs="Arial"/>
          <w:b/>
          <w:color w:val="auto"/>
          <w:sz w:val="20"/>
          <w:szCs w:val="20"/>
        </w:rPr>
        <w:t>trators</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it</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is</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often</w:t>
      </w:r>
      <w:proofErr w:type="spellEnd"/>
      <w:r w:rsidRPr="005F2B80">
        <w:rPr>
          <w:rFonts w:ascii="Arial" w:hAnsi="Arial" w:cs="Arial"/>
          <w:b/>
          <w:color w:val="auto"/>
          <w:sz w:val="20"/>
          <w:szCs w:val="20"/>
        </w:rPr>
        <w:t xml:space="preserve"> </w:t>
      </w:r>
      <w:proofErr w:type="spellStart"/>
      <w:r w:rsidRPr="005F2B80">
        <w:rPr>
          <w:rFonts w:ascii="Arial" w:hAnsi="Arial" w:cs="Arial"/>
          <w:b/>
          <w:color w:val="auto"/>
          <w:sz w:val="20"/>
          <w:szCs w:val="20"/>
        </w:rPr>
        <w:t>subject</w:t>
      </w:r>
      <w:proofErr w:type="spellEnd"/>
      <w:r w:rsidRPr="005F2B80">
        <w:rPr>
          <w:rFonts w:ascii="Arial" w:hAnsi="Arial" w:cs="Arial"/>
          <w:b/>
          <w:color w:val="auto"/>
          <w:sz w:val="20"/>
          <w:szCs w:val="20"/>
        </w:rPr>
        <w:t xml:space="preserve"> to </w:t>
      </w:r>
      <w:proofErr w:type="spellStart"/>
      <w:r w:rsidRPr="005F2B80">
        <w:rPr>
          <w:rFonts w:ascii="Arial" w:hAnsi="Arial" w:cs="Arial"/>
          <w:b/>
          <w:color w:val="auto"/>
          <w:sz w:val="20"/>
          <w:szCs w:val="20"/>
        </w:rPr>
        <w:t>confidentiality</w:t>
      </w:r>
      <w:proofErr w:type="spellEnd"/>
      <w:r w:rsidRPr="005F2B80">
        <w:rPr>
          <w:rFonts w:ascii="Arial" w:hAnsi="Arial" w:cs="Arial"/>
          <w:b/>
          <w:color w:val="auto"/>
          <w:sz w:val="20"/>
          <w:szCs w:val="20"/>
        </w:rPr>
        <w:t xml:space="preserve"> and </w:t>
      </w:r>
      <w:proofErr w:type="spellStart"/>
      <w:r w:rsidRPr="005F2B80">
        <w:rPr>
          <w:rFonts w:ascii="Arial" w:hAnsi="Arial" w:cs="Arial"/>
          <w:b/>
          <w:color w:val="auto"/>
          <w:sz w:val="20"/>
          <w:szCs w:val="20"/>
        </w:rPr>
        <w:t>is</w:t>
      </w:r>
      <w:proofErr w:type="spellEnd"/>
      <w:r w:rsidRPr="005F2B80">
        <w:rPr>
          <w:rFonts w:ascii="Arial" w:hAnsi="Arial" w:cs="Arial"/>
          <w:b/>
          <w:color w:val="auto"/>
          <w:sz w:val="20"/>
          <w:szCs w:val="20"/>
        </w:rPr>
        <w:t xml:space="preserve"> not in the public </w:t>
      </w:r>
      <w:proofErr w:type="spellStart"/>
      <w:r w:rsidRPr="005F2B80">
        <w:rPr>
          <w:rFonts w:ascii="Arial" w:hAnsi="Arial" w:cs="Arial"/>
          <w:b/>
          <w:color w:val="auto"/>
          <w:sz w:val="20"/>
          <w:szCs w:val="20"/>
        </w:rPr>
        <w:t>domain</w:t>
      </w:r>
      <w:proofErr w:type="spellEnd"/>
      <w:r w:rsidRPr="005F2B80">
        <w:rPr>
          <w:rFonts w:ascii="Arial" w:hAnsi="Arial" w:cs="Arial"/>
          <w:color w:val="auto"/>
          <w:sz w:val="20"/>
          <w:szCs w:val="20"/>
        </w:rPr>
        <w:t xml:space="preserve"> –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appreciate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that</w:t>
      </w:r>
      <w:proofErr w:type="spellEnd"/>
      <w:r w:rsidRPr="005F2B80">
        <w:rPr>
          <w:rFonts w:ascii="Arial" w:hAnsi="Arial" w:cs="Arial"/>
          <w:color w:val="auto"/>
          <w:sz w:val="20"/>
          <w:szCs w:val="20"/>
        </w:rPr>
        <w:t xml:space="preserve"> ESMA </w:t>
      </w:r>
      <w:proofErr w:type="spellStart"/>
      <w:r w:rsidRPr="005F2B80">
        <w:rPr>
          <w:rFonts w:ascii="Arial" w:hAnsi="Arial" w:cs="Arial"/>
          <w:color w:val="auto"/>
          <w:sz w:val="20"/>
          <w:szCs w:val="20"/>
        </w:rPr>
        <w:t>is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aware</w:t>
      </w:r>
      <w:proofErr w:type="spellEnd"/>
      <w:r w:rsidRPr="005F2B80">
        <w:rPr>
          <w:rFonts w:ascii="Arial" w:hAnsi="Arial" w:cs="Arial"/>
          <w:color w:val="auto"/>
          <w:sz w:val="20"/>
          <w:szCs w:val="20"/>
        </w:rPr>
        <w:t xml:space="preserve"> of </w:t>
      </w:r>
      <w:proofErr w:type="spellStart"/>
      <w:r w:rsidRPr="005F2B80">
        <w:rPr>
          <w:rFonts w:ascii="Arial" w:hAnsi="Arial" w:cs="Arial"/>
          <w:color w:val="auto"/>
          <w:sz w:val="20"/>
          <w:szCs w:val="20"/>
        </w:rPr>
        <w:t>this</w:t>
      </w:r>
      <w:proofErr w:type="spellEnd"/>
      <w:r w:rsidRPr="005F2B80">
        <w:rPr>
          <w:rFonts w:ascii="Arial" w:hAnsi="Arial" w:cs="Arial"/>
          <w:color w:val="auto"/>
          <w:sz w:val="20"/>
          <w:szCs w:val="20"/>
        </w:rPr>
        <w:t xml:space="preserve">. </w:t>
      </w:r>
    </w:p>
    <w:p w:rsidR="008873FD" w:rsidRPr="0035577D" w:rsidRDefault="008873FD" w:rsidP="008873FD">
      <w:pPr>
        <w:pStyle w:val="Default"/>
        <w:numPr>
          <w:ilvl w:val="0"/>
          <w:numId w:val="42"/>
        </w:numPr>
        <w:spacing w:line="276" w:lineRule="auto"/>
        <w:jc w:val="both"/>
        <w:rPr>
          <w:rFonts w:ascii="Arial" w:hAnsi="Arial" w:cs="Arial"/>
          <w:color w:val="auto"/>
          <w:sz w:val="22"/>
          <w:szCs w:val="22"/>
        </w:rPr>
      </w:pPr>
      <w:r w:rsidRPr="005F2B80">
        <w:rPr>
          <w:rFonts w:ascii="Arial" w:hAnsi="Arial" w:cs="Arial"/>
          <w:color w:val="auto"/>
          <w:sz w:val="20"/>
          <w:szCs w:val="20"/>
        </w:rPr>
        <w:t xml:space="preserve">If an </w:t>
      </w:r>
      <w:proofErr w:type="spellStart"/>
      <w:r w:rsidRPr="005F2B80">
        <w:rPr>
          <w:rFonts w:ascii="Arial" w:hAnsi="Arial" w:cs="Arial"/>
          <w:color w:val="auto"/>
          <w:sz w:val="20"/>
          <w:szCs w:val="20"/>
        </w:rPr>
        <w:t>administrator</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were</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determine</w:t>
      </w:r>
      <w:proofErr w:type="spellEnd"/>
      <w:r w:rsidRPr="005F2B80">
        <w:rPr>
          <w:rFonts w:ascii="Arial" w:hAnsi="Arial" w:cs="Arial"/>
          <w:color w:val="auto"/>
          <w:sz w:val="20"/>
          <w:szCs w:val="20"/>
        </w:rPr>
        <w:t xml:space="preserve"> the </w:t>
      </w:r>
      <w:proofErr w:type="spellStart"/>
      <w:r w:rsidRPr="005F2B80">
        <w:rPr>
          <w:rFonts w:ascii="Arial" w:hAnsi="Arial" w:cs="Arial"/>
          <w:color w:val="auto"/>
          <w:sz w:val="20"/>
          <w:szCs w:val="20"/>
        </w:rPr>
        <w:t>outstanding</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product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notional</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would</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need</w:t>
      </w:r>
      <w:proofErr w:type="spellEnd"/>
      <w:r w:rsidRPr="005F2B80">
        <w:rPr>
          <w:rFonts w:ascii="Arial" w:hAnsi="Arial" w:cs="Arial"/>
          <w:color w:val="auto"/>
          <w:sz w:val="20"/>
          <w:szCs w:val="20"/>
        </w:rPr>
        <w:t xml:space="preserve"> more gu</w:t>
      </w:r>
      <w:r w:rsidRPr="005F2B80">
        <w:rPr>
          <w:rFonts w:ascii="Arial" w:hAnsi="Arial" w:cs="Arial"/>
          <w:color w:val="auto"/>
          <w:sz w:val="20"/>
          <w:szCs w:val="20"/>
        </w:rPr>
        <w:t>i</w:t>
      </w:r>
      <w:r w:rsidRPr="005F2B80">
        <w:rPr>
          <w:rFonts w:ascii="Arial" w:hAnsi="Arial" w:cs="Arial"/>
          <w:color w:val="auto"/>
          <w:sz w:val="20"/>
          <w:szCs w:val="20"/>
        </w:rPr>
        <w:t xml:space="preserve">dance </w:t>
      </w:r>
      <w:proofErr w:type="spellStart"/>
      <w:r w:rsidRPr="005F2B80">
        <w:rPr>
          <w:rFonts w:ascii="Arial" w:hAnsi="Arial" w:cs="Arial"/>
          <w:color w:val="auto"/>
          <w:sz w:val="20"/>
          <w:szCs w:val="20"/>
        </w:rPr>
        <w:t>from</w:t>
      </w:r>
      <w:proofErr w:type="spellEnd"/>
      <w:r w:rsidRPr="005F2B80">
        <w:rPr>
          <w:rFonts w:ascii="Arial" w:hAnsi="Arial" w:cs="Arial"/>
          <w:color w:val="auto"/>
          <w:sz w:val="20"/>
          <w:szCs w:val="20"/>
        </w:rPr>
        <w:t xml:space="preserve"> ESMA on </w:t>
      </w:r>
      <w:proofErr w:type="spellStart"/>
      <w:r w:rsidRPr="005F2B80">
        <w:rPr>
          <w:rFonts w:ascii="Arial" w:hAnsi="Arial" w:cs="Arial"/>
          <w:color w:val="auto"/>
          <w:sz w:val="20"/>
          <w:szCs w:val="20"/>
        </w:rPr>
        <w:t>specific</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steps</w:t>
      </w:r>
      <w:proofErr w:type="spellEnd"/>
      <w:r w:rsidRPr="0035577D">
        <w:rPr>
          <w:rFonts w:ascii="Arial" w:hAnsi="Arial" w:cs="Arial"/>
          <w:color w:val="auto"/>
          <w:sz w:val="22"/>
          <w:szCs w:val="22"/>
        </w:rPr>
        <w:t xml:space="preserve">. </w:t>
      </w:r>
    </w:p>
    <w:permEnd w:id="460094732"/>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8873FD" w:rsidRPr="005F2B80" w:rsidRDefault="008873FD" w:rsidP="008873FD">
      <w:pPr>
        <w:pStyle w:val="Default"/>
        <w:numPr>
          <w:ilvl w:val="0"/>
          <w:numId w:val="42"/>
        </w:numPr>
        <w:spacing w:line="276" w:lineRule="auto"/>
        <w:jc w:val="both"/>
        <w:rPr>
          <w:rFonts w:ascii="Arial" w:hAnsi="Arial" w:cs="Arial"/>
          <w:color w:val="auto"/>
          <w:sz w:val="20"/>
          <w:szCs w:val="20"/>
        </w:rPr>
      </w:pPr>
      <w:permStart w:id="588987309" w:edGrp="everyone"/>
      <w:proofErr w:type="spellStart"/>
      <w:r w:rsidRPr="005F2B80">
        <w:rPr>
          <w:rFonts w:ascii="Arial" w:hAnsi="Arial" w:cs="Arial"/>
          <w:color w:val="auto"/>
          <w:sz w:val="20"/>
          <w:szCs w:val="20"/>
        </w:rPr>
        <w:t>We</w:t>
      </w:r>
      <w:proofErr w:type="spellEnd"/>
      <w:r w:rsidRPr="005F2B80">
        <w:rPr>
          <w:rFonts w:ascii="Arial" w:hAnsi="Arial" w:cs="Arial"/>
          <w:color w:val="auto"/>
          <w:sz w:val="20"/>
          <w:szCs w:val="20"/>
        </w:rPr>
        <w:t xml:space="preserve"> </w:t>
      </w:r>
      <w:proofErr w:type="spellStart"/>
      <w:r w:rsidRPr="005F2B80">
        <w:rPr>
          <w:rFonts w:ascii="Arial" w:hAnsi="Arial" w:cs="Arial"/>
          <w:b/>
          <w:color w:val="auto"/>
          <w:sz w:val="20"/>
          <w:szCs w:val="20"/>
        </w:rPr>
        <w:t>generally</w:t>
      </w:r>
      <w:proofErr w:type="spellEnd"/>
      <w:r w:rsidRPr="005F2B80">
        <w:rPr>
          <w:rFonts w:ascii="Arial" w:hAnsi="Arial" w:cs="Arial"/>
          <w:b/>
          <w:color w:val="auto"/>
          <w:sz w:val="20"/>
          <w:szCs w:val="20"/>
        </w:rPr>
        <w:t xml:space="preserve"> support the </w:t>
      </w:r>
      <w:proofErr w:type="spellStart"/>
      <w:r w:rsidRPr="005F2B80">
        <w:rPr>
          <w:rFonts w:ascii="Arial" w:hAnsi="Arial" w:cs="Arial"/>
          <w:b/>
          <w:color w:val="auto"/>
          <w:sz w:val="20"/>
          <w:szCs w:val="20"/>
        </w:rPr>
        <w:t>measurement</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performed</w:t>
      </w:r>
      <w:proofErr w:type="spellEnd"/>
      <w:r w:rsidRPr="005F2B80">
        <w:rPr>
          <w:rFonts w:ascii="Arial" w:hAnsi="Arial" w:cs="Arial"/>
          <w:color w:val="auto"/>
          <w:sz w:val="20"/>
          <w:szCs w:val="20"/>
        </w:rPr>
        <w:t xml:space="preserve"> at a </w:t>
      </w:r>
      <w:proofErr w:type="spellStart"/>
      <w:r w:rsidRPr="005F2B80">
        <w:rPr>
          <w:rFonts w:ascii="Arial" w:hAnsi="Arial" w:cs="Arial"/>
          <w:color w:val="auto"/>
          <w:sz w:val="20"/>
          <w:szCs w:val="20"/>
        </w:rPr>
        <w:t>specific</w:t>
      </w:r>
      <w:proofErr w:type="spellEnd"/>
      <w:r w:rsidRPr="005F2B80">
        <w:rPr>
          <w:rFonts w:ascii="Arial" w:hAnsi="Arial" w:cs="Arial"/>
          <w:color w:val="auto"/>
          <w:sz w:val="20"/>
          <w:szCs w:val="20"/>
        </w:rPr>
        <w:t xml:space="preserve"> point in time in </w:t>
      </w:r>
      <w:proofErr w:type="spellStart"/>
      <w:r w:rsidRPr="005F2B80">
        <w:rPr>
          <w:rFonts w:ascii="Arial" w:hAnsi="Arial" w:cs="Arial"/>
          <w:color w:val="auto"/>
          <w:sz w:val="20"/>
          <w:szCs w:val="20"/>
        </w:rPr>
        <w:t>order</w:t>
      </w:r>
      <w:proofErr w:type="spellEnd"/>
      <w:r w:rsidRPr="005F2B80">
        <w:rPr>
          <w:rFonts w:ascii="Arial" w:hAnsi="Arial" w:cs="Arial"/>
          <w:color w:val="auto"/>
          <w:sz w:val="20"/>
          <w:szCs w:val="20"/>
        </w:rPr>
        <w:t xml:space="preserve"> to </w:t>
      </w:r>
      <w:proofErr w:type="spellStart"/>
      <w:r w:rsidRPr="005F2B80">
        <w:rPr>
          <w:rFonts w:ascii="Arial" w:hAnsi="Arial" w:cs="Arial"/>
          <w:color w:val="auto"/>
          <w:sz w:val="20"/>
          <w:szCs w:val="20"/>
        </w:rPr>
        <w:t>assess</w:t>
      </w:r>
      <w:proofErr w:type="spellEnd"/>
      <w:r w:rsidRPr="005F2B80">
        <w:rPr>
          <w:rFonts w:ascii="Arial" w:hAnsi="Arial" w:cs="Arial"/>
          <w:color w:val="auto"/>
          <w:sz w:val="20"/>
          <w:szCs w:val="20"/>
        </w:rPr>
        <w:t xml:space="preserve"> </w:t>
      </w:r>
      <w:proofErr w:type="spellStart"/>
      <w:r w:rsidRPr="005F2B80">
        <w:rPr>
          <w:rFonts w:ascii="Arial" w:hAnsi="Arial" w:cs="Arial"/>
          <w:color w:val="auto"/>
          <w:sz w:val="20"/>
          <w:szCs w:val="20"/>
        </w:rPr>
        <w:t>whether</w:t>
      </w:r>
      <w:proofErr w:type="spellEnd"/>
      <w:r w:rsidRPr="005F2B80">
        <w:rPr>
          <w:rFonts w:ascii="Arial" w:hAnsi="Arial" w:cs="Arial"/>
          <w:color w:val="auto"/>
          <w:sz w:val="20"/>
          <w:szCs w:val="20"/>
        </w:rPr>
        <w:t xml:space="preserve"> a benchmark hits the </w:t>
      </w:r>
      <w:proofErr w:type="spellStart"/>
      <w:r w:rsidRPr="005F2B80">
        <w:rPr>
          <w:rFonts w:ascii="Arial" w:hAnsi="Arial" w:cs="Arial"/>
          <w:color w:val="auto"/>
          <w:sz w:val="20"/>
          <w:szCs w:val="20"/>
        </w:rPr>
        <w:t>thresholds</w:t>
      </w:r>
      <w:proofErr w:type="spellEnd"/>
      <w:r w:rsidRPr="005F2B80">
        <w:rPr>
          <w:rFonts w:ascii="Arial" w:hAnsi="Arial" w:cs="Arial"/>
          <w:color w:val="auto"/>
          <w:sz w:val="20"/>
          <w:szCs w:val="20"/>
        </w:rPr>
        <w:t>.</w:t>
      </w:r>
    </w:p>
    <w:permEnd w:id="588987309"/>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8873FD" w:rsidRPr="005F2B80" w:rsidRDefault="008873FD" w:rsidP="008873FD">
      <w:pPr>
        <w:pStyle w:val="Default"/>
        <w:numPr>
          <w:ilvl w:val="0"/>
          <w:numId w:val="42"/>
        </w:numPr>
        <w:spacing w:line="276" w:lineRule="auto"/>
        <w:jc w:val="both"/>
        <w:rPr>
          <w:rFonts w:ascii="Arial" w:hAnsi="Arial" w:cs="Arial"/>
          <w:sz w:val="20"/>
          <w:szCs w:val="22"/>
        </w:rPr>
      </w:pPr>
      <w:permStart w:id="161640331" w:edGrp="everyone"/>
      <w:r w:rsidRPr="005F2B80">
        <w:rPr>
          <w:rFonts w:ascii="Arial" w:hAnsi="Arial" w:cs="Arial"/>
          <w:sz w:val="20"/>
          <w:szCs w:val="22"/>
        </w:rPr>
        <w:t xml:space="preserve">In </w:t>
      </w:r>
      <w:proofErr w:type="spellStart"/>
      <w:r w:rsidRPr="005F2B80">
        <w:rPr>
          <w:rFonts w:ascii="Arial" w:hAnsi="Arial" w:cs="Arial"/>
          <w:color w:val="auto"/>
          <w:sz w:val="20"/>
          <w:szCs w:val="22"/>
        </w:rPr>
        <w:t>principle</w:t>
      </w:r>
      <w:proofErr w:type="spellEnd"/>
      <w:r w:rsidRPr="005F2B80">
        <w:rPr>
          <w:rFonts w:ascii="Arial" w:hAnsi="Arial" w:cs="Arial"/>
          <w:color w:val="auto"/>
          <w:sz w:val="20"/>
          <w:szCs w:val="22"/>
        </w:rPr>
        <w:t>,</w:t>
      </w:r>
      <w:r w:rsidRPr="005F2B80">
        <w:rPr>
          <w:rFonts w:ascii="Arial" w:hAnsi="Arial" w:cs="Arial"/>
          <w:sz w:val="20"/>
          <w:szCs w:val="22"/>
        </w:rPr>
        <w:t xml:space="preserve"> </w:t>
      </w:r>
      <w:proofErr w:type="spellStart"/>
      <w:r w:rsidRPr="005F2B80">
        <w:rPr>
          <w:rFonts w:ascii="Arial" w:hAnsi="Arial" w:cs="Arial"/>
          <w:sz w:val="20"/>
          <w:szCs w:val="22"/>
        </w:rPr>
        <w:t>we</w:t>
      </w:r>
      <w:proofErr w:type="spellEnd"/>
      <w:r w:rsidRPr="005F2B80">
        <w:rPr>
          <w:rFonts w:ascii="Arial" w:hAnsi="Arial" w:cs="Arial"/>
          <w:sz w:val="20"/>
          <w:szCs w:val="22"/>
        </w:rPr>
        <w:t xml:space="preserve"> </w:t>
      </w:r>
      <w:proofErr w:type="spellStart"/>
      <w:r w:rsidRPr="005F2B80">
        <w:rPr>
          <w:rFonts w:ascii="Arial" w:hAnsi="Arial" w:cs="Arial"/>
          <w:sz w:val="20"/>
          <w:szCs w:val="22"/>
        </w:rPr>
        <w:t>agree</w:t>
      </w:r>
      <w:proofErr w:type="spellEnd"/>
      <w:r w:rsidRPr="005F2B80">
        <w:rPr>
          <w:rFonts w:ascii="Arial" w:hAnsi="Arial" w:cs="Arial"/>
          <w:sz w:val="20"/>
          <w:szCs w:val="22"/>
        </w:rPr>
        <w:t xml:space="preserve"> </w:t>
      </w:r>
      <w:proofErr w:type="spellStart"/>
      <w:r w:rsidRPr="005F2B80">
        <w:rPr>
          <w:rFonts w:ascii="Arial" w:hAnsi="Arial" w:cs="Arial"/>
          <w:sz w:val="20"/>
          <w:szCs w:val="22"/>
        </w:rPr>
        <w:t>that</w:t>
      </w:r>
      <w:proofErr w:type="spellEnd"/>
      <w:r w:rsidRPr="005F2B80">
        <w:rPr>
          <w:rFonts w:ascii="Arial" w:hAnsi="Arial" w:cs="Arial"/>
          <w:sz w:val="20"/>
          <w:szCs w:val="22"/>
        </w:rPr>
        <w:t xml:space="preserve"> </w:t>
      </w:r>
      <w:proofErr w:type="spellStart"/>
      <w:r w:rsidRPr="005F2B80">
        <w:rPr>
          <w:rFonts w:ascii="Arial" w:hAnsi="Arial" w:cs="Arial"/>
          <w:sz w:val="20"/>
          <w:szCs w:val="22"/>
        </w:rPr>
        <w:t>licensing</w:t>
      </w:r>
      <w:proofErr w:type="spellEnd"/>
      <w:r w:rsidRPr="005F2B80">
        <w:rPr>
          <w:rFonts w:ascii="Arial" w:hAnsi="Arial" w:cs="Arial"/>
          <w:sz w:val="20"/>
          <w:szCs w:val="22"/>
        </w:rPr>
        <w:t xml:space="preserve"> </w:t>
      </w:r>
      <w:proofErr w:type="spellStart"/>
      <w:r w:rsidRPr="005F2B80">
        <w:rPr>
          <w:rFonts w:ascii="Arial" w:hAnsi="Arial" w:cs="Arial"/>
          <w:sz w:val="20"/>
          <w:szCs w:val="22"/>
        </w:rPr>
        <w:t>agreements</w:t>
      </w:r>
      <w:proofErr w:type="spellEnd"/>
      <w:r w:rsidRPr="005F2B80">
        <w:rPr>
          <w:rFonts w:ascii="Arial" w:hAnsi="Arial" w:cs="Arial"/>
          <w:sz w:val="20"/>
          <w:szCs w:val="22"/>
        </w:rPr>
        <w:t xml:space="preserve"> </w:t>
      </w:r>
      <w:proofErr w:type="spellStart"/>
      <w:r w:rsidRPr="005F2B80">
        <w:rPr>
          <w:rFonts w:ascii="Arial" w:hAnsi="Arial" w:cs="Arial"/>
          <w:sz w:val="20"/>
          <w:szCs w:val="22"/>
        </w:rPr>
        <w:t>could</w:t>
      </w:r>
      <w:proofErr w:type="spellEnd"/>
      <w:r w:rsidRPr="005F2B80">
        <w:rPr>
          <w:rFonts w:ascii="Arial" w:hAnsi="Arial" w:cs="Arial"/>
          <w:sz w:val="20"/>
          <w:szCs w:val="22"/>
        </w:rPr>
        <w:t xml:space="preserve"> help </w:t>
      </w:r>
      <w:proofErr w:type="spellStart"/>
      <w:r w:rsidRPr="005F2B80">
        <w:rPr>
          <w:rFonts w:ascii="Arial" w:hAnsi="Arial" w:cs="Arial"/>
          <w:sz w:val="20"/>
          <w:szCs w:val="22"/>
        </w:rPr>
        <w:t>provide</w:t>
      </w:r>
      <w:proofErr w:type="spellEnd"/>
      <w:r w:rsidRPr="005F2B80">
        <w:rPr>
          <w:rFonts w:ascii="Arial" w:hAnsi="Arial" w:cs="Arial"/>
          <w:sz w:val="20"/>
          <w:szCs w:val="22"/>
        </w:rPr>
        <w:t xml:space="preserve"> the </w:t>
      </w:r>
      <w:proofErr w:type="spellStart"/>
      <w:r w:rsidRPr="005F2B80">
        <w:rPr>
          <w:rFonts w:ascii="Arial" w:hAnsi="Arial" w:cs="Arial"/>
          <w:sz w:val="20"/>
          <w:szCs w:val="22"/>
        </w:rPr>
        <w:t>necessary</w:t>
      </w:r>
      <w:proofErr w:type="spellEnd"/>
      <w:r w:rsidRPr="005F2B80">
        <w:rPr>
          <w:rFonts w:ascii="Arial" w:hAnsi="Arial" w:cs="Arial"/>
          <w:sz w:val="20"/>
          <w:szCs w:val="22"/>
        </w:rPr>
        <w:t xml:space="preserve"> info</w:t>
      </w:r>
      <w:r w:rsidRPr="005F2B80">
        <w:rPr>
          <w:rFonts w:ascii="Arial" w:hAnsi="Arial" w:cs="Arial"/>
          <w:sz w:val="20"/>
          <w:szCs w:val="22"/>
        </w:rPr>
        <w:t>r</w:t>
      </w:r>
      <w:r w:rsidRPr="005F2B80">
        <w:rPr>
          <w:rFonts w:ascii="Arial" w:hAnsi="Arial" w:cs="Arial"/>
          <w:sz w:val="20"/>
          <w:szCs w:val="22"/>
        </w:rPr>
        <w:t xml:space="preserve">mation in relation to </w:t>
      </w:r>
      <w:proofErr w:type="spellStart"/>
      <w:r w:rsidRPr="005F2B80">
        <w:rPr>
          <w:rFonts w:ascii="Arial" w:hAnsi="Arial" w:cs="Arial"/>
          <w:sz w:val="20"/>
          <w:szCs w:val="22"/>
        </w:rPr>
        <w:t>financial</w:t>
      </w:r>
      <w:proofErr w:type="spellEnd"/>
      <w:r w:rsidRPr="005F2B80">
        <w:rPr>
          <w:rFonts w:ascii="Arial" w:hAnsi="Arial" w:cs="Arial"/>
          <w:sz w:val="20"/>
          <w:szCs w:val="22"/>
        </w:rPr>
        <w:t xml:space="preserve"> instruments </w:t>
      </w:r>
      <w:proofErr w:type="spellStart"/>
      <w:r w:rsidRPr="005F2B80">
        <w:rPr>
          <w:rFonts w:ascii="Arial" w:hAnsi="Arial" w:cs="Arial"/>
          <w:sz w:val="20"/>
          <w:szCs w:val="22"/>
        </w:rPr>
        <w:t>referencing</w:t>
      </w:r>
      <w:proofErr w:type="spellEnd"/>
      <w:r w:rsidRPr="005F2B80">
        <w:rPr>
          <w:rFonts w:ascii="Arial" w:hAnsi="Arial" w:cs="Arial"/>
          <w:sz w:val="20"/>
          <w:szCs w:val="22"/>
        </w:rPr>
        <w:t xml:space="preserve"> a benchmark. </w:t>
      </w:r>
      <w:proofErr w:type="spellStart"/>
      <w:r w:rsidRPr="005F2B80">
        <w:rPr>
          <w:rFonts w:ascii="Arial" w:hAnsi="Arial" w:cs="Arial"/>
          <w:b/>
          <w:sz w:val="20"/>
          <w:szCs w:val="22"/>
        </w:rPr>
        <w:t>However</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we</w:t>
      </w:r>
      <w:proofErr w:type="spellEnd"/>
      <w:r w:rsidRPr="005F2B80">
        <w:rPr>
          <w:rFonts w:ascii="Arial" w:hAnsi="Arial" w:cs="Arial"/>
          <w:b/>
          <w:sz w:val="20"/>
          <w:szCs w:val="22"/>
        </w:rPr>
        <w:t xml:space="preserve"> question the </w:t>
      </w:r>
      <w:proofErr w:type="spellStart"/>
      <w:r w:rsidRPr="005F2B80">
        <w:rPr>
          <w:rFonts w:ascii="Arial" w:hAnsi="Arial" w:cs="Arial"/>
          <w:b/>
          <w:sz w:val="20"/>
          <w:szCs w:val="22"/>
        </w:rPr>
        <w:t>practical</w:t>
      </w:r>
      <w:proofErr w:type="spellEnd"/>
      <w:r w:rsidRPr="005F2B80">
        <w:rPr>
          <w:rFonts w:ascii="Arial" w:hAnsi="Arial" w:cs="Arial"/>
          <w:b/>
          <w:sz w:val="20"/>
          <w:szCs w:val="22"/>
        </w:rPr>
        <w:t xml:space="preserve"> arrangements, as </w:t>
      </w:r>
      <w:proofErr w:type="spellStart"/>
      <w:r w:rsidRPr="005F2B80">
        <w:rPr>
          <w:rFonts w:ascii="Arial" w:hAnsi="Arial" w:cs="Arial"/>
          <w:b/>
          <w:sz w:val="20"/>
          <w:szCs w:val="22"/>
        </w:rPr>
        <w:t>it</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is</w:t>
      </w:r>
      <w:proofErr w:type="spellEnd"/>
      <w:r w:rsidRPr="005F2B80">
        <w:rPr>
          <w:rFonts w:ascii="Arial" w:hAnsi="Arial" w:cs="Arial"/>
          <w:b/>
          <w:sz w:val="20"/>
          <w:szCs w:val="22"/>
        </w:rPr>
        <w:t xml:space="preserve"> not </w:t>
      </w:r>
      <w:proofErr w:type="spellStart"/>
      <w:r w:rsidRPr="005F2B80">
        <w:rPr>
          <w:rFonts w:ascii="Arial" w:hAnsi="Arial" w:cs="Arial"/>
          <w:b/>
          <w:sz w:val="20"/>
          <w:szCs w:val="22"/>
        </w:rPr>
        <w:t>always</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feasible</w:t>
      </w:r>
      <w:proofErr w:type="spellEnd"/>
      <w:r w:rsidRPr="005F2B80">
        <w:rPr>
          <w:rFonts w:ascii="Arial" w:hAnsi="Arial" w:cs="Arial"/>
          <w:b/>
          <w:sz w:val="20"/>
          <w:szCs w:val="22"/>
        </w:rPr>
        <w:t xml:space="preserve"> for the </w:t>
      </w:r>
      <w:proofErr w:type="spellStart"/>
      <w:r w:rsidRPr="005F2B80">
        <w:rPr>
          <w:rFonts w:ascii="Arial" w:hAnsi="Arial" w:cs="Arial"/>
          <w:b/>
          <w:sz w:val="20"/>
          <w:szCs w:val="22"/>
        </w:rPr>
        <w:t>administrator</w:t>
      </w:r>
      <w:proofErr w:type="spellEnd"/>
      <w:r w:rsidRPr="005F2B80">
        <w:rPr>
          <w:rFonts w:ascii="Arial" w:hAnsi="Arial" w:cs="Arial"/>
          <w:b/>
          <w:sz w:val="20"/>
          <w:szCs w:val="22"/>
        </w:rPr>
        <w:t xml:space="preserve"> to </w:t>
      </w:r>
      <w:proofErr w:type="spellStart"/>
      <w:r w:rsidRPr="005F2B80">
        <w:rPr>
          <w:rFonts w:ascii="Arial" w:hAnsi="Arial" w:cs="Arial"/>
          <w:b/>
          <w:sz w:val="20"/>
          <w:szCs w:val="22"/>
        </w:rPr>
        <w:t>obtain</w:t>
      </w:r>
      <w:proofErr w:type="spellEnd"/>
      <w:r w:rsidRPr="005F2B80">
        <w:rPr>
          <w:rFonts w:ascii="Arial" w:hAnsi="Arial" w:cs="Arial"/>
          <w:b/>
          <w:sz w:val="20"/>
          <w:szCs w:val="22"/>
        </w:rPr>
        <w:t xml:space="preserve"> the data</w:t>
      </w:r>
      <w:r w:rsidRPr="005F2B80">
        <w:rPr>
          <w:rFonts w:ascii="Arial" w:hAnsi="Arial" w:cs="Arial"/>
          <w:sz w:val="20"/>
          <w:szCs w:val="22"/>
        </w:rPr>
        <w:t xml:space="preserve">. </w:t>
      </w:r>
      <w:proofErr w:type="spellStart"/>
      <w:r w:rsidRPr="005F2B80">
        <w:rPr>
          <w:rFonts w:ascii="Arial" w:hAnsi="Arial" w:cs="Arial"/>
          <w:sz w:val="20"/>
          <w:szCs w:val="22"/>
        </w:rPr>
        <w:t>From</w:t>
      </w:r>
      <w:proofErr w:type="spellEnd"/>
      <w:r w:rsidRPr="005F2B80">
        <w:rPr>
          <w:rFonts w:ascii="Arial" w:hAnsi="Arial" w:cs="Arial"/>
          <w:sz w:val="20"/>
          <w:szCs w:val="22"/>
        </w:rPr>
        <w:t xml:space="preserve"> </w:t>
      </w:r>
      <w:proofErr w:type="spellStart"/>
      <w:r w:rsidRPr="005F2B80">
        <w:rPr>
          <w:rFonts w:ascii="Arial" w:hAnsi="Arial" w:cs="Arial"/>
          <w:sz w:val="20"/>
          <w:szCs w:val="22"/>
        </w:rPr>
        <w:t>ESMA’s</w:t>
      </w:r>
      <w:proofErr w:type="spellEnd"/>
      <w:r w:rsidRPr="005F2B80">
        <w:rPr>
          <w:rFonts w:ascii="Arial" w:hAnsi="Arial" w:cs="Arial"/>
          <w:sz w:val="20"/>
          <w:szCs w:val="22"/>
        </w:rPr>
        <w:t xml:space="preserve"> </w:t>
      </w:r>
      <w:proofErr w:type="spellStart"/>
      <w:r w:rsidRPr="005F2B80">
        <w:rPr>
          <w:rFonts w:ascii="Arial" w:hAnsi="Arial" w:cs="Arial"/>
          <w:sz w:val="20"/>
          <w:szCs w:val="22"/>
        </w:rPr>
        <w:t>drafting</w:t>
      </w:r>
      <w:proofErr w:type="spellEnd"/>
      <w:r w:rsidRPr="005F2B80">
        <w:rPr>
          <w:rFonts w:ascii="Arial" w:hAnsi="Arial" w:cs="Arial"/>
          <w:sz w:val="20"/>
          <w:szCs w:val="22"/>
        </w:rPr>
        <w:t xml:space="preserve">, </w:t>
      </w:r>
      <w:proofErr w:type="spellStart"/>
      <w:r w:rsidRPr="005F2B80">
        <w:rPr>
          <w:rFonts w:ascii="Arial" w:hAnsi="Arial" w:cs="Arial"/>
          <w:sz w:val="20"/>
          <w:szCs w:val="22"/>
        </w:rPr>
        <w:t>it</w:t>
      </w:r>
      <w:proofErr w:type="spellEnd"/>
      <w:r w:rsidRPr="005F2B80">
        <w:rPr>
          <w:rFonts w:ascii="Arial" w:hAnsi="Arial" w:cs="Arial"/>
          <w:sz w:val="20"/>
          <w:szCs w:val="22"/>
        </w:rPr>
        <w:t xml:space="preserve"> </w:t>
      </w:r>
      <w:proofErr w:type="spellStart"/>
      <w:r w:rsidRPr="005F2B80">
        <w:rPr>
          <w:rFonts w:ascii="Arial" w:hAnsi="Arial" w:cs="Arial"/>
          <w:sz w:val="20"/>
          <w:szCs w:val="22"/>
        </w:rPr>
        <w:t>is</w:t>
      </w:r>
      <w:proofErr w:type="spellEnd"/>
      <w:r w:rsidRPr="005F2B80">
        <w:rPr>
          <w:rFonts w:ascii="Arial" w:hAnsi="Arial" w:cs="Arial"/>
          <w:sz w:val="20"/>
          <w:szCs w:val="22"/>
        </w:rPr>
        <w:t xml:space="preserve"> </w:t>
      </w:r>
      <w:proofErr w:type="spellStart"/>
      <w:r w:rsidRPr="005F2B80">
        <w:rPr>
          <w:rFonts w:ascii="Arial" w:hAnsi="Arial" w:cs="Arial"/>
          <w:sz w:val="20"/>
          <w:szCs w:val="22"/>
        </w:rPr>
        <w:t>unclear</w:t>
      </w:r>
      <w:proofErr w:type="spellEnd"/>
      <w:r w:rsidRPr="005F2B80">
        <w:rPr>
          <w:rFonts w:ascii="Arial" w:hAnsi="Arial" w:cs="Arial"/>
          <w:sz w:val="20"/>
          <w:szCs w:val="22"/>
        </w:rPr>
        <w:t xml:space="preserve"> how far the </w:t>
      </w:r>
      <w:proofErr w:type="spellStart"/>
      <w:r w:rsidRPr="005F2B80">
        <w:rPr>
          <w:rFonts w:ascii="Arial" w:hAnsi="Arial" w:cs="Arial"/>
          <w:sz w:val="20"/>
          <w:szCs w:val="22"/>
        </w:rPr>
        <w:t>administrator</w:t>
      </w:r>
      <w:proofErr w:type="spellEnd"/>
      <w:r w:rsidRPr="005F2B80">
        <w:rPr>
          <w:rFonts w:ascii="Arial" w:hAnsi="Arial" w:cs="Arial"/>
          <w:sz w:val="20"/>
          <w:szCs w:val="22"/>
        </w:rPr>
        <w:t xml:space="preserve"> </w:t>
      </w:r>
      <w:proofErr w:type="spellStart"/>
      <w:r w:rsidRPr="005F2B80">
        <w:rPr>
          <w:rFonts w:ascii="Arial" w:hAnsi="Arial" w:cs="Arial"/>
          <w:sz w:val="20"/>
          <w:szCs w:val="22"/>
        </w:rPr>
        <w:t>would</w:t>
      </w:r>
      <w:proofErr w:type="spellEnd"/>
      <w:r w:rsidRPr="005F2B80">
        <w:rPr>
          <w:rFonts w:ascii="Arial" w:hAnsi="Arial" w:cs="Arial"/>
          <w:sz w:val="20"/>
          <w:szCs w:val="22"/>
        </w:rPr>
        <w:t xml:space="preserve"> </w:t>
      </w:r>
      <w:proofErr w:type="spellStart"/>
      <w:r w:rsidRPr="005F2B80">
        <w:rPr>
          <w:rFonts w:ascii="Arial" w:hAnsi="Arial" w:cs="Arial"/>
          <w:sz w:val="20"/>
          <w:szCs w:val="22"/>
        </w:rPr>
        <w:t>need</w:t>
      </w:r>
      <w:proofErr w:type="spellEnd"/>
      <w:r w:rsidRPr="005F2B80">
        <w:rPr>
          <w:rFonts w:ascii="Arial" w:hAnsi="Arial" w:cs="Arial"/>
          <w:sz w:val="20"/>
          <w:szCs w:val="22"/>
        </w:rPr>
        <w:t xml:space="preserve"> to go to </w:t>
      </w:r>
      <w:proofErr w:type="spellStart"/>
      <w:r w:rsidRPr="005F2B80">
        <w:rPr>
          <w:rFonts w:ascii="Arial" w:hAnsi="Arial" w:cs="Arial"/>
          <w:sz w:val="20"/>
          <w:szCs w:val="22"/>
        </w:rPr>
        <w:t>obtain</w:t>
      </w:r>
      <w:proofErr w:type="spellEnd"/>
      <w:r w:rsidRPr="005F2B80">
        <w:rPr>
          <w:rFonts w:ascii="Arial" w:hAnsi="Arial" w:cs="Arial"/>
          <w:sz w:val="20"/>
          <w:szCs w:val="22"/>
        </w:rPr>
        <w:t xml:space="preserve"> </w:t>
      </w:r>
      <w:proofErr w:type="spellStart"/>
      <w:r w:rsidRPr="005F2B80">
        <w:rPr>
          <w:rFonts w:ascii="Arial" w:hAnsi="Arial" w:cs="Arial"/>
          <w:sz w:val="20"/>
          <w:szCs w:val="22"/>
        </w:rPr>
        <w:t>such</w:t>
      </w:r>
      <w:proofErr w:type="spellEnd"/>
      <w:r w:rsidRPr="005F2B80">
        <w:rPr>
          <w:rFonts w:ascii="Arial" w:hAnsi="Arial" w:cs="Arial"/>
          <w:sz w:val="20"/>
          <w:szCs w:val="22"/>
        </w:rPr>
        <w:t xml:space="preserve"> data – </w:t>
      </w:r>
      <w:proofErr w:type="spellStart"/>
      <w:r w:rsidRPr="005F2B80">
        <w:rPr>
          <w:rFonts w:ascii="Arial" w:hAnsi="Arial" w:cs="Arial"/>
          <w:sz w:val="20"/>
          <w:szCs w:val="22"/>
        </w:rPr>
        <w:t>what</w:t>
      </w:r>
      <w:proofErr w:type="spellEnd"/>
      <w:r w:rsidRPr="005F2B80">
        <w:rPr>
          <w:rFonts w:ascii="Arial" w:hAnsi="Arial" w:cs="Arial"/>
          <w:sz w:val="20"/>
          <w:szCs w:val="22"/>
        </w:rPr>
        <w:t xml:space="preserve"> </w:t>
      </w:r>
      <w:proofErr w:type="spellStart"/>
      <w:r w:rsidRPr="005F2B80">
        <w:rPr>
          <w:rFonts w:ascii="Arial" w:hAnsi="Arial" w:cs="Arial"/>
          <w:sz w:val="20"/>
          <w:szCs w:val="22"/>
        </w:rPr>
        <w:t>would</w:t>
      </w:r>
      <w:proofErr w:type="spellEnd"/>
      <w:r w:rsidRPr="005F2B80">
        <w:rPr>
          <w:rFonts w:ascii="Arial" w:hAnsi="Arial" w:cs="Arial"/>
          <w:sz w:val="20"/>
          <w:szCs w:val="22"/>
        </w:rPr>
        <w:t xml:space="preserve"> </w:t>
      </w:r>
      <w:proofErr w:type="spellStart"/>
      <w:r w:rsidRPr="005F2B80">
        <w:rPr>
          <w:rFonts w:ascii="Arial" w:hAnsi="Arial" w:cs="Arial"/>
          <w:sz w:val="20"/>
          <w:szCs w:val="22"/>
        </w:rPr>
        <w:t>constitute</w:t>
      </w:r>
      <w:proofErr w:type="spellEnd"/>
      <w:r w:rsidRPr="005F2B80">
        <w:rPr>
          <w:rFonts w:ascii="Arial" w:hAnsi="Arial" w:cs="Arial"/>
          <w:sz w:val="20"/>
          <w:szCs w:val="22"/>
        </w:rPr>
        <w:t xml:space="preserve"> </w:t>
      </w:r>
      <w:proofErr w:type="spellStart"/>
      <w:r w:rsidRPr="005F2B80">
        <w:rPr>
          <w:rFonts w:ascii="Arial" w:hAnsi="Arial" w:cs="Arial"/>
          <w:sz w:val="20"/>
          <w:szCs w:val="22"/>
        </w:rPr>
        <w:t>reasonable</w:t>
      </w:r>
      <w:proofErr w:type="spellEnd"/>
      <w:r w:rsidRPr="005F2B80">
        <w:rPr>
          <w:rFonts w:ascii="Arial" w:hAnsi="Arial" w:cs="Arial"/>
          <w:sz w:val="20"/>
          <w:szCs w:val="22"/>
        </w:rPr>
        <w:t xml:space="preserve"> “best effort”. To </w:t>
      </w:r>
      <w:proofErr w:type="spellStart"/>
      <w:r w:rsidRPr="005F2B80">
        <w:rPr>
          <w:rFonts w:ascii="Arial" w:hAnsi="Arial" w:cs="Arial"/>
          <w:sz w:val="20"/>
          <w:szCs w:val="22"/>
        </w:rPr>
        <w:t>our</w:t>
      </w:r>
      <w:proofErr w:type="spellEnd"/>
      <w:r w:rsidRPr="005F2B80">
        <w:rPr>
          <w:rFonts w:ascii="Arial" w:hAnsi="Arial" w:cs="Arial"/>
          <w:sz w:val="20"/>
          <w:szCs w:val="22"/>
        </w:rPr>
        <w:t xml:space="preserve"> </w:t>
      </w:r>
      <w:proofErr w:type="spellStart"/>
      <w:r w:rsidRPr="005F2B80">
        <w:rPr>
          <w:rFonts w:ascii="Arial" w:hAnsi="Arial" w:cs="Arial"/>
          <w:sz w:val="20"/>
          <w:szCs w:val="22"/>
        </w:rPr>
        <w:t>understanding</w:t>
      </w:r>
      <w:proofErr w:type="spellEnd"/>
      <w:r w:rsidRPr="005F2B80">
        <w:rPr>
          <w:rFonts w:ascii="Arial" w:hAnsi="Arial" w:cs="Arial"/>
          <w:sz w:val="20"/>
          <w:szCs w:val="22"/>
        </w:rPr>
        <w:t xml:space="preserve">, the </w:t>
      </w:r>
      <w:proofErr w:type="spellStart"/>
      <w:r w:rsidRPr="005F2B80">
        <w:rPr>
          <w:rFonts w:ascii="Arial" w:hAnsi="Arial" w:cs="Arial"/>
          <w:b/>
          <w:sz w:val="20"/>
          <w:szCs w:val="22"/>
        </w:rPr>
        <w:t>regulators</w:t>
      </w:r>
      <w:proofErr w:type="spellEnd"/>
      <w:r w:rsidRPr="005F2B80">
        <w:rPr>
          <w:rFonts w:ascii="Arial" w:hAnsi="Arial" w:cs="Arial"/>
          <w:b/>
          <w:sz w:val="20"/>
          <w:szCs w:val="22"/>
        </w:rPr>
        <w:t xml:space="preserve"> / </w:t>
      </w:r>
      <w:proofErr w:type="spellStart"/>
      <w:r w:rsidRPr="005F2B80">
        <w:rPr>
          <w:rFonts w:ascii="Arial" w:hAnsi="Arial" w:cs="Arial"/>
          <w:b/>
          <w:sz w:val="20"/>
          <w:szCs w:val="22"/>
        </w:rPr>
        <w:t>NCAs</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could</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follow</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this</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approach</w:t>
      </w:r>
      <w:proofErr w:type="spellEnd"/>
      <w:r w:rsidRPr="005F2B80">
        <w:rPr>
          <w:rFonts w:ascii="Arial" w:hAnsi="Arial" w:cs="Arial"/>
          <w:b/>
          <w:sz w:val="20"/>
          <w:szCs w:val="22"/>
        </w:rPr>
        <w:t xml:space="preserve">, as </w:t>
      </w:r>
      <w:proofErr w:type="spellStart"/>
      <w:r w:rsidRPr="005F2B80">
        <w:rPr>
          <w:rFonts w:ascii="Arial" w:hAnsi="Arial" w:cs="Arial"/>
          <w:b/>
          <w:sz w:val="20"/>
          <w:szCs w:val="22"/>
        </w:rPr>
        <w:t>they</w:t>
      </w:r>
      <w:proofErr w:type="spellEnd"/>
      <w:r w:rsidRPr="005F2B80">
        <w:rPr>
          <w:rFonts w:ascii="Arial" w:hAnsi="Arial" w:cs="Arial"/>
          <w:b/>
          <w:sz w:val="20"/>
          <w:szCs w:val="22"/>
        </w:rPr>
        <w:t xml:space="preserve"> have </w:t>
      </w:r>
      <w:proofErr w:type="spellStart"/>
      <w:r w:rsidRPr="005F2B80">
        <w:rPr>
          <w:rFonts w:ascii="Arial" w:hAnsi="Arial" w:cs="Arial"/>
          <w:b/>
          <w:sz w:val="20"/>
          <w:szCs w:val="22"/>
        </w:rPr>
        <w:t>access</w:t>
      </w:r>
      <w:proofErr w:type="spellEnd"/>
      <w:r w:rsidRPr="005F2B80">
        <w:rPr>
          <w:rFonts w:ascii="Arial" w:hAnsi="Arial" w:cs="Arial"/>
          <w:b/>
          <w:sz w:val="20"/>
          <w:szCs w:val="22"/>
        </w:rPr>
        <w:t xml:space="preserve"> to the </w:t>
      </w:r>
      <w:proofErr w:type="spellStart"/>
      <w:r w:rsidRPr="005F2B80">
        <w:rPr>
          <w:rFonts w:ascii="Arial" w:hAnsi="Arial" w:cs="Arial"/>
          <w:b/>
          <w:sz w:val="20"/>
          <w:szCs w:val="22"/>
        </w:rPr>
        <w:t>consolidated</w:t>
      </w:r>
      <w:proofErr w:type="spellEnd"/>
      <w:r w:rsidRPr="005F2B80">
        <w:rPr>
          <w:rFonts w:ascii="Arial" w:hAnsi="Arial" w:cs="Arial"/>
          <w:b/>
          <w:sz w:val="20"/>
          <w:szCs w:val="22"/>
        </w:rPr>
        <w:t xml:space="preserve"> data </w:t>
      </w:r>
      <w:proofErr w:type="spellStart"/>
      <w:r w:rsidRPr="005F2B80">
        <w:rPr>
          <w:rFonts w:ascii="Arial" w:hAnsi="Arial" w:cs="Arial"/>
          <w:b/>
          <w:sz w:val="20"/>
          <w:szCs w:val="22"/>
        </w:rPr>
        <w:t>coming</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from</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trade</w:t>
      </w:r>
      <w:proofErr w:type="spellEnd"/>
      <w:r w:rsidRPr="005F2B80">
        <w:rPr>
          <w:rFonts w:ascii="Arial" w:hAnsi="Arial" w:cs="Arial"/>
          <w:b/>
          <w:sz w:val="20"/>
          <w:szCs w:val="22"/>
        </w:rPr>
        <w:t xml:space="preserve"> </w:t>
      </w:r>
      <w:proofErr w:type="spellStart"/>
      <w:r w:rsidRPr="005F2B80">
        <w:rPr>
          <w:rFonts w:ascii="Arial" w:hAnsi="Arial" w:cs="Arial"/>
          <w:b/>
          <w:sz w:val="20"/>
          <w:szCs w:val="22"/>
        </w:rPr>
        <w:t>repositories</w:t>
      </w:r>
      <w:proofErr w:type="spellEnd"/>
      <w:r w:rsidRPr="005F2B80">
        <w:rPr>
          <w:rFonts w:ascii="Arial" w:hAnsi="Arial" w:cs="Arial"/>
          <w:sz w:val="20"/>
          <w:szCs w:val="22"/>
        </w:rPr>
        <w:t>.</w:t>
      </w:r>
    </w:p>
    <w:p w:rsidR="008873FD" w:rsidRPr="005F2B80" w:rsidRDefault="008873FD" w:rsidP="008873FD">
      <w:pPr>
        <w:pStyle w:val="Default"/>
        <w:spacing w:line="276" w:lineRule="auto"/>
        <w:ind w:left="720"/>
        <w:jc w:val="both"/>
        <w:rPr>
          <w:rFonts w:ascii="Arial" w:hAnsi="Arial" w:cs="Arial"/>
          <w:sz w:val="20"/>
          <w:szCs w:val="22"/>
        </w:rPr>
      </w:pPr>
    </w:p>
    <w:p w:rsidR="008873FD" w:rsidRPr="0035577D" w:rsidRDefault="008873FD" w:rsidP="008873FD">
      <w:pPr>
        <w:pStyle w:val="Default"/>
        <w:numPr>
          <w:ilvl w:val="0"/>
          <w:numId w:val="42"/>
        </w:numPr>
        <w:spacing w:line="276" w:lineRule="auto"/>
        <w:jc w:val="both"/>
        <w:rPr>
          <w:rFonts w:ascii="Arial" w:hAnsi="Arial" w:cs="Arial"/>
          <w:sz w:val="22"/>
          <w:szCs w:val="22"/>
        </w:rPr>
      </w:pPr>
      <w:proofErr w:type="spellStart"/>
      <w:r w:rsidRPr="005F2B80">
        <w:rPr>
          <w:rFonts w:ascii="Arial" w:hAnsi="Arial" w:cs="Arial"/>
          <w:sz w:val="20"/>
          <w:szCs w:val="22"/>
        </w:rPr>
        <w:t>We</w:t>
      </w:r>
      <w:proofErr w:type="spellEnd"/>
      <w:r w:rsidRPr="005F2B80">
        <w:rPr>
          <w:rFonts w:ascii="Arial" w:hAnsi="Arial" w:cs="Arial"/>
          <w:sz w:val="20"/>
          <w:szCs w:val="22"/>
        </w:rPr>
        <w:t xml:space="preserve"> have no </w:t>
      </w:r>
      <w:proofErr w:type="spellStart"/>
      <w:r w:rsidRPr="005F2B80">
        <w:rPr>
          <w:rFonts w:ascii="Arial" w:hAnsi="Arial" w:cs="Arial"/>
          <w:sz w:val="20"/>
          <w:szCs w:val="22"/>
        </w:rPr>
        <w:t>particular</w:t>
      </w:r>
      <w:proofErr w:type="spellEnd"/>
      <w:r w:rsidRPr="005F2B80">
        <w:rPr>
          <w:rFonts w:ascii="Arial" w:hAnsi="Arial" w:cs="Arial"/>
          <w:sz w:val="20"/>
          <w:szCs w:val="22"/>
        </w:rPr>
        <w:t xml:space="preserve"> </w:t>
      </w:r>
      <w:proofErr w:type="spellStart"/>
      <w:r w:rsidRPr="005F2B80">
        <w:rPr>
          <w:rFonts w:ascii="Arial" w:hAnsi="Arial" w:cs="Arial"/>
          <w:sz w:val="20"/>
          <w:szCs w:val="22"/>
        </w:rPr>
        <w:t>view</w:t>
      </w:r>
      <w:proofErr w:type="spellEnd"/>
      <w:r w:rsidRPr="005F2B80">
        <w:rPr>
          <w:rFonts w:ascii="Arial" w:hAnsi="Arial" w:cs="Arial"/>
          <w:sz w:val="20"/>
          <w:szCs w:val="22"/>
        </w:rPr>
        <w:t xml:space="preserve"> on the net </w:t>
      </w:r>
      <w:proofErr w:type="spellStart"/>
      <w:r w:rsidRPr="005F2B80">
        <w:rPr>
          <w:rFonts w:ascii="Arial" w:hAnsi="Arial" w:cs="Arial"/>
          <w:sz w:val="20"/>
          <w:szCs w:val="22"/>
        </w:rPr>
        <w:t>asset</w:t>
      </w:r>
      <w:proofErr w:type="spellEnd"/>
      <w:r w:rsidRPr="005F2B80">
        <w:rPr>
          <w:rFonts w:ascii="Arial" w:hAnsi="Arial" w:cs="Arial"/>
          <w:sz w:val="20"/>
          <w:szCs w:val="22"/>
        </w:rPr>
        <w:t xml:space="preserve"> value of </w:t>
      </w:r>
      <w:proofErr w:type="spellStart"/>
      <w:r w:rsidRPr="005F2B80">
        <w:rPr>
          <w:rFonts w:ascii="Arial" w:hAnsi="Arial" w:cs="Arial"/>
          <w:sz w:val="20"/>
          <w:szCs w:val="22"/>
        </w:rPr>
        <w:t>investment</w:t>
      </w:r>
      <w:proofErr w:type="spellEnd"/>
      <w:r w:rsidRPr="005F2B80">
        <w:rPr>
          <w:rFonts w:ascii="Arial" w:hAnsi="Arial" w:cs="Arial"/>
          <w:sz w:val="20"/>
          <w:szCs w:val="22"/>
        </w:rPr>
        <w:t xml:space="preserve"> </w:t>
      </w:r>
      <w:proofErr w:type="spellStart"/>
      <w:r w:rsidRPr="005F2B80">
        <w:rPr>
          <w:rFonts w:ascii="Arial" w:hAnsi="Arial" w:cs="Arial"/>
          <w:sz w:val="20"/>
          <w:szCs w:val="22"/>
        </w:rPr>
        <w:t>funds</w:t>
      </w:r>
      <w:proofErr w:type="spellEnd"/>
      <w:r w:rsidRPr="005F2B80">
        <w:rPr>
          <w:rFonts w:ascii="Arial" w:hAnsi="Arial" w:cs="Arial"/>
          <w:sz w:val="20"/>
          <w:szCs w:val="22"/>
        </w:rPr>
        <w:t xml:space="preserve">, as long as ESMA </w:t>
      </w:r>
      <w:proofErr w:type="spellStart"/>
      <w:r w:rsidRPr="005F2B80">
        <w:rPr>
          <w:rFonts w:ascii="Arial" w:hAnsi="Arial" w:cs="Arial"/>
          <w:sz w:val="20"/>
          <w:szCs w:val="22"/>
        </w:rPr>
        <w:t>is</w:t>
      </w:r>
      <w:proofErr w:type="spellEnd"/>
      <w:r w:rsidRPr="005F2B80">
        <w:rPr>
          <w:rFonts w:ascii="Arial" w:hAnsi="Arial" w:cs="Arial"/>
          <w:sz w:val="20"/>
          <w:szCs w:val="22"/>
        </w:rPr>
        <w:t xml:space="preserve"> </w:t>
      </w:r>
      <w:proofErr w:type="spellStart"/>
      <w:r w:rsidRPr="005F2B80">
        <w:rPr>
          <w:rFonts w:ascii="Arial" w:hAnsi="Arial" w:cs="Arial"/>
          <w:sz w:val="20"/>
          <w:szCs w:val="22"/>
        </w:rPr>
        <w:t>b</w:t>
      </w:r>
      <w:r w:rsidRPr="005F2B80">
        <w:rPr>
          <w:rFonts w:ascii="Arial" w:hAnsi="Arial" w:cs="Arial"/>
          <w:sz w:val="20"/>
          <w:szCs w:val="22"/>
        </w:rPr>
        <w:t>a</w:t>
      </w:r>
      <w:r w:rsidRPr="005F2B80">
        <w:rPr>
          <w:rFonts w:ascii="Arial" w:hAnsi="Arial" w:cs="Arial"/>
          <w:sz w:val="20"/>
          <w:szCs w:val="22"/>
        </w:rPr>
        <w:t>sing</w:t>
      </w:r>
      <w:proofErr w:type="spellEnd"/>
      <w:r w:rsidRPr="005F2B80">
        <w:rPr>
          <w:rFonts w:ascii="Arial" w:hAnsi="Arial" w:cs="Arial"/>
          <w:sz w:val="20"/>
          <w:szCs w:val="22"/>
        </w:rPr>
        <w:t xml:space="preserve"> </w:t>
      </w:r>
      <w:proofErr w:type="spellStart"/>
      <w:r w:rsidRPr="005F2B80">
        <w:rPr>
          <w:rFonts w:ascii="Arial" w:hAnsi="Arial" w:cs="Arial"/>
          <w:sz w:val="20"/>
          <w:szCs w:val="22"/>
        </w:rPr>
        <w:t>this</w:t>
      </w:r>
      <w:proofErr w:type="spellEnd"/>
      <w:r w:rsidRPr="005F2B80">
        <w:rPr>
          <w:rFonts w:ascii="Arial" w:hAnsi="Arial" w:cs="Arial"/>
          <w:sz w:val="20"/>
          <w:szCs w:val="22"/>
        </w:rPr>
        <w:t xml:space="preserve"> on </w:t>
      </w:r>
      <w:proofErr w:type="spellStart"/>
      <w:r w:rsidRPr="005F2B80">
        <w:rPr>
          <w:rFonts w:ascii="Arial" w:hAnsi="Arial" w:cs="Arial"/>
          <w:sz w:val="20"/>
          <w:szCs w:val="22"/>
        </w:rPr>
        <w:t>existing</w:t>
      </w:r>
      <w:proofErr w:type="spellEnd"/>
      <w:r w:rsidRPr="005F2B80">
        <w:rPr>
          <w:rFonts w:ascii="Arial" w:hAnsi="Arial" w:cs="Arial"/>
          <w:sz w:val="20"/>
          <w:szCs w:val="22"/>
        </w:rPr>
        <w:t xml:space="preserve"> </w:t>
      </w:r>
      <w:proofErr w:type="spellStart"/>
      <w:r w:rsidRPr="005F2B80">
        <w:rPr>
          <w:rFonts w:ascii="Arial" w:hAnsi="Arial" w:cs="Arial"/>
          <w:sz w:val="20"/>
          <w:szCs w:val="22"/>
        </w:rPr>
        <w:t>rules</w:t>
      </w:r>
      <w:proofErr w:type="spellEnd"/>
      <w:r w:rsidRPr="005F2B80">
        <w:rPr>
          <w:rFonts w:ascii="Arial" w:hAnsi="Arial" w:cs="Arial"/>
          <w:sz w:val="20"/>
          <w:szCs w:val="22"/>
        </w:rPr>
        <w:t xml:space="preserve"> for </w:t>
      </w:r>
      <w:proofErr w:type="spellStart"/>
      <w:r w:rsidRPr="005F2B80">
        <w:rPr>
          <w:rFonts w:ascii="Arial" w:hAnsi="Arial" w:cs="Arial"/>
          <w:sz w:val="20"/>
          <w:szCs w:val="22"/>
        </w:rPr>
        <w:t>investment</w:t>
      </w:r>
      <w:proofErr w:type="spellEnd"/>
      <w:r w:rsidRPr="005F2B80">
        <w:rPr>
          <w:rFonts w:ascii="Arial" w:hAnsi="Arial" w:cs="Arial"/>
          <w:sz w:val="20"/>
          <w:szCs w:val="22"/>
        </w:rPr>
        <w:t xml:space="preserve"> </w:t>
      </w:r>
      <w:proofErr w:type="spellStart"/>
      <w:r w:rsidRPr="005F2B80">
        <w:rPr>
          <w:rFonts w:ascii="Arial" w:hAnsi="Arial" w:cs="Arial"/>
          <w:sz w:val="20"/>
          <w:szCs w:val="22"/>
        </w:rPr>
        <w:t>funds</w:t>
      </w:r>
      <w:proofErr w:type="spellEnd"/>
      <w:r w:rsidRPr="005F2B80">
        <w:rPr>
          <w:rFonts w:ascii="Arial" w:hAnsi="Arial" w:cs="Arial"/>
          <w:sz w:val="20"/>
          <w:szCs w:val="22"/>
        </w:rPr>
        <w:t xml:space="preserve"> and </w:t>
      </w:r>
      <w:proofErr w:type="spellStart"/>
      <w:r w:rsidRPr="005F2B80">
        <w:rPr>
          <w:rFonts w:ascii="Arial" w:hAnsi="Arial" w:cs="Arial"/>
          <w:sz w:val="20"/>
          <w:szCs w:val="22"/>
        </w:rPr>
        <w:t>does</w:t>
      </w:r>
      <w:proofErr w:type="spellEnd"/>
      <w:r w:rsidRPr="005F2B80">
        <w:rPr>
          <w:rFonts w:ascii="Arial" w:hAnsi="Arial" w:cs="Arial"/>
          <w:sz w:val="20"/>
          <w:szCs w:val="22"/>
        </w:rPr>
        <w:t xml:space="preserve"> not </w:t>
      </w:r>
      <w:proofErr w:type="spellStart"/>
      <w:r w:rsidRPr="005F2B80">
        <w:rPr>
          <w:rFonts w:ascii="Arial" w:hAnsi="Arial" w:cs="Arial"/>
          <w:sz w:val="20"/>
          <w:szCs w:val="22"/>
        </w:rPr>
        <w:t>create</w:t>
      </w:r>
      <w:proofErr w:type="spellEnd"/>
      <w:r w:rsidRPr="005F2B80">
        <w:rPr>
          <w:rFonts w:ascii="Arial" w:hAnsi="Arial" w:cs="Arial"/>
          <w:sz w:val="20"/>
          <w:szCs w:val="22"/>
        </w:rPr>
        <w:t xml:space="preserve"> </w:t>
      </w:r>
      <w:proofErr w:type="spellStart"/>
      <w:r w:rsidRPr="005F2B80">
        <w:rPr>
          <w:rFonts w:ascii="Arial" w:hAnsi="Arial" w:cs="Arial"/>
          <w:sz w:val="20"/>
          <w:szCs w:val="22"/>
        </w:rPr>
        <w:t>additional</w:t>
      </w:r>
      <w:proofErr w:type="spellEnd"/>
      <w:r w:rsidRPr="005F2B80">
        <w:rPr>
          <w:rFonts w:ascii="Arial" w:hAnsi="Arial" w:cs="Arial"/>
          <w:sz w:val="20"/>
          <w:szCs w:val="22"/>
        </w:rPr>
        <w:t xml:space="preserve"> </w:t>
      </w:r>
      <w:proofErr w:type="spellStart"/>
      <w:r w:rsidRPr="005F2B80">
        <w:rPr>
          <w:rFonts w:ascii="Arial" w:hAnsi="Arial" w:cs="Arial"/>
          <w:sz w:val="20"/>
          <w:szCs w:val="22"/>
        </w:rPr>
        <w:t>regulatory</w:t>
      </w:r>
      <w:proofErr w:type="spellEnd"/>
      <w:r w:rsidRPr="005F2B80">
        <w:rPr>
          <w:rFonts w:ascii="Arial" w:hAnsi="Arial" w:cs="Arial"/>
          <w:sz w:val="20"/>
          <w:szCs w:val="22"/>
        </w:rPr>
        <w:t xml:space="preserve"> </w:t>
      </w:r>
      <w:proofErr w:type="spellStart"/>
      <w:r w:rsidRPr="005F2B80">
        <w:rPr>
          <w:rFonts w:ascii="Arial" w:hAnsi="Arial" w:cs="Arial"/>
          <w:sz w:val="20"/>
          <w:szCs w:val="22"/>
        </w:rPr>
        <w:t>burden</w:t>
      </w:r>
      <w:proofErr w:type="spellEnd"/>
      <w:r w:rsidRPr="0035577D">
        <w:rPr>
          <w:rFonts w:ascii="Arial" w:hAnsi="Arial" w:cs="Arial"/>
          <w:sz w:val="22"/>
          <w:szCs w:val="22"/>
        </w:rPr>
        <w:t>.</w:t>
      </w:r>
    </w:p>
    <w:permEnd w:id="161640331"/>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9A2624" w:rsidRPr="005F2B80" w:rsidRDefault="008873FD" w:rsidP="009A2624">
      <w:pPr>
        <w:pStyle w:val="Default"/>
        <w:numPr>
          <w:ilvl w:val="0"/>
          <w:numId w:val="42"/>
        </w:numPr>
        <w:spacing w:line="276" w:lineRule="auto"/>
        <w:jc w:val="both"/>
        <w:rPr>
          <w:rFonts w:asciiTheme="minorHAnsi" w:hAnsiTheme="minorHAnsi"/>
          <w:sz w:val="20"/>
          <w:szCs w:val="22"/>
          <w:u w:val="single"/>
        </w:rPr>
      </w:pPr>
      <w:permStart w:id="1980508702" w:edGrp="everyone"/>
      <w:proofErr w:type="spellStart"/>
      <w:r w:rsidRPr="005F2B80">
        <w:rPr>
          <w:rFonts w:ascii="Arial" w:hAnsi="Arial" w:cs="Arial"/>
          <w:color w:val="auto"/>
          <w:sz w:val="20"/>
          <w:szCs w:val="22"/>
        </w:rPr>
        <w:t>We</w:t>
      </w:r>
      <w:proofErr w:type="spellEnd"/>
      <w:r w:rsidRPr="005F2B80">
        <w:rPr>
          <w:rFonts w:ascii="Arial" w:hAnsi="Arial" w:cs="Arial"/>
          <w:color w:val="auto"/>
          <w:sz w:val="20"/>
          <w:szCs w:val="22"/>
        </w:rPr>
        <w:t xml:space="preserve"> </w:t>
      </w:r>
      <w:r w:rsidRPr="005F2B80">
        <w:rPr>
          <w:rFonts w:ascii="Arial" w:hAnsi="Arial" w:cs="Arial"/>
          <w:b/>
          <w:color w:val="auto"/>
          <w:sz w:val="20"/>
          <w:szCs w:val="22"/>
        </w:rPr>
        <w:t xml:space="preserve">do not </w:t>
      </w:r>
      <w:proofErr w:type="spellStart"/>
      <w:r w:rsidRPr="005F2B80">
        <w:rPr>
          <w:rFonts w:ascii="Arial" w:hAnsi="Arial" w:cs="Arial"/>
          <w:b/>
          <w:color w:val="auto"/>
          <w:sz w:val="20"/>
          <w:szCs w:val="22"/>
        </w:rPr>
        <w:t>see</w:t>
      </w:r>
      <w:proofErr w:type="spellEnd"/>
      <w:r w:rsidRPr="005F2B80">
        <w:rPr>
          <w:rFonts w:ascii="Arial" w:hAnsi="Arial" w:cs="Arial"/>
          <w:b/>
          <w:color w:val="auto"/>
          <w:sz w:val="20"/>
          <w:szCs w:val="22"/>
        </w:rPr>
        <w:t xml:space="preserve"> the </w:t>
      </w:r>
      <w:proofErr w:type="spellStart"/>
      <w:r w:rsidRPr="005F2B80">
        <w:rPr>
          <w:rFonts w:ascii="Arial" w:hAnsi="Arial" w:cs="Arial"/>
          <w:b/>
          <w:color w:val="auto"/>
          <w:sz w:val="20"/>
          <w:szCs w:val="22"/>
        </w:rPr>
        <w:t>need</w:t>
      </w:r>
      <w:proofErr w:type="spellEnd"/>
      <w:r w:rsidRPr="005F2B80">
        <w:rPr>
          <w:rFonts w:ascii="Arial" w:hAnsi="Arial" w:cs="Arial"/>
          <w:b/>
          <w:color w:val="auto"/>
          <w:sz w:val="20"/>
          <w:szCs w:val="22"/>
        </w:rPr>
        <w:t xml:space="preserve"> to </w:t>
      </w:r>
      <w:proofErr w:type="spellStart"/>
      <w:r w:rsidRPr="005F2B80">
        <w:rPr>
          <w:rFonts w:ascii="Arial" w:hAnsi="Arial" w:cs="Arial"/>
          <w:b/>
          <w:color w:val="auto"/>
          <w:sz w:val="20"/>
          <w:szCs w:val="22"/>
        </w:rPr>
        <w:t>include</w:t>
      </w:r>
      <w:proofErr w:type="spellEnd"/>
      <w:r w:rsidRPr="005F2B80">
        <w:rPr>
          <w:rFonts w:ascii="Arial" w:hAnsi="Arial" w:cs="Arial"/>
          <w:b/>
          <w:color w:val="auto"/>
          <w:sz w:val="20"/>
          <w:szCs w:val="22"/>
        </w:rPr>
        <w:t xml:space="preserve"> </w:t>
      </w:r>
      <w:proofErr w:type="spellStart"/>
      <w:r w:rsidRPr="005F2B80">
        <w:rPr>
          <w:rFonts w:ascii="Arial" w:hAnsi="Arial" w:cs="Arial"/>
          <w:b/>
          <w:color w:val="auto"/>
          <w:sz w:val="20"/>
          <w:szCs w:val="22"/>
        </w:rPr>
        <w:t>any</w:t>
      </w:r>
      <w:proofErr w:type="spellEnd"/>
      <w:r w:rsidRPr="005F2B80">
        <w:rPr>
          <w:rFonts w:ascii="Arial" w:hAnsi="Arial" w:cs="Arial"/>
          <w:b/>
          <w:color w:val="auto"/>
          <w:sz w:val="20"/>
          <w:szCs w:val="22"/>
        </w:rPr>
        <w:t xml:space="preserve"> </w:t>
      </w:r>
      <w:proofErr w:type="spellStart"/>
      <w:r w:rsidRPr="005F2B80">
        <w:rPr>
          <w:rFonts w:ascii="Arial" w:hAnsi="Arial" w:cs="Arial"/>
          <w:b/>
          <w:color w:val="auto"/>
          <w:sz w:val="20"/>
          <w:szCs w:val="22"/>
        </w:rPr>
        <w:t>additional</w:t>
      </w:r>
      <w:proofErr w:type="spellEnd"/>
      <w:r w:rsidRPr="005F2B80">
        <w:rPr>
          <w:rFonts w:ascii="Arial" w:hAnsi="Arial" w:cs="Arial"/>
          <w:b/>
          <w:color w:val="auto"/>
          <w:sz w:val="20"/>
          <w:szCs w:val="22"/>
        </w:rPr>
        <w:t xml:space="preserve"> </w:t>
      </w:r>
      <w:proofErr w:type="spellStart"/>
      <w:r w:rsidRPr="005F2B80">
        <w:rPr>
          <w:rFonts w:ascii="Arial" w:hAnsi="Arial" w:cs="Arial"/>
          <w:b/>
          <w:color w:val="auto"/>
          <w:sz w:val="20"/>
          <w:szCs w:val="22"/>
        </w:rPr>
        <w:t>criteria</w:t>
      </w:r>
      <w:proofErr w:type="spellEnd"/>
      <w:r w:rsidRPr="005F2B80">
        <w:rPr>
          <w:rFonts w:ascii="Arial" w:hAnsi="Arial" w:cs="Arial"/>
          <w:color w:val="auto"/>
          <w:sz w:val="20"/>
          <w:szCs w:val="22"/>
        </w:rPr>
        <w:t xml:space="preserve">; the </w:t>
      </w:r>
      <w:proofErr w:type="spellStart"/>
      <w:r w:rsidRPr="005F2B80">
        <w:rPr>
          <w:rFonts w:ascii="Arial" w:hAnsi="Arial" w:cs="Arial"/>
          <w:color w:val="auto"/>
          <w:sz w:val="20"/>
          <w:szCs w:val="22"/>
        </w:rPr>
        <w:t>criteria</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proposed</w:t>
      </w:r>
      <w:proofErr w:type="spellEnd"/>
      <w:r w:rsidRPr="005F2B80">
        <w:rPr>
          <w:rFonts w:ascii="Arial" w:hAnsi="Arial" w:cs="Arial"/>
          <w:color w:val="auto"/>
          <w:sz w:val="20"/>
          <w:szCs w:val="22"/>
        </w:rPr>
        <w:t xml:space="preserve"> by ESMA are </w:t>
      </w:r>
      <w:proofErr w:type="spellStart"/>
      <w:r w:rsidRPr="005F2B80">
        <w:rPr>
          <w:rFonts w:ascii="Arial" w:hAnsi="Arial" w:cs="Arial"/>
          <w:color w:val="auto"/>
          <w:sz w:val="20"/>
          <w:szCs w:val="22"/>
        </w:rPr>
        <w:t>sufficiently</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comprehensive</w:t>
      </w:r>
      <w:proofErr w:type="spellEnd"/>
      <w:r w:rsidRPr="005F2B80">
        <w:rPr>
          <w:rFonts w:asciiTheme="minorHAnsi" w:hAnsiTheme="minorHAnsi"/>
          <w:color w:val="auto"/>
          <w:sz w:val="20"/>
          <w:szCs w:val="22"/>
        </w:rPr>
        <w:t>.</w:t>
      </w:r>
    </w:p>
    <w:permEnd w:id="1980508702"/>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8873FD" w:rsidRPr="005F2B80" w:rsidRDefault="008873FD" w:rsidP="008873FD">
      <w:pPr>
        <w:pStyle w:val="Default"/>
        <w:numPr>
          <w:ilvl w:val="0"/>
          <w:numId w:val="42"/>
        </w:numPr>
        <w:spacing w:line="276" w:lineRule="auto"/>
        <w:jc w:val="both"/>
        <w:rPr>
          <w:rFonts w:ascii="Arial" w:hAnsi="Arial" w:cs="Arial"/>
          <w:sz w:val="20"/>
          <w:szCs w:val="22"/>
          <w:u w:val="single"/>
        </w:rPr>
      </w:pPr>
      <w:permStart w:id="1553033635" w:edGrp="everyone"/>
      <w:proofErr w:type="spellStart"/>
      <w:r w:rsidRPr="005F2B80">
        <w:rPr>
          <w:rFonts w:ascii="Arial" w:hAnsi="Arial" w:cs="Arial"/>
          <w:color w:val="auto"/>
          <w:sz w:val="20"/>
          <w:szCs w:val="22"/>
        </w:rPr>
        <w:t>We</w:t>
      </w:r>
      <w:proofErr w:type="spellEnd"/>
      <w:r w:rsidRPr="005F2B80">
        <w:rPr>
          <w:rFonts w:ascii="Arial" w:hAnsi="Arial" w:cs="Arial"/>
          <w:color w:val="auto"/>
          <w:sz w:val="20"/>
          <w:szCs w:val="22"/>
        </w:rPr>
        <w:t xml:space="preserve"> do not </w:t>
      </w:r>
      <w:proofErr w:type="spellStart"/>
      <w:r w:rsidRPr="005F2B80">
        <w:rPr>
          <w:rFonts w:ascii="Arial" w:hAnsi="Arial" w:cs="Arial"/>
          <w:color w:val="auto"/>
          <w:sz w:val="20"/>
          <w:szCs w:val="22"/>
        </w:rPr>
        <w:t>think</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that</w:t>
      </w:r>
      <w:proofErr w:type="spellEnd"/>
      <w:r w:rsidRPr="005F2B80">
        <w:rPr>
          <w:rFonts w:ascii="Arial" w:hAnsi="Arial" w:cs="Arial"/>
          <w:color w:val="auto"/>
          <w:sz w:val="20"/>
          <w:szCs w:val="22"/>
        </w:rPr>
        <w:t xml:space="preserve"> the concept of “</w:t>
      </w:r>
      <w:proofErr w:type="spellStart"/>
      <w:r w:rsidRPr="005F2B80">
        <w:rPr>
          <w:rFonts w:ascii="Arial" w:hAnsi="Arial" w:cs="Arial"/>
          <w:color w:val="auto"/>
          <w:sz w:val="20"/>
          <w:szCs w:val="22"/>
        </w:rPr>
        <w:t>significant</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share</w:t>
      </w:r>
      <w:proofErr w:type="spellEnd"/>
      <w:r w:rsidRPr="005F2B80">
        <w:rPr>
          <w:rFonts w:ascii="Arial" w:hAnsi="Arial" w:cs="Arial"/>
          <w:color w:val="auto"/>
          <w:sz w:val="20"/>
          <w:szCs w:val="22"/>
        </w:rPr>
        <w:t xml:space="preserve"> of” </w:t>
      </w:r>
      <w:proofErr w:type="spellStart"/>
      <w:r w:rsidRPr="005F2B80">
        <w:rPr>
          <w:rFonts w:ascii="Arial" w:hAnsi="Arial" w:cs="Arial"/>
          <w:color w:val="auto"/>
          <w:sz w:val="20"/>
          <w:szCs w:val="22"/>
        </w:rPr>
        <w:t>needs</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further</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development</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We</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wonder</w:t>
      </w:r>
      <w:proofErr w:type="spellEnd"/>
      <w:r w:rsidRPr="005F2B80">
        <w:rPr>
          <w:rFonts w:ascii="Arial" w:hAnsi="Arial" w:cs="Arial"/>
          <w:color w:val="auto"/>
          <w:sz w:val="20"/>
          <w:szCs w:val="22"/>
        </w:rPr>
        <w:t xml:space="preserve"> about the </w:t>
      </w:r>
      <w:proofErr w:type="spellStart"/>
      <w:r w:rsidRPr="005F2B80">
        <w:rPr>
          <w:rFonts w:ascii="Arial" w:hAnsi="Arial" w:cs="Arial"/>
          <w:b/>
          <w:color w:val="auto"/>
          <w:sz w:val="20"/>
          <w:szCs w:val="22"/>
        </w:rPr>
        <w:t>consistency</w:t>
      </w:r>
      <w:proofErr w:type="spellEnd"/>
      <w:r w:rsidRPr="005F2B80">
        <w:rPr>
          <w:rFonts w:ascii="Arial" w:hAnsi="Arial" w:cs="Arial"/>
          <w:b/>
          <w:color w:val="auto"/>
          <w:sz w:val="20"/>
          <w:szCs w:val="22"/>
        </w:rPr>
        <w:t xml:space="preserve"> in the application of qualitative </w:t>
      </w:r>
      <w:proofErr w:type="spellStart"/>
      <w:r w:rsidRPr="005F2B80">
        <w:rPr>
          <w:rFonts w:ascii="Arial" w:hAnsi="Arial" w:cs="Arial"/>
          <w:b/>
          <w:color w:val="auto"/>
          <w:sz w:val="20"/>
          <w:szCs w:val="22"/>
        </w:rPr>
        <w:t>criteria</w:t>
      </w:r>
      <w:proofErr w:type="spellEnd"/>
      <w:r w:rsidRPr="005F2B80">
        <w:rPr>
          <w:rFonts w:ascii="Arial" w:hAnsi="Arial" w:cs="Arial"/>
          <w:b/>
          <w:color w:val="auto"/>
          <w:sz w:val="20"/>
          <w:szCs w:val="22"/>
        </w:rPr>
        <w:t xml:space="preserve"> </w:t>
      </w:r>
      <w:proofErr w:type="spellStart"/>
      <w:r w:rsidRPr="005F2B80">
        <w:rPr>
          <w:rFonts w:ascii="Arial" w:hAnsi="Arial" w:cs="Arial"/>
          <w:b/>
          <w:color w:val="auto"/>
          <w:sz w:val="20"/>
          <w:szCs w:val="22"/>
        </w:rPr>
        <w:t>across</w:t>
      </w:r>
      <w:proofErr w:type="spellEnd"/>
      <w:r w:rsidRPr="005F2B80">
        <w:rPr>
          <w:rFonts w:ascii="Arial" w:hAnsi="Arial" w:cs="Arial"/>
          <w:b/>
          <w:color w:val="auto"/>
          <w:sz w:val="20"/>
          <w:szCs w:val="22"/>
        </w:rPr>
        <w:t xml:space="preserve"> </w:t>
      </w:r>
      <w:proofErr w:type="spellStart"/>
      <w:r w:rsidRPr="005F2B80">
        <w:rPr>
          <w:rFonts w:ascii="Arial" w:hAnsi="Arial" w:cs="Arial"/>
          <w:b/>
          <w:color w:val="auto"/>
          <w:sz w:val="20"/>
          <w:szCs w:val="22"/>
        </w:rPr>
        <w:t>jurisdictions</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We</w:t>
      </w:r>
      <w:proofErr w:type="spellEnd"/>
      <w:r w:rsidRPr="005F2B80">
        <w:rPr>
          <w:rFonts w:ascii="Arial" w:hAnsi="Arial" w:cs="Arial"/>
          <w:color w:val="auto"/>
          <w:sz w:val="20"/>
          <w:szCs w:val="22"/>
        </w:rPr>
        <w:t xml:space="preserve"> are </w:t>
      </w:r>
      <w:proofErr w:type="spellStart"/>
      <w:r w:rsidRPr="005F2B80">
        <w:rPr>
          <w:rFonts w:ascii="Arial" w:hAnsi="Arial" w:cs="Arial"/>
          <w:color w:val="auto"/>
          <w:sz w:val="20"/>
          <w:szCs w:val="22"/>
        </w:rPr>
        <w:t>aware</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that</w:t>
      </w:r>
      <w:proofErr w:type="spellEnd"/>
      <w:r w:rsidRPr="005F2B80">
        <w:rPr>
          <w:rFonts w:ascii="Arial" w:hAnsi="Arial" w:cs="Arial"/>
          <w:color w:val="auto"/>
          <w:sz w:val="20"/>
          <w:szCs w:val="22"/>
        </w:rPr>
        <w:t xml:space="preserve"> in </w:t>
      </w:r>
      <w:proofErr w:type="spellStart"/>
      <w:r w:rsidRPr="005F2B80">
        <w:rPr>
          <w:rFonts w:ascii="Arial" w:hAnsi="Arial" w:cs="Arial"/>
          <w:color w:val="auto"/>
          <w:sz w:val="20"/>
          <w:szCs w:val="22"/>
        </w:rPr>
        <w:t>some</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jurisdictions</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smaller</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Member</w:t>
      </w:r>
      <w:proofErr w:type="spellEnd"/>
      <w:r w:rsidRPr="005F2B80">
        <w:rPr>
          <w:rFonts w:ascii="Arial" w:hAnsi="Arial" w:cs="Arial"/>
          <w:color w:val="auto"/>
          <w:sz w:val="20"/>
          <w:szCs w:val="22"/>
        </w:rPr>
        <w:t xml:space="preserve"> States in </w:t>
      </w:r>
      <w:proofErr w:type="spellStart"/>
      <w:r w:rsidRPr="005F2B80">
        <w:rPr>
          <w:rFonts w:ascii="Arial" w:hAnsi="Arial" w:cs="Arial"/>
          <w:color w:val="auto"/>
          <w:sz w:val="20"/>
          <w:szCs w:val="22"/>
        </w:rPr>
        <w:t>particular</w:t>
      </w:r>
      <w:proofErr w:type="spellEnd"/>
      <w:r w:rsidRPr="005F2B80">
        <w:rPr>
          <w:rFonts w:ascii="Arial" w:hAnsi="Arial" w:cs="Arial"/>
          <w:color w:val="auto"/>
          <w:sz w:val="20"/>
          <w:szCs w:val="22"/>
        </w:rPr>
        <w:t xml:space="preserve">, a </w:t>
      </w:r>
      <w:proofErr w:type="spellStart"/>
      <w:r w:rsidRPr="005F2B80">
        <w:rPr>
          <w:rFonts w:ascii="Arial" w:hAnsi="Arial" w:cs="Arial"/>
          <w:color w:val="auto"/>
          <w:sz w:val="20"/>
          <w:szCs w:val="22"/>
        </w:rPr>
        <w:t>relat</w:t>
      </w:r>
      <w:r w:rsidRPr="005F2B80">
        <w:rPr>
          <w:rFonts w:ascii="Arial" w:hAnsi="Arial" w:cs="Arial"/>
          <w:color w:val="auto"/>
          <w:sz w:val="20"/>
          <w:szCs w:val="22"/>
        </w:rPr>
        <w:t>i</w:t>
      </w:r>
      <w:r w:rsidRPr="005F2B80">
        <w:rPr>
          <w:rFonts w:ascii="Arial" w:hAnsi="Arial" w:cs="Arial"/>
          <w:color w:val="auto"/>
          <w:sz w:val="20"/>
          <w:szCs w:val="22"/>
        </w:rPr>
        <w:t>vely</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small</w:t>
      </w:r>
      <w:proofErr w:type="spellEnd"/>
      <w:r w:rsidRPr="005F2B80">
        <w:rPr>
          <w:rFonts w:ascii="Arial" w:hAnsi="Arial" w:cs="Arial"/>
          <w:color w:val="auto"/>
          <w:sz w:val="20"/>
          <w:szCs w:val="22"/>
        </w:rPr>
        <w:t xml:space="preserve"> benchmark </w:t>
      </w:r>
      <w:proofErr w:type="spellStart"/>
      <w:r w:rsidRPr="005F2B80">
        <w:rPr>
          <w:rFonts w:ascii="Arial" w:hAnsi="Arial" w:cs="Arial"/>
          <w:color w:val="auto"/>
          <w:sz w:val="20"/>
          <w:szCs w:val="22"/>
        </w:rPr>
        <w:lastRenderedPageBreak/>
        <w:t>could</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be</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deemed</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critical</w:t>
      </w:r>
      <w:proofErr w:type="spellEnd"/>
      <w:r w:rsidRPr="005F2B80">
        <w:rPr>
          <w:rFonts w:ascii="Arial" w:hAnsi="Arial" w:cs="Arial"/>
          <w:color w:val="auto"/>
          <w:sz w:val="20"/>
          <w:szCs w:val="22"/>
        </w:rPr>
        <w:t xml:space="preserve"> – </w:t>
      </w:r>
      <w:proofErr w:type="spellStart"/>
      <w:r w:rsidRPr="005F2B80">
        <w:rPr>
          <w:rFonts w:ascii="Arial" w:hAnsi="Arial" w:cs="Arial"/>
          <w:color w:val="auto"/>
          <w:sz w:val="20"/>
          <w:szCs w:val="22"/>
        </w:rPr>
        <w:t>which</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would</w:t>
      </w:r>
      <w:proofErr w:type="spellEnd"/>
      <w:r w:rsidRPr="005F2B80">
        <w:rPr>
          <w:rFonts w:ascii="Arial" w:hAnsi="Arial" w:cs="Arial"/>
          <w:color w:val="auto"/>
          <w:sz w:val="20"/>
          <w:szCs w:val="22"/>
        </w:rPr>
        <w:t xml:space="preserve"> not </w:t>
      </w:r>
      <w:proofErr w:type="spellStart"/>
      <w:r w:rsidRPr="005F2B80">
        <w:rPr>
          <w:rFonts w:ascii="Arial" w:hAnsi="Arial" w:cs="Arial"/>
          <w:color w:val="auto"/>
          <w:sz w:val="20"/>
          <w:szCs w:val="22"/>
        </w:rPr>
        <w:t>be</w:t>
      </w:r>
      <w:proofErr w:type="spellEnd"/>
      <w:r w:rsidRPr="005F2B80">
        <w:rPr>
          <w:rFonts w:ascii="Arial" w:hAnsi="Arial" w:cs="Arial"/>
          <w:color w:val="auto"/>
          <w:sz w:val="20"/>
          <w:szCs w:val="22"/>
        </w:rPr>
        <w:t xml:space="preserve"> the case if a “</w:t>
      </w:r>
      <w:proofErr w:type="spellStart"/>
      <w:r w:rsidRPr="005F2B80">
        <w:rPr>
          <w:rFonts w:ascii="Arial" w:hAnsi="Arial" w:cs="Arial"/>
          <w:color w:val="auto"/>
          <w:sz w:val="20"/>
          <w:szCs w:val="22"/>
        </w:rPr>
        <w:t>Pan-European</w:t>
      </w:r>
      <w:proofErr w:type="spellEnd"/>
      <w:r w:rsidRPr="005F2B80">
        <w:rPr>
          <w:rFonts w:ascii="Arial" w:hAnsi="Arial" w:cs="Arial"/>
          <w:color w:val="auto"/>
          <w:sz w:val="20"/>
          <w:szCs w:val="22"/>
        </w:rPr>
        <w:t xml:space="preserve">” qualitative test </w:t>
      </w:r>
      <w:proofErr w:type="spellStart"/>
      <w:r w:rsidRPr="005F2B80">
        <w:rPr>
          <w:rFonts w:ascii="Arial" w:hAnsi="Arial" w:cs="Arial"/>
          <w:color w:val="auto"/>
          <w:sz w:val="20"/>
          <w:szCs w:val="22"/>
        </w:rPr>
        <w:t>was</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applied</w:t>
      </w:r>
      <w:proofErr w:type="spellEnd"/>
      <w:r w:rsidRPr="005F2B80">
        <w:rPr>
          <w:rFonts w:ascii="Arial" w:hAnsi="Arial" w:cs="Arial"/>
          <w:color w:val="auto"/>
          <w:sz w:val="20"/>
          <w:szCs w:val="22"/>
        </w:rPr>
        <w:t xml:space="preserve"> </w:t>
      </w:r>
      <w:proofErr w:type="spellStart"/>
      <w:r w:rsidRPr="005F2B80">
        <w:rPr>
          <w:rFonts w:ascii="Arial" w:hAnsi="Arial" w:cs="Arial"/>
          <w:color w:val="auto"/>
          <w:sz w:val="20"/>
          <w:szCs w:val="22"/>
        </w:rPr>
        <w:t>instead</w:t>
      </w:r>
      <w:proofErr w:type="spellEnd"/>
      <w:r w:rsidRPr="005F2B80">
        <w:rPr>
          <w:rFonts w:ascii="Arial" w:hAnsi="Arial" w:cs="Arial"/>
          <w:color w:val="auto"/>
          <w:sz w:val="20"/>
          <w:szCs w:val="22"/>
        </w:rPr>
        <w:t xml:space="preserve">. </w:t>
      </w:r>
    </w:p>
    <w:permEnd w:id="1553033635"/>
    <w:p w:rsidR="009A2624" w:rsidRDefault="00665C07" w:rsidP="009A2624">
      <w:r>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35577D" w:rsidRPr="005F2B80" w:rsidRDefault="0035577D" w:rsidP="0035577D">
      <w:pPr>
        <w:numPr>
          <w:ilvl w:val="0"/>
          <w:numId w:val="44"/>
        </w:numPr>
        <w:spacing w:after="200" w:line="276" w:lineRule="auto"/>
        <w:contextualSpacing/>
        <w:jc w:val="both"/>
        <w:rPr>
          <w:rFonts w:eastAsiaTheme="minorEastAsia" w:cs="Arial"/>
          <w:sz w:val="21"/>
          <w:szCs w:val="22"/>
          <w:lang w:eastAsia="zh-CN"/>
        </w:rPr>
      </w:pPr>
      <w:permStart w:id="1081308589" w:edGrp="everyone"/>
      <w:r w:rsidRPr="005F2B80">
        <w:rPr>
          <w:rFonts w:eastAsiaTheme="minorEastAsia" w:cs="Arial"/>
          <w:sz w:val="21"/>
          <w:szCs w:val="22"/>
          <w:lang w:eastAsia="zh-CN"/>
        </w:rPr>
        <w:t xml:space="preserve">LSEG is in favour of robust and competitive benchmarks and, therefore, the </w:t>
      </w:r>
      <w:r w:rsidRPr="005F2B80">
        <w:rPr>
          <w:rFonts w:eastAsiaTheme="minorEastAsia" w:cs="Arial"/>
          <w:b/>
          <w:sz w:val="21"/>
          <w:szCs w:val="22"/>
          <w:lang w:eastAsia="zh-CN"/>
        </w:rPr>
        <w:t>requirement to provide objective criteria should not be set unnecessarily high</w:t>
      </w:r>
      <w:r w:rsidRPr="005F2B80">
        <w:rPr>
          <w:rFonts w:eastAsiaTheme="minorEastAsia" w:cs="Arial"/>
          <w:sz w:val="21"/>
          <w:szCs w:val="22"/>
          <w:lang w:eastAsia="zh-CN"/>
        </w:rPr>
        <w:t xml:space="preserve">. </w:t>
      </w:r>
    </w:p>
    <w:p w:rsidR="0035577D" w:rsidRPr="005F2B80" w:rsidRDefault="0035577D" w:rsidP="0035577D">
      <w:pPr>
        <w:spacing w:after="200" w:line="276" w:lineRule="auto"/>
        <w:ind w:left="720"/>
        <w:contextualSpacing/>
        <w:jc w:val="both"/>
        <w:rPr>
          <w:rFonts w:eastAsiaTheme="minorEastAsia" w:cs="Arial"/>
          <w:sz w:val="21"/>
          <w:szCs w:val="22"/>
          <w:lang w:eastAsia="zh-CN"/>
        </w:rPr>
      </w:pPr>
    </w:p>
    <w:p w:rsidR="0035577D" w:rsidRPr="005F2B80" w:rsidRDefault="0035577D" w:rsidP="0035577D">
      <w:pPr>
        <w:numPr>
          <w:ilvl w:val="0"/>
          <w:numId w:val="44"/>
        </w:numPr>
        <w:spacing w:after="200" w:line="276" w:lineRule="auto"/>
        <w:contextualSpacing/>
        <w:jc w:val="both"/>
        <w:rPr>
          <w:rFonts w:eastAsiaTheme="minorEastAsia" w:cs="Arial"/>
          <w:sz w:val="21"/>
          <w:szCs w:val="22"/>
          <w:lang w:eastAsia="zh-CN"/>
        </w:rPr>
      </w:pPr>
      <w:r w:rsidRPr="005F2B80">
        <w:rPr>
          <w:rFonts w:eastAsiaTheme="minorEastAsia" w:cs="Arial"/>
          <w:sz w:val="21"/>
          <w:szCs w:val="22"/>
          <w:lang w:eastAsia="zh-CN"/>
        </w:rPr>
        <w:t xml:space="preserve">We encourage ESMA to </w:t>
      </w:r>
      <w:r w:rsidRPr="005F2B80">
        <w:rPr>
          <w:rFonts w:eastAsiaTheme="minorEastAsia" w:cs="Arial"/>
          <w:b/>
          <w:sz w:val="21"/>
          <w:szCs w:val="22"/>
          <w:lang w:eastAsia="zh-CN"/>
        </w:rPr>
        <w:t>clarify how the criteria listed in the Draft Technical Advice on Article 33 will apply</w:t>
      </w:r>
      <w:r w:rsidRPr="005F2B80">
        <w:rPr>
          <w:rFonts w:eastAsiaTheme="minorEastAsia" w:cs="Arial"/>
          <w:sz w:val="21"/>
          <w:szCs w:val="22"/>
          <w:lang w:eastAsia="zh-CN"/>
        </w:rPr>
        <w:t xml:space="preserve">. We understand that some of the criteria are of systemic nature and others are purely commercial. We believe </w:t>
      </w:r>
      <w:r w:rsidRPr="005F2B80">
        <w:rPr>
          <w:rFonts w:eastAsiaTheme="minorEastAsia" w:cs="Arial"/>
          <w:b/>
          <w:sz w:val="21"/>
          <w:szCs w:val="22"/>
          <w:lang w:eastAsia="zh-CN"/>
        </w:rPr>
        <w:t>it would not be realistic to satisfy all of them</w:t>
      </w:r>
      <w:r w:rsidRPr="005F2B80">
        <w:rPr>
          <w:rFonts w:eastAsiaTheme="minorEastAsia" w:cs="Arial"/>
          <w:sz w:val="21"/>
          <w:szCs w:val="22"/>
          <w:lang w:eastAsia="zh-CN"/>
        </w:rPr>
        <w:t xml:space="preserve"> in order for the competent authority of the administrator to establish an objective reason for e</w:t>
      </w:r>
      <w:r w:rsidRPr="005F2B80">
        <w:rPr>
          <w:rFonts w:eastAsiaTheme="minorEastAsia" w:cs="Arial"/>
          <w:sz w:val="21"/>
          <w:szCs w:val="22"/>
          <w:lang w:eastAsia="zh-CN"/>
        </w:rPr>
        <w:t>n</w:t>
      </w:r>
      <w:r w:rsidRPr="005F2B80">
        <w:rPr>
          <w:rFonts w:eastAsiaTheme="minorEastAsia" w:cs="Arial"/>
          <w:sz w:val="21"/>
          <w:szCs w:val="22"/>
          <w:lang w:eastAsia="zh-CN"/>
        </w:rPr>
        <w:t>dorsement.</w:t>
      </w:r>
    </w:p>
    <w:p w:rsidR="0035577D" w:rsidRPr="005F2B80" w:rsidRDefault="0035577D" w:rsidP="0035577D">
      <w:pPr>
        <w:spacing w:after="200" w:line="276" w:lineRule="auto"/>
        <w:ind w:left="720"/>
        <w:contextualSpacing/>
        <w:rPr>
          <w:rFonts w:eastAsiaTheme="minorEastAsia" w:cs="Arial"/>
          <w:sz w:val="21"/>
          <w:szCs w:val="22"/>
          <w:lang w:eastAsia="zh-CN"/>
        </w:rPr>
      </w:pPr>
    </w:p>
    <w:p w:rsidR="0035577D" w:rsidRPr="005F2B80" w:rsidRDefault="0035577D" w:rsidP="0035577D">
      <w:pPr>
        <w:numPr>
          <w:ilvl w:val="0"/>
          <w:numId w:val="44"/>
        </w:numPr>
        <w:spacing w:after="200" w:line="276" w:lineRule="auto"/>
        <w:contextualSpacing/>
        <w:jc w:val="both"/>
        <w:rPr>
          <w:rFonts w:eastAsiaTheme="minorEastAsia" w:cs="Arial"/>
          <w:sz w:val="21"/>
          <w:szCs w:val="22"/>
          <w:lang w:eastAsia="zh-CN"/>
        </w:rPr>
      </w:pPr>
      <w:r w:rsidRPr="005F2B80">
        <w:rPr>
          <w:rFonts w:eastAsiaTheme="minorEastAsia" w:cs="Arial"/>
          <w:sz w:val="21"/>
          <w:szCs w:val="22"/>
          <w:lang w:eastAsia="zh-CN"/>
        </w:rPr>
        <w:t xml:space="preserve">In particular, we recommend </w:t>
      </w:r>
      <w:r w:rsidRPr="005F2B80">
        <w:rPr>
          <w:rFonts w:eastAsiaTheme="minorEastAsia" w:cs="Arial"/>
          <w:b/>
          <w:sz w:val="21"/>
          <w:szCs w:val="22"/>
          <w:lang w:eastAsia="zh-CN"/>
        </w:rPr>
        <w:t>adding current investor demand as a supporting indic</w:t>
      </w:r>
      <w:r w:rsidRPr="005F2B80">
        <w:rPr>
          <w:rFonts w:eastAsiaTheme="minorEastAsia" w:cs="Arial"/>
          <w:b/>
          <w:sz w:val="21"/>
          <w:szCs w:val="22"/>
          <w:lang w:eastAsia="zh-CN"/>
        </w:rPr>
        <w:t>a</w:t>
      </w:r>
      <w:r w:rsidRPr="005F2B80">
        <w:rPr>
          <w:rFonts w:eastAsiaTheme="minorEastAsia" w:cs="Arial"/>
          <w:b/>
          <w:sz w:val="21"/>
          <w:szCs w:val="22"/>
          <w:lang w:eastAsia="zh-CN"/>
        </w:rPr>
        <w:t>tor</w:t>
      </w:r>
      <w:r w:rsidRPr="005F2B80">
        <w:rPr>
          <w:rFonts w:eastAsiaTheme="minorEastAsia" w:cs="Arial"/>
          <w:sz w:val="21"/>
          <w:szCs w:val="22"/>
          <w:lang w:eastAsia="zh-CN"/>
        </w:rPr>
        <w:t xml:space="preserve">. We are particularly pleased that commercial reasons (such as joint venture), efficiency and cost saving are being considered as a </w:t>
      </w:r>
      <w:r w:rsidRPr="005F2B80">
        <w:rPr>
          <w:rFonts w:eastAsiaTheme="minorEastAsia" w:cs="Arial"/>
          <w:bCs/>
          <w:sz w:val="21"/>
          <w:szCs w:val="22"/>
          <w:lang w:eastAsia="zh-CN"/>
        </w:rPr>
        <w:t>supporting</w:t>
      </w:r>
      <w:r w:rsidRPr="005F2B80">
        <w:rPr>
          <w:rFonts w:eastAsiaTheme="minorEastAsia" w:cs="Arial"/>
          <w:sz w:val="21"/>
          <w:szCs w:val="22"/>
          <w:lang w:eastAsia="zh-CN"/>
        </w:rPr>
        <w:t xml:space="preserve"> indicator.</w:t>
      </w:r>
    </w:p>
    <w:permEnd w:id="1081308589"/>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35577D" w:rsidRPr="00BD3F67" w:rsidRDefault="0035577D" w:rsidP="0035577D">
      <w:pPr>
        <w:pStyle w:val="ListParagraph"/>
        <w:numPr>
          <w:ilvl w:val="0"/>
          <w:numId w:val="44"/>
        </w:numPr>
        <w:spacing w:after="200" w:line="276" w:lineRule="auto"/>
        <w:rPr>
          <w:rFonts w:cs="Arial"/>
        </w:rPr>
      </w:pPr>
      <w:permStart w:id="1605188684" w:edGrp="everyone"/>
      <w:r w:rsidRPr="00BD3F67">
        <w:rPr>
          <w:rFonts w:cs="Arial"/>
        </w:rPr>
        <w:t>We support ESMA setting the 42 months’ time</w:t>
      </w:r>
      <w:r w:rsidRPr="00BD3F67">
        <w:rPr>
          <w:rFonts w:cs="Arial"/>
          <w:b/>
        </w:rPr>
        <w:t xml:space="preserve"> limit for how long non-compliant benchmarks are being used</w:t>
      </w:r>
      <w:r w:rsidRPr="00BD3F67">
        <w:rPr>
          <w:rFonts w:cs="Arial"/>
        </w:rPr>
        <w:t>.</w:t>
      </w:r>
    </w:p>
    <w:p w:rsidR="0035577D" w:rsidRPr="00BD3F67" w:rsidRDefault="0035577D" w:rsidP="0035577D">
      <w:pPr>
        <w:pStyle w:val="ListParagraph"/>
        <w:rPr>
          <w:rFonts w:cs="Arial"/>
        </w:rPr>
      </w:pPr>
    </w:p>
    <w:p w:rsidR="0035577D" w:rsidRPr="00BD3F67" w:rsidRDefault="0035577D" w:rsidP="0035577D">
      <w:pPr>
        <w:pStyle w:val="ListParagraph"/>
        <w:numPr>
          <w:ilvl w:val="0"/>
          <w:numId w:val="44"/>
        </w:numPr>
        <w:spacing w:after="200" w:line="276" w:lineRule="auto"/>
      </w:pPr>
      <w:r w:rsidRPr="00BD3F67">
        <w:rPr>
          <w:rFonts w:cs="Arial"/>
        </w:rPr>
        <w:t xml:space="preserve">We suggest </w:t>
      </w:r>
      <w:r>
        <w:rPr>
          <w:rFonts w:cs="Arial"/>
        </w:rPr>
        <w:t xml:space="preserve">that </w:t>
      </w:r>
      <w:r w:rsidRPr="00BD3F67">
        <w:rPr>
          <w:rFonts w:cs="Arial"/>
        </w:rPr>
        <w:t xml:space="preserve">ESMA addresses the </w:t>
      </w:r>
      <w:r w:rsidRPr="00BD3F67">
        <w:rPr>
          <w:rFonts w:cs="Arial"/>
          <w:b/>
        </w:rPr>
        <w:t xml:space="preserve">benchmarks that are to be created in the time </w:t>
      </w:r>
      <w:r>
        <w:rPr>
          <w:rFonts w:cs="Arial"/>
          <w:b/>
        </w:rPr>
        <w:t>period</w:t>
      </w:r>
      <w:r w:rsidRPr="00BD3F67">
        <w:rPr>
          <w:rFonts w:cs="Arial"/>
          <w:b/>
        </w:rPr>
        <w:t xml:space="preserve"> between</w:t>
      </w:r>
      <w:r>
        <w:rPr>
          <w:rFonts w:cs="Arial"/>
          <w:b/>
        </w:rPr>
        <w:t xml:space="preserve"> the date of</w:t>
      </w:r>
      <w:r w:rsidRPr="00BD3F67">
        <w:rPr>
          <w:rFonts w:cs="Arial"/>
          <w:b/>
        </w:rPr>
        <w:t xml:space="preserve"> entry into force and </w:t>
      </w:r>
      <w:r>
        <w:rPr>
          <w:rFonts w:cs="Arial"/>
          <w:b/>
        </w:rPr>
        <w:t xml:space="preserve">the </w:t>
      </w:r>
      <w:r w:rsidRPr="00BD3F67">
        <w:rPr>
          <w:rFonts w:cs="Arial"/>
          <w:b/>
        </w:rPr>
        <w:t>application date</w:t>
      </w:r>
      <w:r w:rsidRPr="00BD3F67">
        <w:rPr>
          <w:rFonts w:cs="Arial"/>
        </w:rPr>
        <w:t xml:space="preserve">. We encourage ESMA to clarify </w:t>
      </w:r>
      <w:r>
        <w:rPr>
          <w:rFonts w:cs="Arial"/>
        </w:rPr>
        <w:t>the timing for</w:t>
      </w:r>
      <w:r w:rsidRPr="00BD3F67">
        <w:rPr>
          <w:rFonts w:cs="Arial"/>
        </w:rPr>
        <w:t xml:space="preserve"> “the use of existing benchmarks”– </w:t>
      </w:r>
      <w:r>
        <w:rPr>
          <w:rFonts w:cs="Arial"/>
        </w:rPr>
        <w:t xml:space="preserve">by specifically </w:t>
      </w:r>
      <w:r w:rsidRPr="00BD3F67">
        <w:rPr>
          <w:rFonts w:cs="Arial"/>
        </w:rPr>
        <w:t>linking it to the application date</w:t>
      </w:r>
      <w:r>
        <w:rPr>
          <w:rFonts w:cs="Arial"/>
        </w:rPr>
        <w:t>; this should avoid legal and</w:t>
      </w:r>
      <w:r w:rsidRPr="00BD3F67">
        <w:rPr>
          <w:rFonts w:cs="Arial"/>
        </w:rPr>
        <w:t xml:space="preserve"> market uncertainties</w:t>
      </w:r>
      <w:r>
        <w:rPr>
          <w:rFonts w:cs="Arial"/>
        </w:rPr>
        <w:t>.</w:t>
      </w:r>
      <w:r w:rsidRPr="00BD3F67">
        <w:rPr>
          <w:rFonts w:cs="Arial"/>
        </w:rPr>
        <w:t xml:space="preserve"> </w:t>
      </w:r>
    </w:p>
    <w:p w:rsidR="0035577D" w:rsidRPr="00BD3F67" w:rsidRDefault="0035577D" w:rsidP="0035577D">
      <w:pPr>
        <w:pStyle w:val="ListParagraph"/>
        <w:rPr>
          <w:rFonts w:ascii="Calibri" w:hAnsi="Calibri"/>
        </w:rPr>
      </w:pPr>
    </w:p>
    <w:p w:rsidR="0035577D" w:rsidRPr="0035577D" w:rsidRDefault="0035577D" w:rsidP="0035577D">
      <w:pPr>
        <w:pStyle w:val="ListParagraph"/>
        <w:numPr>
          <w:ilvl w:val="0"/>
          <w:numId w:val="45"/>
        </w:numPr>
        <w:spacing w:line="276" w:lineRule="auto"/>
        <w:contextualSpacing w:val="0"/>
        <w:rPr>
          <w:rFonts w:cs="Arial"/>
        </w:rPr>
      </w:pPr>
      <w:r w:rsidRPr="00BD3F67">
        <w:rPr>
          <w:rFonts w:cs="Arial"/>
        </w:rPr>
        <w:t>We recogni</w:t>
      </w:r>
      <w:r>
        <w:rPr>
          <w:rFonts w:cs="Arial"/>
        </w:rPr>
        <w:t>s</w:t>
      </w:r>
      <w:r w:rsidRPr="00BD3F67">
        <w:rPr>
          <w:rFonts w:cs="Arial"/>
        </w:rPr>
        <w:t xml:space="preserve">e </w:t>
      </w:r>
      <w:r>
        <w:rPr>
          <w:rFonts w:cs="Arial"/>
        </w:rPr>
        <w:t xml:space="preserve">that </w:t>
      </w:r>
      <w:r w:rsidRPr="00BD3F67">
        <w:rPr>
          <w:rFonts w:cs="Arial"/>
        </w:rPr>
        <w:t xml:space="preserve">ESMA </w:t>
      </w:r>
      <w:r>
        <w:rPr>
          <w:rFonts w:cs="Arial"/>
        </w:rPr>
        <w:t>is</w:t>
      </w:r>
      <w:r w:rsidRPr="00BD3F67">
        <w:rPr>
          <w:rFonts w:cs="Arial"/>
        </w:rPr>
        <w:t xml:space="preserve"> on </w:t>
      </w:r>
      <w:r w:rsidRPr="00BD3F67">
        <w:rPr>
          <w:rFonts w:cs="Arial"/>
          <w:b/>
        </w:rPr>
        <w:t>standby in relation to the advice on how users might become aware of non-compliant benchmarks</w:t>
      </w:r>
      <w:r w:rsidRPr="00BD3F67">
        <w:rPr>
          <w:rFonts w:cs="Arial"/>
        </w:rPr>
        <w:t xml:space="preserve"> (before the 42-month</w:t>
      </w:r>
      <w:r>
        <w:rPr>
          <w:rFonts w:cs="Arial"/>
        </w:rPr>
        <w:t xml:space="preserve"> period has expired). </w:t>
      </w:r>
    </w:p>
    <w:permEnd w:id="1605188684"/>
    <w:p w:rsidR="009A2624" w:rsidRDefault="00665C07" w:rsidP="009A2624">
      <w:r>
        <w:t>&lt;ESMA_QUESTION_C</w:t>
      </w:r>
      <w:r w:rsidR="009A2624">
        <w:t>P_BMR_11&gt;</w:t>
      </w:r>
    </w:p>
    <w:p w:rsidR="00BE3CE5" w:rsidRDefault="00BE3CE5" w:rsidP="009A2624"/>
    <w:sectPr w:rsidR="00BE3C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F2B80">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957A29"/>
    <w:multiLevelType w:val="hybridMultilevel"/>
    <w:tmpl w:val="A244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5453CF"/>
    <w:multiLevelType w:val="hybridMultilevel"/>
    <w:tmpl w:val="D1BE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CA856F7"/>
    <w:multiLevelType w:val="hybridMultilevel"/>
    <w:tmpl w:val="1EF6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8A225C"/>
    <w:multiLevelType w:val="hybridMultilevel"/>
    <w:tmpl w:val="C9AAF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1470105"/>
    <w:multiLevelType w:val="hybridMultilevel"/>
    <w:tmpl w:val="ADEA6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8BE5569"/>
    <w:multiLevelType w:val="hybridMultilevel"/>
    <w:tmpl w:val="EF3C7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4"/>
  </w:num>
  <w:num w:numId="3">
    <w:abstractNumId w:val="17"/>
  </w:num>
  <w:num w:numId="4">
    <w:abstractNumId w:val="30"/>
  </w:num>
  <w:num w:numId="5">
    <w:abstractNumId w:val="32"/>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9"/>
  </w:num>
  <w:num w:numId="15">
    <w:abstractNumId w:val="13"/>
  </w:num>
  <w:num w:numId="16">
    <w:abstractNumId w:val="1"/>
  </w:num>
  <w:num w:numId="17">
    <w:abstractNumId w:val="19"/>
  </w:num>
  <w:num w:numId="18">
    <w:abstractNumId w:val="20"/>
  </w:num>
  <w:num w:numId="19">
    <w:abstractNumId w:val="22"/>
  </w:num>
  <w:num w:numId="20">
    <w:abstractNumId w:val="33"/>
  </w:num>
  <w:num w:numId="21">
    <w:abstractNumId w:val="42"/>
  </w:num>
  <w:num w:numId="22">
    <w:abstractNumId w:val="31"/>
  </w:num>
  <w:num w:numId="23">
    <w:abstractNumId w:val="12"/>
  </w:num>
  <w:num w:numId="24">
    <w:abstractNumId w:val="36"/>
  </w:num>
  <w:num w:numId="25">
    <w:abstractNumId w:val="35"/>
  </w:num>
  <w:num w:numId="26">
    <w:abstractNumId w:val="25"/>
  </w:num>
  <w:num w:numId="27">
    <w:abstractNumId w:val="39"/>
  </w:num>
  <w:num w:numId="28">
    <w:abstractNumId w:val="45"/>
  </w:num>
  <w:num w:numId="29">
    <w:abstractNumId w:val="10"/>
  </w:num>
  <w:num w:numId="30">
    <w:abstractNumId w:val="5"/>
  </w:num>
  <w:num w:numId="31">
    <w:abstractNumId w:val="28"/>
  </w:num>
  <w:num w:numId="32">
    <w:abstractNumId w:val="2"/>
  </w:num>
  <w:num w:numId="33">
    <w:abstractNumId w:val="8"/>
  </w:num>
  <w:num w:numId="34">
    <w:abstractNumId w:val="27"/>
  </w:num>
  <w:num w:numId="35">
    <w:abstractNumId w:val="41"/>
  </w:num>
  <w:num w:numId="36">
    <w:abstractNumId w:val="40"/>
  </w:num>
  <w:num w:numId="37">
    <w:abstractNumId w:val="16"/>
  </w:num>
  <w:num w:numId="38">
    <w:abstractNumId w:val="3"/>
  </w:num>
  <w:num w:numId="39">
    <w:abstractNumId w:val="43"/>
  </w:num>
  <w:num w:numId="40">
    <w:abstractNumId w:val="14"/>
  </w:num>
  <w:num w:numId="41">
    <w:abstractNumId w:val="15"/>
  </w:num>
  <w:num w:numId="42">
    <w:abstractNumId w:val="23"/>
  </w:num>
  <w:num w:numId="43">
    <w:abstractNumId w:val="9"/>
  </w:num>
  <w:num w:numId="44">
    <w:abstractNumId w:val="4"/>
  </w:num>
  <w:num w:numId="45">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7D"/>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2B80"/>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3FD"/>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DEB9-729D-477B-BE5F-0ECA2A15EB8E}">
  <ds:schemaRefs>
    <ds:schemaRef ds:uri="http://schemas.openxmlformats.org/officeDocument/2006/bibliography"/>
  </ds:schemaRefs>
</ds:datastoreItem>
</file>

<file path=customXml/itemProps2.xml><?xml version="1.0" encoding="utf-8"?>
<ds:datastoreItem xmlns:ds="http://schemas.openxmlformats.org/officeDocument/2006/customXml" ds:itemID="{4D221334-EDDE-4DCA-BD1A-7587A5D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14504</Characters>
  <Application>Microsoft Office Word</Application>
  <DocSecurity>8</DocSecurity>
  <Lines>120</Lines>
  <Paragraphs>34</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17014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Beata Sivak</cp:lastModifiedBy>
  <cp:revision>2</cp:revision>
  <cp:lastPrinted>2015-02-18T11:01:00Z</cp:lastPrinted>
  <dcterms:created xsi:type="dcterms:W3CDTF">2016-06-30T20:25:00Z</dcterms:created>
  <dcterms:modified xsi:type="dcterms:W3CDTF">2016-06-30T20:25:00Z</dcterms:modified>
</cp:coreProperties>
</file>