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049C0" w:rsidP="004049C0">
            <w:pPr>
              <w:pStyle w:val="00bDBInfo"/>
              <w:rPr>
                <w:rFonts w:cs="Arial"/>
              </w:rPr>
            </w:pPr>
            <w:r>
              <w:rPr>
                <w:rFonts w:cs="Arial"/>
              </w:rPr>
              <w:t>1</w:t>
            </w:r>
            <w:r w:rsidR="003A5DAC">
              <w:rPr>
                <w:rFonts w:cs="Arial"/>
              </w:rPr>
              <w:t xml:space="preserve"> </w:t>
            </w:r>
            <w:r>
              <w:rPr>
                <w:rFonts w:cs="Arial"/>
              </w:rPr>
              <w:t>June</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049C0">
            <w:pPr>
              <w:pStyle w:val="02Date"/>
              <w:rPr>
                <w:rFonts w:cs="Arial"/>
                <w:highlight w:val="red"/>
              </w:rPr>
            </w:pPr>
            <w:r w:rsidRPr="007C3918">
              <w:rPr>
                <w:rFonts w:cs="Arial"/>
              </w:rPr>
              <w:lastRenderedPageBreak/>
              <w:t>Date</w:t>
            </w:r>
            <w:r w:rsidR="004049C0">
              <w:rPr>
                <w:rFonts w:cs="Arial"/>
              </w:rPr>
              <w:t>: 1</w:t>
            </w:r>
            <w:r w:rsidR="007C3918" w:rsidRPr="007C3918">
              <w:rPr>
                <w:rFonts w:cs="Arial"/>
              </w:rPr>
              <w:t xml:space="preserve"> </w:t>
            </w:r>
            <w:r w:rsidR="004049C0">
              <w:rPr>
                <w:rFonts w:cs="Arial"/>
              </w:rPr>
              <w:t xml:space="preserve">June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990FF9" w:rsidRPr="00665C07">
        <w:rPr>
          <w:rFonts w:cs="Arial"/>
          <w:b/>
        </w:rPr>
        <w:t>30</w:t>
      </w:r>
      <w:r w:rsidRPr="00665C07">
        <w:rPr>
          <w:rFonts w:cs="Arial"/>
          <w:b/>
        </w:rPr>
        <w:t xml:space="preserve"> </w:t>
      </w:r>
      <w:r w:rsidR="00990FF9" w:rsidRPr="00665C07">
        <w:rPr>
          <w:rFonts w:cs="Arial"/>
          <w:b/>
        </w:rPr>
        <w:t>June</w:t>
      </w:r>
      <w:r w:rsidRPr="00665C07">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P_BMR</w:t>
      </w:r>
      <w:r w:rsidR="00D61A37" w:rsidRPr="00176639">
        <w:t>_1</w:t>
      </w:r>
      <w:r w:rsidRPr="00176639">
        <w:t>&gt;</w:t>
      </w:r>
    </w:p>
    <w:p w:rsidR="000B7FE3" w:rsidRDefault="000B7FE3" w:rsidP="00D34282">
      <w:pPr>
        <w:rPr>
          <w:rFonts w:cs="Arial"/>
          <w:sz w:val="22"/>
          <w:szCs w:val="22"/>
          <w:lang w:eastAsia="en-US"/>
        </w:rPr>
      </w:pPr>
      <w:permStart w:id="1106672392" w:edGrp="everyone"/>
      <w:r>
        <w:rPr>
          <w:rFonts w:cs="Arial"/>
          <w:sz w:val="22"/>
          <w:szCs w:val="22"/>
          <w:lang w:eastAsia="en-US"/>
        </w:rPr>
        <w:t>Dear Sir/Madam</w:t>
      </w:r>
    </w:p>
    <w:p w:rsidR="000B7FE3" w:rsidRDefault="000B7FE3" w:rsidP="00D34282">
      <w:pPr>
        <w:rPr>
          <w:rFonts w:cs="Arial"/>
          <w:sz w:val="22"/>
          <w:szCs w:val="22"/>
          <w:lang w:eastAsia="en-US"/>
        </w:rPr>
      </w:pPr>
    </w:p>
    <w:p w:rsidR="000B7FE3" w:rsidRPr="000B7FE3" w:rsidRDefault="000B7FE3" w:rsidP="00D34282">
      <w:pPr>
        <w:rPr>
          <w:rFonts w:cs="Arial"/>
          <w:b/>
          <w:sz w:val="22"/>
          <w:szCs w:val="22"/>
          <w:lang w:eastAsia="en-US"/>
        </w:rPr>
      </w:pPr>
      <w:r>
        <w:rPr>
          <w:rFonts w:cs="Arial"/>
          <w:b/>
          <w:sz w:val="22"/>
          <w:szCs w:val="22"/>
          <w:lang w:eastAsia="en-US"/>
        </w:rPr>
        <w:t>ESMA Consultation Paper: Draft technical advice under the Benchmarks Regulation</w:t>
      </w:r>
    </w:p>
    <w:p w:rsidR="000B7FE3" w:rsidRDefault="000B7FE3" w:rsidP="00D34282">
      <w:pPr>
        <w:rPr>
          <w:rFonts w:cs="Arial"/>
          <w:sz w:val="22"/>
          <w:szCs w:val="22"/>
          <w:lang w:eastAsia="en-US"/>
        </w:rPr>
      </w:pPr>
    </w:p>
    <w:p w:rsidR="000B7FE3" w:rsidRDefault="000B7FE3" w:rsidP="00D34282">
      <w:pPr>
        <w:rPr>
          <w:rFonts w:cs="Arial"/>
          <w:sz w:val="22"/>
          <w:szCs w:val="22"/>
          <w:lang w:eastAsia="en-US"/>
        </w:rPr>
      </w:pPr>
      <w:r w:rsidRPr="00AE4D91">
        <w:rPr>
          <w:rFonts w:cs="Arial"/>
          <w:sz w:val="22"/>
          <w:szCs w:val="22"/>
          <w:lang w:eastAsia="en-US"/>
        </w:rPr>
        <w:t xml:space="preserve">The London Metal Exchange (“LME”) </w:t>
      </w:r>
      <w:proofErr w:type="gramStart"/>
      <w:r w:rsidRPr="00AE4D91">
        <w:rPr>
          <w:rFonts w:cs="Arial"/>
          <w:sz w:val="22"/>
          <w:szCs w:val="22"/>
          <w:lang w:eastAsia="en-US"/>
        </w:rPr>
        <w:t>its</w:t>
      </w:r>
      <w:proofErr w:type="gramEnd"/>
      <w:r w:rsidRPr="00AE4D91">
        <w:rPr>
          <w:rFonts w:cs="Arial"/>
          <w:sz w:val="22"/>
          <w:szCs w:val="22"/>
          <w:lang w:eastAsia="en-US"/>
        </w:rPr>
        <w:t xml:space="preserve"> clearing house, LME Clear (“LMEC”) and parent co</w:t>
      </w:r>
      <w:r w:rsidRPr="00AE4D91">
        <w:rPr>
          <w:rFonts w:cs="Arial"/>
          <w:sz w:val="22"/>
          <w:szCs w:val="22"/>
          <w:lang w:eastAsia="en-US"/>
        </w:rPr>
        <w:t>m</w:t>
      </w:r>
      <w:r w:rsidRPr="00AE4D91">
        <w:rPr>
          <w:rFonts w:cs="Arial"/>
          <w:sz w:val="22"/>
          <w:szCs w:val="22"/>
          <w:lang w:eastAsia="en-US"/>
        </w:rPr>
        <w:t>pany, Hong Kong Exchanges and Clearing (</w:t>
      </w:r>
      <w:r w:rsidRPr="00AE4D91">
        <w:rPr>
          <w:rFonts w:cs="Arial"/>
          <w:b/>
          <w:sz w:val="22"/>
          <w:szCs w:val="22"/>
          <w:lang w:eastAsia="en-US"/>
        </w:rPr>
        <w:t>“HKEX”</w:t>
      </w:r>
      <w:r w:rsidRPr="00AE4D91">
        <w:rPr>
          <w:rFonts w:cs="Arial"/>
          <w:sz w:val="22"/>
          <w:szCs w:val="22"/>
          <w:lang w:eastAsia="en-US"/>
        </w:rPr>
        <w:t>)</w:t>
      </w:r>
      <w:r>
        <w:rPr>
          <w:rFonts w:cs="Arial"/>
          <w:sz w:val="22"/>
          <w:szCs w:val="22"/>
          <w:lang w:eastAsia="en-US"/>
        </w:rPr>
        <w:t xml:space="preserve"> welcome this opportunity to respond to ESMA’s proposals relating to the draft technical advice under the Benchmarks Regulation.  </w:t>
      </w:r>
    </w:p>
    <w:p w:rsidR="00C65E1A" w:rsidRDefault="00C65E1A" w:rsidP="00D34282">
      <w:pPr>
        <w:rPr>
          <w:rFonts w:cs="Arial"/>
          <w:sz w:val="22"/>
          <w:szCs w:val="22"/>
          <w:lang w:eastAsia="en-US"/>
        </w:rPr>
      </w:pPr>
    </w:p>
    <w:p w:rsidR="000B7FE3" w:rsidRDefault="000B7FE3" w:rsidP="00D34282">
      <w:pPr>
        <w:rPr>
          <w:rFonts w:cs="Arial"/>
          <w:sz w:val="22"/>
          <w:szCs w:val="22"/>
          <w:lang w:eastAsia="en-US"/>
        </w:rPr>
      </w:pPr>
      <w:r>
        <w:rPr>
          <w:rFonts w:cs="Arial"/>
          <w:sz w:val="22"/>
          <w:szCs w:val="22"/>
          <w:lang w:eastAsia="en-US"/>
        </w:rPr>
        <w:t>If you would like to discuss any of the comments or ideas expressed in this response then please do not hesitate to contact me.</w:t>
      </w:r>
    </w:p>
    <w:p w:rsidR="000B7FE3" w:rsidRDefault="000B7FE3" w:rsidP="00D34282">
      <w:pPr>
        <w:rPr>
          <w:rFonts w:cs="Arial"/>
          <w:sz w:val="22"/>
          <w:szCs w:val="22"/>
          <w:lang w:eastAsia="en-US"/>
        </w:rPr>
      </w:pPr>
    </w:p>
    <w:p w:rsidR="000B7FE3" w:rsidRDefault="000B7FE3" w:rsidP="00D34282">
      <w:pPr>
        <w:rPr>
          <w:rFonts w:cs="Arial"/>
          <w:sz w:val="22"/>
          <w:szCs w:val="22"/>
          <w:lang w:eastAsia="en-US"/>
        </w:rPr>
      </w:pPr>
      <w:r>
        <w:rPr>
          <w:rFonts w:cs="Arial"/>
          <w:sz w:val="22"/>
          <w:szCs w:val="22"/>
          <w:lang w:eastAsia="en-US"/>
        </w:rPr>
        <w:t>Yours faithfully,</w:t>
      </w:r>
    </w:p>
    <w:p w:rsidR="000B7FE3" w:rsidRDefault="000B7FE3" w:rsidP="00D34282">
      <w:pPr>
        <w:rPr>
          <w:rFonts w:cs="Arial"/>
          <w:sz w:val="22"/>
          <w:szCs w:val="22"/>
          <w:lang w:eastAsia="en-US"/>
        </w:rPr>
      </w:pPr>
    </w:p>
    <w:p w:rsidR="000B7FE3" w:rsidRDefault="003E32FA" w:rsidP="00D34282">
      <w:pPr>
        <w:rPr>
          <w:rFonts w:cs="Arial"/>
          <w:sz w:val="22"/>
          <w:szCs w:val="22"/>
          <w:lang w:eastAsia="en-US"/>
        </w:rPr>
      </w:pPr>
      <w:r>
        <w:rPr>
          <w:noProof/>
          <w:lang w:eastAsia="en-GB"/>
        </w:rPr>
        <w:drawing>
          <wp:inline distT="0" distB="0" distL="0" distR="0" wp14:anchorId="70325EB3" wp14:editId="5767E513">
            <wp:extent cx="1378424" cy="49108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4346" cy="493199"/>
                    </a:xfrm>
                    <a:prstGeom prst="rect">
                      <a:avLst/>
                    </a:prstGeom>
                    <a:noFill/>
                    <a:ln>
                      <a:noFill/>
                    </a:ln>
                  </pic:spPr>
                </pic:pic>
              </a:graphicData>
            </a:graphic>
          </wp:inline>
        </w:drawing>
      </w:r>
    </w:p>
    <w:p w:rsidR="000B7FE3" w:rsidRDefault="000B7FE3" w:rsidP="00D34282">
      <w:pPr>
        <w:rPr>
          <w:rFonts w:cs="Arial"/>
          <w:sz w:val="22"/>
          <w:szCs w:val="22"/>
          <w:lang w:eastAsia="en-US"/>
        </w:rPr>
      </w:pPr>
    </w:p>
    <w:p w:rsidR="000B7FE3" w:rsidRDefault="000B7FE3" w:rsidP="00D34282">
      <w:pPr>
        <w:rPr>
          <w:rFonts w:cs="Arial"/>
          <w:sz w:val="22"/>
          <w:szCs w:val="22"/>
          <w:lang w:eastAsia="en-US"/>
        </w:rPr>
      </w:pPr>
      <w:r>
        <w:rPr>
          <w:rFonts w:cs="Arial"/>
          <w:sz w:val="22"/>
          <w:szCs w:val="22"/>
          <w:lang w:eastAsia="en-US"/>
        </w:rPr>
        <w:t>Katy Hyams</w:t>
      </w:r>
    </w:p>
    <w:p w:rsidR="000B7FE3" w:rsidRDefault="000B7FE3" w:rsidP="00D34282">
      <w:r>
        <w:rPr>
          <w:rFonts w:cs="Arial"/>
          <w:sz w:val="22"/>
          <w:szCs w:val="22"/>
          <w:lang w:eastAsia="en-US"/>
        </w:rPr>
        <w:t>Senior Regulatory Counsel</w:t>
      </w:r>
    </w:p>
    <w:permEnd w:id="1106672392"/>
    <w:p w:rsidR="00D34282" w:rsidRPr="00BF28DA" w:rsidRDefault="00D34282" w:rsidP="00D34282">
      <w:r w:rsidRPr="00BF28DA">
        <w:t>&lt;</w:t>
      </w:r>
      <w:r w:rsidR="00D61A37" w:rsidRPr="00BF28DA">
        <w:t>ESMA_COMMENT_</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90FF9" w:rsidP="002342EC">
      <w:pPr>
        <w:pStyle w:val="Questionstyle"/>
      </w:pPr>
      <w:r w:rsidRPr="00D60F54">
        <w:lastRenderedPageBreak/>
        <w:t xml:space="preserve">Do you agree with the conditions on the basis of which an index may be considered </w:t>
      </w:r>
      <w:r>
        <w:t>as made available to the public</w:t>
      </w:r>
      <w:r w:rsidR="009A2624" w:rsidRPr="007F44BF">
        <w:t>?</w:t>
      </w:r>
    </w:p>
    <w:p w:rsidR="009A2624" w:rsidRDefault="00665C07" w:rsidP="009A2624">
      <w:r>
        <w:t>&lt;ESMA_QUESTION_C</w:t>
      </w:r>
      <w:r w:rsidR="009A2624">
        <w:t>P_BMR_1&gt;</w:t>
      </w:r>
    </w:p>
    <w:p w:rsidR="00915C4A" w:rsidRDefault="00915C4A" w:rsidP="009A2624">
      <w:permStart w:id="64442109" w:edGrp="everyone"/>
      <w:r>
        <w:t xml:space="preserve">We broadly support the proposed advice relating to “making available to the public”.  However, we believe that the meaning </w:t>
      </w:r>
      <w:r w:rsidR="00FB09C7">
        <w:t>ESMA</w:t>
      </w:r>
      <w:r w:rsidR="004A1A5D">
        <w:t xml:space="preserve"> intends to assign to this phrase</w:t>
      </w:r>
      <w:r w:rsidR="00FB09C7">
        <w:t xml:space="preserve"> </w:t>
      </w:r>
      <w:r w:rsidR="004A1A5D">
        <w:t>(as described</w:t>
      </w:r>
      <w:r w:rsidR="00FB09C7">
        <w:t xml:space="preserve"> in the body of the consultation paper</w:t>
      </w:r>
      <w:r w:rsidR="004A1A5D">
        <w:t>)</w:t>
      </w:r>
      <w:r w:rsidR="00FB09C7">
        <w:t xml:space="preserve"> </w:t>
      </w:r>
      <w:r>
        <w:t xml:space="preserve">could be </w:t>
      </w:r>
      <w:r w:rsidR="004A1A5D">
        <w:t xml:space="preserve">further </w:t>
      </w:r>
      <w:r w:rsidR="00E73EE7">
        <w:t xml:space="preserve">clarified </w:t>
      </w:r>
      <w:r>
        <w:t xml:space="preserve">in </w:t>
      </w:r>
      <w:r w:rsidR="00FB09C7">
        <w:t>its advice</w:t>
      </w:r>
      <w:r>
        <w:t xml:space="preserve">.  In particular we believe that </w:t>
      </w:r>
      <w:r w:rsidR="004A1A5D">
        <w:t xml:space="preserve">as drafted, </w:t>
      </w:r>
      <w:r>
        <w:t>1(ii) could be inte</w:t>
      </w:r>
      <w:r>
        <w:t>r</w:t>
      </w:r>
      <w:r>
        <w:t xml:space="preserve">preted </w:t>
      </w:r>
      <w:r w:rsidR="004A1A5D">
        <w:t xml:space="preserve">more </w:t>
      </w:r>
      <w:r w:rsidR="00E73EE7">
        <w:t>broadly</w:t>
      </w:r>
      <w:r>
        <w:t xml:space="preserve"> </w:t>
      </w:r>
      <w:r w:rsidR="004A1A5D">
        <w:t xml:space="preserve">than intended </w:t>
      </w:r>
      <w:r>
        <w:t xml:space="preserve">and </w:t>
      </w:r>
      <w:r w:rsidR="004A1A5D">
        <w:t xml:space="preserve">therefore </w:t>
      </w:r>
      <w:r w:rsidR="00E73EE7">
        <w:t xml:space="preserve">the </w:t>
      </w:r>
      <w:r>
        <w:t>intended scope should be clarified.  The advice currently states that where a supervised entity uses a benchmark and “through this use the index b</w:t>
      </w:r>
      <w:r>
        <w:t>e</w:t>
      </w:r>
      <w:r>
        <w:t>comes acce</w:t>
      </w:r>
      <w:r>
        <w:t>s</w:t>
      </w:r>
      <w:r>
        <w:t>sible to an indeterminate number of people” then that would be considered “making available to the pu</w:t>
      </w:r>
      <w:r>
        <w:t>b</w:t>
      </w:r>
      <w:r>
        <w:t xml:space="preserve">lic”.  However, in view of the trade reporting obligations imposed on supervised entities under MiFID and </w:t>
      </w:r>
      <w:proofErr w:type="spellStart"/>
      <w:r>
        <w:t>MiFIR</w:t>
      </w:r>
      <w:proofErr w:type="spellEnd"/>
      <w:r>
        <w:t>, an index could be made available to an indeterminate number of people through the requirement to make post-trade information publicly avai</w:t>
      </w:r>
      <w:r>
        <w:t>l</w:t>
      </w:r>
      <w:r>
        <w:t>able after 15 minutes.  We therefore believe that the advice should be clarified to include only indices that are “made accessible to an indeterminate nu</w:t>
      </w:r>
      <w:r>
        <w:t>m</w:t>
      </w:r>
      <w:r>
        <w:t>ber of people other than for the purposes of compliance with applic</w:t>
      </w:r>
      <w:r>
        <w:t>a</w:t>
      </w:r>
      <w:r w:rsidR="009B1092">
        <w:t>ble law”.</w:t>
      </w:r>
    </w:p>
    <w:permEnd w:id="64442109"/>
    <w:p w:rsidR="009A2624" w:rsidRDefault="00665C07" w:rsidP="009A2624">
      <w:r>
        <w:t>&lt;ESMA_QUESTION_C</w:t>
      </w:r>
      <w:r w:rsidR="009A2624">
        <w:t>P_BMR_1&gt;</w:t>
      </w:r>
    </w:p>
    <w:p w:rsidR="009A2624" w:rsidRDefault="009A2624" w:rsidP="009A2624"/>
    <w:p w:rsidR="009A2624" w:rsidRPr="007F44BF" w:rsidRDefault="00990FF9" w:rsidP="002342EC">
      <w:pPr>
        <w:pStyle w:val="Questionstyle"/>
      </w:pPr>
      <w:r w:rsidRPr="00990FF9">
        <w:rPr>
          <w:lang w:val="en-US"/>
        </w:rPr>
        <w:t xml:space="preserve">Do you agree with the proposed specification of what constitutes </w:t>
      </w:r>
      <w:r w:rsidRPr="00990FF9">
        <w:rPr>
          <w:i/>
          <w:lang w:val="en-US"/>
        </w:rPr>
        <w:t>administering the arrang</w:t>
      </w:r>
      <w:r w:rsidRPr="00990FF9">
        <w:rPr>
          <w:i/>
          <w:lang w:val="en-US"/>
        </w:rPr>
        <w:t>e</w:t>
      </w:r>
      <w:r w:rsidRPr="00990FF9">
        <w:rPr>
          <w:i/>
          <w:lang w:val="en-US"/>
        </w:rPr>
        <w:t>ments for determining a benchmark</w:t>
      </w:r>
      <w:r w:rsidR="009A2624" w:rsidRPr="007F44BF">
        <w:t>?</w:t>
      </w:r>
    </w:p>
    <w:p w:rsidR="009A2624" w:rsidRDefault="00665C07" w:rsidP="009A2624">
      <w:r>
        <w:t>&lt;ESMA_QUESTION_C</w:t>
      </w:r>
      <w:r w:rsidR="009A2624">
        <w:t>P_BMR_2&gt;</w:t>
      </w:r>
    </w:p>
    <w:p w:rsidR="009A2624" w:rsidRDefault="00915C4A" w:rsidP="009A2624">
      <w:permStart w:id="179008983" w:edGrp="everyone"/>
      <w:r>
        <w:t>We agree with the intention behind the advice but believe that the drafting of the advice itself raise</w:t>
      </w:r>
      <w:r w:rsidR="004A1A5D">
        <w:t>s many questions and could lead</w:t>
      </w:r>
      <w:r>
        <w:t xml:space="preserve"> to avoidance tactics.</w:t>
      </w:r>
    </w:p>
    <w:p w:rsidR="00915C4A" w:rsidRDefault="00915C4A" w:rsidP="009A2624"/>
    <w:p w:rsidR="00004BDC" w:rsidRDefault="00915C4A" w:rsidP="009A2624">
      <w:r>
        <w:t>The</w:t>
      </w:r>
      <w:r w:rsidR="005633EE">
        <w:t xml:space="preserve"> draft</w:t>
      </w:r>
      <w:r>
        <w:t xml:space="preserve"> advice states that administration is only deemed to take place where both the management </w:t>
      </w:r>
      <w:r w:rsidR="005633EE">
        <w:t xml:space="preserve">of </w:t>
      </w:r>
      <w:r>
        <w:t xml:space="preserve">infrastructure and personnel are undertaken by the same entity which is also responsible for the setting of the methodology of the benchmark.  </w:t>
      </w:r>
      <w:r w:rsidR="00004BDC">
        <w:t>T</w:t>
      </w:r>
      <w:r>
        <w:t xml:space="preserve">his raises the question as to how an outsourcing arrangement </w:t>
      </w:r>
      <w:r w:rsidR="00004BDC">
        <w:t xml:space="preserve">or intra-group services agreement </w:t>
      </w:r>
      <w:r>
        <w:t xml:space="preserve">would affect the determination of the </w:t>
      </w:r>
      <w:r w:rsidR="00004BDC">
        <w:t xml:space="preserve">administrator.  Is it the intention that </w:t>
      </w:r>
      <w:r w:rsidR="005633EE">
        <w:t xml:space="preserve">an entity would only be identified as the administrator where it actively </w:t>
      </w:r>
      <w:r w:rsidR="00004BDC">
        <w:t xml:space="preserve">undertakes all </w:t>
      </w:r>
      <w:r w:rsidR="005633EE">
        <w:t xml:space="preserve">the </w:t>
      </w:r>
      <w:r w:rsidR="00004BDC">
        <w:t xml:space="preserve">activities </w:t>
      </w:r>
      <w:r w:rsidR="005633EE">
        <w:t xml:space="preserve">itself?  Or is it the intention that an entity would be identified as the administrator where it bears the </w:t>
      </w:r>
      <w:r w:rsidR="00004BDC">
        <w:t>ultimate responsi</w:t>
      </w:r>
      <w:r w:rsidR="005633EE">
        <w:t>bility</w:t>
      </w:r>
      <w:r w:rsidR="00004BDC">
        <w:t xml:space="preserve"> for each of the activities?  </w:t>
      </w:r>
      <w:r w:rsidR="005633EE">
        <w:t xml:space="preserve">The interpretation of the requirements </w:t>
      </w:r>
      <w:r w:rsidR="00004BDC">
        <w:t>could permit entities to avoid becoming an administrator by allocating each of the activities to different companies within the same group.</w:t>
      </w:r>
    </w:p>
    <w:p w:rsidR="00004BDC" w:rsidRDefault="00004BDC" w:rsidP="009A2624"/>
    <w:p w:rsidR="00915C4A" w:rsidRDefault="00004BDC" w:rsidP="009A2624">
      <w:r>
        <w:t>We also believe it would be appropriate for ESMA to clarify that there can only be one single administrator for each benchmark and provide advice on how the relevant entity can be identified where all three activ</w:t>
      </w:r>
      <w:r>
        <w:t>i</w:t>
      </w:r>
      <w:r>
        <w:t>ties are undertaken by more than one entity</w:t>
      </w:r>
      <w:r w:rsidR="004A1A5D">
        <w:t xml:space="preserve"> </w:t>
      </w:r>
      <w:bookmarkStart w:id="3" w:name="_GoBack"/>
      <w:bookmarkEnd w:id="3"/>
      <w:r>
        <w:t>.</w:t>
      </w:r>
    </w:p>
    <w:permEnd w:id="179008983"/>
    <w:p w:rsidR="009A2624" w:rsidRDefault="00665C07" w:rsidP="009A2624">
      <w:r>
        <w:t>&lt;ESMA_QUESTION_C</w:t>
      </w:r>
      <w:r w:rsidR="009A2624">
        <w:t>P_BMR_2&gt;</w:t>
      </w:r>
    </w:p>
    <w:p w:rsidR="009A2624" w:rsidRDefault="009A2624" w:rsidP="009A2624"/>
    <w:p w:rsidR="009A2624" w:rsidRDefault="00990FF9" w:rsidP="00990FF9">
      <w:pPr>
        <w:pStyle w:val="Questionstyle"/>
        <w:rPr>
          <w:rFonts w:cstheme="minorHAnsi"/>
        </w:rPr>
      </w:pPr>
      <w:r w:rsidRPr="00990FF9">
        <w:t>Do you agree that the ‘use of a benchmark’ in derivatives that are traded on trading venues and/or systematic internalisers is linked to the determination of the amount payable under the said derivatives for any relevant purpose (trading, clearing, margining, …)?</w:t>
      </w:r>
    </w:p>
    <w:p w:rsidR="009A2624" w:rsidRDefault="00665C07" w:rsidP="009A2624">
      <w:r>
        <w:t>&lt;ESMA_QUESTION_C</w:t>
      </w:r>
      <w:r w:rsidR="009A2624">
        <w:t>P_BMR_3&gt;</w:t>
      </w:r>
    </w:p>
    <w:p w:rsidR="002E2946" w:rsidRDefault="00CD76D7" w:rsidP="009A2624">
      <w:permStart w:id="1501198422" w:edGrp="everyone"/>
      <w:r>
        <w:t xml:space="preserve">We </w:t>
      </w:r>
      <w:r w:rsidR="00C8202F">
        <w:t xml:space="preserve">do not agree that the reliance on a price by a CCP for clearing purposes should be deemed to be “use” of a benchmark.  </w:t>
      </w:r>
      <w:r>
        <w:t xml:space="preserve">Recital 19 </w:t>
      </w:r>
      <w:r w:rsidR="002E2946">
        <w:t xml:space="preserve">of the Level 1 Regulation </w:t>
      </w:r>
      <w:r>
        <w:t>states that prices “produced by central cou</w:t>
      </w:r>
      <w:r>
        <w:t>n</w:t>
      </w:r>
      <w:r>
        <w:t xml:space="preserve">terparties should not be considered to be benchmarks because they are used to determine settlement, margins and risk management” and we fully support this carve-out.  However the ESMA draft advice suggests that the use of CCPs of prices for the purposes of clearing would be caught by under the second point (b) of the definition of “use of a benchmark”.  </w:t>
      </w:r>
    </w:p>
    <w:p w:rsidR="002E2946" w:rsidRDefault="002E2946" w:rsidP="009A2624"/>
    <w:p w:rsidR="002E2946" w:rsidRDefault="00CD76D7" w:rsidP="009A2624">
      <w:r>
        <w:t xml:space="preserve">There appears to be a direct policy conflict </w:t>
      </w:r>
      <w:r w:rsidR="00011E67">
        <w:t xml:space="preserve">inherent </w:t>
      </w:r>
      <w:r>
        <w:t xml:space="preserve">in this advice: where a price is </w:t>
      </w:r>
      <w:r w:rsidRPr="002E2946">
        <w:rPr>
          <w:u w:val="single"/>
        </w:rPr>
        <w:t>created</w:t>
      </w:r>
      <w:r>
        <w:t xml:space="preserve"> by a CCP and used by that CCP for the purpose of risk management it will not be a benchmark.  However where a price is created other than by a CCP </w:t>
      </w:r>
      <w:r w:rsidR="002E2946">
        <w:t xml:space="preserve">but </w:t>
      </w:r>
      <w:r>
        <w:t>is</w:t>
      </w:r>
      <w:r w:rsidR="002E2946">
        <w:t xml:space="preserve"> nonetheless used</w:t>
      </w:r>
      <w:r>
        <w:t xml:space="preserve"> for the </w:t>
      </w:r>
      <w:r w:rsidR="002E2946">
        <w:t xml:space="preserve">identical </w:t>
      </w:r>
      <w:r>
        <w:t xml:space="preserve">purpose of risk management by a CCP, it would be deemed to be a benchmark and the CCP would be a user of that benchmark.  </w:t>
      </w:r>
    </w:p>
    <w:p w:rsidR="00CD76D7" w:rsidRDefault="002E2946" w:rsidP="009A2624">
      <w:r>
        <w:lastRenderedPageBreak/>
        <w:t xml:space="preserve">ESMA has not offered any explanation as to the </w:t>
      </w:r>
      <w:r w:rsidR="00CD76D7">
        <w:t xml:space="preserve">policy objective </w:t>
      </w:r>
      <w:r>
        <w:t xml:space="preserve">that </w:t>
      </w:r>
      <w:r w:rsidR="00CD76D7">
        <w:t>would be met through the different</w:t>
      </w:r>
      <w:r w:rsidR="00CD76D7">
        <w:t>i</w:t>
      </w:r>
      <w:r w:rsidR="00CD76D7">
        <w:t xml:space="preserve">ated application of the definition.  We therefore believe that </w:t>
      </w:r>
      <w:r w:rsidR="00011E67">
        <w:t>in order to align the application of the requir</w:t>
      </w:r>
      <w:r w:rsidR="00011E67">
        <w:t>e</w:t>
      </w:r>
      <w:r w:rsidR="00011E67">
        <w:t xml:space="preserve">ments and in order to avoid confusion and regulatory arbitrage </w:t>
      </w:r>
      <w:r w:rsidR="00CD76D7">
        <w:t>CCPs should not be “users” when using any price for the purpose of clearing and risk management</w:t>
      </w:r>
      <w:r w:rsidR="00011E67">
        <w:t xml:space="preserve">.  Additionally </w:t>
      </w:r>
      <w:r>
        <w:t xml:space="preserve">any price which is used solely </w:t>
      </w:r>
      <w:r w:rsidR="002C7D3F">
        <w:t xml:space="preserve">and exclusively </w:t>
      </w:r>
      <w:r>
        <w:t>for the purpose of clearing and risk management by a CCP should not be a benchmark</w:t>
      </w:r>
      <w:r w:rsidR="002C7D3F">
        <w:t>, irrespective of the source of that price</w:t>
      </w:r>
      <w:r w:rsidR="00CD76D7">
        <w:t>.</w:t>
      </w:r>
    </w:p>
    <w:p w:rsidR="00CD76D7" w:rsidRDefault="00CD76D7" w:rsidP="009A2624"/>
    <w:p w:rsidR="00C8202F" w:rsidRDefault="00D04745" w:rsidP="009A2624">
      <w:r>
        <w:t>As a second matter w</w:t>
      </w:r>
      <w:r w:rsidR="002E2946">
        <w:t xml:space="preserve">e request </w:t>
      </w:r>
      <w:r>
        <w:t xml:space="preserve">clarification </w:t>
      </w:r>
      <w:r w:rsidR="002E2946">
        <w:t>from ESMA in relation to the circumstances under which a party to a financial contract will be deemed to be a user of a benchmark.</w:t>
      </w:r>
      <w:r>
        <w:t xml:space="preserve">  </w:t>
      </w:r>
      <w:r w:rsidR="00CD76D7" w:rsidRPr="00CD76D7">
        <w:t>ESMA</w:t>
      </w:r>
      <w:r w:rsidR="00CD76D7">
        <w:t xml:space="preserve"> </w:t>
      </w:r>
      <w:r w:rsidR="003C1C29">
        <w:t xml:space="preserve">take the opportunity </w:t>
      </w:r>
      <w:r>
        <w:t xml:space="preserve">in the Consultation Paper </w:t>
      </w:r>
      <w:r w:rsidR="003C1C29">
        <w:t xml:space="preserve">to clarify that the “use of a benchmark” does not coincide with being a party to a contract.  </w:t>
      </w:r>
      <w:r w:rsidR="00C8202F">
        <w:t xml:space="preserve">This is intended to further the confirm the carve-out provided under recital 13 of the </w:t>
      </w:r>
      <w:r>
        <w:t>Benchmarks Regulation</w:t>
      </w:r>
      <w:r w:rsidR="00C8202F">
        <w:t xml:space="preserve"> which states that “[t]</w:t>
      </w:r>
      <w:r w:rsidR="00C8202F" w:rsidRPr="00C8202F">
        <w:t>he holding of financial instruments referencing a certain benchmark is not consid</w:t>
      </w:r>
      <w:r w:rsidR="00C8202F">
        <w:t>ered to be use of the benchmark”.</w:t>
      </w:r>
    </w:p>
    <w:p w:rsidR="00C8202F" w:rsidRDefault="00C8202F" w:rsidP="009A2624"/>
    <w:p w:rsidR="00CD76D7" w:rsidRPr="00CD76D7" w:rsidRDefault="003C1C29" w:rsidP="009A2624">
      <w:r>
        <w:t>However the definition of “use of a financial benchmark” under article 3(1</w:t>
      </w:r>
      <w:proofErr w:type="gramStart"/>
      <w:r>
        <w:t>)(</w:t>
      </w:r>
      <w:proofErr w:type="gramEnd"/>
      <w:r>
        <w:t xml:space="preserve">7) of the Level </w:t>
      </w:r>
      <w:r w:rsidR="00D04745">
        <w:t xml:space="preserve">I </w:t>
      </w:r>
      <w:r>
        <w:t>includes “</w:t>
      </w:r>
      <w:r w:rsidRPr="003C1C29">
        <w:t>being a party to a financial contract which references an index or a combination of indices</w:t>
      </w:r>
      <w:r>
        <w:t xml:space="preserve">”.  We </w:t>
      </w:r>
      <w:r w:rsidR="00D04745">
        <w:t xml:space="preserve">believe that it is important to have additional </w:t>
      </w:r>
      <w:r>
        <w:t xml:space="preserve">clarity on </w:t>
      </w:r>
      <w:r w:rsidR="00C8202F">
        <w:t xml:space="preserve">the circumstances under which </w:t>
      </w:r>
      <w:r>
        <w:t>a party to a financial contract would be deemed to fall within the definition of “user” and when it could benefit from the carve-out</w:t>
      </w:r>
      <w:r w:rsidR="00C8202F">
        <w:t xml:space="preserve"> under recital 13</w:t>
      </w:r>
      <w:r>
        <w:t>.</w:t>
      </w:r>
    </w:p>
    <w:p w:rsidR="00CD76D7" w:rsidRDefault="00CD76D7" w:rsidP="009A2624"/>
    <w:permEnd w:id="1501198422"/>
    <w:p w:rsidR="009A2624" w:rsidRDefault="00665C07" w:rsidP="009A2624">
      <w:r>
        <w:t>&lt;ESMA_QUESTION_C</w:t>
      </w:r>
      <w:r w:rsidR="009A2624">
        <w:t>P_BMR_3&gt;</w:t>
      </w:r>
    </w:p>
    <w:p w:rsidR="009A2624" w:rsidRDefault="009A2624" w:rsidP="009A2624"/>
    <w:p w:rsidR="009A2624" w:rsidRPr="00B37C5D" w:rsidRDefault="00990FF9" w:rsidP="002342EC">
      <w:pPr>
        <w:pStyle w:val="Questionstyle"/>
      </w:pPr>
      <w:r w:rsidRPr="00571AC1">
        <w:rPr>
          <w:rFonts w:cstheme="minorHAnsi"/>
          <w:szCs w:val="22"/>
          <w:lang w:val="en-US"/>
        </w:rPr>
        <w:t>Do you have any comments on the proposed specification of issuance of a financial instr</w:t>
      </w:r>
      <w:r w:rsidRPr="00571AC1">
        <w:rPr>
          <w:rFonts w:cstheme="minorHAnsi"/>
          <w:szCs w:val="22"/>
          <w:lang w:val="en-US"/>
        </w:rPr>
        <w:t>u</w:t>
      </w:r>
      <w:r w:rsidRPr="00571AC1">
        <w:rPr>
          <w:rFonts w:cstheme="minorHAnsi"/>
          <w:szCs w:val="22"/>
          <w:lang w:val="en-US"/>
        </w:rPr>
        <w:t>ment?</w:t>
      </w:r>
    </w:p>
    <w:p w:rsidR="009A2624" w:rsidRDefault="00665C07" w:rsidP="009A2624">
      <w:r>
        <w:t>&lt;ESMA_QUESTION_C</w:t>
      </w:r>
      <w:r w:rsidR="009A2624">
        <w:t>P_BMR_4&gt;</w:t>
      </w:r>
    </w:p>
    <w:p w:rsidR="009A2624" w:rsidRDefault="000C62BC" w:rsidP="009A2624">
      <w:permStart w:id="452162207" w:edGrp="everyone"/>
      <w:r>
        <w:t>We fully support ESMA’s proposal to refine their definition of “issuer” to include only the initial offering of financial instruments within paragraphs (1) to (3) within the list of Annex 1, Section C of MiFID.  We b</w:t>
      </w:r>
      <w:r>
        <w:t>e</w:t>
      </w:r>
      <w:r>
        <w:t>lieve that ESMA is correct to exercise caution in broadening the definition of issuer in this context and identify that it could affect concepts in other regulatory areas.  We believe that this will result in a more targeted and relevant application of the relevant provisions.</w:t>
      </w:r>
    </w:p>
    <w:permEnd w:id="452162207"/>
    <w:p w:rsidR="009A2624" w:rsidRDefault="00665C07" w:rsidP="009A2624">
      <w:r>
        <w:t>&lt;ESMA_QUESTION_C</w:t>
      </w:r>
      <w:r w:rsidR="009A2624">
        <w:t>P_BMR_4&gt;</w:t>
      </w:r>
    </w:p>
    <w:p w:rsidR="009A2624" w:rsidRDefault="009A2624" w:rsidP="009A2624"/>
    <w:p w:rsidR="009A2624"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transitional regime proposed to assess the nominal amount of financial instruments other than derivatives, the notional amount of derivatives and the net asset value of investment funds in the case where the regulatory data i</w:t>
      </w:r>
      <w:r>
        <w:rPr>
          <w:rFonts w:cs="Arial"/>
          <w:lang w:val="en-US"/>
        </w:rPr>
        <w:t>s not available or sufficient</w:t>
      </w:r>
      <w:r w:rsidR="009A2624">
        <w:t xml:space="preserve">? </w:t>
      </w:r>
    </w:p>
    <w:p w:rsidR="009A2624" w:rsidRDefault="00665C07" w:rsidP="009A2624">
      <w:r>
        <w:t>&lt;ESMA_QUESTION_C</w:t>
      </w:r>
      <w:r w:rsidR="009A2624">
        <w:t>P_BMR_5&gt;</w:t>
      </w:r>
    </w:p>
    <w:p w:rsidR="009A2624" w:rsidRDefault="00CF3C50" w:rsidP="009A2624">
      <w:permStart w:id="1045827112" w:edGrp="everyone"/>
      <w:r>
        <w:t>The advice does not offer sufficient clarity as to where such data is intended to be sourced.  It simply refers to data provided by “alternative private providers”</w:t>
      </w:r>
      <w:r w:rsidR="00105B77">
        <w:t xml:space="preserve"> and each national regulator relying on any such advice must justify use of the data</w:t>
      </w:r>
      <w:r>
        <w:t>.  This does not offer sufficient clarity or security as to the data being relied on.  Whilst we do not oppose national regulators seeking data from private providers per se, we believe that there should be some further requirements in relation to the provider that can be relied upon</w:t>
      </w:r>
      <w:r w:rsidR="00105B77">
        <w:t xml:space="preserve"> and the quality of the data provided</w:t>
      </w:r>
      <w:r>
        <w:t>.</w:t>
      </w:r>
    </w:p>
    <w:p w:rsidR="00CF3C50" w:rsidRDefault="00CF3C50" w:rsidP="009A2624"/>
    <w:p w:rsidR="00CF3C50" w:rsidRDefault="00CF3C50" w:rsidP="009A2624">
      <w:r>
        <w:t>Given the onerous requirements that apply to critical and significant benchmarks</w:t>
      </w:r>
      <w:r w:rsidR="00105B77">
        <w:t>,</w:t>
      </w:r>
      <w:r>
        <w:t xml:space="preserve"> and the fact that rea</w:t>
      </w:r>
      <w:r>
        <w:t>s</w:t>
      </w:r>
      <w:r>
        <w:t>sessment can only take place every two years, it is of material importance that the assessment is unde</w:t>
      </w:r>
      <w:r>
        <w:t>r</w:t>
      </w:r>
      <w:r>
        <w:t xml:space="preserve">taken correctly based on reliable and verifiable data.  Only under such circumstances can ESMA be sure that the most stringent requirements of the Regulation are directed appropriately.  </w:t>
      </w:r>
      <w:r w:rsidR="00F140CA">
        <w:t xml:space="preserve">Given that </w:t>
      </w:r>
      <w:r>
        <w:t xml:space="preserve">the policy objectives of the Benchmarks Regulation </w:t>
      </w:r>
      <w:r w:rsidR="00F140CA">
        <w:t xml:space="preserve">are </w:t>
      </w:r>
      <w:r>
        <w:t xml:space="preserve">to ensure the reliability and accuracy of data used for the creation of benchmarks, the requirements imposed on national regulators </w:t>
      </w:r>
      <w:r w:rsidR="00F140CA">
        <w:t xml:space="preserve">and the data that they source and use </w:t>
      </w:r>
      <w:r>
        <w:t xml:space="preserve">should reflect the robust approach </w:t>
      </w:r>
      <w:r w:rsidR="00F140CA">
        <w:t xml:space="preserve">being imposed on </w:t>
      </w:r>
      <w:r>
        <w:t xml:space="preserve">entities subject to their supervision. </w:t>
      </w:r>
    </w:p>
    <w:permEnd w:id="1045827112"/>
    <w:p w:rsidR="009A2624" w:rsidRDefault="00665C07" w:rsidP="009A2624">
      <w:r>
        <w:t>&lt;ESMA_QUESTION_C</w:t>
      </w:r>
      <w:r w:rsidR="009A2624">
        <w:t>P_BMR_5&gt;</w:t>
      </w:r>
    </w:p>
    <w:p w:rsidR="009A2624" w:rsidRDefault="009A2624" w:rsidP="009A2624"/>
    <w:p w:rsidR="009A2624" w:rsidRPr="007F44BF" w:rsidRDefault="00293D4B" w:rsidP="002342EC">
      <w:pPr>
        <w:pStyle w:val="Questionstyle"/>
      </w:pPr>
      <w:r w:rsidRPr="0006038D">
        <w:rPr>
          <w:rFonts w:cs="Arial"/>
          <w:lang w:val="en-US"/>
        </w:rPr>
        <w:lastRenderedPageBreak/>
        <w:t>Do you agree with the measurement performed at a specific point in time for assessing whet</w:t>
      </w:r>
      <w:r w:rsidRPr="0006038D">
        <w:rPr>
          <w:rFonts w:cs="Arial"/>
          <w:lang w:val="en-US"/>
        </w:rPr>
        <w:t>h</w:t>
      </w:r>
      <w:r w:rsidRPr="0006038D">
        <w:rPr>
          <w:rFonts w:cs="Arial"/>
          <w:lang w:val="en-US"/>
        </w:rPr>
        <w:t>er a benchmark hits the thresholds specified in Article 20(1)</w:t>
      </w:r>
      <w:r>
        <w:rPr>
          <w:rFonts w:cs="Arial"/>
          <w:lang w:val="en-US"/>
        </w:rPr>
        <w:t xml:space="preserve"> to be considered as critical?</w:t>
      </w:r>
    </w:p>
    <w:p w:rsidR="009A2624" w:rsidRDefault="00665C07" w:rsidP="009A2624">
      <w:r>
        <w:t>&lt;ESMA_QUESTION_C</w:t>
      </w:r>
      <w:r w:rsidR="009A2624">
        <w:t>P_BMR_6&gt;</w:t>
      </w:r>
    </w:p>
    <w:p w:rsidR="009A2624" w:rsidRDefault="008E1CDD" w:rsidP="009A2624">
      <w:permStart w:id="536158307" w:edGrp="everyone"/>
      <w:r>
        <w:t xml:space="preserve">No we do not agree.  We believe that any “snapshot” measurement of a value of a financial instruments referencing a financial benchmark will ultimately be unrepresentative of the actual value and spread of use of that price.  We </w:t>
      </w:r>
      <w:r w:rsidR="009B6E1F">
        <w:t>note</w:t>
      </w:r>
      <w:r>
        <w:t xml:space="preserve"> ESMA’s observation that a “critical” benchmark is likely to be sufficiently ubiquitous that its value would not be subject to fluctuations that would bring it within and outside of the relevant value range.  However, this is far from certain and the application of the most onerous requirements of the Regulations based on a single valuation has potential to lead to errors and disproportionate application of the relevant requirements.  </w:t>
      </w:r>
    </w:p>
    <w:p w:rsidR="008E1CDD" w:rsidRDefault="008E1CDD" w:rsidP="009A2624"/>
    <w:p w:rsidR="008E1CDD" w:rsidRDefault="008E1CDD" w:rsidP="009A2624">
      <w:r>
        <w:t xml:space="preserve">We therefore believe that the assessment of quantum should be done either over a period of time or through an average value based on several valuations done at regular intervals over a period of time (for example monthly assessments over </w:t>
      </w:r>
      <w:r w:rsidR="002673AD">
        <w:t>the</w:t>
      </w:r>
      <w:r>
        <w:t xml:space="preserve"> two year interval)</w:t>
      </w:r>
      <w:r w:rsidR="002673AD">
        <w:t>.</w:t>
      </w:r>
    </w:p>
    <w:permEnd w:id="536158307"/>
    <w:p w:rsidR="009A2624" w:rsidRDefault="00665C07" w:rsidP="009A2624">
      <w:r>
        <w:t>&lt;ESMA_QUESTION_C</w:t>
      </w:r>
      <w:r w:rsidR="009A2624">
        <w:t>P_BMR_6&gt;</w:t>
      </w:r>
    </w:p>
    <w:p w:rsidR="009A2624" w:rsidRDefault="009A2624" w:rsidP="009A2624"/>
    <w:p w:rsidR="009A2624" w:rsidRPr="007F44BF"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use of licensing agreements to identify financial instruments referencing benchmarks? Would this approach be useful in particular in the case of investment funds?</w:t>
      </w:r>
    </w:p>
    <w:p w:rsidR="009A2624" w:rsidRDefault="00665C07" w:rsidP="009A2624">
      <w:r>
        <w:t>&lt;ESMA_QUESTION_C</w:t>
      </w:r>
      <w:r w:rsidR="009A2624">
        <w:t>P_BMR_7&gt;</w:t>
      </w:r>
    </w:p>
    <w:p w:rsidR="00E41F49" w:rsidRDefault="00E41F49" w:rsidP="009A2624">
      <w:permStart w:id="550515962" w:edGrp="everyone"/>
      <w:r>
        <w:t xml:space="preserve">We agree that </w:t>
      </w:r>
      <w:r w:rsidR="00233DB1">
        <w:t xml:space="preserve">ESMA will need to introduce </w:t>
      </w:r>
      <w:r>
        <w:t xml:space="preserve">a workable </w:t>
      </w:r>
      <w:r w:rsidR="00A8078F">
        <w:t xml:space="preserve">regime which </w:t>
      </w:r>
      <w:r>
        <w:t>permit</w:t>
      </w:r>
      <w:r w:rsidR="00A8078F">
        <w:t>s</w:t>
      </w:r>
      <w:r>
        <w:t xml:space="preserve"> the identification of financial instruments referencing a particular benchmark.  We note the limitations on </w:t>
      </w:r>
      <w:r w:rsidR="00233DB1">
        <w:t>the proposal to rely on licen</w:t>
      </w:r>
      <w:r w:rsidR="00233DB1">
        <w:t>c</w:t>
      </w:r>
      <w:r w:rsidR="00233DB1">
        <w:t xml:space="preserve">ing agreements </w:t>
      </w:r>
      <w:r>
        <w:t xml:space="preserve">and </w:t>
      </w:r>
      <w:r w:rsidR="00233DB1">
        <w:t xml:space="preserve">we </w:t>
      </w:r>
      <w:r>
        <w:t>agree</w:t>
      </w:r>
      <w:r w:rsidR="00A8078F">
        <w:t xml:space="preserve"> that entering into licencing agreements would not provide the desired level of oversight and control</w:t>
      </w:r>
      <w:r>
        <w:t>.  We also question</w:t>
      </w:r>
      <w:r w:rsidR="00233DB1">
        <w:t xml:space="preserve"> its feasibility from a</w:t>
      </w:r>
      <w:r>
        <w:t xml:space="preserve"> practical perspective and whether it would be appropriate for national regulators to devote the level of resource to manage and supervise such a programme.</w:t>
      </w:r>
    </w:p>
    <w:p w:rsidR="00E41F49" w:rsidRDefault="00E41F49" w:rsidP="009A2624"/>
    <w:p w:rsidR="00306604" w:rsidRDefault="00E41F49" w:rsidP="00306604">
      <w:pPr>
        <w:jc w:val="both"/>
      </w:pPr>
      <w:r>
        <w:t xml:space="preserve">Our preferred approach is, therefore, for instruments identifiers to </w:t>
      </w:r>
      <w:r w:rsidR="00335CDB">
        <w:t>be used</w:t>
      </w:r>
      <w:r>
        <w:t xml:space="preserve">.  However we disagree with the use of ISINs and believe that there are a number of material </w:t>
      </w:r>
      <w:r w:rsidR="00306604">
        <w:t>concerns in</w:t>
      </w:r>
      <w:r>
        <w:t xml:space="preserve"> using this identifier</w:t>
      </w:r>
      <w:r w:rsidR="00306604">
        <w:t xml:space="preserve"> and the practicality of its application to derivative venues in particular</w:t>
      </w:r>
      <w:r w:rsidR="00306604" w:rsidRPr="00D54169">
        <w:t>.</w:t>
      </w:r>
    </w:p>
    <w:p w:rsidR="00306604" w:rsidRDefault="00306604" w:rsidP="00306604">
      <w:pPr>
        <w:jc w:val="both"/>
      </w:pPr>
    </w:p>
    <w:p w:rsidR="00306604" w:rsidRDefault="00306604" w:rsidP="00306604">
      <w:pPr>
        <w:jc w:val="both"/>
      </w:pPr>
      <w:r w:rsidRPr="00D54169">
        <w:t>For example, the Association of National Numbering Agencies (“ANNAs”) Quality Management Guidelines provides for ISINs to be allocated within twenty-four hours of request.  This is not appropriate for derivative markets in which the creation of new financial instruments can occur intraday (e.g. if derivative instr</w:t>
      </w:r>
      <w:r w:rsidRPr="00D54169">
        <w:t>u</w:t>
      </w:r>
      <w:r w:rsidRPr="00D54169">
        <w:t>ments are defined as through to individual strike prices on options, intraday ISINs would be required at each new strike price during the day).  As such, the process through which ISINs are allocated for deriv</w:t>
      </w:r>
      <w:r w:rsidRPr="00D54169">
        <w:t>a</w:t>
      </w:r>
      <w:r w:rsidRPr="00D54169">
        <w:t>tives must be amended to permit sufficient flexibility to support this demand</w:t>
      </w:r>
      <w:r>
        <w:t>.  One suggested approach has been to permit exchanges themselves to assign ISINs for instruments traded on their platforms.</w:t>
      </w:r>
    </w:p>
    <w:p w:rsidR="00306604" w:rsidRPr="00D54169" w:rsidRDefault="00306604" w:rsidP="00306604">
      <w:pPr>
        <w:jc w:val="both"/>
      </w:pPr>
    </w:p>
    <w:p w:rsidR="00306604" w:rsidRDefault="00306604" w:rsidP="00306604">
      <w:pPr>
        <w:jc w:val="both"/>
      </w:pPr>
      <w:r>
        <w:t xml:space="preserve">In addition to practical considerations, the proposed arrangements lead to certain issues around the intellectual property of the trade data which would be made available to the NNA.  As noted European </w:t>
      </w:r>
      <w:r w:rsidRPr="00D54169">
        <w:t>market operators, will need to obtain ISINs for their derivatives from the UK NNA.</w:t>
      </w:r>
      <w:r>
        <w:t xml:space="preserve"> </w:t>
      </w:r>
      <w:r w:rsidRPr="00D54169">
        <w:t xml:space="preserve"> ANNA acknowledges that nothing in its articles of association shall have the effect of depriving any member of any intellectual property rights it may have in any ISIN. However, we remain concerned that the information the NNA will receive from trading venues, over time, will give it a comprehensive database of </w:t>
      </w:r>
      <w:r>
        <w:t xml:space="preserve">all </w:t>
      </w:r>
      <w:r w:rsidRPr="00D54169">
        <w:t>derivatives traded on all</w:t>
      </w:r>
      <w:r>
        <w:t xml:space="preserve"> of the</w:t>
      </w:r>
      <w:r w:rsidRPr="00D54169">
        <w:t xml:space="preserve"> markets</w:t>
      </w:r>
      <w:r>
        <w:t xml:space="preserve"> to which it issues ISINs</w:t>
      </w:r>
      <w:r w:rsidRPr="00D54169">
        <w:t xml:space="preserve">.  </w:t>
      </w:r>
      <w:r>
        <w:t>This data could provide considerable commercial opportunities and an NNA could feasibly develop products based on this data or derived from it.  This could create a competitive advantage for the NNA to the direct detriment of other regulated markets within its jurisdiction.</w:t>
      </w:r>
    </w:p>
    <w:p w:rsidR="00306604" w:rsidRPr="00D54169" w:rsidRDefault="00306604" w:rsidP="00306604">
      <w:pPr>
        <w:jc w:val="both"/>
      </w:pPr>
    </w:p>
    <w:p w:rsidR="00E41F49" w:rsidRDefault="00335CDB" w:rsidP="009A2624">
      <w:r>
        <w:t>R</w:t>
      </w:r>
      <w:r w:rsidR="00306604" w:rsidRPr="00D54169">
        <w:t xml:space="preserve">egulated markets are global and </w:t>
      </w:r>
      <w:r w:rsidR="00306604">
        <w:t>therefore need to remain relevant and useable in all jurisdictions.  We believe it would be appropriate for ESMA to reassess the relevance and use of the IOSCO global instr</w:t>
      </w:r>
      <w:r w:rsidR="00306604">
        <w:t>u</w:t>
      </w:r>
      <w:r w:rsidR="00306604">
        <w:t xml:space="preserve">ment identifiers considering in particular the risks that use of </w:t>
      </w:r>
      <w:r w:rsidR="00454219">
        <w:t xml:space="preserve">the ISIN could lead to </w:t>
      </w:r>
      <w:r w:rsidR="00306604">
        <w:t>marginalis</w:t>
      </w:r>
      <w:r w:rsidR="00454219">
        <w:t>ation</w:t>
      </w:r>
      <w:r w:rsidR="00306604">
        <w:t xml:space="preserve"> and triviali</w:t>
      </w:r>
      <w:r w:rsidR="00454219">
        <w:t>sation of</w:t>
      </w:r>
      <w:r w:rsidR="00306604">
        <w:t xml:space="preserve"> the relevance of European markets with</w:t>
      </w:r>
      <w:r w:rsidR="00454219">
        <w:t xml:space="preserve">in the broader global context. </w:t>
      </w:r>
    </w:p>
    <w:permEnd w:id="550515962"/>
    <w:p w:rsidR="009A2624" w:rsidRDefault="00665C07" w:rsidP="009A2624">
      <w:r>
        <w:t>&lt;ESMA_QUESTION_C</w:t>
      </w:r>
      <w:r w:rsidR="009A2624">
        <w:t>P_BMR_7&gt;</w:t>
      </w:r>
    </w:p>
    <w:p w:rsidR="009A2624" w:rsidRDefault="009A2624" w:rsidP="009A2624"/>
    <w:p w:rsidR="009A2624" w:rsidRPr="007F44BF" w:rsidRDefault="00293D4B" w:rsidP="002342EC">
      <w:pPr>
        <w:pStyle w:val="Questionstyle"/>
      </w:pPr>
      <w:r w:rsidRPr="00E76135">
        <w:rPr>
          <w:rFonts w:cs="Arial"/>
          <w:lang w:val="en-US"/>
        </w:rPr>
        <w:lastRenderedPageBreak/>
        <w:t>Do you agree with the criteria proposed? Do you consider that additional criteria should be included in the technical advice</w:t>
      </w:r>
      <w:r>
        <w:rPr>
          <w:rFonts w:cs="Arial"/>
          <w:lang w:val="en-US"/>
        </w:rPr>
        <w:t>?</w:t>
      </w:r>
      <w:r w:rsidR="009A2624" w:rsidRPr="007F44BF">
        <w:t xml:space="preserve"> </w:t>
      </w:r>
    </w:p>
    <w:p w:rsidR="009A2624" w:rsidRDefault="00665C07" w:rsidP="009A2624">
      <w:r>
        <w:t>&lt;ESMA_QUESTION_C</w:t>
      </w:r>
      <w:r w:rsidR="009A2624">
        <w:t>P_BMR_8&gt;</w:t>
      </w:r>
    </w:p>
    <w:p w:rsidR="009A2624" w:rsidRDefault="00217545" w:rsidP="009A2624">
      <w:permStart w:id="1421739803" w:edGrp="everyone"/>
      <w:r>
        <w:t>We agree with the criteria proposed.  We would support including as much criteria as relevant in the advice in order to ensure that decisions as to the benchmarks that should be classified as “critical” can be as consistent as possible across Member States and that national regulators can be confident in their decision making.</w:t>
      </w:r>
      <w:r w:rsidR="00313B1B">
        <w:t xml:space="preserve">  However only criteria which </w:t>
      </w:r>
      <w:r w:rsidR="00335CDB">
        <w:t xml:space="preserve">are </w:t>
      </w:r>
      <w:r w:rsidR="00313B1B">
        <w:t>relevant and non-duplicative should be included.</w:t>
      </w:r>
      <w:r w:rsidR="00335CDB">
        <w:t xml:space="preserve"> </w:t>
      </w:r>
      <w:permEnd w:id="1421739803"/>
      <w:r w:rsidR="00665C07">
        <w:t>&lt;E</w:t>
      </w:r>
      <w:r w:rsidR="00665C07">
        <w:t>S</w:t>
      </w:r>
      <w:r w:rsidR="00665C07">
        <w:t>MA_QUESTION_C</w:t>
      </w:r>
      <w:r w:rsidR="009A2624">
        <w:t>P_BMR_8&gt;</w:t>
      </w:r>
    </w:p>
    <w:p w:rsidR="009A2624" w:rsidRDefault="009A2624" w:rsidP="009A2624"/>
    <w:p w:rsidR="009A2624" w:rsidRPr="007F44BF" w:rsidRDefault="005C7F55" w:rsidP="002342EC">
      <w:pPr>
        <w:pStyle w:val="Questionstyle"/>
      </w:pPr>
      <w:r w:rsidRPr="00E76135">
        <w:rPr>
          <w:rFonts w:cs="Arial"/>
          <w:lang w:val="en-US"/>
        </w:rPr>
        <w:t>Do you think that the concept of “significant share of” should be further developed in terms of percentages or ranges of values expressed in percentages, to be used for (some of) the criteria based on quantitative data? If yes, could you propose percentages of reference, or ranges of values e</w:t>
      </w:r>
      <w:r w:rsidRPr="00E76135">
        <w:rPr>
          <w:rFonts w:cs="Arial"/>
          <w:lang w:val="en-US"/>
        </w:rPr>
        <w:t>x</w:t>
      </w:r>
      <w:r w:rsidRPr="00E76135">
        <w:rPr>
          <w:rFonts w:cs="Arial"/>
          <w:lang w:val="en-US"/>
        </w:rPr>
        <w:t>pressed in percentages, to be used for one or more of the proposed criteria</w:t>
      </w:r>
      <w:r w:rsidR="009A2624" w:rsidRPr="007F44BF">
        <w:t>?</w:t>
      </w:r>
    </w:p>
    <w:p w:rsidR="009A2624" w:rsidRDefault="00665C07" w:rsidP="009A2624">
      <w:r>
        <w:t>&lt;ESMA_QUESTION_C</w:t>
      </w:r>
      <w:r w:rsidR="009A2624">
        <w:t>P_BMR_9&gt;</w:t>
      </w:r>
    </w:p>
    <w:p w:rsidR="009A2624" w:rsidRDefault="006F7A22" w:rsidP="009A2624">
      <w:permStart w:id="1465203984" w:edGrp="everyone"/>
      <w:r>
        <w:t>W</w:t>
      </w:r>
      <w:r w:rsidR="00313B1B">
        <w:t xml:space="preserve">e </w:t>
      </w:r>
      <w:r>
        <w:t xml:space="preserve">support the concept of </w:t>
      </w:r>
      <w:r w:rsidR="00313B1B">
        <w:t xml:space="preserve">“significant share of” </w:t>
      </w:r>
      <w:r>
        <w:t xml:space="preserve">and believe that each </w:t>
      </w:r>
      <w:r w:rsidR="002432FC">
        <w:t>market</w:t>
      </w:r>
      <w:r>
        <w:t xml:space="preserve"> should be evaluated on its own </w:t>
      </w:r>
      <w:r w:rsidR="002432FC">
        <w:t>characteristics</w:t>
      </w:r>
      <w:r w:rsidR="003A5359">
        <w:t>.</w:t>
      </w:r>
      <w:r>
        <w:t xml:space="preserve"> </w:t>
      </w:r>
      <w:permEnd w:id="1465203984"/>
      <w:r w:rsidR="00665C07">
        <w:t>&lt;ESMA_QUESTION_C</w:t>
      </w:r>
      <w:r w:rsidR="009A2624">
        <w:t>P_BMR_9&gt;</w:t>
      </w:r>
    </w:p>
    <w:p w:rsidR="009A2624" w:rsidRDefault="009A2624" w:rsidP="009A2624"/>
    <w:p w:rsidR="009A2624" w:rsidRPr="007F44BF" w:rsidRDefault="005C7F55" w:rsidP="002342EC">
      <w:pPr>
        <w:pStyle w:val="Questionstyle"/>
      </w:pPr>
      <w:r w:rsidRPr="00837564">
        <w:rPr>
          <w:rFonts w:cs="Arial"/>
        </w:rPr>
        <w:t>Do you agree with the suggested indicators for objective reasons for endorsement of third-country benchmarks</w:t>
      </w:r>
      <w:r w:rsidR="009A2624" w:rsidRPr="007F44BF">
        <w:t xml:space="preserve">? </w:t>
      </w:r>
    </w:p>
    <w:p w:rsidR="009A2624" w:rsidRDefault="00665C07" w:rsidP="009A2624">
      <w:r>
        <w:t>&lt;ESMA_QUESTION_C</w:t>
      </w:r>
      <w:r w:rsidR="009A2624">
        <w:t>P_BMR_10&gt;</w:t>
      </w:r>
    </w:p>
    <w:p w:rsidR="00727AE5" w:rsidRDefault="00727AE5" w:rsidP="009A2624">
      <w:permStart w:id="1767518456" w:edGrp="everyone"/>
      <w:r>
        <w:t>Yes, we support the suggested indicators for objective reasons for endorsement of third country benc</w:t>
      </w:r>
      <w:r>
        <w:t>h</w:t>
      </w:r>
      <w:r>
        <w:t xml:space="preserve">marks.  </w:t>
      </w:r>
    </w:p>
    <w:p w:rsidR="00727AE5" w:rsidRDefault="00727AE5" w:rsidP="009A2624"/>
    <w:p w:rsidR="009A2624" w:rsidRDefault="00727AE5" w:rsidP="009A2624">
      <w:r>
        <w:t>We note that ESMA highlights the criteria are non-exhaustive and believe that this</w:t>
      </w:r>
      <w:r w:rsidR="00335CDB">
        <w:t xml:space="preserve"> advice</w:t>
      </w:r>
      <w:r>
        <w:t xml:space="preserve"> is helpful.  However the application of the advice could usefully be supplemented through additional comment ensu</w:t>
      </w:r>
      <w:r>
        <w:t>r</w:t>
      </w:r>
      <w:r>
        <w:t>ing that national regulators take into account the specific characteristics of different types of benchmarks and do not feel constrained when exercising their discretion in relation to this issue.  For example two benchmarks originating from the same third country should not be compared to each other when conside</w:t>
      </w:r>
      <w:r>
        <w:t>r</w:t>
      </w:r>
      <w:r>
        <w:t xml:space="preserve">ing whether or not to endorse them.  Instead </w:t>
      </w:r>
      <w:r w:rsidR="00107EC7">
        <w:t xml:space="preserve">national regulators must be cognisant that the key factor determining </w:t>
      </w:r>
      <w:r w:rsidR="00335CDB">
        <w:t xml:space="preserve">any </w:t>
      </w:r>
      <w:r w:rsidR="00107EC7">
        <w:t xml:space="preserve">decision to endorse </w:t>
      </w:r>
      <w:r>
        <w:t xml:space="preserve">must </w:t>
      </w:r>
      <w:r w:rsidR="00107EC7">
        <w:t xml:space="preserve">be </w:t>
      </w:r>
      <w:r>
        <w:t xml:space="preserve">the nature of the </w:t>
      </w:r>
      <w:r w:rsidR="00335CDB">
        <w:t xml:space="preserve">actual benchmark itself including any </w:t>
      </w:r>
      <w:r>
        <w:t>underlying data on which the benchmarks are determined.</w:t>
      </w:r>
      <w:r w:rsidR="00342EB9">
        <w:t xml:space="preserve"> </w:t>
      </w:r>
    </w:p>
    <w:permEnd w:id="1767518456"/>
    <w:p w:rsidR="009A2624" w:rsidRDefault="00665C07" w:rsidP="009A2624">
      <w:r>
        <w:t>&lt;ESMA_QUESTION_C</w:t>
      </w:r>
      <w:r w:rsidR="009A2624">
        <w:t>P_BMR_10&gt;</w:t>
      </w:r>
    </w:p>
    <w:p w:rsidR="009A2624" w:rsidRDefault="009A2624" w:rsidP="009A2624"/>
    <w:p w:rsidR="009A2624" w:rsidRPr="007F44BF" w:rsidRDefault="005C7F55" w:rsidP="002342EC">
      <w:pPr>
        <w:pStyle w:val="Questionstyle"/>
      </w:pPr>
      <w:r>
        <w:rPr>
          <w:rFonts w:cs="Arial"/>
          <w:lang w:val="en-US"/>
        </w:rPr>
        <w:t>Do you agree with the criteria, included in the draft technical advice, that NCAs should use when assessing whether the transitional provisions could apply to a non-compliant benchmark? Could you suggest additional criteria?</w:t>
      </w:r>
      <w:r w:rsidR="009A2624" w:rsidRPr="007F44BF">
        <w:t xml:space="preserve"> </w:t>
      </w:r>
    </w:p>
    <w:p w:rsidR="009A2624" w:rsidRDefault="009A2624" w:rsidP="009A2624">
      <w:r>
        <w:t>&lt;ES</w:t>
      </w:r>
      <w:r w:rsidR="00665C07">
        <w:t>MA_QUESTION_C</w:t>
      </w:r>
      <w:r>
        <w:t>P_BMR_11&gt;</w:t>
      </w:r>
    </w:p>
    <w:p w:rsidR="009A2624" w:rsidRDefault="00342EB9" w:rsidP="009A2624">
      <w:permStart w:id="1565027567" w:edGrp="everyone"/>
      <w:r>
        <w:t>We believe that the advice leads to certain conflicts and competitive disadvantages to EU-based admini</w:t>
      </w:r>
      <w:r>
        <w:t>s</w:t>
      </w:r>
      <w:r>
        <w:t>trators compared to their non-EU peers.  This is due to the drafting referring only to benchmarks existing on the date on which the Regulation comes into force and therefore applying the transitional provisions to these benchmarks.  Instead we believe it would be appropriate to change the drafting to refer to benc</w:t>
      </w:r>
      <w:r>
        <w:t>h</w:t>
      </w:r>
      <w:r>
        <w:t xml:space="preserve">marks existing on the date of application in the Union. </w:t>
      </w:r>
      <w:permEnd w:id="1565027567"/>
      <w:r w:rsidR="00665C07">
        <w:t>&lt;ESMA_QUESTION_C</w:t>
      </w:r>
      <w:r w:rsidR="009A2624">
        <w:t>P_BMR_11&gt;</w:t>
      </w:r>
    </w:p>
    <w:p w:rsidR="00BE3CE5" w:rsidRDefault="00BE3CE5" w:rsidP="009A2624"/>
    <w:sectPr w:rsidR="00BE3CE5"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BB" w:rsidRDefault="00C154BB">
      <w:r>
        <w:separator/>
      </w:r>
    </w:p>
    <w:p w:rsidR="00C154BB" w:rsidRDefault="00C154BB"/>
  </w:endnote>
  <w:endnote w:type="continuationSeparator" w:id="0">
    <w:p w:rsidR="00C154BB" w:rsidRDefault="00C154BB">
      <w:r>
        <w:continuationSeparator/>
      </w:r>
    </w:p>
    <w:p w:rsidR="00C154BB" w:rsidRDefault="00C154BB"/>
  </w:endnote>
  <w:endnote w:type="continuationNotice" w:id="1">
    <w:p w:rsidR="00C154BB" w:rsidRDefault="00C1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A1A5D">
            <w:rPr>
              <w:rFonts w:cs="Arial"/>
              <w:noProof/>
              <w:sz w:val="22"/>
              <w:szCs w:val="22"/>
            </w:rPr>
            <w:t>5</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BB" w:rsidRDefault="00C154BB">
      <w:r>
        <w:separator/>
      </w:r>
    </w:p>
    <w:p w:rsidR="00C154BB" w:rsidRDefault="00C154BB"/>
  </w:footnote>
  <w:footnote w:type="continuationSeparator" w:id="0">
    <w:p w:rsidR="00C154BB" w:rsidRDefault="00C154BB">
      <w:r>
        <w:continuationSeparator/>
      </w:r>
    </w:p>
    <w:p w:rsidR="00C154BB" w:rsidRDefault="00C154BB"/>
  </w:footnote>
  <w:footnote w:type="continuationNotice" w:id="1">
    <w:p w:rsidR="00C154BB" w:rsidRDefault="00C154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23A9005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7EC87E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nU0jKE/0FUl/mFLwVxG4YN4db+ZeKzs2H2iJsoDrWTrHyzzwAzXk1k7rfqlSDub/1fNztjY16PGvNsFIjDTpw==" w:salt="Zg2lf8qdCA+0wSGWROtIeQ=="/>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4BDC"/>
    <w:rsid w:val="00005BBA"/>
    <w:rsid w:val="00005D8C"/>
    <w:rsid w:val="00006C2B"/>
    <w:rsid w:val="00007014"/>
    <w:rsid w:val="00007968"/>
    <w:rsid w:val="0001067A"/>
    <w:rsid w:val="00011E67"/>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B7FE3"/>
    <w:rsid w:val="000C06C9"/>
    <w:rsid w:val="000C1DCC"/>
    <w:rsid w:val="000C1FBC"/>
    <w:rsid w:val="000C2B6A"/>
    <w:rsid w:val="000C2F88"/>
    <w:rsid w:val="000C55C8"/>
    <w:rsid w:val="000C57C4"/>
    <w:rsid w:val="000C5FD3"/>
    <w:rsid w:val="000C62BC"/>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B77"/>
    <w:rsid w:val="001072DD"/>
    <w:rsid w:val="00107ABE"/>
    <w:rsid w:val="00107EC7"/>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9FF"/>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545"/>
    <w:rsid w:val="00217C23"/>
    <w:rsid w:val="00220561"/>
    <w:rsid w:val="00220CE4"/>
    <w:rsid w:val="00222D9B"/>
    <w:rsid w:val="00223788"/>
    <w:rsid w:val="00223D11"/>
    <w:rsid w:val="002242D3"/>
    <w:rsid w:val="002301E6"/>
    <w:rsid w:val="00232F90"/>
    <w:rsid w:val="00233B08"/>
    <w:rsid w:val="00233C3B"/>
    <w:rsid w:val="00233DB1"/>
    <w:rsid w:val="002342EC"/>
    <w:rsid w:val="0023499C"/>
    <w:rsid w:val="00235CE3"/>
    <w:rsid w:val="0023636A"/>
    <w:rsid w:val="00236F34"/>
    <w:rsid w:val="002372F7"/>
    <w:rsid w:val="00237602"/>
    <w:rsid w:val="00240651"/>
    <w:rsid w:val="00240803"/>
    <w:rsid w:val="002432FC"/>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673AD"/>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A68B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3F"/>
    <w:rsid w:val="002C7DFC"/>
    <w:rsid w:val="002D14F3"/>
    <w:rsid w:val="002D16E4"/>
    <w:rsid w:val="002D2FEF"/>
    <w:rsid w:val="002D36C2"/>
    <w:rsid w:val="002D3FCB"/>
    <w:rsid w:val="002D4FEF"/>
    <w:rsid w:val="002D502D"/>
    <w:rsid w:val="002D63F5"/>
    <w:rsid w:val="002D6E1A"/>
    <w:rsid w:val="002E036D"/>
    <w:rsid w:val="002E1517"/>
    <w:rsid w:val="002E1B22"/>
    <w:rsid w:val="002E2946"/>
    <w:rsid w:val="002E387F"/>
    <w:rsid w:val="002E7F4B"/>
    <w:rsid w:val="002F0C91"/>
    <w:rsid w:val="002F0E3E"/>
    <w:rsid w:val="002F1B19"/>
    <w:rsid w:val="002F1FBF"/>
    <w:rsid w:val="002F4139"/>
    <w:rsid w:val="00300624"/>
    <w:rsid w:val="00300F56"/>
    <w:rsid w:val="00301006"/>
    <w:rsid w:val="00304A71"/>
    <w:rsid w:val="00306604"/>
    <w:rsid w:val="003066C8"/>
    <w:rsid w:val="0030739D"/>
    <w:rsid w:val="00307AFB"/>
    <w:rsid w:val="00311184"/>
    <w:rsid w:val="00312675"/>
    <w:rsid w:val="00313B1B"/>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5CDB"/>
    <w:rsid w:val="00336B56"/>
    <w:rsid w:val="00341B25"/>
    <w:rsid w:val="00341EC0"/>
    <w:rsid w:val="0034240C"/>
    <w:rsid w:val="00342EB9"/>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359"/>
    <w:rsid w:val="003A5DAC"/>
    <w:rsid w:val="003A6591"/>
    <w:rsid w:val="003A6E9A"/>
    <w:rsid w:val="003B08C8"/>
    <w:rsid w:val="003B2567"/>
    <w:rsid w:val="003B381A"/>
    <w:rsid w:val="003B4976"/>
    <w:rsid w:val="003B4B3F"/>
    <w:rsid w:val="003B6258"/>
    <w:rsid w:val="003B7A99"/>
    <w:rsid w:val="003C0343"/>
    <w:rsid w:val="003C1C29"/>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9DA"/>
    <w:rsid w:val="003E0F84"/>
    <w:rsid w:val="003E1FF3"/>
    <w:rsid w:val="003E32FA"/>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AEB"/>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4219"/>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1A5D"/>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33EE"/>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0E00"/>
    <w:rsid w:val="005E10BF"/>
    <w:rsid w:val="005E1834"/>
    <w:rsid w:val="005E49E5"/>
    <w:rsid w:val="005E5481"/>
    <w:rsid w:val="005E55E4"/>
    <w:rsid w:val="005E6C5F"/>
    <w:rsid w:val="005E7636"/>
    <w:rsid w:val="005F028E"/>
    <w:rsid w:val="005F04B4"/>
    <w:rsid w:val="005F11A4"/>
    <w:rsid w:val="005F19F8"/>
    <w:rsid w:val="005F304D"/>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A22"/>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AE5"/>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1CDD"/>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C4A"/>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3B7"/>
    <w:rsid w:val="00954BAF"/>
    <w:rsid w:val="00955F48"/>
    <w:rsid w:val="009560B3"/>
    <w:rsid w:val="0095745E"/>
    <w:rsid w:val="00957CE0"/>
    <w:rsid w:val="0096002E"/>
    <w:rsid w:val="0096039E"/>
    <w:rsid w:val="00960AEB"/>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092"/>
    <w:rsid w:val="009B1D02"/>
    <w:rsid w:val="009B6E1F"/>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078F"/>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4BB"/>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483"/>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5E1A"/>
    <w:rsid w:val="00C6669E"/>
    <w:rsid w:val="00C672B0"/>
    <w:rsid w:val="00C729C7"/>
    <w:rsid w:val="00C777AD"/>
    <w:rsid w:val="00C80C53"/>
    <w:rsid w:val="00C81195"/>
    <w:rsid w:val="00C8202F"/>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D76D7"/>
    <w:rsid w:val="00CE157F"/>
    <w:rsid w:val="00CE1966"/>
    <w:rsid w:val="00CE1ED4"/>
    <w:rsid w:val="00CE2216"/>
    <w:rsid w:val="00CE3014"/>
    <w:rsid w:val="00CE30E5"/>
    <w:rsid w:val="00CE6FC6"/>
    <w:rsid w:val="00CF2056"/>
    <w:rsid w:val="00CF3C50"/>
    <w:rsid w:val="00CF4471"/>
    <w:rsid w:val="00CF51C0"/>
    <w:rsid w:val="00CF5B2A"/>
    <w:rsid w:val="00CF5F57"/>
    <w:rsid w:val="00CF62BB"/>
    <w:rsid w:val="00CF64A7"/>
    <w:rsid w:val="00CF6730"/>
    <w:rsid w:val="00CF70E5"/>
    <w:rsid w:val="00CF7CEC"/>
    <w:rsid w:val="00D00B0F"/>
    <w:rsid w:val="00D01BF4"/>
    <w:rsid w:val="00D0272C"/>
    <w:rsid w:val="00D045CE"/>
    <w:rsid w:val="00D04745"/>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308"/>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1F49"/>
    <w:rsid w:val="00E42608"/>
    <w:rsid w:val="00E43536"/>
    <w:rsid w:val="00E43DA3"/>
    <w:rsid w:val="00E44B80"/>
    <w:rsid w:val="00E47430"/>
    <w:rsid w:val="00E50FB7"/>
    <w:rsid w:val="00E5199F"/>
    <w:rsid w:val="00E526DF"/>
    <w:rsid w:val="00E53C15"/>
    <w:rsid w:val="00E54EE6"/>
    <w:rsid w:val="00E55C0E"/>
    <w:rsid w:val="00E56715"/>
    <w:rsid w:val="00E56C2C"/>
    <w:rsid w:val="00E57816"/>
    <w:rsid w:val="00E57F8E"/>
    <w:rsid w:val="00E611C8"/>
    <w:rsid w:val="00E6344A"/>
    <w:rsid w:val="00E64E69"/>
    <w:rsid w:val="00E64FB7"/>
    <w:rsid w:val="00E669A1"/>
    <w:rsid w:val="00E679BA"/>
    <w:rsid w:val="00E70243"/>
    <w:rsid w:val="00E72CC6"/>
    <w:rsid w:val="00E73D44"/>
    <w:rsid w:val="00E73EE7"/>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0CA"/>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58B"/>
    <w:rsid w:val="00F61664"/>
    <w:rsid w:val="00F61B99"/>
    <w:rsid w:val="00F64C45"/>
    <w:rsid w:val="00F6502B"/>
    <w:rsid w:val="00F6612A"/>
    <w:rsid w:val="00F66724"/>
    <w:rsid w:val="00F67F04"/>
    <w:rsid w:val="00F70207"/>
    <w:rsid w:val="00F702CB"/>
    <w:rsid w:val="00F71490"/>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09C7"/>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A344-B000-4699-9A49-687A768F30A1}">
  <ds:schemaRefs>
    <ds:schemaRef ds:uri="http://schemas.openxmlformats.org/officeDocument/2006/bibliography"/>
  </ds:schemaRefs>
</ds:datastoreItem>
</file>

<file path=customXml/itemProps2.xml><?xml version="1.0" encoding="utf-8"?>
<ds:datastoreItem xmlns:ds="http://schemas.openxmlformats.org/officeDocument/2006/customXml" ds:itemID="{75A5849A-A7AC-4933-A72F-D62BE953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2844</Words>
  <Characters>15551</Characters>
  <Application>Microsoft Office Word</Application>
  <DocSecurity>8</DocSecurity>
  <Lines>129</Lines>
  <Paragraphs>36</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18359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katy.hyams</cp:lastModifiedBy>
  <cp:revision>45</cp:revision>
  <cp:lastPrinted>2015-02-18T11:01:00Z</cp:lastPrinted>
  <dcterms:created xsi:type="dcterms:W3CDTF">2016-06-14T16:10:00Z</dcterms:created>
  <dcterms:modified xsi:type="dcterms:W3CDTF">2016-06-30T09:10:00Z</dcterms:modified>
</cp:coreProperties>
</file>