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4049C0" w:rsidP="004049C0">
            <w:pPr>
              <w:pStyle w:val="00bDBInfo"/>
              <w:rPr>
                <w:rFonts w:cs="Arial"/>
              </w:rPr>
            </w:pPr>
            <w:r>
              <w:rPr>
                <w:rFonts w:cs="Arial"/>
              </w:rPr>
              <w:t>1</w:t>
            </w:r>
            <w:r w:rsidR="003A5DAC">
              <w:rPr>
                <w:rFonts w:cs="Arial"/>
              </w:rPr>
              <w:t xml:space="preserve"> </w:t>
            </w:r>
            <w:r>
              <w:rPr>
                <w:rFonts w:cs="Arial"/>
              </w:rPr>
              <w:t>June</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4049C0">
            <w:pPr>
              <w:pStyle w:val="02Date"/>
              <w:rPr>
                <w:rFonts w:cs="Arial"/>
                <w:highlight w:val="red"/>
              </w:rPr>
            </w:pPr>
            <w:r w:rsidRPr="007C3918">
              <w:rPr>
                <w:rFonts w:cs="Arial"/>
              </w:rPr>
              <w:lastRenderedPageBreak/>
              <w:t>Date</w:t>
            </w:r>
            <w:r w:rsidR="004049C0">
              <w:rPr>
                <w:rFonts w:cs="Arial"/>
              </w:rPr>
              <w:t>: 1</w:t>
            </w:r>
            <w:r w:rsidR="007C3918" w:rsidRPr="007C3918">
              <w:rPr>
                <w:rFonts w:cs="Arial"/>
              </w:rPr>
              <w:t xml:space="preserve"> </w:t>
            </w:r>
            <w:r w:rsidR="004049C0">
              <w:rPr>
                <w:rFonts w:cs="Arial"/>
              </w:rPr>
              <w:t xml:space="preserve">June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w:t>
      </w:r>
      <w:r w:rsidR="00A96324">
        <w:rPr>
          <w:rFonts w:cs="Arial"/>
        </w:rPr>
        <w:t>e your document using the follo</w:t>
      </w:r>
      <w:r w:rsidR="00A96324">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990FF9" w:rsidRPr="00665C07">
        <w:rPr>
          <w:rFonts w:cs="Arial"/>
          <w:b/>
        </w:rPr>
        <w:t>30</w:t>
      </w:r>
      <w:r w:rsidRPr="00665C07">
        <w:rPr>
          <w:rFonts w:cs="Arial"/>
          <w:b/>
        </w:rPr>
        <w:t xml:space="preserve"> </w:t>
      </w:r>
      <w:r w:rsidR="00990FF9" w:rsidRPr="00665C07">
        <w:rPr>
          <w:rFonts w:cs="Arial"/>
          <w:b/>
        </w:rPr>
        <w:t>June</w:t>
      </w:r>
      <w:r w:rsidRPr="00665C07">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96324" w:rsidRDefault="00A96324"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665C07">
        <w:t>C</w:t>
      </w:r>
      <w:r w:rsidR="00176639">
        <w:t>P_BMR</w:t>
      </w:r>
      <w:r w:rsidR="00D61A37" w:rsidRPr="00176639">
        <w:t>_1</w:t>
      </w:r>
      <w:r w:rsidRPr="00176639">
        <w:t>&gt;</w:t>
      </w:r>
    </w:p>
    <w:p w:rsidR="00D34282" w:rsidRDefault="00D01051" w:rsidP="00D34282">
      <w:permStart w:id="674125136" w:edGrp="everyone"/>
      <w:r>
        <w:t>The European Federation of Energy Traders (EFET) welcomes the opportunity to participate in this co</w:t>
      </w:r>
      <w:r>
        <w:t>n</w:t>
      </w:r>
      <w:r>
        <w:t>sultation.</w:t>
      </w:r>
      <w:r w:rsidRPr="00D01051">
        <w:rPr>
          <w:szCs w:val="20"/>
        </w:rPr>
        <w:t xml:space="preserve"> </w:t>
      </w:r>
      <w:r>
        <w:rPr>
          <w:rFonts w:cs="Arial"/>
          <w:szCs w:val="20"/>
        </w:rPr>
        <w:t xml:space="preserve">EFET </w:t>
      </w:r>
      <w:r w:rsidRPr="00D01051">
        <w:rPr>
          <w:rFonts w:cs="Arial"/>
          <w:szCs w:val="20"/>
        </w:rPr>
        <w:t>promotes and facilitates European energy trading in open, transparent, sustainable and liquid wholesale markets, unhindered by national borders or other undue obstacles. We currently repr</w:t>
      </w:r>
      <w:r w:rsidRPr="00D01051">
        <w:rPr>
          <w:rFonts w:cs="Arial"/>
          <w:szCs w:val="20"/>
        </w:rPr>
        <w:t>e</w:t>
      </w:r>
      <w:r w:rsidRPr="00D01051">
        <w:rPr>
          <w:rFonts w:cs="Arial"/>
          <w:szCs w:val="20"/>
        </w:rPr>
        <w:t>sent more than 100 energy trading companies, active in over 28 European countries. For more info</w:t>
      </w:r>
      <w:r w:rsidRPr="00D01051">
        <w:rPr>
          <w:rFonts w:cs="Arial"/>
          <w:szCs w:val="20"/>
        </w:rPr>
        <w:t>r</w:t>
      </w:r>
      <w:r w:rsidRPr="00D01051">
        <w:rPr>
          <w:rFonts w:cs="Arial"/>
          <w:szCs w:val="20"/>
        </w:rPr>
        <w:t xml:space="preserve">mation, visit our website at </w:t>
      </w:r>
      <w:hyperlink r:id="rId15" w:history="1">
        <w:r w:rsidRPr="00D01051">
          <w:rPr>
            <w:rStyle w:val="Hyperlink"/>
            <w:rFonts w:cs="Arial"/>
            <w:szCs w:val="20"/>
          </w:rPr>
          <w:t>www.efet.org</w:t>
        </w:r>
      </w:hyperlink>
      <w:r w:rsidRPr="006E6BE2">
        <w:rPr>
          <w:rFonts w:cs="Arial"/>
          <w:sz w:val="18"/>
          <w:szCs w:val="18"/>
        </w:rPr>
        <w:t>.</w:t>
      </w:r>
    </w:p>
    <w:permEnd w:id="674125136"/>
    <w:p w:rsidR="00D34282" w:rsidRPr="00BF28DA" w:rsidRDefault="00D34282" w:rsidP="00D34282">
      <w:r w:rsidRPr="00BF28DA">
        <w:t>&lt;</w:t>
      </w:r>
      <w:r w:rsidR="00D61A37" w:rsidRPr="00BF28DA">
        <w:t>ESMA_COMMENT_</w:t>
      </w:r>
      <w:r w:rsidR="00665C07">
        <w:t>C</w:t>
      </w:r>
      <w:r w:rsidR="00176639">
        <w:t>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90FF9" w:rsidP="002342EC">
      <w:pPr>
        <w:pStyle w:val="Questionstyle"/>
      </w:pPr>
      <w:r w:rsidRPr="00D60F54">
        <w:lastRenderedPageBreak/>
        <w:t xml:space="preserve">Do you agree with the conditions on the basis of which an index may be considered </w:t>
      </w:r>
      <w:r>
        <w:t>as made available to the public</w:t>
      </w:r>
      <w:r w:rsidR="009A2624" w:rsidRPr="007F44BF">
        <w:t>?</w:t>
      </w:r>
    </w:p>
    <w:p w:rsidR="009A2624" w:rsidRDefault="00665C07" w:rsidP="009A2624">
      <w:r>
        <w:t>&lt;ESMA_QUESTION_C</w:t>
      </w:r>
      <w:r w:rsidR="009A2624">
        <w:t>P_BMR_1&gt;</w:t>
      </w:r>
    </w:p>
    <w:p w:rsidR="009A2624" w:rsidRDefault="009A2624" w:rsidP="009A2624">
      <w:permStart w:id="1367741569" w:edGrp="everyone"/>
      <w:r>
        <w:t>TYPE YOUR TEXT HERE</w:t>
      </w:r>
    </w:p>
    <w:permEnd w:id="1367741569"/>
    <w:p w:rsidR="009A2624" w:rsidRDefault="00665C07" w:rsidP="009A2624">
      <w:r>
        <w:t>&lt;ESMA_QUESTION_C</w:t>
      </w:r>
      <w:r w:rsidR="009A2624">
        <w:t>P_BMR_1&gt;</w:t>
      </w:r>
    </w:p>
    <w:p w:rsidR="009A2624" w:rsidRDefault="009A2624" w:rsidP="009A2624"/>
    <w:p w:rsidR="009A2624" w:rsidRPr="007F44BF" w:rsidRDefault="00990FF9" w:rsidP="002342EC">
      <w:pPr>
        <w:pStyle w:val="Questionstyle"/>
      </w:pPr>
      <w:r w:rsidRPr="00990FF9">
        <w:rPr>
          <w:lang w:val="en-US"/>
        </w:rPr>
        <w:t xml:space="preserve">Do you agree with the proposed specification of what constitutes </w:t>
      </w:r>
      <w:r w:rsidRPr="00990FF9">
        <w:rPr>
          <w:i/>
          <w:lang w:val="en-US"/>
        </w:rPr>
        <w:t>administering the arrang</w:t>
      </w:r>
      <w:r w:rsidRPr="00990FF9">
        <w:rPr>
          <w:i/>
          <w:lang w:val="en-US"/>
        </w:rPr>
        <w:t>e</w:t>
      </w:r>
      <w:r w:rsidRPr="00990FF9">
        <w:rPr>
          <w:i/>
          <w:lang w:val="en-US"/>
        </w:rPr>
        <w:t>ments for determining a benchmark</w:t>
      </w:r>
      <w:r w:rsidR="009A2624" w:rsidRPr="007F44BF">
        <w:t>?</w:t>
      </w:r>
    </w:p>
    <w:p w:rsidR="009A2624" w:rsidRDefault="00665C07" w:rsidP="009A2624">
      <w:r>
        <w:t>&lt;ESMA_QUESTION_C</w:t>
      </w:r>
      <w:r w:rsidR="009A2624">
        <w:t>P_BMR_2&gt;</w:t>
      </w:r>
    </w:p>
    <w:p w:rsidR="009A2624" w:rsidRDefault="009A2624" w:rsidP="009A2624">
      <w:permStart w:id="2091729283" w:edGrp="everyone"/>
      <w:r>
        <w:t>TYPE YOUR TEXT HERE</w:t>
      </w:r>
    </w:p>
    <w:permEnd w:id="2091729283"/>
    <w:p w:rsidR="009A2624" w:rsidRDefault="00665C07" w:rsidP="009A2624">
      <w:r>
        <w:t>&lt;ESMA_QUESTION_C</w:t>
      </w:r>
      <w:r w:rsidR="009A2624">
        <w:t>P_BMR_2&gt;</w:t>
      </w:r>
    </w:p>
    <w:p w:rsidR="009A2624" w:rsidRDefault="009A2624" w:rsidP="009A2624"/>
    <w:p w:rsidR="009A2624" w:rsidRDefault="00990FF9" w:rsidP="00990FF9">
      <w:pPr>
        <w:pStyle w:val="Questionstyle"/>
        <w:rPr>
          <w:rFonts w:cstheme="minorHAnsi"/>
        </w:rPr>
      </w:pPr>
      <w:r w:rsidRPr="00990FF9">
        <w:t>Do you agree that the ‘use of a benchmark’ in derivatives that are traded on trading venues and/or systematic internalisers is linked to the determination of the amount payable under the said derivatives for any relevant purpose (trading, clearing, margining, …)?</w:t>
      </w:r>
    </w:p>
    <w:p w:rsidR="009A2624" w:rsidRDefault="00665C07" w:rsidP="009A2624">
      <w:r>
        <w:t>&lt;ESMA_QUESTION_C</w:t>
      </w:r>
      <w:r w:rsidR="009A2624">
        <w:t>P_BMR_3&gt;</w:t>
      </w:r>
    </w:p>
    <w:p w:rsidR="0011221B" w:rsidRPr="00E1379E" w:rsidRDefault="0011221B" w:rsidP="0011221B">
      <w:pPr>
        <w:rPr>
          <w:rFonts w:cs="Arial"/>
          <w:sz w:val="22"/>
          <w:szCs w:val="22"/>
          <w:lang w:val="en-US"/>
        </w:rPr>
      </w:pPr>
      <w:permStart w:id="1693996213" w:edGrp="everyone"/>
      <w:r w:rsidRPr="00E1379E">
        <w:rPr>
          <w:rFonts w:cs="Arial"/>
          <w:iCs/>
          <w:sz w:val="22"/>
          <w:szCs w:val="22"/>
          <w:lang w:val="en-US"/>
        </w:rPr>
        <w:t>We agree that trading venues and clearing houses determine the amount payable under a fina</w:t>
      </w:r>
      <w:r w:rsidRPr="00E1379E">
        <w:rPr>
          <w:rFonts w:cs="Arial"/>
          <w:iCs/>
          <w:sz w:val="22"/>
          <w:szCs w:val="22"/>
          <w:lang w:val="en-US"/>
        </w:rPr>
        <w:t>n</w:t>
      </w:r>
      <w:r w:rsidRPr="00E1379E">
        <w:rPr>
          <w:rFonts w:cs="Arial"/>
          <w:iCs/>
          <w:sz w:val="22"/>
          <w:szCs w:val="22"/>
          <w:lang w:val="en-US"/>
        </w:rPr>
        <w:t xml:space="preserve">cial instrument by referencing an index or a combination of indices and therefore, are covered by the term “use” of a benchmark. </w:t>
      </w:r>
    </w:p>
    <w:p w:rsidR="0011221B" w:rsidRPr="00E1379E" w:rsidRDefault="0011221B" w:rsidP="0011221B">
      <w:pPr>
        <w:rPr>
          <w:rFonts w:cs="Arial"/>
          <w:sz w:val="22"/>
          <w:szCs w:val="22"/>
          <w:lang w:val="en-US"/>
        </w:rPr>
      </w:pPr>
      <w:r w:rsidRPr="00E1379E">
        <w:rPr>
          <w:rFonts w:cs="Arial"/>
          <w:iCs/>
          <w:sz w:val="22"/>
          <w:szCs w:val="22"/>
          <w:lang w:val="en-US"/>
        </w:rPr>
        <w:t> </w:t>
      </w:r>
    </w:p>
    <w:p w:rsidR="0011221B" w:rsidRPr="00E1379E" w:rsidRDefault="0011221B" w:rsidP="0011221B">
      <w:pPr>
        <w:rPr>
          <w:rFonts w:cs="Arial"/>
          <w:sz w:val="22"/>
          <w:szCs w:val="22"/>
          <w:lang w:val="en-US"/>
        </w:rPr>
      </w:pPr>
      <w:r w:rsidRPr="00E1379E">
        <w:rPr>
          <w:rFonts w:cs="Arial"/>
          <w:iCs/>
          <w:sz w:val="22"/>
          <w:szCs w:val="22"/>
          <w:lang w:val="en-US"/>
        </w:rPr>
        <w:t>Based on the consultation paper, we further understand that the trading itself by (supervised) entities in financial instruments referencing a benchmark through an EU trading venue (RM, MTF or OTF) and the holding of positions in such financial instruments do not constitute “use” of a benchmark under the BMR; and we are fully supportive of such a position. If such understan</w:t>
      </w:r>
      <w:r w:rsidRPr="00E1379E">
        <w:rPr>
          <w:rFonts w:cs="Arial"/>
          <w:iCs/>
          <w:sz w:val="22"/>
          <w:szCs w:val="22"/>
          <w:lang w:val="en-US"/>
        </w:rPr>
        <w:t>d</w:t>
      </w:r>
      <w:r w:rsidRPr="00E1379E">
        <w:rPr>
          <w:rFonts w:cs="Arial"/>
          <w:iCs/>
          <w:sz w:val="22"/>
          <w:szCs w:val="22"/>
          <w:lang w:val="en-US"/>
        </w:rPr>
        <w:t>ing turns out to be incorrect, we require additional and clear guidance from ESMA in this respect.</w:t>
      </w:r>
    </w:p>
    <w:p w:rsidR="0011221B" w:rsidRPr="00E1379E" w:rsidRDefault="0011221B" w:rsidP="0011221B">
      <w:pPr>
        <w:rPr>
          <w:rFonts w:cs="Arial"/>
          <w:sz w:val="22"/>
          <w:szCs w:val="22"/>
          <w:lang w:val="en-US"/>
        </w:rPr>
      </w:pPr>
      <w:r w:rsidRPr="00E1379E">
        <w:rPr>
          <w:rFonts w:cs="Arial"/>
          <w:iCs/>
          <w:sz w:val="22"/>
          <w:szCs w:val="22"/>
          <w:lang w:val="en-US"/>
        </w:rPr>
        <w:t> </w:t>
      </w:r>
    </w:p>
    <w:p w:rsidR="009A2624" w:rsidRPr="0011221B" w:rsidRDefault="0011221B" w:rsidP="009A2624">
      <w:pPr>
        <w:rPr>
          <w:rFonts w:cs="Arial"/>
          <w:sz w:val="22"/>
          <w:szCs w:val="22"/>
          <w:lang w:val="en-US"/>
        </w:rPr>
      </w:pPr>
      <w:r w:rsidRPr="00E1379E">
        <w:rPr>
          <w:rFonts w:cs="Arial"/>
          <w:iCs/>
          <w:sz w:val="22"/>
          <w:szCs w:val="22"/>
          <w:lang w:val="en-US"/>
        </w:rPr>
        <w:t>Secondly, it would be useful to have additional guidance on what should be understood as “e</w:t>
      </w:r>
      <w:r w:rsidRPr="00E1379E">
        <w:rPr>
          <w:rFonts w:cs="Arial"/>
          <w:iCs/>
          <w:sz w:val="22"/>
          <w:szCs w:val="22"/>
          <w:lang w:val="en-US"/>
        </w:rPr>
        <w:t>n</w:t>
      </w:r>
      <w:r w:rsidRPr="00E1379E">
        <w:rPr>
          <w:rFonts w:cs="Arial"/>
          <w:iCs/>
          <w:sz w:val="22"/>
          <w:szCs w:val="22"/>
          <w:lang w:val="en-US"/>
        </w:rPr>
        <w:t>gineering” the terms of a financial derivative contract referencing a BM and who should be eng</w:t>
      </w:r>
      <w:r w:rsidRPr="00E1379E">
        <w:rPr>
          <w:rFonts w:cs="Arial"/>
          <w:iCs/>
          <w:sz w:val="22"/>
          <w:szCs w:val="22"/>
          <w:lang w:val="en-US"/>
        </w:rPr>
        <w:t>i</w:t>
      </w:r>
      <w:r w:rsidRPr="00E1379E">
        <w:rPr>
          <w:rFonts w:cs="Arial"/>
          <w:iCs/>
          <w:sz w:val="22"/>
          <w:szCs w:val="22"/>
          <w:lang w:val="en-US"/>
        </w:rPr>
        <w:t>neering such terms in order to be captured by the BMR.</w:t>
      </w:r>
    </w:p>
    <w:permEnd w:id="1693996213"/>
    <w:p w:rsidR="009A2624" w:rsidRDefault="00665C07" w:rsidP="009A2624">
      <w:r>
        <w:t>&lt;ESMA_QUESTION_C</w:t>
      </w:r>
      <w:r w:rsidR="009A2624">
        <w:t>P_BMR_3&gt;</w:t>
      </w:r>
    </w:p>
    <w:p w:rsidR="009A2624" w:rsidRDefault="009A2624" w:rsidP="009A2624"/>
    <w:p w:rsidR="009A2624" w:rsidRPr="00B37C5D" w:rsidRDefault="00990FF9" w:rsidP="002342EC">
      <w:pPr>
        <w:pStyle w:val="Questionstyle"/>
      </w:pPr>
      <w:r w:rsidRPr="00571AC1">
        <w:rPr>
          <w:rFonts w:cstheme="minorHAnsi"/>
          <w:szCs w:val="22"/>
          <w:lang w:val="en-US"/>
        </w:rPr>
        <w:t>Do you have any comments on the proposed specification of issuance of a financial instr</w:t>
      </w:r>
      <w:r w:rsidRPr="00571AC1">
        <w:rPr>
          <w:rFonts w:cstheme="minorHAnsi"/>
          <w:szCs w:val="22"/>
          <w:lang w:val="en-US"/>
        </w:rPr>
        <w:t>u</w:t>
      </w:r>
      <w:r w:rsidRPr="00571AC1">
        <w:rPr>
          <w:rFonts w:cstheme="minorHAnsi"/>
          <w:szCs w:val="22"/>
          <w:lang w:val="en-US"/>
        </w:rPr>
        <w:t>ment?</w:t>
      </w:r>
    </w:p>
    <w:p w:rsidR="009A2624" w:rsidRDefault="00665C07" w:rsidP="009A2624">
      <w:r>
        <w:t>&lt;ESMA_QUESTION_C</w:t>
      </w:r>
      <w:r w:rsidR="009A2624">
        <w:t>P_BMR_4&gt;</w:t>
      </w:r>
    </w:p>
    <w:p w:rsidR="009A2624" w:rsidRPr="0011221B" w:rsidRDefault="0011221B" w:rsidP="009A2624">
      <w:pPr>
        <w:rPr>
          <w:rFonts w:cs="Arial"/>
          <w:sz w:val="22"/>
          <w:szCs w:val="22"/>
          <w:lang w:val="en-US"/>
        </w:rPr>
      </w:pPr>
      <w:permStart w:id="63588950" w:edGrp="everyone"/>
      <w:r w:rsidRPr="00E1379E">
        <w:rPr>
          <w:rFonts w:cs="Arial"/>
          <w:iCs/>
          <w:sz w:val="22"/>
          <w:szCs w:val="22"/>
          <w:lang w:val="en-US"/>
        </w:rPr>
        <w:t>We fully agree with the draft technical advice specifying that the concept of “issuance of a fina</w:t>
      </w:r>
      <w:r w:rsidRPr="00E1379E">
        <w:rPr>
          <w:rFonts w:cs="Arial"/>
          <w:iCs/>
          <w:sz w:val="22"/>
          <w:szCs w:val="22"/>
          <w:lang w:val="en-US"/>
        </w:rPr>
        <w:t>n</w:t>
      </w:r>
      <w:r w:rsidRPr="00E1379E">
        <w:rPr>
          <w:rFonts w:cs="Arial"/>
          <w:iCs/>
          <w:sz w:val="22"/>
          <w:szCs w:val="22"/>
          <w:lang w:val="en-US"/>
        </w:rPr>
        <w:t>cial instrument” is restricted to financial instruments as specified in § (1) to (3) within the list of Annex I, Section C of MIFID; and does not extend to derivatives included in §§ (4)-(10) of the same Annex I, Section C. In our view, this is the only correct reading possible, not only in the framework of BRM</w:t>
      </w:r>
      <w:r w:rsidR="0093157C">
        <w:rPr>
          <w:rFonts w:cs="Arial"/>
          <w:iCs/>
          <w:sz w:val="22"/>
          <w:szCs w:val="22"/>
          <w:lang w:val="en-US"/>
        </w:rPr>
        <w:t>,</w:t>
      </w:r>
      <w:bookmarkStart w:id="3" w:name="_GoBack"/>
      <w:bookmarkEnd w:id="3"/>
      <w:r w:rsidRPr="00E1379E">
        <w:rPr>
          <w:rFonts w:cs="Arial"/>
          <w:iCs/>
          <w:sz w:val="22"/>
          <w:szCs w:val="22"/>
          <w:lang w:val="en-US"/>
        </w:rPr>
        <w:t xml:space="preserve"> but also in other regulatory areas.</w:t>
      </w:r>
    </w:p>
    <w:permEnd w:id="63588950"/>
    <w:p w:rsidR="009A2624" w:rsidRDefault="00665C07" w:rsidP="009A2624">
      <w:r>
        <w:t>&lt;ESMA_QUESTION_C</w:t>
      </w:r>
      <w:r w:rsidR="009A2624">
        <w:t>P_BMR_4&gt;</w:t>
      </w:r>
    </w:p>
    <w:p w:rsidR="009A2624" w:rsidRDefault="009A2624" w:rsidP="009A2624"/>
    <w:p w:rsidR="009A2624" w:rsidRDefault="00293D4B" w:rsidP="002342EC">
      <w:pPr>
        <w:pStyle w:val="Questionstyle"/>
      </w:pPr>
      <w:r w:rsidRPr="0006038D">
        <w:rPr>
          <w:rFonts w:cs="Arial"/>
          <w:lang w:val="en-US"/>
        </w:rPr>
        <w:t>Wh</w:t>
      </w:r>
      <w:r>
        <w:rPr>
          <w:rFonts w:cs="Arial"/>
          <w:lang w:val="en-US"/>
        </w:rPr>
        <w:t>at</w:t>
      </w:r>
      <w:r w:rsidRPr="0006038D">
        <w:rPr>
          <w:rFonts w:cs="Arial"/>
          <w:lang w:val="en-US"/>
        </w:rPr>
        <w:t xml:space="preserve"> are your views on the transitional regime proposed to assess the nominal amount of financial instruments other than derivatives, the notional amount of derivatives and the net asset value of investment funds in the case where the regulatory data i</w:t>
      </w:r>
      <w:r>
        <w:rPr>
          <w:rFonts w:cs="Arial"/>
          <w:lang w:val="en-US"/>
        </w:rPr>
        <w:t>s not available or sufficient</w:t>
      </w:r>
      <w:r w:rsidR="009A2624">
        <w:t xml:space="preserve">? </w:t>
      </w:r>
    </w:p>
    <w:p w:rsidR="009A2624" w:rsidRDefault="00665C07" w:rsidP="009A2624">
      <w:r>
        <w:t>&lt;ESMA_QUESTION_C</w:t>
      </w:r>
      <w:r w:rsidR="009A2624">
        <w:t>P_BMR_5&gt;</w:t>
      </w:r>
    </w:p>
    <w:p w:rsidR="009A2624" w:rsidRDefault="009A2624" w:rsidP="009A2624">
      <w:permStart w:id="1481118102" w:edGrp="everyone"/>
      <w:r>
        <w:t>TYPE YOUR TEXT HERE</w:t>
      </w:r>
    </w:p>
    <w:permEnd w:id="1481118102"/>
    <w:p w:rsidR="009A2624" w:rsidRDefault="00665C07" w:rsidP="009A2624">
      <w:r>
        <w:lastRenderedPageBreak/>
        <w:t>&lt;ESMA_QUESTION_C</w:t>
      </w:r>
      <w:r w:rsidR="009A2624">
        <w:t>P_BMR_5&gt;</w:t>
      </w:r>
    </w:p>
    <w:p w:rsidR="009A2624" w:rsidRDefault="009A2624" w:rsidP="009A2624"/>
    <w:p w:rsidR="009A2624" w:rsidRPr="007F44BF" w:rsidRDefault="00293D4B" w:rsidP="002342EC">
      <w:pPr>
        <w:pStyle w:val="Questionstyle"/>
      </w:pPr>
      <w:r w:rsidRPr="0006038D">
        <w:rPr>
          <w:rFonts w:cs="Arial"/>
          <w:lang w:val="en-US"/>
        </w:rPr>
        <w:t>Do you agree with the measurement performed at a specific point in time for assessing whet</w:t>
      </w:r>
      <w:r w:rsidRPr="0006038D">
        <w:rPr>
          <w:rFonts w:cs="Arial"/>
          <w:lang w:val="en-US"/>
        </w:rPr>
        <w:t>h</w:t>
      </w:r>
      <w:r w:rsidRPr="0006038D">
        <w:rPr>
          <w:rFonts w:cs="Arial"/>
          <w:lang w:val="en-US"/>
        </w:rPr>
        <w:t>er a benchmark hits the thresholds specified in Article 20(1)</w:t>
      </w:r>
      <w:r>
        <w:rPr>
          <w:rFonts w:cs="Arial"/>
          <w:lang w:val="en-US"/>
        </w:rPr>
        <w:t xml:space="preserve"> to be considered as critical?</w:t>
      </w:r>
    </w:p>
    <w:p w:rsidR="009A2624" w:rsidRDefault="00665C07" w:rsidP="009A2624">
      <w:r>
        <w:t>&lt;ESMA_QUESTION_C</w:t>
      </w:r>
      <w:r w:rsidR="009A2624">
        <w:t>P_BMR_6&gt;</w:t>
      </w:r>
    </w:p>
    <w:p w:rsidR="009A2624" w:rsidRDefault="009A2624" w:rsidP="009A2624">
      <w:permStart w:id="2066940533" w:edGrp="everyone"/>
      <w:r>
        <w:t>TYPE YOUR TEXT HERE</w:t>
      </w:r>
    </w:p>
    <w:permEnd w:id="2066940533"/>
    <w:p w:rsidR="009A2624" w:rsidRDefault="00665C07" w:rsidP="009A2624">
      <w:r>
        <w:t>&lt;ESMA_QUESTION_C</w:t>
      </w:r>
      <w:r w:rsidR="009A2624">
        <w:t>P_BMR_6&gt;</w:t>
      </w:r>
    </w:p>
    <w:p w:rsidR="009A2624" w:rsidRDefault="009A2624" w:rsidP="009A2624"/>
    <w:p w:rsidR="009A2624" w:rsidRPr="007F44BF" w:rsidRDefault="00293D4B" w:rsidP="002342EC">
      <w:pPr>
        <w:pStyle w:val="Questionstyle"/>
      </w:pPr>
      <w:r w:rsidRPr="0006038D">
        <w:rPr>
          <w:rFonts w:cs="Arial"/>
          <w:lang w:val="en-US"/>
        </w:rPr>
        <w:t>Wh</w:t>
      </w:r>
      <w:r>
        <w:rPr>
          <w:rFonts w:cs="Arial"/>
          <w:lang w:val="en-US"/>
        </w:rPr>
        <w:t>at</w:t>
      </w:r>
      <w:r w:rsidRPr="0006038D">
        <w:rPr>
          <w:rFonts w:cs="Arial"/>
          <w:lang w:val="en-US"/>
        </w:rPr>
        <w:t xml:space="preserve"> are your views on the use of licensing agreements to identify financial instruments referencing benchmarks? Would this approach be useful in particular in the case of investment funds?</w:t>
      </w:r>
    </w:p>
    <w:p w:rsidR="009A2624" w:rsidRDefault="00665C07" w:rsidP="009A2624">
      <w:r>
        <w:t>&lt;ESMA_QUESTION_C</w:t>
      </w:r>
      <w:r w:rsidR="009A2624">
        <w:t>P_BMR_7&gt;</w:t>
      </w:r>
    </w:p>
    <w:p w:rsidR="009A2624" w:rsidRDefault="009A2624" w:rsidP="009A2624">
      <w:permStart w:id="1248015388" w:edGrp="everyone"/>
      <w:r>
        <w:t>TYPE YOUR TEXT HERE</w:t>
      </w:r>
    </w:p>
    <w:permEnd w:id="1248015388"/>
    <w:p w:rsidR="009A2624" w:rsidRDefault="00665C07" w:rsidP="009A2624">
      <w:r>
        <w:t>&lt;ESMA_QUESTION_C</w:t>
      </w:r>
      <w:r w:rsidR="009A2624">
        <w:t>P_BMR_7&gt;</w:t>
      </w:r>
    </w:p>
    <w:p w:rsidR="009A2624" w:rsidRDefault="009A2624" w:rsidP="009A2624"/>
    <w:p w:rsidR="009A2624" w:rsidRPr="007F44BF" w:rsidRDefault="00293D4B" w:rsidP="002342EC">
      <w:pPr>
        <w:pStyle w:val="Questionstyle"/>
      </w:pPr>
      <w:r w:rsidRPr="00E76135">
        <w:rPr>
          <w:rFonts w:cs="Arial"/>
          <w:lang w:val="en-US"/>
        </w:rPr>
        <w:t>Do you agree with the criteria proposed? Do you consider that additional criteria should be included in the technical advice</w:t>
      </w:r>
      <w:r>
        <w:rPr>
          <w:rFonts w:cs="Arial"/>
          <w:lang w:val="en-US"/>
        </w:rPr>
        <w:t>?</w:t>
      </w:r>
      <w:r w:rsidR="009A2624" w:rsidRPr="007F44BF">
        <w:t xml:space="preserve"> </w:t>
      </w:r>
    </w:p>
    <w:p w:rsidR="009A2624" w:rsidRDefault="00665C07" w:rsidP="009A2624">
      <w:r>
        <w:t>&lt;ESMA_QUESTION_C</w:t>
      </w:r>
      <w:r w:rsidR="009A2624">
        <w:t>P_BMR_8&gt;</w:t>
      </w:r>
    </w:p>
    <w:p w:rsidR="009A2624" w:rsidRDefault="009A2624" w:rsidP="009A2624">
      <w:permStart w:id="947257898" w:edGrp="everyone"/>
      <w:r>
        <w:t>TYPE YOUR TEXT HERE</w:t>
      </w:r>
    </w:p>
    <w:permEnd w:id="947257898"/>
    <w:p w:rsidR="009A2624" w:rsidRDefault="00665C07" w:rsidP="009A2624">
      <w:r>
        <w:t>&lt;ESMA_QUESTION_C</w:t>
      </w:r>
      <w:r w:rsidR="009A2624">
        <w:t>P_BMR_8&gt;</w:t>
      </w:r>
    </w:p>
    <w:p w:rsidR="009A2624" w:rsidRDefault="009A2624" w:rsidP="009A2624"/>
    <w:p w:rsidR="009A2624" w:rsidRPr="007F44BF" w:rsidRDefault="005C7F55" w:rsidP="002342EC">
      <w:pPr>
        <w:pStyle w:val="Questionstyle"/>
      </w:pPr>
      <w:r w:rsidRPr="00E76135">
        <w:rPr>
          <w:rFonts w:cs="Arial"/>
          <w:lang w:val="en-US"/>
        </w:rPr>
        <w:t>Do you think that the concept of “significant share of” should be further developed in terms of percentages or ranges of values expressed in percentages, to be used for (some of) the criteria based on quantitative data? If yes, could you propose percentages of reference, or ranges of values e</w:t>
      </w:r>
      <w:r w:rsidRPr="00E76135">
        <w:rPr>
          <w:rFonts w:cs="Arial"/>
          <w:lang w:val="en-US"/>
        </w:rPr>
        <w:t>x</w:t>
      </w:r>
      <w:r w:rsidRPr="00E76135">
        <w:rPr>
          <w:rFonts w:cs="Arial"/>
          <w:lang w:val="en-US"/>
        </w:rPr>
        <w:t>pressed in percentages, to be used for one or more of the proposed criteria</w:t>
      </w:r>
      <w:r w:rsidR="009A2624" w:rsidRPr="007F44BF">
        <w:t>?</w:t>
      </w:r>
    </w:p>
    <w:p w:rsidR="009A2624" w:rsidRDefault="00665C07" w:rsidP="009A2624">
      <w:r>
        <w:t>&lt;ESMA_QUESTION_C</w:t>
      </w:r>
      <w:r w:rsidR="009A2624">
        <w:t>P_BMR_9&gt;</w:t>
      </w:r>
    </w:p>
    <w:p w:rsidR="009A2624" w:rsidRDefault="009A2624" w:rsidP="009A2624">
      <w:permStart w:id="1831753509" w:edGrp="everyone"/>
      <w:r>
        <w:t>TYPE YOUR TEXT HERE</w:t>
      </w:r>
    </w:p>
    <w:permEnd w:id="1831753509"/>
    <w:p w:rsidR="009A2624" w:rsidRDefault="00665C07" w:rsidP="009A2624">
      <w:r>
        <w:t>&lt;ESMA_QUESTION_C</w:t>
      </w:r>
      <w:r w:rsidR="009A2624">
        <w:t>P_BMR_9&gt;</w:t>
      </w:r>
    </w:p>
    <w:p w:rsidR="009A2624" w:rsidRDefault="009A2624" w:rsidP="009A2624"/>
    <w:p w:rsidR="009A2624" w:rsidRPr="007F44BF" w:rsidRDefault="005C7F55" w:rsidP="002342EC">
      <w:pPr>
        <w:pStyle w:val="Questionstyle"/>
      </w:pPr>
      <w:r w:rsidRPr="00837564">
        <w:rPr>
          <w:rFonts w:cs="Arial"/>
        </w:rPr>
        <w:t>Do you agree with the suggested indicators for objective reasons for endorsement of third-country benchmarks</w:t>
      </w:r>
      <w:r w:rsidR="009A2624" w:rsidRPr="007F44BF">
        <w:t xml:space="preserve">? </w:t>
      </w:r>
    </w:p>
    <w:p w:rsidR="009A2624" w:rsidRDefault="00665C07" w:rsidP="009A2624">
      <w:r>
        <w:t>&lt;ESMA_QUESTION_C</w:t>
      </w:r>
      <w:r w:rsidR="009A2624">
        <w:t>P_BMR_10&gt;</w:t>
      </w:r>
    </w:p>
    <w:p w:rsidR="009A2624" w:rsidRDefault="009A2624" w:rsidP="009A2624">
      <w:permStart w:id="614029815" w:edGrp="everyone"/>
      <w:r>
        <w:t>TYPE YOUR TEXT HERE</w:t>
      </w:r>
    </w:p>
    <w:permEnd w:id="614029815"/>
    <w:p w:rsidR="009A2624" w:rsidRDefault="00665C07" w:rsidP="009A2624">
      <w:r>
        <w:t>&lt;ESMA_QUESTION_C</w:t>
      </w:r>
      <w:r w:rsidR="009A2624">
        <w:t>P_BMR_10&gt;</w:t>
      </w:r>
    </w:p>
    <w:p w:rsidR="009A2624" w:rsidRDefault="009A2624" w:rsidP="009A2624"/>
    <w:p w:rsidR="009A2624" w:rsidRPr="007F44BF" w:rsidRDefault="005C7F55" w:rsidP="002342EC">
      <w:pPr>
        <w:pStyle w:val="Questionstyle"/>
      </w:pPr>
      <w:r>
        <w:rPr>
          <w:rFonts w:cs="Arial"/>
          <w:lang w:val="en-US"/>
        </w:rPr>
        <w:t>Do you agree with the criteria, included in the draft technical advice, that NCAs should use when assessing whether the transitional provisions could apply to a non-compliant benchmark? Could you suggest additional criteria?</w:t>
      </w:r>
      <w:r w:rsidR="009A2624" w:rsidRPr="007F44BF">
        <w:t xml:space="preserve"> </w:t>
      </w:r>
    </w:p>
    <w:p w:rsidR="009A2624" w:rsidRDefault="009A2624" w:rsidP="009A2624">
      <w:r>
        <w:t>&lt;ES</w:t>
      </w:r>
      <w:r w:rsidR="00665C07">
        <w:t>MA_QUESTION_C</w:t>
      </w:r>
      <w:r>
        <w:t>P_BMR_11&gt;</w:t>
      </w:r>
    </w:p>
    <w:p w:rsidR="009A2624" w:rsidRDefault="009A2624" w:rsidP="009A2624">
      <w:permStart w:id="453257772" w:edGrp="everyone"/>
      <w:r>
        <w:t>TYPE YOUR TEXT HERE</w:t>
      </w:r>
    </w:p>
    <w:permEnd w:id="453257772"/>
    <w:p w:rsidR="009A2624" w:rsidRDefault="00665C07" w:rsidP="009A2624">
      <w:r>
        <w:t>&lt;ESMA_QUESTION_C</w:t>
      </w:r>
      <w:r w:rsidR="009A2624">
        <w:t>P_BMR_11&gt;</w:t>
      </w:r>
    </w:p>
    <w:p w:rsidR="00BE3CE5" w:rsidRDefault="00BE3CE5" w:rsidP="009A2624"/>
    <w:sectPr w:rsidR="00BE3CE5" w:rsidSect="00A8728B">
      <w:headerReference w:type="even" r:id="rId16"/>
      <w:headerReference w:type="first" r:id="rId17"/>
      <w:footerReference w:type="first" r:id="rId1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68" w:rsidRDefault="00750F68">
      <w:r>
        <w:separator/>
      </w:r>
    </w:p>
    <w:p w:rsidR="00750F68" w:rsidRDefault="00750F68"/>
  </w:endnote>
  <w:endnote w:type="continuationSeparator" w:id="0">
    <w:p w:rsidR="00750F68" w:rsidRDefault="00750F68">
      <w:r>
        <w:continuationSeparator/>
      </w:r>
    </w:p>
    <w:p w:rsidR="00750F68" w:rsidRDefault="00750F68"/>
  </w:endnote>
  <w:endnote w:type="continuationNotice" w:id="1">
    <w:p w:rsidR="00750F68" w:rsidRDefault="00750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3157C">
            <w:rPr>
              <w:rFonts w:cs="Arial"/>
              <w:noProof/>
              <w:sz w:val="22"/>
              <w:szCs w:val="22"/>
            </w:rPr>
            <w:t>5</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68" w:rsidRDefault="00750F68">
      <w:r>
        <w:separator/>
      </w:r>
    </w:p>
    <w:p w:rsidR="00750F68" w:rsidRDefault="00750F68"/>
  </w:footnote>
  <w:footnote w:type="continuationSeparator" w:id="0">
    <w:p w:rsidR="00750F68" w:rsidRDefault="00750F68">
      <w:r>
        <w:continuationSeparator/>
      </w:r>
    </w:p>
    <w:p w:rsidR="00750F68" w:rsidRDefault="00750F68"/>
  </w:footnote>
  <w:footnote w:type="continuationNotice" w:id="1">
    <w:p w:rsidR="00750F68" w:rsidRDefault="00750F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23A9005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17EC87E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nU0jKE/0FUl/mFLwVxG4YN4db+ZeKzs2H2iJsoDrWTrHyzzwAzXk1k7rfqlSDub/1fNztjY16PGvNsFIjDTpw==" w:salt="Zg2lf8qdCA+0wSGWROtIe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21B"/>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4CB1"/>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0F68"/>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57C"/>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0AEB"/>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6EF"/>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324"/>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0EC5"/>
    <w:rsid w:val="00B12128"/>
    <w:rsid w:val="00B12945"/>
    <w:rsid w:val="00B12C1E"/>
    <w:rsid w:val="00B155DF"/>
    <w:rsid w:val="00B156CF"/>
    <w:rsid w:val="00B1570E"/>
    <w:rsid w:val="00B15999"/>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3CE5"/>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54BB"/>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051"/>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efet.org"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67ECD-EFEB-44F7-B04A-397D38EB92D4}">
  <ds:schemaRefs>
    <ds:schemaRef ds:uri="http://schemas.openxmlformats.org/officeDocument/2006/bibliography"/>
  </ds:schemaRefs>
</ds:datastoreItem>
</file>

<file path=customXml/itemProps2.xml><?xml version="1.0" encoding="utf-8"?>
<ds:datastoreItem xmlns:ds="http://schemas.openxmlformats.org/officeDocument/2006/customXml" ds:itemID="{1FBF196A-5EA5-47CA-BFB5-97F70135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1109</Words>
  <Characters>6324</Characters>
  <Application>Microsoft Office Word</Application>
  <DocSecurity>8</DocSecurity>
  <Lines>52</Lines>
  <Paragraphs>14</Paragraphs>
  <ScaleCrop>false</ScaleCrop>
  <HeadingPairs>
    <vt:vector size="12" baseType="variant">
      <vt:variant>
        <vt:lpstr>Title</vt:lpstr>
      </vt:variant>
      <vt:variant>
        <vt:i4>1</vt:i4>
      </vt:variant>
      <vt:variant>
        <vt:lpstr>Название</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20110000</vt:lpstr>
      <vt:lpstr>20110000</vt:lpstr>
      <vt:lpstr>20110000</vt:lpstr>
      <vt:lpstr>20110000</vt:lpstr>
    </vt:vector>
  </TitlesOfParts>
  <Company>ESMA</Company>
  <LinksUpToDate>false</LinksUpToDate>
  <CharactersWithSpaces>7419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USER</cp:lastModifiedBy>
  <cp:revision>4</cp:revision>
  <cp:lastPrinted>2015-02-18T11:01:00Z</cp:lastPrinted>
  <dcterms:created xsi:type="dcterms:W3CDTF">2016-06-30T10:17:00Z</dcterms:created>
  <dcterms:modified xsi:type="dcterms:W3CDTF">2016-06-30T10:20:00Z</dcterms:modified>
</cp:coreProperties>
</file>