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4049C0" w:rsidP="004049C0">
            <w:pPr>
              <w:pStyle w:val="00bDBInfo"/>
              <w:rPr>
                <w:rFonts w:cs="Arial"/>
              </w:rPr>
            </w:pPr>
            <w:r>
              <w:rPr>
                <w:rFonts w:cs="Arial"/>
              </w:rPr>
              <w:t>1</w:t>
            </w:r>
            <w:r w:rsidR="003A5DAC">
              <w:rPr>
                <w:rFonts w:cs="Arial"/>
              </w:rPr>
              <w:t xml:space="preserve"> </w:t>
            </w:r>
            <w:r>
              <w:rPr>
                <w:rFonts w:cs="Arial"/>
              </w:rPr>
              <w:t>June</w:t>
            </w:r>
            <w:r w:rsidR="007C3918">
              <w:rPr>
                <w:rFonts w:cs="Arial"/>
              </w:rPr>
              <w:t xml:space="preserve"> </w:t>
            </w:r>
            <w:r w:rsidR="006F4B04" w:rsidRPr="004E49B0">
              <w:rPr>
                <w:rFonts w:cs="Arial"/>
              </w:rPr>
              <w:t>20</w:t>
            </w:r>
            <w:r w:rsidR="003A5DAC">
              <w:rPr>
                <w:rFonts w:cs="Arial"/>
              </w:rPr>
              <w:t>1</w:t>
            </w:r>
            <w:r w:rsidR="007C3918">
              <w:rPr>
                <w:rFonts w:cs="Arial"/>
              </w:rPr>
              <w:t>6</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9A053D" w:rsidRPr="009A053D" w:rsidRDefault="00AE627C" w:rsidP="009A053D">
            <w:pPr>
              <w:pStyle w:val="01aDBTitle"/>
              <w:rPr>
                <w:rFonts w:cs="Arial"/>
                <w:sz w:val="32"/>
              </w:rPr>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BF557C" w:rsidRPr="009A053D">
              <w:rPr>
                <w:sz w:val="32"/>
              </w:rPr>
              <w:t xml:space="preserve"> </w:t>
            </w:r>
            <w:r w:rsidR="009A053D" w:rsidRPr="009A053D">
              <w:rPr>
                <w:sz w:val="32"/>
              </w:rPr>
              <w:t xml:space="preserve"> </w:t>
            </w:r>
          </w:p>
          <w:p w:rsidR="00791EB4" w:rsidRPr="009A053D" w:rsidRDefault="00990FF9" w:rsidP="00BF28DA">
            <w:pPr>
              <w:pStyle w:val="01aDBTitle"/>
              <w:rPr>
                <w:rFonts w:cs="Arial"/>
                <w:sz w:val="32"/>
              </w:rPr>
            </w:pPr>
            <w:r>
              <w:rPr>
                <w:rFonts w:cs="Arial"/>
                <w:sz w:val="32"/>
              </w:rPr>
              <w:t>Consultation</w:t>
            </w:r>
            <w:r w:rsidR="009C6CE1" w:rsidRPr="009C6CE1">
              <w:rPr>
                <w:rFonts w:cs="Arial"/>
                <w:sz w:val="32"/>
              </w:rPr>
              <w:t xml:space="preserve"> Paper </w:t>
            </w:r>
            <w:r w:rsidR="009C6CE1">
              <w:rPr>
                <w:rFonts w:cs="Arial"/>
                <w:sz w:val="32"/>
              </w:rPr>
              <w:t xml:space="preserve">on </w:t>
            </w:r>
            <w:r w:rsidR="009C6CE1" w:rsidRPr="009C6CE1">
              <w:rPr>
                <w:rFonts w:cs="Arial"/>
                <w:sz w:val="32"/>
              </w:rPr>
              <w:t>Benchmarks Regulation</w:t>
            </w:r>
          </w:p>
        </w:tc>
      </w:tr>
      <w:tr w:rsidR="00060F72" w:rsidRPr="00616B9B" w:rsidTr="00B835D5">
        <w:trPr>
          <w:trHeight w:hRule="exact" w:val="605"/>
        </w:trPr>
        <w:tc>
          <w:tcPr>
            <w:tcW w:w="9397" w:type="dxa"/>
            <w:tcMar>
              <w:top w:w="142" w:type="dxa"/>
            </w:tcMar>
          </w:tcPr>
          <w:p w:rsidR="00D91010" w:rsidRPr="009A053D" w:rsidRDefault="00013CCE" w:rsidP="00027ECF">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176639" w:rsidRDefault="00620D7C" w:rsidP="004049C0">
            <w:pPr>
              <w:pStyle w:val="02Date"/>
              <w:rPr>
                <w:rFonts w:cs="Arial"/>
                <w:highlight w:val="red"/>
              </w:rPr>
            </w:pPr>
            <w:r w:rsidRPr="007C3918">
              <w:rPr>
                <w:rFonts w:cs="Arial"/>
              </w:rPr>
              <w:lastRenderedPageBreak/>
              <w:t>Date</w:t>
            </w:r>
            <w:r w:rsidR="004049C0">
              <w:rPr>
                <w:rFonts w:cs="Arial"/>
              </w:rPr>
              <w:t>: 1</w:t>
            </w:r>
            <w:r w:rsidR="007C3918" w:rsidRPr="007C3918">
              <w:rPr>
                <w:rFonts w:cs="Arial"/>
              </w:rPr>
              <w:t xml:space="preserve"> </w:t>
            </w:r>
            <w:r w:rsidR="004049C0">
              <w:rPr>
                <w:rFonts w:cs="Arial"/>
              </w:rPr>
              <w:t xml:space="preserve">June </w:t>
            </w:r>
            <w:r w:rsidR="007C3918" w:rsidRPr="007C3918">
              <w:rPr>
                <w:rFonts w:cs="Arial"/>
              </w:rPr>
              <w:t>2016</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8701E5">
        <w:rPr>
          <w:rFonts w:cs="Arial"/>
        </w:rPr>
        <w:t xml:space="preserve">Consultation Paper on the </w:t>
      </w:r>
      <w:r w:rsidR="008701E5" w:rsidRPr="008701E5">
        <w:rPr>
          <w:rFonts w:cs="Arial"/>
        </w:rPr>
        <w:t>European Single Electronic Format (ESEF)</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176639" w:rsidRDefault="00F574D0" w:rsidP="00F574D0">
      <w:pPr>
        <w:autoSpaceDE w:val="0"/>
        <w:autoSpaceDN w:val="0"/>
        <w:adjustRightInd w:val="0"/>
        <w:spacing w:before="120" w:after="120" w:line="276" w:lineRule="auto"/>
        <w:jc w:val="both"/>
        <w:rPr>
          <w:rStyle w:val="Strong4"/>
          <w:rFonts w:cs="Arial"/>
          <w:i/>
        </w:rPr>
      </w:pPr>
      <w:r w:rsidRPr="00176639">
        <w:rPr>
          <w:rStyle w:val="Strong4"/>
          <w:rFonts w:cs="Arial"/>
          <w:i/>
        </w:rPr>
        <w:t>Instructions</w:t>
      </w:r>
    </w:p>
    <w:p w:rsidR="00F574D0" w:rsidRPr="00176639" w:rsidRDefault="00D75FEE" w:rsidP="00F574D0">
      <w:pPr>
        <w:pStyle w:val="04BodyText"/>
        <w:spacing w:before="120" w:after="120"/>
        <w:rPr>
          <w:rFonts w:cs="Arial"/>
        </w:rPr>
      </w:pPr>
      <w:r w:rsidRPr="00176639">
        <w:rPr>
          <w:rFonts w:cs="Arial"/>
        </w:rPr>
        <w:t>Please note that, in order to facilitate the analysis of the large number of responses expected, you are requested to use this file to send your response to ESMA so as to allow us to process it properly. Ther</w:t>
      </w:r>
      <w:r w:rsidRPr="00176639">
        <w:rPr>
          <w:rFonts w:cs="Arial"/>
        </w:rPr>
        <w:t>e</w:t>
      </w:r>
      <w:r w:rsidRPr="00176639">
        <w:rPr>
          <w:rFonts w:cs="Arial"/>
        </w:rPr>
        <w:t xml:space="preserve">fore, </w:t>
      </w:r>
      <w:r w:rsidR="00332304" w:rsidRPr="00176639">
        <w:rPr>
          <w:rFonts w:cs="Arial"/>
        </w:rPr>
        <w:t xml:space="preserve">ESMA will only be able to consider responses which follow the instructions described </w:t>
      </w:r>
      <w:r w:rsidRPr="00176639">
        <w:rPr>
          <w:rFonts w:cs="Arial"/>
        </w:rPr>
        <w:t>below</w:t>
      </w:r>
      <w:r w:rsidR="00F574D0" w:rsidRPr="00176639">
        <w:rPr>
          <w:rFonts w:cs="Arial"/>
        </w:rPr>
        <w:t>:</w:t>
      </w:r>
    </w:p>
    <w:p w:rsidR="00F574D0" w:rsidRPr="00176639" w:rsidRDefault="00F574D0" w:rsidP="00573871">
      <w:pPr>
        <w:pStyle w:val="04bList"/>
        <w:numPr>
          <w:ilvl w:val="0"/>
          <w:numId w:val="32"/>
        </w:numPr>
        <w:spacing w:before="120" w:after="120"/>
        <w:rPr>
          <w:rFonts w:cs="Arial"/>
        </w:rPr>
      </w:pPr>
      <w:r w:rsidRPr="00176639">
        <w:rPr>
          <w:rFonts w:cs="Arial"/>
        </w:rPr>
        <w:t xml:space="preserve">use </w:t>
      </w:r>
      <w:r w:rsidR="00332304" w:rsidRPr="00176639">
        <w:rPr>
          <w:rFonts w:cs="Arial"/>
        </w:rPr>
        <w:t>this form</w:t>
      </w:r>
      <w:r w:rsidR="00955F48" w:rsidRPr="00176639">
        <w:rPr>
          <w:rFonts w:cs="Arial"/>
        </w:rPr>
        <w:t xml:space="preserve"> and send </w:t>
      </w:r>
      <w:r w:rsidR="00332304" w:rsidRPr="00176639">
        <w:rPr>
          <w:rFonts w:cs="Arial"/>
        </w:rPr>
        <w:t>your</w:t>
      </w:r>
      <w:r w:rsidR="00955F48" w:rsidRPr="00176639">
        <w:rPr>
          <w:rFonts w:cs="Arial"/>
        </w:rPr>
        <w:t xml:space="preserve"> responses in Word format (pdf documents will not be considered e</w:t>
      </w:r>
      <w:r w:rsidR="00955F48" w:rsidRPr="00176639">
        <w:rPr>
          <w:rFonts w:cs="Arial"/>
        </w:rPr>
        <w:t>x</w:t>
      </w:r>
      <w:r w:rsidR="00955F48" w:rsidRPr="00176639">
        <w:rPr>
          <w:rFonts w:cs="Arial"/>
        </w:rPr>
        <w:t>cept for annexes);</w:t>
      </w:r>
    </w:p>
    <w:p w:rsidR="00F574D0" w:rsidRPr="00176639" w:rsidRDefault="00D75FEE" w:rsidP="00BF557C">
      <w:pPr>
        <w:pStyle w:val="04bList"/>
        <w:numPr>
          <w:ilvl w:val="0"/>
          <w:numId w:val="32"/>
        </w:numPr>
        <w:spacing w:before="120" w:after="120"/>
        <w:rPr>
          <w:rFonts w:cs="Arial"/>
        </w:rPr>
      </w:pPr>
      <w:r w:rsidRPr="00176639">
        <w:rPr>
          <w:rFonts w:cs="Arial"/>
        </w:rPr>
        <w:t xml:space="preserve">do </w:t>
      </w:r>
      <w:r w:rsidR="00F574D0" w:rsidRPr="00176639">
        <w:rPr>
          <w:rFonts w:cs="Arial"/>
        </w:rPr>
        <w:t>not remove the tags of type &lt;</w:t>
      </w:r>
      <w:r w:rsidR="00BF557C" w:rsidRPr="00176639">
        <w:rPr>
          <w:rFonts w:cs="Arial"/>
        </w:rPr>
        <w:t>ESMA_QUESTION_</w:t>
      </w:r>
      <w:r w:rsidR="00665C07">
        <w:t>C</w:t>
      </w:r>
      <w:r w:rsidR="00AD0B9C">
        <w:t>P_BMR</w:t>
      </w:r>
      <w:r w:rsidR="00E9344E" w:rsidRPr="00176639">
        <w:rPr>
          <w:rFonts w:cs="Arial"/>
        </w:rPr>
        <w:t>_</w:t>
      </w:r>
      <w:r w:rsidR="00F574D0" w:rsidRPr="00176639">
        <w:rPr>
          <w:rFonts w:cs="Arial"/>
        </w:rPr>
        <w:t>1&gt; - i.e. the response to one question has to be framed by the 2 tags corresponding to the question; and</w:t>
      </w:r>
    </w:p>
    <w:p w:rsidR="00F574D0" w:rsidRPr="00176639" w:rsidRDefault="00F574D0" w:rsidP="00573871">
      <w:pPr>
        <w:pStyle w:val="04bList"/>
        <w:numPr>
          <w:ilvl w:val="0"/>
          <w:numId w:val="32"/>
        </w:numPr>
        <w:spacing w:before="120" w:after="120"/>
        <w:rPr>
          <w:rFonts w:cs="Arial"/>
        </w:rPr>
      </w:pPr>
      <w:r w:rsidRPr="00176639">
        <w:rPr>
          <w:rFonts w:cs="Arial"/>
        </w:rPr>
        <w:t xml:space="preserve">if </w:t>
      </w:r>
      <w:r w:rsidR="00D75FEE" w:rsidRPr="00176639">
        <w:rPr>
          <w:rFonts w:cs="Arial"/>
        </w:rPr>
        <w:t>you do not have a</w:t>
      </w:r>
      <w:r w:rsidRPr="00176639">
        <w:rPr>
          <w:rFonts w:cs="Arial"/>
        </w:rPr>
        <w:t xml:space="preserve"> response to a question, </w:t>
      </w:r>
      <w:r w:rsidR="00D75FEE" w:rsidRPr="00176639">
        <w:rPr>
          <w:rFonts w:cs="Arial"/>
        </w:rPr>
        <w:t xml:space="preserve">do </w:t>
      </w:r>
      <w:r w:rsidRPr="00176639">
        <w:rPr>
          <w:rFonts w:cs="Arial"/>
        </w:rPr>
        <w:t>not delete it and leave the text “TYPE YOUR TEXT HERE” between the tags.</w:t>
      </w:r>
    </w:p>
    <w:p w:rsidR="00F574D0" w:rsidRPr="00176639" w:rsidRDefault="00F574D0" w:rsidP="00F574D0">
      <w:pPr>
        <w:pStyle w:val="04bList"/>
        <w:numPr>
          <w:ilvl w:val="0"/>
          <w:numId w:val="0"/>
        </w:numPr>
        <w:spacing w:before="120" w:after="120"/>
        <w:rPr>
          <w:rFonts w:cs="Arial"/>
        </w:rPr>
      </w:pPr>
      <w:r w:rsidRPr="00176639">
        <w:rPr>
          <w:rFonts w:cs="Arial"/>
        </w:rPr>
        <w:t>Responses are most helpful:</w:t>
      </w:r>
    </w:p>
    <w:p w:rsidR="00F574D0" w:rsidRPr="00176639" w:rsidRDefault="00F574D0" w:rsidP="00573871">
      <w:pPr>
        <w:pStyle w:val="04bList"/>
        <w:numPr>
          <w:ilvl w:val="0"/>
          <w:numId w:val="33"/>
        </w:numPr>
        <w:spacing w:before="120" w:after="120"/>
        <w:rPr>
          <w:rFonts w:cs="Arial"/>
        </w:rPr>
      </w:pPr>
      <w:r w:rsidRPr="0017663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176639">
        <w:rPr>
          <w:rFonts w:cs="Arial"/>
        </w:rPr>
        <w:t>contain a clear rationale, including on any related costs and</w:t>
      </w:r>
      <w:r w:rsidRPr="00EF0769">
        <w:rPr>
          <w:rFonts w:cs="Arial"/>
        </w:rPr>
        <w:t xml:space="preserve">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w:t>
      </w:r>
      <w:r w:rsidR="00A96324">
        <w:rPr>
          <w:rFonts w:cs="Arial"/>
        </w:rPr>
        <w:t>e your document using the follo</w:t>
      </w:r>
      <w:r w:rsidR="00A96324">
        <w:rPr>
          <w:rFonts w:cs="Arial"/>
        </w:rPr>
        <w:t>w</w:t>
      </w:r>
      <w:r w:rsidRPr="00EF0769">
        <w:rPr>
          <w:rFonts w:cs="Arial"/>
        </w:rPr>
        <w:t>ing format:</w:t>
      </w:r>
    </w:p>
    <w:p w:rsidR="000D17AA" w:rsidRPr="00AD0B9C" w:rsidRDefault="00021E83" w:rsidP="000D17AA">
      <w:pPr>
        <w:pStyle w:val="04BodyText"/>
        <w:spacing w:before="120" w:after="120"/>
        <w:jc w:val="left"/>
        <w:rPr>
          <w:rFonts w:cs="Arial"/>
        </w:rPr>
      </w:pPr>
      <w:r w:rsidRPr="00AD0B9C">
        <w:rPr>
          <w:rFonts w:cs="Arial"/>
        </w:rPr>
        <w:t>ESMA_</w:t>
      </w:r>
      <w:r w:rsidR="003D79DA">
        <w:t>C</w:t>
      </w:r>
      <w:r w:rsidR="00AD0B9C" w:rsidRPr="00AD0B9C">
        <w:t>P_BMR</w:t>
      </w:r>
      <w:r w:rsidR="008701E5" w:rsidRPr="00AD0B9C">
        <w:rPr>
          <w:rFonts w:cs="Arial"/>
        </w:rPr>
        <w:t xml:space="preserve"> </w:t>
      </w:r>
      <w:r w:rsidRPr="00AD0B9C">
        <w:rPr>
          <w:rFonts w:cs="Arial"/>
        </w:rPr>
        <w:t>_NAMEOFCOMPANY_NAMEOFDOCUMENT</w:t>
      </w:r>
      <w:r w:rsidR="000D17AA" w:rsidRPr="00AD0B9C">
        <w:rPr>
          <w:rFonts w:cs="Arial"/>
        </w:rPr>
        <w:t>.</w:t>
      </w:r>
    </w:p>
    <w:p w:rsidR="00021E83" w:rsidRPr="00AD0B9C" w:rsidRDefault="000D17AA" w:rsidP="000D17AA">
      <w:pPr>
        <w:pStyle w:val="04BodyText"/>
        <w:spacing w:before="120" w:after="120"/>
        <w:jc w:val="left"/>
        <w:rPr>
          <w:rFonts w:cs="Arial"/>
        </w:rPr>
      </w:pPr>
      <w:r w:rsidRPr="00AD0B9C">
        <w:rPr>
          <w:rFonts w:cs="Arial"/>
        </w:rPr>
        <w:t xml:space="preserve">E.g. if the respondent were </w:t>
      </w:r>
      <w:r w:rsidR="00BF557C" w:rsidRPr="00AD0B9C">
        <w:rPr>
          <w:rFonts w:cs="Arial"/>
        </w:rPr>
        <w:t>XXXX</w:t>
      </w:r>
      <w:r w:rsidRPr="00AD0B9C">
        <w:rPr>
          <w:rFonts w:cs="Arial"/>
        </w:rPr>
        <w:t xml:space="preserve">, the </w:t>
      </w:r>
      <w:r w:rsidR="00021E83" w:rsidRPr="00AD0B9C">
        <w:rPr>
          <w:rFonts w:cs="Arial"/>
        </w:rPr>
        <w:t>name of the reply form would be:</w:t>
      </w:r>
    </w:p>
    <w:p w:rsidR="00021E83" w:rsidRPr="00AD0B9C" w:rsidRDefault="00BF557C" w:rsidP="000D17AA">
      <w:pPr>
        <w:pStyle w:val="04BodyText"/>
        <w:spacing w:before="120" w:after="120"/>
        <w:jc w:val="left"/>
        <w:rPr>
          <w:rFonts w:cs="Arial"/>
        </w:rPr>
      </w:pPr>
      <w:r w:rsidRPr="00AD0B9C">
        <w:rPr>
          <w:rFonts w:cs="Arial"/>
        </w:rPr>
        <w:t>ESMA_</w:t>
      </w:r>
      <w:r w:rsidR="00990FF9">
        <w:t>C</w:t>
      </w:r>
      <w:r w:rsidR="00AD0B9C" w:rsidRPr="00AD0B9C">
        <w:t>P_BMR</w:t>
      </w:r>
      <w:r w:rsidR="00AD0B9C" w:rsidRPr="00AD0B9C">
        <w:rPr>
          <w:rFonts w:cs="Arial"/>
        </w:rPr>
        <w:t xml:space="preserve"> </w:t>
      </w:r>
      <w:r w:rsidR="00332304" w:rsidRPr="00AD0B9C">
        <w:rPr>
          <w:rFonts w:cs="Arial"/>
        </w:rPr>
        <w:t>_</w:t>
      </w:r>
      <w:r w:rsidRPr="00AD0B9C">
        <w:rPr>
          <w:rFonts w:cs="Arial"/>
        </w:rPr>
        <w:t>XXXX</w:t>
      </w:r>
      <w:r w:rsidR="00021E83" w:rsidRPr="00AD0B9C">
        <w:rPr>
          <w:rFonts w:cs="Arial"/>
        </w:rPr>
        <w:t xml:space="preserve">_REPLYFORM or </w:t>
      </w:r>
    </w:p>
    <w:p w:rsidR="000D17AA" w:rsidRPr="00EF0769" w:rsidRDefault="00BF557C" w:rsidP="000D17AA">
      <w:pPr>
        <w:pStyle w:val="04BodyText"/>
        <w:spacing w:before="120" w:after="120"/>
        <w:jc w:val="left"/>
        <w:rPr>
          <w:rFonts w:cs="Arial"/>
        </w:rPr>
      </w:pPr>
      <w:r w:rsidRPr="00AD0B9C">
        <w:rPr>
          <w:rFonts w:cs="Arial"/>
        </w:rPr>
        <w:t>ESMA_</w:t>
      </w:r>
      <w:r w:rsidR="00990FF9">
        <w:t>C</w:t>
      </w:r>
      <w:r w:rsidR="00AD0B9C" w:rsidRPr="00AD0B9C">
        <w:t>P_BMR</w:t>
      </w:r>
      <w:r w:rsidR="00AD0B9C" w:rsidRPr="00AD0B9C">
        <w:rPr>
          <w:rFonts w:cs="Arial"/>
        </w:rPr>
        <w:t xml:space="preserve"> </w:t>
      </w:r>
      <w:r w:rsidRPr="00AD0B9C">
        <w:rPr>
          <w:rFonts w:cs="Arial"/>
        </w:rPr>
        <w:t>_XXXX</w:t>
      </w:r>
      <w:r w:rsidR="00021E83" w:rsidRPr="00AD0B9C">
        <w:rPr>
          <w:rFonts w:cs="Arial"/>
        </w:rPr>
        <w:t>_ANNEX1</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7C3918" w:rsidP="00F574D0">
      <w:pPr>
        <w:pStyle w:val="04BodyText"/>
        <w:spacing w:before="120" w:after="120"/>
        <w:rPr>
          <w:rFonts w:cs="Arial"/>
        </w:rPr>
      </w:pPr>
      <w:r>
        <w:rPr>
          <w:rFonts w:cs="Arial"/>
        </w:rPr>
        <w:t xml:space="preserve">Responses must reach us by </w:t>
      </w:r>
      <w:r w:rsidR="00990FF9" w:rsidRPr="00665C07">
        <w:rPr>
          <w:rFonts w:cs="Arial"/>
          <w:b/>
        </w:rPr>
        <w:t>30</w:t>
      </w:r>
      <w:r w:rsidRPr="00665C07">
        <w:rPr>
          <w:rFonts w:cs="Arial"/>
          <w:b/>
        </w:rPr>
        <w:t xml:space="preserve"> </w:t>
      </w:r>
      <w:r w:rsidR="00990FF9" w:rsidRPr="00665C07">
        <w:rPr>
          <w:rFonts w:cs="Arial"/>
          <w:b/>
        </w:rPr>
        <w:t>June</w:t>
      </w:r>
      <w:r w:rsidRPr="00665C07">
        <w:rPr>
          <w:rFonts w:cs="Arial"/>
          <w:b/>
        </w:rPr>
        <w:t xml:space="preserve"> 2016</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A96324" w:rsidRDefault="00A96324"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AD7675" w:rsidRPr="00BF28DA" w:rsidRDefault="00AD7675" w:rsidP="00D34282"/>
    <w:p w:rsidR="00D34282" w:rsidRPr="00176639" w:rsidRDefault="00D34282" w:rsidP="00D34282">
      <w:r w:rsidRPr="00176639">
        <w:t>&lt;</w:t>
      </w:r>
      <w:r w:rsidR="00D61A37" w:rsidRPr="00176639">
        <w:t>ESMA_COMMENT_</w:t>
      </w:r>
      <w:r w:rsidR="00665C07">
        <w:t>C</w:t>
      </w:r>
      <w:r w:rsidR="00176639">
        <w:t>P_BMR</w:t>
      </w:r>
      <w:r w:rsidR="00D61A37" w:rsidRPr="00176639">
        <w:t>_1</w:t>
      </w:r>
      <w:r w:rsidRPr="00176639">
        <w:t>&gt;</w:t>
      </w:r>
    </w:p>
    <w:p w:rsidR="00453FBB" w:rsidRDefault="00453FBB" w:rsidP="0066223C">
      <w:permStart w:id="1696082218" w:edGrp="everyone"/>
      <w:r>
        <w:t>Argus Media (Argus) is a specialist publisher serving the physical commodities sector. Its main activities comprise publishing market reports containing price assessments, market commentary and news, and business intelligence reports that analyse market and industry trends.</w:t>
      </w:r>
    </w:p>
    <w:p w:rsidR="00453FBB" w:rsidRDefault="00453FBB" w:rsidP="0066223C"/>
    <w:p w:rsidR="00453FBB" w:rsidRDefault="00453FBB" w:rsidP="0066223C">
      <w:r>
        <w:t xml:space="preserve">A small number of Argus’ published price assessments have been adopted by subscribers for use as benchmarks in derivatives contracts. Argus has fully implemented IOSCO’s PRA Principles including successfully completing annual external assurance audits — to date in 2013, 2014 and 2015 — to verify compliance. Latest annual external audit report is available at: </w:t>
      </w:r>
      <w:hyperlink r:id="rId15" w:history="1">
        <w:r>
          <w:rPr>
            <w:rStyle w:val="Hyperlink"/>
          </w:rPr>
          <w:t>www.argusmedia.com/About-Argus/How-We-Work/</w:t>
        </w:r>
      </w:hyperlink>
    </w:p>
    <w:p w:rsidR="00453FBB" w:rsidRDefault="00453FBB" w:rsidP="0066223C"/>
    <w:p w:rsidR="00453FBB" w:rsidRDefault="00453FBB" w:rsidP="00D34282">
      <w:r>
        <w:t>Argus and its main competitors have become known as ‘price reporting agencies’ (PRAs) — although the publishers themselves did not invent this term and in fact it is somewhat misleading. In reality, as a pu</w:t>
      </w:r>
      <w:r>
        <w:t>b</w:t>
      </w:r>
      <w:r>
        <w:t xml:space="preserve">lisher Argus </w:t>
      </w:r>
      <w:r w:rsidRPr="004714B7">
        <w:t xml:space="preserve">reports </w:t>
      </w:r>
      <w:r w:rsidRPr="004714B7">
        <w:rPr>
          <w:iCs/>
        </w:rPr>
        <w:t>on the markets and the wider commodity industries</w:t>
      </w:r>
      <w:r>
        <w:t>, and the reporting of prices in the markets is just one integrated component of this.</w:t>
      </w:r>
    </w:p>
    <w:permEnd w:id="1696082218"/>
    <w:p w:rsidR="00D34282" w:rsidRPr="00BF28DA" w:rsidRDefault="00D34282" w:rsidP="00D34282">
      <w:r w:rsidRPr="00BF28DA">
        <w:t>&lt;</w:t>
      </w:r>
      <w:r w:rsidR="00D61A37" w:rsidRPr="00BF28DA">
        <w:t>ESMA_COMMENT_</w:t>
      </w:r>
      <w:r w:rsidR="00665C07">
        <w:t>C</w:t>
      </w:r>
      <w:r w:rsidR="00176639">
        <w:t>P_BMR</w:t>
      </w:r>
      <w:r w:rsidR="00D61A37" w:rsidRPr="00BF28DA">
        <w:t>_1</w:t>
      </w:r>
      <w:r w:rsidRPr="00BF28DA">
        <w:t>&gt;</w:t>
      </w:r>
    </w:p>
    <w:p w:rsidR="00F31E57" w:rsidRPr="00BF28DA" w:rsidRDefault="00F31E57" w:rsidP="00D34282"/>
    <w:p w:rsidR="008701E5" w:rsidRDefault="00F31E57" w:rsidP="002342EC">
      <w:pPr>
        <w:pStyle w:val="Questionstyle"/>
        <w:numPr>
          <w:ilvl w:val="0"/>
          <w:numId w:val="38"/>
        </w:numPr>
      </w:pPr>
      <w:r w:rsidRPr="0075015C">
        <w:br w:type="page"/>
      </w:r>
    </w:p>
    <w:p w:rsidR="009A2624" w:rsidRPr="007F44BF" w:rsidRDefault="00990FF9" w:rsidP="002342EC">
      <w:pPr>
        <w:pStyle w:val="Questionstyle"/>
      </w:pPr>
      <w:r w:rsidRPr="00D60F54">
        <w:lastRenderedPageBreak/>
        <w:t xml:space="preserve">Do you agree with the conditions on the basis of which an index may be considered </w:t>
      </w:r>
      <w:r>
        <w:t>as made available to the public</w:t>
      </w:r>
      <w:r w:rsidR="009A2624" w:rsidRPr="007F44BF">
        <w:t>?</w:t>
      </w:r>
    </w:p>
    <w:p w:rsidR="009A2624" w:rsidRDefault="00665C07" w:rsidP="009A2624">
      <w:r>
        <w:t>&lt;ESMA_QUESTION_C</w:t>
      </w:r>
      <w:r w:rsidR="009A2624">
        <w:t>P_BMR_1&gt;</w:t>
      </w:r>
    </w:p>
    <w:p w:rsidR="009A2624" w:rsidRPr="001B5665" w:rsidRDefault="001B5665" w:rsidP="009A2624">
      <w:pPr>
        <w:rPr>
          <w:szCs w:val="20"/>
        </w:rPr>
      </w:pPr>
      <w:permStart w:id="2147357513" w:edGrp="everyone"/>
      <w:r w:rsidRPr="001B5665">
        <w:rPr>
          <w:szCs w:val="20"/>
        </w:rPr>
        <w:t xml:space="preserve">Argus generally supports </w:t>
      </w:r>
      <w:proofErr w:type="spellStart"/>
      <w:r w:rsidRPr="001B5665">
        <w:rPr>
          <w:szCs w:val="20"/>
        </w:rPr>
        <w:t>ESMA’s</w:t>
      </w:r>
      <w:proofErr w:type="spellEnd"/>
      <w:r w:rsidRPr="001B5665">
        <w:rPr>
          <w:szCs w:val="20"/>
        </w:rPr>
        <w:t xml:space="preserve"> analysis </w:t>
      </w:r>
      <w:r w:rsidR="00943C2A" w:rsidRPr="001B5665">
        <w:rPr>
          <w:szCs w:val="20"/>
        </w:rPr>
        <w:t>regarding “making available to the public”</w:t>
      </w:r>
      <w:r w:rsidR="00943C2A">
        <w:rPr>
          <w:szCs w:val="20"/>
        </w:rPr>
        <w:t xml:space="preserve"> </w:t>
      </w:r>
      <w:r w:rsidRPr="001B5665">
        <w:rPr>
          <w:szCs w:val="20"/>
        </w:rPr>
        <w:t xml:space="preserve">and </w:t>
      </w:r>
      <w:r w:rsidR="006E0EA4">
        <w:rPr>
          <w:szCs w:val="20"/>
        </w:rPr>
        <w:t xml:space="preserve">the </w:t>
      </w:r>
      <w:r w:rsidRPr="001B5665">
        <w:rPr>
          <w:szCs w:val="20"/>
        </w:rPr>
        <w:t>draft Tec</w:t>
      </w:r>
      <w:r w:rsidRPr="001B5665">
        <w:rPr>
          <w:szCs w:val="20"/>
        </w:rPr>
        <w:t>h</w:t>
      </w:r>
      <w:r w:rsidRPr="001B5665">
        <w:rPr>
          <w:szCs w:val="20"/>
        </w:rPr>
        <w:t>nical Advice</w:t>
      </w:r>
      <w:r w:rsidR="00943C2A">
        <w:rPr>
          <w:szCs w:val="20"/>
        </w:rPr>
        <w:t>.</w:t>
      </w:r>
    </w:p>
    <w:p w:rsidR="001B5665" w:rsidRPr="001B5665" w:rsidRDefault="001B5665" w:rsidP="009A2624">
      <w:pPr>
        <w:rPr>
          <w:szCs w:val="20"/>
        </w:rPr>
      </w:pPr>
    </w:p>
    <w:p w:rsidR="001B5665" w:rsidRDefault="001B5665" w:rsidP="001B5665">
      <w:pPr>
        <w:autoSpaceDE w:val="0"/>
        <w:autoSpaceDN w:val="0"/>
        <w:adjustRightInd w:val="0"/>
        <w:rPr>
          <w:rFonts w:cs="Arial"/>
          <w:color w:val="000000"/>
          <w:szCs w:val="20"/>
          <w:lang w:eastAsia="en-GB"/>
        </w:rPr>
      </w:pPr>
      <w:r w:rsidRPr="001B5665">
        <w:rPr>
          <w:szCs w:val="20"/>
        </w:rPr>
        <w:t xml:space="preserve">Argus would </w:t>
      </w:r>
      <w:r w:rsidR="006E0EA4">
        <w:rPr>
          <w:szCs w:val="20"/>
        </w:rPr>
        <w:t>though</w:t>
      </w:r>
      <w:r w:rsidR="00D51C98">
        <w:rPr>
          <w:szCs w:val="20"/>
        </w:rPr>
        <w:t xml:space="preserve"> </w:t>
      </w:r>
      <w:r w:rsidRPr="001B5665">
        <w:rPr>
          <w:szCs w:val="20"/>
        </w:rPr>
        <w:t xml:space="preserve">like to draw to </w:t>
      </w:r>
      <w:proofErr w:type="spellStart"/>
      <w:r w:rsidRPr="001B5665">
        <w:rPr>
          <w:szCs w:val="20"/>
        </w:rPr>
        <w:t>ESMA’s</w:t>
      </w:r>
      <w:proofErr w:type="spellEnd"/>
      <w:r w:rsidRPr="001B5665">
        <w:rPr>
          <w:szCs w:val="20"/>
        </w:rPr>
        <w:t xml:space="preserve"> attention that one aspect of the CP analysis </w:t>
      </w:r>
      <w:r w:rsidR="007314CF">
        <w:rPr>
          <w:szCs w:val="20"/>
        </w:rPr>
        <w:t>is</w:t>
      </w:r>
      <w:r w:rsidR="00943C2A">
        <w:rPr>
          <w:szCs w:val="20"/>
        </w:rPr>
        <w:t xml:space="preserve"> not </w:t>
      </w:r>
      <w:r w:rsidRPr="001B5665">
        <w:rPr>
          <w:szCs w:val="20"/>
        </w:rPr>
        <w:t xml:space="preserve">fully correct. Paragraph 18 </w:t>
      </w:r>
      <w:r w:rsidR="00D62A78">
        <w:rPr>
          <w:szCs w:val="20"/>
        </w:rPr>
        <w:t xml:space="preserve">of the CP </w:t>
      </w:r>
      <w:r w:rsidRPr="001B5665">
        <w:rPr>
          <w:szCs w:val="20"/>
        </w:rPr>
        <w:t>notes that “</w:t>
      </w:r>
      <w:r w:rsidRPr="001B5665">
        <w:rPr>
          <w:rFonts w:cs="Arial"/>
          <w:color w:val="000000"/>
          <w:szCs w:val="20"/>
          <w:lang w:eastAsia="en-GB"/>
        </w:rPr>
        <w:t xml:space="preserve">Making available of index values to the investors </w:t>
      </w:r>
      <w:r w:rsidR="007314CF">
        <w:rPr>
          <w:rFonts w:cs="Arial"/>
          <w:color w:val="000000"/>
          <w:szCs w:val="20"/>
          <w:lang w:eastAsia="en-GB"/>
        </w:rPr>
        <w:t>‘</w:t>
      </w:r>
      <w:r w:rsidRPr="00BE56E7">
        <w:rPr>
          <w:rFonts w:cs="Arial"/>
          <w:iCs/>
          <w:color w:val="000000"/>
          <w:szCs w:val="20"/>
          <w:lang w:eastAsia="en-GB"/>
        </w:rPr>
        <w:t>whatever technique is used</w:t>
      </w:r>
      <w:r w:rsidR="007314CF">
        <w:rPr>
          <w:rFonts w:cs="Arial"/>
          <w:iCs/>
          <w:color w:val="000000"/>
          <w:szCs w:val="20"/>
          <w:lang w:eastAsia="en-GB"/>
        </w:rPr>
        <w:t>’</w:t>
      </w:r>
      <w:r w:rsidRPr="001B5665">
        <w:rPr>
          <w:rFonts w:cs="Arial"/>
          <w:i/>
          <w:iCs/>
          <w:color w:val="000000"/>
          <w:szCs w:val="20"/>
          <w:lang w:eastAsia="en-GB"/>
        </w:rPr>
        <w:t xml:space="preserve"> </w:t>
      </w:r>
      <w:r w:rsidRPr="001B5665">
        <w:rPr>
          <w:rFonts w:cs="Arial"/>
          <w:color w:val="000000"/>
          <w:szCs w:val="20"/>
          <w:lang w:eastAsia="en-GB"/>
        </w:rPr>
        <w:t>should include the dissemination of such index values to (a wider) public through their incorpor</w:t>
      </w:r>
      <w:r w:rsidRPr="001B5665">
        <w:rPr>
          <w:rFonts w:cs="Arial"/>
          <w:color w:val="000000"/>
          <w:szCs w:val="20"/>
          <w:lang w:eastAsia="en-GB"/>
        </w:rPr>
        <w:t>a</w:t>
      </w:r>
      <w:r w:rsidRPr="001B5665">
        <w:rPr>
          <w:rFonts w:cs="Arial"/>
          <w:color w:val="000000"/>
          <w:szCs w:val="20"/>
          <w:lang w:eastAsia="en-GB"/>
        </w:rPr>
        <w:t xml:space="preserve">tion into the coupons, strike prices, differentials, and values of financial instruments and investment funds referencing it, </w:t>
      </w:r>
      <w:r w:rsidRPr="00D51C98">
        <w:rPr>
          <w:rFonts w:cs="Arial"/>
          <w:color w:val="000000"/>
          <w:szCs w:val="20"/>
          <w:u w:val="single"/>
          <w:lang w:eastAsia="en-GB"/>
        </w:rPr>
        <w:t>as the investor can isolate the index value therefrom</w:t>
      </w:r>
      <w:r w:rsidRPr="001B5665">
        <w:rPr>
          <w:rFonts w:cs="Arial"/>
          <w:color w:val="000000"/>
          <w:szCs w:val="20"/>
          <w:lang w:eastAsia="en-GB"/>
        </w:rPr>
        <w:t>.</w:t>
      </w:r>
      <w:r w:rsidR="00D51C98">
        <w:rPr>
          <w:rFonts w:cs="Arial"/>
          <w:color w:val="000000"/>
          <w:szCs w:val="20"/>
          <w:lang w:eastAsia="en-GB"/>
        </w:rPr>
        <w:t>” (</w:t>
      </w:r>
      <w:proofErr w:type="gramStart"/>
      <w:r w:rsidR="00D51C98">
        <w:rPr>
          <w:rFonts w:cs="Arial"/>
          <w:color w:val="000000"/>
          <w:szCs w:val="20"/>
          <w:lang w:eastAsia="en-GB"/>
        </w:rPr>
        <w:t>emphasis</w:t>
      </w:r>
      <w:proofErr w:type="gramEnd"/>
      <w:r w:rsidR="00D51C98">
        <w:rPr>
          <w:rFonts w:cs="Arial"/>
          <w:color w:val="000000"/>
          <w:szCs w:val="20"/>
          <w:lang w:eastAsia="en-GB"/>
        </w:rPr>
        <w:t xml:space="preserve"> added)</w:t>
      </w:r>
    </w:p>
    <w:p w:rsidR="001B5665" w:rsidRDefault="001B5665" w:rsidP="001B5665">
      <w:pPr>
        <w:autoSpaceDE w:val="0"/>
        <w:autoSpaceDN w:val="0"/>
        <w:adjustRightInd w:val="0"/>
        <w:rPr>
          <w:rFonts w:cs="Arial"/>
          <w:color w:val="000000"/>
          <w:szCs w:val="20"/>
          <w:lang w:eastAsia="en-GB"/>
        </w:rPr>
      </w:pPr>
    </w:p>
    <w:p w:rsidR="00D62A78" w:rsidRDefault="00D417A2" w:rsidP="001B5665">
      <w:pPr>
        <w:autoSpaceDE w:val="0"/>
        <w:autoSpaceDN w:val="0"/>
        <w:adjustRightInd w:val="0"/>
        <w:rPr>
          <w:rFonts w:cs="Arial"/>
          <w:color w:val="000000"/>
          <w:szCs w:val="20"/>
          <w:lang w:eastAsia="en-GB"/>
        </w:rPr>
      </w:pPr>
      <w:r>
        <w:rPr>
          <w:rFonts w:cs="Arial"/>
          <w:color w:val="000000"/>
          <w:szCs w:val="20"/>
          <w:lang w:eastAsia="en-GB"/>
        </w:rPr>
        <w:t>I</w:t>
      </w:r>
      <w:r w:rsidR="007314CF">
        <w:rPr>
          <w:rFonts w:cs="Arial"/>
          <w:color w:val="000000"/>
          <w:szCs w:val="20"/>
          <w:lang w:eastAsia="en-GB"/>
        </w:rPr>
        <w:t xml:space="preserve">t </w:t>
      </w:r>
      <w:r w:rsidR="001B5665">
        <w:rPr>
          <w:rFonts w:cs="Arial"/>
          <w:color w:val="000000"/>
          <w:szCs w:val="20"/>
          <w:lang w:eastAsia="en-GB"/>
        </w:rPr>
        <w:t xml:space="preserve">is </w:t>
      </w:r>
      <w:r>
        <w:rPr>
          <w:rFonts w:cs="Arial"/>
          <w:color w:val="000000"/>
          <w:szCs w:val="20"/>
          <w:lang w:eastAsia="en-GB"/>
        </w:rPr>
        <w:t xml:space="preserve">not </w:t>
      </w:r>
      <w:r w:rsidR="001B5665">
        <w:rPr>
          <w:rFonts w:cs="Arial"/>
          <w:color w:val="000000"/>
          <w:szCs w:val="20"/>
          <w:lang w:eastAsia="en-GB"/>
        </w:rPr>
        <w:t xml:space="preserve">correct to say that </w:t>
      </w:r>
      <w:r w:rsidR="00D51C98">
        <w:rPr>
          <w:rFonts w:cs="Arial"/>
          <w:color w:val="000000"/>
          <w:szCs w:val="20"/>
          <w:lang w:eastAsia="en-GB"/>
        </w:rPr>
        <w:t xml:space="preserve">an </w:t>
      </w:r>
      <w:r w:rsidR="001B5665">
        <w:rPr>
          <w:rFonts w:cs="Arial"/>
          <w:color w:val="000000"/>
          <w:szCs w:val="20"/>
          <w:lang w:eastAsia="en-GB"/>
        </w:rPr>
        <w:t xml:space="preserve">investor </w:t>
      </w:r>
      <w:r w:rsidR="00D51C98">
        <w:rPr>
          <w:rFonts w:cs="Arial"/>
          <w:color w:val="000000"/>
          <w:szCs w:val="20"/>
          <w:lang w:eastAsia="en-GB"/>
        </w:rPr>
        <w:t xml:space="preserve">is </w:t>
      </w:r>
      <w:r w:rsidR="001B5665">
        <w:rPr>
          <w:rFonts w:cs="Arial"/>
          <w:color w:val="000000"/>
          <w:szCs w:val="20"/>
          <w:lang w:eastAsia="en-GB"/>
        </w:rPr>
        <w:t xml:space="preserve">always able to obtain </w:t>
      </w:r>
      <w:r w:rsidR="001B5665" w:rsidRPr="001B5665">
        <w:rPr>
          <w:rFonts w:cs="Arial"/>
          <w:color w:val="000000"/>
          <w:szCs w:val="20"/>
          <w:lang w:eastAsia="en-GB"/>
        </w:rPr>
        <w:t xml:space="preserve">the </w:t>
      </w:r>
      <w:r w:rsidR="00BE56E7" w:rsidRPr="001B5665">
        <w:rPr>
          <w:rFonts w:cs="Arial"/>
          <w:color w:val="000000"/>
          <w:szCs w:val="20"/>
          <w:lang w:eastAsia="en-GB"/>
        </w:rPr>
        <w:t>value</w:t>
      </w:r>
      <w:r w:rsidR="00BE56E7">
        <w:rPr>
          <w:rFonts w:cs="Arial"/>
          <w:color w:val="000000"/>
          <w:szCs w:val="20"/>
          <w:lang w:eastAsia="en-GB"/>
        </w:rPr>
        <w:t xml:space="preserve"> of the underlying </w:t>
      </w:r>
      <w:r w:rsidR="001B5665" w:rsidRPr="001B5665">
        <w:rPr>
          <w:rFonts w:cs="Arial"/>
          <w:color w:val="000000"/>
          <w:szCs w:val="20"/>
          <w:lang w:eastAsia="en-GB"/>
        </w:rPr>
        <w:t xml:space="preserve">index </w:t>
      </w:r>
      <w:r w:rsidR="001B5665">
        <w:rPr>
          <w:rFonts w:cs="Arial"/>
          <w:color w:val="000000"/>
          <w:szCs w:val="20"/>
          <w:lang w:eastAsia="en-GB"/>
        </w:rPr>
        <w:t xml:space="preserve">from knowledge of the </w:t>
      </w:r>
      <w:r w:rsidR="00D62A78">
        <w:rPr>
          <w:rFonts w:cs="Arial"/>
          <w:color w:val="000000"/>
          <w:szCs w:val="20"/>
          <w:lang w:eastAsia="en-GB"/>
        </w:rPr>
        <w:t xml:space="preserve">current (or any historic) </w:t>
      </w:r>
      <w:r w:rsidR="00D62A78" w:rsidRPr="001B5665">
        <w:rPr>
          <w:rFonts w:cs="Arial"/>
          <w:color w:val="000000"/>
          <w:szCs w:val="20"/>
          <w:lang w:eastAsia="en-GB"/>
        </w:rPr>
        <w:t xml:space="preserve">value of </w:t>
      </w:r>
      <w:r w:rsidR="00D62A78">
        <w:rPr>
          <w:rFonts w:cs="Arial"/>
          <w:color w:val="000000"/>
          <w:szCs w:val="20"/>
          <w:lang w:eastAsia="en-GB"/>
        </w:rPr>
        <w:t xml:space="preserve">a </w:t>
      </w:r>
      <w:r w:rsidR="00D62A78" w:rsidRPr="001B5665">
        <w:rPr>
          <w:rFonts w:cs="Arial"/>
          <w:color w:val="000000"/>
          <w:szCs w:val="20"/>
          <w:lang w:eastAsia="en-GB"/>
        </w:rPr>
        <w:t>financial instrument</w:t>
      </w:r>
      <w:r w:rsidR="00D62A78">
        <w:rPr>
          <w:rFonts w:cs="Arial"/>
          <w:color w:val="000000"/>
          <w:szCs w:val="20"/>
          <w:lang w:eastAsia="en-GB"/>
        </w:rPr>
        <w:t xml:space="preserve"> referencing the </w:t>
      </w:r>
      <w:r w:rsidR="00D51C98">
        <w:rPr>
          <w:rFonts w:cs="Arial"/>
          <w:color w:val="000000"/>
          <w:szCs w:val="20"/>
          <w:lang w:eastAsia="en-GB"/>
        </w:rPr>
        <w:t>index</w:t>
      </w:r>
      <w:r w:rsidR="00D62A78">
        <w:rPr>
          <w:rFonts w:cs="Arial"/>
          <w:color w:val="000000"/>
          <w:szCs w:val="20"/>
          <w:lang w:eastAsia="en-GB"/>
        </w:rPr>
        <w:t xml:space="preserve">. Certainly </w:t>
      </w:r>
      <w:r w:rsidR="00B03CC9">
        <w:rPr>
          <w:rFonts w:cs="Arial"/>
          <w:color w:val="000000"/>
          <w:szCs w:val="20"/>
          <w:lang w:eastAsia="en-GB"/>
        </w:rPr>
        <w:t>th</w:t>
      </w:r>
      <w:r>
        <w:rPr>
          <w:rFonts w:cs="Arial"/>
          <w:color w:val="000000"/>
          <w:szCs w:val="20"/>
          <w:lang w:eastAsia="en-GB"/>
        </w:rPr>
        <w:t>e</w:t>
      </w:r>
      <w:r w:rsidR="00B03CC9">
        <w:rPr>
          <w:rFonts w:cs="Arial"/>
          <w:color w:val="000000"/>
          <w:szCs w:val="20"/>
          <w:lang w:eastAsia="en-GB"/>
        </w:rPr>
        <w:t xml:space="preserve"> CP statement is not accurate in respect of </w:t>
      </w:r>
      <w:r w:rsidR="00943C2A">
        <w:rPr>
          <w:rFonts w:cs="Arial"/>
          <w:color w:val="000000"/>
          <w:szCs w:val="20"/>
          <w:lang w:eastAsia="en-GB"/>
        </w:rPr>
        <w:t xml:space="preserve">commodity </w:t>
      </w:r>
      <w:r w:rsidR="00D62A78">
        <w:rPr>
          <w:rFonts w:cs="Arial"/>
          <w:color w:val="000000"/>
          <w:szCs w:val="20"/>
          <w:lang w:eastAsia="en-GB"/>
        </w:rPr>
        <w:t xml:space="preserve">derivatives </w:t>
      </w:r>
      <w:r w:rsidR="00943C2A">
        <w:rPr>
          <w:rFonts w:cs="Arial"/>
          <w:color w:val="000000"/>
          <w:szCs w:val="20"/>
          <w:lang w:eastAsia="en-GB"/>
        </w:rPr>
        <w:t>(including exchange-traded deriv</w:t>
      </w:r>
      <w:r w:rsidR="00943C2A">
        <w:rPr>
          <w:rFonts w:cs="Arial"/>
          <w:color w:val="000000"/>
          <w:szCs w:val="20"/>
          <w:lang w:eastAsia="en-GB"/>
        </w:rPr>
        <w:t>a</w:t>
      </w:r>
      <w:r w:rsidR="00943C2A">
        <w:rPr>
          <w:rFonts w:cs="Arial"/>
          <w:color w:val="000000"/>
          <w:szCs w:val="20"/>
          <w:lang w:eastAsia="en-GB"/>
        </w:rPr>
        <w:t xml:space="preserve">tives (ETD)) that use </w:t>
      </w:r>
      <w:r w:rsidR="00B03CC9">
        <w:rPr>
          <w:rFonts w:cs="Arial"/>
          <w:color w:val="000000"/>
          <w:szCs w:val="20"/>
          <w:lang w:eastAsia="en-GB"/>
        </w:rPr>
        <w:t xml:space="preserve">as a reference in final settlement </w:t>
      </w:r>
      <w:r w:rsidR="00943C2A">
        <w:rPr>
          <w:rFonts w:cs="Arial"/>
          <w:color w:val="000000"/>
          <w:szCs w:val="20"/>
          <w:lang w:eastAsia="en-GB"/>
        </w:rPr>
        <w:t>a physical commodity price such as those pr</w:t>
      </w:r>
      <w:r w:rsidR="00943C2A">
        <w:rPr>
          <w:rFonts w:cs="Arial"/>
          <w:color w:val="000000"/>
          <w:szCs w:val="20"/>
          <w:lang w:eastAsia="en-GB"/>
        </w:rPr>
        <w:t>o</w:t>
      </w:r>
      <w:r w:rsidR="00943C2A">
        <w:rPr>
          <w:rFonts w:cs="Arial"/>
          <w:color w:val="000000"/>
          <w:szCs w:val="20"/>
          <w:lang w:eastAsia="en-GB"/>
        </w:rPr>
        <w:t>duced by a price reporting agency (PRA)</w:t>
      </w:r>
      <w:r w:rsidR="00D51C98">
        <w:rPr>
          <w:rFonts w:cs="Arial"/>
          <w:color w:val="000000"/>
          <w:szCs w:val="20"/>
          <w:lang w:eastAsia="en-GB"/>
        </w:rPr>
        <w:t>.</w:t>
      </w:r>
    </w:p>
    <w:p w:rsidR="00D62A78" w:rsidRDefault="00D62A78" w:rsidP="001B5665">
      <w:pPr>
        <w:autoSpaceDE w:val="0"/>
        <w:autoSpaceDN w:val="0"/>
        <w:adjustRightInd w:val="0"/>
        <w:rPr>
          <w:rFonts w:cs="Arial"/>
          <w:color w:val="000000"/>
          <w:szCs w:val="20"/>
          <w:lang w:eastAsia="en-GB"/>
        </w:rPr>
      </w:pPr>
    </w:p>
    <w:p w:rsidR="001B5665" w:rsidRDefault="00D62A78" w:rsidP="001B5665">
      <w:pPr>
        <w:autoSpaceDE w:val="0"/>
        <w:autoSpaceDN w:val="0"/>
        <w:adjustRightInd w:val="0"/>
        <w:rPr>
          <w:rFonts w:cs="Arial"/>
          <w:color w:val="000000"/>
          <w:szCs w:val="20"/>
          <w:lang w:eastAsia="en-GB"/>
        </w:rPr>
      </w:pPr>
      <w:r>
        <w:rPr>
          <w:rFonts w:cs="Arial"/>
          <w:color w:val="000000"/>
          <w:szCs w:val="20"/>
          <w:lang w:eastAsia="en-GB"/>
        </w:rPr>
        <w:t xml:space="preserve">Rather, the value of </w:t>
      </w:r>
      <w:r w:rsidR="00943C2A">
        <w:rPr>
          <w:rFonts w:cs="Arial"/>
          <w:color w:val="000000"/>
          <w:szCs w:val="20"/>
          <w:lang w:eastAsia="en-GB"/>
        </w:rPr>
        <w:t xml:space="preserve">such </w:t>
      </w:r>
      <w:r w:rsidR="00D51C98">
        <w:rPr>
          <w:rFonts w:cs="Arial"/>
          <w:color w:val="000000"/>
          <w:szCs w:val="20"/>
          <w:lang w:eastAsia="en-GB"/>
        </w:rPr>
        <w:t>a</w:t>
      </w:r>
      <w:r>
        <w:rPr>
          <w:rFonts w:cs="Arial"/>
          <w:color w:val="000000"/>
          <w:szCs w:val="20"/>
          <w:lang w:eastAsia="en-GB"/>
        </w:rPr>
        <w:t xml:space="preserve"> </w:t>
      </w:r>
      <w:r w:rsidR="00BE56E7">
        <w:rPr>
          <w:rFonts w:cs="Arial"/>
          <w:color w:val="000000"/>
          <w:szCs w:val="20"/>
          <w:lang w:eastAsia="en-GB"/>
        </w:rPr>
        <w:t>commodity ETD</w:t>
      </w:r>
      <w:r>
        <w:rPr>
          <w:rFonts w:cs="Arial"/>
          <w:color w:val="000000"/>
          <w:szCs w:val="20"/>
          <w:lang w:eastAsia="en-GB"/>
        </w:rPr>
        <w:t xml:space="preserve"> at any time from its first trade up to just prior to expiry of the derivative contract</w:t>
      </w:r>
      <w:r w:rsidR="007314CF">
        <w:rPr>
          <w:rFonts w:cs="Arial"/>
          <w:color w:val="000000"/>
          <w:szCs w:val="20"/>
          <w:lang w:eastAsia="en-GB"/>
        </w:rPr>
        <w:t>,</w:t>
      </w:r>
      <w:r>
        <w:rPr>
          <w:rFonts w:cs="Arial"/>
          <w:color w:val="000000"/>
          <w:szCs w:val="20"/>
          <w:lang w:eastAsia="en-GB"/>
        </w:rPr>
        <w:t xml:space="preserve"> is the current market value of the derivative as discovered on the trading venue through the interaction of buyers and sellers in order to establish the current market price of the derivative. The market value of </w:t>
      </w:r>
      <w:r w:rsidR="00943C2A">
        <w:rPr>
          <w:rFonts w:cs="Arial"/>
          <w:color w:val="000000"/>
          <w:szCs w:val="20"/>
          <w:lang w:eastAsia="en-GB"/>
        </w:rPr>
        <w:t xml:space="preserve">such </w:t>
      </w:r>
      <w:r>
        <w:rPr>
          <w:rFonts w:cs="Arial"/>
          <w:color w:val="000000"/>
          <w:szCs w:val="20"/>
          <w:lang w:eastAsia="en-GB"/>
        </w:rPr>
        <w:t>a commodity ETD</w:t>
      </w:r>
      <w:r w:rsidR="00BE56E7">
        <w:rPr>
          <w:rFonts w:cs="Arial"/>
          <w:color w:val="000000"/>
          <w:szCs w:val="20"/>
          <w:lang w:eastAsia="en-GB"/>
        </w:rPr>
        <w:t xml:space="preserve"> is </w:t>
      </w:r>
      <w:r w:rsidR="00943C2A">
        <w:rPr>
          <w:rFonts w:cs="Arial"/>
          <w:color w:val="000000"/>
          <w:szCs w:val="20"/>
          <w:lang w:eastAsia="en-GB"/>
        </w:rPr>
        <w:t xml:space="preserve">therefore </w:t>
      </w:r>
      <w:r w:rsidR="00BE56E7">
        <w:rPr>
          <w:rFonts w:cs="Arial"/>
          <w:color w:val="000000"/>
          <w:szCs w:val="20"/>
          <w:lang w:eastAsia="en-GB"/>
        </w:rPr>
        <w:t xml:space="preserve">not </w:t>
      </w:r>
      <w:r w:rsidR="00943C2A">
        <w:rPr>
          <w:rFonts w:cs="Arial"/>
          <w:color w:val="000000"/>
          <w:szCs w:val="20"/>
          <w:lang w:eastAsia="en-GB"/>
        </w:rPr>
        <w:t>a direct function</w:t>
      </w:r>
      <w:r w:rsidR="00C452E5">
        <w:rPr>
          <w:rFonts w:cs="Arial"/>
          <w:color w:val="000000"/>
          <w:szCs w:val="20"/>
          <w:lang w:eastAsia="en-GB"/>
        </w:rPr>
        <w:t xml:space="preserve"> </w:t>
      </w:r>
      <w:r w:rsidR="00943C2A">
        <w:rPr>
          <w:rFonts w:cs="Arial"/>
          <w:color w:val="000000"/>
          <w:szCs w:val="20"/>
          <w:lang w:eastAsia="en-GB"/>
        </w:rPr>
        <w:t>of</w:t>
      </w:r>
      <w:r w:rsidR="00BE56E7">
        <w:rPr>
          <w:rFonts w:cs="Arial"/>
          <w:color w:val="000000"/>
          <w:szCs w:val="20"/>
          <w:lang w:eastAsia="en-GB"/>
        </w:rPr>
        <w:t xml:space="preserve"> the value of the underlying index and it is not possible to extract or isolate the underlying index value from knowledge of the current </w:t>
      </w:r>
      <w:r w:rsidR="00D51C98">
        <w:rPr>
          <w:rFonts w:cs="Arial"/>
          <w:color w:val="000000"/>
          <w:szCs w:val="20"/>
          <w:lang w:eastAsia="en-GB"/>
        </w:rPr>
        <w:t>(</w:t>
      </w:r>
      <w:r w:rsidR="00BE56E7">
        <w:rPr>
          <w:rFonts w:cs="Arial"/>
          <w:color w:val="000000"/>
          <w:szCs w:val="20"/>
          <w:lang w:eastAsia="en-GB"/>
        </w:rPr>
        <w:t>or any historic</w:t>
      </w:r>
      <w:r w:rsidR="00D51C98">
        <w:rPr>
          <w:rFonts w:cs="Arial"/>
          <w:color w:val="000000"/>
          <w:szCs w:val="20"/>
          <w:lang w:eastAsia="en-GB"/>
        </w:rPr>
        <w:t>)</w:t>
      </w:r>
      <w:r w:rsidR="00BE56E7">
        <w:rPr>
          <w:rFonts w:cs="Arial"/>
          <w:color w:val="000000"/>
          <w:szCs w:val="20"/>
          <w:lang w:eastAsia="en-GB"/>
        </w:rPr>
        <w:t xml:space="preserve"> value of the </w:t>
      </w:r>
      <w:r w:rsidR="002415B3">
        <w:rPr>
          <w:rFonts w:cs="Arial"/>
          <w:color w:val="000000"/>
          <w:szCs w:val="20"/>
          <w:lang w:eastAsia="en-GB"/>
        </w:rPr>
        <w:t xml:space="preserve">commodity </w:t>
      </w:r>
      <w:r w:rsidR="00BE56E7">
        <w:rPr>
          <w:rFonts w:cs="Arial"/>
          <w:color w:val="000000"/>
          <w:szCs w:val="20"/>
          <w:lang w:eastAsia="en-GB"/>
        </w:rPr>
        <w:t>ETD.</w:t>
      </w:r>
      <w:r w:rsidR="00D257F8" w:rsidRPr="00D257F8">
        <w:rPr>
          <w:rFonts w:cs="Arial"/>
          <w:color w:val="000000"/>
          <w:szCs w:val="20"/>
          <w:lang w:eastAsia="en-GB"/>
        </w:rPr>
        <w:t xml:space="preserve"> </w:t>
      </w:r>
      <w:r w:rsidR="00D257F8">
        <w:rPr>
          <w:rFonts w:cs="Arial"/>
          <w:color w:val="000000"/>
          <w:szCs w:val="20"/>
          <w:lang w:eastAsia="en-GB"/>
        </w:rPr>
        <w:t>Nor</w:t>
      </w:r>
      <w:r w:rsidR="00943C2A">
        <w:rPr>
          <w:rFonts w:cs="Arial"/>
          <w:color w:val="000000"/>
          <w:szCs w:val="20"/>
          <w:lang w:eastAsia="en-GB"/>
        </w:rPr>
        <w:t>, similarly,</w:t>
      </w:r>
      <w:r w:rsidR="00D257F8">
        <w:rPr>
          <w:rFonts w:cs="Arial"/>
          <w:color w:val="000000"/>
          <w:szCs w:val="20"/>
          <w:lang w:eastAsia="en-GB"/>
        </w:rPr>
        <w:t xml:space="preserve"> can the underlying index value be extracted from knowledge of an option strike price or a differential.</w:t>
      </w:r>
    </w:p>
    <w:p w:rsidR="00BE56E7" w:rsidRDefault="00BE56E7" w:rsidP="001B5665">
      <w:pPr>
        <w:autoSpaceDE w:val="0"/>
        <w:autoSpaceDN w:val="0"/>
        <w:adjustRightInd w:val="0"/>
        <w:rPr>
          <w:rFonts w:cs="Arial"/>
          <w:color w:val="000000"/>
          <w:szCs w:val="20"/>
          <w:lang w:eastAsia="en-GB"/>
        </w:rPr>
      </w:pPr>
    </w:p>
    <w:p w:rsidR="00BE56E7" w:rsidRDefault="00BE56E7" w:rsidP="001B5665">
      <w:pPr>
        <w:autoSpaceDE w:val="0"/>
        <w:autoSpaceDN w:val="0"/>
        <w:adjustRightInd w:val="0"/>
        <w:rPr>
          <w:rFonts w:cs="Arial"/>
          <w:color w:val="000000"/>
          <w:szCs w:val="20"/>
          <w:lang w:eastAsia="en-GB"/>
        </w:rPr>
      </w:pPr>
      <w:r>
        <w:rPr>
          <w:rFonts w:cs="Arial"/>
          <w:color w:val="000000"/>
          <w:szCs w:val="20"/>
          <w:lang w:eastAsia="en-GB"/>
        </w:rPr>
        <w:t xml:space="preserve">In the special case of the point of expiry of the </w:t>
      </w:r>
      <w:r w:rsidR="002415B3">
        <w:rPr>
          <w:rFonts w:cs="Arial"/>
          <w:color w:val="000000"/>
          <w:szCs w:val="20"/>
          <w:lang w:eastAsia="en-GB"/>
        </w:rPr>
        <w:t xml:space="preserve">commodity </w:t>
      </w:r>
      <w:r>
        <w:rPr>
          <w:rFonts w:cs="Arial"/>
          <w:color w:val="000000"/>
          <w:szCs w:val="20"/>
          <w:lang w:eastAsia="en-GB"/>
        </w:rPr>
        <w:t>ETD, there should in principle at th</w:t>
      </w:r>
      <w:r w:rsidR="006E0EA4">
        <w:rPr>
          <w:rFonts w:cs="Arial"/>
          <w:color w:val="000000"/>
          <w:szCs w:val="20"/>
          <w:lang w:eastAsia="en-GB"/>
        </w:rPr>
        <w:t>at</w:t>
      </w:r>
      <w:r>
        <w:rPr>
          <w:rFonts w:cs="Arial"/>
          <w:color w:val="000000"/>
          <w:szCs w:val="20"/>
          <w:lang w:eastAsia="en-GB"/>
        </w:rPr>
        <w:t xml:space="preserve"> moment be convergence between the </w:t>
      </w:r>
      <w:r w:rsidR="00B03CC9">
        <w:rPr>
          <w:rFonts w:cs="Arial"/>
          <w:color w:val="000000"/>
          <w:szCs w:val="20"/>
          <w:lang w:eastAsia="en-GB"/>
        </w:rPr>
        <w:t xml:space="preserve">market </w:t>
      </w:r>
      <w:r w:rsidR="00D257F8">
        <w:rPr>
          <w:rFonts w:cs="Arial"/>
          <w:color w:val="000000"/>
          <w:szCs w:val="20"/>
          <w:lang w:eastAsia="en-GB"/>
        </w:rPr>
        <w:t xml:space="preserve">value of the </w:t>
      </w:r>
      <w:r>
        <w:rPr>
          <w:rFonts w:cs="Arial"/>
          <w:color w:val="000000"/>
          <w:szCs w:val="20"/>
          <w:lang w:eastAsia="en-GB"/>
        </w:rPr>
        <w:t>ETD and the underlying index</w:t>
      </w:r>
      <w:r w:rsidR="00D257F8">
        <w:rPr>
          <w:rFonts w:cs="Arial"/>
          <w:color w:val="000000"/>
          <w:szCs w:val="20"/>
          <w:lang w:eastAsia="en-GB"/>
        </w:rPr>
        <w:t xml:space="preserve"> value</w:t>
      </w:r>
      <w:r>
        <w:rPr>
          <w:rFonts w:cs="Arial"/>
          <w:color w:val="000000"/>
          <w:szCs w:val="20"/>
          <w:lang w:eastAsia="en-GB"/>
        </w:rPr>
        <w:t>. However this is only a ‘moment in time’ convergence and in any case there may still not be absolute convergence in practice even at expiry due to frictional effects.</w:t>
      </w:r>
    </w:p>
    <w:p w:rsidR="00BE56E7" w:rsidRDefault="00BE56E7" w:rsidP="001B5665">
      <w:pPr>
        <w:autoSpaceDE w:val="0"/>
        <w:autoSpaceDN w:val="0"/>
        <w:adjustRightInd w:val="0"/>
        <w:rPr>
          <w:rFonts w:cs="Arial"/>
          <w:color w:val="000000"/>
          <w:szCs w:val="20"/>
          <w:lang w:eastAsia="en-GB"/>
        </w:rPr>
      </w:pPr>
    </w:p>
    <w:p w:rsidR="00D257F8" w:rsidRDefault="00BE56E7" w:rsidP="00D257F8">
      <w:pPr>
        <w:autoSpaceDE w:val="0"/>
        <w:autoSpaceDN w:val="0"/>
        <w:adjustRightInd w:val="0"/>
        <w:rPr>
          <w:rFonts w:cs="Arial"/>
          <w:color w:val="000000"/>
          <w:szCs w:val="20"/>
          <w:lang w:eastAsia="en-GB"/>
        </w:rPr>
      </w:pPr>
      <w:r>
        <w:rPr>
          <w:rFonts w:cs="Arial"/>
          <w:color w:val="000000"/>
          <w:szCs w:val="20"/>
          <w:lang w:eastAsia="en-GB"/>
        </w:rPr>
        <w:t xml:space="preserve">Therefore it cannot be assumed, and it is generally not the case, that </w:t>
      </w:r>
      <w:r w:rsidR="00D51C98">
        <w:rPr>
          <w:rFonts w:cs="Arial"/>
          <w:color w:val="000000"/>
          <w:szCs w:val="20"/>
          <w:lang w:eastAsia="en-GB"/>
        </w:rPr>
        <w:t xml:space="preserve">knowledge of or </w:t>
      </w:r>
      <w:r>
        <w:rPr>
          <w:rFonts w:cs="Arial"/>
          <w:color w:val="000000"/>
          <w:szCs w:val="20"/>
          <w:lang w:eastAsia="en-GB"/>
        </w:rPr>
        <w:t>access to the value of a financial instrument referenc</w:t>
      </w:r>
      <w:r w:rsidR="00D257F8">
        <w:rPr>
          <w:rFonts w:cs="Arial"/>
          <w:color w:val="000000"/>
          <w:szCs w:val="20"/>
          <w:lang w:eastAsia="en-GB"/>
        </w:rPr>
        <w:t>ing</w:t>
      </w:r>
      <w:r>
        <w:rPr>
          <w:rFonts w:cs="Arial"/>
          <w:color w:val="000000"/>
          <w:szCs w:val="20"/>
          <w:lang w:eastAsia="en-GB"/>
        </w:rPr>
        <w:t xml:space="preserve"> </w:t>
      </w:r>
      <w:r w:rsidR="00B03CC9">
        <w:rPr>
          <w:rFonts w:cs="Arial"/>
          <w:color w:val="000000"/>
          <w:szCs w:val="20"/>
          <w:lang w:eastAsia="en-GB"/>
        </w:rPr>
        <w:t>in</w:t>
      </w:r>
      <w:r>
        <w:rPr>
          <w:rFonts w:cs="Arial"/>
          <w:color w:val="000000"/>
          <w:szCs w:val="20"/>
          <w:lang w:eastAsia="en-GB"/>
        </w:rPr>
        <w:t xml:space="preserve"> final settlement a particular underlying index </w:t>
      </w:r>
      <w:r w:rsidR="00943C2A">
        <w:rPr>
          <w:rFonts w:cs="Arial"/>
          <w:color w:val="000000"/>
          <w:szCs w:val="20"/>
          <w:lang w:eastAsia="en-GB"/>
        </w:rPr>
        <w:t>(</w:t>
      </w:r>
      <w:proofErr w:type="spellStart"/>
      <w:r w:rsidR="00943C2A">
        <w:rPr>
          <w:rFonts w:cs="Arial"/>
          <w:color w:val="000000"/>
          <w:szCs w:val="20"/>
          <w:lang w:eastAsia="en-GB"/>
        </w:rPr>
        <w:t>eg</w:t>
      </w:r>
      <w:proofErr w:type="spellEnd"/>
      <w:r w:rsidR="00943C2A">
        <w:rPr>
          <w:rFonts w:cs="Arial"/>
          <w:color w:val="000000"/>
          <w:szCs w:val="20"/>
          <w:lang w:eastAsia="en-GB"/>
        </w:rPr>
        <w:t xml:space="preserve"> </w:t>
      </w:r>
      <w:r w:rsidR="00523C0B">
        <w:rPr>
          <w:rFonts w:cs="Arial"/>
          <w:color w:val="000000"/>
          <w:szCs w:val="20"/>
          <w:lang w:eastAsia="en-GB"/>
        </w:rPr>
        <w:t xml:space="preserve">a </w:t>
      </w:r>
      <w:r w:rsidR="00943C2A">
        <w:rPr>
          <w:rFonts w:cs="Arial"/>
          <w:color w:val="000000"/>
          <w:szCs w:val="20"/>
          <w:lang w:eastAsia="en-GB"/>
        </w:rPr>
        <w:t xml:space="preserve">physical </w:t>
      </w:r>
      <w:r w:rsidR="00523C0B">
        <w:rPr>
          <w:rFonts w:cs="Arial"/>
          <w:color w:val="000000"/>
          <w:szCs w:val="20"/>
          <w:lang w:eastAsia="en-GB"/>
        </w:rPr>
        <w:t>co</w:t>
      </w:r>
      <w:r w:rsidR="00523C0B">
        <w:rPr>
          <w:rFonts w:cs="Arial"/>
          <w:color w:val="000000"/>
          <w:szCs w:val="20"/>
          <w:lang w:eastAsia="en-GB"/>
        </w:rPr>
        <w:t>m</w:t>
      </w:r>
      <w:r w:rsidR="00523C0B">
        <w:rPr>
          <w:rFonts w:cs="Arial"/>
          <w:color w:val="000000"/>
          <w:szCs w:val="20"/>
          <w:lang w:eastAsia="en-GB"/>
        </w:rPr>
        <w:t xml:space="preserve">modity </w:t>
      </w:r>
      <w:r w:rsidR="00943C2A">
        <w:rPr>
          <w:rFonts w:cs="Arial"/>
          <w:color w:val="000000"/>
          <w:szCs w:val="20"/>
          <w:lang w:eastAsia="en-GB"/>
        </w:rPr>
        <w:t xml:space="preserve">market price produced by a PRA) </w:t>
      </w:r>
      <w:r>
        <w:rPr>
          <w:rFonts w:cs="Arial"/>
          <w:color w:val="000000"/>
          <w:szCs w:val="20"/>
          <w:lang w:eastAsia="en-GB"/>
        </w:rPr>
        <w:t xml:space="preserve">provides a person with </w:t>
      </w:r>
      <w:r w:rsidR="00D51C98">
        <w:rPr>
          <w:rFonts w:cs="Arial"/>
          <w:color w:val="000000"/>
          <w:szCs w:val="20"/>
          <w:lang w:eastAsia="en-GB"/>
        </w:rPr>
        <w:t xml:space="preserve">ongoing </w:t>
      </w:r>
      <w:r>
        <w:rPr>
          <w:rFonts w:cs="Arial"/>
          <w:color w:val="000000"/>
          <w:szCs w:val="20"/>
          <w:lang w:eastAsia="en-GB"/>
        </w:rPr>
        <w:t>access to the value of the unde</w:t>
      </w:r>
      <w:r>
        <w:rPr>
          <w:rFonts w:cs="Arial"/>
          <w:color w:val="000000"/>
          <w:szCs w:val="20"/>
          <w:lang w:eastAsia="en-GB"/>
        </w:rPr>
        <w:t>r</w:t>
      </w:r>
      <w:r>
        <w:rPr>
          <w:rFonts w:cs="Arial"/>
          <w:color w:val="000000"/>
          <w:szCs w:val="20"/>
          <w:lang w:eastAsia="en-GB"/>
        </w:rPr>
        <w:t>lying index itself.</w:t>
      </w:r>
      <w:r w:rsidR="00D257F8">
        <w:rPr>
          <w:rFonts w:cs="Arial"/>
          <w:color w:val="000000"/>
          <w:szCs w:val="20"/>
          <w:lang w:eastAsia="en-GB"/>
        </w:rPr>
        <w:t xml:space="preserve"> </w:t>
      </w:r>
      <w:r w:rsidR="00BE1EE6">
        <w:rPr>
          <w:rFonts w:cs="Arial"/>
          <w:color w:val="000000"/>
          <w:szCs w:val="20"/>
          <w:lang w:eastAsia="en-GB"/>
        </w:rPr>
        <w:t>Similarly, n</w:t>
      </w:r>
      <w:r w:rsidR="00D257F8">
        <w:rPr>
          <w:rFonts w:cs="Arial"/>
          <w:color w:val="000000"/>
          <w:szCs w:val="20"/>
          <w:lang w:eastAsia="en-GB"/>
        </w:rPr>
        <w:t>or does knowledge of a</w:t>
      </w:r>
      <w:r w:rsidR="002415B3" w:rsidRPr="002415B3">
        <w:rPr>
          <w:rFonts w:cs="Arial"/>
          <w:color w:val="000000"/>
          <w:szCs w:val="20"/>
          <w:lang w:eastAsia="en-GB"/>
        </w:rPr>
        <w:t xml:space="preserve"> </w:t>
      </w:r>
      <w:r w:rsidR="002415B3">
        <w:rPr>
          <w:rFonts w:cs="Arial"/>
          <w:color w:val="000000"/>
          <w:szCs w:val="20"/>
          <w:lang w:eastAsia="en-GB"/>
        </w:rPr>
        <w:t xml:space="preserve">commodity </w:t>
      </w:r>
      <w:r w:rsidR="00D257F8">
        <w:rPr>
          <w:rFonts w:cs="Arial"/>
          <w:color w:val="000000"/>
          <w:szCs w:val="20"/>
          <w:lang w:eastAsia="en-GB"/>
        </w:rPr>
        <w:t>ETD option strike price or a differential.</w:t>
      </w:r>
      <w:r w:rsidR="00DD6CE8">
        <w:rPr>
          <w:rFonts w:cs="Arial"/>
          <w:color w:val="000000"/>
          <w:szCs w:val="20"/>
          <w:lang w:eastAsia="en-GB"/>
        </w:rPr>
        <w:t xml:space="preserve"> In other words, a person’s access to </w:t>
      </w:r>
      <w:r w:rsidR="00DD6CE8" w:rsidRPr="001B5665">
        <w:rPr>
          <w:rFonts w:cs="Arial"/>
          <w:color w:val="000000"/>
          <w:szCs w:val="20"/>
          <w:lang w:eastAsia="en-GB"/>
        </w:rPr>
        <w:t>strike prices, differentials and values of financial instruments</w:t>
      </w:r>
      <w:r w:rsidR="00DD6CE8">
        <w:rPr>
          <w:rFonts w:cs="Arial"/>
          <w:color w:val="000000"/>
          <w:szCs w:val="20"/>
          <w:lang w:eastAsia="en-GB"/>
        </w:rPr>
        <w:t xml:space="preserve"> does not mean that the underlying index is</w:t>
      </w:r>
      <w:r w:rsidR="007314CF" w:rsidRPr="007314CF">
        <w:rPr>
          <w:rFonts w:cs="Arial"/>
          <w:color w:val="000000"/>
          <w:szCs w:val="20"/>
          <w:lang w:eastAsia="en-GB"/>
        </w:rPr>
        <w:t xml:space="preserve"> </w:t>
      </w:r>
      <w:r w:rsidR="00D417A2">
        <w:rPr>
          <w:rFonts w:cs="Arial"/>
          <w:color w:val="000000"/>
          <w:szCs w:val="20"/>
          <w:lang w:eastAsia="en-GB"/>
        </w:rPr>
        <w:t xml:space="preserve">in consequence </w:t>
      </w:r>
      <w:r w:rsidR="007314CF">
        <w:rPr>
          <w:rFonts w:cs="Arial"/>
          <w:color w:val="000000"/>
          <w:szCs w:val="20"/>
          <w:lang w:eastAsia="en-GB"/>
        </w:rPr>
        <w:t>necessarily</w:t>
      </w:r>
      <w:r w:rsidR="00DD6CE8">
        <w:rPr>
          <w:rFonts w:cs="Arial"/>
          <w:color w:val="000000"/>
          <w:szCs w:val="20"/>
          <w:lang w:eastAsia="en-GB"/>
        </w:rPr>
        <w:t xml:space="preserve"> made available to that person.</w:t>
      </w:r>
    </w:p>
    <w:p w:rsidR="00BE56E7" w:rsidRDefault="00BE56E7" w:rsidP="001B5665">
      <w:pPr>
        <w:autoSpaceDE w:val="0"/>
        <w:autoSpaceDN w:val="0"/>
        <w:adjustRightInd w:val="0"/>
        <w:rPr>
          <w:rFonts w:cs="Arial"/>
          <w:color w:val="000000"/>
          <w:szCs w:val="20"/>
          <w:lang w:eastAsia="en-GB"/>
        </w:rPr>
      </w:pPr>
    </w:p>
    <w:p w:rsidR="00BE56E7" w:rsidRDefault="00BE56E7" w:rsidP="001B5665">
      <w:pPr>
        <w:autoSpaceDE w:val="0"/>
        <w:autoSpaceDN w:val="0"/>
        <w:adjustRightInd w:val="0"/>
        <w:rPr>
          <w:rFonts w:cs="Arial"/>
          <w:color w:val="000000"/>
          <w:szCs w:val="20"/>
          <w:lang w:eastAsia="en-GB"/>
        </w:rPr>
      </w:pPr>
      <w:r>
        <w:rPr>
          <w:rFonts w:cs="Arial"/>
          <w:color w:val="000000"/>
          <w:szCs w:val="20"/>
          <w:lang w:eastAsia="en-GB"/>
        </w:rPr>
        <w:t xml:space="preserve">Argus therefore invites </w:t>
      </w:r>
      <w:proofErr w:type="spellStart"/>
      <w:r>
        <w:rPr>
          <w:rFonts w:cs="Arial"/>
          <w:color w:val="000000"/>
          <w:szCs w:val="20"/>
          <w:lang w:eastAsia="en-GB"/>
        </w:rPr>
        <w:t>ESMA</w:t>
      </w:r>
      <w:proofErr w:type="spellEnd"/>
      <w:r>
        <w:rPr>
          <w:rFonts w:cs="Arial"/>
          <w:color w:val="000000"/>
          <w:szCs w:val="20"/>
          <w:lang w:eastAsia="en-GB"/>
        </w:rPr>
        <w:t xml:space="preserve"> to reflect further on this </w:t>
      </w:r>
      <w:r w:rsidR="00D51C98">
        <w:rPr>
          <w:rFonts w:cs="Arial"/>
          <w:color w:val="000000"/>
          <w:szCs w:val="20"/>
          <w:lang w:eastAsia="en-GB"/>
        </w:rPr>
        <w:t xml:space="preserve">point and its </w:t>
      </w:r>
      <w:r w:rsidRPr="001B5665">
        <w:rPr>
          <w:szCs w:val="20"/>
        </w:rPr>
        <w:t>draft Technical Advice regarding “ma</w:t>
      </w:r>
      <w:r w:rsidRPr="001B5665">
        <w:rPr>
          <w:szCs w:val="20"/>
        </w:rPr>
        <w:t>k</w:t>
      </w:r>
      <w:r w:rsidRPr="001B5665">
        <w:rPr>
          <w:szCs w:val="20"/>
        </w:rPr>
        <w:t>ing available to the public”</w:t>
      </w:r>
      <w:r w:rsidR="00D51C98">
        <w:rPr>
          <w:szCs w:val="20"/>
        </w:rPr>
        <w:t>, particular</w:t>
      </w:r>
      <w:r w:rsidR="00C452E5">
        <w:rPr>
          <w:szCs w:val="20"/>
        </w:rPr>
        <w:t>ly</w:t>
      </w:r>
      <w:r w:rsidR="00D51C98">
        <w:rPr>
          <w:szCs w:val="20"/>
        </w:rPr>
        <w:t xml:space="preserve"> </w:t>
      </w:r>
      <w:r w:rsidR="00D257F8">
        <w:rPr>
          <w:szCs w:val="20"/>
        </w:rPr>
        <w:t xml:space="preserve">the last clause of </w:t>
      </w:r>
      <w:r w:rsidR="00D51C98">
        <w:rPr>
          <w:szCs w:val="20"/>
        </w:rPr>
        <w:t xml:space="preserve">paragraph 2 of the draft </w:t>
      </w:r>
      <w:r w:rsidR="00D51C98" w:rsidRPr="001B5665">
        <w:rPr>
          <w:szCs w:val="20"/>
        </w:rPr>
        <w:t>Technical Advice</w:t>
      </w:r>
      <w:r>
        <w:rPr>
          <w:szCs w:val="20"/>
        </w:rPr>
        <w:t>.</w:t>
      </w:r>
    </w:p>
    <w:permEnd w:id="2147357513"/>
    <w:p w:rsidR="009A2624" w:rsidRDefault="00665C07" w:rsidP="009A2624">
      <w:r>
        <w:t>&lt;ESMA_QUESTION_C</w:t>
      </w:r>
      <w:r w:rsidR="009A2624">
        <w:t>P_BMR_1&gt;</w:t>
      </w:r>
    </w:p>
    <w:p w:rsidR="009A2624" w:rsidRDefault="009A2624" w:rsidP="009A2624"/>
    <w:p w:rsidR="009A2624" w:rsidRPr="007F44BF" w:rsidRDefault="00990FF9" w:rsidP="002342EC">
      <w:pPr>
        <w:pStyle w:val="Questionstyle"/>
      </w:pPr>
      <w:r w:rsidRPr="00990FF9">
        <w:rPr>
          <w:lang w:val="en-US"/>
        </w:rPr>
        <w:t xml:space="preserve">Do you agree with the proposed specification of what constitutes </w:t>
      </w:r>
      <w:r w:rsidRPr="00990FF9">
        <w:rPr>
          <w:i/>
          <w:lang w:val="en-US"/>
        </w:rPr>
        <w:t>administering the arrang</w:t>
      </w:r>
      <w:r w:rsidRPr="00990FF9">
        <w:rPr>
          <w:i/>
          <w:lang w:val="en-US"/>
        </w:rPr>
        <w:t>e</w:t>
      </w:r>
      <w:r w:rsidRPr="00990FF9">
        <w:rPr>
          <w:i/>
          <w:lang w:val="en-US"/>
        </w:rPr>
        <w:t>ments for determining a benchmark</w:t>
      </w:r>
      <w:r w:rsidR="009A2624" w:rsidRPr="007F44BF">
        <w:t>?</w:t>
      </w:r>
    </w:p>
    <w:p w:rsidR="009A2624" w:rsidRDefault="00665C07" w:rsidP="009A2624">
      <w:r>
        <w:t>&lt;ESMA_QUESTION_C</w:t>
      </w:r>
      <w:r w:rsidR="009A2624">
        <w:t>P_BMR_2&gt;</w:t>
      </w:r>
    </w:p>
    <w:p w:rsidR="009A2624" w:rsidRPr="00EF1FF1" w:rsidRDefault="00925BCD" w:rsidP="009A2624">
      <w:permStart w:id="126974150" w:edGrp="everyone"/>
      <w:r w:rsidRPr="00EF1FF1">
        <w:t>Yes</w:t>
      </w:r>
      <w:r w:rsidR="00EF1FF1">
        <w:t xml:space="preserve">, Argus supports </w:t>
      </w:r>
      <w:proofErr w:type="spellStart"/>
      <w:r w:rsidR="00EF1FF1">
        <w:t>ESMA’s</w:t>
      </w:r>
      <w:proofErr w:type="spellEnd"/>
      <w:r w:rsidR="00EF1FF1">
        <w:t xml:space="preserve"> proposed approach.</w:t>
      </w:r>
    </w:p>
    <w:permEnd w:id="126974150"/>
    <w:p w:rsidR="009A2624" w:rsidRDefault="00665C07" w:rsidP="009A2624">
      <w:r>
        <w:t>&lt;ESMA_QUESTION_C</w:t>
      </w:r>
      <w:r w:rsidR="009A2624">
        <w:t>P_BMR_2&gt;</w:t>
      </w:r>
    </w:p>
    <w:p w:rsidR="009A2624" w:rsidRDefault="009A2624" w:rsidP="009A2624"/>
    <w:p w:rsidR="009A2624" w:rsidRDefault="00990FF9" w:rsidP="00990FF9">
      <w:pPr>
        <w:pStyle w:val="Questionstyle"/>
        <w:rPr>
          <w:rFonts w:cstheme="minorHAnsi"/>
        </w:rPr>
      </w:pPr>
      <w:r w:rsidRPr="00990FF9">
        <w:t>Do you agree that the ‘use of a benchmark’ in derivatives that are traded on trading venues and/or systematic internalisers is linked to the determination of the amount payable under the said derivatives for any relevant purpose (trading, clearing, margining, …)?</w:t>
      </w:r>
    </w:p>
    <w:p w:rsidR="009A2624" w:rsidRDefault="00665C07" w:rsidP="009A2624">
      <w:r>
        <w:t>&lt;ESMA_QUESTION_C</w:t>
      </w:r>
      <w:r w:rsidR="009A2624">
        <w:t>P_BMR_3&gt;</w:t>
      </w:r>
    </w:p>
    <w:p w:rsidR="009A2624" w:rsidRDefault="00EE60A0" w:rsidP="009A2624">
      <w:permStart w:id="845574122" w:edGrp="everyone"/>
      <w:proofErr w:type="gramStart"/>
      <w:r>
        <w:lastRenderedPageBreak/>
        <w:t xml:space="preserve">As a preliminary point Argus would like to express its appreciation to </w:t>
      </w:r>
      <w:proofErr w:type="spellStart"/>
      <w:r>
        <w:t>ESMA</w:t>
      </w:r>
      <w:proofErr w:type="spellEnd"/>
      <w:r>
        <w:t xml:space="preserve"> for the clarification provided in CP paragraph 51.</w:t>
      </w:r>
      <w:proofErr w:type="gramEnd"/>
    </w:p>
    <w:p w:rsidR="00EE60A0" w:rsidRDefault="00EE60A0" w:rsidP="009A2624"/>
    <w:p w:rsidR="00EE60A0" w:rsidRDefault="00EE60A0" w:rsidP="00496FC9">
      <w:r>
        <w:t>Regarding ‘use of a ben</w:t>
      </w:r>
      <w:r w:rsidR="00AD3455">
        <w:t>c</w:t>
      </w:r>
      <w:r>
        <w:t xml:space="preserve">hmark’ in respect of </w:t>
      </w:r>
      <w:r w:rsidR="00AD3455">
        <w:t xml:space="preserve">exchange-traded derivatives (ETDs), Argus agrees that ‘use’ </w:t>
      </w:r>
      <w:r w:rsidR="00D417A2">
        <w:t>directly relates t</w:t>
      </w:r>
      <w:r w:rsidR="00AD3455">
        <w:t>o the determination of final amount payable under the derivative contract. This is</w:t>
      </w:r>
      <w:r w:rsidR="00BB4430">
        <w:t>,</w:t>
      </w:r>
      <w:r w:rsidR="00AD3455">
        <w:t xml:space="preserve"> </w:t>
      </w:r>
      <w:r w:rsidR="00BB4430">
        <w:t xml:space="preserve">in effect </w:t>
      </w:r>
      <w:r w:rsidR="00AD3455">
        <w:t>by definition</w:t>
      </w:r>
      <w:r w:rsidR="00BB4430">
        <w:t>,</w:t>
      </w:r>
      <w:r w:rsidR="00AD3455">
        <w:t xml:space="preserve"> precisely the way in which a benchmark is incorporated into the cont</w:t>
      </w:r>
      <w:r w:rsidR="00B03CC9">
        <w:t>r</w:t>
      </w:r>
      <w:r w:rsidR="00AD3455">
        <w:t>act design of the ETD.</w:t>
      </w:r>
      <w:r w:rsidR="00496FC9">
        <w:t xml:space="preserve"> In our view this </w:t>
      </w:r>
      <w:proofErr w:type="gramStart"/>
      <w:r w:rsidR="00496FC9">
        <w:t>falls</w:t>
      </w:r>
      <w:proofErr w:type="gramEnd"/>
      <w:r w:rsidR="00496FC9">
        <w:t xml:space="preserve"> full-square into limb (b) of the level 1 definition of ‘use of a benchmark’: “determination of the amount payable under a financial instrument or a financial contract by referencing an index or a combination of indices”.</w:t>
      </w:r>
    </w:p>
    <w:p w:rsidR="00AD3455" w:rsidRDefault="00AD3455" w:rsidP="009A2624"/>
    <w:p w:rsidR="00AD3455" w:rsidRDefault="00AD3455" w:rsidP="007D4B97">
      <w:r>
        <w:t>In this context</w:t>
      </w:r>
      <w:r w:rsidR="008F4F8A">
        <w:t xml:space="preserve"> </w:t>
      </w:r>
      <w:r w:rsidR="007D4B97">
        <w:t xml:space="preserve">and in view of the discussion </w:t>
      </w:r>
      <w:r w:rsidR="00496FC9">
        <w:t>at</w:t>
      </w:r>
      <w:r w:rsidR="007D4B97">
        <w:t xml:space="preserve"> our response to Question 1, </w:t>
      </w:r>
      <w:r>
        <w:t xml:space="preserve">Argus would </w:t>
      </w:r>
      <w:r w:rsidR="007D4B97">
        <w:t xml:space="preserve">like to point out that </w:t>
      </w:r>
      <w:r w:rsidR="007314CF">
        <w:t xml:space="preserve">we do not believe </w:t>
      </w:r>
      <w:r w:rsidR="007D4B97">
        <w:t>CP paragraph 49 is fully correct. Th</w:t>
      </w:r>
      <w:r w:rsidR="00496FC9">
        <w:t>e</w:t>
      </w:r>
      <w:r w:rsidR="007D4B97">
        <w:t xml:space="preserve"> paragraph </w:t>
      </w:r>
      <w:r w:rsidR="00C446EB">
        <w:t>says</w:t>
      </w:r>
      <w:r w:rsidR="007D4B97">
        <w:t xml:space="preserve"> that “When engineering the terms of a financial derivatives contract that makes reference to a benchmark, either for the purpose of its trading or of its clearing, that benchmark effectively determines the amount payable under the said instr</w:t>
      </w:r>
      <w:r w:rsidR="007D4B97">
        <w:t>u</w:t>
      </w:r>
      <w:r w:rsidR="007D4B97">
        <w:t xml:space="preserve">ment, </w:t>
      </w:r>
      <w:r w:rsidR="007D4B97" w:rsidRPr="00496FC9">
        <w:rPr>
          <w:u w:val="single"/>
        </w:rPr>
        <w:t>not only at the time of its first creation or offering but whenever it is traded or cleared, including when the outstanding positions in such derivatives are margined</w:t>
      </w:r>
      <w:r w:rsidR="007D4B97">
        <w:t>.” (</w:t>
      </w:r>
      <w:proofErr w:type="gramStart"/>
      <w:r w:rsidR="007D4B97">
        <w:t>emphasis</w:t>
      </w:r>
      <w:proofErr w:type="gramEnd"/>
      <w:r w:rsidR="007D4B97">
        <w:t xml:space="preserve"> added)</w:t>
      </w:r>
    </w:p>
    <w:p w:rsidR="007D4B97" w:rsidRDefault="007D4B97" w:rsidP="007D4B97"/>
    <w:p w:rsidR="007D4B97" w:rsidRDefault="007D4B97" w:rsidP="007D4B97">
      <w:pPr>
        <w:rPr>
          <w:rFonts w:cs="Arial"/>
          <w:color w:val="000000"/>
          <w:szCs w:val="20"/>
          <w:lang w:eastAsia="en-GB"/>
        </w:rPr>
      </w:pPr>
      <w:r>
        <w:t xml:space="preserve">As discussed in our response to Question 1, the value of a commodity ETD </w:t>
      </w:r>
      <w:r w:rsidR="00496FC9">
        <w:t xml:space="preserve">— </w:t>
      </w:r>
      <w:proofErr w:type="spellStart"/>
      <w:r w:rsidR="00496FC9">
        <w:t>ie</w:t>
      </w:r>
      <w:proofErr w:type="spellEnd"/>
      <w:r w:rsidR="00496FC9">
        <w:t xml:space="preserve"> the </w:t>
      </w:r>
      <w:r w:rsidR="00F144C1">
        <w:t xml:space="preserve">contract’s </w:t>
      </w:r>
      <w:r w:rsidR="00496FC9">
        <w:t xml:space="preserve">current market value — </w:t>
      </w:r>
      <w:r>
        <w:t>at any time during its lifecycle other than at the moment of expiry is determined thr</w:t>
      </w:r>
      <w:r w:rsidR="006E4287">
        <w:t>o</w:t>
      </w:r>
      <w:r>
        <w:t xml:space="preserve">ugh the price discovery mechanism </w:t>
      </w:r>
      <w:r>
        <w:rPr>
          <w:rFonts w:cs="Arial"/>
          <w:color w:val="000000"/>
          <w:szCs w:val="20"/>
          <w:lang w:eastAsia="en-GB"/>
        </w:rPr>
        <w:t xml:space="preserve">on the trading venue through the interaction of buyers and sellers in order to establish the current market price of the derivative. Therefore the market value </w:t>
      </w:r>
      <w:r w:rsidR="00C446EB">
        <w:rPr>
          <w:rFonts w:cs="Arial"/>
          <w:color w:val="000000"/>
          <w:szCs w:val="20"/>
          <w:lang w:eastAsia="en-GB"/>
        </w:rPr>
        <w:t>during the active lifec</w:t>
      </w:r>
      <w:r w:rsidR="00C446EB">
        <w:rPr>
          <w:rFonts w:cs="Arial"/>
          <w:color w:val="000000"/>
          <w:szCs w:val="20"/>
          <w:lang w:eastAsia="en-GB"/>
        </w:rPr>
        <w:t>y</w:t>
      </w:r>
      <w:r w:rsidR="00C446EB">
        <w:rPr>
          <w:rFonts w:cs="Arial"/>
          <w:color w:val="000000"/>
          <w:szCs w:val="20"/>
          <w:lang w:eastAsia="en-GB"/>
        </w:rPr>
        <w:t xml:space="preserve">cle of </w:t>
      </w:r>
      <w:r>
        <w:rPr>
          <w:rFonts w:cs="Arial"/>
          <w:color w:val="000000"/>
          <w:szCs w:val="20"/>
          <w:lang w:eastAsia="en-GB"/>
        </w:rPr>
        <w:t xml:space="preserve">a commodity ETD is not </w:t>
      </w:r>
      <w:r w:rsidR="004F2F95">
        <w:rPr>
          <w:rFonts w:cs="Arial"/>
          <w:color w:val="000000"/>
          <w:szCs w:val="20"/>
          <w:lang w:eastAsia="en-GB"/>
        </w:rPr>
        <w:t xml:space="preserve">directly </w:t>
      </w:r>
      <w:r>
        <w:rPr>
          <w:rFonts w:cs="Arial"/>
          <w:color w:val="000000"/>
          <w:szCs w:val="20"/>
          <w:lang w:eastAsia="en-GB"/>
        </w:rPr>
        <w:t>determined by the value of the underlying index</w:t>
      </w:r>
      <w:r w:rsidR="000E277F">
        <w:rPr>
          <w:rFonts w:cs="Arial"/>
          <w:color w:val="000000"/>
          <w:szCs w:val="20"/>
          <w:lang w:eastAsia="en-GB"/>
        </w:rPr>
        <w:t>.</w:t>
      </w:r>
      <w:r>
        <w:rPr>
          <w:rFonts w:cs="Arial"/>
          <w:color w:val="000000"/>
          <w:szCs w:val="20"/>
          <w:lang w:eastAsia="en-GB"/>
        </w:rPr>
        <w:t xml:space="preserve"> This is certainly the case for</w:t>
      </w:r>
      <w:r w:rsidR="006E4287">
        <w:rPr>
          <w:rFonts w:cs="Arial"/>
          <w:color w:val="000000"/>
          <w:szCs w:val="20"/>
          <w:lang w:eastAsia="en-GB"/>
        </w:rPr>
        <w:t xml:space="preserve"> </w:t>
      </w:r>
      <w:r>
        <w:rPr>
          <w:rFonts w:cs="Arial"/>
          <w:color w:val="000000"/>
          <w:szCs w:val="20"/>
          <w:lang w:eastAsia="en-GB"/>
        </w:rPr>
        <w:t>commodity derivatives that use as a reference in final settlement a physical commodity price such as those produced by a price reporting agency (PRA).</w:t>
      </w:r>
    </w:p>
    <w:p w:rsidR="007D4B97" w:rsidRDefault="007D4B97" w:rsidP="007D4B97">
      <w:pPr>
        <w:rPr>
          <w:rFonts w:cs="Arial"/>
          <w:color w:val="000000"/>
          <w:szCs w:val="20"/>
          <w:lang w:eastAsia="en-GB"/>
        </w:rPr>
      </w:pPr>
    </w:p>
    <w:p w:rsidR="00A57E49" w:rsidRDefault="007D4B97" w:rsidP="007D4B97">
      <w:r>
        <w:rPr>
          <w:rFonts w:cs="Arial"/>
          <w:color w:val="000000"/>
          <w:szCs w:val="20"/>
          <w:lang w:eastAsia="en-GB"/>
        </w:rPr>
        <w:t>Similarly</w:t>
      </w:r>
      <w:r w:rsidR="00C446EB">
        <w:rPr>
          <w:rFonts w:cs="Arial"/>
          <w:color w:val="000000"/>
          <w:szCs w:val="20"/>
          <w:lang w:eastAsia="en-GB"/>
        </w:rPr>
        <w:t>,</w:t>
      </w:r>
      <w:r w:rsidR="006E4287">
        <w:rPr>
          <w:rFonts w:cs="Arial"/>
          <w:color w:val="000000"/>
          <w:szCs w:val="20"/>
          <w:lang w:eastAsia="en-GB"/>
        </w:rPr>
        <w:t xml:space="preserve"> </w:t>
      </w:r>
      <w:r>
        <w:rPr>
          <w:rFonts w:cs="Arial"/>
          <w:color w:val="000000"/>
          <w:szCs w:val="20"/>
          <w:lang w:eastAsia="en-GB"/>
        </w:rPr>
        <w:t>clearing</w:t>
      </w:r>
      <w:r w:rsidR="006E4287">
        <w:rPr>
          <w:rFonts w:cs="Arial"/>
          <w:color w:val="000000"/>
          <w:szCs w:val="20"/>
          <w:lang w:eastAsia="en-GB"/>
        </w:rPr>
        <w:t xml:space="preserve"> of such </w:t>
      </w:r>
      <w:r w:rsidR="00416341">
        <w:rPr>
          <w:rFonts w:cs="Arial"/>
          <w:color w:val="000000"/>
          <w:szCs w:val="20"/>
          <w:lang w:eastAsia="en-GB"/>
        </w:rPr>
        <w:t xml:space="preserve">a </w:t>
      </w:r>
      <w:r w:rsidR="006E4287">
        <w:rPr>
          <w:rFonts w:cs="Arial"/>
          <w:color w:val="000000"/>
          <w:szCs w:val="20"/>
          <w:lang w:eastAsia="en-GB"/>
        </w:rPr>
        <w:t>derivative,</w:t>
      </w:r>
      <w:r>
        <w:rPr>
          <w:rFonts w:cs="Arial"/>
          <w:color w:val="000000"/>
          <w:szCs w:val="20"/>
          <w:lang w:eastAsia="en-GB"/>
        </w:rPr>
        <w:t xml:space="preserve"> </w:t>
      </w:r>
      <w:r w:rsidR="000E277F">
        <w:rPr>
          <w:rFonts w:cs="Arial"/>
          <w:color w:val="000000"/>
          <w:szCs w:val="20"/>
          <w:lang w:eastAsia="en-GB"/>
        </w:rPr>
        <w:t xml:space="preserve">including </w:t>
      </w:r>
      <w:r w:rsidR="00416341">
        <w:rPr>
          <w:rFonts w:cs="Arial"/>
          <w:color w:val="000000"/>
          <w:szCs w:val="20"/>
          <w:lang w:eastAsia="en-GB"/>
        </w:rPr>
        <w:t xml:space="preserve">daily </w:t>
      </w:r>
      <w:r w:rsidR="006E4287">
        <w:rPr>
          <w:rFonts w:cs="Arial"/>
          <w:color w:val="000000"/>
          <w:szCs w:val="20"/>
          <w:lang w:eastAsia="en-GB"/>
        </w:rPr>
        <w:t xml:space="preserve">calculation of </w:t>
      </w:r>
      <w:r w:rsidR="000E277F">
        <w:rPr>
          <w:rFonts w:cs="Arial"/>
          <w:color w:val="000000"/>
          <w:szCs w:val="20"/>
          <w:lang w:eastAsia="en-GB"/>
        </w:rPr>
        <w:t xml:space="preserve">variation </w:t>
      </w:r>
      <w:proofErr w:type="gramStart"/>
      <w:r>
        <w:rPr>
          <w:rFonts w:cs="Arial"/>
          <w:color w:val="000000"/>
          <w:szCs w:val="20"/>
          <w:lang w:eastAsia="en-GB"/>
        </w:rPr>
        <w:t>margin</w:t>
      </w:r>
      <w:r w:rsidR="000E277F">
        <w:rPr>
          <w:rFonts w:cs="Arial"/>
          <w:color w:val="000000"/>
          <w:szCs w:val="20"/>
          <w:lang w:eastAsia="en-GB"/>
        </w:rPr>
        <w:t>,</w:t>
      </w:r>
      <w:proofErr w:type="gramEnd"/>
      <w:r w:rsidR="000E277F">
        <w:rPr>
          <w:rFonts w:cs="Arial"/>
          <w:color w:val="000000"/>
          <w:szCs w:val="20"/>
          <w:lang w:eastAsia="en-GB"/>
        </w:rPr>
        <w:t xml:space="preserve"> </w:t>
      </w:r>
      <w:r w:rsidR="006E4287">
        <w:rPr>
          <w:rFonts w:cs="Arial"/>
          <w:color w:val="000000"/>
          <w:szCs w:val="20"/>
          <w:lang w:eastAsia="en-GB"/>
        </w:rPr>
        <w:t xml:space="preserve">also </w:t>
      </w:r>
      <w:r w:rsidR="000E277F">
        <w:rPr>
          <w:rFonts w:cs="Arial"/>
          <w:color w:val="000000"/>
          <w:szCs w:val="20"/>
          <w:lang w:eastAsia="en-GB"/>
        </w:rPr>
        <w:t>do</w:t>
      </w:r>
      <w:r w:rsidR="006E4287">
        <w:rPr>
          <w:rFonts w:cs="Arial"/>
          <w:color w:val="000000"/>
          <w:szCs w:val="20"/>
          <w:lang w:eastAsia="en-GB"/>
        </w:rPr>
        <w:t>es</w:t>
      </w:r>
      <w:r w:rsidR="000E277F">
        <w:rPr>
          <w:rFonts w:cs="Arial"/>
          <w:color w:val="000000"/>
          <w:szCs w:val="20"/>
          <w:lang w:eastAsia="en-GB"/>
        </w:rPr>
        <w:t xml:space="preserve"> not d</w:t>
      </w:r>
      <w:r w:rsidR="000E277F">
        <w:rPr>
          <w:rFonts w:cs="Arial"/>
          <w:color w:val="000000"/>
          <w:szCs w:val="20"/>
          <w:lang w:eastAsia="en-GB"/>
        </w:rPr>
        <w:t>e</w:t>
      </w:r>
      <w:r w:rsidR="000E277F">
        <w:rPr>
          <w:rFonts w:cs="Arial"/>
          <w:color w:val="000000"/>
          <w:szCs w:val="20"/>
          <w:lang w:eastAsia="en-GB"/>
        </w:rPr>
        <w:t>pend on the underlying value of the index</w:t>
      </w:r>
      <w:r w:rsidR="006E4287">
        <w:rPr>
          <w:rFonts w:cs="Arial"/>
          <w:color w:val="000000"/>
          <w:szCs w:val="20"/>
          <w:lang w:eastAsia="en-GB"/>
        </w:rPr>
        <w:t xml:space="preserve"> throughout the life of the ETD other than at contract expiry</w:t>
      </w:r>
      <w:r w:rsidR="000E277F">
        <w:rPr>
          <w:rFonts w:cs="Arial"/>
          <w:color w:val="000000"/>
          <w:szCs w:val="20"/>
          <w:lang w:eastAsia="en-GB"/>
        </w:rPr>
        <w:t xml:space="preserve">. </w:t>
      </w:r>
      <w:r>
        <w:rPr>
          <w:rFonts w:cs="Arial"/>
          <w:color w:val="000000"/>
          <w:szCs w:val="20"/>
          <w:lang w:eastAsia="en-GB"/>
        </w:rPr>
        <w:t xml:space="preserve">Rather, </w:t>
      </w:r>
      <w:r w:rsidR="00496FC9">
        <w:rPr>
          <w:rFonts w:cs="Arial"/>
          <w:color w:val="000000"/>
          <w:szCs w:val="20"/>
          <w:lang w:eastAsia="en-GB"/>
        </w:rPr>
        <w:t xml:space="preserve">on any particular day the </w:t>
      </w:r>
      <w:r w:rsidR="006E4287">
        <w:rPr>
          <w:rFonts w:cs="Arial"/>
          <w:color w:val="000000"/>
          <w:szCs w:val="20"/>
          <w:lang w:eastAsia="en-GB"/>
        </w:rPr>
        <w:t xml:space="preserve">variation </w:t>
      </w:r>
      <w:r w:rsidR="000E277F">
        <w:rPr>
          <w:rFonts w:cs="Arial"/>
          <w:color w:val="000000"/>
          <w:szCs w:val="20"/>
          <w:lang w:eastAsia="en-GB"/>
        </w:rPr>
        <w:t xml:space="preserve">margin </w:t>
      </w:r>
      <w:r w:rsidR="007314CF">
        <w:rPr>
          <w:rFonts w:cs="Arial"/>
          <w:color w:val="000000"/>
          <w:szCs w:val="20"/>
          <w:lang w:eastAsia="en-GB"/>
        </w:rPr>
        <w:t>is calculated on</w:t>
      </w:r>
      <w:r w:rsidR="000E277F">
        <w:rPr>
          <w:rFonts w:cs="Arial"/>
          <w:color w:val="000000"/>
          <w:szCs w:val="20"/>
          <w:lang w:eastAsia="en-GB"/>
        </w:rPr>
        <w:t xml:space="preserve"> the difference between </w:t>
      </w:r>
      <w:r w:rsidR="006443C1">
        <w:rPr>
          <w:rFonts w:cs="Arial"/>
          <w:color w:val="000000"/>
          <w:szCs w:val="20"/>
          <w:lang w:eastAsia="en-GB"/>
        </w:rPr>
        <w:t xml:space="preserve">the market price at the time a </w:t>
      </w:r>
      <w:r w:rsidR="00496FC9">
        <w:rPr>
          <w:rFonts w:cs="Arial"/>
          <w:color w:val="000000"/>
          <w:szCs w:val="20"/>
          <w:lang w:eastAsia="en-GB"/>
        </w:rPr>
        <w:t>given</w:t>
      </w:r>
      <w:r w:rsidR="006443C1">
        <w:rPr>
          <w:rFonts w:cs="Arial"/>
          <w:color w:val="000000"/>
          <w:szCs w:val="20"/>
          <w:lang w:eastAsia="en-GB"/>
        </w:rPr>
        <w:t xml:space="preserve"> market participant transacted </w:t>
      </w:r>
      <w:r w:rsidR="000E277F">
        <w:rPr>
          <w:rFonts w:cs="Arial"/>
          <w:color w:val="000000"/>
          <w:szCs w:val="20"/>
          <w:lang w:eastAsia="en-GB"/>
        </w:rPr>
        <w:t xml:space="preserve">the ETD and </w:t>
      </w:r>
      <w:r w:rsidR="00496FC9">
        <w:rPr>
          <w:rFonts w:cs="Arial"/>
          <w:color w:val="000000"/>
          <w:szCs w:val="20"/>
          <w:lang w:eastAsia="en-GB"/>
        </w:rPr>
        <w:t>the contract’s</w:t>
      </w:r>
      <w:r w:rsidR="000E277F">
        <w:rPr>
          <w:rFonts w:cs="Arial"/>
          <w:color w:val="000000"/>
          <w:szCs w:val="20"/>
          <w:lang w:eastAsia="en-GB"/>
        </w:rPr>
        <w:t xml:space="preserve"> current market price </w:t>
      </w:r>
      <w:r w:rsidR="006443C1">
        <w:rPr>
          <w:rFonts w:cs="Arial"/>
          <w:color w:val="000000"/>
          <w:szCs w:val="20"/>
          <w:lang w:eastAsia="en-GB"/>
        </w:rPr>
        <w:t>on the trading venue</w:t>
      </w:r>
      <w:r w:rsidR="00496FC9">
        <w:rPr>
          <w:rFonts w:cs="Arial"/>
          <w:color w:val="000000"/>
          <w:szCs w:val="20"/>
          <w:lang w:eastAsia="en-GB"/>
        </w:rPr>
        <w:t xml:space="preserve"> (</w:t>
      </w:r>
      <w:proofErr w:type="spellStart"/>
      <w:r w:rsidR="00496FC9">
        <w:rPr>
          <w:rFonts w:cs="Arial"/>
          <w:color w:val="000000"/>
          <w:szCs w:val="20"/>
          <w:lang w:eastAsia="en-GB"/>
        </w:rPr>
        <w:t>eg</w:t>
      </w:r>
      <w:proofErr w:type="spellEnd"/>
      <w:r w:rsidR="00496FC9">
        <w:rPr>
          <w:rFonts w:cs="Arial"/>
          <w:color w:val="000000"/>
          <w:szCs w:val="20"/>
          <w:lang w:eastAsia="en-GB"/>
        </w:rPr>
        <w:t xml:space="preserve"> the daily settlement price</w:t>
      </w:r>
      <w:r w:rsidR="00416341">
        <w:rPr>
          <w:rFonts w:cs="Arial"/>
          <w:color w:val="000000"/>
          <w:szCs w:val="20"/>
          <w:lang w:eastAsia="en-GB"/>
        </w:rPr>
        <w:t xml:space="preserve"> </w:t>
      </w:r>
      <w:r w:rsidR="007314CF">
        <w:rPr>
          <w:rFonts w:cs="Arial"/>
          <w:color w:val="000000"/>
          <w:szCs w:val="20"/>
          <w:lang w:eastAsia="en-GB"/>
        </w:rPr>
        <w:t>of</w:t>
      </w:r>
      <w:r w:rsidR="00416341">
        <w:rPr>
          <w:rFonts w:cs="Arial"/>
          <w:color w:val="000000"/>
          <w:szCs w:val="20"/>
          <w:lang w:eastAsia="en-GB"/>
        </w:rPr>
        <w:t xml:space="preserve"> the ETD</w:t>
      </w:r>
      <w:r w:rsidR="00496FC9">
        <w:rPr>
          <w:rFonts w:cs="Arial"/>
          <w:color w:val="000000"/>
          <w:szCs w:val="20"/>
          <w:lang w:eastAsia="en-GB"/>
        </w:rPr>
        <w:t>)</w:t>
      </w:r>
      <w:r w:rsidR="000E277F">
        <w:rPr>
          <w:rFonts w:cs="Arial"/>
          <w:color w:val="000000"/>
          <w:szCs w:val="20"/>
          <w:lang w:eastAsia="en-GB"/>
        </w:rPr>
        <w:t xml:space="preserve">. </w:t>
      </w:r>
      <w:r w:rsidR="00416341">
        <w:rPr>
          <w:rFonts w:cs="Arial"/>
          <w:color w:val="000000"/>
          <w:szCs w:val="20"/>
          <w:lang w:eastAsia="en-GB"/>
        </w:rPr>
        <w:t>A</w:t>
      </w:r>
      <w:r w:rsidR="000E277F">
        <w:rPr>
          <w:rFonts w:cs="Arial"/>
          <w:color w:val="000000"/>
          <w:szCs w:val="20"/>
          <w:lang w:eastAsia="en-GB"/>
        </w:rPr>
        <w:t>s discussed</w:t>
      </w:r>
      <w:r w:rsidR="00416341">
        <w:rPr>
          <w:rFonts w:cs="Arial"/>
          <w:color w:val="000000"/>
          <w:szCs w:val="20"/>
          <w:lang w:eastAsia="en-GB"/>
        </w:rPr>
        <w:t xml:space="preserve"> above</w:t>
      </w:r>
      <w:r w:rsidR="00D417A2">
        <w:rPr>
          <w:rFonts w:cs="Arial"/>
          <w:color w:val="000000"/>
          <w:szCs w:val="20"/>
          <w:lang w:eastAsia="en-GB"/>
        </w:rPr>
        <w:t xml:space="preserve"> and in our response to </w:t>
      </w:r>
      <w:r w:rsidR="00D417A2">
        <w:t>Question 1</w:t>
      </w:r>
      <w:r w:rsidR="000E277F">
        <w:rPr>
          <w:rFonts w:cs="Arial"/>
          <w:color w:val="000000"/>
          <w:szCs w:val="20"/>
          <w:lang w:eastAsia="en-GB"/>
        </w:rPr>
        <w:t xml:space="preserve">, </w:t>
      </w:r>
      <w:r w:rsidR="00496FC9">
        <w:rPr>
          <w:rFonts w:cs="Arial"/>
          <w:color w:val="000000"/>
          <w:szCs w:val="20"/>
          <w:lang w:eastAsia="en-GB"/>
        </w:rPr>
        <w:t>none</w:t>
      </w:r>
      <w:r w:rsidR="000E277F">
        <w:rPr>
          <w:rFonts w:cs="Arial"/>
          <w:color w:val="000000"/>
          <w:szCs w:val="20"/>
          <w:lang w:eastAsia="en-GB"/>
        </w:rPr>
        <w:t xml:space="preserve"> of these values is determined by the value of the underlying index</w:t>
      </w:r>
      <w:r w:rsidR="006443C1">
        <w:rPr>
          <w:rFonts w:cs="Arial"/>
          <w:color w:val="000000"/>
          <w:szCs w:val="20"/>
          <w:lang w:eastAsia="en-GB"/>
        </w:rPr>
        <w:t>.</w:t>
      </w:r>
      <w:r w:rsidR="006E6D58">
        <w:rPr>
          <w:rFonts w:cs="Arial"/>
          <w:color w:val="000000"/>
          <w:szCs w:val="20"/>
          <w:lang w:eastAsia="en-GB"/>
        </w:rPr>
        <w:t xml:space="preserve"> Argus considers that this is an important technical point for </w:t>
      </w:r>
      <w:proofErr w:type="spellStart"/>
      <w:r w:rsidR="006E6D58">
        <w:rPr>
          <w:rFonts w:cs="Arial"/>
          <w:color w:val="000000"/>
          <w:szCs w:val="20"/>
          <w:lang w:eastAsia="en-GB"/>
        </w:rPr>
        <w:t>ESMA</w:t>
      </w:r>
      <w:proofErr w:type="spellEnd"/>
      <w:r w:rsidR="006E6D58">
        <w:rPr>
          <w:rFonts w:cs="Arial"/>
          <w:color w:val="000000"/>
          <w:szCs w:val="20"/>
          <w:lang w:eastAsia="en-GB"/>
        </w:rPr>
        <w:t xml:space="preserve"> to be aware of in its analysis.</w:t>
      </w:r>
    </w:p>
    <w:permEnd w:id="845574122"/>
    <w:p w:rsidR="009A2624" w:rsidRDefault="00665C07" w:rsidP="009A2624">
      <w:r>
        <w:t>&lt;ESMA_QUESTION_C</w:t>
      </w:r>
      <w:r w:rsidR="009A2624">
        <w:t>P_BMR_3&gt;</w:t>
      </w:r>
    </w:p>
    <w:p w:rsidR="009A2624" w:rsidRDefault="009A2624" w:rsidP="009A2624"/>
    <w:p w:rsidR="009A2624" w:rsidRPr="00B37C5D" w:rsidRDefault="00990FF9" w:rsidP="002342EC">
      <w:pPr>
        <w:pStyle w:val="Questionstyle"/>
      </w:pPr>
      <w:r w:rsidRPr="00571AC1">
        <w:rPr>
          <w:rFonts w:cstheme="minorHAnsi"/>
          <w:szCs w:val="22"/>
          <w:lang w:val="en-US"/>
        </w:rPr>
        <w:t>Do you have any comments on the proposed specification of issuance of a financial instr</w:t>
      </w:r>
      <w:r w:rsidRPr="00571AC1">
        <w:rPr>
          <w:rFonts w:cstheme="minorHAnsi"/>
          <w:szCs w:val="22"/>
          <w:lang w:val="en-US"/>
        </w:rPr>
        <w:t>u</w:t>
      </w:r>
      <w:r w:rsidRPr="00571AC1">
        <w:rPr>
          <w:rFonts w:cstheme="minorHAnsi"/>
          <w:szCs w:val="22"/>
          <w:lang w:val="en-US"/>
        </w:rPr>
        <w:t>ment?</w:t>
      </w:r>
    </w:p>
    <w:p w:rsidR="009A2624" w:rsidRDefault="00665C07" w:rsidP="009A2624">
      <w:r>
        <w:t>&lt;ESMA_QUESTION_C</w:t>
      </w:r>
      <w:r w:rsidR="009A2624">
        <w:t>P_BMR_4&gt;</w:t>
      </w:r>
    </w:p>
    <w:p w:rsidR="009A2624" w:rsidRDefault="002F16AA" w:rsidP="009A2624">
      <w:permStart w:id="447424101" w:edGrp="everyone"/>
      <w:r>
        <w:t xml:space="preserve">Argus supports </w:t>
      </w:r>
      <w:proofErr w:type="spellStart"/>
      <w:r>
        <w:t>ESMA’s</w:t>
      </w:r>
      <w:proofErr w:type="spellEnd"/>
      <w:r>
        <w:t xml:space="preserve"> draft Technical Advice.</w:t>
      </w:r>
      <w:r w:rsidR="008F4F8A">
        <w:t xml:space="preserve"> We note that the text of the </w:t>
      </w:r>
      <w:r w:rsidR="008F4F8A">
        <w:rPr>
          <w:rFonts w:cs="Arial"/>
          <w:color w:val="000000"/>
          <w:szCs w:val="20"/>
          <w:lang w:eastAsia="en-GB"/>
        </w:rPr>
        <w:t>draft Technical Advice is not affected by the issue we raise in our response to Question 3.</w:t>
      </w:r>
    </w:p>
    <w:permEnd w:id="447424101"/>
    <w:p w:rsidR="009A2624" w:rsidRDefault="00665C07" w:rsidP="009A2624">
      <w:r>
        <w:t>&lt;ESMA_QUESTION_C</w:t>
      </w:r>
      <w:r w:rsidR="009A2624">
        <w:t>P_BMR_4&gt;</w:t>
      </w:r>
    </w:p>
    <w:p w:rsidR="009A2624" w:rsidRDefault="009A2624" w:rsidP="009A2624"/>
    <w:p w:rsidR="009A2624" w:rsidRDefault="00293D4B" w:rsidP="002342EC">
      <w:pPr>
        <w:pStyle w:val="Questionstyle"/>
      </w:pPr>
      <w:r w:rsidRPr="0006038D">
        <w:rPr>
          <w:rFonts w:cs="Arial"/>
          <w:lang w:val="en-US"/>
        </w:rPr>
        <w:t>Wh</w:t>
      </w:r>
      <w:r>
        <w:rPr>
          <w:rFonts w:cs="Arial"/>
          <w:lang w:val="en-US"/>
        </w:rPr>
        <w:t>at</w:t>
      </w:r>
      <w:r w:rsidRPr="0006038D">
        <w:rPr>
          <w:rFonts w:cs="Arial"/>
          <w:lang w:val="en-US"/>
        </w:rPr>
        <w:t xml:space="preserve"> are your views on the transitional regime proposed to assess the nominal amount of financial instruments other than derivatives, the notional amount of derivatives and the net asset value of investment funds in the case where the regulatory data i</w:t>
      </w:r>
      <w:r>
        <w:rPr>
          <w:rFonts w:cs="Arial"/>
          <w:lang w:val="en-US"/>
        </w:rPr>
        <w:t>s not available or sufficient</w:t>
      </w:r>
      <w:r w:rsidR="009A2624">
        <w:t xml:space="preserve">? </w:t>
      </w:r>
    </w:p>
    <w:p w:rsidR="009A2624" w:rsidRDefault="00665C07" w:rsidP="009A2624">
      <w:r>
        <w:t>&lt;ESMA_QUESTION_C</w:t>
      </w:r>
      <w:r w:rsidR="009A2624">
        <w:t>P_BMR_5&gt;</w:t>
      </w:r>
    </w:p>
    <w:p w:rsidR="00E158FD" w:rsidRDefault="00E158FD" w:rsidP="009A2624">
      <w:permStart w:id="2141412170" w:edGrp="everyone"/>
      <w:r>
        <w:t xml:space="preserve">Argus supports </w:t>
      </w:r>
      <w:proofErr w:type="spellStart"/>
      <w:r>
        <w:t>ESMA’s</w:t>
      </w:r>
      <w:proofErr w:type="spellEnd"/>
      <w:r>
        <w:t xml:space="preserve"> proposal regarding the transitional regime and </w:t>
      </w:r>
      <w:r w:rsidR="00977B09">
        <w:t>is grateful for</w:t>
      </w:r>
      <w:r>
        <w:t xml:space="preserve"> </w:t>
      </w:r>
      <w:proofErr w:type="spellStart"/>
      <w:r w:rsidR="004F2F95">
        <w:t>ESMA’s</w:t>
      </w:r>
      <w:proofErr w:type="spellEnd"/>
      <w:r w:rsidR="004F2F95">
        <w:t xml:space="preserve"> </w:t>
      </w:r>
      <w:r>
        <w:t xml:space="preserve">recognition of the concerns that many stakeholders </w:t>
      </w:r>
      <w:r w:rsidR="00245FE8">
        <w:t xml:space="preserve">have </w:t>
      </w:r>
      <w:r>
        <w:t>expressed regarding non-availability to administrators of reliable data and practical approaches to mitigating this</w:t>
      </w:r>
      <w:r w:rsidR="00245FE8">
        <w:t xml:space="preserve"> problem</w:t>
      </w:r>
      <w:r>
        <w:t>.</w:t>
      </w:r>
    </w:p>
    <w:p w:rsidR="00E158FD" w:rsidRDefault="00E158FD" w:rsidP="009A2624"/>
    <w:p w:rsidR="009A2624" w:rsidRDefault="00E158FD" w:rsidP="009A2624">
      <w:r>
        <w:t xml:space="preserve">In particular we support </w:t>
      </w:r>
      <w:proofErr w:type="spellStart"/>
      <w:r>
        <w:t>ESMA’s</w:t>
      </w:r>
      <w:proofErr w:type="spellEnd"/>
      <w:r>
        <w:t xml:space="preserve"> proposal that proxies</w:t>
      </w:r>
      <w:r w:rsidR="004F2F95">
        <w:t>,</w:t>
      </w:r>
      <w:r>
        <w:t xml:space="preserve"> </w:t>
      </w:r>
      <w:r w:rsidR="00DD6BF9">
        <w:t xml:space="preserve">specifically </w:t>
      </w:r>
      <w:r>
        <w:t xml:space="preserve">including open interest data </w:t>
      </w:r>
      <w:r w:rsidR="00F12310">
        <w:t>fr</w:t>
      </w:r>
      <w:r w:rsidR="004F2F95">
        <w:t>o</w:t>
      </w:r>
      <w:r w:rsidR="00F12310">
        <w:t xml:space="preserve">m exchanges </w:t>
      </w:r>
      <w:r>
        <w:t>in the case of notional amount</w:t>
      </w:r>
      <w:r w:rsidR="00D417A2">
        <w:t>s</w:t>
      </w:r>
      <w:r>
        <w:t xml:space="preserve"> of derivatives</w:t>
      </w:r>
      <w:r w:rsidR="004F2F95">
        <w:t>,</w:t>
      </w:r>
      <w:r>
        <w:t xml:space="preserve"> may be used when regulatory data </w:t>
      </w:r>
      <w:proofErr w:type="gramStart"/>
      <w:r>
        <w:t>under limbs (a), (b) and (c) of the draft Technical Advice</w:t>
      </w:r>
      <w:proofErr w:type="gramEnd"/>
      <w:r>
        <w:t xml:space="preserve"> </w:t>
      </w:r>
      <w:r w:rsidR="00245FE8">
        <w:t>are</w:t>
      </w:r>
      <w:r>
        <w:t xml:space="preserve"> not available or </w:t>
      </w:r>
      <w:r w:rsidR="00245FE8">
        <w:t>are</w:t>
      </w:r>
      <w:r>
        <w:t xml:space="preserve"> not sufficient.</w:t>
      </w:r>
    </w:p>
    <w:p w:rsidR="00977B09" w:rsidRDefault="00977B09" w:rsidP="009A2624"/>
    <w:p w:rsidR="00977B09" w:rsidRDefault="00977B09" w:rsidP="009A2624">
      <w:r>
        <w:lastRenderedPageBreak/>
        <w:t xml:space="preserve">For greater clarity, we would recommend the following </w:t>
      </w:r>
      <w:proofErr w:type="spellStart"/>
      <w:r>
        <w:t>clarificational</w:t>
      </w:r>
      <w:proofErr w:type="spellEnd"/>
      <w:r>
        <w:t xml:space="preserve"> amendment to limb (</w:t>
      </w:r>
      <w:r w:rsidR="005274EE">
        <w:t>d</w:t>
      </w:r>
      <w:r>
        <w:t xml:space="preserve">) of the draft </w:t>
      </w:r>
      <w:r w:rsidR="005274EE">
        <w:t xml:space="preserve">Technical Advice (suggested additions in </w:t>
      </w:r>
      <w:r w:rsidR="005274EE" w:rsidRPr="004F2F95">
        <w:rPr>
          <w:b/>
          <w:i/>
        </w:rPr>
        <w:t>bold italics</w:t>
      </w:r>
      <w:r w:rsidR="005274EE">
        <w:t>):</w:t>
      </w:r>
    </w:p>
    <w:p w:rsidR="00DD6BF9" w:rsidRPr="00DD6BF9" w:rsidRDefault="00DD6BF9" w:rsidP="009A2624"/>
    <w:p w:rsidR="005274EE" w:rsidRPr="00DD6BF9" w:rsidRDefault="005274EE" w:rsidP="005274EE">
      <w:pPr>
        <w:autoSpaceDE w:val="0"/>
        <w:autoSpaceDN w:val="0"/>
        <w:adjustRightInd w:val="0"/>
        <w:ind w:left="709"/>
        <w:rPr>
          <w:rFonts w:cs="Arial"/>
          <w:color w:val="000000"/>
          <w:szCs w:val="22"/>
          <w:lang w:eastAsia="en-GB"/>
        </w:rPr>
      </w:pPr>
      <w:r w:rsidRPr="00DD6BF9">
        <w:rPr>
          <w:rFonts w:cs="Arial"/>
          <w:color w:val="000000"/>
          <w:szCs w:val="22"/>
          <w:lang w:eastAsia="en-GB"/>
        </w:rPr>
        <w:t xml:space="preserve">Whenever data as set out above in paragraphs a), b) and c) is not available </w:t>
      </w:r>
      <w:r w:rsidRPr="00DD6BF9">
        <w:rPr>
          <w:rFonts w:cs="Arial"/>
          <w:b/>
          <w:i/>
          <w:color w:val="000000"/>
          <w:szCs w:val="22"/>
          <w:lang w:eastAsia="en-GB"/>
        </w:rPr>
        <w:t>to an administrator or a competent authorit</w:t>
      </w:r>
      <w:r w:rsidR="00DD6BF9" w:rsidRPr="00DD6BF9">
        <w:rPr>
          <w:rFonts w:cs="Arial"/>
          <w:b/>
          <w:i/>
          <w:color w:val="000000"/>
          <w:szCs w:val="22"/>
          <w:lang w:eastAsia="en-GB"/>
        </w:rPr>
        <w:t>y</w:t>
      </w:r>
      <w:r w:rsidRPr="00DD6BF9">
        <w:rPr>
          <w:rFonts w:cs="Arial"/>
          <w:b/>
          <w:i/>
          <w:color w:val="000000"/>
          <w:szCs w:val="22"/>
          <w:lang w:eastAsia="en-GB"/>
        </w:rPr>
        <w:t xml:space="preserve"> according to the relevant case,</w:t>
      </w:r>
      <w:r w:rsidRPr="00DD6BF9">
        <w:rPr>
          <w:rFonts w:cs="Arial"/>
          <w:color w:val="000000"/>
          <w:szCs w:val="22"/>
          <w:lang w:eastAsia="en-GB"/>
        </w:rPr>
        <w:t xml:space="preserve"> or </w:t>
      </w:r>
      <w:r w:rsidRPr="00DD6BF9">
        <w:rPr>
          <w:rFonts w:cs="Arial"/>
          <w:b/>
          <w:i/>
          <w:color w:val="000000"/>
          <w:szCs w:val="22"/>
          <w:lang w:eastAsia="en-GB"/>
        </w:rPr>
        <w:t>is</w:t>
      </w:r>
      <w:r w:rsidRPr="00DD6BF9">
        <w:rPr>
          <w:rFonts w:cs="Arial"/>
          <w:color w:val="000000"/>
          <w:szCs w:val="22"/>
          <w:lang w:eastAsia="en-GB"/>
        </w:rPr>
        <w:t xml:space="preserve"> not sufficient, when assessing benchmarks under the thresholds in Article 20(1) and Article 24(1)(a), the nominal amount of f</w:t>
      </w:r>
      <w:r w:rsidRPr="00DD6BF9">
        <w:rPr>
          <w:rFonts w:cs="Arial"/>
          <w:color w:val="000000"/>
          <w:szCs w:val="22"/>
          <w:lang w:eastAsia="en-GB"/>
        </w:rPr>
        <w:t>i</w:t>
      </w:r>
      <w:r w:rsidRPr="00DD6BF9">
        <w:rPr>
          <w:rFonts w:cs="Arial"/>
          <w:color w:val="000000"/>
          <w:szCs w:val="22"/>
          <w:lang w:eastAsia="en-GB"/>
        </w:rPr>
        <w:t>nancial instruments other than derivatives, the notional amount of derivatives and the net asset value of investment funds, or proxies for these values, such as open interest data, as reported by alternative private providers of information available to administrators and competent authorities may be taken into account. In such cases, the competent authority or the administrator shall pr</w:t>
      </w:r>
      <w:r w:rsidRPr="00DD6BF9">
        <w:rPr>
          <w:rFonts w:cs="Arial"/>
          <w:color w:val="000000"/>
          <w:szCs w:val="22"/>
          <w:lang w:eastAsia="en-GB"/>
        </w:rPr>
        <w:t>o</w:t>
      </w:r>
      <w:r w:rsidRPr="00DD6BF9">
        <w:rPr>
          <w:rFonts w:cs="Arial"/>
          <w:color w:val="000000"/>
          <w:szCs w:val="22"/>
          <w:lang w:eastAsia="en-GB"/>
        </w:rPr>
        <w:t>vide written justification of this use, in particular in relation to the non-availability of the regulatory data.</w:t>
      </w:r>
    </w:p>
    <w:p w:rsidR="005274EE" w:rsidRDefault="005274EE" w:rsidP="005274EE">
      <w:pPr>
        <w:autoSpaceDE w:val="0"/>
        <w:autoSpaceDN w:val="0"/>
        <w:adjustRightInd w:val="0"/>
      </w:pPr>
    </w:p>
    <w:permEnd w:id="2141412170"/>
    <w:p w:rsidR="009A2624" w:rsidRDefault="00665C07" w:rsidP="009A2624">
      <w:r>
        <w:t>&lt;ESMA_QUESTION_C</w:t>
      </w:r>
      <w:r w:rsidR="009A2624">
        <w:t>P_BMR_5&gt;</w:t>
      </w:r>
    </w:p>
    <w:p w:rsidR="009A2624" w:rsidRDefault="009A2624" w:rsidP="009A2624"/>
    <w:p w:rsidR="009A2624" w:rsidRPr="007F44BF" w:rsidRDefault="00293D4B" w:rsidP="002342EC">
      <w:pPr>
        <w:pStyle w:val="Questionstyle"/>
      </w:pPr>
      <w:r w:rsidRPr="0006038D">
        <w:rPr>
          <w:rFonts w:cs="Arial"/>
          <w:lang w:val="en-US"/>
        </w:rPr>
        <w:t>Do you agree with the measurement performed at a specific point in time for assessing whet</w:t>
      </w:r>
      <w:r w:rsidRPr="0006038D">
        <w:rPr>
          <w:rFonts w:cs="Arial"/>
          <w:lang w:val="en-US"/>
        </w:rPr>
        <w:t>h</w:t>
      </w:r>
      <w:r w:rsidRPr="0006038D">
        <w:rPr>
          <w:rFonts w:cs="Arial"/>
          <w:lang w:val="en-US"/>
        </w:rPr>
        <w:t>er a benchmark hits the thresholds specified in Article 20(1)</w:t>
      </w:r>
      <w:r>
        <w:rPr>
          <w:rFonts w:cs="Arial"/>
          <w:lang w:val="en-US"/>
        </w:rPr>
        <w:t xml:space="preserve"> to be considered as critical?</w:t>
      </w:r>
    </w:p>
    <w:p w:rsidR="009A2624" w:rsidRDefault="00665C07" w:rsidP="009A2624">
      <w:r>
        <w:t>&lt;ESMA_QUESTION_C</w:t>
      </w:r>
      <w:r w:rsidR="009A2624">
        <w:t>P_BMR_6&gt;</w:t>
      </w:r>
    </w:p>
    <w:p w:rsidR="009A2624" w:rsidRDefault="001606A6" w:rsidP="009A2624">
      <w:permStart w:id="1083602359" w:edGrp="everyone"/>
      <w:r>
        <w:t xml:space="preserve">Argus notes that </w:t>
      </w:r>
      <w:proofErr w:type="spellStart"/>
      <w:r>
        <w:t>ESMA</w:t>
      </w:r>
      <w:proofErr w:type="spellEnd"/>
      <w:r>
        <w:t xml:space="preserve"> proposes the measurement shou</w:t>
      </w:r>
      <w:r w:rsidR="00A57E49">
        <w:t>l</w:t>
      </w:r>
      <w:r>
        <w:t xml:space="preserve">d be performed at a </w:t>
      </w:r>
      <w:r w:rsidR="00A57E49">
        <w:t xml:space="preserve">single </w:t>
      </w:r>
      <w:r>
        <w:t xml:space="preserve">specific point in time for purposes of assessing whether a </w:t>
      </w:r>
      <w:r w:rsidR="00A57E49">
        <w:t>benchmark</w:t>
      </w:r>
      <w:r>
        <w:t xml:space="preserve"> is critical (Article 20(1)) and </w:t>
      </w:r>
      <w:r w:rsidR="00A57E49">
        <w:t>over a period of six months for purposes of assessing whether a benchmark is significant</w:t>
      </w:r>
      <w:r w:rsidR="006E6D58">
        <w:t xml:space="preserve"> (Article </w:t>
      </w:r>
      <w:r w:rsidR="00BC6766">
        <w:t>24(1)(a))</w:t>
      </w:r>
      <w:r w:rsidR="006E6D58">
        <w:t xml:space="preserve">. In the latter case, when a benchmark is not determined </w:t>
      </w:r>
      <w:r w:rsidR="004368F9">
        <w:t>to be</w:t>
      </w:r>
      <w:r w:rsidR="006E6D58">
        <w:t xml:space="preserve"> significant </w:t>
      </w:r>
      <w:r w:rsidR="00BC6766">
        <w:t xml:space="preserve">it becomes </w:t>
      </w:r>
      <w:r w:rsidR="006E6D58">
        <w:t>non</w:t>
      </w:r>
      <w:r w:rsidR="00A57E49">
        <w:t>-significant</w:t>
      </w:r>
      <w:r w:rsidR="004368F9">
        <w:t xml:space="preserve"> (Article 3(1</w:t>
      </w:r>
      <w:proofErr w:type="gramStart"/>
      <w:r w:rsidR="004368F9">
        <w:t>)(</w:t>
      </w:r>
      <w:proofErr w:type="gramEnd"/>
      <w:r w:rsidR="004368F9">
        <w:t>27))</w:t>
      </w:r>
      <w:r w:rsidR="006E6D58">
        <w:t xml:space="preserve">, so that the proposed period of six months in effect </w:t>
      </w:r>
      <w:r w:rsidR="00BC6766">
        <w:t xml:space="preserve">would </w:t>
      </w:r>
      <w:r w:rsidR="006E6D58">
        <w:t>appl</w:t>
      </w:r>
      <w:r w:rsidR="00BC6766">
        <w:t>y</w:t>
      </w:r>
      <w:r w:rsidR="006E6D58">
        <w:t xml:space="preserve"> </w:t>
      </w:r>
      <w:r w:rsidR="00BC6766">
        <w:t xml:space="preserve">both </w:t>
      </w:r>
      <w:r w:rsidR="006E6D58">
        <w:t xml:space="preserve">to the determination of significant and </w:t>
      </w:r>
      <w:r w:rsidR="00BC6766">
        <w:t xml:space="preserve">of </w:t>
      </w:r>
      <w:r w:rsidR="006E6D58">
        <w:t>non-significant benchmarks</w:t>
      </w:r>
      <w:r w:rsidR="00A57E49">
        <w:t>.</w:t>
      </w:r>
    </w:p>
    <w:p w:rsidR="00A57E49" w:rsidRDefault="00A57E49" w:rsidP="009A2624"/>
    <w:p w:rsidR="0006796D" w:rsidRDefault="00A57E49" w:rsidP="009A2624">
      <w:r>
        <w:t xml:space="preserve">Argus </w:t>
      </w:r>
      <w:r w:rsidR="0006796D">
        <w:t>considers</w:t>
      </w:r>
      <w:r>
        <w:t xml:space="preserve"> that </w:t>
      </w:r>
      <w:r w:rsidR="0006796D">
        <w:t xml:space="preserve">the </w:t>
      </w:r>
      <w:r w:rsidR="00FC1838">
        <w:t xml:space="preserve">CP </w:t>
      </w:r>
      <w:r w:rsidR="0006796D">
        <w:t xml:space="preserve">proposal in respect of critical benchmarks is </w:t>
      </w:r>
      <w:r w:rsidR="00FC1838">
        <w:t>unlikely to lead to robust dete</w:t>
      </w:r>
      <w:r w:rsidR="00FC1838">
        <w:t>r</w:t>
      </w:r>
      <w:r w:rsidR="00FC1838">
        <w:t xml:space="preserve">minations </w:t>
      </w:r>
      <w:r w:rsidR="0006796D">
        <w:t xml:space="preserve">and encourages </w:t>
      </w:r>
      <w:proofErr w:type="spellStart"/>
      <w:r w:rsidR="0006796D">
        <w:t>ESMA</w:t>
      </w:r>
      <w:proofErr w:type="spellEnd"/>
      <w:r w:rsidR="0006796D">
        <w:t xml:space="preserve"> to reconsider on this point.</w:t>
      </w:r>
    </w:p>
    <w:p w:rsidR="0006796D" w:rsidRDefault="0006796D" w:rsidP="009A2624"/>
    <w:p w:rsidR="00532EAD" w:rsidRDefault="0006796D" w:rsidP="009A2624">
      <w:r>
        <w:t xml:space="preserve">We believe that performing the calculation </w:t>
      </w:r>
      <w:r w:rsidR="00194268">
        <w:t xml:space="preserve">on a dataset representing </w:t>
      </w:r>
      <w:r>
        <w:t>a single specific point is unnecessar</w:t>
      </w:r>
      <w:r>
        <w:t>i</w:t>
      </w:r>
      <w:r>
        <w:t>ly arbitrary and poses a</w:t>
      </w:r>
      <w:r w:rsidR="00FC4884">
        <w:t>n</w:t>
      </w:r>
      <w:r>
        <w:t xml:space="preserve"> </w:t>
      </w:r>
      <w:r w:rsidR="00FC4884">
        <w:t>avoidable</w:t>
      </w:r>
      <w:r>
        <w:t xml:space="preserve"> risk of giving an unrepresentative measurement. We cannot see a benefit of this approach and to the contrary we see </w:t>
      </w:r>
      <w:r w:rsidR="00EA5766">
        <w:t xml:space="preserve">a </w:t>
      </w:r>
      <w:r w:rsidR="00FC4884">
        <w:t xml:space="preserve">clear </w:t>
      </w:r>
      <w:r>
        <w:t xml:space="preserve">risk that conducting the measurement </w:t>
      </w:r>
      <w:r w:rsidR="00194268">
        <w:t xml:space="preserve">on a dataset representing </w:t>
      </w:r>
      <w:r>
        <w:t xml:space="preserve">a single (arbitrary) specific point is not effective in identifying benchmarks that are critical. </w:t>
      </w:r>
      <w:r w:rsidR="00532EAD">
        <w:t>In other words, there is an unnecessary risk of the measurement producing either ‘false positives’ or ‘false negatives’, neither of which is desirable.</w:t>
      </w:r>
    </w:p>
    <w:p w:rsidR="00532EAD" w:rsidRDefault="00532EAD" w:rsidP="009A2624"/>
    <w:p w:rsidR="00A57E49" w:rsidRDefault="0006796D" w:rsidP="009A2624">
      <w:r>
        <w:t xml:space="preserve">We consider that it would be considerably more robust and representative </w:t>
      </w:r>
      <w:r w:rsidR="009915C9">
        <w:t xml:space="preserve">across all asset classes </w:t>
      </w:r>
      <w:r>
        <w:t xml:space="preserve">to perform the measurement as an average over a </w:t>
      </w:r>
      <w:r w:rsidR="00C43788">
        <w:t xml:space="preserve">dataset of a </w:t>
      </w:r>
      <w:r>
        <w:t xml:space="preserve">longer period — </w:t>
      </w:r>
      <w:r w:rsidR="00FC1838">
        <w:t>such as</w:t>
      </w:r>
      <w:r>
        <w:t xml:space="preserve"> six months, as </w:t>
      </w:r>
      <w:proofErr w:type="spellStart"/>
      <w:r>
        <w:t>ESMA</w:t>
      </w:r>
      <w:proofErr w:type="spellEnd"/>
      <w:r>
        <w:t xml:space="preserve"> already proposes in the case of determining significant</w:t>
      </w:r>
      <w:r w:rsidR="00194268">
        <w:t xml:space="preserve"> and </w:t>
      </w:r>
      <w:r>
        <w:t>non-significant benchmarks.</w:t>
      </w:r>
    </w:p>
    <w:p w:rsidR="0006796D" w:rsidRDefault="0006796D" w:rsidP="009A2624"/>
    <w:p w:rsidR="0006796D" w:rsidRDefault="00FC1838" w:rsidP="009A2624">
      <w:r>
        <w:t xml:space="preserve">We note that performing the measurement over a longer period </w:t>
      </w:r>
      <w:r w:rsidR="00C43788">
        <w:t xml:space="preserve">dataset </w:t>
      </w:r>
      <w:r>
        <w:t xml:space="preserve">will not inherently either increase or decrease the likelihood of any particular benchmark being determined as critical. In other words </w:t>
      </w:r>
      <w:r w:rsidR="00194268">
        <w:t>such an approach</w:t>
      </w:r>
      <w:r w:rsidR="00532EAD">
        <w:t xml:space="preserve"> is </w:t>
      </w:r>
      <w:r w:rsidR="009915C9">
        <w:t>completely</w:t>
      </w:r>
      <w:r w:rsidR="00532EAD">
        <w:t xml:space="preserve"> neutral in terms of the likelihood that any particular benchmark falls above or below the critical threshold. But it would reduce the likelihood of producing ‘false positives’ or ‘false neg</w:t>
      </w:r>
      <w:r w:rsidR="00532EAD">
        <w:t>a</w:t>
      </w:r>
      <w:r w:rsidR="00532EAD">
        <w:t xml:space="preserve">tives’ — </w:t>
      </w:r>
      <w:proofErr w:type="spellStart"/>
      <w:r w:rsidR="00532EAD">
        <w:t>ie</w:t>
      </w:r>
      <w:proofErr w:type="spellEnd"/>
      <w:r w:rsidR="00532EAD">
        <w:t xml:space="preserve"> a benchmark fail</w:t>
      </w:r>
      <w:r w:rsidR="00B5695D">
        <w:t>ing</w:t>
      </w:r>
      <w:r w:rsidR="00532EAD">
        <w:t xml:space="preserve"> to be classified as critical </w:t>
      </w:r>
      <w:r w:rsidR="00FC4884">
        <w:t xml:space="preserve">under the quantitative criteria </w:t>
      </w:r>
      <w:r w:rsidR="00532EAD">
        <w:t xml:space="preserve">because the data on the single day </w:t>
      </w:r>
      <w:r w:rsidR="00FC4884">
        <w:t xml:space="preserve">is unrepresentative and </w:t>
      </w:r>
      <w:r w:rsidR="00532EAD">
        <w:t>happens to be low</w:t>
      </w:r>
      <w:r w:rsidR="00B5695D">
        <w:t xml:space="preserve"> while generally the benchmark exceeds the threshold </w:t>
      </w:r>
      <w:r w:rsidR="00FC4884">
        <w:t>and</w:t>
      </w:r>
      <w:r w:rsidR="00B5695D">
        <w:t xml:space="preserve"> ought to be </w:t>
      </w:r>
      <w:r w:rsidR="00FC4884">
        <w:t>determined as</w:t>
      </w:r>
      <w:r w:rsidR="00B5695D">
        <w:t xml:space="preserve"> critical (</w:t>
      </w:r>
      <w:proofErr w:type="spellStart"/>
      <w:r w:rsidR="00FC4884">
        <w:t>ie</w:t>
      </w:r>
      <w:proofErr w:type="spellEnd"/>
      <w:r w:rsidR="00FC4884">
        <w:t xml:space="preserve"> </w:t>
      </w:r>
      <w:r w:rsidR="00B5695D">
        <w:t>a ‘false negative’)</w:t>
      </w:r>
      <w:r w:rsidR="00532EAD">
        <w:t xml:space="preserve">, </w:t>
      </w:r>
      <w:r w:rsidR="00B5695D">
        <w:t>or the opposite situation producing a ‘false positive’</w:t>
      </w:r>
      <w:r w:rsidR="00FC4884">
        <w:t>.</w:t>
      </w:r>
    </w:p>
    <w:p w:rsidR="00EA5766" w:rsidRDefault="00EA5766" w:rsidP="009A2624"/>
    <w:p w:rsidR="00EA5766" w:rsidRDefault="00EA5766" w:rsidP="009A2624">
      <w:r>
        <w:t xml:space="preserve">Argus </w:t>
      </w:r>
      <w:r w:rsidR="00C43788">
        <w:t>notes</w:t>
      </w:r>
      <w:r>
        <w:t xml:space="preserve"> that conducting the </w:t>
      </w:r>
      <w:r w:rsidR="00C43788">
        <w:t xml:space="preserve">calculation </w:t>
      </w:r>
      <w:r w:rsidR="00194268">
        <w:t xml:space="preserve">for purposes of the critical threshold </w:t>
      </w:r>
      <w:r w:rsidR="00C43788">
        <w:t xml:space="preserve">over a longer period dataset would be consistent with approaches in other EU legislation such as the EMIR clearing obligation </w:t>
      </w:r>
      <w:r w:rsidR="008522FD">
        <w:t>in respect of non-financial counterparties (EMIR Article 10(1)), where that calculation is specified to be an average over 30 working days.</w:t>
      </w:r>
    </w:p>
    <w:p w:rsidR="00FC4884" w:rsidRDefault="00FC4884" w:rsidP="009A2624"/>
    <w:p w:rsidR="0006796D" w:rsidRDefault="009915C9" w:rsidP="009A2624">
      <w:r>
        <w:t xml:space="preserve">We </w:t>
      </w:r>
      <w:r w:rsidR="008522FD">
        <w:t xml:space="preserve">also </w:t>
      </w:r>
      <w:r>
        <w:t xml:space="preserve">note that </w:t>
      </w:r>
      <w:proofErr w:type="spellStart"/>
      <w:r>
        <w:t>ESMA</w:t>
      </w:r>
      <w:proofErr w:type="spellEnd"/>
      <w:r>
        <w:t xml:space="preserve"> has rightly considered, at CP paragraph 80, the costs </w:t>
      </w:r>
      <w:r w:rsidR="008522FD">
        <w:t xml:space="preserve">and complexity </w:t>
      </w:r>
      <w:r>
        <w:t xml:space="preserve">associated with conducting the measurements. But it seems to us illogical to conclude that for cost </w:t>
      </w:r>
      <w:r w:rsidR="008522FD">
        <w:t xml:space="preserve">and complexity </w:t>
      </w:r>
      <w:r>
        <w:t>reasons the calculation for purposes of the critical threshold should be done only at a ‘point in time’</w:t>
      </w:r>
      <w:r w:rsidR="00F12310">
        <w:t>,</w:t>
      </w:r>
      <w:r>
        <w:t xml:space="preserve"> while </w:t>
      </w:r>
      <w:r>
        <w:lastRenderedPageBreak/>
        <w:t xml:space="preserve">the calculation for significant and non-significant benchmarks should be done over a dataset of </w:t>
      </w:r>
      <w:r w:rsidR="00EA5766">
        <w:t>six</w:t>
      </w:r>
      <w:r>
        <w:t xml:space="preserve"> months. Firstly, we do not believe that there is</w:t>
      </w:r>
      <w:r w:rsidR="00194268">
        <w:t xml:space="preserve"> likely to be </w:t>
      </w:r>
      <w:r>
        <w:t xml:space="preserve">a </w:t>
      </w:r>
      <w:r w:rsidR="00194268">
        <w:t>material</w:t>
      </w:r>
      <w:r>
        <w:t xml:space="preserve"> differen</w:t>
      </w:r>
      <w:r w:rsidR="00EA5766">
        <w:t>ce</w:t>
      </w:r>
      <w:r>
        <w:t xml:space="preserve"> in cost </w:t>
      </w:r>
      <w:r w:rsidR="008522FD">
        <w:t xml:space="preserve">or complexity </w:t>
      </w:r>
      <w:r>
        <w:t xml:space="preserve">associated with the two calculation approaches. But </w:t>
      </w:r>
      <w:r w:rsidR="00840038">
        <w:t>also</w:t>
      </w:r>
      <w:r>
        <w:t xml:space="preserve">, to the extent there may be any </w:t>
      </w:r>
      <w:r w:rsidR="00840038">
        <w:t xml:space="preserve">slight </w:t>
      </w:r>
      <w:r>
        <w:t xml:space="preserve">cost </w:t>
      </w:r>
      <w:r w:rsidR="008522FD">
        <w:t xml:space="preserve">or complexity </w:t>
      </w:r>
      <w:r w:rsidR="00840038">
        <w:t>differences</w:t>
      </w:r>
      <w:r w:rsidR="005D32E4">
        <w:t>,</w:t>
      </w:r>
      <w:r>
        <w:t xml:space="preserve"> it would clearly be greater cost </w:t>
      </w:r>
      <w:r w:rsidR="008522FD">
        <w:t xml:space="preserve">and complexity </w:t>
      </w:r>
      <w:r>
        <w:t xml:space="preserve">to calculate over a dataset of </w:t>
      </w:r>
      <w:r w:rsidR="00EA5766">
        <w:t>six</w:t>
      </w:r>
      <w:r>
        <w:t xml:space="preserve"> months (</w:t>
      </w:r>
      <w:proofErr w:type="spellStart"/>
      <w:r>
        <w:t>ie</w:t>
      </w:r>
      <w:proofErr w:type="spellEnd"/>
      <w:r>
        <w:t xml:space="preserve"> the significant and non-significant threshold calculation) than for the ‘point in time’ </w:t>
      </w:r>
      <w:r w:rsidR="00840038">
        <w:t xml:space="preserve">calculation </w:t>
      </w:r>
      <w:r>
        <w:t>(</w:t>
      </w:r>
      <w:proofErr w:type="spellStart"/>
      <w:r>
        <w:t>ie</w:t>
      </w:r>
      <w:proofErr w:type="spellEnd"/>
      <w:r>
        <w:t xml:space="preserve"> the critical threshold calculation)</w:t>
      </w:r>
      <w:r w:rsidR="00840038">
        <w:t xml:space="preserve">. In other words, the proportionality would perversely apply in reverse, placing greater cost </w:t>
      </w:r>
      <w:r w:rsidR="008522FD">
        <w:t xml:space="preserve">and complexity </w:t>
      </w:r>
      <w:r w:rsidR="00840038">
        <w:t xml:space="preserve">on administrators of non-significant benchmarks and least cost </w:t>
      </w:r>
      <w:r w:rsidR="008522FD">
        <w:t xml:space="preserve">and complexity </w:t>
      </w:r>
      <w:r w:rsidR="00840038">
        <w:t>on those providing critical benchmarks.</w:t>
      </w:r>
    </w:p>
    <w:p w:rsidR="009915C9" w:rsidRDefault="009915C9" w:rsidP="009A2624"/>
    <w:p w:rsidR="005D32E4" w:rsidRDefault="005D32E4" w:rsidP="009A2624">
      <w:r>
        <w:t xml:space="preserve">Overall therefore Argus considers </w:t>
      </w:r>
      <w:proofErr w:type="spellStart"/>
      <w:r>
        <w:t>ESMA’s</w:t>
      </w:r>
      <w:proofErr w:type="spellEnd"/>
      <w:r>
        <w:t xml:space="preserve"> proposal that the measurement should be performed over a </w:t>
      </w:r>
      <w:r w:rsidR="00EA5766">
        <w:t xml:space="preserve">dataset </w:t>
      </w:r>
      <w:r>
        <w:t xml:space="preserve">period of months </w:t>
      </w:r>
      <w:r w:rsidR="00EA5766">
        <w:t xml:space="preserve">— such as six months — </w:t>
      </w:r>
      <w:r>
        <w:t xml:space="preserve">to be the most representative </w:t>
      </w:r>
      <w:r w:rsidR="00EA5766">
        <w:t xml:space="preserve">and reliable </w:t>
      </w:r>
      <w:r>
        <w:t xml:space="preserve">methodology </w:t>
      </w:r>
      <w:r w:rsidR="00EA5766">
        <w:t>for</w:t>
      </w:r>
      <w:r>
        <w:t xml:space="preserve"> robust measurement</w:t>
      </w:r>
      <w:r w:rsidR="000A5E15">
        <w:t xml:space="preserve"> and we believe it should be applied </w:t>
      </w:r>
      <w:r w:rsidR="00194268">
        <w:t>equally</w:t>
      </w:r>
      <w:r w:rsidR="00F12310">
        <w:t xml:space="preserve"> </w:t>
      </w:r>
      <w:r>
        <w:t xml:space="preserve">for purposes of assessing whether a benchmark is </w:t>
      </w:r>
      <w:r w:rsidR="000A5E15">
        <w:t xml:space="preserve">critical (Article 20(1)) and whether </w:t>
      </w:r>
      <w:r>
        <w:t>significant</w:t>
      </w:r>
      <w:r w:rsidR="000A5E15">
        <w:t>/non-significant</w:t>
      </w:r>
      <w:r>
        <w:t xml:space="preserve"> (Article </w:t>
      </w:r>
      <w:r w:rsidR="000A5E15">
        <w:t>24(1</w:t>
      </w:r>
      <w:proofErr w:type="gramStart"/>
      <w:r w:rsidR="000A5E15">
        <w:t>)(</w:t>
      </w:r>
      <w:proofErr w:type="gramEnd"/>
      <w:r w:rsidR="000A5E15">
        <w:t>a</w:t>
      </w:r>
      <w:r>
        <w:t>)</w:t>
      </w:r>
      <w:r w:rsidR="000A5E15">
        <w:t>)</w:t>
      </w:r>
      <w:r>
        <w:t>.</w:t>
      </w:r>
    </w:p>
    <w:p w:rsidR="00EA5766" w:rsidRDefault="00EA5766" w:rsidP="009A2624"/>
    <w:p w:rsidR="00746759" w:rsidRDefault="006A0A45" w:rsidP="009A2624">
      <w:r>
        <w:t>Separately</w:t>
      </w:r>
      <w:r w:rsidR="00194268">
        <w:t xml:space="preserve"> and</w:t>
      </w:r>
      <w:r w:rsidR="00746759">
        <w:t xml:space="preserve"> </w:t>
      </w:r>
      <w:r w:rsidR="00EE0597">
        <w:t xml:space="preserve">in addition to the above, </w:t>
      </w:r>
      <w:r w:rsidR="00746759">
        <w:t xml:space="preserve">we would also encourage </w:t>
      </w:r>
      <w:proofErr w:type="spellStart"/>
      <w:r w:rsidR="00746759">
        <w:t>ESMA</w:t>
      </w:r>
      <w:proofErr w:type="spellEnd"/>
      <w:r w:rsidR="00746759">
        <w:t xml:space="preserve"> to </w:t>
      </w:r>
      <w:r w:rsidR="00EE0597">
        <w:t xml:space="preserve">include the following </w:t>
      </w:r>
      <w:proofErr w:type="spellStart"/>
      <w:r w:rsidR="00EE0597">
        <w:t>clarific</w:t>
      </w:r>
      <w:r w:rsidR="00EE0597">
        <w:t>a</w:t>
      </w:r>
      <w:r w:rsidR="00EE0597">
        <w:t>tional</w:t>
      </w:r>
      <w:proofErr w:type="spellEnd"/>
      <w:r w:rsidR="00EE0597">
        <w:t xml:space="preserve"> amendment to the first paragraph of the draft Technical Advice (suggested additions in </w:t>
      </w:r>
      <w:r w:rsidR="00EE0597" w:rsidRPr="00194268">
        <w:rPr>
          <w:b/>
          <w:i/>
        </w:rPr>
        <w:t>bold italics</w:t>
      </w:r>
      <w:r w:rsidR="00EE0597">
        <w:t xml:space="preserve">), </w:t>
      </w:r>
      <w:r w:rsidR="002537A7">
        <w:t xml:space="preserve">in order </w:t>
      </w:r>
      <w:r w:rsidR="00EE0597">
        <w:t xml:space="preserve">to </w:t>
      </w:r>
      <w:r w:rsidR="002537A7">
        <w:t xml:space="preserve">remove any possible ambiguity in the wording of the Technical Advice as to whether </w:t>
      </w:r>
      <w:r w:rsidR="00EE0597">
        <w:t>the calc</w:t>
      </w:r>
      <w:r w:rsidR="00EE0597">
        <w:t>u</w:t>
      </w:r>
      <w:r w:rsidR="00EE0597">
        <w:t xml:space="preserve">lation to be performed over the six month period is an arithmetic average </w:t>
      </w:r>
      <w:r w:rsidR="002537A7">
        <w:t xml:space="preserve">or </w:t>
      </w:r>
      <w:r w:rsidR="00D417A2">
        <w:t xml:space="preserve">a </w:t>
      </w:r>
      <w:r w:rsidR="00EE0597">
        <w:t>summation</w:t>
      </w:r>
      <w:r w:rsidR="002537A7">
        <w:t xml:space="preserve">. While it is clear from </w:t>
      </w:r>
      <w:proofErr w:type="spellStart"/>
      <w:r w:rsidR="002537A7">
        <w:t>ESMA’s</w:t>
      </w:r>
      <w:proofErr w:type="spellEnd"/>
      <w:r w:rsidR="002537A7">
        <w:t xml:space="preserve"> discussion elsewhere in the CP that the calculation to be performed is an average, we would encourage this to be directly specified in the</w:t>
      </w:r>
      <w:r w:rsidR="002537A7" w:rsidRPr="002537A7">
        <w:t xml:space="preserve"> </w:t>
      </w:r>
      <w:r w:rsidR="002537A7">
        <w:t>draft Technical Advice.</w:t>
      </w:r>
    </w:p>
    <w:p w:rsidR="00EA5766" w:rsidRDefault="00EA5766" w:rsidP="009A2624"/>
    <w:p w:rsidR="00EE0597" w:rsidRDefault="00EE0597" w:rsidP="00EE0597">
      <w:pPr>
        <w:ind w:left="709"/>
      </w:pPr>
      <w:r>
        <w:t>The following measures, expressed in EUR (contracts in other currencies shall be converted into EUR using the daily euro foreign exchange rate published by the European Central Bank on its website), should be taken into account when assessing benchmarks under the thresholds in Art</w:t>
      </w:r>
      <w:r>
        <w:t>i</w:t>
      </w:r>
      <w:r>
        <w:t>cle 20(1) (</w:t>
      </w:r>
      <w:r w:rsidRPr="00EE0597">
        <w:rPr>
          <w:strike/>
        </w:rPr>
        <w:t>at a specified point in time</w:t>
      </w:r>
      <w:r w:rsidRPr="00EE0597">
        <w:t>*</w:t>
      </w:r>
      <w:r>
        <w:t>) and under the thresholds in Article 24(1</w:t>
      </w:r>
      <w:proofErr w:type="gramStart"/>
      <w:r>
        <w:t>)(</w:t>
      </w:r>
      <w:proofErr w:type="gramEnd"/>
      <w:r>
        <w:t>a) (</w:t>
      </w:r>
      <w:r w:rsidRPr="00EE0597">
        <w:rPr>
          <w:b/>
          <w:i/>
        </w:rPr>
        <w:t>average</w:t>
      </w:r>
      <w:r>
        <w:t xml:space="preserve"> over a period of six months):</w:t>
      </w:r>
    </w:p>
    <w:p w:rsidR="00EE0597" w:rsidRDefault="00EE0597" w:rsidP="00EE0597">
      <w:pPr>
        <w:ind w:left="709"/>
      </w:pPr>
    </w:p>
    <w:p w:rsidR="00EE0597" w:rsidRDefault="00EE0597" w:rsidP="00EE0597">
      <w:pPr>
        <w:ind w:left="709"/>
      </w:pPr>
      <w:r>
        <w:t>*</w:t>
      </w:r>
      <w:r w:rsidR="002537A7">
        <w:t>Also r</w:t>
      </w:r>
      <w:r>
        <w:t>ecommended as ‘</w:t>
      </w:r>
      <w:r w:rsidRPr="00EE0597">
        <w:t>average over a period of six months’</w:t>
      </w:r>
      <w:r w:rsidR="002537A7">
        <w:t>, as discussed fully in our response above.</w:t>
      </w:r>
    </w:p>
    <w:p w:rsidR="006A0A45" w:rsidRDefault="006A0A45" w:rsidP="009A2624"/>
    <w:p w:rsidR="006A0A45" w:rsidRDefault="006A0A45" w:rsidP="009A2624">
      <w:r>
        <w:t xml:space="preserve">Lastly, we fully support </w:t>
      </w:r>
      <w:proofErr w:type="spellStart"/>
      <w:r>
        <w:t>ESMA’s</w:t>
      </w:r>
      <w:proofErr w:type="spellEnd"/>
      <w:r>
        <w:t xml:space="preserve"> proposed approach in respect of indirect references to a benchmark within a combination of benchmarks.</w:t>
      </w:r>
    </w:p>
    <w:p w:rsidR="006A0A45" w:rsidRDefault="006A0A45" w:rsidP="009A2624"/>
    <w:permEnd w:id="1083602359"/>
    <w:p w:rsidR="009A2624" w:rsidRDefault="00665C07" w:rsidP="009A2624">
      <w:r>
        <w:t>&lt;ESMA_QUESTION_C</w:t>
      </w:r>
      <w:r w:rsidR="009A2624">
        <w:t>P_BMR_6&gt;</w:t>
      </w:r>
    </w:p>
    <w:p w:rsidR="009A2624" w:rsidRDefault="009A2624" w:rsidP="009A2624"/>
    <w:p w:rsidR="009A2624" w:rsidRPr="007F44BF" w:rsidRDefault="00293D4B" w:rsidP="002342EC">
      <w:pPr>
        <w:pStyle w:val="Questionstyle"/>
      </w:pPr>
      <w:r w:rsidRPr="0006038D">
        <w:rPr>
          <w:rFonts w:cs="Arial"/>
          <w:lang w:val="en-US"/>
        </w:rPr>
        <w:t>Wh</w:t>
      </w:r>
      <w:r>
        <w:rPr>
          <w:rFonts w:cs="Arial"/>
          <w:lang w:val="en-US"/>
        </w:rPr>
        <w:t>at</w:t>
      </w:r>
      <w:r w:rsidRPr="0006038D">
        <w:rPr>
          <w:rFonts w:cs="Arial"/>
          <w:lang w:val="en-US"/>
        </w:rPr>
        <w:t xml:space="preserve"> are your views on the use of licensing agreements to identify financial instruments referencing benchmarks? Would this approach be useful in particular in the case of investment funds?</w:t>
      </w:r>
    </w:p>
    <w:p w:rsidR="009A2624" w:rsidRDefault="00665C07" w:rsidP="009A2624">
      <w:r>
        <w:t>&lt;ESMA_QUESTION_C</w:t>
      </w:r>
      <w:r w:rsidR="009A2624">
        <w:t>P_BMR_7&gt;</w:t>
      </w:r>
    </w:p>
    <w:p w:rsidR="000C6F31" w:rsidRPr="001474BA" w:rsidRDefault="005E2BE5" w:rsidP="009A2624">
      <w:permStart w:id="780405040" w:edGrp="everyone"/>
      <w:r w:rsidRPr="001474BA">
        <w:t xml:space="preserve">Argus </w:t>
      </w:r>
      <w:r w:rsidR="007F25FA" w:rsidRPr="001474BA">
        <w:t xml:space="preserve">would </w:t>
      </w:r>
      <w:r w:rsidR="005F4954" w:rsidRPr="001474BA">
        <w:t xml:space="preserve">oppose any mandatory use of an Administrator’s </w:t>
      </w:r>
      <w:r w:rsidRPr="001474BA">
        <w:t xml:space="preserve">licensing </w:t>
      </w:r>
      <w:r w:rsidR="005F4954" w:rsidRPr="001474BA">
        <w:t>agreements as there is no prov</w:t>
      </w:r>
      <w:r w:rsidR="005F4954" w:rsidRPr="001474BA">
        <w:t>i</w:t>
      </w:r>
      <w:r w:rsidR="005F4954" w:rsidRPr="001474BA">
        <w:t>sion f</w:t>
      </w:r>
      <w:r w:rsidR="00774028" w:rsidRPr="001474BA">
        <w:t xml:space="preserve">or such an obligation at Level </w:t>
      </w:r>
      <w:r w:rsidR="000379A4">
        <w:t xml:space="preserve">1 and </w:t>
      </w:r>
      <w:r w:rsidR="008E5D5D" w:rsidRPr="001474BA">
        <w:t xml:space="preserve">it would </w:t>
      </w:r>
      <w:r w:rsidR="00774028" w:rsidRPr="001474BA">
        <w:t xml:space="preserve">appear to </w:t>
      </w:r>
      <w:r w:rsidR="008E5D5D" w:rsidRPr="001474BA">
        <w:t xml:space="preserve">be ultra vires to </w:t>
      </w:r>
      <w:r w:rsidR="005F4954" w:rsidRPr="001474BA">
        <w:t xml:space="preserve">introduce one. </w:t>
      </w:r>
      <w:r w:rsidR="00EE1FBC" w:rsidRPr="001474BA">
        <w:t>The</w:t>
      </w:r>
      <w:r w:rsidR="00190114" w:rsidRPr="001474BA">
        <w:t xml:space="preserve"> approach</w:t>
      </w:r>
      <w:r w:rsidR="008E5D5D" w:rsidRPr="001474BA">
        <w:t xml:space="preserve"> could </w:t>
      </w:r>
      <w:r w:rsidR="00707526" w:rsidRPr="001474BA">
        <w:t xml:space="preserve">perhaps </w:t>
      </w:r>
      <w:r w:rsidR="008E5D5D" w:rsidRPr="001474BA">
        <w:t xml:space="preserve">be considered on a strictly voluntary basis — </w:t>
      </w:r>
      <w:proofErr w:type="spellStart"/>
      <w:r w:rsidR="008E5D5D" w:rsidRPr="001474BA">
        <w:t>ie</w:t>
      </w:r>
      <w:proofErr w:type="spellEnd"/>
      <w:r w:rsidR="008E5D5D" w:rsidRPr="001474BA">
        <w:t xml:space="preserve"> an Administrator could voluntarily choose </w:t>
      </w:r>
      <w:r w:rsidR="00190114" w:rsidRPr="001474BA">
        <w:t xml:space="preserve">or agree </w:t>
      </w:r>
      <w:r w:rsidR="008E5D5D" w:rsidRPr="001474BA">
        <w:t>to provide a list of its licensees to a</w:t>
      </w:r>
      <w:r w:rsidR="009B492A" w:rsidRPr="001474BA">
        <w:t xml:space="preserve"> national regulatory authority (</w:t>
      </w:r>
      <w:r w:rsidR="008E5D5D" w:rsidRPr="001474BA">
        <w:t>NRA</w:t>
      </w:r>
      <w:r w:rsidR="009B492A" w:rsidRPr="001474BA">
        <w:t>)</w:t>
      </w:r>
      <w:r w:rsidR="008E5D5D" w:rsidRPr="001474BA">
        <w:t xml:space="preserve"> for the NRA to issue </w:t>
      </w:r>
      <w:r w:rsidR="00811F61" w:rsidRPr="001474BA">
        <w:t xml:space="preserve">the </w:t>
      </w:r>
      <w:r w:rsidR="008E5D5D" w:rsidRPr="001474BA">
        <w:t>licensees with a questionnaire — but i</w:t>
      </w:r>
      <w:r w:rsidR="000C6F31" w:rsidRPr="001474BA">
        <w:t>n practice t</w:t>
      </w:r>
      <w:r w:rsidR="005F4954" w:rsidRPr="001474BA">
        <w:t xml:space="preserve">here seem </w:t>
      </w:r>
      <w:r w:rsidR="00B13332" w:rsidRPr="001474BA">
        <w:t xml:space="preserve">in </w:t>
      </w:r>
      <w:r w:rsidR="00E944E6" w:rsidRPr="001474BA">
        <w:t>most</w:t>
      </w:r>
      <w:r w:rsidR="00B13332" w:rsidRPr="001474BA">
        <w:t xml:space="preserve"> case</w:t>
      </w:r>
      <w:r w:rsidR="00E944E6" w:rsidRPr="001474BA">
        <w:t>s</w:t>
      </w:r>
      <w:r w:rsidR="00B13332" w:rsidRPr="001474BA">
        <w:t xml:space="preserve"> </w:t>
      </w:r>
      <w:r w:rsidR="005F4954" w:rsidRPr="001474BA">
        <w:t xml:space="preserve">to be much better options available for </w:t>
      </w:r>
      <w:proofErr w:type="spellStart"/>
      <w:r w:rsidR="005F4954" w:rsidRPr="001474BA">
        <w:t>ESMA</w:t>
      </w:r>
      <w:proofErr w:type="spellEnd"/>
      <w:r w:rsidR="005F4954" w:rsidRPr="001474BA">
        <w:t xml:space="preserve"> to consider.</w:t>
      </w:r>
    </w:p>
    <w:p w:rsidR="000C6F31" w:rsidRPr="001474BA" w:rsidRDefault="000C6F31" w:rsidP="009A2624"/>
    <w:p w:rsidR="00BD06D3" w:rsidRPr="001474BA" w:rsidRDefault="006F1875" w:rsidP="009A2624">
      <w:r w:rsidRPr="001474BA">
        <w:t>For many Administrators, m</w:t>
      </w:r>
      <w:r w:rsidR="005F4954" w:rsidRPr="001474BA">
        <w:t>andatory use of licensing agreements would be a highly disproportionate and burdensome</w:t>
      </w:r>
      <w:r w:rsidR="00DA7BA1" w:rsidRPr="001474BA">
        <w:t xml:space="preserve"> approach</w:t>
      </w:r>
      <w:r w:rsidR="005F4954" w:rsidRPr="001474BA">
        <w:t xml:space="preserve">, both for </w:t>
      </w:r>
      <w:r w:rsidRPr="001474BA">
        <w:t xml:space="preserve">the </w:t>
      </w:r>
      <w:r w:rsidR="00B87BC1" w:rsidRPr="001474BA">
        <w:t>A</w:t>
      </w:r>
      <w:r w:rsidR="005F4954" w:rsidRPr="001474BA">
        <w:t xml:space="preserve">dministrator and </w:t>
      </w:r>
      <w:r w:rsidRPr="001474BA">
        <w:t>its NRA</w:t>
      </w:r>
      <w:r w:rsidR="005F4954" w:rsidRPr="001474BA">
        <w:t xml:space="preserve">. </w:t>
      </w:r>
      <w:r w:rsidR="000C6F31" w:rsidRPr="001474BA">
        <w:t xml:space="preserve">Administrators may well have </w:t>
      </w:r>
      <w:r w:rsidR="00C82D70" w:rsidRPr="001474BA">
        <w:t xml:space="preserve">thousands, or </w:t>
      </w:r>
      <w:r w:rsidR="000C6F31" w:rsidRPr="001474BA">
        <w:t>tens of</w:t>
      </w:r>
      <w:r w:rsidR="00C82D70" w:rsidRPr="001474BA">
        <w:t xml:space="preserve"> thousands,</w:t>
      </w:r>
      <w:r w:rsidR="000C6F31" w:rsidRPr="001474BA">
        <w:t xml:space="preserve"> of licensees</w:t>
      </w:r>
      <w:r w:rsidR="00B13332" w:rsidRPr="001474BA">
        <w:t xml:space="preserve"> </w:t>
      </w:r>
      <w:r w:rsidR="00B87BC1" w:rsidRPr="001474BA">
        <w:t xml:space="preserve">as </w:t>
      </w:r>
      <w:r w:rsidR="00B13332" w:rsidRPr="001474BA">
        <w:t>customers</w:t>
      </w:r>
      <w:r w:rsidR="00C82D70" w:rsidRPr="001474BA">
        <w:t xml:space="preserve">. Furthermore, </w:t>
      </w:r>
      <w:r w:rsidR="00190114" w:rsidRPr="001474BA">
        <w:t xml:space="preserve">only a tiny fraction of these </w:t>
      </w:r>
      <w:r w:rsidR="00201385" w:rsidRPr="001474BA">
        <w:t xml:space="preserve">licensees </w:t>
      </w:r>
      <w:r w:rsidR="00190114" w:rsidRPr="001474BA">
        <w:t>may be using any data for the purposes of a ‘benchmark’ as covered by BMR</w:t>
      </w:r>
      <w:r w:rsidR="00C82D70" w:rsidRPr="001474BA">
        <w:t xml:space="preserve"> </w:t>
      </w:r>
      <w:r w:rsidR="00E944E6" w:rsidRPr="001474BA">
        <w:t>and</w:t>
      </w:r>
      <w:r w:rsidR="00C82D70" w:rsidRPr="001474BA">
        <w:t xml:space="preserve"> the </w:t>
      </w:r>
      <w:r w:rsidR="00201385" w:rsidRPr="001474BA">
        <w:t xml:space="preserve">license agreement </w:t>
      </w:r>
      <w:r w:rsidR="00707526" w:rsidRPr="001474BA">
        <w:t>may</w:t>
      </w:r>
      <w:r w:rsidR="00201385" w:rsidRPr="001474BA">
        <w:t xml:space="preserve"> not enable the </w:t>
      </w:r>
      <w:r w:rsidR="00C82D70" w:rsidRPr="001474BA">
        <w:t xml:space="preserve">Administrator </w:t>
      </w:r>
      <w:r w:rsidR="00201385" w:rsidRPr="001474BA">
        <w:t xml:space="preserve">to know which </w:t>
      </w:r>
      <w:r w:rsidR="00774028" w:rsidRPr="001474BA">
        <w:t>of its</w:t>
      </w:r>
      <w:r w:rsidR="00707526" w:rsidRPr="001474BA">
        <w:t xml:space="preserve"> </w:t>
      </w:r>
      <w:r w:rsidRPr="001474BA">
        <w:t>licensees</w:t>
      </w:r>
      <w:r w:rsidR="00E944E6" w:rsidRPr="001474BA">
        <w:t xml:space="preserve"> </w:t>
      </w:r>
      <w:r w:rsidR="00774028" w:rsidRPr="001474BA">
        <w:t>are using the data in th</w:t>
      </w:r>
      <w:r w:rsidR="00F66ACC">
        <w:t>is</w:t>
      </w:r>
      <w:r w:rsidR="00774028" w:rsidRPr="001474BA">
        <w:t xml:space="preserve"> manner</w:t>
      </w:r>
      <w:r w:rsidR="00707526" w:rsidRPr="001474BA">
        <w:t xml:space="preserve">. </w:t>
      </w:r>
      <w:r w:rsidR="000C6F31" w:rsidRPr="001474BA">
        <w:t xml:space="preserve">In </w:t>
      </w:r>
      <w:r w:rsidR="00B13332" w:rsidRPr="001474BA">
        <w:t xml:space="preserve">the </w:t>
      </w:r>
      <w:r w:rsidR="000C6F31" w:rsidRPr="001474BA">
        <w:t>case</w:t>
      </w:r>
      <w:r w:rsidR="00B13332" w:rsidRPr="001474BA">
        <w:t xml:space="preserve"> of </w:t>
      </w:r>
      <w:r w:rsidR="000C6F31" w:rsidRPr="001474BA">
        <w:t xml:space="preserve">publishers </w:t>
      </w:r>
      <w:r w:rsidR="00B13332" w:rsidRPr="001474BA">
        <w:t xml:space="preserve">such as </w:t>
      </w:r>
      <w:r w:rsidR="000C6F31" w:rsidRPr="001474BA">
        <w:t xml:space="preserve">PRAs, licenses are </w:t>
      </w:r>
      <w:r w:rsidR="00B13332" w:rsidRPr="001474BA">
        <w:t xml:space="preserve">typically </w:t>
      </w:r>
      <w:r w:rsidR="000C6F31" w:rsidRPr="001474BA">
        <w:t xml:space="preserve">not specific to usage of any data </w:t>
      </w:r>
      <w:r w:rsidR="00B13332" w:rsidRPr="001474BA">
        <w:t>for ‘benchmark’ pu</w:t>
      </w:r>
      <w:r w:rsidR="00B13332" w:rsidRPr="001474BA">
        <w:t>r</w:t>
      </w:r>
      <w:r w:rsidR="00B13332" w:rsidRPr="001474BA">
        <w:t xml:space="preserve">poses </w:t>
      </w:r>
      <w:r w:rsidR="000C6F31" w:rsidRPr="001474BA">
        <w:t>but are general subscription licenses to a publisher’s periodical</w:t>
      </w:r>
      <w:r w:rsidR="00DA7BA1" w:rsidRPr="001474BA">
        <w:t>s</w:t>
      </w:r>
      <w:r w:rsidR="00B13332" w:rsidRPr="001474BA">
        <w:t xml:space="preserve"> (similar to a </w:t>
      </w:r>
      <w:r w:rsidR="00811F61" w:rsidRPr="001474BA">
        <w:t xml:space="preserve">corporate </w:t>
      </w:r>
      <w:r w:rsidR="00B13332" w:rsidRPr="001474BA">
        <w:t xml:space="preserve">subscription license to the Financial Times or </w:t>
      </w:r>
      <w:r w:rsidR="00504668" w:rsidRPr="001474BA">
        <w:t>T</w:t>
      </w:r>
      <w:r w:rsidR="00B13332" w:rsidRPr="001474BA">
        <w:t xml:space="preserve">he Economist). This </w:t>
      </w:r>
      <w:r w:rsidR="000C6F31" w:rsidRPr="001474BA">
        <w:t>mak</w:t>
      </w:r>
      <w:r w:rsidR="00B13332" w:rsidRPr="001474BA">
        <w:t>es</w:t>
      </w:r>
      <w:r w:rsidR="000C6F31" w:rsidRPr="001474BA">
        <w:t xml:space="preserve"> </w:t>
      </w:r>
      <w:r w:rsidR="00DA7BA1" w:rsidRPr="001474BA">
        <w:t xml:space="preserve">such </w:t>
      </w:r>
      <w:r w:rsidR="000C6F31" w:rsidRPr="001474BA">
        <w:t xml:space="preserve">license agreements unsuitable in any case </w:t>
      </w:r>
      <w:r w:rsidR="00B356F5" w:rsidRPr="001474BA">
        <w:t xml:space="preserve">as a starting point </w:t>
      </w:r>
      <w:r w:rsidR="000C6F31" w:rsidRPr="001474BA">
        <w:t xml:space="preserve">to </w:t>
      </w:r>
      <w:r w:rsidR="00B13332" w:rsidRPr="001474BA">
        <w:t xml:space="preserve">identifying financial instruments, as </w:t>
      </w:r>
      <w:proofErr w:type="spellStart"/>
      <w:r w:rsidR="00B13332" w:rsidRPr="001474BA">
        <w:t>ESMA</w:t>
      </w:r>
      <w:proofErr w:type="spellEnd"/>
      <w:r w:rsidR="00B13332" w:rsidRPr="001474BA">
        <w:t xml:space="preserve"> recognises in CP paragraph 83</w:t>
      </w:r>
      <w:r w:rsidR="00BD06D3" w:rsidRPr="001474BA">
        <w:t>.</w:t>
      </w:r>
    </w:p>
    <w:p w:rsidR="00BD06D3" w:rsidRPr="001474BA" w:rsidRDefault="00BD06D3" w:rsidP="009A2624"/>
    <w:p w:rsidR="00201385" w:rsidRPr="001474BA" w:rsidRDefault="00B87BC1" w:rsidP="009A2624">
      <w:r w:rsidRPr="001474BA">
        <w:lastRenderedPageBreak/>
        <w:t xml:space="preserve">It </w:t>
      </w:r>
      <w:r w:rsidR="00190114" w:rsidRPr="001474BA">
        <w:t xml:space="preserve">would clearly be disproportionate </w:t>
      </w:r>
      <w:r w:rsidRPr="001474BA">
        <w:t>and burdensome</w:t>
      </w:r>
      <w:r w:rsidR="00C82D70" w:rsidRPr="001474BA">
        <w:t xml:space="preserve">, both to </w:t>
      </w:r>
      <w:r w:rsidRPr="001474BA">
        <w:t xml:space="preserve">Administrators </w:t>
      </w:r>
      <w:r w:rsidR="00C82D70" w:rsidRPr="001474BA">
        <w:t xml:space="preserve">and NRAs, for the former to be required to provide a list of </w:t>
      </w:r>
      <w:r w:rsidR="00CE7630" w:rsidRPr="001474BA">
        <w:t xml:space="preserve">all </w:t>
      </w:r>
      <w:r w:rsidR="00C82D70" w:rsidRPr="001474BA">
        <w:t xml:space="preserve">licensees </w:t>
      </w:r>
      <w:r w:rsidR="00707526" w:rsidRPr="001474BA">
        <w:t xml:space="preserve">where only a small but unknown </w:t>
      </w:r>
      <w:r w:rsidR="00BD06D3" w:rsidRPr="001474BA">
        <w:t>number</w:t>
      </w:r>
      <w:r w:rsidR="00707526" w:rsidRPr="001474BA">
        <w:t xml:space="preserve"> </w:t>
      </w:r>
      <w:r w:rsidR="00CE7630" w:rsidRPr="001474BA">
        <w:t xml:space="preserve">of them </w:t>
      </w:r>
      <w:r w:rsidR="00AD4EDE" w:rsidRPr="001474BA">
        <w:t>is</w:t>
      </w:r>
      <w:r w:rsidR="00707526" w:rsidRPr="001474BA">
        <w:t xml:space="preserve"> using any data for the purposes of a ‘benchmark’ as covered by BMR, </w:t>
      </w:r>
      <w:r w:rsidRPr="001474BA">
        <w:t xml:space="preserve">and </w:t>
      </w:r>
      <w:r w:rsidR="00C82D70" w:rsidRPr="001474BA">
        <w:t xml:space="preserve">the latter </w:t>
      </w:r>
      <w:r w:rsidR="006F1875" w:rsidRPr="001474BA">
        <w:t xml:space="preserve">to </w:t>
      </w:r>
      <w:r w:rsidRPr="001474BA">
        <w:t>send</w:t>
      </w:r>
      <w:r w:rsidR="00C82D70" w:rsidRPr="001474BA">
        <w:t xml:space="preserve"> what may amount to tens or </w:t>
      </w:r>
      <w:r w:rsidR="00201385" w:rsidRPr="001474BA">
        <w:t xml:space="preserve">even </w:t>
      </w:r>
      <w:r w:rsidRPr="001474BA">
        <w:t xml:space="preserve">hundreds of thousands of </w:t>
      </w:r>
      <w:r w:rsidR="00C82D70" w:rsidRPr="001474BA">
        <w:t>questionnaires to licensees across all Administrators under the NRA’s jurisdiction.</w:t>
      </w:r>
      <w:r w:rsidR="006F1875" w:rsidRPr="001474BA">
        <w:t xml:space="preserve"> Many licensees may not respond to the questionnaire and we cannot see any legisl</w:t>
      </w:r>
      <w:r w:rsidR="006F1875" w:rsidRPr="001474BA">
        <w:t>a</w:t>
      </w:r>
      <w:r w:rsidR="006F1875" w:rsidRPr="001474BA">
        <w:t>tive mechanism for responses to be made obligatory</w:t>
      </w:r>
      <w:r w:rsidR="0054274C" w:rsidRPr="001474BA">
        <w:t>,</w:t>
      </w:r>
      <w:r w:rsidR="006F1875" w:rsidRPr="001474BA">
        <w:t xml:space="preserve"> especially for those licensees that are not </w:t>
      </w:r>
      <w:r w:rsidR="00AD4EDE" w:rsidRPr="001474BA">
        <w:t xml:space="preserve">EU </w:t>
      </w:r>
      <w:r w:rsidR="006F1875" w:rsidRPr="001474BA">
        <w:t>supe</w:t>
      </w:r>
      <w:r w:rsidR="006F1875" w:rsidRPr="001474BA">
        <w:t>r</w:t>
      </w:r>
      <w:r w:rsidR="006F1875" w:rsidRPr="001474BA">
        <w:t>vised entities</w:t>
      </w:r>
      <w:r w:rsidR="00707526" w:rsidRPr="001474BA">
        <w:t xml:space="preserve"> — which is generally the case for </w:t>
      </w:r>
      <w:r w:rsidR="00AD3DE6" w:rsidRPr="001474BA">
        <w:t xml:space="preserve">customers of </w:t>
      </w:r>
      <w:r w:rsidR="00707526" w:rsidRPr="001474BA">
        <w:t>publishers such as PRAs</w:t>
      </w:r>
      <w:r w:rsidR="006F1875" w:rsidRPr="001474BA">
        <w:t xml:space="preserve">. </w:t>
      </w:r>
      <w:r w:rsidR="00707526" w:rsidRPr="001474BA">
        <w:t>Fu</w:t>
      </w:r>
      <w:r w:rsidR="00634173" w:rsidRPr="001474BA">
        <w:t>r</w:t>
      </w:r>
      <w:r w:rsidR="00707526" w:rsidRPr="001474BA">
        <w:t>thermore</w:t>
      </w:r>
      <w:r w:rsidR="00CE7630" w:rsidRPr="001474BA">
        <w:t>,</w:t>
      </w:r>
      <w:r w:rsidR="00707526" w:rsidRPr="001474BA">
        <w:t xml:space="preserve"> </w:t>
      </w:r>
      <w:r w:rsidR="00634173" w:rsidRPr="001474BA">
        <w:t>corporate subscriptions</w:t>
      </w:r>
      <w:r w:rsidR="00707526" w:rsidRPr="001474BA">
        <w:t xml:space="preserve"> may be with </w:t>
      </w:r>
      <w:r w:rsidR="00634173" w:rsidRPr="001474BA">
        <w:t>a parent entity at group level</w:t>
      </w:r>
      <w:r w:rsidR="00AD4EDE" w:rsidRPr="001474BA">
        <w:t xml:space="preserve">, including </w:t>
      </w:r>
      <w:r w:rsidR="00634173" w:rsidRPr="001474BA">
        <w:t xml:space="preserve">a non-EU group parent, </w:t>
      </w:r>
      <w:r w:rsidR="00AD4EDE" w:rsidRPr="001474BA">
        <w:t xml:space="preserve">and </w:t>
      </w:r>
      <w:r w:rsidR="00634173" w:rsidRPr="001474BA">
        <w:t>cover all of the group’s subsidiaries globally</w:t>
      </w:r>
      <w:r w:rsidR="00BD06D3" w:rsidRPr="001474BA">
        <w:t xml:space="preserve">. </w:t>
      </w:r>
      <w:r w:rsidR="00AD4EDE" w:rsidRPr="001474BA">
        <w:t>We</w:t>
      </w:r>
      <w:r w:rsidR="00634173" w:rsidRPr="001474BA">
        <w:t xml:space="preserve"> have grave doubts that any </w:t>
      </w:r>
      <w:r w:rsidR="00AD4EDE" w:rsidRPr="001474BA">
        <w:t xml:space="preserve">‘mandatory’ </w:t>
      </w:r>
      <w:r w:rsidR="00634173" w:rsidRPr="001474BA">
        <w:t xml:space="preserve">questionnaire addressed to the </w:t>
      </w:r>
      <w:r w:rsidR="00806E45" w:rsidRPr="001474BA">
        <w:t xml:space="preserve">licensee </w:t>
      </w:r>
      <w:r w:rsidR="00634173" w:rsidRPr="001474BA">
        <w:t xml:space="preserve">parent </w:t>
      </w:r>
      <w:r w:rsidR="00CE7630" w:rsidRPr="001474BA">
        <w:t xml:space="preserve">— </w:t>
      </w:r>
      <w:r w:rsidR="000251CB" w:rsidRPr="001474BA">
        <w:t>for example</w:t>
      </w:r>
      <w:r w:rsidR="00CE7630" w:rsidRPr="001474BA">
        <w:t xml:space="preserve"> non-EU and non-supervised — </w:t>
      </w:r>
      <w:r w:rsidR="00634173" w:rsidRPr="001474BA">
        <w:t xml:space="preserve">would provide the NRA with meaningful information </w:t>
      </w:r>
      <w:r w:rsidR="00AD4EDE" w:rsidRPr="001474BA">
        <w:t>in respect of all the parent’s relevant subsidiaries and enable the NRA to identify any benchmarks “used” within the meaning of BMR by the licensee’s group.</w:t>
      </w:r>
    </w:p>
    <w:p w:rsidR="00201385" w:rsidRPr="001474BA" w:rsidRDefault="00201385" w:rsidP="009A2624"/>
    <w:p w:rsidR="005E2BE5" w:rsidRPr="001474BA" w:rsidRDefault="0054274C" w:rsidP="009A2624">
      <w:proofErr w:type="spellStart"/>
      <w:r w:rsidRPr="001474BA">
        <w:t>ESMA</w:t>
      </w:r>
      <w:proofErr w:type="spellEnd"/>
      <w:r w:rsidRPr="001474BA">
        <w:t xml:space="preserve"> correctly notes that l</w:t>
      </w:r>
      <w:r w:rsidR="005F4954" w:rsidRPr="001474BA">
        <w:t>icens</w:t>
      </w:r>
      <w:r w:rsidR="00B356F5" w:rsidRPr="001474BA">
        <w:t>e</w:t>
      </w:r>
      <w:r w:rsidR="005F4954" w:rsidRPr="001474BA">
        <w:t xml:space="preserve"> agreements </w:t>
      </w:r>
      <w:r w:rsidR="000C6F31" w:rsidRPr="001474BA">
        <w:t>typically contain</w:t>
      </w:r>
      <w:r w:rsidR="005F4954" w:rsidRPr="001474BA">
        <w:t xml:space="preserve"> </w:t>
      </w:r>
      <w:r w:rsidR="000C6F31" w:rsidRPr="001474BA">
        <w:t>confidentiality</w:t>
      </w:r>
      <w:r w:rsidR="00EE1FBC" w:rsidRPr="001474BA">
        <w:t xml:space="preserve"> obligations on the parties. </w:t>
      </w:r>
      <w:r w:rsidR="00BD06D3" w:rsidRPr="001474BA">
        <w:t>License</w:t>
      </w:r>
      <w:r w:rsidR="00EE1FBC" w:rsidRPr="001474BA">
        <w:t xml:space="preserve"> agreements also </w:t>
      </w:r>
      <w:r w:rsidR="00BD06D3" w:rsidRPr="001474BA">
        <w:t>generally</w:t>
      </w:r>
      <w:r w:rsidR="00EE1FBC" w:rsidRPr="001474BA">
        <w:t xml:space="preserve"> contain </w:t>
      </w:r>
      <w:r w:rsidR="005F4954" w:rsidRPr="001474BA">
        <w:t>personal data</w:t>
      </w:r>
      <w:r w:rsidRPr="001474BA">
        <w:t xml:space="preserve">. </w:t>
      </w:r>
      <w:r w:rsidR="000379A4" w:rsidRPr="000379A4">
        <w:t xml:space="preserve">Such agreements fall clearly within the realm of confidential business secrets. </w:t>
      </w:r>
      <w:r w:rsidR="00BD06D3" w:rsidRPr="001474BA">
        <w:t>Therefore contractually and l</w:t>
      </w:r>
      <w:r w:rsidR="00504668" w:rsidRPr="001474BA">
        <w:t xml:space="preserve">egally it </w:t>
      </w:r>
      <w:r w:rsidR="00201385" w:rsidRPr="001474BA">
        <w:t xml:space="preserve">is likely to be </w:t>
      </w:r>
      <w:r w:rsidR="00BD06D3" w:rsidRPr="001474BA">
        <w:t xml:space="preserve">highly </w:t>
      </w:r>
      <w:r w:rsidR="00201385" w:rsidRPr="001474BA">
        <w:t xml:space="preserve">problematic for an Administrator to provide </w:t>
      </w:r>
      <w:r w:rsidRPr="001474BA">
        <w:t xml:space="preserve">an NRA with </w:t>
      </w:r>
      <w:r w:rsidR="00B356F5" w:rsidRPr="001474BA">
        <w:t xml:space="preserve">information </w:t>
      </w:r>
      <w:r w:rsidR="000251CB" w:rsidRPr="001474BA">
        <w:t xml:space="preserve">such as a list of licensees and contact information </w:t>
      </w:r>
      <w:r w:rsidR="00B356F5" w:rsidRPr="001474BA">
        <w:t>d</w:t>
      </w:r>
      <w:r w:rsidR="00B356F5" w:rsidRPr="001474BA">
        <w:t>e</w:t>
      </w:r>
      <w:r w:rsidR="00B356F5" w:rsidRPr="001474BA">
        <w:t xml:space="preserve">rived from </w:t>
      </w:r>
      <w:r w:rsidR="00234353" w:rsidRPr="001474BA">
        <w:t>its license agreements</w:t>
      </w:r>
      <w:r w:rsidR="00EE1FBC" w:rsidRPr="001474BA">
        <w:t>.</w:t>
      </w:r>
      <w:r w:rsidR="00B13332" w:rsidRPr="001474BA">
        <w:t xml:space="preserve"> </w:t>
      </w:r>
      <w:r w:rsidR="000C6F31" w:rsidRPr="001474BA">
        <w:t xml:space="preserve">Administrators would in any case </w:t>
      </w:r>
      <w:r w:rsidR="00774028" w:rsidRPr="001474BA">
        <w:t xml:space="preserve">presumably </w:t>
      </w:r>
      <w:r w:rsidR="000C6F31" w:rsidRPr="001474BA">
        <w:t xml:space="preserve">want to see NRAs </w:t>
      </w:r>
      <w:r w:rsidR="00B356F5" w:rsidRPr="001474BA">
        <w:t>subject to</w:t>
      </w:r>
      <w:r w:rsidR="000C6F31" w:rsidRPr="001474BA">
        <w:t xml:space="preserve"> strict liability for any loss or damages suffered by the Administrator as a result of such highly confide</w:t>
      </w:r>
      <w:r w:rsidR="000C6F31" w:rsidRPr="001474BA">
        <w:t>n</w:t>
      </w:r>
      <w:r w:rsidR="000C6F31" w:rsidRPr="001474BA">
        <w:t xml:space="preserve">tial commercial information </w:t>
      </w:r>
      <w:r w:rsidR="00DA7BA1" w:rsidRPr="001474BA">
        <w:t xml:space="preserve">— effectively a list of all </w:t>
      </w:r>
      <w:r w:rsidR="00B356F5" w:rsidRPr="001474BA">
        <w:t xml:space="preserve">the Administrator’s </w:t>
      </w:r>
      <w:r w:rsidR="00DA7BA1" w:rsidRPr="001474BA">
        <w:t xml:space="preserve">customers — </w:t>
      </w:r>
      <w:r w:rsidR="000C6F31" w:rsidRPr="001474BA">
        <w:t xml:space="preserve">not being adequately safeguarded by an NRA and it is unclear that an NRA would </w:t>
      </w:r>
      <w:r w:rsidR="00DA7BA1" w:rsidRPr="001474BA">
        <w:t>be prepared</w:t>
      </w:r>
      <w:r w:rsidR="000C6F31" w:rsidRPr="001474BA">
        <w:t xml:space="preserve"> to take on such </w:t>
      </w:r>
      <w:r w:rsidR="00DA7BA1" w:rsidRPr="001474BA">
        <w:t>liability</w:t>
      </w:r>
      <w:r w:rsidR="00774028" w:rsidRPr="001474BA">
        <w:t>.</w:t>
      </w:r>
    </w:p>
    <w:p w:rsidR="00B13332" w:rsidRPr="001474BA" w:rsidRDefault="00B13332" w:rsidP="009A2624"/>
    <w:p w:rsidR="00190114" w:rsidRPr="001474BA" w:rsidRDefault="00DA7BA1" w:rsidP="009A2624">
      <w:r w:rsidRPr="001474BA">
        <w:t>Much better options seem generally to be available</w:t>
      </w:r>
      <w:r w:rsidR="007F25FA" w:rsidRPr="001474BA">
        <w:t xml:space="preserve"> and more proportionate</w:t>
      </w:r>
      <w:r w:rsidR="00504668" w:rsidRPr="001474BA">
        <w:t xml:space="preserve"> for identifying underlying benchmarks within the meaning of BMR</w:t>
      </w:r>
      <w:r w:rsidR="00806E45" w:rsidRPr="001474BA">
        <w:t>.</w:t>
      </w:r>
    </w:p>
    <w:p w:rsidR="00190114" w:rsidRPr="001474BA" w:rsidRDefault="00190114" w:rsidP="009A2624"/>
    <w:p w:rsidR="00811F61" w:rsidRPr="001474BA" w:rsidRDefault="00774028" w:rsidP="003B4D1C">
      <w:r w:rsidRPr="001474BA">
        <w:t xml:space="preserve">Argus believes that </w:t>
      </w:r>
      <w:r w:rsidR="003B4D1C" w:rsidRPr="001474BA">
        <w:t xml:space="preserve">a target long-term solution should be for a list of benchmarks to be obtained from regulatory data. We explore this more fully below. Furthermore, </w:t>
      </w:r>
      <w:r w:rsidRPr="001474BA">
        <w:t xml:space="preserve">Argus recommends that </w:t>
      </w:r>
      <w:proofErr w:type="spellStart"/>
      <w:r w:rsidRPr="001474BA">
        <w:t>ESMA</w:t>
      </w:r>
      <w:proofErr w:type="spellEnd"/>
      <w:r w:rsidRPr="001474BA">
        <w:t xml:space="preserve"> </w:t>
      </w:r>
      <w:r w:rsidR="00190114" w:rsidRPr="001474BA">
        <w:t>exten</w:t>
      </w:r>
      <w:r w:rsidRPr="001474BA">
        <w:t>ds</w:t>
      </w:r>
      <w:r w:rsidR="00190114" w:rsidRPr="001474BA">
        <w:t xml:space="preserve"> </w:t>
      </w:r>
      <w:r w:rsidRPr="001474BA">
        <w:t xml:space="preserve">its proposed </w:t>
      </w:r>
      <w:r w:rsidR="00DA7BA1" w:rsidRPr="001474BA">
        <w:t xml:space="preserve">Transitional Regime </w:t>
      </w:r>
      <w:r w:rsidRPr="001474BA">
        <w:t xml:space="preserve">approach in respect of </w:t>
      </w:r>
      <w:r w:rsidR="00DA7BA1" w:rsidRPr="001474BA">
        <w:t xml:space="preserve">market data, </w:t>
      </w:r>
      <w:r w:rsidRPr="001474BA">
        <w:t xml:space="preserve">so </w:t>
      </w:r>
      <w:r w:rsidR="00F66686" w:rsidRPr="001474BA">
        <w:t xml:space="preserve">that </w:t>
      </w:r>
      <w:r w:rsidR="00811F61" w:rsidRPr="001474BA">
        <w:t xml:space="preserve">NRAs and Administrators </w:t>
      </w:r>
      <w:r w:rsidRPr="001474BA">
        <w:t>w</w:t>
      </w:r>
      <w:r w:rsidR="00811F61" w:rsidRPr="001474BA">
        <w:t>ould be permitted to use other sources of data</w:t>
      </w:r>
      <w:r w:rsidR="00806E45" w:rsidRPr="001474BA">
        <w:t>,</w:t>
      </w:r>
      <w:r w:rsidR="00504668" w:rsidRPr="001474BA">
        <w:t xml:space="preserve"> </w:t>
      </w:r>
      <w:r w:rsidR="00806E45" w:rsidRPr="001474BA">
        <w:t xml:space="preserve">including data held by private providers, </w:t>
      </w:r>
      <w:r w:rsidRPr="001474BA">
        <w:t xml:space="preserve">to </w:t>
      </w:r>
      <w:r w:rsidR="00504668" w:rsidRPr="001474BA">
        <w:t>identify</w:t>
      </w:r>
      <w:r w:rsidR="00806E45" w:rsidRPr="001474BA">
        <w:t xml:space="preserve"> on a re</w:t>
      </w:r>
      <w:r w:rsidR="00806E45" w:rsidRPr="001474BA">
        <w:t>a</w:t>
      </w:r>
      <w:r w:rsidR="00806E45" w:rsidRPr="001474BA">
        <w:t>sonable basis</w:t>
      </w:r>
      <w:r w:rsidR="00504668" w:rsidRPr="001474BA">
        <w:t xml:space="preserve"> benchmarks within the meaning of BMR</w:t>
      </w:r>
      <w:r w:rsidR="00811F61" w:rsidRPr="001474BA">
        <w:t xml:space="preserve">, until such time as </w:t>
      </w:r>
      <w:r w:rsidR="003B4D1C" w:rsidRPr="001474BA">
        <w:t>regulatory data is available from which to derive a list of benchmarks.</w:t>
      </w:r>
    </w:p>
    <w:p w:rsidR="00811F61" w:rsidRPr="001474BA" w:rsidRDefault="00811F61" w:rsidP="009A2624"/>
    <w:p w:rsidR="00811F61" w:rsidRPr="001474BA" w:rsidRDefault="00811F61" w:rsidP="009A2624">
      <w:r w:rsidRPr="001474BA">
        <w:t xml:space="preserve">For example </w:t>
      </w:r>
      <w:r w:rsidR="003B4D1C" w:rsidRPr="001474BA">
        <w:t xml:space="preserve">in respect of benchmarks used in financial instruments, </w:t>
      </w:r>
      <w:r w:rsidRPr="001474BA">
        <w:t xml:space="preserve">under </w:t>
      </w:r>
      <w:r w:rsidR="00504668" w:rsidRPr="001474BA">
        <w:t>a</w:t>
      </w:r>
      <w:r w:rsidR="003B4D1C" w:rsidRPr="001474BA">
        <w:t>n extended</w:t>
      </w:r>
      <w:r w:rsidRPr="001474BA">
        <w:t xml:space="preserve"> Transitional Regime </w:t>
      </w:r>
      <w:r w:rsidR="00DA7BA1" w:rsidRPr="001474BA">
        <w:t xml:space="preserve">a list </w:t>
      </w:r>
      <w:r w:rsidR="002749E2" w:rsidRPr="001474BA">
        <w:t>could</w:t>
      </w:r>
      <w:r w:rsidR="00DA7BA1" w:rsidRPr="001474BA">
        <w:t xml:space="preserve"> be extracted from data reported by trading venues </w:t>
      </w:r>
      <w:r w:rsidR="002749E2" w:rsidRPr="001474BA">
        <w:t xml:space="preserve">under Article 27 </w:t>
      </w:r>
      <w:proofErr w:type="spellStart"/>
      <w:r w:rsidR="002749E2" w:rsidRPr="001474BA">
        <w:t>MiFIR</w:t>
      </w:r>
      <w:proofErr w:type="spellEnd"/>
      <w:r w:rsidR="002749E2" w:rsidRPr="001474BA">
        <w:t xml:space="preserve"> and/or Article 4(1) MAR (which is specifically modified by BMR Article 55 to provide such data)</w:t>
      </w:r>
      <w:r w:rsidRPr="001474BA">
        <w:t xml:space="preserve">. </w:t>
      </w:r>
      <w:r w:rsidR="00675C13" w:rsidRPr="001474BA">
        <w:t>T</w:t>
      </w:r>
      <w:r w:rsidRPr="001474BA">
        <w:t xml:space="preserve">his data </w:t>
      </w:r>
      <w:r w:rsidR="007F25FA" w:rsidRPr="001474BA">
        <w:t xml:space="preserve">will be </w:t>
      </w:r>
      <w:r w:rsidR="00DA7BA1" w:rsidRPr="001474BA">
        <w:t xml:space="preserve">contained in </w:t>
      </w:r>
      <w:proofErr w:type="spellStart"/>
      <w:r w:rsidR="00DA7BA1" w:rsidRPr="001474BA">
        <w:t>ESMA’s</w:t>
      </w:r>
      <w:proofErr w:type="spellEnd"/>
      <w:r w:rsidR="00DA7BA1" w:rsidRPr="001474BA">
        <w:t xml:space="preserve"> </w:t>
      </w:r>
      <w:r w:rsidR="002749E2" w:rsidRPr="001474BA">
        <w:t xml:space="preserve">public </w:t>
      </w:r>
      <w:r w:rsidR="00DA7BA1" w:rsidRPr="001474BA">
        <w:t xml:space="preserve">database of listed </w:t>
      </w:r>
      <w:r w:rsidR="00D70980" w:rsidRPr="001474BA">
        <w:t>financial instruments</w:t>
      </w:r>
      <w:r w:rsidR="00675C13" w:rsidRPr="001474BA">
        <w:t xml:space="preserve"> under Article 27(1) </w:t>
      </w:r>
      <w:proofErr w:type="spellStart"/>
      <w:r w:rsidR="00675C13" w:rsidRPr="001474BA">
        <w:t>MiFIR</w:t>
      </w:r>
      <w:proofErr w:type="spellEnd"/>
      <w:r w:rsidR="00F66686" w:rsidRPr="001474BA">
        <w:t xml:space="preserve"> and </w:t>
      </w:r>
      <w:r w:rsidR="00BD06D3" w:rsidRPr="001474BA">
        <w:t xml:space="preserve">made </w:t>
      </w:r>
      <w:r w:rsidR="00C16BC2" w:rsidRPr="001474BA">
        <w:t xml:space="preserve">available </w:t>
      </w:r>
      <w:r w:rsidR="00675C13" w:rsidRPr="001474BA">
        <w:t xml:space="preserve">on </w:t>
      </w:r>
      <w:proofErr w:type="spellStart"/>
      <w:r w:rsidR="00675C13" w:rsidRPr="001474BA">
        <w:t>ESMA’s</w:t>
      </w:r>
      <w:proofErr w:type="spellEnd"/>
      <w:r w:rsidR="00675C13" w:rsidRPr="001474BA">
        <w:t xml:space="preserve"> website</w:t>
      </w:r>
      <w:r w:rsidR="00C16BC2" w:rsidRPr="001474BA">
        <w:t xml:space="preserve">, as </w:t>
      </w:r>
      <w:r w:rsidR="00F66686" w:rsidRPr="001474BA">
        <w:t xml:space="preserve">the CP </w:t>
      </w:r>
      <w:r w:rsidR="00C16BC2" w:rsidRPr="001474BA">
        <w:t>note</w:t>
      </w:r>
      <w:r w:rsidR="00F66686" w:rsidRPr="001474BA">
        <w:t>s</w:t>
      </w:r>
      <w:r w:rsidR="00C16BC2" w:rsidRPr="001474BA">
        <w:t xml:space="preserve"> in paragraph 76</w:t>
      </w:r>
      <w:r w:rsidR="002749E2" w:rsidRPr="001474BA">
        <w:t>.</w:t>
      </w:r>
      <w:r w:rsidR="00DA7BA1" w:rsidRPr="001474BA">
        <w:t xml:space="preserve"> </w:t>
      </w:r>
      <w:r w:rsidR="007F25FA" w:rsidRPr="001474BA">
        <w:t xml:space="preserve">Assuming </w:t>
      </w:r>
      <w:proofErr w:type="spellStart"/>
      <w:r w:rsidR="007F25FA" w:rsidRPr="001474BA">
        <w:t>ESMA’s</w:t>
      </w:r>
      <w:proofErr w:type="spellEnd"/>
      <w:r w:rsidR="007F25FA" w:rsidRPr="001474BA">
        <w:t xml:space="preserve"> database is sufficiently well-designed and </w:t>
      </w:r>
      <w:proofErr w:type="gramStart"/>
      <w:r w:rsidR="007F25FA" w:rsidRPr="001474BA">
        <w:t>searchable,</w:t>
      </w:r>
      <w:proofErr w:type="gramEnd"/>
      <w:r w:rsidR="007F25FA" w:rsidRPr="001474BA">
        <w:t xml:space="preserve"> extracting </w:t>
      </w:r>
      <w:r w:rsidR="00190114" w:rsidRPr="001474BA">
        <w:t xml:space="preserve">from it </w:t>
      </w:r>
      <w:r w:rsidR="007F25FA" w:rsidRPr="001474BA">
        <w:t xml:space="preserve">a list of benchmarks </w:t>
      </w:r>
      <w:r w:rsidR="00190114" w:rsidRPr="001474BA">
        <w:t>provided by any particular Admini</w:t>
      </w:r>
      <w:r w:rsidR="00190114" w:rsidRPr="001474BA">
        <w:t>s</w:t>
      </w:r>
      <w:r w:rsidR="00190114" w:rsidRPr="001474BA">
        <w:t xml:space="preserve">trator </w:t>
      </w:r>
      <w:r w:rsidR="007F25FA" w:rsidRPr="001474BA">
        <w:t>ought to be feasible.</w:t>
      </w:r>
    </w:p>
    <w:p w:rsidR="0087772E" w:rsidRPr="001474BA" w:rsidRDefault="0087772E" w:rsidP="009A2624"/>
    <w:p w:rsidR="007F25FA" w:rsidRPr="001474BA" w:rsidRDefault="00504668" w:rsidP="00811F61">
      <w:r w:rsidRPr="001474BA">
        <w:t>Under a</w:t>
      </w:r>
      <w:r w:rsidR="003B4D1C" w:rsidRPr="001474BA">
        <w:t>n extended</w:t>
      </w:r>
      <w:r w:rsidRPr="001474BA">
        <w:t xml:space="preserve"> Transitional Regime, an </w:t>
      </w:r>
      <w:r w:rsidR="00811F61" w:rsidRPr="001474BA">
        <w:t>NRA</w:t>
      </w:r>
      <w:r w:rsidR="00190114" w:rsidRPr="001474BA">
        <w:t xml:space="preserve"> </w:t>
      </w:r>
      <w:r w:rsidR="00811F61" w:rsidRPr="001474BA">
        <w:t xml:space="preserve">and/or </w:t>
      </w:r>
      <w:r w:rsidR="00190114" w:rsidRPr="001474BA">
        <w:t xml:space="preserve">an </w:t>
      </w:r>
      <w:r w:rsidR="00811F61" w:rsidRPr="001474BA">
        <w:t xml:space="preserve">Administrator could also </w:t>
      </w:r>
      <w:r w:rsidR="00190114" w:rsidRPr="001474BA">
        <w:t xml:space="preserve">elect to </w:t>
      </w:r>
      <w:r w:rsidR="00811F61" w:rsidRPr="001474BA">
        <w:t xml:space="preserve">use data directly from trading venues in order to establish a list of </w:t>
      </w:r>
      <w:r w:rsidR="00190114" w:rsidRPr="001474BA">
        <w:t xml:space="preserve">the Administrator’s </w:t>
      </w:r>
      <w:r w:rsidR="00811F61" w:rsidRPr="001474BA">
        <w:t>benchmarks used in financial instruments</w:t>
      </w:r>
      <w:r w:rsidRPr="001474BA">
        <w:t>. F</w:t>
      </w:r>
      <w:r w:rsidR="00811F61" w:rsidRPr="001474BA">
        <w:t xml:space="preserve">or example </w:t>
      </w:r>
      <w:r w:rsidRPr="001474BA">
        <w:t xml:space="preserve">this could be </w:t>
      </w:r>
      <w:r w:rsidR="00811F61" w:rsidRPr="001474BA">
        <w:t xml:space="preserve">where </w:t>
      </w:r>
      <w:r w:rsidR="00190114" w:rsidRPr="001474BA">
        <w:t xml:space="preserve">the </w:t>
      </w:r>
      <w:r w:rsidR="00811F61" w:rsidRPr="001474BA">
        <w:t>Administrator is aware</w:t>
      </w:r>
      <w:r w:rsidR="00190114" w:rsidRPr="001474BA">
        <w:t xml:space="preserve">, on a reasonable basis, </w:t>
      </w:r>
      <w:r w:rsidR="00BD06D3" w:rsidRPr="001474BA">
        <w:t>which</w:t>
      </w:r>
      <w:r w:rsidR="00811F61" w:rsidRPr="001474BA">
        <w:t xml:space="preserve"> EU trading venues </w:t>
      </w:r>
      <w:r w:rsidR="00190114" w:rsidRPr="001474BA">
        <w:t>list a financial instrument that references a benchmark provided by the Administrator.</w:t>
      </w:r>
    </w:p>
    <w:p w:rsidR="00B87BC1" w:rsidRPr="001474BA" w:rsidRDefault="00B87BC1" w:rsidP="009A2624"/>
    <w:p w:rsidR="00DA7BA1" w:rsidRPr="001474BA" w:rsidRDefault="00190114" w:rsidP="009A2624">
      <w:r w:rsidRPr="001474BA">
        <w:t>A</w:t>
      </w:r>
      <w:r w:rsidR="00675C13" w:rsidRPr="001474BA">
        <w:t xml:space="preserve">nd </w:t>
      </w:r>
      <w:r w:rsidR="003B4D1C" w:rsidRPr="001474BA">
        <w:t xml:space="preserve">as a target long-term solution regarding benchmarks used in financial instruments, </w:t>
      </w:r>
      <w:r w:rsidR="00504668" w:rsidRPr="001474BA">
        <w:t>once regulatory data from Trade Repositories (</w:t>
      </w:r>
      <w:proofErr w:type="spellStart"/>
      <w:r w:rsidR="00504668" w:rsidRPr="001474BA">
        <w:t>TRs</w:t>
      </w:r>
      <w:proofErr w:type="spellEnd"/>
      <w:r w:rsidR="00504668" w:rsidRPr="001474BA">
        <w:t>) is sufficiently available and reliable</w:t>
      </w:r>
      <w:r w:rsidR="003B4D1C" w:rsidRPr="001474BA">
        <w:t xml:space="preserve">, </w:t>
      </w:r>
      <w:r w:rsidR="007F25FA" w:rsidRPr="001474BA">
        <w:t xml:space="preserve">a list could be extracted from the </w:t>
      </w:r>
      <w:proofErr w:type="spellStart"/>
      <w:r w:rsidR="007F25FA" w:rsidRPr="001474BA">
        <w:t>ISINs</w:t>
      </w:r>
      <w:proofErr w:type="spellEnd"/>
      <w:r w:rsidR="007F25FA" w:rsidRPr="001474BA">
        <w:t xml:space="preserve"> reported to the </w:t>
      </w:r>
      <w:proofErr w:type="spellStart"/>
      <w:r w:rsidR="007F25FA" w:rsidRPr="001474BA">
        <w:t>TRs</w:t>
      </w:r>
      <w:proofErr w:type="spellEnd"/>
      <w:r w:rsidR="00675C13" w:rsidRPr="001474BA">
        <w:t xml:space="preserve">. Ultimately this </w:t>
      </w:r>
      <w:r w:rsidR="003B4D1C" w:rsidRPr="001474BA">
        <w:t xml:space="preserve">regulatory </w:t>
      </w:r>
      <w:r w:rsidR="00675C13" w:rsidRPr="001474BA">
        <w:t>data should include a</w:t>
      </w:r>
      <w:r w:rsidR="00C16BC2" w:rsidRPr="001474BA">
        <w:t xml:space="preserve"> </w:t>
      </w:r>
      <w:r w:rsidR="007F25FA" w:rsidRPr="001474BA">
        <w:t xml:space="preserve">‘Underlier ID’ </w:t>
      </w:r>
      <w:r w:rsidR="00C16BC2" w:rsidRPr="001474BA">
        <w:t>uniquely identif</w:t>
      </w:r>
      <w:r w:rsidR="00C16BC2" w:rsidRPr="001474BA">
        <w:t>y</w:t>
      </w:r>
      <w:r w:rsidR="00C16BC2" w:rsidRPr="001474BA">
        <w:t xml:space="preserve">ing </w:t>
      </w:r>
      <w:r w:rsidR="00504668" w:rsidRPr="001474BA">
        <w:t>each</w:t>
      </w:r>
      <w:r w:rsidR="00C16BC2" w:rsidRPr="001474BA">
        <w:t xml:space="preserve"> benchmark </w:t>
      </w:r>
      <w:r w:rsidR="00675C13" w:rsidRPr="001474BA">
        <w:t xml:space="preserve">— for example </w:t>
      </w:r>
      <w:r w:rsidR="00C16BC2" w:rsidRPr="001474BA">
        <w:t xml:space="preserve">as </w:t>
      </w:r>
      <w:r w:rsidR="007F25FA" w:rsidRPr="001474BA">
        <w:t xml:space="preserve">contained within Unique Product Identifiers (UPIs), currently being worked on at IOSCO level and expected to be brought into harmonisation with </w:t>
      </w:r>
      <w:r w:rsidR="00675C13" w:rsidRPr="001474BA">
        <w:t xml:space="preserve">the </w:t>
      </w:r>
      <w:proofErr w:type="spellStart"/>
      <w:r w:rsidR="00675C13" w:rsidRPr="001474BA">
        <w:t>ISINs</w:t>
      </w:r>
      <w:proofErr w:type="spellEnd"/>
      <w:r w:rsidR="00675C13" w:rsidRPr="001474BA">
        <w:t xml:space="preserve"> system.</w:t>
      </w:r>
    </w:p>
    <w:p w:rsidR="00675C13" w:rsidRPr="001474BA" w:rsidRDefault="00675C13" w:rsidP="009A2624"/>
    <w:p w:rsidR="003B4D1C" w:rsidRPr="001474BA" w:rsidRDefault="00716AB4" w:rsidP="00033FE9">
      <w:r w:rsidRPr="001474BA">
        <w:t xml:space="preserve">In the case of </w:t>
      </w:r>
      <w:r w:rsidR="00F66686" w:rsidRPr="001474BA">
        <w:t>benc</w:t>
      </w:r>
      <w:r w:rsidRPr="001474BA">
        <w:t xml:space="preserve">hmarks used </w:t>
      </w:r>
      <w:r w:rsidR="00F8220B" w:rsidRPr="001474BA">
        <w:t>to measure the performance of</w:t>
      </w:r>
      <w:r w:rsidRPr="001474BA">
        <w:t xml:space="preserve"> investment funds, this is not an area where any Argus price assessments are used as benchmarks to the best of our knowledge, and so we have limited experience. Argus recognises that </w:t>
      </w:r>
      <w:r w:rsidR="00E97002" w:rsidRPr="001474BA">
        <w:t>identifying benchmarks</w:t>
      </w:r>
      <w:r w:rsidRPr="001474BA">
        <w:t xml:space="preserve"> is </w:t>
      </w:r>
      <w:r w:rsidR="00262703" w:rsidRPr="001474BA">
        <w:t xml:space="preserve">currently </w:t>
      </w:r>
      <w:r w:rsidRPr="001474BA">
        <w:t xml:space="preserve">less easy in </w:t>
      </w:r>
      <w:r w:rsidR="00E97002" w:rsidRPr="001474BA">
        <w:t>respect of investment funds</w:t>
      </w:r>
      <w:r w:rsidRPr="001474BA">
        <w:t xml:space="preserve">, as the CP discusses. </w:t>
      </w:r>
      <w:r w:rsidR="003B4D1C" w:rsidRPr="001474BA">
        <w:t>However we believe that an approach combining a target long-term solution that uses regulatory data, with a Transitional Regime, would work well here too.</w:t>
      </w:r>
    </w:p>
    <w:p w:rsidR="003B4D1C" w:rsidRPr="001474BA" w:rsidRDefault="003B4D1C" w:rsidP="00033FE9"/>
    <w:p w:rsidR="00262703" w:rsidRPr="001474BA" w:rsidRDefault="00262703" w:rsidP="00033FE9">
      <w:r w:rsidRPr="001474BA">
        <w:lastRenderedPageBreak/>
        <w:t xml:space="preserve">We believe that ultimately the most appropriate long-term solution </w:t>
      </w:r>
      <w:r w:rsidR="003B4D1C" w:rsidRPr="001474BA">
        <w:t>would be</w:t>
      </w:r>
      <w:r w:rsidRPr="001474BA">
        <w:t xml:space="preserve"> for investment managers to have a</w:t>
      </w:r>
      <w:r w:rsidR="00F8220B" w:rsidRPr="001474BA">
        <w:t>n</w:t>
      </w:r>
      <w:r w:rsidRPr="001474BA">
        <w:t xml:space="preserve"> obligation to report the underlying benchmark used to measure a fund’s performance</w:t>
      </w:r>
      <w:r w:rsidR="00F8220B" w:rsidRPr="001474BA">
        <w:t>, so that such information becomes available in the form of regulatory data</w:t>
      </w:r>
      <w:r w:rsidRPr="001474BA">
        <w:t xml:space="preserve">. This </w:t>
      </w:r>
      <w:r w:rsidR="00F8220B" w:rsidRPr="001474BA">
        <w:t xml:space="preserve">reporting obligation </w:t>
      </w:r>
      <w:r w:rsidRPr="001474BA">
        <w:t>would pr</w:t>
      </w:r>
      <w:r w:rsidRPr="001474BA">
        <w:t>e</w:t>
      </w:r>
      <w:r w:rsidRPr="001474BA">
        <w:t xml:space="preserve">sumably need to be in relation to </w:t>
      </w:r>
      <w:proofErr w:type="spellStart"/>
      <w:r w:rsidRPr="001474BA">
        <w:t>AIFMD</w:t>
      </w:r>
      <w:proofErr w:type="spellEnd"/>
      <w:r w:rsidRPr="001474BA">
        <w:t xml:space="preserve"> and the </w:t>
      </w:r>
      <w:proofErr w:type="spellStart"/>
      <w:r w:rsidRPr="001474BA">
        <w:t>UCITS</w:t>
      </w:r>
      <w:proofErr w:type="spellEnd"/>
      <w:r w:rsidRPr="001474BA">
        <w:t xml:space="preserve"> Directive and we encourage </w:t>
      </w:r>
      <w:proofErr w:type="spellStart"/>
      <w:r w:rsidRPr="001474BA">
        <w:t>ESMA</w:t>
      </w:r>
      <w:proofErr w:type="spellEnd"/>
      <w:r w:rsidRPr="001474BA">
        <w:t xml:space="preserve"> to raise this with the European </w:t>
      </w:r>
      <w:r w:rsidR="009B04E2" w:rsidRPr="001474BA">
        <w:t>co-legislators</w:t>
      </w:r>
      <w:r w:rsidRPr="001474BA">
        <w:t xml:space="preserve"> </w:t>
      </w:r>
      <w:r w:rsidR="00F8220B" w:rsidRPr="001474BA">
        <w:t>as an urgent issue that needs addressing with a Level 1 solution.</w:t>
      </w:r>
    </w:p>
    <w:p w:rsidR="00262703" w:rsidRPr="001474BA" w:rsidRDefault="00262703" w:rsidP="00033FE9"/>
    <w:p w:rsidR="00D62A67" w:rsidRPr="001474BA" w:rsidRDefault="00F8220B" w:rsidP="00774028">
      <w:r w:rsidRPr="001474BA">
        <w:t xml:space="preserve">Until such regulatory data is available </w:t>
      </w:r>
      <w:r w:rsidR="00C35522" w:rsidRPr="001474BA">
        <w:t>in respect of investment funds,</w:t>
      </w:r>
      <w:r w:rsidRPr="001474BA">
        <w:t xml:space="preserve"> </w:t>
      </w:r>
      <w:r w:rsidR="003B4D1C" w:rsidRPr="001474BA">
        <w:t>u</w:t>
      </w:r>
      <w:r w:rsidR="00774028" w:rsidRPr="001474BA">
        <w:t>nder a</w:t>
      </w:r>
      <w:r w:rsidR="00D62A67" w:rsidRPr="001474BA">
        <w:t>n</w:t>
      </w:r>
      <w:r w:rsidR="00774028" w:rsidRPr="001474BA">
        <w:t xml:space="preserve"> </w:t>
      </w:r>
      <w:r w:rsidR="00D62A67" w:rsidRPr="001474BA">
        <w:t xml:space="preserve">extended </w:t>
      </w:r>
      <w:r w:rsidR="00774028" w:rsidRPr="001474BA">
        <w:t xml:space="preserve">Transitional Regime an NRA and/or an Administrator could </w:t>
      </w:r>
      <w:r w:rsidR="00D62A67" w:rsidRPr="001474BA">
        <w:t>use other data that may be available. For example an Administrator may know those of its licensees that are fund managers and may, on a reasonable basis, be aware from public data which are its benchmarks used to measure the performance of investment funds</w:t>
      </w:r>
      <w:r w:rsidR="00C35522" w:rsidRPr="001474BA">
        <w:t>.</w:t>
      </w:r>
    </w:p>
    <w:p w:rsidR="00D62A67" w:rsidRPr="001474BA" w:rsidRDefault="00D62A67" w:rsidP="00774028"/>
    <w:p w:rsidR="00F8220B" w:rsidRPr="001474BA" w:rsidRDefault="00D62A67" w:rsidP="00033FE9">
      <w:r w:rsidRPr="001474BA">
        <w:t>F</w:t>
      </w:r>
      <w:r w:rsidR="00F8220B" w:rsidRPr="001474BA">
        <w:t xml:space="preserve">or those Administrators who consider, on a reasonable basis, that they produce benchmarks used </w:t>
      </w:r>
      <w:r w:rsidRPr="001474BA">
        <w:t xml:space="preserve">to measure the performance of investment funds, </w:t>
      </w:r>
      <w:r w:rsidR="00C35522" w:rsidRPr="001474BA">
        <w:t xml:space="preserve">an extended Transitional Regime could provide </w:t>
      </w:r>
      <w:r w:rsidR="00F8220B" w:rsidRPr="001474BA">
        <w:t>a strictly voluntary scheme whereby the Administrator could voluntarily choose or agree to provide a list of its licensees to an NRA, for the NRA to issue the licensees with a que</w:t>
      </w:r>
      <w:r w:rsidRPr="001474BA">
        <w:t xml:space="preserve">stionnaire in respect of </w:t>
      </w:r>
      <w:r w:rsidR="00C35522" w:rsidRPr="001474BA">
        <w:t xml:space="preserve">such </w:t>
      </w:r>
      <w:r w:rsidRPr="001474BA">
        <w:t>usage.</w:t>
      </w:r>
    </w:p>
    <w:p w:rsidR="00F8220B" w:rsidRPr="001474BA" w:rsidRDefault="00F8220B" w:rsidP="00033FE9"/>
    <w:p w:rsidR="00C911A6" w:rsidRPr="001474BA" w:rsidRDefault="00EA5EE7" w:rsidP="009A2624">
      <w:r w:rsidRPr="001474BA">
        <w:t>F</w:t>
      </w:r>
      <w:r w:rsidR="00716AB4" w:rsidRPr="001474BA">
        <w:t xml:space="preserve">or all the reasons </w:t>
      </w:r>
      <w:r w:rsidR="00E97002" w:rsidRPr="001474BA">
        <w:t xml:space="preserve">we </w:t>
      </w:r>
      <w:r w:rsidR="00716AB4" w:rsidRPr="001474BA">
        <w:t xml:space="preserve">set out </w:t>
      </w:r>
      <w:r w:rsidR="00C35522" w:rsidRPr="001474BA">
        <w:t>earlier</w:t>
      </w:r>
      <w:r w:rsidRPr="001474BA">
        <w:t xml:space="preserve"> however</w:t>
      </w:r>
      <w:r w:rsidR="00BD06D3" w:rsidRPr="001474BA">
        <w:t xml:space="preserve">, </w:t>
      </w:r>
      <w:r w:rsidR="00716AB4" w:rsidRPr="001474BA">
        <w:t xml:space="preserve">Argus would strongly oppose any mandatory </w:t>
      </w:r>
      <w:r w:rsidR="00E97002" w:rsidRPr="001474BA">
        <w:t>use of an Administrator’s licensing agreements</w:t>
      </w:r>
      <w:r w:rsidR="004404F1" w:rsidRPr="001474BA">
        <w:t xml:space="preserve">, including </w:t>
      </w:r>
      <w:proofErr w:type="gramStart"/>
      <w:r w:rsidR="004404F1" w:rsidRPr="001474BA">
        <w:t>to identify</w:t>
      </w:r>
      <w:proofErr w:type="gramEnd"/>
      <w:r w:rsidR="004404F1" w:rsidRPr="001474BA">
        <w:t xml:space="preserve"> benchmarks ‘used’ in respect of investment funds</w:t>
      </w:r>
      <w:r w:rsidR="00E97002" w:rsidRPr="001474BA">
        <w:t xml:space="preserve">. </w:t>
      </w:r>
      <w:r w:rsidRPr="001474BA">
        <w:t>We do not believe there is the legal empowerment for any mandatory approach; it would in many cases be highly disproportionate</w:t>
      </w:r>
      <w:r w:rsidR="001474BA" w:rsidRPr="001474BA">
        <w:t>; it would</w:t>
      </w:r>
      <w:r w:rsidRPr="001474BA">
        <w:t xml:space="preserve"> breach </w:t>
      </w:r>
      <w:r w:rsidR="004770D9" w:rsidRPr="001474BA">
        <w:t xml:space="preserve">contractual </w:t>
      </w:r>
      <w:r w:rsidRPr="001474BA">
        <w:t xml:space="preserve">confidentiality undertakings and </w:t>
      </w:r>
      <w:r w:rsidR="001474BA" w:rsidRPr="001474BA">
        <w:t xml:space="preserve">it is likely in any event to be </w:t>
      </w:r>
      <w:r w:rsidRPr="001474BA">
        <w:t xml:space="preserve">ineffective </w:t>
      </w:r>
      <w:r w:rsidR="001474BA" w:rsidRPr="001474BA">
        <w:t xml:space="preserve">in practice </w:t>
      </w:r>
      <w:r w:rsidRPr="001474BA">
        <w:t xml:space="preserve">for many categories of licensee. </w:t>
      </w:r>
      <w:r w:rsidR="00D62A67" w:rsidRPr="001474BA">
        <w:t xml:space="preserve">If </w:t>
      </w:r>
      <w:r w:rsidR="003A0CED" w:rsidRPr="001474BA">
        <w:t xml:space="preserve">an Administrator has no licensees that are investment managers, it would </w:t>
      </w:r>
      <w:r w:rsidR="00D62A67" w:rsidRPr="001474BA">
        <w:t xml:space="preserve">in </w:t>
      </w:r>
      <w:r w:rsidR="00C35522" w:rsidRPr="001474BA">
        <w:t>all</w:t>
      </w:r>
      <w:r w:rsidR="00D62A67" w:rsidRPr="001474BA">
        <w:t xml:space="preserve"> event</w:t>
      </w:r>
      <w:r w:rsidR="00C35522" w:rsidRPr="001474BA">
        <w:t>s</w:t>
      </w:r>
      <w:r w:rsidR="00D62A67" w:rsidRPr="001474BA">
        <w:t xml:space="preserve"> </w:t>
      </w:r>
      <w:r w:rsidR="003A0CED" w:rsidRPr="001474BA">
        <w:t xml:space="preserve">clearly be unreasonable for </w:t>
      </w:r>
      <w:r w:rsidR="00D62A67" w:rsidRPr="001474BA">
        <w:t xml:space="preserve">any such obligation to be </w:t>
      </w:r>
      <w:r w:rsidR="00C35522" w:rsidRPr="001474BA">
        <w:t>contemplated or applied</w:t>
      </w:r>
      <w:r w:rsidR="00D62A67" w:rsidRPr="001474BA">
        <w:t>.</w:t>
      </w:r>
    </w:p>
    <w:p w:rsidR="00D62A67" w:rsidRPr="00C911A6" w:rsidRDefault="00D62A67" w:rsidP="009A2624">
      <w:pPr>
        <w:rPr>
          <w:i/>
        </w:rPr>
      </w:pPr>
    </w:p>
    <w:permEnd w:id="780405040"/>
    <w:p w:rsidR="009A2624" w:rsidRDefault="00665C07" w:rsidP="009A2624">
      <w:r>
        <w:t>&lt;ESMA_QUESTION_C</w:t>
      </w:r>
      <w:r w:rsidR="009A2624">
        <w:t>P_BMR_7&gt;</w:t>
      </w:r>
    </w:p>
    <w:p w:rsidR="009A2624" w:rsidRDefault="009A2624" w:rsidP="009A2624"/>
    <w:p w:rsidR="009A2624" w:rsidRPr="007F44BF" w:rsidRDefault="00293D4B" w:rsidP="002342EC">
      <w:pPr>
        <w:pStyle w:val="Questionstyle"/>
      </w:pPr>
      <w:r w:rsidRPr="00E76135">
        <w:rPr>
          <w:rFonts w:cs="Arial"/>
          <w:lang w:val="en-US"/>
        </w:rPr>
        <w:t>Do you agree with the criteria proposed? Do you consider that additional criteria should be included in the technical advice</w:t>
      </w:r>
      <w:r>
        <w:rPr>
          <w:rFonts w:cs="Arial"/>
          <w:lang w:val="en-US"/>
        </w:rPr>
        <w:t>?</w:t>
      </w:r>
      <w:r w:rsidR="009A2624" w:rsidRPr="007F44BF">
        <w:t xml:space="preserve"> </w:t>
      </w:r>
    </w:p>
    <w:p w:rsidR="009A2624" w:rsidRDefault="00665C07" w:rsidP="009A2624">
      <w:r>
        <w:t>&lt;ESMA_QUESTION_C</w:t>
      </w:r>
      <w:r w:rsidR="009A2624">
        <w:t>P_BMR_8&gt;</w:t>
      </w:r>
    </w:p>
    <w:p w:rsidR="009A2624" w:rsidRDefault="0066223C" w:rsidP="009A2624">
      <w:permStart w:id="1305295974" w:edGrp="everyone"/>
      <w:r>
        <w:t xml:space="preserve">Argus supports the proposed criteria and </w:t>
      </w:r>
      <w:r w:rsidR="00CE466F">
        <w:t>considers that they are appropriate and sufficient</w:t>
      </w:r>
      <w:r>
        <w:t>.</w:t>
      </w:r>
    </w:p>
    <w:p w:rsidR="0066223C" w:rsidRDefault="0066223C" w:rsidP="009A2624"/>
    <w:p w:rsidR="0092452B" w:rsidRDefault="0066223C" w:rsidP="009A2624">
      <w:r>
        <w:t xml:space="preserve">We would </w:t>
      </w:r>
      <w:r w:rsidR="00CE466F">
        <w:t xml:space="preserve">additionally </w:t>
      </w:r>
      <w:r w:rsidR="0092452B">
        <w:t xml:space="preserve">like to query with </w:t>
      </w:r>
      <w:proofErr w:type="spellStart"/>
      <w:r w:rsidR="0092452B">
        <w:t>ESMA</w:t>
      </w:r>
      <w:proofErr w:type="spellEnd"/>
      <w:r w:rsidR="0092452B">
        <w:t xml:space="preserve"> </w:t>
      </w:r>
      <w:r w:rsidR="00CE466F">
        <w:t xml:space="preserve">one </w:t>
      </w:r>
      <w:r w:rsidR="0092452B">
        <w:t>extract of the draft Technical Advice where we believe there may be inadvertent error</w:t>
      </w:r>
      <w:r w:rsidR="00D944AD">
        <w:t>s</w:t>
      </w:r>
      <w:r w:rsidR="0092452B">
        <w:t xml:space="preserve"> as the text is not consistent with the discussion and analysis in the CP.</w:t>
      </w:r>
    </w:p>
    <w:p w:rsidR="0092452B" w:rsidRDefault="0092452B" w:rsidP="009A2624"/>
    <w:p w:rsidR="0092452B" w:rsidRDefault="00D944AD" w:rsidP="0092452B">
      <w:r>
        <w:t>We believe that clause (e)(1) of the draft Technical Advice should, c</w:t>
      </w:r>
      <w:r w:rsidR="0092452B">
        <w:t xml:space="preserve">onsistent with </w:t>
      </w:r>
      <w:proofErr w:type="spellStart"/>
      <w:r w:rsidR="0092452B">
        <w:t>ESMA’s</w:t>
      </w:r>
      <w:proofErr w:type="spellEnd"/>
      <w:r w:rsidR="0092452B">
        <w:t xml:space="preserve"> discussion at CP paragraph</w:t>
      </w:r>
      <w:r w:rsidR="00D417A2">
        <w:t>s</w:t>
      </w:r>
      <w:r w:rsidR="0092452B">
        <w:t xml:space="preserve"> 102 and 105 second bullet, refer to ‘number of derivative contracts that reference the benchmark’ rather than ‘number of different types’ of such contracts. It is surely the number of contracts, rather than the number of different types of such contracts, </w:t>
      </w:r>
      <w:r w:rsidR="00BF1D2F">
        <w:t>that</w:t>
      </w:r>
      <w:r w:rsidR="0092452B">
        <w:t xml:space="preserve"> is the relevant factor to consider</w:t>
      </w:r>
      <w:r w:rsidR="00C7342C">
        <w:t xml:space="preserve"> in a</w:t>
      </w:r>
      <w:r w:rsidR="00C7342C">
        <w:t>s</w:t>
      </w:r>
      <w:r w:rsidR="00C7342C">
        <w:t>sessing potential impacts on market integrity</w:t>
      </w:r>
      <w:r w:rsidR="0092452B">
        <w:t xml:space="preserve">. </w:t>
      </w:r>
      <w:proofErr w:type="gramStart"/>
      <w:r w:rsidR="0092452B">
        <w:t>Furthermore</w:t>
      </w:r>
      <w:r w:rsidR="00E14823">
        <w:t>,</w:t>
      </w:r>
      <w:r w:rsidR="0092452B">
        <w:t xml:space="preserve"> classifying derivatives into ‘different types’ would introduce an unnecessary complication and require </w:t>
      </w:r>
      <w:r w:rsidR="00C7342C">
        <w:t xml:space="preserve">additional </w:t>
      </w:r>
      <w:r w:rsidR="00BF1D2F">
        <w:t xml:space="preserve">detailed </w:t>
      </w:r>
      <w:r w:rsidR="00C7342C">
        <w:t>consideration and stak</w:t>
      </w:r>
      <w:r w:rsidR="00C7342C">
        <w:t>e</w:t>
      </w:r>
      <w:r w:rsidR="00C7342C">
        <w:t>holder consultation</w:t>
      </w:r>
      <w:r w:rsidR="00BF1D2F">
        <w:t>.</w:t>
      </w:r>
      <w:proofErr w:type="gramEnd"/>
      <w:r w:rsidR="00BF1D2F">
        <w:t xml:space="preserve"> As far as Argus is aware, </w:t>
      </w:r>
      <w:r w:rsidR="00C7342C">
        <w:t xml:space="preserve">there is no agreed </w:t>
      </w:r>
      <w:r w:rsidR="00BF1D2F">
        <w:t xml:space="preserve">exhaustive reference </w:t>
      </w:r>
      <w:r w:rsidR="00C7342C">
        <w:t>list</w:t>
      </w:r>
      <w:r w:rsidR="00E14823" w:rsidRPr="00E14823">
        <w:t xml:space="preserve"> </w:t>
      </w:r>
      <w:r w:rsidR="00E14823">
        <w:t xml:space="preserve">of </w:t>
      </w:r>
      <w:r w:rsidR="00BF1D2F">
        <w:t xml:space="preserve">all </w:t>
      </w:r>
      <w:r w:rsidR="00E14823">
        <w:t>the diffe</w:t>
      </w:r>
      <w:r w:rsidR="00E14823">
        <w:t>r</w:t>
      </w:r>
      <w:r w:rsidR="00E14823">
        <w:t>ent types of derivatives that exi</w:t>
      </w:r>
      <w:r w:rsidR="00BF1D2F">
        <w:t>s</w:t>
      </w:r>
      <w:r w:rsidR="00E14823">
        <w:t>t</w:t>
      </w:r>
      <w:r w:rsidR="00BF1D2F">
        <w:t xml:space="preserve"> and the partial categorisation provided by MiFID/</w:t>
      </w:r>
      <w:proofErr w:type="spellStart"/>
      <w:r w:rsidR="00BF1D2F">
        <w:t>MiFIR</w:t>
      </w:r>
      <w:proofErr w:type="spellEnd"/>
      <w:r w:rsidR="00BF1D2F">
        <w:t xml:space="preserve"> (see CP par</w:t>
      </w:r>
      <w:r w:rsidR="00BF1D2F">
        <w:t>a</w:t>
      </w:r>
      <w:r w:rsidR="00BF1D2F">
        <w:t>graph 55) would not be sufficient for such purpose.</w:t>
      </w:r>
    </w:p>
    <w:p w:rsidR="00C7342C" w:rsidRDefault="00C7342C" w:rsidP="0092452B"/>
    <w:p w:rsidR="00C7342C" w:rsidRDefault="00C7342C" w:rsidP="0092452B">
      <w:r>
        <w:t>Secondly, we propose that clause (e)(1) should be brought in line with clauses (g), (h)(1), (h)(2), (j)(1), (j)(2), (k), (</w:t>
      </w:r>
      <w:proofErr w:type="spellStart"/>
      <w:r>
        <w:t>i</w:t>
      </w:r>
      <w:proofErr w:type="spellEnd"/>
      <w:r>
        <w:t>)(1), (</w:t>
      </w:r>
      <w:proofErr w:type="spellStart"/>
      <w:r>
        <w:t>i</w:t>
      </w:r>
      <w:proofErr w:type="spellEnd"/>
      <w:r>
        <w:t>)(2), and (</w:t>
      </w:r>
      <w:proofErr w:type="spellStart"/>
      <w:r>
        <w:t>i</w:t>
      </w:r>
      <w:proofErr w:type="spellEnd"/>
      <w:r>
        <w:t>)(3)</w:t>
      </w:r>
      <w:r w:rsidR="00E14823">
        <w:t xml:space="preserve"> of the draft Technical Advice</w:t>
      </w:r>
      <w:r>
        <w:t>, which all use the “significant share of” co</w:t>
      </w:r>
      <w:r>
        <w:t>n</w:t>
      </w:r>
      <w:r>
        <w:t xml:space="preserve">cept that </w:t>
      </w:r>
      <w:proofErr w:type="spellStart"/>
      <w:r>
        <w:t>ESMA</w:t>
      </w:r>
      <w:proofErr w:type="spellEnd"/>
      <w:r>
        <w:t xml:space="preserve"> proposes </w:t>
      </w:r>
      <w:r w:rsidR="00E14823">
        <w:t>and which Argus supports as appropriate.</w:t>
      </w:r>
    </w:p>
    <w:p w:rsidR="0092452B" w:rsidRDefault="0092452B" w:rsidP="0092452B"/>
    <w:p w:rsidR="00E14823" w:rsidRDefault="00E14823" w:rsidP="0092452B">
      <w:r>
        <w:t xml:space="preserve">We therefore recommend the following amendments (deletions in </w:t>
      </w:r>
      <w:r w:rsidRPr="00E14823">
        <w:rPr>
          <w:b/>
          <w:i/>
          <w:strike/>
        </w:rPr>
        <w:t>struck-through bold italics</w:t>
      </w:r>
      <w:r>
        <w:t>, add</w:t>
      </w:r>
      <w:r>
        <w:t>i</w:t>
      </w:r>
      <w:r>
        <w:t>tion</w:t>
      </w:r>
      <w:r w:rsidR="00B17BFA">
        <w:t>s</w:t>
      </w:r>
      <w:bookmarkStart w:id="3" w:name="_GoBack"/>
      <w:bookmarkEnd w:id="3"/>
      <w:r>
        <w:t xml:space="preserve"> in </w:t>
      </w:r>
      <w:r w:rsidRPr="00E14823">
        <w:rPr>
          <w:b/>
          <w:i/>
        </w:rPr>
        <w:t>bold italics</w:t>
      </w:r>
      <w:r>
        <w:t>)</w:t>
      </w:r>
    </w:p>
    <w:p w:rsidR="00C7342C" w:rsidRDefault="00C7342C" w:rsidP="0092452B"/>
    <w:p w:rsidR="00C7342C" w:rsidRDefault="00C7342C" w:rsidP="00C7342C">
      <w:pPr>
        <w:ind w:left="709"/>
      </w:pPr>
      <w:r>
        <w:t xml:space="preserve">e. The diversity of financial instruments and financial contracts referencing the benchmark, and in particular: </w:t>
      </w:r>
    </w:p>
    <w:p w:rsidR="00C7342C" w:rsidRDefault="00C7342C" w:rsidP="00C7342C">
      <w:pPr>
        <w:ind w:left="709"/>
      </w:pPr>
    </w:p>
    <w:p w:rsidR="00C7342C" w:rsidRDefault="00C7342C" w:rsidP="00C7342C">
      <w:pPr>
        <w:ind w:left="1418"/>
      </w:pPr>
      <w:r>
        <w:t xml:space="preserve">1. the number of </w:t>
      </w:r>
      <w:r w:rsidRPr="00C7342C">
        <w:rPr>
          <w:b/>
          <w:i/>
          <w:strike/>
        </w:rPr>
        <w:t>different types of</w:t>
      </w:r>
      <w:r>
        <w:t xml:space="preserve"> derivative contracts that reference the benchmark, in the Member State(s) considered and </w:t>
      </w:r>
      <w:r w:rsidRPr="00C7342C">
        <w:rPr>
          <w:b/>
          <w:i/>
        </w:rPr>
        <w:t>whether this is a significant share</w:t>
      </w:r>
      <w:r>
        <w:t xml:space="preserve"> </w:t>
      </w:r>
      <w:r w:rsidRPr="00C7342C">
        <w:rPr>
          <w:b/>
          <w:i/>
          <w:strike/>
        </w:rPr>
        <w:t xml:space="preserve">its relevance </w:t>
      </w:r>
      <w:r w:rsidRPr="00C7342C">
        <w:rPr>
          <w:b/>
          <w:i/>
          <w:strike/>
        </w:rPr>
        <w:lastRenderedPageBreak/>
        <w:t>in terms of an estimate</w:t>
      </w:r>
      <w:r>
        <w:t xml:space="preserve"> of the total number of </w:t>
      </w:r>
      <w:r w:rsidRPr="00C7342C">
        <w:rPr>
          <w:b/>
          <w:i/>
          <w:strike/>
        </w:rPr>
        <w:t>types of</w:t>
      </w:r>
      <w:r>
        <w:t xml:space="preserve"> derivative contracts traded in the financial system of the Member State(s) considered;</w:t>
      </w:r>
    </w:p>
    <w:p w:rsidR="00C7342C" w:rsidRDefault="00C7342C" w:rsidP="0092452B"/>
    <w:permEnd w:id="1305295974"/>
    <w:p w:rsidR="009A2624" w:rsidRDefault="00665C07" w:rsidP="009A2624">
      <w:r>
        <w:t>&lt;ESMA_QUESTION_C</w:t>
      </w:r>
      <w:r w:rsidR="009A2624">
        <w:t>P_BMR_8&gt;</w:t>
      </w:r>
    </w:p>
    <w:p w:rsidR="009A2624" w:rsidRDefault="009A2624" w:rsidP="009A2624"/>
    <w:p w:rsidR="009A2624" w:rsidRPr="007F44BF" w:rsidRDefault="005C7F55" w:rsidP="002342EC">
      <w:pPr>
        <w:pStyle w:val="Questionstyle"/>
      </w:pPr>
      <w:r w:rsidRPr="00E76135">
        <w:rPr>
          <w:rFonts w:cs="Arial"/>
          <w:lang w:val="en-US"/>
        </w:rPr>
        <w:t>Do you think that the concept of “significant share of” should be further developed in terms of percentages or ranges of values expressed in percentages, to be used for (some of) the criteria based on quantitative data? If yes, could you propose percentages of reference, or ranges of values e</w:t>
      </w:r>
      <w:r w:rsidRPr="00E76135">
        <w:rPr>
          <w:rFonts w:cs="Arial"/>
          <w:lang w:val="en-US"/>
        </w:rPr>
        <w:t>x</w:t>
      </w:r>
      <w:r w:rsidRPr="00E76135">
        <w:rPr>
          <w:rFonts w:cs="Arial"/>
          <w:lang w:val="en-US"/>
        </w:rPr>
        <w:t>pressed in percentages, to be used for one or more of the proposed criteria</w:t>
      </w:r>
      <w:r w:rsidR="009A2624" w:rsidRPr="007F44BF">
        <w:t>?</w:t>
      </w:r>
    </w:p>
    <w:p w:rsidR="009A2624" w:rsidRDefault="00665C07" w:rsidP="009A2624">
      <w:r>
        <w:t>&lt;ESMA_QUESTION_C</w:t>
      </w:r>
      <w:r w:rsidR="009A2624">
        <w:t>P_BMR_9&gt;</w:t>
      </w:r>
    </w:p>
    <w:p w:rsidR="00F54AC8" w:rsidRDefault="00F54AC8" w:rsidP="00F54AC8">
      <w:permStart w:id="1870621328" w:edGrp="everyone"/>
      <w:r>
        <w:t xml:space="preserve">Argus considers that there would likely be benefit in </w:t>
      </w:r>
      <w:proofErr w:type="spellStart"/>
      <w:r>
        <w:t>ESMA</w:t>
      </w:r>
      <w:proofErr w:type="spellEnd"/>
      <w:r>
        <w:t xml:space="preserve"> developing guidance in relation to “significant share of”, as this would help promote clarity of application as well as supervisory convergence.</w:t>
      </w:r>
    </w:p>
    <w:p w:rsidR="00F54AC8" w:rsidRDefault="00F54AC8" w:rsidP="00F54AC8"/>
    <w:p w:rsidR="00F54AC8" w:rsidRDefault="00F54AC8" w:rsidP="00F54AC8">
      <w:r>
        <w:t xml:space="preserve">In considering indicative guidance on actual percentages or ranges that could be a “significant share of”, one option </w:t>
      </w:r>
      <w:proofErr w:type="spellStart"/>
      <w:r>
        <w:t>ESMA</w:t>
      </w:r>
      <w:proofErr w:type="spellEnd"/>
      <w:r>
        <w:t xml:space="preserve"> might wish </w:t>
      </w:r>
      <w:r w:rsidR="00F66ACC">
        <w:t xml:space="preserve">to </w:t>
      </w:r>
      <w:r>
        <w:t xml:space="preserve">consider </w:t>
      </w:r>
      <w:r w:rsidR="00F66ACC">
        <w:t xml:space="preserve">is to </w:t>
      </w:r>
      <w:r>
        <w:t>look to European competition policy for any relevant gui</w:t>
      </w:r>
      <w:r>
        <w:t>d</w:t>
      </w:r>
      <w:r>
        <w:t xml:space="preserve">ance. Competition policy is a complex area but notions of significant market power, while often sector specific, are broadly-speaking typically considered to reflect a market share of the order of 25-40% or greater. This could potentially provide useful policy guidance for </w:t>
      </w:r>
      <w:proofErr w:type="spellStart"/>
      <w:r>
        <w:t>ESMA</w:t>
      </w:r>
      <w:proofErr w:type="spellEnd"/>
      <w:r>
        <w:t xml:space="preserve"> in terms of what may be consi</w:t>
      </w:r>
      <w:r>
        <w:t>d</w:t>
      </w:r>
      <w:r>
        <w:t>ered for the relatively close concept of “significant share of”.</w:t>
      </w:r>
    </w:p>
    <w:permEnd w:id="1870621328"/>
    <w:p w:rsidR="009A2624" w:rsidRDefault="00665C07" w:rsidP="009A2624">
      <w:r>
        <w:t>&lt;ESMA_QUESTION_C</w:t>
      </w:r>
      <w:r w:rsidR="009A2624">
        <w:t>P_BMR_9&gt;</w:t>
      </w:r>
    </w:p>
    <w:p w:rsidR="009A2624" w:rsidRDefault="009A2624" w:rsidP="009A2624"/>
    <w:p w:rsidR="009A2624" w:rsidRPr="007F44BF" w:rsidRDefault="005C7F55" w:rsidP="002342EC">
      <w:pPr>
        <w:pStyle w:val="Questionstyle"/>
      </w:pPr>
      <w:r w:rsidRPr="00837564">
        <w:rPr>
          <w:rFonts w:cs="Arial"/>
        </w:rPr>
        <w:t>Do you agree with the suggested indicators for objective reasons for endorsement of third-country benchmarks</w:t>
      </w:r>
      <w:r w:rsidR="009A2624" w:rsidRPr="007F44BF">
        <w:t xml:space="preserve">? </w:t>
      </w:r>
    </w:p>
    <w:p w:rsidR="009A2624" w:rsidRDefault="00665C07" w:rsidP="009A2624">
      <w:r>
        <w:t>&lt;ESMA_QUESTION_C</w:t>
      </w:r>
      <w:r w:rsidR="009A2624">
        <w:t>P_BMR_10&gt;</w:t>
      </w:r>
    </w:p>
    <w:p w:rsidR="009A2624" w:rsidRDefault="004C252E" w:rsidP="009A2624">
      <w:permStart w:id="505687143" w:edGrp="everyone"/>
      <w:r>
        <w:t>Yes, Argus supports the draft Technical Advice.</w:t>
      </w:r>
    </w:p>
    <w:permEnd w:id="505687143"/>
    <w:p w:rsidR="009A2624" w:rsidRDefault="00665C07" w:rsidP="009A2624">
      <w:r>
        <w:t>&lt;ESMA_QUESTION_C</w:t>
      </w:r>
      <w:r w:rsidR="009A2624">
        <w:t>P_BMR_10&gt;</w:t>
      </w:r>
    </w:p>
    <w:p w:rsidR="009A2624" w:rsidRDefault="009A2624" w:rsidP="009A2624"/>
    <w:p w:rsidR="009A2624" w:rsidRPr="007F44BF" w:rsidRDefault="005C7F55" w:rsidP="002342EC">
      <w:pPr>
        <w:pStyle w:val="Questionstyle"/>
      </w:pPr>
      <w:r>
        <w:rPr>
          <w:rFonts w:cs="Arial"/>
          <w:lang w:val="en-US"/>
        </w:rPr>
        <w:t>Do you agree with the criteria, included in the draft technical advice, that NCAs should use when assessing whether the transitional provisions could apply to a non-compliant benchmark? Could you suggest additional criteria?</w:t>
      </w:r>
      <w:r w:rsidR="009A2624" w:rsidRPr="007F44BF">
        <w:t xml:space="preserve"> </w:t>
      </w:r>
    </w:p>
    <w:p w:rsidR="009A2624" w:rsidRDefault="009A2624" w:rsidP="009A2624">
      <w:r>
        <w:t>&lt;ES</w:t>
      </w:r>
      <w:r w:rsidR="00665C07">
        <w:t>MA_QUESTION_C</w:t>
      </w:r>
      <w:r>
        <w:t>P_BMR_11&gt;</w:t>
      </w:r>
    </w:p>
    <w:p w:rsidR="004C252E" w:rsidRDefault="004C252E" w:rsidP="004C252E">
      <w:permStart w:id="635306324" w:edGrp="everyone"/>
      <w:r>
        <w:t xml:space="preserve">Yes, Argus supports the </w:t>
      </w:r>
      <w:r w:rsidR="00C633E3">
        <w:rPr>
          <w:rFonts w:cs="Arial"/>
          <w:lang w:val="en-US"/>
        </w:rPr>
        <w:t>criteria</w:t>
      </w:r>
      <w:r w:rsidR="00C633E3">
        <w:t xml:space="preserve"> in the </w:t>
      </w:r>
      <w:r>
        <w:t>draft Technical Advice. We have no additional criteria to propose.</w:t>
      </w:r>
    </w:p>
    <w:p w:rsidR="00C633E3" w:rsidRDefault="00C633E3" w:rsidP="004C252E"/>
    <w:p w:rsidR="00C633E3" w:rsidRDefault="00C633E3" w:rsidP="004C252E">
      <w:r>
        <w:t xml:space="preserve">We would however like to draw to </w:t>
      </w:r>
      <w:proofErr w:type="spellStart"/>
      <w:r>
        <w:t>ESMA’s</w:t>
      </w:r>
      <w:proofErr w:type="spellEnd"/>
      <w:r>
        <w:t xml:space="preserve"> attention a concern, also expressed by other stakeholders, regarding the status of benchmarks that are new during the period between entry into force and the date of application of BMR. If a benchmark is new during this period, and if none of the transitional provisions of Article 51 are held to be applicable to </w:t>
      </w:r>
      <w:r w:rsidR="00785C97">
        <w:t>this</w:t>
      </w:r>
      <w:r>
        <w:t xml:space="preserve"> </w:t>
      </w:r>
      <w:r w:rsidR="008C21E9">
        <w:t xml:space="preserve">category of </w:t>
      </w:r>
      <w:r>
        <w:t xml:space="preserve">benchmark, then there is a real risk of </w:t>
      </w:r>
      <w:r w:rsidR="009F7EE3">
        <w:t xml:space="preserve">provoking </w:t>
      </w:r>
      <w:r>
        <w:t xml:space="preserve">disorderly </w:t>
      </w:r>
      <w:r w:rsidR="009F7EE3">
        <w:t xml:space="preserve">conditions, market </w:t>
      </w:r>
      <w:r>
        <w:t>disruption and contract frustration.</w:t>
      </w:r>
    </w:p>
    <w:p w:rsidR="00C633E3" w:rsidRDefault="00C633E3" w:rsidP="004C252E"/>
    <w:p w:rsidR="00785C97" w:rsidRDefault="008C21E9" w:rsidP="004C252E">
      <w:r>
        <w:t>It would appear that i</w:t>
      </w:r>
      <w:r w:rsidR="00C633E3">
        <w:t xml:space="preserve">f none of the transitional provisions of Article 51 are held to be applicable to </w:t>
      </w:r>
      <w:r>
        <w:t>this category of b</w:t>
      </w:r>
      <w:r w:rsidR="00C633E3">
        <w:t xml:space="preserve">enchmark, then the administrator of such a benchmark would require </w:t>
      </w:r>
      <w:proofErr w:type="gramStart"/>
      <w:r w:rsidR="00C633E3">
        <w:t>to be authorised or registered</w:t>
      </w:r>
      <w:proofErr w:type="gramEnd"/>
      <w:r w:rsidR="00C633E3">
        <w:t xml:space="preserve"> under Article 34 on the very date of application of BMR. And absent such authoris</w:t>
      </w:r>
      <w:r w:rsidR="00C633E3">
        <w:t>a</w:t>
      </w:r>
      <w:r w:rsidR="00C633E3">
        <w:t>tion/registration</w:t>
      </w:r>
      <w:r>
        <w:t xml:space="preserve"> on the very date of application of BMR</w:t>
      </w:r>
      <w:r w:rsidR="00C633E3">
        <w:t xml:space="preserve">, </w:t>
      </w:r>
      <w:r>
        <w:t xml:space="preserve">it would seem that </w:t>
      </w:r>
      <w:r w:rsidR="00C633E3">
        <w:t>the benchmark — already ‘in use’ within the meaning of BMR by a supervised entity in the EU —</w:t>
      </w:r>
      <w:r w:rsidR="009F7EE3">
        <w:t xml:space="preserve"> </w:t>
      </w:r>
      <w:r w:rsidR="00C633E3">
        <w:t xml:space="preserve">could no longer </w:t>
      </w:r>
      <w:r>
        <w:t>continue to be used.</w:t>
      </w:r>
    </w:p>
    <w:p w:rsidR="00785C97" w:rsidRDefault="00785C97" w:rsidP="004C252E"/>
    <w:p w:rsidR="00C633E3" w:rsidRDefault="008C21E9" w:rsidP="004C252E">
      <w:r>
        <w:t xml:space="preserve">Therefore if usage </w:t>
      </w:r>
      <w:r w:rsidR="00FB21B0">
        <w:t xml:space="preserve">of the benchmark </w:t>
      </w:r>
      <w:r>
        <w:t xml:space="preserve">were for example in an ETD, all trade in the ETD would presumably be required to be immediately halted and the trading venue </w:t>
      </w:r>
      <w:r w:rsidR="00785C97">
        <w:t xml:space="preserve">would be </w:t>
      </w:r>
      <w:r>
        <w:t xml:space="preserve">required to </w:t>
      </w:r>
      <w:r w:rsidR="00785C97">
        <w:t xml:space="preserve">immediately suspend or </w:t>
      </w:r>
      <w:r>
        <w:t xml:space="preserve">de-list the contract despite </w:t>
      </w:r>
      <w:r w:rsidR="009F7EE3">
        <w:t xml:space="preserve">all </w:t>
      </w:r>
      <w:r>
        <w:t xml:space="preserve">open positions. This would clearly generate </w:t>
      </w:r>
      <w:r w:rsidR="00874A94">
        <w:t>disorderly conditions and e</w:t>
      </w:r>
      <w:r w:rsidR="00874A94">
        <w:t>n</w:t>
      </w:r>
      <w:r w:rsidR="00874A94">
        <w:t xml:space="preserve">gender </w:t>
      </w:r>
      <w:r w:rsidR="00785C97">
        <w:t>market disruption</w:t>
      </w:r>
      <w:r>
        <w:t>.</w:t>
      </w:r>
    </w:p>
    <w:p w:rsidR="008C21E9" w:rsidRDefault="008C21E9" w:rsidP="004C252E"/>
    <w:p w:rsidR="00692451" w:rsidRDefault="00692451" w:rsidP="004C252E">
      <w:r>
        <w:lastRenderedPageBreak/>
        <w:t xml:space="preserve">But it would be highly unrealistic to expect that a national regulatory authority (NRA) could always in practice be in a position to authorise or register an administrator on the very date of application of BMR. Such an application can be expected to take the NRA weeks and perhaps months to process, even if the administrator has been able to pre-submit an application for authorisation/registration prior to the date of </w:t>
      </w:r>
      <w:proofErr w:type="spellStart"/>
      <w:r>
        <w:t>BMR’s</w:t>
      </w:r>
      <w:proofErr w:type="spellEnd"/>
      <w:r>
        <w:t xml:space="preserve"> entry into application and the NRA has been in a position to accept such an early submission.</w:t>
      </w:r>
    </w:p>
    <w:p w:rsidR="00692451" w:rsidRDefault="00692451" w:rsidP="004C252E"/>
    <w:p w:rsidR="008C21E9" w:rsidRDefault="008C21E9" w:rsidP="004C252E">
      <w:r>
        <w:t xml:space="preserve">Argus would therefore like to encourage </w:t>
      </w:r>
      <w:proofErr w:type="spellStart"/>
      <w:r>
        <w:t>ESMA</w:t>
      </w:r>
      <w:proofErr w:type="spellEnd"/>
      <w:r>
        <w:t xml:space="preserve"> to reflect further, including in relation to its draft Technical Advice, as to whether some or all of the transitional provisions of Article 51 can, consistent with the level 1 text, be clarified as applicable to a benchmark that is new during the period between entry into force and the date of application of BMR. We note for example that the concept of “existing benchmark” used in Articles 51(3) and 51(4) does not coincide with the language of Article 51(1) which </w:t>
      </w:r>
      <w:r w:rsidR="00785C97">
        <w:t>relates to an “index provide</w:t>
      </w:r>
      <w:r w:rsidR="0055171B">
        <w:t>r</w:t>
      </w:r>
      <w:r w:rsidR="00785C97">
        <w:t xml:space="preserve"> providing a benchmark on … [the dat</w:t>
      </w:r>
      <w:r w:rsidR="00B17BFA">
        <w:t>e</w:t>
      </w:r>
      <w:r w:rsidR="00785C97">
        <w:t xml:space="preserve"> of entry into force of this Regulation]”.</w:t>
      </w:r>
    </w:p>
    <w:p w:rsidR="008C21E9" w:rsidRDefault="008C21E9" w:rsidP="004C252E"/>
    <w:permEnd w:id="635306324"/>
    <w:p w:rsidR="009A2624" w:rsidRDefault="00665C07" w:rsidP="009A2624">
      <w:r>
        <w:t>&lt;ESMA_QUESTION_C</w:t>
      </w:r>
      <w:r w:rsidR="009A2624">
        <w:t>P_BMR_11&gt;</w:t>
      </w:r>
    </w:p>
    <w:p w:rsidR="00BE3CE5" w:rsidRDefault="00BE3CE5" w:rsidP="009A2624"/>
    <w:sectPr w:rsidR="00BE3CE5" w:rsidSect="00A8728B">
      <w:headerReference w:type="even" r:id="rId16"/>
      <w:headerReference w:type="first" r:id="rId17"/>
      <w:footerReference w:type="first" r:id="rId18"/>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54F" w:rsidRDefault="0012754F">
      <w:r>
        <w:separator/>
      </w:r>
    </w:p>
    <w:p w:rsidR="0012754F" w:rsidRDefault="0012754F"/>
  </w:endnote>
  <w:endnote w:type="continuationSeparator" w:id="0">
    <w:p w:rsidR="0012754F" w:rsidRDefault="0012754F">
      <w:r>
        <w:continuationSeparator/>
      </w:r>
    </w:p>
    <w:p w:rsidR="0012754F" w:rsidRDefault="0012754F"/>
  </w:endnote>
  <w:endnote w:type="continuationNotice" w:id="1">
    <w:p w:rsidR="0012754F" w:rsidRDefault="001275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B4D1C" w:rsidRPr="00616B9B" w:rsidTr="00315E96">
      <w:trPr>
        <w:trHeight w:val="284"/>
      </w:trPr>
      <w:tc>
        <w:tcPr>
          <w:tcW w:w="8460" w:type="dxa"/>
        </w:tcPr>
        <w:p w:rsidR="003B4D1C" w:rsidRPr="00315E96" w:rsidRDefault="003B4D1C" w:rsidP="00315E96">
          <w:pPr>
            <w:pStyle w:val="00Footer"/>
            <w:rPr>
              <w:lang w:val="fr-FR"/>
            </w:rPr>
          </w:pPr>
        </w:p>
      </w:tc>
      <w:tc>
        <w:tcPr>
          <w:tcW w:w="952" w:type="dxa"/>
        </w:tcPr>
        <w:p w:rsidR="003B4D1C" w:rsidRPr="00616B9B" w:rsidRDefault="003B4D1C"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B17BFA">
            <w:rPr>
              <w:rFonts w:cs="Arial"/>
              <w:noProof/>
              <w:sz w:val="22"/>
              <w:szCs w:val="22"/>
            </w:rPr>
            <w:t>10</w:t>
          </w:r>
          <w:r w:rsidRPr="00616B9B">
            <w:rPr>
              <w:rFonts w:cs="Arial"/>
              <w:noProof/>
              <w:sz w:val="22"/>
              <w:szCs w:val="22"/>
            </w:rPr>
            <w:fldChar w:fldCharType="end"/>
          </w:r>
        </w:p>
      </w:tc>
    </w:tr>
  </w:tbl>
  <w:p w:rsidR="003B4D1C" w:rsidRDefault="003B4D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D1C" w:rsidRDefault="003B4D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54F" w:rsidRDefault="0012754F">
      <w:r>
        <w:separator/>
      </w:r>
    </w:p>
    <w:p w:rsidR="0012754F" w:rsidRDefault="0012754F"/>
  </w:footnote>
  <w:footnote w:type="continuationSeparator" w:id="0">
    <w:p w:rsidR="0012754F" w:rsidRDefault="0012754F">
      <w:r>
        <w:continuationSeparator/>
      </w:r>
    </w:p>
    <w:p w:rsidR="0012754F" w:rsidRDefault="0012754F"/>
  </w:footnote>
  <w:footnote w:type="continuationNotice" w:id="1">
    <w:p w:rsidR="0012754F" w:rsidRDefault="001275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D1C" w:rsidRDefault="003B4D1C">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23A9005F"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D1C" w:rsidRDefault="003B4D1C"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D1C" w:rsidRDefault="003B4D1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B4D1C" w:rsidRPr="002F4496" w:rsidTr="000C06C9">
      <w:trPr>
        <w:trHeight w:val="284"/>
      </w:trPr>
      <w:tc>
        <w:tcPr>
          <w:tcW w:w="8460" w:type="dxa"/>
        </w:tcPr>
        <w:p w:rsidR="003B4D1C" w:rsidRPr="000C3B6D" w:rsidRDefault="003B4D1C" w:rsidP="000C06C9">
          <w:pPr>
            <w:pStyle w:val="00Footer"/>
            <w:rPr>
              <w:lang w:val="fr-FR"/>
            </w:rPr>
          </w:pPr>
        </w:p>
      </w:tc>
      <w:tc>
        <w:tcPr>
          <w:tcW w:w="952" w:type="dxa"/>
        </w:tcPr>
        <w:p w:rsidR="003B4D1C" w:rsidRPr="00146B34" w:rsidRDefault="003B4D1C" w:rsidP="000C06C9">
          <w:pPr>
            <w:pStyle w:val="00aPagenumber"/>
            <w:rPr>
              <w:lang w:val="fr-FR"/>
            </w:rPr>
          </w:pPr>
        </w:p>
      </w:tc>
    </w:tr>
  </w:tbl>
  <w:p w:rsidR="003B4D1C" w:rsidRPr="00DB46C3" w:rsidRDefault="003B4D1C">
    <w:pPr>
      <w:rPr>
        <w:lang w:val="fr-FR"/>
      </w:rPr>
    </w:pPr>
  </w:p>
  <w:p w:rsidR="003B4D1C" w:rsidRPr="002F4496" w:rsidRDefault="003B4D1C">
    <w:pPr>
      <w:pStyle w:val="Header"/>
      <w:rPr>
        <w:lang w:val="fr-FR"/>
      </w:rPr>
    </w:pPr>
  </w:p>
  <w:p w:rsidR="003B4D1C" w:rsidRPr="002F4496" w:rsidRDefault="003B4D1C" w:rsidP="000C06C9">
    <w:pPr>
      <w:pStyle w:val="Header"/>
      <w:tabs>
        <w:tab w:val="clear" w:pos="4536"/>
        <w:tab w:val="clear" w:pos="9072"/>
        <w:tab w:val="left" w:pos="8227"/>
      </w:tabs>
      <w:rPr>
        <w:lang w:val="fr-FR"/>
      </w:rPr>
    </w:pPr>
  </w:p>
  <w:p w:rsidR="003B4D1C" w:rsidRPr="002F4496" w:rsidRDefault="003B4D1C" w:rsidP="000C06C9">
    <w:pPr>
      <w:pStyle w:val="Header"/>
      <w:tabs>
        <w:tab w:val="clear" w:pos="4536"/>
        <w:tab w:val="clear" w:pos="9072"/>
        <w:tab w:val="left" w:pos="8227"/>
      </w:tabs>
      <w:rPr>
        <w:lang w:val="fr-FR"/>
      </w:rPr>
    </w:pPr>
  </w:p>
  <w:p w:rsidR="003B4D1C" w:rsidRPr="002F4496" w:rsidRDefault="003B4D1C">
    <w:pPr>
      <w:pStyle w:val="Header"/>
      <w:rPr>
        <w:lang w:val="fr-FR"/>
      </w:rPr>
    </w:pPr>
  </w:p>
  <w:p w:rsidR="003B4D1C" w:rsidRPr="002F4496" w:rsidRDefault="003B4D1C">
    <w:pPr>
      <w:pStyle w:val="Header"/>
      <w:rPr>
        <w:lang w:val="fr-FR"/>
      </w:rPr>
    </w:pPr>
  </w:p>
  <w:p w:rsidR="003B4D1C" w:rsidRPr="002F4496" w:rsidRDefault="003B4D1C">
    <w:pPr>
      <w:pStyle w:val="Header"/>
      <w:rPr>
        <w:lang w:val="fr-FR"/>
      </w:rPr>
    </w:pPr>
  </w:p>
  <w:p w:rsidR="003B4D1C" w:rsidRPr="002F4496" w:rsidRDefault="003B4D1C">
    <w:pPr>
      <w:pStyle w:val="Header"/>
      <w:rPr>
        <w:lang w:val="fr-FR"/>
      </w:rPr>
    </w:pPr>
  </w:p>
  <w:p w:rsidR="003B4D1C" w:rsidRPr="002F4496" w:rsidRDefault="003B4D1C">
    <w:pPr>
      <w:pStyle w:val="Header"/>
      <w:rPr>
        <w:highlight w:val="yellow"/>
        <w:lang w:val="fr-FR"/>
      </w:rPr>
    </w:pPr>
  </w:p>
  <w:p w:rsidR="003B4D1C" w:rsidRDefault="003B4D1C">
    <w:pPr>
      <w:pStyle w:val="Header"/>
    </w:pPr>
    <w:r>
      <w:rPr>
        <w:noProof/>
        <w:lang w:eastAsia="en-GB"/>
      </w:rPr>
      <mc:AlternateContent>
        <mc:Choice Requires="wps">
          <w:drawing>
            <wp:anchor distT="0" distB="0" distL="114299" distR="114299" simplePos="0" relativeHeight="251660288" behindDoc="0" locked="0" layoutInCell="1" allowOverlap="1" wp14:anchorId="5D83E31A" wp14:editId="27AC3B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17EC87ED"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156637CA" wp14:editId="0D76F41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5D652A"/>
    <w:multiLevelType w:val="hybridMultilevel"/>
    <w:tmpl w:val="96083418"/>
    <w:lvl w:ilvl="0" w:tplc="800E09BC">
      <w:start w:val="1"/>
      <w:numFmt w:val="decimal"/>
      <w:lvlText w:val="Q%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774903A9"/>
    <w:multiLevelType w:val="hybridMultilevel"/>
    <w:tmpl w:val="B296BF90"/>
    <w:lvl w:ilvl="0" w:tplc="7BB661EA">
      <w:start w:val="1"/>
      <w:numFmt w:val="decimal"/>
      <w:pStyle w:val="Questionstyle"/>
      <w:lvlText w:val="Q%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3"/>
  </w:num>
  <w:num w:numId="15">
    <w:abstractNumId w:val="11"/>
  </w:num>
  <w:num w:numId="16">
    <w:abstractNumId w:val="1"/>
  </w:num>
  <w:num w:numId="17">
    <w:abstractNumId w:val="15"/>
  </w:num>
  <w:num w:numId="18">
    <w:abstractNumId w:val="16"/>
  </w:num>
  <w:num w:numId="19">
    <w:abstractNumId w:val="18"/>
  </w:num>
  <w:num w:numId="20">
    <w:abstractNumId w:val="27"/>
  </w:num>
  <w:num w:numId="21">
    <w:abstractNumId w:val="36"/>
  </w:num>
  <w:num w:numId="22">
    <w:abstractNumId w:val="25"/>
  </w:num>
  <w:num w:numId="23">
    <w:abstractNumId w:val="10"/>
  </w:num>
  <w:num w:numId="24">
    <w:abstractNumId w:val="30"/>
  </w:num>
  <w:num w:numId="25">
    <w:abstractNumId w:val="29"/>
  </w:num>
  <w:num w:numId="26">
    <w:abstractNumId w:val="20"/>
  </w:num>
  <w:num w:numId="27">
    <w:abstractNumId w:val="33"/>
  </w:num>
  <w:num w:numId="28">
    <w:abstractNumId w:val="39"/>
  </w:num>
  <w:num w:numId="29">
    <w:abstractNumId w:val="8"/>
  </w:num>
  <w:num w:numId="30">
    <w:abstractNumId w:val="4"/>
  </w:num>
  <w:num w:numId="31">
    <w:abstractNumId w:val="22"/>
  </w:num>
  <w:num w:numId="32">
    <w:abstractNumId w:val="2"/>
  </w:num>
  <w:num w:numId="33">
    <w:abstractNumId w:val="7"/>
  </w:num>
  <w:num w:numId="34">
    <w:abstractNumId w:val="21"/>
  </w:num>
  <w:num w:numId="35">
    <w:abstractNumId w:val="35"/>
  </w:num>
  <w:num w:numId="36">
    <w:abstractNumId w:val="34"/>
  </w:num>
  <w:num w:numId="37">
    <w:abstractNumId w:val="12"/>
  </w:num>
  <w:num w:numId="38">
    <w:abstractNumId w:val="3"/>
  </w:num>
  <w:num w:numId="39">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4nU0jKE/0FUl/mFLwVxG4YN4db+ZeKzs2H2iJsoDrWTrHyzzwAzXk1k7rfqlSDub/1fNztjY16PGvNsFIjDTpw==" w:salt="Zg2lf8qdCA+0wSGWROtIeQ=="/>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1CB"/>
    <w:rsid w:val="00025E71"/>
    <w:rsid w:val="00026269"/>
    <w:rsid w:val="00027154"/>
    <w:rsid w:val="00027ECF"/>
    <w:rsid w:val="000303BE"/>
    <w:rsid w:val="00033FE9"/>
    <w:rsid w:val="000344D6"/>
    <w:rsid w:val="00034960"/>
    <w:rsid w:val="00036FAE"/>
    <w:rsid w:val="000379A4"/>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6796D"/>
    <w:rsid w:val="00070376"/>
    <w:rsid w:val="00070974"/>
    <w:rsid w:val="00071EAD"/>
    <w:rsid w:val="00071F4E"/>
    <w:rsid w:val="00072271"/>
    <w:rsid w:val="00072B54"/>
    <w:rsid w:val="0007463D"/>
    <w:rsid w:val="000749F0"/>
    <w:rsid w:val="00075E91"/>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E15"/>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6F31"/>
    <w:rsid w:val="000C701D"/>
    <w:rsid w:val="000C7C4A"/>
    <w:rsid w:val="000D17AA"/>
    <w:rsid w:val="000D2D0B"/>
    <w:rsid w:val="000D340A"/>
    <w:rsid w:val="000D4660"/>
    <w:rsid w:val="000D705D"/>
    <w:rsid w:val="000D7EB9"/>
    <w:rsid w:val="000E0223"/>
    <w:rsid w:val="000E0CF3"/>
    <w:rsid w:val="000E18A8"/>
    <w:rsid w:val="000E1AEC"/>
    <w:rsid w:val="000E277F"/>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2754F"/>
    <w:rsid w:val="00130F41"/>
    <w:rsid w:val="00130FAF"/>
    <w:rsid w:val="00135F2B"/>
    <w:rsid w:val="001372DD"/>
    <w:rsid w:val="001405BA"/>
    <w:rsid w:val="00141497"/>
    <w:rsid w:val="0014253A"/>
    <w:rsid w:val="001425C8"/>
    <w:rsid w:val="001431AE"/>
    <w:rsid w:val="00143B87"/>
    <w:rsid w:val="001459E3"/>
    <w:rsid w:val="00146A0B"/>
    <w:rsid w:val="001474BA"/>
    <w:rsid w:val="0014761E"/>
    <w:rsid w:val="00151907"/>
    <w:rsid w:val="001544C8"/>
    <w:rsid w:val="00155FAB"/>
    <w:rsid w:val="001567A1"/>
    <w:rsid w:val="00156857"/>
    <w:rsid w:val="00157E79"/>
    <w:rsid w:val="00157EED"/>
    <w:rsid w:val="001606A6"/>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639"/>
    <w:rsid w:val="00176982"/>
    <w:rsid w:val="00176A84"/>
    <w:rsid w:val="0017701C"/>
    <w:rsid w:val="00181264"/>
    <w:rsid w:val="00181BD1"/>
    <w:rsid w:val="0018204A"/>
    <w:rsid w:val="00182F7C"/>
    <w:rsid w:val="001843B5"/>
    <w:rsid w:val="00186829"/>
    <w:rsid w:val="001868CA"/>
    <w:rsid w:val="00187304"/>
    <w:rsid w:val="001875BE"/>
    <w:rsid w:val="00190114"/>
    <w:rsid w:val="0019017A"/>
    <w:rsid w:val="00190B8C"/>
    <w:rsid w:val="00190FF8"/>
    <w:rsid w:val="0019311A"/>
    <w:rsid w:val="00194268"/>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665"/>
    <w:rsid w:val="001B5E05"/>
    <w:rsid w:val="001B6D68"/>
    <w:rsid w:val="001B6F2E"/>
    <w:rsid w:val="001C0344"/>
    <w:rsid w:val="001C0F2A"/>
    <w:rsid w:val="001C1A59"/>
    <w:rsid w:val="001C270F"/>
    <w:rsid w:val="001C3424"/>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1385"/>
    <w:rsid w:val="00204CBC"/>
    <w:rsid w:val="002051F1"/>
    <w:rsid w:val="002067BA"/>
    <w:rsid w:val="0021058D"/>
    <w:rsid w:val="00211E2F"/>
    <w:rsid w:val="00211E9E"/>
    <w:rsid w:val="00214FB4"/>
    <w:rsid w:val="00215940"/>
    <w:rsid w:val="00216D06"/>
    <w:rsid w:val="00217C23"/>
    <w:rsid w:val="00220561"/>
    <w:rsid w:val="00220CE4"/>
    <w:rsid w:val="00222D9B"/>
    <w:rsid w:val="00223788"/>
    <w:rsid w:val="00223D11"/>
    <w:rsid w:val="002242D3"/>
    <w:rsid w:val="002301E6"/>
    <w:rsid w:val="00232F90"/>
    <w:rsid w:val="00233B08"/>
    <w:rsid w:val="00233C3B"/>
    <w:rsid w:val="002342EC"/>
    <w:rsid w:val="00234353"/>
    <w:rsid w:val="0023499C"/>
    <w:rsid w:val="00235CE3"/>
    <w:rsid w:val="0023636A"/>
    <w:rsid w:val="00236F34"/>
    <w:rsid w:val="002372F7"/>
    <w:rsid w:val="00237602"/>
    <w:rsid w:val="00240651"/>
    <w:rsid w:val="00240803"/>
    <w:rsid w:val="002415B3"/>
    <w:rsid w:val="0024426D"/>
    <w:rsid w:val="00244F1D"/>
    <w:rsid w:val="00245004"/>
    <w:rsid w:val="00245FB4"/>
    <w:rsid w:val="00245FE8"/>
    <w:rsid w:val="00250898"/>
    <w:rsid w:val="00251EA9"/>
    <w:rsid w:val="00252843"/>
    <w:rsid w:val="002537A7"/>
    <w:rsid w:val="002543F8"/>
    <w:rsid w:val="002551A4"/>
    <w:rsid w:val="002559F3"/>
    <w:rsid w:val="00256DFE"/>
    <w:rsid w:val="00261D56"/>
    <w:rsid w:val="00261FD3"/>
    <w:rsid w:val="00262703"/>
    <w:rsid w:val="00264077"/>
    <w:rsid w:val="00266B9A"/>
    <w:rsid w:val="00270E54"/>
    <w:rsid w:val="00273681"/>
    <w:rsid w:val="002749E2"/>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3D4B"/>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DB6"/>
    <w:rsid w:val="002D3FCB"/>
    <w:rsid w:val="002D4FEF"/>
    <w:rsid w:val="002D502D"/>
    <w:rsid w:val="002D63F5"/>
    <w:rsid w:val="002D6E1A"/>
    <w:rsid w:val="002E036D"/>
    <w:rsid w:val="002E1517"/>
    <w:rsid w:val="002E1B22"/>
    <w:rsid w:val="002E387F"/>
    <w:rsid w:val="002E7F4B"/>
    <w:rsid w:val="002F0C91"/>
    <w:rsid w:val="002F0E3E"/>
    <w:rsid w:val="002F16AA"/>
    <w:rsid w:val="002F1B19"/>
    <w:rsid w:val="002F1FBF"/>
    <w:rsid w:val="002F4139"/>
    <w:rsid w:val="002F48A6"/>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1FBA"/>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4CB1"/>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0CED"/>
    <w:rsid w:val="003A36D5"/>
    <w:rsid w:val="003A5DAC"/>
    <w:rsid w:val="003A6591"/>
    <w:rsid w:val="003A6E9A"/>
    <w:rsid w:val="003B08C8"/>
    <w:rsid w:val="003B2567"/>
    <w:rsid w:val="003B381A"/>
    <w:rsid w:val="003B4976"/>
    <w:rsid w:val="003B4B3F"/>
    <w:rsid w:val="003B4D1C"/>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D79DA"/>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49C0"/>
    <w:rsid w:val="00406E90"/>
    <w:rsid w:val="00410240"/>
    <w:rsid w:val="00412253"/>
    <w:rsid w:val="004142ED"/>
    <w:rsid w:val="00416341"/>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8F9"/>
    <w:rsid w:val="00437929"/>
    <w:rsid w:val="00437A4A"/>
    <w:rsid w:val="004404F1"/>
    <w:rsid w:val="00440541"/>
    <w:rsid w:val="0044162D"/>
    <w:rsid w:val="0044277A"/>
    <w:rsid w:val="004456DC"/>
    <w:rsid w:val="00447FBE"/>
    <w:rsid w:val="0045035E"/>
    <w:rsid w:val="0045175A"/>
    <w:rsid w:val="00451ED9"/>
    <w:rsid w:val="00452180"/>
    <w:rsid w:val="00453072"/>
    <w:rsid w:val="004539F8"/>
    <w:rsid w:val="00453F26"/>
    <w:rsid w:val="00453FBB"/>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770D9"/>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6FC9"/>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52E"/>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2F95"/>
    <w:rsid w:val="004F6376"/>
    <w:rsid w:val="004F6A93"/>
    <w:rsid w:val="004F6F14"/>
    <w:rsid w:val="004F76D9"/>
    <w:rsid w:val="004F79A6"/>
    <w:rsid w:val="00501BF5"/>
    <w:rsid w:val="00501D8B"/>
    <w:rsid w:val="00503A3E"/>
    <w:rsid w:val="00503F59"/>
    <w:rsid w:val="00504668"/>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D83"/>
    <w:rsid w:val="00522F44"/>
    <w:rsid w:val="0052360A"/>
    <w:rsid w:val="00523C0B"/>
    <w:rsid w:val="005242BA"/>
    <w:rsid w:val="005243B8"/>
    <w:rsid w:val="005252DD"/>
    <w:rsid w:val="005274EE"/>
    <w:rsid w:val="00530A8D"/>
    <w:rsid w:val="00531C6D"/>
    <w:rsid w:val="00532EAD"/>
    <w:rsid w:val="00532EF4"/>
    <w:rsid w:val="005347CE"/>
    <w:rsid w:val="00535477"/>
    <w:rsid w:val="00535DEA"/>
    <w:rsid w:val="0053723A"/>
    <w:rsid w:val="00537636"/>
    <w:rsid w:val="00537B1D"/>
    <w:rsid w:val="00540191"/>
    <w:rsid w:val="00540A2A"/>
    <w:rsid w:val="00541F27"/>
    <w:rsid w:val="00542297"/>
    <w:rsid w:val="005424BC"/>
    <w:rsid w:val="0054274C"/>
    <w:rsid w:val="00542A28"/>
    <w:rsid w:val="005441D4"/>
    <w:rsid w:val="00546641"/>
    <w:rsid w:val="0054672D"/>
    <w:rsid w:val="00550F4E"/>
    <w:rsid w:val="0055171B"/>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C7F55"/>
    <w:rsid w:val="005D1023"/>
    <w:rsid w:val="005D148F"/>
    <w:rsid w:val="005D2AD2"/>
    <w:rsid w:val="005D32E4"/>
    <w:rsid w:val="005D4A86"/>
    <w:rsid w:val="005D5EB1"/>
    <w:rsid w:val="005D6A29"/>
    <w:rsid w:val="005E0481"/>
    <w:rsid w:val="005E10BF"/>
    <w:rsid w:val="005E1834"/>
    <w:rsid w:val="005E2BE5"/>
    <w:rsid w:val="005E49E5"/>
    <w:rsid w:val="005E5481"/>
    <w:rsid w:val="005E55E4"/>
    <w:rsid w:val="005E6C5F"/>
    <w:rsid w:val="005E7636"/>
    <w:rsid w:val="005F028E"/>
    <w:rsid w:val="005F04B4"/>
    <w:rsid w:val="005F11A4"/>
    <w:rsid w:val="005F19F8"/>
    <w:rsid w:val="005F3A40"/>
    <w:rsid w:val="005F3FB1"/>
    <w:rsid w:val="005F4954"/>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73"/>
    <w:rsid w:val="006341B5"/>
    <w:rsid w:val="006346C9"/>
    <w:rsid w:val="00634727"/>
    <w:rsid w:val="00634B64"/>
    <w:rsid w:val="0063578C"/>
    <w:rsid w:val="0063642C"/>
    <w:rsid w:val="0063681E"/>
    <w:rsid w:val="00636FF9"/>
    <w:rsid w:val="00640DCD"/>
    <w:rsid w:val="00641DC3"/>
    <w:rsid w:val="00642972"/>
    <w:rsid w:val="00642AED"/>
    <w:rsid w:val="006443C1"/>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5754C"/>
    <w:rsid w:val="00660BF0"/>
    <w:rsid w:val="0066189C"/>
    <w:rsid w:val="0066223C"/>
    <w:rsid w:val="006630CF"/>
    <w:rsid w:val="00663EFF"/>
    <w:rsid w:val="00665C07"/>
    <w:rsid w:val="00666F74"/>
    <w:rsid w:val="00667FEA"/>
    <w:rsid w:val="006710D2"/>
    <w:rsid w:val="00671A8B"/>
    <w:rsid w:val="00671F53"/>
    <w:rsid w:val="006725A0"/>
    <w:rsid w:val="0067555E"/>
    <w:rsid w:val="00675C13"/>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451"/>
    <w:rsid w:val="00694B73"/>
    <w:rsid w:val="00694DF2"/>
    <w:rsid w:val="00695F80"/>
    <w:rsid w:val="006966CD"/>
    <w:rsid w:val="00696735"/>
    <w:rsid w:val="0069780E"/>
    <w:rsid w:val="00697D13"/>
    <w:rsid w:val="006A0A4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0EA4"/>
    <w:rsid w:val="006E2A23"/>
    <w:rsid w:val="006E35E5"/>
    <w:rsid w:val="006E3C72"/>
    <w:rsid w:val="006E4287"/>
    <w:rsid w:val="006E4F20"/>
    <w:rsid w:val="006E649A"/>
    <w:rsid w:val="006E6D58"/>
    <w:rsid w:val="006F08DC"/>
    <w:rsid w:val="006F1875"/>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7526"/>
    <w:rsid w:val="00710519"/>
    <w:rsid w:val="00710F6E"/>
    <w:rsid w:val="00711663"/>
    <w:rsid w:val="007116B4"/>
    <w:rsid w:val="00712580"/>
    <w:rsid w:val="007133E4"/>
    <w:rsid w:val="00713788"/>
    <w:rsid w:val="00713940"/>
    <w:rsid w:val="007151A2"/>
    <w:rsid w:val="00716774"/>
    <w:rsid w:val="00716AB4"/>
    <w:rsid w:val="007209DD"/>
    <w:rsid w:val="00722E49"/>
    <w:rsid w:val="00723A08"/>
    <w:rsid w:val="00723B5C"/>
    <w:rsid w:val="00724391"/>
    <w:rsid w:val="00724C18"/>
    <w:rsid w:val="00726630"/>
    <w:rsid w:val="00727F73"/>
    <w:rsid w:val="00730705"/>
    <w:rsid w:val="00730944"/>
    <w:rsid w:val="007314CF"/>
    <w:rsid w:val="0073248E"/>
    <w:rsid w:val="00733EE9"/>
    <w:rsid w:val="00735B8E"/>
    <w:rsid w:val="0073673C"/>
    <w:rsid w:val="00736935"/>
    <w:rsid w:val="00743DE7"/>
    <w:rsid w:val="0074509E"/>
    <w:rsid w:val="00745B9F"/>
    <w:rsid w:val="00746759"/>
    <w:rsid w:val="0074726F"/>
    <w:rsid w:val="007476BB"/>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4028"/>
    <w:rsid w:val="00775937"/>
    <w:rsid w:val="00777046"/>
    <w:rsid w:val="007770DA"/>
    <w:rsid w:val="007805B9"/>
    <w:rsid w:val="00780C3A"/>
    <w:rsid w:val="007834A1"/>
    <w:rsid w:val="00785C97"/>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3918"/>
    <w:rsid w:val="007C49C0"/>
    <w:rsid w:val="007C55C1"/>
    <w:rsid w:val="007C5738"/>
    <w:rsid w:val="007C5772"/>
    <w:rsid w:val="007C5AC3"/>
    <w:rsid w:val="007C7233"/>
    <w:rsid w:val="007D10EE"/>
    <w:rsid w:val="007D1193"/>
    <w:rsid w:val="007D21D5"/>
    <w:rsid w:val="007D3E8D"/>
    <w:rsid w:val="007D4B97"/>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25FA"/>
    <w:rsid w:val="007F365C"/>
    <w:rsid w:val="007F5066"/>
    <w:rsid w:val="007F621C"/>
    <w:rsid w:val="007F7155"/>
    <w:rsid w:val="00800C28"/>
    <w:rsid w:val="0080245E"/>
    <w:rsid w:val="00803480"/>
    <w:rsid w:val="0080359C"/>
    <w:rsid w:val="008037AE"/>
    <w:rsid w:val="008043F4"/>
    <w:rsid w:val="00804BB4"/>
    <w:rsid w:val="00805D9F"/>
    <w:rsid w:val="00806E45"/>
    <w:rsid w:val="00807A4D"/>
    <w:rsid w:val="00807F30"/>
    <w:rsid w:val="008103DC"/>
    <w:rsid w:val="0081119F"/>
    <w:rsid w:val="0081134D"/>
    <w:rsid w:val="00811EDA"/>
    <w:rsid w:val="00811F61"/>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038"/>
    <w:rsid w:val="00840477"/>
    <w:rsid w:val="0084121D"/>
    <w:rsid w:val="00841707"/>
    <w:rsid w:val="008419C1"/>
    <w:rsid w:val="00844515"/>
    <w:rsid w:val="0084465A"/>
    <w:rsid w:val="00844DFF"/>
    <w:rsid w:val="00845D87"/>
    <w:rsid w:val="00846C3A"/>
    <w:rsid w:val="008477BF"/>
    <w:rsid w:val="008503DA"/>
    <w:rsid w:val="00850B68"/>
    <w:rsid w:val="00850E82"/>
    <w:rsid w:val="0085122D"/>
    <w:rsid w:val="008519E8"/>
    <w:rsid w:val="008522FD"/>
    <w:rsid w:val="008525FF"/>
    <w:rsid w:val="00852C03"/>
    <w:rsid w:val="0085590C"/>
    <w:rsid w:val="0085626F"/>
    <w:rsid w:val="008575EB"/>
    <w:rsid w:val="00862DDD"/>
    <w:rsid w:val="0086326D"/>
    <w:rsid w:val="00863CC1"/>
    <w:rsid w:val="00865B01"/>
    <w:rsid w:val="00866D7A"/>
    <w:rsid w:val="00866EE3"/>
    <w:rsid w:val="008701E5"/>
    <w:rsid w:val="00871F04"/>
    <w:rsid w:val="008746C1"/>
    <w:rsid w:val="00874A94"/>
    <w:rsid w:val="00876A4F"/>
    <w:rsid w:val="0087772E"/>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1E9"/>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5D5D"/>
    <w:rsid w:val="008E6A37"/>
    <w:rsid w:val="008F0354"/>
    <w:rsid w:val="008F085A"/>
    <w:rsid w:val="008F1462"/>
    <w:rsid w:val="008F2413"/>
    <w:rsid w:val="008F248D"/>
    <w:rsid w:val="008F4B2C"/>
    <w:rsid w:val="008F4C08"/>
    <w:rsid w:val="008F4F8A"/>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452B"/>
    <w:rsid w:val="009252EC"/>
    <w:rsid w:val="00925AEC"/>
    <w:rsid w:val="00925BCD"/>
    <w:rsid w:val="0092751A"/>
    <w:rsid w:val="009305C4"/>
    <w:rsid w:val="00931FAF"/>
    <w:rsid w:val="00933C66"/>
    <w:rsid w:val="009360F6"/>
    <w:rsid w:val="009371DC"/>
    <w:rsid w:val="0093759D"/>
    <w:rsid w:val="00940239"/>
    <w:rsid w:val="00942BD6"/>
    <w:rsid w:val="00942DED"/>
    <w:rsid w:val="00943C2A"/>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0AEB"/>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77B09"/>
    <w:rsid w:val="0098012D"/>
    <w:rsid w:val="00980845"/>
    <w:rsid w:val="00981BD9"/>
    <w:rsid w:val="0098225F"/>
    <w:rsid w:val="00982DE1"/>
    <w:rsid w:val="00983A3C"/>
    <w:rsid w:val="00983EFA"/>
    <w:rsid w:val="00984C15"/>
    <w:rsid w:val="00987829"/>
    <w:rsid w:val="00990FF9"/>
    <w:rsid w:val="00991276"/>
    <w:rsid w:val="009915C9"/>
    <w:rsid w:val="009923E7"/>
    <w:rsid w:val="00992697"/>
    <w:rsid w:val="00992D4E"/>
    <w:rsid w:val="00993AFA"/>
    <w:rsid w:val="00994621"/>
    <w:rsid w:val="009947FF"/>
    <w:rsid w:val="0099544B"/>
    <w:rsid w:val="009A053D"/>
    <w:rsid w:val="009A07A6"/>
    <w:rsid w:val="009A0D56"/>
    <w:rsid w:val="009A2624"/>
    <w:rsid w:val="009A31B9"/>
    <w:rsid w:val="009A4D4F"/>
    <w:rsid w:val="009A53D8"/>
    <w:rsid w:val="009A597F"/>
    <w:rsid w:val="009A7B72"/>
    <w:rsid w:val="009A7F49"/>
    <w:rsid w:val="009B03C4"/>
    <w:rsid w:val="009B04E2"/>
    <w:rsid w:val="009B0AA2"/>
    <w:rsid w:val="009B1D02"/>
    <w:rsid w:val="009B492A"/>
    <w:rsid w:val="009B7133"/>
    <w:rsid w:val="009B7658"/>
    <w:rsid w:val="009B7CD1"/>
    <w:rsid w:val="009B7E22"/>
    <w:rsid w:val="009B7E78"/>
    <w:rsid w:val="009C10FE"/>
    <w:rsid w:val="009C13BC"/>
    <w:rsid w:val="009C1CA4"/>
    <w:rsid w:val="009C2532"/>
    <w:rsid w:val="009C2BA4"/>
    <w:rsid w:val="009C6091"/>
    <w:rsid w:val="009C634F"/>
    <w:rsid w:val="009C6CE1"/>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38DD"/>
    <w:rsid w:val="009F544C"/>
    <w:rsid w:val="009F5731"/>
    <w:rsid w:val="009F6321"/>
    <w:rsid w:val="009F6378"/>
    <w:rsid w:val="009F7669"/>
    <w:rsid w:val="009F7EE3"/>
    <w:rsid w:val="009F7F45"/>
    <w:rsid w:val="009F7FD5"/>
    <w:rsid w:val="00A005D4"/>
    <w:rsid w:val="00A0083C"/>
    <w:rsid w:val="00A01A90"/>
    <w:rsid w:val="00A02370"/>
    <w:rsid w:val="00A04685"/>
    <w:rsid w:val="00A046EF"/>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57E49"/>
    <w:rsid w:val="00A60D6F"/>
    <w:rsid w:val="00A61009"/>
    <w:rsid w:val="00A61762"/>
    <w:rsid w:val="00A61938"/>
    <w:rsid w:val="00A61CFD"/>
    <w:rsid w:val="00A62B86"/>
    <w:rsid w:val="00A63C96"/>
    <w:rsid w:val="00A65805"/>
    <w:rsid w:val="00A66BEE"/>
    <w:rsid w:val="00A671C9"/>
    <w:rsid w:val="00A67DFD"/>
    <w:rsid w:val="00A73837"/>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324"/>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B9C"/>
    <w:rsid w:val="00AD0CB4"/>
    <w:rsid w:val="00AD1FF2"/>
    <w:rsid w:val="00AD221A"/>
    <w:rsid w:val="00AD2A21"/>
    <w:rsid w:val="00AD2AEA"/>
    <w:rsid w:val="00AD3455"/>
    <w:rsid w:val="00AD3B43"/>
    <w:rsid w:val="00AD3DE6"/>
    <w:rsid w:val="00AD4EDE"/>
    <w:rsid w:val="00AD4FF2"/>
    <w:rsid w:val="00AD506C"/>
    <w:rsid w:val="00AD6BE5"/>
    <w:rsid w:val="00AD767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560C"/>
    <w:rsid w:val="00AF65C5"/>
    <w:rsid w:val="00B03CC9"/>
    <w:rsid w:val="00B03CE2"/>
    <w:rsid w:val="00B06544"/>
    <w:rsid w:val="00B105F2"/>
    <w:rsid w:val="00B10991"/>
    <w:rsid w:val="00B12128"/>
    <w:rsid w:val="00B12945"/>
    <w:rsid w:val="00B12C1E"/>
    <w:rsid w:val="00B13332"/>
    <w:rsid w:val="00B155DF"/>
    <w:rsid w:val="00B156CF"/>
    <w:rsid w:val="00B1570E"/>
    <w:rsid w:val="00B15999"/>
    <w:rsid w:val="00B176B9"/>
    <w:rsid w:val="00B17AD5"/>
    <w:rsid w:val="00B17BFA"/>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1CD4"/>
    <w:rsid w:val="00B33294"/>
    <w:rsid w:val="00B33657"/>
    <w:rsid w:val="00B34885"/>
    <w:rsid w:val="00B34D68"/>
    <w:rsid w:val="00B356F5"/>
    <w:rsid w:val="00B36117"/>
    <w:rsid w:val="00B362E3"/>
    <w:rsid w:val="00B37C73"/>
    <w:rsid w:val="00B4009B"/>
    <w:rsid w:val="00B400A1"/>
    <w:rsid w:val="00B40A2B"/>
    <w:rsid w:val="00B412C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695D"/>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87BC1"/>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3F6F"/>
    <w:rsid w:val="00BA45D8"/>
    <w:rsid w:val="00BA5828"/>
    <w:rsid w:val="00BA64B3"/>
    <w:rsid w:val="00BA754A"/>
    <w:rsid w:val="00BA7820"/>
    <w:rsid w:val="00BA794C"/>
    <w:rsid w:val="00BB09FB"/>
    <w:rsid w:val="00BB1613"/>
    <w:rsid w:val="00BB238D"/>
    <w:rsid w:val="00BB37CC"/>
    <w:rsid w:val="00BB4430"/>
    <w:rsid w:val="00BB48C4"/>
    <w:rsid w:val="00BB6907"/>
    <w:rsid w:val="00BB7A20"/>
    <w:rsid w:val="00BC15B1"/>
    <w:rsid w:val="00BC3C06"/>
    <w:rsid w:val="00BC4E8B"/>
    <w:rsid w:val="00BC5622"/>
    <w:rsid w:val="00BC6060"/>
    <w:rsid w:val="00BC6766"/>
    <w:rsid w:val="00BC7897"/>
    <w:rsid w:val="00BD06D3"/>
    <w:rsid w:val="00BD0F35"/>
    <w:rsid w:val="00BD45A4"/>
    <w:rsid w:val="00BD4A5F"/>
    <w:rsid w:val="00BD59AA"/>
    <w:rsid w:val="00BD65E6"/>
    <w:rsid w:val="00BD6AF7"/>
    <w:rsid w:val="00BE19EF"/>
    <w:rsid w:val="00BE1EE6"/>
    <w:rsid w:val="00BE3CE5"/>
    <w:rsid w:val="00BE425B"/>
    <w:rsid w:val="00BE51BB"/>
    <w:rsid w:val="00BE56E7"/>
    <w:rsid w:val="00BE7595"/>
    <w:rsid w:val="00BE77D3"/>
    <w:rsid w:val="00BF0138"/>
    <w:rsid w:val="00BF114B"/>
    <w:rsid w:val="00BF1620"/>
    <w:rsid w:val="00BF1AC3"/>
    <w:rsid w:val="00BF1D2F"/>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54BB"/>
    <w:rsid w:val="00C16BC2"/>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5522"/>
    <w:rsid w:val="00C368D7"/>
    <w:rsid w:val="00C36FD1"/>
    <w:rsid w:val="00C371A5"/>
    <w:rsid w:val="00C400B0"/>
    <w:rsid w:val="00C413FC"/>
    <w:rsid w:val="00C43788"/>
    <w:rsid w:val="00C43D33"/>
    <w:rsid w:val="00C44372"/>
    <w:rsid w:val="00C44407"/>
    <w:rsid w:val="00C446EB"/>
    <w:rsid w:val="00C452E5"/>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3E3"/>
    <w:rsid w:val="00C638C2"/>
    <w:rsid w:val="00C651D4"/>
    <w:rsid w:val="00C6669E"/>
    <w:rsid w:val="00C672B0"/>
    <w:rsid w:val="00C729C7"/>
    <w:rsid w:val="00C7342C"/>
    <w:rsid w:val="00C777AD"/>
    <w:rsid w:val="00C80C53"/>
    <w:rsid w:val="00C81195"/>
    <w:rsid w:val="00C82D70"/>
    <w:rsid w:val="00C85387"/>
    <w:rsid w:val="00C85E52"/>
    <w:rsid w:val="00C86471"/>
    <w:rsid w:val="00C8677B"/>
    <w:rsid w:val="00C86F96"/>
    <w:rsid w:val="00C909C6"/>
    <w:rsid w:val="00C911A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466F"/>
    <w:rsid w:val="00CE6FC6"/>
    <w:rsid w:val="00CE7630"/>
    <w:rsid w:val="00CF2056"/>
    <w:rsid w:val="00CF4471"/>
    <w:rsid w:val="00CF51C0"/>
    <w:rsid w:val="00CF5B2A"/>
    <w:rsid w:val="00CF5F57"/>
    <w:rsid w:val="00CF62BB"/>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7F8"/>
    <w:rsid w:val="00D25AC4"/>
    <w:rsid w:val="00D305F6"/>
    <w:rsid w:val="00D30B25"/>
    <w:rsid w:val="00D3175A"/>
    <w:rsid w:val="00D31A00"/>
    <w:rsid w:val="00D323E4"/>
    <w:rsid w:val="00D32871"/>
    <w:rsid w:val="00D33881"/>
    <w:rsid w:val="00D34282"/>
    <w:rsid w:val="00D366B1"/>
    <w:rsid w:val="00D37AE0"/>
    <w:rsid w:val="00D416A8"/>
    <w:rsid w:val="00D417A2"/>
    <w:rsid w:val="00D4217D"/>
    <w:rsid w:val="00D4257C"/>
    <w:rsid w:val="00D425AC"/>
    <w:rsid w:val="00D42823"/>
    <w:rsid w:val="00D42D5E"/>
    <w:rsid w:val="00D43F14"/>
    <w:rsid w:val="00D44C18"/>
    <w:rsid w:val="00D4556D"/>
    <w:rsid w:val="00D47226"/>
    <w:rsid w:val="00D511C6"/>
    <w:rsid w:val="00D5121D"/>
    <w:rsid w:val="00D516AC"/>
    <w:rsid w:val="00D51C98"/>
    <w:rsid w:val="00D521BB"/>
    <w:rsid w:val="00D52875"/>
    <w:rsid w:val="00D54050"/>
    <w:rsid w:val="00D56AC0"/>
    <w:rsid w:val="00D571B5"/>
    <w:rsid w:val="00D6081B"/>
    <w:rsid w:val="00D61A37"/>
    <w:rsid w:val="00D6240A"/>
    <w:rsid w:val="00D62A67"/>
    <w:rsid w:val="00D62A78"/>
    <w:rsid w:val="00D63093"/>
    <w:rsid w:val="00D63599"/>
    <w:rsid w:val="00D63EBD"/>
    <w:rsid w:val="00D67101"/>
    <w:rsid w:val="00D70980"/>
    <w:rsid w:val="00D71B45"/>
    <w:rsid w:val="00D71F8A"/>
    <w:rsid w:val="00D75603"/>
    <w:rsid w:val="00D75FEE"/>
    <w:rsid w:val="00D76933"/>
    <w:rsid w:val="00D76D88"/>
    <w:rsid w:val="00D77CC9"/>
    <w:rsid w:val="00D83D4B"/>
    <w:rsid w:val="00D871C6"/>
    <w:rsid w:val="00D875F8"/>
    <w:rsid w:val="00D90A79"/>
    <w:rsid w:val="00D91010"/>
    <w:rsid w:val="00D944AD"/>
    <w:rsid w:val="00DA0FA7"/>
    <w:rsid w:val="00DA12B0"/>
    <w:rsid w:val="00DA2BA0"/>
    <w:rsid w:val="00DA39AD"/>
    <w:rsid w:val="00DA5B13"/>
    <w:rsid w:val="00DA6917"/>
    <w:rsid w:val="00DA6926"/>
    <w:rsid w:val="00DA7BA1"/>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D6BF9"/>
    <w:rsid w:val="00DD6CE8"/>
    <w:rsid w:val="00DE64A6"/>
    <w:rsid w:val="00DE66EB"/>
    <w:rsid w:val="00DE7035"/>
    <w:rsid w:val="00DF12E3"/>
    <w:rsid w:val="00DF2E8E"/>
    <w:rsid w:val="00DF3F1D"/>
    <w:rsid w:val="00DF595C"/>
    <w:rsid w:val="00DF7EA7"/>
    <w:rsid w:val="00E04548"/>
    <w:rsid w:val="00E0484E"/>
    <w:rsid w:val="00E063F8"/>
    <w:rsid w:val="00E114D6"/>
    <w:rsid w:val="00E1166E"/>
    <w:rsid w:val="00E11DBD"/>
    <w:rsid w:val="00E13211"/>
    <w:rsid w:val="00E14823"/>
    <w:rsid w:val="00E158FD"/>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5F5D"/>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5C0E"/>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44E6"/>
    <w:rsid w:val="00E97002"/>
    <w:rsid w:val="00E97E2B"/>
    <w:rsid w:val="00EA08CA"/>
    <w:rsid w:val="00EA0C0C"/>
    <w:rsid w:val="00EA2099"/>
    <w:rsid w:val="00EA2AEA"/>
    <w:rsid w:val="00EA332B"/>
    <w:rsid w:val="00EA3D36"/>
    <w:rsid w:val="00EA40AA"/>
    <w:rsid w:val="00EA5766"/>
    <w:rsid w:val="00EA57E2"/>
    <w:rsid w:val="00EA5EE7"/>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7"/>
    <w:rsid w:val="00EE0598"/>
    <w:rsid w:val="00EE1FBC"/>
    <w:rsid w:val="00EE311C"/>
    <w:rsid w:val="00EE56FF"/>
    <w:rsid w:val="00EE5886"/>
    <w:rsid w:val="00EE5FBF"/>
    <w:rsid w:val="00EE60A0"/>
    <w:rsid w:val="00EE6472"/>
    <w:rsid w:val="00EE76F2"/>
    <w:rsid w:val="00EF0769"/>
    <w:rsid w:val="00EF0D7C"/>
    <w:rsid w:val="00EF1FF1"/>
    <w:rsid w:val="00EF40E2"/>
    <w:rsid w:val="00EF61C1"/>
    <w:rsid w:val="00EF6E68"/>
    <w:rsid w:val="00EF76DB"/>
    <w:rsid w:val="00F005FD"/>
    <w:rsid w:val="00F011DC"/>
    <w:rsid w:val="00F02C04"/>
    <w:rsid w:val="00F03AF1"/>
    <w:rsid w:val="00F04BCD"/>
    <w:rsid w:val="00F05A8C"/>
    <w:rsid w:val="00F06211"/>
    <w:rsid w:val="00F10A54"/>
    <w:rsid w:val="00F12310"/>
    <w:rsid w:val="00F123D0"/>
    <w:rsid w:val="00F13200"/>
    <w:rsid w:val="00F13411"/>
    <w:rsid w:val="00F143BA"/>
    <w:rsid w:val="00F144C1"/>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4AC8"/>
    <w:rsid w:val="00F574D0"/>
    <w:rsid w:val="00F6031F"/>
    <w:rsid w:val="00F61664"/>
    <w:rsid w:val="00F61B99"/>
    <w:rsid w:val="00F64682"/>
    <w:rsid w:val="00F64C45"/>
    <w:rsid w:val="00F6502B"/>
    <w:rsid w:val="00F6612A"/>
    <w:rsid w:val="00F66686"/>
    <w:rsid w:val="00F66724"/>
    <w:rsid w:val="00F66ACC"/>
    <w:rsid w:val="00F67F04"/>
    <w:rsid w:val="00F70207"/>
    <w:rsid w:val="00F702CB"/>
    <w:rsid w:val="00F71AC2"/>
    <w:rsid w:val="00F739D4"/>
    <w:rsid w:val="00F77D43"/>
    <w:rsid w:val="00F80953"/>
    <w:rsid w:val="00F81312"/>
    <w:rsid w:val="00F81B90"/>
    <w:rsid w:val="00F81E6F"/>
    <w:rsid w:val="00F8220B"/>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21B0"/>
    <w:rsid w:val="00FB3DD1"/>
    <w:rsid w:val="00FB51FD"/>
    <w:rsid w:val="00FB5667"/>
    <w:rsid w:val="00FB7A97"/>
    <w:rsid w:val="00FC1838"/>
    <w:rsid w:val="00FC1B9B"/>
    <w:rsid w:val="00FC318D"/>
    <w:rsid w:val="00FC36CF"/>
    <w:rsid w:val="00FC40BC"/>
    <w:rsid w:val="00FC41FC"/>
    <w:rsid w:val="00FC4884"/>
    <w:rsid w:val="00FC4F6E"/>
    <w:rsid w:val="00FC506C"/>
    <w:rsid w:val="00FC578C"/>
    <w:rsid w:val="00FC5A37"/>
    <w:rsid w:val="00FC694E"/>
    <w:rsid w:val="00FD13EA"/>
    <w:rsid w:val="00FD5EC4"/>
    <w:rsid w:val="00FD7858"/>
    <w:rsid w:val="00FD7A8D"/>
    <w:rsid w:val="00FE1330"/>
    <w:rsid w:val="00FE1CE5"/>
    <w:rsid w:val="00FE2832"/>
    <w:rsid w:val="00FE2D38"/>
    <w:rsid w:val="00FE2DE2"/>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qFormat="1"/>
    <w:lsdException w:name="line number" w:uiPriority="99"/>
    <w:lsdException w:name="List Bullet" w:semiHidden="0" w:unhideWhenUsed="0"/>
    <w:lsdException w:name="List 3" w:semiHidden="0" w:unhideWhenUsed="0"/>
    <w:lsdException w:name="List 4" w:semiHidden="0" w:unhideWhenUsed="0"/>
    <w:lsdException w:name="Title" w:semiHidden="0" w:uiPriority="1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A2624"/>
    <w:rPr>
      <w:rFonts w:asciiTheme="minorHAnsi" w:eastAsiaTheme="minorEastAsia" w:hAnsiTheme="minorHAnsi" w:cstheme="minorBidi"/>
      <w:b/>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qFormat="1"/>
    <w:lsdException w:name="line number" w:uiPriority="99"/>
    <w:lsdException w:name="List Bullet" w:semiHidden="0" w:unhideWhenUsed="0"/>
    <w:lsdException w:name="List 3" w:semiHidden="0" w:unhideWhenUsed="0"/>
    <w:lsdException w:name="List 4" w:semiHidden="0" w:unhideWhenUsed="0"/>
    <w:lsdException w:name="Title" w:semiHidden="0" w:uiPriority="1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A2624"/>
    <w:rPr>
      <w:rFonts w:asciiTheme="minorHAnsi" w:eastAsiaTheme="minorEastAsia" w:hAnsi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89961434">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argusmedia.com/About-Argus/How-We-Work/"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21A54-DC4B-49C8-BFC3-398F9A6D2C9A}">
  <ds:schemaRefs>
    <ds:schemaRef ds:uri="http://schemas.openxmlformats.org/officeDocument/2006/bibliography"/>
  </ds:schemaRefs>
</ds:datastoreItem>
</file>

<file path=customXml/itemProps2.xml><?xml version="1.0" encoding="utf-8"?>
<ds:datastoreItem xmlns:ds="http://schemas.openxmlformats.org/officeDocument/2006/customXml" ds:itemID="{EFE6692A-B8A2-4F2F-8FD4-72D4B579B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12</Pages>
  <Words>4952</Words>
  <Characters>28231</Characters>
  <Application>Microsoft Office Word</Application>
  <DocSecurity>8</DocSecurity>
  <Lines>235</Lines>
  <Paragraphs>66</Paragraphs>
  <ScaleCrop>false</ScaleCrop>
  <HeadingPairs>
    <vt:vector size="12" baseType="variant">
      <vt:variant>
        <vt:lpstr>Title</vt:lpstr>
      </vt:variant>
      <vt:variant>
        <vt:i4>1</vt:i4>
      </vt:variant>
      <vt:variant>
        <vt:lpstr>Название</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6" baseType="lpstr">
      <vt:lpstr>Reply form for the ESEF CP</vt:lpstr>
      <vt:lpstr>Reply form for the ESEF CP</vt:lpstr>
      <vt:lpstr>20110000</vt:lpstr>
      <vt:lpstr>20110000</vt:lpstr>
      <vt:lpstr>20110000</vt:lpstr>
      <vt:lpstr>20110000</vt:lpstr>
    </vt:vector>
  </TitlesOfParts>
  <Company>ESMA</Company>
  <LinksUpToDate>false</LinksUpToDate>
  <CharactersWithSpaces>33117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Simon Smith</cp:lastModifiedBy>
  <cp:revision>37</cp:revision>
  <cp:lastPrinted>2016-06-28T11:03:00Z</cp:lastPrinted>
  <dcterms:created xsi:type="dcterms:W3CDTF">2016-06-22T12:03:00Z</dcterms:created>
  <dcterms:modified xsi:type="dcterms:W3CDTF">2016-06-29T12:41:00Z</dcterms:modified>
</cp:coreProperties>
</file>