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1D97BA3" w14:textId="77777777" w:rsidTr="00315E96">
        <w:trPr>
          <w:trHeight w:val="284"/>
        </w:trPr>
        <w:tc>
          <w:tcPr>
            <w:tcW w:w="9412" w:type="dxa"/>
          </w:tcPr>
          <w:p w14:paraId="1C793B02" w14:textId="77777777" w:rsidR="00C2094B" w:rsidRPr="004E49B0" w:rsidRDefault="004049C0" w:rsidP="004049C0">
            <w:pPr>
              <w:pStyle w:val="00bDBInfo"/>
              <w:rPr>
                <w:rFonts w:cs="Arial"/>
              </w:rPr>
            </w:pPr>
            <w:r>
              <w:rPr>
                <w:rFonts w:cs="Arial"/>
              </w:rPr>
              <w:t>1</w:t>
            </w:r>
            <w:r w:rsidR="003A5DAC">
              <w:rPr>
                <w:rFonts w:cs="Arial"/>
              </w:rPr>
              <w:t xml:space="preserve"> </w:t>
            </w:r>
            <w:r>
              <w:rPr>
                <w:rFonts w:cs="Arial"/>
              </w:rPr>
              <w:t>June</w:t>
            </w:r>
            <w:r w:rsidR="007C3918">
              <w:rPr>
                <w:rFonts w:cs="Arial"/>
              </w:rPr>
              <w:t xml:space="preserve"> </w:t>
            </w:r>
            <w:r w:rsidR="006F4B04" w:rsidRPr="004E49B0">
              <w:rPr>
                <w:rFonts w:cs="Arial"/>
              </w:rPr>
              <w:t>20</w:t>
            </w:r>
            <w:r w:rsidR="003A5DAC">
              <w:rPr>
                <w:rFonts w:cs="Arial"/>
              </w:rPr>
              <w:t>1</w:t>
            </w:r>
            <w:r w:rsidR="007C3918">
              <w:rPr>
                <w:rFonts w:cs="Arial"/>
              </w:rPr>
              <w:t>6</w:t>
            </w:r>
          </w:p>
        </w:tc>
      </w:tr>
    </w:tbl>
    <w:p w14:paraId="3F691A18"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B61AB68" w14:textId="77777777" w:rsidTr="00B835D5">
        <w:trPr>
          <w:trHeight w:hRule="exact" w:val="1209"/>
        </w:trPr>
        <w:tc>
          <w:tcPr>
            <w:tcW w:w="9397" w:type="dxa"/>
            <w:vAlign w:val="bottom"/>
          </w:tcPr>
          <w:p w14:paraId="3E1AEA8D" w14:textId="77777777"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14:paraId="29A50947" w14:textId="77777777"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14:paraId="79E1BDF6" w14:textId="77777777" w:rsidTr="00B835D5">
        <w:trPr>
          <w:trHeight w:hRule="exact" w:val="605"/>
        </w:trPr>
        <w:tc>
          <w:tcPr>
            <w:tcW w:w="9397" w:type="dxa"/>
            <w:tcMar>
              <w:top w:w="142" w:type="dxa"/>
            </w:tcMar>
          </w:tcPr>
          <w:p w14:paraId="2CF97A9E" w14:textId="77777777"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14:paraId="644179E8" w14:textId="77777777"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218D7B9" w14:textId="77777777" w:rsidTr="00315E96">
        <w:trPr>
          <w:trHeight w:hRule="exact" w:val="964"/>
        </w:trPr>
        <w:tc>
          <w:tcPr>
            <w:tcW w:w="2325" w:type="dxa"/>
          </w:tcPr>
          <w:p w14:paraId="3EEE96B8" w14:textId="77777777" w:rsidR="00620D7C" w:rsidRPr="00176639" w:rsidRDefault="00620D7C" w:rsidP="004049C0">
            <w:pPr>
              <w:pStyle w:val="02Date"/>
              <w:rPr>
                <w:rFonts w:cs="Arial"/>
                <w:highlight w:val="red"/>
              </w:rPr>
            </w:pPr>
            <w:r w:rsidRPr="007C3918">
              <w:rPr>
                <w:rFonts w:cs="Arial"/>
              </w:rPr>
              <w:lastRenderedPageBreak/>
              <w:t>Date</w:t>
            </w:r>
            <w:r w:rsidR="004049C0">
              <w:rPr>
                <w:rFonts w:cs="Arial"/>
              </w:rPr>
              <w:t>: 1</w:t>
            </w:r>
            <w:r w:rsidR="007C3918" w:rsidRPr="007C3918">
              <w:rPr>
                <w:rFonts w:cs="Arial"/>
              </w:rPr>
              <w:t xml:space="preserve"> </w:t>
            </w:r>
            <w:r w:rsidR="004049C0">
              <w:rPr>
                <w:rFonts w:cs="Arial"/>
              </w:rPr>
              <w:t xml:space="preserve">June </w:t>
            </w:r>
            <w:r w:rsidR="007C3918" w:rsidRPr="007C3918">
              <w:rPr>
                <w:rFonts w:cs="Arial"/>
              </w:rPr>
              <w:t>2016</w:t>
            </w:r>
          </w:p>
        </w:tc>
      </w:tr>
    </w:tbl>
    <w:p w14:paraId="6E18CDF7"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8A25CF0"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14:paraId="17D445B9" w14:textId="77777777" w:rsidR="001D000A" w:rsidRDefault="001D000A" w:rsidP="00F574D0">
      <w:pPr>
        <w:autoSpaceDE w:val="0"/>
        <w:autoSpaceDN w:val="0"/>
        <w:adjustRightInd w:val="0"/>
        <w:spacing w:before="120" w:after="120" w:line="276" w:lineRule="auto"/>
        <w:jc w:val="both"/>
        <w:rPr>
          <w:rStyle w:val="Strong4"/>
          <w:rFonts w:cs="Arial"/>
          <w:i/>
        </w:rPr>
      </w:pPr>
    </w:p>
    <w:p w14:paraId="45837837" w14:textId="77777777"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14:paraId="5FA79DAF" w14:textId="77777777"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14:paraId="3C593C42" w14:textId="77777777"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14:paraId="46698937" w14:textId="77777777"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14:paraId="59C1E9A2" w14:textId="77777777"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14:paraId="7F2CBFD8" w14:textId="77777777"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14:paraId="72C8B30F" w14:textId="77777777"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14:paraId="188A2E61" w14:textId="77777777"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14:paraId="0821F052"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190D2C4B" w14:textId="77777777" w:rsidR="001D000A" w:rsidRDefault="001D000A" w:rsidP="000D17AA">
      <w:pPr>
        <w:pStyle w:val="04BodyText"/>
        <w:spacing w:before="120" w:after="120"/>
        <w:jc w:val="left"/>
        <w:rPr>
          <w:rFonts w:cs="Arial"/>
          <w:b/>
        </w:rPr>
      </w:pPr>
    </w:p>
    <w:p w14:paraId="2968FD0F" w14:textId="77777777" w:rsidR="000D17AA" w:rsidRPr="00EF0769" w:rsidRDefault="00606240" w:rsidP="000D17AA">
      <w:pPr>
        <w:pStyle w:val="04BodyText"/>
        <w:spacing w:before="120" w:after="120"/>
        <w:jc w:val="left"/>
        <w:rPr>
          <w:rFonts w:cs="Arial"/>
          <w:b/>
        </w:rPr>
      </w:pPr>
      <w:r>
        <w:rPr>
          <w:rFonts w:cs="Arial"/>
          <w:b/>
        </w:rPr>
        <w:t>Naming protocol</w:t>
      </w:r>
    </w:p>
    <w:p w14:paraId="3BC0EAB0"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w:t>
      </w:r>
      <w:r w:rsidR="00A96324">
        <w:rPr>
          <w:rFonts w:cs="Arial"/>
        </w:rPr>
        <w:t>e your document using the follow</w:t>
      </w:r>
      <w:r w:rsidRPr="00EF0769">
        <w:rPr>
          <w:rFonts w:cs="Arial"/>
        </w:rPr>
        <w:t>ing format:</w:t>
      </w:r>
    </w:p>
    <w:p w14:paraId="72F82B4A" w14:textId="77777777"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14:paraId="35A1AF6B" w14:textId="77777777"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14:paraId="16D36754" w14:textId="77777777"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14:paraId="472FB19F" w14:textId="77777777"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14:paraId="0BBDEBC5"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100A913A"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00721B71" w14:textId="77777777" w:rsidR="00F574D0" w:rsidRPr="00EF0769" w:rsidRDefault="007C3918" w:rsidP="00F574D0">
      <w:pPr>
        <w:pStyle w:val="04BodyText"/>
        <w:spacing w:before="120" w:after="120"/>
        <w:rPr>
          <w:rFonts w:cs="Arial"/>
        </w:rPr>
      </w:pPr>
      <w:r>
        <w:rPr>
          <w:rFonts w:cs="Arial"/>
        </w:rPr>
        <w:t xml:space="preserve">Responses must reach us by </w:t>
      </w:r>
      <w:r w:rsidR="00990FF9" w:rsidRPr="00665C07">
        <w:rPr>
          <w:rFonts w:cs="Arial"/>
          <w:b/>
        </w:rPr>
        <w:t>30</w:t>
      </w:r>
      <w:r w:rsidRPr="00665C07">
        <w:rPr>
          <w:rFonts w:cs="Arial"/>
          <w:b/>
        </w:rPr>
        <w:t xml:space="preserve"> </w:t>
      </w:r>
      <w:r w:rsidR="00990FF9" w:rsidRPr="00665C07">
        <w:rPr>
          <w:rFonts w:cs="Arial"/>
          <w:b/>
        </w:rPr>
        <w:t>June</w:t>
      </w:r>
      <w:r w:rsidRPr="00665C07">
        <w:rPr>
          <w:rFonts w:cs="Arial"/>
          <w:b/>
        </w:rPr>
        <w:t xml:space="preserve"> 2016</w:t>
      </w:r>
      <w:r w:rsidR="00021E83" w:rsidRPr="00EF0769">
        <w:rPr>
          <w:rFonts w:cs="Arial"/>
          <w:b/>
        </w:rPr>
        <w:t>.</w:t>
      </w:r>
    </w:p>
    <w:p w14:paraId="34936876"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Collegamentoipertestuale"/>
            <w:rFonts w:cs="Arial"/>
          </w:rPr>
          <w:t>www.esma.europa.eu</w:t>
        </w:r>
      </w:hyperlink>
      <w:r w:rsidRPr="00EF0769">
        <w:rPr>
          <w:rFonts w:cs="Arial"/>
        </w:rPr>
        <w:t xml:space="preserve"> under the heading ‘Your input/Consultations’. </w:t>
      </w:r>
    </w:p>
    <w:p w14:paraId="161B495E"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2FDA599A" w14:textId="77777777" w:rsidR="00A96324" w:rsidRDefault="00A96324" w:rsidP="00F574D0">
      <w:pPr>
        <w:autoSpaceDE w:val="0"/>
        <w:autoSpaceDN w:val="0"/>
        <w:adjustRightInd w:val="0"/>
        <w:spacing w:before="120" w:after="120" w:line="276" w:lineRule="auto"/>
        <w:jc w:val="both"/>
        <w:rPr>
          <w:rFonts w:cs="Arial"/>
          <w:b/>
          <w:bCs/>
          <w:i/>
          <w:color w:val="000000"/>
          <w:szCs w:val="20"/>
          <w:lang w:eastAsia="en-GB"/>
        </w:rPr>
      </w:pPr>
    </w:p>
    <w:p w14:paraId="66AC3ED9"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78F4017A"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43E9AA65"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63AAEF1"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445653FA"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3EE0848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4649C9D2" w14:textId="77777777" w:rsidR="00332304" w:rsidRDefault="00332304">
      <w:pPr>
        <w:rPr>
          <w:rFonts w:cs="Arial"/>
          <w:b/>
          <w:bCs/>
          <w:kern w:val="32"/>
          <w:sz w:val="24"/>
          <w:szCs w:val="32"/>
        </w:rPr>
      </w:pPr>
      <w:r>
        <w:br w:type="page"/>
      </w:r>
    </w:p>
    <w:p w14:paraId="17D06AC3" w14:textId="77777777" w:rsidR="00D34282" w:rsidRDefault="00D34282" w:rsidP="00D34282">
      <w:pPr>
        <w:pStyle w:val="Titolo1"/>
        <w:numPr>
          <w:ilvl w:val="0"/>
          <w:numId w:val="0"/>
        </w:numPr>
        <w:ind w:left="431" w:hanging="431"/>
      </w:pPr>
      <w:r>
        <w:lastRenderedPageBreak/>
        <w:t>Introduction</w:t>
      </w:r>
    </w:p>
    <w:p w14:paraId="319C7CC7" w14:textId="77777777" w:rsidR="00D34282" w:rsidRPr="001D47A5" w:rsidRDefault="00D34282" w:rsidP="00D34282">
      <w:pPr>
        <w:rPr>
          <w:rStyle w:val="Enfasiintensa"/>
        </w:rPr>
      </w:pPr>
      <w:r w:rsidRPr="001D47A5">
        <w:rPr>
          <w:rStyle w:val="Enfasiintensa"/>
        </w:rPr>
        <w:t>Please make your introductory comments below, if any:</w:t>
      </w:r>
    </w:p>
    <w:p w14:paraId="5B6BB223" w14:textId="77777777" w:rsidR="00AD7675" w:rsidRPr="00BF28DA" w:rsidRDefault="00AD7675" w:rsidP="00D34282"/>
    <w:p w14:paraId="4D9DCC5E" w14:textId="77777777" w:rsidR="00D34282" w:rsidRPr="00176639" w:rsidRDefault="00D34282" w:rsidP="00D34282">
      <w:r w:rsidRPr="00176639">
        <w:t>&lt;</w:t>
      </w:r>
      <w:r w:rsidR="00D61A37" w:rsidRPr="00176639">
        <w:t>ESMA_COMMENT_</w:t>
      </w:r>
      <w:r w:rsidR="00665C07">
        <w:t>C</w:t>
      </w:r>
      <w:r w:rsidR="00176639">
        <w:t>P_BMR</w:t>
      </w:r>
      <w:r w:rsidR="00D61A37" w:rsidRPr="00176639">
        <w:t>_1</w:t>
      </w:r>
      <w:r w:rsidRPr="00176639">
        <w:t>&gt;</w:t>
      </w:r>
    </w:p>
    <w:p w14:paraId="39B62251" w14:textId="77777777" w:rsidR="00EF3F92" w:rsidRDefault="00A93B9F" w:rsidP="00EF3F92">
      <w:pPr>
        <w:jc w:val="both"/>
      </w:pPr>
      <w:permStart w:id="1882813780" w:edGrp="everyone"/>
      <w:r>
        <w:t>Assogestioni welcomes the opportunity to reply to ESMA Consultation Paper on Benchmark Regulation (ESMA</w:t>
      </w:r>
      <w:r w:rsidR="00EF3F92">
        <w:t xml:space="preserve">/2016/723). In general, we appreciate the adjustments made in the Draft </w:t>
      </w:r>
      <w:r w:rsidR="000732FC">
        <w:t xml:space="preserve">Technical Advice </w:t>
      </w:r>
      <w:r w:rsidR="00EF3F92">
        <w:t xml:space="preserve">compared to the version put up for discussion in the previous Discussion Paper. </w:t>
      </w:r>
    </w:p>
    <w:p w14:paraId="1B4F540C" w14:textId="77777777" w:rsidR="00EF3F92" w:rsidRDefault="00EF3F92" w:rsidP="00EF3F92">
      <w:pPr>
        <w:jc w:val="both"/>
      </w:pPr>
    </w:p>
    <w:p w14:paraId="4D5802EF" w14:textId="77777777" w:rsidR="005D4358" w:rsidRDefault="00EF3F92" w:rsidP="00EF3F92">
      <w:pPr>
        <w:jc w:val="both"/>
      </w:pPr>
      <w:r>
        <w:t xml:space="preserve">In particular, we appreciate the </w:t>
      </w:r>
      <w:r w:rsidR="00BF314B">
        <w:t>duly consider</w:t>
      </w:r>
      <w:r w:rsidR="005D4358">
        <w:t xml:space="preserve">ation of the characteristics of the investment funds </w:t>
      </w:r>
      <w:r w:rsidR="00BF314B">
        <w:t xml:space="preserve">in </w:t>
      </w:r>
      <w:r w:rsidR="005D4358">
        <w:t xml:space="preserve">drafting </w:t>
      </w:r>
      <w:r w:rsidR="000F1A0B">
        <w:t xml:space="preserve">the </w:t>
      </w:r>
      <w:r w:rsidR="005D4358">
        <w:t>technical advice</w:t>
      </w:r>
      <w:r w:rsidR="00BF314B">
        <w:t xml:space="preserve">. </w:t>
      </w:r>
    </w:p>
    <w:p w14:paraId="44757BF7" w14:textId="77777777" w:rsidR="005D4358" w:rsidRDefault="005D4358" w:rsidP="00EF3F92">
      <w:pPr>
        <w:jc w:val="both"/>
      </w:pPr>
    </w:p>
    <w:p w14:paraId="6A219735" w14:textId="77777777" w:rsidR="00180AF3" w:rsidRDefault="00BF314B" w:rsidP="00EF3F92">
      <w:pPr>
        <w:jc w:val="both"/>
      </w:pPr>
      <w:r>
        <w:t xml:space="preserve">Nevertheless, we would like to recommend ESMA to harmonize </w:t>
      </w:r>
      <w:r w:rsidR="00BE756B">
        <w:t xml:space="preserve">the </w:t>
      </w:r>
      <w:r w:rsidR="000F1A0B">
        <w:t xml:space="preserve">text in </w:t>
      </w:r>
      <w:r w:rsidR="005D4358">
        <w:t xml:space="preserve">some </w:t>
      </w:r>
      <w:r w:rsidR="00180AF3">
        <w:t>provision</w:t>
      </w:r>
      <w:r w:rsidR="005D4358">
        <w:t>s</w:t>
      </w:r>
      <w:r w:rsidR="00180AF3">
        <w:t xml:space="preserve"> as to ensure a general alignment </w:t>
      </w:r>
      <w:r w:rsidR="000F1A0B">
        <w:t>for</w:t>
      </w:r>
      <w:r w:rsidR="005D4358">
        <w:t xml:space="preserve"> investment fund</w:t>
      </w:r>
      <w:r w:rsidR="000F1A0B">
        <w:t>s</w:t>
      </w:r>
      <w:r w:rsidR="005D4358">
        <w:t xml:space="preserve"> also</w:t>
      </w:r>
      <w:r w:rsidR="00D85C0C">
        <w:t>, as explained in some of our replies.</w:t>
      </w:r>
    </w:p>
    <w:p w14:paraId="25B2BC59" w14:textId="77777777" w:rsidR="00BF314B" w:rsidRDefault="00BF314B" w:rsidP="00EF3F92">
      <w:pPr>
        <w:jc w:val="both"/>
      </w:pPr>
    </w:p>
    <w:p w14:paraId="54F071FB" w14:textId="77777777" w:rsidR="00D36B62" w:rsidRDefault="00D36B62" w:rsidP="00EF3F92">
      <w:pPr>
        <w:jc w:val="both"/>
      </w:pPr>
    </w:p>
    <w:permEnd w:id="1882813780"/>
    <w:p w14:paraId="2751873F" w14:textId="77777777" w:rsidR="00D34282" w:rsidRPr="00BF28DA" w:rsidRDefault="00D34282" w:rsidP="00D34282">
      <w:r w:rsidRPr="00BF28DA">
        <w:t>&lt;</w:t>
      </w:r>
      <w:r w:rsidR="00D61A37" w:rsidRPr="00BF28DA">
        <w:t>ESMA_COMMENT_</w:t>
      </w:r>
      <w:r w:rsidR="00665C07">
        <w:t>C</w:t>
      </w:r>
      <w:r w:rsidR="00176639">
        <w:t>P_BMR</w:t>
      </w:r>
      <w:r w:rsidR="00D61A37" w:rsidRPr="00BF28DA">
        <w:t>_1</w:t>
      </w:r>
      <w:r w:rsidRPr="00BF28DA">
        <w:t>&gt;</w:t>
      </w:r>
    </w:p>
    <w:p w14:paraId="7DBE4649" w14:textId="77777777" w:rsidR="00F31E57" w:rsidRPr="00BF28DA" w:rsidRDefault="00F31E57" w:rsidP="00D34282"/>
    <w:p w14:paraId="079B6CE3" w14:textId="77777777" w:rsidR="008701E5" w:rsidRDefault="00F31E57" w:rsidP="002342EC">
      <w:pPr>
        <w:pStyle w:val="Questionstyle"/>
        <w:numPr>
          <w:ilvl w:val="0"/>
          <w:numId w:val="38"/>
        </w:numPr>
      </w:pPr>
      <w:r w:rsidRPr="0075015C">
        <w:br w:type="page"/>
      </w:r>
    </w:p>
    <w:p w14:paraId="70ACF86F" w14:textId="77777777" w:rsidR="009A2624" w:rsidRPr="007F44BF" w:rsidRDefault="00990FF9" w:rsidP="002342EC">
      <w:pPr>
        <w:pStyle w:val="Questionstyle"/>
      </w:pPr>
      <w:r w:rsidRPr="00D60F54">
        <w:lastRenderedPageBreak/>
        <w:t xml:space="preserve">Do you agree with the conditions on the basis of which an index may be considered </w:t>
      </w:r>
      <w:r>
        <w:t>as made available to the public</w:t>
      </w:r>
      <w:r w:rsidR="009A2624" w:rsidRPr="007F44BF">
        <w:t>?</w:t>
      </w:r>
    </w:p>
    <w:p w14:paraId="36C3AE77" w14:textId="77777777" w:rsidR="009A2624" w:rsidRDefault="00665C07" w:rsidP="009A2624">
      <w:r>
        <w:t>&lt;ESMA_QUESTION_C</w:t>
      </w:r>
      <w:r w:rsidR="009A2624">
        <w:t>P_BMR_1&gt;</w:t>
      </w:r>
    </w:p>
    <w:p w14:paraId="0C08D3B1" w14:textId="77777777" w:rsidR="009A2624" w:rsidRDefault="005E2B1D" w:rsidP="009A2624">
      <w:permStart w:id="520882924" w:edGrp="everyone"/>
      <w:r>
        <w:t>N/A.</w:t>
      </w:r>
    </w:p>
    <w:permEnd w:id="520882924"/>
    <w:p w14:paraId="49ADD337" w14:textId="77777777" w:rsidR="009A2624" w:rsidRDefault="00665C07" w:rsidP="009A2624">
      <w:r>
        <w:t>&lt;ESMA_QUESTION_C</w:t>
      </w:r>
      <w:r w:rsidR="009A2624">
        <w:t>P_BMR_1&gt;</w:t>
      </w:r>
    </w:p>
    <w:p w14:paraId="2C8CBB60" w14:textId="77777777" w:rsidR="009A2624" w:rsidRDefault="009A2624" w:rsidP="009A2624"/>
    <w:p w14:paraId="2DFD15E9" w14:textId="77777777" w:rsidR="009A2624" w:rsidRPr="007F44BF" w:rsidRDefault="00990FF9" w:rsidP="002342EC">
      <w:pPr>
        <w:pStyle w:val="Questionstyle"/>
      </w:pPr>
      <w:r w:rsidRPr="00990FF9">
        <w:rPr>
          <w:lang w:val="en-US"/>
        </w:rPr>
        <w:t xml:space="preserve">Do you agree with the proposed specification of what constitutes </w:t>
      </w:r>
      <w:r w:rsidRPr="00990FF9">
        <w:rPr>
          <w:i/>
          <w:lang w:val="en-US"/>
        </w:rPr>
        <w:t>administering the arrangements for determining a benchmark</w:t>
      </w:r>
      <w:r w:rsidR="009A2624" w:rsidRPr="007F44BF">
        <w:t>?</w:t>
      </w:r>
    </w:p>
    <w:p w14:paraId="613E62C9" w14:textId="77777777" w:rsidR="009A2624" w:rsidRDefault="00665C07" w:rsidP="009A2624">
      <w:r>
        <w:t>&lt;ESMA_QUESTION_C</w:t>
      </w:r>
      <w:r w:rsidR="009A2624">
        <w:t>P_BMR_2&gt;</w:t>
      </w:r>
    </w:p>
    <w:p w14:paraId="31609C60" w14:textId="77777777" w:rsidR="009A2624" w:rsidRDefault="002D55BA" w:rsidP="009A2624">
      <w:permStart w:id="1310872976" w:edGrp="everyone"/>
      <w:r>
        <w:t>N/A</w:t>
      </w:r>
    </w:p>
    <w:permEnd w:id="1310872976"/>
    <w:p w14:paraId="625BE32B" w14:textId="77777777" w:rsidR="009A2624" w:rsidRDefault="00665C07" w:rsidP="009A2624">
      <w:r>
        <w:t>&lt;ESMA_QUESTION_C</w:t>
      </w:r>
      <w:r w:rsidR="009A2624">
        <w:t>P_BMR_2&gt;</w:t>
      </w:r>
    </w:p>
    <w:p w14:paraId="7A26CFB8" w14:textId="77777777" w:rsidR="009A2624" w:rsidRDefault="009A2624" w:rsidP="009A2624"/>
    <w:p w14:paraId="3DFBC3A6" w14:textId="77777777" w:rsidR="009A2624" w:rsidRDefault="00990FF9" w:rsidP="00990FF9">
      <w:pPr>
        <w:pStyle w:val="Questionstyle"/>
        <w:rPr>
          <w:rFonts w:cstheme="minorHAnsi"/>
        </w:rPr>
      </w:pPr>
      <w:r w:rsidRPr="00990FF9">
        <w:t>Do you agree that the ‘use of a benchmark’ in derivatives that are traded on trading venues and/or systematic internalisers is linked to the determination of the amount payable under the said derivatives for any relevant purpose (trading, clearing, margining, …)?</w:t>
      </w:r>
    </w:p>
    <w:p w14:paraId="7E8D903E" w14:textId="77777777" w:rsidR="009A2624" w:rsidRDefault="00665C07" w:rsidP="009A2624">
      <w:r>
        <w:t>&lt;ESMA_QUESTION_C</w:t>
      </w:r>
      <w:r w:rsidR="009A2624">
        <w:t>P_BMR_3&gt;</w:t>
      </w:r>
    </w:p>
    <w:p w14:paraId="17E38BAB" w14:textId="77777777" w:rsidR="009A2624" w:rsidRDefault="002D55BA" w:rsidP="009A2624">
      <w:permStart w:id="322780841" w:edGrp="everyone"/>
      <w:r>
        <w:t>N/A</w:t>
      </w:r>
    </w:p>
    <w:permEnd w:id="322780841"/>
    <w:p w14:paraId="0F71DD64" w14:textId="77777777" w:rsidR="009A2624" w:rsidRDefault="00665C07" w:rsidP="009A2624">
      <w:r>
        <w:t>&lt;ESMA_QUESTION_C</w:t>
      </w:r>
      <w:r w:rsidR="009A2624">
        <w:t>P_BMR_3&gt;</w:t>
      </w:r>
    </w:p>
    <w:p w14:paraId="1E46F6A2" w14:textId="77777777" w:rsidR="009A2624" w:rsidRDefault="009A2624" w:rsidP="009A2624"/>
    <w:p w14:paraId="23706C43" w14:textId="77777777" w:rsidR="009A2624" w:rsidRPr="00B37C5D" w:rsidRDefault="00990FF9" w:rsidP="002342EC">
      <w:pPr>
        <w:pStyle w:val="Questionstyle"/>
      </w:pPr>
      <w:r w:rsidRPr="00571AC1">
        <w:rPr>
          <w:rFonts w:cstheme="minorHAnsi"/>
          <w:szCs w:val="22"/>
          <w:lang w:val="en-US"/>
        </w:rPr>
        <w:t>Do you have any comments on the proposed specification of issuance of a financial instrument?</w:t>
      </w:r>
    </w:p>
    <w:p w14:paraId="2AF5FDCA" w14:textId="77777777" w:rsidR="009A2624" w:rsidRDefault="00665C07" w:rsidP="009A2624">
      <w:r>
        <w:t>&lt;ESMA_QUESTION_C</w:t>
      </w:r>
      <w:r w:rsidR="009A2624">
        <w:t>P_BMR_4&gt;</w:t>
      </w:r>
    </w:p>
    <w:p w14:paraId="4A4D791F" w14:textId="4515484A" w:rsidR="001160A7" w:rsidRDefault="00046AC6" w:rsidP="00691BFE">
      <w:pPr>
        <w:jc w:val="both"/>
        <w:rPr>
          <w:rFonts w:cs="Arial"/>
          <w:color w:val="000000"/>
          <w:szCs w:val="20"/>
          <w:lang w:val="en-US" w:eastAsia="en-GB"/>
        </w:rPr>
      </w:pPr>
      <w:permStart w:id="553596128" w:edGrp="everyone"/>
      <w:r>
        <w:t xml:space="preserve">In general, we agree with the proposed specification of </w:t>
      </w:r>
      <w:r w:rsidR="0035212A">
        <w:t>“</w:t>
      </w:r>
      <w:r>
        <w:t xml:space="preserve">issuance of a financial </w:t>
      </w:r>
      <w:r w:rsidR="0035212A">
        <w:t>instrument”</w:t>
      </w:r>
      <w:r>
        <w:t xml:space="preserve">. </w:t>
      </w:r>
      <w:r w:rsidR="00A93B9F">
        <w:t xml:space="preserve">In particular, we agree with the exclusion of derivatives </w:t>
      </w:r>
      <w:r w:rsidR="00EF3F92">
        <w:t>from the scope</w:t>
      </w:r>
      <w:r w:rsidR="006B1475">
        <w:t xml:space="preserve"> of this definition, being </w:t>
      </w:r>
      <w:proofErr w:type="gramStart"/>
      <w:r w:rsidR="006B1475">
        <w:t>them</w:t>
      </w:r>
      <w:proofErr w:type="gramEnd"/>
      <w:r w:rsidR="006B1475">
        <w:t xml:space="preserve"> now comprehended in the definition of “use of a benchmark” according to art. 3(1</w:t>
      </w:r>
      <w:proofErr w:type="gramStart"/>
      <w:r w:rsidR="006B1475">
        <w:t>)(</w:t>
      </w:r>
      <w:proofErr w:type="gramEnd"/>
      <w:r w:rsidR="006B1475">
        <w:t>7)(b)</w:t>
      </w:r>
      <w:r w:rsidR="00EF3F92">
        <w:t xml:space="preserve">. Nevertheless, </w:t>
      </w:r>
      <w:r w:rsidR="00BE756B">
        <w:t xml:space="preserve">we would like to highlight </w:t>
      </w:r>
      <w:proofErr w:type="gramStart"/>
      <w:r w:rsidR="00BE756B">
        <w:t>that</w:t>
      </w:r>
      <w:r w:rsidR="00C73E35">
        <w:t xml:space="preserve"> shares</w:t>
      </w:r>
      <w:proofErr w:type="gramEnd"/>
      <w:r w:rsidR="00C73E35">
        <w:t xml:space="preserve"> and units of </w:t>
      </w:r>
      <w:r w:rsidR="006B1475">
        <w:t>investment funds should not be included</w:t>
      </w:r>
      <w:r w:rsidR="00D47514">
        <w:t>,</w:t>
      </w:r>
      <w:r w:rsidR="00FC6FA2">
        <w:t xml:space="preserve"> as derivatives</w:t>
      </w:r>
      <w:r w:rsidR="00D47514">
        <w:t>,</w:t>
      </w:r>
      <w:r w:rsidR="006B1475">
        <w:t xml:space="preserve"> among those financial instruments in scope</w:t>
      </w:r>
      <w:r w:rsidR="00C73E35">
        <w:t xml:space="preserve"> of “issuance”</w:t>
      </w:r>
      <w:r w:rsidR="001160A7">
        <w:t xml:space="preserve"> because funds are not issued</w:t>
      </w:r>
      <w:r w:rsidR="001160A7">
        <w:rPr>
          <w:rFonts w:cs="Arial"/>
          <w:color w:val="000000"/>
          <w:szCs w:val="20"/>
          <w:lang w:val="en-US" w:eastAsia="en-GB"/>
        </w:rPr>
        <w:t xml:space="preserve">. </w:t>
      </w:r>
    </w:p>
    <w:p w14:paraId="59F3152B" w14:textId="77777777" w:rsidR="001160A7" w:rsidRDefault="001160A7" w:rsidP="00691BFE">
      <w:pPr>
        <w:jc w:val="both"/>
        <w:rPr>
          <w:rFonts w:cs="Arial"/>
          <w:color w:val="000000"/>
          <w:szCs w:val="20"/>
          <w:lang w:val="en-US" w:eastAsia="en-GB"/>
        </w:rPr>
      </w:pPr>
    </w:p>
    <w:p w14:paraId="0FE43970" w14:textId="4D3D9B35" w:rsidR="001160A7" w:rsidRDefault="00FC6FA2" w:rsidP="001160A7">
      <w:pPr>
        <w:autoSpaceDE w:val="0"/>
        <w:autoSpaceDN w:val="0"/>
        <w:adjustRightInd w:val="0"/>
        <w:jc w:val="both"/>
        <w:rPr>
          <w:rFonts w:cs="Arial"/>
          <w:color w:val="000000"/>
          <w:szCs w:val="20"/>
          <w:lang w:val="en-US" w:eastAsia="en-GB"/>
        </w:rPr>
      </w:pPr>
      <w:r>
        <w:rPr>
          <w:rFonts w:cs="Arial"/>
          <w:color w:val="000000"/>
          <w:szCs w:val="20"/>
          <w:lang w:val="en-US" w:eastAsia="en-GB"/>
        </w:rPr>
        <w:t>Such an exclusion will not undermine the final scope of the regulation, as i</w:t>
      </w:r>
      <w:r w:rsidR="001160A7">
        <w:rPr>
          <w:rFonts w:cs="Arial"/>
          <w:color w:val="000000"/>
          <w:szCs w:val="20"/>
          <w:lang w:val="en-US" w:eastAsia="en-GB"/>
        </w:rPr>
        <w:t xml:space="preserve">n our understanding, regardless of the juridical form of investment </w:t>
      </w:r>
      <w:proofErr w:type="gramStart"/>
      <w:r w:rsidR="001160A7">
        <w:rPr>
          <w:rFonts w:cs="Arial"/>
          <w:color w:val="000000"/>
          <w:szCs w:val="20"/>
          <w:lang w:val="en-US" w:eastAsia="en-GB"/>
        </w:rPr>
        <w:t>funds,</w:t>
      </w:r>
      <w:proofErr w:type="gramEnd"/>
      <w:r w:rsidR="001160A7">
        <w:rPr>
          <w:rFonts w:cs="Arial"/>
          <w:color w:val="000000"/>
          <w:szCs w:val="20"/>
          <w:lang w:val="en-US" w:eastAsia="en-GB"/>
        </w:rPr>
        <w:t xml:space="preserve"> they are already caught under the definition of “use of a benchmark” according to art. 3</w:t>
      </w:r>
      <w:r>
        <w:rPr>
          <w:rFonts w:cs="Arial"/>
          <w:color w:val="000000"/>
          <w:szCs w:val="20"/>
          <w:lang w:val="en-US" w:eastAsia="en-GB"/>
        </w:rPr>
        <w:t>(1</w:t>
      </w:r>
      <w:proofErr w:type="gramStart"/>
      <w:r>
        <w:rPr>
          <w:rFonts w:cs="Arial"/>
          <w:color w:val="000000"/>
          <w:szCs w:val="20"/>
          <w:lang w:val="en-US" w:eastAsia="en-GB"/>
        </w:rPr>
        <w:t>)</w:t>
      </w:r>
      <w:r w:rsidR="001160A7">
        <w:rPr>
          <w:rFonts w:cs="Arial"/>
          <w:color w:val="000000"/>
          <w:szCs w:val="20"/>
          <w:lang w:val="en-US" w:eastAsia="en-GB"/>
        </w:rPr>
        <w:t>(</w:t>
      </w:r>
      <w:proofErr w:type="gramEnd"/>
      <w:r w:rsidR="001160A7">
        <w:rPr>
          <w:rFonts w:cs="Arial"/>
          <w:color w:val="000000"/>
          <w:szCs w:val="20"/>
          <w:lang w:val="en-US" w:eastAsia="en-GB"/>
        </w:rPr>
        <w:t>7)</w:t>
      </w:r>
      <w:r>
        <w:rPr>
          <w:rFonts w:cs="Arial"/>
          <w:color w:val="000000"/>
          <w:szCs w:val="20"/>
          <w:lang w:val="en-US" w:eastAsia="en-GB"/>
        </w:rPr>
        <w:t>(e)</w:t>
      </w:r>
      <w:r w:rsidR="001160A7">
        <w:rPr>
          <w:rFonts w:cs="Arial"/>
          <w:color w:val="000000"/>
          <w:szCs w:val="20"/>
          <w:lang w:val="en-US" w:eastAsia="en-GB"/>
        </w:rPr>
        <w:t xml:space="preserve"> of the Regulation. </w:t>
      </w:r>
    </w:p>
    <w:p w14:paraId="5D7FEE42" w14:textId="77777777" w:rsidR="001160A7" w:rsidRDefault="001160A7" w:rsidP="00691BFE">
      <w:pPr>
        <w:jc w:val="both"/>
        <w:rPr>
          <w:rFonts w:cs="Arial"/>
          <w:color w:val="000000"/>
          <w:szCs w:val="20"/>
          <w:lang w:val="en-US" w:eastAsia="en-GB"/>
        </w:rPr>
      </w:pPr>
    </w:p>
    <w:p w14:paraId="3A35FF6E" w14:textId="782D07E1" w:rsidR="009A2794" w:rsidRPr="001160A7" w:rsidRDefault="001160A7" w:rsidP="001160A7">
      <w:pPr>
        <w:jc w:val="both"/>
        <w:rPr>
          <w:rFonts w:cs="Arial"/>
          <w:color w:val="000000"/>
          <w:szCs w:val="20"/>
          <w:lang w:val="en-US" w:eastAsia="en-GB"/>
        </w:rPr>
      </w:pPr>
      <w:proofErr w:type="gramStart"/>
      <w:r>
        <w:rPr>
          <w:rFonts w:cs="Arial"/>
          <w:color w:val="000000"/>
          <w:szCs w:val="20"/>
          <w:lang w:val="en-US" w:eastAsia="en-GB"/>
        </w:rPr>
        <w:t>W</w:t>
      </w:r>
      <w:proofErr w:type="spellStart"/>
      <w:r w:rsidR="006B1475">
        <w:t>e</w:t>
      </w:r>
      <w:proofErr w:type="spellEnd"/>
      <w:r w:rsidR="006B1475">
        <w:t xml:space="preserve"> therefore propose the following change</w:t>
      </w:r>
      <w:r w:rsidR="00DA0176">
        <w:t xml:space="preserve">: </w:t>
      </w:r>
      <w:r w:rsidR="009A2794" w:rsidRPr="001160A7">
        <w:rPr>
          <w:rFonts w:cs="Arial"/>
          <w:color w:val="000000"/>
          <w:szCs w:val="20"/>
          <w:lang w:val="en-US" w:eastAsia="en-GB"/>
        </w:rPr>
        <w:t>“</w:t>
      </w:r>
      <w:r w:rsidR="009A2794" w:rsidRPr="001160A7">
        <w:rPr>
          <w:rFonts w:cs="Arial"/>
          <w:i/>
          <w:color w:val="000000"/>
          <w:szCs w:val="20"/>
          <w:lang w:val="en-US" w:eastAsia="en-GB"/>
        </w:rPr>
        <w:t xml:space="preserve">The issuance of a financial instrument that references an index or a combination of indices is to be intended as the initial offering of the financial instrument types specified in paragraphs (1) to </w:t>
      </w:r>
      <w:r w:rsidR="00482B9A" w:rsidRPr="001160A7">
        <w:rPr>
          <w:rFonts w:cs="Arial"/>
          <w:b/>
          <w:i/>
          <w:color w:val="000000"/>
          <w:szCs w:val="20"/>
          <w:lang w:val="en-US" w:eastAsia="en-GB"/>
        </w:rPr>
        <w:t>(2)</w:t>
      </w:r>
      <w:r w:rsidR="00482B9A" w:rsidRPr="001160A7">
        <w:rPr>
          <w:rFonts w:cs="Arial"/>
          <w:i/>
          <w:color w:val="000000"/>
          <w:szCs w:val="20"/>
          <w:lang w:val="en-US" w:eastAsia="en-GB"/>
        </w:rPr>
        <w:t xml:space="preserve"> </w:t>
      </w:r>
      <w:r w:rsidR="009A2794" w:rsidRPr="001160A7">
        <w:rPr>
          <w:rFonts w:cs="Arial"/>
          <w:b/>
          <w:i/>
          <w:strike/>
          <w:color w:val="000000"/>
          <w:szCs w:val="20"/>
          <w:u w:val="single"/>
          <w:lang w:val="en-US" w:eastAsia="en-GB"/>
        </w:rPr>
        <w:t>(3)</w:t>
      </w:r>
      <w:r w:rsidR="009A2794" w:rsidRPr="001160A7">
        <w:rPr>
          <w:rFonts w:cs="Arial"/>
          <w:i/>
          <w:color w:val="000000"/>
          <w:szCs w:val="20"/>
          <w:lang w:val="en-US" w:eastAsia="en-GB"/>
        </w:rPr>
        <w:t xml:space="preserve"> within the list of Annex I, Section C, of Directive 2014/65/EU to third parties through negotiation on trading venues and/or systematic </w:t>
      </w:r>
      <w:proofErr w:type="spellStart"/>
      <w:r w:rsidR="009A2794" w:rsidRPr="001160A7">
        <w:rPr>
          <w:rFonts w:cs="Arial"/>
          <w:i/>
          <w:color w:val="000000"/>
          <w:szCs w:val="20"/>
          <w:lang w:val="en-US" w:eastAsia="en-GB"/>
        </w:rPr>
        <w:t>internalisers</w:t>
      </w:r>
      <w:proofErr w:type="spellEnd"/>
      <w:r w:rsidR="009A2794" w:rsidRPr="001160A7">
        <w:rPr>
          <w:rFonts w:cs="Arial"/>
          <w:color w:val="000000"/>
          <w:szCs w:val="20"/>
          <w:lang w:val="en-US" w:eastAsia="en-GB"/>
        </w:rPr>
        <w:t>”.</w:t>
      </w:r>
      <w:proofErr w:type="gramEnd"/>
      <w:r w:rsidR="009A2794" w:rsidRPr="001160A7">
        <w:rPr>
          <w:rFonts w:cs="Arial"/>
          <w:color w:val="000000"/>
          <w:szCs w:val="20"/>
          <w:lang w:val="en-US" w:eastAsia="en-GB"/>
        </w:rPr>
        <w:t xml:space="preserve"> </w:t>
      </w:r>
    </w:p>
    <w:p w14:paraId="4494EFF5" w14:textId="77777777" w:rsidR="00482B9A" w:rsidRDefault="00482B9A" w:rsidP="009A2794">
      <w:pPr>
        <w:autoSpaceDE w:val="0"/>
        <w:autoSpaceDN w:val="0"/>
        <w:adjustRightInd w:val="0"/>
        <w:jc w:val="both"/>
        <w:rPr>
          <w:rFonts w:cs="Arial"/>
          <w:color w:val="000000"/>
          <w:sz w:val="22"/>
          <w:szCs w:val="22"/>
          <w:lang w:val="en-US" w:eastAsia="en-GB"/>
        </w:rPr>
      </w:pPr>
    </w:p>
    <w:p w14:paraId="20C67168" w14:textId="2306789A" w:rsidR="00482B9A" w:rsidRDefault="001160A7" w:rsidP="009A2794">
      <w:pPr>
        <w:autoSpaceDE w:val="0"/>
        <w:autoSpaceDN w:val="0"/>
        <w:adjustRightInd w:val="0"/>
        <w:jc w:val="both"/>
        <w:rPr>
          <w:rFonts w:cs="Arial"/>
          <w:color w:val="000000"/>
          <w:szCs w:val="20"/>
          <w:lang w:val="en-US" w:eastAsia="en-GB"/>
        </w:rPr>
      </w:pPr>
      <w:r>
        <w:rPr>
          <w:rFonts w:cs="Arial"/>
          <w:color w:val="000000"/>
          <w:szCs w:val="20"/>
          <w:lang w:val="en-US" w:eastAsia="en-GB"/>
        </w:rPr>
        <w:t xml:space="preserve">This change </w:t>
      </w:r>
      <w:proofErr w:type="gramStart"/>
      <w:r w:rsidR="00111903">
        <w:rPr>
          <w:rFonts w:cs="Arial"/>
          <w:color w:val="000000"/>
          <w:szCs w:val="20"/>
          <w:lang w:val="en-US" w:eastAsia="en-GB"/>
        </w:rPr>
        <w:t>is aimed</w:t>
      </w:r>
      <w:proofErr w:type="gramEnd"/>
      <w:r w:rsidR="00111903">
        <w:rPr>
          <w:rFonts w:cs="Arial"/>
          <w:color w:val="000000"/>
          <w:szCs w:val="20"/>
          <w:lang w:val="en-US" w:eastAsia="en-GB"/>
        </w:rPr>
        <w:t xml:space="preserve"> at eliminating the reference to para (3) of Annex I, Section C, of </w:t>
      </w:r>
      <w:proofErr w:type="spellStart"/>
      <w:r w:rsidR="00111903">
        <w:rPr>
          <w:rFonts w:cs="Arial"/>
          <w:color w:val="000000"/>
          <w:szCs w:val="20"/>
          <w:lang w:val="en-US" w:eastAsia="en-GB"/>
        </w:rPr>
        <w:t>MiIFID</w:t>
      </w:r>
      <w:proofErr w:type="spellEnd"/>
      <w:r w:rsidR="00111903">
        <w:rPr>
          <w:rFonts w:cs="Arial"/>
          <w:color w:val="000000"/>
          <w:szCs w:val="20"/>
          <w:lang w:val="en-US" w:eastAsia="en-GB"/>
        </w:rPr>
        <w:t xml:space="preserve"> II </w:t>
      </w:r>
      <w:r w:rsidR="001D08BA">
        <w:rPr>
          <w:rFonts w:cs="Arial"/>
          <w:color w:val="000000"/>
          <w:szCs w:val="20"/>
          <w:lang w:val="en-US" w:eastAsia="en-GB"/>
        </w:rPr>
        <w:t>that</w:t>
      </w:r>
      <w:r w:rsidR="00111903">
        <w:rPr>
          <w:rFonts w:cs="Arial"/>
          <w:color w:val="000000"/>
          <w:szCs w:val="20"/>
          <w:lang w:val="en-US" w:eastAsia="en-GB"/>
        </w:rPr>
        <w:t xml:space="preserve"> covers collective investment undertakings. </w:t>
      </w:r>
    </w:p>
    <w:p w14:paraId="77F96FBB" w14:textId="77777777" w:rsidR="006B1475" w:rsidRDefault="006B1475" w:rsidP="009A2794">
      <w:pPr>
        <w:autoSpaceDE w:val="0"/>
        <w:autoSpaceDN w:val="0"/>
        <w:adjustRightInd w:val="0"/>
        <w:jc w:val="both"/>
        <w:rPr>
          <w:rFonts w:cs="Arial"/>
          <w:color w:val="000000"/>
          <w:szCs w:val="20"/>
          <w:lang w:val="en-US" w:eastAsia="en-GB"/>
        </w:rPr>
      </w:pPr>
    </w:p>
    <w:permEnd w:id="553596128"/>
    <w:p w14:paraId="374047AE" w14:textId="77777777" w:rsidR="009A2624" w:rsidRDefault="00665C07" w:rsidP="009A2624">
      <w:r>
        <w:t>&lt;ESMA_QUESTION_C</w:t>
      </w:r>
      <w:r w:rsidR="009A2624">
        <w:t>P_BMR_4&gt;</w:t>
      </w:r>
    </w:p>
    <w:p w14:paraId="380AA3AC" w14:textId="77777777" w:rsidR="009A2624" w:rsidRDefault="009A2624" w:rsidP="009A2624"/>
    <w:p w14:paraId="0B35BF93" w14:textId="77777777" w:rsidR="009A2624"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transitional regime proposed to assess the nominal amount of financial instruments other than derivatives, the notional amount of derivatives and the net asset value of investment funds in the case where the regulatory data i</w:t>
      </w:r>
      <w:r>
        <w:rPr>
          <w:rFonts w:cs="Arial"/>
          <w:lang w:val="en-US"/>
        </w:rPr>
        <w:t>s not available or sufficient</w:t>
      </w:r>
      <w:r w:rsidR="009A2624">
        <w:t xml:space="preserve">? </w:t>
      </w:r>
    </w:p>
    <w:p w14:paraId="280325D3" w14:textId="77777777" w:rsidR="009A2624" w:rsidRDefault="00665C07" w:rsidP="009A2624">
      <w:r>
        <w:t>&lt;ESMA_QUESTION_C</w:t>
      </w:r>
      <w:r w:rsidR="009A2624">
        <w:t>P_BMR_5&gt;</w:t>
      </w:r>
    </w:p>
    <w:p w14:paraId="1BCEC4B4" w14:textId="17FFEF85" w:rsidR="009A2624" w:rsidRDefault="000732FC" w:rsidP="000732FC">
      <w:pPr>
        <w:jc w:val="both"/>
      </w:pPr>
      <w:permStart w:id="856885486" w:edGrp="everyone"/>
      <w:r>
        <w:t xml:space="preserve">In general, we agree with the proposals on the transitional regime as contained in point d) at p. 32 of the Draft Technical Advice. However, we </w:t>
      </w:r>
      <w:r w:rsidR="00D36B62">
        <w:t xml:space="preserve">suggest a more general approach on the source of the proxy information that may be used. It </w:t>
      </w:r>
      <w:proofErr w:type="gramStart"/>
      <w:r w:rsidR="00D36B62">
        <w:t>should be clarified</w:t>
      </w:r>
      <w:proofErr w:type="gramEnd"/>
      <w:r w:rsidR="00D36B62">
        <w:t xml:space="preserve"> that </w:t>
      </w:r>
      <w:r w:rsidR="00D36B62">
        <w:rPr>
          <w:rFonts w:cs="Arial"/>
          <w:color w:val="000000"/>
          <w:szCs w:val="20"/>
          <w:lang w:val="en-US" w:eastAsia="en-GB"/>
        </w:rPr>
        <w:t>the collection of data and proxies should be derived also from NCAs, when such information is available to them. We believe this would be in the interest of a more comprehensive activity of data collection. We</w:t>
      </w:r>
      <w:r w:rsidR="00D36B62">
        <w:t xml:space="preserve"> </w:t>
      </w:r>
      <w:r>
        <w:t xml:space="preserve">would </w:t>
      </w:r>
      <w:r w:rsidR="0050585C">
        <w:t xml:space="preserve">therefore </w:t>
      </w:r>
      <w:r>
        <w:t xml:space="preserve">like to propose the following change: </w:t>
      </w:r>
    </w:p>
    <w:p w14:paraId="665CF7F1" w14:textId="77777777" w:rsidR="000732FC" w:rsidRDefault="000732FC" w:rsidP="000732FC">
      <w:pPr>
        <w:jc w:val="both"/>
      </w:pPr>
    </w:p>
    <w:p w14:paraId="17A0CE7E" w14:textId="63C86FC5" w:rsidR="000732FC" w:rsidRDefault="000732FC" w:rsidP="000732FC">
      <w:pPr>
        <w:autoSpaceDE w:val="0"/>
        <w:autoSpaceDN w:val="0"/>
        <w:adjustRightInd w:val="0"/>
        <w:jc w:val="both"/>
        <w:rPr>
          <w:rFonts w:cs="Arial"/>
          <w:color w:val="000000"/>
          <w:sz w:val="22"/>
          <w:szCs w:val="22"/>
          <w:lang w:val="en-US" w:eastAsia="en-GB"/>
        </w:rPr>
      </w:pPr>
      <w:proofErr w:type="gramStart"/>
      <w:r>
        <w:rPr>
          <w:rFonts w:cs="Arial"/>
          <w:color w:val="000000"/>
          <w:sz w:val="22"/>
          <w:szCs w:val="22"/>
          <w:lang w:val="en-US" w:eastAsia="en-GB"/>
        </w:rPr>
        <w:t>“</w:t>
      </w:r>
      <w:r w:rsidRPr="000732FC">
        <w:rPr>
          <w:rFonts w:cs="Arial"/>
          <w:i/>
          <w:color w:val="000000"/>
          <w:sz w:val="22"/>
          <w:szCs w:val="22"/>
          <w:lang w:val="en-US" w:eastAsia="en-GB"/>
        </w:rPr>
        <w:t xml:space="preserve">Whenever data as set out above in paragraphs a), b) and c) is not available or not sufficient, when assessing benchmarks under the thresholds in Article 20(1) and Article 24(1)(a), the nominal amount of financial instruments other than derivatives, the notional amount of derivatives and the net asset value of investment funds, or proxies for these values, such as open interest data, as reported by alternative private providers </w:t>
      </w:r>
      <w:r w:rsidRPr="000732FC">
        <w:rPr>
          <w:rFonts w:cs="Arial"/>
          <w:b/>
          <w:i/>
          <w:color w:val="000000"/>
          <w:sz w:val="22"/>
          <w:szCs w:val="22"/>
          <w:u w:val="single"/>
          <w:lang w:val="en-US" w:eastAsia="en-GB"/>
        </w:rPr>
        <w:t xml:space="preserve">or national competent authorities, </w:t>
      </w:r>
      <w:r w:rsidRPr="000732FC">
        <w:rPr>
          <w:rFonts w:cs="Arial"/>
          <w:i/>
          <w:color w:val="000000"/>
          <w:sz w:val="22"/>
          <w:szCs w:val="22"/>
          <w:lang w:val="en-US" w:eastAsia="en-GB"/>
        </w:rPr>
        <w:t xml:space="preserve">of information </w:t>
      </w:r>
      <w:r w:rsidR="006037C4" w:rsidRPr="006037C4">
        <w:rPr>
          <w:rFonts w:cs="Arial"/>
          <w:b/>
          <w:i/>
          <w:color w:val="000000"/>
          <w:sz w:val="22"/>
          <w:szCs w:val="22"/>
          <w:lang w:val="en-US" w:eastAsia="en-GB"/>
        </w:rPr>
        <w:t>already</w:t>
      </w:r>
      <w:r w:rsidR="006037C4">
        <w:rPr>
          <w:rFonts w:cs="Arial"/>
          <w:i/>
          <w:color w:val="000000"/>
          <w:sz w:val="22"/>
          <w:szCs w:val="22"/>
          <w:lang w:val="en-US" w:eastAsia="en-GB"/>
        </w:rPr>
        <w:t xml:space="preserve"> </w:t>
      </w:r>
      <w:r w:rsidRPr="000732FC">
        <w:rPr>
          <w:rFonts w:cs="Arial"/>
          <w:i/>
          <w:color w:val="000000"/>
          <w:sz w:val="22"/>
          <w:szCs w:val="22"/>
          <w:lang w:val="en-US" w:eastAsia="en-GB"/>
        </w:rPr>
        <w:t>available to administrators and competent authorities may be taken into account.</w:t>
      </w:r>
      <w:r>
        <w:rPr>
          <w:rFonts w:cs="Arial"/>
          <w:color w:val="000000"/>
          <w:sz w:val="22"/>
          <w:szCs w:val="22"/>
          <w:lang w:val="en-US" w:eastAsia="en-GB"/>
        </w:rPr>
        <w:t>”</w:t>
      </w:r>
      <w:proofErr w:type="gramEnd"/>
      <w:r w:rsidRPr="000732FC">
        <w:rPr>
          <w:rFonts w:cs="Arial"/>
          <w:color w:val="000000"/>
          <w:sz w:val="22"/>
          <w:szCs w:val="22"/>
          <w:lang w:val="en-US" w:eastAsia="en-GB"/>
        </w:rPr>
        <w:t xml:space="preserve"> </w:t>
      </w:r>
    </w:p>
    <w:p w14:paraId="0F1E6782" w14:textId="77777777" w:rsidR="00C1308B" w:rsidRPr="00C1308B" w:rsidRDefault="00C1308B" w:rsidP="000732FC">
      <w:pPr>
        <w:autoSpaceDE w:val="0"/>
        <w:autoSpaceDN w:val="0"/>
        <w:adjustRightInd w:val="0"/>
        <w:jc w:val="both"/>
        <w:rPr>
          <w:rFonts w:cs="Arial"/>
          <w:color w:val="000000"/>
          <w:szCs w:val="20"/>
          <w:lang w:val="en-US" w:eastAsia="en-GB"/>
        </w:rPr>
      </w:pPr>
    </w:p>
    <w:p w14:paraId="1C758E64" w14:textId="77777777" w:rsidR="000732FC" w:rsidRPr="00ED010D" w:rsidRDefault="00ED010D" w:rsidP="00ED010D">
      <w:pPr>
        <w:autoSpaceDE w:val="0"/>
        <w:autoSpaceDN w:val="0"/>
        <w:adjustRightInd w:val="0"/>
        <w:jc w:val="both"/>
        <w:rPr>
          <w:rFonts w:cs="Arial"/>
          <w:color w:val="000000"/>
          <w:szCs w:val="20"/>
          <w:lang w:val="en-US" w:eastAsia="en-GB"/>
        </w:rPr>
      </w:pPr>
      <w:r>
        <w:rPr>
          <w:rFonts w:cs="Arial"/>
          <w:color w:val="000000"/>
          <w:szCs w:val="20"/>
          <w:lang w:val="en-US" w:eastAsia="en-GB"/>
        </w:rPr>
        <w:t>.</w:t>
      </w:r>
    </w:p>
    <w:permEnd w:id="856885486"/>
    <w:p w14:paraId="64E45397" w14:textId="77777777" w:rsidR="009A2624" w:rsidRDefault="00665C07" w:rsidP="009A2624">
      <w:r>
        <w:t>&lt;ESMA_QUESTION_C</w:t>
      </w:r>
      <w:r w:rsidR="009A2624">
        <w:t>P_BMR_5&gt;</w:t>
      </w:r>
    </w:p>
    <w:p w14:paraId="2667A9B7" w14:textId="77777777" w:rsidR="009A2624" w:rsidRDefault="009A2624" w:rsidP="009A2624"/>
    <w:p w14:paraId="71E68D7F" w14:textId="77777777" w:rsidR="009A2624" w:rsidRPr="007F44BF" w:rsidRDefault="00293D4B" w:rsidP="002342EC">
      <w:pPr>
        <w:pStyle w:val="Questionstyle"/>
      </w:pPr>
      <w:r w:rsidRPr="0006038D">
        <w:rPr>
          <w:rFonts w:cs="Arial"/>
          <w:lang w:val="en-US"/>
        </w:rPr>
        <w:t>Do you agree with the measurement performed at a specific point in time for assessing whether a benchmark hits the thresholds specified in Article 20(1)</w:t>
      </w:r>
      <w:r>
        <w:rPr>
          <w:rFonts w:cs="Arial"/>
          <w:lang w:val="en-US"/>
        </w:rPr>
        <w:t xml:space="preserve"> to be considered as critical?</w:t>
      </w:r>
    </w:p>
    <w:p w14:paraId="34CF2DEF" w14:textId="77777777" w:rsidR="009A2624" w:rsidRDefault="00665C07" w:rsidP="009A2624">
      <w:r>
        <w:t>&lt;ESMA_QUESTION_C</w:t>
      </w:r>
      <w:r w:rsidR="009A2624">
        <w:t>P_BMR_6&gt;</w:t>
      </w:r>
    </w:p>
    <w:p w14:paraId="0B21F9C7" w14:textId="0072BE02" w:rsidR="009A2624" w:rsidRDefault="00EF3F92" w:rsidP="009A2624">
      <w:permStart w:id="504500388" w:edGrp="everyone"/>
      <w:r>
        <w:t xml:space="preserve">Yes, we agree with </w:t>
      </w:r>
      <w:r w:rsidR="003A0C1D">
        <w:t>the</w:t>
      </w:r>
      <w:r>
        <w:t xml:space="preserve"> indications.</w:t>
      </w:r>
      <w:r w:rsidR="006037C4">
        <w:t xml:space="preserve"> </w:t>
      </w:r>
      <w:r w:rsidR="000518EE">
        <w:t>However,</w:t>
      </w:r>
      <w:r w:rsidR="006037C4">
        <w:t xml:space="preserve"> we suggest to </w:t>
      </w:r>
      <w:proofErr w:type="gramStart"/>
      <w:r w:rsidR="006037C4">
        <w:t>make reference</w:t>
      </w:r>
      <w:proofErr w:type="gramEnd"/>
      <w:r w:rsidR="006037C4">
        <w:t xml:space="preserve"> to art. 22 of AIFMD rather than 19(10). The periodic report </w:t>
      </w:r>
      <w:proofErr w:type="gramStart"/>
      <w:r w:rsidR="006037C4">
        <w:t>can in some cases be made</w:t>
      </w:r>
      <w:proofErr w:type="gramEnd"/>
      <w:r w:rsidR="006037C4">
        <w:t xml:space="preserve"> available to investors and not public</w:t>
      </w:r>
      <w:r w:rsidR="000518EE">
        <w:t xml:space="preserve">. </w:t>
      </w:r>
      <w:r w:rsidR="006037C4">
        <w:t xml:space="preserve"> </w:t>
      </w:r>
    </w:p>
    <w:permEnd w:id="504500388"/>
    <w:p w14:paraId="3177F380" w14:textId="77777777" w:rsidR="009A2624" w:rsidRDefault="00665C07" w:rsidP="009A2624">
      <w:r>
        <w:t>&lt;ESMA_QUESTION_C</w:t>
      </w:r>
      <w:r w:rsidR="009A2624">
        <w:t>P_BMR_6&gt;</w:t>
      </w:r>
    </w:p>
    <w:p w14:paraId="61C555C8" w14:textId="77777777" w:rsidR="009A2624" w:rsidRDefault="009A2624" w:rsidP="009A2624"/>
    <w:p w14:paraId="6A78C327" w14:textId="77777777" w:rsidR="009A2624" w:rsidRPr="007F44BF"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use of licensing agreements to identify financial instruments referencing benchmarks? Would this approach be useful in particular in the case of investment funds?</w:t>
      </w:r>
    </w:p>
    <w:p w14:paraId="35E3A5C8" w14:textId="77777777" w:rsidR="009A2624" w:rsidRDefault="00665C07" w:rsidP="009A2624">
      <w:r>
        <w:t>&lt;ESMA_QUESTION_C</w:t>
      </w:r>
      <w:r w:rsidR="009A2624">
        <w:t>P_BMR_7&gt;</w:t>
      </w:r>
    </w:p>
    <w:p w14:paraId="795BB1BC" w14:textId="77777777" w:rsidR="00D273AC" w:rsidRDefault="00464403" w:rsidP="00464403">
      <w:pPr>
        <w:jc w:val="both"/>
      </w:pPr>
      <w:permStart w:id="1957649837" w:edGrp="everyone"/>
      <w:r>
        <w:t xml:space="preserve">We do not agree with such a proposal. </w:t>
      </w:r>
    </w:p>
    <w:p w14:paraId="4DBE6F75" w14:textId="77777777" w:rsidR="00D273AC" w:rsidRDefault="00D273AC" w:rsidP="00464403">
      <w:pPr>
        <w:jc w:val="both"/>
      </w:pPr>
    </w:p>
    <w:p w14:paraId="1DC6C694" w14:textId="52E34B00" w:rsidR="00D273AC" w:rsidRDefault="00D273AC" w:rsidP="00464403">
      <w:pPr>
        <w:jc w:val="both"/>
        <w:rPr>
          <w:rFonts w:cs="Arial"/>
          <w:bCs/>
          <w:szCs w:val="20"/>
        </w:rPr>
      </w:pPr>
      <w:proofErr w:type="gramStart"/>
      <w:r>
        <w:rPr>
          <w:rFonts w:cs="Arial"/>
          <w:bCs/>
          <w:szCs w:val="20"/>
        </w:rPr>
        <w:t>First of all</w:t>
      </w:r>
      <w:proofErr w:type="gramEnd"/>
      <w:r>
        <w:rPr>
          <w:rFonts w:cs="Arial"/>
          <w:bCs/>
          <w:szCs w:val="20"/>
        </w:rPr>
        <w:t xml:space="preserve">, we would like to stress that a reference to licensing agreements may emphasize the dominant position of benchmark administrators and in order to address this aspect, and </w:t>
      </w:r>
      <w:r w:rsidRPr="00B4058D">
        <w:rPr>
          <w:rFonts w:cs="Arial"/>
          <w:bCs/>
          <w:szCs w:val="20"/>
        </w:rPr>
        <w:t xml:space="preserve">to </w:t>
      </w:r>
      <w:r>
        <w:rPr>
          <w:rFonts w:cs="Arial"/>
          <w:bCs/>
          <w:szCs w:val="20"/>
        </w:rPr>
        <w:t xml:space="preserve">avoid possible undesirable effects on </w:t>
      </w:r>
      <w:r w:rsidRPr="00B4058D">
        <w:rPr>
          <w:rFonts w:cs="Arial"/>
          <w:bCs/>
          <w:szCs w:val="20"/>
        </w:rPr>
        <w:t>price control descending from the obligations set by the Regulators</w:t>
      </w:r>
      <w:r w:rsidR="00C37B3E">
        <w:rPr>
          <w:rFonts w:cs="Arial"/>
          <w:bCs/>
          <w:szCs w:val="20"/>
        </w:rPr>
        <w:t>,</w:t>
      </w:r>
      <w:r>
        <w:rPr>
          <w:rFonts w:cs="Arial"/>
          <w:bCs/>
          <w:szCs w:val="20"/>
        </w:rPr>
        <w:t xml:space="preserve"> we do not share the proposal. </w:t>
      </w:r>
    </w:p>
    <w:p w14:paraId="6DBCE4E5" w14:textId="77777777" w:rsidR="00D273AC" w:rsidRDefault="00D273AC" w:rsidP="00464403">
      <w:pPr>
        <w:jc w:val="both"/>
      </w:pPr>
    </w:p>
    <w:p w14:paraId="02A609D3" w14:textId="7A59A39A" w:rsidR="00D273AC" w:rsidRDefault="00D273AC" w:rsidP="00464403">
      <w:pPr>
        <w:jc w:val="both"/>
      </w:pPr>
      <w:r>
        <w:t>Fu</w:t>
      </w:r>
      <w:r w:rsidR="00AF26E7">
        <w:t>r</w:t>
      </w:r>
      <w:r>
        <w:t xml:space="preserve">thermore, the experience of our members with licensing agreements show that these agreements are not the proper tool to identify </w:t>
      </w:r>
      <w:r w:rsidR="00C37B3E">
        <w:t xml:space="preserve">- </w:t>
      </w:r>
      <w:r>
        <w:t xml:space="preserve">for investment funds </w:t>
      </w:r>
      <w:r w:rsidR="00C37B3E">
        <w:t xml:space="preserve">- </w:t>
      </w:r>
      <w:r>
        <w:t xml:space="preserve">the measurement of the reference value of a benchmark. Not all agreements contain such information, while </w:t>
      </w:r>
      <w:r w:rsidR="00C37B3E">
        <w:t xml:space="preserve">not all of them </w:t>
      </w:r>
      <w:proofErr w:type="gramStart"/>
      <w:r w:rsidR="00C37B3E">
        <w:t>are</w:t>
      </w:r>
      <w:r>
        <w:t xml:space="preserve"> updated</w:t>
      </w:r>
      <w:proofErr w:type="gramEnd"/>
      <w:r w:rsidR="003232F0">
        <w:t>,</w:t>
      </w:r>
      <w:r>
        <w:t xml:space="preserve"> as</w:t>
      </w:r>
      <w:r w:rsidR="003232F0">
        <w:t xml:space="preserve"> it is instead required</w:t>
      </w:r>
      <w:r>
        <w:t xml:space="preserve"> </w:t>
      </w:r>
      <w:r w:rsidR="003232F0">
        <w:t>by the benchmark regulation</w:t>
      </w:r>
      <w:r>
        <w:t>.</w:t>
      </w:r>
    </w:p>
    <w:p w14:paraId="36D39508" w14:textId="77777777" w:rsidR="00D273AC" w:rsidRDefault="00D273AC" w:rsidP="00464403">
      <w:pPr>
        <w:jc w:val="both"/>
      </w:pPr>
    </w:p>
    <w:p w14:paraId="6E092248" w14:textId="5C830850" w:rsidR="009A2624" w:rsidRDefault="00691BFE" w:rsidP="00464403">
      <w:pPr>
        <w:jc w:val="both"/>
      </w:pPr>
      <w:r>
        <w:t xml:space="preserve">We suggest instead </w:t>
      </w:r>
      <w:proofErr w:type="gramStart"/>
      <w:r>
        <w:t>to use</w:t>
      </w:r>
      <w:proofErr w:type="gramEnd"/>
      <w:r>
        <w:t xml:space="preserve"> </w:t>
      </w:r>
      <w:r w:rsidR="005C3A1F">
        <w:t xml:space="preserve">other type of </w:t>
      </w:r>
      <w:r>
        <w:t>proxies</w:t>
      </w:r>
      <w:r w:rsidR="005C3A1F">
        <w:t>, such as those</w:t>
      </w:r>
      <w:r>
        <w:t xml:space="preserve"> </w:t>
      </w:r>
      <w:r w:rsidR="006C37A0">
        <w:t xml:space="preserve">based on </w:t>
      </w:r>
      <w:r>
        <w:t>other available information</w:t>
      </w:r>
      <w:r w:rsidR="005C3A1F">
        <w:t xml:space="preserve"> (KIID, prospectus and periodic report</w:t>
      </w:r>
    </w:p>
    <w:permEnd w:id="1957649837"/>
    <w:p w14:paraId="6F7514D9" w14:textId="77777777" w:rsidR="009A2624" w:rsidRDefault="00665C07" w:rsidP="009A2624">
      <w:r>
        <w:t>&lt;ESMA_QUESTION_C</w:t>
      </w:r>
      <w:r w:rsidR="009A2624">
        <w:t>P_BMR_7&gt;</w:t>
      </w:r>
    </w:p>
    <w:p w14:paraId="79ADA9DC" w14:textId="77777777" w:rsidR="009A2624" w:rsidRDefault="009A2624" w:rsidP="009A2624"/>
    <w:p w14:paraId="165A65D2" w14:textId="77777777" w:rsidR="009A2624" w:rsidRPr="007F44BF" w:rsidRDefault="00293D4B" w:rsidP="002342EC">
      <w:pPr>
        <w:pStyle w:val="Questionstyle"/>
      </w:pPr>
      <w:r w:rsidRPr="00E76135">
        <w:rPr>
          <w:rFonts w:cs="Arial"/>
          <w:lang w:val="en-US"/>
        </w:rPr>
        <w:t>Do you agree with the criteria proposed? Do you consider that additional criteria should be included in the technical advice</w:t>
      </w:r>
      <w:r>
        <w:rPr>
          <w:rFonts w:cs="Arial"/>
          <w:lang w:val="en-US"/>
        </w:rPr>
        <w:t>?</w:t>
      </w:r>
      <w:r w:rsidR="009A2624" w:rsidRPr="007F44BF">
        <w:t xml:space="preserve"> </w:t>
      </w:r>
    </w:p>
    <w:p w14:paraId="2500D75F" w14:textId="77777777" w:rsidR="009A2624" w:rsidRDefault="00665C07" w:rsidP="009A2624">
      <w:r>
        <w:t>&lt;ESMA_QUESTION_C</w:t>
      </w:r>
      <w:r w:rsidR="009A2624">
        <w:t>P_BMR_8&gt;</w:t>
      </w:r>
    </w:p>
    <w:p w14:paraId="2C532630" w14:textId="77777777" w:rsidR="001D08BA" w:rsidRDefault="008C1726" w:rsidP="00D769B0">
      <w:pPr>
        <w:jc w:val="both"/>
      </w:pPr>
      <w:permStart w:id="1326199379" w:edGrp="everyone"/>
      <w:r>
        <w:t xml:space="preserve">In general, we agree with the proposed criteria. </w:t>
      </w:r>
      <w:r w:rsidR="001A2D25">
        <w:t>However,</w:t>
      </w:r>
      <w:r w:rsidR="001D08BA">
        <w:t xml:space="preserve"> we would like to remind that some provisions </w:t>
      </w:r>
      <w:proofErr w:type="gramStart"/>
      <w:r w:rsidR="001D08BA">
        <w:t>should be better harmonized</w:t>
      </w:r>
      <w:proofErr w:type="gramEnd"/>
      <w:r w:rsidR="001D08BA">
        <w:t xml:space="preserve">. In particular: </w:t>
      </w:r>
    </w:p>
    <w:p w14:paraId="0CECCEA4" w14:textId="77777777" w:rsidR="001D08BA" w:rsidRDefault="001D08BA" w:rsidP="009A2624"/>
    <w:p w14:paraId="73C01CD4" w14:textId="1BCD2DBF" w:rsidR="00C22819" w:rsidRPr="00EF57E1" w:rsidRDefault="00C22819" w:rsidP="000A2B2C">
      <w:pPr>
        <w:pStyle w:val="Paragrafoelenco"/>
        <w:numPr>
          <w:ilvl w:val="0"/>
          <w:numId w:val="40"/>
        </w:numPr>
        <w:jc w:val="both"/>
        <w:rPr>
          <w:b/>
          <w:szCs w:val="20"/>
        </w:rPr>
      </w:pPr>
      <w:r w:rsidRPr="00497D28">
        <w:rPr>
          <w:b/>
          <w:u w:val="single"/>
        </w:rPr>
        <w:t xml:space="preserve">Lit. </w:t>
      </w:r>
      <w:r w:rsidR="006553A1">
        <w:rPr>
          <w:b/>
          <w:u w:val="single"/>
        </w:rPr>
        <w:t>e</w:t>
      </w:r>
      <w:r w:rsidRPr="00497D28">
        <w:rPr>
          <w:b/>
          <w:u w:val="single"/>
        </w:rPr>
        <w:t>), p. 42</w:t>
      </w:r>
      <w:r w:rsidRPr="00497D28">
        <w:rPr>
          <w:b/>
        </w:rPr>
        <w:t>:</w:t>
      </w:r>
      <w:r w:rsidRPr="000A2B2C">
        <w:t xml:space="preserve"> </w:t>
      </w:r>
      <w:r w:rsidR="000A2B2C" w:rsidRPr="000A2B2C">
        <w:t>the first sentence “</w:t>
      </w:r>
      <w:r w:rsidR="000A2B2C" w:rsidRPr="00EF57E1">
        <w:rPr>
          <w:i/>
          <w:sz w:val="22"/>
          <w:szCs w:val="22"/>
        </w:rPr>
        <w:t>the diversity of financial instruments and financial contracts shoul</w:t>
      </w:r>
      <w:r w:rsidR="00EF57E1" w:rsidRPr="00EF57E1">
        <w:rPr>
          <w:i/>
          <w:sz w:val="22"/>
          <w:szCs w:val="22"/>
        </w:rPr>
        <w:t>d […]</w:t>
      </w:r>
      <w:r w:rsidR="00EF57E1">
        <w:rPr>
          <w:i/>
          <w:sz w:val="22"/>
          <w:szCs w:val="22"/>
        </w:rPr>
        <w:t xml:space="preserve">” </w:t>
      </w:r>
      <w:r w:rsidR="00EF57E1" w:rsidRPr="00474212">
        <w:rPr>
          <w:szCs w:val="20"/>
        </w:rPr>
        <w:t xml:space="preserve">does not include “investment funds” </w:t>
      </w:r>
      <w:r w:rsidR="005C3A1F" w:rsidRPr="00474212">
        <w:rPr>
          <w:szCs w:val="20"/>
        </w:rPr>
        <w:t>for which a request for admission to trading on a trading venue has not been made</w:t>
      </w:r>
      <w:r w:rsidR="00474212">
        <w:rPr>
          <w:szCs w:val="20"/>
        </w:rPr>
        <w:t xml:space="preserve">, </w:t>
      </w:r>
      <w:r w:rsidR="00EF57E1" w:rsidRPr="00474212">
        <w:rPr>
          <w:szCs w:val="20"/>
        </w:rPr>
        <w:t>as they are not in scope of the definition of “financial instrument”</w:t>
      </w:r>
      <w:r w:rsidR="003D0467" w:rsidRPr="00474212">
        <w:rPr>
          <w:szCs w:val="20"/>
        </w:rPr>
        <w:t>.</w:t>
      </w:r>
      <w:r w:rsidR="003D0467">
        <w:rPr>
          <w:i/>
          <w:szCs w:val="20"/>
        </w:rPr>
        <w:t xml:space="preserve"> </w:t>
      </w:r>
      <w:r w:rsidR="003D0467" w:rsidRPr="003D0467">
        <w:rPr>
          <w:szCs w:val="20"/>
        </w:rPr>
        <w:t>H</w:t>
      </w:r>
      <w:r w:rsidR="00EF57E1" w:rsidRPr="003D0467">
        <w:rPr>
          <w:szCs w:val="20"/>
        </w:rPr>
        <w:t xml:space="preserve">owever, </w:t>
      </w:r>
      <w:r w:rsidR="003D0467" w:rsidRPr="003D0467">
        <w:rPr>
          <w:szCs w:val="20"/>
        </w:rPr>
        <w:t xml:space="preserve">investment funds </w:t>
      </w:r>
      <w:proofErr w:type="gramStart"/>
      <w:r w:rsidR="003D0467">
        <w:rPr>
          <w:szCs w:val="20"/>
        </w:rPr>
        <w:t xml:space="preserve">are </w:t>
      </w:r>
      <w:r w:rsidR="003D0467" w:rsidRPr="003D0467">
        <w:rPr>
          <w:szCs w:val="20"/>
        </w:rPr>
        <w:t xml:space="preserve">expressly </w:t>
      </w:r>
      <w:r w:rsidR="00EF57E1" w:rsidRPr="003D0467">
        <w:rPr>
          <w:szCs w:val="20"/>
        </w:rPr>
        <w:t>considered</w:t>
      </w:r>
      <w:proofErr w:type="gramEnd"/>
      <w:r w:rsidR="00EF57E1" w:rsidRPr="003D0467">
        <w:rPr>
          <w:szCs w:val="20"/>
        </w:rPr>
        <w:t xml:space="preserve"> in the following sub-point (2)</w:t>
      </w:r>
      <w:r w:rsidR="00EF57E1" w:rsidRPr="003D0467">
        <w:rPr>
          <w:sz w:val="22"/>
          <w:szCs w:val="22"/>
        </w:rPr>
        <w:t xml:space="preserve">. </w:t>
      </w:r>
      <w:r w:rsidR="00EF57E1" w:rsidRPr="003D0467">
        <w:rPr>
          <w:szCs w:val="20"/>
        </w:rPr>
        <w:t>We would ask ESMA to align the provision.</w:t>
      </w:r>
      <w:r w:rsidR="00EF57E1" w:rsidRPr="00EF57E1">
        <w:rPr>
          <w:szCs w:val="20"/>
        </w:rPr>
        <w:t xml:space="preserve"> </w:t>
      </w:r>
      <w:r w:rsidR="006553A1">
        <w:rPr>
          <w:szCs w:val="20"/>
        </w:rPr>
        <w:t>The same comment goes for point. 3.</w:t>
      </w:r>
    </w:p>
    <w:p w14:paraId="2C1ED426" w14:textId="74039F47" w:rsidR="00497D28" w:rsidRPr="00991E08" w:rsidRDefault="00C22819" w:rsidP="00497D28">
      <w:pPr>
        <w:pStyle w:val="Paragrafoelenco"/>
        <w:numPr>
          <w:ilvl w:val="0"/>
          <w:numId w:val="40"/>
        </w:numPr>
        <w:jc w:val="both"/>
        <w:rPr>
          <w:rFonts w:cs="Arial"/>
          <w:b/>
          <w:szCs w:val="20"/>
        </w:rPr>
      </w:pPr>
      <w:r w:rsidRPr="00497D28">
        <w:rPr>
          <w:b/>
          <w:u w:val="single"/>
        </w:rPr>
        <w:t>Lit (</w:t>
      </w:r>
      <w:proofErr w:type="spellStart"/>
      <w:r w:rsidRPr="00497D28">
        <w:rPr>
          <w:b/>
          <w:u w:val="single"/>
        </w:rPr>
        <w:t>i</w:t>
      </w:r>
      <w:proofErr w:type="spellEnd"/>
      <w:r w:rsidRPr="00497D28">
        <w:rPr>
          <w:b/>
          <w:u w:val="single"/>
        </w:rPr>
        <w:t>), p</w:t>
      </w:r>
      <w:r w:rsidRPr="00497D28">
        <w:rPr>
          <w:b/>
        </w:rPr>
        <w:t xml:space="preserve">. </w:t>
      </w:r>
      <w:r w:rsidR="001A2D25" w:rsidRPr="00497D28">
        <w:rPr>
          <w:b/>
        </w:rPr>
        <w:t xml:space="preserve"> </w:t>
      </w:r>
      <w:r w:rsidR="00497D28" w:rsidRPr="00497D28">
        <w:rPr>
          <w:b/>
        </w:rPr>
        <w:t>43:</w:t>
      </w:r>
      <w:r w:rsidR="00497D28">
        <w:rPr>
          <w:b/>
        </w:rPr>
        <w:t xml:space="preserve"> </w:t>
      </w:r>
      <w:r w:rsidR="00497D28">
        <w:rPr>
          <w:rFonts w:cs="Arial"/>
          <w:b/>
          <w:szCs w:val="20"/>
        </w:rPr>
        <w:t>“</w:t>
      </w:r>
      <w:r w:rsidR="00497D28" w:rsidRPr="00EF57E1">
        <w:rPr>
          <w:rFonts w:cs="Arial"/>
          <w:i/>
          <w:color w:val="000000"/>
          <w:sz w:val="22"/>
          <w:szCs w:val="22"/>
          <w:lang w:val="en-US" w:eastAsia="en-GB"/>
        </w:rPr>
        <w:t>The use of the benchmark by pension funds</w:t>
      </w:r>
      <w:r w:rsidR="00497D28" w:rsidRPr="00497D28">
        <w:rPr>
          <w:rFonts w:cs="Arial"/>
          <w:color w:val="000000"/>
          <w:szCs w:val="20"/>
          <w:lang w:val="en-US" w:eastAsia="en-GB"/>
        </w:rPr>
        <w:t xml:space="preserve">”: </w:t>
      </w:r>
      <w:proofErr w:type="gramStart"/>
      <w:r w:rsidR="00F907DC">
        <w:rPr>
          <w:rFonts w:cs="Arial"/>
          <w:color w:val="000000"/>
          <w:szCs w:val="20"/>
          <w:lang w:val="en-US" w:eastAsia="en-GB"/>
        </w:rPr>
        <w:t>in our understanding</w:t>
      </w:r>
      <w:proofErr w:type="gramEnd"/>
      <w:r w:rsidR="00F907DC">
        <w:rPr>
          <w:rFonts w:cs="Arial"/>
          <w:color w:val="000000"/>
          <w:szCs w:val="20"/>
          <w:lang w:val="en-US" w:eastAsia="en-GB"/>
        </w:rPr>
        <w:t xml:space="preserve"> pension funds are not </w:t>
      </w:r>
      <w:r w:rsidR="006522E4">
        <w:rPr>
          <w:rFonts w:cs="Arial"/>
          <w:color w:val="000000"/>
          <w:szCs w:val="20"/>
          <w:lang w:val="en-US" w:eastAsia="en-GB"/>
        </w:rPr>
        <w:t>in the scope of the definition of “use of a benchmark”</w:t>
      </w:r>
      <w:r w:rsidR="003D0467">
        <w:rPr>
          <w:rFonts w:cs="Arial"/>
          <w:color w:val="000000"/>
          <w:szCs w:val="20"/>
          <w:lang w:val="en-US" w:eastAsia="en-GB"/>
        </w:rPr>
        <w:t xml:space="preserve"> in the regulation</w:t>
      </w:r>
      <w:r w:rsidR="006522E4">
        <w:rPr>
          <w:rFonts w:cs="Arial"/>
          <w:color w:val="000000"/>
          <w:szCs w:val="20"/>
          <w:lang w:val="en-US" w:eastAsia="en-GB"/>
        </w:rPr>
        <w:t xml:space="preserve">. </w:t>
      </w:r>
      <w:r w:rsidR="00F907DC">
        <w:rPr>
          <w:rFonts w:cs="Arial"/>
          <w:color w:val="000000"/>
          <w:szCs w:val="20"/>
          <w:lang w:val="en-US" w:eastAsia="en-GB"/>
        </w:rPr>
        <w:t>We understand the possible reason behind this inclusion, but</w:t>
      </w:r>
      <w:r w:rsidR="00FA2416">
        <w:rPr>
          <w:rFonts w:cs="Arial"/>
          <w:color w:val="000000"/>
          <w:szCs w:val="20"/>
          <w:lang w:val="en-US" w:eastAsia="en-GB"/>
        </w:rPr>
        <w:t>, in any case,</w:t>
      </w:r>
      <w:r w:rsidR="00F907DC">
        <w:rPr>
          <w:rFonts w:cs="Arial"/>
          <w:color w:val="000000"/>
          <w:szCs w:val="20"/>
          <w:lang w:val="en-US" w:eastAsia="en-GB"/>
        </w:rPr>
        <w:t xml:space="preserve"> we suggest ESMA to </w:t>
      </w:r>
      <w:r w:rsidR="00991E08">
        <w:rPr>
          <w:rFonts w:cs="Arial"/>
          <w:color w:val="000000"/>
          <w:szCs w:val="20"/>
          <w:lang w:val="en-US" w:eastAsia="en-GB"/>
        </w:rPr>
        <w:t xml:space="preserve">exclude </w:t>
      </w:r>
      <w:proofErr w:type="gramStart"/>
      <w:r w:rsidR="00991E08">
        <w:rPr>
          <w:rFonts w:cs="Arial"/>
          <w:color w:val="000000"/>
          <w:szCs w:val="20"/>
          <w:lang w:val="en-US" w:eastAsia="en-GB"/>
        </w:rPr>
        <w:t>this criteria</w:t>
      </w:r>
      <w:proofErr w:type="gramEnd"/>
      <w:r w:rsidR="00991E08">
        <w:rPr>
          <w:rFonts w:cs="Arial"/>
          <w:color w:val="000000"/>
          <w:szCs w:val="20"/>
          <w:lang w:val="en-US" w:eastAsia="en-GB"/>
        </w:rPr>
        <w:t xml:space="preserve"> for the assessment of a critical benchmark</w:t>
      </w:r>
      <w:r w:rsidR="00FA2416">
        <w:rPr>
          <w:rFonts w:cs="Arial"/>
          <w:color w:val="000000"/>
          <w:szCs w:val="20"/>
          <w:lang w:val="en-US" w:eastAsia="en-GB"/>
        </w:rPr>
        <w:t>.</w:t>
      </w:r>
      <w:r w:rsidR="00D47514">
        <w:rPr>
          <w:rFonts w:cs="Arial"/>
          <w:color w:val="000000"/>
          <w:szCs w:val="20"/>
          <w:lang w:val="en-US" w:eastAsia="en-GB"/>
        </w:rPr>
        <w:t xml:space="preserve"> </w:t>
      </w:r>
      <w:r w:rsidR="006522E4">
        <w:rPr>
          <w:rFonts w:cs="Arial"/>
          <w:color w:val="000000"/>
          <w:szCs w:val="20"/>
          <w:lang w:val="en-US" w:eastAsia="en-GB"/>
        </w:rPr>
        <w:t xml:space="preserve"> </w:t>
      </w:r>
    </w:p>
    <w:p w14:paraId="01C6957D" w14:textId="77777777" w:rsidR="00991E08" w:rsidRPr="00991E08" w:rsidRDefault="00991E08" w:rsidP="00991E08">
      <w:pPr>
        <w:jc w:val="both"/>
        <w:rPr>
          <w:rFonts w:cs="Arial"/>
          <w:b/>
          <w:szCs w:val="20"/>
        </w:rPr>
      </w:pPr>
    </w:p>
    <w:permEnd w:id="1326199379"/>
    <w:p w14:paraId="35BD7545" w14:textId="77777777" w:rsidR="009A2624" w:rsidRDefault="00665C07" w:rsidP="009A2624">
      <w:r>
        <w:t>&lt;ESMA_QUESTION_C</w:t>
      </w:r>
      <w:r w:rsidR="009A2624">
        <w:t>P_BMR_8&gt;</w:t>
      </w:r>
    </w:p>
    <w:p w14:paraId="4048AC23" w14:textId="77777777" w:rsidR="009A2624" w:rsidRDefault="009A2624" w:rsidP="009A2624"/>
    <w:p w14:paraId="3F008CE9" w14:textId="77777777" w:rsidR="009A2624" w:rsidRPr="007F44BF" w:rsidRDefault="005C7F55" w:rsidP="002342EC">
      <w:pPr>
        <w:pStyle w:val="Questionstyle"/>
      </w:pPr>
      <w:r w:rsidRPr="00E76135">
        <w:rPr>
          <w:rFonts w:cs="Arial"/>
          <w:lang w:val="en-US"/>
        </w:rPr>
        <w:t>Do you think that the concept of “significant share of” should be further developed in terms of percentages or ranges of values expressed in percentages, to be used for (some of) the criteria based on quantitative data? If yes, could you propose percentages of reference, or ranges of values expressed in percentages, to be used for one or more of the proposed criteria</w:t>
      </w:r>
      <w:r w:rsidR="009A2624" w:rsidRPr="007F44BF">
        <w:t>?</w:t>
      </w:r>
    </w:p>
    <w:p w14:paraId="132AAA74" w14:textId="77777777" w:rsidR="009A2624" w:rsidRDefault="00665C07" w:rsidP="009A2624">
      <w:r>
        <w:t>&lt;ESMA_QUESTION_C</w:t>
      </w:r>
      <w:r w:rsidR="009A2624">
        <w:t>P_BMR_9&gt;</w:t>
      </w:r>
    </w:p>
    <w:p w14:paraId="66D9D584" w14:textId="77777777" w:rsidR="009A2624" w:rsidRDefault="002D55BA" w:rsidP="009A2624">
      <w:permStart w:id="220478691" w:edGrp="everyone"/>
      <w:r>
        <w:t>N/A.</w:t>
      </w:r>
    </w:p>
    <w:permEnd w:id="220478691"/>
    <w:p w14:paraId="4DE11DB1" w14:textId="77777777" w:rsidR="009A2624" w:rsidRDefault="00665C07" w:rsidP="009A2624">
      <w:r>
        <w:t>&lt;ESMA_QUESTION_C</w:t>
      </w:r>
      <w:r w:rsidR="009A2624">
        <w:t>P_BMR_9&gt;</w:t>
      </w:r>
    </w:p>
    <w:p w14:paraId="503CE8FD" w14:textId="77777777" w:rsidR="009A2624" w:rsidRDefault="009A2624" w:rsidP="009A2624"/>
    <w:p w14:paraId="4BC31C02" w14:textId="77777777" w:rsidR="009A2624" w:rsidRPr="007F44BF" w:rsidRDefault="005C7F55" w:rsidP="002342EC">
      <w:pPr>
        <w:pStyle w:val="Questionstyle"/>
      </w:pPr>
      <w:r w:rsidRPr="00837564">
        <w:rPr>
          <w:rFonts w:cs="Arial"/>
        </w:rPr>
        <w:t>Do you agree with the suggested indicators for objective reasons for endorsement of third-country benchmarks</w:t>
      </w:r>
      <w:r w:rsidR="009A2624" w:rsidRPr="007F44BF">
        <w:t xml:space="preserve">? </w:t>
      </w:r>
    </w:p>
    <w:p w14:paraId="17165A5C" w14:textId="77777777" w:rsidR="009A2624" w:rsidRDefault="00665C07" w:rsidP="009A2624">
      <w:r>
        <w:t>&lt;ESMA_QUESTION_C</w:t>
      </w:r>
      <w:r w:rsidR="009A2624">
        <w:t>P_BMR_10&gt;</w:t>
      </w:r>
    </w:p>
    <w:p w14:paraId="4F9548E6" w14:textId="77777777" w:rsidR="009A2624" w:rsidRDefault="002D55BA" w:rsidP="009A2624">
      <w:permStart w:id="1242194675" w:edGrp="everyone"/>
      <w:r>
        <w:t>N/A.</w:t>
      </w:r>
    </w:p>
    <w:permEnd w:id="1242194675"/>
    <w:p w14:paraId="2D1A725A" w14:textId="77777777" w:rsidR="009A2624" w:rsidRDefault="00665C07" w:rsidP="009A2624">
      <w:r>
        <w:t>&lt;ESMA_QUESTION_C</w:t>
      </w:r>
      <w:r w:rsidR="009A2624">
        <w:t>P_BMR_10&gt;</w:t>
      </w:r>
    </w:p>
    <w:p w14:paraId="6AA1B585" w14:textId="77777777" w:rsidR="009A2624" w:rsidRDefault="009A2624" w:rsidP="009A2624"/>
    <w:p w14:paraId="58BD8C73" w14:textId="77777777" w:rsidR="009A2624" w:rsidRPr="007F44BF" w:rsidRDefault="005C7F55" w:rsidP="002342EC">
      <w:pPr>
        <w:pStyle w:val="Questionstyle"/>
      </w:pPr>
      <w:r>
        <w:rPr>
          <w:rFonts w:cs="Arial"/>
          <w:lang w:val="en-US"/>
        </w:rPr>
        <w:t>Do you agree with the criteria, included in the draft technical advice, that NCAs should use when assessing whether the transitional provisions could apply to a non-compliant benchmark? Could you suggest additional criteria?</w:t>
      </w:r>
      <w:r w:rsidR="009A2624" w:rsidRPr="007F44BF">
        <w:t xml:space="preserve"> </w:t>
      </w:r>
    </w:p>
    <w:p w14:paraId="7AC20F82" w14:textId="77777777" w:rsidR="009A2624" w:rsidRDefault="009A2624" w:rsidP="009A2624">
      <w:r>
        <w:t>&lt;ES</w:t>
      </w:r>
      <w:r w:rsidR="00665C07">
        <w:t>MA_QUESTION_C</w:t>
      </w:r>
      <w:r>
        <w:t>P_BMR_11&gt;</w:t>
      </w:r>
    </w:p>
    <w:p w14:paraId="01D9F879" w14:textId="77777777" w:rsidR="00765420" w:rsidRDefault="009F4EF1" w:rsidP="00FF2663">
      <w:pPr>
        <w:pStyle w:val="Default"/>
        <w:jc w:val="both"/>
        <w:rPr>
          <w:rFonts w:ascii="Arial" w:hAnsi="Arial" w:cs="Arial"/>
          <w:bCs/>
          <w:sz w:val="20"/>
          <w:szCs w:val="20"/>
          <w:lang w:val="en-US"/>
        </w:rPr>
      </w:pPr>
      <w:permStart w:id="162347144" w:edGrp="everyone"/>
      <w:proofErr w:type="spellStart"/>
      <w:r w:rsidRPr="00FF2663">
        <w:rPr>
          <w:rFonts w:ascii="Arial" w:hAnsi="Arial" w:cs="Arial"/>
          <w:sz w:val="20"/>
          <w:szCs w:val="20"/>
        </w:rPr>
        <w:t>We</w:t>
      </w:r>
      <w:proofErr w:type="spellEnd"/>
      <w:r w:rsidRPr="00FF2663">
        <w:rPr>
          <w:rFonts w:ascii="Arial" w:hAnsi="Arial" w:cs="Arial"/>
          <w:sz w:val="20"/>
          <w:szCs w:val="20"/>
        </w:rPr>
        <w:t xml:space="preserve"> </w:t>
      </w:r>
      <w:proofErr w:type="spellStart"/>
      <w:r w:rsidRPr="00FF2663">
        <w:rPr>
          <w:rFonts w:ascii="Arial" w:hAnsi="Arial" w:cs="Arial"/>
          <w:sz w:val="20"/>
          <w:szCs w:val="20"/>
        </w:rPr>
        <w:t>agree</w:t>
      </w:r>
      <w:proofErr w:type="spellEnd"/>
      <w:r w:rsidRPr="00FF2663">
        <w:rPr>
          <w:rFonts w:ascii="Arial" w:hAnsi="Arial" w:cs="Arial"/>
          <w:sz w:val="20"/>
          <w:szCs w:val="20"/>
        </w:rPr>
        <w:t xml:space="preserve"> </w:t>
      </w:r>
      <w:proofErr w:type="spellStart"/>
      <w:r w:rsidRPr="00FF2663">
        <w:rPr>
          <w:rFonts w:ascii="Arial" w:hAnsi="Arial" w:cs="Arial"/>
          <w:sz w:val="20"/>
          <w:szCs w:val="20"/>
        </w:rPr>
        <w:t>with</w:t>
      </w:r>
      <w:proofErr w:type="spellEnd"/>
      <w:r w:rsidRPr="00FF2663">
        <w:rPr>
          <w:rFonts w:ascii="Arial" w:hAnsi="Arial" w:cs="Arial"/>
          <w:sz w:val="20"/>
          <w:szCs w:val="20"/>
        </w:rPr>
        <w:t xml:space="preserve"> the </w:t>
      </w:r>
      <w:proofErr w:type="spellStart"/>
      <w:r w:rsidRPr="00FF2663">
        <w:rPr>
          <w:rFonts w:ascii="Arial" w:hAnsi="Arial" w:cs="Arial"/>
          <w:sz w:val="20"/>
          <w:szCs w:val="20"/>
        </w:rPr>
        <w:t>criteria</w:t>
      </w:r>
      <w:proofErr w:type="spellEnd"/>
      <w:r w:rsidRPr="00FF2663">
        <w:rPr>
          <w:rFonts w:ascii="Arial" w:hAnsi="Arial" w:cs="Arial"/>
          <w:sz w:val="20"/>
          <w:szCs w:val="20"/>
        </w:rPr>
        <w:t xml:space="preserve"> and </w:t>
      </w:r>
      <w:proofErr w:type="spellStart"/>
      <w:r w:rsidRPr="00FF2663">
        <w:rPr>
          <w:rFonts w:ascii="Arial" w:hAnsi="Arial" w:cs="Arial"/>
          <w:sz w:val="20"/>
          <w:szCs w:val="20"/>
        </w:rPr>
        <w:t>we</w:t>
      </w:r>
      <w:proofErr w:type="spellEnd"/>
      <w:r w:rsidRPr="00FF2663">
        <w:rPr>
          <w:rFonts w:ascii="Arial" w:hAnsi="Arial" w:cs="Arial"/>
          <w:sz w:val="20"/>
          <w:szCs w:val="20"/>
        </w:rPr>
        <w:t xml:space="preserve"> </w:t>
      </w:r>
      <w:proofErr w:type="spellStart"/>
      <w:r w:rsidRPr="00FF2663">
        <w:rPr>
          <w:rFonts w:ascii="Arial" w:hAnsi="Arial" w:cs="Arial"/>
          <w:sz w:val="20"/>
          <w:szCs w:val="20"/>
        </w:rPr>
        <w:t>appreciate</w:t>
      </w:r>
      <w:proofErr w:type="spellEnd"/>
      <w:r w:rsidRPr="00FF2663">
        <w:rPr>
          <w:rFonts w:ascii="Arial" w:hAnsi="Arial" w:cs="Arial"/>
          <w:sz w:val="20"/>
          <w:szCs w:val="20"/>
        </w:rPr>
        <w:t xml:space="preserve"> </w:t>
      </w:r>
      <w:proofErr w:type="spellStart"/>
      <w:r w:rsidRPr="00FF2663">
        <w:rPr>
          <w:rFonts w:ascii="Arial" w:hAnsi="Arial" w:cs="Arial"/>
          <w:sz w:val="20"/>
          <w:szCs w:val="20"/>
        </w:rPr>
        <w:t>that</w:t>
      </w:r>
      <w:proofErr w:type="spellEnd"/>
      <w:r w:rsidRPr="00FF2663">
        <w:rPr>
          <w:rFonts w:ascii="Arial" w:hAnsi="Arial" w:cs="Arial"/>
          <w:sz w:val="20"/>
          <w:szCs w:val="20"/>
        </w:rPr>
        <w:t xml:space="preserve"> </w:t>
      </w:r>
      <w:proofErr w:type="spellStart"/>
      <w:r w:rsidRPr="00FF2663">
        <w:rPr>
          <w:rFonts w:ascii="Arial" w:hAnsi="Arial" w:cs="Arial"/>
          <w:sz w:val="20"/>
          <w:szCs w:val="20"/>
        </w:rPr>
        <w:t>suc</w:t>
      </w:r>
      <w:r w:rsidR="00BC4C42">
        <w:rPr>
          <w:rFonts w:ascii="Arial" w:hAnsi="Arial" w:cs="Arial"/>
          <w:sz w:val="20"/>
          <w:szCs w:val="20"/>
        </w:rPr>
        <w:t>h</w:t>
      </w:r>
      <w:proofErr w:type="spellEnd"/>
      <w:r w:rsidR="00BC4C42">
        <w:rPr>
          <w:rFonts w:ascii="Arial" w:hAnsi="Arial" w:cs="Arial"/>
          <w:sz w:val="20"/>
          <w:szCs w:val="20"/>
        </w:rPr>
        <w:t xml:space="preserve"> </w:t>
      </w:r>
      <w:proofErr w:type="spellStart"/>
      <w:r w:rsidR="00BC4C42">
        <w:rPr>
          <w:rFonts w:ascii="Arial" w:hAnsi="Arial" w:cs="Arial"/>
          <w:sz w:val="20"/>
          <w:szCs w:val="20"/>
        </w:rPr>
        <w:t>list</w:t>
      </w:r>
      <w:proofErr w:type="spellEnd"/>
      <w:r w:rsidR="00BC4C42">
        <w:rPr>
          <w:rFonts w:ascii="Arial" w:hAnsi="Arial" w:cs="Arial"/>
          <w:sz w:val="20"/>
          <w:szCs w:val="20"/>
        </w:rPr>
        <w:t xml:space="preserve"> </w:t>
      </w:r>
      <w:proofErr w:type="spellStart"/>
      <w:r w:rsidR="00BC4C42">
        <w:rPr>
          <w:rFonts w:ascii="Arial" w:hAnsi="Arial" w:cs="Arial"/>
          <w:sz w:val="20"/>
          <w:szCs w:val="20"/>
        </w:rPr>
        <w:t>is</w:t>
      </w:r>
      <w:proofErr w:type="spellEnd"/>
      <w:r w:rsidR="00BC4C42">
        <w:rPr>
          <w:rFonts w:ascii="Arial" w:hAnsi="Arial" w:cs="Arial"/>
          <w:sz w:val="20"/>
          <w:szCs w:val="20"/>
        </w:rPr>
        <w:t xml:space="preserve"> a non-exhaustive </w:t>
      </w:r>
      <w:proofErr w:type="spellStart"/>
      <w:r w:rsidR="00BC4C42">
        <w:rPr>
          <w:rFonts w:ascii="Arial" w:hAnsi="Arial" w:cs="Arial"/>
          <w:sz w:val="20"/>
          <w:szCs w:val="20"/>
        </w:rPr>
        <w:t>list</w:t>
      </w:r>
      <w:proofErr w:type="spellEnd"/>
      <w:r w:rsidRPr="00FF2663">
        <w:rPr>
          <w:rFonts w:ascii="Arial" w:hAnsi="Arial" w:cs="Arial"/>
          <w:sz w:val="20"/>
          <w:szCs w:val="20"/>
        </w:rPr>
        <w:t xml:space="preserve"> to </w:t>
      </w:r>
      <w:proofErr w:type="spellStart"/>
      <w:r w:rsidRPr="00FF2663">
        <w:rPr>
          <w:rFonts w:ascii="Arial" w:hAnsi="Arial" w:cs="Arial"/>
          <w:sz w:val="20"/>
          <w:szCs w:val="20"/>
        </w:rPr>
        <w:t>allow</w:t>
      </w:r>
      <w:proofErr w:type="spellEnd"/>
      <w:r w:rsidRPr="00FF2663">
        <w:rPr>
          <w:rFonts w:ascii="Arial" w:hAnsi="Arial" w:cs="Arial"/>
          <w:sz w:val="20"/>
          <w:szCs w:val="20"/>
        </w:rPr>
        <w:t xml:space="preserve"> </w:t>
      </w:r>
      <w:proofErr w:type="spellStart"/>
      <w:r w:rsidRPr="00FF2663">
        <w:rPr>
          <w:rFonts w:ascii="Arial" w:hAnsi="Arial" w:cs="Arial"/>
          <w:sz w:val="20"/>
          <w:szCs w:val="20"/>
        </w:rPr>
        <w:t>NCAs</w:t>
      </w:r>
      <w:proofErr w:type="spellEnd"/>
      <w:r w:rsidRPr="00FF2663">
        <w:rPr>
          <w:rFonts w:ascii="Arial" w:hAnsi="Arial" w:cs="Arial"/>
          <w:sz w:val="20"/>
          <w:szCs w:val="20"/>
        </w:rPr>
        <w:t xml:space="preserve"> </w:t>
      </w:r>
      <w:proofErr w:type="spellStart"/>
      <w:r w:rsidRPr="00FF2663">
        <w:rPr>
          <w:rFonts w:ascii="Arial" w:hAnsi="Arial" w:cs="Arial"/>
          <w:sz w:val="20"/>
          <w:szCs w:val="20"/>
        </w:rPr>
        <w:t>appropriate</w:t>
      </w:r>
      <w:proofErr w:type="spellEnd"/>
      <w:r w:rsidRPr="00FF2663">
        <w:rPr>
          <w:rFonts w:ascii="Arial" w:hAnsi="Arial" w:cs="Arial"/>
          <w:sz w:val="20"/>
          <w:szCs w:val="20"/>
        </w:rPr>
        <w:t xml:space="preserve"> </w:t>
      </w:r>
      <w:proofErr w:type="spellStart"/>
      <w:r w:rsidRPr="00FF2663">
        <w:rPr>
          <w:rFonts w:ascii="Arial" w:hAnsi="Arial" w:cs="Arial"/>
          <w:sz w:val="20"/>
          <w:szCs w:val="20"/>
        </w:rPr>
        <w:t>level</w:t>
      </w:r>
      <w:proofErr w:type="spellEnd"/>
      <w:r w:rsidRPr="00FF2663">
        <w:rPr>
          <w:rFonts w:ascii="Arial" w:hAnsi="Arial" w:cs="Arial"/>
          <w:sz w:val="20"/>
          <w:szCs w:val="20"/>
        </w:rPr>
        <w:t xml:space="preserve"> of </w:t>
      </w:r>
      <w:proofErr w:type="spellStart"/>
      <w:r w:rsidRPr="00FF2663">
        <w:rPr>
          <w:rFonts w:ascii="Arial" w:hAnsi="Arial" w:cs="Arial"/>
          <w:sz w:val="20"/>
          <w:szCs w:val="20"/>
        </w:rPr>
        <w:t>discretion</w:t>
      </w:r>
      <w:proofErr w:type="spellEnd"/>
      <w:r w:rsidR="00FF2663" w:rsidRPr="00FF2663">
        <w:rPr>
          <w:rFonts w:ascii="Arial" w:hAnsi="Arial" w:cs="Arial"/>
          <w:sz w:val="20"/>
          <w:szCs w:val="20"/>
        </w:rPr>
        <w:t xml:space="preserve"> to </w:t>
      </w:r>
      <w:proofErr w:type="spellStart"/>
      <w:r w:rsidR="00FF2663" w:rsidRPr="00FF2663">
        <w:rPr>
          <w:rFonts w:ascii="Arial" w:hAnsi="Arial" w:cs="Arial"/>
          <w:sz w:val="20"/>
          <w:szCs w:val="20"/>
        </w:rPr>
        <w:t>assess</w:t>
      </w:r>
      <w:proofErr w:type="spellEnd"/>
      <w:r w:rsidR="00FF2663" w:rsidRPr="00FF2663">
        <w:rPr>
          <w:rFonts w:ascii="Arial" w:hAnsi="Arial" w:cs="Arial"/>
          <w:sz w:val="20"/>
          <w:szCs w:val="20"/>
        </w:rPr>
        <w:t xml:space="preserve"> </w:t>
      </w:r>
      <w:r w:rsidR="00FF2663" w:rsidRPr="00FF2663">
        <w:rPr>
          <w:rFonts w:ascii="Arial" w:hAnsi="Arial" w:cs="Arial"/>
          <w:bCs/>
          <w:sz w:val="20"/>
          <w:szCs w:val="20"/>
          <w:lang w:val="en-US"/>
        </w:rPr>
        <w:t xml:space="preserve">whether the cessation or the changing of an existing benchmark to conform with the requirements of the benchmarks Regulation could reasonably result in a force majeure event, frustrate or otherwise breach the terms of any financial contract </w:t>
      </w:r>
      <w:r w:rsidR="00FF2663">
        <w:rPr>
          <w:rFonts w:ascii="Arial" w:hAnsi="Arial" w:cs="Arial"/>
          <w:bCs/>
          <w:sz w:val="20"/>
          <w:szCs w:val="20"/>
          <w:lang w:val="en-US"/>
        </w:rPr>
        <w:t xml:space="preserve">which references such benchmark. </w:t>
      </w:r>
    </w:p>
    <w:p w14:paraId="221DF261" w14:textId="77777777" w:rsidR="00765420" w:rsidRDefault="00765420" w:rsidP="00FF2663">
      <w:pPr>
        <w:pStyle w:val="Default"/>
        <w:jc w:val="both"/>
        <w:rPr>
          <w:rFonts w:ascii="Arial" w:hAnsi="Arial" w:cs="Arial"/>
          <w:bCs/>
          <w:sz w:val="20"/>
          <w:szCs w:val="20"/>
          <w:lang w:val="en-US"/>
        </w:rPr>
      </w:pPr>
    </w:p>
    <w:p w14:paraId="71E84476" w14:textId="5576EA30" w:rsidR="00FF2663" w:rsidRDefault="00765420" w:rsidP="00FF2663">
      <w:pPr>
        <w:pStyle w:val="Default"/>
        <w:jc w:val="both"/>
        <w:rPr>
          <w:rFonts w:ascii="Arial" w:hAnsi="Arial" w:cs="Arial"/>
          <w:bCs/>
          <w:sz w:val="20"/>
          <w:szCs w:val="20"/>
          <w:lang w:val="en-US"/>
        </w:rPr>
      </w:pPr>
      <w:r>
        <w:rPr>
          <w:rFonts w:ascii="Arial" w:hAnsi="Arial" w:cs="Arial"/>
          <w:bCs/>
          <w:sz w:val="20"/>
          <w:szCs w:val="20"/>
          <w:lang w:val="en-US"/>
        </w:rPr>
        <w:t>W</w:t>
      </w:r>
      <w:r w:rsidRPr="00765420">
        <w:rPr>
          <w:rFonts w:ascii="Arial" w:hAnsi="Arial" w:cs="Arial"/>
          <w:bCs/>
          <w:sz w:val="20"/>
          <w:szCs w:val="20"/>
          <w:lang w:val="en-US"/>
        </w:rPr>
        <w:t>e also recommend ESMA to harmonize the</w:t>
      </w:r>
      <w:r w:rsidR="00D273AC">
        <w:rPr>
          <w:rFonts w:ascii="Arial" w:hAnsi="Arial" w:cs="Arial"/>
          <w:bCs/>
          <w:sz w:val="20"/>
          <w:szCs w:val="20"/>
          <w:lang w:val="en-US"/>
        </w:rPr>
        <w:t xml:space="preserve"> text of the</w:t>
      </w:r>
      <w:r w:rsidRPr="00765420">
        <w:rPr>
          <w:rFonts w:ascii="Arial" w:hAnsi="Arial" w:cs="Arial"/>
          <w:bCs/>
          <w:sz w:val="20"/>
          <w:szCs w:val="20"/>
          <w:lang w:val="en-US"/>
        </w:rPr>
        <w:t xml:space="preserve"> </w:t>
      </w:r>
      <w:r>
        <w:rPr>
          <w:rFonts w:ascii="Arial" w:hAnsi="Arial" w:cs="Arial"/>
          <w:bCs/>
          <w:sz w:val="20"/>
          <w:szCs w:val="20"/>
          <w:lang w:val="en-US"/>
        </w:rPr>
        <w:t>title (in bold) of par</w:t>
      </w:r>
      <w:r w:rsidR="00165E7F">
        <w:rPr>
          <w:rFonts w:ascii="Arial" w:hAnsi="Arial" w:cs="Arial"/>
          <w:bCs/>
          <w:sz w:val="20"/>
          <w:szCs w:val="20"/>
          <w:lang w:val="en-US"/>
        </w:rPr>
        <w:t>a</w:t>
      </w:r>
      <w:r>
        <w:rPr>
          <w:rFonts w:ascii="Arial" w:hAnsi="Arial" w:cs="Arial"/>
          <w:bCs/>
          <w:sz w:val="20"/>
          <w:szCs w:val="20"/>
          <w:lang w:val="en-US"/>
        </w:rPr>
        <w:t xml:space="preserve">. </w:t>
      </w:r>
      <w:proofErr w:type="gramStart"/>
      <w:r>
        <w:rPr>
          <w:rFonts w:ascii="Arial" w:hAnsi="Arial" w:cs="Arial"/>
          <w:bCs/>
          <w:sz w:val="20"/>
          <w:szCs w:val="20"/>
          <w:lang w:val="en-US"/>
        </w:rPr>
        <w:t>6.4</w:t>
      </w:r>
      <w:proofErr w:type="gramEnd"/>
      <w:r>
        <w:rPr>
          <w:rFonts w:ascii="Arial" w:hAnsi="Arial" w:cs="Arial"/>
          <w:bCs/>
          <w:sz w:val="20"/>
          <w:szCs w:val="20"/>
          <w:lang w:val="en-US"/>
        </w:rPr>
        <w:t xml:space="preserve"> </w:t>
      </w:r>
      <w:r w:rsidRPr="00765420">
        <w:rPr>
          <w:rFonts w:ascii="Arial" w:hAnsi="Arial" w:cs="Arial"/>
          <w:bCs/>
          <w:sz w:val="20"/>
          <w:szCs w:val="20"/>
          <w:lang w:val="en-US"/>
        </w:rPr>
        <w:t>in order to ensure that the reference to funds is made correctly</w:t>
      </w:r>
      <w:r>
        <w:rPr>
          <w:rFonts w:ascii="Arial" w:hAnsi="Arial" w:cs="Arial"/>
          <w:bCs/>
          <w:sz w:val="20"/>
          <w:szCs w:val="20"/>
          <w:lang w:val="en-US"/>
        </w:rPr>
        <w:t xml:space="preserve"> where a reference to “the rules of any investment fund”</w:t>
      </w:r>
      <w:r w:rsidR="00165E7F">
        <w:rPr>
          <w:rFonts w:ascii="Arial" w:hAnsi="Arial" w:cs="Arial"/>
          <w:bCs/>
          <w:sz w:val="20"/>
          <w:szCs w:val="20"/>
          <w:lang w:val="en-US"/>
        </w:rPr>
        <w:t xml:space="preserve"> is missed, while </w:t>
      </w:r>
      <w:r>
        <w:rPr>
          <w:rFonts w:ascii="Arial" w:hAnsi="Arial" w:cs="Arial"/>
          <w:bCs/>
          <w:sz w:val="20"/>
          <w:szCs w:val="20"/>
          <w:lang w:val="en-US"/>
        </w:rPr>
        <w:t xml:space="preserve">para. 2. </w:t>
      </w:r>
      <w:proofErr w:type="gramStart"/>
      <w:r>
        <w:rPr>
          <w:rFonts w:ascii="Arial" w:hAnsi="Arial" w:cs="Arial"/>
          <w:bCs/>
          <w:sz w:val="20"/>
          <w:szCs w:val="20"/>
          <w:lang w:val="en-US"/>
        </w:rPr>
        <w:t>correctly</w:t>
      </w:r>
      <w:proofErr w:type="gramEnd"/>
      <w:r>
        <w:rPr>
          <w:rFonts w:ascii="Arial" w:hAnsi="Arial" w:cs="Arial"/>
          <w:bCs/>
          <w:sz w:val="20"/>
          <w:szCs w:val="20"/>
          <w:lang w:val="en-US"/>
        </w:rPr>
        <w:t xml:space="preserve"> refer</w:t>
      </w:r>
      <w:r w:rsidR="005D4358">
        <w:rPr>
          <w:rFonts w:ascii="Arial" w:hAnsi="Arial" w:cs="Arial"/>
          <w:bCs/>
          <w:sz w:val="20"/>
          <w:szCs w:val="20"/>
          <w:lang w:val="en-US"/>
        </w:rPr>
        <w:t xml:space="preserve"> also</w:t>
      </w:r>
      <w:r>
        <w:rPr>
          <w:rFonts w:ascii="Arial" w:hAnsi="Arial" w:cs="Arial"/>
          <w:bCs/>
          <w:sz w:val="20"/>
          <w:szCs w:val="20"/>
          <w:lang w:val="en-US"/>
        </w:rPr>
        <w:t xml:space="preserve"> to them.</w:t>
      </w:r>
    </w:p>
    <w:p w14:paraId="76974FCF" w14:textId="77777777" w:rsidR="00FF2663" w:rsidRPr="00BC4C42" w:rsidRDefault="00FF2663" w:rsidP="00FF2663">
      <w:pPr>
        <w:pStyle w:val="Default"/>
        <w:jc w:val="both"/>
        <w:rPr>
          <w:rFonts w:ascii="Arial" w:hAnsi="Arial" w:cs="Arial"/>
          <w:bCs/>
          <w:sz w:val="20"/>
          <w:szCs w:val="20"/>
          <w:u w:val="single"/>
          <w:lang w:val="en-US"/>
        </w:rPr>
      </w:pPr>
    </w:p>
    <w:p w14:paraId="5DDB2729" w14:textId="7B13BECE" w:rsidR="006553A1" w:rsidRPr="001F38BE" w:rsidRDefault="007720D8" w:rsidP="006553A1">
      <w:pPr>
        <w:pStyle w:val="Default"/>
        <w:jc w:val="both"/>
        <w:rPr>
          <w:rFonts w:asciiTheme="minorHAnsi" w:hAnsiTheme="minorHAnsi" w:cs="Calibri"/>
          <w:bCs/>
          <w:sz w:val="22"/>
          <w:szCs w:val="22"/>
          <w:lang w:val="en-US"/>
        </w:rPr>
      </w:pPr>
      <w:r>
        <w:rPr>
          <w:rFonts w:ascii="Arial" w:hAnsi="Arial" w:cs="Arial"/>
          <w:bCs/>
          <w:sz w:val="20"/>
          <w:szCs w:val="20"/>
          <w:lang w:val="en-US"/>
        </w:rPr>
        <w:t xml:space="preserve">In any </w:t>
      </w:r>
      <w:proofErr w:type="gramStart"/>
      <w:r>
        <w:rPr>
          <w:rFonts w:ascii="Arial" w:hAnsi="Arial" w:cs="Arial"/>
          <w:bCs/>
          <w:sz w:val="20"/>
          <w:szCs w:val="20"/>
          <w:lang w:val="en-US"/>
        </w:rPr>
        <w:t>case</w:t>
      </w:r>
      <w:proofErr w:type="gramEnd"/>
      <w:r w:rsidR="00FF2663" w:rsidRPr="00480751">
        <w:rPr>
          <w:rFonts w:ascii="Arial" w:hAnsi="Arial" w:cs="Arial"/>
          <w:bCs/>
          <w:sz w:val="20"/>
          <w:szCs w:val="20"/>
          <w:lang w:val="en-US"/>
        </w:rPr>
        <w:t xml:space="preserve"> we believe that </w:t>
      </w:r>
      <w:r>
        <w:rPr>
          <w:rFonts w:ascii="Arial" w:hAnsi="Arial" w:cs="Arial"/>
          <w:bCs/>
          <w:sz w:val="20"/>
          <w:szCs w:val="20"/>
          <w:lang w:val="en-US"/>
        </w:rPr>
        <w:t xml:space="preserve">it </w:t>
      </w:r>
      <w:r w:rsidR="00FF2663" w:rsidRPr="00480751">
        <w:rPr>
          <w:rFonts w:ascii="Arial" w:hAnsi="Arial" w:cs="Arial"/>
          <w:bCs/>
          <w:sz w:val="20"/>
          <w:szCs w:val="20"/>
          <w:lang w:val="en-US"/>
        </w:rPr>
        <w:t>would be useful to include in the list another criteri</w:t>
      </w:r>
      <w:r w:rsidR="00BC4C42" w:rsidRPr="00480751">
        <w:rPr>
          <w:rFonts w:ascii="Arial" w:hAnsi="Arial" w:cs="Arial"/>
          <w:bCs/>
          <w:sz w:val="20"/>
          <w:szCs w:val="20"/>
          <w:lang w:val="en-US"/>
        </w:rPr>
        <w:t>on</w:t>
      </w:r>
      <w:r w:rsidR="00FF2663" w:rsidRPr="00765420">
        <w:rPr>
          <w:rFonts w:ascii="Arial" w:hAnsi="Arial" w:cs="Arial"/>
          <w:bCs/>
          <w:sz w:val="20"/>
          <w:szCs w:val="20"/>
          <w:lang w:val="en-US"/>
        </w:rPr>
        <w:t>, to also consider the case of administrators of non-EU benchmarks of regulated markets which decide not to apply for authorization and, thus, becom</w:t>
      </w:r>
      <w:r w:rsidR="00273CE9" w:rsidRPr="00765420">
        <w:rPr>
          <w:rFonts w:ascii="Arial" w:hAnsi="Arial" w:cs="Arial"/>
          <w:bCs/>
          <w:sz w:val="20"/>
          <w:szCs w:val="20"/>
          <w:lang w:val="en-US"/>
        </w:rPr>
        <w:t>e</w:t>
      </w:r>
      <w:r w:rsidR="00FF2663" w:rsidRPr="00765420">
        <w:rPr>
          <w:rFonts w:ascii="Arial" w:hAnsi="Arial" w:cs="Arial"/>
          <w:bCs/>
          <w:sz w:val="20"/>
          <w:szCs w:val="20"/>
          <w:lang w:val="en-US"/>
        </w:rPr>
        <w:t xml:space="preserve"> non-compliant with the regulation</w:t>
      </w:r>
      <w:r w:rsidR="00FF2663">
        <w:rPr>
          <w:rFonts w:ascii="Arial" w:hAnsi="Arial" w:cs="Arial"/>
          <w:bCs/>
          <w:sz w:val="20"/>
          <w:szCs w:val="20"/>
          <w:lang w:val="en-US"/>
        </w:rPr>
        <w:t xml:space="preserve">. </w:t>
      </w:r>
      <w:r w:rsidR="006553A1">
        <w:rPr>
          <w:rFonts w:ascii="Arial" w:hAnsi="Arial" w:cs="Arial"/>
          <w:bCs/>
          <w:sz w:val="20"/>
          <w:szCs w:val="20"/>
          <w:lang w:val="en-US"/>
        </w:rPr>
        <w:t xml:space="preserve">In this case </w:t>
      </w:r>
      <w:r w:rsidR="006553A1" w:rsidRPr="001F38BE">
        <w:rPr>
          <w:rFonts w:asciiTheme="minorHAnsi" w:hAnsiTheme="minorHAnsi" w:cs="Calibri"/>
          <w:bCs/>
          <w:sz w:val="22"/>
          <w:szCs w:val="22"/>
          <w:lang w:val="en-US"/>
        </w:rPr>
        <w:t xml:space="preserve">the investment funds referencing them </w:t>
      </w:r>
      <w:r w:rsidR="006553A1">
        <w:rPr>
          <w:rFonts w:asciiTheme="minorHAnsi" w:hAnsiTheme="minorHAnsi" w:cs="Calibri"/>
          <w:bCs/>
          <w:sz w:val="22"/>
          <w:szCs w:val="22"/>
          <w:lang w:val="en-US"/>
        </w:rPr>
        <w:t xml:space="preserve">are left with a </w:t>
      </w:r>
      <w:r w:rsidR="006553A1" w:rsidRPr="001F38BE">
        <w:rPr>
          <w:rFonts w:asciiTheme="minorHAnsi" w:hAnsiTheme="minorHAnsi" w:cs="Calibri"/>
          <w:bCs/>
          <w:sz w:val="22"/>
          <w:szCs w:val="22"/>
          <w:lang w:val="en-US"/>
        </w:rPr>
        <w:t xml:space="preserve">limited scope of alternatives, with the risk that none of them will be as representative of the market </w:t>
      </w:r>
      <w:r w:rsidR="00D47514">
        <w:rPr>
          <w:rFonts w:asciiTheme="minorHAnsi" w:hAnsiTheme="minorHAnsi" w:cs="Calibri"/>
          <w:bCs/>
          <w:sz w:val="22"/>
          <w:szCs w:val="22"/>
          <w:lang w:val="en-US"/>
        </w:rPr>
        <w:t xml:space="preserve">as </w:t>
      </w:r>
      <w:r w:rsidR="006553A1" w:rsidRPr="001F38BE">
        <w:rPr>
          <w:rFonts w:asciiTheme="minorHAnsi" w:hAnsiTheme="minorHAnsi" w:cs="Calibri"/>
          <w:bCs/>
          <w:sz w:val="22"/>
          <w:szCs w:val="22"/>
          <w:lang w:val="en-US"/>
        </w:rPr>
        <w:t xml:space="preserve">the non-complying </w:t>
      </w:r>
      <w:r w:rsidR="00D47514">
        <w:rPr>
          <w:rFonts w:asciiTheme="minorHAnsi" w:hAnsiTheme="minorHAnsi" w:cs="Calibri"/>
          <w:bCs/>
          <w:sz w:val="22"/>
          <w:szCs w:val="22"/>
          <w:lang w:val="en-US"/>
        </w:rPr>
        <w:t>b</w:t>
      </w:r>
      <w:r w:rsidR="006553A1" w:rsidRPr="001F38BE">
        <w:rPr>
          <w:rFonts w:asciiTheme="minorHAnsi" w:hAnsiTheme="minorHAnsi" w:cs="Calibri"/>
          <w:bCs/>
          <w:sz w:val="22"/>
          <w:szCs w:val="22"/>
          <w:lang w:val="en-US"/>
        </w:rPr>
        <w:t>enchmark was. For example, a single emerging market fund may not be able to replace a national index provided by the Asian, African or American local stock exchange.</w:t>
      </w:r>
    </w:p>
    <w:p w14:paraId="02C42AD2" w14:textId="77777777" w:rsidR="006553A1" w:rsidRDefault="006553A1" w:rsidP="00BB7B57">
      <w:pPr>
        <w:pStyle w:val="Default"/>
        <w:jc w:val="both"/>
        <w:rPr>
          <w:rFonts w:ascii="Arial" w:hAnsi="Arial" w:cs="Arial"/>
          <w:bCs/>
          <w:sz w:val="20"/>
          <w:szCs w:val="20"/>
          <w:lang w:val="en-US"/>
        </w:rPr>
      </w:pPr>
      <w:bookmarkStart w:id="3" w:name="_GoBack"/>
      <w:bookmarkEnd w:id="3"/>
    </w:p>
    <w:p w14:paraId="55711859" w14:textId="72CCDA36" w:rsidR="00F907DC" w:rsidRPr="001F38BE" w:rsidRDefault="00F907DC" w:rsidP="00F907DC">
      <w:pPr>
        <w:pStyle w:val="Default"/>
        <w:jc w:val="both"/>
        <w:rPr>
          <w:rFonts w:asciiTheme="minorHAnsi" w:eastAsiaTheme="minorHAnsi" w:hAnsiTheme="minorHAnsi" w:cs="Arial"/>
          <w:b/>
          <w:i/>
          <w:sz w:val="22"/>
          <w:szCs w:val="22"/>
          <w:u w:val="single"/>
          <w:lang w:val="en-US" w:eastAsia="en-US"/>
        </w:rPr>
      </w:pPr>
      <w:r>
        <w:rPr>
          <w:rFonts w:ascii="Arial" w:hAnsi="Arial" w:cs="Arial"/>
          <w:bCs/>
          <w:sz w:val="20"/>
          <w:szCs w:val="20"/>
          <w:lang w:val="en-US"/>
        </w:rPr>
        <w:t>We propose the following wording: w</w:t>
      </w:r>
      <w:r w:rsidRPr="00F907DC">
        <w:rPr>
          <w:rFonts w:asciiTheme="minorHAnsi" w:eastAsiaTheme="minorHAnsi" w:hAnsiTheme="minorHAnsi" w:cs="Arial"/>
          <w:i/>
          <w:sz w:val="22"/>
          <w:szCs w:val="22"/>
          <w:u w:val="single"/>
          <w:lang w:val="en-US" w:eastAsia="en-US"/>
        </w:rPr>
        <w:t>hether a benchmark administrator decides not to apply for authorization/registration leaving the financial contract, financial instrument or investment fund with alternatives not as appropriate as the one previously used.</w:t>
      </w:r>
    </w:p>
    <w:p w14:paraId="50A47895" w14:textId="77777777" w:rsidR="00F907DC" w:rsidRDefault="00F907DC" w:rsidP="00BB7B57">
      <w:pPr>
        <w:pStyle w:val="Default"/>
        <w:jc w:val="both"/>
        <w:rPr>
          <w:rFonts w:ascii="Arial" w:hAnsi="Arial" w:cs="Arial"/>
          <w:bCs/>
          <w:sz w:val="20"/>
          <w:szCs w:val="20"/>
          <w:lang w:val="en-US"/>
        </w:rPr>
      </w:pPr>
    </w:p>
    <w:p w14:paraId="50B2D3D4" w14:textId="77777777" w:rsidR="00F907DC" w:rsidRDefault="00F907DC" w:rsidP="00BB7B57">
      <w:pPr>
        <w:pStyle w:val="Default"/>
        <w:jc w:val="both"/>
        <w:rPr>
          <w:rFonts w:ascii="Arial" w:hAnsi="Arial" w:cs="Arial"/>
          <w:bCs/>
          <w:sz w:val="20"/>
          <w:szCs w:val="20"/>
          <w:lang w:val="en-US"/>
        </w:rPr>
      </w:pPr>
    </w:p>
    <w:p w14:paraId="3AAB6F57" w14:textId="77777777" w:rsidR="006553A1" w:rsidRPr="00BB7B57" w:rsidRDefault="006553A1" w:rsidP="00BB7B57">
      <w:pPr>
        <w:pStyle w:val="Default"/>
        <w:jc w:val="both"/>
        <w:rPr>
          <w:rFonts w:ascii="Arial" w:hAnsi="Arial" w:cs="Arial"/>
          <w:sz w:val="20"/>
          <w:szCs w:val="20"/>
        </w:rPr>
      </w:pPr>
    </w:p>
    <w:permEnd w:id="162347144"/>
    <w:p w14:paraId="469911EC" w14:textId="77777777" w:rsidR="009A2624" w:rsidRDefault="00665C07" w:rsidP="009A2624">
      <w:r>
        <w:t>&lt;ESMA_QUESTION_C</w:t>
      </w:r>
      <w:r w:rsidR="009A2624">
        <w:t>P_BMR_11&gt;</w:t>
      </w:r>
    </w:p>
    <w:p w14:paraId="79516A7D" w14:textId="77777777" w:rsidR="00BE3CE5" w:rsidRDefault="00BE3CE5" w:rsidP="009A2624"/>
    <w:sectPr w:rsidR="00BE3CE5"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EE8D4" w14:textId="77777777" w:rsidR="00116534" w:rsidRDefault="00116534">
      <w:r>
        <w:separator/>
      </w:r>
    </w:p>
    <w:p w14:paraId="6246C19D" w14:textId="77777777" w:rsidR="00116534" w:rsidRDefault="00116534"/>
  </w:endnote>
  <w:endnote w:type="continuationSeparator" w:id="0">
    <w:p w14:paraId="45A0EA2A" w14:textId="77777777" w:rsidR="00116534" w:rsidRDefault="00116534">
      <w:r>
        <w:continuationSeparator/>
      </w:r>
    </w:p>
    <w:p w14:paraId="4944211A" w14:textId="77777777" w:rsidR="00116534" w:rsidRDefault="00116534"/>
  </w:endnote>
  <w:endnote w:type="continuationNotice" w:id="1">
    <w:p w14:paraId="5FDA9D40" w14:textId="77777777" w:rsidR="00116534" w:rsidRDefault="00116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048DA353" w14:textId="77777777" w:rsidTr="00315E96">
      <w:trPr>
        <w:trHeight w:val="284"/>
      </w:trPr>
      <w:tc>
        <w:tcPr>
          <w:tcW w:w="8460" w:type="dxa"/>
        </w:tcPr>
        <w:p w14:paraId="78C01D54" w14:textId="77777777" w:rsidR="00811EDA" w:rsidRPr="00315E96" w:rsidRDefault="00811EDA" w:rsidP="00315E96">
          <w:pPr>
            <w:pStyle w:val="00Footer"/>
            <w:rPr>
              <w:lang w:val="fr-FR"/>
            </w:rPr>
          </w:pPr>
        </w:p>
      </w:tc>
      <w:tc>
        <w:tcPr>
          <w:tcW w:w="952" w:type="dxa"/>
        </w:tcPr>
        <w:p w14:paraId="7D320F9B"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47514">
            <w:rPr>
              <w:rFonts w:cs="Arial"/>
              <w:noProof/>
              <w:sz w:val="22"/>
              <w:szCs w:val="22"/>
            </w:rPr>
            <w:t>7</w:t>
          </w:r>
          <w:r w:rsidRPr="00616B9B">
            <w:rPr>
              <w:rFonts w:cs="Arial"/>
              <w:noProof/>
              <w:sz w:val="22"/>
              <w:szCs w:val="22"/>
            </w:rPr>
            <w:fldChar w:fldCharType="end"/>
          </w:r>
        </w:p>
      </w:tc>
    </w:tr>
  </w:tbl>
  <w:p w14:paraId="48BF5DED" w14:textId="77777777" w:rsidR="00811EDA" w:rsidRDefault="00811ED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8243" w14:textId="77777777" w:rsidR="00811EDA" w:rsidRDefault="00811ED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F42DC" w14:textId="77777777" w:rsidR="00116534" w:rsidRDefault="00116534">
      <w:r>
        <w:separator/>
      </w:r>
    </w:p>
    <w:p w14:paraId="1E64B8BB" w14:textId="77777777" w:rsidR="00116534" w:rsidRDefault="00116534"/>
  </w:footnote>
  <w:footnote w:type="continuationSeparator" w:id="0">
    <w:p w14:paraId="09076FC1" w14:textId="77777777" w:rsidR="00116534" w:rsidRDefault="00116534">
      <w:r>
        <w:continuationSeparator/>
      </w:r>
    </w:p>
    <w:p w14:paraId="7D56FAE7" w14:textId="77777777" w:rsidR="00116534" w:rsidRDefault="00116534"/>
  </w:footnote>
  <w:footnote w:type="continuationNotice" w:id="1">
    <w:p w14:paraId="32636A5F" w14:textId="77777777" w:rsidR="00116534" w:rsidRDefault="001165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FFB97" w14:textId="77777777" w:rsidR="00811EDA" w:rsidRDefault="00DE66EB">
    <w:pPr>
      <w:pStyle w:val="Intestazione"/>
    </w:pPr>
    <w:r>
      <w:rPr>
        <w:noProof/>
        <w:lang w:val="it-IT" w:eastAsia="it-IT"/>
      </w:rPr>
      <w:drawing>
        <wp:anchor distT="0" distB="0" distL="114300" distR="114300" simplePos="0" relativeHeight="251658240" behindDoc="0" locked="0" layoutInCell="1" allowOverlap="1" wp14:anchorId="60908228" wp14:editId="22DE142C">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14:anchorId="3CB89515" wp14:editId="103C09D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3281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4C578" w14:textId="77777777" w:rsidR="00811EDA" w:rsidRDefault="00DE66EB" w:rsidP="00013CCE">
    <w:pPr>
      <w:pStyle w:val="Intestazione"/>
      <w:jc w:val="right"/>
    </w:pPr>
    <w:r>
      <w:rPr>
        <w:noProof/>
        <w:lang w:val="it-IT" w:eastAsia="it-IT"/>
      </w:rPr>
      <w:drawing>
        <wp:anchor distT="0" distB="0" distL="114300" distR="114300" simplePos="0" relativeHeight="251657216" behindDoc="0" locked="0" layoutInCell="1" allowOverlap="1" wp14:anchorId="6A525452" wp14:editId="7379B81C">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14:anchorId="1F9900B6" wp14:editId="4BBD076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BF752"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22D2350F" w14:textId="77777777" w:rsidTr="000C06C9">
      <w:trPr>
        <w:trHeight w:val="284"/>
      </w:trPr>
      <w:tc>
        <w:tcPr>
          <w:tcW w:w="8460" w:type="dxa"/>
        </w:tcPr>
        <w:p w14:paraId="3AEE72DC" w14:textId="77777777" w:rsidR="00811EDA" w:rsidRPr="000C3B6D" w:rsidRDefault="00811EDA" w:rsidP="000C06C9">
          <w:pPr>
            <w:pStyle w:val="00Footer"/>
            <w:rPr>
              <w:lang w:val="fr-FR"/>
            </w:rPr>
          </w:pPr>
        </w:p>
      </w:tc>
      <w:tc>
        <w:tcPr>
          <w:tcW w:w="952" w:type="dxa"/>
        </w:tcPr>
        <w:p w14:paraId="68B92BCD" w14:textId="77777777" w:rsidR="00811EDA" w:rsidRPr="00146B34" w:rsidRDefault="00811EDA" w:rsidP="000C06C9">
          <w:pPr>
            <w:pStyle w:val="00aPagenumber"/>
            <w:rPr>
              <w:lang w:val="fr-FR"/>
            </w:rPr>
          </w:pPr>
        </w:p>
      </w:tc>
    </w:tr>
  </w:tbl>
  <w:p w14:paraId="754A5544" w14:textId="77777777" w:rsidR="00811EDA" w:rsidRPr="00DB46C3" w:rsidRDefault="00811EDA">
    <w:pPr>
      <w:rPr>
        <w:lang w:val="fr-FR"/>
      </w:rPr>
    </w:pPr>
  </w:p>
  <w:p w14:paraId="3FB60338" w14:textId="77777777" w:rsidR="00811EDA" w:rsidRPr="002F4496" w:rsidRDefault="00811EDA">
    <w:pPr>
      <w:pStyle w:val="Intestazione"/>
      <w:rPr>
        <w:lang w:val="fr-FR"/>
      </w:rPr>
    </w:pPr>
  </w:p>
  <w:p w14:paraId="44A65C60" w14:textId="77777777" w:rsidR="00811EDA" w:rsidRPr="002F4496" w:rsidRDefault="00811EDA" w:rsidP="000C06C9">
    <w:pPr>
      <w:pStyle w:val="Intestazione"/>
      <w:tabs>
        <w:tab w:val="clear" w:pos="4536"/>
        <w:tab w:val="clear" w:pos="9072"/>
        <w:tab w:val="left" w:pos="8227"/>
      </w:tabs>
      <w:rPr>
        <w:lang w:val="fr-FR"/>
      </w:rPr>
    </w:pPr>
  </w:p>
  <w:p w14:paraId="3D32B155" w14:textId="77777777" w:rsidR="00811EDA" w:rsidRPr="002F4496" w:rsidRDefault="00811EDA" w:rsidP="000C06C9">
    <w:pPr>
      <w:pStyle w:val="Intestazione"/>
      <w:tabs>
        <w:tab w:val="clear" w:pos="4536"/>
        <w:tab w:val="clear" w:pos="9072"/>
        <w:tab w:val="left" w:pos="8227"/>
      </w:tabs>
      <w:rPr>
        <w:lang w:val="fr-FR"/>
      </w:rPr>
    </w:pPr>
  </w:p>
  <w:p w14:paraId="5CC9D747" w14:textId="77777777" w:rsidR="00811EDA" w:rsidRPr="002F4496" w:rsidRDefault="00811EDA">
    <w:pPr>
      <w:pStyle w:val="Intestazione"/>
      <w:rPr>
        <w:lang w:val="fr-FR"/>
      </w:rPr>
    </w:pPr>
  </w:p>
  <w:p w14:paraId="4654B0FC" w14:textId="77777777" w:rsidR="00811EDA" w:rsidRPr="002F4496" w:rsidRDefault="00811EDA">
    <w:pPr>
      <w:pStyle w:val="Intestazione"/>
      <w:rPr>
        <w:lang w:val="fr-FR"/>
      </w:rPr>
    </w:pPr>
  </w:p>
  <w:p w14:paraId="3A16867E" w14:textId="77777777" w:rsidR="00811EDA" w:rsidRPr="002F4496" w:rsidRDefault="00811EDA">
    <w:pPr>
      <w:pStyle w:val="Intestazione"/>
      <w:rPr>
        <w:lang w:val="fr-FR"/>
      </w:rPr>
    </w:pPr>
  </w:p>
  <w:p w14:paraId="0D326C8A" w14:textId="77777777" w:rsidR="00811EDA" w:rsidRPr="002F4496" w:rsidRDefault="00811EDA">
    <w:pPr>
      <w:pStyle w:val="Intestazione"/>
      <w:rPr>
        <w:lang w:val="fr-FR"/>
      </w:rPr>
    </w:pPr>
  </w:p>
  <w:p w14:paraId="627A98A9" w14:textId="77777777" w:rsidR="00811EDA" w:rsidRPr="002F4496" w:rsidRDefault="00811EDA">
    <w:pPr>
      <w:pStyle w:val="Intestazione"/>
      <w:rPr>
        <w:highlight w:val="yellow"/>
        <w:lang w:val="fr-FR"/>
      </w:rPr>
    </w:pPr>
  </w:p>
  <w:p w14:paraId="143F83E2" w14:textId="77777777" w:rsidR="00811EDA" w:rsidRDefault="00DE66EB">
    <w:pPr>
      <w:pStyle w:val="Intestazione"/>
    </w:pPr>
    <w:r>
      <w:rPr>
        <w:noProof/>
        <w:lang w:val="it-IT" w:eastAsia="it-IT"/>
      </w:rPr>
      <mc:AlternateContent>
        <mc:Choice Requires="wps">
          <w:drawing>
            <wp:anchor distT="0" distB="0" distL="114299" distR="114299" simplePos="0" relativeHeight="251660288" behindDoc="0" locked="0" layoutInCell="1" allowOverlap="1" wp14:anchorId="2DD0F619" wp14:editId="447DD91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2F5D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14:anchorId="2AFE80E1" wp14:editId="00A307B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15:restartNumberingAfterBreak="0">
    <w:nsid w:val="7FDA292E"/>
    <w:multiLevelType w:val="hybridMultilevel"/>
    <w:tmpl w:val="4B34828E"/>
    <w:lvl w:ilvl="0" w:tplc="12443FC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 w:numId="40">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nU0jKE/0FUl/mFLwVxG4YN4db+ZeKzs2H2iJsoDrWTrHyzzwAzXk1k7rfqlSDub/1fNztjY16PGvNsFIjDTpw==" w:salt="Zg2lf8qdCA+0wSGWROtIeQ=="/>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AC6"/>
    <w:rsid w:val="00046CC9"/>
    <w:rsid w:val="00046E91"/>
    <w:rsid w:val="000502FE"/>
    <w:rsid w:val="0005126D"/>
    <w:rsid w:val="000518EE"/>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32FC"/>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1B9D"/>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2B2C"/>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1A0B"/>
    <w:rsid w:val="000F55B7"/>
    <w:rsid w:val="000F604F"/>
    <w:rsid w:val="000F7399"/>
    <w:rsid w:val="001027F1"/>
    <w:rsid w:val="00104F2E"/>
    <w:rsid w:val="001072DD"/>
    <w:rsid w:val="00110D7A"/>
    <w:rsid w:val="00111464"/>
    <w:rsid w:val="0011167D"/>
    <w:rsid w:val="00111903"/>
    <w:rsid w:val="00112892"/>
    <w:rsid w:val="00112E48"/>
    <w:rsid w:val="001130EA"/>
    <w:rsid w:val="00114259"/>
    <w:rsid w:val="001160A7"/>
    <w:rsid w:val="00116534"/>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5E7F"/>
    <w:rsid w:val="00166B04"/>
    <w:rsid w:val="001670A6"/>
    <w:rsid w:val="001701FA"/>
    <w:rsid w:val="00171183"/>
    <w:rsid w:val="001725A5"/>
    <w:rsid w:val="00172681"/>
    <w:rsid w:val="00173AC7"/>
    <w:rsid w:val="001745D7"/>
    <w:rsid w:val="00175754"/>
    <w:rsid w:val="00176639"/>
    <w:rsid w:val="00176982"/>
    <w:rsid w:val="0017701C"/>
    <w:rsid w:val="00180AF3"/>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5799"/>
    <w:rsid w:val="001960D8"/>
    <w:rsid w:val="001A1642"/>
    <w:rsid w:val="001A2D25"/>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08BA"/>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3CE9"/>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2D2"/>
    <w:rsid w:val="002C2EFE"/>
    <w:rsid w:val="002C53AA"/>
    <w:rsid w:val="002C5B2D"/>
    <w:rsid w:val="002C6AF9"/>
    <w:rsid w:val="002C7DFC"/>
    <w:rsid w:val="002D14F3"/>
    <w:rsid w:val="002D16E4"/>
    <w:rsid w:val="002D2FEF"/>
    <w:rsid w:val="002D36C2"/>
    <w:rsid w:val="002D3FCB"/>
    <w:rsid w:val="002D4FEF"/>
    <w:rsid w:val="002D502D"/>
    <w:rsid w:val="002D55BA"/>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3140"/>
    <w:rsid w:val="00304A71"/>
    <w:rsid w:val="003066C8"/>
    <w:rsid w:val="0030739D"/>
    <w:rsid w:val="00307AFB"/>
    <w:rsid w:val="00311184"/>
    <w:rsid w:val="00312675"/>
    <w:rsid w:val="00314013"/>
    <w:rsid w:val="00314945"/>
    <w:rsid w:val="00315389"/>
    <w:rsid w:val="00315746"/>
    <w:rsid w:val="00315E96"/>
    <w:rsid w:val="00317FC8"/>
    <w:rsid w:val="003223D7"/>
    <w:rsid w:val="003232F0"/>
    <w:rsid w:val="00323D9F"/>
    <w:rsid w:val="00324FDB"/>
    <w:rsid w:val="00325F48"/>
    <w:rsid w:val="003273FE"/>
    <w:rsid w:val="0033194F"/>
    <w:rsid w:val="00332304"/>
    <w:rsid w:val="00332406"/>
    <w:rsid w:val="00332D8D"/>
    <w:rsid w:val="00336B56"/>
    <w:rsid w:val="0034075B"/>
    <w:rsid w:val="00341B25"/>
    <w:rsid w:val="00341EC0"/>
    <w:rsid w:val="0034240C"/>
    <w:rsid w:val="00344496"/>
    <w:rsid w:val="00345968"/>
    <w:rsid w:val="00347667"/>
    <w:rsid w:val="003507E2"/>
    <w:rsid w:val="0035212A"/>
    <w:rsid w:val="003522B2"/>
    <w:rsid w:val="0035455E"/>
    <w:rsid w:val="00354A6F"/>
    <w:rsid w:val="00354B48"/>
    <w:rsid w:val="00354CB1"/>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0C1D"/>
    <w:rsid w:val="003A36D5"/>
    <w:rsid w:val="003A5DAC"/>
    <w:rsid w:val="003A6591"/>
    <w:rsid w:val="003A6E9A"/>
    <w:rsid w:val="003B08C8"/>
    <w:rsid w:val="003B2567"/>
    <w:rsid w:val="003B381A"/>
    <w:rsid w:val="003B4976"/>
    <w:rsid w:val="003B4B3F"/>
    <w:rsid w:val="003B6258"/>
    <w:rsid w:val="003B7A99"/>
    <w:rsid w:val="003C0343"/>
    <w:rsid w:val="003C1C32"/>
    <w:rsid w:val="003C3E40"/>
    <w:rsid w:val="003C40DA"/>
    <w:rsid w:val="003C42BA"/>
    <w:rsid w:val="003C462F"/>
    <w:rsid w:val="003C4A02"/>
    <w:rsid w:val="003C4F05"/>
    <w:rsid w:val="003C6191"/>
    <w:rsid w:val="003C6E49"/>
    <w:rsid w:val="003D0467"/>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4403"/>
    <w:rsid w:val="00466926"/>
    <w:rsid w:val="00466FDA"/>
    <w:rsid w:val="004671D0"/>
    <w:rsid w:val="004674D1"/>
    <w:rsid w:val="00470773"/>
    <w:rsid w:val="00471FF9"/>
    <w:rsid w:val="00473E74"/>
    <w:rsid w:val="00473FEF"/>
    <w:rsid w:val="00474212"/>
    <w:rsid w:val="00475B8E"/>
    <w:rsid w:val="00480751"/>
    <w:rsid w:val="0048104E"/>
    <w:rsid w:val="004814BB"/>
    <w:rsid w:val="004815DA"/>
    <w:rsid w:val="00482458"/>
    <w:rsid w:val="00482B9A"/>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6F7"/>
    <w:rsid w:val="00497750"/>
    <w:rsid w:val="00497B44"/>
    <w:rsid w:val="00497D28"/>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3E82"/>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585C"/>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22AD"/>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5F6B"/>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A1F"/>
    <w:rsid w:val="005C3C6C"/>
    <w:rsid w:val="005C3F4C"/>
    <w:rsid w:val="005C43AA"/>
    <w:rsid w:val="005C48C8"/>
    <w:rsid w:val="005C663C"/>
    <w:rsid w:val="005C7F55"/>
    <w:rsid w:val="005D1023"/>
    <w:rsid w:val="005D106F"/>
    <w:rsid w:val="005D148F"/>
    <w:rsid w:val="005D2AD2"/>
    <w:rsid w:val="005D4358"/>
    <w:rsid w:val="005D4A86"/>
    <w:rsid w:val="005D5EB1"/>
    <w:rsid w:val="005D6A29"/>
    <w:rsid w:val="005E0481"/>
    <w:rsid w:val="005E10BF"/>
    <w:rsid w:val="005E1834"/>
    <w:rsid w:val="005E2B1D"/>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37C4"/>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2E4"/>
    <w:rsid w:val="006524D5"/>
    <w:rsid w:val="00652BBD"/>
    <w:rsid w:val="00653633"/>
    <w:rsid w:val="00653F69"/>
    <w:rsid w:val="00654936"/>
    <w:rsid w:val="006553A1"/>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1BFE"/>
    <w:rsid w:val="00694B73"/>
    <w:rsid w:val="00694DF2"/>
    <w:rsid w:val="00695F80"/>
    <w:rsid w:val="006966CD"/>
    <w:rsid w:val="00696735"/>
    <w:rsid w:val="0069780E"/>
    <w:rsid w:val="00697D13"/>
    <w:rsid w:val="006A2CA2"/>
    <w:rsid w:val="006B1475"/>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37A0"/>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20"/>
    <w:rsid w:val="00766F4D"/>
    <w:rsid w:val="00770268"/>
    <w:rsid w:val="007706B9"/>
    <w:rsid w:val="007707ED"/>
    <w:rsid w:val="00771C3B"/>
    <w:rsid w:val="007720D8"/>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659"/>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69EE"/>
    <w:rsid w:val="00820623"/>
    <w:rsid w:val="00821747"/>
    <w:rsid w:val="00821C90"/>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1726"/>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126"/>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0AEB"/>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1E08"/>
    <w:rsid w:val="009923E7"/>
    <w:rsid w:val="00992697"/>
    <w:rsid w:val="00992D4E"/>
    <w:rsid w:val="00994621"/>
    <w:rsid w:val="009947FF"/>
    <w:rsid w:val="0099544B"/>
    <w:rsid w:val="009A053D"/>
    <w:rsid w:val="009A07A6"/>
    <w:rsid w:val="009A0D56"/>
    <w:rsid w:val="009A139F"/>
    <w:rsid w:val="009A2624"/>
    <w:rsid w:val="009A279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301"/>
    <w:rsid w:val="009E3594"/>
    <w:rsid w:val="009E6B77"/>
    <w:rsid w:val="009E7724"/>
    <w:rsid w:val="009E7D1F"/>
    <w:rsid w:val="009F1D82"/>
    <w:rsid w:val="009F37AA"/>
    <w:rsid w:val="009F4EF1"/>
    <w:rsid w:val="009F4FB2"/>
    <w:rsid w:val="009F544C"/>
    <w:rsid w:val="009F5731"/>
    <w:rsid w:val="009F6321"/>
    <w:rsid w:val="009F6378"/>
    <w:rsid w:val="009F7669"/>
    <w:rsid w:val="009F7F45"/>
    <w:rsid w:val="009F7FD5"/>
    <w:rsid w:val="00A005D4"/>
    <w:rsid w:val="00A0083C"/>
    <w:rsid w:val="00A01A90"/>
    <w:rsid w:val="00A02370"/>
    <w:rsid w:val="00A04685"/>
    <w:rsid w:val="00A046EF"/>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377AB"/>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3B9F"/>
    <w:rsid w:val="00A958CA"/>
    <w:rsid w:val="00A96324"/>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89A"/>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26E7"/>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5999"/>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5C"/>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671D9"/>
    <w:rsid w:val="00B71AEA"/>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2924"/>
    <w:rsid w:val="00BA31AA"/>
    <w:rsid w:val="00BA45D8"/>
    <w:rsid w:val="00BA51D0"/>
    <w:rsid w:val="00BA5828"/>
    <w:rsid w:val="00BA64B3"/>
    <w:rsid w:val="00BA754A"/>
    <w:rsid w:val="00BA7820"/>
    <w:rsid w:val="00BA794C"/>
    <w:rsid w:val="00BB09FB"/>
    <w:rsid w:val="00BB238D"/>
    <w:rsid w:val="00BB37CC"/>
    <w:rsid w:val="00BB48C4"/>
    <w:rsid w:val="00BB6907"/>
    <w:rsid w:val="00BB7A20"/>
    <w:rsid w:val="00BB7B57"/>
    <w:rsid w:val="00BC15B1"/>
    <w:rsid w:val="00BC3C06"/>
    <w:rsid w:val="00BC4C42"/>
    <w:rsid w:val="00BC4E8B"/>
    <w:rsid w:val="00BC5622"/>
    <w:rsid w:val="00BC6060"/>
    <w:rsid w:val="00BC7897"/>
    <w:rsid w:val="00BD0F35"/>
    <w:rsid w:val="00BD45A4"/>
    <w:rsid w:val="00BD4A5F"/>
    <w:rsid w:val="00BD59AA"/>
    <w:rsid w:val="00BD65E6"/>
    <w:rsid w:val="00BD6AF7"/>
    <w:rsid w:val="00BE19EF"/>
    <w:rsid w:val="00BE3CE5"/>
    <w:rsid w:val="00BE425B"/>
    <w:rsid w:val="00BE51BB"/>
    <w:rsid w:val="00BE756B"/>
    <w:rsid w:val="00BE7595"/>
    <w:rsid w:val="00BE77D3"/>
    <w:rsid w:val="00BF0138"/>
    <w:rsid w:val="00BF114B"/>
    <w:rsid w:val="00BF1620"/>
    <w:rsid w:val="00BF1AC3"/>
    <w:rsid w:val="00BF28DA"/>
    <w:rsid w:val="00BF314B"/>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08B"/>
    <w:rsid w:val="00C1330F"/>
    <w:rsid w:val="00C13ED7"/>
    <w:rsid w:val="00C14615"/>
    <w:rsid w:val="00C14F48"/>
    <w:rsid w:val="00C15296"/>
    <w:rsid w:val="00C154BB"/>
    <w:rsid w:val="00C17750"/>
    <w:rsid w:val="00C2094B"/>
    <w:rsid w:val="00C20DC5"/>
    <w:rsid w:val="00C22819"/>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37B3E"/>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697D"/>
    <w:rsid w:val="00C570B3"/>
    <w:rsid w:val="00C6009F"/>
    <w:rsid w:val="00C60417"/>
    <w:rsid w:val="00C6046F"/>
    <w:rsid w:val="00C638C2"/>
    <w:rsid w:val="00C651D4"/>
    <w:rsid w:val="00C6669E"/>
    <w:rsid w:val="00C672B0"/>
    <w:rsid w:val="00C729C7"/>
    <w:rsid w:val="00C73E35"/>
    <w:rsid w:val="00C777AD"/>
    <w:rsid w:val="00C80C53"/>
    <w:rsid w:val="00C81195"/>
    <w:rsid w:val="00C85387"/>
    <w:rsid w:val="00C85E52"/>
    <w:rsid w:val="00C86471"/>
    <w:rsid w:val="00C8677B"/>
    <w:rsid w:val="00C86F96"/>
    <w:rsid w:val="00C909C6"/>
    <w:rsid w:val="00C923B7"/>
    <w:rsid w:val="00C92488"/>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3D9"/>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73AC"/>
    <w:rsid w:val="00D305F6"/>
    <w:rsid w:val="00D30B25"/>
    <w:rsid w:val="00D3175A"/>
    <w:rsid w:val="00D31A00"/>
    <w:rsid w:val="00D323E4"/>
    <w:rsid w:val="00D32871"/>
    <w:rsid w:val="00D33881"/>
    <w:rsid w:val="00D34282"/>
    <w:rsid w:val="00D366B1"/>
    <w:rsid w:val="00D36B62"/>
    <w:rsid w:val="00D37AE0"/>
    <w:rsid w:val="00D416A8"/>
    <w:rsid w:val="00D4217D"/>
    <w:rsid w:val="00D4257C"/>
    <w:rsid w:val="00D425AC"/>
    <w:rsid w:val="00D42823"/>
    <w:rsid w:val="00D42D5E"/>
    <w:rsid w:val="00D43F14"/>
    <w:rsid w:val="00D4440C"/>
    <w:rsid w:val="00D44C18"/>
    <w:rsid w:val="00D4556D"/>
    <w:rsid w:val="00D47514"/>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9B0"/>
    <w:rsid w:val="00D76D88"/>
    <w:rsid w:val="00D77CC9"/>
    <w:rsid w:val="00D83D4B"/>
    <w:rsid w:val="00D85C0C"/>
    <w:rsid w:val="00D871C6"/>
    <w:rsid w:val="00D875F8"/>
    <w:rsid w:val="00D91010"/>
    <w:rsid w:val="00DA0176"/>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10D"/>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F92"/>
    <w:rsid w:val="00EF40E2"/>
    <w:rsid w:val="00EF57E1"/>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7DC"/>
    <w:rsid w:val="00F90EF4"/>
    <w:rsid w:val="00F917BF"/>
    <w:rsid w:val="00F920B4"/>
    <w:rsid w:val="00F9260D"/>
    <w:rsid w:val="00F92727"/>
    <w:rsid w:val="00F93CCF"/>
    <w:rsid w:val="00F94307"/>
    <w:rsid w:val="00F9580B"/>
    <w:rsid w:val="00F95F15"/>
    <w:rsid w:val="00F975CA"/>
    <w:rsid w:val="00FA0B60"/>
    <w:rsid w:val="00FA2416"/>
    <w:rsid w:val="00FA2528"/>
    <w:rsid w:val="00FA5535"/>
    <w:rsid w:val="00FA7206"/>
    <w:rsid w:val="00FA7EFB"/>
    <w:rsid w:val="00FB0816"/>
    <w:rsid w:val="00FB08C2"/>
    <w:rsid w:val="00FB3DD1"/>
    <w:rsid w:val="00FB51FD"/>
    <w:rsid w:val="00FB5667"/>
    <w:rsid w:val="00FB7A97"/>
    <w:rsid w:val="00FC1B9B"/>
    <w:rsid w:val="00FC1BDF"/>
    <w:rsid w:val="00FC318D"/>
    <w:rsid w:val="00FC36CF"/>
    <w:rsid w:val="00FC40BC"/>
    <w:rsid w:val="00FC41FC"/>
    <w:rsid w:val="00FC4F6E"/>
    <w:rsid w:val="00FC506C"/>
    <w:rsid w:val="00FC578C"/>
    <w:rsid w:val="00FC5A37"/>
    <w:rsid w:val="00FC6FA2"/>
    <w:rsid w:val="00FD05F1"/>
    <w:rsid w:val="00FD13EA"/>
    <w:rsid w:val="00FD5EC4"/>
    <w:rsid w:val="00FD7858"/>
    <w:rsid w:val="00FD7A8D"/>
    <w:rsid w:val="00FE1330"/>
    <w:rsid w:val="00FE1CE5"/>
    <w:rsid w:val="00FE2832"/>
    <w:rsid w:val="00FE2D38"/>
    <w:rsid w:val="00FE3929"/>
    <w:rsid w:val="00FF097B"/>
    <w:rsid w:val="00FF0B6E"/>
    <w:rsid w:val="00FF1C1B"/>
    <w:rsid w:val="00FF2067"/>
    <w:rsid w:val="00FF2663"/>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2d4491,#283583"/>
    </o:shapedefaults>
    <o:shapelayout v:ext="edit">
      <o:idmap v:ext="edit" data="1"/>
    </o:shapelayout>
  </w:shapeDefaults>
  <w:decimalSymbol w:val=","/>
  <w:listSeparator w:val=";"/>
  <w14:docId w14:val="5EF50482"/>
  <w15:docId w15:val="{AD3BFA34-F4A9-42C0-A43D-5E44A6C1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C6FF2-C5DF-41AA-8433-D04EFD8D06AA}">
  <ds:schemaRefs>
    <ds:schemaRef ds:uri="http://schemas.openxmlformats.org/officeDocument/2006/bibliography"/>
  </ds:schemaRefs>
</ds:datastoreItem>
</file>

<file path=customXml/itemProps2.xml><?xml version="1.0" encoding="utf-8"?>
<ds:datastoreItem xmlns:ds="http://schemas.openxmlformats.org/officeDocument/2006/customXml" ds:itemID="{41F2ACDB-0409-4A79-A3D7-F992DE89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1790</Words>
  <Characters>10207</Characters>
  <Application>Microsoft Office Word</Application>
  <DocSecurity>8</DocSecurity>
  <Lines>85</Lines>
  <Paragraphs>23</Paragraphs>
  <ScaleCrop>false</ScaleCrop>
  <HeadingPairs>
    <vt:vector size="12" baseType="variant">
      <vt:variant>
        <vt:lpstr>Titolo</vt:lpstr>
      </vt:variant>
      <vt:variant>
        <vt:i4>1</vt:i4>
      </vt:variant>
      <vt:variant>
        <vt:lpstr>Title</vt:lpstr>
      </vt:variant>
      <vt:variant>
        <vt:i4>1</vt:i4>
      </vt:variant>
      <vt:variant>
        <vt:lpstr>Название</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Reply form for the ESEF CP</vt:lpstr>
      <vt:lpstr>20110000</vt:lpstr>
      <vt:lpstr>20110000</vt:lpstr>
      <vt:lpstr>20110000</vt:lpstr>
    </vt:vector>
  </TitlesOfParts>
  <Company>ESMA</Company>
  <LinksUpToDate>false</LinksUpToDate>
  <CharactersWithSpaces>11974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Deborah Anzaldi</cp:lastModifiedBy>
  <cp:revision>3</cp:revision>
  <cp:lastPrinted>2015-02-18T11:01:00Z</cp:lastPrinted>
  <dcterms:created xsi:type="dcterms:W3CDTF">2016-06-30T16:17:00Z</dcterms:created>
  <dcterms:modified xsi:type="dcterms:W3CDTF">2016-06-30T16:24:00Z</dcterms:modified>
</cp:coreProperties>
</file>