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D139B8" w:rsidRDefault="00D139B8" w:rsidP="00D139B8">
      <w:permStart w:id="1968532806" w:edGrp="everyone"/>
      <w:r>
        <w:t xml:space="preserve">The Investment Association represents the UK asset management industry. Our members manage over £5 trillion in the UK of assets on behalf of UK, European and international clients, both retail and institutional. Collectively, our members make up the second-largest asset management industry in the world. </w:t>
      </w:r>
    </w:p>
    <w:p w:rsidR="00D139B8" w:rsidRDefault="00D139B8" w:rsidP="00D139B8"/>
    <w:p w:rsidR="00D139B8" w:rsidRDefault="00D139B8" w:rsidP="00D139B8">
      <w:r>
        <w:t>We welcome the opportunity to respond to the discussion paper and provide feedback on ESMA's current thinking on the trade reporting obligation under SFTR.</w:t>
      </w:r>
    </w:p>
    <w:p w:rsidR="00D139B8" w:rsidRDefault="00D139B8" w:rsidP="00D139B8"/>
    <w:p w:rsidR="00D139B8" w:rsidRDefault="00D139B8" w:rsidP="00D139B8">
      <w:r>
        <w:t xml:space="preserve">Note that given the number of questions asked in the paper, </w:t>
      </w:r>
      <w:r w:rsidR="00014839">
        <w:t>our responses focus on</w:t>
      </w:r>
      <w:r>
        <w:t xml:space="preserve"> those </w:t>
      </w:r>
      <w:r w:rsidR="00014839">
        <w:t xml:space="preserve">where </w:t>
      </w:r>
      <w:r>
        <w:t>we have a specific view to communicate.</w:t>
      </w:r>
    </w:p>
    <w:p w:rsidR="00D139B8" w:rsidRDefault="00D139B8" w:rsidP="00D139B8"/>
    <w:p w:rsidR="00D139B8" w:rsidRDefault="00D139B8" w:rsidP="00D34282">
      <w:r>
        <w:t xml:space="preserve">If you have any questions concerning our responses below or require any further information, please do not hesitate to contact me at </w:t>
      </w:r>
      <w:hyperlink r:id="rId14" w:history="1">
        <w:r w:rsidRPr="002A5C1E">
          <w:rPr>
            <w:rStyle w:val="Hyperlink"/>
          </w:rPr>
          <w:t>david.broadway@theia.org</w:t>
        </w:r>
      </w:hyperlink>
      <w:r>
        <w:t>.</w:t>
      </w:r>
    </w:p>
    <w:permEnd w:id="1968532806"/>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1839925554" w:edGrp="everyone"/>
      <w:r>
        <w:t>TYPE YOUR TEXT HERE</w:t>
      </w:r>
    </w:p>
    <w:permEnd w:id="1839925554"/>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396693111" w:edGrp="everyone"/>
      <w:r>
        <w:t>TYPE YOUR TEXT HERE</w:t>
      </w:r>
    </w:p>
    <w:permEnd w:id="396693111"/>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23753377" w:edGrp="everyone"/>
      <w:r>
        <w:t>TYPE YOUR TEXT HERE</w:t>
      </w:r>
    </w:p>
    <w:permEnd w:id="123753377"/>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157633383" w:edGrp="everyone"/>
      <w:r>
        <w:t>TYPE YOUR TEXT HERE</w:t>
      </w:r>
    </w:p>
    <w:permEnd w:id="1157633383"/>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21779147" w:edGrp="everyone"/>
      <w:r>
        <w:t>TYPE YOUR TEXT HERE</w:t>
      </w:r>
    </w:p>
    <w:permEnd w:id="21779147"/>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437543118" w:edGrp="everyone"/>
      <w:r>
        <w:t>TYPE YOUR TEXT HERE</w:t>
      </w:r>
    </w:p>
    <w:permEnd w:id="437543118"/>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873550877" w:edGrp="everyone"/>
      <w:r>
        <w:t>TYPE YOUR TEXT HERE</w:t>
      </w:r>
    </w:p>
    <w:permEnd w:id="1873550877"/>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95587449" w:edGrp="everyone"/>
      <w:r>
        <w:t>TYPE YOUR TEXT HERE</w:t>
      </w:r>
    </w:p>
    <w:permEnd w:id="195587449"/>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964135472" w:edGrp="everyone"/>
      <w:r>
        <w:lastRenderedPageBreak/>
        <w:t>TYPE YOUR TEXT HERE</w:t>
      </w:r>
    </w:p>
    <w:permEnd w:id="1964135472"/>
    <w:p w:rsidR="00E652D1" w:rsidRDefault="00E652D1" w:rsidP="00E652D1">
      <w:r>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484851258" w:edGrp="everyone"/>
      <w:r>
        <w:t>TYPE YOUR TEXT HERE</w:t>
      </w:r>
    </w:p>
    <w:permEnd w:id="1484851258"/>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243F2C" w:rsidRDefault="00243F2C" w:rsidP="00E652D1">
      <w:permStart w:id="398265094" w:edGrp="everyone"/>
      <w:r w:rsidRPr="00243F2C">
        <w:t>We welcome the use of open standard message formats for reporting.  We hope that, having recognised ISO 20022 as a suitable standard for this purpose, ESMA will deploy it consistently for similar requirements in the future.</w:t>
      </w:r>
    </w:p>
    <w:permEnd w:id="398265094"/>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243F2C" w:rsidRDefault="00243F2C" w:rsidP="00243F2C">
      <w:permStart w:id="794909022" w:edGrp="everyone"/>
      <w:r>
        <w:t>ESMA will no doubt be aware of the governance process for ISO 20022 message development and maintenance from its work to date in relation to transaction reporting under MiFIR Article 26.  We would encourage ESMA to engage with in the ISO 20022 Securities Standards Evaluation Group (which will have primary responsibility for approving the addition of the messages involved to the ISO 20022 repository), not just for the purposes of considering its own candidate messages, but also more generally in order to participate in future discussions concerning change requests that may have been submitted from elsewhere.  ESMA might also consider involvement in the ISO 20022 Registration Management Group, which has responsibility in the first instance for governance of the ISO 20022 standard itself.</w:t>
      </w:r>
    </w:p>
    <w:p w:rsidR="00243F2C" w:rsidRDefault="00243F2C" w:rsidP="00243F2C"/>
    <w:p w:rsidR="00243F2C" w:rsidRDefault="00243F2C" w:rsidP="00E652D1">
      <w:r>
        <w:t>We assume in the above that ESMA will be the submitter (or joint submitter) of the messages that are prepared for the purposes of reporting under SFTR, which will mean that it will be central to any future maintenance changes to those messages.  We would, however, encourage engagement with other regulators in order to ensure that the messages are also suitable for the equivalent reporting in other jurisdictions.</w:t>
      </w:r>
    </w:p>
    <w:permEnd w:id="794909022"/>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637951309" w:edGrp="everyone"/>
      <w:r>
        <w:t>TYPE YOUR TEXT HERE</w:t>
      </w:r>
    </w:p>
    <w:permEnd w:id="637951309"/>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243F2C" w:rsidRDefault="00243F2C" w:rsidP="00E652D1">
      <w:permStart w:id="1960998862" w:edGrp="everyone"/>
      <w:r w:rsidRPr="00243F2C">
        <w:t>Although we do not see issues in identifying the various parties to an SFT, this should be done in a way that avoids any potential misperception that intermediaries and others, such as tri-party and securities lending agents are "at risk".</w:t>
      </w:r>
    </w:p>
    <w:permEnd w:id="1960998862"/>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lastRenderedPageBreak/>
        <w:t>&lt;ESMA_QUESTION_SFTR_15&gt;</w:t>
      </w:r>
    </w:p>
    <w:p w:rsidR="00243F2C" w:rsidRDefault="00243F2C" w:rsidP="00243F2C">
      <w:permStart w:id="1555254015" w:edGrp="everyone"/>
      <w:r>
        <w:t>We are concerned by the use of the term "broker" for any intermediary that acts on behalf of a counterparty (paragraph 97). There is a general understanding that a "broker" performs a specific role in a transaction which is not consistent with other types of agent/intermediary that might be identified in a report.  In particular, a firm that executes an investment decision taken under a discretionary mandate form its customer would never be considered to be a "broker".</w:t>
      </w:r>
    </w:p>
    <w:p w:rsidR="00243F2C" w:rsidRDefault="00243F2C" w:rsidP="00243F2C"/>
    <w:p w:rsidR="00C92A0C" w:rsidRDefault="00243F2C" w:rsidP="00243F2C">
      <w:r>
        <w:t>We believe that using such a specific term will lead to confusion and would therefore urge ESMA to replace it with something that is suitable to more intermediary roles, such as "executing agent".</w:t>
      </w:r>
    </w:p>
    <w:permEnd w:id="1555254015"/>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243F2C" w:rsidRDefault="00243F2C" w:rsidP="00E652D1">
      <w:permStart w:id="1726944029" w:edGrp="everyone"/>
      <w:r w:rsidRPr="00243F2C">
        <w:t>We would urge ESMA to exercise caution before requiring data to be reported that goes beyond the requirements of the Level 1 Regulation.  It should consider carefully the balance between the complexity and costs it would generate for reporting entities and trade repositories, and the likelihood that it will deliver data that could be translate to meaningful information by regulators.</w:t>
      </w:r>
    </w:p>
    <w:permEnd w:id="1726944029"/>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243F2C" w:rsidRDefault="00243F2C" w:rsidP="00243F2C">
      <w:permStart w:id="1664294232" w:edGrp="everyone"/>
      <w:r>
        <w:t xml:space="preserve">We do not believe position reporting would be necessary or relevant except perhaps in the case of securities or margin lending.  </w:t>
      </w:r>
    </w:p>
    <w:p w:rsidR="00243F2C" w:rsidRDefault="00243F2C" w:rsidP="00243F2C"/>
    <w:p w:rsidR="00377050" w:rsidRDefault="00243F2C" w:rsidP="00243F2C">
      <w:r>
        <w:t>Where position reporting is used, we believe it should be sufficient for the purposes of monitoring systemic risk to simply update the position.</w:t>
      </w:r>
    </w:p>
    <w:permEnd w:id="1664294232"/>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243F2C" w:rsidP="00243F2C">
      <w:permStart w:id="919304798" w:edGrp="everyone"/>
      <w:r w:rsidRPr="00243F2C">
        <w:t>TYPE YOUR TEXT HERE</w:t>
      </w:r>
    </w:p>
    <w:permEnd w:id="919304798"/>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243F2C" w:rsidRDefault="00243F2C" w:rsidP="00243F2C">
      <w:permStart w:id="1331186411" w:edGrp="everyone"/>
      <w:r>
        <w:t>If ESMA does determine that both position and transaction reporting is necessary, we believe it would need to consider differences between the data elements that would be mandatory for each.  We believe an additional field should be included to identify which type of report is being submitted.</w:t>
      </w:r>
    </w:p>
    <w:p w:rsidR="00243F2C" w:rsidRDefault="00243F2C" w:rsidP="00243F2C"/>
    <w:p w:rsidR="00E652D1" w:rsidRDefault="00243F2C" w:rsidP="00243F2C">
      <w:r>
        <w:t>We are concerned about the proposal to required Master Agreement information down to annex level.  It would require huge investment by firms to enable the electronic capture of terms that are documented in what may be bespoke annexes and attach these to individual trades.  We do not believe Master Agree-</w:t>
      </w:r>
      <w:proofErr w:type="spellStart"/>
      <w:r>
        <w:t>ments</w:t>
      </w:r>
      <w:proofErr w:type="spellEnd"/>
      <w:r>
        <w:t xml:space="preserve"> themselves vary between counterparties on a trade-by-trade basis and they not typically held in a way that would facilitate capture at trade level.  We would recommend instead that Master Agreement information be reported separately and cover only the Master Agreement and version that is in place with a particular counterparty for a  particular type of SFT.</w:t>
      </w:r>
    </w:p>
    <w:permEnd w:id="1331186411"/>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1630C9" w:rsidRDefault="00243F2C" w:rsidP="00E652D1">
      <w:permStart w:id="1123555190" w:edGrp="everyone"/>
      <w:r w:rsidRPr="00243F2C">
        <w:lastRenderedPageBreak/>
        <w:t>As well as requiring a UTI that persists for the position, fields such as the execution and clearing timestamps would not be appropriate for position-level reports - these aspects would need to be considered in the field validation rules.</w:t>
      </w:r>
    </w:p>
    <w:permEnd w:id="1123555190"/>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243F2C" w:rsidRDefault="00243F2C" w:rsidP="00243F2C">
      <w:permStart w:id="1235378143" w:edGrp="everyone"/>
      <w:r>
        <w:t>The actual collateral to be provided is often not known until settlement.  We therefore believe that reporting of collateral should not be required until the business day following settlement (SD+1).</w:t>
      </w:r>
    </w:p>
    <w:p w:rsidR="00243F2C" w:rsidRDefault="00243F2C" w:rsidP="00243F2C"/>
    <w:p w:rsidR="00243F2C" w:rsidRDefault="00243F2C" w:rsidP="00243F2C">
      <w:r>
        <w:t>In addition, we believe only one counterparty should be required to report the detail of the collateral according to the following logic:</w:t>
      </w:r>
    </w:p>
    <w:p w:rsidR="00243F2C" w:rsidRDefault="00243F2C" w:rsidP="00243F2C"/>
    <w:p w:rsidR="00243F2C" w:rsidRDefault="00243F2C" w:rsidP="00243F2C">
      <w:r>
        <w:t>Repo and reverse repo</w:t>
      </w:r>
      <w:r>
        <w:tab/>
        <w:t>the deliverer of the securities (ie. counterparty on the repo side)</w:t>
      </w:r>
    </w:p>
    <w:p w:rsidR="00243F2C" w:rsidRDefault="00243F2C" w:rsidP="00243F2C">
      <w:r>
        <w:t>Buy-sell back and sell-buy-back</w:t>
      </w:r>
      <w:r>
        <w:tab/>
        <w:t>the deliverer of the securities (ie. counterparty that sells initially)</w:t>
      </w:r>
    </w:p>
    <w:p w:rsidR="00243F2C" w:rsidRDefault="00243F2C" w:rsidP="00243F2C">
      <w:r>
        <w:t>Securities lending</w:t>
      </w:r>
      <w:r>
        <w:tab/>
        <w:t xml:space="preserve">the deliverer of the securities </w:t>
      </w:r>
    </w:p>
    <w:p w:rsidR="00243F2C" w:rsidRDefault="00243F2C" w:rsidP="00243F2C">
      <w:r>
        <w:t>Margin lending</w:t>
      </w:r>
      <w:r>
        <w:tab/>
        <w:t>the lender of the finance</w:t>
      </w:r>
    </w:p>
    <w:p w:rsidR="00243F2C" w:rsidRDefault="00243F2C" w:rsidP="00243F2C"/>
    <w:p w:rsidR="00100313" w:rsidRDefault="00243F2C" w:rsidP="00243F2C">
      <w:r>
        <w:t>Although on first sight the logic suggested above for margin lending might appear at odds with other types of SFT, the fact is that the lender holds a portfolio of securities for the borrower, against which is lends and determines which assets to earmark as collateral.  As such it is best positioned by far to report the collateral.</w:t>
      </w:r>
    </w:p>
    <w:permEnd w:id="1235378143"/>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243F2C" w:rsidP="00E652D1">
      <w:permStart w:id="1664684008" w:edGrp="everyone"/>
      <w:r w:rsidRPr="00243F2C">
        <w:t>We believe Approach A would be simpler to implement and therefore less prone to error and the poor data quality that would result.  Firms will need to develop separate reporting for SFTR and will therefore not benefit of suffer significantly from alignment or not with EMIR.</w:t>
      </w:r>
    </w:p>
    <w:permEnd w:id="1664684008"/>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243F2C" w:rsidRPr="00CD72E4" w:rsidRDefault="00243F2C" w:rsidP="00243F2C">
      <w:permStart w:id="2127386973" w:edGrp="everyone"/>
      <w:r w:rsidRPr="00CD72E4">
        <w:t>As noted in our response to Q22, we believe the simpler the logic is to implement, the less prone it will be to error and the poor data quality that would result.  We believe many firms will find it difficult, given their current systems, to identity the cause of an update to an existing report and would question the real value the proposed level of granularity will deliver to regulators.</w:t>
      </w:r>
    </w:p>
    <w:p w:rsidR="00243F2C" w:rsidRPr="00CD72E4" w:rsidRDefault="00243F2C" w:rsidP="00243F2C"/>
    <w:p w:rsidR="00243F2C" w:rsidRPr="00CD72E4" w:rsidRDefault="00243F2C" w:rsidP="0010722B">
      <w:pPr>
        <w:spacing w:after="120"/>
      </w:pPr>
      <w:r w:rsidRPr="00CD72E4">
        <w:t>We therefore recommend, that the action types are confined to:</w:t>
      </w:r>
    </w:p>
    <w:p w:rsidR="00243F2C" w:rsidRPr="00CD72E4" w:rsidRDefault="00243F2C" w:rsidP="0010722B">
      <w:pPr>
        <w:spacing w:after="120"/>
        <w:ind w:left="284" w:hanging="284"/>
      </w:pPr>
      <w:r w:rsidRPr="00CD72E4">
        <w:rPr>
          <w:rFonts w:ascii="Symbol" w:hAnsi="Symbol"/>
        </w:rPr>
        <w:t></w:t>
      </w:r>
      <w:r w:rsidRPr="00CD72E4">
        <w:rPr>
          <w:rFonts w:ascii="Symbol" w:hAnsi="Symbol"/>
        </w:rPr>
        <w:tab/>
      </w:r>
      <w:r w:rsidRPr="00CD72E4">
        <w:t>New</w:t>
      </w:r>
    </w:p>
    <w:p w:rsidR="00243F2C" w:rsidRPr="00CD72E4" w:rsidRDefault="00243F2C" w:rsidP="0010722B">
      <w:pPr>
        <w:spacing w:after="120"/>
        <w:ind w:left="284" w:hanging="284"/>
      </w:pPr>
      <w:r w:rsidRPr="00CD72E4">
        <w:rPr>
          <w:rFonts w:ascii="Symbol" w:hAnsi="Symbol"/>
        </w:rPr>
        <w:t></w:t>
      </w:r>
      <w:r w:rsidRPr="00CD72E4">
        <w:rPr>
          <w:rFonts w:ascii="Symbol" w:hAnsi="Symbol"/>
        </w:rPr>
        <w:tab/>
      </w:r>
      <w:r w:rsidRPr="00CD72E4">
        <w:t xml:space="preserve">Modify (defined to encompass </w:t>
      </w:r>
      <w:r>
        <w:t>both modification to the trade terms and corrections of misreported data</w:t>
      </w:r>
      <w:r w:rsidRPr="00CD72E4">
        <w:t>)</w:t>
      </w:r>
    </w:p>
    <w:p w:rsidR="00243F2C" w:rsidRDefault="00243F2C" w:rsidP="0010722B">
      <w:pPr>
        <w:spacing w:after="120"/>
        <w:ind w:left="284" w:hanging="284"/>
      </w:pPr>
      <w:r>
        <w:rPr>
          <w:rFonts w:ascii="Symbol" w:hAnsi="Symbol"/>
        </w:rPr>
        <w:t></w:t>
      </w:r>
      <w:r>
        <w:rPr>
          <w:rFonts w:ascii="Symbol" w:hAnsi="Symbol"/>
        </w:rPr>
        <w:tab/>
      </w:r>
      <w:r w:rsidRPr="00CD72E4">
        <w:t>Cancellation (as a replacement term for "error", as proposed in Approach B)</w:t>
      </w:r>
    </w:p>
    <w:p w:rsidR="00243F2C" w:rsidRDefault="00243F2C" w:rsidP="0010722B">
      <w:pPr>
        <w:spacing w:after="120"/>
        <w:ind w:left="284" w:hanging="284"/>
      </w:pPr>
      <w:r w:rsidRPr="00CD72E4">
        <w:rPr>
          <w:rFonts w:ascii="Symbol" w:hAnsi="Symbol"/>
        </w:rPr>
        <w:t></w:t>
      </w:r>
      <w:r w:rsidRPr="00CD72E4">
        <w:rPr>
          <w:rFonts w:ascii="Symbol" w:hAnsi="Symbol"/>
        </w:rPr>
        <w:tab/>
      </w:r>
      <w:proofErr w:type="gramStart"/>
      <w:r>
        <w:t>Early</w:t>
      </w:r>
      <w:proofErr w:type="gramEnd"/>
      <w:r>
        <w:t xml:space="preserve"> termination</w:t>
      </w:r>
    </w:p>
    <w:p w:rsidR="00243F2C" w:rsidRPr="00732C4F" w:rsidRDefault="00243F2C" w:rsidP="0010722B">
      <w:pPr>
        <w:pStyle w:val="ListParagraph"/>
        <w:numPr>
          <w:ilvl w:val="0"/>
          <w:numId w:val="54"/>
        </w:numPr>
        <w:spacing w:after="120"/>
        <w:ind w:left="284" w:hanging="284"/>
      </w:pPr>
      <w:r w:rsidRPr="00732C4F">
        <w:t xml:space="preserve">Lifecycle event, which would need to </w:t>
      </w:r>
      <w:r>
        <w:t xml:space="preserve">include subsets to </w:t>
      </w:r>
      <w:r w:rsidRPr="00732C4F">
        <w:t xml:space="preserve">cater for the </w:t>
      </w:r>
      <w:r>
        <w:t>specific events</w:t>
      </w:r>
      <w:r w:rsidRPr="00732C4F">
        <w:t xml:space="preserve"> that are relevant to </w:t>
      </w:r>
      <w:r>
        <w:t xml:space="preserve">the </w:t>
      </w:r>
      <w:r w:rsidRPr="00732C4F">
        <w:t>different</w:t>
      </w:r>
      <w:r>
        <w:t xml:space="preserve"> </w:t>
      </w:r>
      <w:r w:rsidRPr="00732C4F">
        <w:t>types of SFT</w:t>
      </w:r>
    </w:p>
    <w:p w:rsidR="00897370" w:rsidRDefault="00243F2C" w:rsidP="00243F2C">
      <w:pPr>
        <w:numPr>
          <w:ilvl w:val="0"/>
          <w:numId w:val="51"/>
        </w:numPr>
        <w:ind w:left="284" w:hanging="284"/>
      </w:pPr>
      <w:r w:rsidRPr="00CD72E4">
        <w:lastRenderedPageBreak/>
        <w:t>Collateral update</w:t>
      </w:r>
      <w:r>
        <w:t xml:space="preserve"> (but note that in our response to Q91 we support option that collateral always be reported in a separate message).</w:t>
      </w:r>
    </w:p>
    <w:permEnd w:id="2127386973"/>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C35029" w:rsidRDefault="00243F2C" w:rsidP="00E652D1">
      <w:permStart w:id="1253660902" w:edGrp="everyone"/>
      <w:r w:rsidRPr="00243F2C">
        <w:t>As noted in our response to Q22, we believe the simpler the logic is to implement, the less prone it will be to error and the poor data quality that would result.  We believe Approach B would be overly complex and, as such, do not support it.</w:t>
      </w:r>
    </w:p>
    <w:permEnd w:id="1253660902"/>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40496B" w:rsidRPr="00CD72E4" w:rsidRDefault="00243F2C" w:rsidP="0040496B">
      <w:permStart w:id="812016520" w:edGrp="everyone"/>
      <w:r w:rsidRPr="00243F2C">
        <w:t>Should ESMA determine to follow Approach B, in alignment with our response to Q23, we believe the technical action "correction" and "re-pricing life cycle" event type should be removed (both being embraced within the definition of a modification for each type of SFT).</w:t>
      </w:r>
    </w:p>
    <w:permEnd w:id="812016520"/>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2E72AC" w:rsidRDefault="00243F2C" w:rsidP="00E652D1">
      <w:permStart w:id="2038067033" w:edGrp="everyone"/>
      <w:r w:rsidRPr="00243F2C">
        <w:t>No - we believe subsequent reports concerning an existing trade or position report should utilise the UTI of that report.  Introducing a need for multiple identifiers for the same report would add complexity and therefore increase the risk of errors and poor data quality.</w:t>
      </w:r>
    </w:p>
    <w:permEnd w:id="2038067033"/>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243F2C" w:rsidRDefault="00243F2C" w:rsidP="00243F2C">
      <w:permStart w:id="1345158918" w:edGrp="everyone"/>
      <w:r>
        <w:t xml:space="preserve">The counterparty side field has been problematic in EMIR due to the specific terminology of "buyer" and "seller".  There the issue has centred mainly </w:t>
      </w:r>
      <w:r w:rsidR="00C915EF">
        <w:t>on</w:t>
      </w:r>
      <w:r>
        <w:t xml:space="preserve"> transactions involving an exchange, ie. </w:t>
      </w:r>
      <w:proofErr w:type="gramStart"/>
      <w:r>
        <w:t>each</w:t>
      </w:r>
      <w:proofErr w:type="gramEnd"/>
      <w:r>
        <w:t xml:space="preserve"> counterparty is both a buyer and a seller.  Here the problem is that in an SFT either both parties are buyer and seller at different points in the transaction or neither would be describes as buyer or seller.  </w:t>
      </w:r>
    </w:p>
    <w:p w:rsidR="00243F2C" w:rsidRDefault="00243F2C" w:rsidP="00243F2C"/>
    <w:p w:rsidR="00E652D1" w:rsidRDefault="00243F2C" w:rsidP="00243F2C">
      <w:r>
        <w:t>We would suggest that receiver and deliverer would be a better choice and do not believe this would be unduly difficult for existing trade repositories to implement.  We have proposed alternative terminology in our response to Q29.</w:t>
      </w:r>
    </w:p>
    <w:permEnd w:id="1345158918"/>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6F585C" w:rsidRDefault="00C915EF" w:rsidP="006F585C">
      <w:permStart w:id="1527324562" w:edGrp="everyone"/>
      <w:r w:rsidRPr="00C915EF">
        <w:t>Given the current terminology we agree with the definition for repo etc. (receiver of the securities/commodities in the opening/spot leg is the buyer) and for margin lending (receiver of the loan is the buyer).  However, we believe the proposal for securities/commodities lending is inconsistent with both of these and recommend that the borrower of the funding/securities/commodities should be defined as the buyer.</w:t>
      </w:r>
    </w:p>
    <w:permEnd w:id="1527324562"/>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C915EF" w:rsidRPr="00CD72E4" w:rsidRDefault="00C915EF" w:rsidP="00C915EF">
      <w:pPr>
        <w:spacing w:after="120"/>
      </w:pPr>
      <w:permStart w:id="1606819887" w:edGrp="everyone"/>
      <w:r w:rsidRPr="00CD72E4">
        <w:lastRenderedPageBreak/>
        <w:t>We do not believe market conventions use the terms buyer or seller in relation to SFTs and further to our responses to Q27 and Q28, we would propose that "receiver" and "deliver" be used according to the following definitions:</w:t>
      </w:r>
    </w:p>
    <w:p w:rsidR="00C915EF" w:rsidRPr="00CD72E4" w:rsidRDefault="00C915EF" w:rsidP="00C915EF">
      <w:pPr>
        <w:spacing w:after="120"/>
        <w:ind w:left="284" w:hanging="284"/>
      </w:pPr>
      <w:r w:rsidRPr="00CD72E4">
        <w:rPr>
          <w:rFonts w:ascii="Symbol" w:hAnsi="Symbol"/>
        </w:rPr>
        <w:t></w:t>
      </w:r>
      <w:r w:rsidRPr="00CD72E4">
        <w:rPr>
          <w:rFonts w:ascii="Symbol" w:hAnsi="Symbol"/>
        </w:rPr>
        <w:tab/>
      </w:r>
      <w:r w:rsidRPr="00CD72E4">
        <w:t xml:space="preserve">In the case of repurchase transactions and sell-buy back / buy-sell back transactions, the counterparty that </w:t>
      </w:r>
      <w:r w:rsidRPr="00CD72E4">
        <w:rPr>
          <w:b/>
          <w:u w:val="single"/>
        </w:rPr>
        <w:t>receives</w:t>
      </w:r>
      <w:r w:rsidRPr="00CD72E4">
        <w:t xml:space="preserve"> securities, commodities, or guaranteed rights relating to title to securities or commodities on the opening or spot leg of the trade and agreeing to sell them at a specified price on a future date (closing or forward leg of the trade), shall be identified as the </w:t>
      </w:r>
      <w:r w:rsidRPr="00CD72E4">
        <w:rPr>
          <w:b/>
          <w:u w:val="single"/>
        </w:rPr>
        <w:t>receiver</w:t>
      </w:r>
      <w:r w:rsidRPr="00CD72E4">
        <w:t xml:space="preserve">. The other counterparty shall be identified as the </w:t>
      </w:r>
      <w:r w:rsidRPr="00CD72E4">
        <w:rPr>
          <w:b/>
          <w:u w:val="single"/>
        </w:rPr>
        <w:t>deliverer</w:t>
      </w:r>
      <w:r w:rsidRPr="00CD72E4">
        <w:t>.</w:t>
      </w:r>
    </w:p>
    <w:p w:rsidR="00C915EF" w:rsidRPr="00CD72E4" w:rsidRDefault="00C915EF" w:rsidP="00C915EF">
      <w:pPr>
        <w:spacing w:after="120"/>
        <w:ind w:left="284" w:hanging="284"/>
      </w:pPr>
      <w:r w:rsidRPr="00CD72E4">
        <w:rPr>
          <w:rFonts w:ascii="Symbol" w:hAnsi="Symbol"/>
        </w:rPr>
        <w:t></w:t>
      </w:r>
      <w:r w:rsidRPr="00CD72E4">
        <w:rPr>
          <w:rFonts w:ascii="Symbol" w:hAnsi="Symbol"/>
        </w:rPr>
        <w:tab/>
      </w:r>
      <w:r w:rsidRPr="00CD72E4">
        <w:t xml:space="preserve">In the case of securities or commodities borrowing and securities or commodities lending, the counterparty that </w:t>
      </w:r>
      <w:r w:rsidRPr="00CD72E4">
        <w:rPr>
          <w:b/>
          <w:u w:val="single"/>
        </w:rPr>
        <w:t>receives</w:t>
      </w:r>
      <w:r w:rsidRPr="00CD72E4">
        <w:t xml:space="preserve"> the securities or commodities, subject to a commitment that equivalent securities or commodities will be returned on a future date or on request, shall be identified as the </w:t>
      </w:r>
      <w:r w:rsidRPr="00CD72E4">
        <w:rPr>
          <w:b/>
          <w:u w:val="single"/>
        </w:rPr>
        <w:t>receiver</w:t>
      </w:r>
      <w:r w:rsidRPr="00CD72E4">
        <w:t xml:space="preserve">. The other counterparty shall be identified as the </w:t>
      </w:r>
      <w:r w:rsidRPr="00CD72E4">
        <w:rPr>
          <w:b/>
          <w:u w:val="single"/>
        </w:rPr>
        <w:t>deliverer</w:t>
      </w:r>
      <w:r w:rsidRPr="00CD72E4">
        <w:t>.</w:t>
      </w:r>
    </w:p>
    <w:p w:rsidR="00C915EF" w:rsidRDefault="00C915EF" w:rsidP="00C915EF">
      <w:pPr>
        <w:spacing w:after="120"/>
        <w:ind w:left="284" w:hanging="284"/>
      </w:pPr>
      <w:r w:rsidRPr="00CD72E4">
        <w:rPr>
          <w:rFonts w:ascii="Symbol" w:hAnsi="Symbol"/>
        </w:rPr>
        <w:t></w:t>
      </w:r>
      <w:r w:rsidRPr="00CD72E4">
        <w:rPr>
          <w:rFonts w:ascii="Symbol" w:hAnsi="Symbol"/>
        </w:rPr>
        <w:tab/>
      </w:r>
      <w:r w:rsidRPr="00CD72E4">
        <w:t xml:space="preserve">In the case of margin lending, the counterparty to which credit is extended in exchange for collateral shall be identified as the </w:t>
      </w:r>
      <w:r>
        <w:rPr>
          <w:b/>
          <w:u w:val="single"/>
        </w:rPr>
        <w:t>deliverer</w:t>
      </w:r>
      <w:r w:rsidRPr="00CD72E4">
        <w:t xml:space="preserve">. The counterparty that provides the credit in exchange for collateral shall be identified as the </w:t>
      </w:r>
      <w:r>
        <w:rPr>
          <w:b/>
          <w:u w:val="single"/>
        </w:rPr>
        <w:t>receiver</w:t>
      </w:r>
      <w:r w:rsidRPr="00CD72E4">
        <w:t>.</w:t>
      </w:r>
    </w:p>
    <w:p w:rsidR="006F585C" w:rsidRDefault="00C915EF" w:rsidP="00C915EF">
      <w:pPr>
        <w:numPr>
          <w:ilvl w:val="0"/>
          <w:numId w:val="52"/>
        </w:numPr>
        <w:ind w:left="284" w:hanging="284"/>
      </w:pPr>
      <w:r>
        <w:t>We believe in any event that it will be important for ESMA to provide a clear and simple statement as to which counterparty is deemed to be on which side of the transaction for reporting purposes.</w:t>
      </w:r>
    </w:p>
    <w:permEnd w:id="1606819887"/>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10722B" w:rsidRDefault="0010722B" w:rsidP="0010722B">
      <w:permStart w:id="699497721" w:edGrp="everyone"/>
      <w:r>
        <w:t>In our response to Q15, we question the use of the term "broker".  We recognise Scenario 1 as typical for a repo transaction executed by a discretionary portfolio manager as agent for its client, and envisage that the investment manager might be reported as an intermediary in the transaction, but they should not be referred to as a "broker".</w:t>
      </w:r>
    </w:p>
    <w:p w:rsidR="0010722B" w:rsidRDefault="0010722B" w:rsidP="0010722B"/>
    <w:p w:rsidR="00BF77C4" w:rsidRPr="00BF77C4" w:rsidRDefault="0010722B" w:rsidP="0010722B">
      <w:r>
        <w:t>In Scenario 2, the description of Counterparty 3 acting as a broker but on its own account reinforces our concerns about the use of the term "broker".  The potential for confusion is surely apparent when, a "broker" for reporting purposes is specifically not a counterparty to the trade and yet in this scenario Counterparty 3 is described as a broker that does the exact opposite.</w:t>
      </w:r>
    </w:p>
    <w:permEnd w:id="699497721"/>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248329432" w:edGrp="everyone"/>
      <w:r>
        <w:t>TYPE YOUR TEXT HERE</w:t>
      </w:r>
    </w:p>
    <w:permEnd w:id="248329432"/>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580129713" w:edGrp="everyone"/>
      <w:r>
        <w:t>TYPE YOUR TEXT HERE</w:t>
      </w:r>
    </w:p>
    <w:permEnd w:id="580129713"/>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1980119149" w:edGrp="everyone"/>
      <w:r>
        <w:t>TYPE YOUR TEXT HERE</w:t>
      </w:r>
    </w:p>
    <w:permEnd w:id="1980119149"/>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88879769" w:edGrp="everyone"/>
      <w:r>
        <w:t>TYPE YOUR TEXT HERE</w:t>
      </w:r>
    </w:p>
    <w:permEnd w:id="188879769"/>
    <w:p w:rsidR="00E652D1" w:rsidRDefault="00E652D1" w:rsidP="00E652D1">
      <w:r>
        <w:lastRenderedPageBreak/>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1759186536" w:edGrp="everyone"/>
      <w:r>
        <w:t>TYPE YOUR TEXT HERE</w:t>
      </w:r>
    </w:p>
    <w:permEnd w:id="1759186536"/>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305550732" w:edGrp="everyone"/>
      <w:r>
        <w:t>TYPE YOUR TEXT HERE</w:t>
      </w:r>
    </w:p>
    <w:permEnd w:id="305550732"/>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244810410" w:edGrp="everyone"/>
      <w:r>
        <w:t>TYPE YOUR TEXT HERE</w:t>
      </w:r>
    </w:p>
    <w:permEnd w:id="1244810410"/>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1587944842" w:edGrp="everyone"/>
      <w:r>
        <w:t>TYPE YOUR TEXT HERE</w:t>
      </w:r>
    </w:p>
    <w:permEnd w:id="1587944842"/>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D37ED6" w:rsidRDefault="00D37ED6" w:rsidP="00E652D1">
      <w:permStart w:id="794903090" w:edGrp="everyone"/>
      <w:r w:rsidRPr="00D37ED6">
        <w:t>TYPE YOUR TEXT HERE</w:t>
      </w:r>
    </w:p>
    <w:permEnd w:id="794903090"/>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10722B" w:rsidRPr="00CD72E4" w:rsidRDefault="0010722B" w:rsidP="0010722B">
      <w:permStart w:id="885347618" w:edGrp="everyone"/>
      <w:r w:rsidRPr="00CD72E4">
        <w:t xml:space="preserve">Concerning the final bullet in Scenario 2, we believe that reporting the lending agent as a counterparty in the situation described would be misleading.  We also do not believe the lending agent itself would fall within the definition of counterparty (financial or non-financial) under SFTR Article 2 and therefore </w:t>
      </w:r>
      <w:r>
        <w:t xml:space="preserve">will not </w:t>
      </w:r>
      <w:r w:rsidRPr="00CD72E4">
        <w:t>have a reporting obligation itself.  We believe it is also possible that counterparty disclosure may only be one way, which means a complex array of different scenarios might persist from an intra-/inter-TR reconciliation perspective.</w:t>
      </w:r>
    </w:p>
    <w:p w:rsidR="0010722B" w:rsidRPr="00CD72E4" w:rsidRDefault="0010722B" w:rsidP="0010722B"/>
    <w:p w:rsidR="0010722B" w:rsidRPr="00CD72E4" w:rsidRDefault="0010722B" w:rsidP="0010722B">
      <w:r w:rsidRPr="00CD72E4">
        <w:t>Moreover, counterparties that have entered into fully undisclosed lending arrangements should not be able to identify their end-counterparties from data provided or accessible via the traded repository.</w:t>
      </w:r>
    </w:p>
    <w:p w:rsidR="0010722B" w:rsidRPr="00CD72E4" w:rsidRDefault="0010722B" w:rsidP="0010722B"/>
    <w:p w:rsidR="0010722B" w:rsidRDefault="0010722B" w:rsidP="0010722B">
      <w:pPr>
        <w:spacing w:after="120"/>
      </w:pPr>
      <w:r w:rsidRPr="00CD72E4">
        <w:t xml:space="preserve">The lending agent would in any event be identified as such in the counterparty data (Field 16 in Annex 1, Table 7).  We believe </w:t>
      </w:r>
      <w:r>
        <w:t xml:space="preserve">instead </w:t>
      </w:r>
      <w:r w:rsidRPr="00CD72E4">
        <w:t xml:space="preserve">that the "other counterparty" field </w:t>
      </w:r>
      <w:r>
        <w:t>should be populated according to the circumstances as follows:</w:t>
      </w:r>
    </w:p>
    <w:p w:rsidR="0010722B" w:rsidRDefault="0010722B" w:rsidP="0010722B">
      <w:pPr>
        <w:pStyle w:val="ListParagraph"/>
        <w:numPr>
          <w:ilvl w:val="0"/>
          <w:numId w:val="54"/>
        </w:numPr>
        <w:spacing w:after="120"/>
        <w:ind w:left="284" w:hanging="284"/>
        <w:contextualSpacing w:val="0"/>
      </w:pPr>
      <w:r>
        <w:t>a</w:t>
      </w:r>
      <w:r w:rsidRPr="00913EB6">
        <w:t>n LEI where the other counterparty is known in time to report</w:t>
      </w:r>
      <w:r>
        <w:t>;</w:t>
      </w:r>
    </w:p>
    <w:p w:rsidR="0010722B" w:rsidRDefault="0010722B" w:rsidP="0010722B">
      <w:pPr>
        <w:pStyle w:val="ListParagraph"/>
        <w:numPr>
          <w:ilvl w:val="0"/>
          <w:numId w:val="54"/>
        </w:numPr>
        <w:spacing w:after="120"/>
        <w:ind w:left="284" w:hanging="284"/>
        <w:contextualSpacing w:val="0"/>
      </w:pPr>
      <w:r>
        <w:t>a</w:t>
      </w:r>
      <w:r w:rsidRPr="00913EB6">
        <w:t xml:space="preserve"> term or code to identify that the identification of the other counterparty is pending and will be provided when the information is received in due course</w:t>
      </w:r>
      <w:r>
        <w:t>; or</w:t>
      </w:r>
      <w:r w:rsidRPr="00913EB6">
        <w:t xml:space="preserve"> </w:t>
      </w:r>
    </w:p>
    <w:p w:rsidR="0010722B" w:rsidRPr="00913EB6" w:rsidRDefault="0010722B" w:rsidP="0010722B">
      <w:pPr>
        <w:pStyle w:val="ListParagraph"/>
        <w:numPr>
          <w:ilvl w:val="0"/>
          <w:numId w:val="54"/>
        </w:numPr>
        <w:ind w:left="284" w:hanging="284"/>
        <w:contextualSpacing w:val="0"/>
      </w:pPr>
      <w:r>
        <w:t>a</w:t>
      </w:r>
      <w:r w:rsidRPr="00913EB6">
        <w:t xml:space="preserve"> term or code to identify that the other counterparty is and will remain undisclosed to the reporting counterparty</w:t>
      </w:r>
    </w:p>
    <w:p w:rsidR="0010722B" w:rsidRPr="00CD72E4" w:rsidRDefault="0010722B" w:rsidP="0010722B"/>
    <w:p w:rsidR="00D37ED6" w:rsidRDefault="0010722B" w:rsidP="0010722B">
      <w:r w:rsidRPr="00CD72E4">
        <w:lastRenderedPageBreak/>
        <w:t>The final bullet also refers specifically to cases where the other counterparty is not known initially and does not discuss what should happen if the information is provided subsequently.  We presume in such instances that the report would be modified in due course.</w:t>
      </w:r>
      <w:r>
        <w:t xml:space="preserve">  We believe the final rules should provide for the scenario where an aggregated (block) transaction is executed initially and then subsequently allocated taking into account that the end counterparties may not be disclosed in one or both directions.</w:t>
      </w:r>
    </w:p>
    <w:permEnd w:id="885347618"/>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451045319" w:edGrp="everyone"/>
      <w:r>
        <w:t>TYPE YOUR TEXT HERE</w:t>
      </w:r>
    </w:p>
    <w:permEnd w:id="1451045319"/>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150963098" w:edGrp="everyone"/>
      <w:r>
        <w:t>TYPE YOUR TEXT HERE</w:t>
      </w:r>
    </w:p>
    <w:permEnd w:id="1150963098"/>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835221933" w:edGrp="everyone"/>
      <w:r>
        <w:t>TYPE YOUR TEXT HERE</w:t>
      </w:r>
    </w:p>
    <w:permEnd w:id="835221933"/>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865352778" w:edGrp="everyone"/>
      <w:r>
        <w:t>TYPE YOUR TEXT HERE</w:t>
      </w:r>
    </w:p>
    <w:permEnd w:id="1865352778"/>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8904EF" w:rsidRDefault="0010722B" w:rsidP="00E652D1">
      <w:permStart w:id="1139095420" w:edGrp="everyone"/>
      <w:r w:rsidRPr="0010722B">
        <w:t>We note that the valuation field appears in the transaction data table, which otherwise does not include data that would be updated regularly.  We would suggest that this field be moved to the collateral data table, which would be more in keeping with reporting under EMIR Article 9 where the valuation and collateral fields are grouped together.</w:t>
      </w:r>
    </w:p>
    <w:permEnd w:id="1139095420"/>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6E0E3C" w:rsidRDefault="006E0E3C" w:rsidP="00E652D1">
      <w:permStart w:id="1720215551" w:edGrp="everyone"/>
      <w:r w:rsidRPr="006E0E3C">
        <w:t>TYPE YOUR TEXT HERE</w:t>
      </w:r>
    </w:p>
    <w:permEnd w:id="1720215551"/>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10722B" w:rsidRDefault="0010722B" w:rsidP="00E652D1">
      <w:permStart w:id="785987858" w:edGrp="everyone"/>
      <w:r w:rsidRPr="0010722B">
        <w:t>We do not believe our members enter their clients into uncollateralised SFTs, but would agree that it would be sensible to include a flag to identify that a trade will be uncollateralised if that is the case</w:t>
      </w:r>
      <w:r>
        <w:t>.</w:t>
      </w:r>
    </w:p>
    <w:permEnd w:id="785987858"/>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263284462" w:edGrp="everyone"/>
      <w:r>
        <w:t>TYPE YOUR TEXT HERE</w:t>
      </w:r>
    </w:p>
    <w:permEnd w:id="263284462"/>
    <w:p w:rsidR="00E652D1" w:rsidRDefault="00E652D1" w:rsidP="00E652D1">
      <w:r>
        <w:lastRenderedPageBreak/>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1085548784" w:edGrp="everyone"/>
      <w:r>
        <w:t>TYPE YOUR TEXT HERE</w:t>
      </w:r>
    </w:p>
    <w:permEnd w:id="1085548784"/>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2037803027" w:edGrp="everyone"/>
      <w:r>
        <w:t>TYPE YOUR TEXT HERE</w:t>
      </w:r>
    </w:p>
    <w:permEnd w:id="2037803027"/>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227373924" w:edGrp="everyone"/>
      <w:r>
        <w:t>TYPE YOUR TEXT HERE</w:t>
      </w:r>
    </w:p>
    <w:permEnd w:id="227373924"/>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378929558" w:edGrp="everyone"/>
      <w:r>
        <w:t>TYPE YOUR TEXT HERE</w:t>
      </w:r>
    </w:p>
    <w:permEnd w:id="378929558"/>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46481358" w:edGrp="everyone"/>
      <w:r>
        <w:t>TYPE YOUR TEXT HERE</w:t>
      </w:r>
    </w:p>
    <w:permEnd w:id="46481358"/>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679444242" w:edGrp="everyone"/>
      <w:r>
        <w:t>TYPE YOUR TEXT HERE</w:t>
      </w:r>
    </w:p>
    <w:permEnd w:id="679444242"/>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2133215066" w:edGrp="everyone"/>
      <w:r>
        <w:t>TYPE YOUR TEXT HERE</w:t>
      </w:r>
    </w:p>
    <w:permEnd w:id="2133215066"/>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92690449" w:edGrp="everyone"/>
      <w:r>
        <w:t>TYPE YOUR TEXT HERE</w:t>
      </w:r>
    </w:p>
    <w:permEnd w:id="192690449"/>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w:t>
      </w:r>
      <w:r>
        <w:lastRenderedPageBreak/>
        <w:t>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373573470" w:edGrp="everyone"/>
      <w:r>
        <w:t>TYPE YOUR TEXT HERE</w:t>
      </w:r>
    </w:p>
    <w:permEnd w:id="373573470"/>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189438679" w:edGrp="everyone"/>
      <w:r>
        <w:t>TYPE YOUR TEXT HERE</w:t>
      </w:r>
    </w:p>
    <w:permEnd w:id="1189438679"/>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537753428" w:edGrp="everyone"/>
      <w:r>
        <w:t>TYPE YOUR TEXT HERE</w:t>
      </w:r>
    </w:p>
    <w:permEnd w:id="537753428"/>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422479537" w:edGrp="everyone"/>
      <w:r>
        <w:t>TYPE YOUR TEXT HERE</w:t>
      </w:r>
    </w:p>
    <w:permEnd w:id="1422479537"/>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252290999" w:edGrp="everyone"/>
      <w:r>
        <w:t>TYPE YOUR TEXT HERE</w:t>
      </w:r>
    </w:p>
    <w:permEnd w:id="1252290999"/>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409226205" w:edGrp="everyone"/>
      <w:r>
        <w:t>TYPE YOUR TEXT HERE</w:t>
      </w:r>
    </w:p>
    <w:permEnd w:id="409226205"/>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618555743" w:edGrp="everyone"/>
      <w:r>
        <w:t>TYPE YOUR TEXT HERE</w:t>
      </w:r>
    </w:p>
    <w:permEnd w:id="618555743"/>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627464875" w:edGrp="everyone"/>
      <w:r>
        <w:t>TYPE YOUR TEXT HERE</w:t>
      </w:r>
    </w:p>
    <w:permEnd w:id="1627464875"/>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1436106981" w:edGrp="everyone"/>
      <w:r>
        <w:t>TYPE YOUR TEXT HERE</w:t>
      </w:r>
    </w:p>
    <w:permEnd w:id="1436106981"/>
    <w:p w:rsidR="00E652D1" w:rsidRDefault="00E652D1" w:rsidP="00E652D1">
      <w:r>
        <w:t>&lt;ESMA_QUESTION_SFTR_65&gt;</w:t>
      </w:r>
    </w:p>
    <w:p w:rsidR="00E652D1" w:rsidRDefault="00E652D1" w:rsidP="00E652D1"/>
    <w:p w:rsidR="00E652D1" w:rsidRDefault="00E652D1" w:rsidP="00E652D1">
      <w:pPr>
        <w:pStyle w:val="QST"/>
        <w:numPr>
          <w:ilvl w:val="0"/>
          <w:numId w:val="50"/>
        </w:numPr>
      </w:pPr>
      <w:r>
        <w:lastRenderedPageBreak/>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F063B5" w:rsidP="00E652D1">
      <w:permStart w:id="191104987" w:edGrp="everyone"/>
      <w:r w:rsidRPr="00F063B5">
        <w:t>As far as we are aware there is no standard margin lending agreement in the market currently; margin lending facilities tend to be provided under bespoke prime brokerage agreements, which differ from broker to broker and client to client.</w:t>
      </w:r>
    </w:p>
    <w:permEnd w:id="191104987"/>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F063B5" w:rsidP="00E652D1">
      <w:permStart w:id="1073094128" w:edGrp="everyone"/>
      <w:r w:rsidRPr="00F063B5">
        <w:t>We believe most of the margin lending facilities used by our members are on a floating rate basis and without fixed maturity dates.</w:t>
      </w:r>
    </w:p>
    <w:permEnd w:id="1073094128"/>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684331389" w:edGrp="everyone"/>
      <w:r>
        <w:t>TYPE YOUR TEXT HERE</w:t>
      </w:r>
    </w:p>
    <w:permEnd w:id="684331389"/>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D54716" w:rsidP="00E652D1">
      <w:permStart w:id="1449067398" w:edGrp="everyone"/>
      <w:r w:rsidRPr="00D54716">
        <w:t>We do not believe there should be any reporting in the case of credit balances, as by definition there is no lending at that time.</w:t>
      </w:r>
    </w:p>
    <w:permEnd w:id="1449067398"/>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898905953" w:edGrp="everyone"/>
      <w:r>
        <w:t>TYPE YOUR TEXT HERE</w:t>
      </w:r>
    </w:p>
    <w:permEnd w:id="898905953"/>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1409103523" w:edGrp="everyone"/>
      <w:r>
        <w:t>TYPE YOUR TEXT HERE</w:t>
      </w:r>
    </w:p>
    <w:permEnd w:id="1409103523"/>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C90A57" w:rsidRDefault="00C90A57" w:rsidP="00C90A57">
      <w:permStart w:id="1812613163" w:edGrp="everyone"/>
      <w:r>
        <w:t>We believe counterparties will often find it difficult to report collateral data within a T+1 timeframe, given that the tri-party agent may have discretion to accept or deliver collateral from different ranges of permitted instruments that depend upon the counterparty, and the precise instruments may not be known until the settlement date.  In the case of a DBV repo, even the amount of cash and securities that are actually exchanged may not be known until the settlement date.  As noted in our response to Q21, we believe reporting of collateral should not be required until the day following settlement date (SD+1).</w:t>
      </w:r>
    </w:p>
    <w:p w:rsidR="00C90A57" w:rsidRDefault="00C90A57" w:rsidP="00C90A57"/>
    <w:p w:rsidR="00C90A57" w:rsidRDefault="00C90A57" w:rsidP="00C90A57">
      <w:r>
        <w:t xml:space="preserve">Counterparties that that use tri-party and agency lending services will also need to receive much of the other data from their agents, including UTI and report tracking numbers, some of which may need to move </w:t>
      </w:r>
      <w:r>
        <w:lastRenderedPageBreak/>
        <w:t>along a communication chain.  Moreover, their systems may not capture the detail of the collateral received (often it is not received in machine-readable form) in order to report it.</w:t>
      </w:r>
    </w:p>
    <w:p w:rsidR="00C90A57" w:rsidRDefault="00C90A57" w:rsidP="00C90A57"/>
    <w:p w:rsidR="005718DC" w:rsidRDefault="00C90A57" w:rsidP="00C90A57">
      <w:r>
        <w:t>We note that ESMA suggests in paragraph 183 that a tri-party agent will select collateral from the account of the lender to deliver to the borrower.  In contrast, however, it will be the borrower's collateral account and delivered to the lender.</w:t>
      </w:r>
    </w:p>
    <w:permEnd w:id="1812613163"/>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7220B9" w:rsidRDefault="007220B9" w:rsidP="00E652D1">
      <w:permStart w:id="1585977410" w:edGrp="everyone"/>
      <w:r w:rsidRPr="007220B9">
        <w:t>TYPE YOUR TEXT HERE</w:t>
      </w:r>
    </w:p>
    <w:permEnd w:id="1585977410"/>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C90A57" w:rsidRDefault="00C90A57" w:rsidP="00C90A57">
      <w:permStart w:id="428102761" w:edGrp="everyone"/>
      <w:r>
        <w:t>We do not believe reporting of branch information should be necessary.  We note that the proposal follows the approach taken in MiFID, but the objective there is to identify where investment and execution decisions are made for the purposes of identifying and investigating potential cases of market abuse.  In contrast, as with EMIR the objective of reporting under SFTR is to facilitate the monitoring of systemic risk in the financial system - such risk resides in the balance sheets of the entities concerned not at the level of the branch.</w:t>
      </w:r>
    </w:p>
    <w:p w:rsidR="00C90A57" w:rsidRDefault="00C90A57" w:rsidP="00C90A57"/>
    <w:p w:rsidR="006211B8" w:rsidRPr="00CD72E4" w:rsidRDefault="00C90A57" w:rsidP="00C90A57">
      <w:r>
        <w:t>As ESMA will be aware, the LEI Regulatory Oversight Committee consulted last year on the potential assignment of LEIs to branches.  In our response to the LEI ROC, we suggested that where a branch were subject to local capital requirements and ring-fencing in the event of default it would qualify for an LEI and should be identified as the counterparty.</w:t>
      </w:r>
    </w:p>
    <w:permEnd w:id="428102761"/>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292819241" w:edGrp="everyone"/>
      <w:r>
        <w:t>TYPE YOUR TEXT HERE</w:t>
      </w:r>
    </w:p>
    <w:permEnd w:id="292819241"/>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982200654" w:edGrp="everyone"/>
      <w:r>
        <w:t>TYPE YOUR TEXT HERE</w:t>
      </w:r>
    </w:p>
    <w:permEnd w:id="982200654"/>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830289861" w:edGrp="everyone"/>
      <w:r>
        <w:t>TYPE YOUR TEXT HERE</w:t>
      </w:r>
    </w:p>
    <w:permEnd w:id="830289861"/>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218073083" w:edGrp="everyone"/>
      <w:r>
        <w:t>TYPE YOUR TEXT HERE</w:t>
      </w:r>
    </w:p>
    <w:permEnd w:id="1218073083"/>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lastRenderedPageBreak/>
        <w:t>&lt;ESMA_QUESTION_SFTR_79&gt;</w:t>
      </w:r>
    </w:p>
    <w:p w:rsidR="00C90A57" w:rsidRPr="00CD72E4" w:rsidRDefault="00C90A57" w:rsidP="00C90A57">
      <w:permStart w:id="991723022" w:edGrp="everyone"/>
      <w:r w:rsidRPr="00CD72E4">
        <w:t>We note that the particular phrasing in paragraph 200 suggests that sub-funds are not identifiable by LEI ("…sub-funds, which are not identifiable by LEI, can…").  In fact, the response to General Question 1(c) in the EMIR Q&amp;A, from which this is inferred, reads as follows:</w:t>
      </w:r>
    </w:p>
    <w:p w:rsidR="00C90A57" w:rsidRPr="00CD72E4" w:rsidRDefault="00C90A57" w:rsidP="00C90A57"/>
    <w:p w:rsidR="00C90A57" w:rsidRPr="00CD72E4" w:rsidRDefault="00C90A57" w:rsidP="00C90A57">
      <w:pPr>
        <w:rPr>
          <w:i/>
        </w:rPr>
      </w:pPr>
      <w:r w:rsidRPr="00CD72E4">
        <w:rPr>
          <w:i/>
        </w:rPr>
        <w:t xml:space="preserve">"If the derivative contract is concluded at the level of the sub-fund, the counterparty should be the sub-fund and not the umbrella fund. In that case, </w:t>
      </w:r>
      <w:r w:rsidRPr="00CD72E4">
        <w:rPr>
          <w:i/>
          <w:u w:val="single"/>
        </w:rPr>
        <w:t>the sub-fund needs to have an LEI</w:t>
      </w:r>
      <w:r w:rsidRPr="00CD72E4">
        <w:rPr>
          <w:i/>
        </w:rPr>
        <w:t xml:space="preserve"> for reporting purposes and be identified as the counterparty."</w:t>
      </w:r>
    </w:p>
    <w:p w:rsidR="00C90A57" w:rsidRPr="00CD72E4" w:rsidRDefault="00C90A57" w:rsidP="00C90A57"/>
    <w:p w:rsidR="00C90A57" w:rsidRPr="00CD72E4" w:rsidRDefault="00C90A57" w:rsidP="00C90A57">
      <w:r w:rsidRPr="00CD72E4">
        <w:t>Although it continues to consider a situation where the umbrella fund might be identified as the counterparty, we believe this anticipates a potential alternative scenario where the contract is concluded at the level of the umbrella.</w:t>
      </w:r>
    </w:p>
    <w:p w:rsidR="00C90A57" w:rsidRPr="00CD72E4" w:rsidRDefault="00C90A57" w:rsidP="00C90A57"/>
    <w:p w:rsidR="000A12B8" w:rsidRDefault="00C90A57" w:rsidP="00C90A57">
      <w:r w:rsidRPr="00CD72E4">
        <w:t>We would respectfully refer ESMA to the ISO 17442 (LEI) standard, which in fact includes sub-funds explicitly within the definition of an investment fund for which an LEI can be assigned.</w:t>
      </w:r>
    </w:p>
    <w:permEnd w:id="991723022"/>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C90A57" w:rsidP="00E652D1">
      <w:permStart w:id="1132094959" w:edGrp="everyone"/>
      <w:r w:rsidRPr="00C90A57">
        <w:t>We do not believe our members engage in cleared SFTs currently.  However, we would suggest alignment with the approach under EMIR whereby if the transaction is cleared on trade date, only the cleared position needs to be reported.  As such there would often be no need to report the UTI0.</w:t>
      </w:r>
    </w:p>
    <w:permEnd w:id="1132094959"/>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BF2108" w:rsidRPr="00CD72E4" w:rsidRDefault="00C90A57" w:rsidP="00BF2108">
      <w:permStart w:id="694902460" w:edGrp="everyone"/>
      <w:r w:rsidRPr="00C90A57">
        <w:t>Following on from our response to Q80, although we can understand ESMA's desire to connect the transactions in a clearing chain, we do not see any benefit in linking those to the original executed transaction(s), which will be terminated and not contribute to any systemic risk thereafter.</w:t>
      </w:r>
    </w:p>
    <w:permEnd w:id="694902460"/>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15286194" w:edGrp="everyone"/>
      <w:r>
        <w:t>TYPE YOUR TEXT HERE</w:t>
      </w:r>
    </w:p>
    <w:permEnd w:id="115286194"/>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379210059" w:edGrp="everyone"/>
      <w:r>
        <w:t>TYPE YOUR TEXT HERE</w:t>
      </w:r>
    </w:p>
    <w:permEnd w:id="379210059"/>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690309572" w:edGrp="everyone"/>
      <w:r>
        <w:t>TYPE YOUR TEXT HERE</w:t>
      </w:r>
    </w:p>
    <w:permEnd w:id="690309572"/>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lastRenderedPageBreak/>
        <w:t>&lt;ESMA_QUESTION_SFTR_85&gt;</w:t>
      </w:r>
    </w:p>
    <w:p w:rsidR="008B2521" w:rsidRDefault="008B2521" w:rsidP="008B2521">
      <w:permStart w:id="1570648759" w:edGrp="everyone"/>
      <w:r>
        <w:t>In the case of tri-party and agency services, the counterparty is likely to specify the instruments (or their type or grade) that can be accepted or delivered as collateral, it probably will receive information as to the actual instruments on a periodic basis only and may not receive that information in a machine readable form that can be transformed to reportable data.</w:t>
      </w:r>
    </w:p>
    <w:p w:rsidR="008B2521" w:rsidRDefault="008B2521" w:rsidP="008B2521"/>
    <w:p w:rsidR="008B2521" w:rsidRDefault="008B2521" w:rsidP="008B2521">
      <w:r>
        <w:t>With regard to the individual data elements with respect to securities (Table 9), we believe this should be limited to the ISIN, quantity/notional amount and market value.  We do not believe the price should be necessary given the value, while details concerning the issuer and quality of the collateral could be more efficiently enriched as necessary by competent authorities or the trade repositories.</w:t>
      </w:r>
    </w:p>
    <w:p w:rsidR="008B2521" w:rsidRDefault="008B2521" w:rsidP="008B2521"/>
    <w:p w:rsidR="00E652D1" w:rsidRDefault="008B2521" w:rsidP="008B2521">
      <w:r>
        <w:t>We do not believe the haircut should be reported as this is sometimes priced into the transaction, in which case the margin would be reported zero.  We therefore believe it would be more meaningful to derive this simply by deducting this could be derived be deducting the value of the transaction(s) associated with the collateral portfolio from the value of the collateral.</w:t>
      </w:r>
    </w:p>
    <w:permEnd w:id="1570648759"/>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053045854" w:edGrp="everyone"/>
      <w:r>
        <w:t>TYPE YOUR TEXT HERE</w:t>
      </w:r>
    </w:p>
    <w:permEnd w:id="1053045854"/>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7220B9" w:rsidRPr="00B17268" w:rsidRDefault="008B2521" w:rsidP="00E652D1">
      <w:pPr>
        <w:rPr>
          <w:color w:val="FF0000"/>
        </w:rPr>
      </w:pPr>
      <w:permStart w:id="1841831867" w:edGrp="everyone"/>
      <w:r w:rsidRPr="00906AA9">
        <w:t>We believe there is a need to define more clearly what ESMA regards as a "collateral pool".</w:t>
      </w:r>
    </w:p>
    <w:permEnd w:id="1841831867"/>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8B2521" w:rsidP="00E652D1">
      <w:permStart w:id="1437035045" w:edGrp="everyone"/>
      <w:r w:rsidRPr="008B2521">
        <w:t>As mentioned in our responses to Q21 and Q72, we believe there are instances where the counterparty will not know the detail of the collateral until the settlement date, which will not be within the initial reporting timeframe.  We therefore believe that collateral reporting should not commence until the business day following settlement (SD+1).</w:t>
      </w:r>
    </w:p>
    <w:permEnd w:id="1437035045"/>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986003337" w:edGrp="everyone"/>
      <w:r>
        <w:t>TYPE YOUR TEXT HERE</w:t>
      </w:r>
    </w:p>
    <w:permEnd w:id="986003337"/>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8B2521" w:rsidP="00E652D1">
      <w:permStart w:id="1172719078" w:edGrp="everyone"/>
      <w:r w:rsidRPr="008B2521">
        <w:t>Subject to the note at Q87 We believe all of the elements would be available except the last four in each case, which concern collateral.  It is not in any event clear to us why these are not in the collateral data table</w:t>
      </w:r>
      <w:r>
        <w:t>.</w:t>
      </w:r>
    </w:p>
    <w:permEnd w:id="1172719078"/>
    <w:p w:rsidR="00E652D1" w:rsidRDefault="00E652D1" w:rsidP="00E652D1">
      <w:r>
        <w:t>&lt;ESMA_QUESTION_SFTR_90&gt;</w:t>
      </w:r>
    </w:p>
    <w:p w:rsidR="00E652D1" w:rsidRDefault="00E652D1" w:rsidP="00E652D1"/>
    <w:p w:rsidR="00E652D1" w:rsidRDefault="00E652D1" w:rsidP="00E652D1">
      <w:pPr>
        <w:pStyle w:val="QST"/>
        <w:numPr>
          <w:ilvl w:val="0"/>
          <w:numId w:val="50"/>
        </w:numPr>
      </w:pPr>
      <w:r>
        <w:lastRenderedPageBreak/>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Pr="0084519B" w:rsidRDefault="0084519B" w:rsidP="00E652D1">
      <w:permStart w:id="1346256324" w:edGrp="everyone"/>
      <w:r w:rsidRPr="0084519B">
        <w:t>We believe ESMA should adopt option 2 (with the four collateral fields also moved from the counterparty data table), which would detach it from the counterparty/transaction data and allow deferred reporting as appropriate without interfering with the counterparty/transaction data reporting logic.  It should be a different type of report, with repetitive fields for a single UTI.</w:t>
      </w:r>
    </w:p>
    <w:permEnd w:id="1346256324"/>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84519B" w:rsidRPr="0084519B" w:rsidRDefault="0084519B" w:rsidP="00E652D1">
      <w:permStart w:id="1851076116" w:edGrp="everyone"/>
      <w:r w:rsidRPr="0084519B">
        <w:t xml:space="preserve">TYPE YOUR TEXT HERE </w:t>
      </w:r>
    </w:p>
    <w:permEnd w:id="1851076116"/>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8B2521" w:rsidP="00E652D1">
      <w:permStart w:id="602276427" w:edGrp="everyone"/>
      <w:r w:rsidRPr="008B2521">
        <w:t>We believe reporting of changes to collateral would be unnecessarily complex. Reporting of collateral should reflect the entire collateral position at the end of the day (ie. a complete re-fresh of the data reflecting the end-result of all intra-day movements).</w:t>
      </w:r>
    </w:p>
    <w:permEnd w:id="602276427"/>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2022799547" w:edGrp="everyone"/>
      <w:r>
        <w:t>TYPE YOUR TEXT HERE</w:t>
      </w:r>
    </w:p>
    <w:permEnd w:id="2022799547"/>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410593676" w:edGrp="everyone"/>
      <w:r>
        <w:t>TYPE YOUR TEXT HERE</w:t>
      </w:r>
    </w:p>
    <w:permEnd w:id="410593676"/>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320603136" w:edGrp="everyone"/>
      <w:r>
        <w:t>TYPE YOUR TEXT HERE</w:t>
      </w:r>
    </w:p>
    <w:permEnd w:id="320603136"/>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A19F6" w:rsidRDefault="008B2521" w:rsidP="00EA19F6">
      <w:permStart w:id="696990547" w:edGrp="everyone"/>
      <w:r w:rsidRPr="008B2521">
        <w:t>We would suggest that a two-way link mechanism may be appropriate so that a portfolio of collateral that is used to support multiple SFTs may identified in the reports of each connected SFT and each SFT may be identified in the report pertaining to a collateral pool, as follows:</w:t>
      </w:r>
    </w:p>
    <w:p w:rsidR="00EA19F6" w:rsidRDefault="00EA19F6" w:rsidP="00EA19F6"/>
    <w:p w:rsidR="00EA19F6" w:rsidRDefault="00EA5E04" w:rsidP="00EA19F6">
      <w:pPr>
        <w:jc w:val="center"/>
      </w:pPr>
      <w:r w:rsidRPr="00EA5E04">
        <w:rPr>
          <w:noProof/>
          <w:lang w:eastAsia="en-GB"/>
        </w:rPr>
        <w:lastRenderedPageBreak/>
        <w:drawing>
          <wp:inline distT="0" distB="0" distL="0" distR="0">
            <wp:extent cx="4886325" cy="3448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3448050"/>
                    </a:xfrm>
                    <a:prstGeom prst="rect">
                      <a:avLst/>
                    </a:prstGeom>
                    <a:noFill/>
                    <a:ln>
                      <a:noFill/>
                    </a:ln>
                  </pic:spPr>
                </pic:pic>
              </a:graphicData>
            </a:graphic>
          </wp:inline>
        </w:drawing>
      </w:r>
    </w:p>
    <w:p w:rsidR="00EA19F6" w:rsidRDefault="00EA19F6" w:rsidP="00E652D1"/>
    <w:permEnd w:id="696990547"/>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8B2521" w:rsidRDefault="008B2521" w:rsidP="008B2521">
      <w:permStart w:id="907700138" w:edGrp="everyone"/>
      <w:r>
        <w:t>TYPE YOUR TEXT HERE</w:t>
      </w:r>
    </w:p>
    <w:permEnd w:id="907700138"/>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679885871" w:edGrp="everyone"/>
      <w:r>
        <w:t>TYPE YOUR TEXT HERE</w:t>
      </w:r>
    </w:p>
    <w:permEnd w:id="679885871"/>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1577409834" w:edGrp="everyone"/>
      <w:r>
        <w:t>TYPE YOUR TEXT HERE</w:t>
      </w:r>
    </w:p>
    <w:permEnd w:id="1577409834"/>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483538804" w:edGrp="everyone"/>
      <w:r>
        <w:t>TYPE YOUR TEXT HERE</w:t>
      </w:r>
    </w:p>
    <w:permEnd w:id="483538804"/>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375886670" w:edGrp="everyone"/>
      <w:r>
        <w:t>TYPE YOUR TEXT HERE</w:t>
      </w:r>
    </w:p>
    <w:permEnd w:id="1375886670"/>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1013802435" w:edGrp="everyone"/>
      <w:r>
        <w:lastRenderedPageBreak/>
        <w:t>TYPE YOUR TEXT HERE</w:t>
      </w:r>
    </w:p>
    <w:permEnd w:id="1013802435"/>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507614935" w:edGrp="everyone"/>
      <w:r>
        <w:t>TYPE YOUR TEXT HERE</w:t>
      </w:r>
    </w:p>
    <w:permEnd w:id="1507614935"/>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1254631234" w:edGrp="everyone"/>
      <w:r>
        <w:t>TYPE YOUR TEXT HERE</w:t>
      </w:r>
    </w:p>
    <w:permEnd w:id="1254631234"/>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1133781595" w:edGrp="everyone"/>
      <w:r>
        <w:t>TYPE YOUR TEXT HERE</w:t>
      </w:r>
    </w:p>
    <w:permEnd w:id="1133781595"/>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1432505380" w:edGrp="everyone"/>
      <w:r>
        <w:t>TYPE YOUR TEXT HERE</w:t>
      </w:r>
    </w:p>
    <w:permEnd w:id="1432505380"/>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975281366" w:edGrp="everyone"/>
      <w:r>
        <w:t>TYPE YOUR TEXT HERE</w:t>
      </w:r>
    </w:p>
    <w:permEnd w:id="1975281366"/>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2123563794" w:edGrp="everyone"/>
      <w:r>
        <w:t>TYPE YOUR TEXT HERE</w:t>
      </w:r>
    </w:p>
    <w:permEnd w:id="2123563794"/>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1407917913" w:edGrp="everyone"/>
      <w:r>
        <w:t>TYPE YOUR TEXT HERE</w:t>
      </w:r>
    </w:p>
    <w:permEnd w:id="1407917913"/>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8B2521" w:rsidP="00E652D1">
      <w:permStart w:id="801321687" w:edGrp="everyone"/>
      <w:r w:rsidRPr="008B2521">
        <w:t xml:space="preserve">We agree that both cash and securities should be reported as they both make up the portfolio of collateral used by prime brokers. However, borrowers of a margin loan would struggle to identify the specific collateral elements within the collateral portfolio that can be linked to a margin loan: it require huge investment in systems and in the meantime the borrowing counterparty would be relying on the prime brokers’ data </w:t>
      </w:r>
      <w:r w:rsidRPr="008B2521">
        <w:lastRenderedPageBreak/>
        <w:t>reports.  For this reason, we propose in our response to Q21 that the lender only should be required to report the collateral.</w:t>
      </w:r>
    </w:p>
    <w:permEnd w:id="801321687"/>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8B2521" w:rsidRDefault="008B2521" w:rsidP="008B2521">
      <w:permStart w:id="1225917901" w:edGrp="everyone"/>
      <w:r>
        <w:t>When it comes to reuse of collateral for margin loans, the borrower would only know which assets have been reused by a prime broker once they have reported that value to the borrower. Otherwise the only data available to the borrower is the limit placed upon what the prime broker can reuse (eg. 110% of the fund’s indebtedness).  Moreover, brokers currently do not have reporting methods that are able to reflect accurately the amount of collateral that has been reused</w:t>
      </w:r>
      <w:r w:rsidR="008B7A17">
        <w:t xml:space="preserve"> - </w:t>
      </w:r>
      <w:r>
        <w:t>it would be closer to an estimate or approximation of rehypothecation of assets.</w:t>
      </w:r>
    </w:p>
    <w:p w:rsidR="004569D8" w:rsidRDefault="004569D8" w:rsidP="008B2521">
      <w:bookmarkStart w:id="3" w:name="_GoBack"/>
      <w:bookmarkEnd w:id="3"/>
    </w:p>
    <w:p w:rsidR="00E652D1" w:rsidRDefault="008B2521" w:rsidP="008B2521">
      <w:r>
        <w:t>We therefore believe that only the collateral holder who reuses that collateral should have any obligation to report on reuse, although ESMA does not state its intention in this respect clearly in the discussion paper.</w:t>
      </w:r>
    </w:p>
    <w:permEnd w:id="1225917901"/>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1907192061" w:edGrp="everyone"/>
      <w:r>
        <w:t>TYPE YOUR TEXT HERE</w:t>
      </w:r>
    </w:p>
    <w:permEnd w:id="1907192061"/>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1852592322" w:edGrp="everyone"/>
      <w:r>
        <w:t>TYPE YOUR TEXT HERE</w:t>
      </w:r>
    </w:p>
    <w:permEnd w:id="1852592322"/>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287535271" w:edGrp="everyone"/>
      <w:r>
        <w:t>TYPE YOUR TEXT HERE</w:t>
      </w:r>
    </w:p>
    <w:permEnd w:id="287535271"/>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429530677" w:edGrp="everyone"/>
      <w:r>
        <w:t>TYPE YOUR TEXT HERE</w:t>
      </w:r>
    </w:p>
    <w:permEnd w:id="429530677"/>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918904015" w:edGrp="everyone"/>
      <w:r>
        <w:t>TYPE YOUR TEXT HERE</w:t>
      </w:r>
    </w:p>
    <w:permEnd w:id="918904015"/>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345732447" w:edGrp="everyone"/>
      <w:r>
        <w:t>TYPE YOUR TEXT HERE</w:t>
      </w:r>
    </w:p>
    <w:permEnd w:id="345732447"/>
    <w:p w:rsidR="00E652D1" w:rsidRDefault="00E652D1" w:rsidP="00E652D1">
      <w:r>
        <w:t>&lt;ESMA_QUESTION_SFTR_118&gt;</w:t>
      </w:r>
    </w:p>
    <w:p w:rsidR="00E652D1" w:rsidRDefault="00E652D1" w:rsidP="00E652D1"/>
    <w:p w:rsidR="00E652D1" w:rsidRDefault="00E652D1" w:rsidP="00E652D1">
      <w:pPr>
        <w:pStyle w:val="QST"/>
        <w:numPr>
          <w:ilvl w:val="0"/>
          <w:numId w:val="50"/>
        </w:numPr>
      </w:pPr>
      <w:r>
        <w:lastRenderedPageBreak/>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473248184" w:edGrp="everyone"/>
      <w:r>
        <w:t>TYPE YOUR TEXT HERE</w:t>
      </w:r>
    </w:p>
    <w:permEnd w:id="473248184"/>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689076759" w:edGrp="everyone"/>
      <w:r>
        <w:t>TYPE YOUR TEXT HERE</w:t>
      </w:r>
    </w:p>
    <w:permEnd w:id="1689076759"/>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811415108" w:edGrp="everyone"/>
      <w:r>
        <w:t>TYPE YOUR TEXT HERE</w:t>
      </w:r>
    </w:p>
    <w:permEnd w:id="1811415108"/>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898060324" w:edGrp="everyone"/>
      <w:r>
        <w:t>TYPE YOUR TEXT HERE</w:t>
      </w:r>
    </w:p>
    <w:permEnd w:id="898060324"/>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495925185" w:edGrp="everyone"/>
      <w:r>
        <w:t>TYPE YOUR TEXT HERE</w:t>
      </w:r>
    </w:p>
    <w:permEnd w:id="495925185"/>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46874714" w:edGrp="everyone"/>
      <w:r>
        <w:t>TYPE YOUR TEXT HERE</w:t>
      </w:r>
    </w:p>
    <w:permEnd w:id="46874714"/>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1255233887" w:edGrp="everyone"/>
      <w:r>
        <w:t>TYPE YOUR TEXT HERE</w:t>
      </w:r>
    </w:p>
    <w:permEnd w:id="1255233887"/>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8B2521" w:rsidRDefault="008B2521" w:rsidP="008B2521">
      <w:permStart w:id="400426060" w:edGrp="everyone"/>
      <w:r>
        <w:t>Insofar as the use of master agreements is concerned, we believe only the type and version should be required to meet ESMA's objectives to understands the degree to which standardisation exists in the SFT market.  Annexes will often address very granular differences, data on which will add little or nothing in terms of valuable information.</w:t>
      </w:r>
    </w:p>
    <w:p w:rsidR="008B2521" w:rsidRDefault="008B2521" w:rsidP="008B2521"/>
    <w:p w:rsidR="00CA16E1" w:rsidRDefault="008B2521" w:rsidP="008B2521">
      <w:r>
        <w:t xml:space="preserve">As noted in our response to Q19, we are concerned about the proposal to required Master Agreement information down to annex level.  It would require huge investment by firms to enable the electronic capture of terms that are documented in what may be bespoke annexes and attach these to individual trades.  We </w:t>
      </w:r>
      <w:r>
        <w:lastRenderedPageBreak/>
        <w:t>do not believe Master Agreements themselves vary between counterparties on a trade-by-trade basis and they not typically held in a way that would facilitate capture at trade level.  We would recommend instead that Master Agreement information be reported separately and cover only the Master Agreement and version that is in place with a particular counterparty for a  particular type of SFT.</w:t>
      </w:r>
    </w:p>
    <w:permEnd w:id="400426060"/>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1978817384" w:edGrp="everyone"/>
      <w:r>
        <w:t>TYPE YOUR TEXT HERE</w:t>
      </w:r>
    </w:p>
    <w:permEnd w:id="1978817384"/>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8B2521" w:rsidRDefault="008B2521" w:rsidP="008B2521">
      <w:permStart w:id="688662934" w:edGrp="everyone"/>
      <w:r>
        <w:t>We understand the distinction between automated and automatic trading systems to be that the first involves a bilateral exchange communications to agree the terms of a trade and its execution, while the second involves a platform on the trader selects from a ranger of prices offered for the relevant product and trades on the press of a button/click of a mouse.</w:t>
      </w:r>
    </w:p>
    <w:p w:rsidR="008B2521" w:rsidRDefault="008B2521" w:rsidP="008B2521"/>
    <w:p w:rsidR="008B2521" w:rsidRDefault="008B2521" w:rsidP="00E652D1">
      <w:r>
        <w:t>We believe the description of automated trading should not draw specific attention to voice brokers, as the negotiation itself may be conducted via the platform concerned.  We would also suggest using an alternative term, such as "electronic trading systems" to avoid the inevitable confusion between the existing very similar terms.</w:t>
      </w:r>
    </w:p>
    <w:permEnd w:id="688662934"/>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96243546" w:edGrp="everyone"/>
      <w:r>
        <w:t>TYPE YOUR TEXT HERE</w:t>
      </w:r>
    </w:p>
    <w:permEnd w:id="196243546"/>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1828220647" w:edGrp="everyone"/>
      <w:r>
        <w:t>TYPE YOUR TEXT HERE</w:t>
      </w:r>
    </w:p>
    <w:permEnd w:id="1828220647"/>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540951950" w:edGrp="everyone"/>
      <w:r>
        <w:t>TYPE YOUR TEXT HERE</w:t>
      </w:r>
    </w:p>
    <w:permEnd w:id="540951950"/>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518660698" w:edGrp="everyone"/>
      <w:r>
        <w:t>TYPE YOUR TEXT HERE</w:t>
      </w:r>
    </w:p>
    <w:permEnd w:id="518660698"/>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t>
      </w:r>
      <w:r>
        <w:lastRenderedPageBreak/>
        <w:t>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58142892" w:edGrp="everyone"/>
      <w:r>
        <w:t>TYPE YOUR TEXT HERE</w:t>
      </w:r>
    </w:p>
    <w:permEnd w:id="58142892"/>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8B2521" w:rsidRDefault="008B2521" w:rsidP="00E652D1">
      <w:permStart w:id="1978403773" w:edGrp="everyone"/>
      <w:r w:rsidRPr="008B2521">
        <w:t>As noted in responses to previous questions, we believe reporting of collateral should be separate and commence on the business day following settlement.  It follows that we believe collateral reports should be reconciled separately at collateral portfolio level and only form that point onwards.</w:t>
      </w:r>
    </w:p>
    <w:permEnd w:id="1978403773"/>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2033458871" w:edGrp="everyone"/>
      <w:r>
        <w:t>TYPE YOUR TEXT HERE</w:t>
      </w:r>
    </w:p>
    <w:permEnd w:id="2033458871"/>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2052919489" w:edGrp="everyone"/>
      <w:r>
        <w:t>TYPE YOUR TEXT HERE</w:t>
      </w:r>
    </w:p>
    <w:permEnd w:id="2052919489"/>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427902556" w:edGrp="everyone"/>
      <w:r>
        <w:t>TYPE YOUR TEXT HERE</w:t>
      </w:r>
    </w:p>
    <w:permEnd w:id="1427902556"/>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11960987" w:edGrp="everyone"/>
      <w:r>
        <w:t>TYPE YOUR TEXT HERE</w:t>
      </w:r>
    </w:p>
    <w:permEnd w:id="111960987"/>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86840771" w:edGrp="everyone"/>
      <w:r>
        <w:t>TYPE YOUR TEXT HERE</w:t>
      </w:r>
    </w:p>
    <w:permEnd w:id="86840771"/>
    <w:p w:rsidR="00E652D1" w:rsidRDefault="00E652D1" w:rsidP="00E652D1">
      <w:r>
        <w:t>&lt;ESMA_QUESTION_SFTR_139&gt;</w:t>
      </w:r>
    </w:p>
    <w:p w:rsidR="00E652D1" w:rsidRDefault="00E652D1" w:rsidP="00E652D1"/>
    <w:p w:rsidR="00E652D1" w:rsidRDefault="00E652D1" w:rsidP="00E652D1">
      <w:pPr>
        <w:pStyle w:val="QST"/>
        <w:numPr>
          <w:ilvl w:val="0"/>
          <w:numId w:val="50"/>
        </w:numPr>
      </w:pPr>
      <w:r>
        <w:lastRenderedPageBreak/>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499077496" w:edGrp="everyone"/>
      <w:r>
        <w:t>TYPE YOUR TEXT HERE</w:t>
      </w:r>
    </w:p>
    <w:permEnd w:id="499077496"/>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341747165" w:edGrp="everyone"/>
      <w:r>
        <w:t>TYPE YOUR TEXT HERE</w:t>
      </w:r>
    </w:p>
    <w:permEnd w:id="1341747165"/>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939669852" w:edGrp="everyone"/>
      <w:r>
        <w:t>TYPE YOUR TEXT HERE</w:t>
      </w:r>
    </w:p>
    <w:permEnd w:id="939669852"/>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769486749" w:edGrp="everyone"/>
      <w:r>
        <w:t>TYPE YOUR TEXT HERE</w:t>
      </w:r>
    </w:p>
    <w:permEnd w:id="769486749"/>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1163210716" w:edGrp="everyone"/>
      <w:r>
        <w:t>TYPE YOUR TEXT HERE</w:t>
      </w:r>
    </w:p>
    <w:permEnd w:id="1163210716"/>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983714367" w:edGrp="everyone"/>
      <w:r>
        <w:t>TYPE YOUR TEXT HERE</w:t>
      </w:r>
    </w:p>
    <w:permEnd w:id="1983714367"/>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42" w:rsidRDefault="00634542">
      <w:r>
        <w:separator/>
      </w:r>
    </w:p>
    <w:p w:rsidR="00634542" w:rsidRDefault="00634542"/>
  </w:endnote>
  <w:endnote w:type="continuationSeparator" w:id="0">
    <w:p w:rsidR="00634542" w:rsidRDefault="00634542">
      <w:r>
        <w:continuationSeparator/>
      </w:r>
    </w:p>
    <w:p w:rsidR="00634542" w:rsidRDefault="00634542"/>
  </w:endnote>
  <w:endnote w:type="continuationNotice" w:id="1">
    <w:p w:rsidR="00634542" w:rsidRDefault="0063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34542" w:rsidRPr="00616B9B" w:rsidTr="00315E96">
      <w:trPr>
        <w:trHeight w:val="284"/>
      </w:trPr>
      <w:tc>
        <w:tcPr>
          <w:tcW w:w="8460" w:type="dxa"/>
        </w:tcPr>
        <w:p w:rsidR="00634542" w:rsidRPr="00315E96" w:rsidRDefault="00634542" w:rsidP="00315E96">
          <w:pPr>
            <w:pStyle w:val="00Footer"/>
            <w:rPr>
              <w:lang w:val="fr-FR"/>
            </w:rPr>
          </w:pPr>
        </w:p>
      </w:tc>
      <w:tc>
        <w:tcPr>
          <w:tcW w:w="952" w:type="dxa"/>
        </w:tcPr>
        <w:p w:rsidR="00634542" w:rsidRPr="00616B9B" w:rsidRDefault="0063454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569D8">
            <w:rPr>
              <w:rFonts w:cs="Arial"/>
              <w:noProof/>
              <w:sz w:val="22"/>
              <w:szCs w:val="22"/>
            </w:rPr>
            <w:t>24</w:t>
          </w:r>
          <w:r w:rsidRPr="00616B9B">
            <w:rPr>
              <w:rFonts w:cs="Arial"/>
              <w:noProof/>
              <w:sz w:val="22"/>
              <w:szCs w:val="22"/>
            </w:rPr>
            <w:fldChar w:fldCharType="end"/>
          </w:r>
        </w:p>
      </w:tc>
    </w:tr>
  </w:tbl>
  <w:p w:rsidR="00634542" w:rsidRDefault="00634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42" w:rsidRDefault="0063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42" w:rsidRDefault="00634542">
      <w:r>
        <w:separator/>
      </w:r>
    </w:p>
    <w:p w:rsidR="00634542" w:rsidRDefault="00634542"/>
  </w:footnote>
  <w:footnote w:type="continuationSeparator" w:id="0">
    <w:p w:rsidR="00634542" w:rsidRDefault="00634542">
      <w:r>
        <w:continuationSeparator/>
      </w:r>
    </w:p>
    <w:p w:rsidR="00634542" w:rsidRDefault="00634542"/>
  </w:footnote>
  <w:footnote w:type="continuationNotice" w:id="1">
    <w:p w:rsidR="00634542" w:rsidRDefault="006345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42" w:rsidRDefault="00634542">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0B69CB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42" w:rsidRDefault="00634542"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42" w:rsidRDefault="006345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34542" w:rsidRPr="002F4496" w:rsidTr="000C06C9">
      <w:trPr>
        <w:trHeight w:val="284"/>
      </w:trPr>
      <w:tc>
        <w:tcPr>
          <w:tcW w:w="8460" w:type="dxa"/>
        </w:tcPr>
        <w:p w:rsidR="00634542" w:rsidRPr="000C3B6D" w:rsidRDefault="00634542" w:rsidP="000C06C9">
          <w:pPr>
            <w:pStyle w:val="00Footer"/>
            <w:rPr>
              <w:lang w:val="fr-FR"/>
            </w:rPr>
          </w:pPr>
        </w:p>
      </w:tc>
      <w:tc>
        <w:tcPr>
          <w:tcW w:w="952" w:type="dxa"/>
        </w:tcPr>
        <w:p w:rsidR="00634542" w:rsidRPr="00146B34" w:rsidRDefault="00634542" w:rsidP="000C06C9">
          <w:pPr>
            <w:pStyle w:val="00aPagenumber"/>
            <w:rPr>
              <w:lang w:val="fr-FR"/>
            </w:rPr>
          </w:pPr>
        </w:p>
      </w:tc>
    </w:tr>
  </w:tbl>
  <w:p w:rsidR="00634542" w:rsidRPr="00DB46C3" w:rsidRDefault="00634542">
    <w:pPr>
      <w:rPr>
        <w:lang w:val="fr-FR"/>
      </w:rPr>
    </w:pPr>
  </w:p>
  <w:p w:rsidR="00634542" w:rsidRPr="002F4496" w:rsidRDefault="00634542">
    <w:pPr>
      <w:pStyle w:val="Header"/>
      <w:rPr>
        <w:lang w:val="fr-FR"/>
      </w:rPr>
    </w:pPr>
  </w:p>
  <w:p w:rsidR="00634542" w:rsidRPr="002F4496" w:rsidRDefault="00634542" w:rsidP="000C06C9">
    <w:pPr>
      <w:pStyle w:val="Header"/>
      <w:tabs>
        <w:tab w:val="clear" w:pos="4536"/>
        <w:tab w:val="clear" w:pos="9072"/>
        <w:tab w:val="left" w:pos="8227"/>
      </w:tabs>
      <w:rPr>
        <w:lang w:val="fr-FR"/>
      </w:rPr>
    </w:pPr>
  </w:p>
  <w:p w:rsidR="00634542" w:rsidRPr="002F4496" w:rsidRDefault="00634542" w:rsidP="000C06C9">
    <w:pPr>
      <w:pStyle w:val="Header"/>
      <w:tabs>
        <w:tab w:val="clear" w:pos="4536"/>
        <w:tab w:val="clear" w:pos="9072"/>
        <w:tab w:val="left" w:pos="8227"/>
      </w:tabs>
      <w:rPr>
        <w:lang w:val="fr-FR"/>
      </w:rPr>
    </w:pPr>
  </w:p>
  <w:p w:rsidR="00634542" w:rsidRPr="002F4496" w:rsidRDefault="00634542">
    <w:pPr>
      <w:pStyle w:val="Header"/>
      <w:rPr>
        <w:lang w:val="fr-FR"/>
      </w:rPr>
    </w:pPr>
  </w:p>
  <w:p w:rsidR="00634542" w:rsidRPr="002F4496" w:rsidRDefault="00634542">
    <w:pPr>
      <w:pStyle w:val="Header"/>
      <w:rPr>
        <w:lang w:val="fr-FR"/>
      </w:rPr>
    </w:pPr>
  </w:p>
  <w:p w:rsidR="00634542" w:rsidRPr="002F4496" w:rsidRDefault="00634542">
    <w:pPr>
      <w:pStyle w:val="Header"/>
      <w:rPr>
        <w:lang w:val="fr-FR"/>
      </w:rPr>
    </w:pPr>
  </w:p>
  <w:p w:rsidR="00634542" w:rsidRPr="002F4496" w:rsidRDefault="00634542">
    <w:pPr>
      <w:pStyle w:val="Header"/>
      <w:rPr>
        <w:lang w:val="fr-FR"/>
      </w:rPr>
    </w:pPr>
  </w:p>
  <w:p w:rsidR="00634542" w:rsidRPr="002F4496" w:rsidRDefault="00634542">
    <w:pPr>
      <w:pStyle w:val="Header"/>
      <w:rPr>
        <w:highlight w:val="yellow"/>
        <w:lang w:val="fr-FR"/>
      </w:rPr>
    </w:pPr>
  </w:p>
  <w:p w:rsidR="00634542" w:rsidRDefault="00634542">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1B0E45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AE2D9D"/>
    <w:multiLevelType w:val="hybridMultilevel"/>
    <w:tmpl w:val="1C4A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9FE323F"/>
    <w:multiLevelType w:val="hybridMultilevel"/>
    <w:tmpl w:val="BE4AA2AA"/>
    <w:lvl w:ilvl="0" w:tplc="336AEA4A">
      <w:start w:val="134"/>
      <w:numFmt w:val="decimal"/>
      <w:lvlText w:val="Q%1."/>
      <w:lvlJc w:val="right"/>
      <w:pPr>
        <w:ind w:left="720" w:hanging="36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451508D"/>
    <w:multiLevelType w:val="hybridMultilevel"/>
    <w:tmpl w:val="0C2A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E03E2"/>
    <w:multiLevelType w:val="hybridMultilevel"/>
    <w:tmpl w:val="16B2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8"/>
  </w:num>
  <w:num w:numId="22">
    <w:abstractNumId w:val="24"/>
  </w:num>
  <w:num w:numId="23">
    <w:abstractNumId w:val="10"/>
  </w:num>
  <w:num w:numId="24">
    <w:abstractNumId w:val="30"/>
  </w:num>
  <w:num w:numId="25">
    <w:abstractNumId w:val="29"/>
  </w:num>
  <w:num w:numId="26">
    <w:abstractNumId w:val="19"/>
  </w:num>
  <w:num w:numId="27">
    <w:abstractNumId w:val="34"/>
  </w:num>
  <w:num w:numId="28">
    <w:abstractNumId w:val="41"/>
  </w:num>
  <w:num w:numId="29">
    <w:abstractNumId w:val="8"/>
  </w:num>
  <w:num w:numId="30">
    <w:abstractNumId w:val="3"/>
  </w:num>
  <w:num w:numId="31">
    <w:abstractNumId w:val="21"/>
  </w:num>
  <w:num w:numId="32">
    <w:abstractNumId w:val="2"/>
  </w:num>
  <w:num w:numId="33">
    <w:abstractNumId w:val="7"/>
  </w:num>
  <w:num w:numId="34">
    <w:abstractNumId w:val="20"/>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33"/>
  </w:num>
  <w:num w:numId="53">
    <w:abstractNumId w:val="28"/>
  </w:num>
  <w:num w:numId="5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839"/>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04C8"/>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173"/>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2B8"/>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0313"/>
    <w:rsid w:val="001027F1"/>
    <w:rsid w:val="00104F2E"/>
    <w:rsid w:val="0010722B"/>
    <w:rsid w:val="001072DD"/>
    <w:rsid w:val="00110D7A"/>
    <w:rsid w:val="00111464"/>
    <w:rsid w:val="0011167D"/>
    <w:rsid w:val="00112892"/>
    <w:rsid w:val="00112E48"/>
    <w:rsid w:val="001130EA"/>
    <w:rsid w:val="00114259"/>
    <w:rsid w:val="001168B2"/>
    <w:rsid w:val="00116DBE"/>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7CB"/>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0C9"/>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F2C"/>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556A"/>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BBB"/>
    <w:rsid w:val="00232F90"/>
    <w:rsid w:val="00233B08"/>
    <w:rsid w:val="00233C3B"/>
    <w:rsid w:val="0023499C"/>
    <w:rsid w:val="00235CE3"/>
    <w:rsid w:val="0023636A"/>
    <w:rsid w:val="00236F34"/>
    <w:rsid w:val="002372F7"/>
    <w:rsid w:val="00240651"/>
    <w:rsid w:val="00240803"/>
    <w:rsid w:val="00241B57"/>
    <w:rsid w:val="00243F2C"/>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F8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2AC"/>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050"/>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4FCF"/>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E7B5B"/>
    <w:rsid w:val="003F0403"/>
    <w:rsid w:val="003F1094"/>
    <w:rsid w:val="003F2E45"/>
    <w:rsid w:val="003F3EFE"/>
    <w:rsid w:val="003F40B8"/>
    <w:rsid w:val="003F5C06"/>
    <w:rsid w:val="003F7B56"/>
    <w:rsid w:val="00400195"/>
    <w:rsid w:val="0040254B"/>
    <w:rsid w:val="00403086"/>
    <w:rsid w:val="00403460"/>
    <w:rsid w:val="004040FF"/>
    <w:rsid w:val="00404284"/>
    <w:rsid w:val="004042C4"/>
    <w:rsid w:val="0040496B"/>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9D8"/>
    <w:rsid w:val="00460905"/>
    <w:rsid w:val="00461E35"/>
    <w:rsid w:val="004621DB"/>
    <w:rsid w:val="004634A7"/>
    <w:rsid w:val="00463787"/>
    <w:rsid w:val="00466926"/>
    <w:rsid w:val="00466FDA"/>
    <w:rsid w:val="004671D0"/>
    <w:rsid w:val="004674D1"/>
    <w:rsid w:val="00467C4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64D"/>
    <w:rsid w:val="00486C17"/>
    <w:rsid w:val="00486DE2"/>
    <w:rsid w:val="00487117"/>
    <w:rsid w:val="00487A32"/>
    <w:rsid w:val="00487A91"/>
    <w:rsid w:val="004901E5"/>
    <w:rsid w:val="0049027D"/>
    <w:rsid w:val="004903D4"/>
    <w:rsid w:val="0049052B"/>
    <w:rsid w:val="00492457"/>
    <w:rsid w:val="004924A8"/>
    <w:rsid w:val="004933ED"/>
    <w:rsid w:val="004934E9"/>
    <w:rsid w:val="00494737"/>
    <w:rsid w:val="00494D5C"/>
    <w:rsid w:val="00495A6A"/>
    <w:rsid w:val="004964F6"/>
    <w:rsid w:val="00496821"/>
    <w:rsid w:val="00497750"/>
    <w:rsid w:val="00497B44"/>
    <w:rsid w:val="004A00E5"/>
    <w:rsid w:val="004A01A7"/>
    <w:rsid w:val="004A0D09"/>
    <w:rsid w:val="004A116E"/>
    <w:rsid w:val="004A2BE2"/>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18DC"/>
    <w:rsid w:val="00573569"/>
    <w:rsid w:val="00573871"/>
    <w:rsid w:val="0057389E"/>
    <w:rsid w:val="005765C0"/>
    <w:rsid w:val="005778DE"/>
    <w:rsid w:val="00577AE5"/>
    <w:rsid w:val="00580B3F"/>
    <w:rsid w:val="005825F2"/>
    <w:rsid w:val="005859C3"/>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56F3"/>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1B8"/>
    <w:rsid w:val="00621E1F"/>
    <w:rsid w:val="006228B2"/>
    <w:rsid w:val="006228E1"/>
    <w:rsid w:val="00622E32"/>
    <w:rsid w:val="00623688"/>
    <w:rsid w:val="006247E0"/>
    <w:rsid w:val="00625F82"/>
    <w:rsid w:val="00627999"/>
    <w:rsid w:val="00630FF7"/>
    <w:rsid w:val="00633433"/>
    <w:rsid w:val="006341B5"/>
    <w:rsid w:val="00634542"/>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6E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0E3C"/>
    <w:rsid w:val="006E2A23"/>
    <w:rsid w:val="006E35E5"/>
    <w:rsid w:val="006E3C72"/>
    <w:rsid w:val="006E4F20"/>
    <w:rsid w:val="006E649A"/>
    <w:rsid w:val="006F08DC"/>
    <w:rsid w:val="006F163E"/>
    <w:rsid w:val="006F2DCF"/>
    <w:rsid w:val="006F3948"/>
    <w:rsid w:val="006F4403"/>
    <w:rsid w:val="006F45EC"/>
    <w:rsid w:val="006F47B8"/>
    <w:rsid w:val="006F47D2"/>
    <w:rsid w:val="006F4B04"/>
    <w:rsid w:val="006F5456"/>
    <w:rsid w:val="006F57F2"/>
    <w:rsid w:val="006F585C"/>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0B9"/>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3F49"/>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97A53"/>
    <w:rsid w:val="007A076C"/>
    <w:rsid w:val="007A2140"/>
    <w:rsid w:val="007A23E2"/>
    <w:rsid w:val="007A31A5"/>
    <w:rsid w:val="007A36AB"/>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6D8"/>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19B"/>
    <w:rsid w:val="00845968"/>
    <w:rsid w:val="00845D87"/>
    <w:rsid w:val="00846C3A"/>
    <w:rsid w:val="008477BF"/>
    <w:rsid w:val="008503DA"/>
    <w:rsid w:val="00850B68"/>
    <w:rsid w:val="00850C3E"/>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4EF"/>
    <w:rsid w:val="008909B4"/>
    <w:rsid w:val="008922E8"/>
    <w:rsid w:val="00893916"/>
    <w:rsid w:val="0089442C"/>
    <w:rsid w:val="00895818"/>
    <w:rsid w:val="00897370"/>
    <w:rsid w:val="008A2585"/>
    <w:rsid w:val="008A2718"/>
    <w:rsid w:val="008A4CF6"/>
    <w:rsid w:val="008A4E42"/>
    <w:rsid w:val="008A51AA"/>
    <w:rsid w:val="008A6A12"/>
    <w:rsid w:val="008B0DC6"/>
    <w:rsid w:val="008B2521"/>
    <w:rsid w:val="008B2B9E"/>
    <w:rsid w:val="008B31F5"/>
    <w:rsid w:val="008B4C79"/>
    <w:rsid w:val="008B5D2D"/>
    <w:rsid w:val="008B6361"/>
    <w:rsid w:val="008B7A17"/>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24E1"/>
    <w:rsid w:val="00903E11"/>
    <w:rsid w:val="00903EBE"/>
    <w:rsid w:val="009041DE"/>
    <w:rsid w:val="00905D59"/>
    <w:rsid w:val="009062CA"/>
    <w:rsid w:val="00907631"/>
    <w:rsid w:val="00907776"/>
    <w:rsid w:val="00911AA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167"/>
    <w:rsid w:val="00962CEF"/>
    <w:rsid w:val="00963766"/>
    <w:rsid w:val="00963FDF"/>
    <w:rsid w:val="00964C32"/>
    <w:rsid w:val="0096528F"/>
    <w:rsid w:val="009653F2"/>
    <w:rsid w:val="009661DF"/>
    <w:rsid w:val="009667BD"/>
    <w:rsid w:val="00967CE2"/>
    <w:rsid w:val="00971DA3"/>
    <w:rsid w:val="00972161"/>
    <w:rsid w:val="0097261B"/>
    <w:rsid w:val="009726E1"/>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2F4D"/>
    <w:rsid w:val="00994621"/>
    <w:rsid w:val="009947FF"/>
    <w:rsid w:val="0099544B"/>
    <w:rsid w:val="009A07A6"/>
    <w:rsid w:val="009A0D56"/>
    <w:rsid w:val="009A31B9"/>
    <w:rsid w:val="009A4D4F"/>
    <w:rsid w:val="009A53D8"/>
    <w:rsid w:val="009A597F"/>
    <w:rsid w:val="009A7B72"/>
    <w:rsid w:val="009A7F49"/>
    <w:rsid w:val="009B03C4"/>
    <w:rsid w:val="009B09EB"/>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3A45"/>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51B"/>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2E63"/>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3E57"/>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AE2"/>
    <w:rsid w:val="00AE7FE1"/>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268"/>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559"/>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108"/>
    <w:rsid w:val="00BF373A"/>
    <w:rsid w:val="00BF62D2"/>
    <w:rsid w:val="00BF6D9E"/>
    <w:rsid w:val="00BF71BB"/>
    <w:rsid w:val="00BF76F7"/>
    <w:rsid w:val="00BF77C4"/>
    <w:rsid w:val="00BF7C9F"/>
    <w:rsid w:val="00C00012"/>
    <w:rsid w:val="00C000A5"/>
    <w:rsid w:val="00C006B4"/>
    <w:rsid w:val="00C00938"/>
    <w:rsid w:val="00C00E2A"/>
    <w:rsid w:val="00C025B9"/>
    <w:rsid w:val="00C044B4"/>
    <w:rsid w:val="00C05105"/>
    <w:rsid w:val="00C05A5D"/>
    <w:rsid w:val="00C06504"/>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02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0A57"/>
    <w:rsid w:val="00C915EF"/>
    <w:rsid w:val="00C923B7"/>
    <w:rsid w:val="00C92A0C"/>
    <w:rsid w:val="00C94D4C"/>
    <w:rsid w:val="00CA012C"/>
    <w:rsid w:val="00CA0AA6"/>
    <w:rsid w:val="00CA16E1"/>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9B8"/>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37ED6"/>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716"/>
    <w:rsid w:val="00D56AC0"/>
    <w:rsid w:val="00D6081B"/>
    <w:rsid w:val="00D6240A"/>
    <w:rsid w:val="00D63093"/>
    <w:rsid w:val="00D63599"/>
    <w:rsid w:val="00D63EBD"/>
    <w:rsid w:val="00D67101"/>
    <w:rsid w:val="00D71B45"/>
    <w:rsid w:val="00D71F8A"/>
    <w:rsid w:val="00D73BB0"/>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4037"/>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2FC9"/>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0816"/>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9F6"/>
    <w:rsid w:val="00EA2AEA"/>
    <w:rsid w:val="00EA332B"/>
    <w:rsid w:val="00EA3D36"/>
    <w:rsid w:val="00EA40AA"/>
    <w:rsid w:val="00EA57E2"/>
    <w:rsid w:val="00EA5E04"/>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3B5"/>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BEB"/>
    <w:rsid w:val="00F77D43"/>
    <w:rsid w:val="00F80953"/>
    <w:rsid w:val="00F81312"/>
    <w:rsid w:val="00F81B90"/>
    <w:rsid w:val="00F81E6F"/>
    <w:rsid w:val="00F82FF3"/>
    <w:rsid w:val="00F8453C"/>
    <w:rsid w:val="00F84D4C"/>
    <w:rsid w:val="00F8657D"/>
    <w:rsid w:val="00F8730F"/>
    <w:rsid w:val="00F87DA3"/>
    <w:rsid w:val="00F90004"/>
    <w:rsid w:val="00F90EF4"/>
    <w:rsid w:val="00F91211"/>
    <w:rsid w:val="00F917BF"/>
    <w:rsid w:val="00F920B4"/>
    <w:rsid w:val="00F9260D"/>
    <w:rsid w:val="00F92727"/>
    <w:rsid w:val="00F93CCF"/>
    <w:rsid w:val="00F94307"/>
    <w:rsid w:val="00F9580B"/>
    <w:rsid w:val="00F95F15"/>
    <w:rsid w:val="00F96BD0"/>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6FD6A14E-630B-42CE-9762-56538134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david.broadway@the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0815-ADFE-4E50-A6B4-3C5F517B7867}">
  <ds:schemaRefs>
    <ds:schemaRef ds:uri="http://schemas.openxmlformats.org/officeDocument/2006/bibliography"/>
  </ds:schemaRefs>
</ds:datastoreItem>
</file>

<file path=customXml/itemProps2.xml><?xml version="1.0" encoding="utf-8"?>
<ds:datastoreItem xmlns:ds="http://schemas.openxmlformats.org/officeDocument/2006/customXml" ds:itemID="{78FD6943-15FF-4FB7-AB73-63D91937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299F9F66.dotm</Template>
  <TotalTime>100</TotalTime>
  <Pages>26</Pages>
  <Words>8830</Words>
  <Characters>51207</Characters>
  <Application>Microsoft Office Word</Application>
  <DocSecurity>8</DocSecurity>
  <Lines>426</Lines>
  <Paragraphs>119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59918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Broadway</cp:lastModifiedBy>
  <cp:revision>11</cp:revision>
  <cp:lastPrinted>2015-02-18T11:01:00Z</cp:lastPrinted>
  <dcterms:created xsi:type="dcterms:W3CDTF">2016-04-22T08:43:00Z</dcterms:created>
  <dcterms:modified xsi:type="dcterms:W3CDTF">2016-04-22T13:34:00Z</dcterms:modified>
</cp:coreProperties>
</file>