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41" w:rsidRPr="003D5C6C" w:rsidRDefault="00D21B41" w:rsidP="00C779B5">
      <w:pPr>
        <w:rPr>
          <w:rFonts w:cs="Arial"/>
          <w:b/>
          <w:sz w:val="40"/>
          <w:szCs w:val="40"/>
          <w:lang w:val="en-US"/>
        </w:rPr>
      </w:pPr>
      <w:r w:rsidRPr="003D5C6C">
        <w:rPr>
          <w:rFonts w:cs="Arial"/>
          <w:b/>
          <w:sz w:val="40"/>
          <w:szCs w:val="40"/>
          <w:lang w:val="en-US"/>
        </w:rPr>
        <w:t xml:space="preserve">Comments to the </w:t>
      </w:r>
      <w:r w:rsidRPr="003D5C6C">
        <w:rPr>
          <w:rFonts w:cs="Arial"/>
          <w:b/>
          <w:bCs/>
          <w:sz w:val="40"/>
          <w:szCs w:val="40"/>
          <w:lang w:val="en-US"/>
        </w:rPr>
        <w:t>Annex I Tables of fields</w:t>
      </w:r>
    </w:p>
    <w:p w:rsidR="00D21B41" w:rsidRPr="00D21B41" w:rsidRDefault="00D21B41" w:rsidP="00C779B5">
      <w:pPr>
        <w:rPr>
          <w:rFonts w:cs="Arial"/>
          <w:sz w:val="24"/>
          <w:lang w:val="en-US"/>
        </w:rPr>
      </w:pPr>
    </w:p>
    <w:p w:rsidR="00D21B41" w:rsidRPr="003D5C6C" w:rsidRDefault="00D21B41" w:rsidP="00D21B41">
      <w:pPr>
        <w:pStyle w:val="Listenabsatz"/>
        <w:numPr>
          <w:ilvl w:val="0"/>
          <w:numId w:val="1"/>
        </w:numPr>
        <w:rPr>
          <w:b/>
          <w:sz w:val="24"/>
          <w:lang w:val="en-US"/>
        </w:rPr>
      </w:pPr>
      <w:r w:rsidRPr="003D5C6C">
        <w:rPr>
          <w:rFonts w:cs="Arial"/>
          <w:b/>
          <w:sz w:val="24"/>
          <w:lang w:val="en-US"/>
        </w:rPr>
        <w:t>Repurchase agreements and reverse repurchase agreements</w:t>
      </w:r>
    </w:p>
    <w:p w:rsidR="00D21B41" w:rsidRDefault="00D21B41" w:rsidP="00D21B41">
      <w:pPr>
        <w:pStyle w:val="Listenabsatz"/>
        <w:numPr>
          <w:ilvl w:val="0"/>
          <w:numId w:val="2"/>
        </w:numPr>
        <w:rPr>
          <w:sz w:val="24"/>
          <w:lang w:val="en-US"/>
        </w:rPr>
      </w:pPr>
      <w:r>
        <w:rPr>
          <w:sz w:val="24"/>
          <w:lang w:val="en-US"/>
        </w:rPr>
        <w:t>Table 1 – Counterparty data</w:t>
      </w:r>
    </w:p>
    <w:p w:rsidR="00D21B41" w:rsidRDefault="00D21B41" w:rsidP="00D21B41">
      <w:pPr>
        <w:rPr>
          <w:sz w:val="24"/>
          <w:lang w:val="en-US"/>
        </w:rPr>
      </w:pPr>
    </w:p>
    <w:p w:rsidR="00A526A9" w:rsidRDefault="00D21B41" w:rsidP="00D21B41">
      <w:pPr>
        <w:rPr>
          <w:sz w:val="24"/>
          <w:lang w:val="en-US"/>
        </w:rPr>
      </w:pPr>
      <w:r>
        <w:rPr>
          <w:sz w:val="24"/>
          <w:lang w:val="en-US"/>
        </w:rPr>
        <w:t xml:space="preserve">Field 11: </w:t>
      </w:r>
    </w:p>
    <w:p w:rsidR="00D21B41" w:rsidRPr="00D21B41" w:rsidRDefault="00D21B41" w:rsidP="00D21B41">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w</w:t>
      </w:r>
      <w:r w:rsidRPr="00D21B41">
        <w:rPr>
          <w:sz w:val="24"/>
          <w:lang w:val="en-US"/>
        </w:rPr>
        <w:t>hen no tri-party</w:t>
      </w:r>
    </w:p>
    <w:p w:rsidR="00D21B41" w:rsidRDefault="00D21B41" w:rsidP="00D21B41">
      <w:pPr>
        <w:rPr>
          <w:sz w:val="24"/>
          <w:lang w:val="en-US"/>
        </w:rPr>
      </w:pPr>
      <w:proofErr w:type="gramStart"/>
      <w:r w:rsidRPr="00D21B41">
        <w:rPr>
          <w:sz w:val="24"/>
          <w:lang w:val="en-US"/>
        </w:rPr>
        <w:t>agent</w:t>
      </w:r>
      <w:proofErr w:type="gramEnd"/>
      <w:r w:rsidRPr="00D21B41">
        <w:rPr>
          <w:sz w:val="24"/>
          <w:lang w:val="en-US"/>
        </w:rPr>
        <w:t xml:space="preserve"> is used, this</w:t>
      </w:r>
      <w:r>
        <w:rPr>
          <w:sz w:val="24"/>
          <w:lang w:val="en-US"/>
        </w:rPr>
        <w:t xml:space="preserve"> </w:t>
      </w:r>
      <w:r w:rsidRPr="00D21B41">
        <w:rPr>
          <w:sz w:val="24"/>
          <w:lang w:val="en-US"/>
        </w:rPr>
        <w:t>information shall not be</w:t>
      </w:r>
      <w:r>
        <w:rPr>
          <w:sz w:val="24"/>
          <w:lang w:val="en-US"/>
        </w:rPr>
        <w:t xml:space="preserve"> </w:t>
      </w:r>
      <w:r w:rsidRPr="00D21B41">
        <w:rPr>
          <w:sz w:val="24"/>
          <w:lang w:val="en-US"/>
        </w:rPr>
        <w:t>provided.</w:t>
      </w:r>
      <w:r>
        <w:rPr>
          <w:sz w:val="24"/>
          <w:lang w:val="en-US"/>
        </w:rPr>
        <w:t xml:space="preserve"> It should be clarified, whether this field should be left blank, marked “X”/“N/A” or whether Field 11 shouldn’t be reported in such circumstances.</w:t>
      </w:r>
    </w:p>
    <w:p w:rsidR="00D21B41" w:rsidRDefault="00D21B41" w:rsidP="00D21B41">
      <w:pPr>
        <w:rPr>
          <w:sz w:val="24"/>
          <w:lang w:val="en-US"/>
        </w:rPr>
      </w:pPr>
    </w:p>
    <w:p w:rsidR="00A526A9" w:rsidRDefault="00D21B41" w:rsidP="00D21B41">
      <w:pPr>
        <w:rPr>
          <w:sz w:val="24"/>
          <w:lang w:val="en-US"/>
        </w:rPr>
      </w:pPr>
      <w:r>
        <w:rPr>
          <w:sz w:val="24"/>
          <w:lang w:val="en-US"/>
        </w:rPr>
        <w:t xml:space="preserve">Field 12: </w:t>
      </w:r>
    </w:p>
    <w:p w:rsidR="00D21B41" w:rsidRDefault="00D21B41" w:rsidP="00D21B41">
      <w:pPr>
        <w:rPr>
          <w:sz w:val="24"/>
          <w:lang w:val="en-US"/>
        </w:rPr>
      </w:pPr>
      <w:r>
        <w:rPr>
          <w:sz w:val="24"/>
          <w:lang w:val="en-US"/>
        </w:rPr>
        <w:t>It should be clarified, whether this field should be left blank, marked “X”/“N/A” or should</w:t>
      </w:r>
      <w:r w:rsidR="007C0DE9">
        <w:rPr>
          <w:sz w:val="24"/>
          <w:lang w:val="en-US"/>
        </w:rPr>
        <w:t xml:space="preserve"> </w:t>
      </w:r>
      <w:r>
        <w:rPr>
          <w:sz w:val="24"/>
          <w:lang w:val="en-US"/>
        </w:rPr>
        <w:t>n</w:t>
      </w:r>
      <w:r w:rsidR="007C0DE9">
        <w:rPr>
          <w:sz w:val="24"/>
          <w:lang w:val="en-US"/>
        </w:rPr>
        <w:t>o</w:t>
      </w:r>
      <w:r>
        <w:rPr>
          <w:sz w:val="24"/>
          <w:lang w:val="en-US"/>
        </w:rPr>
        <w:t xml:space="preserve">t be reported in case no entity acts as </w:t>
      </w:r>
      <w:r w:rsidRPr="00D21B41">
        <w:rPr>
          <w:sz w:val="24"/>
          <w:lang w:val="en-US"/>
        </w:rPr>
        <w:t>intermediary for</w:t>
      </w:r>
      <w:r>
        <w:rPr>
          <w:sz w:val="24"/>
          <w:lang w:val="en-US"/>
        </w:rPr>
        <w:t xml:space="preserve"> </w:t>
      </w:r>
      <w:r w:rsidRPr="00D21B41">
        <w:rPr>
          <w:sz w:val="24"/>
          <w:lang w:val="en-US"/>
        </w:rPr>
        <w:t>the reporting counterparty</w:t>
      </w:r>
      <w:r>
        <w:rPr>
          <w:sz w:val="24"/>
          <w:lang w:val="en-US"/>
        </w:rPr>
        <w:t>.</w:t>
      </w:r>
    </w:p>
    <w:p w:rsidR="00D21B41" w:rsidRDefault="00D21B41" w:rsidP="00D21B41">
      <w:pPr>
        <w:rPr>
          <w:sz w:val="24"/>
          <w:lang w:val="en-US"/>
        </w:rPr>
      </w:pPr>
    </w:p>
    <w:p w:rsidR="00A526A9" w:rsidRDefault="00D21B41" w:rsidP="00D21B41">
      <w:pPr>
        <w:rPr>
          <w:sz w:val="24"/>
          <w:lang w:val="en-US"/>
        </w:rPr>
      </w:pPr>
      <w:r>
        <w:rPr>
          <w:sz w:val="24"/>
          <w:lang w:val="en-US"/>
        </w:rPr>
        <w:t xml:space="preserve">Field </w:t>
      </w:r>
      <w:r w:rsidR="007C0DE9">
        <w:rPr>
          <w:sz w:val="24"/>
          <w:lang w:val="en-US"/>
        </w:rPr>
        <w:t xml:space="preserve">13: </w:t>
      </w:r>
    </w:p>
    <w:p w:rsidR="00D21B41" w:rsidRDefault="007C0DE9" w:rsidP="00D21B41">
      <w:pPr>
        <w:rPr>
          <w:sz w:val="24"/>
          <w:lang w:val="en-US"/>
        </w:rPr>
      </w:pPr>
      <w:r>
        <w:rPr>
          <w:sz w:val="24"/>
          <w:lang w:val="en-US"/>
        </w:rPr>
        <w:t>It should be clarified, whether this field should be left blank, marked “X”/“N/A” or should not be reported in case the trade is not cleared.</w:t>
      </w:r>
    </w:p>
    <w:p w:rsidR="007C0DE9" w:rsidRDefault="007C0DE9" w:rsidP="00D21B41">
      <w:pPr>
        <w:rPr>
          <w:sz w:val="24"/>
          <w:lang w:val="en-US"/>
        </w:rPr>
      </w:pPr>
    </w:p>
    <w:p w:rsidR="00C00D60" w:rsidRPr="009A32EE" w:rsidRDefault="00C00D60" w:rsidP="00C00D60">
      <w:pPr>
        <w:rPr>
          <w:szCs w:val="22"/>
          <w:lang w:val="en-US"/>
        </w:rPr>
      </w:pPr>
      <w:r w:rsidRPr="009A32EE">
        <w:rPr>
          <w:szCs w:val="22"/>
          <w:lang w:val="en-US"/>
        </w:rPr>
        <w:t xml:space="preserve">Field 17: </w:t>
      </w:r>
    </w:p>
    <w:p w:rsidR="003D2179" w:rsidRPr="009A32EE" w:rsidRDefault="00C00D60" w:rsidP="003D2179">
      <w:pPr>
        <w:autoSpaceDE w:val="0"/>
        <w:autoSpaceDN w:val="0"/>
        <w:adjustRightInd w:val="0"/>
        <w:spacing w:line="240" w:lineRule="auto"/>
        <w:rPr>
          <w:rFonts w:cs="Arial"/>
          <w:szCs w:val="22"/>
          <w:lang w:val="en-US"/>
        </w:rPr>
      </w:pPr>
      <w:r w:rsidRPr="009A32EE">
        <w:rPr>
          <w:szCs w:val="22"/>
          <w:lang w:val="en-US"/>
        </w:rPr>
        <w:t>In it necessary, to provide also the possibility to report “N/A” or “Basket”</w:t>
      </w:r>
      <w:r w:rsidR="003D2179" w:rsidRPr="009A32EE">
        <w:rPr>
          <w:szCs w:val="22"/>
          <w:lang w:val="en-US"/>
        </w:rPr>
        <w:t xml:space="preserve"> (i.e. </w:t>
      </w:r>
      <w:r w:rsidR="003D2179" w:rsidRPr="009A32EE">
        <w:rPr>
          <w:rFonts w:cs="Arial"/>
          <w:szCs w:val="22"/>
          <w:lang w:val="en-US"/>
        </w:rPr>
        <w:t>cannot be</w:t>
      </w:r>
    </w:p>
    <w:p w:rsidR="00C00D60" w:rsidRPr="009A32EE" w:rsidRDefault="003D2179" w:rsidP="009A32EE">
      <w:pPr>
        <w:autoSpaceDE w:val="0"/>
        <w:autoSpaceDN w:val="0"/>
        <w:adjustRightInd w:val="0"/>
        <w:spacing w:line="240" w:lineRule="auto"/>
        <w:rPr>
          <w:szCs w:val="22"/>
          <w:lang w:val="en-US"/>
        </w:rPr>
      </w:pPr>
      <w:proofErr w:type="gramStart"/>
      <w:r w:rsidRPr="009A32EE">
        <w:rPr>
          <w:rFonts w:cs="Arial"/>
          <w:szCs w:val="22"/>
          <w:lang w:val="en-US"/>
        </w:rPr>
        <w:t>defined</w:t>
      </w:r>
      <w:proofErr w:type="gramEnd"/>
      <w:r w:rsidRPr="009A32EE">
        <w:rPr>
          <w:rFonts w:cs="Arial"/>
          <w:szCs w:val="22"/>
          <w:lang w:val="en-US"/>
        </w:rPr>
        <w:t xml:space="preserve"> at SFT transaction level</w:t>
      </w:r>
      <w:r w:rsidRPr="009A32EE">
        <w:rPr>
          <w:szCs w:val="22"/>
          <w:lang w:val="en-US"/>
        </w:rPr>
        <w:t xml:space="preserve"> )</w:t>
      </w:r>
      <w:r w:rsidR="00C00D60" w:rsidRPr="009A32EE">
        <w:rPr>
          <w:szCs w:val="22"/>
          <w:lang w:val="en-US"/>
        </w:rPr>
        <w:t xml:space="preserve">, because Field 19 explicitly mentions the possibility, that </w:t>
      </w:r>
      <w:r w:rsidRPr="009A32EE">
        <w:rPr>
          <w:rFonts w:cs="Arial"/>
          <w:szCs w:val="22"/>
          <w:lang w:val="en-US"/>
        </w:rPr>
        <w:t>the collateral re-use cannot be defined at SFT transaction level.</w:t>
      </w:r>
      <w:r w:rsidR="00C00D60" w:rsidRPr="009A32EE">
        <w:rPr>
          <w:szCs w:val="22"/>
          <w:lang w:val="en-US"/>
        </w:rPr>
        <w:t xml:space="preserve"> </w:t>
      </w:r>
    </w:p>
    <w:p w:rsidR="00C00D60" w:rsidRPr="009A32EE" w:rsidRDefault="00C00D60" w:rsidP="00D21B41">
      <w:pPr>
        <w:rPr>
          <w:szCs w:val="22"/>
          <w:lang w:val="en-US"/>
        </w:rPr>
      </w:pPr>
    </w:p>
    <w:p w:rsidR="0085272D" w:rsidRPr="009A32EE" w:rsidRDefault="003D2179" w:rsidP="003D2179">
      <w:pPr>
        <w:autoSpaceDE w:val="0"/>
        <w:autoSpaceDN w:val="0"/>
        <w:adjustRightInd w:val="0"/>
        <w:spacing w:line="240" w:lineRule="auto"/>
        <w:rPr>
          <w:rFonts w:cs="Helv"/>
          <w:color w:val="000000"/>
          <w:szCs w:val="22"/>
          <w:lang w:val="en-US"/>
        </w:rPr>
      </w:pPr>
      <w:r w:rsidRPr="009A32EE">
        <w:rPr>
          <w:rFonts w:cs="Helv"/>
          <w:color w:val="000000"/>
          <w:szCs w:val="22"/>
          <w:lang w:val="en-US"/>
        </w:rPr>
        <w:t xml:space="preserve">From our side it is technically impossible to explicitly mark/identify </w:t>
      </w:r>
      <w:r w:rsidR="0085272D" w:rsidRPr="009A32EE">
        <w:rPr>
          <w:rFonts w:cs="Helv"/>
          <w:color w:val="000000"/>
          <w:szCs w:val="22"/>
          <w:lang w:val="en-US"/>
        </w:rPr>
        <w:t xml:space="preserve">the re-use of a specific </w:t>
      </w:r>
      <w:r w:rsidRPr="009A32EE">
        <w:rPr>
          <w:rFonts w:cs="Arial"/>
          <w:szCs w:val="22"/>
          <w:lang w:val="en-US"/>
        </w:rPr>
        <w:t xml:space="preserve">SFT </w:t>
      </w:r>
      <w:r w:rsidR="0085272D" w:rsidRPr="009A32EE">
        <w:rPr>
          <w:rFonts w:cs="Arial"/>
          <w:szCs w:val="22"/>
          <w:lang w:val="en-US"/>
        </w:rPr>
        <w:t xml:space="preserve">at </w:t>
      </w:r>
      <w:r w:rsidRPr="009A32EE">
        <w:rPr>
          <w:rFonts w:cs="Arial"/>
          <w:szCs w:val="22"/>
          <w:lang w:val="en-US"/>
        </w:rPr>
        <w:t>transaction level</w:t>
      </w:r>
      <w:r w:rsidRPr="009A32EE">
        <w:rPr>
          <w:rFonts w:cs="Helv"/>
          <w:color w:val="000000"/>
          <w:szCs w:val="22"/>
          <w:lang w:val="en-US"/>
        </w:rPr>
        <w:t xml:space="preserve"> (at least for basket transactions counting for approximately 30% - 40 % of the relevant business)</w:t>
      </w:r>
      <w:r w:rsidR="007D5719" w:rsidRPr="009A32EE">
        <w:rPr>
          <w:rFonts w:cs="Helv"/>
          <w:color w:val="000000"/>
          <w:szCs w:val="22"/>
          <w:lang w:val="en-US"/>
        </w:rPr>
        <w:t>. Why is that? Her</w:t>
      </w:r>
      <w:r w:rsidR="00127957">
        <w:rPr>
          <w:rFonts w:cs="Helv"/>
          <w:color w:val="000000"/>
          <w:szCs w:val="22"/>
          <w:lang w:val="en-US"/>
        </w:rPr>
        <w:t>e is</w:t>
      </w:r>
      <w:r w:rsidR="007D5719" w:rsidRPr="009A32EE">
        <w:rPr>
          <w:rFonts w:cs="Helv"/>
          <w:color w:val="000000"/>
          <w:szCs w:val="22"/>
          <w:lang w:val="en-US"/>
        </w:rPr>
        <w:t xml:space="preserve"> our practical example: </w:t>
      </w:r>
      <w:r w:rsidRPr="009A32EE">
        <w:rPr>
          <w:rFonts w:cs="Helv"/>
          <w:color w:val="000000"/>
          <w:szCs w:val="22"/>
          <w:lang w:val="en-US"/>
        </w:rPr>
        <w:t xml:space="preserve"> </w:t>
      </w:r>
    </w:p>
    <w:p w:rsidR="003D2179" w:rsidRPr="009A32EE" w:rsidRDefault="003D2179" w:rsidP="003D2179">
      <w:pPr>
        <w:autoSpaceDE w:val="0"/>
        <w:autoSpaceDN w:val="0"/>
        <w:adjustRightInd w:val="0"/>
        <w:spacing w:line="240" w:lineRule="auto"/>
        <w:rPr>
          <w:rFonts w:cs="Helv"/>
          <w:color w:val="000000"/>
          <w:szCs w:val="22"/>
          <w:lang w:val="en-US"/>
        </w:rPr>
      </w:pPr>
    </w:p>
    <w:p w:rsidR="003D2179" w:rsidRPr="009A32EE" w:rsidRDefault="007D5719" w:rsidP="003D2179">
      <w:pPr>
        <w:autoSpaceDE w:val="0"/>
        <w:autoSpaceDN w:val="0"/>
        <w:adjustRightInd w:val="0"/>
        <w:spacing w:line="240" w:lineRule="auto"/>
        <w:rPr>
          <w:rFonts w:cs="Helv"/>
          <w:color w:val="000000"/>
          <w:szCs w:val="22"/>
          <w:lang w:val="en-US"/>
        </w:rPr>
      </w:pPr>
      <w:r w:rsidRPr="009A32EE">
        <w:rPr>
          <w:rFonts w:cs="Helv"/>
          <w:color w:val="000000"/>
          <w:szCs w:val="22"/>
          <w:lang w:val="en-US"/>
        </w:rPr>
        <w:t xml:space="preserve">The </w:t>
      </w:r>
      <w:r w:rsidR="003D2179" w:rsidRPr="009A32EE">
        <w:rPr>
          <w:rFonts w:cs="Helv"/>
          <w:color w:val="000000"/>
          <w:szCs w:val="22"/>
          <w:lang w:val="en-US"/>
        </w:rPr>
        <w:t>Bank h</w:t>
      </w:r>
      <w:r w:rsidRPr="009A32EE">
        <w:rPr>
          <w:rFonts w:cs="Helv"/>
          <w:color w:val="000000"/>
          <w:szCs w:val="22"/>
          <w:lang w:val="en-US"/>
        </w:rPr>
        <w:t>olds a total p</w:t>
      </w:r>
      <w:r w:rsidR="003D2179" w:rsidRPr="009A32EE">
        <w:rPr>
          <w:rFonts w:cs="Helv"/>
          <w:color w:val="000000"/>
          <w:szCs w:val="22"/>
          <w:lang w:val="en-US"/>
        </w:rPr>
        <w:t xml:space="preserve">osition </w:t>
      </w:r>
      <w:r w:rsidRPr="009A32EE">
        <w:rPr>
          <w:rFonts w:cs="Helv"/>
          <w:color w:val="000000"/>
          <w:szCs w:val="22"/>
          <w:lang w:val="en-US"/>
        </w:rPr>
        <w:t>of 100 units of class “</w:t>
      </w:r>
      <w:r w:rsidR="003D2179" w:rsidRPr="009A32EE">
        <w:rPr>
          <w:rFonts w:cs="Helv"/>
          <w:color w:val="000000"/>
          <w:szCs w:val="22"/>
          <w:lang w:val="en-US"/>
        </w:rPr>
        <w:t>0815</w:t>
      </w:r>
      <w:r w:rsidRPr="009A32EE">
        <w:rPr>
          <w:rFonts w:cs="Helv"/>
          <w:color w:val="000000"/>
          <w:szCs w:val="22"/>
          <w:lang w:val="en-US"/>
        </w:rPr>
        <w:t>”</w:t>
      </w:r>
      <w:r w:rsidR="003D2179" w:rsidRPr="009A32EE">
        <w:rPr>
          <w:rFonts w:cs="Helv"/>
          <w:color w:val="000000"/>
          <w:szCs w:val="22"/>
          <w:lang w:val="en-US"/>
        </w:rPr>
        <w:t>:</w:t>
      </w:r>
    </w:p>
    <w:p w:rsidR="007D5719" w:rsidRPr="009A32EE" w:rsidRDefault="007D57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 xml:space="preserve">of which </w:t>
      </w:r>
      <w:r w:rsidR="003D2179" w:rsidRPr="009A32EE">
        <w:rPr>
          <w:rFonts w:cs="Helv"/>
          <w:color w:val="000000"/>
          <w:szCs w:val="22"/>
          <w:lang w:val="en-US"/>
        </w:rPr>
        <w:t>20</w:t>
      </w:r>
      <w:r w:rsidRPr="009A32EE">
        <w:rPr>
          <w:rFonts w:cs="Helv"/>
          <w:color w:val="000000"/>
          <w:szCs w:val="22"/>
          <w:lang w:val="en-US"/>
        </w:rPr>
        <w:t xml:space="preserve"> units of class “0815” result from cash/spot purchase, </w:t>
      </w:r>
    </w:p>
    <w:p w:rsidR="007D5719" w:rsidRPr="009A32EE" w:rsidRDefault="007D57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 xml:space="preserve">of which 25 units of class “0815” result from clients securities lending, </w:t>
      </w:r>
    </w:p>
    <w:p w:rsidR="003D2179" w:rsidRPr="009A32EE" w:rsidRDefault="007D57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of which 30 units of class “0815” result from d</w:t>
      </w:r>
      <w:r w:rsidR="003D2179" w:rsidRPr="009A32EE">
        <w:rPr>
          <w:rFonts w:cs="Helv"/>
          <w:color w:val="000000"/>
          <w:szCs w:val="22"/>
          <w:lang w:val="en-US"/>
        </w:rPr>
        <w:t>eri</w:t>
      </w:r>
      <w:r w:rsidRPr="009A32EE">
        <w:rPr>
          <w:rFonts w:cs="Helv"/>
          <w:color w:val="000000"/>
          <w:szCs w:val="22"/>
          <w:lang w:val="en-US"/>
        </w:rPr>
        <w:t>v</w:t>
      </w:r>
      <w:r w:rsidR="003D2179" w:rsidRPr="009A32EE">
        <w:rPr>
          <w:rFonts w:cs="Helv"/>
          <w:color w:val="000000"/>
          <w:szCs w:val="22"/>
          <w:lang w:val="en-US"/>
        </w:rPr>
        <w:t>at</w:t>
      </w:r>
      <w:r w:rsidRPr="009A32EE">
        <w:rPr>
          <w:rFonts w:cs="Helv"/>
          <w:color w:val="000000"/>
          <w:szCs w:val="22"/>
          <w:lang w:val="en-US"/>
        </w:rPr>
        <w:t>ive margining</w:t>
      </w:r>
      <w:r w:rsidR="00127957" w:rsidRPr="009A32EE">
        <w:rPr>
          <w:rFonts w:cs="Helv"/>
          <w:color w:val="000000"/>
          <w:szCs w:val="22"/>
          <w:lang w:val="en-US"/>
        </w:rPr>
        <w:t>,</w:t>
      </w:r>
    </w:p>
    <w:p w:rsidR="003D2179" w:rsidRPr="009A32EE" w:rsidRDefault="007D57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of which 25 units of class “0815” result from a market’s reverse repurchase agreement</w:t>
      </w:r>
      <w:r w:rsidR="003D2179" w:rsidRPr="009A32EE">
        <w:rPr>
          <w:rFonts w:cs="Helv"/>
          <w:color w:val="000000"/>
          <w:szCs w:val="22"/>
          <w:lang w:val="en-US"/>
        </w:rPr>
        <w:t xml:space="preserve"> </w:t>
      </w:r>
    </w:p>
    <w:p w:rsidR="003D2179" w:rsidRPr="009A32EE" w:rsidRDefault="003D2179" w:rsidP="003D2179">
      <w:pPr>
        <w:autoSpaceDE w:val="0"/>
        <w:autoSpaceDN w:val="0"/>
        <w:adjustRightInd w:val="0"/>
        <w:spacing w:line="240" w:lineRule="auto"/>
        <w:rPr>
          <w:rFonts w:cs="Helv"/>
          <w:color w:val="000000"/>
          <w:szCs w:val="22"/>
          <w:lang w:val="en-US"/>
        </w:rPr>
      </w:pPr>
    </w:p>
    <w:p w:rsidR="003D2179" w:rsidRPr="009A32EE" w:rsidRDefault="007D5719" w:rsidP="003D2179">
      <w:pPr>
        <w:autoSpaceDE w:val="0"/>
        <w:autoSpaceDN w:val="0"/>
        <w:adjustRightInd w:val="0"/>
        <w:spacing w:line="240" w:lineRule="auto"/>
        <w:rPr>
          <w:rFonts w:cs="Helv"/>
          <w:color w:val="000000"/>
          <w:szCs w:val="22"/>
          <w:lang w:val="en-US"/>
        </w:rPr>
      </w:pPr>
      <w:r w:rsidRPr="009A32EE">
        <w:rPr>
          <w:rFonts w:cs="Helv"/>
          <w:color w:val="000000"/>
          <w:szCs w:val="22"/>
          <w:lang w:val="en-US"/>
        </w:rPr>
        <w:t>The Bank acts as follows</w:t>
      </w:r>
      <w:r w:rsidR="003D2179" w:rsidRPr="009A32EE">
        <w:rPr>
          <w:rFonts w:cs="Helv"/>
          <w:color w:val="000000"/>
          <w:szCs w:val="22"/>
          <w:lang w:val="en-US"/>
        </w:rPr>
        <w:t>:</w:t>
      </w:r>
    </w:p>
    <w:p w:rsidR="003D2179" w:rsidRPr="009A32EE" w:rsidRDefault="001931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delivery of 10 units of class “0815” to Bundesbank’s custody collateral account</w:t>
      </w:r>
      <w:r w:rsidR="00127957" w:rsidRPr="009A32EE">
        <w:rPr>
          <w:rFonts w:cs="Helv"/>
          <w:color w:val="000000"/>
          <w:szCs w:val="22"/>
          <w:lang w:val="en-US"/>
        </w:rPr>
        <w:t>,</w:t>
      </w:r>
    </w:p>
    <w:p w:rsidR="003D2179" w:rsidRPr="009A32EE" w:rsidRDefault="001931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usage of 20 units of class “0815” for repurchase agreements</w:t>
      </w:r>
      <w:r w:rsidR="00127957" w:rsidRPr="009A32EE">
        <w:rPr>
          <w:rFonts w:cs="Helv"/>
          <w:color w:val="000000"/>
          <w:szCs w:val="22"/>
          <w:lang w:val="en-US"/>
        </w:rPr>
        <w:t>,</w:t>
      </w:r>
    </w:p>
    <w:p w:rsidR="003D2179" w:rsidRPr="009A32EE" w:rsidRDefault="00193119"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usage of 30 units of class “0815”as collateral for d</w:t>
      </w:r>
      <w:r w:rsidR="003D2179" w:rsidRPr="009A32EE">
        <w:rPr>
          <w:rFonts w:cs="Helv"/>
          <w:color w:val="000000"/>
          <w:szCs w:val="22"/>
          <w:lang w:val="en-US"/>
        </w:rPr>
        <w:t>erivat</w:t>
      </w:r>
      <w:r w:rsidRPr="009A32EE">
        <w:rPr>
          <w:rFonts w:cs="Helv"/>
          <w:color w:val="000000"/>
          <w:szCs w:val="22"/>
          <w:lang w:val="en-US"/>
        </w:rPr>
        <w:t>ives m</w:t>
      </w:r>
      <w:r w:rsidR="003D2179" w:rsidRPr="009A32EE">
        <w:rPr>
          <w:rFonts w:cs="Helv"/>
          <w:color w:val="000000"/>
          <w:szCs w:val="22"/>
          <w:lang w:val="en-US"/>
        </w:rPr>
        <w:t>argining</w:t>
      </w:r>
      <w:r w:rsidR="00127957" w:rsidRPr="009A32EE">
        <w:rPr>
          <w:rFonts w:cs="Helv"/>
          <w:color w:val="000000"/>
          <w:szCs w:val="22"/>
          <w:lang w:val="en-US"/>
        </w:rPr>
        <w:t>,</w:t>
      </w:r>
    </w:p>
    <w:p w:rsidR="003D2179" w:rsidRPr="009A32EE" w:rsidRDefault="009F4E84"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 xml:space="preserve">lending of 20 units of class “0815” in a </w:t>
      </w:r>
      <w:r w:rsidR="003D2179" w:rsidRPr="009A32EE">
        <w:rPr>
          <w:rFonts w:cs="Helv"/>
          <w:color w:val="000000"/>
          <w:szCs w:val="22"/>
          <w:lang w:val="en-US"/>
        </w:rPr>
        <w:t>BoE Collateral Swap</w:t>
      </w:r>
      <w:r w:rsidR="00127957" w:rsidRPr="009A32EE">
        <w:rPr>
          <w:rFonts w:cs="Helv"/>
          <w:color w:val="000000"/>
          <w:szCs w:val="22"/>
          <w:lang w:val="en-US"/>
        </w:rPr>
        <w:t>,</w:t>
      </w:r>
      <w:r w:rsidR="003D2179" w:rsidRPr="009A32EE">
        <w:rPr>
          <w:rFonts w:cs="Helv"/>
          <w:color w:val="000000"/>
          <w:szCs w:val="22"/>
          <w:lang w:val="en-US"/>
        </w:rPr>
        <w:t xml:space="preserve"> </w:t>
      </w:r>
    </w:p>
    <w:p w:rsidR="00127957" w:rsidRPr="009A32EE" w:rsidRDefault="00127957" w:rsidP="009A32EE">
      <w:pPr>
        <w:pStyle w:val="Listenabsatz"/>
        <w:numPr>
          <w:ilvl w:val="0"/>
          <w:numId w:val="3"/>
        </w:numPr>
        <w:autoSpaceDE w:val="0"/>
        <w:autoSpaceDN w:val="0"/>
        <w:adjustRightInd w:val="0"/>
        <w:spacing w:line="240" w:lineRule="auto"/>
        <w:rPr>
          <w:rFonts w:cs="Helv"/>
          <w:color w:val="000000"/>
          <w:szCs w:val="22"/>
          <w:lang w:val="en-US"/>
        </w:rPr>
      </w:pPr>
      <w:r w:rsidRPr="009A32EE">
        <w:rPr>
          <w:rFonts w:cs="Helv"/>
          <w:color w:val="000000"/>
          <w:szCs w:val="22"/>
          <w:lang w:val="en-US"/>
        </w:rPr>
        <w:t>deposit of 20 units of class “0815”  at</w:t>
      </w:r>
      <w:r w:rsidR="003D2179" w:rsidRPr="009A32EE">
        <w:rPr>
          <w:rFonts w:cs="Helv"/>
          <w:color w:val="000000"/>
          <w:szCs w:val="22"/>
          <w:lang w:val="en-US"/>
        </w:rPr>
        <w:t xml:space="preserve"> ICSD f</w:t>
      </w:r>
      <w:r w:rsidRPr="009A32EE">
        <w:rPr>
          <w:rFonts w:cs="Helv"/>
          <w:color w:val="000000"/>
          <w:szCs w:val="22"/>
          <w:lang w:val="en-US"/>
        </w:rPr>
        <w:t>o</w:t>
      </w:r>
      <w:r w:rsidR="003D2179" w:rsidRPr="009A32EE">
        <w:rPr>
          <w:rFonts w:cs="Helv"/>
          <w:color w:val="000000"/>
          <w:szCs w:val="22"/>
          <w:lang w:val="en-US"/>
        </w:rPr>
        <w:t>r potenti</w:t>
      </w:r>
      <w:r w:rsidRPr="009A32EE">
        <w:rPr>
          <w:rFonts w:cs="Helv"/>
          <w:color w:val="000000"/>
          <w:szCs w:val="22"/>
          <w:lang w:val="en-US"/>
        </w:rPr>
        <w:t>al</w:t>
      </w:r>
      <w:r w:rsidR="003D2179" w:rsidRPr="009A32EE">
        <w:rPr>
          <w:rFonts w:cs="Helv"/>
          <w:color w:val="000000"/>
          <w:szCs w:val="22"/>
          <w:lang w:val="en-US"/>
        </w:rPr>
        <w:t xml:space="preserve"> </w:t>
      </w:r>
      <w:r w:rsidRPr="009A32EE">
        <w:rPr>
          <w:rFonts w:cs="Helv"/>
          <w:color w:val="000000"/>
          <w:szCs w:val="22"/>
          <w:lang w:val="en-US"/>
        </w:rPr>
        <w:t>t</w:t>
      </w:r>
      <w:r w:rsidR="003D2179" w:rsidRPr="009A32EE">
        <w:rPr>
          <w:rFonts w:cs="Helv"/>
          <w:color w:val="000000"/>
          <w:szCs w:val="22"/>
          <w:lang w:val="en-US"/>
        </w:rPr>
        <w:t>riparty</w:t>
      </w:r>
      <w:r w:rsidRPr="009A32EE">
        <w:rPr>
          <w:rFonts w:cs="Helv"/>
          <w:color w:val="000000"/>
          <w:szCs w:val="22"/>
          <w:lang w:val="en-US"/>
        </w:rPr>
        <w:t xml:space="preserve"> repurchase agreements (2.5 units of class “0815” are actually used for triparty repurchase agreements, whereas 17.5 units of class “0815” are “free”)</w:t>
      </w:r>
    </w:p>
    <w:p w:rsidR="00127957" w:rsidRPr="009A32EE" w:rsidRDefault="00127957" w:rsidP="00127957">
      <w:pPr>
        <w:autoSpaceDE w:val="0"/>
        <w:autoSpaceDN w:val="0"/>
        <w:adjustRightInd w:val="0"/>
        <w:spacing w:line="240" w:lineRule="auto"/>
        <w:rPr>
          <w:rFonts w:cs="Helv"/>
          <w:color w:val="000000"/>
          <w:sz w:val="24"/>
          <w:lang w:val="en-US"/>
        </w:rPr>
      </w:pPr>
    </w:p>
    <w:p w:rsidR="00127957" w:rsidRDefault="00127957" w:rsidP="007C0DE9">
      <w:pPr>
        <w:rPr>
          <w:sz w:val="24"/>
          <w:lang w:val="en-US"/>
        </w:rPr>
      </w:pPr>
    </w:p>
    <w:p w:rsidR="00127957" w:rsidRDefault="00127957" w:rsidP="007C0DE9">
      <w:pPr>
        <w:rPr>
          <w:sz w:val="24"/>
          <w:lang w:val="en-US"/>
        </w:rPr>
      </w:pPr>
    </w:p>
    <w:p w:rsidR="004B6BEE" w:rsidRDefault="004B6BEE" w:rsidP="007C0DE9">
      <w:pPr>
        <w:rPr>
          <w:sz w:val="24"/>
          <w:lang w:val="en-US"/>
        </w:rPr>
      </w:pPr>
    </w:p>
    <w:p w:rsidR="004B6BEE" w:rsidRDefault="004B6BEE" w:rsidP="007C0DE9">
      <w:pPr>
        <w:rPr>
          <w:sz w:val="24"/>
          <w:lang w:val="en-US"/>
        </w:rPr>
      </w:pPr>
    </w:p>
    <w:p w:rsidR="00A526A9" w:rsidRDefault="007C0DE9" w:rsidP="007C0DE9">
      <w:pPr>
        <w:rPr>
          <w:sz w:val="24"/>
          <w:lang w:val="en-US"/>
        </w:rPr>
      </w:pPr>
      <w:r>
        <w:rPr>
          <w:sz w:val="24"/>
          <w:lang w:val="en-US"/>
        </w:rPr>
        <w:lastRenderedPageBreak/>
        <w:t xml:space="preserve">Field 18: </w:t>
      </w:r>
    </w:p>
    <w:p w:rsidR="007C0DE9" w:rsidRDefault="007C0DE9" w:rsidP="007C0DE9">
      <w:pPr>
        <w:rPr>
          <w:sz w:val="24"/>
          <w:lang w:val="en-US"/>
        </w:rPr>
      </w:pPr>
      <w:r>
        <w:rPr>
          <w:sz w:val="24"/>
          <w:lang w:val="en-US"/>
        </w:rPr>
        <w:t>The “Format” colum</w:t>
      </w:r>
      <w:r w:rsidR="00553EA3">
        <w:rPr>
          <w:sz w:val="24"/>
          <w:lang w:val="en-US"/>
        </w:rPr>
        <w:t>n</w:t>
      </w:r>
      <w:r>
        <w:rPr>
          <w:sz w:val="24"/>
          <w:lang w:val="en-US"/>
        </w:rPr>
        <w:t xml:space="preserve"> does not define the standard that should be used to depict the “Value of the re-used collateral”. Shall this field be populated with the Mark-to-Market value, the nominal or as specified in text no. 219 should </w:t>
      </w:r>
      <w:r w:rsidRPr="007C0DE9">
        <w:rPr>
          <w:sz w:val="24"/>
          <w:lang w:val="en-US"/>
        </w:rPr>
        <w:t>be</w:t>
      </w:r>
      <w:r>
        <w:rPr>
          <w:sz w:val="24"/>
          <w:lang w:val="en-US"/>
        </w:rPr>
        <w:t xml:space="preserve"> </w:t>
      </w:r>
      <w:r w:rsidRPr="007C0DE9">
        <w:rPr>
          <w:sz w:val="24"/>
          <w:lang w:val="en-US"/>
        </w:rPr>
        <w:t>determined in accordance with the methodology defined in I</w:t>
      </w:r>
      <w:r>
        <w:rPr>
          <w:sz w:val="24"/>
          <w:lang w:val="en-US"/>
        </w:rPr>
        <w:t xml:space="preserve">FRS </w:t>
      </w:r>
      <w:r w:rsidRPr="007C0DE9">
        <w:rPr>
          <w:sz w:val="24"/>
          <w:lang w:val="en-US"/>
        </w:rPr>
        <w:t>Standard 13, Fair Value Measurement, adopted by the Union and referred to in</w:t>
      </w:r>
      <w:r>
        <w:rPr>
          <w:sz w:val="24"/>
          <w:lang w:val="en-US"/>
        </w:rPr>
        <w:t xml:space="preserve"> </w:t>
      </w:r>
      <w:r w:rsidRPr="007C0DE9">
        <w:rPr>
          <w:sz w:val="24"/>
          <w:lang w:val="en-US"/>
        </w:rPr>
        <w:t>the Annex to Regulation (EC) No 1126/2008</w:t>
      </w:r>
      <w:r>
        <w:rPr>
          <w:sz w:val="24"/>
          <w:lang w:val="en-US"/>
        </w:rPr>
        <w:t>?</w:t>
      </w:r>
    </w:p>
    <w:p w:rsidR="007C0DE9" w:rsidRDefault="007C0DE9" w:rsidP="007C0DE9">
      <w:pPr>
        <w:rPr>
          <w:sz w:val="24"/>
          <w:lang w:val="en-US"/>
        </w:rPr>
      </w:pPr>
    </w:p>
    <w:p w:rsidR="00A526A9" w:rsidRDefault="007C0DE9" w:rsidP="007C0DE9">
      <w:pPr>
        <w:rPr>
          <w:sz w:val="24"/>
          <w:lang w:val="en-US"/>
        </w:rPr>
      </w:pPr>
      <w:r>
        <w:rPr>
          <w:sz w:val="24"/>
          <w:lang w:val="en-US"/>
        </w:rPr>
        <w:t xml:space="preserve">Field 19: </w:t>
      </w:r>
    </w:p>
    <w:p w:rsidR="007C0DE9" w:rsidRPr="007C0DE9" w:rsidRDefault="007C0DE9" w:rsidP="007C0DE9">
      <w:pPr>
        <w:rPr>
          <w:sz w:val="24"/>
          <w:lang w:val="en-US"/>
        </w:rPr>
      </w:pPr>
      <w:r w:rsidRPr="007C0DE9">
        <w:rPr>
          <w:sz w:val="24"/>
          <w:lang w:val="en-US"/>
        </w:rPr>
        <w:t>In the case when the</w:t>
      </w:r>
      <w:r>
        <w:rPr>
          <w:sz w:val="24"/>
          <w:lang w:val="en-US"/>
        </w:rPr>
        <w:t xml:space="preserve"> </w:t>
      </w:r>
      <w:r w:rsidRPr="007C0DE9">
        <w:rPr>
          <w:sz w:val="24"/>
          <w:lang w:val="en-US"/>
        </w:rPr>
        <w:t>collateral re-use cannot be</w:t>
      </w:r>
      <w:r>
        <w:rPr>
          <w:sz w:val="24"/>
          <w:lang w:val="en-US"/>
        </w:rPr>
        <w:t xml:space="preserve"> </w:t>
      </w:r>
      <w:r w:rsidRPr="007C0DE9">
        <w:rPr>
          <w:sz w:val="24"/>
          <w:lang w:val="en-US"/>
        </w:rPr>
        <w:t>defined at SFT transaction</w:t>
      </w:r>
    </w:p>
    <w:p w:rsidR="007C0DE9" w:rsidRDefault="007C0DE9" w:rsidP="007C0DE9">
      <w:pPr>
        <w:rPr>
          <w:sz w:val="24"/>
          <w:lang w:val="en-US"/>
        </w:rPr>
      </w:pPr>
      <w:proofErr w:type="gramStart"/>
      <w:r w:rsidRPr="007C0DE9">
        <w:rPr>
          <w:sz w:val="24"/>
          <w:lang w:val="en-US"/>
        </w:rPr>
        <w:t>level</w:t>
      </w:r>
      <w:proofErr w:type="gramEnd"/>
      <w:r w:rsidRPr="007C0DE9">
        <w:rPr>
          <w:sz w:val="24"/>
          <w:lang w:val="en-US"/>
        </w:rPr>
        <w:t xml:space="preserve">, </w:t>
      </w:r>
      <w:r>
        <w:rPr>
          <w:sz w:val="24"/>
          <w:lang w:val="en-US"/>
        </w:rPr>
        <w:t xml:space="preserve">the </w:t>
      </w:r>
      <w:r w:rsidRPr="007C0DE9">
        <w:rPr>
          <w:sz w:val="24"/>
          <w:lang w:val="en-US"/>
        </w:rPr>
        <w:t>estimate percentage</w:t>
      </w:r>
      <w:r>
        <w:rPr>
          <w:sz w:val="24"/>
          <w:lang w:val="en-US"/>
        </w:rPr>
        <w:t xml:space="preserve"> of re-use for a given security should be expressed as “1” for 100 %, “0.9” for 90 %, etc.</w:t>
      </w:r>
    </w:p>
    <w:p w:rsidR="00C00D60" w:rsidRPr="007C426A" w:rsidRDefault="00C00D60" w:rsidP="007C0DE9">
      <w:pPr>
        <w:rPr>
          <w:sz w:val="24"/>
          <w:lang w:val="en-US"/>
        </w:rPr>
      </w:pPr>
    </w:p>
    <w:p w:rsidR="007C0DE9" w:rsidRDefault="007C0DE9" w:rsidP="007C0DE9">
      <w:pPr>
        <w:pStyle w:val="Listenabsatz"/>
        <w:numPr>
          <w:ilvl w:val="0"/>
          <w:numId w:val="2"/>
        </w:numPr>
        <w:rPr>
          <w:sz w:val="24"/>
          <w:lang w:val="en-US"/>
        </w:rPr>
      </w:pPr>
      <w:r>
        <w:rPr>
          <w:sz w:val="24"/>
          <w:lang w:val="en-US"/>
        </w:rPr>
        <w:t>Table 2 – Transaction data</w:t>
      </w:r>
    </w:p>
    <w:p w:rsidR="007C0DE9" w:rsidRDefault="007C0DE9" w:rsidP="007C0DE9">
      <w:pPr>
        <w:rPr>
          <w:sz w:val="24"/>
          <w:lang w:val="en-US"/>
        </w:rPr>
      </w:pPr>
    </w:p>
    <w:p w:rsidR="00A526A9" w:rsidRDefault="00215608" w:rsidP="00215608">
      <w:pPr>
        <w:rPr>
          <w:sz w:val="24"/>
          <w:lang w:val="en-US"/>
        </w:rPr>
      </w:pPr>
      <w:r>
        <w:rPr>
          <w:sz w:val="24"/>
          <w:lang w:val="en-US"/>
        </w:rPr>
        <w:t xml:space="preserve">Field 2: </w:t>
      </w:r>
    </w:p>
    <w:p w:rsidR="00A526A9" w:rsidRDefault="00215608" w:rsidP="00215608">
      <w:pPr>
        <w:rPr>
          <w:sz w:val="24"/>
          <w:lang w:val="en-US"/>
        </w:rPr>
      </w:pPr>
      <w:r>
        <w:rPr>
          <w:sz w:val="24"/>
          <w:lang w:val="en-US"/>
        </w:rPr>
        <w:t xml:space="preserve">a) We suggest to separate the four special characters, which seem presently to be incomplete by </w:t>
      </w:r>
      <w:r w:rsidRPr="00215608">
        <w:rPr>
          <w:sz w:val="24"/>
          <w:lang w:val="en-US"/>
        </w:rPr>
        <w:t>quotation mark</w:t>
      </w:r>
      <w:r>
        <w:rPr>
          <w:sz w:val="24"/>
          <w:lang w:val="en-US"/>
        </w:rPr>
        <w:t>s</w:t>
      </w:r>
      <w:r w:rsidR="00A526A9">
        <w:rPr>
          <w:sz w:val="24"/>
          <w:lang w:val="en-US"/>
        </w:rPr>
        <w:t>, i.e. “-”, “_”, “.”, etc.</w:t>
      </w:r>
      <w:r>
        <w:rPr>
          <w:sz w:val="24"/>
          <w:lang w:val="en-US"/>
        </w:rPr>
        <w:t xml:space="preserve"> </w:t>
      </w:r>
    </w:p>
    <w:p w:rsidR="00215608" w:rsidRDefault="00215608" w:rsidP="00215608">
      <w:pPr>
        <w:rPr>
          <w:sz w:val="24"/>
          <w:lang w:val="en-US"/>
        </w:rPr>
      </w:pPr>
      <w:r>
        <w:rPr>
          <w:sz w:val="24"/>
          <w:lang w:val="en-US"/>
        </w:rPr>
        <w:t xml:space="preserve">b) In case </w:t>
      </w:r>
      <w:r w:rsidRPr="00215608">
        <w:rPr>
          <w:sz w:val="24"/>
          <w:lang w:val="en-US"/>
        </w:rPr>
        <w:t>an SFT was executed on a</w:t>
      </w:r>
      <w:r>
        <w:rPr>
          <w:sz w:val="24"/>
          <w:lang w:val="en-US"/>
        </w:rPr>
        <w:t xml:space="preserve"> </w:t>
      </w:r>
      <w:r w:rsidRPr="00215608">
        <w:rPr>
          <w:sz w:val="24"/>
          <w:lang w:val="en-US"/>
        </w:rPr>
        <w:t>trading venue and cleared on the</w:t>
      </w:r>
      <w:r>
        <w:rPr>
          <w:sz w:val="24"/>
          <w:lang w:val="en-US"/>
        </w:rPr>
        <w:t xml:space="preserve"> </w:t>
      </w:r>
      <w:r w:rsidRPr="00215608">
        <w:rPr>
          <w:sz w:val="24"/>
          <w:lang w:val="en-US"/>
        </w:rPr>
        <w:t xml:space="preserve">same day, </w:t>
      </w:r>
      <w:r>
        <w:rPr>
          <w:sz w:val="24"/>
          <w:lang w:val="en-US"/>
        </w:rPr>
        <w:t xml:space="preserve">should the involved </w:t>
      </w:r>
      <w:r w:rsidRPr="00215608">
        <w:rPr>
          <w:sz w:val="24"/>
          <w:lang w:val="en-US"/>
        </w:rPr>
        <w:t xml:space="preserve">trading venue </w:t>
      </w:r>
      <w:r>
        <w:rPr>
          <w:sz w:val="24"/>
          <w:lang w:val="en-US"/>
        </w:rPr>
        <w:t xml:space="preserve">create a UTI (differing from the </w:t>
      </w:r>
      <w:r w:rsidRPr="00215608">
        <w:rPr>
          <w:sz w:val="24"/>
          <w:lang w:val="en-US"/>
        </w:rPr>
        <w:t>UTI of original</w:t>
      </w:r>
      <w:r>
        <w:rPr>
          <w:sz w:val="24"/>
          <w:lang w:val="en-US"/>
        </w:rPr>
        <w:t xml:space="preserve"> </w:t>
      </w:r>
      <w:r w:rsidRPr="00215608">
        <w:rPr>
          <w:sz w:val="24"/>
          <w:lang w:val="en-US"/>
        </w:rPr>
        <w:t>bilateral transaction</w:t>
      </w:r>
      <w:r>
        <w:rPr>
          <w:sz w:val="24"/>
          <w:lang w:val="en-US"/>
        </w:rPr>
        <w:t>) or what is meant with “</w:t>
      </w:r>
      <w:r w:rsidRPr="00215608">
        <w:rPr>
          <w:sz w:val="24"/>
          <w:lang w:val="en-US"/>
        </w:rPr>
        <w:t>a number generated by</w:t>
      </w:r>
      <w:r>
        <w:rPr>
          <w:sz w:val="24"/>
          <w:lang w:val="en-US"/>
        </w:rPr>
        <w:t xml:space="preserve"> </w:t>
      </w:r>
      <w:r w:rsidRPr="00215608">
        <w:rPr>
          <w:sz w:val="24"/>
          <w:lang w:val="en-US"/>
        </w:rPr>
        <w:t>the trading venue and unique to</w:t>
      </w:r>
      <w:r>
        <w:rPr>
          <w:sz w:val="24"/>
          <w:lang w:val="en-US"/>
        </w:rPr>
        <w:t xml:space="preserve"> </w:t>
      </w:r>
      <w:r w:rsidRPr="00215608">
        <w:rPr>
          <w:sz w:val="24"/>
          <w:lang w:val="en-US"/>
        </w:rPr>
        <w:t>that execution</w:t>
      </w:r>
      <w:r>
        <w:rPr>
          <w:sz w:val="24"/>
          <w:lang w:val="en-US"/>
        </w:rPr>
        <w:t>”?</w:t>
      </w:r>
    </w:p>
    <w:p w:rsidR="00A526A9" w:rsidRDefault="00A526A9" w:rsidP="00215608">
      <w:pPr>
        <w:rPr>
          <w:sz w:val="24"/>
          <w:lang w:val="en-US"/>
        </w:rPr>
      </w:pPr>
      <w:r>
        <w:rPr>
          <w:sz w:val="24"/>
          <w:lang w:val="en-US"/>
        </w:rPr>
        <w:t>c) Are all possible situations covered? How should i.e. Field 2 be reported, if options a) and b) are not applicable? Should Field 2 be left blank, marked “X”/“N/A” or should not be reported?</w:t>
      </w:r>
    </w:p>
    <w:p w:rsidR="00A526A9" w:rsidRDefault="00A526A9" w:rsidP="00215608">
      <w:pPr>
        <w:rPr>
          <w:sz w:val="24"/>
          <w:lang w:val="en-US"/>
        </w:rPr>
      </w:pPr>
    </w:p>
    <w:p w:rsidR="00A526A9" w:rsidRDefault="00A526A9" w:rsidP="00215608">
      <w:pPr>
        <w:rPr>
          <w:sz w:val="24"/>
          <w:lang w:val="en-US"/>
        </w:rPr>
      </w:pPr>
      <w:r>
        <w:rPr>
          <w:sz w:val="24"/>
          <w:lang w:val="en-US"/>
        </w:rPr>
        <w:t xml:space="preserve">Field 5: </w:t>
      </w:r>
    </w:p>
    <w:p w:rsidR="00A526A9" w:rsidRDefault="00A526A9" w:rsidP="00A526A9">
      <w:pPr>
        <w:rPr>
          <w:sz w:val="24"/>
          <w:lang w:val="en-US"/>
        </w:rPr>
      </w:pPr>
      <w:r>
        <w:rPr>
          <w:sz w:val="24"/>
          <w:lang w:val="en-US"/>
        </w:rPr>
        <w:t>In case Field 4 has been filled with “false”, it should be clarified, whether this field should be left blank, marked “X”/“N/A” or whether Field 5 shouldn’t be reported in such circumstances.</w:t>
      </w:r>
    </w:p>
    <w:p w:rsidR="00A526A9" w:rsidRDefault="00A526A9" w:rsidP="00A526A9">
      <w:pPr>
        <w:rPr>
          <w:sz w:val="24"/>
          <w:lang w:val="en-US"/>
        </w:rPr>
      </w:pPr>
    </w:p>
    <w:p w:rsidR="003007E5" w:rsidRDefault="00A526A9" w:rsidP="00A526A9">
      <w:pPr>
        <w:rPr>
          <w:sz w:val="24"/>
          <w:lang w:val="en-US"/>
        </w:rPr>
      </w:pPr>
      <w:r>
        <w:rPr>
          <w:sz w:val="24"/>
          <w:lang w:val="en-US"/>
        </w:rPr>
        <w:t xml:space="preserve">Field 7: </w:t>
      </w:r>
    </w:p>
    <w:p w:rsidR="00A526A9" w:rsidRDefault="00A526A9" w:rsidP="00A526A9">
      <w:pPr>
        <w:rPr>
          <w:sz w:val="24"/>
          <w:lang w:val="en-US"/>
        </w:rPr>
      </w:pPr>
      <w:r>
        <w:rPr>
          <w:sz w:val="24"/>
          <w:lang w:val="en-US"/>
        </w:rPr>
        <w:t xml:space="preserve">The possible formats should be clearly explained to avoid misunderstanding and </w:t>
      </w:r>
      <w:r w:rsidRPr="00A526A9">
        <w:rPr>
          <w:sz w:val="24"/>
          <w:lang w:val="en-US"/>
        </w:rPr>
        <w:t>deviating</w:t>
      </w:r>
      <w:r>
        <w:rPr>
          <w:sz w:val="24"/>
          <w:lang w:val="en-US"/>
        </w:rPr>
        <w:t xml:space="preserve"> </w:t>
      </w:r>
      <w:r w:rsidR="003007E5">
        <w:rPr>
          <w:sz w:val="24"/>
          <w:lang w:val="en-US"/>
        </w:rPr>
        <w:t>Filling. A complete value</w:t>
      </w:r>
      <w:r>
        <w:rPr>
          <w:sz w:val="24"/>
          <w:lang w:val="en-US"/>
        </w:rPr>
        <w:t xml:space="preserve"> </w:t>
      </w:r>
      <w:r w:rsidR="003007E5">
        <w:rPr>
          <w:sz w:val="24"/>
          <w:lang w:val="en-US"/>
        </w:rPr>
        <w:t>table that allows no room for interpretation should be introduced.</w:t>
      </w:r>
    </w:p>
    <w:p w:rsidR="003007E5" w:rsidRDefault="003007E5" w:rsidP="00A526A9">
      <w:pPr>
        <w:rPr>
          <w:sz w:val="24"/>
          <w:lang w:val="en-US"/>
        </w:rPr>
      </w:pPr>
    </w:p>
    <w:p w:rsidR="003007E5" w:rsidRDefault="003007E5" w:rsidP="00A526A9">
      <w:pPr>
        <w:rPr>
          <w:sz w:val="24"/>
          <w:lang w:val="en-US"/>
        </w:rPr>
      </w:pPr>
      <w:r>
        <w:rPr>
          <w:sz w:val="24"/>
          <w:lang w:val="en-US"/>
        </w:rPr>
        <w:t>Field 8:</w:t>
      </w:r>
    </w:p>
    <w:p w:rsidR="003007E5" w:rsidRDefault="003007E5" w:rsidP="00A526A9">
      <w:pPr>
        <w:rPr>
          <w:sz w:val="24"/>
          <w:lang w:val="en-US"/>
        </w:rPr>
      </w:pPr>
      <w:r>
        <w:rPr>
          <w:sz w:val="24"/>
          <w:lang w:val="en-US"/>
        </w:rPr>
        <w:t>All possible situations should be explained and be provided with an adequate format.</w:t>
      </w:r>
    </w:p>
    <w:p w:rsidR="003007E5" w:rsidRDefault="003007E5" w:rsidP="00A526A9">
      <w:pPr>
        <w:rPr>
          <w:sz w:val="24"/>
          <w:lang w:val="en-US"/>
        </w:rPr>
      </w:pPr>
    </w:p>
    <w:p w:rsidR="003007E5" w:rsidRDefault="00CF1F32" w:rsidP="00A526A9">
      <w:pPr>
        <w:rPr>
          <w:sz w:val="24"/>
          <w:lang w:val="en-US"/>
        </w:rPr>
      </w:pPr>
      <w:r>
        <w:rPr>
          <w:sz w:val="24"/>
          <w:lang w:val="en-US"/>
        </w:rPr>
        <w:t>Field 10</w:t>
      </w:r>
      <w:r w:rsidR="003007E5">
        <w:rPr>
          <w:sz w:val="24"/>
          <w:lang w:val="en-US"/>
        </w:rPr>
        <w:t>:</w:t>
      </w:r>
    </w:p>
    <w:p w:rsidR="003007E5" w:rsidRDefault="003007E5" w:rsidP="003007E5">
      <w:pPr>
        <w:rPr>
          <w:sz w:val="24"/>
          <w:lang w:val="en-US"/>
        </w:rPr>
      </w:pPr>
      <w:r>
        <w:rPr>
          <w:sz w:val="24"/>
          <w:lang w:val="en-US"/>
        </w:rPr>
        <w:t>A complete value table (comprising a “</w:t>
      </w:r>
      <w:r w:rsidRPr="003007E5">
        <w:rPr>
          <w:sz w:val="24"/>
          <w:lang w:val="en-US"/>
        </w:rPr>
        <w:t>catchall element</w:t>
      </w:r>
      <w:r>
        <w:rPr>
          <w:sz w:val="24"/>
          <w:lang w:val="en-US"/>
        </w:rPr>
        <w:t xml:space="preserve">”-Format) that allows no room for interpretation should be introduced. To allow free text will </w:t>
      </w:r>
      <w:r w:rsidRPr="003007E5">
        <w:rPr>
          <w:sz w:val="24"/>
          <w:lang w:val="en-US"/>
        </w:rPr>
        <w:t>inevitably</w:t>
      </w:r>
      <w:r>
        <w:rPr>
          <w:sz w:val="24"/>
          <w:lang w:val="en-US"/>
        </w:rPr>
        <w:t xml:space="preserve"> lead to matching issues.</w:t>
      </w:r>
      <w:r w:rsidR="00CF1F32">
        <w:rPr>
          <w:sz w:val="24"/>
          <w:lang w:val="en-US"/>
        </w:rPr>
        <w:t xml:space="preserve"> Such a value table would have to be updated on a regular basis. </w:t>
      </w:r>
    </w:p>
    <w:p w:rsidR="00CF1F32" w:rsidRDefault="00CF1F32" w:rsidP="003007E5">
      <w:pPr>
        <w:rPr>
          <w:sz w:val="24"/>
          <w:lang w:val="en-US"/>
        </w:rPr>
      </w:pPr>
    </w:p>
    <w:p w:rsidR="00127957" w:rsidRDefault="00127957" w:rsidP="003007E5">
      <w:pPr>
        <w:rPr>
          <w:sz w:val="24"/>
          <w:lang w:val="en-US"/>
        </w:rPr>
      </w:pPr>
    </w:p>
    <w:p w:rsidR="004B6BEE" w:rsidRDefault="004B6BEE" w:rsidP="003007E5">
      <w:pPr>
        <w:rPr>
          <w:sz w:val="24"/>
          <w:lang w:val="en-US"/>
        </w:rPr>
      </w:pPr>
    </w:p>
    <w:p w:rsidR="00CF1F32" w:rsidRDefault="00CF1F32" w:rsidP="003007E5">
      <w:pPr>
        <w:rPr>
          <w:sz w:val="24"/>
          <w:lang w:val="en-US"/>
        </w:rPr>
      </w:pPr>
      <w:r>
        <w:rPr>
          <w:sz w:val="24"/>
          <w:lang w:val="en-US"/>
        </w:rPr>
        <w:lastRenderedPageBreak/>
        <w:t>Field 12</w:t>
      </w:r>
      <w:r w:rsidR="00FE6260">
        <w:rPr>
          <w:sz w:val="24"/>
          <w:lang w:val="en-US"/>
        </w:rPr>
        <w:t>:</w:t>
      </w:r>
    </w:p>
    <w:p w:rsidR="00FE6260" w:rsidRDefault="00CF1F32" w:rsidP="00FE6260">
      <w:pPr>
        <w:rPr>
          <w:sz w:val="24"/>
          <w:lang w:val="en-US"/>
        </w:rPr>
      </w:pPr>
      <w:r>
        <w:rPr>
          <w:sz w:val="24"/>
          <w:lang w:val="en-US"/>
        </w:rPr>
        <w:t xml:space="preserve">The possibly </w:t>
      </w:r>
      <w:r w:rsidRPr="00CF1F32">
        <w:rPr>
          <w:sz w:val="24"/>
          <w:lang w:val="en-US"/>
        </w:rPr>
        <w:t>applicable</w:t>
      </w:r>
      <w:r>
        <w:rPr>
          <w:sz w:val="24"/>
          <w:lang w:val="en-US"/>
        </w:rPr>
        <w:t xml:space="preserve"> </w:t>
      </w:r>
      <w:r w:rsidRPr="00CF1F32">
        <w:rPr>
          <w:sz w:val="24"/>
          <w:lang w:val="en-US"/>
        </w:rPr>
        <w:t>annexes to the</w:t>
      </w:r>
      <w:r>
        <w:rPr>
          <w:sz w:val="24"/>
          <w:lang w:val="en-US"/>
        </w:rPr>
        <w:t xml:space="preserve"> </w:t>
      </w:r>
      <w:r w:rsidRPr="00CF1F32">
        <w:rPr>
          <w:sz w:val="24"/>
          <w:lang w:val="en-US"/>
        </w:rPr>
        <w:t>master</w:t>
      </w:r>
      <w:r>
        <w:rPr>
          <w:sz w:val="24"/>
          <w:lang w:val="en-US"/>
        </w:rPr>
        <w:t xml:space="preserve"> </w:t>
      </w:r>
      <w:r w:rsidRPr="00CF1F32">
        <w:rPr>
          <w:sz w:val="24"/>
          <w:lang w:val="en-US"/>
        </w:rPr>
        <w:t>agreement</w:t>
      </w:r>
      <w:r>
        <w:rPr>
          <w:sz w:val="24"/>
          <w:lang w:val="en-US"/>
        </w:rPr>
        <w:t xml:space="preserve"> should be entirely enumerated </w:t>
      </w:r>
      <w:r w:rsidR="00FE6260">
        <w:rPr>
          <w:sz w:val="24"/>
          <w:lang w:val="en-US"/>
        </w:rPr>
        <w:t xml:space="preserve">in form of a value table. To allow free text will </w:t>
      </w:r>
      <w:r w:rsidR="00FE6260" w:rsidRPr="003007E5">
        <w:rPr>
          <w:sz w:val="24"/>
          <w:lang w:val="en-US"/>
        </w:rPr>
        <w:t>inevitably</w:t>
      </w:r>
      <w:r w:rsidR="00FE6260">
        <w:rPr>
          <w:sz w:val="24"/>
          <w:lang w:val="en-US"/>
        </w:rPr>
        <w:t xml:space="preserve"> lead to matching issues. Such a value table would have to be updated on a regular basis. </w:t>
      </w:r>
    </w:p>
    <w:p w:rsidR="00CF1F32" w:rsidRDefault="00CF1F32" w:rsidP="00CF1F32">
      <w:pPr>
        <w:rPr>
          <w:sz w:val="24"/>
          <w:lang w:val="en-US"/>
        </w:rPr>
      </w:pPr>
    </w:p>
    <w:p w:rsidR="006E451A" w:rsidRDefault="006E451A" w:rsidP="006E451A">
      <w:pPr>
        <w:rPr>
          <w:sz w:val="24"/>
          <w:lang w:val="en-US"/>
        </w:rPr>
      </w:pPr>
      <w:r>
        <w:rPr>
          <w:sz w:val="24"/>
          <w:lang w:val="en-US"/>
        </w:rPr>
        <w:t>Field 13:</w:t>
      </w:r>
    </w:p>
    <w:p w:rsidR="006E451A" w:rsidRPr="006E451A" w:rsidRDefault="006E451A" w:rsidP="006E451A">
      <w:pPr>
        <w:rPr>
          <w:sz w:val="24"/>
          <w:lang w:val="en-US"/>
        </w:rPr>
      </w:pPr>
      <w:r>
        <w:rPr>
          <w:sz w:val="24"/>
          <w:lang w:val="en-US"/>
        </w:rPr>
        <w:t xml:space="preserve">It might be more </w:t>
      </w:r>
      <w:r w:rsidRPr="006E451A">
        <w:rPr>
          <w:sz w:val="24"/>
          <w:lang w:val="en-US"/>
        </w:rPr>
        <w:t>productive</w:t>
      </w:r>
      <w:r>
        <w:rPr>
          <w:sz w:val="24"/>
          <w:lang w:val="en-US"/>
        </w:rPr>
        <w:t xml:space="preserve"> here to develop a value table that specifies </w:t>
      </w:r>
      <w:r w:rsidRPr="006E451A">
        <w:rPr>
          <w:sz w:val="24"/>
          <w:lang w:val="en-US"/>
        </w:rPr>
        <w:t>additional terms</w:t>
      </w:r>
    </w:p>
    <w:p w:rsidR="006E451A" w:rsidRDefault="006E451A" w:rsidP="006E451A">
      <w:pPr>
        <w:rPr>
          <w:sz w:val="24"/>
          <w:lang w:val="en-US"/>
        </w:rPr>
      </w:pPr>
      <w:proofErr w:type="gramStart"/>
      <w:r>
        <w:rPr>
          <w:sz w:val="24"/>
          <w:lang w:val="en-US"/>
        </w:rPr>
        <w:t>modifying</w:t>
      </w:r>
      <w:proofErr w:type="gramEnd"/>
      <w:r w:rsidRPr="006E451A">
        <w:rPr>
          <w:sz w:val="24"/>
          <w:lang w:val="en-US"/>
        </w:rPr>
        <w:t xml:space="preserve"> or complement</w:t>
      </w:r>
      <w:r>
        <w:rPr>
          <w:sz w:val="24"/>
          <w:lang w:val="en-US"/>
        </w:rPr>
        <w:t>ing</w:t>
      </w:r>
      <w:r w:rsidRPr="006E451A">
        <w:rPr>
          <w:sz w:val="24"/>
          <w:lang w:val="en-US"/>
        </w:rPr>
        <w:t xml:space="preserve"> the</w:t>
      </w:r>
      <w:r>
        <w:rPr>
          <w:sz w:val="24"/>
          <w:lang w:val="en-US"/>
        </w:rPr>
        <w:t xml:space="preserve"> </w:t>
      </w:r>
      <w:r w:rsidRPr="006E451A">
        <w:rPr>
          <w:sz w:val="24"/>
          <w:lang w:val="en-US"/>
        </w:rPr>
        <w:t>underlying legal agreement</w:t>
      </w:r>
      <w:r>
        <w:rPr>
          <w:sz w:val="24"/>
          <w:lang w:val="en-US"/>
        </w:rPr>
        <w:t>.</w:t>
      </w:r>
    </w:p>
    <w:p w:rsidR="006E451A" w:rsidRDefault="006E451A" w:rsidP="00CF1F32">
      <w:pPr>
        <w:rPr>
          <w:sz w:val="24"/>
          <w:lang w:val="en-US"/>
        </w:rPr>
      </w:pPr>
    </w:p>
    <w:p w:rsidR="00FE6260" w:rsidRDefault="00FE6260" w:rsidP="00CF1F32">
      <w:pPr>
        <w:rPr>
          <w:sz w:val="24"/>
          <w:lang w:val="en-US"/>
        </w:rPr>
      </w:pPr>
      <w:r>
        <w:rPr>
          <w:sz w:val="24"/>
          <w:lang w:val="en-US"/>
        </w:rPr>
        <w:t>Field 16:</w:t>
      </w:r>
    </w:p>
    <w:p w:rsidR="00FE6260" w:rsidRDefault="00FE6260" w:rsidP="00FE6260">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t</w:t>
      </w:r>
      <w:r w:rsidRPr="00FE6260">
        <w:rPr>
          <w:sz w:val="24"/>
          <w:lang w:val="en-US"/>
        </w:rPr>
        <w:t>he Maturity Date</w:t>
      </w:r>
      <w:r>
        <w:rPr>
          <w:sz w:val="24"/>
          <w:lang w:val="en-US"/>
        </w:rPr>
        <w:t xml:space="preserve"> </w:t>
      </w:r>
      <w:r w:rsidRPr="00FE6260">
        <w:rPr>
          <w:sz w:val="24"/>
          <w:lang w:val="en-US"/>
        </w:rPr>
        <w:t>(End Date) shall not be reported</w:t>
      </w:r>
      <w:r>
        <w:rPr>
          <w:sz w:val="24"/>
          <w:lang w:val="en-US"/>
        </w:rPr>
        <w:t xml:space="preserve"> </w:t>
      </w:r>
      <w:r w:rsidRPr="00FE6260">
        <w:rPr>
          <w:sz w:val="24"/>
          <w:lang w:val="en-US"/>
        </w:rPr>
        <w:t>for open term repos.</w:t>
      </w:r>
      <w:r>
        <w:rPr>
          <w:sz w:val="24"/>
          <w:lang w:val="en-US"/>
        </w:rPr>
        <w:t xml:space="preserve"> It should be clarified, whether this field should than be left blank, marked “X”/“N/A” or whether Field 16 shouldn’t be reported in such circumstances.</w:t>
      </w:r>
    </w:p>
    <w:p w:rsidR="006C684D" w:rsidRDefault="006C684D" w:rsidP="00FE6260">
      <w:pPr>
        <w:rPr>
          <w:sz w:val="24"/>
          <w:lang w:val="en-US"/>
        </w:rPr>
      </w:pPr>
    </w:p>
    <w:p w:rsidR="006C684D" w:rsidRDefault="006C684D" w:rsidP="00FE6260">
      <w:pPr>
        <w:rPr>
          <w:sz w:val="24"/>
          <w:lang w:val="en-US"/>
        </w:rPr>
      </w:pPr>
      <w:r>
        <w:rPr>
          <w:sz w:val="24"/>
          <w:lang w:val="en-US"/>
        </w:rPr>
        <w:t>Field 18:</w:t>
      </w:r>
    </w:p>
    <w:p w:rsidR="006C684D" w:rsidRDefault="00127957" w:rsidP="00FE6260">
      <w:pPr>
        <w:rPr>
          <w:sz w:val="24"/>
          <w:lang w:val="en-US"/>
        </w:rPr>
      </w:pPr>
      <w:r>
        <w:rPr>
          <w:sz w:val="24"/>
          <w:lang w:val="en-US"/>
        </w:rPr>
        <w:t xml:space="preserve">We understand that the minimum notice period is always T+0. We therefore suggest to </w:t>
      </w:r>
      <w:r w:rsidR="006E451A">
        <w:rPr>
          <w:sz w:val="24"/>
          <w:lang w:val="en-US"/>
        </w:rPr>
        <w:t>waive this field completely.</w:t>
      </w:r>
      <w:r>
        <w:rPr>
          <w:sz w:val="24"/>
          <w:lang w:val="en-US"/>
        </w:rPr>
        <w:t xml:space="preserve"> </w:t>
      </w:r>
    </w:p>
    <w:p w:rsidR="006C684D" w:rsidRDefault="006C684D" w:rsidP="00FE6260">
      <w:pPr>
        <w:rPr>
          <w:sz w:val="24"/>
          <w:lang w:val="en-US"/>
        </w:rPr>
      </w:pPr>
    </w:p>
    <w:p w:rsidR="006C684D" w:rsidRDefault="006C684D" w:rsidP="00FE6260">
      <w:pPr>
        <w:rPr>
          <w:sz w:val="24"/>
          <w:lang w:val="en-US"/>
        </w:rPr>
      </w:pPr>
      <w:r>
        <w:rPr>
          <w:sz w:val="24"/>
          <w:lang w:val="en-US"/>
        </w:rPr>
        <w:t xml:space="preserve">Field 19: </w:t>
      </w:r>
    </w:p>
    <w:p w:rsidR="006E451A" w:rsidRDefault="006C684D" w:rsidP="006E451A">
      <w:pPr>
        <w:rPr>
          <w:sz w:val="24"/>
          <w:lang w:val="en-US"/>
        </w:rPr>
      </w:pPr>
      <w:r>
        <w:rPr>
          <w:sz w:val="24"/>
          <w:lang w:val="en-US"/>
        </w:rPr>
        <w:t xml:space="preserve">If there was no </w:t>
      </w:r>
      <w:r w:rsidRPr="006C684D">
        <w:rPr>
          <w:sz w:val="24"/>
          <w:lang w:val="en-US"/>
        </w:rPr>
        <w:t xml:space="preserve">agreement </w:t>
      </w:r>
      <w:r>
        <w:rPr>
          <w:sz w:val="24"/>
          <w:lang w:val="en-US"/>
        </w:rPr>
        <w:t>on an “earliest call-back date”, how should the field be</w:t>
      </w:r>
      <w:r w:rsidR="001A3E00">
        <w:rPr>
          <w:sz w:val="24"/>
          <w:lang w:val="en-US"/>
        </w:rPr>
        <w:t xml:space="preserve"> </w:t>
      </w:r>
      <w:r>
        <w:rPr>
          <w:sz w:val="24"/>
          <w:lang w:val="en-US"/>
        </w:rPr>
        <w:t>populated? It should be clarified, whether this field should be left blank, marked “X”/“N/A” or should not be reported.</w:t>
      </w:r>
      <w:r w:rsidR="006E451A">
        <w:rPr>
          <w:sz w:val="24"/>
          <w:lang w:val="en-US"/>
        </w:rPr>
        <w:t xml:space="preserve"> Overall, we beli</w:t>
      </w:r>
      <w:r w:rsidR="009A32EE">
        <w:rPr>
          <w:sz w:val="24"/>
          <w:lang w:val="en-US"/>
        </w:rPr>
        <w:t>e</w:t>
      </w:r>
      <w:r w:rsidR="006E451A">
        <w:rPr>
          <w:sz w:val="24"/>
          <w:lang w:val="en-US"/>
        </w:rPr>
        <w:t xml:space="preserve">ve that </w:t>
      </w:r>
      <w:proofErr w:type="gramStart"/>
      <w:r w:rsidR="006E451A">
        <w:rPr>
          <w:sz w:val="24"/>
          <w:lang w:val="en-US"/>
        </w:rPr>
        <w:t>a</w:t>
      </w:r>
      <w:proofErr w:type="gramEnd"/>
      <w:r w:rsidR="006E451A">
        <w:rPr>
          <w:sz w:val="24"/>
          <w:lang w:val="en-US"/>
        </w:rPr>
        <w:t xml:space="preserve"> “earliest call-back date” is no market standard. The need does not fall into place. We therefore suggest ESMA to consider waiving this field. </w:t>
      </w:r>
    </w:p>
    <w:p w:rsidR="001A3E00" w:rsidRDefault="001A3E00" w:rsidP="00FE6260">
      <w:pPr>
        <w:rPr>
          <w:sz w:val="24"/>
          <w:lang w:val="en-US"/>
        </w:rPr>
      </w:pPr>
    </w:p>
    <w:p w:rsidR="001A3E00" w:rsidRDefault="001A3E00" w:rsidP="00FE6260">
      <w:pPr>
        <w:rPr>
          <w:sz w:val="24"/>
          <w:lang w:val="en-US"/>
        </w:rPr>
      </w:pPr>
      <w:r>
        <w:rPr>
          <w:sz w:val="24"/>
          <w:lang w:val="en-US"/>
        </w:rPr>
        <w:t>Field 22:</w:t>
      </w:r>
    </w:p>
    <w:p w:rsidR="004F4D72" w:rsidRPr="004F4D72" w:rsidRDefault="001A3E00" w:rsidP="004F4D72">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w:t>
      </w:r>
      <w:r w:rsidRPr="001A3E00">
        <w:rPr>
          <w:sz w:val="24"/>
          <w:lang w:val="en-US"/>
        </w:rPr>
        <w:t>used</w:t>
      </w:r>
      <w:r>
        <w:rPr>
          <w:sz w:val="24"/>
          <w:lang w:val="en-US"/>
        </w:rPr>
        <w:t xml:space="preserve"> </w:t>
      </w:r>
      <w:r w:rsidRPr="001A3E00">
        <w:rPr>
          <w:sz w:val="24"/>
          <w:lang w:val="en-US"/>
        </w:rPr>
        <w:t>to provide</w:t>
      </w:r>
      <w:r>
        <w:rPr>
          <w:sz w:val="24"/>
          <w:lang w:val="en-US"/>
        </w:rPr>
        <w:t xml:space="preserve"> </w:t>
      </w:r>
      <w:r w:rsidRPr="001A3E00">
        <w:rPr>
          <w:sz w:val="24"/>
          <w:lang w:val="en-US"/>
        </w:rPr>
        <w:t>collateral</w:t>
      </w:r>
      <w:r>
        <w:rPr>
          <w:sz w:val="24"/>
          <w:lang w:val="en-US"/>
        </w:rPr>
        <w:t xml:space="preserve"> should be introduced.</w:t>
      </w:r>
      <w:r w:rsidR="006E451A">
        <w:rPr>
          <w:sz w:val="24"/>
          <w:lang w:val="en-US"/>
        </w:rPr>
        <w:t xml:space="preserve"> Instead of the presently used formats (</w:t>
      </w:r>
      <w:r w:rsidR="004F4D72">
        <w:rPr>
          <w:sz w:val="24"/>
          <w:lang w:val="en-US"/>
        </w:rPr>
        <w:t xml:space="preserve">i.e. </w:t>
      </w:r>
      <w:r w:rsidR="006E451A">
        <w:rPr>
          <w:sz w:val="24"/>
          <w:lang w:val="en-US"/>
        </w:rPr>
        <w:t>“</w:t>
      </w:r>
      <w:r w:rsidR="004F4D72" w:rsidRPr="004F4D72">
        <w:rPr>
          <w:sz w:val="24"/>
          <w:lang w:val="en-US"/>
        </w:rPr>
        <w:t>title transfer collateral</w:t>
      </w:r>
    </w:p>
    <w:p w:rsidR="001A3E00" w:rsidRDefault="004F4D72" w:rsidP="004F4D72">
      <w:pPr>
        <w:rPr>
          <w:sz w:val="24"/>
          <w:lang w:val="en-US"/>
        </w:rPr>
      </w:pPr>
      <w:proofErr w:type="gramStart"/>
      <w:r w:rsidRPr="004F4D72">
        <w:rPr>
          <w:sz w:val="24"/>
          <w:lang w:val="en-US"/>
        </w:rPr>
        <w:t>arrangement</w:t>
      </w:r>
      <w:proofErr w:type="gramEnd"/>
      <w:r w:rsidR="006E451A">
        <w:rPr>
          <w:sz w:val="24"/>
          <w:lang w:val="en-US"/>
        </w:rPr>
        <w:t>”)</w:t>
      </w:r>
      <w:r>
        <w:rPr>
          <w:sz w:val="24"/>
          <w:lang w:val="en-US"/>
        </w:rPr>
        <w:t xml:space="preserve"> a clear function/mapping table (that allows no room for interpretation) comprising all relevant </w:t>
      </w:r>
      <w:r w:rsidRPr="004F4D72">
        <w:rPr>
          <w:sz w:val="24"/>
          <w:lang w:val="en-US"/>
        </w:rPr>
        <w:t>master agreements</w:t>
      </w:r>
      <w:r>
        <w:rPr>
          <w:sz w:val="24"/>
          <w:lang w:val="en-US"/>
        </w:rPr>
        <w:t xml:space="preserve"> such as DRV, GMRA, EMA, etc. </w:t>
      </w:r>
    </w:p>
    <w:p w:rsidR="001A3E00" w:rsidRDefault="001A3E00" w:rsidP="001A3E00">
      <w:pPr>
        <w:rPr>
          <w:sz w:val="24"/>
          <w:lang w:val="en-US"/>
        </w:rPr>
      </w:pPr>
    </w:p>
    <w:p w:rsidR="001A3E00" w:rsidRDefault="001A3E00" w:rsidP="001A3E00">
      <w:pPr>
        <w:rPr>
          <w:sz w:val="24"/>
          <w:lang w:val="en-US"/>
        </w:rPr>
      </w:pPr>
      <w:r>
        <w:rPr>
          <w:sz w:val="24"/>
          <w:lang w:val="en-US"/>
        </w:rPr>
        <w:t>Field 24:</w:t>
      </w:r>
    </w:p>
    <w:p w:rsidR="00B86EF6" w:rsidRDefault="001A3E00" w:rsidP="001A3E00">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w:t>
      </w:r>
      <w:r w:rsidR="00B86EF6">
        <w:rPr>
          <w:sz w:val="24"/>
          <w:lang w:val="en-US"/>
        </w:rPr>
        <w:t>regarding the termination optionality</w:t>
      </w:r>
      <w:r>
        <w:rPr>
          <w:sz w:val="24"/>
          <w:lang w:val="en-US"/>
        </w:rPr>
        <w:t xml:space="preserve"> should </w:t>
      </w:r>
    </w:p>
    <w:p w:rsidR="001A3E00" w:rsidRDefault="001A3E00" w:rsidP="001A3E00">
      <w:pPr>
        <w:rPr>
          <w:sz w:val="24"/>
          <w:lang w:val="en-US"/>
        </w:rPr>
      </w:pPr>
      <w:proofErr w:type="gramStart"/>
      <w:r>
        <w:rPr>
          <w:sz w:val="24"/>
          <w:lang w:val="en-US"/>
        </w:rPr>
        <w:t>be</w:t>
      </w:r>
      <w:proofErr w:type="gramEnd"/>
      <w:r>
        <w:rPr>
          <w:sz w:val="24"/>
          <w:lang w:val="en-US"/>
        </w:rPr>
        <w:t xml:space="preserve"> introduced.</w:t>
      </w:r>
    </w:p>
    <w:p w:rsidR="00B86EF6" w:rsidRDefault="00B86EF6" w:rsidP="001A3E00">
      <w:pPr>
        <w:rPr>
          <w:sz w:val="24"/>
          <w:lang w:val="en-US"/>
        </w:rPr>
      </w:pPr>
    </w:p>
    <w:p w:rsidR="00B86EF6" w:rsidRDefault="00B86EF6" w:rsidP="001A3E00">
      <w:pPr>
        <w:rPr>
          <w:sz w:val="24"/>
          <w:lang w:val="en-US"/>
        </w:rPr>
      </w:pPr>
      <w:r>
        <w:rPr>
          <w:sz w:val="24"/>
          <w:lang w:val="en-US"/>
        </w:rPr>
        <w:t>Field 25:</w:t>
      </w:r>
    </w:p>
    <w:p w:rsidR="00B86EF6" w:rsidRDefault="00B86EF6" w:rsidP="00B86EF6">
      <w:pPr>
        <w:rPr>
          <w:sz w:val="24"/>
          <w:lang w:val="en-US"/>
        </w:rPr>
      </w:pPr>
      <w:r>
        <w:rPr>
          <w:sz w:val="24"/>
          <w:lang w:val="en-US"/>
        </w:rPr>
        <w:t>The annualized interest rate should be expressed as “1” for 100 %, “0.9” for 90 %, etc.</w:t>
      </w:r>
    </w:p>
    <w:p w:rsidR="00B86EF6" w:rsidRDefault="00B86EF6" w:rsidP="00B86EF6">
      <w:pPr>
        <w:rPr>
          <w:sz w:val="24"/>
          <w:lang w:val="en-US"/>
        </w:rPr>
      </w:pPr>
    </w:p>
    <w:p w:rsidR="004F4D72" w:rsidRDefault="004F4D72" w:rsidP="00B86EF6">
      <w:pPr>
        <w:rPr>
          <w:sz w:val="24"/>
          <w:lang w:val="en-US"/>
        </w:rPr>
      </w:pPr>
    </w:p>
    <w:p w:rsidR="004F4D72" w:rsidRDefault="004F4D72" w:rsidP="00B86EF6">
      <w:pPr>
        <w:rPr>
          <w:sz w:val="24"/>
          <w:lang w:val="en-US"/>
        </w:rPr>
      </w:pPr>
    </w:p>
    <w:p w:rsidR="004B6BEE" w:rsidRDefault="004B6BEE" w:rsidP="00B86EF6">
      <w:pPr>
        <w:rPr>
          <w:sz w:val="24"/>
          <w:lang w:val="en-US"/>
        </w:rPr>
      </w:pPr>
    </w:p>
    <w:p w:rsidR="00B86EF6" w:rsidRDefault="00B86EF6" w:rsidP="00B86EF6">
      <w:pPr>
        <w:rPr>
          <w:sz w:val="24"/>
          <w:lang w:val="en-US"/>
        </w:rPr>
      </w:pPr>
      <w:r>
        <w:rPr>
          <w:sz w:val="24"/>
          <w:lang w:val="en-US"/>
        </w:rPr>
        <w:lastRenderedPageBreak/>
        <w:t>Field 26:</w:t>
      </w:r>
    </w:p>
    <w:p w:rsidR="00B86EF6" w:rsidRDefault="00B86EF6" w:rsidP="00B86EF6">
      <w:pPr>
        <w:rPr>
          <w:sz w:val="24"/>
          <w:lang w:val="en-US"/>
        </w:rPr>
      </w:pPr>
      <w:r>
        <w:rPr>
          <w:sz w:val="24"/>
          <w:lang w:val="en-US"/>
        </w:rPr>
        <w:t xml:space="preserve">The “day count convention” should not be represented with free text, as is will </w:t>
      </w:r>
      <w:r w:rsidRPr="003007E5">
        <w:rPr>
          <w:sz w:val="24"/>
          <w:lang w:val="en-US"/>
        </w:rPr>
        <w:t>inevitably</w:t>
      </w:r>
      <w:r>
        <w:rPr>
          <w:sz w:val="24"/>
          <w:lang w:val="en-US"/>
        </w:rPr>
        <w:t xml:space="preserve"> lead to matching issues; instead a Format category “other” should be introduced.</w:t>
      </w:r>
    </w:p>
    <w:p w:rsidR="00B86EF6" w:rsidRDefault="00B86EF6" w:rsidP="00B86EF6">
      <w:pPr>
        <w:rPr>
          <w:sz w:val="24"/>
          <w:lang w:val="en-US"/>
        </w:rPr>
      </w:pPr>
    </w:p>
    <w:p w:rsidR="00B86EF6" w:rsidRDefault="00B86EF6" w:rsidP="00B86EF6">
      <w:pPr>
        <w:rPr>
          <w:sz w:val="24"/>
          <w:lang w:val="en-US"/>
        </w:rPr>
      </w:pPr>
      <w:r>
        <w:rPr>
          <w:sz w:val="24"/>
          <w:lang w:val="en-US"/>
        </w:rPr>
        <w:t>Field 27:</w:t>
      </w:r>
    </w:p>
    <w:p w:rsidR="00B86EF6" w:rsidRDefault="00B86EF6" w:rsidP="00B86EF6">
      <w:pPr>
        <w:rPr>
          <w:sz w:val="24"/>
          <w:lang w:val="en-US"/>
        </w:rPr>
      </w:pPr>
      <w:r>
        <w:rPr>
          <w:sz w:val="24"/>
          <w:lang w:val="en-US"/>
        </w:rPr>
        <w:t>Why does ESMA not use a 15 digit space here? That would eliminate the need to abbreviate common terminology.</w:t>
      </w:r>
      <w:r w:rsidR="0097363C">
        <w:rPr>
          <w:sz w:val="24"/>
          <w:lang w:val="en-US"/>
        </w:rPr>
        <w:t xml:space="preserve"> </w:t>
      </w:r>
      <w:r>
        <w:rPr>
          <w:sz w:val="24"/>
          <w:lang w:val="en-US"/>
        </w:rPr>
        <w:t xml:space="preserve">Example: </w:t>
      </w:r>
      <w:r w:rsidR="0097363C">
        <w:rPr>
          <w:sz w:val="24"/>
          <w:lang w:val="en-US"/>
        </w:rPr>
        <w:t xml:space="preserve">“EONIA00000000000” instead of “EONA” for EONIA or “Pfandbriefe0000” instead of “PFAN” for </w:t>
      </w:r>
      <w:proofErr w:type="spellStart"/>
      <w:r w:rsidR="0097363C">
        <w:rPr>
          <w:sz w:val="24"/>
          <w:lang w:val="en-US"/>
        </w:rPr>
        <w:t>Pfandbriefe</w:t>
      </w:r>
      <w:proofErr w:type="spellEnd"/>
      <w:r w:rsidR="0097363C">
        <w:rPr>
          <w:sz w:val="24"/>
          <w:lang w:val="en-US"/>
        </w:rPr>
        <w:t>.</w:t>
      </w:r>
    </w:p>
    <w:p w:rsidR="0097363C" w:rsidRDefault="0097363C" w:rsidP="00B86EF6">
      <w:pPr>
        <w:rPr>
          <w:sz w:val="24"/>
          <w:lang w:val="en-US"/>
        </w:rPr>
      </w:pPr>
    </w:p>
    <w:p w:rsidR="0097363C" w:rsidRDefault="0097363C" w:rsidP="00B86EF6">
      <w:pPr>
        <w:rPr>
          <w:sz w:val="24"/>
          <w:lang w:val="en-US"/>
        </w:rPr>
      </w:pPr>
      <w:r>
        <w:rPr>
          <w:sz w:val="24"/>
          <w:lang w:val="en-US"/>
        </w:rPr>
        <w:t>Field 28:</w:t>
      </w:r>
    </w:p>
    <w:p w:rsidR="0097363C" w:rsidRDefault="0097363C" w:rsidP="00B86EF6">
      <w:pPr>
        <w:rPr>
          <w:sz w:val="24"/>
          <w:lang w:val="en-US"/>
        </w:rPr>
      </w:pPr>
      <w:r>
        <w:rPr>
          <w:sz w:val="24"/>
          <w:lang w:val="en-US"/>
        </w:rPr>
        <w:t>Why does ESMA not use abbreviations for “quarter” and/or “semi”?</w:t>
      </w:r>
    </w:p>
    <w:p w:rsidR="0097363C" w:rsidRDefault="0097363C" w:rsidP="00B86EF6">
      <w:pPr>
        <w:rPr>
          <w:sz w:val="24"/>
          <w:lang w:val="en-US"/>
        </w:rPr>
      </w:pPr>
    </w:p>
    <w:p w:rsidR="0097363C" w:rsidRDefault="0097363C" w:rsidP="00B86EF6">
      <w:pPr>
        <w:rPr>
          <w:sz w:val="24"/>
          <w:lang w:val="en-US"/>
        </w:rPr>
      </w:pPr>
      <w:r>
        <w:rPr>
          <w:sz w:val="24"/>
          <w:lang w:val="en-US"/>
        </w:rPr>
        <w:t>Field 29:</w:t>
      </w:r>
    </w:p>
    <w:p w:rsidR="0097363C" w:rsidRDefault="0097363C" w:rsidP="00926CF7">
      <w:pPr>
        <w:rPr>
          <w:sz w:val="24"/>
          <w:lang w:val="en-US"/>
        </w:rPr>
      </w:pPr>
      <w:r>
        <w:rPr>
          <w:sz w:val="24"/>
          <w:lang w:val="en-US"/>
        </w:rPr>
        <w:t xml:space="preserve">The presently suggested design of the </w:t>
      </w:r>
      <w:r w:rsidR="00926CF7" w:rsidRPr="00926CF7">
        <w:rPr>
          <w:sz w:val="24"/>
          <w:lang w:val="en-US"/>
        </w:rPr>
        <w:t>Floating repo</w:t>
      </w:r>
      <w:r w:rsidR="00926CF7">
        <w:rPr>
          <w:sz w:val="24"/>
          <w:lang w:val="en-US"/>
        </w:rPr>
        <w:t xml:space="preserve"> </w:t>
      </w:r>
      <w:r w:rsidR="00926CF7" w:rsidRPr="00926CF7">
        <w:rPr>
          <w:sz w:val="24"/>
          <w:lang w:val="en-US"/>
        </w:rPr>
        <w:t>rate reference</w:t>
      </w:r>
      <w:r w:rsidR="00926CF7">
        <w:rPr>
          <w:sz w:val="24"/>
          <w:lang w:val="en-US"/>
        </w:rPr>
        <w:t xml:space="preserve"> period-</w:t>
      </w:r>
      <w:r w:rsidR="00926CF7" w:rsidRPr="00926CF7">
        <w:rPr>
          <w:sz w:val="24"/>
          <w:lang w:val="en-US"/>
        </w:rPr>
        <w:t>time</w:t>
      </w:r>
      <w:r w:rsidR="00926CF7">
        <w:rPr>
          <w:sz w:val="24"/>
          <w:lang w:val="en-US"/>
        </w:rPr>
        <w:t xml:space="preserve"> </w:t>
      </w:r>
      <w:r w:rsidR="00926CF7" w:rsidRPr="00926CF7">
        <w:rPr>
          <w:sz w:val="24"/>
          <w:lang w:val="en-US"/>
        </w:rPr>
        <w:t>perio</w:t>
      </w:r>
      <w:r w:rsidR="00926CF7">
        <w:rPr>
          <w:sz w:val="24"/>
          <w:lang w:val="en-US"/>
        </w:rPr>
        <w:t xml:space="preserve">d and the </w:t>
      </w:r>
      <w:r w:rsidR="00926CF7" w:rsidRPr="00926CF7">
        <w:rPr>
          <w:sz w:val="24"/>
          <w:lang w:val="en-US"/>
        </w:rPr>
        <w:t>Floating repo</w:t>
      </w:r>
      <w:r w:rsidR="00926CF7">
        <w:rPr>
          <w:sz w:val="24"/>
          <w:lang w:val="en-US"/>
        </w:rPr>
        <w:t xml:space="preserve"> </w:t>
      </w:r>
      <w:r w:rsidR="00926CF7" w:rsidRPr="00926CF7">
        <w:rPr>
          <w:sz w:val="24"/>
          <w:lang w:val="en-US"/>
        </w:rPr>
        <w:t>rate reference</w:t>
      </w:r>
      <w:r w:rsidR="00926CF7">
        <w:rPr>
          <w:sz w:val="24"/>
          <w:lang w:val="en-US"/>
        </w:rPr>
        <w:t xml:space="preserve"> period-</w:t>
      </w:r>
      <w:r w:rsidR="00926CF7" w:rsidRPr="00926CF7">
        <w:rPr>
          <w:sz w:val="24"/>
          <w:lang w:val="en-US"/>
        </w:rPr>
        <w:t>time</w:t>
      </w:r>
      <w:r w:rsidR="00926CF7">
        <w:rPr>
          <w:sz w:val="24"/>
          <w:lang w:val="en-US"/>
        </w:rPr>
        <w:t xml:space="preserve"> </w:t>
      </w:r>
      <w:r w:rsidR="00926CF7" w:rsidRPr="00926CF7">
        <w:rPr>
          <w:sz w:val="24"/>
          <w:lang w:val="en-US"/>
        </w:rPr>
        <w:t>perio</w:t>
      </w:r>
      <w:r w:rsidR="00926CF7">
        <w:rPr>
          <w:sz w:val="24"/>
          <w:lang w:val="en-US"/>
        </w:rPr>
        <w:t xml:space="preserve">d multiplier </w:t>
      </w:r>
      <w:r>
        <w:rPr>
          <w:sz w:val="24"/>
          <w:lang w:val="en-US"/>
        </w:rPr>
        <w:t>format is prone to mismatches:</w:t>
      </w:r>
    </w:p>
    <w:p w:rsidR="0097363C" w:rsidRDefault="0097363C" w:rsidP="00B86EF6">
      <w:pPr>
        <w:rPr>
          <w:sz w:val="24"/>
          <w:lang w:val="en-US"/>
        </w:rPr>
      </w:pPr>
      <w:r>
        <w:rPr>
          <w:sz w:val="24"/>
          <w:lang w:val="en-US"/>
        </w:rPr>
        <w:t xml:space="preserve">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w:t>
      </w:r>
      <w:r w:rsidR="00926CF7">
        <w:rPr>
          <w:sz w:val="24"/>
          <w:lang w:val="en-US"/>
        </w:rPr>
        <w:t>,</w:t>
      </w:r>
      <w:r>
        <w:rPr>
          <w:sz w:val="24"/>
          <w:lang w:val="en-US"/>
        </w:rPr>
        <w:t xml:space="preserve"> </w:t>
      </w:r>
      <w:r w:rsidR="00926CF7">
        <w:rPr>
          <w:sz w:val="24"/>
          <w:lang w:val="en-US"/>
        </w:rPr>
        <w:t xml:space="preserve">is it necessary to </w:t>
      </w:r>
      <w:r w:rsidR="00926CF7" w:rsidRPr="00926CF7">
        <w:rPr>
          <w:sz w:val="24"/>
          <w:lang w:val="en-US"/>
        </w:rPr>
        <w:t xml:space="preserve">instruct </w:t>
      </w:r>
      <w:r w:rsidR="00926CF7">
        <w:rPr>
          <w:sz w:val="24"/>
          <w:lang w:val="en-US"/>
        </w:rPr>
        <w:t xml:space="preserve">the market participants to always use the highest </w:t>
      </w:r>
      <w:r w:rsidR="00926CF7" w:rsidRPr="00926CF7">
        <w:rPr>
          <w:sz w:val="24"/>
          <w:lang w:val="en-US"/>
        </w:rPr>
        <w:t>base value</w:t>
      </w:r>
      <w:r w:rsidR="00926CF7">
        <w:rPr>
          <w:sz w:val="24"/>
          <w:lang w:val="en-US"/>
        </w:rPr>
        <w:t xml:space="preserve"> (i.e. format of Field 28), when </w:t>
      </w:r>
    </w:p>
    <w:p w:rsidR="00926CF7" w:rsidRDefault="00926CF7" w:rsidP="00B86EF6">
      <w:pPr>
        <w:rPr>
          <w:sz w:val="24"/>
          <w:lang w:val="en-US"/>
        </w:rPr>
      </w:pPr>
      <w:proofErr w:type="gramStart"/>
      <w:r>
        <w:rPr>
          <w:sz w:val="24"/>
          <w:lang w:val="en-US"/>
        </w:rPr>
        <w:t>reporting</w:t>
      </w:r>
      <w:proofErr w:type="gramEnd"/>
      <w:r>
        <w:rPr>
          <w:sz w:val="24"/>
          <w:lang w:val="en-US"/>
        </w:rPr>
        <w:t xml:space="preserve">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p>
    <w:p w:rsidR="00B86EF6" w:rsidRDefault="00B86EF6" w:rsidP="00B86EF6">
      <w:pPr>
        <w:rPr>
          <w:sz w:val="24"/>
          <w:lang w:val="en-US"/>
        </w:rPr>
      </w:pPr>
    </w:p>
    <w:p w:rsidR="00926CF7" w:rsidRDefault="00926CF7" w:rsidP="00926CF7">
      <w:pPr>
        <w:rPr>
          <w:sz w:val="24"/>
          <w:lang w:val="en-US"/>
        </w:rPr>
      </w:pPr>
      <w:r>
        <w:rPr>
          <w:sz w:val="24"/>
          <w:lang w:val="en-US"/>
        </w:rPr>
        <w:t>Field 30:</w:t>
      </w:r>
    </w:p>
    <w:p w:rsidR="00926CF7" w:rsidRDefault="00926CF7" w:rsidP="00926CF7">
      <w:pPr>
        <w:rPr>
          <w:sz w:val="24"/>
          <w:lang w:val="en-US"/>
        </w:rPr>
      </w:pPr>
      <w:r>
        <w:rPr>
          <w:sz w:val="24"/>
          <w:lang w:val="en-US"/>
        </w:rPr>
        <w:t>Why does ESMA not use abbreviations for “quarter” and/or “semi”?</w:t>
      </w:r>
    </w:p>
    <w:p w:rsidR="00926CF7" w:rsidRDefault="00926CF7" w:rsidP="00926CF7">
      <w:pPr>
        <w:rPr>
          <w:sz w:val="24"/>
          <w:lang w:val="en-US"/>
        </w:rPr>
      </w:pPr>
    </w:p>
    <w:p w:rsidR="00926CF7" w:rsidRDefault="00926CF7" w:rsidP="00926CF7">
      <w:pPr>
        <w:rPr>
          <w:sz w:val="24"/>
          <w:lang w:val="en-US"/>
        </w:rPr>
      </w:pPr>
      <w:r>
        <w:rPr>
          <w:sz w:val="24"/>
          <w:lang w:val="en-US"/>
        </w:rPr>
        <w:t>Field 31:</w:t>
      </w:r>
    </w:p>
    <w:p w:rsidR="00926CF7" w:rsidRDefault="00926CF7" w:rsidP="00926CF7">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 and the 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 xml:space="preserve">time period </w:t>
      </w:r>
      <w:r>
        <w:rPr>
          <w:sz w:val="24"/>
          <w:lang w:val="en-US"/>
        </w:rPr>
        <w:t xml:space="preserve">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w:t>
      </w:r>
      <w:r>
        <w:rPr>
          <w:sz w:val="24"/>
          <w:lang w:val="en-US"/>
        </w:rPr>
        <w:t>.</w:t>
      </w:r>
    </w:p>
    <w:p w:rsidR="00926CF7" w:rsidRDefault="00926CF7" w:rsidP="00926CF7">
      <w:pPr>
        <w:rPr>
          <w:sz w:val="24"/>
          <w:lang w:val="en-US"/>
        </w:rPr>
      </w:pPr>
      <w:r>
        <w:rPr>
          <w:sz w:val="24"/>
          <w:lang w:val="en-US"/>
        </w:rPr>
        <w:t>Field 32:</w:t>
      </w:r>
    </w:p>
    <w:p w:rsidR="00926CF7" w:rsidRDefault="00926CF7" w:rsidP="00926CF7">
      <w:pPr>
        <w:rPr>
          <w:sz w:val="24"/>
          <w:lang w:val="en-US"/>
        </w:rPr>
      </w:pPr>
      <w:r>
        <w:rPr>
          <w:sz w:val="24"/>
          <w:lang w:val="en-US"/>
        </w:rPr>
        <w:t>Why does ESMA not use abbreviations for “quarter” and/or “semi”?</w:t>
      </w:r>
    </w:p>
    <w:p w:rsidR="00926CF7" w:rsidRDefault="00926CF7" w:rsidP="00926CF7">
      <w:pPr>
        <w:rPr>
          <w:sz w:val="24"/>
          <w:lang w:val="en-US"/>
        </w:rPr>
      </w:pPr>
    </w:p>
    <w:p w:rsidR="00926CF7" w:rsidRDefault="00926CF7" w:rsidP="00926CF7">
      <w:pPr>
        <w:rPr>
          <w:sz w:val="24"/>
          <w:lang w:val="en-US"/>
        </w:rPr>
      </w:pPr>
      <w:r>
        <w:rPr>
          <w:sz w:val="24"/>
          <w:lang w:val="en-US"/>
        </w:rPr>
        <w:t>Field 31:</w:t>
      </w:r>
    </w:p>
    <w:p w:rsidR="00926CF7" w:rsidRDefault="00926CF7" w:rsidP="00926CF7">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w:t>
      </w:r>
      <w:r w:rsidRPr="00926CF7">
        <w:rPr>
          <w:sz w:val="24"/>
          <w:lang w:val="en-US"/>
        </w:rPr>
        <w:t>and the 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w:t>
      </w:r>
      <w:r>
        <w:rPr>
          <w:sz w:val="24"/>
          <w:lang w:val="en-US"/>
        </w:rPr>
        <w:t>.</w:t>
      </w:r>
    </w:p>
    <w:p w:rsidR="00926CF7" w:rsidRDefault="00926CF7" w:rsidP="00926CF7">
      <w:pPr>
        <w:jc w:val="both"/>
        <w:rPr>
          <w:sz w:val="24"/>
          <w:lang w:val="en-US"/>
        </w:rPr>
      </w:pPr>
    </w:p>
    <w:p w:rsidR="00926CF7" w:rsidRDefault="00926CF7" w:rsidP="00926CF7">
      <w:pPr>
        <w:rPr>
          <w:sz w:val="24"/>
          <w:lang w:val="en-US"/>
        </w:rPr>
      </w:pPr>
      <w:r>
        <w:rPr>
          <w:sz w:val="24"/>
          <w:lang w:val="en-US"/>
        </w:rPr>
        <w:t>Field 25:</w:t>
      </w:r>
    </w:p>
    <w:p w:rsidR="00926CF7" w:rsidRDefault="00926CF7" w:rsidP="00926CF7">
      <w:pPr>
        <w:rPr>
          <w:sz w:val="24"/>
          <w:lang w:val="en-US"/>
        </w:rPr>
      </w:pPr>
      <w:r>
        <w:rPr>
          <w:sz w:val="24"/>
          <w:lang w:val="en-US"/>
        </w:rPr>
        <w:t>The spread should be expressed as “1” for 100 %, “0.9” for 90 %, etc.</w:t>
      </w:r>
    </w:p>
    <w:p w:rsidR="00B86EF6" w:rsidRDefault="00B86EF6" w:rsidP="001A3E00">
      <w:pPr>
        <w:rPr>
          <w:sz w:val="24"/>
          <w:lang w:val="en-US"/>
        </w:rPr>
      </w:pPr>
    </w:p>
    <w:p w:rsidR="001A3E00" w:rsidRDefault="001A3E00" w:rsidP="001A3E00">
      <w:pPr>
        <w:rPr>
          <w:sz w:val="24"/>
          <w:lang w:val="en-US"/>
        </w:rPr>
      </w:pPr>
    </w:p>
    <w:p w:rsidR="004B6BEE" w:rsidRDefault="004B6BEE" w:rsidP="001A3E00">
      <w:pPr>
        <w:rPr>
          <w:sz w:val="24"/>
          <w:lang w:val="en-US"/>
        </w:rPr>
      </w:pPr>
    </w:p>
    <w:p w:rsidR="00926CF7" w:rsidRDefault="00926CF7" w:rsidP="00926CF7">
      <w:pPr>
        <w:pStyle w:val="Listenabsatz"/>
        <w:numPr>
          <w:ilvl w:val="0"/>
          <w:numId w:val="2"/>
        </w:numPr>
        <w:rPr>
          <w:sz w:val="24"/>
          <w:lang w:val="en-US"/>
        </w:rPr>
      </w:pPr>
      <w:r>
        <w:rPr>
          <w:sz w:val="24"/>
          <w:lang w:val="en-US"/>
        </w:rPr>
        <w:lastRenderedPageBreak/>
        <w:t>Ta</w:t>
      </w:r>
      <w:r w:rsidR="003D5C6C">
        <w:rPr>
          <w:sz w:val="24"/>
          <w:lang w:val="en-US"/>
        </w:rPr>
        <w:t>ble 3</w:t>
      </w:r>
      <w:r>
        <w:rPr>
          <w:sz w:val="24"/>
          <w:lang w:val="en-US"/>
        </w:rPr>
        <w:t xml:space="preserve"> – Collateral data</w:t>
      </w:r>
    </w:p>
    <w:p w:rsidR="006B0261" w:rsidRDefault="006B0261" w:rsidP="006B0261">
      <w:pPr>
        <w:rPr>
          <w:sz w:val="24"/>
          <w:lang w:val="en-US"/>
        </w:rPr>
      </w:pPr>
    </w:p>
    <w:p w:rsidR="006B0261" w:rsidRDefault="006B0261" w:rsidP="006B0261">
      <w:pPr>
        <w:rPr>
          <w:sz w:val="24"/>
          <w:lang w:val="en-US"/>
        </w:rPr>
      </w:pPr>
      <w:r>
        <w:rPr>
          <w:sz w:val="24"/>
          <w:lang w:val="en-US"/>
        </w:rPr>
        <w:t xml:space="preserve">Field </w:t>
      </w:r>
      <w:r w:rsidR="002224BA">
        <w:rPr>
          <w:sz w:val="24"/>
          <w:lang w:val="en-US"/>
        </w:rPr>
        <w:t>1</w:t>
      </w:r>
      <w:r w:rsidR="008F3536">
        <w:rPr>
          <w:sz w:val="24"/>
          <w:lang w:val="en-US"/>
        </w:rPr>
        <w:t>:</w:t>
      </w:r>
    </w:p>
    <w:p w:rsidR="008F3536" w:rsidRDefault="008F3536" w:rsidP="008F3536">
      <w:pPr>
        <w:rPr>
          <w:sz w:val="24"/>
          <w:lang w:val="en-US"/>
        </w:rPr>
      </w:pPr>
      <w:r>
        <w:rPr>
          <w:sz w:val="24"/>
          <w:lang w:val="en-US"/>
        </w:rPr>
        <w:t>A complete value table (</w:t>
      </w:r>
      <w:r w:rsidR="000E1916">
        <w:rPr>
          <w:sz w:val="24"/>
          <w:lang w:val="en-US"/>
        </w:rPr>
        <w:t>that allows no</w:t>
      </w:r>
      <w:r>
        <w:rPr>
          <w:sz w:val="24"/>
          <w:lang w:val="en-US"/>
        </w:rPr>
        <w:t xml:space="preserve">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or a Format category “other”) regarding the </w:t>
      </w:r>
      <w:r w:rsidRPr="008F3536">
        <w:rPr>
          <w:sz w:val="24"/>
          <w:lang w:val="en-US"/>
        </w:rPr>
        <w:t>Type of</w:t>
      </w:r>
      <w:r>
        <w:rPr>
          <w:sz w:val="24"/>
          <w:lang w:val="en-US"/>
        </w:rPr>
        <w:t xml:space="preserve"> </w:t>
      </w:r>
      <w:r w:rsidRPr="008F3536">
        <w:rPr>
          <w:sz w:val="24"/>
          <w:lang w:val="en-US"/>
        </w:rPr>
        <w:t>collateral</w:t>
      </w:r>
      <w:r>
        <w:rPr>
          <w:sz w:val="24"/>
          <w:lang w:val="en-US"/>
        </w:rPr>
        <w:t xml:space="preserve"> </w:t>
      </w:r>
      <w:r w:rsidRPr="008F3536">
        <w:rPr>
          <w:sz w:val="24"/>
          <w:lang w:val="en-US"/>
        </w:rPr>
        <w:t>component</w:t>
      </w:r>
      <w:r>
        <w:rPr>
          <w:sz w:val="24"/>
          <w:lang w:val="en-US"/>
        </w:rPr>
        <w:t xml:space="preserve"> should be established.</w:t>
      </w:r>
    </w:p>
    <w:p w:rsidR="008F3536" w:rsidRDefault="008F3536" w:rsidP="008F3536">
      <w:pPr>
        <w:rPr>
          <w:sz w:val="24"/>
          <w:lang w:val="en-US"/>
        </w:rPr>
      </w:pPr>
    </w:p>
    <w:p w:rsidR="008F3536" w:rsidRDefault="008F3536" w:rsidP="008F3536">
      <w:pPr>
        <w:rPr>
          <w:sz w:val="24"/>
          <w:lang w:val="en-US"/>
        </w:rPr>
      </w:pPr>
      <w:r>
        <w:rPr>
          <w:sz w:val="24"/>
          <w:lang w:val="en-US"/>
        </w:rPr>
        <w:t>Field 2:</w:t>
      </w:r>
    </w:p>
    <w:p w:rsidR="008F3536" w:rsidRDefault="008F3536" w:rsidP="008F3536">
      <w:pPr>
        <w:rPr>
          <w:sz w:val="24"/>
          <w:lang w:val="en-US"/>
        </w:rPr>
      </w:pPr>
      <w:r>
        <w:rPr>
          <w:sz w:val="24"/>
          <w:lang w:val="en-US"/>
        </w:rPr>
        <w:t xml:space="preserve">How shall this field be populated in case of cash collateral or when a </w:t>
      </w:r>
      <w:r w:rsidRPr="008F3536">
        <w:rPr>
          <w:sz w:val="24"/>
          <w:lang w:val="en-US"/>
        </w:rPr>
        <w:t xml:space="preserve">commodity </w:t>
      </w:r>
      <w:r>
        <w:rPr>
          <w:sz w:val="24"/>
          <w:lang w:val="en-US"/>
        </w:rPr>
        <w:t xml:space="preserve">is </w:t>
      </w:r>
      <w:r w:rsidRPr="008F3536">
        <w:rPr>
          <w:sz w:val="24"/>
          <w:lang w:val="en-US"/>
        </w:rPr>
        <w:t>used as collateral</w:t>
      </w:r>
      <w:r>
        <w:rPr>
          <w:sz w:val="24"/>
          <w:lang w:val="en-US"/>
        </w:rPr>
        <w:t>?</w:t>
      </w:r>
    </w:p>
    <w:p w:rsidR="001659E5" w:rsidRDefault="001659E5" w:rsidP="008F3536">
      <w:pPr>
        <w:rPr>
          <w:sz w:val="24"/>
          <w:lang w:val="en-US"/>
        </w:rPr>
      </w:pPr>
    </w:p>
    <w:p w:rsidR="00F90E49" w:rsidRDefault="00F90E49" w:rsidP="008F3536">
      <w:pPr>
        <w:rPr>
          <w:sz w:val="24"/>
          <w:lang w:val="en-US"/>
        </w:rPr>
      </w:pPr>
      <w:r>
        <w:rPr>
          <w:sz w:val="24"/>
          <w:lang w:val="en-US"/>
        </w:rPr>
        <w:t>Field 3:</w:t>
      </w:r>
    </w:p>
    <w:p w:rsidR="00F90E49" w:rsidRDefault="00F90E49" w:rsidP="008F3536">
      <w:pPr>
        <w:rPr>
          <w:sz w:val="24"/>
          <w:lang w:val="en-US"/>
        </w:rPr>
      </w:pPr>
      <w:r>
        <w:rPr>
          <w:sz w:val="24"/>
          <w:lang w:val="en-US"/>
        </w:rPr>
        <w:t>The option to choose other on this level of granularity may lead to imprecise/unspecified reporting.</w:t>
      </w:r>
    </w:p>
    <w:p w:rsidR="00F90E49" w:rsidRDefault="00F90E49" w:rsidP="008F3536">
      <w:pPr>
        <w:rPr>
          <w:sz w:val="24"/>
          <w:lang w:val="en-US"/>
        </w:rPr>
      </w:pPr>
    </w:p>
    <w:p w:rsidR="00F90E49" w:rsidRDefault="00F90E49" w:rsidP="008F3536">
      <w:pPr>
        <w:rPr>
          <w:sz w:val="24"/>
          <w:lang w:val="en-US"/>
        </w:rPr>
      </w:pPr>
      <w:r>
        <w:rPr>
          <w:sz w:val="24"/>
          <w:lang w:val="en-US"/>
        </w:rPr>
        <w:t>Field 4:</w:t>
      </w:r>
    </w:p>
    <w:p w:rsidR="00F90E49" w:rsidRPr="006B0261" w:rsidRDefault="00F90E49" w:rsidP="00F90E49">
      <w:pPr>
        <w:rPr>
          <w:sz w:val="24"/>
          <w:lang w:val="en-US"/>
        </w:rPr>
      </w:pPr>
      <w:r>
        <w:rPr>
          <w:sz w:val="24"/>
          <w:lang w:val="en-US"/>
        </w:rPr>
        <w:t xml:space="preserve">In the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sub products (i.e. it is missing in all sub product columns) If this option is missing, “other” can only be chosen at “Base product”-level, which will lead to imprecise/unspecified reporting. </w:t>
      </w:r>
    </w:p>
    <w:p w:rsidR="00F90E49" w:rsidRDefault="00F90E49" w:rsidP="008F3536">
      <w:pPr>
        <w:rPr>
          <w:sz w:val="24"/>
          <w:lang w:val="en-US"/>
        </w:rPr>
      </w:pPr>
    </w:p>
    <w:p w:rsidR="001659E5" w:rsidRDefault="001659E5" w:rsidP="008F3536">
      <w:pPr>
        <w:rPr>
          <w:sz w:val="24"/>
          <w:lang w:val="en-US"/>
        </w:rPr>
      </w:pPr>
      <w:r>
        <w:rPr>
          <w:sz w:val="24"/>
          <w:lang w:val="en-US"/>
        </w:rPr>
        <w:t xml:space="preserve">Field </w:t>
      </w:r>
      <w:r w:rsidR="00F90E49">
        <w:rPr>
          <w:sz w:val="24"/>
          <w:lang w:val="en-US"/>
        </w:rPr>
        <w:t>5</w:t>
      </w:r>
      <w:r>
        <w:rPr>
          <w:sz w:val="24"/>
          <w:lang w:val="en-US"/>
        </w:rPr>
        <w:t>:</w:t>
      </w:r>
    </w:p>
    <w:p w:rsidR="001659E5" w:rsidRDefault="001659E5" w:rsidP="001659E5">
      <w:pPr>
        <w:rPr>
          <w:sz w:val="24"/>
          <w:lang w:val="en-US"/>
        </w:rPr>
      </w:pPr>
      <w:r>
        <w:rPr>
          <w:sz w:val="24"/>
          <w:lang w:val="en-US"/>
        </w:rPr>
        <w:t xml:space="preserve">In the “Further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w:t>
      </w:r>
      <w:r w:rsidR="00F90E49">
        <w:rPr>
          <w:sz w:val="24"/>
          <w:lang w:val="en-US"/>
        </w:rPr>
        <w:t xml:space="preserve">further </w:t>
      </w:r>
      <w:r>
        <w:rPr>
          <w:sz w:val="24"/>
          <w:lang w:val="en-US"/>
        </w:rPr>
        <w:t xml:space="preserve">sub products (i.e. it is missing in </w:t>
      </w:r>
      <w:r w:rsidRPr="001659E5">
        <w:rPr>
          <w:sz w:val="24"/>
          <w:lang w:val="en-US"/>
        </w:rPr>
        <w:t>'NGAS’ - Natural Gas, 'OILP’ – Oil, 'EMIS’ – Emissions, ‘WETF’ – Wet, ‘DRYF’ – Dry</w:t>
      </w:r>
      <w:r>
        <w:rPr>
          <w:sz w:val="24"/>
          <w:lang w:val="en-US"/>
        </w:rPr>
        <w:t xml:space="preserve">). If this option is missing, “other” can only be chosen at “Base product”-level, which will lead to imprecise/unspecified reporting. </w:t>
      </w:r>
    </w:p>
    <w:p w:rsidR="000E1916" w:rsidRDefault="000E1916" w:rsidP="001659E5">
      <w:pPr>
        <w:rPr>
          <w:sz w:val="24"/>
          <w:lang w:val="en-US"/>
        </w:rPr>
      </w:pPr>
    </w:p>
    <w:p w:rsidR="000E1916" w:rsidRDefault="000E1916" w:rsidP="001659E5">
      <w:pPr>
        <w:rPr>
          <w:sz w:val="24"/>
          <w:lang w:val="en-US"/>
        </w:rPr>
      </w:pPr>
      <w:r>
        <w:rPr>
          <w:sz w:val="24"/>
          <w:lang w:val="en-US"/>
        </w:rPr>
        <w:t xml:space="preserve">Field 7: </w:t>
      </w:r>
    </w:p>
    <w:p w:rsidR="000E1916" w:rsidRDefault="000E1916" w:rsidP="000E1916">
      <w:pPr>
        <w:rPr>
          <w:sz w:val="24"/>
          <w:lang w:val="en-US"/>
        </w:rPr>
      </w:pPr>
      <w:r>
        <w:rPr>
          <w:sz w:val="24"/>
          <w:lang w:val="en-US"/>
        </w:rPr>
        <w:t>How should this field be populated in case, where a collateral quantity is distributed to Field 6? It should be clarified, whether this field should be left blank, marked “X”/“N/A” or whether Field 7 shouldn’t be reported at all in such circumstances.</w:t>
      </w:r>
    </w:p>
    <w:p w:rsidR="000E1916" w:rsidRDefault="000E1916" w:rsidP="000E1916">
      <w:pPr>
        <w:rPr>
          <w:sz w:val="24"/>
          <w:lang w:val="en-US"/>
        </w:rPr>
      </w:pPr>
    </w:p>
    <w:p w:rsidR="005326E9" w:rsidRDefault="005326E9" w:rsidP="000E1916">
      <w:pPr>
        <w:rPr>
          <w:sz w:val="24"/>
          <w:lang w:val="en-US"/>
        </w:rPr>
      </w:pPr>
      <w:r>
        <w:rPr>
          <w:sz w:val="24"/>
          <w:lang w:val="en-US"/>
        </w:rPr>
        <w:t xml:space="preserve">Field 10: The format of the collateral market value field should better </w:t>
      </w:r>
      <w:r w:rsidRPr="005326E9">
        <w:rPr>
          <w:sz w:val="24"/>
          <w:lang w:val="en-US"/>
        </w:rPr>
        <w:t>be closely linked to</w:t>
      </w:r>
      <w:r>
        <w:rPr>
          <w:sz w:val="24"/>
          <w:lang w:val="en-US"/>
        </w:rPr>
        <w:t xml:space="preserve"> either the </w:t>
      </w:r>
      <w:r w:rsidRPr="005326E9">
        <w:rPr>
          <w:sz w:val="24"/>
          <w:lang w:val="en-US"/>
        </w:rPr>
        <w:t>International Financial Reporting Standard 13 (Fair Value)</w:t>
      </w:r>
      <w:r>
        <w:rPr>
          <w:sz w:val="24"/>
          <w:lang w:val="en-US"/>
        </w:rPr>
        <w:t xml:space="preserve"> or (favorable especially for all small and medium-sized banks) the relevant national accounting standards. </w:t>
      </w:r>
    </w:p>
    <w:p w:rsidR="005326E9" w:rsidRDefault="005326E9" w:rsidP="000E1916">
      <w:pPr>
        <w:rPr>
          <w:sz w:val="24"/>
          <w:lang w:val="en-US"/>
        </w:rPr>
      </w:pPr>
    </w:p>
    <w:p w:rsidR="000E1916" w:rsidRDefault="000E1916" w:rsidP="000E1916">
      <w:pPr>
        <w:rPr>
          <w:sz w:val="24"/>
          <w:lang w:val="en-US"/>
        </w:rPr>
      </w:pPr>
      <w:r>
        <w:rPr>
          <w:sz w:val="24"/>
          <w:lang w:val="en-US"/>
        </w:rPr>
        <w:t>Field 12:</w:t>
      </w:r>
    </w:p>
    <w:p w:rsidR="000E1916" w:rsidRDefault="000E1916" w:rsidP="000E1916">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”-Format or a Format category “other”) regarding the collateral quality should be introduced.</w:t>
      </w:r>
    </w:p>
    <w:p w:rsidR="000E1916" w:rsidRDefault="000E1916" w:rsidP="001659E5">
      <w:pPr>
        <w:rPr>
          <w:sz w:val="24"/>
          <w:lang w:val="en-US"/>
        </w:rPr>
      </w:pPr>
    </w:p>
    <w:p w:rsidR="005326E9" w:rsidRDefault="005326E9" w:rsidP="001659E5">
      <w:pPr>
        <w:rPr>
          <w:sz w:val="24"/>
          <w:lang w:val="en-US"/>
        </w:rPr>
      </w:pPr>
    </w:p>
    <w:p w:rsidR="004B6BEE" w:rsidRDefault="004B6BEE" w:rsidP="001659E5">
      <w:pPr>
        <w:rPr>
          <w:sz w:val="24"/>
          <w:lang w:val="en-US"/>
        </w:rPr>
      </w:pPr>
    </w:p>
    <w:p w:rsidR="000E1916" w:rsidRDefault="000E1916" w:rsidP="001659E5">
      <w:pPr>
        <w:rPr>
          <w:sz w:val="24"/>
          <w:lang w:val="en-US"/>
        </w:rPr>
      </w:pPr>
      <w:r>
        <w:rPr>
          <w:sz w:val="24"/>
          <w:lang w:val="en-US"/>
        </w:rPr>
        <w:lastRenderedPageBreak/>
        <w:t>Field 14:</w:t>
      </w:r>
    </w:p>
    <w:p w:rsidR="000E1916" w:rsidRDefault="000E1916" w:rsidP="001659E5">
      <w:pPr>
        <w:rPr>
          <w:sz w:val="24"/>
          <w:lang w:val="en-US"/>
        </w:rPr>
      </w:pPr>
      <w:r>
        <w:rPr>
          <w:sz w:val="24"/>
          <w:lang w:val="en-US"/>
        </w:rPr>
        <w:t>Field 14 is wrongly named 214.</w:t>
      </w:r>
    </w:p>
    <w:p w:rsidR="000E1916" w:rsidRDefault="000E1916" w:rsidP="001659E5">
      <w:pPr>
        <w:rPr>
          <w:sz w:val="24"/>
          <w:lang w:val="en-US"/>
        </w:rPr>
      </w:pPr>
    </w:p>
    <w:p w:rsidR="000E1916" w:rsidRDefault="000E1916" w:rsidP="000E1916">
      <w:pPr>
        <w:rPr>
          <w:sz w:val="24"/>
          <w:lang w:val="en-US"/>
        </w:rPr>
      </w:pPr>
      <w:r>
        <w:rPr>
          <w:sz w:val="24"/>
          <w:lang w:val="en-US"/>
        </w:rPr>
        <w:t>Field 15:</w:t>
      </w:r>
    </w:p>
    <w:p w:rsidR="000E1916" w:rsidRDefault="000E1916" w:rsidP="000E1916">
      <w:pPr>
        <w:rPr>
          <w:sz w:val="24"/>
          <w:lang w:val="en-US"/>
        </w:rPr>
      </w:pPr>
      <w:r>
        <w:rPr>
          <w:sz w:val="24"/>
          <w:lang w:val="en-US"/>
        </w:rPr>
        <w:t>The format of Field 15 is wrongly filled.</w:t>
      </w:r>
    </w:p>
    <w:p w:rsidR="000E1916" w:rsidRDefault="000E1916" w:rsidP="001659E5">
      <w:pPr>
        <w:rPr>
          <w:sz w:val="24"/>
          <w:lang w:val="en-US"/>
        </w:rPr>
      </w:pPr>
    </w:p>
    <w:p w:rsidR="00370E84" w:rsidRDefault="005326E9" w:rsidP="001659E5">
      <w:pPr>
        <w:rPr>
          <w:sz w:val="24"/>
          <w:lang w:val="en-US"/>
        </w:rPr>
      </w:pPr>
      <w:r>
        <w:rPr>
          <w:sz w:val="24"/>
          <w:lang w:val="en-US"/>
        </w:rPr>
        <w:t xml:space="preserve">Field 16: We suggest </w:t>
      </w:r>
      <w:r w:rsidR="00370E84">
        <w:rPr>
          <w:sz w:val="24"/>
          <w:lang w:val="en-US"/>
        </w:rPr>
        <w:t xml:space="preserve">a </w:t>
      </w:r>
      <w:r>
        <w:rPr>
          <w:sz w:val="24"/>
          <w:lang w:val="en-US"/>
        </w:rPr>
        <w:t xml:space="preserve">clear </w:t>
      </w:r>
      <w:r w:rsidR="00370E84">
        <w:rPr>
          <w:sz w:val="24"/>
          <w:lang w:val="en-US"/>
        </w:rPr>
        <w:t>specification,</w:t>
      </w:r>
      <w:r>
        <w:rPr>
          <w:sz w:val="24"/>
          <w:lang w:val="en-US"/>
        </w:rPr>
        <w:t xml:space="preserve"> what is meant with “availability”? If </w:t>
      </w:r>
      <w:r w:rsidR="00370E84">
        <w:rPr>
          <w:sz w:val="24"/>
          <w:lang w:val="en-US"/>
        </w:rPr>
        <w:t>with “availability” is meant the duly information (</w:t>
      </w:r>
      <w:r w:rsidR="00370E84" w:rsidRPr="00370E84">
        <w:rPr>
          <w:sz w:val="24"/>
          <w:lang w:val="en-US"/>
        </w:rPr>
        <w:t>in writing</w:t>
      </w:r>
      <w:r w:rsidR="00370E84">
        <w:rPr>
          <w:sz w:val="24"/>
          <w:lang w:val="en-US"/>
        </w:rPr>
        <w:t xml:space="preserve">) of </w:t>
      </w:r>
      <w:r w:rsidR="00370E84" w:rsidRPr="00370E84">
        <w:rPr>
          <w:sz w:val="24"/>
          <w:lang w:val="en-US"/>
        </w:rPr>
        <w:t>the providing counterparty by the receiving counterparty of the risks and consequences</w:t>
      </w:r>
      <w:r w:rsidR="00370E84">
        <w:rPr>
          <w:sz w:val="24"/>
          <w:lang w:val="en-US"/>
        </w:rPr>
        <w:t>, than such information would need to be stored systemically by the sender of the information sheet (Article 15 (1) (a) SFTR)</w:t>
      </w:r>
    </w:p>
    <w:p w:rsidR="00370E84" w:rsidRDefault="00370E84" w:rsidP="001659E5">
      <w:pPr>
        <w:rPr>
          <w:sz w:val="24"/>
          <w:lang w:val="en-US"/>
        </w:rPr>
      </w:pPr>
      <w:r>
        <w:rPr>
          <w:sz w:val="24"/>
          <w:lang w:val="en-US"/>
        </w:rPr>
        <w:t>Why do you use the wording “buyer” instead of “</w:t>
      </w:r>
      <w:r w:rsidRPr="00370E84">
        <w:rPr>
          <w:sz w:val="24"/>
          <w:lang w:val="en-US"/>
        </w:rPr>
        <w:t>receiving counterparty</w:t>
      </w:r>
      <w:r>
        <w:rPr>
          <w:sz w:val="24"/>
          <w:lang w:val="en-US"/>
        </w:rPr>
        <w:t>” as stated in SFTR-Level 1?</w:t>
      </w:r>
    </w:p>
    <w:p w:rsidR="005326E9" w:rsidRPr="006B0261" w:rsidRDefault="005326E9" w:rsidP="001659E5">
      <w:pPr>
        <w:rPr>
          <w:sz w:val="24"/>
          <w:lang w:val="en-US"/>
        </w:rPr>
      </w:pPr>
    </w:p>
    <w:p w:rsidR="001A3E00" w:rsidRDefault="001A3E00" w:rsidP="001A3E00">
      <w:pPr>
        <w:rPr>
          <w:sz w:val="24"/>
          <w:lang w:val="en-US"/>
        </w:rPr>
      </w:pPr>
    </w:p>
    <w:p w:rsidR="003D5C6C" w:rsidRPr="003D5C6C" w:rsidRDefault="003D5C6C" w:rsidP="003D5C6C">
      <w:pPr>
        <w:pStyle w:val="Listenabsatz"/>
        <w:numPr>
          <w:ilvl w:val="0"/>
          <w:numId w:val="1"/>
        </w:numPr>
        <w:rPr>
          <w:b/>
          <w:sz w:val="24"/>
          <w:lang w:val="en-US"/>
        </w:rPr>
      </w:pPr>
      <w:r w:rsidRPr="003D5C6C">
        <w:rPr>
          <w:rFonts w:cs="Arial"/>
          <w:b/>
          <w:sz w:val="24"/>
          <w:lang w:val="en-US"/>
        </w:rPr>
        <w:t>Sell-buy back and buy-sell back transactions</w:t>
      </w:r>
    </w:p>
    <w:p w:rsidR="003D5C6C" w:rsidRDefault="003D5C6C" w:rsidP="003D5C6C">
      <w:pPr>
        <w:rPr>
          <w:sz w:val="24"/>
          <w:lang w:val="en-US"/>
        </w:rPr>
      </w:pPr>
    </w:p>
    <w:p w:rsidR="003D5C6C" w:rsidRPr="003D5C6C" w:rsidRDefault="003D5C6C" w:rsidP="003D5C6C">
      <w:pPr>
        <w:pStyle w:val="Listenabsatz"/>
        <w:numPr>
          <w:ilvl w:val="0"/>
          <w:numId w:val="2"/>
        </w:numPr>
        <w:rPr>
          <w:sz w:val="24"/>
          <w:lang w:val="en-US"/>
        </w:rPr>
      </w:pPr>
      <w:r w:rsidRPr="003D5C6C">
        <w:rPr>
          <w:sz w:val="24"/>
          <w:lang w:val="en-US"/>
        </w:rPr>
        <w:t>Table 4 – Counterparty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11: </w:t>
      </w:r>
    </w:p>
    <w:p w:rsidR="003D5C6C" w:rsidRPr="00D21B41"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w</w:t>
      </w:r>
      <w:r w:rsidRPr="00D21B41">
        <w:rPr>
          <w:sz w:val="24"/>
          <w:lang w:val="en-US"/>
        </w:rPr>
        <w:t>hen no tri-party</w:t>
      </w:r>
    </w:p>
    <w:p w:rsidR="003D5C6C" w:rsidRDefault="003D5C6C" w:rsidP="003D5C6C">
      <w:pPr>
        <w:rPr>
          <w:sz w:val="24"/>
          <w:lang w:val="en-US"/>
        </w:rPr>
      </w:pPr>
      <w:proofErr w:type="gramStart"/>
      <w:r w:rsidRPr="00D21B41">
        <w:rPr>
          <w:sz w:val="24"/>
          <w:lang w:val="en-US"/>
        </w:rPr>
        <w:t>agent</w:t>
      </w:r>
      <w:proofErr w:type="gramEnd"/>
      <w:r w:rsidRPr="00D21B41">
        <w:rPr>
          <w:sz w:val="24"/>
          <w:lang w:val="en-US"/>
        </w:rPr>
        <w:t xml:space="preserve"> is used, this</w:t>
      </w:r>
      <w:r>
        <w:rPr>
          <w:sz w:val="24"/>
          <w:lang w:val="en-US"/>
        </w:rPr>
        <w:t xml:space="preserve"> </w:t>
      </w:r>
      <w:r w:rsidRPr="00D21B41">
        <w:rPr>
          <w:sz w:val="24"/>
          <w:lang w:val="en-US"/>
        </w:rPr>
        <w:t>information shall not be</w:t>
      </w:r>
      <w:r>
        <w:rPr>
          <w:sz w:val="24"/>
          <w:lang w:val="en-US"/>
        </w:rPr>
        <w:t xml:space="preserve"> </w:t>
      </w:r>
      <w:r w:rsidRPr="00D21B41">
        <w:rPr>
          <w:sz w:val="24"/>
          <w:lang w:val="en-US"/>
        </w:rPr>
        <w:t>provided.</w:t>
      </w:r>
      <w:r>
        <w:rPr>
          <w:sz w:val="24"/>
          <w:lang w:val="en-US"/>
        </w:rPr>
        <w:t xml:space="preserve"> It should be clarified, whether this field should be left blank, marked “X”/“N/A” or whether Field 11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 xml:space="preserve">Field 12: </w:t>
      </w:r>
    </w:p>
    <w:p w:rsidR="003D5C6C" w:rsidRDefault="003D5C6C" w:rsidP="003D5C6C">
      <w:pPr>
        <w:rPr>
          <w:sz w:val="24"/>
          <w:lang w:val="en-US"/>
        </w:rPr>
      </w:pPr>
      <w:r>
        <w:rPr>
          <w:sz w:val="24"/>
          <w:lang w:val="en-US"/>
        </w:rPr>
        <w:t xml:space="preserve">It should be clarified, whether this field should be left blank, marked “X”/“N/A” or should not be reported in case no entity acts as </w:t>
      </w:r>
      <w:r w:rsidRPr="00D21B41">
        <w:rPr>
          <w:sz w:val="24"/>
          <w:lang w:val="en-US"/>
        </w:rPr>
        <w:t>intermediary for</w:t>
      </w:r>
      <w:r>
        <w:rPr>
          <w:sz w:val="24"/>
          <w:lang w:val="en-US"/>
        </w:rPr>
        <w:t xml:space="preserve"> </w:t>
      </w:r>
      <w:r w:rsidRPr="00D21B41">
        <w:rPr>
          <w:sz w:val="24"/>
          <w:lang w:val="en-US"/>
        </w:rPr>
        <w:t>the reporting counterparty</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 xml:space="preserve">Field 13: </w:t>
      </w:r>
    </w:p>
    <w:p w:rsidR="003D5C6C" w:rsidRDefault="003D5C6C" w:rsidP="003D5C6C">
      <w:pPr>
        <w:rPr>
          <w:sz w:val="24"/>
          <w:lang w:val="en-US"/>
        </w:rPr>
      </w:pPr>
      <w:r>
        <w:rPr>
          <w:sz w:val="24"/>
          <w:lang w:val="en-US"/>
        </w:rPr>
        <w:t>It should be clarified, whether this field should be left blank, marked “X”/“N/A” or should not be reported in case the trade is not cleared.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18: </w:t>
      </w:r>
    </w:p>
    <w:p w:rsidR="003D5C6C" w:rsidRDefault="003D5C6C" w:rsidP="003D5C6C">
      <w:pPr>
        <w:rPr>
          <w:sz w:val="24"/>
          <w:lang w:val="en-US"/>
        </w:rPr>
      </w:pPr>
      <w:r>
        <w:rPr>
          <w:sz w:val="24"/>
          <w:lang w:val="en-US"/>
        </w:rPr>
        <w:t xml:space="preserve">The “Format” </w:t>
      </w:r>
      <w:proofErr w:type="spellStart"/>
      <w:proofErr w:type="gramStart"/>
      <w:r>
        <w:rPr>
          <w:sz w:val="24"/>
          <w:lang w:val="en-US"/>
        </w:rPr>
        <w:t>colum</w:t>
      </w:r>
      <w:proofErr w:type="spellEnd"/>
      <w:proofErr w:type="gramEnd"/>
      <w:r>
        <w:rPr>
          <w:sz w:val="24"/>
          <w:lang w:val="en-US"/>
        </w:rPr>
        <w:t xml:space="preserve"> does not define the standard that should be used to depict the “Value of the re-</w:t>
      </w:r>
      <w:proofErr w:type="spellStart"/>
      <w:r>
        <w:rPr>
          <w:sz w:val="24"/>
          <w:lang w:val="en-US"/>
        </w:rPr>
        <w:t>uesed</w:t>
      </w:r>
      <w:proofErr w:type="spellEnd"/>
      <w:r>
        <w:rPr>
          <w:sz w:val="24"/>
          <w:lang w:val="en-US"/>
        </w:rPr>
        <w:t xml:space="preserve"> collateral”. Shall this field be populated with the Mark-to-Market value, the nominal or as specified in text no. 219 should </w:t>
      </w:r>
      <w:r w:rsidRPr="007C0DE9">
        <w:rPr>
          <w:sz w:val="24"/>
          <w:lang w:val="en-US"/>
        </w:rPr>
        <w:t>be</w:t>
      </w:r>
      <w:r>
        <w:rPr>
          <w:sz w:val="24"/>
          <w:lang w:val="en-US"/>
        </w:rPr>
        <w:t xml:space="preserve"> </w:t>
      </w:r>
      <w:r w:rsidRPr="007C0DE9">
        <w:rPr>
          <w:sz w:val="24"/>
          <w:lang w:val="en-US"/>
        </w:rPr>
        <w:t>determined in accordance with the methodology defined in I</w:t>
      </w:r>
      <w:r>
        <w:rPr>
          <w:sz w:val="24"/>
          <w:lang w:val="en-US"/>
        </w:rPr>
        <w:t xml:space="preserve">FRS </w:t>
      </w:r>
      <w:r w:rsidRPr="007C0DE9">
        <w:rPr>
          <w:sz w:val="24"/>
          <w:lang w:val="en-US"/>
        </w:rPr>
        <w:t>Standard 13, Fair Value Measurement, adopted by the Union and referred to in</w:t>
      </w:r>
      <w:r>
        <w:rPr>
          <w:sz w:val="24"/>
          <w:lang w:val="en-US"/>
        </w:rPr>
        <w:t xml:space="preserve"> </w:t>
      </w:r>
      <w:r w:rsidRPr="007C0DE9">
        <w:rPr>
          <w:sz w:val="24"/>
          <w:lang w:val="en-US"/>
        </w:rPr>
        <w:t>the Annex to Regulation (EC) No 1126/2008</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Pr="007C0DE9" w:rsidRDefault="003D5C6C" w:rsidP="003D5C6C">
      <w:pPr>
        <w:rPr>
          <w:sz w:val="24"/>
          <w:lang w:val="en-US"/>
        </w:rPr>
      </w:pPr>
      <w:r w:rsidRPr="007C0DE9">
        <w:rPr>
          <w:sz w:val="24"/>
          <w:lang w:val="en-US"/>
        </w:rPr>
        <w:t>In the case when the</w:t>
      </w:r>
      <w:r>
        <w:rPr>
          <w:sz w:val="24"/>
          <w:lang w:val="en-US"/>
        </w:rPr>
        <w:t xml:space="preserve"> </w:t>
      </w:r>
      <w:r w:rsidRPr="007C0DE9">
        <w:rPr>
          <w:sz w:val="24"/>
          <w:lang w:val="en-US"/>
        </w:rPr>
        <w:t>collateral re-use cannot be</w:t>
      </w:r>
      <w:r>
        <w:rPr>
          <w:sz w:val="24"/>
          <w:lang w:val="en-US"/>
        </w:rPr>
        <w:t xml:space="preserve"> </w:t>
      </w:r>
      <w:r w:rsidRPr="007C0DE9">
        <w:rPr>
          <w:sz w:val="24"/>
          <w:lang w:val="en-US"/>
        </w:rPr>
        <w:t>defined at SFT transaction</w:t>
      </w:r>
    </w:p>
    <w:p w:rsidR="003D5C6C" w:rsidRDefault="003D5C6C" w:rsidP="003D5C6C">
      <w:pPr>
        <w:rPr>
          <w:sz w:val="24"/>
          <w:lang w:val="en-US"/>
        </w:rPr>
      </w:pPr>
      <w:proofErr w:type="gramStart"/>
      <w:r w:rsidRPr="007C0DE9">
        <w:rPr>
          <w:sz w:val="24"/>
          <w:lang w:val="en-US"/>
        </w:rPr>
        <w:t>level</w:t>
      </w:r>
      <w:proofErr w:type="gramEnd"/>
      <w:r w:rsidRPr="007C0DE9">
        <w:rPr>
          <w:sz w:val="24"/>
          <w:lang w:val="en-US"/>
        </w:rPr>
        <w:t xml:space="preserve">, </w:t>
      </w:r>
      <w:r>
        <w:rPr>
          <w:sz w:val="24"/>
          <w:lang w:val="en-US"/>
        </w:rPr>
        <w:t xml:space="preserve">the </w:t>
      </w:r>
      <w:r w:rsidRPr="007C0DE9">
        <w:rPr>
          <w:sz w:val="24"/>
          <w:lang w:val="en-US"/>
        </w:rPr>
        <w:t>estimate percentage</w:t>
      </w:r>
      <w:r>
        <w:rPr>
          <w:sz w:val="24"/>
          <w:lang w:val="en-US"/>
        </w:rPr>
        <w:t xml:space="preserve"> of re-use for a given security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Pr="003D5C6C" w:rsidRDefault="003D5C6C" w:rsidP="003D5C6C">
      <w:pPr>
        <w:pStyle w:val="Listenabsatz"/>
        <w:numPr>
          <w:ilvl w:val="0"/>
          <w:numId w:val="2"/>
        </w:numPr>
        <w:rPr>
          <w:sz w:val="24"/>
          <w:lang w:val="en-US"/>
        </w:rPr>
      </w:pPr>
      <w:r>
        <w:rPr>
          <w:sz w:val="24"/>
          <w:lang w:val="en-US"/>
        </w:rPr>
        <w:t>Table 5</w:t>
      </w:r>
      <w:r w:rsidRPr="003D5C6C">
        <w:rPr>
          <w:sz w:val="24"/>
          <w:lang w:val="en-US"/>
        </w:rPr>
        <w:t xml:space="preserve"> – Transaction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2: </w:t>
      </w:r>
    </w:p>
    <w:p w:rsidR="003D5C6C" w:rsidRDefault="003D5C6C" w:rsidP="003D5C6C">
      <w:pPr>
        <w:rPr>
          <w:sz w:val="24"/>
          <w:lang w:val="en-US"/>
        </w:rPr>
      </w:pPr>
      <w:r>
        <w:rPr>
          <w:sz w:val="24"/>
          <w:lang w:val="en-US"/>
        </w:rPr>
        <w:t xml:space="preserve">a) We suggest to separate the four special characters, which seem presently to be incomplete by </w:t>
      </w:r>
      <w:r w:rsidRPr="00215608">
        <w:rPr>
          <w:sz w:val="24"/>
          <w:lang w:val="en-US"/>
        </w:rPr>
        <w:t>quotation mark</w:t>
      </w:r>
      <w:r>
        <w:rPr>
          <w:sz w:val="24"/>
          <w:lang w:val="en-US"/>
        </w:rPr>
        <w:t xml:space="preserve">s, i.e. “-”, “_”, “.”, etc. </w:t>
      </w:r>
    </w:p>
    <w:p w:rsidR="003D5C6C" w:rsidRDefault="003D5C6C" w:rsidP="003D5C6C">
      <w:pPr>
        <w:rPr>
          <w:sz w:val="24"/>
          <w:lang w:val="en-US"/>
        </w:rPr>
      </w:pPr>
      <w:r>
        <w:rPr>
          <w:sz w:val="24"/>
          <w:lang w:val="en-US"/>
        </w:rPr>
        <w:t xml:space="preserve">b) In case </w:t>
      </w:r>
      <w:r w:rsidRPr="00215608">
        <w:rPr>
          <w:sz w:val="24"/>
          <w:lang w:val="en-US"/>
        </w:rPr>
        <w:t>an SFT was executed on a</w:t>
      </w:r>
      <w:r>
        <w:rPr>
          <w:sz w:val="24"/>
          <w:lang w:val="en-US"/>
        </w:rPr>
        <w:t xml:space="preserve"> </w:t>
      </w:r>
      <w:r w:rsidRPr="00215608">
        <w:rPr>
          <w:sz w:val="24"/>
          <w:lang w:val="en-US"/>
        </w:rPr>
        <w:t>trading venue and cleared on the</w:t>
      </w:r>
      <w:r>
        <w:rPr>
          <w:sz w:val="24"/>
          <w:lang w:val="en-US"/>
        </w:rPr>
        <w:t xml:space="preserve"> </w:t>
      </w:r>
      <w:r w:rsidRPr="00215608">
        <w:rPr>
          <w:sz w:val="24"/>
          <w:lang w:val="en-US"/>
        </w:rPr>
        <w:t xml:space="preserve">same day, </w:t>
      </w:r>
      <w:r>
        <w:rPr>
          <w:sz w:val="24"/>
          <w:lang w:val="en-US"/>
        </w:rPr>
        <w:t xml:space="preserve">should the involved </w:t>
      </w:r>
      <w:r w:rsidRPr="00215608">
        <w:rPr>
          <w:sz w:val="24"/>
          <w:lang w:val="en-US"/>
        </w:rPr>
        <w:t xml:space="preserve">trading venue </w:t>
      </w:r>
      <w:r>
        <w:rPr>
          <w:sz w:val="24"/>
          <w:lang w:val="en-US"/>
        </w:rPr>
        <w:t xml:space="preserve">create a UTI (differing from the </w:t>
      </w:r>
      <w:r w:rsidRPr="00215608">
        <w:rPr>
          <w:sz w:val="24"/>
          <w:lang w:val="en-US"/>
        </w:rPr>
        <w:t>UTI of original</w:t>
      </w:r>
      <w:r>
        <w:rPr>
          <w:sz w:val="24"/>
          <w:lang w:val="en-US"/>
        </w:rPr>
        <w:t xml:space="preserve"> </w:t>
      </w:r>
      <w:r w:rsidRPr="00215608">
        <w:rPr>
          <w:sz w:val="24"/>
          <w:lang w:val="en-US"/>
        </w:rPr>
        <w:t>bilateral transaction</w:t>
      </w:r>
      <w:r>
        <w:rPr>
          <w:sz w:val="24"/>
          <w:lang w:val="en-US"/>
        </w:rPr>
        <w:t>) or what is meant with “</w:t>
      </w:r>
      <w:r w:rsidRPr="00215608">
        <w:rPr>
          <w:sz w:val="24"/>
          <w:lang w:val="en-US"/>
        </w:rPr>
        <w:t>a number generated by</w:t>
      </w:r>
      <w:r>
        <w:rPr>
          <w:sz w:val="24"/>
          <w:lang w:val="en-US"/>
        </w:rPr>
        <w:t xml:space="preserve"> </w:t>
      </w:r>
      <w:r w:rsidRPr="00215608">
        <w:rPr>
          <w:sz w:val="24"/>
          <w:lang w:val="en-US"/>
        </w:rPr>
        <w:t>the trading venue and unique to</w:t>
      </w:r>
      <w:r>
        <w:rPr>
          <w:sz w:val="24"/>
          <w:lang w:val="en-US"/>
        </w:rPr>
        <w:t xml:space="preserve"> </w:t>
      </w:r>
      <w:r w:rsidRPr="00215608">
        <w:rPr>
          <w:sz w:val="24"/>
          <w:lang w:val="en-US"/>
        </w:rPr>
        <w:t>that execution</w:t>
      </w:r>
      <w:r>
        <w:rPr>
          <w:sz w:val="24"/>
          <w:lang w:val="en-US"/>
        </w:rPr>
        <w:t>”?</w:t>
      </w:r>
    </w:p>
    <w:p w:rsidR="003D5C6C" w:rsidRDefault="003D5C6C" w:rsidP="003D5C6C">
      <w:pPr>
        <w:rPr>
          <w:sz w:val="24"/>
          <w:lang w:val="en-US"/>
        </w:rPr>
      </w:pPr>
      <w:r>
        <w:rPr>
          <w:sz w:val="24"/>
          <w:lang w:val="en-US"/>
        </w:rPr>
        <w:t>c) Are all possible situations covered? How should i.e. Field 2 be reported, if options a) and b) are not applicable? Should Field 2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5: </w:t>
      </w:r>
    </w:p>
    <w:p w:rsidR="003D5C6C" w:rsidRDefault="003D5C6C" w:rsidP="003D5C6C">
      <w:pPr>
        <w:rPr>
          <w:sz w:val="24"/>
          <w:lang w:val="en-US"/>
        </w:rPr>
      </w:pPr>
      <w:r>
        <w:rPr>
          <w:sz w:val="24"/>
          <w:lang w:val="en-US"/>
        </w:rPr>
        <w:t>In case Field 4 has been filled with “false”, it should be clarified, whether this field should be left blank, marked “X”/“N/A” or whether Field 5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 xml:space="preserve">Field 7: </w:t>
      </w:r>
    </w:p>
    <w:p w:rsidR="003D5C6C" w:rsidRDefault="003D5C6C" w:rsidP="003D5C6C">
      <w:pPr>
        <w:rPr>
          <w:sz w:val="24"/>
          <w:lang w:val="en-US"/>
        </w:rPr>
      </w:pPr>
      <w:r>
        <w:rPr>
          <w:sz w:val="24"/>
          <w:lang w:val="en-US"/>
        </w:rPr>
        <w:t xml:space="preserve">The possible formats should be clearly explained to avoid misunderstanding and </w:t>
      </w:r>
      <w:r w:rsidRPr="00A526A9">
        <w:rPr>
          <w:sz w:val="24"/>
          <w:lang w:val="en-US"/>
        </w:rPr>
        <w:t>deviating</w:t>
      </w:r>
      <w:r>
        <w:rPr>
          <w:sz w:val="24"/>
          <w:lang w:val="en-US"/>
        </w:rPr>
        <w:t xml:space="preserve"> Filling. A complete value table that allows no room for interpretation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8:</w:t>
      </w:r>
    </w:p>
    <w:p w:rsidR="003D5C6C" w:rsidRDefault="003D5C6C" w:rsidP="003D5C6C">
      <w:pPr>
        <w:rPr>
          <w:sz w:val="24"/>
          <w:lang w:val="en-US"/>
        </w:rPr>
      </w:pPr>
      <w:r>
        <w:rPr>
          <w:sz w:val="24"/>
          <w:lang w:val="en-US"/>
        </w:rPr>
        <w:t>All possible situations should be explained and be provided with an adequate format.</w:t>
      </w:r>
    </w:p>
    <w:p w:rsidR="003D5C6C" w:rsidRDefault="003D5C6C" w:rsidP="003D5C6C">
      <w:pPr>
        <w:rPr>
          <w:sz w:val="24"/>
          <w:lang w:val="en-US"/>
        </w:rPr>
      </w:pPr>
    </w:p>
    <w:p w:rsidR="003D5C6C" w:rsidRDefault="003D5C6C" w:rsidP="003D5C6C">
      <w:pPr>
        <w:rPr>
          <w:sz w:val="24"/>
          <w:lang w:val="en-US"/>
        </w:rPr>
      </w:pPr>
      <w:r>
        <w:rPr>
          <w:sz w:val="24"/>
          <w:lang w:val="en-US"/>
        </w:rPr>
        <w:t>Field 10:</w:t>
      </w:r>
    </w:p>
    <w:p w:rsidR="003D5C6C" w:rsidRDefault="003D5C6C" w:rsidP="003D5C6C">
      <w:pPr>
        <w:rPr>
          <w:sz w:val="24"/>
          <w:lang w:val="en-US"/>
        </w:rPr>
      </w:pPr>
      <w:r>
        <w:rPr>
          <w:sz w:val="24"/>
          <w:lang w:val="en-US"/>
        </w:rPr>
        <w:t>A complete value table (comprising a “</w:t>
      </w:r>
      <w:r w:rsidRPr="003007E5">
        <w:rPr>
          <w:sz w:val="24"/>
          <w:lang w:val="en-US"/>
        </w:rPr>
        <w:t>catchall element</w:t>
      </w:r>
      <w:r>
        <w:rPr>
          <w:sz w:val="24"/>
          <w:lang w:val="en-US"/>
        </w:rPr>
        <w:t xml:space="preserve">”-Format) that allows no room for interpretation should be introduced.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3D5C6C" w:rsidRDefault="003D5C6C" w:rsidP="003D5C6C">
      <w:pPr>
        <w:rPr>
          <w:sz w:val="24"/>
          <w:lang w:val="en-US"/>
        </w:rPr>
      </w:pPr>
      <w:r>
        <w:rPr>
          <w:sz w:val="24"/>
          <w:lang w:val="en-US"/>
        </w:rPr>
        <w:t>Field 12:</w:t>
      </w:r>
    </w:p>
    <w:p w:rsidR="003D5C6C" w:rsidRDefault="003D5C6C" w:rsidP="003D5C6C">
      <w:pPr>
        <w:rPr>
          <w:sz w:val="24"/>
          <w:lang w:val="en-US"/>
        </w:rPr>
      </w:pPr>
      <w:r>
        <w:rPr>
          <w:sz w:val="24"/>
          <w:lang w:val="en-US"/>
        </w:rPr>
        <w:t xml:space="preserve">The possibly </w:t>
      </w:r>
      <w:r w:rsidRPr="00CF1F32">
        <w:rPr>
          <w:sz w:val="24"/>
          <w:lang w:val="en-US"/>
        </w:rPr>
        <w:t>applicable</w:t>
      </w:r>
      <w:r>
        <w:rPr>
          <w:sz w:val="24"/>
          <w:lang w:val="en-US"/>
        </w:rPr>
        <w:t xml:space="preserve"> </w:t>
      </w:r>
      <w:r w:rsidRPr="00CF1F32">
        <w:rPr>
          <w:sz w:val="24"/>
          <w:lang w:val="en-US"/>
        </w:rPr>
        <w:t>annexes to the</w:t>
      </w:r>
      <w:r>
        <w:rPr>
          <w:sz w:val="24"/>
          <w:lang w:val="en-US"/>
        </w:rPr>
        <w:t xml:space="preserve"> </w:t>
      </w:r>
      <w:r w:rsidRPr="00CF1F32">
        <w:rPr>
          <w:sz w:val="24"/>
          <w:lang w:val="en-US"/>
        </w:rPr>
        <w:t>master</w:t>
      </w:r>
      <w:r>
        <w:rPr>
          <w:sz w:val="24"/>
          <w:lang w:val="en-US"/>
        </w:rPr>
        <w:t xml:space="preserve"> </w:t>
      </w:r>
      <w:r w:rsidRPr="00CF1F32">
        <w:rPr>
          <w:sz w:val="24"/>
          <w:lang w:val="en-US"/>
        </w:rPr>
        <w:t>agreement</w:t>
      </w:r>
      <w:r>
        <w:rPr>
          <w:sz w:val="24"/>
          <w:lang w:val="en-US"/>
        </w:rPr>
        <w:t xml:space="preserve"> should be entirely enumerated in form of a value table.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3D5C6C" w:rsidRDefault="003D5C6C" w:rsidP="003D5C6C">
      <w:pPr>
        <w:rPr>
          <w:sz w:val="24"/>
          <w:lang w:val="en-US"/>
        </w:rPr>
      </w:pPr>
      <w:r>
        <w:rPr>
          <w:sz w:val="24"/>
          <w:lang w:val="en-US"/>
        </w:rPr>
        <w:t>Field 16:</w:t>
      </w:r>
    </w:p>
    <w:p w:rsidR="003D5C6C"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t</w:t>
      </w:r>
      <w:r w:rsidRPr="00FE6260">
        <w:rPr>
          <w:sz w:val="24"/>
          <w:lang w:val="en-US"/>
        </w:rPr>
        <w:t>he Maturity Date</w:t>
      </w:r>
      <w:r>
        <w:rPr>
          <w:sz w:val="24"/>
          <w:lang w:val="en-US"/>
        </w:rPr>
        <w:t xml:space="preserve"> </w:t>
      </w:r>
      <w:r w:rsidRPr="00FE6260">
        <w:rPr>
          <w:sz w:val="24"/>
          <w:lang w:val="en-US"/>
        </w:rPr>
        <w:t>(End Date) shall not be reported</w:t>
      </w:r>
      <w:r>
        <w:rPr>
          <w:sz w:val="24"/>
          <w:lang w:val="en-US"/>
        </w:rPr>
        <w:t xml:space="preserve"> </w:t>
      </w:r>
      <w:r w:rsidRPr="00FE6260">
        <w:rPr>
          <w:sz w:val="24"/>
          <w:lang w:val="en-US"/>
        </w:rPr>
        <w:t>for open term repos.</w:t>
      </w:r>
      <w:r>
        <w:rPr>
          <w:sz w:val="24"/>
          <w:lang w:val="en-US"/>
        </w:rPr>
        <w:t xml:space="preserve"> It should be clarified, whether this field should than be left blank, marked “X”/“N/A” or whether Field 16 shouldn’t be reported in such circumstances.</w:t>
      </w:r>
    </w:p>
    <w:p w:rsidR="003D5C6C" w:rsidRDefault="003D5C6C" w:rsidP="003D5C6C">
      <w:pPr>
        <w:rPr>
          <w:sz w:val="24"/>
          <w:lang w:val="en-US"/>
        </w:rPr>
      </w:pPr>
    </w:p>
    <w:p w:rsidR="004B6BEE" w:rsidRDefault="004B6BEE" w:rsidP="003D5C6C">
      <w:pPr>
        <w:rPr>
          <w:sz w:val="24"/>
          <w:lang w:val="en-US"/>
        </w:rPr>
      </w:pPr>
    </w:p>
    <w:p w:rsidR="004B6BEE" w:rsidRDefault="004B6BEE" w:rsidP="003D5C6C">
      <w:pPr>
        <w:rPr>
          <w:sz w:val="24"/>
          <w:lang w:val="en-US"/>
        </w:rPr>
      </w:pPr>
    </w:p>
    <w:p w:rsidR="003D5C6C" w:rsidRDefault="003D5C6C" w:rsidP="003D5C6C">
      <w:pPr>
        <w:rPr>
          <w:sz w:val="24"/>
          <w:lang w:val="en-US"/>
        </w:rPr>
      </w:pPr>
      <w:r>
        <w:rPr>
          <w:sz w:val="24"/>
          <w:lang w:val="en-US"/>
        </w:rPr>
        <w:lastRenderedPageBreak/>
        <w:t>Field 18:</w:t>
      </w:r>
    </w:p>
    <w:p w:rsidR="003D5C6C" w:rsidRDefault="003D5C6C" w:rsidP="003D5C6C">
      <w:pPr>
        <w:rPr>
          <w:sz w:val="24"/>
          <w:lang w:val="en-US"/>
        </w:rPr>
      </w:pPr>
      <w:r>
        <w:rPr>
          <w:sz w:val="24"/>
          <w:lang w:val="en-US"/>
        </w:rPr>
        <w:t xml:space="preserve">If the respective notice period is specified in month rather than days, is a month always 30 days long or shall specialties be </w:t>
      </w:r>
      <w:r w:rsidRPr="006C684D">
        <w:rPr>
          <w:sz w:val="24"/>
          <w:lang w:val="en-US"/>
        </w:rPr>
        <w:t>incorporate</w:t>
      </w:r>
      <w:r>
        <w:rPr>
          <w:sz w:val="24"/>
          <w:lang w:val="en-US"/>
        </w:rPr>
        <w:t xml:space="preserve">d (i.e.28, 29, 30, 31)? </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Default="003D5C6C" w:rsidP="003D5C6C">
      <w:pPr>
        <w:rPr>
          <w:sz w:val="24"/>
          <w:lang w:val="en-US"/>
        </w:rPr>
      </w:pPr>
      <w:r>
        <w:rPr>
          <w:sz w:val="24"/>
          <w:lang w:val="en-US"/>
        </w:rPr>
        <w:t xml:space="preserve">If there was no </w:t>
      </w:r>
      <w:r w:rsidRPr="006C684D">
        <w:rPr>
          <w:sz w:val="24"/>
          <w:lang w:val="en-US"/>
        </w:rPr>
        <w:t xml:space="preserve">agreement </w:t>
      </w:r>
      <w:r>
        <w:rPr>
          <w:sz w:val="24"/>
          <w:lang w:val="en-US"/>
        </w:rPr>
        <w:t>on an “earliest call-back date”, how should the field be populated? It should be clarified, whether this field should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Field 22: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w:t>
      </w:r>
      <w:r w:rsidRPr="001A3E00">
        <w:rPr>
          <w:sz w:val="24"/>
          <w:lang w:val="en-US"/>
        </w:rPr>
        <w:t>used</w:t>
      </w:r>
      <w:r>
        <w:rPr>
          <w:sz w:val="24"/>
          <w:lang w:val="en-US"/>
        </w:rPr>
        <w:t xml:space="preserve"> </w:t>
      </w:r>
      <w:r w:rsidRPr="001A3E00">
        <w:rPr>
          <w:sz w:val="24"/>
          <w:lang w:val="en-US"/>
        </w:rPr>
        <w:t>to provide</w:t>
      </w:r>
      <w:r>
        <w:rPr>
          <w:sz w:val="24"/>
          <w:lang w:val="en-US"/>
        </w:rPr>
        <w:t xml:space="preserve"> </w:t>
      </w:r>
      <w:r w:rsidRPr="001A3E00">
        <w:rPr>
          <w:sz w:val="24"/>
          <w:lang w:val="en-US"/>
        </w:rPr>
        <w:t>collateral</w:t>
      </w:r>
      <w:r>
        <w:rPr>
          <w:sz w:val="24"/>
          <w:lang w:val="en-US"/>
        </w:rPr>
        <w:t xml:space="preserve">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24:</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regarding the termination optionality should </w:t>
      </w:r>
    </w:p>
    <w:p w:rsidR="003D5C6C" w:rsidRDefault="003D5C6C" w:rsidP="003D5C6C">
      <w:pPr>
        <w:rPr>
          <w:sz w:val="24"/>
          <w:lang w:val="en-US"/>
        </w:rPr>
      </w:pPr>
      <w:proofErr w:type="gramStart"/>
      <w:r>
        <w:rPr>
          <w:sz w:val="24"/>
          <w:lang w:val="en-US"/>
        </w:rPr>
        <w:t>be</w:t>
      </w:r>
      <w:proofErr w:type="gramEnd"/>
      <w:r>
        <w:rPr>
          <w:sz w:val="24"/>
          <w:lang w:val="en-US"/>
        </w:rPr>
        <w:t xml:space="preserve"> introduced.</w:t>
      </w:r>
    </w:p>
    <w:p w:rsidR="003D5C6C" w:rsidRDefault="003D5C6C" w:rsidP="003D5C6C">
      <w:pPr>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annualized interest rate should be expressed as “1” for 100 %, “0.9” for 90 %, etc.</w:t>
      </w:r>
    </w:p>
    <w:p w:rsidR="003D5C6C" w:rsidRDefault="003D5C6C" w:rsidP="003D5C6C">
      <w:pPr>
        <w:rPr>
          <w:sz w:val="24"/>
          <w:lang w:val="en-US"/>
        </w:rPr>
      </w:pPr>
    </w:p>
    <w:p w:rsidR="003D5C6C" w:rsidRDefault="003D5C6C" w:rsidP="003D5C6C">
      <w:pPr>
        <w:rPr>
          <w:sz w:val="24"/>
          <w:lang w:val="en-US"/>
        </w:rPr>
      </w:pPr>
      <w:r>
        <w:rPr>
          <w:sz w:val="24"/>
          <w:lang w:val="en-US"/>
        </w:rPr>
        <w:t>Field 26:</w:t>
      </w:r>
    </w:p>
    <w:p w:rsidR="003D5C6C" w:rsidRDefault="003D5C6C" w:rsidP="003D5C6C">
      <w:pPr>
        <w:rPr>
          <w:sz w:val="24"/>
          <w:lang w:val="en-US"/>
        </w:rPr>
      </w:pPr>
      <w:r>
        <w:rPr>
          <w:sz w:val="24"/>
          <w:lang w:val="en-US"/>
        </w:rPr>
        <w:t xml:space="preserve">The “day count convention” should not be represented with free text, as is will </w:t>
      </w:r>
      <w:r w:rsidRPr="003007E5">
        <w:rPr>
          <w:sz w:val="24"/>
          <w:lang w:val="en-US"/>
        </w:rPr>
        <w:t>inevitably</w:t>
      </w:r>
      <w:r>
        <w:rPr>
          <w:sz w:val="24"/>
          <w:lang w:val="en-US"/>
        </w:rPr>
        <w:t xml:space="preserve"> lead to matching issues; instead a Format category “other”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27:</w:t>
      </w:r>
    </w:p>
    <w:p w:rsidR="003D5C6C" w:rsidRDefault="003D5C6C" w:rsidP="003D5C6C">
      <w:pPr>
        <w:rPr>
          <w:sz w:val="24"/>
          <w:lang w:val="en-US"/>
        </w:rPr>
      </w:pPr>
      <w:r>
        <w:rPr>
          <w:sz w:val="24"/>
          <w:lang w:val="en-US"/>
        </w:rPr>
        <w:t xml:space="preserve">Why does ESMA not use a 15 digit space here? That would eliminate the need to abbreviate common terminology. Example: “EONIA00000000000” instead of “EONA” for EONIA or “Pfandbriefe0000” instead of “PFAN” for </w:t>
      </w:r>
      <w:proofErr w:type="spellStart"/>
      <w:r>
        <w:rPr>
          <w:sz w:val="24"/>
          <w:lang w:val="en-US"/>
        </w:rPr>
        <w:t>Pfandbriefe</w:t>
      </w:r>
      <w:proofErr w:type="spellEnd"/>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28:</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29:</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 xml:space="preserve">d and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d multiplier format is prone to mismatches:</w:t>
      </w:r>
    </w:p>
    <w:p w:rsidR="003D5C6C" w:rsidRDefault="003D5C6C" w:rsidP="003D5C6C">
      <w:pPr>
        <w:rPr>
          <w:sz w:val="24"/>
          <w:lang w:val="en-US"/>
        </w:rPr>
      </w:pPr>
      <w:r>
        <w:rPr>
          <w:sz w:val="24"/>
          <w:lang w:val="en-US"/>
        </w:rPr>
        <w:t xml:space="preserve">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28), when </w:t>
      </w:r>
    </w:p>
    <w:p w:rsidR="003D5C6C" w:rsidRDefault="003D5C6C" w:rsidP="003D5C6C">
      <w:pPr>
        <w:rPr>
          <w:sz w:val="24"/>
          <w:lang w:val="en-US"/>
        </w:rPr>
      </w:pPr>
      <w:proofErr w:type="gramStart"/>
      <w:r>
        <w:rPr>
          <w:sz w:val="24"/>
          <w:lang w:val="en-US"/>
        </w:rPr>
        <w:t>reporting</w:t>
      </w:r>
      <w:proofErr w:type="gramEnd"/>
      <w:r>
        <w:rPr>
          <w:sz w:val="24"/>
          <w:lang w:val="en-US"/>
        </w:rPr>
        <w:t xml:space="preserve">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p>
    <w:p w:rsidR="003D5C6C" w:rsidRDefault="003D5C6C" w:rsidP="003D5C6C">
      <w:pPr>
        <w:rPr>
          <w:sz w:val="24"/>
          <w:lang w:val="en-US"/>
        </w:rPr>
      </w:pPr>
    </w:p>
    <w:p w:rsidR="003D5C6C" w:rsidRDefault="003D5C6C" w:rsidP="003D5C6C">
      <w:pPr>
        <w:rPr>
          <w:sz w:val="24"/>
          <w:lang w:val="en-US"/>
        </w:rPr>
      </w:pPr>
      <w:r>
        <w:rPr>
          <w:sz w:val="24"/>
          <w:lang w:val="en-US"/>
        </w:rPr>
        <w:t>Field 30:</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lastRenderedPageBreak/>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 and the 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 xml:space="preserve">time period </w:t>
      </w:r>
      <w:r>
        <w:rPr>
          <w:sz w:val="24"/>
          <w:lang w:val="en-US"/>
        </w:rPr>
        <w:t xml:space="preserve">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w:t>
      </w:r>
      <w:r>
        <w:rPr>
          <w:sz w:val="24"/>
          <w:lang w:val="en-US"/>
        </w:rPr>
        <w:t>.</w:t>
      </w:r>
    </w:p>
    <w:p w:rsidR="003D5C6C" w:rsidRDefault="003D5C6C" w:rsidP="003D5C6C">
      <w:pPr>
        <w:rPr>
          <w:sz w:val="24"/>
          <w:lang w:val="en-US"/>
        </w:rPr>
      </w:pPr>
      <w:r>
        <w:rPr>
          <w:sz w:val="24"/>
          <w:lang w:val="en-US"/>
        </w:rPr>
        <w:t>Field 32:</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w:t>
      </w:r>
      <w:r w:rsidRPr="00926CF7">
        <w:rPr>
          <w:sz w:val="24"/>
          <w:lang w:val="en-US"/>
        </w:rPr>
        <w:t>and the 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w:t>
      </w:r>
      <w:r>
        <w:rPr>
          <w:sz w:val="24"/>
          <w:lang w:val="en-US"/>
        </w:rPr>
        <w:t>.</w:t>
      </w:r>
    </w:p>
    <w:p w:rsidR="003D5C6C" w:rsidRDefault="003D5C6C" w:rsidP="003D5C6C">
      <w:pPr>
        <w:jc w:val="both"/>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spread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Default="003D5C6C" w:rsidP="003D5C6C">
      <w:pPr>
        <w:pStyle w:val="Listenabsatz"/>
        <w:numPr>
          <w:ilvl w:val="0"/>
          <w:numId w:val="2"/>
        </w:numPr>
        <w:rPr>
          <w:sz w:val="24"/>
          <w:lang w:val="en-US"/>
        </w:rPr>
      </w:pPr>
      <w:r>
        <w:rPr>
          <w:sz w:val="24"/>
          <w:lang w:val="en-US"/>
        </w:rPr>
        <w:t>Table 6 – Collateral data</w:t>
      </w:r>
    </w:p>
    <w:p w:rsidR="003D5C6C" w:rsidRDefault="003D5C6C" w:rsidP="003D5C6C">
      <w:pPr>
        <w:rPr>
          <w:sz w:val="24"/>
          <w:lang w:val="en-US"/>
        </w:rPr>
      </w:pPr>
    </w:p>
    <w:p w:rsidR="003D5C6C" w:rsidRDefault="003D5C6C" w:rsidP="003D5C6C">
      <w:pPr>
        <w:rPr>
          <w:sz w:val="24"/>
          <w:lang w:val="en-US"/>
        </w:rPr>
      </w:pPr>
      <w:r>
        <w:rPr>
          <w:sz w:val="24"/>
          <w:lang w:val="en-US"/>
        </w:rPr>
        <w:t>Field 1:</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or a Format category “other”) regarding the </w:t>
      </w:r>
      <w:r w:rsidRPr="008F3536">
        <w:rPr>
          <w:sz w:val="24"/>
          <w:lang w:val="en-US"/>
        </w:rPr>
        <w:t>Type of</w:t>
      </w:r>
      <w:r>
        <w:rPr>
          <w:sz w:val="24"/>
          <w:lang w:val="en-US"/>
        </w:rPr>
        <w:t xml:space="preserve"> </w:t>
      </w:r>
      <w:r w:rsidRPr="008F3536">
        <w:rPr>
          <w:sz w:val="24"/>
          <w:lang w:val="en-US"/>
        </w:rPr>
        <w:t>collateral</w:t>
      </w:r>
      <w:r>
        <w:rPr>
          <w:sz w:val="24"/>
          <w:lang w:val="en-US"/>
        </w:rPr>
        <w:t xml:space="preserve"> </w:t>
      </w:r>
      <w:r w:rsidRPr="008F3536">
        <w:rPr>
          <w:sz w:val="24"/>
          <w:lang w:val="en-US"/>
        </w:rPr>
        <w:t>component</w:t>
      </w:r>
      <w:r>
        <w:rPr>
          <w:sz w:val="24"/>
          <w:lang w:val="en-US"/>
        </w:rPr>
        <w:t xml:space="preserve"> should be established.</w:t>
      </w:r>
    </w:p>
    <w:p w:rsidR="003D5C6C" w:rsidRDefault="003D5C6C" w:rsidP="003D5C6C">
      <w:pPr>
        <w:rPr>
          <w:sz w:val="24"/>
          <w:lang w:val="en-US"/>
        </w:rPr>
      </w:pPr>
    </w:p>
    <w:p w:rsidR="003D5C6C" w:rsidRDefault="003D5C6C" w:rsidP="003D5C6C">
      <w:pPr>
        <w:rPr>
          <w:sz w:val="24"/>
          <w:lang w:val="en-US"/>
        </w:rPr>
      </w:pPr>
      <w:r>
        <w:rPr>
          <w:sz w:val="24"/>
          <w:lang w:val="en-US"/>
        </w:rPr>
        <w:t>Field 2:</w:t>
      </w:r>
    </w:p>
    <w:p w:rsidR="003D5C6C" w:rsidRDefault="003D5C6C" w:rsidP="003D5C6C">
      <w:pPr>
        <w:rPr>
          <w:sz w:val="24"/>
          <w:lang w:val="en-US"/>
        </w:rPr>
      </w:pPr>
      <w:r>
        <w:rPr>
          <w:sz w:val="24"/>
          <w:lang w:val="en-US"/>
        </w:rPr>
        <w:t xml:space="preserve">How shall this field be populated in case of cash collateral or when a </w:t>
      </w:r>
      <w:r w:rsidRPr="008F3536">
        <w:rPr>
          <w:sz w:val="24"/>
          <w:lang w:val="en-US"/>
        </w:rPr>
        <w:t xml:space="preserve">commodity </w:t>
      </w:r>
      <w:r>
        <w:rPr>
          <w:sz w:val="24"/>
          <w:lang w:val="en-US"/>
        </w:rPr>
        <w:t xml:space="preserve">is </w:t>
      </w:r>
      <w:r w:rsidRPr="008F3536">
        <w:rPr>
          <w:sz w:val="24"/>
          <w:lang w:val="en-US"/>
        </w:rPr>
        <w:t>used as collateral</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3:</w:t>
      </w:r>
    </w:p>
    <w:p w:rsidR="003D5C6C" w:rsidRDefault="003D5C6C" w:rsidP="003D5C6C">
      <w:pPr>
        <w:rPr>
          <w:sz w:val="24"/>
          <w:lang w:val="en-US"/>
        </w:rPr>
      </w:pPr>
      <w:r>
        <w:rPr>
          <w:sz w:val="24"/>
          <w:lang w:val="en-US"/>
        </w:rPr>
        <w:t>The option to choose other on this level of granularity may lead to imprecise/unspecified reporting.</w:t>
      </w:r>
    </w:p>
    <w:p w:rsidR="003D5C6C" w:rsidRDefault="003D5C6C" w:rsidP="003D5C6C">
      <w:pPr>
        <w:rPr>
          <w:sz w:val="24"/>
          <w:lang w:val="en-US"/>
        </w:rPr>
      </w:pPr>
    </w:p>
    <w:p w:rsidR="00B93418" w:rsidRDefault="00B93418" w:rsidP="003D5C6C">
      <w:pPr>
        <w:rPr>
          <w:sz w:val="24"/>
          <w:lang w:val="en-US"/>
        </w:rPr>
      </w:pPr>
    </w:p>
    <w:p w:rsidR="00B93418" w:rsidRDefault="00B93418" w:rsidP="003D5C6C">
      <w:pPr>
        <w:rPr>
          <w:sz w:val="24"/>
          <w:lang w:val="en-US"/>
        </w:rPr>
      </w:pPr>
    </w:p>
    <w:p w:rsidR="003D5C6C" w:rsidRDefault="003D5C6C" w:rsidP="003D5C6C">
      <w:pPr>
        <w:rPr>
          <w:sz w:val="24"/>
          <w:lang w:val="en-US"/>
        </w:rPr>
      </w:pPr>
      <w:r>
        <w:rPr>
          <w:sz w:val="24"/>
          <w:lang w:val="en-US"/>
        </w:rPr>
        <w:t>Field 4:</w:t>
      </w:r>
    </w:p>
    <w:p w:rsidR="003D5C6C" w:rsidRPr="006B0261" w:rsidRDefault="003D5C6C" w:rsidP="003D5C6C">
      <w:pPr>
        <w:rPr>
          <w:sz w:val="24"/>
          <w:lang w:val="en-US"/>
        </w:rPr>
      </w:pPr>
      <w:r>
        <w:rPr>
          <w:sz w:val="24"/>
          <w:lang w:val="en-US"/>
        </w:rPr>
        <w:t xml:space="preserve">In the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sub products (i.e. it is missing in all sub product columns) If this option is missing, “other” can only be chosen at “Base product”-level, which will lead to imprecise/unspecified reporting. </w:t>
      </w:r>
    </w:p>
    <w:p w:rsidR="003D5C6C" w:rsidRDefault="003D5C6C" w:rsidP="003D5C6C">
      <w:pPr>
        <w:rPr>
          <w:sz w:val="24"/>
          <w:lang w:val="en-US"/>
        </w:rPr>
      </w:pPr>
    </w:p>
    <w:p w:rsidR="004B6BEE" w:rsidRDefault="004B6BEE" w:rsidP="003D5C6C">
      <w:pPr>
        <w:rPr>
          <w:sz w:val="24"/>
          <w:lang w:val="en-US"/>
        </w:rPr>
      </w:pPr>
    </w:p>
    <w:p w:rsidR="003D5C6C" w:rsidRDefault="003D5C6C" w:rsidP="003D5C6C">
      <w:pPr>
        <w:rPr>
          <w:sz w:val="24"/>
          <w:lang w:val="en-US"/>
        </w:rPr>
      </w:pPr>
      <w:r>
        <w:rPr>
          <w:sz w:val="24"/>
          <w:lang w:val="en-US"/>
        </w:rPr>
        <w:lastRenderedPageBreak/>
        <w:t>Field 5:</w:t>
      </w:r>
    </w:p>
    <w:p w:rsidR="003D5C6C" w:rsidRDefault="003D5C6C" w:rsidP="003D5C6C">
      <w:pPr>
        <w:rPr>
          <w:sz w:val="24"/>
          <w:lang w:val="en-US"/>
        </w:rPr>
      </w:pPr>
      <w:r>
        <w:rPr>
          <w:sz w:val="24"/>
          <w:lang w:val="en-US"/>
        </w:rPr>
        <w:t xml:space="preserve">In the “Further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further sub products (i.e. it is missing in </w:t>
      </w:r>
      <w:r w:rsidRPr="001659E5">
        <w:rPr>
          <w:sz w:val="24"/>
          <w:lang w:val="en-US"/>
        </w:rPr>
        <w:t>'NGAS’ - Natural Gas, 'OILP’ – Oil, 'EMIS’ – Emissions, ‘WETF’ – Wet, ‘DRYF’ – Dry</w:t>
      </w:r>
      <w:r>
        <w:rPr>
          <w:sz w:val="24"/>
          <w:lang w:val="en-US"/>
        </w:rPr>
        <w:t xml:space="preserve">). If this option is missing, “other” can only be chosen at “Base product”-level, which will lead to imprecise/unspecified reporting. </w:t>
      </w:r>
    </w:p>
    <w:p w:rsidR="003D5C6C" w:rsidRDefault="003D5C6C" w:rsidP="003D5C6C">
      <w:pPr>
        <w:rPr>
          <w:sz w:val="24"/>
          <w:lang w:val="en-US"/>
        </w:rPr>
      </w:pPr>
    </w:p>
    <w:p w:rsidR="003D5C6C" w:rsidRDefault="003D5C6C" w:rsidP="003D5C6C">
      <w:pPr>
        <w:rPr>
          <w:sz w:val="24"/>
          <w:lang w:val="en-US"/>
        </w:rPr>
      </w:pPr>
      <w:r>
        <w:rPr>
          <w:sz w:val="24"/>
          <w:lang w:val="en-US"/>
        </w:rPr>
        <w:t xml:space="preserve">Field 7: </w:t>
      </w:r>
    </w:p>
    <w:p w:rsidR="003D5C6C" w:rsidRDefault="003D5C6C" w:rsidP="003D5C6C">
      <w:pPr>
        <w:rPr>
          <w:sz w:val="24"/>
          <w:lang w:val="en-US"/>
        </w:rPr>
      </w:pPr>
      <w:r>
        <w:rPr>
          <w:sz w:val="24"/>
          <w:lang w:val="en-US"/>
        </w:rPr>
        <w:t>How should this field be populated in case, where a collateral quantity is distributed to Field 6? It should be clarified, whether this field should be left blank, marked “X”/“N/A” or whether Field 7 shouldn’t be reported at all in such circumstances.</w:t>
      </w:r>
    </w:p>
    <w:p w:rsidR="003D5C6C" w:rsidRDefault="003D5C6C" w:rsidP="003D5C6C">
      <w:pPr>
        <w:rPr>
          <w:sz w:val="24"/>
          <w:lang w:val="en-US"/>
        </w:rPr>
      </w:pPr>
    </w:p>
    <w:p w:rsidR="003D5C6C" w:rsidRDefault="003D5C6C" w:rsidP="003D5C6C">
      <w:pPr>
        <w:rPr>
          <w:sz w:val="24"/>
          <w:lang w:val="en-US"/>
        </w:rPr>
      </w:pPr>
      <w:r>
        <w:rPr>
          <w:sz w:val="24"/>
          <w:lang w:val="en-US"/>
        </w:rPr>
        <w:t>Field 12: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”-Format or a Format category “other”) regarding the collateral quality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14:</w:t>
      </w:r>
    </w:p>
    <w:p w:rsidR="003D5C6C" w:rsidRDefault="003D5C6C" w:rsidP="003D5C6C">
      <w:pPr>
        <w:rPr>
          <w:sz w:val="24"/>
          <w:lang w:val="en-US"/>
        </w:rPr>
      </w:pPr>
      <w:r>
        <w:rPr>
          <w:sz w:val="24"/>
          <w:lang w:val="en-US"/>
        </w:rPr>
        <w:t>Field 14 is wrongly named 214.</w:t>
      </w:r>
    </w:p>
    <w:p w:rsidR="003D5C6C" w:rsidRDefault="003D5C6C" w:rsidP="003D5C6C">
      <w:pPr>
        <w:rPr>
          <w:sz w:val="24"/>
          <w:lang w:val="en-US"/>
        </w:rPr>
      </w:pPr>
    </w:p>
    <w:p w:rsidR="003D5C6C" w:rsidRDefault="003D5C6C" w:rsidP="003D5C6C">
      <w:pPr>
        <w:rPr>
          <w:sz w:val="24"/>
          <w:lang w:val="en-US"/>
        </w:rPr>
      </w:pPr>
      <w:r>
        <w:rPr>
          <w:sz w:val="24"/>
          <w:lang w:val="en-US"/>
        </w:rPr>
        <w:t>Field 15:</w:t>
      </w:r>
    </w:p>
    <w:p w:rsidR="003D5C6C" w:rsidRDefault="003D5C6C" w:rsidP="003D5C6C">
      <w:pPr>
        <w:rPr>
          <w:sz w:val="24"/>
          <w:lang w:val="en-US"/>
        </w:rPr>
      </w:pPr>
      <w:r>
        <w:rPr>
          <w:sz w:val="24"/>
          <w:lang w:val="en-US"/>
        </w:rPr>
        <w:t>The format of Field 15 is wrongly filled.</w:t>
      </w:r>
    </w:p>
    <w:p w:rsidR="003D5C6C" w:rsidRDefault="003D5C6C" w:rsidP="001A3E00">
      <w:pPr>
        <w:rPr>
          <w:sz w:val="24"/>
          <w:lang w:val="en-US"/>
        </w:rPr>
      </w:pPr>
    </w:p>
    <w:p w:rsidR="00FE6260" w:rsidRDefault="00FE6260" w:rsidP="00FE6260">
      <w:pPr>
        <w:rPr>
          <w:sz w:val="24"/>
          <w:lang w:val="en-US"/>
        </w:rPr>
      </w:pPr>
    </w:p>
    <w:p w:rsidR="003007E5" w:rsidRPr="003D5C6C" w:rsidRDefault="003D5C6C" w:rsidP="003D5C6C">
      <w:pPr>
        <w:pStyle w:val="Listenabsatz"/>
        <w:numPr>
          <w:ilvl w:val="0"/>
          <w:numId w:val="1"/>
        </w:numPr>
        <w:rPr>
          <w:b/>
          <w:sz w:val="24"/>
          <w:lang w:val="en-US"/>
        </w:rPr>
      </w:pPr>
      <w:r w:rsidRPr="003D5C6C">
        <w:rPr>
          <w:b/>
          <w:sz w:val="24"/>
          <w:lang w:val="en-US"/>
        </w:rPr>
        <w:t>Securities and commodities lending and borrowing</w:t>
      </w:r>
    </w:p>
    <w:p w:rsidR="003007E5" w:rsidRDefault="003007E5" w:rsidP="00A526A9">
      <w:pPr>
        <w:rPr>
          <w:sz w:val="24"/>
          <w:lang w:val="en-US"/>
        </w:rPr>
      </w:pPr>
    </w:p>
    <w:p w:rsidR="003D5C6C" w:rsidRPr="003D5C6C" w:rsidRDefault="003D5C6C" w:rsidP="003D5C6C">
      <w:pPr>
        <w:pStyle w:val="Listenabsatz"/>
        <w:numPr>
          <w:ilvl w:val="0"/>
          <w:numId w:val="2"/>
        </w:numPr>
        <w:rPr>
          <w:sz w:val="24"/>
          <w:lang w:val="en-US"/>
        </w:rPr>
      </w:pPr>
      <w:r w:rsidRPr="003D5C6C">
        <w:rPr>
          <w:sz w:val="24"/>
          <w:lang w:val="en-US"/>
        </w:rPr>
        <w:t xml:space="preserve">Table </w:t>
      </w:r>
      <w:r>
        <w:rPr>
          <w:sz w:val="24"/>
          <w:lang w:val="en-US"/>
        </w:rPr>
        <w:t>7</w:t>
      </w:r>
      <w:r w:rsidRPr="003D5C6C">
        <w:rPr>
          <w:sz w:val="24"/>
          <w:lang w:val="en-US"/>
        </w:rPr>
        <w:t xml:space="preserve"> – Counterparty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11: </w:t>
      </w:r>
    </w:p>
    <w:p w:rsidR="003D5C6C" w:rsidRPr="00D21B41"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w</w:t>
      </w:r>
      <w:r w:rsidRPr="00D21B41">
        <w:rPr>
          <w:sz w:val="24"/>
          <w:lang w:val="en-US"/>
        </w:rPr>
        <w:t>hen no tri-party</w:t>
      </w:r>
    </w:p>
    <w:p w:rsidR="003D5C6C" w:rsidRDefault="003D5C6C" w:rsidP="003D5C6C">
      <w:pPr>
        <w:rPr>
          <w:sz w:val="24"/>
          <w:lang w:val="en-US"/>
        </w:rPr>
      </w:pPr>
      <w:proofErr w:type="gramStart"/>
      <w:r w:rsidRPr="00D21B41">
        <w:rPr>
          <w:sz w:val="24"/>
          <w:lang w:val="en-US"/>
        </w:rPr>
        <w:t>agent</w:t>
      </w:r>
      <w:proofErr w:type="gramEnd"/>
      <w:r w:rsidRPr="00D21B41">
        <w:rPr>
          <w:sz w:val="24"/>
          <w:lang w:val="en-US"/>
        </w:rPr>
        <w:t xml:space="preserve"> is used, this</w:t>
      </w:r>
      <w:r>
        <w:rPr>
          <w:sz w:val="24"/>
          <w:lang w:val="en-US"/>
        </w:rPr>
        <w:t xml:space="preserve"> </w:t>
      </w:r>
      <w:r w:rsidRPr="00D21B41">
        <w:rPr>
          <w:sz w:val="24"/>
          <w:lang w:val="en-US"/>
        </w:rPr>
        <w:t>information shall not be</w:t>
      </w:r>
      <w:r>
        <w:rPr>
          <w:sz w:val="24"/>
          <w:lang w:val="en-US"/>
        </w:rPr>
        <w:t xml:space="preserve"> </w:t>
      </w:r>
      <w:r w:rsidRPr="00D21B41">
        <w:rPr>
          <w:sz w:val="24"/>
          <w:lang w:val="en-US"/>
        </w:rPr>
        <w:t>provided.</w:t>
      </w:r>
      <w:r>
        <w:rPr>
          <w:sz w:val="24"/>
          <w:lang w:val="en-US"/>
        </w:rPr>
        <w:t xml:space="preserve"> It should be clarified, whether this field should be left blank, marked “X”/“N/A” or whether Field 11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 xml:space="preserve">Field 12: </w:t>
      </w:r>
    </w:p>
    <w:p w:rsidR="003D5C6C" w:rsidRDefault="003D5C6C" w:rsidP="003D5C6C">
      <w:pPr>
        <w:rPr>
          <w:sz w:val="24"/>
          <w:lang w:val="en-US"/>
        </w:rPr>
      </w:pPr>
      <w:r>
        <w:rPr>
          <w:sz w:val="24"/>
          <w:lang w:val="en-US"/>
        </w:rPr>
        <w:t xml:space="preserve">It should be clarified, whether this field should be left blank, marked “X”/“N/A” or should not be reported in case no entity acts as </w:t>
      </w:r>
      <w:r w:rsidRPr="00D21B41">
        <w:rPr>
          <w:sz w:val="24"/>
          <w:lang w:val="en-US"/>
        </w:rPr>
        <w:t>intermediary for</w:t>
      </w:r>
      <w:r>
        <w:rPr>
          <w:sz w:val="24"/>
          <w:lang w:val="en-US"/>
        </w:rPr>
        <w:t xml:space="preserve"> </w:t>
      </w:r>
      <w:r w:rsidRPr="00D21B41">
        <w:rPr>
          <w:sz w:val="24"/>
          <w:lang w:val="en-US"/>
        </w:rPr>
        <w:t>the reporting counterparty</w:t>
      </w:r>
      <w:r>
        <w:rPr>
          <w:sz w:val="24"/>
          <w:lang w:val="en-US"/>
        </w:rPr>
        <w:t>.</w:t>
      </w:r>
    </w:p>
    <w:p w:rsidR="003D5C6C" w:rsidRDefault="003D5C6C" w:rsidP="003D5C6C">
      <w:pPr>
        <w:rPr>
          <w:sz w:val="24"/>
          <w:lang w:val="en-US"/>
        </w:rPr>
      </w:pPr>
      <w:r>
        <w:rPr>
          <w:sz w:val="24"/>
          <w:lang w:val="en-US"/>
        </w:rPr>
        <w:t xml:space="preserve">Field 13: </w:t>
      </w:r>
    </w:p>
    <w:p w:rsidR="003D5C6C" w:rsidRDefault="003D5C6C" w:rsidP="003D5C6C">
      <w:pPr>
        <w:rPr>
          <w:sz w:val="24"/>
          <w:lang w:val="en-US"/>
        </w:rPr>
      </w:pPr>
      <w:r>
        <w:rPr>
          <w:sz w:val="24"/>
          <w:lang w:val="en-US"/>
        </w:rPr>
        <w:t>It should be clarified, whether this field should be left blank, marked “X”/“N/A” or should not be reported in case the trade is not cleared.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18: </w:t>
      </w:r>
    </w:p>
    <w:p w:rsidR="003D5C6C" w:rsidRDefault="003D5C6C" w:rsidP="003D5C6C">
      <w:pPr>
        <w:rPr>
          <w:sz w:val="24"/>
          <w:lang w:val="en-US"/>
        </w:rPr>
      </w:pPr>
      <w:r>
        <w:rPr>
          <w:sz w:val="24"/>
          <w:lang w:val="en-US"/>
        </w:rPr>
        <w:t xml:space="preserve">The “Format” </w:t>
      </w:r>
      <w:proofErr w:type="spellStart"/>
      <w:proofErr w:type="gramStart"/>
      <w:r>
        <w:rPr>
          <w:sz w:val="24"/>
          <w:lang w:val="en-US"/>
        </w:rPr>
        <w:t>colum</w:t>
      </w:r>
      <w:proofErr w:type="spellEnd"/>
      <w:proofErr w:type="gramEnd"/>
      <w:r>
        <w:rPr>
          <w:sz w:val="24"/>
          <w:lang w:val="en-US"/>
        </w:rPr>
        <w:t xml:space="preserve"> does not define the standard that should be used to depict the “Value of the re-</w:t>
      </w:r>
      <w:proofErr w:type="spellStart"/>
      <w:r>
        <w:rPr>
          <w:sz w:val="24"/>
          <w:lang w:val="en-US"/>
        </w:rPr>
        <w:t>uesed</w:t>
      </w:r>
      <w:proofErr w:type="spellEnd"/>
      <w:r>
        <w:rPr>
          <w:sz w:val="24"/>
          <w:lang w:val="en-US"/>
        </w:rPr>
        <w:t xml:space="preserve"> collateral”. Shall this field be populated with the Mark-to-Market value, the </w:t>
      </w:r>
      <w:r>
        <w:rPr>
          <w:sz w:val="24"/>
          <w:lang w:val="en-US"/>
        </w:rPr>
        <w:lastRenderedPageBreak/>
        <w:t xml:space="preserve">nominal or as specified in text no. 219 should </w:t>
      </w:r>
      <w:r w:rsidRPr="007C0DE9">
        <w:rPr>
          <w:sz w:val="24"/>
          <w:lang w:val="en-US"/>
        </w:rPr>
        <w:t>be</w:t>
      </w:r>
      <w:r>
        <w:rPr>
          <w:sz w:val="24"/>
          <w:lang w:val="en-US"/>
        </w:rPr>
        <w:t xml:space="preserve"> </w:t>
      </w:r>
      <w:r w:rsidRPr="007C0DE9">
        <w:rPr>
          <w:sz w:val="24"/>
          <w:lang w:val="en-US"/>
        </w:rPr>
        <w:t>determined in accordance with the methodology defined in I</w:t>
      </w:r>
      <w:r>
        <w:rPr>
          <w:sz w:val="24"/>
          <w:lang w:val="en-US"/>
        </w:rPr>
        <w:t xml:space="preserve">FRS </w:t>
      </w:r>
      <w:r w:rsidRPr="007C0DE9">
        <w:rPr>
          <w:sz w:val="24"/>
          <w:lang w:val="en-US"/>
        </w:rPr>
        <w:t>Standard 13, Fair Value Measurement, adopted by the Union and referred to in</w:t>
      </w:r>
      <w:r>
        <w:rPr>
          <w:sz w:val="24"/>
          <w:lang w:val="en-US"/>
        </w:rPr>
        <w:t xml:space="preserve"> </w:t>
      </w:r>
      <w:r w:rsidRPr="007C0DE9">
        <w:rPr>
          <w:sz w:val="24"/>
          <w:lang w:val="en-US"/>
        </w:rPr>
        <w:t>the Annex to Regulation (EC) No 1126/2008</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Pr="007C0DE9" w:rsidRDefault="003D5C6C" w:rsidP="003D5C6C">
      <w:pPr>
        <w:rPr>
          <w:sz w:val="24"/>
          <w:lang w:val="en-US"/>
        </w:rPr>
      </w:pPr>
      <w:r w:rsidRPr="007C0DE9">
        <w:rPr>
          <w:sz w:val="24"/>
          <w:lang w:val="en-US"/>
        </w:rPr>
        <w:t>In the case when the</w:t>
      </w:r>
      <w:r>
        <w:rPr>
          <w:sz w:val="24"/>
          <w:lang w:val="en-US"/>
        </w:rPr>
        <w:t xml:space="preserve"> </w:t>
      </w:r>
      <w:r w:rsidRPr="007C0DE9">
        <w:rPr>
          <w:sz w:val="24"/>
          <w:lang w:val="en-US"/>
        </w:rPr>
        <w:t>collateral re-use cannot be</w:t>
      </w:r>
      <w:r>
        <w:rPr>
          <w:sz w:val="24"/>
          <w:lang w:val="en-US"/>
        </w:rPr>
        <w:t xml:space="preserve"> </w:t>
      </w:r>
      <w:r w:rsidRPr="007C0DE9">
        <w:rPr>
          <w:sz w:val="24"/>
          <w:lang w:val="en-US"/>
        </w:rPr>
        <w:t>defined at SFT transaction</w:t>
      </w:r>
    </w:p>
    <w:p w:rsidR="003D5C6C" w:rsidRDefault="003D5C6C" w:rsidP="003D5C6C">
      <w:pPr>
        <w:rPr>
          <w:sz w:val="24"/>
          <w:lang w:val="en-US"/>
        </w:rPr>
      </w:pPr>
      <w:proofErr w:type="gramStart"/>
      <w:r w:rsidRPr="007C0DE9">
        <w:rPr>
          <w:sz w:val="24"/>
          <w:lang w:val="en-US"/>
        </w:rPr>
        <w:t>level</w:t>
      </w:r>
      <w:proofErr w:type="gramEnd"/>
      <w:r w:rsidRPr="007C0DE9">
        <w:rPr>
          <w:sz w:val="24"/>
          <w:lang w:val="en-US"/>
        </w:rPr>
        <w:t xml:space="preserve">, </w:t>
      </w:r>
      <w:r>
        <w:rPr>
          <w:sz w:val="24"/>
          <w:lang w:val="en-US"/>
        </w:rPr>
        <w:t xml:space="preserve">the </w:t>
      </w:r>
      <w:r w:rsidRPr="007C0DE9">
        <w:rPr>
          <w:sz w:val="24"/>
          <w:lang w:val="en-US"/>
        </w:rPr>
        <w:t>estimate percentage</w:t>
      </w:r>
      <w:r>
        <w:rPr>
          <w:sz w:val="24"/>
          <w:lang w:val="en-US"/>
        </w:rPr>
        <w:t xml:space="preserve"> of re-use for a given security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Pr="003D5C6C" w:rsidRDefault="003D5C6C" w:rsidP="003D5C6C">
      <w:pPr>
        <w:pStyle w:val="Listenabsatz"/>
        <w:numPr>
          <w:ilvl w:val="0"/>
          <w:numId w:val="2"/>
        </w:numPr>
        <w:rPr>
          <w:sz w:val="24"/>
          <w:lang w:val="en-US"/>
        </w:rPr>
      </w:pPr>
      <w:r>
        <w:rPr>
          <w:sz w:val="24"/>
          <w:lang w:val="en-US"/>
        </w:rPr>
        <w:t>Table 8</w:t>
      </w:r>
      <w:r w:rsidRPr="003D5C6C">
        <w:rPr>
          <w:sz w:val="24"/>
          <w:lang w:val="en-US"/>
        </w:rPr>
        <w:t xml:space="preserve"> – Transaction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2: </w:t>
      </w:r>
    </w:p>
    <w:p w:rsidR="003D5C6C" w:rsidRDefault="003D5C6C" w:rsidP="003D5C6C">
      <w:pPr>
        <w:rPr>
          <w:sz w:val="24"/>
          <w:lang w:val="en-US"/>
        </w:rPr>
      </w:pPr>
      <w:r>
        <w:rPr>
          <w:sz w:val="24"/>
          <w:lang w:val="en-US"/>
        </w:rPr>
        <w:t xml:space="preserve">a) We suggest to separate the four special characters, which seem presently to be incomplete by </w:t>
      </w:r>
      <w:r w:rsidRPr="00215608">
        <w:rPr>
          <w:sz w:val="24"/>
          <w:lang w:val="en-US"/>
        </w:rPr>
        <w:t>quotation mark</w:t>
      </w:r>
      <w:r>
        <w:rPr>
          <w:sz w:val="24"/>
          <w:lang w:val="en-US"/>
        </w:rPr>
        <w:t xml:space="preserve">s, i.e. “-”, “_”, “.”, etc. </w:t>
      </w:r>
    </w:p>
    <w:p w:rsidR="003D5C6C" w:rsidRDefault="003D5C6C" w:rsidP="003D5C6C">
      <w:pPr>
        <w:rPr>
          <w:sz w:val="24"/>
          <w:lang w:val="en-US"/>
        </w:rPr>
      </w:pPr>
      <w:r>
        <w:rPr>
          <w:sz w:val="24"/>
          <w:lang w:val="en-US"/>
        </w:rPr>
        <w:t xml:space="preserve">b) In case </w:t>
      </w:r>
      <w:r w:rsidRPr="00215608">
        <w:rPr>
          <w:sz w:val="24"/>
          <w:lang w:val="en-US"/>
        </w:rPr>
        <w:t>an SFT was executed on a</w:t>
      </w:r>
      <w:r>
        <w:rPr>
          <w:sz w:val="24"/>
          <w:lang w:val="en-US"/>
        </w:rPr>
        <w:t xml:space="preserve"> </w:t>
      </w:r>
      <w:r w:rsidRPr="00215608">
        <w:rPr>
          <w:sz w:val="24"/>
          <w:lang w:val="en-US"/>
        </w:rPr>
        <w:t>trading venue and cleared on the</w:t>
      </w:r>
      <w:r>
        <w:rPr>
          <w:sz w:val="24"/>
          <w:lang w:val="en-US"/>
        </w:rPr>
        <w:t xml:space="preserve"> </w:t>
      </w:r>
      <w:r w:rsidRPr="00215608">
        <w:rPr>
          <w:sz w:val="24"/>
          <w:lang w:val="en-US"/>
        </w:rPr>
        <w:t xml:space="preserve">same day, </w:t>
      </w:r>
      <w:r>
        <w:rPr>
          <w:sz w:val="24"/>
          <w:lang w:val="en-US"/>
        </w:rPr>
        <w:t xml:space="preserve">should the involved </w:t>
      </w:r>
      <w:r w:rsidRPr="00215608">
        <w:rPr>
          <w:sz w:val="24"/>
          <w:lang w:val="en-US"/>
        </w:rPr>
        <w:t xml:space="preserve">trading venue </w:t>
      </w:r>
      <w:r>
        <w:rPr>
          <w:sz w:val="24"/>
          <w:lang w:val="en-US"/>
        </w:rPr>
        <w:t xml:space="preserve">create a UTI (differing from the </w:t>
      </w:r>
      <w:r w:rsidRPr="00215608">
        <w:rPr>
          <w:sz w:val="24"/>
          <w:lang w:val="en-US"/>
        </w:rPr>
        <w:t>UTI of original</w:t>
      </w:r>
      <w:r>
        <w:rPr>
          <w:sz w:val="24"/>
          <w:lang w:val="en-US"/>
        </w:rPr>
        <w:t xml:space="preserve"> </w:t>
      </w:r>
      <w:r w:rsidRPr="00215608">
        <w:rPr>
          <w:sz w:val="24"/>
          <w:lang w:val="en-US"/>
        </w:rPr>
        <w:t>bilateral transaction</w:t>
      </w:r>
      <w:r>
        <w:rPr>
          <w:sz w:val="24"/>
          <w:lang w:val="en-US"/>
        </w:rPr>
        <w:t>) or what is meant with “</w:t>
      </w:r>
      <w:r w:rsidRPr="00215608">
        <w:rPr>
          <w:sz w:val="24"/>
          <w:lang w:val="en-US"/>
        </w:rPr>
        <w:t>a number generated by</w:t>
      </w:r>
      <w:r>
        <w:rPr>
          <w:sz w:val="24"/>
          <w:lang w:val="en-US"/>
        </w:rPr>
        <w:t xml:space="preserve"> </w:t>
      </w:r>
      <w:r w:rsidRPr="00215608">
        <w:rPr>
          <w:sz w:val="24"/>
          <w:lang w:val="en-US"/>
        </w:rPr>
        <w:t>the trading venue and unique to</w:t>
      </w:r>
      <w:r>
        <w:rPr>
          <w:sz w:val="24"/>
          <w:lang w:val="en-US"/>
        </w:rPr>
        <w:t xml:space="preserve"> </w:t>
      </w:r>
      <w:r w:rsidRPr="00215608">
        <w:rPr>
          <w:sz w:val="24"/>
          <w:lang w:val="en-US"/>
        </w:rPr>
        <w:t>that execution</w:t>
      </w:r>
      <w:r>
        <w:rPr>
          <w:sz w:val="24"/>
          <w:lang w:val="en-US"/>
        </w:rPr>
        <w:t>”?</w:t>
      </w:r>
    </w:p>
    <w:p w:rsidR="003D5C6C" w:rsidRDefault="003D5C6C" w:rsidP="003D5C6C">
      <w:pPr>
        <w:rPr>
          <w:sz w:val="24"/>
          <w:lang w:val="en-US"/>
        </w:rPr>
      </w:pPr>
      <w:r>
        <w:rPr>
          <w:sz w:val="24"/>
          <w:lang w:val="en-US"/>
        </w:rPr>
        <w:t>c) Are all possible situations covered? How should i.e. Field 2 be reported, if options a) and b) are not applicable? Should Field 2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5: </w:t>
      </w:r>
    </w:p>
    <w:p w:rsidR="003D5C6C" w:rsidRDefault="003D5C6C" w:rsidP="003D5C6C">
      <w:pPr>
        <w:rPr>
          <w:sz w:val="24"/>
          <w:lang w:val="en-US"/>
        </w:rPr>
      </w:pPr>
      <w:r>
        <w:rPr>
          <w:sz w:val="24"/>
          <w:lang w:val="en-US"/>
        </w:rPr>
        <w:t>In case Field 4 has been filled with “false”, it should be clarified, whether this field should be left blank, marked “X”/“N/A” or whether Field 5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 xml:space="preserve">Field 7: </w:t>
      </w:r>
    </w:p>
    <w:p w:rsidR="003D5C6C" w:rsidRDefault="003D5C6C" w:rsidP="003D5C6C">
      <w:pPr>
        <w:rPr>
          <w:sz w:val="24"/>
          <w:lang w:val="en-US"/>
        </w:rPr>
      </w:pPr>
      <w:r>
        <w:rPr>
          <w:sz w:val="24"/>
          <w:lang w:val="en-US"/>
        </w:rPr>
        <w:t xml:space="preserve">The possible formats should be clearly explained to avoid misunderstanding and </w:t>
      </w:r>
      <w:r w:rsidRPr="00A526A9">
        <w:rPr>
          <w:sz w:val="24"/>
          <w:lang w:val="en-US"/>
        </w:rPr>
        <w:t>deviating</w:t>
      </w:r>
      <w:r>
        <w:rPr>
          <w:sz w:val="24"/>
          <w:lang w:val="en-US"/>
        </w:rPr>
        <w:t xml:space="preserve"> Filling. A complete value table that allows no room for interpretation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8:</w:t>
      </w:r>
    </w:p>
    <w:p w:rsidR="003D5C6C" w:rsidRDefault="003D5C6C" w:rsidP="003D5C6C">
      <w:pPr>
        <w:rPr>
          <w:sz w:val="24"/>
          <w:lang w:val="en-US"/>
        </w:rPr>
      </w:pPr>
      <w:r>
        <w:rPr>
          <w:sz w:val="24"/>
          <w:lang w:val="en-US"/>
        </w:rPr>
        <w:t>All possible situations should be explained and be provided with an adequate format.</w:t>
      </w: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r>
        <w:rPr>
          <w:sz w:val="24"/>
          <w:lang w:val="en-US"/>
        </w:rPr>
        <w:t>Field 10:</w:t>
      </w:r>
    </w:p>
    <w:p w:rsidR="003D5C6C" w:rsidRDefault="003D5C6C" w:rsidP="003D5C6C">
      <w:pPr>
        <w:rPr>
          <w:sz w:val="24"/>
          <w:lang w:val="en-US"/>
        </w:rPr>
      </w:pPr>
      <w:r>
        <w:rPr>
          <w:sz w:val="24"/>
          <w:lang w:val="en-US"/>
        </w:rPr>
        <w:t>A complete value table (comprising a “</w:t>
      </w:r>
      <w:r w:rsidRPr="003007E5">
        <w:rPr>
          <w:sz w:val="24"/>
          <w:lang w:val="en-US"/>
        </w:rPr>
        <w:t>catchall element</w:t>
      </w:r>
      <w:r>
        <w:rPr>
          <w:sz w:val="24"/>
          <w:lang w:val="en-US"/>
        </w:rPr>
        <w:t xml:space="preserve">”-Format) that allows no room for interpretation should be introduced.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4B6BEE" w:rsidRDefault="004B6BEE" w:rsidP="003D5C6C">
      <w:pPr>
        <w:rPr>
          <w:sz w:val="24"/>
          <w:lang w:val="en-US"/>
        </w:rPr>
      </w:pPr>
    </w:p>
    <w:p w:rsidR="004B6BEE" w:rsidRDefault="004B6BEE" w:rsidP="003D5C6C">
      <w:pPr>
        <w:rPr>
          <w:sz w:val="24"/>
          <w:lang w:val="en-US"/>
        </w:rPr>
      </w:pPr>
    </w:p>
    <w:p w:rsidR="004B6BEE" w:rsidRDefault="004B6BEE" w:rsidP="003D5C6C">
      <w:pPr>
        <w:rPr>
          <w:sz w:val="24"/>
          <w:lang w:val="en-US"/>
        </w:rPr>
      </w:pPr>
    </w:p>
    <w:p w:rsidR="003D5C6C" w:rsidRDefault="003D5C6C" w:rsidP="003D5C6C">
      <w:pPr>
        <w:rPr>
          <w:sz w:val="24"/>
          <w:lang w:val="en-US"/>
        </w:rPr>
      </w:pPr>
      <w:r>
        <w:rPr>
          <w:sz w:val="24"/>
          <w:lang w:val="en-US"/>
        </w:rPr>
        <w:lastRenderedPageBreak/>
        <w:t>Field 12:</w:t>
      </w:r>
    </w:p>
    <w:p w:rsidR="003D5C6C" w:rsidRDefault="003D5C6C" w:rsidP="003D5C6C">
      <w:pPr>
        <w:rPr>
          <w:sz w:val="24"/>
          <w:lang w:val="en-US"/>
        </w:rPr>
      </w:pPr>
      <w:r>
        <w:rPr>
          <w:sz w:val="24"/>
          <w:lang w:val="en-US"/>
        </w:rPr>
        <w:t xml:space="preserve">The possibly </w:t>
      </w:r>
      <w:r w:rsidRPr="00CF1F32">
        <w:rPr>
          <w:sz w:val="24"/>
          <w:lang w:val="en-US"/>
        </w:rPr>
        <w:t>applicable</w:t>
      </w:r>
      <w:r>
        <w:rPr>
          <w:sz w:val="24"/>
          <w:lang w:val="en-US"/>
        </w:rPr>
        <w:t xml:space="preserve"> </w:t>
      </w:r>
      <w:r w:rsidRPr="00CF1F32">
        <w:rPr>
          <w:sz w:val="24"/>
          <w:lang w:val="en-US"/>
        </w:rPr>
        <w:t>annexes to the</w:t>
      </w:r>
      <w:r>
        <w:rPr>
          <w:sz w:val="24"/>
          <w:lang w:val="en-US"/>
        </w:rPr>
        <w:t xml:space="preserve"> </w:t>
      </w:r>
      <w:r w:rsidRPr="00CF1F32">
        <w:rPr>
          <w:sz w:val="24"/>
          <w:lang w:val="en-US"/>
        </w:rPr>
        <w:t>master</w:t>
      </w:r>
      <w:r>
        <w:rPr>
          <w:sz w:val="24"/>
          <w:lang w:val="en-US"/>
        </w:rPr>
        <w:t xml:space="preserve"> </w:t>
      </w:r>
      <w:r w:rsidRPr="00CF1F32">
        <w:rPr>
          <w:sz w:val="24"/>
          <w:lang w:val="en-US"/>
        </w:rPr>
        <w:t>agreement</w:t>
      </w:r>
      <w:r>
        <w:rPr>
          <w:sz w:val="24"/>
          <w:lang w:val="en-US"/>
        </w:rPr>
        <w:t xml:space="preserve"> should be entirely enumerated in form of a value table.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3D5C6C" w:rsidRDefault="003D5C6C" w:rsidP="003D5C6C">
      <w:pPr>
        <w:rPr>
          <w:sz w:val="24"/>
          <w:lang w:val="en-US"/>
        </w:rPr>
      </w:pPr>
      <w:r>
        <w:rPr>
          <w:sz w:val="24"/>
          <w:lang w:val="en-US"/>
        </w:rPr>
        <w:t>Field 16:</w:t>
      </w:r>
    </w:p>
    <w:p w:rsidR="003D5C6C"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t</w:t>
      </w:r>
      <w:r w:rsidRPr="00FE6260">
        <w:rPr>
          <w:sz w:val="24"/>
          <w:lang w:val="en-US"/>
        </w:rPr>
        <w:t>he Maturity Date</w:t>
      </w:r>
      <w:r>
        <w:rPr>
          <w:sz w:val="24"/>
          <w:lang w:val="en-US"/>
        </w:rPr>
        <w:t xml:space="preserve"> </w:t>
      </w:r>
      <w:r w:rsidRPr="00FE6260">
        <w:rPr>
          <w:sz w:val="24"/>
          <w:lang w:val="en-US"/>
        </w:rPr>
        <w:t>(End Date) shall not be reported</w:t>
      </w:r>
      <w:r>
        <w:rPr>
          <w:sz w:val="24"/>
          <w:lang w:val="en-US"/>
        </w:rPr>
        <w:t xml:space="preserve"> </w:t>
      </w:r>
      <w:r w:rsidRPr="00FE6260">
        <w:rPr>
          <w:sz w:val="24"/>
          <w:lang w:val="en-US"/>
        </w:rPr>
        <w:t>for open term repos.</w:t>
      </w:r>
      <w:r>
        <w:rPr>
          <w:sz w:val="24"/>
          <w:lang w:val="en-US"/>
        </w:rPr>
        <w:t xml:space="preserve"> It should be clarified, whether this field should than be left blank, marked “X”/“N/A” or whether Field 16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Field 18:</w:t>
      </w:r>
    </w:p>
    <w:p w:rsidR="003D5C6C" w:rsidRDefault="003D5C6C" w:rsidP="003D5C6C">
      <w:pPr>
        <w:rPr>
          <w:sz w:val="24"/>
          <w:lang w:val="en-US"/>
        </w:rPr>
      </w:pPr>
      <w:r>
        <w:rPr>
          <w:sz w:val="24"/>
          <w:lang w:val="en-US"/>
        </w:rPr>
        <w:t xml:space="preserve">If the respective notice period is specified in month rather than days, is a month always 30 days long or shall specialties be </w:t>
      </w:r>
      <w:r w:rsidRPr="006C684D">
        <w:rPr>
          <w:sz w:val="24"/>
          <w:lang w:val="en-US"/>
        </w:rPr>
        <w:t>incorporate</w:t>
      </w:r>
      <w:r>
        <w:rPr>
          <w:sz w:val="24"/>
          <w:lang w:val="en-US"/>
        </w:rPr>
        <w:t xml:space="preserve">d (i.e.28, 29, 30, 31)? </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Default="003D5C6C" w:rsidP="003D5C6C">
      <w:pPr>
        <w:rPr>
          <w:sz w:val="24"/>
          <w:lang w:val="en-US"/>
        </w:rPr>
      </w:pPr>
      <w:r>
        <w:rPr>
          <w:sz w:val="24"/>
          <w:lang w:val="en-US"/>
        </w:rPr>
        <w:t xml:space="preserve">If there was no </w:t>
      </w:r>
      <w:r w:rsidRPr="006C684D">
        <w:rPr>
          <w:sz w:val="24"/>
          <w:lang w:val="en-US"/>
        </w:rPr>
        <w:t xml:space="preserve">agreement </w:t>
      </w:r>
      <w:r>
        <w:rPr>
          <w:sz w:val="24"/>
          <w:lang w:val="en-US"/>
        </w:rPr>
        <w:t>on an “earliest call-back date”, how should the field be populated? It should be clarified, whether this field should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Field 22: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w:t>
      </w:r>
      <w:r w:rsidRPr="001A3E00">
        <w:rPr>
          <w:sz w:val="24"/>
          <w:lang w:val="en-US"/>
        </w:rPr>
        <w:t>used</w:t>
      </w:r>
      <w:r>
        <w:rPr>
          <w:sz w:val="24"/>
          <w:lang w:val="en-US"/>
        </w:rPr>
        <w:t xml:space="preserve"> </w:t>
      </w:r>
      <w:r w:rsidRPr="001A3E00">
        <w:rPr>
          <w:sz w:val="24"/>
          <w:lang w:val="en-US"/>
        </w:rPr>
        <w:t>to provide</w:t>
      </w:r>
      <w:r>
        <w:rPr>
          <w:sz w:val="24"/>
          <w:lang w:val="en-US"/>
        </w:rPr>
        <w:t xml:space="preserve"> </w:t>
      </w:r>
      <w:r w:rsidRPr="001A3E00">
        <w:rPr>
          <w:sz w:val="24"/>
          <w:lang w:val="en-US"/>
        </w:rPr>
        <w:t>collateral</w:t>
      </w:r>
      <w:r>
        <w:rPr>
          <w:sz w:val="24"/>
          <w:lang w:val="en-US"/>
        </w:rPr>
        <w:t xml:space="preserve">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24:</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regarding the termination optionality should </w:t>
      </w:r>
    </w:p>
    <w:p w:rsidR="003D5C6C" w:rsidRDefault="003D5C6C" w:rsidP="003D5C6C">
      <w:pPr>
        <w:rPr>
          <w:sz w:val="24"/>
          <w:lang w:val="en-US"/>
        </w:rPr>
      </w:pPr>
      <w:proofErr w:type="gramStart"/>
      <w:r>
        <w:rPr>
          <w:sz w:val="24"/>
          <w:lang w:val="en-US"/>
        </w:rPr>
        <w:t>be</w:t>
      </w:r>
      <w:proofErr w:type="gramEnd"/>
      <w:r>
        <w:rPr>
          <w:sz w:val="24"/>
          <w:lang w:val="en-US"/>
        </w:rPr>
        <w:t xml:space="preserve"> introduced.</w:t>
      </w:r>
    </w:p>
    <w:p w:rsidR="003D5C6C" w:rsidRDefault="003D5C6C" w:rsidP="003D5C6C">
      <w:pPr>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annualized interest rate should be expressed as “1” for 100 %, “0.9” for 90 %, etc.</w:t>
      </w:r>
    </w:p>
    <w:p w:rsidR="003D5C6C" w:rsidRDefault="003D5C6C" w:rsidP="003D5C6C">
      <w:pPr>
        <w:rPr>
          <w:sz w:val="24"/>
          <w:lang w:val="en-US"/>
        </w:rPr>
      </w:pPr>
    </w:p>
    <w:p w:rsidR="003D5C6C" w:rsidRDefault="003D5C6C" w:rsidP="003D5C6C">
      <w:pPr>
        <w:rPr>
          <w:sz w:val="24"/>
          <w:lang w:val="en-US"/>
        </w:rPr>
      </w:pPr>
      <w:r>
        <w:rPr>
          <w:sz w:val="24"/>
          <w:lang w:val="en-US"/>
        </w:rPr>
        <w:t>Field 26:</w:t>
      </w:r>
    </w:p>
    <w:p w:rsidR="003D5C6C" w:rsidRDefault="003D5C6C" w:rsidP="003D5C6C">
      <w:pPr>
        <w:rPr>
          <w:sz w:val="24"/>
          <w:lang w:val="en-US"/>
        </w:rPr>
      </w:pPr>
      <w:r>
        <w:rPr>
          <w:sz w:val="24"/>
          <w:lang w:val="en-US"/>
        </w:rPr>
        <w:t xml:space="preserve">The “day count convention” should not be represented with free text, as is will </w:t>
      </w:r>
      <w:r w:rsidRPr="003007E5">
        <w:rPr>
          <w:sz w:val="24"/>
          <w:lang w:val="en-US"/>
        </w:rPr>
        <w:t>inevitably</w:t>
      </w:r>
      <w:r>
        <w:rPr>
          <w:sz w:val="24"/>
          <w:lang w:val="en-US"/>
        </w:rPr>
        <w:t xml:space="preserve"> lead to matching issues; instead a Format category “other”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27:</w:t>
      </w:r>
    </w:p>
    <w:p w:rsidR="003D5C6C" w:rsidRDefault="003D5C6C" w:rsidP="003D5C6C">
      <w:pPr>
        <w:rPr>
          <w:sz w:val="24"/>
          <w:lang w:val="en-US"/>
        </w:rPr>
      </w:pPr>
      <w:r>
        <w:rPr>
          <w:sz w:val="24"/>
          <w:lang w:val="en-US"/>
        </w:rPr>
        <w:t xml:space="preserve">Why does ESMA not use a 15 digit space here? That would eliminate the need to abbreviate common terminology. Example: “EONIA00000000000” instead of “EONA” for EONIA or “Pfandbriefe0000” instead of “PFAN” for </w:t>
      </w:r>
      <w:proofErr w:type="spellStart"/>
      <w:r>
        <w:rPr>
          <w:sz w:val="24"/>
          <w:lang w:val="en-US"/>
        </w:rPr>
        <w:t>Pfandbriefe</w:t>
      </w:r>
      <w:proofErr w:type="spellEnd"/>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28:</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lastRenderedPageBreak/>
        <w:t>Field 29:</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 xml:space="preserve">d and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d multiplier format is prone to mismatches:</w:t>
      </w:r>
    </w:p>
    <w:p w:rsidR="003D5C6C" w:rsidRDefault="003D5C6C" w:rsidP="003D5C6C">
      <w:pPr>
        <w:rPr>
          <w:sz w:val="24"/>
          <w:lang w:val="en-US"/>
        </w:rPr>
      </w:pPr>
      <w:r>
        <w:rPr>
          <w:sz w:val="24"/>
          <w:lang w:val="en-US"/>
        </w:rPr>
        <w:t xml:space="preserve">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28), when </w:t>
      </w:r>
    </w:p>
    <w:p w:rsidR="003D5C6C" w:rsidRDefault="003D5C6C" w:rsidP="003D5C6C">
      <w:pPr>
        <w:rPr>
          <w:sz w:val="24"/>
          <w:lang w:val="en-US"/>
        </w:rPr>
      </w:pPr>
      <w:proofErr w:type="gramStart"/>
      <w:r>
        <w:rPr>
          <w:sz w:val="24"/>
          <w:lang w:val="en-US"/>
        </w:rPr>
        <w:t>reporting</w:t>
      </w:r>
      <w:proofErr w:type="gramEnd"/>
      <w:r>
        <w:rPr>
          <w:sz w:val="24"/>
          <w:lang w:val="en-US"/>
        </w:rPr>
        <w:t xml:space="preserve">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p>
    <w:p w:rsidR="003D5C6C" w:rsidRDefault="003D5C6C" w:rsidP="003D5C6C">
      <w:pPr>
        <w:rPr>
          <w:sz w:val="24"/>
          <w:lang w:val="en-US"/>
        </w:rPr>
      </w:pPr>
    </w:p>
    <w:p w:rsidR="003D5C6C" w:rsidRDefault="003D5C6C" w:rsidP="003D5C6C">
      <w:pPr>
        <w:rPr>
          <w:sz w:val="24"/>
          <w:lang w:val="en-US"/>
        </w:rPr>
      </w:pPr>
      <w:r>
        <w:rPr>
          <w:sz w:val="24"/>
          <w:lang w:val="en-US"/>
        </w:rPr>
        <w:t>Field 30:</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 and the 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 xml:space="preserve">time period </w:t>
      </w:r>
      <w:r>
        <w:rPr>
          <w:sz w:val="24"/>
          <w:lang w:val="en-US"/>
        </w:rPr>
        <w:t xml:space="preserve">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w:t>
      </w:r>
      <w:r>
        <w:rPr>
          <w:sz w:val="24"/>
          <w:lang w:val="en-US"/>
        </w:rPr>
        <w:t>.</w:t>
      </w:r>
    </w:p>
    <w:p w:rsidR="003D5C6C" w:rsidRDefault="003D5C6C" w:rsidP="003D5C6C">
      <w:pPr>
        <w:rPr>
          <w:sz w:val="24"/>
          <w:lang w:val="en-US"/>
        </w:rPr>
      </w:pPr>
      <w:r>
        <w:rPr>
          <w:sz w:val="24"/>
          <w:lang w:val="en-US"/>
        </w:rPr>
        <w:t>Field 32:</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w:t>
      </w:r>
      <w:r w:rsidRPr="00926CF7">
        <w:rPr>
          <w:sz w:val="24"/>
          <w:lang w:val="en-US"/>
        </w:rPr>
        <w:t>and the 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w:t>
      </w:r>
      <w:r>
        <w:rPr>
          <w:sz w:val="24"/>
          <w:lang w:val="en-US"/>
        </w:rPr>
        <w:t>.</w:t>
      </w:r>
    </w:p>
    <w:p w:rsidR="003D5C6C" w:rsidRDefault="003D5C6C" w:rsidP="003D5C6C">
      <w:pPr>
        <w:jc w:val="both"/>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spread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pStyle w:val="Listenabsatz"/>
        <w:numPr>
          <w:ilvl w:val="0"/>
          <w:numId w:val="2"/>
        </w:numPr>
        <w:rPr>
          <w:sz w:val="24"/>
          <w:lang w:val="en-US"/>
        </w:rPr>
      </w:pPr>
      <w:r>
        <w:rPr>
          <w:sz w:val="24"/>
          <w:lang w:val="en-US"/>
        </w:rPr>
        <w:t>Table 9 – Collateral data</w:t>
      </w:r>
    </w:p>
    <w:p w:rsidR="003D5C6C" w:rsidRDefault="003D5C6C" w:rsidP="003D5C6C">
      <w:pPr>
        <w:rPr>
          <w:sz w:val="24"/>
          <w:lang w:val="en-US"/>
        </w:rPr>
      </w:pPr>
    </w:p>
    <w:p w:rsidR="003D5C6C" w:rsidRDefault="003D5C6C" w:rsidP="003D5C6C">
      <w:pPr>
        <w:rPr>
          <w:sz w:val="24"/>
          <w:lang w:val="en-US"/>
        </w:rPr>
      </w:pPr>
      <w:r>
        <w:rPr>
          <w:sz w:val="24"/>
          <w:lang w:val="en-US"/>
        </w:rPr>
        <w:t>Field 1:</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or a Format category “other”) regarding the </w:t>
      </w:r>
      <w:r w:rsidRPr="008F3536">
        <w:rPr>
          <w:sz w:val="24"/>
          <w:lang w:val="en-US"/>
        </w:rPr>
        <w:t>Type of</w:t>
      </w:r>
      <w:r>
        <w:rPr>
          <w:sz w:val="24"/>
          <w:lang w:val="en-US"/>
        </w:rPr>
        <w:t xml:space="preserve"> </w:t>
      </w:r>
      <w:r w:rsidRPr="008F3536">
        <w:rPr>
          <w:sz w:val="24"/>
          <w:lang w:val="en-US"/>
        </w:rPr>
        <w:t>collateral</w:t>
      </w:r>
      <w:r>
        <w:rPr>
          <w:sz w:val="24"/>
          <w:lang w:val="en-US"/>
        </w:rPr>
        <w:t xml:space="preserve"> </w:t>
      </w:r>
      <w:r w:rsidRPr="008F3536">
        <w:rPr>
          <w:sz w:val="24"/>
          <w:lang w:val="en-US"/>
        </w:rPr>
        <w:t>component</w:t>
      </w:r>
      <w:r>
        <w:rPr>
          <w:sz w:val="24"/>
          <w:lang w:val="en-US"/>
        </w:rPr>
        <w:t xml:space="preserve"> should be established.</w:t>
      </w:r>
    </w:p>
    <w:p w:rsidR="003D5C6C" w:rsidRDefault="003D5C6C" w:rsidP="003D5C6C">
      <w:pPr>
        <w:rPr>
          <w:sz w:val="24"/>
          <w:lang w:val="en-US"/>
        </w:rPr>
      </w:pPr>
    </w:p>
    <w:p w:rsidR="004B6BEE" w:rsidRDefault="004B6BEE" w:rsidP="003D5C6C">
      <w:pPr>
        <w:rPr>
          <w:sz w:val="24"/>
          <w:lang w:val="en-US"/>
        </w:rPr>
      </w:pPr>
    </w:p>
    <w:p w:rsidR="003D5C6C" w:rsidRDefault="003D5C6C" w:rsidP="003D5C6C">
      <w:pPr>
        <w:rPr>
          <w:sz w:val="24"/>
          <w:lang w:val="en-US"/>
        </w:rPr>
      </w:pPr>
      <w:r>
        <w:rPr>
          <w:sz w:val="24"/>
          <w:lang w:val="en-US"/>
        </w:rPr>
        <w:lastRenderedPageBreak/>
        <w:t>Field 2:</w:t>
      </w:r>
    </w:p>
    <w:p w:rsidR="003D5C6C" w:rsidRDefault="003D5C6C" w:rsidP="003D5C6C">
      <w:pPr>
        <w:rPr>
          <w:sz w:val="24"/>
          <w:lang w:val="en-US"/>
        </w:rPr>
      </w:pPr>
      <w:r>
        <w:rPr>
          <w:sz w:val="24"/>
          <w:lang w:val="en-US"/>
        </w:rPr>
        <w:t xml:space="preserve">How shall this field be populated in case of cash collateral or when a </w:t>
      </w:r>
      <w:r w:rsidRPr="008F3536">
        <w:rPr>
          <w:sz w:val="24"/>
          <w:lang w:val="en-US"/>
        </w:rPr>
        <w:t xml:space="preserve">commodity </w:t>
      </w:r>
      <w:r>
        <w:rPr>
          <w:sz w:val="24"/>
          <w:lang w:val="en-US"/>
        </w:rPr>
        <w:t xml:space="preserve">is </w:t>
      </w:r>
      <w:r w:rsidRPr="008F3536">
        <w:rPr>
          <w:sz w:val="24"/>
          <w:lang w:val="en-US"/>
        </w:rPr>
        <w:t>used as collateral</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3:</w:t>
      </w:r>
    </w:p>
    <w:p w:rsidR="003D5C6C" w:rsidRDefault="003D5C6C" w:rsidP="003D5C6C">
      <w:pPr>
        <w:rPr>
          <w:sz w:val="24"/>
          <w:lang w:val="en-US"/>
        </w:rPr>
      </w:pPr>
      <w:r>
        <w:rPr>
          <w:sz w:val="24"/>
          <w:lang w:val="en-US"/>
        </w:rPr>
        <w:t>The option to choose other on this level of granularity may lead to imprecise/unspecified reporting.</w:t>
      </w:r>
    </w:p>
    <w:p w:rsidR="003D5C6C" w:rsidRDefault="003D5C6C" w:rsidP="003D5C6C">
      <w:pPr>
        <w:rPr>
          <w:sz w:val="24"/>
          <w:lang w:val="en-US"/>
        </w:rPr>
      </w:pPr>
    </w:p>
    <w:p w:rsidR="003D5C6C" w:rsidRDefault="003D5C6C" w:rsidP="003D5C6C">
      <w:pPr>
        <w:rPr>
          <w:sz w:val="24"/>
          <w:lang w:val="en-US"/>
        </w:rPr>
      </w:pPr>
      <w:r>
        <w:rPr>
          <w:sz w:val="24"/>
          <w:lang w:val="en-US"/>
        </w:rPr>
        <w:t>Field 4:</w:t>
      </w:r>
    </w:p>
    <w:p w:rsidR="003D5C6C" w:rsidRPr="006B0261" w:rsidRDefault="003D5C6C" w:rsidP="003D5C6C">
      <w:pPr>
        <w:rPr>
          <w:sz w:val="24"/>
          <w:lang w:val="en-US"/>
        </w:rPr>
      </w:pPr>
      <w:r>
        <w:rPr>
          <w:sz w:val="24"/>
          <w:lang w:val="en-US"/>
        </w:rPr>
        <w:t xml:space="preserve">In the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sub products (i.e. it is missing in all sub product columns) If this option is missing, “other” can only be chosen at “Base product”-level, which will lead to imprecise/unspecified reporting. </w:t>
      </w:r>
    </w:p>
    <w:p w:rsidR="003D5C6C" w:rsidRDefault="003D5C6C" w:rsidP="003D5C6C">
      <w:pPr>
        <w:rPr>
          <w:sz w:val="24"/>
          <w:lang w:val="en-US"/>
        </w:rPr>
      </w:pPr>
    </w:p>
    <w:p w:rsidR="003D5C6C" w:rsidRDefault="003D5C6C" w:rsidP="003D5C6C">
      <w:pPr>
        <w:rPr>
          <w:sz w:val="24"/>
          <w:lang w:val="en-US"/>
        </w:rPr>
      </w:pPr>
      <w:r>
        <w:rPr>
          <w:sz w:val="24"/>
          <w:lang w:val="en-US"/>
        </w:rPr>
        <w:t>Field 5:</w:t>
      </w:r>
    </w:p>
    <w:p w:rsidR="003D5C6C" w:rsidRDefault="003D5C6C" w:rsidP="003D5C6C">
      <w:pPr>
        <w:rPr>
          <w:sz w:val="24"/>
          <w:lang w:val="en-US"/>
        </w:rPr>
      </w:pPr>
      <w:r>
        <w:rPr>
          <w:sz w:val="24"/>
          <w:lang w:val="en-US"/>
        </w:rPr>
        <w:t xml:space="preserve">In the “Further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further sub products (i.e. it is missing in </w:t>
      </w:r>
      <w:r w:rsidRPr="001659E5">
        <w:rPr>
          <w:sz w:val="24"/>
          <w:lang w:val="en-US"/>
        </w:rPr>
        <w:t>'NGAS’ - Natural Gas, 'OILP’ – Oil, 'EMIS’ – Emissions, ‘WETF’ – Wet, ‘DRYF’ – Dry</w:t>
      </w:r>
      <w:r>
        <w:rPr>
          <w:sz w:val="24"/>
          <w:lang w:val="en-US"/>
        </w:rPr>
        <w:t xml:space="preserve">). If this option is missing, “other” can only be chosen at “Base product”-level, which will lead to imprecise/unspecified reporting. </w:t>
      </w:r>
    </w:p>
    <w:p w:rsidR="003D5C6C" w:rsidRDefault="003D5C6C" w:rsidP="003D5C6C">
      <w:pPr>
        <w:rPr>
          <w:sz w:val="24"/>
          <w:lang w:val="en-US"/>
        </w:rPr>
      </w:pPr>
    </w:p>
    <w:p w:rsidR="003D5C6C" w:rsidRDefault="003D5C6C" w:rsidP="003D5C6C">
      <w:pPr>
        <w:rPr>
          <w:sz w:val="24"/>
          <w:lang w:val="en-US"/>
        </w:rPr>
      </w:pPr>
      <w:r>
        <w:rPr>
          <w:sz w:val="24"/>
          <w:lang w:val="en-US"/>
        </w:rPr>
        <w:t xml:space="preserve">Field 7: </w:t>
      </w:r>
    </w:p>
    <w:p w:rsidR="003D5C6C" w:rsidRDefault="003D5C6C" w:rsidP="003D5C6C">
      <w:pPr>
        <w:rPr>
          <w:sz w:val="24"/>
          <w:lang w:val="en-US"/>
        </w:rPr>
      </w:pPr>
      <w:r>
        <w:rPr>
          <w:sz w:val="24"/>
          <w:lang w:val="en-US"/>
        </w:rPr>
        <w:t>How should this field be populated in case, where a collateral quantity is distributed to Field 6? It should be clarified, whether this field should be left blank, marked “X”/“N/A” or whether Field 7 shouldn’t be reported at all in such circumstances.</w:t>
      </w:r>
    </w:p>
    <w:p w:rsidR="003D5C6C" w:rsidRDefault="003D5C6C" w:rsidP="003D5C6C">
      <w:pPr>
        <w:rPr>
          <w:sz w:val="24"/>
          <w:lang w:val="en-US"/>
        </w:rPr>
      </w:pPr>
    </w:p>
    <w:p w:rsidR="003D5C6C" w:rsidRDefault="003D5C6C" w:rsidP="003D5C6C">
      <w:pPr>
        <w:rPr>
          <w:sz w:val="24"/>
          <w:lang w:val="en-US"/>
        </w:rPr>
      </w:pPr>
      <w:r>
        <w:rPr>
          <w:sz w:val="24"/>
          <w:lang w:val="en-US"/>
        </w:rPr>
        <w:t>Field 12: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”-Format or a Format category “other”) regarding the collateral quality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14:</w:t>
      </w:r>
    </w:p>
    <w:p w:rsidR="003D5C6C" w:rsidRDefault="003D5C6C" w:rsidP="003D5C6C">
      <w:pPr>
        <w:rPr>
          <w:sz w:val="24"/>
          <w:lang w:val="en-US"/>
        </w:rPr>
      </w:pPr>
      <w:r>
        <w:rPr>
          <w:sz w:val="24"/>
          <w:lang w:val="en-US"/>
        </w:rPr>
        <w:t>Field 14 is wrongly named 214.</w:t>
      </w:r>
    </w:p>
    <w:p w:rsidR="003D5C6C" w:rsidRDefault="003D5C6C" w:rsidP="003D5C6C">
      <w:pPr>
        <w:rPr>
          <w:sz w:val="24"/>
          <w:lang w:val="en-US"/>
        </w:rPr>
      </w:pPr>
    </w:p>
    <w:p w:rsidR="003D5C6C" w:rsidRDefault="003D5C6C" w:rsidP="003D5C6C">
      <w:pPr>
        <w:rPr>
          <w:sz w:val="24"/>
          <w:lang w:val="en-US"/>
        </w:rPr>
      </w:pPr>
      <w:r>
        <w:rPr>
          <w:sz w:val="24"/>
          <w:lang w:val="en-US"/>
        </w:rPr>
        <w:t>Field 15:</w:t>
      </w:r>
    </w:p>
    <w:p w:rsidR="003D5C6C" w:rsidRDefault="003D5C6C" w:rsidP="003D5C6C">
      <w:pPr>
        <w:rPr>
          <w:sz w:val="24"/>
          <w:lang w:val="en-US"/>
        </w:rPr>
      </w:pPr>
      <w:r>
        <w:rPr>
          <w:sz w:val="24"/>
          <w:lang w:val="en-US"/>
        </w:rPr>
        <w:t>The format of Field 15 is wrongly filled.</w:t>
      </w:r>
    </w:p>
    <w:p w:rsidR="003007E5" w:rsidRDefault="003007E5" w:rsidP="00A526A9">
      <w:pPr>
        <w:rPr>
          <w:sz w:val="24"/>
          <w:lang w:val="en-US"/>
        </w:rPr>
      </w:pPr>
    </w:p>
    <w:p w:rsidR="003D5C6C" w:rsidRPr="003D5C6C" w:rsidRDefault="003D5C6C" w:rsidP="003D5C6C">
      <w:pPr>
        <w:pStyle w:val="Listenabsatz"/>
        <w:numPr>
          <w:ilvl w:val="0"/>
          <w:numId w:val="1"/>
        </w:numPr>
        <w:rPr>
          <w:b/>
          <w:sz w:val="24"/>
          <w:lang w:val="en-US"/>
        </w:rPr>
      </w:pPr>
      <w:r w:rsidRPr="003D5C6C">
        <w:rPr>
          <w:b/>
          <w:sz w:val="24"/>
          <w:lang w:val="en-US"/>
        </w:rPr>
        <w:t>Margin lending and borrowing</w:t>
      </w:r>
    </w:p>
    <w:p w:rsidR="00A526A9" w:rsidRDefault="00A526A9" w:rsidP="00A526A9">
      <w:pPr>
        <w:rPr>
          <w:sz w:val="24"/>
          <w:lang w:val="en-US"/>
        </w:rPr>
      </w:pPr>
    </w:p>
    <w:p w:rsidR="003D5C6C" w:rsidRPr="003D5C6C" w:rsidRDefault="003D5C6C" w:rsidP="003D5C6C">
      <w:pPr>
        <w:pStyle w:val="Listenabsatz"/>
        <w:numPr>
          <w:ilvl w:val="0"/>
          <w:numId w:val="2"/>
        </w:numPr>
        <w:rPr>
          <w:sz w:val="24"/>
          <w:lang w:val="en-US"/>
        </w:rPr>
      </w:pPr>
      <w:r w:rsidRPr="003D5C6C">
        <w:rPr>
          <w:sz w:val="24"/>
          <w:lang w:val="en-US"/>
        </w:rPr>
        <w:t xml:space="preserve">Table </w:t>
      </w:r>
      <w:r>
        <w:rPr>
          <w:sz w:val="24"/>
          <w:lang w:val="en-US"/>
        </w:rPr>
        <w:t>10</w:t>
      </w:r>
      <w:r w:rsidRPr="003D5C6C">
        <w:rPr>
          <w:sz w:val="24"/>
          <w:lang w:val="en-US"/>
        </w:rPr>
        <w:t xml:space="preserve"> – Counterparty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11: </w:t>
      </w:r>
    </w:p>
    <w:p w:rsidR="003D5C6C" w:rsidRPr="00D21B41"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w</w:t>
      </w:r>
      <w:r w:rsidRPr="00D21B41">
        <w:rPr>
          <w:sz w:val="24"/>
          <w:lang w:val="en-US"/>
        </w:rPr>
        <w:t>hen no tri-party</w:t>
      </w:r>
    </w:p>
    <w:p w:rsidR="003D5C6C" w:rsidRDefault="003D5C6C" w:rsidP="003D5C6C">
      <w:pPr>
        <w:rPr>
          <w:sz w:val="24"/>
          <w:lang w:val="en-US"/>
        </w:rPr>
      </w:pPr>
      <w:proofErr w:type="gramStart"/>
      <w:r w:rsidRPr="00D21B41">
        <w:rPr>
          <w:sz w:val="24"/>
          <w:lang w:val="en-US"/>
        </w:rPr>
        <w:lastRenderedPageBreak/>
        <w:t>agent</w:t>
      </w:r>
      <w:proofErr w:type="gramEnd"/>
      <w:r w:rsidRPr="00D21B41">
        <w:rPr>
          <w:sz w:val="24"/>
          <w:lang w:val="en-US"/>
        </w:rPr>
        <w:t xml:space="preserve"> is used, this</w:t>
      </w:r>
      <w:r>
        <w:rPr>
          <w:sz w:val="24"/>
          <w:lang w:val="en-US"/>
        </w:rPr>
        <w:t xml:space="preserve"> </w:t>
      </w:r>
      <w:r w:rsidRPr="00D21B41">
        <w:rPr>
          <w:sz w:val="24"/>
          <w:lang w:val="en-US"/>
        </w:rPr>
        <w:t>information shall not be</w:t>
      </w:r>
      <w:r>
        <w:rPr>
          <w:sz w:val="24"/>
          <w:lang w:val="en-US"/>
        </w:rPr>
        <w:t xml:space="preserve"> </w:t>
      </w:r>
      <w:r w:rsidRPr="00D21B41">
        <w:rPr>
          <w:sz w:val="24"/>
          <w:lang w:val="en-US"/>
        </w:rPr>
        <w:t>provided.</w:t>
      </w:r>
      <w:r>
        <w:rPr>
          <w:sz w:val="24"/>
          <w:lang w:val="en-US"/>
        </w:rPr>
        <w:t xml:space="preserve"> It should be clarified, whether this field should be left blank, marked “X”/“N/A” or whether Field 11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 xml:space="preserve">Field 12: </w:t>
      </w:r>
    </w:p>
    <w:p w:rsidR="003D5C6C" w:rsidRDefault="003D5C6C" w:rsidP="003D5C6C">
      <w:pPr>
        <w:rPr>
          <w:sz w:val="24"/>
          <w:lang w:val="en-US"/>
        </w:rPr>
      </w:pPr>
      <w:r>
        <w:rPr>
          <w:sz w:val="24"/>
          <w:lang w:val="en-US"/>
        </w:rPr>
        <w:t xml:space="preserve">It should be clarified, whether this field should be left blank, marked “X”/“N/A” or should not be reported in case no entity acts as </w:t>
      </w:r>
      <w:r w:rsidRPr="00D21B41">
        <w:rPr>
          <w:sz w:val="24"/>
          <w:lang w:val="en-US"/>
        </w:rPr>
        <w:t>intermediary for</w:t>
      </w:r>
      <w:r>
        <w:rPr>
          <w:sz w:val="24"/>
          <w:lang w:val="en-US"/>
        </w:rPr>
        <w:t xml:space="preserve"> </w:t>
      </w:r>
      <w:r w:rsidRPr="00D21B41">
        <w:rPr>
          <w:sz w:val="24"/>
          <w:lang w:val="en-US"/>
        </w:rPr>
        <w:t>the reporting counterparty</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 xml:space="preserve">Field 13: </w:t>
      </w:r>
    </w:p>
    <w:p w:rsidR="003D5C6C" w:rsidRDefault="003D5C6C" w:rsidP="003D5C6C">
      <w:pPr>
        <w:rPr>
          <w:sz w:val="24"/>
          <w:lang w:val="en-US"/>
        </w:rPr>
      </w:pPr>
      <w:r>
        <w:rPr>
          <w:sz w:val="24"/>
          <w:lang w:val="en-US"/>
        </w:rPr>
        <w:t>It should be clarified, whether this field should be left blank, marked “X”/“N/A” or should not be reported in case the trade is not cleared.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18: </w:t>
      </w:r>
    </w:p>
    <w:p w:rsidR="003D5C6C" w:rsidRDefault="003D5C6C" w:rsidP="003D5C6C">
      <w:pPr>
        <w:rPr>
          <w:sz w:val="24"/>
          <w:lang w:val="en-US"/>
        </w:rPr>
      </w:pPr>
      <w:r>
        <w:rPr>
          <w:sz w:val="24"/>
          <w:lang w:val="en-US"/>
        </w:rPr>
        <w:t xml:space="preserve">The “Format” </w:t>
      </w:r>
      <w:proofErr w:type="spellStart"/>
      <w:proofErr w:type="gramStart"/>
      <w:r>
        <w:rPr>
          <w:sz w:val="24"/>
          <w:lang w:val="en-US"/>
        </w:rPr>
        <w:t>colum</w:t>
      </w:r>
      <w:proofErr w:type="spellEnd"/>
      <w:proofErr w:type="gramEnd"/>
      <w:r>
        <w:rPr>
          <w:sz w:val="24"/>
          <w:lang w:val="en-US"/>
        </w:rPr>
        <w:t xml:space="preserve"> does not define the standard that should be used to depict the “Value of the re-</w:t>
      </w:r>
      <w:proofErr w:type="spellStart"/>
      <w:r>
        <w:rPr>
          <w:sz w:val="24"/>
          <w:lang w:val="en-US"/>
        </w:rPr>
        <w:t>uesed</w:t>
      </w:r>
      <w:proofErr w:type="spellEnd"/>
      <w:r>
        <w:rPr>
          <w:sz w:val="24"/>
          <w:lang w:val="en-US"/>
        </w:rPr>
        <w:t xml:space="preserve"> collateral”. Shall this field be populated with the Mark-to-Market value, the nominal or as specified in text no. 219 should </w:t>
      </w:r>
      <w:r w:rsidRPr="007C0DE9">
        <w:rPr>
          <w:sz w:val="24"/>
          <w:lang w:val="en-US"/>
        </w:rPr>
        <w:t>be</w:t>
      </w:r>
      <w:r>
        <w:rPr>
          <w:sz w:val="24"/>
          <w:lang w:val="en-US"/>
        </w:rPr>
        <w:t xml:space="preserve"> </w:t>
      </w:r>
      <w:r w:rsidRPr="007C0DE9">
        <w:rPr>
          <w:sz w:val="24"/>
          <w:lang w:val="en-US"/>
        </w:rPr>
        <w:t>determined in accordance with the methodology defined in I</w:t>
      </w:r>
      <w:r>
        <w:rPr>
          <w:sz w:val="24"/>
          <w:lang w:val="en-US"/>
        </w:rPr>
        <w:t xml:space="preserve">FRS </w:t>
      </w:r>
      <w:r w:rsidRPr="007C0DE9">
        <w:rPr>
          <w:sz w:val="24"/>
          <w:lang w:val="en-US"/>
        </w:rPr>
        <w:t>Standard 13, Fair Value Measurement, adopted by the Union and referred to in</w:t>
      </w:r>
      <w:r>
        <w:rPr>
          <w:sz w:val="24"/>
          <w:lang w:val="en-US"/>
        </w:rPr>
        <w:t xml:space="preserve"> </w:t>
      </w:r>
      <w:r w:rsidRPr="007C0DE9">
        <w:rPr>
          <w:sz w:val="24"/>
          <w:lang w:val="en-US"/>
        </w:rPr>
        <w:t>the Annex to Regulation (EC) No 1126/2008</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Pr="007C0DE9" w:rsidRDefault="003D5C6C" w:rsidP="003D5C6C">
      <w:pPr>
        <w:rPr>
          <w:sz w:val="24"/>
          <w:lang w:val="en-US"/>
        </w:rPr>
      </w:pPr>
      <w:r w:rsidRPr="007C0DE9">
        <w:rPr>
          <w:sz w:val="24"/>
          <w:lang w:val="en-US"/>
        </w:rPr>
        <w:t>In the case when the</w:t>
      </w:r>
      <w:r>
        <w:rPr>
          <w:sz w:val="24"/>
          <w:lang w:val="en-US"/>
        </w:rPr>
        <w:t xml:space="preserve"> </w:t>
      </w:r>
      <w:r w:rsidRPr="007C0DE9">
        <w:rPr>
          <w:sz w:val="24"/>
          <w:lang w:val="en-US"/>
        </w:rPr>
        <w:t>collateral re-use cannot be</w:t>
      </w:r>
      <w:r>
        <w:rPr>
          <w:sz w:val="24"/>
          <w:lang w:val="en-US"/>
        </w:rPr>
        <w:t xml:space="preserve"> </w:t>
      </w:r>
      <w:r w:rsidRPr="007C0DE9">
        <w:rPr>
          <w:sz w:val="24"/>
          <w:lang w:val="en-US"/>
        </w:rPr>
        <w:t>defined at SFT transaction</w:t>
      </w:r>
    </w:p>
    <w:p w:rsidR="003D5C6C" w:rsidRDefault="003D5C6C" w:rsidP="003D5C6C">
      <w:pPr>
        <w:rPr>
          <w:sz w:val="24"/>
          <w:lang w:val="en-US"/>
        </w:rPr>
      </w:pPr>
      <w:proofErr w:type="gramStart"/>
      <w:r w:rsidRPr="007C0DE9">
        <w:rPr>
          <w:sz w:val="24"/>
          <w:lang w:val="en-US"/>
        </w:rPr>
        <w:t>level</w:t>
      </w:r>
      <w:proofErr w:type="gramEnd"/>
      <w:r w:rsidRPr="007C0DE9">
        <w:rPr>
          <w:sz w:val="24"/>
          <w:lang w:val="en-US"/>
        </w:rPr>
        <w:t xml:space="preserve">, </w:t>
      </w:r>
      <w:r>
        <w:rPr>
          <w:sz w:val="24"/>
          <w:lang w:val="en-US"/>
        </w:rPr>
        <w:t xml:space="preserve">the </w:t>
      </w:r>
      <w:r w:rsidRPr="007C0DE9">
        <w:rPr>
          <w:sz w:val="24"/>
          <w:lang w:val="en-US"/>
        </w:rPr>
        <w:t>estimate percentage</w:t>
      </w:r>
      <w:r>
        <w:rPr>
          <w:sz w:val="24"/>
          <w:lang w:val="en-US"/>
        </w:rPr>
        <w:t xml:space="preserve"> of re-use for a given security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Pr="003D5C6C" w:rsidRDefault="003D5C6C" w:rsidP="003D5C6C">
      <w:pPr>
        <w:pStyle w:val="Listenabsatz"/>
        <w:numPr>
          <w:ilvl w:val="0"/>
          <w:numId w:val="2"/>
        </w:numPr>
        <w:rPr>
          <w:sz w:val="24"/>
          <w:lang w:val="en-US"/>
        </w:rPr>
      </w:pPr>
      <w:r>
        <w:rPr>
          <w:sz w:val="24"/>
          <w:lang w:val="en-US"/>
        </w:rPr>
        <w:t>Table 11</w:t>
      </w:r>
      <w:r w:rsidRPr="003D5C6C">
        <w:rPr>
          <w:sz w:val="24"/>
          <w:lang w:val="en-US"/>
        </w:rPr>
        <w:t xml:space="preserve"> – Transaction data</w:t>
      </w:r>
    </w:p>
    <w:p w:rsidR="003D5C6C" w:rsidRDefault="003D5C6C" w:rsidP="003D5C6C">
      <w:pPr>
        <w:rPr>
          <w:sz w:val="24"/>
          <w:lang w:val="en-US"/>
        </w:rPr>
      </w:pPr>
    </w:p>
    <w:p w:rsidR="003D5C6C" w:rsidRDefault="003D5C6C" w:rsidP="003D5C6C">
      <w:pPr>
        <w:rPr>
          <w:sz w:val="24"/>
          <w:lang w:val="en-US"/>
        </w:rPr>
      </w:pPr>
      <w:r>
        <w:rPr>
          <w:sz w:val="24"/>
          <w:lang w:val="en-US"/>
        </w:rPr>
        <w:t xml:space="preserve">Field 2: </w:t>
      </w:r>
    </w:p>
    <w:p w:rsidR="003D5C6C" w:rsidRDefault="003D5C6C" w:rsidP="003D5C6C">
      <w:pPr>
        <w:rPr>
          <w:sz w:val="24"/>
          <w:lang w:val="en-US"/>
        </w:rPr>
      </w:pPr>
      <w:r>
        <w:rPr>
          <w:sz w:val="24"/>
          <w:lang w:val="en-US"/>
        </w:rPr>
        <w:t xml:space="preserve">a) We suggest to separate the four special characters, which seem presently to be incomplete by </w:t>
      </w:r>
      <w:r w:rsidRPr="00215608">
        <w:rPr>
          <w:sz w:val="24"/>
          <w:lang w:val="en-US"/>
        </w:rPr>
        <w:t>quotation mark</w:t>
      </w:r>
      <w:r>
        <w:rPr>
          <w:sz w:val="24"/>
          <w:lang w:val="en-US"/>
        </w:rPr>
        <w:t xml:space="preserve">s, i.e. “-”, “_”, “.”, etc. </w:t>
      </w:r>
    </w:p>
    <w:p w:rsidR="003D5C6C" w:rsidRDefault="003D5C6C" w:rsidP="003D5C6C">
      <w:pPr>
        <w:rPr>
          <w:sz w:val="24"/>
          <w:lang w:val="en-US"/>
        </w:rPr>
      </w:pPr>
      <w:r>
        <w:rPr>
          <w:sz w:val="24"/>
          <w:lang w:val="en-US"/>
        </w:rPr>
        <w:t xml:space="preserve">b) In case </w:t>
      </w:r>
      <w:r w:rsidRPr="00215608">
        <w:rPr>
          <w:sz w:val="24"/>
          <w:lang w:val="en-US"/>
        </w:rPr>
        <w:t>an SFT was executed on a</w:t>
      </w:r>
      <w:r>
        <w:rPr>
          <w:sz w:val="24"/>
          <w:lang w:val="en-US"/>
        </w:rPr>
        <w:t xml:space="preserve"> </w:t>
      </w:r>
      <w:r w:rsidRPr="00215608">
        <w:rPr>
          <w:sz w:val="24"/>
          <w:lang w:val="en-US"/>
        </w:rPr>
        <w:t>trading venue and cleared on the</w:t>
      </w:r>
      <w:r>
        <w:rPr>
          <w:sz w:val="24"/>
          <w:lang w:val="en-US"/>
        </w:rPr>
        <w:t xml:space="preserve"> </w:t>
      </w:r>
      <w:r w:rsidRPr="00215608">
        <w:rPr>
          <w:sz w:val="24"/>
          <w:lang w:val="en-US"/>
        </w:rPr>
        <w:t xml:space="preserve">same day, </w:t>
      </w:r>
      <w:r>
        <w:rPr>
          <w:sz w:val="24"/>
          <w:lang w:val="en-US"/>
        </w:rPr>
        <w:t xml:space="preserve">should the involved </w:t>
      </w:r>
      <w:r w:rsidRPr="00215608">
        <w:rPr>
          <w:sz w:val="24"/>
          <w:lang w:val="en-US"/>
        </w:rPr>
        <w:t xml:space="preserve">trading venue </w:t>
      </w:r>
      <w:r>
        <w:rPr>
          <w:sz w:val="24"/>
          <w:lang w:val="en-US"/>
        </w:rPr>
        <w:t xml:space="preserve">create a UTI (differing from the </w:t>
      </w:r>
      <w:r w:rsidRPr="00215608">
        <w:rPr>
          <w:sz w:val="24"/>
          <w:lang w:val="en-US"/>
        </w:rPr>
        <w:t>UTI of original</w:t>
      </w:r>
      <w:r>
        <w:rPr>
          <w:sz w:val="24"/>
          <w:lang w:val="en-US"/>
        </w:rPr>
        <w:t xml:space="preserve"> </w:t>
      </w:r>
      <w:r w:rsidRPr="00215608">
        <w:rPr>
          <w:sz w:val="24"/>
          <w:lang w:val="en-US"/>
        </w:rPr>
        <w:t>bilateral transaction</w:t>
      </w:r>
      <w:r>
        <w:rPr>
          <w:sz w:val="24"/>
          <w:lang w:val="en-US"/>
        </w:rPr>
        <w:t>) or what is meant with “</w:t>
      </w:r>
      <w:r w:rsidRPr="00215608">
        <w:rPr>
          <w:sz w:val="24"/>
          <w:lang w:val="en-US"/>
        </w:rPr>
        <w:t>a number generated by</w:t>
      </w:r>
      <w:r>
        <w:rPr>
          <w:sz w:val="24"/>
          <w:lang w:val="en-US"/>
        </w:rPr>
        <w:t xml:space="preserve"> </w:t>
      </w:r>
      <w:r w:rsidRPr="00215608">
        <w:rPr>
          <w:sz w:val="24"/>
          <w:lang w:val="en-US"/>
        </w:rPr>
        <w:t>the trading venue and unique to</w:t>
      </w:r>
      <w:r>
        <w:rPr>
          <w:sz w:val="24"/>
          <w:lang w:val="en-US"/>
        </w:rPr>
        <w:t xml:space="preserve"> </w:t>
      </w:r>
      <w:r w:rsidRPr="00215608">
        <w:rPr>
          <w:sz w:val="24"/>
          <w:lang w:val="en-US"/>
        </w:rPr>
        <w:t>that execution</w:t>
      </w:r>
      <w:r>
        <w:rPr>
          <w:sz w:val="24"/>
          <w:lang w:val="en-US"/>
        </w:rPr>
        <w:t>”?</w:t>
      </w:r>
    </w:p>
    <w:p w:rsidR="003D5C6C" w:rsidRDefault="003D5C6C" w:rsidP="003D5C6C">
      <w:pPr>
        <w:rPr>
          <w:sz w:val="24"/>
          <w:lang w:val="en-US"/>
        </w:rPr>
      </w:pPr>
      <w:r>
        <w:rPr>
          <w:sz w:val="24"/>
          <w:lang w:val="en-US"/>
        </w:rPr>
        <w:t>c) Are all possible situations covered? How should i.e. Field 2 be reported, if options a) and b) are not applicable? Should Field 2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 xml:space="preserve">Field 5: </w:t>
      </w:r>
    </w:p>
    <w:p w:rsidR="003D5C6C" w:rsidRDefault="003D5C6C" w:rsidP="003D5C6C">
      <w:pPr>
        <w:rPr>
          <w:sz w:val="24"/>
          <w:lang w:val="en-US"/>
        </w:rPr>
      </w:pPr>
      <w:r>
        <w:rPr>
          <w:sz w:val="24"/>
          <w:lang w:val="en-US"/>
        </w:rPr>
        <w:t>In case Field 4 has been filled with “false”, it should be clarified, whether this field should be left blank, marked “X”/“N/A” or whether Field 5 shouldn’t be reported in such circumstances.</w:t>
      </w:r>
    </w:p>
    <w:p w:rsidR="003D5C6C" w:rsidRDefault="003D5C6C" w:rsidP="003D5C6C">
      <w:pPr>
        <w:rPr>
          <w:sz w:val="24"/>
          <w:lang w:val="en-US"/>
        </w:rPr>
      </w:pPr>
    </w:p>
    <w:p w:rsidR="004B6BEE" w:rsidRDefault="004B6BEE" w:rsidP="003D5C6C">
      <w:pPr>
        <w:rPr>
          <w:sz w:val="24"/>
          <w:lang w:val="en-US"/>
        </w:rPr>
      </w:pPr>
      <w:bookmarkStart w:id="0" w:name="_GoBack"/>
      <w:bookmarkEnd w:id="0"/>
    </w:p>
    <w:p w:rsidR="003D5C6C" w:rsidRDefault="003D5C6C" w:rsidP="003D5C6C">
      <w:pPr>
        <w:rPr>
          <w:sz w:val="24"/>
          <w:lang w:val="en-US"/>
        </w:rPr>
      </w:pPr>
      <w:r>
        <w:rPr>
          <w:sz w:val="24"/>
          <w:lang w:val="en-US"/>
        </w:rPr>
        <w:lastRenderedPageBreak/>
        <w:t xml:space="preserve">Field 7: </w:t>
      </w:r>
    </w:p>
    <w:p w:rsidR="003D5C6C" w:rsidRDefault="003D5C6C" w:rsidP="003D5C6C">
      <w:pPr>
        <w:rPr>
          <w:sz w:val="24"/>
          <w:lang w:val="en-US"/>
        </w:rPr>
      </w:pPr>
      <w:r>
        <w:rPr>
          <w:sz w:val="24"/>
          <w:lang w:val="en-US"/>
        </w:rPr>
        <w:t xml:space="preserve">The possible formats should be clearly explained to avoid misunderstanding and </w:t>
      </w:r>
      <w:r w:rsidRPr="00A526A9">
        <w:rPr>
          <w:sz w:val="24"/>
          <w:lang w:val="en-US"/>
        </w:rPr>
        <w:t>deviating</w:t>
      </w:r>
      <w:r>
        <w:rPr>
          <w:sz w:val="24"/>
          <w:lang w:val="en-US"/>
        </w:rPr>
        <w:t xml:space="preserve"> Filling. A complete value table that allows no room for interpretation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8:</w:t>
      </w:r>
    </w:p>
    <w:p w:rsidR="003D5C6C" w:rsidRDefault="003D5C6C" w:rsidP="003D5C6C">
      <w:pPr>
        <w:rPr>
          <w:sz w:val="24"/>
          <w:lang w:val="en-US"/>
        </w:rPr>
      </w:pPr>
      <w:r>
        <w:rPr>
          <w:sz w:val="24"/>
          <w:lang w:val="en-US"/>
        </w:rPr>
        <w:t>All possible situations should be explained and be provided with an adequate format.</w:t>
      </w:r>
    </w:p>
    <w:p w:rsidR="003D5C6C" w:rsidRDefault="003D5C6C" w:rsidP="003D5C6C">
      <w:pPr>
        <w:rPr>
          <w:sz w:val="24"/>
          <w:lang w:val="en-US"/>
        </w:rPr>
      </w:pPr>
    </w:p>
    <w:p w:rsidR="003D5C6C" w:rsidRDefault="003D5C6C" w:rsidP="003D5C6C">
      <w:pPr>
        <w:rPr>
          <w:sz w:val="24"/>
          <w:lang w:val="en-US"/>
        </w:rPr>
      </w:pPr>
      <w:r>
        <w:rPr>
          <w:sz w:val="24"/>
          <w:lang w:val="en-US"/>
        </w:rPr>
        <w:t>Field 10:</w:t>
      </w:r>
    </w:p>
    <w:p w:rsidR="003D5C6C" w:rsidRDefault="003D5C6C" w:rsidP="003D5C6C">
      <w:pPr>
        <w:rPr>
          <w:sz w:val="24"/>
          <w:lang w:val="en-US"/>
        </w:rPr>
      </w:pPr>
      <w:r>
        <w:rPr>
          <w:sz w:val="24"/>
          <w:lang w:val="en-US"/>
        </w:rPr>
        <w:t>A complete value table (comprising a “</w:t>
      </w:r>
      <w:r w:rsidRPr="003007E5">
        <w:rPr>
          <w:sz w:val="24"/>
          <w:lang w:val="en-US"/>
        </w:rPr>
        <w:t>catchall element</w:t>
      </w:r>
      <w:r>
        <w:rPr>
          <w:sz w:val="24"/>
          <w:lang w:val="en-US"/>
        </w:rPr>
        <w:t xml:space="preserve">”-Format) that allows no room for interpretation should be introduced.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3D5C6C" w:rsidRDefault="003D5C6C" w:rsidP="003D5C6C">
      <w:pPr>
        <w:rPr>
          <w:sz w:val="24"/>
          <w:lang w:val="en-US"/>
        </w:rPr>
      </w:pPr>
      <w:r>
        <w:rPr>
          <w:sz w:val="24"/>
          <w:lang w:val="en-US"/>
        </w:rPr>
        <w:t>Field 12:</w:t>
      </w:r>
    </w:p>
    <w:p w:rsidR="003D5C6C" w:rsidRDefault="003D5C6C" w:rsidP="003D5C6C">
      <w:pPr>
        <w:rPr>
          <w:sz w:val="24"/>
          <w:lang w:val="en-US"/>
        </w:rPr>
      </w:pPr>
      <w:r>
        <w:rPr>
          <w:sz w:val="24"/>
          <w:lang w:val="en-US"/>
        </w:rPr>
        <w:t xml:space="preserve">The possibly </w:t>
      </w:r>
      <w:r w:rsidRPr="00CF1F32">
        <w:rPr>
          <w:sz w:val="24"/>
          <w:lang w:val="en-US"/>
        </w:rPr>
        <w:t>applicable</w:t>
      </w:r>
      <w:r>
        <w:rPr>
          <w:sz w:val="24"/>
          <w:lang w:val="en-US"/>
        </w:rPr>
        <w:t xml:space="preserve"> </w:t>
      </w:r>
      <w:r w:rsidRPr="00CF1F32">
        <w:rPr>
          <w:sz w:val="24"/>
          <w:lang w:val="en-US"/>
        </w:rPr>
        <w:t>annexes to the</w:t>
      </w:r>
      <w:r>
        <w:rPr>
          <w:sz w:val="24"/>
          <w:lang w:val="en-US"/>
        </w:rPr>
        <w:t xml:space="preserve"> </w:t>
      </w:r>
      <w:r w:rsidRPr="00CF1F32">
        <w:rPr>
          <w:sz w:val="24"/>
          <w:lang w:val="en-US"/>
        </w:rPr>
        <w:t>master</w:t>
      </w:r>
      <w:r>
        <w:rPr>
          <w:sz w:val="24"/>
          <w:lang w:val="en-US"/>
        </w:rPr>
        <w:t xml:space="preserve"> </w:t>
      </w:r>
      <w:r w:rsidRPr="00CF1F32">
        <w:rPr>
          <w:sz w:val="24"/>
          <w:lang w:val="en-US"/>
        </w:rPr>
        <w:t>agreement</w:t>
      </w:r>
      <w:r>
        <w:rPr>
          <w:sz w:val="24"/>
          <w:lang w:val="en-US"/>
        </w:rPr>
        <w:t xml:space="preserve"> should be entirely enumerated in form of a value table. To allow free text will </w:t>
      </w:r>
      <w:r w:rsidRPr="003007E5">
        <w:rPr>
          <w:sz w:val="24"/>
          <w:lang w:val="en-US"/>
        </w:rPr>
        <w:t>inevitably</w:t>
      </w:r>
      <w:r>
        <w:rPr>
          <w:sz w:val="24"/>
          <w:lang w:val="en-US"/>
        </w:rPr>
        <w:t xml:space="preserve"> lead to matching issues. Such a value table would have to be updated on a regular basis. </w:t>
      </w:r>
    </w:p>
    <w:p w:rsidR="003D5C6C" w:rsidRDefault="003D5C6C" w:rsidP="003D5C6C">
      <w:pPr>
        <w:rPr>
          <w:sz w:val="24"/>
          <w:lang w:val="en-US"/>
        </w:rPr>
      </w:pPr>
    </w:p>
    <w:p w:rsidR="003D5C6C" w:rsidRDefault="003D5C6C" w:rsidP="003D5C6C">
      <w:pPr>
        <w:rPr>
          <w:sz w:val="24"/>
          <w:lang w:val="en-US"/>
        </w:rPr>
      </w:pPr>
      <w:r>
        <w:rPr>
          <w:sz w:val="24"/>
          <w:lang w:val="en-US"/>
        </w:rPr>
        <w:t>Field 16:</w:t>
      </w:r>
    </w:p>
    <w:p w:rsidR="003D5C6C" w:rsidRDefault="003D5C6C" w:rsidP="003D5C6C">
      <w:pPr>
        <w:rPr>
          <w:sz w:val="24"/>
          <w:lang w:val="en-US"/>
        </w:rPr>
      </w:pPr>
      <w:r>
        <w:rPr>
          <w:sz w:val="24"/>
          <w:lang w:val="en-US"/>
        </w:rPr>
        <w:t xml:space="preserve">In the </w:t>
      </w:r>
      <w:r w:rsidRPr="00D21B41">
        <w:rPr>
          <w:sz w:val="24"/>
          <w:lang w:val="en-US"/>
        </w:rPr>
        <w:t>column</w:t>
      </w:r>
      <w:r>
        <w:rPr>
          <w:sz w:val="24"/>
          <w:lang w:val="en-US"/>
        </w:rPr>
        <w:t xml:space="preserve"> “</w:t>
      </w:r>
      <w:r w:rsidRPr="00D21B41">
        <w:rPr>
          <w:sz w:val="24"/>
          <w:lang w:val="en-US"/>
        </w:rPr>
        <w:t>Details to be reported</w:t>
      </w:r>
      <w:r>
        <w:rPr>
          <w:sz w:val="24"/>
          <w:lang w:val="en-US"/>
        </w:rPr>
        <w:t>” it is stated that t</w:t>
      </w:r>
      <w:r w:rsidRPr="00FE6260">
        <w:rPr>
          <w:sz w:val="24"/>
          <w:lang w:val="en-US"/>
        </w:rPr>
        <w:t>he Maturity Date</w:t>
      </w:r>
      <w:r>
        <w:rPr>
          <w:sz w:val="24"/>
          <w:lang w:val="en-US"/>
        </w:rPr>
        <w:t xml:space="preserve"> </w:t>
      </w:r>
      <w:r w:rsidRPr="00FE6260">
        <w:rPr>
          <w:sz w:val="24"/>
          <w:lang w:val="en-US"/>
        </w:rPr>
        <w:t>(End Date) shall not be reported</w:t>
      </w:r>
      <w:r>
        <w:rPr>
          <w:sz w:val="24"/>
          <w:lang w:val="en-US"/>
        </w:rPr>
        <w:t xml:space="preserve"> </w:t>
      </w:r>
      <w:r w:rsidRPr="00FE6260">
        <w:rPr>
          <w:sz w:val="24"/>
          <w:lang w:val="en-US"/>
        </w:rPr>
        <w:t>for open term repos.</w:t>
      </w:r>
      <w:r>
        <w:rPr>
          <w:sz w:val="24"/>
          <w:lang w:val="en-US"/>
        </w:rPr>
        <w:t xml:space="preserve"> It should be clarified, whether this field should than be left blank, marked “X”/“N/A” or whether Field 16 shouldn’t be reported in such circumstances.</w:t>
      </w:r>
    </w:p>
    <w:p w:rsidR="003D5C6C" w:rsidRDefault="003D5C6C" w:rsidP="003D5C6C">
      <w:pPr>
        <w:rPr>
          <w:sz w:val="24"/>
          <w:lang w:val="en-US"/>
        </w:rPr>
      </w:pPr>
    </w:p>
    <w:p w:rsidR="003D5C6C" w:rsidRDefault="003D5C6C" w:rsidP="003D5C6C">
      <w:pPr>
        <w:rPr>
          <w:sz w:val="24"/>
          <w:lang w:val="en-US"/>
        </w:rPr>
      </w:pPr>
      <w:r>
        <w:rPr>
          <w:sz w:val="24"/>
          <w:lang w:val="en-US"/>
        </w:rPr>
        <w:t>Field 18:</w:t>
      </w:r>
    </w:p>
    <w:p w:rsidR="003D5C6C" w:rsidRDefault="003D5C6C" w:rsidP="003D5C6C">
      <w:pPr>
        <w:rPr>
          <w:sz w:val="24"/>
          <w:lang w:val="en-US"/>
        </w:rPr>
      </w:pPr>
      <w:r>
        <w:rPr>
          <w:sz w:val="24"/>
          <w:lang w:val="en-US"/>
        </w:rPr>
        <w:t xml:space="preserve">If the respective notice period is specified in month rather than days, is a month always 30 days long or shall specialties be </w:t>
      </w:r>
      <w:r w:rsidRPr="006C684D">
        <w:rPr>
          <w:sz w:val="24"/>
          <w:lang w:val="en-US"/>
        </w:rPr>
        <w:t>incorporate</w:t>
      </w:r>
      <w:r>
        <w:rPr>
          <w:sz w:val="24"/>
          <w:lang w:val="en-US"/>
        </w:rPr>
        <w:t xml:space="preserve">d (i.e.28, 29, 30, 31)? </w:t>
      </w:r>
    </w:p>
    <w:p w:rsidR="003D5C6C" w:rsidRDefault="003D5C6C" w:rsidP="003D5C6C">
      <w:pPr>
        <w:rPr>
          <w:sz w:val="24"/>
          <w:lang w:val="en-US"/>
        </w:rPr>
      </w:pPr>
    </w:p>
    <w:p w:rsidR="003D5C6C" w:rsidRDefault="003D5C6C" w:rsidP="003D5C6C">
      <w:pPr>
        <w:rPr>
          <w:sz w:val="24"/>
          <w:lang w:val="en-US"/>
        </w:rPr>
      </w:pPr>
      <w:r>
        <w:rPr>
          <w:sz w:val="24"/>
          <w:lang w:val="en-US"/>
        </w:rPr>
        <w:t xml:space="preserve">Field 19: </w:t>
      </w:r>
    </w:p>
    <w:p w:rsidR="003D5C6C" w:rsidRDefault="003D5C6C" w:rsidP="003D5C6C">
      <w:pPr>
        <w:rPr>
          <w:sz w:val="24"/>
          <w:lang w:val="en-US"/>
        </w:rPr>
      </w:pPr>
      <w:r>
        <w:rPr>
          <w:sz w:val="24"/>
          <w:lang w:val="en-US"/>
        </w:rPr>
        <w:t xml:space="preserve">If there was no </w:t>
      </w:r>
      <w:r w:rsidRPr="006C684D">
        <w:rPr>
          <w:sz w:val="24"/>
          <w:lang w:val="en-US"/>
        </w:rPr>
        <w:t xml:space="preserve">agreement </w:t>
      </w:r>
      <w:r>
        <w:rPr>
          <w:sz w:val="24"/>
          <w:lang w:val="en-US"/>
        </w:rPr>
        <w:t>on an “earliest call-back date”, how should the field be populated? It should be clarified, whether this field should be left blank, marked “X”/“N/A” or should not be reported.</w:t>
      </w:r>
    </w:p>
    <w:p w:rsidR="003D5C6C" w:rsidRDefault="003D5C6C" w:rsidP="003D5C6C">
      <w:pPr>
        <w:rPr>
          <w:sz w:val="24"/>
          <w:lang w:val="en-US"/>
        </w:rPr>
      </w:pPr>
    </w:p>
    <w:p w:rsidR="003D5C6C" w:rsidRDefault="003D5C6C" w:rsidP="003D5C6C">
      <w:pPr>
        <w:rPr>
          <w:sz w:val="24"/>
          <w:lang w:val="en-US"/>
        </w:rPr>
      </w:pPr>
      <w:r>
        <w:rPr>
          <w:sz w:val="24"/>
          <w:lang w:val="en-US"/>
        </w:rPr>
        <w:t>Field 22: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w:t>
      </w:r>
      <w:r w:rsidRPr="001A3E00">
        <w:rPr>
          <w:sz w:val="24"/>
          <w:lang w:val="en-US"/>
        </w:rPr>
        <w:t>used</w:t>
      </w:r>
      <w:r>
        <w:rPr>
          <w:sz w:val="24"/>
          <w:lang w:val="en-US"/>
        </w:rPr>
        <w:t xml:space="preserve"> </w:t>
      </w:r>
      <w:r w:rsidRPr="001A3E00">
        <w:rPr>
          <w:sz w:val="24"/>
          <w:lang w:val="en-US"/>
        </w:rPr>
        <w:t>to provide</w:t>
      </w:r>
      <w:r>
        <w:rPr>
          <w:sz w:val="24"/>
          <w:lang w:val="en-US"/>
        </w:rPr>
        <w:t xml:space="preserve"> </w:t>
      </w:r>
      <w:r w:rsidRPr="001A3E00">
        <w:rPr>
          <w:sz w:val="24"/>
          <w:lang w:val="en-US"/>
        </w:rPr>
        <w:t>collateral</w:t>
      </w:r>
      <w:r>
        <w:rPr>
          <w:sz w:val="24"/>
          <w:lang w:val="en-US"/>
        </w:rPr>
        <w:t xml:space="preserve">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24:</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regarding the termination optionality should </w:t>
      </w:r>
    </w:p>
    <w:p w:rsidR="003D5C6C" w:rsidRDefault="003D5C6C" w:rsidP="003D5C6C">
      <w:pPr>
        <w:rPr>
          <w:sz w:val="24"/>
          <w:lang w:val="en-US"/>
        </w:rPr>
      </w:pPr>
      <w:proofErr w:type="gramStart"/>
      <w:r>
        <w:rPr>
          <w:sz w:val="24"/>
          <w:lang w:val="en-US"/>
        </w:rPr>
        <w:t>be</w:t>
      </w:r>
      <w:proofErr w:type="gramEnd"/>
      <w:r>
        <w:rPr>
          <w:sz w:val="24"/>
          <w:lang w:val="en-US"/>
        </w:rPr>
        <w:t xml:space="preserve"> introduced.</w:t>
      </w:r>
    </w:p>
    <w:p w:rsidR="003D5C6C" w:rsidRDefault="003D5C6C" w:rsidP="003D5C6C">
      <w:pPr>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annualized interest rate should be expressed as “1” for 100 %, “0.9” for 90 %, etc.</w:t>
      </w:r>
    </w:p>
    <w:p w:rsidR="003D5C6C" w:rsidRDefault="003D5C6C" w:rsidP="003D5C6C">
      <w:pPr>
        <w:rPr>
          <w:sz w:val="24"/>
          <w:lang w:val="en-US"/>
        </w:rPr>
      </w:pPr>
    </w:p>
    <w:p w:rsidR="003D5C6C" w:rsidRDefault="003D5C6C" w:rsidP="003D5C6C">
      <w:pPr>
        <w:rPr>
          <w:sz w:val="24"/>
          <w:lang w:val="en-US"/>
        </w:rPr>
      </w:pPr>
      <w:r>
        <w:rPr>
          <w:sz w:val="24"/>
          <w:lang w:val="en-US"/>
        </w:rPr>
        <w:lastRenderedPageBreak/>
        <w:t>Field 26:</w:t>
      </w:r>
    </w:p>
    <w:p w:rsidR="003D5C6C" w:rsidRDefault="003D5C6C" w:rsidP="003D5C6C">
      <w:pPr>
        <w:rPr>
          <w:sz w:val="24"/>
          <w:lang w:val="en-US"/>
        </w:rPr>
      </w:pPr>
      <w:r>
        <w:rPr>
          <w:sz w:val="24"/>
          <w:lang w:val="en-US"/>
        </w:rPr>
        <w:t xml:space="preserve">The “day count convention” should not be represented with free text, as is will </w:t>
      </w:r>
      <w:r w:rsidRPr="003007E5">
        <w:rPr>
          <w:sz w:val="24"/>
          <w:lang w:val="en-US"/>
        </w:rPr>
        <w:t>inevitably</w:t>
      </w:r>
      <w:r>
        <w:rPr>
          <w:sz w:val="24"/>
          <w:lang w:val="en-US"/>
        </w:rPr>
        <w:t xml:space="preserve"> lead to matching issues; instead a Format category “other”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27:</w:t>
      </w:r>
    </w:p>
    <w:p w:rsidR="003D5C6C" w:rsidRDefault="003D5C6C" w:rsidP="003D5C6C">
      <w:pPr>
        <w:rPr>
          <w:sz w:val="24"/>
          <w:lang w:val="en-US"/>
        </w:rPr>
      </w:pPr>
      <w:r>
        <w:rPr>
          <w:sz w:val="24"/>
          <w:lang w:val="en-US"/>
        </w:rPr>
        <w:t xml:space="preserve">Why does ESMA not use a 15 digit space here? That would eliminate the need to abbreviate common terminology. Example: “EONIA00000000000” instead of “EONA” for EONIA or “Pfandbriefe0000” instead of “PFAN” for </w:t>
      </w:r>
      <w:proofErr w:type="spellStart"/>
      <w:r>
        <w:rPr>
          <w:sz w:val="24"/>
          <w:lang w:val="en-US"/>
        </w:rPr>
        <w:t>Pfandbriefe</w:t>
      </w:r>
      <w:proofErr w:type="spellEnd"/>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28:</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29:</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 xml:space="preserve">d and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r w:rsidRPr="00926CF7">
        <w:rPr>
          <w:sz w:val="24"/>
          <w:lang w:val="en-US"/>
        </w:rPr>
        <w:t>time</w:t>
      </w:r>
      <w:r>
        <w:rPr>
          <w:sz w:val="24"/>
          <w:lang w:val="en-US"/>
        </w:rPr>
        <w:t xml:space="preserve"> </w:t>
      </w:r>
      <w:r w:rsidRPr="00926CF7">
        <w:rPr>
          <w:sz w:val="24"/>
          <w:lang w:val="en-US"/>
        </w:rPr>
        <w:t>perio</w:t>
      </w:r>
      <w:r>
        <w:rPr>
          <w:sz w:val="24"/>
          <w:lang w:val="en-US"/>
        </w:rPr>
        <w:t>d multiplier format is prone to mismatches:</w:t>
      </w:r>
    </w:p>
    <w:p w:rsidR="003D5C6C" w:rsidRDefault="003D5C6C" w:rsidP="003D5C6C">
      <w:pPr>
        <w:rPr>
          <w:sz w:val="24"/>
          <w:lang w:val="en-US"/>
        </w:rPr>
      </w:pPr>
      <w:r>
        <w:rPr>
          <w:sz w:val="24"/>
          <w:lang w:val="en-US"/>
        </w:rPr>
        <w:t xml:space="preserve">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28), when </w:t>
      </w:r>
    </w:p>
    <w:p w:rsidR="003D5C6C" w:rsidRDefault="003D5C6C" w:rsidP="003D5C6C">
      <w:pPr>
        <w:rPr>
          <w:sz w:val="24"/>
          <w:lang w:val="en-US"/>
        </w:rPr>
      </w:pPr>
      <w:proofErr w:type="gramStart"/>
      <w:r>
        <w:rPr>
          <w:sz w:val="24"/>
          <w:lang w:val="en-US"/>
        </w:rPr>
        <w:t>reporting</w:t>
      </w:r>
      <w:proofErr w:type="gramEnd"/>
      <w:r>
        <w:rPr>
          <w:sz w:val="24"/>
          <w:lang w:val="en-US"/>
        </w:rPr>
        <w:t xml:space="preserve"> the </w:t>
      </w:r>
      <w:r w:rsidRPr="00926CF7">
        <w:rPr>
          <w:sz w:val="24"/>
          <w:lang w:val="en-US"/>
        </w:rPr>
        <w:t>Floating repo</w:t>
      </w:r>
      <w:r>
        <w:rPr>
          <w:sz w:val="24"/>
          <w:lang w:val="en-US"/>
        </w:rPr>
        <w:t xml:space="preserve"> </w:t>
      </w:r>
      <w:r w:rsidRPr="00926CF7">
        <w:rPr>
          <w:sz w:val="24"/>
          <w:lang w:val="en-US"/>
        </w:rPr>
        <w:t>rate reference</w:t>
      </w:r>
      <w:r>
        <w:rPr>
          <w:sz w:val="24"/>
          <w:lang w:val="en-US"/>
        </w:rPr>
        <w:t xml:space="preserve"> period.</w:t>
      </w:r>
    </w:p>
    <w:p w:rsidR="003D5C6C" w:rsidRDefault="003D5C6C" w:rsidP="003D5C6C">
      <w:pPr>
        <w:rPr>
          <w:sz w:val="24"/>
          <w:lang w:val="en-US"/>
        </w:rPr>
      </w:pPr>
    </w:p>
    <w:p w:rsidR="003D5C6C" w:rsidRDefault="003D5C6C" w:rsidP="003D5C6C">
      <w:pPr>
        <w:rPr>
          <w:sz w:val="24"/>
          <w:lang w:val="en-US"/>
        </w:rPr>
      </w:pPr>
      <w:r>
        <w:rPr>
          <w:sz w:val="24"/>
          <w:lang w:val="en-US"/>
        </w:rPr>
        <w:t>Field 30:</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r>
        <w:rPr>
          <w:sz w:val="24"/>
          <w:lang w:val="en-US"/>
        </w:rPr>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 and the 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 –</w:t>
      </w:r>
      <w:r>
        <w:rPr>
          <w:sz w:val="24"/>
          <w:lang w:val="en-US"/>
        </w:rPr>
        <w:t xml:space="preserve"> </w:t>
      </w:r>
      <w:r w:rsidRPr="00926CF7">
        <w:rPr>
          <w:sz w:val="24"/>
          <w:lang w:val="en-US"/>
        </w:rPr>
        <w:t xml:space="preserve">time period </w:t>
      </w:r>
      <w:r>
        <w:rPr>
          <w:sz w:val="24"/>
          <w:lang w:val="en-US"/>
        </w:rPr>
        <w:t xml:space="preserve">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payment</w:t>
      </w:r>
      <w:r>
        <w:rPr>
          <w:sz w:val="24"/>
          <w:lang w:val="en-US"/>
        </w:rPr>
        <w:t xml:space="preserve"> </w:t>
      </w:r>
      <w:r w:rsidRPr="00926CF7">
        <w:rPr>
          <w:sz w:val="24"/>
          <w:lang w:val="en-US"/>
        </w:rPr>
        <w:t>frequency</w:t>
      </w:r>
      <w:r>
        <w:rPr>
          <w:sz w:val="24"/>
          <w:lang w:val="en-US"/>
        </w:rPr>
        <w:t>.</w:t>
      </w:r>
    </w:p>
    <w:p w:rsidR="003D5C6C" w:rsidRDefault="003D5C6C" w:rsidP="003D5C6C">
      <w:pPr>
        <w:rPr>
          <w:sz w:val="24"/>
          <w:lang w:val="en-US"/>
        </w:rPr>
      </w:pPr>
      <w:r>
        <w:rPr>
          <w:sz w:val="24"/>
          <w:lang w:val="en-US"/>
        </w:rPr>
        <w:t>Field 32:</w:t>
      </w:r>
    </w:p>
    <w:p w:rsidR="003D5C6C" w:rsidRDefault="003D5C6C" w:rsidP="003D5C6C">
      <w:pPr>
        <w:rPr>
          <w:sz w:val="24"/>
          <w:lang w:val="en-US"/>
        </w:rPr>
      </w:pPr>
      <w:r>
        <w:rPr>
          <w:sz w:val="24"/>
          <w:lang w:val="en-US"/>
        </w:rPr>
        <w:t>Why does ESMA not use abbreviations for “quarter” and/or “semi”?</w:t>
      </w: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p>
    <w:p w:rsidR="003D5C6C" w:rsidRDefault="003D5C6C" w:rsidP="003D5C6C">
      <w:pPr>
        <w:rPr>
          <w:sz w:val="24"/>
          <w:lang w:val="en-US"/>
        </w:rPr>
      </w:pPr>
      <w:r>
        <w:rPr>
          <w:sz w:val="24"/>
          <w:lang w:val="en-US"/>
        </w:rPr>
        <w:t>Field 31:</w:t>
      </w:r>
    </w:p>
    <w:p w:rsidR="003D5C6C" w:rsidRDefault="003D5C6C" w:rsidP="003D5C6C">
      <w:pPr>
        <w:rPr>
          <w:sz w:val="24"/>
          <w:lang w:val="en-US"/>
        </w:rPr>
      </w:pPr>
      <w:r>
        <w:rPr>
          <w:sz w:val="24"/>
          <w:lang w:val="en-US"/>
        </w:rPr>
        <w:t xml:space="preserve">The presently suggested design of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w:t>
      </w:r>
      <w:r w:rsidRPr="00926CF7">
        <w:rPr>
          <w:sz w:val="24"/>
          <w:lang w:val="en-US"/>
        </w:rPr>
        <w:t>and the 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 –</w:t>
      </w:r>
      <w:r>
        <w:rPr>
          <w:sz w:val="24"/>
          <w:lang w:val="en-US"/>
        </w:rPr>
        <w:t xml:space="preserve"> </w:t>
      </w:r>
      <w:r w:rsidRPr="00926CF7">
        <w:rPr>
          <w:sz w:val="24"/>
          <w:lang w:val="en-US"/>
        </w:rPr>
        <w:t>time period</w:t>
      </w:r>
      <w:r>
        <w:rPr>
          <w:sz w:val="24"/>
          <w:lang w:val="en-US"/>
        </w:rPr>
        <w:t xml:space="preserve"> multiplier format is prone to mismatches: 7D </w:t>
      </w:r>
      <w:r w:rsidRPr="0097363C">
        <w:rPr>
          <w:sz w:val="24"/>
          <w:lang w:val="en-US"/>
        </w:rPr>
        <w:t>≠</w:t>
      </w:r>
      <w:r>
        <w:rPr>
          <w:sz w:val="24"/>
          <w:lang w:val="en-US"/>
        </w:rPr>
        <w:t xml:space="preserve"> 1W, 4W </w:t>
      </w:r>
      <w:r w:rsidRPr="0097363C">
        <w:rPr>
          <w:sz w:val="24"/>
          <w:lang w:val="en-US"/>
        </w:rPr>
        <w:t>≠</w:t>
      </w:r>
      <w:r>
        <w:rPr>
          <w:sz w:val="24"/>
          <w:lang w:val="en-US"/>
        </w:rPr>
        <w:t xml:space="preserve"> 1M, 12M </w:t>
      </w:r>
      <w:r w:rsidRPr="0097363C">
        <w:rPr>
          <w:sz w:val="24"/>
          <w:lang w:val="en-US"/>
        </w:rPr>
        <w:t>≠</w:t>
      </w:r>
      <w:r>
        <w:rPr>
          <w:sz w:val="24"/>
          <w:lang w:val="en-US"/>
        </w:rPr>
        <w:t xml:space="preserve"> 1Y, etc. To avoid mismatches, is it necessary to </w:t>
      </w:r>
      <w:r w:rsidRPr="00926CF7">
        <w:rPr>
          <w:sz w:val="24"/>
          <w:lang w:val="en-US"/>
        </w:rPr>
        <w:t xml:space="preserve">instruct </w:t>
      </w:r>
      <w:r>
        <w:rPr>
          <w:sz w:val="24"/>
          <w:lang w:val="en-US"/>
        </w:rPr>
        <w:t xml:space="preserve">the market participants to always use the highest </w:t>
      </w:r>
      <w:r w:rsidRPr="00926CF7">
        <w:rPr>
          <w:sz w:val="24"/>
          <w:lang w:val="en-US"/>
        </w:rPr>
        <w:t>base value</w:t>
      </w:r>
      <w:r>
        <w:rPr>
          <w:sz w:val="24"/>
          <w:lang w:val="en-US"/>
        </w:rPr>
        <w:t xml:space="preserve"> (i.e. format of Field 30), when reporting the </w:t>
      </w:r>
      <w:r w:rsidRPr="00926CF7">
        <w:rPr>
          <w:sz w:val="24"/>
          <w:lang w:val="en-US"/>
        </w:rPr>
        <w:t>Floating rate</w:t>
      </w:r>
      <w:r>
        <w:rPr>
          <w:sz w:val="24"/>
          <w:lang w:val="en-US"/>
        </w:rPr>
        <w:t xml:space="preserve"> </w:t>
      </w:r>
      <w:r w:rsidRPr="00926CF7">
        <w:rPr>
          <w:sz w:val="24"/>
          <w:lang w:val="en-US"/>
        </w:rPr>
        <w:t>reset</w:t>
      </w:r>
      <w:r>
        <w:rPr>
          <w:sz w:val="24"/>
          <w:lang w:val="en-US"/>
        </w:rPr>
        <w:t xml:space="preserve"> </w:t>
      </w:r>
      <w:r w:rsidRPr="00926CF7">
        <w:rPr>
          <w:sz w:val="24"/>
          <w:lang w:val="en-US"/>
        </w:rPr>
        <w:t>frequency</w:t>
      </w:r>
      <w:r>
        <w:rPr>
          <w:sz w:val="24"/>
          <w:lang w:val="en-US"/>
        </w:rPr>
        <w:t>.</w:t>
      </w:r>
    </w:p>
    <w:p w:rsidR="003D5C6C" w:rsidRDefault="003D5C6C" w:rsidP="003D5C6C">
      <w:pPr>
        <w:jc w:val="both"/>
        <w:rPr>
          <w:sz w:val="24"/>
          <w:lang w:val="en-US"/>
        </w:rPr>
      </w:pPr>
    </w:p>
    <w:p w:rsidR="003D5C6C" w:rsidRDefault="003D5C6C" w:rsidP="003D5C6C">
      <w:pPr>
        <w:rPr>
          <w:sz w:val="24"/>
          <w:lang w:val="en-US"/>
        </w:rPr>
      </w:pPr>
      <w:r>
        <w:rPr>
          <w:sz w:val="24"/>
          <w:lang w:val="en-US"/>
        </w:rPr>
        <w:t>Field 25:</w:t>
      </w:r>
    </w:p>
    <w:p w:rsidR="003D5C6C" w:rsidRDefault="003D5C6C" w:rsidP="003D5C6C">
      <w:pPr>
        <w:rPr>
          <w:sz w:val="24"/>
          <w:lang w:val="en-US"/>
        </w:rPr>
      </w:pPr>
      <w:r>
        <w:rPr>
          <w:sz w:val="24"/>
          <w:lang w:val="en-US"/>
        </w:rPr>
        <w:t>The spread should be expressed as “1” for 100 %, “0.9” for 90 %, etc.</w:t>
      </w:r>
    </w:p>
    <w:p w:rsidR="003D5C6C" w:rsidRDefault="003D5C6C" w:rsidP="003D5C6C">
      <w:pPr>
        <w:rPr>
          <w:sz w:val="24"/>
          <w:lang w:val="en-US"/>
        </w:rPr>
      </w:pPr>
    </w:p>
    <w:p w:rsidR="003D5C6C" w:rsidRDefault="003D5C6C" w:rsidP="003D5C6C">
      <w:pPr>
        <w:rPr>
          <w:sz w:val="24"/>
          <w:lang w:val="en-US"/>
        </w:rPr>
      </w:pPr>
    </w:p>
    <w:p w:rsidR="003D5C6C" w:rsidRDefault="003D5C6C" w:rsidP="003D5C6C">
      <w:pPr>
        <w:pStyle w:val="Listenabsatz"/>
        <w:numPr>
          <w:ilvl w:val="0"/>
          <w:numId w:val="2"/>
        </w:numPr>
        <w:rPr>
          <w:sz w:val="24"/>
          <w:lang w:val="en-US"/>
        </w:rPr>
      </w:pPr>
      <w:r>
        <w:rPr>
          <w:sz w:val="24"/>
          <w:lang w:val="en-US"/>
        </w:rPr>
        <w:t>Table 12 – Collateral data</w:t>
      </w:r>
    </w:p>
    <w:p w:rsidR="003D5C6C" w:rsidRDefault="003D5C6C" w:rsidP="003D5C6C">
      <w:pPr>
        <w:rPr>
          <w:sz w:val="24"/>
          <w:lang w:val="en-US"/>
        </w:rPr>
      </w:pPr>
    </w:p>
    <w:p w:rsidR="003D5C6C" w:rsidRDefault="003D5C6C" w:rsidP="003D5C6C">
      <w:pPr>
        <w:rPr>
          <w:sz w:val="24"/>
          <w:lang w:val="en-US"/>
        </w:rPr>
      </w:pPr>
      <w:r>
        <w:rPr>
          <w:sz w:val="24"/>
          <w:lang w:val="en-US"/>
        </w:rPr>
        <w:t>Field 1:</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 xml:space="preserve">”-Format or a Format category “other”) regarding the </w:t>
      </w:r>
      <w:r w:rsidRPr="008F3536">
        <w:rPr>
          <w:sz w:val="24"/>
          <w:lang w:val="en-US"/>
        </w:rPr>
        <w:t>Type of</w:t>
      </w:r>
      <w:r>
        <w:rPr>
          <w:sz w:val="24"/>
          <w:lang w:val="en-US"/>
        </w:rPr>
        <w:t xml:space="preserve"> </w:t>
      </w:r>
      <w:r w:rsidRPr="008F3536">
        <w:rPr>
          <w:sz w:val="24"/>
          <w:lang w:val="en-US"/>
        </w:rPr>
        <w:t>collateral</w:t>
      </w:r>
      <w:r>
        <w:rPr>
          <w:sz w:val="24"/>
          <w:lang w:val="en-US"/>
        </w:rPr>
        <w:t xml:space="preserve"> </w:t>
      </w:r>
      <w:r w:rsidRPr="008F3536">
        <w:rPr>
          <w:sz w:val="24"/>
          <w:lang w:val="en-US"/>
        </w:rPr>
        <w:t>component</w:t>
      </w:r>
      <w:r>
        <w:rPr>
          <w:sz w:val="24"/>
          <w:lang w:val="en-US"/>
        </w:rPr>
        <w:t xml:space="preserve"> should be established.</w:t>
      </w:r>
    </w:p>
    <w:p w:rsidR="003D5C6C" w:rsidRDefault="003D5C6C" w:rsidP="003D5C6C">
      <w:pPr>
        <w:rPr>
          <w:sz w:val="24"/>
          <w:lang w:val="en-US"/>
        </w:rPr>
      </w:pPr>
    </w:p>
    <w:p w:rsidR="003D5C6C" w:rsidRDefault="003D5C6C" w:rsidP="003D5C6C">
      <w:pPr>
        <w:rPr>
          <w:sz w:val="24"/>
          <w:lang w:val="en-US"/>
        </w:rPr>
      </w:pPr>
      <w:r>
        <w:rPr>
          <w:sz w:val="24"/>
          <w:lang w:val="en-US"/>
        </w:rPr>
        <w:t>Field 2:</w:t>
      </w:r>
    </w:p>
    <w:p w:rsidR="003D5C6C" w:rsidRDefault="003D5C6C" w:rsidP="003D5C6C">
      <w:pPr>
        <w:rPr>
          <w:sz w:val="24"/>
          <w:lang w:val="en-US"/>
        </w:rPr>
      </w:pPr>
      <w:r>
        <w:rPr>
          <w:sz w:val="24"/>
          <w:lang w:val="en-US"/>
        </w:rPr>
        <w:t xml:space="preserve">How shall this field be populated in case of cash collateral or when a </w:t>
      </w:r>
      <w:r w:rsidRPr="008F3536">
        <w:rPr>
          <w:sz w:val="24"/>
          <w:lang w:val="en-US"/>
        </w:rPr>
        <w:t xml:space="preserve">commodity </w:t>
      </w:r>
      <w:r>
        <w:rPr>
          <w:sz w:val="24"/>
          <w:lang w:val="en-US"/>
        </w:rPr>
        <w:t xml:space="preserve">is </w:t>
      </w:r>
      <w:r w:rsidRPr="008F3536">
        <w:rPr>
          <w:sz w:val="24"/>
          <w:lang w:val="en-US"/>
        </w:rPr>
        <w:t>used as collateral</w:t>
      </w:r>
      <w:r>
        <w:rPr>
          <w:sz w:val="24"/>
          <w:lang w:val="en-US"/>
        </w:rPr>
        <w:t>?</w:t>
      </w:r>
    </w:p>
    <w:p w:rsidR="003D5C6C" w:rsidRDefault="003D5C6C" w:rsidP="003D5C6C">
      <w:pPr>
        <w:rPr>
          <w:sz w:val="24"/>
          <w:lang w:val="en-US"/>
        </w:rPr>
      </w:pPr>
    </w:p>
    <w:p w:rsidR="003D5C6C" w:rsidRDefault="003D5C6C" w:rsidP="003D5C6C">
      <w:pPr>
        <w:rPr>
          <w:sz w:val="24"/>
          <w:lang w:val="en-US"/>
        </w:rPr>
      </w:pPr>
      <w:r>
        <w:rPr>
          <w:sz w:val="24"/>
          <w:lang w:val="en-US"/>
        </w:rPr>
        <w:t>Field 3:</w:t>
      </w:r>
    </w:p>
    <w:p w:rsidR="003D5C6C" w:rsidRDefault="003D5C6C" w:rsidP="003D5C6C">
      <w:pPr>
        <w:rPr>
          <w:sz w:val="24"/>
          <w:lang w:val="en-US"/>
        </w:rPr>
      </w:pPr>
      <w:r>
        <w:rPr>
          <w:sz w:val="24"/>
          <w:lang w:val="en-US"/>
        </w:rPr>
        <w:t>The option to choose other on this level of granularity may lead to imprecise/unspecified reporting.</w:t>
      </w:r>
    </w:p>
    <w:p w:rsidR="003D5C6C" w:rsidRDefault="003D5C6C" w:rsidP="003D5C6C">
      <w:pPr>
        <w:rPr>
          <w:sz w:val="24"/>
          <w:lang w:val="en-US"/>
        </w:rPr>
      </w:pPr>
    </w:p>
    <w:p w:rsidR="003D5C6C" w:rsidRDefault="003D5C6C" w:rsidP="003D5C6C">
      <w:pPr>
        <w:rPr>
          <w:sz w:val="24"/>
          <w:lang w:val="en-US"/>
        </w:rPr>
      </w:pPr>
      <w:r>
        <w:rPr>
          <w:sz w:val="24"/>
          <w:lang w:val="en-US"/>
        </w:rPr>
        <w:t>Field 4:</w:t>
      </w:r>
    </w:p>
    <w:p w:rsidR="003D5C6C" w:rsidRPr="006B0261" w:rsidRDefault="003D5C6C" w:rsidP="003D5C6C">
      <w:pPr>
        <w:rPr>
          <w:sz w:val="24"/>
          <w:lang w:val="en-US"/>
        </w:rPr>
      </w:pPr>
      <w:r>
        <w:rPr>
          <w:sz w:val="24"/>
          <w:lang w:val="en-US"/>
        </w:rPr>
        <w:t xml:space="preserve">In the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sub products (i.e. it is missing in all sub product columns) If this option is missing, “other” can only be chosen at “Base product”-level, which will lead to imprecise/unspecified reporting. </w:t>
      </w:r>
    </w:p>
    <w:p w:rsidR="003D5C6C" w:rsidRDefault="003D5C6C" w:rsidP="003D5C6C">
      <w:pPr>
        <w:rPr>
          <w:sz w:val="24"/>
          <w:lang w:val="en-US"/>
        </w:rPr>
      </w:pPr>
    </w:p>
    <w:p w:rsidR="003D5C6C" w:rsidRDefault="003D5C6C" w:rsidP="003D5C6C">
      <w:pPr>
        <w:rPr>
          <w:sz w:val="24"/>
          <w:lang w:val="en-US"/>
        </w:rPr>
      </w:pPr>
      <w:r>
        <w:rPr>
          <w:sz w:val="24"/>
          <w:lang w:val="en-US"/>
        </w:rPr>
        <w:t>Field 5:</w:t>
      </w:r>
    </w:p>
    <w:p w:rsidR="003D5C6C" w:rsidRDefault="003D5C6C" w:rsidP="003D5C6C">
      <w:pPr>
        <w:rPr>
          <w:sz w:val="24"/>
          <w:lang w:val="en-US"/>
        </w:rPr>
      </w:pPr>
      <w:r>
        <w:rPr>
          <w:sz w:val="24"/>
          <w:lang w:val="en-US"/>
        </w:rPr>
        <w:t xml:space="preserve">In the “Further </w:t>
      </w:r>
      <w:r w:rsidRPr="001659E5">
        <w:rPr>
          <w:sz w:val="24"/>
          <w:lang w:val="en-US"/>
        </w:rPr>
        <w:t>Sub Product</w:t>
      </w:r>
      <w:r>
        <w:rPr>
          <w:sz w:val="24"/>
          <w:lang w:val="en-US"/>
        </w:rPr>
        <w:t>”</w:t>
      </w:r>
      <w:r w:rsidRPr="001659E5">
        <w:rPr>
          <w:sz w:val="24"/>
          <w:lang w:val="en-US"/>
        </w:rPr>
        <w:t xml:space="preserve"> </w:t>
      </w:r>
      <w:r>
        <w:rPr>
          <w:sz w:val="24"/>
          <w:lang w:val="en-US"/>
        </w:rPr>
        <w:t xml:space="preserve">column </w:t>
      </w:r>
      <w:r w:rsidRPr="001659E5">
        <w:rPr>
          <w:sz w:val="24"/>
          <w:lang w:val="en-US"/>
        </w:rPr>
        <w:t>as specified in</w:t>
      </w:r>
      <w:r>
        <w:rPr>
          <w:sz w:val="24"/>
          <w:lang w:val="en-US"/>
        </w:rPr>
        <w:t xml:space="preserve"> </w:t>
      </w:r>
      <w:r w:rsidRPr="001659E5">
        <w:rPr>
          <w:sz w:val="24"/>
          <w:lang w:val="en-US"/>
        </w:rPr>
        <w:t>the classification of commodities</w:t>
      </w:r>
      <w:r>
        <w:rPr>
          <w:sz w:val="24"/>
          <w:lang w:val="en-US"/>
        </w:rPr>
        <w:t xml:space="preserve"> table, the possibility to choose “other” is to be provided for all further sub products (i.e. it is missing in </w:t>
      </w:r>
      <w:r w:rsidRPr="001659E5">
        <w:rPr>
          <w:sz w:val="24"/>
          <w:lang w:val="en-US"/>
        </w:rPr>
        <w:t>'NGAS’ - Natural Gas, 'OILP’ – Oil, 'EMIS’ – Emissions, ‘WETF’ – Wet, ‘DRYF’ – Dry</w:t>
      </w:r>
      <w:r>
        <w:rPr>
          <w:sz w:val="24"/>
          <w:lang w:val="en-US"/>
        </w:rPr>
        <w:t xml:space="preserve">). If this option is missing, “other” can only be chosen at “Base product”-level, which will lead to imprecise/unspecified reporting. </w:t>
      </w:r>
    </w:p>
    <w:p w:rsidR="003D5C6C" w:rsidRDefault="003D5C6C" w:rsidP="003D5C6C">
      <w:pPr>
        <w:rPr>
          <w:sz w:val="24"/>
          <w:lang w:val="en-US"/>
        </w:rPr>
      </w:pPr>
    </w:p>
    <w:p w:rsidR="003D5C6C" w:rsidRDefault="003D5C6C" w:rsidP="003D5C6C">
      <w:pPr>
        <w:rPr>
          <w:sz w:val="24"/>
          <w:lang w:val="en-US"/>
        </w:rPr>
      </w:pPr>
      <w:r>
        <w:rPr>
          <w:sz w:val="24"/>
          <w:lang w:val="en-US"/>
        </w:rPr>
        <w:t xml:space="preserve">Field 7: </w:t>
      </w:r>
    </w:p>
    <w:p w:rsidR="003D5C6C" w:rsidRDefault="003D5C6C" w:rsidP="003D5C6C">
      <w:pPr>
        <w:rPr>
          <w:sz w:val="24"/>
          <w:lang w:val="en-US"/>
        </w:rPr>
      </w:pPr>
      <w:r>
        <w:rPr>
          <w:sz w:val="24"/>
          <w:lang w:val="en-US"/>
        </w:rPr>
        <w:t>How should this field be populated in case, where a collateral quantity is distributed to Field 6? It should be clarified, whether this field should be left blank, marked “X”/“N/A” or whether Field 7 shouldn’t be reported at all in such circumstances.</w:t>
      </w:r>
    </w:p>
    <w:p w:rsidR="003D5C6C" w:rsidRDefault="003D5C6C" w:rsidP="003D5C6C">
      <w:pPr>
        <w:rPr>
          <w:sz w:val="24"/>
          <w:lang w:val="en-US"/>
        </w:rPr>
      </w:pPr>
    </w:p>
    <w:p w:rsidR="003D5C6C" w:rsidRDefault="003D5C6C" w:rsidP="003D5C6C">
      <w:pPr>
        <w:rPr>
          <w:sz w:val="24"/>
          <w:lang w:val="en-US"/>
        </w:rPr>
      </w:pPr>
      <w:r>
        <w:rPr>
          <w:sz w:val="24"/>
          <w:lang w:val="en-US"/>
        </w:rPr>
        <w:t>Field 12:</w:t>
      </w:r>
    </w:p>
    <w:p w:rsidR="003D5C6C" w:rsidRDefault="003D5C6C" w:rsidP="003D5C6C">
      <w:pPr>
        <w:rPr>
          <w:sz w:val="24"/>
          <w:lang w:val="en-US"/>
        </w:rPr>
      </w:pPr>
      <w:r>
        <w:rPr>
          <w:sz w:val="24"/>
          <w:lang w:val="en-US"/>
        </w:rPr>
        <w:t>A complete value table (that allows no room for interpretation) comprising all possible m</w:t>
      </w:r>
      <w:r w:rsidRPr="001A3E00">
        <w:rPr>
          <w:sz w:val="24"/>
          <w:lang w:val="en-US"/>
        </w:rPr>
        <w:t>ethod</w:t>
      </w:r>
      <w:r>
        <w:rPr>
          <w:sz w:val="24"/>
          <w:lang w:val="en-US"/>
        </w:rPr>
        <w:t>s</w:t>
      </w:r>
      <w:r w:rsidRPr="001A3E00">
        <w:rPr>
          <w:sz w:val="24"/>
          <w:lang w:val="en-US"/>
        </w:rPr>
        <w:t xml:space="preserve"> </w:t>
      </w:r>
      <w:r>
        <w:rPr>
          <w:sz w:val="24"/>
          <w:lang w:val="en-US"/>
        </w:rPr>
        <w:t>(and a “</w:t>
      </w:r>
      <w:r w:rsidRPr="003007E5">
        <w:rPr>
          <w:sz w:val="24"/>
          <w:lang w:val="en-US"/>
        </w:rPr>
        <w:t>catchall element</w:t>
      </w:r>
      <w:r>
        <w:rPr>
          <w:sz w:val="24"/>
          <w:lang w:val="en-US"/>
        </w:rPr>
        <w:t>”-Format or a Format category “other”) regarding the collateral quality should be introduced.</w:t>
      </w:r>
    </w:p>
    <w:p w:rsidR="003D5C6C" w:rsidRDefault="003D5C6C" w:rsidP="003D5C6C">
      <w:pPr>
        <w:rPr>
          <w:sz w:val="24"/>
          <w:lang w:val="en-US"/>
        </w:rPr>
      </w:pPr>
    </w:p>
    <w:p w:rsidR="003D5C6C" w:rsidRDefault="003D5C6C" w:rsidP="003D5C6C">
      <w:pPr>
        <w:rPr>
          <w:sz w:val="24"/>
          <w:lang w:val="en-US"/>
        </w:rPr>
      </w:pPr>
      <w:r>
        <w:rPr>
          <w:sz w:val="24"/>
          <w:lang w:val="en-US"/>
        </w:rPr>
        <w:t>Field 14:</w:t>
      </w:r>
    </w:p>
    <w:p w:rsidR="003D5C6C" w:rsidRDefault="003D5C6C" w:rsidP="003D5C6C">
      <w:pPr>
        <w:rPr>
          <w:sz w:val="24"/>
          <w:lang w:val="en-US"/>
        </w:rPr>
      </w:pPr>
      <w:r>
        <w:rPr>
          <w:sz w:val="24"/>
          <w:lang w:val="en-US"/>
        </w:rPr>
        <w:t>Field 14 is wrongly named 214.</w:t>
      </w:r>
    </w:p>
    <w:p w:rsidR="003D5C6C" w:rsidRDefault="003D5C6C" w:rsidP="003D5C6C">
      <w:pPr>
        <w:rPr>
          <w:sz w:val="24"/>
          <w:lang w:val="en-US"/>
        </w:rPr>
      </w:pPr>
    </w:p>
    <w:p w:rsidR="003D5C6C" w:rsidRDefault="003D5C6C" w:rsidP="003D5C6C">
      <w:pPr>
        <w:rPr>
          <w:sz w:val="24"/>
          <w:lang w:val="en-US"/>
        </w:rPr>
      </w:pPr>
      <w:r>
        <w:rPr>
          <w:sz w:val="24"/>
          <w:lang w:val="en-US"/>
        </w:rPr>
        <w:t>Field 15:</w:t>
      </w:r>
    </w:p>
    <w:p w:rsidR="003D5C6C" w:rsidRDefault="003D5C6C" w:rsidP="003D5C6C">
      <w:pPr>
        <w:rPr>
          <w:sz w:val="24"/>
          <w:lang w:val="en-US"/>
        </w:rPr>
      </w:pPr>
      <w:r>
        <w:rPr>
          <w:sz w:val="24"/>
          <w:lang w:val="en-US"/>
        </w:rPr>
        <w:t>The format of Field 15 is wrongly filled.</w:t>
      </w:r>
    </w:p>
    <w:p w:rsidR="003D5C6C" w:rsidRPr="003D5C6C" w:rsidRDefault="003D5C6C" w:rsidP="003D5C6C">
      <w:pPr>
        <w:rPr>
          <w:sz w:val="24"/>
          <w:lang w:val="en-US"/>
        </w:rPr>
      </w:pPr>
    </w:p>
    <w:p w:rsidR="00A526A9" w:rsidRDefault="00A526A9" w:rsidP="00A526A9">
      <w:pPr>
        <w:rPr>
          <w:sz w:val="24"/>
          <w:lang w:val="en-US"/>
        </w:rPr>
      </w:pPr>
    </w:p>
    <w:p w:rsidR="00A526A9" w:rsidRPr="003D5C6C" w:rsidRDefault="003D5C6C" w:rsidP="003D5C6C">
      <w:pPr>
        <w:pStyle w:val="Listenabsatz"/>
        <w:numPr>
          <w:ilvl w:val="0"/>
          <w:numId w:val="1"/>
        </w:numPr>
        <w:rPr>
          <w:b/>
          <w:sz w:val="24"/>
          <w:lang w:val="en-US"/>
        </w:rPr>
      </w:pPr>
      <w:r w:rsidRPr="003D5C6C">
        <w:rPr>
          <w:b/>
          <w:sz w:val="24"/>
          <w:lang w:val="en-US"/>
        </w:rPr>
        <w:t xml:space="preserve">Commodity </w:t>
      </w:r>
      <w:proofErr w:type="spellStart"/>
      <w:r w:rsidRPr="003D5C6C">
        <w:rPr>
          <w:b/>
          <w:sz w:val="24"/>
          <w:lang w:val="en-US"/>
        </w:rPr>
        <w:t>classfication</w:t>
      </w:r>
      <w:proofErr w:type="spellEnd"/>
    </w:p>
    <w:p w:rsidR="00215608" w:rsidRDefault="00215608" w:rsidP="00215608">
      <w:pPr>
        <w:rPr>
          <w:sz w:val="24"/>
          <w:lang w:val="en-US"/>
        </w:rPr>
      </w:pPr>
    </w:p>
    <w:p w:rsidR="003D5C6C" w:rsidRPr="003D5C6C" w:rsidRDefault="003D5C6C" w:rsidP="003D5C6C">
      <w:pPr>
        <w:pStyle w:val="Listenabsatz"/>
        <w:numPr>
          <w:ilvl w:val="0"/>
          <w:numId w:val="2"/>
        </w:numPr>
        <w:rPr>
          <w:sz w:val="24"/>
          <w:lang w:val="en-US"/>
        </w:rPr>
      </w:pPr>
      <w:r>
        <w:rPr>
          <w:sz w:val="24"/>
          <w:lang w:val="en-US"/>
        </w:rPr>
        <w:t>Table 13</w:t>
      </w:r>
    </w:p>
    <w:p w:rsidR="00215608" w:rsidRDefault="00215608" w:rsidP="00215608">
      <w:pPr>
        <w:rPr>
          <w:sz w:val="24"/>
          <w:lang w:val="en-US"/>
        </w:rPr>
      </w:pPr>
    </w:p>
    <w:p w:rsidR="00B93418" w:rsidRDefault="00B93418" w:rsidP="007C0DE9">
      <w:pPr>
        <w:rPr>
          <w:sz w:val="24"/>
          <w:lang w:val="en-US"/>
        </w:rPr>
      </w:pPr>
      <w:r>
        <w:rPr>
          <w:sz w:val="24"/>
          <w:lang w:val="en-US"/>
        </w:rPr>
        <w:t>Please compare:</w:t>
      </w:r>
    </w:p>
    <w:p w:rsidR="007C0DE9" w:rsidRPr="007C0DE9" w:rsidRDefault="00B93418" w:rsidP="007C0DE9">
      <w:pPr>
        <w:rPr>
          <w:sz w:val="24"/>
          <w:lang w:val="en-US"/>
        </w:rPr>
      </w:pPr>
      <w:proofErr w:type="gramStart"/>
      <w:r w:rsidRPr="00B93418">
        <w:rPr>
          <w:sz w:val="24"/>
          <w:lang w:val="en-US"/>
        </w:rPr>
        <w:t>1.c</w:t>
      </w:r>
      <w:proofErr w:type="gramEnd"/>
      <w:r w:rsidRPr="00B93418">
        <w:rPr>
          <w:sz w:val="24"/>
          <w:lang w:val="en-US"/>
        </w:rPr>
        <w:t>. Fields 3 - 5</w:t>
      </w:r>
    </w:p>
    <w:p w:rsidR="00D21B41" w:rsidRDefault="00B93418" w:rsidP="00D21B41">
      <w:pPr>
        <w:rPr>
          <w:sz w:val="24"/>
          <w:lang w:val="en-US"/>
        </w:rPr>
      </w:pPr>
      <w:proofErr w:type="gramStart"/>
      <w:r>
        <w:rPr>
          <w:sz w:val="24"/>
          <w:lang w:val="en-US"/>
        </w:rPr>
        <w:t>2.f</w:t>
      </w:r>
      <w:proofErr w:type="gramEnd"/>
      <w:r>
        <w:rPr>
          <w:sz w:val="24"/>
          <w:lang w:val="en-US"/>
        </w:rPr>
        <w:t xml:space="preserve"> </w:t>
      </w:r>
      <w:r w:rsidRPr="00B93418">
        <w:rPr>
          <w:sz w:val="24"/>
          <w:lang w:val="en-US"/>
        </w:rPr>
        <w:t xml:space="preserve">Fields 3 </w:t>
      </w:r>
      <w:r>
        <w:rPr>
          <w:sz w:val="24"/>
          <w:lang w:val="en-US"/>
        </w:rPr>
        <w:t>–</w:t>
      </w:r>
      <w:r w:rsidRPr="00B93418">
        <w:rPr>
          <w:sz w:val="24"/>
          <w:lang w:val="en-US"/>
        </w:rPr>
        <w:t xml:space="preserve"> 5</w:t>
      </w:r>
    </w:p>
    <w:p w:rsidR="00B93418" w:rsidRDefault="00B93418" w:rsidP="00D21B41">
      <w:pPr>
        <w:rPr>
          <w:sz w:val="24"/>
          <w:lang w:val="en-US"/>
        </w:rPr>
      </w:pPr>
      <w:proofErr w:type="gramStart"/>
      <w:r>
        <w:rPr>
          <w:sz w:val="24"/>
          <w:lang w:val="en-US"/>
        </w:rPr>
        <w:t>3.i</w:t>
      </w:r>
      <w:proofErr w:type="gramEnd"/>
      <w:r>
        <w:rPr>
          <w:sz w:val="24"/>
          <w:lang w:val="en-US"/>
        </w:rPr>
        <w:t xml:space="preserve"> </w:t>
      </w:r>
      <w:r w:rsidRPr="00B93418">
        <w:rPr>
          <w:sz w:val="24"/>
          <w:lang w:val="en-US"/>
        </w:rPr>
        <w:t xml:space="preserve">Fields 3 </w:t>
      </w:r>
      <w:r>
        <w:rPr>
          <w:sz w:val="24"/>
          <w:lang w:val="en-US"/>
        </w:rPr>
        <w:t>–</w:t>
      </w:r>
      <w:r w:rsidRPr="00B93418">
        <w:rPr>
          <w:sz w:val="24"/>
          <w:lang w:val="en-US"/>
        </w:rPr>
        <w:t xml:space="preserve"> 5</w:t>
      </w:r>
    </w:p>
    <w:p w:rsidR="00B93418" w:rsidRPr="00D21B41" w:rsidRDefault="00B93418" w:rsidP="00D21B41">
      <w:pPr>
        <w:rPr>
          <w:sz w:val="24"/>
          <w:lang w:val="en-US"/>
        </w:rPr>
      </w:pPr>
      <w:r>
        <w:rPr>
          <w:sz w:val="24"/>
          <w:lang w:val="en-US"/>
        </w:rPr>
        <w:t xml:space="preserve">4.l </w:t>
      </w:r>
      <w:r w:rsidRPr="00B93418">
        <w:rPr>
          <w:sz w:val="24"/>
          <w:lang w:val="en-US"/>
        </w:rPr>
        <w:t>Fields 3 - 5</w:t>
      </w:r>
    </w:p>
    <w:p w:rsidR="00D21B41" w:rsidRPr="00D21B41" w:rsidRDefault="00D21B41" w:rsidP="00D21B41">
      <w:pPr>
        <w:rPr>
          <w:sz w:val="24"/>
          <w:lang w:val="en-US"/>
        </w:rPr>
      </w:pPr>
    </w:p>
    <w:sectPr w:rsidR="00D21B41" w:rsidRPr="00D21B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orbel"/>
    <w:charset w:val="00"/>
    <w:family w:val="swiss"/>
    <w:pitch w:val="variable"/>
    <w:sig w:usb0="00000001" w:usb1="5000204A" w:usb2="00000000" w:usb3="00000000" w:csb0="0000009B"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7LightCn">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B30A0"/>
    <w:multiLevelType w:val="hybridMultilevel"/>
    <w:tmpl w:val="30546EA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7DC123A"/>
    <w:multiLevelType w:val="hybridMultilevel"/>
    <w:tmpl w:val="ADBC85C2"/>
    <w:lvl w:ilvl="0" w:tplc="F8185E5E">
      <w:start w:val="1"/>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6E4A59"/>
    <w:multiLevelType w:val="hybridMultilevel"/>
    <w:tmpl w:val="D38E96D0"/>
    <w:lvl w:ilvl="0" w:tplc="8D4AD640">
      <w:start w:val="4"/>
      <w:numFmt w:val="bullet"/>
      <w:lvlText w:val="-"/>
      <w:lvlJc w:val="left"/>
      <w:pPr>
        <w:ind w:left="1125" w:hanging="360"/>
      </w:pPr>
      <w:rPr>
        <w:rFonts w:ascii="Frutiger 45 Light" w:eastAsia="Times New Roman" w:hAnsi="Frutiger 45 Light" w:cs="Helv"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41"/>
    <w:rsid w:val="00012208"/>
    <w:rsid w:val="000B3C80"/>
    <w:rsid w:val="000C4FF5"/>
    <w:rsid w:val="000E1916"/>
    <w:rsid w:val="00127957"/>
    <w:rsid w:val="001659E5"/>
    <w:rsid w:val="00193119"/>
    <w:rsid w:val="001A3E00"/>
    <w:rsid w:val="001A7834"/>
    <w:rsid w:val="001D5561"/>
    <w:rsid w:val="00202214"/>
    <w:rsid w:val="00215608"/>
    <w:rsid w:val="002224BA"/>
    <w:rsid w:val="002674E3"/>
    <w:rsid w:val="002F509B"/>
    <w:rsid w:val="003007E5"/>
    <w:rsid w:val="00370E84"/>
    <w:rsid w:val="00382C83"/>
    <w:rsid w:val="003913B7"/>
    <w:rsid w:val="003D2179"/>
    <w:rsid w:val="003D5C6C"/>
    <w:rsid w:val="004017D1"/>
    <w:rsid w:val="00414CB3"/>
    <w:rsid w:val="00461380"/>
    <w:rsid w:val="004646D9"/>
    <w:rsid w:val="004B6BEE"/>
    <w:rsid w:val="004E2A03"/>
    <w:rsid w:val="004F4D72"/>
    <w:rsid w:val="005326E9"/>
    <w:rsid w:val="00553EA3"/>
    <w:rsid w:val="00585928"/>
    <w:rsid w:val="00587F2A"/>
    <w:rsid w:val="005C6AF1"/>
    <w:rsid w:val="00623E15"/>
    <w:rsid w:val="006674BC"/>
    <w:rsid w:val="00677F74"/>
    <w:rsid w:val="006A5543"/>
    <w:rsid w:val="006B0261"/>
    <w:rsid w:val="006C684D"/>
    <w:rsid w:val="006E451A"/>
    <w:rsid w:val="00737941"/>
    <w:rsid w:val="007A75D2"/>
    <w:rsid w:val="007C0DE9"/>
    <w:rsid w:val="007C374D"/>
    <w:rsid w:val="007C426A"/>
    <w:rsid w:val="007D5719"/>
    <w:rsid w:val="007E67F5"/>
    <w:rsid w:val="008252A3"/>
    <w:rsid w:val="0085272D"/>
    <w:rsid w:val="008A06DC"/>
    <w:rsid w:val="008B58A0"/>
    <w:rsid w:val="008C26CA"/>
    <w:rsid w:val="008E56EE"/>
    <w:rsid w:val="008F3536"/>
    <w:rsid w:val="00926CF7"/>
    <w:rsid w:val="00935045"/>
    <w:rsid w:val="0097363C"/>
    <w:rsid w:val="009A32EE"/>
    <w:rsid w:val="009F4E84"/>
    <w:rsid w:val="00A10337"/>
    <w:rsid w:val="00A526A9"/>
    <w:rsid w:val="00AA0C5A"/>
    <w:rsid w:val="00AD6941"/>
    <w:rsid w:val="00AE40C5"/>
    <w:rsid w:val="00B86EF6"/>
    <w:rsid w:val="00B93418"/>
    <w:rsid w:val="00BB7044"/>
    <w:rsid w:val="00BF2726"/>
    <w:rsid w:val="00BF2943"/>
    <w:rsid w:val="00C00D60"/>
    <w:rsid w:val="00C06063"/>
    <w:rsid w:val="00C779B5"/>
    <w:rsid w:val="00CC046D"/>
    <w:rsid w:val="00CF1F32"/>
    <w:rsid w:val="00CF1FBC"/>
    <w:rsid w:val="00CF21B2"/>
    <w:rsid w:val="00CF5955"/>
    <w:rsid w:val="00D06FD6"/>
    <w:rsid w:val="00D21B41"/>
    <w:rsid w:val="00D7077E"/>
    <w:rsid w:val="00D73A8F"/>
    <w:rsid w:val="00D87DC1"/>
    <w:rsid w:val="00DC61D4"/>
    <w:rsid w:val="00DF669E"/>
    <w:rsid w:val="00E23CCF"/>
    <w:rsid w:val="00E2444B"/>
    <w:rsid w:val="00E4760B"/>
    <w:rsid w:val="00EC7913"/>
    <w:rsid w:val="00F16BA4"/>
    <w:rsid w:val="00F40E5C"/>
    <w:rsid w:val="00F84369"/>
    <w:rsid w:val="00F90E49"/>
    <w:rsid w:val="00FE6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9D0687-085E-4215-A4E0-8F18D673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79B5"/>
    <w:pPr>
      <w:spacing w:line="320" w:lineRule="atLeast"/>
    </w:pPr>
    <w:rPr>
      <w:rFonts w:ascii="Frutiger 45 Light" w:hAnsi="Frutiger 45 Light"/>
      <w:sz w:val="22"/>
      <w:szCs w:val="24"/>
    </w:rPr>
  </w:style>
  <w:style w:type="paragraph" w:styleId="berschrift1">
    <w:name w:val="heading 1"/>
    <w:basedOn w:val="Standard"/>
    <w:next w:val="Standard"/>
    <w:qFormat/>
    <w:rsid w:val="00C779B5"/>
    <w:pPr>
      <w:keepNext/>
      <w:spacing w:before="240" w:after="60"/>
      <w:outlineLvl w:val="0"/>
    </w:pPr>
    <w:rPr>
      <w:rFonts w:cs="Arial"/>
      <w:b/>
      <w:bCs/>
      <w:kern w:val="32"/>
      <w:sz w:val="30"/>
      <w:szCs w:val="32"/>
    </w:rPr>
  </w:style>
  <w:style w:type="paragraph" w:styleId="berschrift2">
    <w:name w:val="heading 2"/>
    <w:basedOn w:val="Standard"/>
    <w:next w:val="Standard"/>
    <w:qFormat/>
    <w:rsid w:val="00C779B5"/>
    <w:pPr>
      <w:keepNext/>
      <w:outlineLvl w:val="1"/>
    </w:pPr>
    <w:rPr>
      <w:rFonts w:ascii="Frutiger 47LightCn" w:hAnsi="Frutiger 47LightCn" w:cs="Arial"/>
      <w:b/>
      <w:bCs/>
      <w:i/>
      <w:iCs/>
      <w:sz w:val="30"/>
      <w:szCs w:val="28"/>
    </w:rPr>
  </w:style>
  <w:style w:type="paragraph" w:styleId="berschrift3">
    <w:name w:val="heading 3"/>
    <w:basedOn w:val="Standard"/>
    <w:next w:val="Standard"/>
    <w:qFormat/>
    <w:rsid w:val="00C779B5"/>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B41"/>
    <w:pPr>
      <w:ind w:left="720"/>
      <w:contextualSpacing/>
    </w:pPr>
  </w:style>
  <w:style w:type="paragraph" w:styleId="Sprechblasentext">
    <w:name w:val="Balloon Text"/>
    <w:basedOn w:val="Standard"/>
    <w:link w:val="SprechblasentextZchn"/>
    <w:rsid w:val="00C00D6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0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E4C3-3467-4A2B-8F45-EF762987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5683</Words>
  <Characters>29067</Characters>
  <Application>Microsoft Office Word</Application>
  <DocSecurity>0</DocSecurity>
  <Lines>242</Lines>
  <Paragraphs>69</Paragraphs>
  <ScaleCrop>false</ScaleCrop>
  <HeadingPairs>
    <vt:vector size="2" baseType="variant">
      <vt:variant>
        <vt:lpstr>Titel</vt:lpstr>
      </vt:variant>
      <vt:variant>
        <vt:i4>1</vt:i4>
      </vt:variant>
    </vt:vector>
  </HeadingPairs>
  <TitlesOfParts>
    <vt:vector size="1" baseType="lpstr">
      <vt:lpstr/>
    </vt:vector>
  </TitlesOfParts>
  <Company>DZ BANK AG</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XN08531</dc:creator>
  <cp:lastModifiedBy>Wirnhier, Oliver</cp:lastModifiedBy>
  <cp:revision>5</cp:revision>
  <dcterms:created xsi:type="dcterms:W3CDTF">2016-04-21T09:20:00Z</dcterms:created>
  <dcterms:modified xsi:type="dcterms:W3CDTF">2016-04-21T16:04:00Z</dcterms:modified>
</cp:coreProperties>
</file>