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C902AB" w:rsidRDefault="00C902AB" w:rsidP="00C902AB">
      <w:pPr>
        <w:pStyle w:val="Default"/>
        <w:jc w:val="both"/>
        <w:rPr>
          <w:rFonts w:ascii="Calibri" w:hAnsi="Calibri"/>
          <w:bCs/>
          <w:color w:val="auto"/>
          <w:sz w:val="22"/>
          <w:szCs w:val="22"/>
        </w:rPr>
      </w:pPr>
      <w:permStart w:id="1780902978" w:edGrp="everyone"/>
      <w:r w:rsidRPr="00F100F0">
        <w:rPr>
          <w:rFonts w:ascii="Calibri" w:hAnsi="Calibri"/>
          <w:bCs/>
          <w:color w:val="auto"/>
          <w:sz w:val="22"/>
          <w:szCs w:val="22"/>
        </w:rPr>
        <w:t xml:space="preserve">FIA is pleased to submit its response to the ESMA Discussion Paper on Draft RTS and ITS under SFTR. FIA has chosen to submit responses related to commodities financing transactions, and has not responded to sections relating to </w:t>
      </w:r>
      <w:r>
        <w:rPr>
          <w:rFonts w:ascii="Calibri" w:hAnsi="Calibri"/>
          <w:bCs/>
          <w:color w:val="auto"/>
          <w:sz w:val="22"/>
          <w:szCs w:val="22"/>
        </w:rPr>
        <w:t xml:space="preserve">other types of </w:t>
      </w:r>
      <w:r w:rsidRPr="00F100F0">
        <w:rPr>
          <w:rFonts w:ascii="Calibri" w:hAnsi="Calibri"/>
          <w:bCs/>
          <w:color w:val="auto"/>
          <w:sz w:val="22"/>
          <w:szCs w:val="22"/>
        </w:rPr>
        <w:t xml:space="preserve">securities financing transactions. </w:t>
      </w:r>
    </w:p>
    <w:p w:rsidR="00C902AB"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Pr>
          <w:rFonts w:ascii="Calibri" w:hAnsi="Calibri"/>
          <w:bCs/>
          <w:color w:val="auto"/>
          <w:sz w:val="22"/>
          <w:szCs w:val="22"/>
        </w:rPr>
        <w:t xml:space="preserve">Our members point out that they will require additional time for a more detailed analysis of the reporting requirements, both in response to Question 22 and the proposed reporting consistency with EMIR and in relation to the fields in the proposed reporting tables in section 6.1.3 of the Discussion Paper. We would welcome the opportunity to provide you with a more detailed analysis in the near future and remain at your disposal to discuss our response further. </w:t>
      </w:r>
    </w:p>
    <w:permEnd w:id="1780902978"/>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618295090" w:edGrp="everyone"/>
      <w:r>
        <w:t>TYPE YOUR TEXT HERE</w:t>
      </w:r>
    </w:p>
    <w:permEnd w:id="618295090"/>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523698816" w:edGrp="everyone"/>
      <w:r>
        <w:t>TYPE YOUR TEXT HERE</w:t>
      </w:r>
    </w:p>
    <w:permEnd w:id="523698816"/>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611795422" w:edGrp="everyone"/>
      <w:r>
        <w:t>TYPE YOUR TEXT HERE</w:t>
      </w:r>
    </w:p>
    <w:permEnd w:id="611795422"/>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959520280" w:edGrp="everyone"/>
      <w:r>
        <w:t>TYPE YOUR TEXT HERE</w:t>
      </w:r>
    </w:p>
    <w:permEnd w:id="959520280"/>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783773440" w:edGrp="everyone"/>
      <w:r>
        <w:t>TYPE YOUR TEXT HERE</w:t>
      </w:r>
    </w:p>
    <w:permEnd w:id="1783773440"/>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587212679" w:edGrp="everyone"/>
      <w:r>
        <w:t>TYPE YOUR TEXT HERE</w:t>
      </w:r>
    </w:p>
    <w:permEnd w:id="587212679"/>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40005132" w:edGrp="everyone"/>
      <w:r>
        <w:t>TYPE YOUR TEXT HERE</w:t>
      </w:r>
    </w:p>
    <w:permEnd w:id="40005132"/>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291511367" w:edGrp="everyone"/>
      <w:r>
        <w:t>TYPE YOUR TEXT HERE</w:t>
      </w:r>
    </w:p>
    <w:permEnd w:id="291511367"/>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880506468" w:edGrp="everyone"/>
      <w:r>
        <w:t>TYPE YOUR TEXT HERE</w:t>
      </w:r>
    </w:p>
    <w:permEnd w:id="1880506468"/>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042562720" w:edGrp="everyone"/>
      <w:r>
        <w:t>TYPE YOUR TEXT HERE</w:t>
      </w:r>
    </w:p>
    <w:permEnd w:id="1042562720"/>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277099116" w:edGrp="everyone"/>
      <w:r>
        <w:t>TYPE YOUR TEXT HERE</w:t>
      </w:r>
    </w:p>
    <w:permEnd w:id="277099116"/>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80233115" w:edGrp="everyone"/>
      <w:r>
        <w:t>TYPE YOUR TEXT HERE</w:t>
      </w:r>
    </w:p>
    <w:permEnd w:id="80233115"/>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1470372176" w:edGrp="everyone"/>
      <w:r>
        <w:t>TYPE YOUR TEXT HERE</w:t>
      </w:r>
    </w:p>
    <w:permEnd w:id="1470372176"/>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914913816" w:edGrp="everyone"/>
      <w:r>
        <w:t>TYPE YOUR TEXT HERE</w:t>
      </w:r>
    </w:p>
    <w:permEnd w:id="914913816"/>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188843266" w:edGrp="everyone"/>
      <w:r>
        <w:t>TYPE YOUR TEXT HERE</w:t>
      </w:r>
    </w:p>
    <w:permEnd w:id="1188843266"/>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510533687" w:edGrp="everyone"/>
      <w:r>
        <w:t>TYPE YOUR TEXT HERE</w:t>
      </w:r>
    </w:p>
    <w:permEnd w:id="510533687"/>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1122642400" w:edGrp="everyone"/>
      <w:r>
        <w:t>TYPE YOUR TEXT HERE</w:t>
      </w:r>
    </w:p>
    <w:permEnd w:id="112264240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lastRenderedPageBreak/>
        <w:t>&lt;ESMA_QUESTION_SFTR_18&gt;</w:t>
      </w:r>
    </w:p>
    <w:p w:rsidR="00E652D1" w:rsidRDefault="00E652D1" w:rsidP="00E652D1">
      <w:permStart w:id="1028933094" w:edGrp="everyone"/>
      <w:r>
        <w:t>TYPE YOUR TEXT HERE</w:t>
      </w:r>
    </w:p>
    <w:permEnd w:id="1028933094"/>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1450968432" w:edGrp="everyone"/>
      <w:r>
        <w:t>TYPE YOUR TEXT HERE</w:t>
      </w:r>
    </w:p>
    <w:permEnd w:id="1450968432"/>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747328974" w:edGrp="everyone"/>
      <w:r>
        <w:t>TYPE YOUR TEXT HERE</w:t>
      </w:r>
    </w:p>
    <w:permEnd w:id="1747328974"/>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1077231628" w:edGrp="everyone"/>
      <w:r>
        <w:t>TYPE YOUR TEXT HERE</w:t>
      </w:r>
    </w:p>
    <w:permEnd w:id="1077231628"/>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C902AB" w:rsidRPr="00AC15CA" w:rsidRDefault="00C902AB" w:rsidP="00C902AB">
      <w:pPr>
        <w:pStyle w:val="Default"/>
        <w:jc w:val="both"/>
        <w:rPr>
          <w:rFonts w:ascii="Calibri" w:hAnsi="Calibri"/>
          <w:bCs/>
          <w:color w:val="auto"/>
          <w:sz w:val="22"/>
          <w:szCs w:val="22"/>
        </w:rPr>
      </w:pPr>
      <w:permStart w:id="1974101475" w:edGrp="everyone"/>
      <w:r>
        <w:rPr>
          <w:rFonts w:ascii="Calibri" w:hAnsi="Calibri"/>
          <w:bCs/>
          <w:color w:val="auto"/>
          <w:sz w:val="22"/>
          <w:szCs w:val="22"/>
        </w:rPr>
        <w:t>W</w:t>
      </w:r>
      <w:r w:rsidRPr="00AC15CA">
        <w:rPr>
          <w:rFonts w:ascii="Calibri" w:hAnsi="Calibri"/>
          <w:bCs/>
          <w:color w:val="auto"/>
          <w:sz w:val="22"/>
          <w:szCs w:val="22"/>
        </w:rPr>
        <w:t>e support reporting consistency, but the parameters of SFTR transactions may not fit into the EMIR format. The timing of this consultation did not allow sufficient time to perform a detailed analysis of the reporting format to EMIR. More analysis is required to determine the full cost of implementation and our members are currently undertaking such analysis.</w:t>
      </w:r>
    </w:p>
    <w:permEnd w:id="1974101475"/>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419714310" w:edGrp="everyone"/>
      <w:r>
        <w:t>TYPE YOUR TEXT HERE</w:t>
      </w:r>
    </w:p>
    <w:permEnd w:id="419714310"/>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075861387" w:edGrp="everyone"/>
      <w:r>
        <w:t>TYPE YOUR TEXT HERE</w:t>
      </w:r>
    </w:p>
    <w:permEnd w:id="1075861387"/>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1150505183" w:edGrp="everyone"/>
      <w:r>
        <w:t>TYPE YOUR TEXT HERE</w:t>
      </w:r>
    </w:p>
    <w:permEnd w:id="1150505183"/>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lastRenderedPageBreak/>
        <w:t>&lt;ESMA_QUESTION_SFTR_26&gt;</w:t>
      </w:r>
    </w:p>
    <w:p w:rsidR="00E652D1" w:rsidRDefault="00E652D1" w:rsidP="00E652D1">
      <w:permStart w:id="80282687" w:edGrp="everyone"/>
      <w:r>
        <w:t>TYPE YOUR TEXT HERE</w:t>
      </w:r>
    </w:p>
    <w:permEnd w:id="80282687"/>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28070872" w:edGrp="everyone"/>
      <w:r>
        <w:t>TYPE YOUR TEXT HERE</w:t>
      </w:r>
    </w:p>
    <w:permEnd w:id="128070872"/>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937194811" w:edGrp="everyone"/>
      <w:r>
        <w:t>TYPE YOUR TEXT HERE</w:t>
      </w:r>
    </w:p>
    <w:permEnd w:id="937194811"/>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C902AB" w:rsidRPr="00F100F0" w:rsidRDefault="00C902AB" w:rsidP="00C902AB">
      <w:pPr>
        <w:pStyle w:val="Default"/>
        <w:jc w:val="both"/>
        <w:rPr>
          <w:color w:val="auto"/>
        </w:rPr>
      </w:pPr>
      <w:permStart w:id="639446573" w:edGrp="everyone"/>
      <w:r w:rsidRPr="001D5BCD">
        <w:rPr>
          <w:rFonts w:ascii="Calibri" w:hAnsi="Calibri"/>
          <w:bCs/>
          <w:color w:val="auto"/>
          <w:sz w:val="22"/>
          <w:szCs w:val="22"/>
        </w:rPr>
        <w:t>No, the proposed rules are not consistent with the existing market conventions. In the securities</w:t>
      </w:r>
      <w:r>
        <w:rPr>
          <w:rFonts w:ascii="Calibri" w:hAnsi="Calibri"/>
          <w:bCs/>
          <w:color w:val="auto"/>
          <w:sz w:val="22"/>
          <w:szCs w:val="22"/>
        </w:rPr>
        <w:t xml:space="preserve"> and commodity</w:t>
      </w:r>
      <w:r w:rsidRPr="001D5BCD">
        <w:rPr>
          <w:rFonts w:ascii="Calibri" w:hAnsi="Calibri"/>
          <w:bCs/>
          <w:color w:val="auto"/>
          <w:sz w:val="22"/>
          <w:szCs w:val="22"/>
        </w:rPr>
        <w:t xml:space="preserve"> lending space, there are neither buyers or sellers but rather lenders and borrowers. Requiring the lenders and borrowers to be identified as buyers or sellers may introduce confusion in the reporting requirements and lead to bad quality of data being reported. The counterparties involved in an SFT are described as being either ‘borrowers’ or ‘lenders’ or the ‘givers’ or ‘receivers’ in respect of any collateral provided or received.</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100F0">
        <w:rPr>
          <w:rFonts w:ascii="Calibri" w:hAnsi="Calibri"/>
          <w:bCs/>
          <w:color w:val="auto"/>
          <w:sz w:val="22"/>
          <w:szCs w:val="22"/>
        </w:rPr>
        <w:t>Therefore, we propose to replace</w:t>
      </w:r>
      <w:r>
        <w:rPr>
          <w:rFonts w:ascii="Calibri" w:hAnsi="Calibri"/>
          <w:bCs/>
          <w:color w:val="auto"/>
          <w:sz w:val="22"/>
          <w:szCs w:val="22"/>
        </w:rPr>
        <w:t xml:space="preserve"> in paragraph 140 of the Discussion Paper</w:t>
      </w:r>
      <w:r w:rsidRPr="00F100F0">
        <w:rPr>
          <w:rFonts w:ascii="Calibri" w:hAnsi="Calibri"/>
          <w:bCs/>
          <w:color w:val="auto"/>
          <w:sz w:val="22"/>
          <w:szCs w:val="22"/>
        </w:rPr>
        <w:t xml:space="preserve"> the existing text with the following:</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numPr>
          <w:ilvl w:val="0"/>
          <w:numId w:val="51"/>
        </w:numPr>
        <w:suppressAutoHyphens/>
        <w:adjustRightInd/>
        <w:jc w:val="both"/>
        <w:textAlignment w:val="baseline"/>
        <w:rPr>
          <w:color w:val="auto"/>
        </w:rPr>
      </w:pPr>
      <w:r w:rsidRPr="00F100F0">
        <w:rPr>
          <w:rFonts w:ascii="Calibri" w:hAnsi="Calibri"/>
          <w:bCs/>
          <w:i/>
          <w:color w:val="auto"/>
          <w:sz w:val="22"/>
          <w:szCs w:val="22"/>
        </w:rPr>
        <w:t xml:space="preserve">In the case of securities or commodities borrowing and securities or commodities lending, the counterparty that lends the securities or commodities, subject to a commitment that equivalent securities or commodities will be returned on a future date or on request, shall be identified as the </w:t>
      </w:r>
      <w:r>
        <w:rPr>
          <w:rFonts w:ascii="Calibri" w:hAnsi="Calibri"/>
          <w:bCs/>
          <w:i/>
          <w:color w:val="auto"/>
          <w:sz w:val="22"/>
          <w:szCs w:val="22"/>
          <w:u w:val="single"/>
        </w:rPr>
        <w:t>lender</w:t>
      </w:r>
      <w:r w:rsidRPr="00F100F0">
        <w:rPr>
          <w:rFonts w:ascii="Calibri" w:hAnsi="Calibri"/>
          <w:bCs/>
          <w:i/>
          <w:color w:val="auto"/>
          <w:sz w:val="22"/>
          <w:szCs w:val="22"/>
        </w:rPr>
        <w:t xml:space="preserve">. The other counterparty shall be identified as the </w:t>
      </w:r>
      <w:r>
        <w:rPr>
          <w:rFonts w:ascii="Calibri" w:hAnsi="Calibri"/>
          <w:bCs/>
          <w:i/>
          <w:color w:val="auto"/>
          <w:sz w:val="22"/>
          <w:szCs w:val="22"/>
          <w:u w:val="single"/>
        </w:rPr>
        <w:t>borrower</w:t>
      </w:r>
      <w:r w:rsidRPr="00F100F0">
        <w:rPr>
          <w:rFonts w:ascii="Calibri" w:hAnsi="Calibri"/>
          <w:bCs/>
          <w:i/>
          <w:color w:val="auto"/>
          <w:sz w:val="22"/>
          <w:szCs w:val="22"/>
        </w:rPr>
        <w:t>. [emphasis added]; OR</w:t>
      </w:r>
    </w:p>
    <w:p w:rsidR="00C902AB" w:rsidRPr="00F100F0" w:rsidRDefault="00C902AB" w:rsidP="00C902AB">
      <w:pPr>
        <w:pStyle w:val="Default"/>
        <w:numPr>
          <w:ilvl w:val="0"/>
          <w:numId w:val="51"/>
        </w:numPr>
        <w:suppressAutoHyphens/>
        <w:adjustRightInd/>
        <w:jc w:val="both"/>
        <w:textAlignment w:val="baseline"/>
        <w:rPr>
          <w:color w:val="auto"/>
        </w:rPr>
      </w:pPr>
      <w:r w:rsidRPr="00F100F0">
        <w:rPr>
          <w:rFonts w:ascii="Calibri" w:hAnsi="Calibri"/>
          <w:bCs/>
          <w:i/>
          <w:color w:val="auto"/>
          <w:sz w:val="22"/>
          <w:szCs w:val="22"/>
        </w:rPr>
        <w:t xml:space="preserve">In the case of securities or commodities borrowing and securities or commodities lending, the counterparty that </w:t>
      </w:r>
      <w:r w:rsidRPr="00F100F0">
        <w:rPr>
          <w:rFonts w:ascii="Calibri" w:hAnsi="Calibri"/>
          <w:bCs/>
          <w:i/>
          <w:color w:val="auto"/>
          <w:sz w:val="22"/>
          <w:szCs w:val="22"/>
          <w:u w:val="single"/>
        </w:rPr>
        <w:t>borrows</w:t>
      </w:r>
      <w:r w:rsidRPr="00F100F0">
        <w:rPr>
          <w:rFonts w:ascii="Calibri" w:hAnsi="Calibri"/>
          <w:bCs/>
          <w:i/>
          <w:color w:val="auto"/>
          <w:sz w:val="22"/>
          <w:szCs w:val="22"/>
        </w:rPr>
        <w:t xml:space="preserve"> the securities or commodities, subject to a commitment that equivalent securities or commodities will be returned on a future date or on request, shall be identified as the </w:t>
      </w:r>
      <w:r w:rsidRPr="00DC51E2">
        <w:rPr>
          <w:rFonts w:ascii="Calibri" w:hAnsi="Calibri"/>
          <w:bCs/>
          <w:i/>
          <w:color w:val="auto"/>
          <w:sz w:val="22"/>
          <w:szCs w:val="22"/>
          <w:u w:val="single"/>
        </w:rPr>
        <w:t>borrower</w:t>
      </w:r>
      <w:r w:rsidRPr="00F100F0">
        <w:rPr>
          <w:rFonts w:ascii="Calibri" w:hAnsi="Calibri"/>
          <w:bCs/>
          <w:i/>
          <w:color w:val="auto"/>
          <w:sz w:val="22"/>
          <w:szCs w:val="22"/>
        </w:rPr>
        <w:t xml:space="preserve">. The other counterparty shall be identified as the </w:t>
      </w:r>
      <w:r>
        <w:rPr>
          <w:rFonts w:ascii="Calibri" w:hAnsi="Calibri"/>
          <w:bCs/>
          <w:i/>
          <w:color w:val="auto"/>
          <w:sz w:val="22"/>
          <w:szCs w:val="22"/>
          <w:u w:val="single"/>
        </w:rPr>
        <w:t>lender</w:t>
      </w:r>
      <w:r w:rsidRPr="00F100F0">
        <w:rPr>
          <w:rFonts w:ascii="Calibri" w:hAnsi="Calibri"/>
          <w:bCs/>
          <w:i/>
          <w:color w:val="auto"/>
          <w:sz w:val="22"/>
          <w:szCs w:val="22"/>
        </w:rPr>
        <w:t>. [emphasis added].</w:t>
      </w:r>
    </w:p>
    <w:permEnd w:id="639446573"/>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1229287673" w:edGrp="everyone"/>
      <w:r>
        <w:t>TYPE YOUR TEXT HERE</w:t>
      </w:r>
    </w:p>
    <w:permEnd w:id="1229287673"/>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1984109992" w:edGrp="everyone"/>
      <w:r>
        <w:t>TYPE YOUR TEXT HERE</w:t>
      </w:r>
    </w:p>
    <w:permEnd w:id="1984109992"/>
    <w:p w:rsidR="00E652D1" w:rsidRDefault="00E652D1" w:rsidP="00E652D1">
      <w:r>
        <w:lastRenderedPageBreak/>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2127311901" w:edGrp="everyone"/>
      <w:r>
        <w:t>TYPE YOUR TEXT HERE</w:t>
      </w:r>
    </w:p>
    <w:permEnd w:id="2127311901"/>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1398154103" w:edGrp="everyone"/>
      <w:r>
        <w:t>TYPE YOUR TEXT HERE</w:t>
      </w:r>
    </w:p>
    <w:permEnd w:id="1398154103"/>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067402702" w:edGrp="everyone"/>
      <w:r>
        <w:t>TYPE YOUR TEXT HERE</w:t>
      </w:r>
    </w:p>
    <w:permEnd w:id="1067402702"/>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304220096" w:edGrp="everyone"/>
      <w:r>
        <w:t>TYPE YOUR TEXT HERE</w:t>
      </w:r>
    </w:p>
    <w:permEnd w:id="304220096"/>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596072707" w:edGrp="everyone"/>
      <w:r>
        <w:t>TYPE YOUR TEXT HERE</w:t>
      </w:r>
    </w:p>
    <w:permEnd w:id="596072707"/>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173561474" w:edGrp="everyone"/>
      <w:r>
        <w:t>TYPE YOUR TEXT HERE</w:t>
      </w:r>
    </w:p>
    <w:permEnd w:id="1173561474"/>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414919886" w:edGrp="everyone"/>
      <w:r>
        <w:t>TYPE YOUR TEXT HERE</w:t>
      </w:r>
    </w:p>
    <w:permEnd w:id="414919886"/>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1168794682" w:edGrp="everyone"/>
      <w:r>
        <w:t>TYPE YOUR TEXT HERE</w:t>
      </w:r>
    </w:p>
    <w:permEnd w:id="1168794682"/>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197557689" w:edGrp="everyone"/>
      <w:r>
        <w:t>TYPE YOUR TEXT HERE</w:t>
      </w:r>
    </w:p>
    <w:permEnd w:id="1197557689"/>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035276176" w:edGrp="everyone"/>
      <w:r>
        <w:t>TYPE YOUR TEXT HERE</w:t>
      </w:r>
    </w:p>
    <w:permEnd w:id="1035276176"/>
    <w:p w:rsidR="00E652D1" w:rsidRDefault="00E652D1" w:rsidP="00E652D1">
      <w:r>
        <w:lastRenderedPageBreak/>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343084389" w:edGrp="everyone"/>
      <w:r>
        <w:t>TYPE YOUR TEXT HERE</w:t>
      </w:r>
    </w:p>
    <w:permEnd w:id="34308438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488186782" w:edGrp="everyone"/>
      <w:r>
        <w:t>TYPE YOUR TEXT HERE</w:t>
      </w:r>
    </w:p>
    <w:permEnd w:id="488186782"/>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053626316" w:edGrp="everyone"/>
      <w:r>
        <w:t>TYPE YOUR TEXT HERE</w:t>
      </w:r>
    </w:p>
    <w:permEnd w:id="1053626316"/>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2045185150" w:edGrp="everyone"/>
      <w:r>
        <w:t>TYPE YOUR TEXT HERE</w:t>
      </w:r>
    </w:p>
    <w:permEnd w:id="2045185150"/>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C902AB" w:rsidRPr="00F100F0" w:rsidRDefault="00C902AB" w:rsidP="00C902AB">
      <w:pPr>
        <w:pStyle w:val="Default"/>
        <w:jc w:val="both"/>
        <w:rPr>
          <w:rFonts w:ascii="Calibri" w:hAnsi="Calibri"/>
          <w:bCs/>
          <w:color w:val="auto"/>
          <w:sz w:val="22"/>
          <w:szCs w:val="22"/>
        </w:rPr>
      </w:pPr>
      <w:permStart w:id="980900988" w:edGrp="everyone"/>
      <w:r w:rsidRPr="00F100F0">
        <w:rPr>
          <w:rFonts w:ascii="Calibri" w:hAnsi="Calibri"/>
          <w:bCs/>
          <w:color w:val="auto"/>
          <w:sz w:val="22"/>
          <w:szCs w:val="22"/>
        </w:rPr>
        <w:t xml:space="preserve">FIA understands that such securities lending transactions, insofar as they relate to commodities, </w:t>
      </w:r>
      <w:r>
        <w:rPr>
          <w:rFonts w:ascii="Calibri" w:hAnsi="Calibri"/>
          <w:bCs/>
          <w:color w:val="auto"/>
          <w:sz w:val="22"/>
          <w:szCs w:val="22"/>
        </w:rPr>
        <w:t>may</w:t>
      </w:r>
      <w:r w:rsidRPr="00F100F0">
        <w:rPr>
          <w:rFonts w:ascii="Calibri" w:hAnsi="Calibri"/>
          <w:bCs/>
          <w:color w:val="auto"/>
          <w:sz w:val="22"/>
          <w:szCs w:val="22"/>
        </w:rPr>
        <w:t xml:space="preserve"> exist in practice.</w:t>
      </w:r>
      <w:r>
        <w:rPr>
          <w:rFonts w:ascii="Calibri" w:hAnsi="Calibri"/>
          <w:bCs/>
          <w:color w:val="auto"/>
          <w:sz w:val="22"/>
          <w:szCs w:val="22"/>
        </w:rPr>
        <w:t xml:space="preserve"> However, </w:t>
      </w:r>
      <w:r w:rsidRPr="00F100F0">
        <w:rPr>
          <w:rFonts w:ascii="Calibri" w:hAnsi="Calibri"/>
          <w:bCs/>
          <w:color w:val="auto"/>
          <w:sz w:val="22"/>
          <w:szCs w:val="22"/>
        </w:rPr>
        <w:t>FIA understands that</w:t>
      </w:r>
      <w:r>
        <w:rPr>
          <w:rFonts w:ascii="Calibri" w:hAnsi="Calibri"/>
          <w:bCs/>
          <w:color w:val="auto"/>
          <w:sz w:val="22"/>
          <w:szCs w:val="22"/>
        </w:rPr>
        <w:t xml:space="preserve"> in</w:t>
      </w:r>
      <w:r w:rsidRPr="00F100F0">
        <w:rPr>
          <w:rFonts w:ascii="Calibri" w:hAnsi="Calibri"/>
          <w:bCs/>
          <w:color w:val="auto"/>
          <w:sz w:val="22"/>
          <w:szCs w:val="22"/>
        </w:rPr>
        <w:t xml:space="preserve"> most commodities </w:t>
      </w:r>
      <w:r>
        <w:rPr>
          <w:rFonts w:ascii="Calibri" w:hAnsi="Calibri"/>
          <w:bCs/>
          <w:color w:val="auto"/>
          <w:sz w:val="22"/>
          <w:szCs w:val="22"/>
        </w:rPr>
        <w:t>lending and borrowing</w:t>
      </w:r>
      <w:r w:rsidRPr="00F100F0">
        <w:rPr>
          <w:rFonts w:ascii="Calibri" w:hAnsi="Calibri"/>
          <w:bCs/>
          <w:color w:val="auto"/>
          <w:sz w:val="22"/>
          <w:szCs w:val="22"/>
        </w:rPr>
        <w:t xml:space="preserve"> transactions</w:t>
      </w:r>
      <w:r>
        <w:rPr>
          <w:rFonts w:ascii="Calibri" w:hAnsi="Calibri"/>
          <w:bCs/>
          <w:color w:val="auto"/>
          <w:sz w:val="22"/>
          <w:szCs w:val="22"/>
        </w:rPr>
        <w:t xml:space="preserve"> as defined in Art 3(7) SFTR</w:t>
      </w:r>
      <w:r w:rsidRPr="00F100F0">
        <w:rPr>
          <w:rFonts w:ascii="Calibri" w:hAnsi="Calibri"/>
          <w:bCs/>
          <w:color w:val="auto"/>
          <w:sz w:val="22"/>
          <w:szCs w:val="22"/>
        </w:rPr>
        <w:t xml:space="preserve">, </w:t>
      </w:r>
      <w:r>
        <w:rPr>
          <w:rFonts w:ascii="Calibri" w:hAnsi="Calibri"/>
          <w:bCs/>
          <w:color w:val="auto"/>
          <w:sz w:val="22"/>
          <w:szCs w:val="22"/>
        </w:rPr>
        <w:t>the lenders</w:t>
      </w:r>
      <w:r w:rsidRPr="00F100F0">
        <w:rPr>
          <w:rFonts w:ascii="Calibri" w:hAnsi="Calibri"/>
          <w:bCs/>
          <w:color w:val="auto"/>
          <w:sz w:val="22"/>
          <w:szCs w:val="22"/>
        </w:rPr>
        <w:t xml:space="preserve"> provide cash to their counterparty and take title or a security interest over existing commodities owned by the counterparty by way of credit risk mitigation</w:t>
      </w:r>
      <w:r>
        <w:rPr>
          <w:rFonts w:ascii="Calibri" w:hAnsi="Calibri"/>
          <w:bCs/>
          <w:color w:val="auto"/>
          <w:sz w:val="22"/>
          <w:szCs w:val="22"/>
        </w:rPr>
        <w:t>; and</w:t>
      </w:r>
      <w:r w:rsidRPr="00F100F0">
        <w:rPr>
          <w:rFonts w:ascii="Calibri" w:hAnsi="Calibri"/>
          <w:bCs/>
          <w:color w:val="auto"/>
          <w:sz w:val="22"/>
          <w:szCs w:val="22"/>
        </w:rPr>
        <w:t xml:space="preserve"> so the market in commodities </w:t>
      </w:r>
      <w:r>
        <w:rPr>
          <w:rFonts w:ascii="Calibri" w:hAnsi="Calibri"/>
          <w:bCs/>
          <w:color w:val="auto"/>
          <w:sz w:val="22"/>
          <w:szCs w:val="22"/>
        </w:rPr>
        <w:t>lending and borrowing</w:t>
      </w:r>
      <w:r w:rsidRPr="00F100F0">
        <w:rPr>
          <w:rFonts w:ascii="Calibri" w:hAnsi="Calibri"/>
          <w:bCs/>
          <w:color w:val="auto"/>
          <w:sz w:val="22"/>
          <w:szCs w:val="22"/>
        </w:rPr>
        <w:t xml:space="preserve"> does not </w:t>
      </w:r>
      <w:r>
        <w:rPr>
          <w:rFonts w:ascii="Calibri" w:hAnsi="Calibri"/>
          <w:bCs/>
          <w:color w:val="auto"/>
          <w:sz w:val="22"/>
          <w:szCs w:val="22"/>
        </w:rPr>
        <w:t xml:space="preserve">typically </w:t>
      </w:r>
      <w:r w:rsidRPr="00F100F0">
        <w:rPr>
          <w:rFonts w:ascii="Calibri" w:hAnsi="Calibri"/>
          <w:bCs/>
          <w:color w:val="auto"/>
          <w:sz w:val="22"/>
          <w:szCs w:val="22"/>
        </w:rPr>
        <w:t>lend itself to unsecured transactions.</w:t>
      </w:r>
    </w:p>
    <w:permEnd w:id="980900988"/>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C902AB" w:rsidRPr="00F100F0" w:rsidRDefault="00C902AB" w:rsidP="00C902AB">
      <w:pPr>
        <w:pStyle w:val="Default"/>
        <w:jc w:val="both"/>
        <w:rPr>
          <w:rFonts w:ascii="Calibri" w:hAnsi="Calibri"/>
          <w:bCs/>
          <w:color w:val="auto"/>
          <w:sz w:val="22"/>
          <w:szCs w:val="22"/>
        </w:rPr>
      </w:pPr>
      <w:permStart w:id="452009445" w:edGrp="everyone"/>
      <w:r w:rsidRPr="00F100F0">
        <w:rPr>
          <w:rFonts w:ascii="Calibri" w:hAnsi="Calibri"/>
          <w:bCs/>
          <w:color w:val="auto"/>
          <w:sz w:val="22"/>
          <w:szCs w:val="22"/>
        </w:rPr>
        <w:t>Kindly note our answer to Q46, where we delineate our understanding that, for the purpose of commodities financing transactions as defined under SFTR, non-collateralised</w:t>
      </w:r>
      <w:r>
        <w:rPr>
          <w:rFonts w:ascii="Calibri" w:hAnsi="Calibri"/>
          <w:bCs/>
          <w:color w:val="auto"/>
          <w:sz w:val="22"/>
          <w:szCs w:val="22"/>
        </w:rPr>
        <w:t xml:space="preserve"> transactions</w:t>
      </w:r>
      <w:r w:rsidRPr="00F100F0">
        <w:rPr>
          <w:rFonts w:ascii="Calibri" w:hAnsi="Calibri"/>
          <w:bCs/>
          <w:color w:val="auto"/>
          <w:sz w:val="22"/>
          <w:szCs w:val="22"/>
        </w:rPr>
        <w:t xml:space="preserve"> </w:t>
      </w:r>
      <w:r>
        <w:rPr>
          <w:rFonts w:ascii="Calibri" w:hAnsi="Calibri"/>
          <w:bCs/>
          <w:color w:val="auto"/>
          <w:sz w:val="22"/>
          <w:szCs w:val="22"/>
        </w:rPr>
        <w:t>are not prevalent</w:t>
      </w:r>
      <w:r w:rsidRPr="00F100F0">
        <w:rPr>
          <w:rFonts w:ascii="Calibri" w:hAnsi="Calibri"/>
          <w:bCs/>
          <w:color w:val="auto"/>
          <w:sz w:val="22"/>
          <w:szCs w:val="22"/>
        </w:rPr>
        <w:t xml:space="preserve"> in commodities </w:t>
      </w:r>
      <w:r>
        <w:rPr>
          <w:rFonts w:ascii="Calibri" w:hAnsi="Calibri"/>
          <w:bCs/>
          <w:color w:val="auto"/>
          <w:sz w:val="22"/>
          <w:szCs w:val="22"/>
        </w:rPr>
        <w:t>lending and borrowing</w:t>
      </w:r>
      <w:r w:rsidRPr="00F100F0">
        <w:rPr>
          <w:rFonts w:ascii="Calibri" w:hAnsi="Calibri"/>
          <w:bCs/>
          <w:color w:val="auto"/>
          <w:sz w:val="22"/>
          <w:szCs w:val="22"/>
        </w:rPr>
        <w:t xml:space="preserve"> markets.</w:t>
      </w:r>
    </w:p>
    <w:permEnd w:id="452009445"/>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C902AB" w:rsidRPr="00F100F0" w:rsidRDefault="00C902AB" w:rsidP="00C902AB">
      <w:pPr>
        <w:pStyle w:val="Default"/>
        <w:jc w:val="both"/>
        <w:rPr>
          <w:rFonts w:ascii="Calibri" w:hAnsi="Calibri"/>
          <w:bCs/>
          <w:color w:val="auto"/>
          <w:sz w:val="22"/>
          <w:szCs w:val="22"/>
        </w:rPr>
      </w:pPr>
      <w:permStart w:id="1281183800" w:edGrp="everyone"/>
      <w:r w:rsidRPr="00F100F0">
        <w:rPr>
          <w:rFonts w:ascii="Calibri" w:hAnsi="Calibri"/>
          <w:bCs/>
          <w:color w:val="auto"/>
          <w:sz w:val="22"/>
          <w:szCs w:val="22"/>
        </w:rPr>
        <w:t xml:space="preserve">Kindly note our answer to Q46, where we delineate our understanding that, for the purpose of commodities financing transactions as defined under SFTR, non-collateralised </w:t>
      </w:r>
      <w:r>
        <w:rPr>
          <w:rFonts w:ascii="Calibri" w:hAnsi="Calibri"/>
          <w:bCs/>
          <w:color w:val="auto"/>
          <w:sz w:val="22"/>
          <w:szCs w:val="22"/>
        </w:rPr>
        <w:t>are not prevalent</w:t>
      </w:r>
      <w:r w:rsidRPr="00F100F0">
        <w:rPr>
          <w:rFonts w:ascii="Calibri" w:hAnsi="Calibri"/>
          <w:bCs/>
          <w:color w:val="auto"/>
          <w:sz w:val="22"/>
          <w:szCs w:val="22"/>
        </w:rPr>
        <w:t xml:space="preserve"> in commodities </w:t>
      </w:r>
      <w:r>
        <w:rPr>
          <w:rFonts w:ascii="Calibri" w:hAnsi="Calibri"/>
          <w:bCs/>
          <w:color w:val="auto"/>
          <w:sz w:val="22"/>
          <w:szCs w:val="22"/>
        </w:rPr>
        <w:t>lending and borrowing</w:t>
      </w:r>
      <w:r w:rsidRPr="00F100F0">
        <w:rPr>
          <w:rFonts w:ascii="Calibri" w:hAnsi="Calibri"/>
          <w:bCs/>
          <w:color w:val="auto"/>
          <w:sz w:val="22"/>
          <w:szCs w:val="22"/>
        </w:rPr>
        <w:t xml:space="preserve"> markets.</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100F0">
        <w:rPr>
          <w:rFonts w:ascii="Calibri" w:hAnsi="Calibri"/>
          <w:bCs/>
          <w:color w:val="auto"/>
          <w:sz w:val="22"/>
          <w:szCs w:val="22"/>
        </w:rPr>
        <w:t xml:space="preserve">Conceptually however, we would not envisage circumstances in which a </w:t>
      </w:r>
      <w:r>
        <w:rPr>
          <w:rFonts w:ascii="Calibri" w:hAnsi="Calibri"/>
          <w:bCs/>
          <w:color w:val="auto"/>
          <w:sz w:val="22"/>
          <w:szCs w:val="22"/>
        </w:rPr>
        <w:t>lender</w:t>
      </w:r>
      <w:r w:rsidRPr="00F100F0">
        <w:rPr>
          <w:rFonts w:ascii="Calibri" w:hAnsi="Calibri"/>
          <w:bCs/>
          <w:color w:val="auto"/>
          <w:sz w:val="22"/>
          <w:szCs w:val="22"/>
        </w:rPr>
        <w:t xml:space="preserve"> would enter into a non-collateralised transaction with a counterparty and not allow for</w:t>
      </w:r>
      <w:r>
        <w:rPr>
          <w:rFonts w:ascii="Calibri" w:hAnsi="Calibri"/>
          <w:bCs/>
          <w:color w:val="auto"/>
          <w:sz w:val="22"/>
          <w:szCs w:val="22"/>
        </w:rPr>
        <w:t xml:space="preserve"> </w:t>
      </w:r>
      <w:r w:rsidRPr="00F100F0">
        <w:rPr>
          <w:rFonts w:ascii="Calibri" w:hAnsi="Calibri"/>
          <w:bCs/>
          <w:color w:val="auto"/>
          <w:sz w:val="22"/>
          <w:szCs w:val="22"/>
        </w:rPr>
        <w:t>the transaction to be collateralised at a later stage.</w:t>
      </w:r>
    </w:p>
    <w:permEnd w:id="1281183800"/>
    <w:p w:rsidR="00E652D1" w:rsidRDefault="00E652D1" w:rsidP="00E652D1">
      <w:r>
        <w:lastRenderedPageBreak/>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C902AB" w:rsidRPr="00F100F0" w:rsidRDefault="00C902AB" w:rsidP="00C902AB">
      <w:pPr>
        <w:pStyle w:val="Default"/>
        <w:jc w:val="both"/>
        <w:rPr>
          <w:rFonts w:ascii="Calibri" w:hAnsi="Calibri"/>
          <w:bCs/>
          <w:color w:val="auto"/>
          <w:sz w:val="22"/>
          <w:szCs w:val="22"/>
        </w:rPr>
      </w:pPr>
      <w:permStart w:id="947346666" w:edGrp="everyone"/>
      <w:r w:rsidRPr="00F100F0">
        <w:rPr>
          <w:rFonts w:ascii="Calibri" w:hAnsi="Calibri"/>
          <w:bCs/>
          <w:color w:val="auto"/>
          <w:sz w:val="22"/>
          <w:szCs w:val="22"/>
        </w:rPr>
        <w:t xml:space="preserve">FIA notes that scenario 1 (i.e. bilateral commodities </w:t>
      </w:r>
      <w:r>
        <w:rPr>
          <w:rFonts w:ascii="Calibri" w:hAnsi="Calibri"/>
          <w:bCs/>
          <w:color w:val="auto"/>
          <w:sz w:val="22"/>
          <w:szCs w:val="22"/>
        </w:rPr>
        <w:t>lending</w:t>
      </w:r>
      <w:r w:rsidRPr="00F100F0">
        <w:rPr>
          <w:rFonts w:ascii="Calibri" w:hAnsi="Calibri"/>
          <w:bCs/>
          <w:color w:val="auto"/>
          <w:sz w:val="22"/>
          <w:szCs w:val="22"/>
        </w:rPr>
        <w:t xml:space="preserve"> transactions) </w:t>
      </w:r>
      <w:r>
        <w:rPr>
          <w:rFonts w:ascii="Calibri" w:hAnsi="Calibri"/>
          <w:bCs/>
          <w:color w:val="auto"/>
          <w:sz w:val="22"/>
          <w:szCs w:val="22"/>
        </w:rPr>
        <w:t>is</w:t>
      </w:r>
      <w:r w:rsidRPr="00F100F0">
        <w:rPr>
          <w:rFonts w:ascii="Calibri" w:hAnsi="Calibri"/>
          <w:bCs/>
          <w:color w:val="auto"/>
          <w:sz w:val="22"/>
          <w:szCs w:val="22"/>
        </w:rPr>
        <w:t xml:space="preserve"> typical to the commodities </w:t>
      </w:r>
      <w:r>
        <w:rPr>
          <w:rFonts w:ascii="Calibri" w:hAnsi="Calibri"/>
          <w:bCs/>
          <w:color w:val="auto"/>
          <w:sz w:val="22"/>
          <w:szCs w:val="22"/>
        </w:rPr>
        <w:t>lending</w:t>
      </w:r>
      <w:r w:rsidRPr="00F100F0">
        <w:rPr>
          <w:rFonts w:ascii="Calibri" w:hAnsi="Calibri"/>
          <w:bCs/>
          <w:color w:val="auto"/>
          <w:sz w:val="22"/>
          <w:szCs w:val="22"/>
        </w:rPr>
        <w:t xml:space="preserve"> market. Whilst brokers, agents, CCPs and other intermediaries may be involved in a scenario where a </w:t>
      </w:r>
      <w:r>
        <w:rPr>
          <w:rFonts w:ascii="Calibri" w:hAnsi="Calibri"/>
          <w:bCs/>
          <w:color w:val="auto"/>
          <w:sz w:val="22"/>
          <w:szCs w:val="22"/>
        </w:rPr>
        <w:t>lender</w:t>
      </w:r>
      <w:r w:rsidRPr="00F100F0">
        <w:rPr>
          <w:rFonts w:ascii="Calibri" w:hAnsi="Calibri"/>
          <w:bCs/>
          <w:color w:val="auto"/>
          <w:sz w:val="22"/>
          <w:szCs w:val="22"/>
        </w:rPr>
        <w:t xml:space="preserve"> is hedging its exposure to a commodities financing transaction, </w:t>
      </w:r>
      <w:r>
        <w:rPr>
          <w:rFonts w:ascii="Calibri" w:hAnsi="Calibri"/>
          <w:bCs/>
          <w:color w:val="auto"/>
          <w:sz w:val="22"/>
          <w:szCs w:val="22"/>
        </w:rPr>
        <w:t>commodity lenders</w:t>
      </w:r>
      <w:r w:rsidRPr="00F100F0">
        <w:rPr>
          <w:rFonts w:ascii="Calibri" w:hAnsi="Calibri"/>
          <w:bCs/>
          <w:color w:val="auto"/>
          <w:sz w:val="22"/>
          <w:szCs w:val="22"/>
        </w:rPr>
        <w:t xml:space="preserve"> would typically engage with their counterparties on a bilateral basis and would enter into commodities </w:t>
      </w:r>
      <w:r>
        <w:rPr>
          <w:rFonts w:ascii="Calibri" w:hAnsi="Calibri"/>
          <w:bCs/>
          <w:color w:val="auto"/>
          <w:sz w:val="22"/>
          <w:szCs w:val="22"/>
        </w:rPr>
        <w:t>lending</w:t>
      </w:r>
      <w:r w:rsidRPr="00F100F0">
        <w:rPr>
          <w:rFonts w:ascii="Calibri" w:hAnsi="Calibri"/>
          <w:bCs/>
          <w:color w:val="auto"/>
          <w:sz w:val="22"/>
          <w:szCs w:val="22"/>
        </w:rPr>
        <w:t xml:space="preserve"> transactions without the use of intermediaries.</w:t>
      </w:r>
    </w:p>
    <w:permEnd w:id="947346666"/>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C902AB" w:rsidRDefault="00C902AB" w:rsidP="00C902AB">
      <w:pPr>
        <w:pStyle w:val="Default"/>
        <w:jc w:val="both"/>
        <w:rPr>
          <w:rFonts w:ascii="Calibri" w:hAnsi="Calibri"/>
          <w:bCs/>
          <w:color w:val="auto"/>
          <w:sz w:val="22"/>
          <w:szCs w:val="22"/>
        </w:rPr>
      </w:pPr>
      <w:permStart w:id="1254978175" w:edGrp="everyone"/>
      <w:r w:rsidRPr="00F100F0">
        <w:rPr>
          <w:rFonts w:ascii="Calibri" w:hAnsi="Calibri"/>
          <w:bCs/>
          <w:color w:val="auto"/>
          <w:sz w:val="22"/>
          <w:szCs w:val="22"/>
        </w:rPr>
        <w:t xml:space="preserve">FIA notes that broadly, the commodities financing transaction market is a bilateral market and consequently does not incorporate the use of intermediaries in the same way that securities repo and lending markets do. </w:t>
      </w:r>
    </w:p>
    <w:p w:rsidR="00C902AB" w:rsidRDefault="00C902AB" w:rsidP="00C902AB">
      <w:pPr>
        <w:pStyle w:val="Default"/>
        <w:jc w:val="both"/>
        <w:rPr>
          <w:rFonts w:ascii="Calibri" w:hAnsi="Calibri"/>
          <w:bCs/>
          <w:color w:val="auto"/>
          <w:sz w:val="22"/>
          <w:szCs w:val="22"/>
        </w:rPr>
      </w:pPr>
    </w:p>
    <w:p w:rsidR="00C902AB" w:rsidRDefault="00C902AB" w:rsidP="00C902AB">
      <w:pPr>
        <w:pStyle w:val="Default"/>
        <w:jc w:val="both"/>
        <w:rPr>
          <w:rFonts w:ascii="Calibri" w:hAnsi="Calibri"/>
          <w:bCs/>
          <w:color w:val="auto"/>
          <w:sz w:val="22"/>
          <w:szCs w:val="22"/>
        </w:rPr>
      </w:pPr>
      <w:r>
        <w:rPr>
          <w:rFonts w:ascii="Calibri" w:hAnsi="Calibri"/>
          <w:bCs/>
          <w:color w:val="auto"/>
          <w:sz w:val="22"/>
          <w:szCs w:val="22"/>
        </w:rPr>
        <w:t>Whilst there are various other commercial pre-payment and leasing structures used by the industry we believe that the scenarios which have been described in section 4.2.4.2 and section 4.2.4.1 adequately represent the types of transactions which fall within the definitions of in scope transactions in Art 3 SFTR i.e. transactions which involve: (1) the transfer of legal title of a physical commodity to secure a repayment obligation between the asset owner and the lender; or (2) the sale of a physical commodity in return for funds where there is an irrevocable obligation on the entity receiving the funds to repurchase or buy back the same or similar commodities in the future from the entity which purchased the physical commodities.</w:t>
      </w:r>
    </w:p>
    <w:p w:rsidR="00C902AB" w:rsidRPr="00F5204A"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5204A">
        <w:rPr>
          <w:rFonts w:ascii="Calibri" w:hAnsi="Calibri"/>
          <w:bCs/>
          <w:color w:val="auto"/>
          <w:sz w:val="22"/>
          <w:szCs w:val="22"/>
        </w:rPr>
        <w:t>We understand th</w:t>
      </w:r>
      <w:r>
        <w:rPr>
          <w:rFonts w:ascii="Calibri" w:hAnsi="Calibri"/>
          <w:bCs/>
          <w:color w:val="auto"/>
          <w:sz w:val="22"/>
          <w:szCs w:val="22"/>
        </w:rPr>
        <w:t>at transactions, which do not satisfy these criteria, fall outside of the scope of the definitions in Art 3 SFTR</w:t>
      </w:r>
      <w:r w:rsidRPr="00F5204A">
        <w:rPr>
          <w:rFonts w:ascii="Calibri" w:hAnsi="Calibri"/>
          <w:bCs/>
          <w:color w:val="auto"/>
          <w:sz w:val="22"/>
          <w:szCs w:val="22"/>
        </w:rPr>
        <w:t>.</w:t>
      </w:r>
      <w:r w:rsidRPr="00F100F0">
        <w:rPr>
          <w:rFonts w:ascii="Calibri" w:hAnsi="Calibri"/>
          <w:bCs/>
          <w:color w:val="auto"/>
          <w:sz w:val="22"/>
          <w:szCs w:val="22"/>
        </w:rPr>
        <w:t xml:space="preserve"> </w:t>
      </w:r>
    </w:p>
    <w:permEnd w:id="1254978175"/>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C902AB" w:rsidRPr="00F100F0" w:rsidRDefault="00C902AB" w:rsidP="00C902AB">
      <w:pPr>
        <w:pStyle w:val="Default"/>
        <w:jc w:val="both"/>
        <w:rPr>
          <w:rFonts w:ascii="Calibri" w:hAnsi="Calibri"/>
          <w:bCs/>
          <w:color w:val="auto"/>
          <w:sz w:val="22"/>
          <w:szCs w:val="22"/>
        </w:rPr>
      </w:pPr>
      <w:permStart w:id="774924959" w:edGrp="everyone"/>
      <w:r w:rsidRPr="00F100F0">
        <w:rPr>
          <w:rFonts w:ascii="Calibri" w:hAnsi="Calibri"/>
          <w:bCs/>
          <w:color w:val="auto"/>
          <w:sz w:val="22"/>
          <w:szCs w:val="22"/>
        </w:rPr>
        <w:t xml:space="preserve">FIA notes that there is </w:t>
      </w:r>
      <w:r>
        <w:rPr>
          <w:rFonts w:ascii="Calibri" w:hAnsi="Calibri"/>
          <w:bCs/>
          <w:color w:val="auto"/>
          <w:sz w:val="22"/>
          <w:szCs w:val="22"/>
        </w:rPr>
        <w:t>no clear</w:t>
      </w:r>
      <w:r w:rsidRPr="00F100F0">
        <w:rPr>
          <w:rFonts w:ascii="Calibri" w:hAnsi="Calibri"/>
          <w:bCs/>
          <w:color w:val="auto"/>
          <w:sz w:val="22"/>
          <w:szCs w:val="22"/>
        </w:rPr>
        <w:t xml:space="preserve"> </w:t>
      </w:r>
      <w:r>
        <w:rPr>
          <w:rFonts w:ascii="Calibri" w:hAnsi="Calibri"/>
          <w:bCs/>
          <w:color w:val="auto"/>
          <w:sz w:val="22"/>
          <w:szCs w:val="22"/>
        </w:rPr>
        <w:t>distinction</w:t>
      </w:r>
      <w:r w:rsidRPr="00F100F0">
        <w:rPr>
          <w:rFonts w:ascii="Calibri" w:hAnsi="Calibri"/>
          <w:bCs/>
          <w:color w:val="auto"/>
          <w:sz w:val="22"/>
          <w:szCs w:val="22"/>
        </w:rPr>
        <w:t xml:space="preserve"> </w:t>
      </w:r>
      <w:r>
        <w:rPr>
          <w:rFonts w:ascii="Calibri" w:hAnsi="Calibri"/>
          <w:bCs/>
          <w:color w:val="auto"/>
          <w:sz w:val="22"/>
          <w:szCs w:val="22"/>
        </w:rPr>
        <w:t>between</w:t>
      </w:r>
      <w:r w:rsidRPr="00F100F0">
        <w:rPr>
          <w:rFonts w:ascii="Calibri" w:hAnsi="Calibri"/>
          <w:bCs/>
          <w:color w:val="auto"/>
          <w:sz w:val="22"/>
          <w:szCs w:val="22"/>
        </w:rPr>
        <w:t xml:space="preserve"> a commodities buy</w:t>
      </w:r>
      <w:r>
        <w:rPr>
          <w:rFonts w:ascii="Calibri" w:hAnsi="Calibri"/>
          <w:bCs/>
          <w:color w:val="auto"/>
          <w:sz w:val="22"/>
          <w:szCs w:val="22"/>
        </w:rPr>
        <w:t>-</w:t>
      </w:r>
      <w:r w:rsidRPr="00F100F0">
        <w:rPr>
          <w:rFonts w:ascii="Calibri" w:hAnsi="Calibri"/>
          <w:bCs/>
          <w:color w:val="auto"/>
          <w:sz w:val="22"/>
          <w:szCs w:val="22"/>
        </w:rPr>
        <w:t xml:space="preserve">sell back </w:t>
      </w:r>
      <w:r>
        <w:rPr>
          <w:rFonts w:ascii="Calibri" w:hAnsi="Calibri"/>
          <w:bCs/>
          <w:color w:val="auto"/>
          <w:sz w:val="22"/>
          <w:szCs w:val="22"/>
        </w:rPr>
        <w:t>transaction</w:t>
      </w:r>
      <w:r w:rsidRPr="00F100F0">
        <w:rPr>
          <w:rFonts w:ascii="Calibri" w:hAnsi="Calibri"/>
          <w:bCs/>
          <w:color w:val="auto"/>
          <w:sz w:val="22"/>
          <w:szCs w:val="22"/>
        </w:rPr>
        <w:t xml:space="preserve"> </w:t>
      </w:r>
      <w:r>
        <w:rPr>
          <w:rFonts w:ascii="Calibri" w:hAnsi="Calibri"/>
          <w:bCs/>
          <w:color w:val="auto"/>
          <w:sz w:val="22"/>
          <w:szCs w:val="22"/>
        </w:rPr>
        <w:t>and</w:t>
      </w:r>
      <w:r w:rsidRPr="00F100F0">
        <w:rPr>
          <w:rFonts w:ascii="Calibri" w:hAnsi="Calibri"/>
          <w:bCs/>
          <w:color w:val="auto"/>
          <w:sz w:val="22"/>
          <w:szCs w:val="22"/>
        </w:rPr>
        <w:t xml:space="preserve"> a </w:t>
      </w:r>
      <w:r>
        <w:rPr>
          <w:rFonts w:ascii="Calibri" w:hAnsi="Calibri"/>
          <w:bCs/>
          <w:color w:val="auto"/>
          <w:sz w:val="22"/>
          <w:szCs w:val="22"/>
        </w:rPr>
        <w:t>repurchase transaction in Art. 3(8) and (9) SFTR</w:t>
      </w:r>
      <w:r w:rsidRPr="00F100F0">
        <w:rPr>
          <w:rFonts w:ascii="Calibri" w:hAnsi="Calibri"/>
          <w:bCs/>
          <w:color w:val="auto"/>
          <w:sz w:val="22"/>
          <w:szCs w:val="22"/>
        </w:rPr>
        <w:t>.</w:t>
      </w:r>
      <w:r>
        <w:rPr>
          <w:rFonts w:ascii="Calibri" w:hAnsi="Calibri"/>
          <w:bCs/>
          <w:color w:val="auto"/>
          <w:sz w:val="22"/>
          <w:szCs w:val="22"/>
        </w:rPr>
        <w:t xml:space="preserve"> In particular, would ESMA be able to clarify that a buy-sell back transaction does not include a transaction where the seller sells a commodity to a buyer with the option (but not an obligation) to buy back such commodity? We read this type of transaction to be outside of the scope of Art. 3(8).</w:t>
      </w:r>
    </w:p>
    <w:permEnd w:id="774924959"/>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C902AB" w:rsidRPr="00F100F0" w:rsidRDefault="00C902AB" w:rsidP="00C902AB">
      <w:pPr>
        <w:pStyle w:val="Default"/>
        <w:jc w:val="both"/>
        <w:rPr>
          <w:rFonts w:ascii="Calibri" w:hAnsi="Calibri"/>
          <w:bCs/>
          <w:color w:val="auto"/>
          <w:sz w:val="22"/>
          <w:szCs w:val="22"/>
        </w:rPr>
      </w:pPr>
      <w:permStart w:id="480580025" w:edGrp="everyone"/>
      <w:r w:rsidRPr="00F100F0">
        <w:rPr>
          <w:rFonts w:ascii="Calibri" w:hAnsi="Calibri"/>
          <w:bCs/>
          <w:color w:val="auto"/>
          <w:sz w:val="22"/>
          <w:szCs w:val="22"/>
        </w:rPr>
        <w:t>As delineated in our response to Q5</w:t>
      </w:r>
      <w:r>
        <w:rPr>
          <w:rFonts w:ascii="Calibri" w:hAnsi="Calibri"/>
          <w:bCs/>
          <w:color w:val="auto"/>
          <w:sz w:val="22"/>
          <w:szCs w:val="22"/>
        </w:rPr>
        <w:t>1</w:t>
      </w:r>
      <w:r w:rsidRPr="00F100F0">
        <w:rPr>
          <w:rFonts w:ascii="Calibri" w:hAnsi="Calibri"/>
          <w:bCs/>
          <w:color w:val="auto"/>
          <w:sz w:val="22"/>
          <w:szCs w:val="22"/>
        </w:rPr>
        <w:t xml:space="preserve">, FIA notes that there is a lack of clarity around the </w:t>
      </w:r>
      <w:r>
        <w:rPr>
          <w:rFonts w:ascii="Calibri" w:hAnsi="Calibri"/>
          <w:bCs/>
          <w:color w:val="auto"/>
          <w:sz w:val="22"/>
          <w:szCs w:val="22"/>
        </w:rPr>
        <w:t>distinction between</w:t>
      </w:r>
      <w:r w:rsidRPr="00F100F0">
        <w:rPr>
          <w:rFonts w:ascii="Calibri" w:hAnsi="Calibri"/>
          <w:bCs/>
          <w:color w:val="auto"/>
          <w:sz w:val="22"/>
          <w:szCs w:val="22"/>
        </w:rPr>
        <w:t xml:space="preserve"> a commodities buy</w:t>
      </w:r>
      <w:r>
        <w:rPr>
          <w:rFonts w:ascii="Calibri" w:hAnsi="Calibri"/>
          <w:bCs/>
          <w:color w:val="auto"/>
          <w:sz w:val="22"/>
          <w:szCs w:val="22"/>
        </w:rPr>
        <w:t>-</w:t>
      </w:r>
      <w:r w:rsidRPr="00F100F0">
        <w:rPr>
          <w:rFonts w:ascii="Calibri" w:hAnsi="Calibri"/>
          <w:bCs/>
          <w:color w:val="auto"/>
          <w:sz w:val="22"/>
          <w:szCs w:val="22"/>
        </w:rPr>
        <w:t xml:space="preserve">sell back </w:t>
      </w:r>
      <w:r>
        <w:rPr>
          <w:rFonts w:ascii="Calibri" w:hAnsi="Calibri"/>
          <w:bCs/>
          <w:color w:val="auto"/>
          <w:sz w:val="22"/>
          <w:szCs w:val="22"/>
        </w:rPr>
        <w:t>transaction</w:t>
      </w:r>
      <w:r w:rsidRPr="00F100F0">
        <w:rPr>
          <w:rFonts w:ascii="Calibri" w:hAnsi="Calibri"/>
          <w:bCs/>
          <w:color w:val="auto"/>
          <w:sz w:val="22"/>
          <w:szCs w:val="22"/>
        </w:rPr>
        <w:t xml:space="preserve"> </w:t>
      </w:r>
      <w:r>
        <w:rPr>
          <w:rFonts w:ascii="Calibri" w:hAnsi="Calibri"/>
          <w:bCs/>
          <w:color w:val="auto"/>
          <w:sz w:val="22"/>
          <w:szCs w:val="22"/>
        </w:rPr>
        <w:t>and</w:t>
      </w:r>
      <w:r w:rsidRPr="00F100F0">
        <w:rPr>
          <w:rFonts w:ascii="Calibri" w:hAnsi="Calibri"/>
          <w:bCs/>
          <w:color w:val="auto"/>
          <w:sz w:val="22"/>
          <w:szCs w:val="22"/>
        </w:rPr>
        <w:t xml:space="preserve"> a commodities rep</w:t>
      </w:r>
      <w:r>
        <w:rPr>
          <w:rFonts w:ascii="Calibri" w:hAnsi="Calibri"/>
          <w:bCs/>
          <w:color w:val="auto"/>
          <w:sz w:val="22"/>
          <w:szCs w:val="22"/>
        </w:rPr>
        <w:t>urchase</w:t>
      </w:r>
      <w:r w:rsidRPr="00F100F0">
        <w:rPr>
          <w:rFonts w:ascii="Calibri" w:hAnsi="Calibri"/>
          <w:bCs/>
          <w:color w:val="auto"/>
          <w:sz w:val="22"/>
          <w:szCs w:val="22"/>
        </w:rPr>
        <w:t xml:space="preserve"> transaction. We believe </w:t>
      </w:r>
      <w:r w:rsidRPr="00F100F0">
        <w:rPr>
          <w:rFonts w:ascii="Calibri" w:hAnsi="Calibri"/>
          <w:bCs/>
          <w:color w:val="auto"/>
          <w:sz w:val="22"/>
          <w:szCs w:val="22"/>
        </w:rPr>
        <w:lastRenderedPageBreak/>
        <w:t xml:space="preserve">that the industry would benefit from further clarity around what the conceptual or practical differences between the two are in terms of practice and regulation. </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Pr>
          <w:rFonts w:ascii="Calibri" w:hAnsi="Calibri"/>
          <w:bCs/>
          <w:color w:val="auto"/>
          <w:sz w:val="22"/>
          <w:szCs w:val="22"/>
        </w:rPr>
        <w:t xml:space="preserve">As set out in our response to Q50, there are various structures, which do not include a two-way exchange of commodities or there is no transfer of title involved. In order to avoid any confusion regarding their exclusion from the SFTR, we urge ESMA to avoid the terminology “commodity finance transaction” in the level 2 legislation; and instead refer to buy-sell-back transactions, commodity lending and borrowing and repurchase transactions in line with the definitions in Art. 3 SFTR. </w:t>
      </w:r>
    </w:p>
    <w:permEnd w:id="480580025"/>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C902AB" w:rsidRPr="00C902AB" w:rsidRDefault="00C902AB" w:rsidP="00C902AB">
      <w:pPr>
        <w:pStyle w:val="Default"/>
        <w:jc w:val="both"/>
        <w:rPr>
          <w:rFonts w:ascii="Calibri" w:hAnsi="Calibri"/>
          <w:bCs/>
          <w:color w:val="auto"/>
          <w:sz w:val="22"/>
          <w:szCs w:val="22"/>
        </w:rPr>
      </w:pPr>
      <w:permStart w:id="1398611384" w:edGrp="everyone"/>
      <w:r w:rsidRPr="00C902AB">
        <w:rPr>
          <w:rFonts w:ascii="Calibri" w:hAnsi="Calibri"/>
          <w:bCs/>
          <w:color w:val="auto"/>
          <w:sz w:val="22"/>
          <w:szCs w:val="22"/>
        </w:rPr>
        <w:t>Commodities lending, borrowing, buy and sell-back and repurchase transactions lend themselves to any commodities that may be physically delivered. However, in practice, due to the ability of metals, oil and agricultural products to be stored, and consumption patterns of energy products that are consumed rather than stored in the longer term (e.g. electricity cannot be stored), securities financing transactions are predominantly used for metals, oil and agricultural commodities.</w:t>
      </w:r>
    </w:p>
    <w:permEnd w:id="1398611384"/>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C902AB" w:rsidRPr="00F100F0" w:rsidRDefault="00C902AB" w:rsidP="00C902AB">
      <w:pPr>
        <w:pStyle w:val="Default"/>
        <w:jc w:val="both"/>
        <w:rPr>
          <w:color w:val="auto"/>
        </w:rPr>
      </w:pPr>
      <w:permStart w:id="602690282" w:edGrp="everyone"/>
      <w:r w:rsidRPr="00F100F0">
        <w:rPr>
          <w:rFonts w:ascii="Calibri" w:hAnsi="Calibri"/>
          <w:bCs/>
          <w:color w:val="auto"/>
          <w:sz w:val="22"/>
          <w:szCs w:val="22"/>
        </w:rPr>
        <w:t xml:space="preserve">We refer to our answer in Q53 – we understand that commodities financing transactions are used </w:t>
      </w:r>
      <w:r>
        <w:rPr>
          <w:rFonts w:ascii="Calibri" w:hAnsi="Calibri"/>
          <w:bCs/>
          <w:color w:val="auto"/>
          <w:sz w:val="22"/>
          <w:szCs w:val="22"/>
        </w:rPr>
        <w:t>most commonly</w:t>
      </w:r>
      <w:r w:rsidRPr="00F100F0">
        <w:rPr>
          <w:rFonts w:ascii="Calibri" w:hAnsi="Calibri"/>
          <w:bCs/>
          <w:color w:val="auto"/>
          <w:sz w:val="22"/>
          <w:szCs w:val="22"/>
        </w:rPr>
        <w:t>, though not exclusively, for metals</w:t>
      </w:r>
      <w:r>
        <w:rPr>
          <w:rFonts w:ascii="Calibri" w:hAnsi="Calibri"/>
          <w:bCs/>
          <w:color w:val="auto"/>
          <w:sz w:val="22"/>
          <w:szCs w:val="22"/>
        </w:rPr>
        <w:t>, oil</w:t>
      </w:r>
      <w:r w:rsidRPr="00F100F0">
        <w:rPr>
          <w:rFonts w:ascii="Calibri" w:hAnsi="Calibri"/>
          <w:bCs/>
          <w:color w:val="auto"/>
          <w:sz w:val="22"/>
          <w:szCs w:val="22"/>
        </w:rPr>
        <w:t xml:space="preserve"> and agricultural products.</w:t>
      </w:r>
    </w:p>
    <w:permEnd w:id="602690282"/>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C902AB" w:rsidRPr="00F100F0" w:rsidRDefault="00C902AB" w:rsidP="00C902AB">
      <w:pPr>
        <w:pStyle w:val="Default"/>
        <w:jc w:val="both"/>
        <w:rPr>
          <w:rFonts w:ascii="Calibri" w:hAnsi="Calibri"/>
          <w:bCs/>
          <w:color w:val="auto"/>
          <w:sz w:val="22"/>
          <w:szCs w:val="22"/>
        </w:rPr>
      </w:pPr>
      <w:permStart w:id="1940150494" w:edGrp="everyone"/>
      <w:r w:rsidRPr="00F100F0">
        <w:rPr>
          <w:rFonts w:ascii="Calibri" w:hAnsi="Calibri"/>
          <w:bCs/>
          <w:color w:val="auto"/>
          <w:sz w:val="22"/>
          <w:szCs w:val="22"/>
        </w:rPr>
        <w:t>FIA understands that ESMA is asking what share of the transactions involve standardised commodity contracts, that is, what share of transactions involve commodities</w:t>
      </w:r>
      <w:r>
        <w:rPr>
          <w:rFonts w:ascii="Calibri" w:hAnsi="Calibri"/>
          <w:bCs/>
          <w:color w:val="auto"/>
          <w:sz w:val="22"/>
          <w:szCs w:val="22"/>
        </w:rPr>
        <w:t>,</w:t>
      </w:r>
      <w:r w:rsidRPr="00F100F0">
        <w:rPr>
          <w:rFonts w:ascii="Calibri" w:hAnsi="Calibri"/>
          <w:bCs/>
          <w:color w:val="auto"/>
          <w:sz w:val="22"/>
          <w:szCs w:val="22"/>
        </w:rPr>
        <w:t xml:space="preserve"> which fall within a basket of deliverable products meeting contract specifications to be delivered in contracts traded on a trading venue. We would welcome some clarity over what ESMA means in this context.</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94930">
        <w:rPr>
          <w:rFonts w:ascii="Calibri" w:hAnsi="Calibri"/>
          <w:bCs/>
          <w:color w:val="auto"/>
          <w:sz w:val="22"/>
          <w:szCs w:val="22"/>
        </w:rPr>
        <w:t>As the lender is always concerned that it may have to liquidate the commodity, the commodity would normally conform to market standard specifications, in the case of base metal these specifications would be LME deliverable only and in the case of precious metal London Good delivery, etc. In the case of commodities that are not traded on an exchange via warrants  like oil and coal and dry bulks the commodity would have to conform to market standard quality and description to enable the financier to liquidate the commodity if needed.</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color w:val="auto"/>
        </w:rPr>
      </w:pPr>
      <w:r>
        <w:rPr>
          <w:rFonts w:ascii="Calibri" w:hAnsi="Calibri"/>
          <w:bCs/>
          <w:color w:val="auto"/>
          <w:sz w:val="22"/>
          <w:szCs w:val="22"/>
        </w:rPr>
        <w:t>If, however, the question relates to the contractual documentation being used for commodity lending and borrowing, buy and sell-backs and repurchase agreements, then for the first two types of transactions bespoke agreements are used by the majority of counterparties. Repurchase agreements may be based on the Global Master Repurchase Agreement (GMRA) although again some counterparties rely on bespoke agreements.</w:t>
      </w:r>
    </w:p>
    <w:permEnd w:id="1940150494"/>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C902AB" w:rsidRPr="00F100F0" w:rsidRDefault="00C902AB" w:rsidP="00C902AB">
      <w:pPr>
        <w:pStyle w:val="Default"/>
        <w:jc w:val="both"/>
        <w:rPr>
          <w:rFonts w:ascii="Calibri" w:hAnsi="Calibri"/>
          <w:bCs/>
          <w:color w:val="auto"/>
          <w:sz w:val="22"/>
          <w:szCs w:val="22"/>
        </w:rPr>
      </w:pPr>
      <w:permStart w:id="2117803623" w:edGrp="everyone"/>
      <w:r>
        <w:rPr>
          <w:rFonts w:ascii="Calibri" w:hAnsi="Calibri"/>
          <w:bCs/>
          <w:color w:val="auto"/>
          <w:sz w:val="22"/>
          <w:szCs w:val="22"/>
        </w:rPr>
        <w:lastRenderedPageBreak/>
        <w:t>We</w:t>
      </w:r>
      <w:r w:rsidRPr="00F100F0">
        <w:rPr>
          <w:rFonts w:ascii="Calibri" w:hAnsi="Calibri"/>
          <w:bCs/>
          <w:color w:val="auto"/>
          <w:sz w:val="22"/>
          <w:szCs w:val="22"/>
        </w:rPr>
        <w:t xml:space="preserve"> refer to our answer to Q 55.</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100F0">
        <w:rPr>
          <w:rFonts w:ascii="Calibri" w:hAnsi="Calibri"/>
          <w:bCs/>
          <w:color w:val="auto"/>
          <w:sz w:val="22"/>
          <w:szCs w:val="22"/>
        </w:rPr>
        <w:t>In addition, we note that base metal tend to be deliverable – if the base metal can be recorded on a warrant on</w:t>
      </w:r>
      <w:r>
        <w:rPr>
          <w:rFonts w:ascii="Calibri" w:hAnsi="Calibri"/>
          <w:bCs/>
          <w:color w:val="auto"/>
          <w:sz w:val="22"/>
          <w:szCs w:val="22"/>
        </w:rPr>
        <w:t xml:space="preserve"> an exchange</w:t>
      </w:r>
      <w:r w:rsidRPr="00F100F0">
        <w:rPr>
          <w:rFonts w:ascii="Calibri" w:hAnsi="Calibri"/>
          <w:bCs/>
          <w:color w:val="auto"/>
          <w:sz w:val="22"/>
          <w:szCs w:val="22"/>
        </w:rPr>
        <w:t>, for example the London Metals Exchange</w:t>
      </w:r>
      <w:r>
        <w:rPr>
          <w:rFonts w:ascii="Calibri" w:hAnsi="Calibri"/>
          <w:bCs/>
          <w:color w:val="auto"/>
          <w:sz w:val="22"/>
          <w:szCs w:val="22"/>
        </w:rPr>
        <w:t>,</w:t>
      </w:r>
      <w:r w:rsidRPr="00F100F0">
        <w:rPr>
          <w:rFonts w:ascii="Calibri" w:hAnsi="Calibri"/>
          <w:bCs/>
          <w:color w:val="auto"/>
          <w:sz w:val="22"/>
          <w:szCs w:val="22"/>
        </w:rPr>
        <w:t xml:space="preserve"> then it would meet contract specifications.</w:t>
      </w:r>
    </w:p>
    <w:p w:rsidR="00C902AB" w:rsidRPr="00F100F0" w:rsidRDefault="00C902AB" w:rsidP="00C902AB">
      <w:pPr>
        <w:pStyle w:val="Default"/>
        <w:jc w:val="both"/>
        <w:rPr>
          <w:rFonts w:ascii="Calibri" w:hAnsi="Calibri"/>
          <w:bCs/>
          <w:color w:val="auto"/>
          <w:sz w:val="22"/>
          <w:szCs w:val="22"/>
        </w:rPr>
      </w:pPr>
    </w:p>
    <w:p w:rsidR="00C902AB" w:rsidRDefault="00C902AB" w:rsidP="00C902AB">
      <w:pPr>
        <w:pStyle w:val="Default"/>
        <w:jc w:val="both"/>
      </w:pPr>
      <w:r w:rsidRPr="00F100F0">
        <w:rPr>
          <w:rFonts w:ascii="Calibri" w:hAnsi="Calibri"/>
          <w:bCs/>
          <w:color w:val="auto"/>
          <w:sz w:val="22"/>
          <w:szCs w:val="22"/>
        </w:rPr>
        <w:t>However, we note that only a small por</w:t>
      </w:r>
      <w:r>
        <w:rPr>
          <w:rFonts w:ascii="Calibri" w:hAnsi="Calibri"/>
          <w:bCs/>
          <w:color w:val="auto"/>
          <w:sz w:val="22"/>
          <w:szCs w:val="22"/>
        </w:rPr>
        <w:t>tion of agricultural and metal commodity derivatives</w:t>
      </w:r>
      <w:r w:rsidRPr="00F100F0">
        <w:rPr>
          <w:rFonts w:ascii="Calibri" w:hAnsi="Calibri"/>
          <w:bCs/>
          <w:color w:val="auto"/>
          <w:sz w:val="22"/>
          <w:szCs w:val="22"/>
        </w:rPr>
        <w:t xml:space="preserve"> </w:t>
      </w:r>
      <w:r>
        <w:rPr>
          <w:rFonts w:ascii="Calibri" w:hAnsi="Calibri"/>
          <w:bCs/>
          <w:color w:val="auto"/>
          <w:sz w:val="22"/>
          <w:szCs w:val="22"/>
        </w:rPr>
        <w:t>result in physical delivery (and are thus assessed accordingly)</w:t>
      </w:r>
      <w:r w:rsidRPr="00F100F0">
        <w:rPr>
          <w:rFonts w:ascii="Calibri" w:hAnsi="Calibri"/>
          <w:bCs/>
          <w:color w:val="auto"/>
          <w:sz w:val="22"/>
          <w:szCs w:val="22"/>
        </w:rPr>
        <w:t xml:space="preserve"> because most are not settled via clearing mechanisms but would be settled through bilateral repo</w:t>
      </w:r>
      <w:r>
        <w:rPr>
          <w:rFonts w:ascii="Calibri" w:hAnsi="Calibri"/>
          <w:bCs/>
          <w:color w:val="auto"/>
          <w:sz w:val="22"/>
          <w:szCs w:val="22"/>
        </w:rPr>
        <w:t>s</w:t>
      </w:r>
      <w:r w:rsidRPr="00F100F0">
        <w:rPr>
          <w:rFonts w:ascii="Calibri" w:hAnsi="Calibri"/>
          <w:bCs/>
          <w:color w:val="auto"/>
          <w:sz w:val="22"/>
          <w:szCs w:val="22"/>
        </w:rPr>
        <w:t xml:space="preserve"> and lending</w:t>
      </w:r>
      <w:r>
        <w:rPr>
          <w:rFonts w:ascii="Calibri" w:hAnsi="Calibri"/>
          <w:bCs/>
          <w:color w:val="auto"/>
          <w:sz w:val="22"/>
          <w:szCs w:val="22"/>
        </w:rPr>
        <w:t xml:space="preserve"> structures</w:t>
      </w:r>
      <w:r w:rsidRPr="00F100F0">
        <w:rPr>
          <w:rFonts w:ascii="Calibri" w:hAnsi="Calibri"/>
          <w:bCs/>
          <w:color w:val="auto"/>
          <w:sz w:val="22"/>
          <w:szCs w:val="22"/>
        </w:rPr>
        <w:t>.</w:t>
      </w:r>
      <w:r>
        <w:rPr>
          <w:rFonts w:ascii="Calibri" w:hAnsi="Calibri"/>
          <w:bCs/>
          <w:color w:val="auto"/>
          <w:sz w:val="22"/>
          <w:szCs w:val="22"/>
        </w:rPr>
        <w:t xml:space="preserve"> </w:t>
      </w:r>
      <w:r w:rsidRPr="00F94930">
        <w:rPr>
          <w:rFonts w:ascii="Calibri" w:hAnsi="Calibri"/>
          <w:bCs/>
          <w:color w:val="auto"/>
          <w:sz w:val="22"/>
          <w:szCs w:val="22"/>
        </w:rPr>
        <w:t>As noted above in our response to Q55 the issue is not that the repos is settled on the exchange but the commodity needs to be potentially liquidated into an exchange.</w:t>
      </w:r>
    </w:p>
    <w:permEnd w:id="2117803623"/>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C902AB" w:rsidRPr="00F100F0" w:rsidRDefault="00C902AB" w:rsidP="00C902AB">
      <w:pPr>
        <w:pStyle w:val="Default"/>
        <w:jc w:val="both"/>
        <w:rPr>
          <w:rFonts w:ascii="Calibri" w:hAnsi="Calibri"/>
          <w:bCs/>
          <w:color w:val="auto"/>
          <w:sz w:val="22"/>
          <w:szCs w:val="22"/>
        </w:rPr>
      </w:pPr>
      <w:permStart w:id="1930788278" w:edGrp="everyone"/>
      <w:r w:rsidRPr="00F100F0">
        <w:rPr>
          <w:rFonts w:ascii="Calibri" w:hAnsi="Calibri"/>
          <w:bCs/>
          <w:color w:val="auto"/>
          <w:sz w:val="22"/>
          <w:szCs w:val="22"/>
        </w:rPr>
        <w:t xml:space="preserve">Generally, FIA notes that a number of fields proposed in </w:t>
      </w:r>
      <w:r>
        <w:rPr>
          <w:rFonts w:ascii="Calibri" w:hAnsi="Calibri"/>
          <w:bCs/>
          <w:color w:val="auto"/>
          <w:sz w:val="22"/>
          <w:szCs w:val="22"/>
        </w:rPr>
        <w:t xml:space="preserve">the reporting tables of </w:t>
      </w:r>
      <w:r w:rsidRPr="00F100F0">
        <w:rPr>
          <w:rFonts w:ascii="Calibri" w:hAnsi="Calibri"/>
          <w:bCs/>
          <w:color w:val="auto"/>
          <w:sz w:val="22"/>
          <w:szCs w:val="22"/>
        </w:rPr>
        <w:t>Section 6.1</w:t>
      </w:r>
      <w:r>
        <w:rPr>
          <w:rFonts w:ascii="Calibri" w:hAnsi="Calibri"/>
          <w:bCs/>
          <w:color w:val="auto"/>
          <w:sz w:val="22"/>
          <w:szCs w:val="22"/>
        </w:rPr>
        <w:t>.3</w:t>
      </w:r>
      <w:r w:rsidRPr="00F100F0">
        <w:rPr>
          <w:rFonts w:ascii="Calibri" w:hAnsi="Calibri"/>
          <w:bCs/>
          <w:color w:val="auto"/>
          <w:sz w:val="22"/>
          <w:szCs w:val="22"/>
        </w:rPr>
        <w:t xml:space="preserve"> refer to characteristics</w:t>
      </w:r>
      <w:r>
        <w:rPr>
          <w:rFonts w:ascii="Calibri" w:hAnsi="Calibri"/>
          <w:bCs/>
          <w:color w:val="auto"/>
          <w:sz w:val="22"/>
          <w:szCs w:val="22"/>
        </w:rPr>
        <w:t>,</w:t>
      </w:r>
      <w:r w:rsidRPr="00F100F0">
        <w:rPr>
          <w:rFonts w:ascii="Calibri" w:hAnsi="Calibri"/>
          <w:bCs/>
          <w:color w:val="auto"/>
          <w:sz w:val="22"/>
          <w:szCs w:val="22"/>
        </w:rPr>
        <w:t xml:space="preserve"> which predominantly relate to securities rep</w:t>
      </w:r>
      <w:r>
        <w:rPr>
          <w:rFonts w:ascii="Calibri" w:hAnsi="Calibri"/>
          <w:bCs/>
          <w:color w:val="auto"/>
          <w:sz w:val="22"/>
          <w:szCs w:val="22"/>
        </w:rPr>
        <w:t>urchase</w:t>
      </w:r>
      <w:r w:rsidRPr="00F100F0">
        <w:rPr>
          <w:rFonts w:ascii="Calibri" w:hAnsi="Calibri"/>
          <w:bCs/>
          <w:color w:val="auto"/>
          <w:sz w:val="22"/>
          <w:szCs w:val="22"/>
        </w:rPr>
        <w:t xml:space="preserve"> </w:t>
      </w:r>
      <w:r>
        <w:rPr>
          <w:rFonts w:ascii="Calibri" w:hAnsi="Calibri"/>
          <w:bCs/>
          <w:color w:val="auto"/>
          <w:sz w:val="22"/>
          <w:szCs w:val="22"/>
        </w:rPr>
        <w:t xml:space="preserve">transactions </w:t>
      </w:r>
      <w:r w:rsidRPr="00F100F0">
        <w:rPr>
          <w:rFonts w:ascii="Calibri" w:hAnsi="Calibri"/>
          <w:bCs/>
          <w:color w:val="auto"/>
          <w:sz w:val="22"/>
          <w:szCs w:val="22"/>
        </w:rPr>
        <w:t xml:space="preserve">and lending, </w:t>
      </w:r>
      <w:r>
        <w:rPr>
          <w:rFonts w:ascii="Calibri" w:hAnsi="Calibri"/>
          <w:bCs/>
          <w:color w:val="auto"/>
          <w:sz w:val="22"/>
          <w:szCs w:val="22"/>
        </w:rPr>
        <w:t>and</w:t>
      </w:r>
      <w:r w:rsidRPr="00F100F0">
        <w:rPr>
          <w:rFonts w:ascii="Calibri" w:hAnsi="Calibri"/>
          <w:bCs/>
          <w:color w:val="auto"/>
          <w:sz w:val="22"/>
          <w:szCs w:val="22"/>
        </w:rPr>
        <w:t xml:space="preserve"> do not take into account the characteristics of the commodities market.</w:t>
      </w:r>
      <w:r>
        <w:rPr>
          <w:rFonts w:ascii="Calibri" w:hAnsi="Calibri"/>
          <w:bCs/>
          <w:color w:val="auto"/>
          <w:sz w:val="22"/>
          <w:szCs w:val="22"/>
        </w:rPr>
        <w:t xml:space="preserve"> FIA members are continuing to consider the reporting fields and would very much welcome the opportunity to provide ESMA with a more in-depth analysis in the near future.</w:t>
      </w:r>
    </w:p>
    <w:p w:rsidR="00C902AB" w:rsidRDefault="00C902AB" w:rsidP="00C902AB">
      <w:pPr>
        <w:pStyle w:val="Default"/>
        <w:jc w:val="both"/>
        <w:rPr>
          <w:rFonts w:ascii="Calibri" w:hAnsi="Calibri"/>
          <w:bCs/>
          <w:color w:val="auto"/>
          <w:sz w:val="22"/>
          <w:szCs w:val="22"/>
        </w:rPr>
      </w:pPr>
    </w:p>
    <w:p w:rsidR="00C902AB" w:rsidRPr="00F94930" w:rsidRDefault="00C902AB" w:rsidP="00C902AB">
      <w:pPr>
        <w:pStyle w:val="Default"/>
        <w:jc w:val="both"/>
        <w:rPr>
          <w:rFonts w:ascii="Calibri" w:hAnsi="Calibri"/>
          <w:bCs/>
          <w:color w:val="auto"/>
          <w:sz w:val="22"/>
          <w:szCs w:val="22"/>
        </w:rPr>
      </w:pPr>
      <w:r w:rsidRPr="00F94930">
        <w:rPr>
          <w:rFonts w:ascii="Calibri" w:hAnsi="Calibri"/>
          <w:bCs/>
          <w:color w:val="auto"/>
          <w:sz w:val="22"/>
          <w:szCs w:val="22"/>
        </w:rPr>
        <w:t>It would also be good to understand which fields are mandatory or optional. As not all transactions will have each and every field apply, there should be the ability to report a null value.</w:t>
      </w:r>
    </w:p>
    <w:p w:rsidR="00C902AB"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sidRPr="00F100F0">
        <w:rPr>
          <w:rFonts w:ascii="Calibri" w:hAnsi="Calibri"/>
          <w:bCs/>
          <w:color w:val="auto"/>
          <w:sz w:val="22"/>
          <w:szCs w:val="22"/>
        </w:rPr>
        <w:t>We have identified a number of fields</w:t>
      </w:r>
      <w:r>
        <w:rPr>
          <w:rFonts w:ascii="Calibri" w:hAnsi="Calibri"/>
          <w:bCs/>
          <w:color w:val="auto"/>
          <w:sz w:val="22"/>
          <w:szCs w:val="22"/>
        </w:rPr>
        <w:t>,</w:t>
      </w:r>
      <w:r w:rsidRPr="00F100F0">
        <w:rPr>
          <w:rFonts w:ascii="Calibri" w:hAnsi="Calibri"/>
          <w:bCs/>
          <w:color w:val="auto"/>
          <w:sz w:val="22"/>
          <w:szCs w:val="22"/>
        </w:rPr>
        <w:t xml:space="preserve"> which we believe may be problematic to populate in practice:</w:t>
      </w:r>
    </w:p>
    <w:p w:rsidR="00C902AB" w:rsidRPr="00F100F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1, 4, 7 and 10</w:t>
      </w:r>
      <w:r w:rsidRPr="00F100F0">
        <w:rPr>
          <w:rFonts w:ascii="Calibri" w:hAnsi="Calibri"/>
          <w:bCs/>
          <w:color w:val="auto"/>
          <w:sz w:val="22"/>
          <w:szCs w:val="22"/>
        </w:rPr>
        <w:t xml:space="preserve"> – Field 4 – Sector of the reporting counterparty – we note that the taxonomy for non-financial counterparties (NFCs) </w:t>
      </w:r>
      <w:r>
        <w:rPr>
          <w:rFonts w:ascii="Calibri" w:hAnsi="Calibri"/>
          <w:bCs/>
          <w:color w:val="auto"/>
          <w:sz w:val="22"/>
          <w:szCs w:val="22"/>
        </w:rPr>
        <w:t>is</w:t>
      </w:r>
      <w:r w:rsidRPr="00F100F0">
        <w:rPr>
          <w:rFonts w:ascii="Calibri" w:hAnsi="Calibri"/>
          <w:bCs/>
          <w:color w:val="auto"/>
          <w:sz w:val="22"/>
          <w:szCs w:val="22"/>
        </w:rPr>
        <w:t xml:space="preserve"> very granular. However, we note that many large </w:t>
      </w:r>
      <w:r>
        <w:rPr>
          <w:rFonts w:ascii="Calibri" w:hAnsi="Calibri"/>
          <w:bCs/>
          <w:color w:val="auto"/>
          <w:sz w:val="22"/>
          <w:szCs w:val="22"/>
        </w:rPr>
        <w:t>commodity market participants</w:t>
      </w:r>
      <w:r w:rsidRPr="00F100F0">
        <w:rPr>
          <w:rFonts w:ascii="Calibri" w:hAnsi="Calibri"/>
          <w:bCs/>
          <w:color w:val="auto"/>
          <w:sz w:val="22"/>
          <w:szCs w:val="22"/>
        </w:rPr>
        <w:t xml:space="preserve"> could be engaged across a number of sectors (for example, a commodities trading firm might be engaged in mining and quarrying (2) as well as transportation and storage (8)). We recommend that ESMA provide guidance on how such fields should be populated to avoid confusion where </w:t>
      </w:r>
      <w:r>
        <w:rPr>
          <w:rFonts w:ascii="Calibri" w:hAnsi="Calibri"/>
          <w:bCs/>
          <w:color w:val="auto"/>
          <w:sz w:val="22"/>
          <w:szCs w:val="22"/>
        </w:rPr>
        <w:t>an entity</w:t>
      </w:r>
      <w:r w:rsidRPr="00F100F0">
        <w:rPr>
          <w:rFonts w:ascii="Calibri" w:hAnsi="Calibri"/>
          <w:bCs/>
          <w:color w:val="auto"/>
          <w:sz w:val="22"/>
          <w:szCs w:val="22"/>
        </w:rPr>
        <w:t xml:space="preserve"> covers a number of activities</w:t>
      </w:r>
      <w:r>
        <w:rPr>
          <w:rFonts w:ascii="Calibri" w:hAnsi="Calibri"/>
          <w:bCs/>
          <w:color w:val="auto"/>
          <w:sz w:val="22"/>
          <w:szCs w:val="22"/>
        </w:rPr>
        <w:t>.</w:t>
      </w:r>
    </w:p>
    <w:p w:rsidR="00C902AB" w:rsidRPr="00F100F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1, 4, 7 and 10</w:t>
      </w:r>
      <w:r w:rsidRPr="00F100F0">
        <w:rPr>
          <w:rFonts w:ascii="Calibri" w:hAnsi="Calibri"/>
          <w:bCs/>
          <w:color w:val="auto"/>
          <w:sz w:val="22"/>
          <w:szCs w:val="22"/>
        </w:rPr>
        <w:t xml:space="preserve"> – Field 7 – Counterparty Side – in line with the comments raised in </w:t>
      </w:r>
      <w:r>
        <w:rPr>
          <w:rFonts w:ascii="Calibri" w:hAnsi="Calibri"/>
          <w:bCs/>
          <w:color w:val="auto"/>
          <w:sz w:val="22"/>
          <w:szCs w:val="22"/>
        </w:rPr>
        <w:t>our response to Q29</w:t>
      </w:r>
      <w:r w:rsidRPr="00F100F0">
        <w:rPr>
          <w:rFonts w:ascii="Calibri" w:hAnsi="Calibri"/>
          <w:bCs/>
          <w:color w:val="auto"/>
          <w:sz w:val="22"/>
          <w:szCs w:val="22"/>
        </w:rPr>
        <w:t>, we note that there may be confusion over the definition of seller and buyers in commodities borrowing and lending transactions</w:t>
      </w:r>
      <w:r>
        <w:rPr>
          <w:rFonts w:ascii="Calibri" w:hAnsi="Calibri"/>
          <w:bCs/>
          <w:color w:val="auto"/>
          <w:sz w:val="22"/>
          <w:szCs w:val="22"/>
        </w:rPr>
        <w:t>.</w:t>
      </w:r>
    </w:p>
    <w:p w:rsidR="00C902AB" w:rsidRPr="00F9493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t xml:space="preserve">Table </w:t>
      </w:r>
      <w:r>
        <w:rPr>
          <w:rFonts w:ascii="Calibri" w:hAnsi="Calibri"/>
          <w:bCs/>
          <w:color w:val="auto"/>
          <w:sz w:val="22"/>
          <w:szCs w:val="22"/>
        </w:rPr>
        <w:t>1, 4, 7 and 10</w:t>
      </w:r>
      <w:r w:rsidRPr="00F100F0">
        <w:rPr>
          <w:rFonts w:ascii="Calibri" w:hAnsi="Calibri"/>
          <w:bCs/>
          <w:color w:val="auto"/>
          <w:sz w:val="22"/>
          <w:szCs w:val="22"/>
        </w:rPr>
        <w:t xml:space="preserve"> – Field 10 – Beneficiary – we note that in various other r</w:t>
      </w:r>
      <w:r>
        <w:rPr>
          <w:rFonts w:ascii="Calibri" w:hAnsi="Calibri"/>
          <w:bCs/>
          <w:color w:val="auto"/>
          <w:sz w:val="22"/>
          <w:szCs w:val="22"/>
        </w:rPr>
        <w:t>egulations (for example, REMIT and MiFID II)</w:t>
      </w:r>
      <w:r w:rsidRPr="00F100F0">
        <w:rPr>
          <w:rFonts w:ascii="Calibri" w:hAnsi="Calibri"/>
          <w:bCs/>
          <w:color w:val="auto"/>
          <w:sz w:val="22"/>
          <w:szCs w:val="22"/>
        </w:rPr>
        <w:t xml:space="preserve"> there is a lack of clarity over the level of granularity at which the beneficiary field should be populated – for example, it is unclear whether a trade should be attributed to the investment manager which places the order, or the underlying fund (or funds) to which the trade would be attributed. It would be helpful for ESMA to elaborate on the policy objectives related to the information collected in this field.</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1, 4, 7 and 10</w:t>
      </w:r>
      <w:r w:rsidRPr="00F94930">
        <w:rPr>
          <w:rFonts w:ascii="Calibri" w:hAnsi="Calibri"/>
          <w:bCs/>
          <w:color w:val="auto"/>
          <w:sz w:val="22"/>
          <w:szCs w:val="22"/>
        </w:rPr>
        <w:t xml:space="preserve"> – Field 14 and 15 – need more clarity on what a CSD is in this context.</w:t>
      </w:r>
    </w:p>
    <w:p w:rsidR="00C902AB" w:rsidRPr="00F100F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t xml:space="preserve">Table </w:t>
      </w:r>
      <w:r>
        <w:rPr>
          <w:rFonts w:ascii="Calibri" w:hAnsi="Calibri"/>
          <w:bCs/>
          <w:color w:val="auto"/>
          <w:sz w:val="22"/>
          <w:szCs w:val="22"/>
        </w:rPr>
        <w:t>1, 4, 7 and 10</w:t>
      </w:r>
      <w:r w:rsidRPr="00F100F0">
        <w:rPr>
          <w:rFonts w:ascii="Calibri" w:hAnsi="Calibri"/>
          <w:bCs/>
          <w:color w:val="auto"/>
          <w:sz w:val="22"/>
          <w:szCs w:val="22"/>
        </w:rPr>
        <w:t xml:space="preserve"> – Field 16 – Collateral Component – many commodities transactions cover commodities</w:t>
      </w:r>
      <w:r>
        <w:rPr>
          <w:rFonts w:ascii="Calibri" w:hAnsi="Calibri"/>
          <w:bCs/>
          <w:color w:val="auto"/>
          <w:sz w:val="22"/>
          <w:szCs w:val="22"/>
        </w:rPr>
        <w:t>,</w:t>
      </w:r>
      <w:r w:rsidRPr="00F100F0">
        <w:rPr>
          <w:rFonts w:ascii="Calibri" w:hAnsi="Calibri"/>
          <w:bCs/>
          <w:color w:val="auto"/>
          <w:sz w:val="22"/>
          <w:szCs w:val="22"/>
        </w:rPr>
        <w:t xml:space="preserve"> which may be held by producers in their raw state and consequently cannot be identified as collateral through an ISIN or any other </w:t>
      </w:r>
      <w:r>
        <w:rPr>
          <w:rFonts w:ascii="Calibri" w:hAnsi="Calibri"/>
          <w:bCs/>
          <w:color w:val="auto"/>
          <w:sz w:val="22"/>
          <w:szCs w:val="22"/>
        </w:rPr>
        <w:t xml:space="preserve">standardised </w:t>
      </w:r>
      <w:r w:rsidRPr="00F100F0">
        <w:rPr>
          <w:rFonts w:ascii="Calibri" w:hAnsi="Calibri"/>
          <w:bCs/>
          <w:color w:val="auto"/>
          <w:sz w:val="22"/>
          <w:szCs w:val="22"/>
        </w:rPr>
        <w:t>identifier</w:t>
      </w:r>
      <w:r>
        <w:rPr>
          <w:rFonts w:ascii="Calibri" w:hAnsi="Calibri"/>
          <w:bCs/>
          <w:color w:val="auto"/>
          <w:sz w:val="22"/>
          <w:szCs w:val="22"/>
        </w:rPr>
        <w:t>.</w:t>
      </w:r>
    </w:p>
    <w:p w:rsidR="00C902AB" w:rsidRPr="00F100F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lastRenderedPageBreak/>
        <w:t xml:space="preserve">Table </w:t>
      </w:r>
      <w:r>
        <w:rPr>
          <w:rFonts w:ascii="Calibri" w:hAnsi="Calibri"/>
          <w:bCs/>
          <w:color w:val="auto"/>
          <w:sz w:val="22"/>
          <w:szCs w:val="22"/>
        </w:rPr>
        <w:t>1, 4, 7 and 10</w:t>
      </w:r>
      <w:r w:rsidRPr="00F100F0">
        <w:rPr>
          <w:rFonts w:ascii="Calibri" w:hAnsi="Calibri"/>
          <w:bCs/>
          <w:color w:val="auto"/>
          <w:sz w:val="22"/>
          <w:szCs w:val="22"/>
        </w:rPr>
        <w:t xml:space="preserve"> – Field 19 – Estimated Re-use of collateral – the purpose of this field does not seem to be clear – is this on the basis of the value of the underlying commodity, or the actual number of barrels/bushels of the underlying commodity? </w:t>
      </w:r>
    </w:p>
    <w:p w:rsidR="00C902AB" w:rsidRPr="00F100F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t xml:space="preserve">Table </w:t>
      </w:r>
      <w:r>
        <w:rPr>
          <w:rFonts w:ascii="Calibri" w:hAnsi="Calibri"/>
          <w:bCs/>
          <w:color w:val="auto"/>
          <w:sz w:val="22"/>
          <w:szCs w:val="22"/>
        </w:rPr>
        <w:t xml:space="preserve">2, 5, 8 and 11 </w:t>
      </w:r>
      <w:r w:rsidRPr="00F100F0">
        <w:rPr>
          <w:rFonts w:ascii="Calibri" w:hAnsi="Calibri"/>
          <w:bCs/>
          <w:color w:val="auto"/>
          <w:sz w:val="22"/>
          <w:szCs w:val="22"/>
        </w:rPr>
        <w:t xml:space="preserve">– Field 1 – UTI – </w:t>
      </w:r>
      <w:r>
        <w:rPr>
          <w:rFonts w:ascii="Calibri" w:hAnsi="Calibri"/>
          <w:bCs/>
          <w:color w:val="auto"/>
          <w:sz w:val="22"/>
          <w:szCs w:val="22"/>
        </w:rPr>
        <w:t xml:space="preserve">please clarify which methodology would be used to allow for a </w:t>
      </w:r>
      <w:r w:rsidRPr="00F100F0">
        <w:rPr>
          <w:rFonts w:ascii="Calibri" w:hAnsi="Calibri"/>
          <w:bCs/>
          <w:color w:val="auto"/>
          <w:sz w:val="22"/>
          <w:szCs w:val="22"/>
        </w:rPr>
        <w:t xml:space="preserve">UTI </w:t>
      </w:r>
      <w:r>
        <w:rPr>
          <w:rFonts w:ascii="Calibri" w:hAnsi="Calibri"/>
          <w:bCs/>
          <w:color w:val="auto"/>
          <w:sz w:val="22"/>
          <w:szCs w:val="22"/>
        </w:rPr>
        <w:t>to</w:t>
      </w:r>
      <w:r w:rsidRPr="00F100F0">
        <w:rPr>
          <w:rFonts w:ascii="Calibri" w:hAnsi="Calibri"/>
          <w:bCs/>
          <w:color w:val="auto"/>
          <w:sz w:val="22"/>
          <w:szCs w:val="22"/>
        </w:rPr>
        <w:t xml:space="preserve"> be generated for </w:t>
      </w:r>
      <w:r>
        <w:rPr>
          <w:rFonts w:ascii="Calibri" w:hAnsi="Calibri"/>
          <w:bCs/>
          <w:color w:val="auto"/>
          <w:sz w:val="22"/>
          <w:szCs w:val="22"/>
        </w:rPr>
        <w:t>commodities.</w:t>
      </w:r>
    </w:p>
    <w:p w:rsidR="00C902AB" w:rsidRPr="00F9493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t xml:space="preserve">Table </w:t>
      </w:r>
      <w:r>
        <w:rPr>
          <w:rFonts w:ascii="Calibri" w:hAnsi="Calibri"/>
          <w:bCs/>
          <w:color w:val="auto"/>
          <w:sz w:val="22"/>
          <w:szCs w:val="22"/>
        </w:rPr>
        <w:t>2, 5, 8 and 11</w:t>
      </w:r>
      <w:r w:rsidRPr="00F100F0">
        <w:rPr>
          <w:rFonts w:ascii="Calibri" w:hAnsi="Calibri"/>
          <w:bCs/>
          <w:color w:val="auto"/>
          <w:sz w:val="22"/>
          <w:szCs w:val="22"/>
        </w:rPr>
        <w:t xml:space="preserve"> – Field 10, 11 – Master Agreement Type, Version – although master agreements are widely used in securities financing transactions, many financiers in the commodities financing space rely on bespoke documentation to document relationships with clients and consequently they would not conform to the master agreement taxonomy</w:t>
      </w:r>
      <w:r>
        <w:rPr>
          <w:rFonts w:ascii="Calibri" w:hAnsi="Calibri"/>
          <w:bCs/>
          <w:color w:val="auto"/>
          <w:sz w:val="22"/>
          <w:szCs w:val="22"/>
        </w:rPr>
        <w:t>.</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2, 5, 8 and 11</w:t>
      </w:r>
      <w:r w:rsidRPr="00F94930">
        <w:rPr>
          <w:rFonts w:ascii="Calibri" w:hAnsi="Calibri"/>
          <w:bCs/>
          <w:color w:val="auto"/>
          <w:sz w:val="22"/>
          <w:szCs w:val="22"/>
        </w:rPr>
        <w:t xml:space="preserve"> – Field 13 – Entities may decide to </w:t>
      </w:r>
      <w:r>
        <w:rPr>
          <w:rFonts w:ascii="Calibri" w:hAnsi="Calibri"/>
          <w:bCs/>
          <w:color w:val="auto"/>
          <w:sz w:val="22"/>
          <w:szCs w:val="22"/>
        </w:rPr>
        <w:t>amend</w:t>
      </w:r>
      <w:r w:rsidRPr="00F94930">
        <w:rPr>
          <w:rFonts w:ascii="Calibri" w:hAnsi="Calibri"/>
          <w:bCs/>
          <w:color w:val="auto"/>
          <w:sz w:val="22"/>
          <w:szCs w:val="22"/>
        </w:rPr>
        <w:t xml:space="preserve"> the master agreement over time, should this be noted in </w:t>
      </w:r>
      <w:r>
        <w:rPr>
          <w:rFonts w:ascii="Calibri" w:hAnsi="Calibri"/>
          <w:bCs/>
          <w:color w:val="auto"/>
          <w:sz w:val="22"/>
          <w:szCs w:val="22"/>
        </w:rPr>
        <w:t>F</w:t>
      </w:r>
      <w:r w:rsidRPr="00F94930">
        <w:rPr>
          <w:rFonts w:ascii="Calibri" w:hAnsi="Calibri"/>
          <w:bCs/>
          <w:color w:val="auto"/>
          <w:sz w:val="22"/>
          <w:szCs w:val="22"/>
        </w:rPr>
        <w:t>ield 13?</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2, 5, 8 and 11</w:t>
      </w:r>
      <w:r w:rsidRPr="00F94930">
        <w:rPr>
          <w:rFonts w:ascii="Calibri" w:hAnsi="Calibri"/>
          <w:bCs/>
          <w:color w:val="auto"/>
          <w:sz w:val="22"/>
          <w:szCs w:val="22"/>
        </w:rPr>
        <w:t xml:space="preserve"> – Field 14 – What date is expected here, the date that the master was agreed or the date of the first transaction under the agreement? We would interpret this to be the date of the first confirm</w:t>
      </w:r>
      <w:r>
        <w:rPr>
          <w:rFonts w:ascii="Calibri" w:hAnsi="Calibri"/>
          <w:bCs/>
          <w:color w:val="auto"/>
          <w:sz w:val="22"/>
          <w:szCs w:val="22"/>
        </w:rPr>
        <w:t>ation</w:t>
      </w:r>
      <w:r w:rsidRPr="00F94930">
        <w:rPr>
          <w:rFonts w:ascii="Calibri" w:hAnsi="Calibri"/>
          <w:bCs/>
          <w:color w:val="auto"/>
          <w:sz w:val="22"/>
          <w:szCs w:val="22"/>
        </w:rPr>
        <w:t xml:space="preserve"> executed under the </w:t>
      </w:r>
      <w:r>
        <w:rPr>
          <w:rFonts w:ascii="Calibri" w:hAnsi="Calibri"/>
          <w:bCs/>
          <w:color w:val="auto"/>
          <w:sz w:val="22"/>
          <w:szCs w:val="22"/>
        </w:rPr>
        <w:t>m</w:t>
      </w:r>
      <w:r w:rsidRPr="00F94930">
        <w:rPr>
          <w:rFonts w:ascii="Calibri" w:hAnsi="Calibri"/>
          <w:bCs/>
          <w:color w:val="auto"/>
          <w:sz w:val="22"/>
          <w:szCs w:val="22"/>
        </w:rPr>
        <w:t>aster</w:t>
      </w:r>
      <w:r>
        <w:rPr>
          <w:rFonts w:ascii="Calibri" w:hAnsi="Calibri"/>
          <w:bCs/>
          <w:color w:val="auto"/>
          <w:sz w:val="22"/>
          <w:szCs w:val="22"/>
        </w:rPr>
        <w:t xml:space="preserve"> agreement</w:t>
      </w:r>
      <w:r w:rsidRPr="00F94930">
        <w:rPr>
          <w:rFonts w:ascii="Calibri" w:hAnsi="Calibri"/>
          <w:bCs/>
          <w:color w:val="auto"/>
          <w:sz w:val="22"/>
          <w:szCs w:val="22"/>
        </w:rPr>
        <w:t>.</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 xml:space="preserve">2, 5, 8 and 11 </w:t>
      </w:r>
      <w:r w:rsidRPr="00F94930">
        <w:rPr>
          <w:rFonts w:ascii="Calibri" w:hAnsi="Calibri"/>
          <w:bCs/>
          <w:color w:val="auto"/>
          <w:sz w:val="22"/>
          <w:szCs w:val="22"/>
        </w:rPr>
        <w:t xml:space="preserve">– Field 17 – Is this meant to be the termination date of the </w:t>
      </w:r>
      <w:r>
        <w:rPr>
          <w:rFonts w:ascii="Calibri" w:hAnsi="Calibri"/>
          <w:bCs/>
          <w:color w:val="auto"/>
          <w:sz w:val="22"/>
          <w:szCs w:val="22"/>
        </w:rPr>
        <w:t>m</w:t>
      </w:r>
      <w:r w:rsidRPr="00F94930">
        <w:rPr>
          <w:rFonts w:ascii="Calibri" w:hAnsi="Calibri"/>
          <w:bCs/>
          <w:color w:val="auto"/>
          <w:sz w:val="22"/>
          <w:szCs w:val="22"/>
        </w:rPr>
        <w:t>aster</w:t>
      </w:r>
      <w:r>
        <w:rPr>
          <w:rFonts w:ascii="Calibri" w:hAnsi="Calibri"/>
          <w:bCs/>
          <w:color w:val="auto"/>
          <w:sz w:val="22"/>
          <w:szCs w:val="22"/>
        </w:rPr>
        <w:t xml:space="preserve"> agreement o</w:t>
      </w:r>
      <w:r w:rsidRPr="00F94930">
        <w:rPr>
          <w:rFonts w:ascii="Calibri" w:hAnsi="Calibri"/>
          <w:bCs/>
          <w:color w:val="auto"/>
          <w:sz w:val="22"/>
          <w:szCs w:val="22"/>
        </w:rPr>
        <w:t>r the transaction?</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 xml:space="preserve">2, 5, 8 and 11 </w:t>
      </w:r>
      <w:r w:rsidRPr="00F94930">
        <w:rPr>
          <w:rFonts w:ascii="Calibri" w:hAnsi="Calibri"/>
          <w:bCs/>
          <w:color w:val="auto"/>
          <w:sz w:val="22"/>
          <w:szCs w:val="22"/>
        </w:rPr>
        <w:t>– Field 19 – Is this the same as the maturity date?</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2, 5, 8 and 11</w:t>
      </w:r>
      <w:r w:rsidRPr="00F94930">
        <w:rPr>
          <w:rFonts w:ascii="Calibri" w:hAnsi="Calibri"/>
          <w:bCs/>
          <w:color w:val="auto"/>
          <w:sz w:val="22"/>
          <w:szCs w:val="22"/>
        </w:rPr>
        <w:t xml:space="preserve"> – Field 21 – What is a DBV Indicator? </w:t>
      </w:r>
    </w:p>
    <w:p w:rsidR="00C902AB" w:rsidRPr="00F949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 xml:space="preserve">Table </w:t>
      </w:r>
      <w:r>
        <w:rPr>
          <w:rFonts w:ascii="Calibri" w:hAnsi="Calibri"/>
          <w:bCs/>
          <w:color w:val="auto"/>
          <w:sz w:val="22"/>
          <w:szCs w:val="22"/>
        </w:rPr>
        <w:t>2, 5, 8 and 11</w:t>
      </w:r>
      <w:r w:rsidRPr="00F94930">
        <w:rPr>
          <w:rFonts w:ascii="Calibri" w:hAnsi="Calibri"/>
          <w:bCs/>
          <w:color w:val="auto"/>
          <w:sz w:val="22"/>
          <w:szCs w:val="22"/>
        </w:rPr>
        <w:t xml:space="preserve"> – Field </w:t>
      </w:r>
      <w:r>
        <w:rPr>
          <w:rFonts w:ascii="Calibri" w:hAnsi="Calibri"/>
          <w:bCs/>
          <w:color w:val="auto"/>
          <w:sz w:val="22"/>
          <w:szCs w:val="22"/>
        </w:rPr>
        <w:t>18</w:t>
      </w:r>
      <w:r w:rsidRPr="00F94930">
        <w:rPr>
          <w:rFonts w:ascii="Calibri" w:hAnsi="Calibri"/>
          <w:bCs/>
          <w:color w:val="auto"/>
          <w:sz w:val="22"/>
          <w:szCs w:val="22"/>
        </w:rPr>
        <w:t xml:space="preserve"> – </w:t>
      </w:r>
      <w:r>
        <w:rPr>
          <w:rFonts w:ascii="Calibri" w:hAnsi="Calibri"/>
          <w:bCs/>
          <w:color w:val="auto"/>
          <w:sz w:val="22"/>
          <w:szCs w:val="22"/>
        </w:rPr>
        <w:t xml:space="preserve">Please kindly clarify </w:t>
      </w:r>
      <w:r w:rsidRPr="00F94930">
        <w:rPr>
          <w:rFonts w:ascii="Calibri" w:hAnsi="Calibri"/>
          <w:bCs/>
          <w:color w:val="auto"/>
          <w:sz w:val="22"/>
          <w:szCs w:val="22"/>
        </w:rPr>
        <w:t>what a day count refers to in commodities SFTR transactions.</w:t>
      </w:r>
    </w:p>
    <w:p w:rsidR="00C902AB" w:rsidRPr="00F100F0" w:rsidRDefault="00C902AB" w:rsidP="00C902AB">
      <w:pPr>
        <w:pStyle w:val="Default"/>
        <w:numPr>
          <w:ilvl w:val="0"/>
          <w:numId w:val="52"/>
        </w:numPr>
        <w:suppressAutoHyphens/>
        <w:adjustRightInd/>
        <w:jc w:val="both"/>
        <w:textAlignment w:val="baseline"/>
        <w:rPr>
          <w:color w:val="auto"/>
        </w:rPr>
      </w:pPr>
      <w:r w:rsidRPr="00F100F0">
        <w:rPr>
          <w:rFonts w:ascii="Calibri" w:hAnsi="Calibri"/>
          <w:bCs/>
          <w:color w:val="auto"/>
          <w:sz w:val="22"/>
          <w:szCs w:val="22"/>
        </w:rPr>
        <w:t>Table 3</w:t>
      </w:r>
      <w:r>
        <w:rPr>
          <w:rFonts w:ascii="Calibri" w:hAnsi="Calibri"/>
          <w:bCs/>
          <w:color w:val="auto"/>
          <w:sz w:val="22"/>
          <w:szCs w:val="22"/>
        </w:rPr>
        <w:t>, 6, 9 and 12</w:t>
      </w:r>
      <w:r w:rsidRPr="00F100F0">
        <w:rPr>
          <w:rFonts w:ascii="Calibri" w:hAnsi="Calibri"/>
          <w:bCs/>
          <w:color w:val="auto"/>
          <w:sz w:val="22"/>
          <w:szCs w:val="22"/>
        </w:rPr>
        <w:t xml:space="preserve"> – Field 2 – </w:t>
      </w:r>
      <w:r>
        <w:rPr>
          <w:rFonts w:ascii="Calibri" w:hAnsi="Calibri"/>
          <w:bCs/>
          <w:color w:val="auto"/>
          <w:sz w:val="22"/>
          <w:szCs w:val="22"/>
        </w:rPr>
        <w:t>C</w:t>
      </w:r>
      <w:r w:rsidRPr="00F100F0">
        <w:rPr>
          <w:rFonts w:ascii="Calibri" w:hAnsi="Calibri"/>
          <w:bCs/>
          <w:color w:val="auto"/>
          <w:sz w:val="22"/>
          <w:szCs w:val="22"/>
        </w:rPr>
        <w:t xml:space="preserve">ollateral </w:t>
      </w:r>
      <w:r>
        <w:rPr>
          <w:rFonts w:ascii="Calibri" w:hAnsi="Calibri"/>
          <w:bCs/>
          <w:color w:val="auto"/>
          <w:sz w:val="22"/>
          <w:szCs w:val="22"/>
        </w:rPr>
        <w:t>C</w:t>
      </w:r>
      <w:r w:rsidRPr="00F100F0">
        <w:rPr>
          <w:rFonts w:ascii="Calibri" w:hAnsi="Calibri"/>
          <w:bCs/>
          <w:color w:val="auto"/>
          <w:sz w:val="22"/>
          <w:szCs w:val="22"/>
        </w:rPr>
        <w:t>omponent – many commodities financing transactions cover commodities</w:t>
      </w:r>
      <w:r>
        <w:rPr>
          <w:rFonts w:ascii="Calibri" w:hAnsi="Calibri"/>
          <w:bCs/>
          <w:color w:val="auto"/>
          <w:sz w:val="22"/>
          <w:szCs w:val="22"/>
        </w:rPr>
        <w:t>,</w:t>
      </w:r>
      <w:r w:rsidRPr="00F100F0">
        <w:rPr>
          <w:rFonts w:ascii="Calibri" w:hAnsi="Calibri"/>
          <w:bCs/>
          <w:color w:val="auto"/>
          <w:sz w:val="22"/>
          <w:szCs w:val="22"/>
        </w:rPr>
        <w:t xml:space="preserve"> which may be held by producers in their raw state and consequently cannot be identified as collateral through an ISIN or any other </w:t>
      </w:r>
      <w:r>
        <w:rPr>
          <w:rFonts w:ascii="Calibri" w:hAnsi="Calibri"/>
          <w:bCs/>
          <w:color w:val="auto"/>
          <w:sz w:val="22"/>
          <w:szCs w:val="22"/>
        </w:rPr>
        <w:t xml:space="preserve">standardised </w:t>
      </w:r>
      <w:r w:rsidRPr="00F100F0">
        <w:rPr>
          <w:rFonts w:ascii="Calibri" w:hAnsi="Calibri"/>
          <w:bCs/>
          <w:color w:val="auto"/>
          <w:sz w:val="22"/>
          <w:szCs w:val="22"/>
        </w:rPr>
        <w:t>identifier</w:t>
      </w:r>
      <w:r>
        <w:rPr>
          <w:rFonts w:ascii="Calibri" w:hAnsi="Calibri"/>
          <w:bCs/>
          <w:color w:val="auto"/>
          <w:sz w:val="22"/>
          <w:szCs w:val="22"/>
        </w:rPr>
        <w:t>.</w:t>
      </w:r>
    </w:p>
    <w:p w:rsidR="00C902AB" w:rsidRPr="00B31A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F100F0">
        <w:rPr>
          <w:rFonts w:ascii="Calibri" w:hAnsi="Calibri"/>
          <w:bCs/>
          <w:color w:val="auto"/>
          <w:sz w:val="22"/>
          <w:szCs w:val="22"/>
        </w:rPr>
        <w:t>Table 3</w:t>
      </w:r>
      <w:r>
        <w:rPr>
          <w:rFonts w:ascii="Calibri" w:hAnsi="Calibri"/>
          <w:bCs/>
          <w:color w:val="auto"/>
          <w:sz w:val="22"/>
          <w:szCs w:val="22"/>
        </w:rPr>
        <w:t>, 6, 9 and 12</w:t>
      </w:r>
      <w:r w:rsidRPr="00F100F0">
        <w:rPr>
          <w:rFonts w:ascii="Calibri" w:hAnsi="Calibri"/>
          <w:bCs/>
          <w:color w:val="auto"/>
          <w:sz w:val="22"/>
          <w:szCs w:val="22"/>
        </w:rPr>
        <w:t xml:space="preserve"> – Field 12 – </w:t>
      </w:r>
      <w:r>
        <w:rPr>
          <w:rFonts w:ascii="Calibri" w:hAnsi="Calibri"/>
          <w:bCs/>
          <w:color w:val="auto"/>
          <w:sz w:val="22"/>
          <w:szCs w:val="22"/>
        </w:rPr>
        <w:t>C</w:t>
      </w:r>
      <w:r w:rsidRPr="00F100F0">
        <w:rPr>
          <w:rFonts w:ascii="Calibri" w:hAnsi="Calibri"/>
          <w:bCs/>
          <w:color w:val="auto"/>
          <w:sz w:val="22"/>
          <w:szCs w:val="22"/>
        </w:rPr>
        <w:t xml:space="preserve">ollateral </w:t>
      </w:r>
      <w:r>
        <w:rPr>
          <w:rFonts w:ascii="Calibri" w:hAnsi="Calibri"/>
          <w:bCs/>
          <w:color w:val="auto"/>
          <w:sz w:val="22"/>
          <w:szCs w:val="22"/>
        </w:rPr>
        <w:t>Q</w:t>
      </w:r>
      <w:r w:rsidRPr="00F100F0">
        <w:rPr>
          <w:rFonts w:ascii="Calibri" w:hAnsi="Calibri"/>
          <w:bCs/>
          <w:color w:val="auto"/>
          <w:sz w:val="22"/>
          <w:szCs w:val="22"/>
        </w:rPr>
        <w:t>uality – although many commodities may be graded to conform to different quality standards and assessments, we understand that commodities do not conform to the proposed taxonomy of ‘investment grade’, ‘non-investment grade’, or ‘non-rated’</w:t>
      </w:r>
      <w:r>
        <w:rPr>
          <w:rFonts w:ascii="Calibri" w:hAnsi="Calibri"/>
          <w:bCs/>
          <w:color w:val="auto"/>
          <w:sz w:val="22"/>
          <w:szCs w:val="22"/>
        </w:rPr>
        <w:t>.</w:t>
      </w:r>
    </w:p>
    <w:p w:rsidR="00C902AB" w:rsidRPr="00B31A30" w:rsidRDefault="00C902AB" w:rsidP="00C902AB">
      <w:pPr>
        <w:pStyle w:val="Default"/>
        <w:numPr>
          <w:ilvl w:val="0"/>
          <w:numId w:val="52"/>
        </w:numPr>
        <w:suppressAutoHyphens/>
        <w:adjustRightInd/>
        <w:jc w:val="both"/>
        <w:textAlignment w:val="baseline"/>
        <w:rPr>
          <w:rFonts w:ascii="Calibri" w:hAnsi="Calibri"/>
          <w:bCs/>
          <w:color w:val="auto"/>
          <w:sz w:val="22"/>
          <w:szCs w:val="22"/>
        </w:rPr>
      </w:pPr>
      <w:r w:rsidRPr="00B31A30">
        <w:rPr>
          <w:rFonts w:ascii="Calibri" w:hAnsi="Calibri"/>
          <w:bCs/>
          <w:color w:val="auto"/>
          <w:sz w:val="22"/>
          <w:szCs w:val="22"/>
        </w:rPr>
        <w:t>Table 3</w:t>
      </w:r>
      <w:r>
        <w:rPr>
          <w:rFonts w:ascii="Calibri" w:hAnsi="Calibri"/>
          <w:bCs/>
          <w:color w:val="auto"/>
          <w:sz w:val="22"/>
          <w:szCs w:val="22"/>
        </w:rPr>
        <w:t xml:space="preserve">, 6, 9 and 12 </w:t>
      </w:r>
      <w:r w:rsidRPr="00B31A30">
        <w:rPr>
          <w:rFonts w:ascii="Calibri" w:hAnsi="Calibri"/>
          <w:bCs/>
          <w:color w:val="auto"/>
          <w:sz w:val="22"/>
          <w:szCs w:val="22"/>
        </w:rPr>
        <w:t>– Field 17 – An ISIN is not available in commodities so FIA members do not believe that it is relevant for reporting these types of transactions.</w:t>
      </w:r>
    </w:p>
    <w:permEnd w:id="1930788278"/>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C902AB" w:rsidRPr="00C902AB" w:rsidRDefault="00C902AB" w:rsidP="00C902AB">
      <w:pPr>
        <w:pStyle w:val="Default"/>
        <w:jc w:val="both"/>
        <w:rPr>
          <w:rFonts w:ascii="Calibri" w:hAnsi="Calibri"/>
          <w:bCs/>
          <w:color w:val="auto"/>
          <w:sz w:val="22"/>
          <w:szCs w:val="22"/>
        </w:rPr>
      </w:pPr>
      <w:permStart w:id="28263281" w:edGrp="everyone"/>
      <w:r w:rsidRPr="00C902AB">
        <w:rPr>
          <w:rFonts w:ascii="Calibri" w:hAnsi="Calibri"/>
          <w:bCs/>
          <w:color w:val="auto"/>
          <w:sz w:val="22"/>
          <w:szCs w:val="22"/>
        </w:rPr>
        <w:t>As pointed out in our response to Q50, there are a number of commodity finance transactions that do not fall under the definitions of securities lending, repo and buy-sell back and there may be additional transaction types that are equally out of scope of the SFTR.</w:t>
      </w:r>
    </w:p>
    <w:permEnd w:id="28263281"/>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C902AB" w:rsidRDefault="00C902AB" w:rsidP="00C902AB">
      <w:pPr>
        <w:pStyle w:val="Default"/>
        <w:jc w:val="both"/>
        <w:rPr>
          <w:rFonts w:ascii="Calibri" w:hAnsi="Calibri"/>
          <w:bCs/>
          <w:color w:val="auto"/>
          <w:sz w:val="22"/>
          <w:szCs w:val="22"/>
        </w:rPr>
      </w:pPr>
      <w:permStart w:id="1808484956" w:edGrp="everyone"/>
      <w:r>
        <w:rPr>
          <w:rFonts w:ascii="Calibri" w:hAnsi="Calibri"/>
          <w:bCs/>
          <w:color w:val="auto"/>
          <w:sz w:val="22"/>
          <w:szCs w:val="22"/>
        </w:rPr>
        <w:t xml:space="preserve">We are not aware of other scenarios that should be in scope of the SFTR. </w:t>
      </w:r>
    </w:p>
    <w:p w:rsidR="00C902AB"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rFonts w:ascii="Calibri" w:hAnsi="Calibri"/>
          <w:bCs/>
          <w:color w:val="auto"/>
          <w:sz w:val="22"/>
          <w:szCs w:val="22"/>
        </w:rPr>
      </w:pPr>
      <w:r>
        <w:rPr>
          <w:rFonts w:ascii="Calibri" w:hAnsi="Calibri"/>
          <w:bCs/>
          <w:color w:val="auto"/>
          <w:sz w:val="22"/>
          <w:szCs w:val="22"/>
        </w:rPr>
        <w:t xml:space="preserve">As set out in our response to Q50, there are various structures used by the industry, however, we believe those transactions are not intended to be in scope of the SFTR. They either do not include a two-way exchange of commodities or there is no transfer of title involved. </w:t>
      </w:r>
      <w:r w:rsidRPr="00F100F0">
        <w:rPr>
          <w:rFonts w:ascii="Calibri" w:hAnsi="Calibri"/>
          <w:bCs/>
          <w:color w:val="auto"/>
          <w:sz w:val="22"/>
          <w:szCs w:val="22"/>
        </w:rPr>
        <w:t xml:space="preserve"> </w:t>
      </w:r>
    </w:p>
    <w:permEnd w:id="1808484956"/>
    <w:p w:rsidR="00E652D1" w:rsidRDefault="00E652D1" w:rsidP="00E652D1">
      <w:r>
        <w:t>&lt;ESMA_QUESTION_SFTR_59&gt;</w:t>
      </w:r>
    </w:p>
    <w:p w:rsidR="00E652D1" w:rsidRDefault="00E652D1" w:rsidP="00E652D1"/>
    <w:p w:rsidR="00E652D1" w:rsidRDefault="00E652D1" w:rsidP="00E652D1">
      <w:pPr>
        <w:pStyle w:val="QST"/>
        <w:numPr>
          <w:ilvl w:val="0"/>
          <w:numId w:val="50"/>
        </w:numPr>
      </w:pPr>
      <w:r>
        <w:lastRenderedPageBreak/>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C902AB" w:rsidRPr="00F100F0" w:rsidRDefault="00C902AB" w:rsidP="00C902AB">
      <w:pPr>
        <w:pStyle w:val="Default"/>
        <w:jc w:val="both"/>
        <w:rPr>
          <w:rFonts w:ascii="Calibri" w:hAnsi="Calibri"/>
          <w:bCs/>
          <w:color w:val="auto"/>
          <w:sz w:val="22"/>
          <w:szCs w:val="22"/>
        </w:rPr>
      </w:pPr>
      <w:permStart w:id="930947455" w:edGrp="everyone"/>
      <w:r w:rsidRPr="00F100F0">
        <w:rPr>
          <w:rFonts w:ascii="Calibri" w:hAnsi="Calibri"/>
          <w:bCs/>
          <w:color w:val="auto"/>
          <w:sz w:val="22"/>
          <w:szCs w:val="22"/>
        </w:rPr>
        <w:t>We understand that ISINs, whilst useful for securities based SFTs, may not be appropriate for commodities transactions</w:t>
      </w:r>
      <w:r>
        <w:rPr>
          <w:rFonts w:ascii="Calibri" w:hAnsi="Calibri"/>
          <w:bCs/>
          <w:color w:val="auto"/>
          <w:sz w:val="22"/>
          <w:szCs w:val="22"/>
        </w:rPr>
        <w:t xml:space="preserve"> as defined under SFTR</w:t>
      </w:r>
      <w:r w:rsidRPr="00F100F0">
        <w:rPr>
          <w:rFonts w:ascii="Calibri" w:hAnsi="Calibri"/>
          <w:bCs/>
          <w:color w:val="auto"/>
          <w:sz w:val="22"/>
          <w:szCs w:val="22"/>
        </w:rPr>
        <w:t xml:space="preserve">. Although commodities may be used as security in financing transactions, commodities are frequently taken as security </w:t>
      </w:r>
      <w:r>
        <w:rPr>
          <w:rFonts w:ascii="Calibri" w:hAnsi="Calibri"/>
          <w:bCs/>
          <w:color w:val="auto"/>
          <w:sz w:val="22"/>
          <w:szCs w:val="22"/>
        </w:rPr>
        <w:t xml:space="preserve">in their raw state or during some stage within the production chain, e.g. </w:t>
      </w:r>
      <w:r w:rsidRPr="00F100F0">
        <w:rPr>
          <w:rFonts w:ascii="Calibri" w:hAnsi="Calibri"/>
          <w:bCs/>
          <w:color w:val="auto"/>
          <w:sz w:val="22"/>
          <w:szCs w:val="22"/>
        </w:rPr>
        <w:t xml:space="preserve">as stored in warehouses and </w:t>
      </w:r>
      <w:r>
        <w:rPr>
          <w:rFonts w:ascii="Calibri" w:hAnsi="Calibri"/>
          <w:bCs/>
          <w:color w:val="auto"/>
          <w:sz w:val="22"/>
          <w:szCs w:val="22"/>
        </w:rPr>
        <w:t xml:space="preserve">thus </w:t>
      </w:r>
      <w:r w:rsidRPr="00F100F0">
        <w:rPr>
          <w:rFonts w:ascii="Calibri" w:hAnsi="Calibri"/>
          <w:bCs/>
          <w:color w:val="auto"/>
          <w:sz w:val="22"/>
          <w:szCs w:val="22"/>
        </w:rPr>
        <w:t>are not assigned ISINs.</w:t>
      </w:r>
    </w:p>
    <w:p w:rsidR="00C902AB" w:rsidRPr="00F100F0" w:rsidRDefault="00C902AB" w:rsidP="00C902AB">
      <w:pPr>
        <w:pStyle w:val="Default"/>
        <w:jc w:val="both"/>
        <w:rPr>
          <w:rFonts w:ascii="Calibri" w:hAnsi="Calibri"/>
          <w:bCs/>
          <w:color w:val="auto"/>
          <w:sz w:val="22"/>
          <w:szCs w:val="22"/>
        </w:rPr>
      </w:pPr>
    </w:p>
    <w:p w:rsidR="00C902AB" w:rsidRPr="00F100F0" w:rsidRDefault="00C902AB" w:rsidP="00C902AB">
      <w:pPr>
        <w:pStyle w:val="Default"/>
        <w:jc w:val="both"/>
        <w:rPr>
          <w:color w:val="auto"/>
        </w:rPr>
      </w:pPr>
      <w:r w:rsidRPr="00F100F0">
        <w:rPr>
          <w:rFonts w:ascii="Calibri" w:hAnsi="Calibri"/>
          <w:bCs/>
          <w:color w:val="auto"/>
          <w:sz w:val="22"/>
          <w:szCs w:val="22"/>
        </w:rPr>
        <w:t xml:space="preserve">Some commodities are represented </w:t>
      </w:r>
      <w:r>
        <w:rPr>
          <w:rFonts w:ascii="Calibri" w:hAnsi="Calibri"/>
          <w:bCs/>
          <w:color w:val="auto"/>
          <w:sz w:val="22"/>
          <w:szCs w:val="22"/>
        </w:rPr>
        <w:t>by</w:t>
      </w:r>
      <w:r w:rsidRPr="00F100F0">
        <w:rPr>
          <w:rFonts w:ascii="Calibri" w:hAnsi="Calibri"/>
          <w:bCs/>
          <w:color w:val="auto"/>
          <w:sz w:val="22"/>
          <w:szCs w:val="22"/>
        </w:rPr>
        <w:t xml:space="preserve"> </w:t>
      </w:r>
      <w:r>
        <w:rPr>
          <w:rFonts w:ascii="Calibri" w:hAnsi="Calibri"/>
          <w:bCs/>
          <w:color w:val="auto"/>
          <w:sz w:val="22"/>
          <w:szCs w:val="22"/>
        </w:rPr>
        <w:t xml:space="preserve">warehouse receipts or </w:t>
      </w:r>
      <w:r w:rsidRPr="00F100F0">
        <w:rPr>
          <w:rFonts w:ascii="Calibri" w:hAnsi="Calibri"/>
          <w:bCs/>
          <w:color w:val="auto"/>
          <w:sz w:val="22"/>
          <w:szCs w:val="22"/>
        </w:rPr>
        <w:t>warrants</w:t>
      </w:r>
      <w:r>
        <w:rPr>
          <w:rFonts w:ascii="Calibri" w:hAnsi="Calibri"/>
          <w:bCs/>
          <w:color w:val="auto"/>
          <w:sz w:val="22"/>
          <w:szCs w:val="22"/>
        </w:rPr>
        <w:t>,</w:t>
      </w:r>
      <w:r w:rsidRPr="00F100F0">
        <w:rPr>
          <w:rFonts w:ascii="Calibri" w:hAnsi="Calibri"/>
          <w:bCs/>
          <w:color w:val="auto"/>
          <w:sz w:val="22"/>
          <w:szCs w:val="22"/>
        </w:rPr>
        <w:t xml:space="preserve"> which may be </w:t>
      </w:r>
      <w:r>
        <w:rPr>
          <w:rFonts w:ascii="Calibri" w:hAnsi="Calibri"/>
          <w:bCs/>
          <w:color w:val="auto"/>
          <w:sz w:val="22"/>
          <w:szCs w:val="22"/>
        </w:rPr>
        <w:t xml:space="preserve">issued or </w:t>
      </w:r>
      <w:r w:rsidRPr="00F100F0">
        <w:rPr>
          <w:rFonts w:ascii="Calibri" w:hAnsi="Calibri"/>
          <w:bCs/>
          <w:color w:val="auto"/>
          <w:sz w:val="22"/>
          <w:szCs w:val="22"/>
        </w:rPr>
        <w:t>numbered by the entity which stores such commodities, however this may not be appropriate for all commodities.</w:t>
      </w:r>
    </w:p>
    <w:permEnd w:id="930947455"/>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C902AB" w:rsidRPr="00F100F0" w:rsidRDefault="00C902AB" w:rsidP="00C902AB">
      <w:pPr>
        <w:pStyle w:val="Default"/>
        <w:jc w:val="both"/>
        <w:rPr>
          <w:color w:val="auto"/>
        </w:rPr>
      </w:pPr>
      <w:permStart w:id="1212710568" w:edGrp="everyone"/>
      <w:r w:rsidRPr="00F100F0">
        <w:rPr>
          <w:rFonts w:ascii="Calibri" w:hAnsi="Calibri"/>
          <w:bCs/>
          <w:color w:val="auto"/>
          <w:sz w:val="22"/>
          <w:szCs w:val="22"/>
        </w:rPr>
        <w:t>Broadly, we consider the proposed taxonomy for identifying commodities as accurate.</w:t>
      </w:r>
    </w:p>
    <w:permEnd w:id="1212710568"/>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C902AB" w:rsidRPr="00F100F0" w:rsidRDefault="00C902AB" w:rsidP="00C902AB">
      <w:pPr>
        <w:pStyle w:val="Default"/>
        <w:jc w:val="both"/>
        <w:rPr>
          <w:color w:val="auto"/>
        </w:rPr>
      </w:pPr>
      <w:permStart w:id="655704352" w:edGrp="everyone"/>
      <w:r>
        <w:rPr>
          <w:rFonts w:ascii="Calibri" w:hAnsi="Calibri"/>
          <w:bCs/>
          <w:color w:val="auto"/>
          <w:sz w:val="22"/>
          <w:szCs w:val="22"/>
        </w:rPr>
        <w:t>No, we agree with ESMA’s classification.</w:t>
      </w:r>
    </w:p>
    <w:permEnd w:id="655704352"/>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C902AB" w:rsidRPr="00C902AB" w:rsidRDefault="00C902AB" w:rsidP="00C902AB">
      <w:pPr>
        <w:pStyle w:val="Default"/>
        <w:jc w:val="both"/>
        <w:rPr>
          <w:rFonts w:ascii="Calibri" w:hAnsi="Calibri"/>
          <w:bCs/>
          <w:color w:val="auto"/>
          <w:sz w:val="22"/>
          <w:szCs w:val="22"/>
        </w:rPr>
      </w:pPr>
      <w:permStart w:id="827851109" w:edGrp="everyone"/>
      <w:r w:rsidRPr="00C902AB">
        <w:rPr>
          <w:rFonts w:ascii="Calibri" w:hAnsi="Calibri"/>
          <w:bCs/>
          <w:color w:val="auto"/>
          <w:sz w:val="22"/>
          <w:szCs w:val="22"/>
        </w:rPr>
        <w:t>Typically, commodities lending, borrowing, buy and sell-back and repurchase transactions would refer to one type of asset class rather than a pool of different commodity asset classes.</w:t>
      </w:r>
    </w:p>
    <w:permEnd w:id="827851109"/>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913342316" w:edGrp="everyone"/>
      <w:r>
        <w:t>TYPE YOUR TEXT HERE</w:t>
      </w:r>
    </w:p>
    <w:permEnd w:id="1913342316"/>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25717640" w:edGrp="everyone"/>
      <w:r>
        <w:t>TYPE YOUR TEXT HERE</w:t>
      </w:r>
    </w:p>
    <w:permEnd w:id="25717640"/>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91453424" w:edGrp="everyone"/>
      <w:r>
        <w:t>TYPE YOUR TEXT HERE</w:t>
      </w:r>
    </w:p>
    <w:permEnd w:id="91453424"/>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lastRenderedPageBreak/>
        <w:t>&lt;ESMA_QUESTION_SFTR_67&gt;</w:t>
      </w:r>
    </w:p>
    <w:p w:rsidR="00E652D1" w:rsidRDefault="00E652D1" w:rsidP="00E652D1">
      <w:permStart w:id="804203850" w:edGrp="everyone"/>
      <w:r>
        <w:t>TYPE YOUR TEXT HERE</w:t>
      </w:r>
    </w:p>
    <w:permEnd w:id="804203850"/>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723980880" w:edGrp="everyone"/>
      <w:r>
        <w:t>TYPE YOUR TEXT HERE</w:t>
      </w:r>
    </w:p>
    <w:permEnd w:id="723980880"/>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259798239" w:edGrp="everyone"/>
      <w:r>
        <w:t>TYPE YOUR TEXT HERE</w:t>
      </w:r>
    </w:p>
    <w:permEnd w:id="259798239"/>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1956854543" w:edGrp="everyone"/>
      <w:r>
        <w:t>TYPE YOUR TEXT HERE</w:t>
      </w:r>
    </w:p>
    <w:permEnd w:id="1956854543"/>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1323063557" w:edGrp="everyone"/>
      <w:r>
        <w:t>TYPE YOUR TEXT HERE</w:t>
      </w:r>
    </w:p>
    <w:permEnd w:id="1323063557"/>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793317110" w:edGrp="everyone"/>
      <w:r>
        <w:t>TYPE YOUR TEXT HERE</w:t>
      </w:r>
    </w:p>
    <w:permEnd w:id="793317110"/>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3289090" w:edGrp="everyone"/>
      <w:r>
        <w:t>TYPE YOUR TEXT HERE</w:t>
      </w:r>
    </w:p>
    <w:permEnd w:id="3289090"/>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736896443" w:edGrp="everyone"/>
      <w:r>
        <w:t>TYPE YOUR TEXT HERE</w:t>
      </w:r>
    </w:p>
    <w:permEnd w:id="736896443"/>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1182280261" w:edGrp="everyone"/>
      <w:r>
        <w:t>TYPE YOUR TEXT HERE</w:t>
      </w:r>
    </w:p>
    <w:permEnd w:id="1182280261"/>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773403822" w:edGrp="everyone"/>
      <w:r>
        <w:lastRenderedPageBreak/>
        <w:t>TYPE YOUR TEXT HERE</w:t>
      </w:r>
    </w:p>
    <w:permEnd w:id="773403822"/>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855515208" w:edGrp="everyone"/>
      <w:r>
        <w:t>TYPE YOUR TEXT HERE</w:t>
      </w:r>
    </w:p>
    <w:permEnd w:id="855515208"/>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07245251" w:edGrp="everyone"/>
      <w:r>
        <w:t>TYPE YOUR TEXT HERE</w:t>
      </w:r>
    </w:p>
    <w:permEnd w:id="107245251"/>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1493324340" w:edGrp="everyone"/>
      <w:r>
        <w:t>TYPE YOUR TEXT HERE</w:t>
      </w:r>
    </w:p>
    <w:permEnd w:id="1493324340"/>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538863082" w:edGrp="everyone"/>
      <w:r>
        <w:t>TYPE YOUR TEXT HERE</w:t>
      </w:r>
    </w:p>
    <w:permEnd w:id="538863082"/>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1282364022" w:edGrp="everyone"/>
      <w:r>
        <w:t>TYPE YOUR TEXT HERE</w:t>
      </w:r>
    </w:p>
    <w:permEnd w:id="1282364022"/>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183937588" w:edGrp="everyone"/>
      <w:r>
        <w:t>TYPE YOUR TEXT HERE</w:t>
      </w:r>
    </w:p>
    <w:permEnd w:id="1183937588"/>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807035000" w:edGrp="everyone"/>
      <w:r>
        <w:t>TYPE YOUR TEXT HERE</w:t>
      </w:r>
    </w:p>
    <w:permEnd w:id="807035000"/>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622528919" w:edGrp="everyone"/>
      <w:r>
        <w:t>TYPE YOUR TEXT HERE</w:t>
      </w:r>
    </w:p>
    <w:permEnd w:id="622528919"/>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lastRenderedPageBreak/>
        <w:t>&lt;ESMA_QUESTION_SFTR_85&gt;</w:t>
      </w:r>
    </w:p>
    <w:p w:rsidR="00E652D1" w:rsidRDefault="00E652D1" w:rsidP="00E652D1">
      <w:permStart w:id="1712728255" w:edGrp="everyone"/>
      <w:r>
        <w:t>TYPE YOUR TEXT HERE</w:t>
      </w:r>
    </w:p>
    <w:permEnd w:id="1712728255"/>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10047174" w:edGrp="everyone"/>
      <w:r>
        <w:t>TYPE YOUR TEXT HERE</w:t>
      </w:r>
    </w:p>
    <w:permEnd w:id="110047174"/>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552951304" w:edGrp="everyone"/>
      <w:r>
        <w:t>TYPE YOUR TEXT HERE</w:t>
      </w:r>
    </w:p>
    <w:permEnd w:id="552951304"/>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658197562" w:edGrp="everyone"/>
      <w:r>
        <w:t>TYPE YOUR TEXT HERE</w:t>
      </w:r>
    </w:p>
    <w:permEnd w:id="1658197562"/>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1928687222" w:edGrp="everyone"/>
      <w:r>
        <w:t>TYPE YOUR TEXT HERE</w:t>
      </w:r>
    </w:p>
    <w:permEnd w:id="1928687222"/>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932853864" w:edGrp="everyone"/>
      <w:r>
        <w:t>TYPE YOUR TEXT HERE</w:t>
      </w:r>
    </w:p>
    <w:permEnd w:id="1932853864"/>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242618155" w:edGrp="everyone"/>
      <w:r>
        <w:t>TYPE YOUR TEXT HERE</w:t>
      </w:r>
    </w:p>
    <w:permEnd w:id="242618155"/>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697794048" w:edGrp="everyone"/>
      <w:r>
        <w:t>TYPE YOUR TEXT HERE</w:t>
      </w:r>
    </w:p>
    <w:permEnd w:id="697794048"/>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94186938" w:edGrp="everyone"/>
      <w:r>
        <w:t>TYPE YOUR TEXT HERE</w:t>
      </w:r>
    </w:p>
    <w:permEnd w:id="94186938"/>
    <w:p w:rsidR="00E652D1" w:rsidRDefault="00E652D1" w:rsidP="00E652D1">
      <w:r>
        <w:t>&lt;ESMA_QUESTION_SFTR_93&gt;</w:t>
      </w:r>
    </w:p>
    <w:p w:rsidR="00E652D1" w:rsidRDefault="00E652D1" w:rsidP="00E652D1"/>
    <w:p w:rsidR="00E652D1" w:rsidRDefault="00E652D1" w:rsidP="00E652D1">
      <w:pPr>
        <w:pStyle w:val="QST"/>
        <w:numPr>
          <w:ilvl w:val="0"/>
          <w:numId w:val="50"/>
        </w:numPr>
      </w:pPr>
      <w:r>
        <w:lastRenderedPageBreak/>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438532281" w:edGrp="everyone"/>
      <w:r>
        <w:t>TYPE YOUR TEXT HERE</w:t>
      </w:r>
    </w:p>
    <w:permEnd w:id="438532281"/>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621377871" w:edGrp="everyone"/>
      <w:r>
        <w:t>TYPE YOUR TEXT HERE</w:t>
      </w:r>
    </w:p>
    <w:permEnd w:id="621377871"/>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656242139" w:edGrp="everyone"/>
      <w:r>
        <w:t>TYPE YOUR TEXT HERE</w:t>
      </w:r>
    </w:p>
    <w:permEnd w:id="656242139"/>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1248144755" w:edGrp="everyone"/>
      <w:r>
        <w:t>TYPE YOUR TEXT HERE</w:t>
      </w:r>
    </w:p>
    <w:permEnd w:id="1248144755"/>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611875918" w:edGrp="everyone"/>
      <w:r>
        <w:t>TYPE YOUR TEXT HERE</w:t>
      </w:r>
    </w:p>
    <w:permEnd w:id="1611875918"/>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518328624" w:edGrp="everyone"/>
      <w:r>
        <w:t>TYPE YOUR TEXT HERE</w:t>
      </w:r>
    </w:p>
    <w:permEnd w:id="518328624"/>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60648995" w:edGrp="everyone"/>
      <w:r>
        <w:t>TYPE YOUR TEXT HERE</w:t>
      </w:r>
    </w:p>
    <w:permEnd w:id="60648995"/>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2073444522" w:edGrp="everyone"/>
      <w:r>
        <w:t>TYPE YOUR TEXT HERE</w:t>
      </w:r>
    </w:p>
    <w:permEnd w:id="2073444522"/>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793541547" w:edGrp="everyone"/>
      <w:r>
        <w:t>TYPE YOUR TEXT HERE</w:t>
      </w:r>
    </w:p>
    <w:permEnd w:id="793541547"/>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lastRenderedPageBreak/>
        <w:t>&lt;ESMA_QUESTION_SFTR_103&gt;</w:t>
      </w:r>
    </w:p>
    <w:p w:rsidR="00E652D1" w:rsidRDefault="00E652D1" w:rsidP="00E652D1">
      <w:permStart w:id="1397110859" w:edGrp="everyone"/>
      <w:r>
        <w:t>TYPE YOUR TEXT HERE</w:t>
      </w:r>
    </w:p>
    <w:permEnd w:id="1397110859"/>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2056739368" w:edGrp="everyone"/>
      <w:r>
        <w:t>TYPE YOUR TEXT HERE</w:t>
      </w:r>
    </w:p>
    <w:permEnd w:id="2056739368"/>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4078338" w:edGrp="everyone"/>
      <w:r>
        <w:t>TYPE YOUR TEXT HERE</w:t>
      </w:r>
    </w:p>
    <w:permEnd w:id="4078338"/>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949649080" w:edGrp="everyone"/>
      <w:r>
        <w:t>TYPE YOUR TEXT HERE</w:t>
      </w:r>
    </w:p>
    <w:permEnd w:id="949649080"/>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1442783359" w:edGrp="everyone"/>
      <w:r>
        <w:t>TYPE YOUR TEXT HERE</w:t>
      </w:r>
    </w:p>
    <w:permEnd w:id="1442783359"/>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560163594" w:edGrp="everyone"/>
      <w:r>
        <w:t>TYPE YOUR TEXT HERE</w:t>
      </w:r>
    </w:p>
    <w:permEnd w:id="560163594"/>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923644450" w:edGrp="everyone"/>
      <w:r>
        <w:t>TYPE YOUR TEXT HERE</w:t>
      </w:r>
    </w:p>
    <w:permEnd w:id="1923644450"/>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2116180667" w:edGrp="everyone"/>
      <w:r>
        <w:t>TYPE YOUR TEXT HERE</w:t>
      </w:r>
    </w:p>
    <w:permEnd w:id="2116180667"/>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1879655617" w:edGrp="everyone"/>
      <w:r>
        <w:t>TYPE YOUR TEXT HERE</w:t>
      </w:r>
    </w:p>
    <w:permEnd w:id="1879655617"/>
    <w:p w:rsidR="00E652D1" w:rsidRDefault="00E652D1" w:rsidP="00E652D1">
      <w:r>
        <w:t>&lt;ESMA_QUESTION_SFTR_111&gt;</w:t>
      </w:r>
    </w:p>
    <w:p w:rsidR="00E652D1" w:rsidRDefault="00E652D1" w:rsidP="00E652D1"/>
    <w:p w:rsidR="00E652D1" w:rsidRDefault="00E652D1" w:rsidP="00E652D1">
      <w:pPr>
        <w:pStyle w:val="QST"/>
        <w:numPr>
          <w:ilvl w:val="0"/>
          <w:numId w:val="50"/>
        </w:numPr>
      </w:pPr>
      <w:r>
        <w:lastRenderedPageBreak/>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835667770" w:edGrp="everyone"/>
      <w:r>
        <w:t>TYPE YOUR TEXT HERE</w:t>
      </w:r>
    </w:p>
    <w:permEnd w:id="835667770"/>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1093796378" w:edGrp="everyone"/>
      <w:r>
        <w:t>TYPE YOUR TEXT HERE</w:t>
      </w:r>
    </w:p>
    <w:permEnd w:id="1093796378"/>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396451683" w:edGrp="everyone"/>
      <w:r>
        <w:t>TYPE YOUR TEXT HERE</w:t>
      </w:r>
    </w:p>
    <w:permEnd w:id="396451683"/>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2090810448" w:edGrp="everyone"/>
      <w:r>
        <w:t>TYPE YOUR TEXT HERE</w:t>
      </w:r>
    </w:p>
    <w:permEnd w:id="2090810448"/>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714752802" w:edGrp="everyone"/>
      <w:r>
        <w:t>TYPE YOUR TEXT HERE</w:t>
      </w:r>
    </w:p>
    <w:permEnd w:id="714752802"/>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483329925" w:edGrp="everyone"/>
      <w:r>
        <w:t>TYPE YOUR TEXT HERE</w:t>
      </w:r>
    </w:p>
    <w:permEnd w:id="483329925"/>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200108479" w:edGrp="everyone"/>
      <w:r>
        <w:t>TYPE YOUR TEXT HERE</w:t>
      </w:r>
    </w:p>
    <w:permEnd w:id="200108479"/>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509180502" w:edGrp="everyone"/>
      <w:r>
        <w:t>TYPE YOUR TEXT HERE</w:t>
      </w:r>
    </w:p>
    <w:permEnd w:id="1509180502"/>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497251572" w:edGrp="everyone"/>
      <w:r>
        <w:t>TYPE YOUR TEXT HERE</w:t>
      </w:r>
    </w:p>
    <w:permEnd w:id="1497251572"/>
    <w:p w:rsidR="00E652D1" w:rsidRDefault="00E652D1" w:rsidP="00E652D1">
      <w:r>
        <w:t>&lt;ESMA_QUESTION_SFTR_120&gt;</w:t>
      </w:r>
    </w:p>
    <w:p w:rsidR="00E652D1" w:rsidRDefault="00E652D1" w:rsidP="00E652D1"/>
    <w:p w:rsidR="00E652D1" w:rsidRDefault="00E652D1" w:rsidP="00E652D1">
      <w:pPr>
        <w:pStyle w:val="QST"/>
        <w:numPr>
          <w:ilvl w:val="0"/>
          <w:numId w:val="50"/>
        </w:numPr>
      </w:pPr>
      <w:r>
        <w:lastRenderedPageBreak/>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756259220" w:edGrp="everyone"/>
      <w:r>
        <w:t>TYPE YOUR TEXT HERE</w:t>
      </w:r>
    </w:p>
    <w:permEnd w:id="1756259220"/>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43725990" w:edGrp="everyone"/>
      <w:r>
        <w:t>TYPE YOUR TEXT HERE</w:t>
      </w:r>
    </w:p>
    <w:permEnd w:id="43725990"/>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1573725111" w:edGrp="everyone"/>
      <w:r>
        <w:t>TYPE YOUR TEXT HERE</w:t>
      </w:r>
    </w:p>
    <w:permEnd w:id="1573725111"/>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912869728" w:edGrp="everyone"/>
      <w:r>
        <w:t>TYPE YOUR TEXT HERE</w:t>
      </w:r>
    </w:p>
    <w:permEnd w:id="912869728"/>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1886328939" w:edGrp="everyone"/>
      <w:r>
        <w:t>TYPE YOUR TEXT HERE</w:t>
      </w:r>
    </w:p>
    <w:permEnd w:id="1886328939"/>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063988298" w:edGrp="everyone"/>
      <w:r>
        <w:t>TYPE YOUR TEXT HERE</w:t>
      </w:r>
    </w:p>
    <w:permEnd w:id="1063988298"/>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678439732" w:edGrp="everyone"/>
      <w:r>
        <w:t>TYPE YOUR TEXT HERE</w:t>
      </w:r>
    </w:p>
    <w:permEnd w:id="678439732"/>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572003786" w:edGrp="everyone"/>
      <w:r>
        <w:t>TYPE YOUR TEXT HERE</w:t>
      </w:r>
    </w:p>
    <w:permEnd w:id="572003786"/>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516316623" w:edGrp="everyone"/>
      <w:r>
        <w:t>TYPE YOUR TEXT HERE</w:t>
      </w:r>
    </w:p>
    <w:permEnd w:id="1516316623"/>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lastRenderedPageBreak/>
        <w:t>&lt;ESMA_QUESTION_SFTR_130&gt;</w:t>
      </w:r>
    </w:p>
    <w:p w:rsidR="00E652D1" w:rsidRDefault="00E652D1" w:rsidP="00E652D1">
      <w:permStart w:id="157319019" w:edGrp="everyone"/>
      <w:r>
        <w:t>TYPE YOUR TEXT HERE</w:t>
      </w:r>
    </w:p>
    <w:permEnd w:id="157319019"/>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778346246" w:edGrp="everyone"/>
      <w:r>
        <w:t>TYPE YOUR TEXT HERE</w:t>
      </w:r>
    </w:p>
    <w:permEnd w:id="1778346246"/>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1695685228" w:edGrp="everyone"/>
      <w:r>
        <w:t>TYPE YOUR TEXT HERE</w:t>
      </w:r>
    </w:p>
    <w:permEnd w:id="1695685228"/>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713304487" w:edGrp="everyone"/>
      <w:r>
        <w:t>TYPE YOUR TEXT HERE</w:t>
      </w:r>
    </w:p>
    <w:permEnd w:id="713304487"/>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2020495448" w:edGrp="everyone"/>
      <w:r>
        <w:t>TYPE YOUR TEXT HERE</w:t>
      </w:r>
    </w:p>
    <w:permEnd w:id="2020495448"/>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1701080373" w:edGrp="everyone"/>
      <w:r>
        <w:t>TYPE YOUR TEXT HERE</w:t>
      </w:r>
    </w:p>
    <w:permEnd w:id="1701080373"/>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C902AB" w:rsidRPr="00C902AB" w:rsidRDefault="00C902AB" w:rsidP="00C902AB">
      <w:pPr>
        <w:pStyle w:val="Default"/>
        <w:jc w:val="both"/>
        <w:rPr>
          <w:rFonts w:ascii="Calibri" w:hAnsi="Calibri"/>
          <w:bCs/>
          <w:color w:val="auto"/>
          <w:sz w:val="22"/>
          <w:szCs w:val="22"/>
        </w:rPr>
      </w:pPr>
      <w:permStart w:id="750681937" w:edGrp="everyone"/>
      <w:r w:rsidRPr="00C902AB">
        <w:rPr>
          <w:rFonts w:ascii="Calibri" w:hAnsi="Calibri"/>
          <w:bCs/>
          <w:color w:val="auto"/>
          <w:sz w:val="22"/>
          <w:szCs w:val="22"/>
        </w:rPr>
        <w:t xml:space="preserve">We believe that the content of the information to be made public by Trade Repositories (TR) should be very carefully considered in order to ensure no commercial sensitive information is being made public. We very much welcome the Level 1 requirement, which states that the information published under Article 12(1) should not enable the identification of a party to any SFT. However, we are conscious that other type of data, such as the underlying securities for example, could also lead to sensitive information being made public. We therefore believe that the data that the TR will be required to make public should provide as little granularity as possible, as it is currently the case under EMIR. </w:t>
      </w:r>
    </w:p>
    <w:p w:rsidR="00C902AB" w:rsidRDefault="00C902AB" w:rsidP="00C902AB">
      <w:pPr>
        <w:pStyle w:val="Default"/>
        <w:jc w:val="both"/>
        <w:rPr>
          <w:rFonts w:ascii="Calibri" w:hAnsi="Calibri"/>
          <w:bCs/>
          <w:color w:val="auto"/>
          <w:sz w:val="22"/>
          <w:szCs w:val="22"/>
        </w:rPr>
      </w:pPr>
      <w:r w:rsidRPr="00C902AB">
        <w:rPr>
          <w:rFonts w:ascii="Calibri" w:hAnsi="Calibri"/>
          <w:bCs/>
          <w:color w:val="auto"/>
          <w:sz w:val="22"/>
          <w:szCs w:val="22"/>
        </w:rPr>
        <w:lastRenderedPageBreak/>
        <w:t>We believe that the total cost of publishing more granular data could be significant as this would risk being at the detriment of trading activity and liquidity in the market.  </w:t>
      </w:r>
    </w:p>
    <w:p w:rsidR="00C902AB" w:rsidRPr="00C902AB" w:rsidRDefault="00C902AB" w:rsidP="00C902AB">
      <w:pPr>
        <w:pStyle w:val="Default"/>
        <w:jc w:val="both"/>
        <w:rPr>
          <w:rFonts w:ascii="Calibri" w:hAnsi="Calibri"/>
          <w:bCs/>
          <w:color w:val="auto"/>
          <w:sz w:val="22"/>
          <w:szCs w:val="22"/>
        </w:rPr>
      </w:pPr>
      <w:bookmarkStart w:id="3" w:name="_GoBack"/>
      <w:bookmarkEnd w:id="3"/>
    </w:p>
    <w:p w:rsidR="00C902AB" w:rsidRPr="00C902AB" w:rsidRDefault="00C902AB" w:rsidP="00C902AB">
      <w:pPr>
        <w:pStyle w:val="Default"/>
        <w:jc w:val="both"/>
        <w:rPr>
          <w:rFonts w:ascii="Calibri" w:hAnsi="Calibri"/>
          <w:bCs/>
          <w:color w:val="auto"/>
          <w:sz w:val="22"/>
          <w:szCs w:val="22"/>
        </w:rPr>
      </w:pPr>
      <w:r w:rsidRPr="00C902AB">
        <w:rPr>
          <w:rFonts w:ascii="Calibri" w:hAnsi="Calibri"/>
          <w:bCs/>
          <w:color w:val="auto"/>
          <w:sz w:val="22"/>
          <w:szCs w:val="22"/>
        </w:rPr>
        <w:t>With regards to the FSB report (as mentioned in ESMA’s DP), we note that the FSB has still not yet decided the level of granularity of the data to be made public. The FSB report very clearly recognizes the need to safeguard the confidentiality of the data reported by national authorities to the FSB. In their report (FSB report page 25, 26), the FSB states that the treatment of data and the sharing of aggregates with other reporting authorities and, potentially, the general public, will be handled according to three levels of confidentiality (public, restricted, confidential), which will have to be specified by national authorities.</w:t>
      </w:r>
    </w:p>
    <w:permEnd w:id="750681937"/>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710239705" w:edGrp="everyone"/>
      <w:r>
        <w:t>TYPE YOUR TEXT HERE</w:t>
      </w:r>
    </w:p>
    <w:permEnd w:id="1710239705"/>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357283188" w:edGrp="everyone"/>
      <w:r>
        <w:t>TYPE YOUR TEXT HERE</w:t>
      </w:r>
    </w:p>
    <w:permEnd w:id="1357283188"/>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1370511964" w:edGrp="everyone"/>
      <w:r>
        <w:t>TYPE YOUR TEXT HERE</w:t>
      </w:r>
    </w:p>
    <w:permEnd w:id="1370511964"/>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237897561" w:edGrp="everyone"/>
      <w:r>
        <w:t>TYPE YOUR TEXT HERE</w:t>
      </w:r>
    </w:p>
    <w:permEnd w:id="237897561"/>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745494063" w:edGrp="everyone"/>
      <w:r>
        <w:t>TYPE YOUR TEXT HERE</w:t>
      </w:r>
    </w:p>
    <w:permEnd w:id="1745494063"/>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111761219" w:edGrp="everyone"/>
      <w:r>
        <w:t>TYPE YOUR TEXT HERE</w:t>
      </w:r>
    </w:p>
    <w:permEnd w:id="1111761219"/>
    <w:p w:rsidR="00E652D1" w:rsidRDefault="00E652D1" w:rsidP="00E652D1">
      <w:r>
        <w:t>&lt;ESMA_QUESTION_SFTR_142&gt;</w:t>
      </w:r>
    </w:p>
    <w:p w:rsidR="00E652D1" w:rsidRDefault="00E652D1" w:rsidP="00E652D1"/>
    <w:p w:rsidR="00E652D1" w:rsidRDefault="00E652D1" w:rsidP="00E652D1">
      <w:pPr>
        <w:pStyle w:val="QST"/>
        <w:numPr>
          <w:ilvl w:val="0"/>
          <w:numId w:val="50"/>
        </w:numPr>
      </w:pPr>
      <w:r>
        <w:lastRenderedPageBreak/>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1327000444" w:edGrp="everyone"/>
      <w:r>
        <w:t>TYPE YOUR TEXT HERE</w:t>
      </w:r>
    </w:p>
    <w:permEnd w:id="1327000444"/>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766122586" w:edGrp="everyone"/>
      <w:r>
        <w:t>TYPE YOUR TEXT HERE</w:t>
      </w:r>
    </w:p>
    <w:permEnd w:id="766122586"/>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387516866" w:edGrp="everyone"/>
      <w:r>
        <w:t>TYPE YOUR TEXT HERE</w:t>
      </w:r>
    </w:p>
    <w:permEnd w:id="387516866"/>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EE" w:rsidRDefault="00F575EE">
      <w:r>
        <w:separator/>
      </w:r>
    </w:p>
    <w:p w:rsidR="00F575EE" w:rsidRDefault="00F575EE"/>
  </w:endnote>
  <w:endnote w:type="continuationSeparator" w:id="0">
    <w:p w:rsidR="00F575EE" w:rsidRDefault="00F575EE">
      <w:r>
        <w:continuationSeparator/>
      </w:r>
    </w:p>
    <w:p w:rsidR="00F575EE" w:rsidRDefault="00F575EE"/>
  </w:endnote>
  <w:endnote w:type="continuationNotice" w:id="1">
    <w:p w:rsidR="00F575EE" w:rsidRDefault="00F57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902AB">
            <w:rPr>
              <w:rFonts w:cs="Arial"/>
              <w:noProof/>
              <w:sz w:val="22"/>
              <w:szCs w:val="22"/>
            </w:rPr>
            <w:t>25</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EE" w:rsidRDefault="00F575EE">
      <w:r>
        <w:separator/>
      </w:r>
    </w:p>
    <w:p w:rsidR="00F575EE" w:rsidRDefault="00F575EE"/>
  </w:footnote>
  <w:footnote w:type="continuationSeparator" w:id="0">
    <w:p w:rsidR="00F575EE" w:rsidRDefault="00F575EE">
      <w:r>
        <w:continuationSeparator/>
      </w:r>
    </w:p>
    <w:p w:rsidR="00F575EE" w:rsidRDefault="00F575EE"/>
  </w:footnote>
  <w:footnote w:type="continuationNotice" w:id="1">
    <w:p w:rsidR="00F575EE" w:rsidRDefault="00F57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A28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D0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6F45430"/>
    <w:multiLevelType w:val="multilevel"/>
    <w:tmpl w:val="E01414FA"/>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30316"/>
    <w:multiLevelType w:val="multilevel"/>
    <w:tmpl w:val="315E500C"/>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2AB"/>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575EE"/>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A40D07CD-6D1F-4D04-AF16-AF54D11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DE52-A98F-4BA7-8C0F-702C3BF140EB}">
  <ds:schemaRefs>
    <ds:schemaRef ds:uri="http://schemas.openxmlformats.org/officeDocument/2006/bibliography"/>
  </ds:schemaRefs>
</ds:datastoreItem>
</file>

<file path=customXml/itemProps2.xml><?xml version="1.0" encoding="utf-8"?>
<ds:datastoreItem xmlns:ds="http://schemas.openxmlformats.org/officeDocument/2006/customXml" ds:itemID="{B2260838-8D40-4816-800F-31FEBDEA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7971</Words>
  <Characters>45441</Characters>
  <Application>Microsoft Office Word</Application>
  <DocSecurity>8</DocSecurity>
  <Lines>378</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53306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Simon Borg-Barthet</cp:lastModifiedBy>
  <cp:revision>5</cp:revision>
  <cp:lastPrinted>2015-02-18T11:01:00Z</cp:lastPrinted>
  <dcterms:created xsi:type="dcterms:W3CDTF">2016-03-11T13:20:00Z</dcterms:created>
  <dcterms:modified xsi:type="dcterms:W3CDTF">2016-04-22T10:56:00Z</dcterms:modified>
</cp:coreProperties>
</file>