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901416" w:rsidRPr="00901416" w:rsidRDefault="00901416" w:rsidP="00901416">
      <w:pPr>
        <w:spacing w:line="276" w:lineRule="auto"/>
      </w:pPr>
      <w:permStart w:id="2147166710" w:edGrp="everyone"/>
      <w:r w:rsidRPr="00901416">
        <w:rPr>
          <w:lang w:val="en-US"/>
        </w:rPr>
        <w:t xml:space="preserve">Amundi is the leading asset manager in Europe and ranks in the top 10 of the industry worldwide, with assets under management above € 985 billion at the end of 2015. </w:t>
      </w:r>
      <w:r w:rsidRPr="00901416">
        <w:t>Located at the heart of the main i</w:t>
      </w:r>
      <w:r w:rsidRPr="00901416">
        <w:t>n</w:t>
      </w:r>
      <w:r w:rsidRPr="00901416">
        <w:t xml:space="preserve">vestment regions in more than 30 countries, Amundi offers a comprehensive range of products covering all asset classes and major currencies. Amundi has developed savings solutions to meet the needs of more than 100 million retail clients worldwide and designs innovative, high-performing products which are tailored specifically to the requirements and risk profile of  institutional  and corporate clients. Amundi is a listed company with Credit </w:t>
      </w:r>
      <w:proofErr w:type="spellStart"/>
      <w:r w:rsidRPr="00901416">
        <w:t>Agricole</w:t>
      </w:r>
      <w:proofErr w:type="spellEnd"/>
      <w:r w:rsidRPr="00901416">
        <w:t xml:space="preserve"> Group as its majority shareholder. </w:t>
      </w:r>
    </w:p>
    <w:p w:rsidR="00901416" w:rsidRPr="00901416" w:rsidRDefault="00901416" w:rsidP="00901416">
      <w:pPr>
        <w:spacing w:line="276" w:lineRule="auto"/>
      </w:pPr>
      <w:r w:rsidRPr="00901416">
        <w:t>Amundi is very much concerned with the discussion about market-based finance and all the fears that the expression “shadow banking” conveys, which are in our opinion largely unjustified as far as asset ma</w:t>
      </w:r>
      <w:r w:rsidRPr="00901416">
        <w:t>n</w:t>
      </w:r>
      <w:r w:rsidRPr="00901416">
        <w:t>agement is concerned. More specifically, when reading the consultation document on non-cash collateral re-use, we are thankful to the FSB for the opportunity that it offers to bring elements that may help clarify some specificities of the asset management industry.</w:t>
      </w:r>
    </w:p>
    <w:p w:rsidR="00901416" w:rsidRPr="00901416" w:rsidRDefault="00901416" w:rsidP="00901416">
      <w:pPr>
        <w:rPr>
          <w:lang w:val="en-US"/>
        </w:rPr>
      </w:pPr>
      <w:r w:rsidRPr="00901416">
        <w:rPr>
          <w:lang w:val="en-US"/>
        </w:rPr>
        <w:t xml:space="preserve"> We would like to underline the following key points that constitute the basis of our understanding on the matter:</w:t>
      </w:r>
    </w:p>
    <w:p w:rsidR="00901416" w:rsidRPr="00901416" w:rsidRDefault="00901416" w:rsidP="00901416">
      <w:pPr>
        <w:numPr>
          <w:ilvl w:val="0"/>
          <w:numId w:val="51"/>
        </w:numPr>
        <w:spacing w:line="276" w:lineRule="auto"/>
        <w:rPr>
          <w:lang w:val="en-US"/>
        </w:rPr>
      </w:pPr>
      <w:r w:rsidRPr="00901416">
        <w:rPr>
          <w:lang w:val="en-US"/>
        </w:rPr>
        <w:t>Amundi totally supports the analysis that led</w:t>
      </w:r>
      <w:r w:rsidR="002A1800">
        <w:rPr>
          <w:lang w:val="en-US"/>
        </w:rPr>
        <w:t xml:space="preserve"> FSB and European Authorities</w:t>
      </w:r>
      <w:r w:rsidRPr="00901416">
        <w:rPr>
          <w:lang w:val="en-US"/>
        </w:rPr>
        <w:t xml:space="preserve"> to the conclusion that Re-Use potentially carries risks of a systemic nature; as a consequence, we </w:t>
      </w:r>
      <w:r w:rsidR="002A1800">
        <w:rPr>
          <w:lang w:val="en-US"/>
        </w:rPr>
        <w:t>share the objectives of enhancing financial stability of SFTR and we believe that  funds that do not use significant le</w:t>
      </w:r>
      <w:r w:rsidR="002A1800">
        <w:rPr>
          <w:lang w:val="en-US"/>
        </w:rPr>
        <w:t>v</w:t>
      </w:r>
      <w:r w:rsidR="002A1800">
        <w:rPr>
          <w:lang w:val="en-US"/>
        </w:rPr>
        <w:t xml:space="preserve">erage should have been granted a specific proportionate “light regime”; we </w:t>
      </w:r>
      <w:r w:rsidR="00A95182">
        <w:rPr>
          <w:lang w:val="en-US"/>
        </w:rPr>
        <w:t xml:space="preserve">also </w:t>
      </w:r>
      <w:r w:rsidR="002A1800">
        <w:rPr>
          <w:lang w:val="en-US"/>
        </w:rPr>
        <w:t>believe that si</w:t>
      </w:r>
      <w:r w:rsidR="002A1800">
        <w:rPr>
          <w:lang w:val="en-US"/>
        </w:rPr>
        <w:t>n</w:t>
      </w:r>
      <w:r w:rsidR="002A1800">
        <w:rPr>
          <w:lang w:val="en-US"/>
        </w:rPr>
        <w:t xml:space="preserve">gle sided reporting is more efficient for authorities to </w:t>
      </w:r>
      <w:r w:rsidR="00A95182">
        <w:rPr>
          <w:lang w:val="en-US"/>
        </w:rPr>
        <w:t xml:space="preserve">immediately </w:t>
      </w:r>
      <w:r w:rsidR="002A1800">
        <w:rPr>
          <w:lang w:val="en-US"/>
        </w:rPr>
        <w:t>capture relevant data and less e</w:t>
      </w:r>
      <w:r w:rsidR="002A1800">
        <w:rPr>
          <w:lang w:val="en-US"/>
        </w:rPr>
        <w:t>x</w:t>
      </w:r>
      <w:r w:rsidR="002A1800">
        <w:rPr>
          <w:lang w:val="en-US"/>
        </w:rPr>
        <w:t>pensive for stakeholders to implement;</w:t>
      </w:r>
    </w:p>
    <w:p w:rsidR="00901416" w:rsidRPr="00901416" w:rsidRDefault="00901416" w:rsidP="00901416">
      <w:pPr>
        <w:numPr>
          <w:ilvl w:val="0"/>
          <w:numId w:val="51"/>
        </w:numPr>
        <w:spacing w:line="276" w:lineRule="auto"/>
        <w:rPr>
          <w:lang w:val="en-US"/>
        </w:rPr>
      </w:pPr>
      <w:r>
        <w:rPr>
          <w:lang w:val="en-US"/>
        </w:rPr>
        <w:t xml:space="preserve">Despite the constraints on time schedule that are pressing for a rapid preparation of TS under SFTR, Amundi is very surprised to see that stakeholders have been offered only 6 weeks to </w:t>
      </w:r>
      <w:r w:rsidR="00901941">
        <w:rPr>
          <w:lang w:val="en-US"/>
        </w:rPr>
        <w:t>comment</w:t>
      </w:r>
      <w:r>
        <w:rPr>
          <w:lang w:val="en-US"/>
        </w:rPr>
        <w:t xml:space="preserve"> the discussion paper</w:t>
      </w:r>
      <w:r w:rsidR="00901941">
        <w:rPr>
          <w:lang w:val="en-US"/>
        </w:rPr>
        <w:t xml:space="preserve"> issued by ESMA; it is a very comprehensive work with 145 diffe</w:t>
      </w:r>
      <w:r w:rsidR="00901941">
        <w:rPr>
          <w:lang w:val="en-US"/>
        </w:rPr>
        <w:t>r</w:t>
      </w:r>
      <w:r w:rsidR="00901941">
        <w:rPr>
          <w:lang w:val="en-US"/>
        </w:rPr>
        <w:t>ent questions that cannot be properly discussed internally in such a short timeframe</w:t>
      </w:r>
      <w:r>
        <w:rPr>
          <w:lang w:val="en-US"/>
        </w:rPr>
        <w:t xml:space="preserve"> </w:t>
      </w:r>
      <w:r w:rsidRPr="00901416">
        <w:rPr>
          <w:lang w:val="en-US"/>
        </w:rPr>
        <w:t>;</w:t>
      </w:r>
      <w:r w:rsidR="00901941">
        <w:rPr>
          <w:lang w:val="en-US"/>
        </w:rPr>
        <w:t xml:space="preserve"> Amundi </w:t>
      </w:r>
      <w:proofErr w:type="spellStart"/>
      <w:r w:rsidR="00901941">
        <w:rPr>
          <w:lang w:val="en-US"/>
        </w:rPr>
        <w:t>apologises</w:t>
      </w:r>
      <w:proofErr w:type="spellEnd"/>
      <w:r w:rsidR="00901941">
        <w:rPr>
          <w:lang w:val="en-US"/>
        </w:rPr>
        <w:t xml:space="preserve"> for the poor quality of</w:t>
      </w:r>
      <w:r w:rsidR="002A1800">
        <w:rPr>
          <w:lang w:val="en-US"/>
        </w:rPr>
        <w:t xml:space="preserve"> some of</w:t>
      </w:r>
      <w:r w:rsidR="00901941">
        <w:rPr>
          <w:lang w:val="en-US"/>
        </w:rPr>
        <w:t xml:space="preserve"> its answers that essentially results from this too short delay ;</w:t>
      </w:r>
    </w:p>
    <w:p w:rsidR="00901416" w:rsidRPr="00901416" w:rsidRDefault="00901416" w:rsidP="00901416">
      <w:pPr>
        <w:numPr>
          <w:ilvl w:val="0"/>
          <w:numId w:val="51"/>
        </w:numPr>
        <w:spacing w:line="276" w:lineRule="auto"/>
        <w:rPr>
          <w:lang w:val="en-US"/>
        </w:rPr>
      </w:pPr>
      <w:r w:rsidRPr="00901416">
        <w:rPr>
          <w:lang w:val="en-US"/>
        </w:rPr>
        <w:t>We insist on the necessity to capitalize on preexisting data collect</w:t>
      </w:r>
      <w:r w:rsidR="00901941">
        <w:rPr>
          <w:lang w:val="en-US"/>
        </w:rPr>
        <w:t>ion processes and believe that t</w:t>
      </w:r>
      <w:r w:rsidRPr="00901416">
        <w:rPr>
          <w:lang w:val="en-US"/>
        </w:rPr>
        <w:t>he</w:t>
      </w:r>
      <w:r w:rsidR="00901941">
        <w:rPr>
          <w:lang w:val="en-US"/>
        </w:rPr>
        <w:t xml:space="preserve">  reference to EMIR and the</w:t>
      </w:r>
      <w:r w:rsidRPr="00901416">
        <w:rPr>
          <w:lang w:val="en-US"/>
        </w:rPr>
        <w:t xml:space="preserve"> use of TRs (that have been introduced under EMIR) in order to collect data on SFTs is commendable;</w:t>
      </w:r>
      <w:r w:rsidR="00901941">
        <w:rPr>
          <w:lang w:val="en-US"/>
        </w:rPr>
        <w:t xml:space="preserve"> however we are very disappointed to see that the MIFID/R reporting obligations are considered independently of the preexisting framework of other regul</w:t>
      </w:r>
      <w:r w:rsidR="00901941">
        <w:rPr>
          <w:lang w:val="en-US"/>
        </w:rPr>
        <w:t>a</w:t>
      </w:r>
      <w:r w:rsidR="00901941">
        <w:rPr>
          <w:lang w:val="en-US"/>
        </w:rPr>
        <w:t>tions; the fact that they have different objectives does not justify the absence of</w:t>
      </w:r>
      <w:r w:rsidR="00653679">
        <w:rPr>
          <w:lang w:val="en-US"/>
        </w:rPr>
        <w:t xml:space="preserve"> a</w:t>
      </w:r>
      <w:bookmarkStart w:id="3" w:name="_GoBack"/>
      <w:bookmarkEnd w:id="3"/>
      <w:r w:rsidR="00901941">
        <w:rPr>
          <w:lang w:val="en-US"/>
        </w:rPr>
        <w:t xml:space="preserve"> transversal</w:t>
      </w:r>
      <w:r w:rsidR="00A95182">
        <w:rPr>
          <w:lang w:val="en-US"/>
        </w:rPr>
        <w:t xml:space="preserve"> </w:t>
      </w:r>
      <w:r w:rsidR="00901941">
        <w:rPr>
          <w:lang w:val="en-US"/>
        </w:rPr>
        <w:t>a</w:t>
      </w:r>
      <w:r w:rsidR="00901941">
        <w:rPr>
          <w:lang w:val="en-US"/>
        </w:rPr>
        <w:t>p</w:t>
      </w:r>
      <w:r w:rsidR="00901941">
        <w:rPr>
          <w:lang w:val="en-US"/>
        </w:rPr>
        <w:t>proach;</w:t>
      </w:r>
    </w:p>
    <w:p w:rsidR="00901416" w:rsidRPr="00901416" w:rsidRDefault="00901416" w:rsidP="00901416">
      <w:pPr>
        <w:numPr>
          <w:ilvl w:val="0"/>
          <w:numId w:val="51"/>
        </w:numPr>
        <w:spacing w:line="276" w:lineRule="auto"/>
        <w:rPr>
          <w:lang w:val="en-US"/>
        </w:rPr>
      </w:pPr>
      <w:r w:rsidRPr="00901416">
        <w:rPr>
          <w:lang w:val="en-US"/>
        </w:rPr>
        <w:t>As a general rule and with the exception of hedge funds, asset managers rarely use SFTs to le</w:t>
      </w:r>
      <w:r w:rsidRPr="00901416">
        <w:rPr>
          <w:lang w:val="en-US"/>
        </w:rPr>
        <w:t>v</w:t>
      </w:r>
      <w:r w:rsidRPr="00901416">
        <w:rPr>
          <w:lang w:val="en-US"/>
        </w:rPr>
        <w:t xml:space="preserve">erage their portfolios; re-use is totally forbidden for UCITS according to ESMA guidelines; fund managers use Efficient Portfolio Management, mostly reverse repo to secure their cash holdings and securities lending in order to increase the return for their client investors; consequently, asset management is not an issue in terms of financial stability and should not, with the exception of hedge funds, be the focus of </w:t>
      </w:r>
      <w:r w:rsidR="00A95182">
        <w:rPr>
          <w:lang w:val="en-US"/>
        </w:rPr>
        <w:t>SFT</w:t>
      </w:r>
      <w:r w:rsidRPr="00901416">
        <w:rPr>
          <w:lang w:val="en-US"/>
        </w:rPr>
        <w:t xml:space="preserve"> regulation; a proportionate “light regime” of reporting</w:t>
      </w:r>
      <w:r w:rsidR="002A1800">
        <w:rPr>
          <w:lang w:val="en-US"/>
        </w:rPr>
        <w:t xml:space="preserve"> should be provided for </w:t>
      </w:r>
      <w:r w:rsidRPr="00901416">
        <w:rPr>
          <w:lang w:val="en-US"/>
        </w:rPr>
        <w:t>UCITS and AIFs that do not use significant leverage;</w:t>
      </w:r>
    </w:p>
    <w:p w:rsidR="00D34282" w:rsidRPr="00901416" w:rsidRDefault="00901416" w:rsidP="00D34282">
      <w:pPr>
        <w:numPr>
          <w:ilvl w:val="0"/>
          <w:numId w:val="51"/>
        </w:numPr>
        <w:spacing w:line="276" w:lineRule="auto"/>
        <w:rPr>
          <w:lang w:val="en-US"/>
        </w:rPr>
      </w:pPr>
      <w:r w:rsidRPr="00901416">
        <w:rPr>
          <w:lang w:val="en-US"/>
        </w:rPr>
        <w:t xml:space="preserve">Amundi knows that any reporting is a matter of details </w:t>
      </w:r>
      <w:r w:rsidR="00A95182">
        <w:rPr>
          <w:lang w:val="en-US"/>
        </w:rPr>
        <w:t>and</w:t>
      </w:r>
      <w:r w:rsidRPr="00901416">
        <w:rPr>
          <w:lang w:val="en-US"/>
        </w:rPr>
        <w:t xml:space="preserve"> implies heavy costs; in that respect a profound and confident discussion with the industry is the best way for regulators to produce a wor</w:t>
      </w:r>
      <w:r w:rsidRPr="00901416">
        <w:rPr>
          <w:lang w:val="en-US"/>
        </w:rPr>
        <w:t>k</w:t>
      </w:r>
      <w:r w:rsidRPr="00901416">
        <w:rPr>
          <w:lang w:val="en-US"/>
        </w:rPr>
        <w:t>able framework at an acceptable cost.</w:t>
      </w:r>
    </w:p>
    <w:permEnd w:id="2147166710"/>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lastRenderedPageBreak/>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583867497" w:edGrp="everyone"/>
      <w:r>
        <w:t>TYPE YOUR TEXT HERE</w:t>
      </w:r>
    </w:p>
    <w:permEnd w:id="583867497"/>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600455766" w:edGrp="everyone"/>
      <w:r>
        <w:t>TYPE YOUR TEXT HERE</w:t>
      </w:r>
    </w:p>
    <w:permEnd w:id="600455766"/>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135488588" w:edGrp="everyone"/>
      <w:r>
        <w:t>TYPE YOUR TEXT HERE</w:t>
      </w:r>
    </w:p>
    <w:permEnd w:id="1135488588"/>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289820876" w:edGrp="everyone"/>
      <w:r>
        <w:t>TYPE YOUR TEXT HERE</w:t>
      </w:r>
    </w:p>
    <w:permEnd w:id="1289820876"/>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441977926" w:edGrp="everyone"/>
      <w:r>
        <w:t>TYPE YOUR TEXT HERE</w:t>
      </w:r>
    </w:p>
    <w:permEnd w:id="441977926"/>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792940316" w:edGrp="everyone"/>
      <w:r>
        <w:t>TYPE YOUR TEXT HERE</w:t>
      </w:r>
    </w:p>
    <w:permEnd w:id="792940316"/>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4634238" w:edGrp="everyone"/>
      <w:r>
        <w:t>TYPE YOUR TEXT HERE</w:t>
      </w:r>
    </w:p>
    <w:permEnd w:id="14634238"/>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1950231654" w:edGrp="everyone"/>
      <w:r>
        <w:t>TYPE YOUR TEXT HERE</w:t>
      </w:r>
    </w:p>
    <w:permEnd w:id="1950231654"/>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1855668173" w:edGrp="everyone"/>
      <w:r>
        <w:t>TYPE YOUR TEXT HERE</w:t>
      </w:r>
    </w:p>
    <w:permEnd w:id="1855668173"/>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623052106" w:edGrp="everyone"/>
      <w:r>
        <w:t>TYPE YOUR TEXT HERE</w:t>
      </w:r>
    </w:p>
    <w:permEnd w:id="623052106"/>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526088287" w:edGrp="everyone"/>
      <w:r>
        <w:t>TYPE YOUR TEXT HERE</w:t>
      </w:r>
    </w:p>
    <w:permEnd w:id="526088287"/>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1176442836" w:edGrp="everyone"/>
      <w:r>
        <w:t>TYPE YOUR TEXT HERE</w:t>
      </w:r>
    </w:p>
    <w:permEnd w:id="1176442836"/>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1529505524" w:edGrp="everyone"/>
      <w:r>
        <w:t>TYPE YOUR TEXT HERE</w:t>
      </w:r>
    </w:p>
    <w:permEnd w:id="1529505524"/>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1968911756" w:edGrp="everyone"/>
      <w:r>
        <w:t>TYPE YOUR TEXT HERE</w:t>
      </w:r>
    </w:p>
    <w:permEnd w:id="1968911756"/>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641104037" w:edGrp="everyone"/>
      <w:r>
        <w:t>TYPE YOUR TEXT HERE</w:t>
      </w:r>
    </w:p>
    <w:permEnd w:id="641104037"/>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B13B9B" w:rsidRDefault="002D1C49" w:rsidP="00E652D1">
      <w:permStart w:id="719855978" w:edGrp="everyone"/>
      <w:r>
        <w:t xml:space="preserve">Amundi foresees difficulties in reporting information on SFTs at the transaction level, depending on the exact definition of transaction. Typically, transactions are concluded at a time and then amended later on to adapt to constraints both internal and regulatory. </w:t>
      </w:r>
      <w:r w:rsidR="00B13B9B">
        <w:t xml:space="preserve"> </w:t>
      </w:r>
    </w:p>
    <w:p w:rsidR="004510BF" w:rsidRDefault="00B13B9B" w:rsidP="00E652D1">
      <w:r>
        <w:t xml:space="preserve">Let us take the example of securities lending. </w:t>
      </w:r>
      <w:r w:rsidR="002D1C49">
        <w:t>We lend securities out of an asset pool of funds that are auth</w:t>
      </w:r>
      <w:r w:rsidR="00A95182">
        <w:t>orised to lend. A</w:t>
      </w:r>
      <w:r w:rsidR="002D1C49">
        <w:t xml:space="preserve">t the end of the day, the </w:t>
      </w:r>
      <w:r w:rsidR="00A95182">
        <w:t xml:space="preserve">exact </w:t>
      </w:r>
      <w:r w:rsidR="002D1C49">
        <w:t xml:space="preserve">allocation </w:t>
      </w:r>
      <w:r w:rsidR="00A95182">
        <w:t xml:space="preserve">among participating funds </w:t>
      </w:r>
      <w:r w:rsidR="002D1C49">
        <w:t xml:space="preserve">will be </w:t>
      </w:r>
      <w:r w:rsidR="00A95182">
        <w:t>finalised on the basis of predetermined and precise rules that include regulatory and</w:t>
      </w:r>
      <w:r w:rsidR="002D1C49">
        <w:t xml:space="preserve"> risk management ratio</w:t>
      </w:r>
      <w:r w:rsidR="00A95182">
        <w:t xml:space="preserve">s. </w:t>
      </w:r>
      <w:r w:rsidR="002D1C49">
        <w:t xml:space="preserve"> We are satisfied to read that RTS foresees a T+1 end of day time limit for proper reporting.</w:t>
      </w:r>
      <w:r w:rsidR="00A95182">
        <w:t xml:space="preserve"> As a matter of illustr</w:t>
      </w:r>
      <w:r w:rsidR="00A95182">
        <w:t>a</w:t>
      </w:r>
      <w:r w:rsidR="00A95182">
        <w:t xml:space="preserve">tion, Amundi </w:t>
      </w:r>
      <w:r w:rsidR="004510BF">
        <w:t xml:space="preserve">runs 2600 positions with an average of 5 to 6 daily adjustments each. Furthermore, when we use some tri party agents to manage collateral, there are reviews every 15 minutes. </w:t>
      </w:r>
      <w:r w:rsidR="001854F3">
        <w:t>Any reporting of these numerous and technical changes would be impossible.</w:t>
      </w:r>
      <w:r w:rsidR="004510BF">
        <w:t xml:space="preserve"> </w:t>
      </w:r>
    </w:p>
    <w:p w:rsidR="00E652D1" w:rsidRDefault="00B13B9B" w:rsidP="00E652D1">
      <w:r>
        <w:t>We are not totally clear about the possibility to identify such an asset pool</w:t>
      </w:r>
      <w:r w:rsidR="001854F3">
        <w:t xml:space="preserve"> among different funds</w:t>
      </w:r>
      <w:r>
        <w:t xml:space="preserve"> as the cou</w:t>
      </w:r>
      <w:r>
        <w:t>n</w:t>
      </w:r>
      <w:r>
        <w:t>terparty or the necessity to book funds</w:t>
      </w:r>
      <w:r w:rsidRPr="00B13B9B">
        <w:t xml:space="preserve"> </w:t>
      </w:r>
      <w:r>
        <w:t xml:space="preserve">individually ;  in that later case we wonder whether we could  </w:t>
      </w:r>
      <w:r>
        <w:lastRenderedPageBreak/>
        <w:t>neve</w:t>
      </w:r>
      <w:r>
        <w:t>r</w:t>
      </w:r>
      <w:r>
        <w:t xml:space="preserve">theless use only one UTI for this trade that is a many to one securities lending transaction. Suppose that the following day there </w:t>
      </w:r>
      <w:r w:rsidR="00D36BBA">
        <w:t>is</w:t>
      </w:r>
      <w:r>
        <w:t xml:space="preserve"> an amendment, a substitution of a fund with another one, partic</w:t>
      </w:r>
      <w:r>
        <w:t>i</w:t>
      </w:r>
      <w:r w:rsidR="004510BF">
        <w:t>pant  as well to</w:t>
      </w:r>
      <w:r>
        <w:t xml:space="preserve"> the initial pool of assets. What is not clear to us is the way to report. </w:t>
      </w:r>
      <w:r w:rsidR="00D36BBA">
        <w:t>It will depend on the original boo</w:t>
      </w:r>
      <w:r w:rsidR="00D36BBA">
        <w:t>k</w:t>
      </w:r>
      <w:r w:rsidR="00D36BBA">
        <w:t>ing, either  funds individually or pool, and  with one or several UTI. The general architecture of our organ</w:t>
      </w:r>
      <w:r w:rsidR="00D36BBA">
        <w:t>i</w:t>
      </w:r>
      <w:r w:rsidR="00D36BBA">
        <w:t>sation will depend on the a</w:t>
      </w:r>
      <w:r w:rsidR="00D36BBA">
        <w:t>n</w:t>
      </w:r>
      <w:r w:rsidR="00D36BBA">
        <w:t>swers to these questions and we have not got enough time to forge a strong opinion yet.</w:t>
      </w:r>
      <w:r w:rsidR="004510BF">
        <w:t xml:space="preserve"> We are today working with counterparties on the basis of an initial trade made with the pool of funds as counterparty </w:t>
      </w:r>
      <w:r w:rsidR="001854F3">
        <w:t>with a</w:t>
      </w:r>
      <w:r w:rsidR="004510BF">
        <w:t xml:space="preserve"> daily precise </w:t>
      </w:r>
      <w:r w:rsidR="001854F3">
        <w:t xml:space="preserve">report on </w:t>
      </w:r>
      <w:r w:rsidR="004510BF">
        <w:t xml:space="preserve">affectation among funds. </w:t>
      </w:r>
      <w:r w:rsidR="001854F3">
        <w:t xml:space="preserve">This goes through largely used communication platforms such as </w:t>
      </w:r>
      <w:proofErr w:type="spellStart"/>
      <w:r w:rsidR="001854F3">
        <w:t>Equilend</w:t>
      </w:r>
      <w:proofErr w:type="spellEnd"/>
      <w:r w:rsidR="001854F3">
        <w:t xml:space="preserve"> . </w:t>
      </w:r>
      <w:r w:rsidR="004510BF">
        <w:t>Substitution of funds acting as lenders does not imply a change in the identification reference of the initial transaction in the disclosure pr</w:t>
      </w:r>
      <w:r w:rsidR="004510BF">
        <w:t>o</w:t>
      </w:r>
      <w:r w:rsidR="004510BF">
        <w:t>vided by the agent lender (ALD).</w:t>
      </w:r>
      <w:r w:rsidR="001854F3">
        <w:t xml:space="preserve"> Our experience on the efficiency of this system is very positive and we would recommend this approach.</w:t>
      </w:r>
    </w:p>
    <w:permEnd w:id="719855978"/>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041449" w:rsidP="00E652D1">
      <w:permStart w:id="1384329574" w:edGrp="everyone"/>
      <w:r>
        <w:t xml:space="preserve"> </w:t>
      </w:r>
      <w:r>
        <w:t>We oppose this suggestion</w:t>
      </w:r>
      <w:r>
        <w:t xml:space="preserve"> . </w:t>
      </w:r>
      <w:r w:rsidR="00F82BB0">
        <w:t>As a matter of fact, collateral is managed at positon level between two cou</w:t>
      </w:r>
      <w:r w:rsidR="00F82BB0">
        <w:t>n</w:t>
      </w:r>
      <w:r w:rsidR="00F82BB0">
        <w:t>terparties and not individually transaction by transaction</w:t>
      </w:r>
      <w:r w:rsidR="001854F3">
        <w:t xml:space="preserve"> for securities lending. GMSL is very clear</w:t>
      </w:r>
      <w:r w:rsidR="00F82BB0">
        <w:t>.</w:t>
      </w:r>
      <w:r w:rsidR="00035962">
        <w:t xml:space="preserve"> </w:t>
      </w:r>
      <w:r>
        <w:t xml:space="preserve"> Co</w:t>
      </w:r>
      <w:r>
        <w:t>n</w:t>
      </w:r>
      <w:r>
        <w:t>versely, GMRA foresees for  Repos a collateral management on a contract per contract basis. SFTR should adapt for these different architectures and</w:t>
      </w:r>
      <w:r w:rsidR="00035962">
        <w:t xml:space="preserve"> not impose any position level report </w:t>
      </w:r>
      <w:r>
        <w:t xml:space="preserve">on Repos </w:t>
      </w:r>
      <w:r w:rsidR="00035962">
        <w:t>that would come as an addition to the required transaction level</w:t>
      </w:r>
      <w:r>
        <w:t>, nor demand collateral report on securities lending at a transaction level.</w:t>
      </w:r>
    </w:p>
    <w:permEnd w:id="1384329574"/>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D36BBA" w:rsidP="00E652D1">
      <w:permStart w:id="647440103" w:edGrp="everyone"/>
      <w:r>
        <w:t>From a financial stability point of view, a macro view is what is of importance. More granular data enable to conduct further in depth analyses. However transaction level seems to be far too granular for the obje</w:t>
      </w:r>
      <w:r>
        <w:t>c</w:t>
      </w:r>
      <w:r>
        <w:t>tive of financial stability supervision.</w:t>
      </w:r>
      <w:r w:rsidR="00F82BB0">
        <w:t xml:space="preserve"> We believe that transaction level reporting may overflow supervisors with too many not directly readable data</w:t>
      </w:r>
      <w:r w:rsidR="00063FCE">
        <w:t xml:space="preserve"> and reduce their capacity to immediately capture important ma</w:t>
      </w:r>
      <w:r w:rsidR="00063FCE">
        <w:t>r</w:t>
      </w:r>
      <w:r w:rsidR="00063FCE">
        <w:t>ket evolutions.</w:t>
      </w:r>
      <w:r w:rsidR="00F82BB0">
        <w:t xml:space="preserve">  </w:t>
      </w:r>
    </w:p>
    <w:permEnd w:id="647440103"/>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77277F" w:rsidP="00E652D1">
      <w:permStart w:id="876881039" w:edGrp="everyone"/>
      <w:r>
        <w:t xml:space="preserve">Annex 6.1 includes in our opinion too many data elements. Furthermore, they are not prioritised. </w:t>
      </w:r>
      <w:r w:rsidR="00041449">
        <w:t>Author</w:t>
      </w:r>
      <w:r w:rsidR="00041449">
        <w:t>i</w:t>
      </w:r>
      <w:r w:rsidR="00041449">
        <w:t xml:space="preserve">ties </w:t>
      </w:r>
      <w:r>
        <w:t>should assess which fields are mandatory and which are optional. A third level should be reco</w:t>
      </w:r>
      <w:r>
        <w:t>g</w:t>
      </w:r>
      <w:r>
        <w:t>nised for fields that are mandatory but do not constitute blocking criteria if not matched with the counte</w:t>
      </w:r>
      <w:r>
        <w:t>r</w:t>
      </w:r>
      <w:r>
        <w:t xml:space="preserve">party. We should aim at reducing improper rejections of reports </w:t>
      </w:r>
      <w:r w:rsidR="0001355A">
        <w:t>that result from the dual</w:t>
      </w:r>
      <w:r>
        <w:t xml:space="preserve"> sided  reporting</w:t>
      </w:r>
      <w:r w:rsidR="0001355A">
        <w:t xml:space="preserve"> r</w:t>
      </w:r>
      <w:r w:rsidR="0001355A">
        <w:t>e</w:t>
      </w:r>
      <w:r w:rsidR="0001355A">
        <w:t>quirement</w:t>
      </w:r>
      <w:r>
        <w:t>.</w:t>
      </w:r>
      <w:r w:rsidR="0001355A">
        <w:t xml:space="preserve"> </w:t>
      </w:r>
    </w:p>
    <w:p w:rsidR="0077277F" w:rsidRDefault="0077277F" w:rsidP="00E652D1">
      <w:r>
        <w:t>Amundi is surprised to read such a question, so wide an so far reaching, positioned here in the discussion paper and not at the end of section 6.1. We will express a few comment on the differen</w:t>
      </w:r>
      <w:r w:rsidR="00F82BB0">
        <w:t>t</w:t>
      </w:r>
      <w:r>
        <w:t xml:space="preserve"> fields that are listed in  the Annex 6.1</w:t>
      </w:r>
      <w:r w:rsidR="00F82BB0">
        <w:t xml:space="preserve"> and do so in due course, following the order of the discussion paper.</w:t>
      </w:r>
      <w:r w:rsidR="00041449">
        <w:t xml:space="preserve"> However, you will find below the list of the our comments with a  reference to the page in the discussion doc</w:t>
      </w:r>
      <w:r w:rsidR="00041449">
        <w:t>u</w:t>
      </w:r>
      <w:r w:rsidR="00041449">
        <w:t>ment and to the number of the field concerned</w:t>
      </w:r>
      <w:r w:rsidR="00847AE9">
        <w:t xml:space="preserve"> in the section of annex 6.1 dedicated to securities lending  (section 6.1.3 page 135)</w:t>
      </w:r>
      <w:r w:rsidR="00041449">
        <w:t>.</w:t>
      </w:r>
    </w:p>
    <w:p w:rsidR="00041449" w:rsidRDefault="00041449" w:rsidP="00041449">
      <w:pPr>
        <w:pStyle w:val="Paragraphedeliste"/>
        <w:numPr>
          <w:ilvl w:val="0"/>
          <w:numId w:val="52"/>
        </w:numPr>
      </w:pPr>
      <w:r>
        <w:t>P.</w:t>
      </w:r>
      <w:r w:rsidR="00847AE9">
        <w:t>138 (7) the convention for buyer and seller is not appropriate</w:t>
      </w:r>
    </w:p>
    <w:p w:rsidR="00847AE9" w:rsidRDefault="00847AE9" w:rsidP="00041449">
      <w:pPr>
        <w:pStyle w:val="Paragraphedeliste"/>
        <w:numPr>
          <w:ilvl w:val="0"/>
          <w:numId w:val="52"/>
        </w:numPr>
      </w:pPr>
      <w:r>
        <w:t>P. 142 (1) Who is in charge of providing the UTI? in which delay? We need clear rules and r</w:t>
      </w:r>
      <w:r>
        <w:t>e</w:t>
      </w:r>
      <w:r>
        <w:t>sponsibilities to be determined .</w:t>
      </w:r>
    </w:p>
    <w:p w:rsidR="00847AE9" w:rsidRDefault="00847AE9" w:rsidP="00041449">
      <w:pPr>
        <w:pStyle w:val="Paragraphedeliste"/>
        <w:numPr>
          <w:ilvl w:val="0"/>
          <w:numId w:val="52"/>
        </w:numPr>
      </w:pPr>
      <w:r>
        <w:t>P142 (8) the difference between automated and automatic trading is unclear and does not refer to real life.</w:t>
      </w:r>
    </w:p>
    <w:p w:rsidR="00975F3A" w:rsidRDefault="00847AE9" w:rsidP="00041449">
      <w:pPr>
        <w:pStyle w:val="Paragraphedeliste"/>
        <w:numPr>
          <w:ilvl w:val="0"/>
          <w:numId w:val="52"/>
        </w:numPr>
      </w:pPr>
      <w:r>
        <w:t xml:space="preserve">P143 (9): the place of settlement </w:t>
      </w:r>
      <w:r w:rsidR="00975F3A">
        <w:t xml:space="preserve">as far as funds are concerned </w:t>
      </w:r>
      <w:r>
        <w:t xml:space="preserve">is not </w:t>
      </w:r>
      <w:r w:rsidR="00975F3A">
        <w:t>readily available to the a</w:t>
      </w:r>
      <w:r w:rsidR="00975F3A">
        <w:t>s</w:t>
      </w:r>
      <w:r w:rsidR="00975F3A">
        <w:t>set management company: it comes from local sub custodian  chosen by the depositary and is exchanged between back offices to confirm the settlement instructions of a transaction.</w:t>
      </w:r>
    </w:p>
    <w:p w:rsidR="00774B94" w:rsidRDefault="00975F3A" w:rsidP="00041449">
      <w:pPr>
        <w:pStyle w:val="Paragraphedeliste"/>
        <w:numPr>
          <w:ilvl w:val="0"/>
          <w:numId w:val="52"/>
        </w:numPr>
      </w:pPr>
      <w:r>
        <w:lastRenderedPageBreak/>
        <w:t xml:space="preserve">P143 (11, 12, 13) these fields introduce a confusion between legal documentation that is under the supervision of the  legal department and </w:t>
      </w:r>
      <w:r w:rsidR="00847AE9">
        <w:t xml:space="preserve"> </w:t>
      </w:r>
      <w:r>
        <w:t>the trading activity that is conducted at a</w:t>
      </w:r>
      <w:r w:rsidR="00EF0348">
        <w:t xml:space="preserve"> front office desk</w:t>
      </w:r>
      <w:r w:rsidR="00774B94">
        <w:t>; front office is not to be burdened with any other complexity than “yes” or “no” on the eligibi</w:t>
      </w:r>
      <w:r w:rsidR="00774B94">
        <w:t>l</w:t>
      </w:r>
      <w:r w:rsidR="00774B94">
        <w:t>ity of a counterparty; that relates to the existence of a master agreement in an adequate version; further specifications will not be available at its level and would be very difficult to import.</w:t>
      </w:r>
    </w:p>
    <w:p w:rsidR="00703F2C" w:rsidRDefault="00703F2C" w:rsidP="00041449">
      <w:pPr>
        <w:pStyle w:val="Paragraphedeliste"/>
        <w:numPr>
          <w:ilvl w:val="0"/>
          <w:numId w:val="52"/>
        </w:numPr>
      </w:pPr>
      <w:r>
        <w:t>P144 (18) UCITS must be able to stop a transaction at any time: is zero an acceptable figure?</w:t>
      </w:r>
    </w:p>
    <w:p w:rsidR="00774B94" w:rsidRDefault="00774B94" w:rsidP="00041449">
      <w:pPr>
        <w:pStyle w:val="Paragraphedeliste"/>
        <w:numPr>
          <w:ilvl w:val="0"/>
          <w:numId w:val="52"/>
        </w:numPr>
      </w:pPr>
      <w:r>
        <w:t>P145 (21) the introduction of a specific item for settlement through CREST appears redundant if other indications are required for settlement .</w:t>
      </w:r>
    </w:p>
    <w:p w:rsidR="00703F2C" w:rsidRDefault="00703F2C" w:rsidP="00041449">
      <w:pPr>
        <w:pStyle w:val="Paragraphedeliste"/>
        <w:numPr>
          <w:ilvl w:val="0"/>
          <w:numId w:val="52"/>
        </w:numPr>
      </w:pPr>
      <w:r>
        <w:t>P147 (33-34):  there is not much clarity on the distinction between the two items; what is price if not market price?</w:t>
      </w:r>
    </w:p>
    <w:p w:rsidR="00AB36AB" w:rsidRDefault="00AB36AB" w:rsidP="00041449">
      <w:pPr>
        <w:pStyle w:val="Paragraphedeliste"/>
        <w:numPr>
          <w:ilvl w:val="0"/>
          <w:numId w:val="52"/>
        </w:numPr>
      </w:pPr>
      <w:r>
        <w:t xml:space="preserve">P148 (38): the information on </w:t>
      </w:r>
      <w:proofErr w:type="spellStart"/>
      <w:r>
        <w:t>a</w:t>
      </w:r>
      <w:proofErr w:type="spellEnd"/>
      <w:r>
        <w:t xml:space="preserve"> possible exclusive access is not referenced today and is not in the reach of the operational trading settlement teams. Cost involved to gather it is not minimal. Is it worthwhile ?  </w:t>
      </w:r>
    </w:p>
    <w:p w:rsidR="00EB6485" w:rsidRDefault="00EB6485" w:rsidP="00041449">
      <w:pPr>
        <w:pStyle w:val="Paragraphedeliste"/>
        <w:numPr>
          <w:ilvl w:val="0"/>
          <w:numId w:val="52"/>
        </w:numPr>
      </w:pPr>
      <w:r>
        <w:t>P 149 (9) technical point on pre € currencies</w:t>
      </w:r>
    </w:p>
    <w:p w:rsidR="00EB6485" w:rsidRDefault="00EB6485" w:rsidP="00041449">
      <w:pPr>
        <w:pStyle w:val="Paragraphedeliste"/>
        <w:numPr>
          <w:ilvl w:val="0"/>
          <w:numId w:val="52"/>
        </w:numPr>
      </w:pPr>
      <w:r>
        <w:t>P149 (11) practitioners differentiate between clean and dirty price: which one is expected here?</w:t>
      </w:r>
    </w:p>
    <w:p w:rsidR="00EB6485" w:rsidRDefault="00EB6485" w:rsidP="00041449">
      <w:pPr>
        <w:pStyle w:val="Paragraphedeliste"/>
        <w:numPr>
          <w:ilvl w:val="0"/>
          <w:numId w:val="52"/>
        </w:numPr>
      </w:pPr>
      <w:r>
        <w:t>P 150 (12-13) collateral is posted globally and generally includes minimum collateral required, haircut and over collateralisation in excess of those. It is not easy to split and even very difficult if we take into account the diverse levels of haircuts for different types of collateral within the same portfolio.</w:t>
      </w:r>
      <w:r w:rsidR="00703F2C">
        <w:t xml:space="preserve"> We suggest to populate field 12  with the total amount of collateral.</w:t>
      </w:r>
    </w:p>
    <w:p w:rsidR="00703F2C" w:rsidRDefault="00703F2C" w:rsidP="00041449">
      <w:pPr>
        <w:pStyle w:val="Paragraphedeliste"/>
        <w:numPr>
          <w:ilvl w:val="0"/>
          <w:numId w:val="52"/>
        </w:numPr>
      </w:pPr>
      <w:r>
        <w:t>P 150 (14 to17) the ISIN code sufficiently identifies the security; we oppose the reference to CRA’s ratings in a regulatory reporting and refuse the cost incurred.</w:t>
      </w:r>
    </w:p>
    <w:p w:rsidR="00703F2C" w:rsidRDefault="00AB36AB" w:rsidP="00AB36AB">
      <w:r>
        <w:t>Some comments are specific to Repos:</w:t>
      </w:r>
    </w:p>
    <w:p w:rsidR="00774B94" w:rsidRDefault="00774B94" w:rsidP="00041449">
      <w:pPr>
        <w:pStyle w:val="Paragraphedeliste"/>
        <w:numPr>
          <w:ilvl w:val="0"/>
          <w:numId w:val="52"/>
        </w:numPr>
      </w:pPr>
      <w:r>
        <w:t>P111 (24) we do not lend commodities and would have to systematically introduce a new item.</w:t>
      </w:r>
    </w:p>
    <w:p w:rsidR="00847AE9" w:rsidRDefault="00774B94" w:rsidP="00041449">
      <w:pPr>
        <w:pStyle w:val="Paragraphedeliste"/>
        <w:numPr>
          <w:ilvl w:val="0"/>
          <w:numId w:val="52"/>
        </w:numPr>
      </w:pPr>
      <w:r>
        <w:t>P115 (35-36) for repos and their floating rate leg,</w:t>
      </w:r>
      <w:r w:rsidR="00EB6485">
        <w:t xml:space="preserve"> we think it is not necessary to report the rate a</w:t>
      </w:r>
      <w:r w:rsidR="00EB6485">
        <w:t>d</w:t>
      </w:r>
      <w:r w:rsidR="00EB6485">
        <w:t>justments since the computation methodology is made available</w:t>
      </w:r>
    </w:p>
    <w:p w:rsidR="00EB6485" w:rsidRDefault="00EB6485" w:rsidP="00041449">
      <w:pPr>
        <w:pStyle w:val="Paragraphedeliste"/>
        <w:numPr>
          <w:ilvl w:val="0"/>
          <w:numId w:val="52"/>
        </w:numPr>
      </w:pPr>
      <w:r>
        <w:t>P115 (38) it is useless to guess the evolution of a floating rate to maturity.</w:t>
      </w:r>
    </w:p>
    <w:permEnd w:id="876881039"/>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5C409F" w:rsidP="00E652D1">
      <w:permStart w:id="1160405897" w:edGrp="everyone"/>
      <w:r>
        <w:t xml:space="preserve">ESMA should refer to existing operational flows of information and especially Agent Lending Disclosure (ALD) reports that are exchanged daily through such platforms as </w:t>
      </w:r>
      <w:proofErr w:type="spellStart"/>
      <w:r>
        <w:t>Equilend</w:t>
      </w:r>
      <w:proofErr w:type="spellEnd"/>
      <w:r>
        <w:t xml:space="preserve">  for securities lending. These reports are operationally efficient and allow counterparties to daily control their collateral on a position basis.</w:t>
      </w:r>
    </w:p>
    <w:permEnd w:id="1160405897"/>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F82BB0" w:rsidP="00E652D1">
      <w:permStart w:id="1138890914" w:edGrp="everyone"/>
      <w:r>
        <w:t>Here again, we are surprised that this question is not posted after section  4.3.5 where it belongs.</w:t>
      </w:r>
    </w:p>
    <w:permEnd w:id="1138890914"/>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01355A" w:rsidP="00E652D1">
      <w:permStart w:id="1886353105" w:edGrp="everyone"/>
      <w:r>
        <w:t>Amundi favours the continuity  and prefers to keep a structure comparable to that used under EMIR. Any improvement under one of the two regulations would easily benefit to the other if processes are similar.</w:t>
      </w:r>
    </w:p>
    <w:permEnd w:id="1886353105"/>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lastRenderedPageBreak/>
        <w:t>&lt;ESMA_QUESTION_SFTR_23&gt;</w:t>
      </w:r>
    </w:p>
    <w:p w:rsidR="00E652D1" w:rsidRDefault="00E652D1" w:rsidP="00E652D1">
      <w:permStart w:id="518268904" w:edGrp="everyone"/>
      <w:r>
        <w:t>T</w:t>
      </w:r>
      <w:r w:rsidR="005C409F">
        <w:t>he question that is not clearly addressed relates to the way substitutions of lender within an asset pool that lends securities to a counterparty will be considered. It essentially depends on the methodology for booking the initial transaction as discussed above Q16.</w:t>
      </w:r>
    </w:p>
    <w:permEnd w:id="518268904"/>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1718630973" w:edGrp="everyone"/>
      <w:r>
        <w:t>TYPE YOUR TEXT HERE</w:t>
      </w:r>
    </w:p>
    <w:permEnd w:id="1718630973"/>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E652D1" w:rsidP="00E652D1">
      <w:permStart w:id="1900550404" w:edGrp="everyone"/>
      <w:r>
        <w:t>TYPE YOUR TEXT HERE</w:t>
      </w:r>
    </w:p>
    <w:permEnd w:id="1900550404"/>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E652D1" w:rsidRDefault="00AA099B" w:rsidP="00E652D1">
      <w:permStart w:id="1098659798" w:edGrp="everyone"/>
      <w:r>
        <w:t>As noticed in § 136, a unique reference identifier for a lifecycle event is not mandatory and not necessary, since it is possible to identify through the UTI, the date and the type of event. We do not believe it should be introduced.</w:t>
      </w:r>
    </w:p>
    <w:permEnd w:id="1098659798"/>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1217362877" w:edGrp="everyone"/>
      <w:r>
        <w:t>TYPE YOUR TEXT HERE</w:t>
      </w:r>
    </w:p>
    <w:permEnd w:id="1217362877"/>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01355A" w:rsidP="00E652D1">
      <w:permStart w:id="595682808" w:edGrp="everyone"/>
      <w:r>
        <w:t xml:space="preserve">Amundi believes that the rules to identify who is a buyer or a seller are not logical.  First we agree with the analysis conducted as far as Repos are concerned, where we have an immediate seller who transfers securities and pledges to buy them back in the future. </w:t>
      </w:r>
      <w:r w:rsidR="00F61320">
        <w:t xml:space="preserve">Thus the buyer is the counterparty which receives the securities and sends cash. In the case of securities lending practitioners never use the words buyer or seller to designate either the lender or the borrower of the securities. For the purpose of reporting we need a convention which designates who will be considered as the buyer. ESMA suggests that the lender will be called the buyer. Even if it is pure convention we believe that it would make more sense to decide the contrary. We recommend to consider the settlement of the transaction and decide that the buyer is the counterparty which receives securities, i.e. the borrower. </w:t>
      </w:r>
    </w:p>
    <w:permEnd w:id="595682808"/>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F61320" w:rsidP="00E652D1">
      <w:permStart w:id="1759856276" w:edGrp="everyone"/>
      <w:r>
        <w:t xml:space="preserve">In the case of securities lending practitioners never use the words buyer or seller to designate either the lender or the borrower of the securities. For the purpose of reporting, we need a convention to designate who will be considered as the buyer. ESMA suggests that the lender </w:t>
      </w:r>
      <w:r w:rsidR="0092480C">
        <w:t>should</w:t>
      </w:r>
      <w:r>
        <w:t xml:space="preserve"> be called the buyer. Even if it is pure convention we believe that it would make more sense to decide the contrary. We suggest  to consi</w:t>
      </w:r>
      <w:r>
        <w:t>d</w:t>
      </w:r>
      <w:r>
        <w:t>er the settlement of the transaction and align on the Repo</w:t>
      </w:r>
      <w:r w:rsidR="00083E04">
        <w:t>,</w:t>
      </w:r>
      <w:r w:rsidRPr="00F61320">
        <w:t xml:space="preserve"> </w:t>
      </w:r>
      <w:r>
        <w:t xml:space="preserve">where  the buyer is the counterparty </w:t>
      </w:r>
      <w:r>
        <w:lastRenderedPageBreak/>
        <w:t>which receives the securities and usually sends cash. Hence, we recommend that ESMA  decides that the buyer is the counterparty which receives securities, i.e. the borrower</w:t>
      </w:r>
      <w:r w:rsidR="00083E04">
        <w:t xml:space="preserve"> in a securities loan</w:t>
      </w:r>
      <w:r>
        <w:t>.</w:t>
      </w:r>
    </w:p>
    <w:permEnd w:id="1759856276"/>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596334685" w:edGrp="everyone"/>
      <w:r>
        <w:t>TYPE YOUR TEXT HERE</w:t>
      </w:r>
    </w:p>
    <w:permEnd w:id="596334685"/>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835342649" w:edGrp="everyone"/>
      <w:r>
        <w:t>TYPE YOUR TEXT HERE</w:t>
      </w:r>
    </w:p>
    <w:permEnd w:id="835342649"/>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8210C3" w:rsidRDefault="008210C3" w:rsidP="00E652D1">
      <w:permStart w:id="129124600" w:edGrp="everyone"/>
      <w:r>
        <w:t>In § 149 the last bullet point requires counterparties to report the original trade that has been replaced at the time of the clearing and has give</w:t>
      </w:r>
      <w:r w:rsidR="0092480C">
        <w:t xml:space="preserve">n birth to 2 different trades, </w:t>
      </w:r>
      <w:r>
        <w:t>both requiring 2 reports by each clearing member. We question the rationale for reporting the bilateral initial trade under these circumstances and trust that a proper assessment of cost/e</w:t>
      </w:r>
      <w:r w:rsidR="0092480C">
        <w:t>fficiency in terms of financial</w:t>
      </w:r>
      <w:r>
        <w:t xml:space="preserve"> stability issues would conclude to the suppression of this requirement. The same applies for the following scenario 4.</w:t>
      </w:r>
    </w:p>
    <w:p w:rsidR="00E652D1" w:rsidRDefault="008210C3" w:rsidP="00E652D1">
      <w:r>
        <w:t xml:space="preserve">We would like clarification on the production of UTIs under scenario 4. </w:t>
      </w:r>
      <w:r w:rsidR="00462F25">
        <w:t>An asset manager typically tran</w:t>
      </w:r>
      <w:r w:rsidR="00462F25">
        <w:t>s</w:t>
      </w:r>
      <w:r w:rsidR="00462F25">
        <w:t>acts on behalf of a fund with an Investment bank. When clearing each side accesses the CCP agreed upon through its clearing member, which might be the same investment bank or an affiliate thereof. Shall we rely on the UTI provided by the investment bank for the initial transaction, ask the CCP to provide on</w:t>
      </w:r>
      <w:r w:rsidR="0092480C">
        <w:t>e for each side and link them, expect the clearing member to circulate the UTI, or</w:t>
      </w:r>
      <w:r w:rsidR="00462F25">
        <w:t xml:space="preserve"> any other solution we may think of. The circuit to pr</w:t>
      </w:r>
      <w:r w:rsidR="00462F25">
        <w:t>o</w:t>
      </w:r>
      <w:r w:rsidR="00462F25">
        <w:t xml:space="preserve">duce UTIs on time for reporting </w:t>
      </w:r>
      <w:r w:rsidR="0092480C">
        <w:t>should</w:t>
      </w:r>
      <w:r w:rsidR="00462F25">
        <w:t xml:space="preserve"> in our view </w:t>
      </w:r>
      <w:r w:rsidR="0092480C">
        <w:t>be clarified</w:t>
      </w:r>
      <w:r w:rsidR="00462F25">
        <w:t>.</w:t>
      </w:r>
    </w:p>
    <w:permEnd w:id="129124600"/>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462F25" w:rsidP="00E652D1">
      <w:permStart w:id="2070768326" w:edGrp="everyone"/>
      <w:r>
        <w:t>Amundi is very attentive and follows the new developments that major CCPs work upon in order to facil</w:t>
      </w:r>
      <w:r>
        <w:t>i</w:t>
      </w:r>
      <w:r>
        <w:t xml:space="preserve">tate full segregation of assets for investors clients of clearing members. We are aware of projects that would please us of “quasi” members or members of the CCP </w:t>
      </w:r>
      <w:r w:rsidR="0092480C">
        <w:t>“</w:t>
      </w:r>
      <w:r>
        <w:t xml:space="preserve">sponsored </w:t>
      </w:r>
      <w:r w:rsidR="0092480C">
        <w:t>“</w:t>
      </w:r>
      <w:r>
        <w:t>by a clearing member. They would facilitate operations for asset managers and be very comparable to an agency clearing. This new type of “membership” may require a new scenario to be built.</w:t>
      </w:r>
    </w:p>
    <w:permEnd w:id="2070768326"/>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2065913551" w:edGrp="everyone"/>
      <w:r>
        <w:t>TYPE YOUR TEXT HERE</w:t>
      </w:r>
    </w:p>
    <w:permEnd w:id="2065913551"/>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787563415" w:edGrp="everyone"/>
      <w:r>
        <w:t>TYPE YOUR TEXT HERE</w:t>
      </w:r>
    </w:p>
    <w:permEnd w:id="787563415"/>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467F56" w:rsidP="00E652D1">
      <w:permStart w:id="1401293305" w:edGrp="everyone"/>
      <w:r>
        <w:t>For the moment, Amundi does not</w:t>
      </w:r>
      <w:r w:rsidR="0092480C">
        <w:t xml:space="preserve"> use central</w:t>
      </w:r>
      <w:r>
        <w:t xml:space="preserve"> clear</w:t>
      </w:r>
      <w:r w:rsidR="0092480C">
        <w:t>ing for</w:t>
      </w:r>
      <w:r>
        <w:t xml:space="preserve"> SFTs on a regular basis. We keep posted and are atte</w:t>
      </w:r>
      <w:r>
        <w:t>n</w:t>
      </w:r>
      <w:r>
        <w:t xml:space="preserve">tive to new opportunities and trends on the issue. </w:t>
      </w:r>
    </w:p>
    <w:permEnd w:id="1401293305"/>
    <w:p w:rsidR="00E652D1" w:rsidRDefault="00E652D1" w:rsidP="00E652D1">
      <w:r>
        <w:lastRenderedPageBreak/>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1556092060" w:edGrp="everyone"/>
      <w:r>
        <w:t>TYPE YOUR TEXT HERE</w:t>
      </w:r>
    </w:p>
    <w:permEnd w:id="1556092060"/>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1D5331" w:rsidRDefault="001D5331" w:rsidP="00E652D1">
      <w:permStart w:id="805927538" w:edGrp="everyone"/>
      <w:r>
        <w:t>Amundi does not recognise its most common way of conducting transactions among the different scenar</w:t>
      </w:r>
      <w:r>
        <w:t>i</w:t>
      </w:r>
      <w:r>
        <w:t>os presented in the discussion paper.  We typically identify funds that can lend securities and aggregate them in an asset pool. We trade through a broker that will act</w:t>
      </w:r>
      <w:r w:rsidR="0092480C">
        <w:t xml:space="preserve"> as an agent and lend a security</w:t>
      </w:r>
      <w:r>
        <w:t xml:space="preserve"> for a given quantity out of the pool of assets of the funds. A direct transaction will be confirmed between counterparty A and the pool. At the end of the day the final allocation will be made and individual confirmations sent to </w:t>
      </w:r>
      <w:r w:rsidR="009A6336">
        <w:t>each fund. The details will be sent to the counterparty and settlement will take place through one single transfer out of the common depositary of all the concerned funds.</w:t>
      </w:r>
    </w:p>
    <w:permEnd w:id="805927538"/>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1981707494" w:edGrp="everyone"/>
      <w:r>
        <w:t>TYPE YOUR TEXT HERE</w:t>
      </w:r>
    </w:p>
    <w:permEnd w:id="1981707494"/>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515007214" w:edGrp="everyone"/>
      <w:r>
        <w:t>TYPE YOUR TEXT HERE</w:t>
      </w:r>
    </w:p>
    <w:permEnd w:id="1515007214"/>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89131465" w:edGrp="everyone"/>
      <w:r>
        <w:t>TYPE YOUR TEXT HERE</w:t>
      </w:r>
    </w:p>
    <w:permEnd w:id="89131465"/>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2143748599" w:edGrp="everyone"/>
      <w:r>
        <w:t>TYPE YOUR TEXT HERE</w:t>
      </w:r>
    </w:p>
    <w:permEnd w:id="2143748599"/>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893532081" w:edGrp="everyone"/>
      <w:r>
        <w:t>TYPE YOUR TEXT HERE</w:t>
      </w:r>
    </w:p>
    <w:permEnd w:id="893532081"/>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1527143692" w:edGrp="everyone"/>
      <w:r>
        <w:t>TYPE YOUR TEXT HERE</w:t>
      </w:r>
    </w:p>
    <w:permEnd w:id="1527143692"/>
    <w:p w:rsidR="00E652D1" w:rsidRDefault="00E652D1" w:rsidP="00E652D1">
      <w:r>
        <w:t>&lt;ESMA_QUESTION_SFTR_44&gt;</w:t>
      </w:r>
    </w:p>
    <w:p w:rsidR="00E652D1" w:rsidRDefault="00E652D1" w:rsidP="00E652D1"/>
    <w:p w:rsidR="00E652D1" w:rsidRDefault="00E652D1" w:rsidP="00E652D1">
      <w:pPr>
        <w:pStyle w:val="QST"/>
        <w:numPr>
          <w:ilvl w:val="0"/>
          <w:numId w:val="50"/>
        </w:numPr>
      </w:pPr>
      <w:r>
        <w:lastRenderedPageBreak/>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9A6336" w:rsidP="00E652D1">
      <w:permStart w:id="1678200722" w:edGrp="everyone"/>
      <w:r>
        <w:t>Daily valuation is the common regime for most funds. Asset managers do not face difficulties in valuating securities on loan (where the risk is kept by the lender) or borrowed.</w:t>
      </w:r>
    </w:p>
    <w:permEnd w:id="1678200722"/>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9A6336" w:rsidP="00E652D1">
      <w:permStart w:id="25374482" w:edGrp="everyone"/>
      <w:r>
        <w:t xml:space="preserve">Prior to Lehman’s default, lending without collateral did exist in practice. Post crisis it is rather infrequent and particularly so in the asset management industry. </w:t>
      </w:r>
    </w:p>
    <w:permEnd w:id="25374482"/>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9A6336" w:rsidP="00E652D1">
      <w:permStart w:id="1939552736" w:edGrp="everyone"/>
      <w:r>
        <w:t>Knowing that the aim is financial stability, a direct access to those transactions that carry the most i</w:t>
      </w:r>
      <w:r>
        <w:t>m</w:t>
      </w:r>
      <w:r>
        <w:t>port</w:t>
      </w:r>
      <w:r w:rsidR="00845802">
        <w:t>a</w:t>
      </w:r>
      <w:r>
        <w:t>nt risk is probably</w:t>
      </w:r>
      <w:r w:rsidR="00E652D1">
        <w:t xml:space="preserve"> </w:t>
      </w:r>
      <w:r w:rsidR="00845802">
        <w:t xml:space="preserve">a good option. Hence a flag for the uncollateralised lending transactions should be considered. </w:t>
      </w:r>
    </w:p>
    <w:permEnd w:id="1939552736"/>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845802" w:rsidP="00E652D1">
      <w:permStart w:id="198530597" w:edGrp="everyone"/>
      <w:r>
        <w:t>Yes, how infrequent they are uncollateralised transactions are not condemned to stay open . On the contrary,  there is a real trend towards systematic collateralisation and it  can be envisioned that counte</w:t>
      </w:r>
      <w:r>
        <w:t>r</w:t>
      </w:r>
      <w:r>
        <w:t>parties putting a transaction in place without collateral decide to add it afterwards.</w:t>
      </w:r>
      <w:r w:rsidR="0092480C">
        <w:t xml:space="preserve"> Conversely the practice does exist to pre-collateralise a future transaction. It is the opposite situation  and Amundi believes it should be taken into account. Typically</w:t>
      </w:r>
      <w:r w:rsidR="002C3516">
        <w:t>,</w:t>
      </w:r>
      <w:r w:rsidR="0092480C">
        <w:t xml:space="preserve"> a US counterparty will ask pre collateralisation (with a rebate) for a trade on US securities that will be settled later in the day at a time when it will be too late to transfer colla</w:t>
      </w:r>
      <w:r w:rsidR="0092480C">
        <w:t>t</w:t>
      </w:r>
      <w:r w:rsidR="0092480C">
        <w:t>eral in Europe.</w:t>
      </w:r>
    </w:p>
    <w:permEnd w:id="198530597"/>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192091770" w:edGrp="everyone"/>
      <w:r>
        <w:t>TYPE YOUR TEXT HERE</w:t>
      </w:r>
    </w:p>
    <w:permEnd w:id="192091770"/>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1239840377" w:edGrp="everyone"/>
      <w:r>
        <w:t>TYPE YOUR TEXT HERE</w:t>
      </w:r>
    </w:p>
    <w:permEnd w:id="1239840377"/>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1781026963" w:edGrp="everyone"/>
      <w:r>
        <w:t>TYPE YOUR TEXT HERE</w:t>
      </w:r>
    </w:p>
    <w:permEnd w:id="1781026963"/>
    <w:p w:rsidR="00E652D1" w:rsidRDefault="00E652D1" w:rsidP="00E652D1">
      <w:r>
        <w:t>&lt;ESMA_QUESTION_SFTR_51&gt;</w:t>
      </w:r>
    </w:p>
    <w:p w:rsidR="00E652D1" w:rsidRDefault="00E652D1" w:rsidP="00E652D1"/>
    <w:p w:rsidR="00E652D1" w:rsidRDefault="00E652D1" w:rsidP="00E652D1">
      <w:pPr>
        <w:pStyle w:val="QST"/>
        <w:numPr>
          <w:ilvl w:val="0"/>
          <w:numId w:val="50"/>
        </w:numPr>
      </w:pPr>
      <w:r>
        <w:lastRenderedPageBreak/>
        <w:t xml:space="preserve"> What additional details may help to identify the type of transactions used?</w:t>
      </w:r>
    </w:p>
    <w:p w:rsidR="00E652D1" w:rsidRDefault="00E652D1" w:rsidP="00E652D1">
      <w:r>
        <w:t>&lt;ESMA_QUESTION_SFTR_52&gt;</w:t>
      </w:r>
    </w:p>
    <w:p w:rsidR="00E652D1" w:rsidRDefault="00E652D1" w:rsidP="00E652D1">
      <w:permStart w:id="77610925" w:edGrp="everyone"/>
      <w:r>
        <w:t>TYPE YOUR TEXT HERE</w:t>
      </w:r>
    </w:p>
    <w:permEnd w:id="77610925"/>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230565446" w:edGrp="everyone"/>
      <w:r>
        <w:t>TYPE YOUR TEXT HERE</w:t>
      </w:r>
    </w:p>
    <w:permEnd w:id="230565446"/>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2102612763" w:edGrp="everyone"/>
      <w:r>
        <w:t>TYPE YOUR TEXT HERE</w:t>
      </w:r>
    </w:p>
    <w:permEnd w:id="2102612763"/>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302788427" w:edGrp="everyone"/>
      <w:r>
        <w:t>TYPE YOUR TEXT HERE</w:t>
      </w:r>
    </w:p>
    <w:permEnd w:id="302788427"/>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825702951" w:edGrp="everyone"/>
      <w:r>
        <w:t>TYPE YOUR TEXT HERE</w:t>
      </w:r>
    </w:p>
    <w:permEnd w:id="1825702951"/>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739223617" w:edGrp="everyone"/>
      <w:r>
        <w:t>TYPE YOUR TEXT HERE</w:t>
      </w:r>
    </w:p>
    <w:permEnd w:id="1739223617"/>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1596603965" w:edGrp="everyone"/>
      <w:r>
        <w:t>TYPE YOUR TEXT HERE</w:t>
      </w:r>
    </w:p>
    <w:permEnd w:id="1596603965"/>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1932011064" w:edGrp="everyone"/>
      <w:r>
        <w:t>TYPE YOUR TEXT HERE</w:t>
      </w:r>
    </w:p>
    <w:permEnd w:id="1932011064"/>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95759958" w:edGrp="everyone"/>
      <w:r>
        <w:t>TYPE YOUR TEXT HERE</w:t>
      </w:r>
    </w:p>
    <w:permEnd w:id="195759958"/>
    <w:p w:rsidR="00E652D1" w:rsidRDefault="00E652D1" w:rsidP="00E652D1">
      <w:r>
        <w:t>&lt;ESMA_QUESTION_SFTR_60&gt;</w:t>
      </w:r>
    </w:p>
    <w:p w:rsidR="00E652D1" w:rsidRDefault="00E652D1" w:rsidP="00E652D1"/>
    <w:p w:rsidR="00E652D1" w:rsidRDefault="00E652D1" w:rsidP="00E652D1">
      <w:pPr>
        <w:pStyle w:val="QST"/>
        <w:numPr>
          <w:ilvl w:val="0"/>
          <w:numId w:val="50"/>
        </w:numPr>
      </w:pPr>
      <w:r>
        <w:lastRenderedPageBreak/>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1111903465" w:edGrp="everyone"/>
      <w:r>
        <w:t>TYPE YOUR TEXT HERE</w:t>
      </w:r>
    </w:p>
    <w:permEnd w:id="1111903465"/>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456408949" w:edGrp="everyone"/>
      <w:r>
        <w:t>TYPE YOUR TEXT HERE</w:t>
      </w:r>
    </w:p>
    <w:permEnd w:id="456408949"/>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1310021973" w:edGrp="everyone"/>
      <w:r>
        <w:t>TYPE YOUR TEXT HERE</w:t>
      </w:r>
    </w:p>
    <w:permEnd w:id="1310021973"/>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931280947" w:edGrp="everyone"/>
      <w:r>
        <w:t>TYPE YOUR TEXT HERE</w:t>
      </w:r>
    </w:p>
    <w:permEnd w:id="931280947"/>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330711701" w:edGrp="everyone"/>
      <w:r>
        <w:t>TYPE YOUR TEXT HERE</w:t>
      </w:r>
    </w:p>
    <w:permEnd w:id="330711701"/>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1338533706" w:edGrp="everyone"/>
      <w:r>
        <w:t>TYPE YOUR TEXT HERE</w:t>
      </w:r>
    </w:p>
    <w:permEnd w:id="1338533706"/>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534864225" w:edGrp="everyone"/>
      <w:r>
        <w:t>TYPE YOUR TEXT HERE</w:t>
      </w:r>
    </w:p>
    <w:permEnd w:id="534864225"/>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1351103863" w:edGrp="everyone"/>
      <w:r>
        <w:t>TYPE YOUR TEXT HERE</w:t>
      </w:r>
    </w:p>
    <w:permEnd w:id="1351103863"/>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1082470981" w:edGrp="everyone"/>
      <w:r>
        <w:t>TYPE YOUR TEXT HERE</w:t>
      </w:r>
    </w:p>
    <w:permEnd w:id="1082470981"/>
    <w:p w:rsidR="00E652D1" w:rsidRDefault="00E652D1" w:rsidP="00E652D1">
      <w:r>
        <w:t>&lt;ESMA_QUESTION_SFTR_69&gt;</w:t>
      </w:r>
    </w:p>
    <w:p w:rsidR="00E652D1" w:rsidRDefault="00E652D1" w:rsidP="00E652D1"/>
    <w:p w:rsidR="00E652D1" w:rsidRDefault="00E652D1" w:rsidP="00E652D1">
      <w:pPr>
        <w:pStyle w:val="QST"/>
        <w:numPr>
          <w:ilvl w:val="0"/>
          <w:numId w:val="50"/>
        </w:numPr>
      </w:pPr>
      <w:r>
        <w:lastRenderedPageBreak/>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1605922405" w:edGrp="everyone"/>
      <w:r>
        <w:t>TYPE YOUR TEXT HERE</w:t>
      </w:r>
    </w:p>
    <w:permEnd w:id="1605922405"/>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1812357822" w:edGrp="everyone"/>
      <w:r>
        <w:t>TYPE YOUR TEXT HERE</w:t>
      </w:r>
    </w:p>
    <w:permEnd w:id="1812357822"/>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2C3516" w:rsidP="00E652D1">
      <w:permStart w:id="2043179752" w:edGrp="everyone"/>
      <w:r>
        <w:t>Amundi believes that within the</w:t>
      </w:r>
      <w:r w:rsidR="00845802">
        <w:t xml:space="preserve"> framework of a tri party agreement there is room for several scenarios. The general statement that tri –party agents are not reporting entities in §184 is not sufficient to avoid further describing the organisation and scenarios of such transactions. </w:t>
      </w:r>
      <w:r w:rsidR="000D71FA">
        <w:t>The mechanisms for identification of each final client in a global portfolio, of assets , the legal regime of these pools, the relationship with the depos</w:t>
      </w:r>
      <w:r w:rsidR="000D71FA">
        <w:t>i</w:t>
      </w:r>
      <w:r w:rsidR="000D71FA">
        <w:t>tory in case of a fund… are questions which should be considered.</w:t>
      </w:r>
    </w:p>
    <w:p w:rsidR="002C3516" w:rsidRDefault="00BC709E" w:rsidP="00E652D1">
      <w:r>
        <w:t>With a question about T+1 end of day reporting, Amundi confirms that the intervention of a third party to manage collateral creates a delay for the asset manager to get the exact confirmation of the composition of the collateral. It makes it difficult to achieve a reporting on T+1. An extra day will be necessary in most instances</w:t>
      </w:r>
      <w:r w:rsidR="002C3516">
        <w:t>, especially with an agent based in a different time zone</w:t>
      </w:r>
      <w:r>
        <w:t>. However, we have not yet discussed with  the agents we use in tri party agreements to know whether they intend to report directly to the TR on our behalf.  The most eff</w:t>
      </w:r>
      <w:r>
        <w:t>i</w:t>
      </w:r>
      <w:r>
        <w:t xml:space="preserve">cient way to meet the T+1 limit would be to ask the agent to report and it can only </w:t>
      </w:r>
      <w:r w:rsidR="002C3516">
        <w:t>happen</w:t>
      </w:r>
      <w:r>
        <w:t xml:space="preserve"> if we can transfer the final responsibility for the repor</w:t>
      </w:r>
      <w:r>
        <w:t>t</w:t>
      </w:r>
      <w:r>
        <w:t xml:space="preserve">ing. </w:t>
      </w:r>
    </w:p>
    <w:permEnd w:id="2043179752"/>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D61B6A" w:rsidRDefault="00D61B6A" w:rsidP="00E652D1">
      <w:permStart w:id="1075395038" w:edGrp="everyone"/>
      <w:r>
        <w:t>As a general principle, Amundi opposes the dual sided reporting which has proved burdensome and has not yet stabilised under EMIR. Splitting data in two buckets is a fair proposition. However we insist on the key issue in our view : fields to be populated should be classified. They are not all of the same importance. Small discrepancies in transaction data provided by both sides should not block validation of the report. Data on counterparties which are not of prime importance to allow identific</w:t>
      </w:r>
      <w:r>
        <w:t>a</w:t>
      </w:r>
      <w:r>
        <w:t xml:space="preserve">tion should as well not be mandatory nor create a rejection of the report. </w:t>
      </w:r>
    </w:p>
    <w:permEnd w:id="1075395038"/>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1665873732" w:edGrp="everyone"/>
      <w:r>
        <w:t>TYPE YOUR TEXT HERE</w:t>
      </w:r>
    </w:p>
    <w:permEnd w:id="1665873732"/>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351736239" w:edGrp="everyone"/>
      <w:r>
        <w:t>TYPE YOUR TEXT HERE</w:t>
      </w:r>
    </w:p>
    <w:permEnd w:id="351736239"/>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112856091" w:edGrp="everyone"/>
      <w:r>
        <w:lastRenderedPageBreak/>
        <w:t>TYPE YOUR TEXT HERE</w:t>
      </w:r>
    </w:p>
    <w:permEnd w:id="112856091"/>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521157673" w:edGrp="everyone"/>
      <w:r>
        <w:t>TYPE YOUR TEXT HERE</w:t>
      </w:r>
    </w:p>
    <w:permEnd w:id="521157673"/>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391271703" w:edGrp="everyone"/>
      <w:r>
        <w:t>TYPE YOUR TEXT HERE</w:t>
      </w:r>
    </w:p>
    <w:permEnd w:id="391271703"/>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657BC0" w:rsidP="00E652D1">
      <w:permStart w:id="695690877" w:edGrp="everyone"/>
      <w:r>
        <w:t xml:space="preserve">In </w:t>
      </w:r>
      <w:proofErr w:type="spellStart"/>
      <w:r>
        <w:t>Amundi’s</w:t>
      </w:r>
      <w:proofErr w:type="spellEnd"/>
      <w:r>
        <w:t xml:space="preserve"> experience the compartment or </w:t>
      </w:r>
      <w:proofErr w:type="spellStart"/>
      <w:r>
        <w:t>subfund</w:t>
      </w:r>
      <w:proofErr w:type="spellEnd"/>
      <w:r>
        <w:t xml:space="preserve"> of an umbrella fund is identified  by a specific L</w:t>
      </w:r>
      <w:r w:rsidR="00E652D1">
        <w:t>E</w:t>
      </w:r>
      <w:r>
        <w:t xml:space="preserve">I. It is not the case for each share class. But transactions are not legally conducted at the level of the share class. Consequently we do not see difficulties in identifying the beneficiary of a SFT in the case of a fund. In case of a mandate in a managed account, the LEI will identify the firm but not the portfolio, which seems appropriate legally, knowing that the accounting should be very specific on the portfolio concerned.  </w:t>
      </w:r>
    </w:p>
    <w:permEnd w:id="695690877"/>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1842872535" w:edGrp="everyone"/>
      <w:r>
        <w:t>TYPE YOUR TEXT HERE</w:t>
      </w:r>
    </w:p>
    <w:permEnd w:id="1842872535"/>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513163535" w:edGrp="everyone"/>
      <w:r>
        <w:t>TYPE YOUR TEXT HERE</w:t>
      </w:r>
    </w:p>
    <w:permEnd w:id="513163535"/>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2C3516" w:rsidP="00E652D1">
      <w:permStart w:id="1306136408" w:edGrp="everyone"/>
      <w:r>
        <w:t xml:space="preserve">Two types of transactions imply a time difference between trade and collateral. First in case of pre-collateralisation when collateral is transferred ahead of the transaction with a view to </w:t>
      </w:r>
      <w:r w:rsidR="00E667AF">
        <w:t>secure its proper settlement, ESMA foresees that the reporting should take place at the time when the first cash leg is opened. Second, in case of Free of Payment transaction, the trade date is unknown because it depends on the transfer agreement between concerned custodians. The trader can only estimate it at best and the collateral will be transferred on time for the estimated settlement date. In many i</w:t>
      </w:r>
      <w:r w:rsidR="00E667AF">
        <w:t>n</w:t>
      </w:r>
      <w:r w:rsidR="00E667AF">
        <w:t>stances, collateral will not be transferred at the date of transfer of the underlying securities. It will create distortions in data pr</w:t>
      </w:r>
      <w:r w:rsidR="00E667AF">
        <w:t>o</w:t>
      </w:r>
      <w:r w:rsidR="00E667AF">
        <w:t>duced in the reporting and make an aggregate view misleading.</w:t>
      </w:r>
    </w:p>
    <w:permEnd w:id="1306136408"/>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A67367" w:rsidP="00E652D1">
      <w:permStart w:id="1900443408" w:edGrp="everyone"/>
      <w:r>
        <w:lastRenderedPageBreak/>
        <w:t xml:space="preserve">In </w:t>
      </w:r>
      <w:proofErr w:type="spellStart"/>
      <w:r>
        <w:t>Amundi’s</w:t>
      </w:r>
      <w:proofErr w:type="spellEnd"/>
      <w:r>
        <w:t xml:space="preserve"> experience securities lending is to a very high degree, say around </w:t>
      </w:r>
      <w:r w:rsidR="002C3516">
        <w:t>80</w:t>
      </w:r>
      <w:r>
        <w:t>%, subject to securities and not cash collateral. The reason for this attitude is enhanced investor protection thanks to the efficient segregation of securities compared to cash in case of default.</w:t>
      </w:r>
      <w:r w:rsidR="002C3516">
        <w:t xml:space="preserve"> Moreover the trend towards securities collateral amplifies with the low or negative interest rate environment.</w:t>
      </w:r>
      <w:r>
        <w:t xml:space="preserve">  Co</w:t>
      </w:r>
      <w:r>
        <w:t>n</w:t>
      </w:r>
      <w:r>
        <w:t>versely,  Repos usually have a cash leg.</w:t>
      </w:r>
    </w:p>
    <w:permEnd w:id="1900443408"/>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67AF" w:rsidP="00E652D1">
      <w:permStart w:id="1512336376" w:edGrp="everyone"/>
      <w:r>
        <w:t>Yes, c</w:t>
      </w:r>
      <w:r w:rsidR="00A67367">
        <w:t>ounterparties agree on eligible collateral and different currencies are eligible in most collateral schedules.</w:t>
      </w:r>
      <w:r>
        <w:t xml:space="preserve"> Appropriate haircut applies to cover the exchange risk. </w:t>
      </w:r>
      <w:r>
        <w:t>I</w:t>
      </w:r>
      <w:r>
        <w:t>n any case i</w:t>
      </w:r>
      <w:r>
        <w:t>t should be considered as nothing prevents it.</w:t>
      </w:r>
    </w:p>
    <w:permEnd w:id="1512336376"/>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E652D1" w:rsidRDefault="00A67367" w:rsidP="00E652D1">
      <w:permStart w:id="867856239" w:edGrp="everyone"/>
      <w:r>
        <w:t xml:space="preserve"> We are </w:t>
      </w:r>
      <w:r w:rsidR="00A2525B">
        <w:t xml:space="preserve">surprised that ESMA asks for reporting data that are redundant. We believe that the ISIN code  (field 4) is sufficient to identify a security and get such information as maturity (field 15).  </w:t>
      </w:r>
    </w:p>
    <w:permEnd w:id="867856239"/>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A2525B" w:rsidP="00E652D1">
      <w:permStart w:id="1958490531" w:edGrp="everyone"/>
      <w:r>
        <w:t>Yes. Typically our collateral policy provides for a general overcollateralization and then defines coefficient</w:t>
      </w:r>
      <w:r w:rsidR="00E667AF">
        <w:t>s</w:t>
      </w:r>
      <w:r>
        <w:t xml:space="preserve"> to be applied to</w:t>
      </w:r>
      <w:r w:rsidR="00E667AF">
        <w:t xml:space="preserve"> different</w:t>
      </w:r>
      <w:r>
        <w:t xml:space="preserve"> type</w:t>
      </w:r>
      <w:r w:rsidR="00E667AF">
        <w:t>s</w:t>
      </w:r>
      <w:r>
        <w:t xml:space="preserve"> of collateral provided. </w:t>
      </w:r>
      <w:proofErr w:type="spellStart"/>
      <w:r>
        <w:t>Govies</w:t>
      </w:r>
      <w:proofErr w:type="spellEnd"/>
      <w:r>
        <w:t xml:space="preserve"> will not be weighted the same way as equ</w:t>
      </w:r>
      <w:r>
        <w:t>i</w:t>
      </w:r>
      <w:r>
        <w:t>ties.</w:t>
      </w:r>
    </w:p>
    <w:permEnd w:id="1958490531"/>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A2525B" w:rsidP="00E652D1">
      <w:permStart w:id="185216756" w:edGrp="everyone"/>
      <w:r>
        <w:t>We understand that ESMA has</w:t>
      </w:r>
      <w:r w:rsidR="00BC709E">
        <w:t xml:space="preserve"> in mind</w:t>
      </w:r>
      <w:r>
        <w:t xml:space="preserve"> the pool in the hands of</w:t>
      </w:r>
      <w:r w:rsidR="00103B29">
        <w:t xml:space="preserve"> the</w:t>
      </w:r>
      <w:r>
        <w:t xml:space="preserve"> third party</w:t>
      </w:r>
      <w:r w:rsidR="00103B29">
        <w:t xml:space="preserve"> agent</w:t>
      </w:r>
      <w:r>
        <w:t xml:space="preserve"> in a tri party agre</w:t>
      </w:r>
      <w:r>
        <w:t>e</w:t>
      </w:r>
      <w:r>
        <w:t>ment when using the word “pool”. However, we think that the issue of identifying asset pools when lending securities that belong globally to a pool of different funds should be discussed. If an ISIN</w:t>
      </w:r>
      <w:r w:rsidR="00BC709E" w:rsidRPr="00BC709E">
        <w:t xml:space="preserve"> </w:t>
      </w:r>
      <w:r w:rsidR="00BC709E">
        <w:t>or a LEI</w:t>
      </w:r>
      <w:r>
        <w:t xml:space="preserve"> is not the appr</w:t>
      </w:r>
      <w:r>
        <w:t>o</w:t>
      </w:r>
      <w:r>
        <w:t>priate way of identification, we believe that alpha numeric designation would be</w:t>
      </w:r>
      <w:r w:rsidR="00103B29">
        <w:t xml:space="preserve"> appropriate in order to </w:t>
      </w:r>
      <w:r>
        <w:t>confirm the SFT as a single deal irrespective of the number of funds that participate to the pool and will effectively be in a position to lend.</w:t>
      </w:r>
    </w:p>
    <w:permEnd w:id="185216756"/>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563487086" w:edGrp="everyone"/>
      <w:r>
        <w:t>Y</w:t>
      </w:r>
      <w:r w:rsidR="00BC709E">
        <w:t>es. When using an agent as third party to manage the collateral in a tri</w:t>
      </w:r>
      <w:r w:rsidR="00103B29">
        <w:t xml:space="preserve"> </w:t>
      </w:r>
      <w:r w:rsidR="00BC709E">
        <w:t xml:space="preserve">party agreement, there is a delay in the communication of the collateral. We think that the </w:t>
      </w:r>
      <w:r w:rsidR="006D2AEA">
        <w:t>T+1 deadline could only be met if the agent would report directly to the TR. However this brings the question of the entity responsible for the report: if made directly by</w:t>
      </w:r>
      <w:r w:rsidR="00103B29">
        <w:t xml:space="preserve"> the agent, the responsibility sh</w:t>
      </w:r>
      <w:r w:rsidR="006D2AEA">
        <w:t>ould not stay with the asset manager.</w:t>
      </w:r>
    </w:p>
    <w:permEnd w:id="563487086"/>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1727016571" w:edGrp="everyone"/>
      <w:r>
        <w:lastRenderedPageBreak/>
        <w:t>TYPE YOUR TEXT HERE</w:t>
      </w:r>
    </w:p>
    <w:permEnd w:id="1727016571"/>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333537213" w:edGrp="everyone"/>
      <w:r>
        <w:t>TYPE YOUR TEXT HERE</w:t>
      </w:r>
    </w:p>
    <w:permEnd w:id="333537213"/>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765682935" w:edGrp="everyone"/>
      <w:r>
        <w:t>T</w:t>
      </w:r>
      <w:r w:rsidR="006D2AEA">
        <w:t xml:space="preserve">he option should be decided rapidly as it impacts the architecture of the systems and the organisational process.  </w:t>
      </w:r>
    </w:p>
    <w:permEnd w:id="765682935"/>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1772490214" w:edGrp="everyone"/>
      <w:r>
        <w:t>TYPE YOUR TEXT HERE</w:t>
      </w:r>
    </w:p>
    <w:permEnd w:id="1772490214"/>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6D2AEA" w:rsidRDefault="006D2AEA" w:rsidP="00E652D1">
      <w:permStart w:id="785798804" w:edGrp="everyone"/>
      <w:r>
        <w:t xml:space="preserve">We agree with ESMA to favour  reporting of the new composition of collateral.  </w:t>
      </w:r>
    </w:p>
    <w:permEnd w:id="785798804"/>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81503" w:rsidRDefault="006D2AEA" w:rsidP="00E652D1">
      <w:permStart w:id="1818194430" w:edGrp="everyone"/>
      <w:r>
        <w:t xml:space="preserve">Counterparties take a global view of their transactions and collateral is usually managed at the level of the </w:t>
      </w:r>
      <w:r w:rsidR="00103B29">
        <w:t>position existing between two</w:t>
      </w:r>
      <w:r w:rsidR="00E81503">
        <w:t xml:space="preserve"> entities. We agree that the introduction of a common identifier </w:t>
      </w:r>
      <w:r w:rsidR="00103B29">
        <w:t>is</w:t>
      </w:r>
      <w:r w:rsidR="00E81503">
        <w:t xml:space="preserve"> helpful to designate the portfolio of SFTs covered by the global collateral. </w:t>
      </w:r>
    </w:p>
    <w:permEnd w:id="1818194430"/>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81503" w:rsidP="00E652D1">
      <w:permStart w:id="1246250333" w:edGrp="everyone"/>
      <w:r>
        <w:t>Listing the UTI of all concerned SFTs will be burdensome in case of numerous transactions and will not bring much information relevant for financial stability supervision.</w:t>
      </w:r>
    </w:p>
    <w:permEnd w:id="1246250333"/>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1878554988" w:edGrp="everyone"/>
      <w:r>
        <w:t>TYPE YOUR TEXT HERE</w:t>
      </w:r>
    </w:p>
    <w:permEnd w:id="1878554988"/>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lastRenderedPageBreak/>
        <w:t>&lt;ESMA_QUESTION_SFTR_97&gt;</w:t>
      </w:r>
    </w:p>
    <w:p w:rsidR="00E652D1" w:rsidRDefault="00E652D1" w:rsidP="00E652D1">
      <w:permStart w:id="1136020733" w:edGrp="everyone"/>
      <w:r>
        <w:t>TYPE YOUR TEXT HERE</w:t>
      </w:r>
    </w:p>
    <w:permEnd w:id="1136020733"/>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103B29" w:rsidP="00E652D1">
      <w:permStart w:id="230711262" w:edGrp="everyone"/>
      <w:r>
        <w:t>Yes. The GMSL master agreement for securities lending provides for a collateral managed at the level of the position. The collateral should cover the risk exposure that globally exists between two counterpa</w:t>
      </w:r>
      <w:r>
        <w:t>r</w:t>
      </w:r>
      <w:r>
        <w:t>ties. It is simply not workable to try and link collateral with a specific SFT. The more so when collateral is ma</w:t>
      </w:r>
      <w:r>
        <w:t>n</w:t>
      </w:r>
      <w:r>
        <w:t>aged through a tri party agent who will allocate collateral among funds.</w:t>
      </w:r>
    </w:p>
    <w:permEnd w:id="230711262"/>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549467897" w:edGrp="everyone"/>
      <w:r>
        <w:t>TYPE YOUR TEXT HERE</w:t>
      </w:r>
    </w:p>
    <w:permEnd w:id="549467897"/>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1097999767" w:edGrp="everyone"/>
      <w:r>
        <w:t>TYPE YOUR TEXT HERE</w:t>
      </w:r>
    </w:p>
    <w:permEnd w:id="1097999767"/>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1331853615" w:edGrp="everyone"/>
      <w:r>
        <w:t>TYPE YOUR TEXT HERE</w:t>
      </w:r>
    </w:p>
    <w:permEnd w:id="1331853615"/>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910375166" w:edGrp="everyone"/>
      <w:r>
        <w:t>TYPE YOUR TEXT HERE</w:t>
      </w:r>
    </w:p>
    <w:permEnd w:id="910375166"/>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342386902" w:edGrp="everyone"/>
      <w:r>
        <w:t>TYPE YOUR TEXT HERE</w:t>
      </w:r>
    </w:p>
    <w:permEnd w:id="342386902"/>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414258047" w:edGrp="everyone"/>
      <w:r>
        <w:t>TYPE YOUR TEXT HERE</w:t>
      </w:r>
    </w:p>
    <w:permEnd w:id="414258047"/>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648376875" w:edGrp="everyone"/>
      <w:r>
        <w:t>TYPE YOUR TEXT HERE</w:t>
      </w:r>
    </w:p>
    <w:permEnd w:id="648376875"/>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lastRenderedPageBreak/>
        <w:t>&lt;ESMA_QUESTION_SFTR_106&gt;</w:t>
      </w:r>
    </w:p>
    <w:p w:rsidR="00E652D1" w:rsidRDefault="00E652D1" w:rsidP="00E652D1">
      <w:permStart w:id="1553350165" w:edGrp="everyone"/>
      <w:r>
        <w:t>TYPE YOUR TEXT HERE</w:t>
      </w:r>
    </w:p>
    <w:permEnd w:id="1553350165"/>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1119232547" w:edGrp="everyone"/>
      <w:r>
        <w:t>TYPE YOUR TEXT HERE</w:t>
      </w:r>
    </w:p>
    <w:permEnd w:id="1119232547"/>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564803320" w:edGrp="everyone"/>
      <w:r>
        <w:t>TYPE YOUR TEXT HERE</w:t>
      </w:r>
    </w:p>
    <w:permEnd w:id="1564803320"/>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995470685" w:edGrp="everyone"/>
      <w:r>
        <w:t>TYPE YOUR TEXT HERE</w:t>
      </w:r>
    </w:p>
    <w:permEnd w:id="1995470685"/>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1871392870" w:edGrp="everyone"/>
      <w:r>
        <w:t>TYPE YOUR TEXT HERE</w:t>
      </w:r>
    </w:p>
    <w:permEnd w:id="1871392870"/>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563048159" w:edGrp="everyone"/>
      <w:r>
        <w:t>TYPE YOUR TEXT HERE</w:t>
      </w:r>
    </w:p>
    <w:permEnd w:id="563048159"/>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247404178" w:edGrp="everyone"/>
      <w:r>
        <w:t>TYPE YOUR TEXT HERE</w:t>
      </w:r>
    </w:p>
    <w:permEnd w:id="247404178"/>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960F68" w:rsidRDefault="00E81503" w:rsidP="00E652D1">
      <w:permStart w:id="1039365946" w:edGrp="everyone"/>
      <w:r>
        <w:t>We refer to the paper published  by FSB, with a consultation closing as well on the 22d of April, where 3 options are presented. We consider that the approach for estimating the proportion of re-use of collateral should be made accor</w:t>
      </w:r>
      <w:r w:rsidR="00960F68">
        <w:t>ding to the second option, at</w:t>
      </w:r>
      <w:r>
        <w:t xml:space="preserve"> a global level</w:t>
      </w:r>
      <w:r w:rsidR="00960F68">
        <w:t xml:space="preserve"> and for a given type of securities</w:t>
      </w:r>
      <w:r>
        <w:t xml:space="preserve"> using a percentage of </w:t>
      </w:r>
      <w:r w:rsidR="00960F68">
        <w:t>the collateral posted  based on the proportion of  (</w:t>
      </w:r>
      <w:proofErr w:type="spellStart"/>
      <w:r w:rsidR="00960F68">
        <w:t>i</w:t>
      </w:r>
      <w:proofErr w:type="spellEnd"/>
      <w:r w:rsidR="00960F68">
        <w:t>) collateral received</w:t>
      </w:r>
      <w:r w:rsidR="00103B29">
        <w:t xml:space="preserve"> and eligible</w:t>
      </w:r>
      <w:r w:rsidR="00960F68">
        <w:t xml:space="preserve"> for reuse and (ii) the sum of the same plus own assets. We do think that it is difficult to follow an SFT per SFT approach as collateral is more and more managed at a consolidated level.</w:t>
      </w:r>
      <w:r w:rsidR="00103B29">
        <w:t xml:space="preserve"> More precisely, it is impossible for securities lending but possible for repos.</w:t>
      </w:r>
    </w:p>
    <w:p w:rsidR="00E652D1" w:rsidRDefault="00960F68" w:rsidP="00E652D1">
      <w:r>
        <w:t xml:space="preserve">Furthermore, we insist on the fact that re-use is a non-existing issue for UCITS which are prevented on </w:t>
      </w:r>
      <w:r w:rsidR="003D0031">
        <w:t xml:space="preserve">the </w:t>
      </w:r>
      <w:r>
        <w:t>one hand to reuse collateral received and strictly limited when it comes to reinvest cash collat</w:t>
      </w:r>
      <w:r w:rsidR="003D0031">
        <w:t xml:space="preserve">eral and on the other hand have to forbid </w:t>
      </w:r>
      <w:r>
        <w:t xml:space="preserve">depositories </w:t>
      </w:r>
      <w:r w:rsidR="003D0031">
        <w:t>to (re-)</w:t>
      </w:r>
      <w:r>
        <w:t xml:space="preserve"> use their assets. </w:t>
      </w:r>
    </w:p>
    <w:permEnd w:id="1039365946"/>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960F68" w:rsidP="00E652D1">
      <w:permStart w:id="518278036" w:edGrp="everyone"/>
      <w:r>
        <w:t>TY</w:t>
      </w:r>
      <w:r w:rsidR="00E652D1">
        <w:t>PE YOUR TEXT HERE</w:t>
      </w:r>
    </w:p>
    <w:permEnd w:id="518278036"/>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1145850726" w:edGrp="everyone"/>
      <w:r>
        <w:t>TYPE YOUR TEXT HERE</w:t>
      </w:r>
    </w:p>
    <w:permEnd w:id="1145850726"/>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908748040" w:edGrp="everyone"/>
      <w:r>
        <w:t>TYPE YOUR TEXT HERE</w:t>
      </w:r>
    </w:p>
    <w:permEnd w:id="908748040"/>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612973248" w:edGrp="everyone"/>
      <w:r>
        <w:t>TYPE YOUR TEXT HERE</w:t>
      </w:r>
    </w:p>
    <w:permEnd w:id="612973248"/>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373119599" w:edGrp="everyone"/>
      <w:r>
        <w:t>TYPE YOUR TEXT HERE</w:t>
      </w:r>
    </w:p>
    <w:permEnd w:id="373119599"/>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1091718924" w:edGrp="everyone"/>
      <w:r>
        <w:t>TYPE YOUR TEXT HERE</w:t>
      </w:r>
    </w:p>
    <w:permEnd w:id="1091718924"/>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6F2CE4" w:rsidP="00E652D1">
      <w:permStart w:id="385292729" w:edGrp="everyone"/>
      <w:r>
        <w:t xml:space="preserve">We are not totally convinced that there is a </w:t>
      </w:r>
      <w:r w:rsidR="003D0031">
        <w:t xml:space="preserve">need for reporting the CSD and </w:t>
      </w:r>
      <w:r>
        <w:t>CSD member firm that will proceed with the settlement. We think that the first role of a CSD is to notarize transfers. Reporting failures of delivery or settlement is of relevance but we do not think that the initial declaration of the settlement circuit adds value to the report.</w:t>
      </w:r>
    </w:p>
    <w:permEnd w:id="385292729"/>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1682519939" w:edGrp="everyone"/>
      <w:r>
        <w:t>TYPE YOUR TEXT HERE</w:t>
      </w:r>
    </w:p>
    <w:permEnd w:id="1682519939"/>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13571086" w:edGrp="everyone"/>
      <w:r>
        <w:t>TYPE YOUR TEXT HERE</w:t>
      </w:r>
    </w:p>
    <w:permEnd w:id="13571086"/>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960F68" w:rsidP="00E652D1">
      <w:permStart w:id="899557843" w:edGrp="everyone"/>
      <w:r>
        <w:t xml:space="preserve">The settlement is made by the depository of the fund. </w:t>
      </w:r>
      <w:r w:rsidR="006F2CE4">
        <w:t xml:space="preserve">The back office of the asset management company will </w:t>
      </w:r>
      <w:r w:rsidR="003D0031">
        <w:t xml:space="preserve">try and </w:t>
      </w:r>
      <w:r w:rsidR="006F2CE4">
        <w:t>confirm the place of custody which determines the circuit for settlement. However, it is not avai</w:t>
      </w:r>
      <w:r w:rsidR="006F2CE4">
        <w:t>l</w:t>
      </w:r>
      <w:r w:rsidR="006F2CE4">
        <w:t>able at the time of the negotiation and might delay reporting.</w:t>
      </w:r>
    </w:p>
    <w:permEnd w:id="899557843"/>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6F2CE4" w:rsidRDefault="006F2CE4" w:rsidP="00E652D1">
      <w:permStart w:id="1598046160" w:edGrp="everyone"/>
      <w:r>
        <w:t xml:space="preserve">Yes. As for the place of settlement this information will be confirmed by the back office , which implies a delay of processing when comparing with data that are directly confirmed at the time of the negotiation.  </w:t>
      </w:r>
    </w:p>
    <w:permEnd w:id="1598046160"/>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6A669C" w:rsidP="00E652D1">
      <w:permStart w:id="1803179352" w:edGrp="everyone"/>
      <w:r>
        <w:t xml:space="preserve">Amundi is concerned with the requirement to report not only the master agreement (field10) applying for a SFT but its version (field 11) and  the application of annexes (field 12) </w:t>
      </w:r>
    </w:p>
    <w:permEnd w:id="1803179352"/>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DE389D" w:rsidP="00E652D1">
      <w:permStart w:id="1035731548" w:edGrp="everyone"/>
      <w:r>
        <w:t xml:space="preserve">Amundi strongly believes that there should be a clear difference between fields that are necessary and those that are for information only as they are superfluous when considering other fields that provide  non ambiguous data enabling to easily access complementary </w:t>
      </w:r>
      <w:r w:rsidR="003D0031">
        <w:t>rela</w:t>
      </w:r>
      <w:r>
        <w:t>t</w:t>
      </w:r>
      <w:r w:rsidR="003D0031">
        <w:t>ed</w:t>
      </w:r>
      <w:r>
        <w:t xml:space="preserve"> information. Those last compleme</w:t>
      </w:r>
      <w:r>
        <w:t>n</w:t>
      </w:r>
      <w:r>
        <w:t>tary items should not be required as mandatory. We estimate that the list of non-mandatory fields could be enlarged but the</w:t>
      </w:r>
      <w:r w:rsidR="003D0031">
        <w:t xml:space="preserve"> list of mandatory  </w:t>
      </w:r>
      <w:r>
        <w:t>fields should be reduced to those which are</w:t>
      </w:r>
      <w:r w:rsidR="003D0031">
        <w:t xml:space="preserve"> absolutely</w:t>
      </w:r>
      <w:r>
        <w:t xml:space="preserve"> necessary.</w:t>
      </w:r>
    </w:p>
    <w:permEnd w:id="1035731548"/>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DE389D" w:rsidP="00E652D1">
      <w:permStart w:id="1918962260" w:edGrp="everyone"/>
      <w:r>
        <w:t>In our opinion it is more rele</w:t>
      </w:r>
      <w:r w:rsidR="003D0031">
        <w:t>vant to follow the process of a</w:t>
      </w:r>
      <w:r>
        <w:t xml:space="preserve"> transaction in order to identify the different channels. We see on one side voice transactions made through</w:t>
      </w:r>
      <w:r w:rsidR="003D0031">
        <w:t xml:space="preserve"> telephone and at the other end</w:t>
      </w:r>
      <w:r>
        <w:t xml:space="preserve"> transa</w:t>
      </w:r>
      <w:r>
        <w:t>c</w:t>
      </w:r>
      <w:r>
        <w:t>tions that are totally automated with algorithms that do not require any human intervention to originate and execute orders</w:t>
      </w:r>
      <w:r w:rsidR="00F6761A">
        <w:t xml:space="preserve"> (what is not frequent on SFTs)</w:t>
      </w:r>
      <w:r>
        <w:t>. In between there are different types of platforms which can be a</w:t>
      </w:r>
      <w:r>
        <w:t>c</w:t>
      </w:r>
      <w:r>
        <w:t>cessed for confirmation of a deal negotiated on voice or through a screen</w:t>
      </w:r>
      <w:r w:rsidR="00F6761A">
        <w:t>. They</w:t>
      </w:r>
      <w:r>
        <w:t xml:space="preserve"> very much look like the </w:t>
      </w:r>
      <w:r w:rsidR="00F6761A">
        <w:t>Automated trading sy</w:t>
      </w:r>
      <w:r w:rsidR="00F6761A">
        <w:t>s</w:t>
      </w:r>
      <w:r w:rsidR="00F6761A">
        <w:t>tems in§ 282. Other platforms can only be accessed through an interactive screen and are dedicated to negotiation and lead to straight through back-office process. They seem to be desi</w:t>
      </w:r>
      <w:r w:rsidR="00F6761A">
        <w:t>g</w:t>
      </w:r>
      <w:r w:rsidR="00F6761A">
        <w:t>nated as Automatic trading systems. We wonder whether we correctly interpret §282 and think that further clarification is necessary.</w:t>
      </w:r>
    </w:p>
    <w:permEnd w:id="1918962260"/>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333665565" w:edGrp="everyone"/>
      <w:r>
        <w:t>TYPE YOUR TEXT HERE</w:t>
      </w:r>
    </w:p>
    <w:permEnd w:id="333665565"/>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341582606" w:edGrp="everyone"/>
      <w:r>
        <w:lastRenderedPageBreak/>
        <w:t>TYPE YOUR TEXT HERE</w:t>
      </w:r>
    </w:p>
    <w:permEnd w:id="341582606"/>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1138705837" w:edGrp="everyone"/>
      <w:r>
        <w:t>TYPE YOUR TEXT HERE</w:t>
      </w:r>
    </w:p>
    <w:permEnd w:id="1138705837"/>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813695984" w:edGrp="everyone"/>
      <w:r>
        <w:t>TYPE YOUR TEXT HERE</w:t>
      </w:r>
    </w:p>
    <w:permEnd w:id="813695984"/>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685594740" w:edGrp="everyone"/>
      <w:r>
        <w:t>TYPE YOUR TEXT HERE</w:t>
      </w:r>
    </w:p>
    <w:permEnd w:id="685594740"/>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407702" w:rsidRDefault="00F6761A" w:rsidP="00E652D1">
      <w:permStart w:id="1771860925" w:edGrp="everyone"/>
      <w:r>
        <w:t>EMIR experience is very informative o</w:t>
      </w:r>
      <w:r w:rsidR="003D0031">
        <w:t>n</w:t>
      </w:r>
      <w:r>
        <w:t xml:space="preserve"> the drawbacks of dual sided reporting. There are many rejections that only result from unimportant discrepancies that are not significant or without any relevant impact. ESMA is right to consider in §292 introducing some flexibility and a</w:t>
      </w:r>
      <w:r w:rsidR="00407702">
        <w:t>ccepting proportionality in view of the cost of a full reconciliation. The first step in that process would be to split fields between those which are mandatory and those which are optional  and, decide a limited list of fields which are not only mandatory but also  blocking.</w:t>
      </w:r>
    </w:p>
    <w:permEnd w:id="1771860925"/>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407702" w:rsidRDefault="00407702" w:rsidP="00E652D1">
      <w:permStart w:id="292831476" w:edGrp="everyone"/>
      <w:r>
        <w:t>The timing for the collateral and the transaction is not the same and the process to manage collateral is independent  from the life cycle of the initial transaction. As a consequence, we believe that the reconcili</w:t>
      </w:r>
      <w:r>
        <w:t>a</w:t>
      </w:r>
      <w:r>
        <w:t xml:space="preserve">tion process for collateral can only be separate. Due to the numerous changes and amendments in the collateral over a day, we believe that even an end of day reconciliation will be difficult to make on T+1, especially when we use a </w:t>
      </w:r>
      <w:proofErr w:type="spellStart"/>
      <w:r>
        <w:t>triparty</w:t>
      </w:r>
      <w:proofErr w:type="spellEnd"/>
      <w:r>
        <w:t xml:space="preserve"> agent based in a different time zone.</w:t>
      </w:r>
    </w:p>
    <w:permEnd w:id="292831476"/>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407702" w:rsidRDefault="00407702" w:rsidP="00E652D1">
      <w:permStart w:id="130956408" w:edGrp="everyone"/>
      <w:r>
        <w:lastRenderedPageBreak/>
        <w:t xml:space="preserve">We insist on the total standardisation of </w:t>
      </w:r>
      <w:r w:rsidR="003D0031">
        <w:t>feedback</w:t>
      </w:r>
      <w:r>
        <w:t xml:space="preserve"> reports that we shall receive from different sources if we use different TRs.</w:t>
      </w:r>
      <w:r w:rsidR="003D0031">
        <w:t xml:space="preserve"> We urge ESMA to examine ALD reports that counterparties exchange on </w:t>
      </w:r>
      <w:proofErr w:type="spellStart"/>
      <w:r w:rsidR="003D0031">
        <w:t>Equilend</w:t>
      </w:r>
      <w:proofErr w:type="spellEnd"/>
      <w:r w:rsidR="003D0031">
        <w:t xml:space="preserve"> </w:t>
      </w:r>
      <w:r w:rsidR="00A27C1A">
        <w:t xml:space="preserve"> (or other comparable tools) </w:t>
      </w:r>
      <w:r w:rsidR="003D0031">
        <w:t>for securities loans. They prove both efficient for a proper control of the situation and wor</w:t>
      </w:r>
      <w:r w:rsidR="003D0031">
        <w:t>k</w:t>
      </w:r>
      <w:r w:rsidR="003D0031">
        <w:t xml:space="preserve">able to produce on a timely basis. They remain focused on those fields that are necessary </w:t>
      </w:r>
      <w:r w:rsidR="00A27C1A">
        <w:t xml:space="preserve">in order </w:t>
      </w:r>
      <w:r w:rsidR="003D0031">
        <w:t>to assess the situation and should help ESMA in defining the minimum  number of fields absolutely mandatory that would pr</w:t>
      </w:r>
      <w:r w:rsidR="003D0031">
        <w:t>o</w:t>
      </w:r>
      <w:r w:rsidR="003D0031">
        <w:t>duce a rejection if not properly populated.</w:t>
      </w:r>
    </w:p>
    <w:permEnd w:id="130956408"/>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2058754152" w:edGrp="everyone"/>
      <w:r>
        <w:t>TYPE YOUR TEXT HERE</w:t>
      </w:r>
    </w:p>
    <w:permEnd w:id="2058754152"/>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74474365" w:edGrp="everyone"/>
      <w:r>
        <w:t>TYPE YOUR TEXT HERE</w:t>
      </w:r>
    </w:p>
    <w:permEnd w:id="74474365"/>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382627300" w:edGrp="everyone"/>
      <w:r>
        <w:t>TYPE YOUR TEXT HERE</w:t>
      </w:r>
    </w:p>
    <w:permEnd w:id="382627300"/>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1649091114" w:edGrp="everyone"/>
      <w:r>
        <w:t>TYPE YOUR TEXT HERE</w:t>
      </w:r>
    </w:p>
    <w:permEnd w:id="1649091114"/>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1165174651" w:edGrp="everyone"/>
      <w:r>
        <w:t>TYPE YOUR TEXT HERE</w:t>
      </w:r>
    </w:p>
    <w:permEnd w:id="1165174651"/>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496110509" w:edGrp="everyone"/>
      <w:r>
        <w:t>TYPE YOUR TEXT HERE</w:t>
      </w:r>
    </w:p>
    <w:permEnd w:id="496110509"/>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860885967" w:edGrp="everyone"/>
      <w:r>
        <w:lastRenderedPageBreak/>
        <w:t>TYPE YOUR TEXT HERE</w:t>
      </w:r>
    </w:p>
    <w:permEnd w:id="860885967"/>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489441418" w:edGrp="everyone"/>
      <w:r>
        <w:t>TYPE YOUR TEXT HERE</w:t>
      </w:r>
    </w:p>
    <w:permEnd w:id="489441418"/>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764045873" w:edGrp="everyone"/>
      <w:r>
        <w:t>TYPE YOUR TEXT HERE</w:t>
      </w:r>
    </w:p>
    <w:permEnd w:id="764045873"/>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C77282" w:rsidP="00E652D1">
      <w:permStart w:id="1979142215" w:edGrp="everyone"/>
      <w:r>
        <w:t>Amundi believes that the most efficient way to avoid double counting is to establish clear rules on who is responsible for establishing a single sided report.</w:t>
      </w:r>
    </w:p>
    <w:permEnd w:id="1979142215"/>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9D" w:rsidRDefault="00DE389D">
      <w:r>
        <w:separator/>
      </w:r>
    </w:p>
    <w:p w:rsidR="00DE389D" w:rsidRDefault="00DE389D"/>
  </w:endnote>
  <w:endnote w:type="continuationSeparator" w:id="0">
    <w:p w:rsidR="00DE389D" w:rsidRDefault="00DE389D">
      <w:r>
        <w:continuationSeparator/>
      </w:r>
    </w:p>
    <w:p w:rsidR="00DE389D" w:rsidRDefault="00DE389D"/>
  </w:endnote>
  <w:endnote w:type="continuationNotice" w:id="1">
    <w:p w:rsidR="00DE389D" w:rsidRDefault="00DE3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E389D" w:rsidRPr="00616B9B" w:rsidTr="00315E96">
      <w:trPr>
        <w:trHeight w:val="284"/>
      </w:trPr>
      <w:tc>
        <w:tcPr>
          <w:tcW w:w="8460" w:type="dxa"/>
        </w:tcPr>
        <w:p w:rsidR="00DE389D" w:rsidRPr="00315E96" w:rsidRDefault="00DE389D" w:rsidP="00315E96">
          <w:pPr>
            <w:pStyle w:val="00Footer"/>
            <w:rPr>
              <w:lang w:val="fr-FR"/>
            </w:rPr>
          </w:pPr>
        </w:p>
      </w:tc>
      <w:tc>
        <w:tcPr>
          <w:tcW w:w="952" w:type="dxa"/>
        </w:tcPr>
        <w:p w:rsidR="00DE389D" w:rsidRPr="00616B9B" w:rsidRDefault="00DE389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53679">
            <w:rPr>
              <w:rFonts w:cs="Arial"/>
              <w:noProof/>
              <w:sz w:val="22"/>
              <w:szCs w:val="22"/>
            </w:rPr>
            <w:t>7</w:t>
          </w:r>
          <w:r w:rsidRPr="00616B9B">
            <w:rPr>
              <w:rFonts w:cs="Arial"/>
              <w:noProof/>
              <w:sz w:val="22"/>
              <w:szCs w:val="22"/>
            </w:rPr>
            <w:fldChar w:fldCharType="end"/>
          </w:r>
        </w:p>
      </w:tc>
    </w:tr>
  </w:tbl>
  <w:p w:rsidR="00DE389D" w:rsidRDefault="00DE38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D" w:rsidRDefault="00DE38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9D" w:rsidRDefault="00DE389D">
      <w:r>
        <w:separator/>
      </w:r>
    </w:p>
    <w:p w:rsidR="00DE389D" w:rsidRDefault="00DE389D"/>
  </w:footnote>
  <w:footnote w:type="continuationSeparator" w:id="0">
    <w:p w:rsidR="00DE389D" w:rsidRDefault="00DE389D">
      <w:r>
        <w:continuationSeparator/>
      </w:r>
    </w:p>
    <w:p w:rsidR="00DE389D" w:rsidRDefault="00DE389D"/>
  </w:footnote>
  <w:footnote w:type="continuationNotice" w:id="1">
    <w:p w:rsidR="00DE389D" w:rsidRDefault="00DE38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D" w:rsidRDefault="00DE389D">
    <w:pPr>
      <w:pStyle w:val="En-tte"/>
    </w:pPr>
    <w:r>
      <w:rPr>
        <w:noProof/>
        <w:lang w:val="en-US" w:eastAsia="zh-TW"/>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D" w:rsidRDefault="00DE389D" w:rsidP="00013CCE">
    <w:pPr>
      <w:pStyle w:val="En-tte"/>
      <w:jc w:val="right"/>
    </w:pPr>
    <w:r>
      <w:rPr>
        <w:noProof/>
        <w:lang w:val="en-US" w:eastAsia="zh-TW"/>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D" w:rsidRDefault="00DE3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E389D" w:rsidRPr="002F4496" w:rsidTr="000C06C9">
      <w:trPr>
        <w:trHeight w:val="284"/>
      </w:trPr>
      <w:tc>
        <w:tcPr>
          <w:tcW w:w="8460" w:type="dxa"/>
        </w:tcPr>
        <w:p w:rsidR="00DE389D" w:rsidRPr="000C3B6D" w:rsidRDefault="00DE389D" w:rsidP="000C06C9">
          <w:pPr>
            <w:pStyle w:val="00Footer"/>
            <w:rPr>
              <w:lang w:val="fr-FR"/>
            </w:rPr>
          </w:pPr>
        </w:p>
      </w:tc>
      <w:tc>
        <w:tcPr>
          <w:tcW w:w="952" w:type="dxa"/>
        </w:tcPr>
        <w:p w:rsidR="00DE389D" w:rsidRPr="00146B34" w:rsidRDefault="00DE389D" w:rsidP="000C06C9">
          <w:pPr>
            <w:pStyle w:val="00aPagenumber"/>
            <w:rPr>
              <w:lang w:val="fr-FR"/>
            </w:rPr>
          </w:pPr>
        </w:p>
      </w:tc>
    </w:tr>
  </w:tbl>
  <w:p w:rsidR="00DE389D" w:rsidRPr="00DB46C3" w:rsidRDefault="00DE389D">
    <w:pPr>
      <w:rPr>
        <w:lang w:val="fr-FR"/>
      </w:rPr>
    </w:pPr>
  </w:p>
  <w:p w:rsidR="00DE389D" w:rsidRPr="002F4496" w:rsidRDefault="00DE389D">
    <w:pPr>
      <w:pStyle w:val="En-tte"/>
      <w:rPr>
        <w:lang w:val="fr-FR"/>
      </w:rPr>
    </w:pPr>
  </w:p>
  <w:p w:rsidR="00DE389D" w:rsidRPr="002F4496" w:rsidRDefault="00DE389D" w:rsidP="000C06C9">
    <w:pPr>
      <w:pStyle w:val="En-tte"/>
      <w:tabs>
        <w:tab w:val="clear" w:pos="4536"/>
        <w:tab w:val="clear" w:pos="9072"/>
        <w:tab w:val="left" w:pos="8227"/>
      </w:tabs>
      <w:rPr>
        <w:lang w:val="fr-FR"/>
      </w:rPr>
    </w:pPr>
  </w:p>
  <w:p w:rsidR="00DE389D" w:rsidRPr="002F4496" w:rsidRDefault="00DE389D" w:rsidP="000C06C9">
    <w:pPr>
      <w:pStyle w:val="En-tte"/>
      <w:tabs>
        <w:tab w:val="clear" w:pos="4536"/>
        <w:tab w:val="clear" w:pos="9072"/>
        <w:tab w:val="left" w:pos="8227"/>
      </w:tabs>
      <w:rPr>
        <w:lang w:val="fr-FR"/>
      </w:rPr>
    </w:pPr>
  </w:p>
  <w:p w:rsidR="00DE389D" w:rsidRPr="002F4496" w:rsidRDefault="00DE389D">
    <w:pPr>
      <w:pStyle w:val="En-tte"/>
      <w:rPr>
        <w:lang w:val="fr-FR"/>
      </w:rPr>
    </w:pPr>
  </w:p>
  <w:p w:rsidR="00DE389D" w:rsidRPr="002F4496" w:rsidRDefault="00DE389D">
    <w:pPr>
      <w:pStyle w:val="En-tte"/>
      <w:rPr>
        <w:lang w:val="fr-FR"/>
      </w:rPr>
    </w:pPr>
  </w:p>
  <w:p w:rsidR="00DE389D" w:rsidRPr="002F4496" w:rsidRDefault="00DE389D">
    <w:pPr>
      <w:pStyle w:val="En-tte"/>
      <w:rPr>
        <w:lang w:val="fr-FR"/>
      </w:rPr>
    </w:pPr>
  </w:p>
  <w:p w:rsidR="00DE389D" w:rsidRPr="002F4496" w:rsidRDefault="00DE389D">
    <w:pPr>
      <w:pStyle w:val="En-tte"/>
      <w:rPr>
        <w:lang w:val="fr-FR"/>
      </w:rPr>
    </w:pPr>
  </w:p>
  <w:p w:rsidR="00DE389D" w:rsidRPr="002F4496" w:rsidRDefault="00DE389D">
    <w:pPr>
      <w:pStyle w:val="En-tte"/>
      <w:rPr>
        <w:highlight w:val="yellow"/>
        <w:lang w:val="fr-FR"/>
      </w:rPr>
    </w:pPr>
  </w:p>
  <w:p w:rsidR="00DE389D" w:rsidRDefault="00DE389D">
    <w:pPr>
      <w:pStyle w:val="En-tte"/>
    </w:pPr>
    <w:r>
      <w:rPr>
        <w:noProof/>
        <w:lang w:val="en-US" w:eastAsia="zh-TW"/>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TW"/>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9794D32"/>
    <w:multiLevelType w:val="hybridMultilevel"/>
    <w:tmpl w:val="5AD2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2">
    <w:nsid w:val="657F0148"/>
    <w:multiLevelType w:val="hybridMultilevel"/>
    <w:tmpl w:val="9E7C7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3"/>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55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5962"/>
    <w:rsid w:val="00036FAE"/>
    <w:rsid w:val="00041449"/>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3FCE"/>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3E04"/>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A"/>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3B29"/>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54F3"/>
    <w:rsid w:val="00186829"/>
    <w:rsid w:val="001868CA"/>
    <w:rsid w:val="00187304"/>
    <w:rsid w:val="001875BE"/>
    <w:rsid w:val="0019017A"/>
    <w:rsid w:val="00190B8C"/>
    <w:rsid w:val="00190FF8"/>
    <w:rsid w:val="0019311A"/>
    <w:rsid w:val="0019508A"/>
    <w:rsid w:val="001960D8"/>
    <w:rsid w:val="001A1183"/>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331"/>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1800"/>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3516"/>
    <w:rsid w:val="002C53AA"/>
    <w:rsid w:val="002C5B2D"/>
    <w:rsid w:val="002C6AF9"/>
    <w:rsid w:val="002C7DFC"/>
    <w:rsid w:val="002D14F3"/>
    <w:rsid w:val="002D16E4"/>
    <w:rsid w:val="002D1C49"/>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031"/>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70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0BF"/>
    <w:rsid w:val="0045175A"/>
    <w:rsid w:val="00451ED9"/>
    <w:rsid w:val="00452180"/>
    <w:rsid w:val="00453072"/>
    <w:rsid w:val="004539F8"/>
    <w:rsid w:val="00453F26"/>
    <w:rsid w:val="0045503F"/>
    <w:rsid w:val="00455273"/>
    <w:rsid w:val="00460905"/>
    <w:rsid w:val="00461E35"/>
    <w:rsid w:val="004621DB"/>
    <w:rsid w:val="00462F25"/>
    <w:rsid w:val="004634A7"/>
    <w:rsid w:val="00463787"/>
    <w:rsid w:val="00466926"/>
    <w:rsid w:val="00466FDA"/>
    <w:rsid w:val="004671D0"/>
    <w:rsid w:val="004674D1"/>
    <w:rsid w:val="00467F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09F"/>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679"/>
    <w:rsid w:val="00653F69"/>
    <w:rsid w:val="00654936"/>
    <w:rsid w:val="00655485"/>
    <w:rsid w:val="006558B3"/>
    <w:rsid w:val="00657BC0"/>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669C"/>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AEA"/>
    <w:rsid w:val="006D399F"/>
    <w:rsid w:val="006D4F0C"/>
    <w:rsid w:val="006D5645"/>
    <w:rsid w:val="006E0C8A"/>
    <w:rsid w:val="006E2A23"/>
    <w:rsid w:val="006E35E5"/>
    <w:rsid w:val="006E3C72"/>
    <w:rsid w:val="006E4F20"/>
    <w:rsid w:val="006E649A"/>
    <w:rsid w:val="006F08DC"/>
    <w:rsid w:val="006F2CE4"/>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3F2C"/>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277F"/>
    <w:rsid w:val="00773B94"/>
    <w:rsid w:val="00773C65"/>
    <w:rsid w:val="00774B94"/>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0C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802"/>
    <w:rsid w:val="00845D87"/>
    <w:rsid w:val="00846C3A"/>
    <w:rsid w:val="008477BF"/>
    <w:rsid w:val="00847AE9"/>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1416"/>
    <w:rsid w:val="00901941"/>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480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F68"/>
    <w:rsid w:val="00962CEF"/>
    <w:rsid w:val="00963766"/>
    <w:rsid w:val="00963FDF"/>
    <w:rsid w:val="00964C32"/>
    <w:rsid w:val="0096528F"/>
    <w:rsid w:val="009653F2"/>
    <w:rsid w:val="009661DF"/>
    <w:rsid w:val="009667BD"/>
    <w:rsid w:val="00967CE2"/>
    <w:rsid w:val="00971DA3"/>
    <w:rsid w:val="00972161"/>
    <w:rsid w:val="0097261B"/>
    <w:rsid w:val="00974881"/>
    <w:rsid w:val="00975F3A"/>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6336"/>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25B"/>
    <w:rsid w:val="00A25ED4"/>
    <w:rsid w:val="00A26C5C"/>
    <w:rsid w:val="00A27C1A"/>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367"/>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182"/>
    <w:rsid w:val="00A958CA"/>
    <w:rsid w:val="00A966B6"/>
    <w:rsid w:val="00A96B46"/>
    <w:rsid w:val="00AA003B"/>
    <w:rsid w:val="00AA016B"/>
    <w:rsid w:val="00AA099B"/>
    <w:rsid w:val="00AA15DD"/>
    <w:rsid w:val="00AA1C09"/>
    <w:rsid w:val="00AA2F67"/>
    <w:rsid w:val="00AA3569"/>
    <w:rsid w:val="00AA5F4C"/>
    <w:rsid w:val="00AA615C"/>
    <w:rsid w:val="00AA6711"/>
    <w:rsid w:val="00AB2AEC"/>
    <w:rsid w:val="00AB2DC1"/>
    <w:rsid w:val="00AB3102"/>
    <w:rsid w:val="00AB36AB"/>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3B9B"/>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09E"/>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282"/>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6BBA"/>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B6A"/>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89D"/>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7AF"/>
    <w:rsid w:val="00E669A1"/>
    <w:rsid w:val="00E679BA"/>
    <w:rsid w:val="00E70243"/>
    <w:rsid w:val="00E70663"/>
    <w:rsid w:val="00E72CC6"/>
    <w:rsid w:val="00E73D44"/>
    <w:rsid w:val="00E7494A"/>
    <w:rsid w:val="00E74BE2"/>
    <w:rsid w:val="00E74C66"/>
    <w:rsid w:val="00E75933"/>
    <w:rsid w:val="00E77A1B"/>
    <w:rsid w:val="00E808BE"/>
    <w:rsid w:val="00E81503"/>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485"/>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348"/>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320"/>
    <w:rsid w:val="00F61664"/>
    <w:rsid w:val="00F61B99"/>
    <w:rsid w:val="00F64C45"/>
    <w:rsid w:val="00F6502B"/>
    <w:rsid w:val="00F6612A"/>
    <w:rsid w:val="00F66724"/>
    <w:rsid w:val="00F6761A"/>
    <w:rsid w:val="00F67F04"/>
    <w:rsid w:val="00F70207"/>
    <w:rsid w:val="00F702CB"/>
    <w:rsid w:val="00F71AC2"/>
    <w:rsid w:val="00F739D4"/>
    <w:rsid w:val="00F77D43"/>
    <w:rsid w:val="00F80953"/>
    <w:rsid w:val="00F81312"/>
    <w:rsid w:val="00F81B90"/>
    <w:rsid w:val="00F81E6F"/>
    <w:rsid w:val="00F82BB0"/>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Policepardfau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Policepardfau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6070-8128-44C7-96B2-F5F14E71628C}">
  <ds:schemaRefs>
    <ds:schemaRef ds:uri="http://schemas.openxmlformats.org/officeDocument/2006/bibliography"/>
  </ds:schemaRefs>
</ds:datastoreItem>
</file>

<file path=customXml/itemProps2.xml><?xml version="1.0" encoding="utf-8"?>
<ds:datastoreItem xmlns:ds="http://schemas.openxmlformats.org/officeDocument/2006/customXml" ds:itemID="{A9E38CB5-B2F5-4C49-971A-C6323516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9646</Words>
  <Characters>54840</Characters>
  <Application>Microsoft Office Word</Application>
  <DocSecurity>8</DocSecurity>
  <Lines>457</Lines>
  <Paragraphs>128</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64358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bompaire</cp:lastModifiedBy>
  <cp:revision>15</cp:revision>
  <cp:lastPrinted>2015-02-18T11:01:00Z</cp:lastPrinted>
  <dcterms:created xsi:type="dcterms:W3CDTF">2016-04-15T09:45:00Z</dcterms:created>
  <dcterms:modified xsi:type="dcterms:W3CDTF">2016-04-19T15:11:00Z</dcterms:modified>
</cp:coreProperties>
</file>