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media/image1.jpeg" ContentType="image/jpeg"/>
  <Override PartName="/word/media/image2.jpeg" ContentType="image/jpeg"/>
  <Override PartName="/word/media/image3.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tbl>
      <w:tblPr>
        <w:tblW w:w="941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412"/>
      </w:tblGrid>
      <w:tr>
        <w:tblPrEx>
          <w:shd w:val="clear" w:color="auto" w:fill="auto"/>
        </w:tblPrEx>
        <w:trPr>
          <w:trHeight w:val="213" w:hRule="atLeast"/>
        </w:trPr>
        <w:tc>
          <w:tcPr>
            <w:tcW w:type="dxa" w:w="9412"/>
            <w:tcBorders>
              <w:top w:val="nil"/>
              <w:left w:val="nil"/>
              <w:bottom w:val="nil"/>
              <w:right w:val="nil"/>
            </w:tcBorders>
            <w:shd w:val="clear" w:color="auto" w:fill="auto"/>
            <w:tcMar>
              <w:top w:type="dxa" w:w="80"/>
              <w:left w:type="dxa" w:w="80"/>
              <w:bottom w:type="dxa" w:w="80"/>
              <w:right w:type="dxa" w:w="80"/>
            </w:tcMar>
            <w:vAlign w:val="top"/>
          </w:tcPr>
          <w:p>
            <w:pPr>
              <w:pStyle w:val="00b_DB_Info"/>
            </w:pPr>
            <w:r>
              <w:rPr>
                <w:caps w:val="0"/>
                <w:smallCaps w:val="0"/>
                <w:strike w:val="0"/>
                <w:dstrike w:val="0"/>
                <w:outline w:val="0"/>
                <w:color w:val="ffffff"/>
                <w:spacing w:val="0"/>
                <w:kern w:val="0"/>
                <w:position w:val="0"/>
                <w:sz w:val="20"/>
                <w:szCs w:val="20"/>
                <w:u w:val="none" w:color="ffffff"/>
                <w:vertAlign w:val="baseline"/>
                <w:rtl w:val="0"/>
                <w:lang w:val="en-US"/>
              </w:rPr>
              <w:t>15 February 2016</w:t>
            </w:r>
          </w:p>
        </w:tc>
      </w:tr>
    </w:tbl>
    <w:tbl>
      <w:tblPr>
        <w:tblW w:w="9397"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97"/>
      </w:tblGrid>
      <w:tr>
        <w:tblPrEx>
          <w:shd w:val="clear" w:color="auto" w:fill="auto"/>
        </w:tblPrEx>
        <w:trPr>
          <w:trHeight w:val="1049" w:hRule="exact"/>
        </w:trPr>
        <w:tc>
          <w:tcPr>
            <w:tcW w:type="dxa" w:w="9397"/>
            <w:tcBorders>
              <w:top w:val="nil"/>
              <w:left w:val="nil"/>
              <w:bottom w:val="nil"/>
              <w:right w:val="nil"/>
            </w:tcBorders>
            <w:shd w:val="clear" w:color="auto" w:fill="auto"/>
            <w:tcMar>
              <w:top w:type="dxa" w:w="80"/>
              <w:left w:type="dxa" w:w="80"/>
              <w:bottom w:type="dxa" w:w="80"/>
              <w:right w:type="dxa" w:w="80"/>
            </w:tcMar>
            <w:vAlign w:val="bottom"/>
          </w:tcPr>
          <w:p>
            <w:pPr>
              <w:pStyle w:val="01a_DB_Title"/>
              <w:rPr>
                <w:caps w:val="0"/>
                <w:smallCaps w:val="0"/>
                <w:strike w:val="0"/>
                <w:dstrike w:val="0"/>
                <w:outline w:val="0"/>
                <w:color w:val="2d4190"/>
                <w:spacing w:val="0"/>
                <w:kern w:val="0"/>
                <w:position w:val="0"/>
                <w:sz w:val="32"/>
                <w:szCs w:val="32"/>
                <w:u w:val="none" w:color="2d4190"/>
                <w:vertAlign w:val="baseline"/>
                <w:rtl w:val="0"/>
                <w:lang w:val="en-US"/>
              </w:rPr>
            </w:pPr>
            <w:r>
              <w:rPr>
                <w:caps w:val="0"/>
                <w:smallCaps w:val="0"/>
                <w:strike w:val="0"/>
                <w:dstrike w:val="0"/>
                <w:outline w:val="0"/>
                <w:color w:val="2d4190"/>
                <w:spacing w:val="0"/>
                <w:kern w:val="0"/>
                <w:position w:val="0"/>
                <w:sz w:val="32"/>
                <w:szCs w:val="32"/>
                <w:u w:val="none" w:color="2d4190"/>
                <w:vertAlign w:val="baseline"/>
                <w:rtl w:val="0"/>
                <w:lang w:val="en-US"/>
              </w:rPr>
              <w:t xml:space="preserve">Reply form for the   </w:t>
            </w:r>
          </w:p>
          <w:p>
            <w:pPr>
              <w:pStyle w:val="01a_DB_Title"/>
            </w:pPr>
            <w:r>
              <w:rPr>
                <w:caps w:val="0"/>
                <w:smallCaps w:val="0"/>
                <w:strike w:val="0"/>
                <w:dstrike w:val="0"/>
                <w:outline w:val="0"/>
                <w:color w:val="2d4190"/>
                <w:spacing w:val="0"/>
                <w:kern w:val="0"/>
                <w:position w:val="0"/>
                <w:sz w:val="32"/>
                <w:szCs w:val="32"/>
                <w:u w:val="none" w:color="2d4190"/>
                <w:vertAlign w:val="baseline"/>
                <w:rtl w:val="0"/>
                <w:lang w:val="en-US"/>
              </w:rPr>
              <w:t>Discussion Paper on Benchmarks Regulation</w:t>
            </w:r>
          </w:p>
        </w:tc>
      </w:tr>
      <w:tr>
        <w:tblPrEx>
          <w:shd w:val="clear" w:color="auto" w:fill="auto"/>
        </w:tblPrEx>
        <w:trPr>
          <w:trHeight w:val="445" w:hRule="exact"/>
        </w:trPr>
        <w:tc>
          <w:tcPr>
            <w:tcW w:type="dxa" w:w="9397"/>
            <w:tcBorders>
              <w:top w:val="nil"/>
              <w:left w:val="nil"/>
              <w:bottom w:val="nil"/>
              <w:right w:val="nil"/>
            </w:tcBorders>
            <w:shd w:val="clear" w:color="auto" w:fill="auto"/>
            <w:tcMar>
              <w:top w:type="dxa" w:w="80"/>
              <w:left w:type="dxa" w:w="80"/>
              <w:bottom w:type="dxa" w:w="80"/>
              <w:right w:type="dxa" w:w="80"/>
            </w:tcMar>
            <w:vAlign w:val="top"/>
          </w:tcPr>
          <w:p>
            <w:pPr>
              <w:pStyle w:val="01b_DB_Subtitle"/>
            </w:pPr>
            <w:r>
              <w:rPr>
                <w:rFonts w:ascii="Arial"/>
                <w:caps w:val="0"/>
                <w:smallCaps w:val="0"/>
                <w:strike w:val="0"/>
                <w:dstrike w:val="0"/>
                <w:outline w:val="0"/>
                <w:color w:val="000000"/>
                <w:spacing w:val="0"/>
                <w:kern w:val="0"/>
                <w:position w:val="0"/>
                <w:sz w:val="32"/>
                <w:szCs w:val="32"/>
                <w:u w:val="none" w:color="000000"/>
                <w:vertAlign w:val="baseline"/>
                <w:rtl w:val="0"/>
                <w:lang w:val="en-US"/>
              </w:rPr>
              <w:t xml:space="preserve"> </w:t>
            </w:r>
          </w:p>
        </w:tc>
      </w:tr>
    </w:tbl>
    <w:p>
      <w:pPr>
        <w:pStyle w:val="05_Headline no Index"/>
        <w:sectPr>
          <w:headerReference w:type="default" r:id="rId4"/>
          <w:headerReference w:type="first" r:id="rId5"/>
          <w:footerReference w:type="default" r:id="rId6"/>
          <w:footerReference w:type="first" r:id="rId7"/>
          <w:pgSz w:w="11900" w:h="16840" w:orient="portrait"/>
          <w:pgMar w:top="2835" w:right="1247" w:bottom="1361" w:left="1247" w:header="709" w:footer="709"/>
          <w:titlePg w:val="1"/>
          <w:bidi w:val="0"/>
        </w:sectPr>
      </w:pPr>
    </w:p>
    <w:tbl>
      <w:tblPr>
        <w:tblW w:w="232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325"/>
      </w:tblGrid>
      <w:tr>
        <w:tblPrEx>
          <w:shd w:val="clear" w:color="auto" w:fill="auto"/>
        </w:tblPrEx>
        <w:trPr>
          <w:trHeight w:val="804" w:hRule="exact"/>
        </w:trPr>
        <w:tc>
          <w:tcPr>
            <w:tcW w:type="dxa" w:w="2325"/>
            <w:tcBorders>
              <w:top w:val="nil"/>
              <w:left w:val="nil"/>
              <w:bottom w:val="nil"/>
              <w:right w:val="nil"/>
            </w:tcBorders>
            <w:shd w:val="clear" w:color="auto" w:fill="auto"/>
            <w:tcMar>
              <w:top w:type="dxa" w:w="80"/>
              <w:left w:type="dxa" w:w="80"/>
              <w:bottom w:type="dxa" w:w="80"/>
              <w:right w:type="dxa" w:w="80"/>
            </w:tcMar>
            <w:vAlign w:val="top"/>
          </w:tcPr>
          <w:p>
            <w:pPr>
              <w:pStyle w:val="02_Date"/>
            </w:pPr>
            <w:r>
              <w:rPr>
                <w:caps w:val="0"/>
                <w:smallCaps w:val="0"/>
                <w:strike w:val="0"/>
                <w:dstrike w:val="0"/>
                <w:outline w:val="0"/>
                <w:color w:val="000000"/>
                <w:spacing w:val="0"/>
                <w:kern w:val="0"/>
                <w:position w:val="0"/>
                <w:sz w:val="17"/>
                <w:szCs w:val="17"/>
                <w:u w:val="none" w:color="000000"/>
                <w:vertAlign w:val="baseline"/>
                <w:rtl w:val="0"/>
                <w:lang w:val="en-US"/>
              </w:rPr>
              <w:t>Date: 15 February 2016</w:t>
            </w:r>
          </w:p>
        </w:tc>
      </w:tr>
    </w:tbl>
    <w:p>
      <w:pPr>
        <w:pStyle w:val="05_Headline no Index"/>
      </w:pPr>
      <w:r>
        <w:rPr>
          <w:rFonts w:ascii="Arial" w:cs="Arial Unicode MS" w:hAnsi="Arial Unicode MS" w:eastAsia="Arial Unicode MS"/>
          <w:rtl w:val="0"/>
          <w:lang w:val="en-US"/>
        </w:rPr>
        <w:t xml:space="preserve">Responding to this paper </w:t>
      </w:r>
    </w:p>
    <w:p>
      <w:pPr>
        <w:pStyle w:val="04_Body Text"/>
        <w:spacing w:before="120" w:after="120"/>
      </w:pPr>
      <w:r>
        <w:rPr>
          <w:rtl w:val="0"/>
          <w:lang w:val="en-US"/>
        </w:rPr>
        <w:t>The European Securities and Markets Authority (ESMA) invites responses to the specific questions listed in Consultation Paper on the European Single Electronic Format (ESEF), published on the ESMA website.</w:t>
      </w:r>
    </w:p>
    <w:p>
      <w:pPr>
        <w:pStyle w:val="Body"/>
        <w:spacing w:before="120" w:after="120" w:line="276" w:lineRule="auto"/>
        <w:jc w:val="both"/>
        <w:rPr>
          <w:b w:val="1"/>
          <w:bCs w:val="1"/>
          <w:i w:val="1"/>
          <w:iCs w:val="1"/>
        </w:rPr>
      </w:pPr>
    </w:p>
    <w:p>
      <w:pPr>
        <w:pStyle w:val="Body"/>
        <w:spacing w:before="120" w:after="120" w:line="276" w:lineRule="auto"/>
        <w:jc w:val="both"/>
        <w:rPr>
          <w:b w:val="1"/>
          <w:bCs w:val="1"/>
          <w:i w:val="1"/>
          <w:iCs w:val="1"/>
        </w:rPr>
      </w:pPr>
      <w:r>
        <w:rPr>
          <w:b w:val="1"/>
          <w:bCs w:val="1"/>
          <w:i w:val="1"/>
          <w:iCs w:val="1"/>
          <w:rtl w:val="0"/>
          <w:lang w:val="fr-FR"/>
        </w:rPr>
        <w:t>Instructions</w:t>
      </w:r>
    </w:p>
    <w:p>
      <w:pPr>
        <w:pStyle w:val="04_Body Text"/>
        <w:spacing w:before="120" w:after="120"/>
      </w:pPr>
      <w:r>
        <w:rPr>
          <w:rtl w:val="0"/>
          <w:lang w:val="en-US"/>
        </w:rPr>
        <w:t>Please note that, in order to facilitate the analysis of the large number of responses expected, you are requested to use this file to send your response to ESMA so as to allow us to process it properly. Therefore, ESMA will only be able to consider responses which follow the instructions described below:</w:t>
      </w:r>
    </w:p>
    <w:p>
      <w:pPr>
        <w:pStyle w:val="04b_List"/>
        <w:numPr>
          <w:ilvl w:val="0"/>
          <w:numId w:val="3"/>
        </w:numPr>
        <w:tabs>
          <w:tab w:val="clear" w:pos="0"/>
        </w:tabs>
        <w:spacing w:before="120" w:after="120"/>
        <w:ind w:left="720" w:hanging="360"/>
        <w:rPr>
          <w:position w:val="0"/>
          <w:sz w:val="20"/>
          <w:szCs w:val="20"/>
        </w:rPr>
      </w:pPr>
      <w:r>
        <w:rPr>
          <w:rtl w:val="0"/>
          <w:lang w:val="en-US"/>
        </w:rPr>
        <w:t>use this form and send your responses in Word format (pdf documents will not be considered except for annexes);</w:t>
      </w:r>
    </w:p>
    <w:p>
      <w:pPr>
        <w:pStyle w:val="04b_List"/>
        <w:numPr>
          <w:ilvl w:val="0"/>
          <w:numId w:val="4"/>
        </w:numPr>
        <w:tabs>
          <w:tab w:val="clear" w:pos="0"/>
        </w:tabs>
        <w:spacing w:before="120" w:after="120"/>
        <w:ind w:left="720" w:hanging="360"/>
        <w:rPr>
          <w:position w:val="0"/>
          <w:sz w:val="20"/>
          <w:szCs w:val="20"/>
        </w:rPr>
      </w:pPr>
      <w:r>
        <w:rPr>
          <w:rtl w:val="0"/>
          <w:lang w:val="en-US"/>
        </w:rPr>
        <w:t>do not remove the tags of type &lt; ESMA_QUESTION_DP_BMR_1&gt; - i.e. the response to one question has to be framed by the 2 tags corresponding to the question; and</w:t>
      </w:r>
    </w:p>
    <w:p>
      <w:pPr>
        <w:pStyle w:val="04b_List"/>
        <w:numPr>
          <w:ilvl w:val="0"/>
          <w:numId w:val="5"/>
        </w:numPr>
        <w:tabs>
          <w:tab w:val="clear" w:pos="0"/>
        </w:tabs>
        <w:spacing w:before="120" w:after="120"/>
        <w:ind w:left="720" w:hanging="360"/>
        <w:rPr>
          <w:position w:val="0"/>
          <w:sz w:val="20"/>
          <w:szCs w:val="20"/>
        </w:rPr>
      </w:pPr>
      <w:r>
        <w:rPr>
          <w:rtl w:val="0"/>
          <w:lang w:val="en-US"/>
        </w:rPr>
        <w:t xml:space="preserve">if you do not have a response to a question, do not delete it and leave the text </w:t>
      </w:r>
      <w:r>
        <w:rPr>
          <w:rFonts w:hAnsi="Arial" w:hint="default"/>
          <w:rtl w:val="0"/>
          <w:lang w:val="en-US"/>
        </w:rPr>
        <w:t>“</w:t>
      </w:r>
      <w:r>
        <w:rPr>
          <w:rtl w:val="0"/>
          <w:lang w:val="en-US"/>
        </w:rPr>
        <w:t>TYPE YOUR TEXT HERE</w:t>
      </w:r>
      <w:r>
        <w:rPr>
          <w:rFonts w:hAnsi="Arial" w:hint="default"/>
          <w:rtl w:val="0"/>
          <w:lang w:val="en-US"/>
        </w:rPr>
        <w:t xml:space="preserve">” </w:t>
      </w:r>
      <w:r>
        <w:rPr>
          <w:rtl w:val="0"/>
          <w:lang w:val="en-US"/>
        </w:rPr>
        <w:t>between the tags.</w:t>
      </w:r>
    </w:p>
    <w:p>
      <w:pPr>
        <w:pStyle w:val="04b_List"/>
        <w:spacing w:before="120" w:after="120"/>
        <w:ind w:left="0" w:firstLine="0"/>
      </w:pPr>
      <w:r>
        <w:rPr>
          <w:rtl w:val="0"/>
          <w:lang w:val="en-US"/>
        </w:rPr>
        <w:t>Responses are most helpful:</w:t>
      </w:r>
    </w:p>
    <w:p>
      <w:pPr>
        <w:pStyle w:val="04b_List"/>
        <w:numPr>
          <w:ilvl w:val="0"/>
          <w:numId w:val="8"/>
        </w:numPr>
        <w:tabs>
          <w:tab w:val="clear" w:pos="0"/>
        </w:tabs>
        <w:spacing w:before="120" w:after="120"/>
        <w:ind w:left="720" w:hanging="360"/>
        <w:rPr>
          <w:position w:val="0"/>
          <w:sz w:val="20"/>
          <w:szCs w:val="20"/>
        </w:rPr>
      </w:pPr>
      <w:r>
        <w:rPr>
          <w:rtl w:val="0"/>
          <w:lang w:val="en-US"/>
        </w:rPr>
        <w:t>if they respond to the question stated;</w:t>
      </w:r>
    </w:p>
    <w:p>
      <w:pPr>
        <w:pStyle w:val="04b_List"/>
        <w:numPr>
          <w:ilvl w:val="0"/>
          <w:numId w:val="9"/>
        </w:numPr>
        <w:tabs>
          <w:tab w:val="clear" w:pos="0"/>
        </w:tabs>
        <w:spacing w:before="120" w:after="120"/>
        <w:ind w:left="720" w:hanging="360"/>
        <w:rPr>
          <w:position w:val="0"/>
          <w:sz w:val="20"/>
          <w:szCs w:val="20"/>
        </w:rPr>
      </w:pPr>
      <w:r>
        <w:rPr>
          <w:rtl w:val="0"/>
          <w:lang w:val="en-US"/>
        </w:rPr>
        <w:t>contain a clear rationale, including on any related costs and benefits; and</w:t>
      </w:r>
    </w:p>
    <w:p>
      <w:pPr>
        <w:pStyle w:val="04b_List"/>
        <w:numPr>
          <w:ilvl w:val="0"/>
          <w:numId w:val="10"/>
        </w:numPr>
        <w:tabs>
          <w:tab w:val="clear" w:pos="0"/>
        </w:tabs>
        <w:spacing w:before="120" w:after="120"/>
        <w:ind w:left="720" w:hanging="360"/>
        <w:rPr>
          <w:position w:val="0"/>
          <w:sz w:val="20"/>
          <w:szCs w:val="20"/>
        </w:rPr>
      </w:pPr>
      <w:r>
        <w:rPr>
          <w:rtl w:val="0"/>
          <w:lang w:val="en-US"/>
        </w:rPr>
        <w:t>describe any alternatives that ESMA should consider</w:t>
      </w:r>
    </w:p>
    <w:p>
      <w:pPr>
        <w:pStyle w:val="04_Body Text"/>
        <w:spacing w:before="120" w:after="120"/>
        <w:jc w:val="left"/>
        <w:rPr>
          <w:b w:val="1"/>
          <w:bCs w:val="1"/>
        </w:rPr>
      </w:pPr>
    </w:p>
    <w:p>
      <w:pPr>
        <w:pStyle w:val="04_Body Text"/>
        <w:spacing w:before="120" w:after="120"/>
        <w:jc w:val="left"/>
        <w:rPr>
          <w:b w:val="1"/>
          <w:bCs w:val="1"/>
        </w:rPr>
      </w:pPr>
      <w:r>
        <w:rPr>
          <w:b w:val="1"/>
          <w:bCs w:val="1"/>
          <w:rtl w:val="0"/>
          <w:lang w:val="en-US"/>
        </w:rPr>
        <w:t>Naming protocol</w:t>
      </w:r>
    </w:p>
    <w:p>
      <w:pPr>
        <w:pStyle w:val="04_Body Text"/>
        <w:spacing w:before="120" w:after="120"/>
        <w:jc w:val="left"/>
      </w:pPr>
      <w:r>
        <w:rPr>
          <w:rtl w:val="0"/>
          <w:lang w:val="en-US"/>
        </w:rPr>
        <w:t>In order to facilitate the handling of stakeholders responses please save your document using the following format:</w:t>
      </w:r>
    </w:p>
    <w:p>
      <w:pPr>
        <w:pStyle w:val="04_Body Text"/>
        <w:spacing w:before="120" w:after="120"/>
        <w:jc w:val="left"/>
      </w:pPr>
      <w:r>
        <w:rPr>
          <w:rtl w:val="0"/>
          <w:lang w:val="en-US"/>
        </w:rPr>
        <w:t>ESMA_DP_BMR _NAMEOFCOMPANY_NAMEOFDOCUMENT.</w:t>
      </w:r>
    </w:p>
    <w:p>
      <w:pPr>
        <w:pStyle w:val="04_Body Text"/>
        <w:spacing w:before="120" w:after="120"/>
        <w:jc w:val="left"/>
      </w:pPr>
      <w:r>
        <w:rPr>
          <w:rtl w:val="0"/>
          <w:lang w:val="en-US"/>
        </w:rPr>
        <w:t>E.g. if the respondent were XXXX, the name of the reply form would be:</w:t>
      </w:r>
    </w:p>
    <w:p>
      <w:pPr>
        <w:pStyle w:val="04_Body Text"/>
        <w:spacing w:before="120" w:after="120"/>
        <w:jc w:val="left"/>
      </w:pPr>
      <w:r>
        <w:rPr>
          <w:rtl w:val="0"/>
          <w:lang w:val="en-US"/>
        </w:rPr>
        <w:t xml:space="preserve">ESMA_DP_BMR _XXXX_REPLYFORM or </w:t>
      </w:r>
    </w:p>
    <w:p>
      <w:pPr>
        <w:pStyle w:val="04_Body Text"/>
        <w:spacing w:before="120" w:after="120"/>
        <w:jc w:val="left"/>
      </w:pPr>
      <w:r>
        <w:rPr>
          <w:rtl w:val="0"/>
          <w:lang w:val="en-US"/>
        </w:rPr>
        <w:t>ESMA_DP_BMR _XXXX_ANNEX1</w:t>
      </w:r>
    </w:p>
    <w:p>
      <w:pPr>
        <w:pStyle w:val="04b_List"/>
        <w:spacing w:before="120" w:after="120"/>
        <w:ind w:left="0" w:firstLine="0"/>
      </w:pPr>
      <w:r>
        <w:rPr>
          <w:rtl w:val="0"/>
          <w:lang w:val="en-US"/>
        </w:rPr>
        <w:t xml:space="preserve">To help you navigate this document more easily, bookmarks are available in </w:t>
      </w:r>
      <w:r>
        <w:rPr>
          <w:rFonts w:hAnsi="Arial" w:hint="default"/>
          <w:rtl w:val="0"/>
          <w:lang w:val="en-US"/>
        </w:rPr>
        <w:t>“</w:t>
      </w:r>
      <w:r>
        <w:rPr>
          <w:rtl w:val="0"/>
          <w:lang w:val="en-US"/>
        </w:rPr>
        <w:t>Navigation Pane</w:t>
      </w:r>
      <w:r>
        <w:rPr>
          <w:rFonts w:hAnsi="Arial" w:hint="default"/>
          <w:rtl w:val="0"/>
          <w:lang w:val="en-US"/>
        </w:rPr>
        <w:t xml:space="preserve">” </w:t>
      </w:r>
      <w:r>
        <w:rPr>
          <w:rtl w:val="0"/>
          <w:lang w:val="en-US"/>
        </w:rPr>
        <w:t xml:space="preserve">for Word 2010 and in </w:t>
      </w:r>
      <w:r>
        <w:rPr>
          <w:rFonts w:hAnsi="Arial" w:hint="default"/>
          <w:rtl w:val="0"/>
          <w:lang w:val="en-US"/>
        </w:rPr>
        <w:t>“</w:t>
      </w:r>
      <w:r>
        <w:rPr>
          <w:rtl w:val="0"/>
          <w:lang w:val="en-US"/>
        </w:rPr>
        <w:t>Document Map</w:t>
      </w:r>
      <w:r>
        <w:rPr>
          <w:rFonts w:hAnsi="Arial" w:hint="default"/>
          <w:rtl w:val="0"/>
          <w:lang w:val="en-US"/>
        </w:rPr>
        <w:t xml:space="preserve">” </w:t>
      </w:r>
      <w:r>
        <w:rPr>
          <w:rtl w:val="0"/>
          <w:lang w:val="en-US"/>
        </w:rPr>
        <w:t>for Word 2007.</w:t>
      </w:r>
    </w:p>
    <w:p>
      <w:pPr>
        <w:pStyle w:val="Body"/>
        <w:spacing w:before="120" w:after="120" w:line="276" w:lineRule="auto"/>
        <w:jc w:val="both"/>
        <w:rPr>
          <w:b w:val="1"/>
          <w:bCs w:val="1"/>
          <w:i w:val="1"/>
          <w:iCs w:val="1"/>
          <w:color w:val="000000"/>
          <w:u w:color="000000"/>
        </w:rPr>
      </w:pPr>
    </w:p>
    <w:p>
      <w:pPr>
        <w:pStyle w:val="Body"/>
        <w:spacing w:before="120" w:after="120" w:line="276" w:lineRule="auto"/>
        <w:jc w:val="both"/>
        <w:rPr>
          <w:b w:val="1"/>
          <w:bCs w:val="1"/>
          <w:i w:val="1"/>
          <w:iCs w:val="1"/>
          <w:color w:val="000000"/>
          <w:u w:color="000000"/>
        </w:rPr>
      </w:pPr>
      <w:r>
        <w:rPr>
          <w:b w:val="1"/>
          <w:bCs w:val="1"/>
          <w:i w:val="1"/>
          <w:iCs w:val="1"/>
          <w:color w:val="000000"/>
          <w:u w:color="000000"/>
          <w:rtl w:val="0"/>
          <w:lang w:val="en-US"/>
        </w:rPr>
        <w:t>Deadline</w:t>
      </w:r>
    </w:p>
    <w:p>
      <w:pPr>
        <w:pStyle w:val="04_Body Text"/>
        <w:spacing w:before="120" w:after="120"/>
      </w:pPr>
      <w:r>
        <w:rPr>
          <w:rtl w:val="0"/>
          <w:lang w:val="en-US"/>
        </w:rPr>
        <w:t>Responses must reach us by 31 March 2016</w:t>
      </w:r>
      <w:r>
        <w:rPr>
          <w:b w:val="1"/>
          <w:bCs w:val="1"/>
          <w:rtl w:val="0"/>
          <w:lang w:val="en-US"/>
        </w:rPr>
        <w:t>.</w:t>
      </w:r>
    </w:p>
    <w:p>
      <w:pPr>
        <w:pStyle w:val="04_Body Text"/>
        <w:spacing w:before="120" w:after="120"/>
      </w:pPr>
      <w:r>
        <w:rPr>
          <w:rtl w:val="0"/>
          <w:lang w:val="en-US"/>
        </w:rPr>
        <w:t xml:space="preserve">All contributions should be submitted online at </w:t>
      </w:r>
      <w:hyperlink r:id="rId8" w:history="1">
        <w:r>
          <w:rPr>
            <w:rStyle w:val="Hyperlink.0"/>
            <w:rtl w:val="0"/>
            <w:lang w:val="en-US"/>
          </w:rPr>
          <w:t>www.esma.europa.eu</w:t>
        </w:r>
      </w:hyperlink>
      <w:r>
        <w:rPr>
          <w:rtl w:val="0"/>
          <w:lang w:val="en-US"/>
        </w:rPr>
        <w:t xml:space="preserve"> under the heading </w:t>
      </w:r>
      <w:r>
        <w:rPr>
          <w:rFonts w:hAnsi="Arial" w:hint="default"/>
          <w:rtl w:val="0"/>
          <w:lang w:val="en-US"/>
        </w:rPr>
        <w:t>‘</w:t>
      </w:r>
      <w:r>
        <w:rPr>
          <w:rtl w:val="0"/>
          <w:lang w:val="en-US"/>
        </w:rPr>
        <w:t>Your input/Consultations</w:t>
      </w:r>
      <w:r>
        <w:rPr>
          <w:rFonts w:hAnsi="Arial" w:hint="default"/>
          <w:rtl w:val="0"/>
          <w:lang w:val="en-US"/>
        </w:rPr>
        <w:t>’</w:t>
      </w:r>
      <w:r>
        <w:rPr>
          <w:rtl w:val="0"/>
          <w:lang w:val="en-US"/>
        </w:rPr>
        <w:t xml:space="preserve">. </w:t>
      </w:r>
    </w:p>
    <w:p>
      <w:pPr>
        <w:pStyle w:val="Body"/>
        <w:spacing w:before="120" w:after="120" w:line="276" w:lineRule="auto"/>
        <w:jc w:val="both"/>
        <w:rPr>
          <w:b w:val="1"/>
          <w:bCs w:val="1"/>
          <w:i w:val="1"/>
          <w:iCs w:val="1"/>
          <w:color w:val="000000"/>
          <w:u w:color="000000"/>
        </w:rPr>
      </w:pPr>
    </w:p>
    <w:p>
      <w:pPr>
        <w:pStyle w:val="Body"/>
        <w:spacing w:before="120" w:after="120" w:line="276" w:lineRule="auto"/>
        <w:jc w:val="both"/>
        <w:rPr>
          <w:b w:val="1"/>
          <w:bCs w:val="1"/>
          <w:i w:val="1"/>
          <w:iCs w:val="1"/>
          <w:color w:val="000000"/>
          <w:u w:color="000000"/>
        </w:rPr>
      </w:pPr>
      <w:r>
        <w:rPr>
          <w:b w:val="1"/>
          <w:bCs w:val="1"/>
          <w:i w:val="1"/>
          <w:iCs w:val="1"/>
          <w:color w:val="000000"/>
          <w:u w:color="000000"/>
          <w:rtl w:val="0"/>
          <w:lang w:val="en-US"/>
        </w:rPr>
        <w:t>Publication of responses</w:t>
      </w:r>
    </w:p>
    <w:p>
      <w:pPr>
        <w:pStyle w:val="04_Body Text"/>
        <w:spacing w:before="120" w:after="120"/>
      </w:pPr>
      <w:r>
        <w:rPr>
          <w:rtl w:val="0"/>
          <w:lang w:val="en-US"/>
        </w:rPr>
        <w:t xml:space="preserve">All contributions received will be published following the end of the consultation period, unless otherwise requested. </w:t>
      </w:r>
      <w:r>
        <w:rPr>
          <w:b w:val="1"/>
          <w:bCs w:val="1"/>
          <w:rtl w:val="0"/>
          <w:lang w:val="en-US"/>
        </w:rPr>
        <w:t>Please clearly indicate by ticking the appropriate checkbox in the website submission form if you do not wish your contribution to be publicly disclosed. A standard confidentiality statement in an email message will not be treated as a request for non-disclosure.</w:t>
      </w:r>
      <w:r>
        <w:rPr>
          <w:rtl w:val="0"/>
          <w:lang w:val="en-US"/>
        </w:rPr>
        <w:t xml:space="preserve"> Note also that a confidential response may be requested from us in accordance with ESMA</w:t>
      </w:r>
      <w:r>
        <w:rPr>
          <w:rFonts w:hAnsi="Arial" w:hint="default"/>
          <w:rtl w:val="0"/>
          <w:lang w:val="en-US"/>
        </w:rPr>
        <w:t>’</w:t>
      </w:r>
      <w:r>
        <w:rPr>
          <w:rtl w:val="0"/>
          <w:lang w:val="en-US"/>
        </w:rPr>
        <w:t>s rules on access to documents. We may consult you if we receive such a request. Any decision we make is reviewable by ESMA</w:t>
      </w:r>
      <w:r>
        <w:rPr>
          <w:rFonts w:hAnsi="Arial" w:hint="default"/>
          <w:rtl w:val="0"/>
          <w:lang w:val="en-US"/>
        </w:rPr>
        <w:t>’</w:t>
      </w:r>
      <w:r>
        <w:rPr>
          <w:rtl w:val="0"/>
          <w:lang w:val="en-US"/>
        </w:rPr>
        <w:t>s Board of Appeal and the European Ombudsman.</w:t>
      </w:r>
    </w:p>
    <w:p>
      <w:pPr>
        <w:pStyle w:val="Body"/>
        <w:spacing w:before="120" w:after="120" w:line="276" w:lineRule="auto"/>
        <w:jc w:val="both"/>
        <w:rPr>
          <w:b w:val="1"/>
          <w:bCs w:val="1"/>
          <w:i w:val="1"/>
          <w:iCs w:val="1"/>
          <w:color w:val="000000"/>
          <w:u w:color="000000"/>
        </w:rPr>
      </w:pPr>
    </w:p>
    <w:p>
      <w:pPr>
        <w:pStyle w:val="Body"/>
        <w:spacing w:before="120" w:after="120" w:line="276" w:lineRule="auto"/>
        <w:jc w:val="both"/>
        <w:rPr>
          <w:b w:val="1"/>
          <w:bCs w:val="1"/>
          <w:i w:val="1"/>
          <w:iCs w:val="1"/>
          <w:color w:val="000000"/>
          <w:u w:color="000000"/>
        </w:rPr>
      </w:pPr>
      <w:r>
        <w:rPr>
          <w:b w:val="1"/>
          <w:bCs w:val="1"/>
          <w:i w:val="1"/>
          <w:iCs w:val="1"/>
          <w:color w:val="000000"/>
          <w:u w:color="000000"/>
          <w:rtl w:val="0"/>
          <w:lang w:val="en-US"/>
        </w:rPr>
        <w:t>Data protection</w:t>
      </w:r>
    </w:p>
    <w:p>
      <w:pPr>
        <w:pStyle w:val="Body"/>
        <w:spacing w:before="120" w:after="120" w:line="276" w:lineRule="auto"/>
        <w:jc w:val="both"/>
      </w:pPr>
      <w:r>
        <w:rPr>
          <w:rtl w:val="0"/>
          <w:lang w:val="en-US"/>
        </w:rPr>
        <w:t xml:space="preserve">Information on data protection can be found at </w:t>
      </w:r>
      <w:hyperlink r:id="rId9" w:history="1">
        <w:r>
          <w:rPr>
            <w:rStyle w:val="Hyperlink.0"/>
            <w:rtl w:val="0"/>
          </w:rPr>
          <w:t>www.esma.europa.eu</w:t>
        </w:r>
      </w:hyperlink>
      <w:r>
        <w:rPr>
          <w:rtl w:val="0"/>
          <w:lang w:val="en-US"/>
        </w:rPr>
        <w:t xml:space="preserve"> under the headings </w:t>
      </w:r>
      <w:r>
        <w:rPr>
          <w:rtl w:val="0"/>
        </w:rPr>
        <w:t>‘</w:t>
      </w:r>
      <w:r>
        <w:rPr>
          <w:rtl w:val="0"/>
        </w:rPr>
        <w:t>Legal notice</w:t>
      </w:r>
      <w:r>
        <w:rPr>
          <w:rtl w:val="0"/>
          <w:lang w:val="fr-FR"/>
        </w:rPr>
        <w:t xml:space="preserve">’ </w:t>
      </w:r>
      <w:r>
        <w:rPr>
          <w:rtl w:val="0"/>
          <w:lang w:val="en-US"/>
        </w:rPr>
        <w:t xml:space="preserve">and </w:t>
      </w:r>
      <w:r>
        <w:rPr>
          <w:rtl w:val="0"/>
        </w:rPr>
        <w:t>‘</w:t>
      </w:r>
      <w:r>
        <w:rPr>
          <w:rtl w:val="0"/>
          <w:lang w:val="en-US"/>
        </w:rPr>
        <w:t>Data protection</w:t>
      </w:r>
      <w:r>
        <w:rPr>
          <w:rtl w:val="0"/>
          <w:lang w:val="fr-FR"/>
        </w:rPr>
        <w:t>’</w:t>
      </w:r>
      <w:r>
        <w:rPr>
          <w:rtl w:val="0"/>
        </w:rPr>
        <w:t>.</w:t>
      </w:r>
    </w:p>
    <w:p>
      <w:pPr>
        <w:pStyle w:val="Body"/>
        <w:spacing w:before="120" w:after="120" w:line="276" w:lineRule="auto"/>
        <w:jc w:val="both"/>
      </w:pPr>
    </w:p>
    <w:p>
      <w:pPr>
        <w:pStyle w:val="Body"/>
      </w:pPr>
      <w:r>
        <w:rPr>
          <w:rtl w:val="0"/>
        </w:rPr>
        <w:br w:type="page"/>
      </w:r>
    </w:p>
    <w:p>
      <w:pPr>
        <w:pStyle w:val="Body"/>
        <w:rPr>
          <w:b w:val="1"/>
          <w:bCs w:val="1"/>
          <w:kern w:val="32"/>
          <w:sz w:val="24"/>
          <w:szCs w:val="24"/>
        </w:rPr>
      </w:pPr>
    </w:p>
    <w:p>
      <w:pPr>
        <w:pStyle w:val="Heading"/>
        <w:ind w:left="431" w:hanging="431"/>
        <w:rPr>
          <w:rtl w:val="0"/>
        </w:rPr>
      </w:pPr>
      <w:r>
        <w:rPr>
          <w:rtl w:val="0"/>
          <w:lang w:val="fr-FR"/>
        </w:rPr>
        <w:t>Introduction</w:t>
      </w:r>
    </w:p>
    <w:p>
      <w:pPr>
        <w:pStyle w:val="Body"/>
        <w:rPr>
          <w:b w:val="1"/>
          <w:bCs w:val="1"/>
          <w:i w:val="1"/>
          <w:iCs w:val="1"/>
        </w:rPr>
      </w:pPr>
      <w:r>
        <w:rPr>
          <w:rFonts w:ascii="Arial" w:cs="Arial Unicode MS" w:hAnsi="Arial Unicode MS" w:eastAsia="Arial Unicode MS"/>
          <w:b w:val="1"/>
          <w:bCs w:val="1"/>
          <w:i w:val="1"/>
          <w:iCs w:val="1"/>
          <w:rtl w:val="0"/>
          <w:lang w:val="en-US"/>
        </w:rPr>
        <w:t>Please make your introductory comments below, if any:</w:t>
      </w:r>
    </w:p>
    <w:p>
      <w:pPr>
        <w:pStyle w:val="Body"/>
        <w:rPr>
          <w:b w:val="1"/>
          <w:bCs w:val="1"/>
          <w:i w:val="1"/>
          <w:iCs w:val="1"/>
        </w:rPr>
      </w:pPr>
    </w:p>
    <w:p>
      <w:pPr>
        <w:pStyle w:val="Body"/>
        <w:rPr>
          <w:rtl w:val="0"/>
        </w:rPr>
      </w:pPr>
      <w:r>
        <w:rPr>
          <w:rFonts w:ascii="Arial" w:cs="Arial Unicode MS" w:hAnsi="Arial Unicode MS" w:eastAsia="Arial Unicode MS"/>
          <w:rtl w:val="0"/>
        </w:rPr>
        <w:t>&lt;ESMA_COMMENT_ DP_BMR_1&gt;</w:t>
      </w:r>
    </w:p>
    <w:p>
      <w:pPr>
        <w:pStyle w:val="toc 5"/>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jc w:val="both"/>
        <w:rPr>
          <w:rFonts w:ascii="Arial" w:cs="Arial" w:hAnsi="Arial" w:eastAsia="Arial"/>
          <w:sz w:val="22"/>
          <w:szCs w:val="22"/>
          <w:lang w:val="en-US"/>
        </w:rPr>
      </w:pPr>
      <w:r>
        <w:rPr>
          <w:rFonts w:ascii="Arial"/>
          <w:sz w:val="22"/>
          <w:szCs w:val="22"/>
          <w:rtl w:val="0"/>
          <w:lang w:val="en-US"/>
        </w:rPr>
        <w:t xml:space="preserve">Markit is pleased to submit the following comments to ESMA in response to its Discussion Paper on </w:t>
      </w:r>
      <w:r>
        <w:rPr>
          <w:rFonts w:ascii="Arial"/>
          <w:i w:val="1"/>
          <w:iCs w:val="1"/>
          <w:sz w:val="22"/>
          <w:szCs w:val="22"/>
          <w:rtl w:val="0"/>
          <w:lang w:val="en-US"/>
        </w:rPr>
        <w:t>Benchmarks Regulation</w:t>
      </w:r>
      <w:r>
        <w:rPr>
          <w:rFonts w:ascii="Arial"/>
          <w:sz w:val="22"/>
          <w:szCs w:val="22"/>
          <w:rtl w:val="0"/>
          <w:lang w:val="en-US"/>
        </w:rPr>
        <w:t xml:space="preserve"> (the </w:t>
      </w:r>
      <w:r>
        <w:rPr>
          <w:rFonts w:hAnsi="Arial" w:hint="default"/>
          <w:sz w:val="22"/>
          <w:szCs w:val="22"/>
          <w:rtl w:val="0"/>
          <w:lang w:val="en-US"/>
        </w:rPr>
        <w:t>“</w:t>
      </w:r>
      <w:r>
        <w:rPr>
          <w:rFonts w:ascii="Arial"/>
          <w:b w:val="1"/>
          <w:bCs w:val="1"/>
          <w:i w:val="1"/>
          <w:iCs w:val="1"/>
          <w:sz w:val="22"/>
          <w:szCs w:val="22"/>
          <w:rtl w:val="0"/>
          <w:lang w:val="en-US"/>
        </w:rPr>
        <w:t>DP</w:t>
      </w:r>
      <w:r>
        <w:rPr>
          <w:rFonts w:hAnsi="Arial" w:hint="default"/>
          <w:sz w:val="22"/>
          <w:szCs w:val="22"/>
          <w:rtl w:val="0"/>
          <w:lang w:val="en-US"/>
        </w:rPr>
        <w:t>”</w:t>
      </w:r>
      <w:r>
        <w:rPr>
          <w:rFonts w:ascii="Arial"/>
          <w:sz w:val="22"/>
          <w:szCs w:val="22"/>
          <w:rtl w:val="0"/>
          <w:lang w:val="en-US"/>
        </w:rPr>
        <w:t xml:space="preserve">).   </w:t>
      </w:r>
    </w:p>
    <w:p>
      <w:pPr>
        <w:pStyle w:val="toc 5"/>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jc w:val="both"/>
        <w:rPr>
          <w:rFonts w:ascii="Arial" w:cs="Arial" w:hAnsi="Arial" w:eastAsia="Arial"/>
          <w:sz w:val="22"/>
          <w:szCs w:val="22"/>
          <w:lang w:val="en-US"/>
        </w:rPr>
      </w:pPr>
    </w:p>
    <w:p>
      <w:pPr>
        <w:pStyle w:val="toc 5"/>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jc w:val="both"/>
        <w:rPr>
          <w:rFonts w:ascii="Arial" w:cs="Arial" w:hAnsi="Arial" w:eastAsia="Arial"/>
          <w:sz w:val="22"/>
          <w:szCs w:val="22"/>
          <w:lang w:val="en-US"/>
        </w:rPr>
      </w:pPr>
      <w:r>
        <w:rPr>
          <w:rFonts w:ascii="Arial"/>
          <w:sz w:val="22"/>
          <w:szCs w:val="22"/>
          <w:rtl w:val="0"/>
          <w:lang w:val="en-US"/>
        </w:rPr>
        <w:t>Markit</w:t>
      </w:r>
      <w:bookmarkStart w:name="_Ref430873844" w:id="0"/>
      <w:r>
        <w:rPr>
          <w:rFonts w:ascii="Arial" w:cs="Arial" w:hAnsi="Arial" w:eastAsia="Arial"/>
          <w:sz w:val="22"/>
          <w:szCs w:val="22"/>
          <w:vertAlign w:val="superscript"/>
          <w:rtl w:val="0"/>
          <w:lang w:val="en-US"/>
        </w:rPr>
        <w:footnoteReference w:id="1"/>
      </w:r>
      <w:bookmarkEnd w:id="0"/>
      <w:r>
        <w:rPr>
          <w:rFonts w:ascii="Arial"/>
          <w:sz w:val="22"/>
          <w:szCs w:val="22"/>
          <w:rtl w:val="0"/>
          <w:lang w:val="en-US"/>
        </w:rPr>
        <w:t xml:space="preserve"> is a leading global diversified provider of financial information services.</w:t>
      </w:r>
      <w:r>
        <w:rPr>
          <w:rFonts w:ascii="Arial" w:cs="Arial" w:hAnsi="Arial" w:eastAsia="Arial"/>
          <w:sz w:val="22"/>
          <w:szCs w:val="22"/>
          <w:vertAlign w:val="superscript"/>
          <w:rtl w:val="0"/>
          <w:lang w:val="en-US"/>
        </w:rPr>
        <w:footnoteReference w:id="2"/>
      </w:r>
      <w:r>
        <w:rPr>
          <w:rFonts w:ascii="Arial"/>
          <w:sz w:val="22"/>
          <w:szCs w:val="22"/>
          <w:rtl w:val="0"/>
          <w:lang w:val="en-US"/>
        </w:rPr>
        <w:t xml:space="preserve"> Founded in 2003, we employ over 4,000 people in 11 countries and our shares are listed on Nasdaq (ticker: MRKT). Markit has been actively and constructively engaged in the debate about regulatory reform in financial markets, including topics such as the implementation of the G20 commitments for OTC derivatives and the design of a regulatory regime for benchmarks. Over the past years, we have submitted more than 140 comment letters to regulatory authorities around the world and have participated in numerous roundtables. </w:t>
      </w:r>
    </w:p>
    <w:p>
      <w:pPr>
        <w:pStyle w:val="toc 5"/>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jc w:val="both"/>
        <w:rPr>
          <w:rFonts w:ascii="Arial" w:cs="Arial" w:hAnsi="Arial" w:eastAsia="Arial"/>
          <w:sz w:val="22"/>
          <w:szCs w:val="22"/>
          <w:lang w:val="en-US"/>
        </w:rPr>
      </w:pPr>
    </w:p>
    <w:p>
      <w:pPr>
        <w:pStyle w:val="toc 5"/>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jc w:val="both"/>
        <w:rPr>
          <w:rFonts w:ascii="Arial" w:cs="Arial" w:hAnsi="Arial" w:eastAsia="Arial"/>
          <w:b w:val="1"/>
          <w:bCs w:val="1"/>
          <w:sz w:val="22"/>
          <w:szCs w:val="22"/>
          <w:lang w:val="en-US"/>
        </w:rPr>
      </w:pPr>
      <w:r>
        <w:rPr>
          <w:rFonts w:ascii="Arial"/>
          <w:b w:val="1"/>
          <w:bCs w:val="1"/>
          <w:sz w:val="22"/>
          <w:szCs w:val="22"/>
          <w:rtl w:val="0"/>
          <w:lang w:val="en-US"/>
        </w:rPr>
        <w:t xml:space="preserve">Introduction </w:t>
      </w:r>
    </w:p>
    <w:p>
      <w:pPr>
        <w:pStyle w:val="toc 5"/>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jc w:val="both"/>
        <w:rPr>
          <w:rFonts w:ascii="Arial" w:cs="Arial" w:hAnsi="Arial" w:eastAsia="Arial"/>
          <w:sz w:val="22"/>
          <w:szCs w:val="22"/>
          <w:lang w:val="en-US"/>
        </w:rPr>
      </w:pPr>
    </w:p>
    <w:p>
      <w:pPr>
        <w:pStyle w:val="toc 5"/>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jc w:val="both"/>
        <w:rPr>
          <w:rFonts w:ascii="Arial" w:cs="Arial" w:hAnsi="Arial" w:eastAsia="Arial"/>
          <w:sz w:val="22"/>
          <w:szCs w:val="22"/>
          <w:lang w:val="en-US"/>
        </w:rPr>
      </w:pPr>
      <w:r>
        <w:rPr>
          <w:rFonts w:ascii="Arial"/>
          <w:sz w:val="22"/>
          <w:szCs w:val="22"/>
          <w:rtl w:val="0"/>
          <w:lang w:val="en-US"/>
        </w:rPr>
        <w:t>Indices and benchmarks play an important role in enhancing transparency, liquidity and access in financial markets around the globe, they contribute to broadening the base of investable assets in the EU and are a crucial element for the success of the CMU project. We welcome the EU Benchmark Regulation</w:t>
      </w:r>
      <w:r>
        <w:rPr>
          <w:rFonts w:ascii="Arial" w:cs="Arial" w:hAnsi="Arial" w:eastAsia="Arial"/>
          <w:sz w:val="22"/>
          <w:szCs w:val="22"/>
          <w:vertAlign w:val="superscript"/>
          <w:rtl w:val="0"/>
          <w:lang w:val="en-US"/>
        </w:rPr>
        <w:footnoteReference w:id="3"/>
      </w:r>
      <w:r>
        <w:rPr>
          <w:rFonts w:ascii="Arial"/>
          <w:sz w:val="22"/>
          <w:szCs w:val="22"/>
          <w:rtl w:val="0"/>
          <w:lang w:val="en-US"/>
        </w:rPr>
        <w:t xml:space="preserve"> (</w:t>
      </w:r>
      <w:r>
        <w:rPr>
          <w:rFonts w:hAnsi="Arial" w:hint="default"/>
          <w:sz w:val="22"/>
          <w:szCs w:val="22"/>
          <w:rtl w:val="0"/>
          <w:lang w:val="en-US"/>
        </w:rPr>
        <w:t>“</w:t>
      </w:r>
      <w:r>
        <w:rPr>
          <w:rFonts w:ascii="Arial"/>
          <w:b w:val="1"/>
          <w:bCs w:val="1"/>
          <w:i w:val="1"/>
          <w:iCs w:val="1"/>
          <w:sz w:val="22"/>
          <w:szCs w:val="22"/>
          <w:rtl w:val="0"/>
          <w:lang w:val="en-US"/>
        </w:rPr>
        <w:t>the Regulation</w:t>
      </w:r>
      <w:r>
        <w:rPr>
          <w:rFonts w:hAnsi="Arial" w:hint="default"/>
          <w:sz w:val="22"/>
          <w:szCs w:val="22"/>
          <w:rtl w:val="0"/>
          <w:lang w:val="en-US"/>
        </w:rPr>
        <w:t>”</w:t>
      </w:r>
      <w:r>
        <w:rPr>
          <w:rFonts w:ascii="Arial"/>
          <w:sz w:val="22"/>
          <w:szCs w:val="22"/>
          <w:rtl w:val="0"/>
          <w:lang w:val="en-US"/>
        </w:rPr>
        <w:t>) as an important framework to protect investors and restore confidence in benchmarks. In the context of this DP we recommend ESMA ensure that the final rules are in line with the level 1 text and they are proportionate as well as workable so they do not chill innovation in this important sector.</w:t>
      </w:r>
    </w:p>
    <w:p>
      <w:pPr>
        <w:pStyle w:val="toc 5"/>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jc w:val="both"/>
        <w:rPr>
          <w:rFonts w:ascii="Arial" w:cs="Arial" w:hAnsi="Arial" w:eastAsia="Arial"/>
          <w:sz w:val="22"/>
          <w:szCs w:val="22"/>
          <w:lang w:val="en-US"/>
        </w:rPr>
      </w:pPr>
    </w:p>
    <w:p>
      <w:pPr>
        <w:pStyle w:val="toc 5"/>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jc w:val="both"/>
        <w:rPr>
          <w:rFonts w:ascii="Arial" w:cs="Arial" w:hAnsi="Arial" w:eastAsia="Arial"/>
          <w:sz w:val="22"/>
          <w:szCs w:val="22"/>
          <w:lang w:val="en-US"/>
        </w:rPr>
      </w:pPr>
      <w:r>
        <w:rPr>
          <w:rFonts w:ascii="Arial"/>
          <w:sz w:val="22"/>
          <w:szCs w:val="22"/>
          <w:rtl w:val="0"/>
          <w:lang w:val="en-US"/>
        </w:rPr>
        <w:t>Specifically, our main recommendations are:</w:t>
      </w:r>
    </w:p>
    <w:p>
      <w:pPr>
        <w:pStyle w:val="toc 5"/>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jc w:val="both"/>
        <w:rPr>
          <w:rFonts w:ascii="Arial" w:cs="Arial" w:hAnsi="Arial" w:eastAsia="Arial"/>
          <w:sz w:val="22"/>
          <w:szCs w:val="22"/>
          <w:lang w:val="en-US"/>
        </w:rPr>
      </w:pPr>
    </w:p>
    <w:p>
      <w:pPr>
        <w:pStyle w:val="toc 5"/>
        <w:numPr>
          <w:ilvl w:val="0"/>
          <w:numId w:val="13"/>
        </w:numPr>
        <w:pBdr>
          <w:top w:val="nil"/>
          <w:left w:val="nil"/>
          <w:bottom w:val="nil"/>
          <w:right w:val="nil"/>
        </w:pBdr>
        <w:tabs>
          <w:tab w:val="num" w:pos="39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360"/>
        </w:tabs>
        <w:suppressAutoHyphens w:val="1"/>
        <w:bidi w:val="0"/>
        <w:spacing w:after="0" w:line="240" w:lineRule="auto"/>
        <w:ind w:left="393" w:right="0" w:hanging="393"/>
        <w:jc w:val="both"/>
        <w:rPr>
          <w:rFonts w:ascii="Arial" w:cs="Arial" w:hAnsi="Arial" w:eastAsia="Arial"/>
          <w:position w:val="0"/>
          <w:sz w:val="24"/>
          <w:szCs w:val="24"/>
          <w:rtl w:val="0"/>
          <w:lang w:val="en-US"/>
        </w:rPr>
      </w:pPr>
      <w:r>
        <w:rPr>
          <w:rFonts w:ascii="Arial"/>
          <w:sz w:val="22"/>
          <w:szCs w:val="22"/>
          <w:rtl w:val="0"/>
          <w:lang w:val="en-US"/>
        </w:rPr>
        <w:t xml:space="preserve">In its determinations in relation to the scope of the Regulation, ESMA should be guided by the significance of conflicts of interest and the potential for investor detriment. Specifically, the term </w:t>
      </w:r>
      <w:r>
        <w:rPr>
          <w:rFonts w:hAnsi="Arial" w:hint="default"/>
          <w:sz w:val="22"/>
          <w:szCs w:val="22"/>
          <w:rtl w:val="0"/>
          <w:lang w:val="en-US"/>
        </w:rPr>
        <w:t>“</w:t>
      </w:r>
      <w:r>
        <w:rPr>
          <w:rFonts w:ascii="Arial"/>
          <w:sz w:val="22"/>
          <w:szCs w:val="22"/>
          <w:rtl w:val="0"/>
          <w:lang w:val="en-US"/>
        </w:rPr>
        <w:t>published or made available to the public</w:t>
      </w:r>
      <w:r>
        <w:rPr>
          <w:rFonts w:hAnsi="Arial" w:hint="default"/>
          <w:sz w:val="22"/>
          <w:szCs w:val="22"/>
          <w:rtl w:val="0"/>
          <w:lang w:val="en-US"/>
        </w:rPr>
        <w:t xml:space="preserve">” </w:t>
      </w:r>
      <w:r>
        <w:rPr>
          <w:rFonts w:ascii="Arial"/>
          <w:sz w:val="22"/>
          <w:szCs w:val="22"/>
          <w:rtl w:val="0"/>
          <w:lang w:val="en-US"/>
        </w:rPr>
        <w:t xml:space="preserve">as part of the definition of benchmark should be understood to mean any distribution of the benchmark to one or more external parties. Anything narrower would fail to address potential conflicts of interest and open opportunities for regulatory arbitrage. Similarly, where a firm combines benchmarks, it should be deemed an </w:t>
      </w:r>
      <w:r>
        <w:rPr>
          <w:rFonts w:hAnsi="Arial" w:hint="default"/>
          <w:sz w:val="22"/>
          <w:szCs w:val="22"/>
          <w:rtl w:val="0"/>
          <w:lang w:val="en-US"/>
        </w:rPr>
        <w:t>“</w:t>
      </w:r>
      <w:r>
        <w:rPr>
          <w:rFonts w:ascii="Arial"/>
          <w:sz w:val="22"/>
          <w:szCs w:val="22"/>
          <w:rtl w:val="0"/>
          <w:lang w:val="en-US"/>
        </w:rPr>
        <w:t>administrator</w:t>
      </w:r>
      <w:r>
        <w:rPr>
          <w:rFonts w:hAnsi="Arial" w:hint="default"/>
          <w:sz w:val="22"/>
          <w:szCs w:val="22"/>
          <w:rtl w:val="0"/>
          <w:lang w:val="en-US"/>
        </w:rPr>
        <w:t xml:space="preserve">” </w:t>
      </w:r>
      <w:r>
        <w:rPr>
          <w:rFonts w:ascii="Arial"/>
          <w:sz w:val="22"/>
          <w:szCs w:val="22"/>
          <w:rtl w:val="0"/>
          <w:lang w:val="en-US"/>
        </w:rPr>
        <w:t xml:space="preserve">where discretion is involved and/or significant conflicts exist. </w:t>
      </w:r>
    </w:p>
    <w:p>
      <w:pPr>
        <w:pStyle w:val="toc 5"/>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jc w:val="both"/>
        <w:rPr>
          <w:rFonts w:ascii="Arial" w:cs="Arial" w:hAnsi="Arial" w:eastAsia="Arial"/>
          <w:sz w:val="22"/>
          <w:szCs w:val="22"/>
          <w:lang w:val="en-US"/>
        </w:rPr>
      </w:pPr>
    </w:p>
    <w:p>
      <w:pPr>
        <w:pStyle w:val="toc 5"/>
        <w:numPr>
          <w:ilvl w:val="0"/>
          <w:numId w:val="14"/>
        </w:numPr>
        <w:pBdr>
          <w:top w:val="nil"/>
          <w:left w:val="nil"/>
          <w:bottom w:val="nil"/>
          <w:right w:val="nil"/>
        </w:pBdr>
        <w:tabs>
          <w:tab w:val="num" w:pos="39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360"/>
        </w:tabs>
        <w:suppressAutoHyphens w:val="1"/>
        <w:bidi w:val="0"/>
        <w:spacing w:after="0" w:line="240" w:lineRule="auto"/>
        <w:ind w:left="393" w:right="0" w:hanging="393"/>
        <w:jc w:val="both"/>
        <w:rPr>
          <w:rFonts w:ascii="Arial" w:cs="Arial" w:hAnsi="Arial" w:eastAsia="Arial"/>
          <w:position w:val="0"/>
          <w:sz w:val="24"/>
          <w:szCs w:val="24"/>
          <w:rtl w:val="0"/>
          <w:lang w:val="en-US"/>
        </w:rPr>
      </w:pPr>
      <w:r>
        <w:rPr>
          <w:rFonts w:ascii="Arial"/>
          <w:sz w:val="22"/>
          <w:szCs w:val="22"/>
          <w:rtl w:val="0"/>
          <w:lang w:val="en-US"/>
        </w:rPr>
        <w:t>The inherent conflicts in the provision and use of benchmarks can be effectively mitigated through independent oversight or administration. In this case, the party which controls the methodology for a benchmark and the administrator will be separate from the benchmark owner or user. We believe that this approach has been contemplated in the IOSCO Principles for Financial Benchmarks and recommend ESMA explicitly recognise it as a best practice approach to mitigating conflicts of interest and as an alternative to divestiture of benchmarks by providers who lack the necessary controls.</w:t>
      </w:r>
    </w:p>
    <w:p>
      <w:pPr>
        <w:pStyle w:val="toc 5"/>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spacing w:after="0" w:line="240" w:lineRule="auto"/>
        <w:ind w:left="0" w:firstLine="0"/>
        <w:jc w:val="both"/>
        <w:rPr>
          <w:rFonts w:ascii="Arial" w:cs="Arial" w:hAnsi="Arial" w:eastAsia="Arial"/>
          <w:sz w:val="22"/>
          <w:szCs w:val="22"/>
          <w:lang w:val="en-US"/>
        </w:rPr>
      </w:pPr>
    </w:p>
    <w:p>
      <w:pPr>
        <w:pStyle w:val="toc 5"/>
        <w:numPr>
          <w:ilvl w:val="0"/>
          <w:numId w:val="15"/>
        </w:numPr>
        <w:pBdr>
          <w:top w:val="nil"/>
          <w:left w:val="nil"/>
          <w:bottom w:val="nil"/>
          <w:right w:val="nil"/>
        </w:pBdr>
        <w:tabs>
          <w:tab w:val="num" w:pos="39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360"/>
        </w:tabs>
        <w:suppressAutoHyphens w:val="1"/>
        <w:bidi w:val="0"/>
        <w:spacing w:after="0" w:line="240" w:lineRule="auto"/>
        <w:ind w:left="393" w:right="0" w:hanging="393"/>
        <w:jc w:val="both"/>
        <w:rPr>
          <w:rFonts w:ascii="Arial" w:cs="Arial" w:hAnsi="Arial" w:eastAsia="Arial"/>
          <w:position w:val="0"/>
          <w:sz w:val="24"/>
          <w:szCs w:val="24"/>
          <w:rtl w:val="0"/>
          <w:lang w:val="en-US"/>
        </w:rPr>
      </w:pPr>
      <w:r>
        <w:rPr>
          <w:rFonts w:ascii="Arial"/>
          <w:sz w:val="22"/>
          <w:szCs w:val="22"/>
          <w:rtl w:val="0"/>
          <w:lang w:val="en-US"/>
        </w:rPr>
        <w:t>We agree that verification of submissions to benchmarks should take place where possible and appropriate. However, this will be best achieved by ensuring benchmark administrators can request the relevant information used to generate a submission from contributors when they see a need, rather than requiring them to obtain all of the relevant data supporting all submissions on an ongoing basis which would create significant logistical and commercial challenges.</w:t>
      </w:r>
    </w:p>
    <w:p>
      <w:pPr>
        <w:pStyle w:val="List 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lang w:val="en-US"/>
        </w:rPr>
      </w:pPr>
    </w:p>
    <w:p>
      <w:pPr>
        <w:pStyle w:val="toc 5"/>
        <w:numPr>
          <w:ilvl w:val="0"/>
          <w:numId w:val="16"/>
        </w:numPr>
        <w:pBdr>
          <w:top w:val="nil"/>
          <w:left w:val="nil"/>
          <w:bottom w:val="nil"/>
          <w:right w:val="nil"/>
        </w:pBdr>
        <w:tabs>
          <w:tab w:val="num" w:pos="39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360"/>
        </w:tabs>
        <w:suppressAutoHyphens w:val="1"/>
        <w:bidi w:val="0"/>
        <w:spacing w:after="0" w:line="240" w:lineRule="auto"/>
        <w:ind w:left="393" w:right="0" w:hanging="393"/>
        <w:jc w:val="both"/>
        <w:rPr>
          <w:rFonts w:ascii="Arial" w:cs="Arial" w:hAnsi="Arial" w:eastAsia="Arial"/>
          <w:position w:val="0"/>
          <w:sz w:val="24"/>
          <w:szCs w:val="24"/>
          <w:rtl w:val="0"/>
          <w:lang w:val="en-US"/>
        </w:rPr>
      </w:pPr>
      <w:r>
        <w:rPr>
          <w:rFonts w:ascii="Arial"/>
          <w:sz w:val="22"/>
          <w:szCs w:val="22"/>
          <w:rtl w:val="0"/>
          <w:lang w:val="en-US"/>
        </w:rPr>
        <w:t>ESMA should recognise that measuring the notional amount referenced to benchmarks will be challenging and requirements on benchmark administrators will need to reflect their ability to collect the data. When benchmarks are used to determine the performance of an investment fund, they should be fully in scope of the regulation</w:t>
      </w:r>
      <w:r>
        <w:rPr>
          <w:rFonts w:ascii="Arial"/>
          <w:color w:val="000000"/>
          <w:sz w:val="22"/>
          <w:szCs w:val="22"/>
          <w:u w:color="000000"/>
          <w:rtl w:val="0"/>
          <w:lang w:val="en-US"/>
        </w:rPr>
        <w:t xml:space="preserve"> to ensure adequate protection of investors. H</w:t>
      </w:r>
      <w:r>
        <w:rPr>
          <w:rFonts w:ascii="Arial"/>
          <w:sz w:val="22"/>
          <w:szCs w:val="22"/>
          <w:rtl w:val="0"/>
          <w:lang w:val="en-US"/>
        </w:rPr>
        <w:t xml:space="preserve">owever, </w:t>
      </w:r>
      <w:r>
        <w:rPr>
          <w:rFonts w:ascii="Arial"/>
          <w:color w:val="000000"/>
          <w:sz w:val="22"/>
          <w:szCs w:val="22"/>
          <w:u w:color="000000"/>
          <w:rtl w:val="0"/>
          <w:lang w:val="en-US"/>
        </w:rPr>
        <w:t>to the extent a benchmark is used to provide only a relative measure of performance and has in itself no impact on the value of the fund the relevant notional should not count towards whether it is considered critical or significant</w:t>
      </w:r>
    </w:p>
    <w:p>
      <w:pPr>
        <w:pStyle w:val="Body"/>
        <w:rPr>
          <w:rtl w:val="0"/>
        </w:rPr>
      </w:pPr>
      <w:r>
        <w:rPr>
          <w:rFonts w:ascii="Arial" w:cs="Arial Unicode MS" w:hAnsi="Arial Unicode MS" w:eastAsia="Arial Unicode MS"/>
          <w:rtl w:val="0"/>
        </w:rPr>
        <w:t>&lt;ESMA_COMMENT_ DP_BMR_1&gt;</w:t>
      </w:r>
    </w:p>
    <w:p>
      <w:pPr>
        <w:pStyle w:val="Body"/>
        <w:rPr>
          <w:rtl w:val="0"/>
        </w:rPr>
      </w:pPr>
    </w:p>
    <w:p>
      <w:pPr>
        <w:pStyle w:val="Question style"/>
      </w:pPr>
      <w:r>
        <w:rPr>
          <w:rtl w:val="0"/>
        </w:rPr>
        <w:br w:type="page"/>
      </w:r>
    </w:p>
    <w:p>
      <w:pPr>
        <w:pStyle w:val="Question style"/>
        <w:numPr>
          <w:ilvl w:val="0"/>
          <w:numId w:val="19"/>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that an index</w:t>
      </w:r>
      <w:r>
        <w:rPr>
          <w:rFonts w:ascii="Calibri" w:cs="Calibri" w:hAnsi="Calibri" w:eastAsia="Calibri"/>
          <w:rtl w:val="0"/>
          <w:lang w:val="en-US"/>
        </w:rPr>
        <w:t>’</w:t>
      </w:r>
      <w:r>
        <w:rPr>
          <w:rFonts w:ascii="Calibri" w:cs="Calibri" w:hAnsi="Calibri" w:eastAsia="Calibri"/>
          <w:rtl w:val="0"/>
          <w:lang w:val="en-US"/>
        </w:rPr>
        <w:t xml:space="preserve">s characteristic of being </w:t>
      </w:r>
      <w:r>
        <w:rPr>
          <w:rFonts w:ascii="Calibri" w:cs="Calibri" w:hAnsi="Calibri" w:eastAsia="Calibri"/>
          <w:rtl w:val="0"/>
          <w:lang w:val="en-US"/>
        </w:rPr>
        <w:t>“</w:t>
      </w:r>
      <w:r>
        <w:rPr>
          <w:rFonts w:ascii="Calibri" w:cs="Calibri" w:hAnsi="Calibri" w:eastAsia="Calibri"/>
          <w:rtl w:val="0"/>
          <w:lang w:val="en-US"/>
        </w:rPr>
        <w:t>made available to the public</w:t>
      </w:r>
      <w:r>
        <w:rPr>
          <w:rFonts w:ascii="Calibri" w:cs="Calibri" w:hAnsi="Calibri" w:eastAsia="Calibri"/>
          <w:rtl w:val="0"/>
          <w:lang w:val="en-US"/>
        </w:rPr>
        <w:t xml:space="preserve">” </w:t>
      </w:r>
      <w:r>
        <w:rPr>
          <w:rFonts w:ascii="Calibri" w:cs="Calibri" w:hAnsi="Calibri" w:eastAsia="Calibri"/>
          <w:rtl w:val="0"/>
          <w:lang w:val="en-US"/>
        </w:rPr>
        <w:t>should be defined in an open manner, possibly reflecting the current channels and modalities of publication of existing benchmarks, in order not to unduly restrict the number of benchmarks in scope?</w:t>
      </w:r>
    </w:p>
    <w:p>
      <w:pPr>
        <w:pStyle w:val="Body"/>
        <w:rPr>
          <w:rtl w:val="0"/>
        </w:rPr>
      </w:pPr>
      <w:r>
        <w:rPr>
          <w:rFonts w:ascii="Arial" w:cs="Arial Unicode MS" w:hAnsi="Arial Unicode MS" w:eastAsia="Arial Unicode MS"/>
          <w:rtl w:val="0"/>
        </w:rPr>
        <w:t>&lt;ESMA_QUESTION_DP_BMR_1&gt;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 xml:space="preserve">The Regulation applies to Benchmarks that rely on an index that is </w:t>
      </w:r>
      <w:r>
        <w:rPr>
          <w:rFonts w:hAnsi="Arial" w:hint="default"/>
          <w:sz w:val="22"/>
          <w:szCs w:val="22"/>
          <w:rtl w:val="0"/>
          <w:lang w:val="en-US"/>
        </w:rPr>
        <w:t>“</w:t>
      </w:r>
      <w:r>
        <w:rPr>
          <w:rFonts w:ascii="Arial"/>
          <w:sz w:val="22"/>
          <w:szCs w:val="22"/>
          <w:rtl w:val="0"/>
          <w:lang w:val="en-US"/>
        </w:rPr>
        <w:t>published or made available to the public</w:t>
      </w:r>
      <w:r>
        <w:rPr>
          <w:rFonts w:hAnsi="Arial" w:hint="default"/>
          <w:sz w:val="22"/>
          <w:szCs w:val="22"/>
          <w:rtl w:val="0"/>
          <w:lang w:val="en-US"/>
        </w:rPr>
        <w:t>”</w:t>
      </w:r>
      <w:r>
        <w:rPr>
          <w:rFonts w:ascii="Arial"/>
          <w:sz w:val="22"/>
          <w:szCs w:val="22"/>
          <w:rtl w:val="0"/>
        </w:rPr>
        <w:t>.</w:t>
      </w:r>
      <w:r>
        <w:rPr>
          <w:rFonts w:ascii="Arial" w:cs="Arial" w:hAnsi="Arial" w:eastAsia="Arial"/>
          <w:sz w:val="22"/>
          <w:szCs w:val="22"/>
          <w:vertAlign w:val="superscript"/>
          <w:rtl w:val="0"/>
        </w:rPr>
        <w:footnoteReference w:id="4"/>
      </w:r>
      <w:r>
        <w:rPr>
          <w:rFonts w:ascii="Arial"/>
          <w:sz w:val="22"/>
          <w:szCs w:val="22"/>
          <w:rtl w:val="0"/>
          <w:lang w:val="en-US"/>
        </w:rPr>
        <w:t xml:space="preserve"> We agree with ESMA that </w:t>
      </w:r>
      <w:r>
        <w:rPr>
          <w:rFonts w:hAnsi="Arial" w:hint="default"/>
          <w:sz w:val="22"/>
          <w:szCs w:val="22"/>
          <w:rtl w:val="0"/>
          <w:lang w:val="en-US"/>
        </w:rPr>
        <w:t>“</w:t>
      </w:r>
      <w:r>
        <w:rPr>
          <w:rFonts w:ascii="Arial"/>
          <w:sz w:val="22"/>
          <w:szCs w:val="22"/>
          <w:rtl w:val="0"/>
          <w:lang w:val="en-US"/>
        </w:rPr>
        <w:t>made available to the public</w:t>
      </w:r>
      <w:r>
        <w:rPr>
          <w:rFonts w:hAnsi="Arial" w:hint="default"/>
          <w:sz w:val="22"/>
          <w:szCs w:val="22"/>
          <w:rtl w:val="0"/>
          <w:lang w:val="en-US"/>
        </w:rPr>
        <w:t xml:space="preserve">” </w:t>
      </w:r>
      <w:r>
        <w:rPr>
          <w:rFonts w:ascii="Arial"/>
          <w:sz w:val="22"/>
          <w:szCs w:val="22"/>
          <w:rtl w:val="0"/>
          <w:lang w:val="en-US"/>
        </w:rPr>
        <w:t>ought to be defined in an open manner, also because the level 1 text made it very clear that the Regulation should be as broad as necessary to mitigate conflicts of interest and potential investor detriment.</w:t>
      </w:r>
      <w:r>
        <w:rPr>
          <w:rFonts w:ascii="Arial" w:cs="Arial" w:hAnsi="Arial" w:eastAsia="Arial"/>
          <w:sz w:val="22"/>
          <w:szCs w:val="22"/>
          <w:vertAlign w:val="superscript"/>
          <w:rtl w:val="0"/>
        </w:rPr>
        <w:footnoteReference w:id="5"/>
      </w:r>
      <w:r>
        <w:rPr>
          <w:rFonts w:ascii="Arial"/>
          <w:sz w:val="22"/>
          <w:szCs w:val="22"/>
          <w:rtl w:val="0"/>
        </w:rPr>
        <w:t xml:space="preserve">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 xml:space="preserve">We understand that the original intention for the Regulation to apply only to indices that were </w:t>
      </w:r>
      <w:r>
        <w:rPr>
          <w:rFonts w:hAnsi="Arial" w:hint="default"/>
          <w:sz w:val="22"/>
          <w:szCs w:val="22"/>
          <w:rtl w:val="0"/>
          <w:lang w:val="en-US"/>
        </w:rPr>
        <w:t>“</w:t>
      </w:r>
      <w:r>
        <w:rPr>
          <w:rFonts w:ascii="Arial"/>
          <w:sz w:val="22"/>
          <w:szCs w:val="22"/>
          <w:rtl w:val="0"/>
          <w:lang w:val="en-US"/>
        </w:rPr>
        <w:t>made available to the public</w:t>
      </w:r>
      <w:r>
        <w:rPr>
          <w:rFonts w:hAnsi="Arial" w:hint="default"/>
          <w:sz w:val="22"/>
          <w:szCs w:val="22"/>
          <w:rtl w:val="0"/>
          <w:lang w:val="en-US"/>
        </w:rPr>
        <w:t>”</w:t>
      </w:r>
      <w:r>
        <w:rPr>
          <w:rFonts w:ascii="Arial"/>
          <w:sz w:val="22"/>
          <w:szCs w:val="22"/>
          <w:rtl w:val="0"/>
          <w:lang w:val="en-US"/>
        </w:rPr>
        <w:t xml:space="preserve"> was to ensure that indices that were produced solely for the use of in house research would not be captured, rather than generally limit the scope of the Regulation to only indices with broad publication. In this determination ESMA should therefore be guided by when potential conflicts of interest exist in the administration of the benchmark and ensure that all such cases are brought into the scope of the Regulation. It will be important that administrators cannot place themselves outside the Regulation by simply restricting the distribution of their indices in some manner (for example by limiting the number of users, by imposing a fee for access to the benchmark, or by disseminating indices via a password protected website). While any setting of a specific number of recipients would open up opportunities for such regulatory arbitrage, ESMA should also consider that, even where an index is distributed to a single asset manager, the risk of it not being administered appropriately could impact a large number of its investors.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Times New Roman" w:cs="Times New Roman" w:hAnsi="Times New Roman" w:eastAsia="Times New Roman"/>
          <w:sz w:val="24"/>
          <w:szCs w:val="24"/>
        </w:rPr>
      </w:pPr>
      <w:r>
        <w:rPr>
          <w:rFonts w:ascii="Arial"/>
          <w:sz w:val="22"/>
          <w:szCs w:val="22"/>
          <w:rtl w:val="0"/>
          <w:lang w:val="en-US"/>
        </w:rPr>
        <w:t xml:space="preserve">The final rules should therefore not create any artificial boundaries (for example, by specifying a certain minimum number of recipients or types of subscriptions) in relation to the definition of </w:t>
      </w:r>
      <w:r>
        <w:rPr>
          <w:rFonts w:hAnsi="Arial" w:hint="default"/>
          <w:sz w:val="22"/>
          <w:szCs w:val="22"/>
          <w:rtl w:val="0"/>
          <w:lang w:val="en-US"/>
        </w:rPr>
        <w:t>“</w:t>
      </w:r>
      <w:r>
        <w:rPr>
          <w:rFonts w:ascii="Arial"/>
          <w:sz w:val="22"/>
          <w:szCs w:val="22"/>
          <w:rtl w:val="0"/>
          <w:lang w:val="en-US"/>
        </w:rPr>
        <w:t>made available to the public</w:t>
      </w:r>
      <w:r>
        <w:rPr>
          <w:rFonts w:hAnsi="Arial" w:hint="default"/>
          <w:sz w:val="22"/>
          <w:szCs w:val="22"/>
          <w:rtl w:val="0"/>
          <w:lang w:val="en-US"/>
        </w:rPr>
        <w:t>”</w:t>
      </w:r>
      <w:r>
        <w:rPr>
          <w:rFonts w:ascii="Arial"/>
          <w:sz w:val="22"/>
          <w:szCs w:val="22"/>
          <w:rtl w:val="0"/>
          <w:lang w:val="en-US"/>
        </w:rPr>
        <w:t xml:space="preserve">. We believe the simplest and most effective approach to this issue would be to define </w:t>
      </w:r>
      <w:r>
        <w:rPr>
          <w:rFonts w:hAnsi="Arial" w:hint="default"/>
          <w:sz w:val="22"/>
          <w:szCs w:val="22"/>
          <w:rtl w:val="0"/>
          <w:lang w:val="en-US"/>
        </w:rPr>
        <w:t>“</w:t>
      </w:r>
      <w:r>
        <w:rPr>
          <w:rFonts w:ascii="Arial"/>
          <w:sz w:val="22"/>
          <w:szCs w:val="22"/>
          <w:rtl w:val="0"/>
          <w:lang w:val="en-US"/>
        </w:rPr>
        <w:t>made available to the public</w:t>
      </w:r>
      <w:r>
        <w:rPr>
          <w:rFonts w:hAnsi="Arial" w:hint="default"/>
          <w:sz w:val="22"/>
          <w:szCs w:val="22"/>
          <w:rtl w:val="0"/>
          <w:lang w:val="en-US"/>
        </w:rPr>
        <w:t>”</w:t>
      </w:r>
      <w:r>
        <w:rPr>
          <w:rFonts w:ascii="Arial"/>
          <w:sz w:val="22"/>
          <w:szCs w:val="22"/>
          <w:rtl w:val="0"/>
          <w:lang w:val="en-US"/>
        </w:rPr>
        <w:t xml:space="preserve"> as situations where the administrator makes the index available to one or more external parties. However, to not stifle innovation in the indices and benchmark sector, we recommend ESMA exempt benchmarks from this definition that are disseminated only to a limited number of users on a trial basis or while being under development.</w:t>
      </w:r>
    </w:p>
    <w:p>
      <w:pPr>
        <w:pStyle w:val="Body"/>
        <w:rPr>
          <w:rtl w:val="0"/>
        </w:rPr>
      </w:pPr>
      <w:r>
        <w:rPr>
          <w:rFonts w:ascii="Arial" w:cs="Arial Unicode MS" w:hAnsi="Arial Unicode MS" w:eastAsia="Arial Unicode MS"/>
          <w:rtl w:val="0"/>
        </w:rPr>
        <w:t>&lt;ESMA_QUESTION_DP_BMR_1&gt;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have any proposals on which aspects of the publication process of an index should be considered in order for it to be deemed as having made the index available to the public, for the purpose of the BMR?</w:t>
      </w:r>
    </w:p>
    <w:p>
      <w:pPr>
        <w:pStyle w:val="Body"/>
        <w:rPr>
          <w:rtl w:val="0"/>
        </w:rPr>
      </w:pPr>
      <w:r>
        <w:rPr>
          <w:rFonts w:ascii="Arial" w:cs="Arial Unicode MS" w:hAnsi="Arial Unicode MS" w:eastAsia="Arial Unicode MS"/>
          <w:rtl w:val="0"/>
        </w:rPr>
        <w:t>&lt;ESMA_QUESTION_DP_BMR_2&gt;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 xml:space="preserve">As stated above, we believe the level 1 is clear that </w:t>
      </w:r>
      <w:r>
        <w:rPr>
          <w:rFonts w:hAnsi="Arial" w:hint="default"/>
          <w:sz w:val="22"/>
          <w:szCs w:val="22"/>
          <w:rtl w:val="0"/>
          <w:lang w:val="en-US"/>
        </w:rPr>
        <w:t>“</w:t>
      </w:r>
      <w:r>
        <w:rPr>
          <w:rFonts w:ascii="Arial"/>
          <w:sz w:val="22"/>
          <w:szCs w:val="22"/>
          <w:rtl w:val="0"/>
          <w:lang w:val="en-US"/>
        </w:rPr>
        <w:t>made available to the public</w:t>
      </w:r>
      <w:r>
        <w:rPr>
          <w:rFonts w:hAnsi="Arial" w:hint="default"/>
          <w:sz w:val="22"/>
          <w:szCs w:val="22"/>
          <w:rtl w:val="0"/>
          <w:lang w:val="en-US"/>
        </w:rPr>
        <w:t xml:space="preserve">” </w:t>
      </w:r>
      <w:r>
        <w:rPr>
          <w:rFonts w:ascii="Arial"/>
          <w:sz w:val="22"/>
          <w:szCs w:val="22"/>
          <w:rtl w:val="0"/>
          <w:lang w:val="en-US"/>
        </w:rPr>
        <w:t>ought to be defined in an open manner and the scope of the Regulation should be as broad as necessary to mitigate conflicts of interest and prevent potential investor detriment. The best way to ensure this would be for an index to be deemed as having been made available to public if it is provided to one or more external parties.</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 xml:space="preserve">The Regulation aimed to introduce a common framework to ensure accuracy and integrity of indices used as benchmarks in the interest of consumer and investor protection. To achieve these objectives it should consider that there are risks of detriment applicable to each and every benchmark where ultimately investors can be affected by low standards or conflicts of interest in the administration of the benchmark.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tl w:val="0"/>
        </w:rPr>
      </w:pPr>
      <w:r>
        <w:rPr>
          <w:rFonts w:ascii="Arial"/>
          <w:sz w:val="22"/>
          <w:szCs w:val="22"/>
          <w:rtl w:val="0"/>
        </w:rPr>
        <w:t>ESMA</w:t>
      </w:r>
      <w:r>
        <w:rPr>
          <w:rFonts w:hAnsi="Arial" w:hint="default"/>
          <w:sz w:val="22"/>
          <w:szCs w:val="22"/>
          <w:rtl w:val="0"/>
          <w:lang w:val="en-US"/>
        </w:rPr>
        <w:t>’</w:t>
      </w:r>
      <w:r>
        <w:rPr>
          <w:rFonts w:ascii="Arial"/>
          <w:sz w:val="22"/>
          <w:szCs w:val="22"/>
          <w:rtl w:val="0"/>
          <w:lang w:val="en-US"/>
        </w:rPr>
        <w:t>s proposal to map the currently used publication channels and costs and ease of access and use those as basis for the final rules</w:t>
      </w:r>
      <w:r>
        <w:rPr>
          <w:rFonts w:ascii="Arial" w:cs="Arial" w:hAnsi="Arial" w:eastAsia="Arial"/>
          <w:sz w:val="22"/>
          <w:szCs w:val="22"/>
          <w:vertAlign w:val="superscript"/>
          <w:rtl w:val="0"/>
        </w:rPr>
        <w:footnoteReference w:id="6"/>
      </w:r>
      <w:r>
        <w:rPr>
          <w:rFonts w:ascii="Arial"/>
          <w:sz w:val="22"/>
          <w:szCs w:val="22"/>
          <w:rtl w:val="0"/>
          <w:lang w:val="en-US"/>
        </w:rPr>
        <w:t xml:space="preserve"> therefore seems inconsistent with the need to ensure a broad scope for the Regulation; it might result in creating arbitrary boundaries for the scope of the Regulation and open up the potential for regulatory arbitrage. For example, if by requiring the registration of a user on a webpage to access an index or by distributing it to only a limited number of users an index provider could move a benchmark out of scope of the Regulation, it could easily introduce such restrictions and the Regulation would not succeed in reducing risks or conflict of interest for the investors exposed to this benchmark.</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tl w:val="0"/>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b w:val="1"/>
          <w:bCs w:val="1"/>
          <w:sz w:val="22"/>
          <w:szCs w:val="22"/>
        </w:rPr>
      </w:pPr>
      <w:r>
        <w:rPr>
          <w:rFonts w:ascii="Arial"/>
          <w:b w:val="1"/>
          <w:bCs w:val="1"/>
          <w:sz w:val="22"/>
          <w:szCs w:val="22"/>
          <w:rtl w:val="0"/>
          <w:lang w:val="en-US"/>
        </w:rPr>
        <w:t>Combinations of benchmarks</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 xml:space="preserve">Similarly, ESMA should also carefully consider its approach to determining when combinations of benchmarks should be classified as </w:t>
      </w:r>
      <w:r>
        <w:rPr>
          <w:rFonts w:hAnsi="Arial" w:hint="default"/>
          <w:sz w:val="22"/>
          <w:szCs w:val="22"/>
          <w:rtl w:val="0"/>
          <w:lang w:val="en-US"/>
        </w:rPr>
        <w:t>“</w:t>
      </w:r>
      <w:r>
        <w:rPr>
          <w:rFonts w:ascii="Arial"/>
          <w:sz w:val="22"/>
          <w:szCs w:val="22"/>
          <w:rtl w:val="0"/>
          <w:lang w:val="en-US"/>
        </w:rPr>
        <w:t>use of a benchmark</w:t>
      </w:r>
      <w:r>
        <w:rPr>
          <w:rFonts w:hAnsi="Arial" w:hint="default"/>
          <w:sz w:val="22"/>
          <w:szCs w:val="22"/>
          <w:rtl w:val="0"/>
          <w:lang w:val="en-US"/>
        </w:rPr>
        <w:t>”</w:t>
      </w:r>
      <w:r>
        <w:rPr>
          <w:rFonts w:ascii="Arial"/>
          <w:sz w:val="22"/>
          <w:szCs w:val="22"/>
          <w:rtl w:val="0"/>
          <w:lang w:val="en-US"/>
        </w:rPr>
        <w:t xml:space="preserve">. As set out in Recital 3a, where a user creates a </w:t>
      </w:r>
      <w:r>
        <w:rPr>
          <w:rFonts w:hAnsi="Arial" w:hint="default"/>
          <w:sz w:val="22"/>
          <w:szCs w:val="22"/>
          <w:rtl w:val="0"/>
          <w:lang w:val="en-US"/>
        </w:rPr>
        <w:t>“</w:t>
      </w:r>
      <w:r>
        <w:rPr>
          <w:rFonts w:ascii="Arial"/>
          <w:sz w:val="22"/>
          <w:szCs w:val="22"/>
          <w:rtl w:val="0"/>
          <w:lang w:val="en-US"/>
        </w:rPr>
        <w:t>composite benchmark</w:t>
      </w:r>
      <w:r>
        <w:rPr>
          <w:rFonts w:hAnsi="Arial" w:hint="default"/>
          <w:sz w:val="22"/>
          <w:szCs w:val="22"/>
          <w:rtl w:val="0"/>
          <w:lang w:val="en-US"/>
        </w:rPr>
        <w:t xml:space="preserve">” </w:t>
      </w:r>
      <w:r>
        <w:rPr>
          <w:rFonts w:ascii="Arial"/>
          <w:sz w:val="22"/>
          <w:szCs w:val="22"/>
          <w:rtl w:val="0"/>
          <w:lang w:val="en-US"/>
        </w:rPr>
        <w:t xml:space="preserve">by blending or combining multiple benchmarks in a manner that does not involve discretion, it is </w:t>
      </w:r>
      <w:r>
        <w:rPr>
          <w:rFonts w:hAnsi="Arial" w:hint="default"/>
          <w:sz w:val="22"/>
          <w:szCs w:val="22"/>
          <w:rtl w:val="0"/>
          <w:lang w:val="en-US"/>
        </w:rPr>
        <w:t>“</w:t>
      </w:r>
      <w:r>
        <w:rPr>
          <w:rFonts w:ascii="Arial"/>
          <w:sz w:val="22"/>
          <w:szCs w:val="22"/>
          <w:rtl w:val="0"/>
          <w:lang w:val="en-US"/>
        </w:rPr>
        <w:t>using</w:t>
      </w:r>
      <w:r>
        <w:rPr>
          <w:rFonts w:hAnsi="Arial" w:hint="default"/>
          <w:sz w:val="22"/>
          <w:szCs w:val="22"/>
          <w:rtl w:val="0"/>
          <w:lang w:val="en-US"/>
        </w:rPr>
        <w:t xml:space="preserve">” </w:t>
      </w:r>
      <w:r>
        <w:rPr>
          <w:rFonts w:ascii="Arial"/>
          <w:sz w:val="22"/>
          <w:szCs w:val="22"/>
          <w:rtl w:val="0"/>
          <w:lang w:val="en-US"/>
        </w:rPr>
        <w:t xml:space="preserve">the underlying benchmarks. ESMA should clearly distinguish this from situations where the </w:t>
      </w:r>
      <w:r>
        <w:rPr>
          <w:rFonts w:hAnsi="Arial" w:hint="default"/>
          <w:sz w:val="22"/>
          <w:szCs w:val="22"/>
          <w:rtl w:val="0"/>
          <w:lang w:val="en-US"/>
        </w:rPr>
        <w:t>“</w:t>
      </w:r>
      <w:r>
        <w:rPr>
          <w:rFonts w:ascii="Arial"/>
          <w:sz w:val="22"/>
          <w:szCs w:val="22"/>
          <w:rtl w:val="0"/>
        </w:rPr>
        <w:t>user</w:t>
      </w:r>
      <w:r>
        <w:rPr>
          <w:rFonts w:hAnsi="Arial" w:hint="default"/>
          <w:sz w:val="22"/>
          <w:szCs w:val="22"/>
          <w:rtl w:val="0"/>
          <w:lang w:val="en-US"/>
        </w:rPr>
        <w:t xml:space="preserve">” </w:t>
      </w:r>
      <w:r>
        <w:rPr>
          <w:rFonts w:ascii="Arial"/>
          <w:sz w:val="22"/>
          <w:szCs w:val="22"/>
          <w:rtl w:val="0"/>
          <w:lang w:val="en-US"/>
        </w:rPr>
        <w:t xml:space="preserve">does exercise discretion in combining benchmarks and/or has an interest in the level of the resulting benchmark. Where a firm modifies or otherwise changes one or several existing benchmark by using discretion to form a </w:t>
      </w:r>
      <w:r>
        <w:rPr>
          <w:rFonts w:hAnsi="Arial" w:hint="default"/>
          <w:sz w:val="22"/>
          <w:szCs w:val="22"/>
          <w:rtl w:val="0"/>
          <w:lang w:val="en-US"/>
        </w:rPr>
        <w:t>“</w:t>
      </w:r>
      <w:r>
        <w:rPr>
          <w:rFonts w:ascii="Arial"/>
          <w:sz w:val="22"/>
          <w:szCs w:val="22"/>
          <w:rtl w:val="0"/>
          <w:lang w:val="en-US"/>
        </w:rPr>
        <w:t>derived benchmark</w:t>
      </w:r>
      <w:r>
        <w:rPr>
          <w:rFonts w:hAnsi="Arial" w:hint="default"/>
          <w:sz w:val="22"/>
          <w:szCs w:val="22"/>
          <w:rtl w:val="0"/>
          <w:lang w:val="en-US"/>
        </w:rPr>
        <w:t>”</w:t>
      </w:r>
      <w:r>
        <w:rPr>
          <w:rFonts w:ascii="Arial"/>
          <w:sz w:val="22"/>
          <w:szCs w:val="22"/>
          <w:rtl w:val="0"/>
          <w:lang w:val="en-US"/>
        </w:rPr>
        <w:t xml:space="preserve">, it should be considered to be the administrator of the </w:t>
      </w:r>
      <w:r>
        <w:rPr>
          <w:rFonts w:hAnsi="Arial" w:hint="default"/>
          <w:sz w:val="22"/>
          <w:szCs w:val="22"/>
          <w:rtl w:val="0"/>
          <w:lang w:val="en-US"/>
        </w:rPr>
        <w:t>“</w:t>
      </w:r>
      <w:r>
        <w:rPr>
          <w:rFonts w:ascii="Arial"/>
          <w:sz w:val="22"/>
          <w:szCs w:val="22"/>
          <w:rtl w:val="0"/>
          <w:lang w:val="en-US"/>
        </w:rPr>
        <w:t>derived benchmark</w:t>
      </w:r>
      <w:r>
        <w:rPr>
          <w:rFonts w:hAnsi="Arial" w:hint="default"/>
          <w:sz w:val="22"/>
          <w:szCs w:val="22"/>
          <w:rtl w:val="0"/>
          <w:lang w:val="en-US"/>
        </w:rPr>
        <w:t>”</w:t>
      </w:r>
      <w:r>
        <w:rPr>
          <w:rFonts w:ascii="Arial"/>
          <w:sz w:val="22"/>
          <w:szCs w:val="22"/>
          <w:rtl w:val="0"/>
          <w:lang w:val="en-US"/>
        </w:rPr>
        <w:t>. For example, changes to the proportion of benchmarks used in the creation of a combination of benchmarks may involve discretion.</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Times New Roman" w:cs="Times New Roman" w:hAnsi="Times New Roman" w:eastAsia="Times New Roman"/>
          <w:sz w:val="24"/>
          <w:szCs w:val="24"/>
        </w:rPr>
      </w:pPr>
      <w:r>
        <w:rPr>
          <w:rFonts w:ascii="Arial"/>
          <w:sz w:val="22"/>
          <w:szCs w:val="22"/>
          <w:rtl w:val="0"/>
          <w:lang w:val="en-US"/>
        </w:rPr>
        <w:t xml:space="preserve">We recommend ESMA ensure the final rules are clear that where discretion is used in combining benchmarks it is regarded as administration. Uncertainty in this area could lead to difficulties for firms interpreting the Regulation. In this context, ESMA should note that the FCA recently reported on the findings of its thematic review on benchmarking activities. Specifically, it found that at least one bank </w:t>
      </w:r>
      <w:r>
        <w:rPr>
          <w:rFonts w:hAnsi="Arial" w:hint="default"/>
          <w:sz w:val="22"/>
          <w:szCs w:val="22"/>
          <w:rtl w:val="0"/>
          <w:lang w:val="en-US"/>
        </w:rPr>
        <w:t>“</w:t>
      </w:r>
      <w:r>
        <w:rPr>
          <w:rFonts w:ascii="Arial"/>
          <w:sz w:val="22"/>
          <w:szCs w:val="22"/>
          <w:rtl w:val="0"/>
          <w:lang w:val="en-US"/>
        </w:rPr>
        <w:t>had not given full consideration to conflicts of interest that could arise when traders provided a rebalanced basket of indices or updated prices for a credit/equity strategy to clients</w:t>
      </w:r>
      <w:r>
        <w:rPr>
          <w:rFonts w:hAnsi="Arial" w:hint="default"/>
          <w:sz w:val="22"/>
          <w:szCs w:val="22"/>
          <w:rtl w:val="0"/>
          <w:lang w:val="en-US"/>
        </w:rPr>
        <w:t>”</w:t>
      </w:r>
      <w:r>
        <w:rPr>
          <w:rFonts w:ascii="Arial"/>
          <w:sz w:val="22"/>
          <w:szCs w:val="22"/>
          <w:rtl w:val="0"/>
        </w:rPr>
        <w:t>.</w:t>
      </w:r>
      <w:r>
        <w:rPr>
          <w:rFonts w:ascii="Arial" w:cs="Arial" w:hAnsi="Arial" w:eastAsia="Arial"/>
          <w:sz w:val="22"/>
          <w:szCs w:val="22"/>
          <w:vertAlign w:val="superscript"/>
          <w:rtl w:val="0"/>
        </w:rPr>
        <w:footnoteReference w:id="7"/>
      </w:r>
      <w:r>
        <w:rPr>
          <w:rFonts w:ascii="Arial"/>
          <w:sz w:val="22"/>
          <w:szCs w:val="22"/>
          <w:rtl w:val="0"/>
          <w:lang w:val="en-US"/>
        </w:rPr>
        <w:t xml:space="preserve"> A lack of clarity about the impact of the use of discretion in combining benchmarks could lead to asset managers experiencing similar problems.</w:t>
      </w:r>
    </w:p>
    <w:p>
      <w:pPr>
        <w:pStyle w:val="Body"/>
        <w:rPr>
          <w:rtl w:val="0"/>
        </w:rPr>
      </w:pPr>
      <w:r>
        <w:rPr>
          <w:rFonts w:ascii="Arial" w:cs="Arial Unicode MS" w:hAnsi="Arial Unicode MS" w:eastAsia="Arial Unicode MS"/>
          <w:rtl w:val="0"/>
        </w:rPr>
        <w:t>&lt;ESMA_QUESTION_DP_BMR_2&gt;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with ESMA</w:t>
      </w:r>
      <w:r>
        <w:rPr>
          <w:rFonts w:ascii="Calibri" w:cs="Calibri" w:hAnsi="Calibri" w:eastAsia="Calibri"/>
          <w:rtl w:val="0"/>
          <w:lang w:val="en-US"/>
        </w:rPr>
        <w:t>’</w:t>
      </w:r>
      <w:r>
        <w:rPr>
          <w:rFonts w:ascii="Calibri" w:cs="Calibri" w:hAnsi="Calibri" w:eastAsia="Calibri"/>
          <w:rtl w:val="0"/>
          <w:lang w:val="en-US"/>
        </w:rPr>
        <w:t>s proposal to align the administering the arrangements for determining a benchmark with the IOSCO principle on the overall responsibility of the administrator? Which other characteristics/activities would you regard as covered by Article 3(1) point 3(a)?</w:t>
      </w:r>
    </w:p>
    <w:p>
      <w:pPr>
        <w:pStyle w:val="Body"/>
        <w:rPr>
          <w:rtl w:val="0"/>
        </w:rPr>
      </w:pPr>
      <w:r>
        <w:rPr>
          <w:rFonts w:ascii="Arial" w:cs="Arial Unicode MS" w:hAnsi="Arial Unicode MS" w:eastAsia="Arial Unicode MS"/>
          <w:rtl w:val="0"/>
        </w:rPr>
        <w:t>&lt;ESMA_QUESTION_DP_BMR_3&gt;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 xml:space="preserve">We agree with ESMA that the administering arrangements should be aligned with the IOSCO Principles for Financial Benchmarks. However, we are concerned that the DP sets out that administration includes </w:t>
      </w:r>
      <w:r>
        <w:rPr>
          <w:rFonts w:hAnsi="Arial" w:hint="default"/>
          <w:sz w:val="22"/>
          <w:szCs w:val="22"/>
          <w:rtl w:val="0"/>
          <w:lang w:val="en-US"/>
        </w:rPr>
        <w:t>“</w:t>
      </w:r>
      <w:r>
        <w:rPr>
          <w:rFonts w:ascii="Arial"/>
          <w:i w:val="1"/>
          <w:iCs w:val="1"/>
          <w:sz w:val="22"/>
          <w:szCs w:val="22"/>
          <w:rtl w:val="0"/>
          <w:lang w:val="en-US"/>
        </w:rPr>
        <w:t>development</w:t>
      </w:r>
      <w:r>
        <w:rPr>
          <w:rFonts w:ascii="Arial"/>
          <w:sz w:val="22"/>
          <w:szCs w:val="22"/>
          <w:rtl w:val="0"/>
          <w:lang w:val="en-US"/>
        </w:rPr>
        <w:t>, determination and dissemination, operation and governance</w:t>
      </w:r>
      <w:r>
        <w:rPr>
          <w:rFonts w:hAnsi="Arial" w:hint="default"/>
          <w:sz w:val="22"/>
          <w:szCs w:val="22"/>
          <w:rtl w:val="0"/>
          <w:lang w:val="en-US"/>
        </w:rPr>
        <w:t>”</w:t>
      </w:r>
      <w:r>
        <w:rPr>
          <w:rFonts w:ascii="Arial" w:cs="Arial" w:hAnsi="Arial" w:eastAsia="Arial"/>
          <w:sz w:val="22"/>
          <w:szCs w:val="22"/>
          <w:vertAlign w:val="superscript"/>
          <w:rtl w:val="0"/>
        </w:rPr>
        <w:footnoteReference w:id="8"/>
      </w:r>
      <w:r>
        <w:rPr>
          <w:rFonts w:ascii="Arial"/>
          <w:sz w:val="22"/>
          <w:szCs w:val="22"/>
          <w:rtl w:val="0"/>
          <w:lang w:val="en-US"/>
        </w:rPr>
        <w:t xml:space="preserve"> of a benchmark.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Times New Roman" w:cs="Times New Roman" w:hAnsi="Times New Roman" w:eastAsia="Times New Roman"/>
          <w:sz w:val="24"/>
          <w:szCs w:val="24"/>
        </w:rPr>
      </w:pPr>
      <w:r>
        <w:rPr>
          <w:rFonts w:ascii="Arial"/>
          <w:sz w:val="22"/>
          <w:szCs w:val="22"/>
          <w:rtl w:val="0"/>
          <w:lang w:val="en-US"/>
        </w:rPr>
        <w:t xml:space="preserve">We urge ESMA to ensure that any definition of the responsibilities of an administrator, particularly in relation to the development of the benchmark, does not preclude the owner of the intellectual property of the benchmark from effectively engaging an independent administrator. This is because independent benchmark administrators can help parties that develop indices to mitigate conflicts of interest they might be exposed to and benefit from the expertise that such specialist services can bring. We therefore recommend ESMA ensures that its final rules do not unintentionally discourage such approach by suggesting that the benchmark administrator needs to have been involved in the original development of the benchmark. This could be achieved by clarifying that an entity could be classified as administrator </w:t>
      </w:r>
      <w:r>
        <w:rPr>
          <w:rFonts w:hAnsi="Arial" w:hint="default"/>
          <w:sz w:val="22"/>
          <w:szCs w:val="22"/>
          <w:rtl w:val="0"/>
          <w:lang w:val="en-US"/>
        </w:rPr>
        <w:t>“</w:t>
      </w:r>
      <w:r>
        <w:rPr>
          <w:rFonts w:ascii="Arial"/>
          <w:sz w:val="22"/>
          <w:szCs w:val="22"/>
          <w:rtl w:val="0"/>
          <w:lang w:val="en-US"/>
        </w:rPr>
        <w:t>regardless of whether or not it owns the intellectual property of the benchmark or has been involved in its development.</w:t>
      </w:r>
      <w:r>
        <w:rPr>
          <w:rFonts w:hAnsi="Arial" w:hint="default"/>
          <w:sz w:val="22"/>
          <w:szCs w:val="22"/>
          <w:rtl w:val="0"/>
          <w:lang w:val="en-US"/>
        </w:rPr>
        <w:t xml:space="preserve">” </w:t>
      </w:r>
      <w:r>
        <w:rPr>
          <w:rFonts w:ascii="Arial"/>
          <w:sz w:val="22"/>
          <w:szCs w:val="22"/>
          <w:rtl w:val="0"/>
          <w:lang w:val="en-US"/>
        </w:rPr>
        <w:t>This clarification would not in any case diminish the responsibility of the administrator going forward.</w:t>
      </w:r>
    </w:p>
    <w:p>
      <w:pPr>
        <w:pStyle w:val="Body"/>
        <w:rPr>
          <w:rtl w:val="0"/>
        </w:rPr>
      </w:pPr>
      <w:r>
        <w:rPr>
          <w:rFonts w:ascii="Arial" w:cs="Arial Unicode MS" w:hAnsi="Arial Unicode MS" w:eastAsia="Arial Unicode MS"/>
          <w:rtl w:val="0"/>
        </w:rPr>
        <w:t>&lt;ESMA_QUESTION_DP_BMR_3&gt;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with ESMA</w:t>
      </w:r>
      <w:r>
        <w:rPr>
          <w:rFonts w:ascii="Calibri" w:cs="Calibri" w:hAnsi="Calibri" w:eastAsia="Calibri"/>
          <w:rtl w:val="0"/>
          <w:lang w:val="en-US"/>
        </w:rPr>
        <w:t>’</w:t>
      </w:r>
      <w:r>
        <w:rPr>
          <w:rFonts w:ascii="Calibri" w:cs="Calibri" w:hAnsi="Calibri" w:eastAsia="Calibri"/>
          <w:rtl w:val="0"/>
          <w:lang w:val="en-US"/>
        </w:rPr>
        <w:t>s proposal for a definition of issuance of a financial instrument? Are there additional aspects that this definition should cover?</w:t>
      </w:r>
    </w:p>
    <w:p>
      <w:pPr>
        <w:pStyle w:val="Body"/>
        <w:rPr>
          <w:rtl w:val="0"/>
        </w:rPr>
      </w:pPr>
      <w:r>
        <w:rPr>
          <w:rFonts w:ascii="Arial" w:cs="Arial Unicode MS" w:hAnsi="Arial Unicode MS" w:eastAsia="Arial Unicode MS"/>
          <w:rtl w:val="0"/>
        </w:rPr>
        <w:t>&lt;ESMA_QUESTION_DP_BMR_4&gt;</w:t>
      </w:r>
    </w:p>
    <w:p>
      <w:pPr>
        <w:pStyle w:val="Body"/>
        <w:rPr>
          <w:rtl w:val="0"/>
        </w:rPr>
      </w:pPr>
      <w:r>
        <w:rPr>
          <w:rFonts w:ascii="Arial" w:cs="Arial Unicode MS" w:hAnsi="Arial Unicode MS" w:eastAsia="Arial Unicode MS"/>
          <w:sz w:val="22"/>
          <w:szCs w:val="22"/>
          <w:rtl w:val="0"/>
          <w:lang w:val="en-US"/>
        </w:rPr>
        <w:t>We agree that the concept of issuance of financial instruments should not be limited to securities and should extend to financial instruments that are created for trading also in execution or trading venues other than regulated markets.</w:t>
      </w:r>
    </w:p>
    <w:p>
      <w:pPr>
        <w:pStyle w:val="Body"/>
        <w:rPr>
          <w:rtl w:val="0"/>
        </w:rPr>
      </w:pPr>
      <w:r>
        <w:rPr>
          <w:rFonts w:ascii="Arial" w:cs="Arial Unicode MS" w:hAnsi="Arial Unicode MS" w:eastAsia="Arial Unicode MS"/>
          <w:rtl w:val="0"/>
        </w:rPr>
        <w:t>&lt;ESMA_QUESTION_DP_BMR_4&gt;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Do you think that the business activities of market operators and CCPs in connection with possible creation of financial instruments for trading could fall under the specification of </w:t>
      </w:r>
      <w:r>
        <w:rPr>
          <w:rFonts w:ascii="Calibri" w:cs="Calibri" w:hAnsi="Calibri" w:eastAsia="Calibri"/>
          <w:rtl w:val="0"/>
          <w:lang w:val="en-US"/>
        </w:rPr>
        <w:t>“</w:t>
      </w:r>
      <w:r>
        <w:rPr>
          <w:rFonts w:ascii="Calibri" w:cs="Calibri" w:hAnsi="Calibri" w:eastAsia="Calibri"/>
          <w:rtl w:val="0"/>
          <w:lang w:val="en-US"/>
        </w:rPr>
        <w:t>issuance of a financial instrument which references an index or a combination of indices</w:t>
      </w:r>
      <w:r>
        <w:rPr>
          <w:rFonts w:ascii="Calibri" w:cs="Calibri" w:hAnsi="Calibri" w:eastAsia="Calibri"/>
          <w:rtl w:val="0"/>
          <w:lang w:val="en-US"/>
        </w:rPr>
        <w:t>”</w:t>
      </w:r>
      <w:r>
        <w:rPr>
          <w:rFonts w:ascii="Calibri" w:cs="Calibri" w:hAnsi="Calibri" w:eastAsia="Calibri"/>
          <w:rtl w:val="0"/>
          <w:lang w:val="en-US"/>
        </w:rPr>
        <w:t xml:space="preserve">? If not, which element of the </w:t>
      </w:r>
      <w:r>
        <w:rPr>
          <w:rFonts w:ascii="Calibri" w:cs="Calibri" w:hAnsi="Calibri" w:eastAsia="Calibri"/>
          <w:rtl w:val="0"/>
          <w:lang w:val="en-US"/>
        </w:rPr>
        <w:t>“</w:t>
      </w:r>
      <w:r>
        <w:rPr>
          <w:rFonts w:ascii="Calibri" w:cs="Calibri" w:hAnsi="Calibri" w:eastAsia="Calibri"/>
          <w:rtl w:val="0"/>
          <w:lang w:val="en-US"/>
        </w:rPr>
        <w:t>use of benchmark</w:t>
      </w:r>
      <w:r>
        <w:rPr>
          <w:rFonts w:ascii="Calibri" w:cs="Calibri" w:hAnsi="Calibri" w:eastAsia="Calibri"/>
          <w:rtl w:val="0"/>
          <w:lang w:val="en-US"/>
        </w:rPr>
        <w:t xml:space="preserve">” </w:t>
      </w:r>
      <w:r>
        <w:rPr>
          <w:rFonts w:ascii="Calibri" w:cs="Calibri" w:hAnsi="Calibri" w:eastAsia="Calibri"/>
          <w:rtl w:val="0"/>
          <w:lang w:val="en-US"/>
        </w:rPr>
        <w:t xml:space="preserve">definition could cover these business activities? </w:t>
      </w:r>
    </w:p>
    <w:p>
      <w:pPr>
        <w:pStyle w:val="Body"/>
        <w:rPr>
          <w:rtl w:val="0"/>
        </w:rPr>
      </w:pPr>
      <w:r>
        <w:rPr>
          <w:rFonts w:ascii="Arial" w:cs="Arial Unicode MS" w:hAnsi="Arial Unicode MS" w:eastAsia="Arial Unicode MS"/>
          <w:rtl w:val="0"/>
        </w:rPr>
        <w:t>&lt;ESMA_QUESTION_DP_BMR_5&gt;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&lt;ESMA_QUESTION_DP_BMR_5&gt;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with the proposed list of appropriate governance arrangements for the oversight function? Would you propose any additional structure or changes to the proposed structures?</w:t>
      </w:r>
    </w:p>
    <w:p>
      <w:pPr>
        <w:pStyle w:val="Body"/>
        <w:rPr>
          <w:rtl w:val="0"/>
        </w:rPr>
      </w:pPr>
      <w:r>
        <w:rPr>
          <w:rFonts w:ascii="Arial" w:cs="Arial Unicode MS" w:hAnsi="Arial Unicode MS" w:eastAsia="Arial Unicode MS"/>
          <w:rtl w:val="0"/>
        </w:rPr>
        <w:t>&lt;ESMA_QUESTION_DP_BMR_6&gt;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We are generally supportive of the principles underlying ESMA</w:t>
      </w:r>
      <w:r>
        <w:rPr>
          <w:rFonts w:hAnsi="Arial" w:hint="default"/>
          <w:sz w:val="22"/>
          <w:szCs w:val="22"/>
          <w:rtl w:val="0"/>
          <w:lang w:val="en-US"/>
        </w:rPr>
        <w:t>’</w:t>
      </w:r>
      <w:r>
        <w:rPr>
          <w:rFonts w:ascii="Arial"/>
          <w:sz w:val="22"/>
          <w:szCs w:val="22"/>
          <w:rtl w:val="0"/>
          <w:lang w:val="en-US"/>
        </w:rPr>
        <w:t>s proposed list. In particular we support the possibility for a natural person to perform an oversight function and the possibility for an oversight function to cover a number of benchmarks as these approaches will allow for a proportionate and workable implementation.</w:t>
      </w:r>
      <w:r>
        <w:rPr>
          <w:rFonts w:ascii="Arial" w:cs="Arial" w:hAnsi="Arial" w:eastAsia="Arial"/>
          <w:sz w:val="22"/>
          <w:szCs w:val="22"/>
          <w:vertAlign w:val="superscript"/>
          <w:rtl w:val="0"/>
        </w:rPr>
        <w:footnoteReference w:id="9"/>
      </w:r>
      <w:r>
        <w:rPr>
          <w:rFonts w:ascii="Arial"/>
          <w:sz w:val="22"/>
          <w:szCs w:val="22"/>
          <w:rtl w:val="0"/>
          <w:lang w:val="en-US"/>
        </w:rPr>
        <w:t xml:space="preserve"> However, we recommend ESMA apply a greater focus on areas where conflicts of interest could appear in governance arrangements and how they can be mitigated. Specifically, ESMA should neither require nor forbid certain arrangements (for example, including representatives of contributors or of providers of data sources used to determine the benchmark in the oversight function) as any overly prescriptive approach could lead to increased conflicts of interest for some benchmarks.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ESMA outlines that, where conflicts of interest arise on the level of the administrator, independent governance structures may be required by the authorities. We believe this is generally a valid approach but recommend ESMA explicitly reflects in the final standards the ability for the owners of benchmarks to use independent administrators. For example, in the UK the FCA has actively examined management of the risks around benchmarks and conflicts of interest.</w:t>
      </w:r>
      <w:r>
        <w:rPr>
          <w:rFonts w:ascii="Arial" w:cs="Arial" w:hAnsi="Arial" w:eastAsia="Arial"/>
          <w:sz w:val="22"/>
          <w:szCs w:val="22"/>
          <w:vertAlign w:val="superscript"/>
          <w:rtl w:val="0"/>
        </w:rPr>
        <w:footnoteReference w:id="10"/>
      </w:r>
      <w:r>
        <w:rPr>
          <w:rFonts w:ascii="Arial"/>
          <w:sz w:val="22"/>
          <w:szCs w:val="22"/>
          <w:rtl w:val="0"/>
          <w:lang w:val="en-US"/>
        </w:rPr>
        <w:t xml:space="preserve"> Also, several major owners of benchmarks have engaged independent administrators for the day-to-day administration of their indices, allowing users of their benchmarks to benefit from their specific and independent index administration expertise, mitigate conflicts of interest, and to satisfy regulatory best practice.</w:t>
      </w:r>
      <w:r>
        <w:rPr>
          <w:rFonts w:ascii="Arial" w:cs="Arial" w:hAnsi="Arial" w:eastAsia="Arial"/>
          <w:sz w:val="22"/>
          <w:szCs w:val="22"/>
          <w:vertAlign w:val="superscript"/>
          <w:rtl w:val="0"/>
        </w:rPr>
        <w:footnoteReference w:id="11"/>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b w:val="1"/>
          <w:bCs w:val="1"/>
          <w:sz w:val="22"/>
          <w:szCs w:val="22"/>
        </w:rPr>
      </w:pPr>
      <w:r>
        <w:rPr>
          <w:rFonts w:ascii="Arial"/>
          <w:b w:val="1"/>
          <w:bCs w:val="1"/>
          <w:sz w:val="22"/>
          <w:szCs w:val="22"/>
          <w:rtl w:val="0"/>
          <w:lang w:val="en-US"/>
        </w:rPr>
        <w:t>Independent benchmark administration</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 xml:space="preserve">We note that the arrangements suggested in the DP do not explicitly recognise the use of third party index administrators which could lead to confusion about whether their use is accepted to manage the conflicts of interest identified. Independent benchmark administrators have no commercial interest in the benchmark (other than its quality and its representativeness) and this should be reflected in the requirements for independent benchmarks: for example, conflicts of interest can lie with the ability to change the methodology, but when an owner of the benchmark transfers control of the methodology to an independent third party, the conflicts of interest are mitigated while maintaining ownership of the benchmark.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 xml:space="preserve">In several sections of the DP ESMA seems to refer to independent benchmark administrators by referring to entities that are </w:t>
      </w:r>
      <w:r>
        <w:rPr>
          <w:rFonts w:hAnsi="Arial" w:hint="default"/>
          <w:sz w:val="22"/>
          <w:szCs w:val="22"/>
          <w:rtl w:val="0"/>
          <w:lang w:val="en-US"/>
        </w:rPr>
        <w:t>“</w:t>
      </w:r>
      <w:r>
        <w:rPr>
          <w:rFonts w:ascii="Arial"/>
          <w:sz w:val="22"/>
          <w:szCs w:val="22"/>
          <w:rtl w:val="0"/>
          <w:lang w:val="en-US"/>
        </w:rPr>
        <w:t>dedicated to providing benchmarks alone</w:t>
      </w:r>
      <w:r>
        <w:rPr>
          <w:rFonts w:hAnsi="Arial" w:hint="default"/>
          <w:sz w:val="22"/>
          <w:szCs w:val="22"/>
          <w:rtl w:val="0"/>
          <w:lang w:val="en-US"/>
        </w:rPr>
        <w:t>”</w:t>
      </w:r>
      <w:r>
        <w:rPr>
          <w:rFonts w:ascii="Arial"/>
          <w:sz w:val="22"/>
          <w:szCs w:val="22"/>
          <w:rtl w:val="0"/>
        </w:rPr>
        <w:t>.</w:t>
      </w:r>
      <w:r>
        <w:rPr>
          <w:rFonts w:ascii="Arial" w:cs="Arial" w:hAnsi="Arial" w:eastAsia="Arial"/>
          <w:sz w:val="22"/>
          <w:szCs w:val="22"/>
          <w:vertAlign w:val="superscript"/>
          <w:rtl w:val="0"/>
        </w:rPr>
        <w:footnoteReference w:id="12"/>
      </w:r>
      <w:r>
        <w:rPr>
          <w:rFonts w:ascii="Arial"/>
          <w:sz w:val="22"/>
          <w:szCs w:val="22"/>
          <w:rtl w:val="0"/>
          <w:lang w:val="en-US"/>
        </w:rPr>
        <w:t xml:space="preserve"> We believe that the use of such definition would be misleading and might unintentionally favour firms that happen to provide only provide indices rather than many of the more relevant independent benchmark administrators. This is because in reality many independent benchmark administrators offer a range of services, including some that might not be related to indices and benchmarks. We therefore urge ESMA to recognize that the most important factor determining the </w:t>
      </w:r>
      <w:r>
        <w:rPr>
          <w:rFonts w:hAnsi="Arial" w:hint="default"/>
          <w:sz w:val="22"/>
          <w:szCs w:val="22"/>
          <w:rtl w:val="0"/>
          <w:lang w:val="en-US"/>
        </w:rPr>
        <w:t>“</w:t>
      </w:r>
      <w:r>
        <w:rPr>
          <w:rFonts w:ascii="Arial"/>
          <w:sz w:val="22"/>
          <w:szCs w:val="22"/>
          <w:rtl w:val="0"/>
          <w:lang w:val="en-US"/>
        </w:rPr>
        <w:t>independence</w:t>
      </w:r>
      <w:r>
        <w:rPr>
          <w:rFonts w:hAnsi="Arial" w:hint="default"/>
          <w:sz w:val="22"/>
          <w:szCs w:val="22"/>
          <w:rtl w:val="0"/>
          <w:lang w:val="en-US"/>
        </w:rPr>
        <w:t xml:space="preserve">” </w:t>
      </w:r>
      <w:r>
        <w:rPr>
          <w:rFonts w:ascii="Arial"/>
          <w:sz w:val="22"/>
          <w:szCs w:val="22"/>
          <w:rtl w:val="0"/>
          <w:lang w:val="en-US"/>
        </w:rPr>
        <w:t>of administrators is whether or not they take any positions in financial instruments that reference or are themselves users of the benchmarks they administer. We hence recommend ESMA focus on potential conflicts of interest and whether the benchmark administrator could have a financial interest in the outcome of the Benchmark and ensure that its final standards do not disadvantage independent administrators just because they perform some further, but unrelated activities.</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On this basis we recommend that ESMA:</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List Paragraph"/>
        <w:numPr>
          <w:ilvl w:val="0"/>
          <w:numId w:val="25"/>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0"/>
        </w:tabs>
        <w:suppressAutoHyphens w:val="1"/>
        <w:bidi w:val="0"/>
        <w:ind w:left="360" w:right="0" w:hanging="360"/>
        <w:jc w:val="both"/>
        <w:rPr>
          <w:rFonts w:ascii="Arial" w:cs="Arial" w:hAnsi="Arial" w:eastAsia="Arial"/>
          <w:position w:val="0"/>
          <w:sz w:val="22"/>
          <w:szCs w:val="22"/>
          <w:rtl w:val="0"/>
        </w:rPr>
      </w:pPr>
      <w:r>
        <w:rPr>
          <w:rFonts w:ascii="Arial"/>
          <w:rtl w:val="0"/>
          <w:lang w:val="en-US"/>
        </w:rPr>
        <w:t>Focus on the existence of conflicts of interest, especially whether the administrator or committee members have a commercial interest in the level of the benchmarks administered or not;</w:t>
      </w:r>
    </w:p>
    <w:p>
      <w:pPr>
        <w:pStyle w:val="List Paragraph"/>
        <w:numPr>
          <w:ilvl w:val="0"/>
          <w:numId w:val="26"/>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0"/>
        </w:tabs>
        <w:suppressAutoHyphens w:val="1"/>
        <w:bidi w:val="0"/>
        <w:ind w:left="360" w:right="0" w:hanging="360"/>
        <w:jc w:val="both"/>
        <w:rPr>
          <w:rFonts w:ascii="Arial" w:cs="Arial" w:hAnsi="Arial" w:eastAsia="Arial"/>
          <w:position w:val="0"/>
          <w:sz w:val="22"/>
          <w:szCs w:val="22"/>
          <w:rtl w:val="0"/>
        </w:rPr>
      </w:pPr>
      <w:r>
        <w:rPr>
          <w:rFonts w:ascii="Arial"/>
          <w:rtl w:val="0"/>
          <w:lang w:val="en-US"/>
        </w:rPr>
        <w:t>Recognise</w:t>
      </w:r>
      <w:r>
        <w:rPr>
          <w:rFonts w:ascii="Arial"/>
          <w:rtl w:val="0"/>
          <w:lang w:val="en-US"/>
        </w:rPr>
        <w:t xml:space="preserve"> that the use of independent administrators is a valid method for the owners of the benchmark who might take positions in financial instruments to mitigate the risks around conflicts of interest; and</w:t>
      </w:r>
    </w:p>
    <w:p>
      <w:pPr>
        <w:pStyle w:val="List Paragraph"/>
        <w:numPr>
          <w:ilvl w:val="0"/>
          <w:numId w:val="27"/>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0"/>
        </w:tabs>
        <w:suppressAutoHyphens w:val="1"/>
        <w:bidi w:val="0"/>
        <w:ind w:left="360" w:right="0" w:hanging="360"/>
        <w:jc w:val="both"/>
        <w:rPr>
          <w:rFonts w:ascii="Arial" w:cs="Arial" w:hAnsi="Arial" w:eastAsia="Arial"/>
          <w:position w:val="0"/>
          <w:sz w:val="22"/>
          <w:szCs w:val="22"/>
          <w:rtl w:val="0"/>
        </w:rPr>
      </w:pPr>
      <w:r>
        <w:rPr>
          <w:rFonts w:ascii="Arial"/>
          <w:rtl w:val="0"/>
          <w:lang w:val="en-US"/>
        </w:rPr>
        <w:t>Recognise</w:t>
      </w:r>
      <w:r>
        <w:rPr>
          <w:rFonts w:ascii="Arial"/>
          <w:rtl w:val="0"/>
          <w:lang w:val="en-US"/>
        </w:rPr>
        <w:t xml:space="preserve"> that an administrator can be</w:t>
      </w:r>
      <w:r>
        <w:rPr>
          <w:rFonts w:hAnsi="Arial" w:hint="default"/>
          <w:rtl w:val="0"/>
          <w:lang w:val="en-US"/>
        </w:rPr>
        <w:t xml:space="preserve"> “</w:t>
      </w:r>
      <w:r>
        <w:rPr>
          <w:rFonts w:ascii="Arial"/>
          <w:rtl w:val="0"/>
          <w:lang w:val="en-US"/>
        </w:rPr>
        <w:t>independent</w:t>
      </w:r>
      <w:r>
        <w:rPr>
          <w:rFonts w:hAnsi="Arial" w:hint="default"/>
          <w:rtl w:val="0"/>
          <w:lang w:val="en-US"/>
        </w:rPr>
        <w:t xml:space="preserve">” </w:t>
      </w:r>
      <w:r>
        <w:rPr>
          <w:rFonts w:ascii="Arial"/>
          <w:rtl w:val="0"/>
          <w:lang w:val="en-US"/>
        </w:rPr>
        <w:t>even if it performs other activities beyond benchmark administration, as long as it does not take positions in financial instruments that reference the benchmarks it administers.</w:t>
      </w:r>
    </w:p>
    <w:p>
      <w:pPr>
        <w:pStyle w:val="Body"/>
        <w:rPr>
          <w:rtl w:val="0"/>
        </w:rPr>
      </w:pPr>
      <w:r>
        <w:rPr>
          <w:rFonts w:ascii="Arial" w:cs="Arial Unicode MS" w:hAnsi="Arial Unicode MS" w:eastAsia="Arial Unicode MS"/>
          <w:rtl w:val="0"/>
        </w:rPr>
        <w:t>&lt;ESMA_QUESTION_DP_BMR_6&gt;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believe these proposals sufficiently address the needs of all types of benchmarks and administrators? If not, what characteristics do such benchmarks have that would need to be addressed in the proposals?</w:t>
      </w:r>
    </w:p>
    <w:p>
      <w:pPr>
        <w:pStyle w:val="Body"/>
        <w:rPr>
          <w:rtl w:val="0"/>
        </w:rPr>
      </w:pPr>
      <w:r>
        <w:rPr>
          <w:rFonts w:ascii="Arial" w:cs="Arial Unicode MS" w:hAnsi="Arial Unicode MS" w:eastAsia="Arial Unicode MS"/>
          <w:rtl w:val="0"/>
        </w:rPr>
        <w:t>&lt;ESMA_QUESTION_DP_BMR_7&gt;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As stated in our answer to question 6, we encourage ESMA to specifically recognise independent administration as a valid method of mitigating the most severe conflicts of interest. Any governance requirements set in level 2 for administrators should be proportionate to the potential risks inherent in those arrangements.</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Times New Roman" w:cs="Times New Roman" w:hAnsi="Times New Roman" w:eastAsia="Times New Roman"/>
          <w:sz w:val="24"/>
          <w:szCs w:val="24"/>
        </w:rPr>
      </w:pPr>
      <w:r>
        <w:rPr>
          <w:rFonts w:ascii="Arial"/>
          <w:sz w:val="22"/>
          <w:szCs w:val="22"/>
          <w:rtl w:val="0"/>
          <w:lang w:val="en-US"/>
        </w:rPr>
        <w:t>ESMA should also note that there may be cases where contributors to a benchmark are also users of that benchmark (for example proprietary benchmarks administered by banks or performance benchmarks administered by asset managers). Because of these situations, ESMA should neither require nor forbid certain arrangements and provide the administrator with the final responsibility in determining which composition of the oversight function is best suited to mitigate the conflicts of interest specific to its benchmark.</w:t>
      </w:r>
    </w:p>
    <w:p>
      <w:pPr>
        <w:pStyle w:val="Body"/>
        <w:rPr>
          <w:rtl w:val="0"/>
        </w:rPr>
      </w:pPr>
      <w:r>
        <w:rPr>
          <w:rFonts w:ascii="Arial" w:cs="Arial Unicode MS" w:hAnsi="Arial Unicode MS" w:eastAsia="Arial Unicode MS"/>
          <w:rtl w:val="0"/>
        </w:rPr>
        <w:t>&lt;ESMA_QUESTION_DP_BMR_7&gt;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To the extent that you provide benchmarks, do you have in place a pre-existing committee, introduced through other EU legislation, or otherwise, which could satisfy the requirements of an oversight function under Article 5a? Please describe the structure of the committee and the reasons for establishing it. </w:t>
      </w:r>
    </w:p>
    <w:p>
      <w:pPr>
        <w:pStyle w:val="Body"/>
        <w:rPr>
          <w:rtl w:val="0"/>
        </w:rPr>
      </w:pPr>
      <w:r>
        <w:rPr>
          <w:rFonts w:ascii="Arial" w:cs="Arial Unicode MS" w:hAnsi="Arial Unicode MS" w:eastAsia="Arial Unicode MS"/>
          <w:rtl w:val="0"/>
        </w:rPr>
        <w:t>&lt;ESMA_QUESTION_DP_BMR_8&gt;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Markit develops and administers a range of proprietary indices covering loans, bonds, credit default swaps, structured finance and economic indicators. We are also an independent administrator for a number of customer-owned benchmarks.</w:t>
      </w:r>
      <w:r>
        <w:rPr>
          <w:rFonts w:ascii="Times New Roman"/>
          <w:sz w:val="18"/>
          <w:szCs w:val="18"/>
          <w:rtl w:val="0"/>
        </w:rPr>
        <w:t xml:space="preserve"> </w:t>
      </w:r>
      <w:r>
        <w:rPr>
          <w:rFonts w:ascii="Arial"/>
          <w:sz w:val="22"/>
          <w:szCs w:val="22"/>
          <w:rtl w:val="0"/>
          <w:lang w:val="en-US"/>
        </w:rPr>
        <w:t xml:space="preserve">In this role, we control the customer benchmark methodology and oversee all submission, determination and distribution processes.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We administer both our own and our customers</w:t>
      </w:r>
      <w:r>
        <w:rPr>
          <w:rFonts w:hAnsi="Arial" w:hint="default"/>
          <w:sz w:val="22"/>
          <w:szCs w:val="22"/>
          <w:rtl w:val="0"/>
          <w:lang w:val="en-US"/>
        </w:rPr>
        <w:t xml:space="preserve">’ </w:t>
      </w:r>
      <w:r>
        <w:rPr>
          <w:rFonts w:ascii="Arial"/>
          <w:sz w:val="22"/>
          <w:szCs w:val="22"/>
          <w:rtl w:val="0"/>
          <w:lang w:val="en-US"/>
        </w:rPr>
        <w:t>benchmarks in accordance with the IOSCO Principles for Financial Benchmarks. Our compliance framework includes a governance and oversight function designed to reconcile regulatory compliance with daily business management and industry expertise. Specifically, our oversight and governance structure includes the following key components:</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annotation text"/>
        <w:numPr>
          <w:ilvl w:val="0"/>
          <w:numId w:val="30"/>
        </w:numPr>
        <w:tabs>
          <w:tab w:val="num" w:pos="3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360"/>
        </w:tabs>
        <w:bidi w:val="0"/>
        <w:ind w:left="327" w:right="0" w:hanging="327"/>
        <w:jc w:val="both"/>
        <w:rPr>
          <w:rFonts w:ascii="Arial" w:cs="Arial" w:hAnsi="Arial" w:eastAsia="Arial"/>
          <w:position w:val="0"/>
          <w:sz w:val="20"/>
          <w:szCs w:val="20"/>
          <w:rtl w:val="0"/>
        </w:rPr>
      </w:pPr>
      <w:r>
        <w:rPr>
          <w:rFonts w:ascii="Arial"/>
          <w:sz w:val="22"/>
          <w:szCs w:val="22"/>
          <w:rtl w:val="0"/>
          <w:lang w:val="en-US"/>
        </w:rPr>
        <w:t>Index Management team: a supervisory group of internal business experts that governs all of Markit</w:t>
      </w:r>
      <w:r>
        <w:rPr>
          <w:rFonts w:hAnsi="Arial" w:hint="default"/>
          <w:sz w:val="22"/>
          <w:szCs w:val="22"/>
          <w:rtl w:val="0"/>
          <w:lang w:val="en-US"/>
        </w:rPr>
        <w:t>’</w:t>
      </w:r>
      <w:r>
        <w:rPr>
          <w:rFonts w:ascii="Arial"/>
          <w:sz w:val="22"/>
          <w:szCs w:val="22"/>
          <w:rtl w:val="0"/>
          <w:lang w:val="en-US"/>
        </w:rPr>
        <w:t>s proprietary indices and is accountable for the overall operation of Markit</w:t>
      </w:r>
      <w:r>
        <w:rPr>
          <w:rFonts w:hAnsi="Arial" w:hint="default"/>
          <w:sz w:val="22"/>
          <w:szCs w:val="22"/>
          <w:rtl w:val="0"/>
          <w:lang w:val="en-US"/>
        </w:rPr>
        <w:t>’</w:t>
      </w:r>
      <w:r>
        <w:rPr>
          <w:rFonts w:ascii="Arial"/>
          <w:sz w:val="22"/>
          <w:szCs w:val="22"/>
          <w:rtl w:val="0"/>
          <w:lang w:val="en-US"/>
        </w:rPr>
        <w:t>s benchmarks.</w:t>
      </w:r>
    </w:p>
    <w:p>
      <w:pPr>
        <w:pStyle w:val="annotation text"/>
        <w:numPr>
          <w:ilvl w:val="0"/>
          <w:numId w:val="31"/>
        </w:numPr>
        <w:tabs>
          <w:tab w:val="num" w:pos="3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360"/>
        </w:tabs>
        <w:bidi w:val="0"/>
        <w:ind w:left="327" w:right="0" w:hanging="327"/>
        <w:jc w:val="both"/>
        <w:rPr>
          <w:rFonts w:ascii="Arial" w:cs="Arial" w:hAnsi="Arial" w:eastAsia="Arial"/>
          <w:position w:val="0"/>
          <w:sz w:val="20"/>
          <w:szCs w:val="20"/>
          <w:rtl w:val="0"/>
        </w:rPr>
      </w:pPr>
      <w:r>
        <w:rPr>
          <w:rFonts w:ascii="Arial"/>
          <w:sz w:val="22"/>
          <w:szCs w:val="22"/>
          <w:rtl w:val="0"/>
          <w:lang w:val="en-US"/>
        </w:rPr>
        <w:t>Index Administration Committee: a core group of individuals who hold a range of roles in the customer-owned benchmark administration business and provides oversight and supervision of these benchmarks.</w:t>
      </w:r>
    </w:p>
    <w:p>
      <w:pPr>
        <w:pStyle w:val="annotation text"/>
        <w:numPr>
          <w:ilvl w:val="0"/>
          <w:numId w:val="32"/>
        </w:numPr>
        <w:tabs>
          <w:tab w:val="num" w:pos="3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360"/>
        </w:tabs>
        <w:bidi w:val="0"/>
        <w:ind w:left="327" w:right="0" w:hanging="327"/>
        <w:jc w:val="both"/>
        <w:rPr>
          <w:rFonts w:ascii="Arial" w:cs="Arial" w:hAnsi="Arial" w:eastAsia="Arial"/>
          <w:position w:val="0"/>
          <w:sz w:val="20"/>
          <w:szCs w:val="20"/>
          <w:rtl w:val="0"/>
        </w:rPr>
      </w:pPr>
      <w:r>
        <w:rPr>
          <w:rFonts w:ascii="Arial"/>
          <w:sz w:val="22"/>
          <w:szCs w:val="22"/>
          <w:rtl w:val="0"/>
          <w:lang w:val="en-US"/>
        </w:rPr>
        <w:t>Index Advisory Committees: committees comprised of stakeholders and other industry participants that provide expert external feedback for matters related to the rules and administration of specific indices. The objective of these consultations is to solicit feedback which can assist the administrator in the creation of the highest quality standards for its indices.</w:t>
      </w:r>
    </w:p>
    <w:p>
      <w:pPr>
        <w:pStyle w:val="annotation text"/>
        <w:numPr>
          <w:ilvl w:val="0"/>
          <w:numId w:val="33"/>
        </w:numPr>
        <w:tabs>
          <w:tab w:val="num" w:pos="3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360"/>
        </w:tabs>
        <w:bidi w:val="0"/>
        <w:ind w:left="327" w:right="0" w:hanging="327"/>
        <w:jc w:val="both"/>
        <w:rPr>
          <w:rFonts w:ascii="Arial" w:cs="Arial" w:hAnsi="Arial" w:eastAsia="Arial"/>
          <w:position w:val="0"/>
          <w:sz w:val="20"/>
          <w:szCs w:val="20"/>
          <w:rtl w:val="0"/>
        </w:rPr>
      </w:pPr>
      <w:r>
        <w:rPr>
          <w:rFonts w:ascii="Arial"/>
          <w:sz w:val="22"/>
          <w:szCs w:val="22"/>
          <w:rtl w:val="0"/>
          <w:lang w:val="en-US"/>
        </w:rPr>
        <w:t>Benchmark Oversight Committee: a committee composed of participants outside of Markit</w:t>
      </w:r>
      <w:r>
        <w:rPr>
          <w:rFonts w:hAnsi="Arial" w:hint="default"/>
          <w:sz w:val="22"/>
          <w:szCs w:val="22"/>
          <w:rtl w:val="0"/>
          <w:lang w:val="en-US"/>
        </w:rPr>
        <w:t>’</w:t>
      </w:r>
      <w:r>
        <w:rPr>
          <w:rFonts w:ascii="Arial"/>
          <w:sz w:val="22"/>
          <w:szCs w:val="22"/>
          <w:rtl w:val="0"/>
          <w:lang w:val="en-US"/>
        </w:rPr>
        <w:t>s benchmark administration businesses including members of Markit</w:t>
      </w:r>
      <w:r>
        <w:rPr>
          <w:rFonts w:hAnsi="Arial" w:hint="default"/>
          <w:sz w:val="22"/>
          <w:szCs w:val="22"/>
          <w:rtl w:val="0"/>
          <w:lang w:val="en-US"/>
        </w:rPr>
        <w:t>’</w:t>
      </w:r>
      <w:r>
        <w:rPr>
          <w:rFonts w:ascii="Arial"/>
          <w:sz w:val="22"/>
          <w:szCs w:val="22"/>
          <w:rtl w:val="0"/>
          <w:lang w:val="en-US"/>
        </w:rPr>
        <w:t>s legal, compliance, finance, risk, information security and executive management teams. The Benchmark Oversight Committee is responsible for reviewing and scrutinising all aspects of Markit</w:t>
      </w:r>
      <w:r>
        <w:rPr>
          <w:rFonts w:hAnsi="Arial" w:hint="default"/>
          <w:sz w:val="22"/>
          <w:szCs w:val="22"/>
          <w:rtl w:val="0"/>
          <w:lang w:val="en-US"/>
        </w:rPr>
        <w:t>’</w:t>
      </w:r>
      <w:r>
        <w:rPr>
          <w:rFonts w:ascii="Arial"/>
          <w:sz w:val="22"/>
          <w:szCs w:val="22"/>
          <w:rtl w:val="0"/>
          <w:lang w:val="en-US"/>
        </w:rPr>
        <w:t>s compliance with its Administrator Code of Conduct and the IOSCO Principles for Financial Benchmarks.</w:t>
      </w:r>
    </w:p>
    <w:p>
      <w:pPr>
        <w:pStyle w:val="Body"/>
        <w:rPr>
          <w:rtl w:val="0"/>
        </w:rPr>
      </w:pPr>
      <w:r>
        <w:rPr>
          <w:rFonts w:ascii="Arial" w:cs="Arial Unicode MS" w:hAnsi="Arial Unicode MS" w:eastAsia="Arial Unicode MS"/>
          <w:rtl w:val="0"/>
        </w:rPr>
        <w:t>&lt;ESMA_QUESTION_DP_BMR_8&gt;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that an administrator could establish one oversight function for all the benchmarks it provides? Do you think it is appropriate for an administrator to have multiple oversight functions where it provides benchmarks that have different methodologies, users or seek to measure very different markets or economic realities?</w:t>
      </w:r>
    </w:p>
    <w:p>
      <w:pPr>
        <w:pStyle w:val="Body"/>
        <w:rPr>
          <w:rtl w:val="0"/>
        </w:rPr>
      </w:pPr>
      <w:r>
        <w:rPr>
          <w:rFonts w:ascii="Arial" w:cs="Arial Unicode MS" w:hAnsi="Arial Unicode MS" w:eastAsia="Arial Unicode MS"/>
          <w:rtl w:val="0"/>
        </w:rPr>
        <w:t>&lt;ESMA_QUESTION_DP_BMR_9&gt;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cs="Arial" w:hAnsi="Arial" w:eastAsia="Arial"/>
          <w:sz w:val="22"/>
          <w:szCs w:val="22"/>
        </w:rPr>
      </w:pPr>
      <w:r>
        <w:rPr>
          <w:rFonts w:ascii="Arial"/>
          <w:sz w:val="22"/>
          <w:szCs w:val="22"/>
          <w:rtl w:val="0"/>
          <w:lang w:val="en-US"/>
        </w:rPr>
        <w:t xml:space="preserve">We agree with ESMA that there might be situations where a single benchmark oversight committee could effectively oversee all of the benchmarks of the administrator. If there was a requirement to establish separate oversight committees for each benchmark, it might lead to significant duplication and unnecessary cost as the tasks and likely composition of the committee might be very similar, if not identical, for many benchmarks or families of benchmarks. We therefore strongly believe that the administrator should be permitted to make this decision on a case by case basis depending on the nature of the benchmarks it administers.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cs="Times New Roman" w:hAnsi="Times New Roman" w:eastAsia="Times New Roman"/>
          <w:sz w:val="24"/>
          <w:szCs w:val="24"/>
        </w:rPr>
      </w:pPr>
      <w:r>
        <w:rPr>
          <w:rFonts w:ascii="Arial"/>
          <w:sz w:val="22"/>
          <w:szCs w:val="22"/>
          <w:rtl w:val="0"/>
        </w:rPr>
        <w:t>Markit</w:t>
      </w:r>
      <w:r>
        <w:rPr>
          <w:rFonts w:hAnsi="Arial" w:hint="default"/>
          <w:sz w:val="22"/>
          <w:szCs w:val="22"/>
          <w:rtl w:val="0"/>
          <w:lang w:val="en-US"/>
        </w:rPr>
        <w:t>’</w:t>
      </w:r>
      <w:r>
        <w:rPr>
          <w:rFonts w:ascii="Arial"/>
          <w:sz w:val="22"/>
          <w:szCs w:val="22"/>
          <w:rtl w:val="0"/>
          <w:lang w:val="en-US"/>
        </w:rPr>
        <w:t>s Benchmark Oversight Committee has overall responsibility for the effective scrutiny of Markit</w:t>
      </w:r>
      <w:r>
        <w:rPr>
          <w:rFonts w:hAnsi="Arial" w:hint="default"/>
          <w:sz w:val="22"/>
          <w:szCs w:val="22"/>
          <w:rtl w:val="0"/>
          <w:lang w:val="en-US"/>
        </w:rPr>
        <w:t>’</w:t>
      </w:r>
      <w:r>
        <w:rPr>
          <w:rFonts w:ascii="Arial"/>
          <w:sz w:val="22"/>
          <w:szCs w:val="22"/>
          <w:rtl w:val="0"/>
          <w:lang w:val="en-US"/>
        </w:rPr>
        <w:t>s benchmark administration processes. The various Index Management Boards and Index Administration Committees provide information and report to the Benchmark Oversight Committee on a regular basis in connection with its responsibility to review and challenge all aspects of the benchmark determination process.</w:t>
      </w:r>
    </w:p>
    <w:p>
      <w:pPr>
        <w:pStyle w:val="Body"/>
        <w:rPr>
          <w:rtl w:val="0"/>
        </w:rPr>
      </w:pPr>
      <w:r>
        <w:rPr>
          <w:rFonts w:ascii="Arial" w:cs="Arial Unicode MS" w:hAnsi="Arial Unicode MS" w:eastAsia="Arial Unicode MS"/>
          <w:rtl w:val="0"/>
        </w:rPr>
        <w:t>&lt;ESMA_QUESTION_DP_BMR_9&gt;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If an administrator provides more than one critical benchmark, do you support the approach of one oversight function exercising oversight over all the critical benchmarks? Do you think it is necessary for an oversight function to have sub-functions, to account for the different needs of different types of benchmarks? </w:t>
      </w:r>
    </w:p>
    <w:p>
      <w:pPr>
        <w:pStyle w:val="Body"/>
        <w:rPr>
          <w:rtl w:val="0"/>
        </w:rPr>
      </w:pPr>
      <w:r>
        <w:rPr>
          <w:rFonts w:ascii="Arial" w:cs="Arial Unicode MS" w:hAnsi="Arial Unicode MS" w:eastAsia="Arial Unicode MS"/>
          <w:rtl w:val="0"/>
        </w:rPr>
        <w:t>&lt;ESMA_QUESTION_DP_BMR_10&gt;</w:t>
      </w:r>
    </w:p>
    <w:p>
      <w:pPr>
        <w:pStyle w:val="Body"/>
        <w:rPr>
          <w:rtl w:val="0"/>
        </w:rPr>
      </w:pPr>
      <w:r>
        <w:rPr>
          <w:rFonts w:ascii="Arial" w:cs="Arial Unicode MS" w:hAnsi="Arial Unicode MS" w:eastAsia="Arial Unicode MS"/>
          <w:sz w:val="22"/>
          <w:szCs w:val="22"/>
          <w:rtl w:val="0"/>
          <w:lang w:val="en-US"/>
        </w:rPr>
        <w:t>As stated above, we believe the oversight committee</w:t>
      </w:r>
      <w:r>
        <w:rPr>
          <w:rFonts w:ascii="Arial Unicode MS" w:cs="Arial Unicode MS" w:hAnsi="Arial" w:eastAsia="Arial Unicode MS" w:hint="default"/>
          <w:sz w:val="22"/>
          <w:szCs w:val="22"/>
          <w:rtl w:val="0"/>
          <w:lang w:val="en-US"/>
        </w:rPr>
        <w:t>’</w:t>
      </w:r>
      <w:r>
        <w:rPr>
          <w:rFonts w:ascii="Arial" w:cs="Arial Unicode MS" w:hAnsi="Arial Unicode MS" w:eastAsia="Arial Unicode MS"/>
          <w:sz w:val="22"/>
          <w:szCs w:val="22"/>
          <w:rtl w:val="0"/>
          <w:lang w:val="en-US"/>
        </w:rPr>
        <w:t>s role includes ensuring effective governance and control for all the benchmarks or families of benchmarks under its authority. Part of this task will be to ensure that appropriate functions specific to each benchmark are operating effectively. We therefore believe the administrator should be permitted to implement a single oversight function where it can demonstrate that such approach is appropriate given the nature, number and complexity of the benchmarks it administers.</w:t>
      </w:r>
    </w:p>
    <w:p>
      <w:pPr>
        <w:pStyle w:val="Body"/>
        <w:rPr>
          <w:rtl w:val="0"/>
        </w:rPr>
      </w:pPr>
      <w:r>
        <w:rPr>
          <w:rFonts w:ascii="Arial" w:cs="Arial Unicode MS" w:hAnsi="Arial Unicode MS" w:eastAsia="Arial Unicode MS"/>
          <w:rtl w:val="0"/>
        </w:rPr>
        <w:t>&lt;ESMA_QUESTION_DP_BMR_10&gt;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Where an administrator provides critical benchmarks and significant or non-significant benchmarks, do you think it should establish different oversight functions depending on the nature, scale and complexity of the critical benchmarks versus the significant or non-significant benchmarks? </w:t>
      </w:r>
    </w:p>
    <w:p>
      <w:pPr>
        <w:pStyle w:val="Body"/>
        <w:rPr>
          <w:rtl w:val="0"/>
        </w:rPr>
      </w:pPr>
      <w:r>
        <w:rPr>
          <w:rFonts w:ascii="Arial" w:cs="Arial Unicode MS" w:hAnsi="Arial Unicode MS" w:eastAsia="Arial Unicode MS"/>
          <w:rtl w:val="0"/>
        </w:rPr>
        <w:t>&lt;ESMA_QUESTION_DP_BMR_11&gt;</w:t>
      </w:r>
    </w:p>
    <w:p>
      <w:pPr>
        <w:pStyle w:val="Body"/>
        <w:rPr>
          <w:rtl w:val="0"/>
        </w:rPr>
      </w:pPr>
      <w:r>
        <w:rPr>
          <w:rFonts w:ascii="Arial" w:cs="Arial Unicode MS" w:hAnsi="Arial Unicode MS" w:eastAsia="Arial Unicode MS"/>
          <w:sz w:val="22"/>
          <w:szCs w:val="22"/>
          <w:rtl w:val="0"/>
          <w:lang w:val="en-US"/>
        </w:rPr>
        <w:t>As stated above, we believe the oversight committee</w:t>
      </w:r>
      <w:r>
        <w:rPr>
          <w:rFonts w:ascii="Arial Unicode MS" w:cs="Arial Unicode MS" w:hAnsi="Arial" w:eastAsia="Arial Unicode MS" w:hint="default"/>
          <w:sz w:val="22"/>
          <w:szCs w:val="22"/>
          <w:rtl w:val="0"/>
          <w:lang w:val="en-US"/>
        </w:rPr>
        <w:t>’</w:t>
      </w:r>
      <w:r>
        <w:rPr>
          <w:rFonts w:ascii="Arial" w:cs="Arial Unicode MS" w:hAnsi="Arial Unicode MS" w:eastAsia="Arial Unicode MS"/>
          <w:sz w:val="22"/>
          <w:szCs w:val="22"/>
          <w:rtl w:val="0"/>
          <w:lang w:val="en-US"/>
        </w:rPr>
        <w:t xml:space="preserve">s role includes ensuring effective governance and control for all the benchmarks or families of benchmarks under its authority. Part of this would be to ensure that appropriate functions specific to each benchmark are operating effectively. Therefore we would support the use of a single oversight function where appropriate. Furthermore, the use of a single oversight committee covering all categories of benchmarks would ensure that all benchmarks benefited from the same high level of expertise, experience and consistent approach.  </w:t>
      </w:r>
    </w:p>
    <w:p>
      <w:pPr>
        <w:pStyle w:val="Body"/>
        <w:rPr>
          <w:rtl w:val="0"/>
        </w:rPr>
      </w:pPr>
      <w:r>
        <w:rPr>
          <w:rFonts w:ascii="Arial" w:cs="Arial Unicode MS" w:hAnsi="Arial Unicode MS" w:eastAsia="Arial Unicode MS"/>
          <w:rtl w:val="0"/>
        </w:rPr>
        <w:t>&lt;ESMA_QUESTION_DP_BMR_11&gt;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In which cases would you agree that contributors should be prevented from participating in oversight committees? </w:t>
      </w:r>
    </w:p>
    <w:p>
      <w:pPr>
        <w:pStyle w:val="Body"/>
        <w:rPr>
          <w:rtl w:val="0"/>
        </w:rPr>
      </w:pPr>
      <w:r>
        <w:rPr>
          <w:rFonts w:ascii="Arial" w:cs="Arial Unicode MS" w:hAnsi="Arial Unicode MS" w:eastAsia="Arial Unicode MS"/>
          <w:rtl w:val="0"/>
        </w:rPr>
        <w:t>&lt;ESMA_QUESTION_DP_BMR_12&gt;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 xml:space="preserve">When establishing the oversight committee the administrator should ensure that its members are sufficiently independent whilst also having the necessary expertise to effectively challenge the management of the administrator. We believe it should be left to the administrator to decide whether or not to admit contributors to the oversight committee as long as it fully considers and mitigates potential conflicts of interest in relation to this decision.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In this context, ESMA should note that contributors to benchmarks may be subject to significant conflicts of interest, especially when they are also users of the benchmark. However, contributors actively participate in markets that are represented by the benchmarks and they hence often have the necessary expertise to play a useful role as members of the oversight committee. ESMA also recognises this when it states that</w:t>
      </w:r>
      <w:r>
        <w:rPr>
          <w:rFonts w:hAnsi="Arial" w:hint="default"/>
          <w:sz w:val="22"/>
          <w:szCs w:val="22"/>
          <w:rtl w:val="0"/>
          <w:lang w:val="en-US"/>
        </w:rPr>
        <w:t xml:space="preserve"> “</w:t>
      </w:r>
      <w:r>
        <w:rPr>
          <w:rFonts w:ascii="Arial"/>
          <w:sz w:val="22"/>
          <w:szCs w:val="22"/>
          <w:rtl w:val="0"/>
          <w:lang w:val="en-US"/>
        </w:rPr>
        <w:t>where a benchmark is based on submissions and the oversight function takes the form of a committee, it may be important for representatives of the contributors to participate in the [oversight] committee</w:t>
      </w:r>
      <w:r>
        <w:rPr>
          <w:rFonts w:hAnsi="Arial" w:hint="default"/>
          <w:sz w:val="22"/>
          <w:szCs w:val="22"/>
          <w:rtl w:val="0"/>
          <w:lang w:val="en-US"/>
        </w:rPr>
        <w:t>”</w:t>
      </w:r>
      <w:r>
        <w:rPr>
          <w:rFonts w:ascii="Arial"/>
          <w:sz w:val="22"/>
          <w:szCs w:val="22"/>
          <w:rtl w:val="0"/>
        </w:rPr>
        <w:t>.</w:t>
      </w:r>
      <w:r>
        <w:rPr>
          <w:rFonts w:ascii="Arial" w:cs="Arial" w:hAnsi="Arial" w:eastAsia="Arial"/>
          <w:sz w:val="22"/>
          <w:szCs w:val="22"/>
          <w:vertAlign w:val="superscript"/>
          <w:rtl w:val="0"/>
        </w:rPr>
        <w:footnoteReference w:id="13"/>
      </w:r>
      <w:r>
        <w:rPr>
          <w:rFonts w:ascii="Arial"/>
          <w:sz w:val="22"/>
          <w:szCs w:val="22"/>
          <w:rtl w:val="0"/>
          <w:lang w:val="en-US"/>
        </w:rPr>
        <w:t xml:space="preserve"> We therefore recommend that ESMA neither require nor forbid certain arrangements in this respect but provide the administrator with the final responsibility in determining which composition of the oversight function is best suited to providing the necessary expertise while mitigating conflicts of interest.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Times New Roman" w:cs="Times New Roman" w:hAnsi="Times New Roman" w:eastAsia="Times New Roman"/>
          <w:sz w:val="24"/>
          <w:szCs w:val="24"/>
        </w:rPr>
      </w:pPr>
      <w:r>
        <w:rPr>
          <w:rFonts w:ascii="Arial"/>
          <w:sz w:val="22"/>
          <w:szCs w:val="22"/>
          <w:rtl w:val="0"/>
          <w:lang w:val="en-US"/>
        </w:rPr>
        <w:t>However, one should not admit to the oversight committee those specific individuals that themselves make submissions to the administrator or enter into transactions in benchmark related instruments as this would pose unacceptable conflicts of interest. In contrast, an individual that is employed by the contributor to oversee the submissions will be well positioned to provide valuable expertise whilst not being exposed to conflicts of interest that are not manageable.</w:t>
      </w:r>
    </w:p>
    <w:p>
      <w:pPr>
        <w:pStyle w:val="Body"/>
        <w:rPr>
          <w:rtl w:val="0"/>
        </w:rPr>
      </w:pPr>
      <w:r>
        <w:rPr>
          <w:rFonts w:ascii="Arial" w:cs="Arial Unicode MS" w:hAnsi="Arial Unicode MS" w:eastAsia="Arial Unicode MS"/>
          <w:rtl w:val="0"/>
        </w:rPr>
        <w:t>&lt;ESMA_QUESTION_DP_BMR_12&gt;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foresee additional costs to your business or, if you are not an administrator, to the business of others resulting from the establishment of multiple oversight functions in connection with the different businesses performed and/or the different nature, scale and type of benchmarks provided? Please describe the nature, and where possible provide estimates, of these costs.</w:t>
      </w:r>
    </w:p>
    <w:p>
      <w:pPr>
        <w:pStyle w:val="Body"/>
        <w:rPr>
          <w:rtl w:val="0"/>
        </w:rPr>
      </w:pPr>
      <w:r>
        <w:rPr>
          <w:rFonts w:ascii="Arial" w:cs="Arial Unicode MS" w:hAnsi="Arial Unicode MS" w:eastAsia="Arial Unicode MS"/>
          <w:rtl w:val="0"/>
        </w:rPr>
        <w:t>&lt;ESMA_QUESTION_DP_BMR_13&gt;</w:t>
      </w:r>
    </w:p>
    <w:p>
      <w:pPr>
        <w:pStyle w:val="Body"/>
        <w:rPr>
          <w:rtl w:val="0"/>
        </w:rPr>
      </w:pPr>
      <w:r>
        <w:rPr>
          <w:rFonts w:ascii="Arial" w:cs="Arial Unicode MS" w:hAnsi="Arial Unicode MS" w:eastAsia="Arial Unicode MS"/>
          <w:sz w:val="22"/>
          <w:szCs w:val="22"/>
          <w:rtl w:val="0"/>
          <w:lang w:val="en-US"/>
        </w:rPr>
        <w:t>As stated above, we support the ability for the administrator to establish a single oversight function if it believes it would be best suited given the nature of the benchmarks it administers.</w:t>
      </w:r>
    </w:p>
    <w:p>
      <w:pPr>
        <w:pStyle w:val="Body"/>
        <w:rPr>
          <w:rtl w:val="0"/>
        </w:rPr>
      </w:pPr>
      <w:r>
        <w:rPr>
          <w:rFonts w:ascii="Arial" w:cs="Arial Unicode MS" w:hAnsi="Arial Unicode MS" w:eastAsia="Arial Unicode MS"/>
          <w:rtl w:val="0"/>
        </w:rPr>
        <w:t>&lt;ESMA_QUESTION_DP_BMR_13&gt;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Do you agree that, in all cases, an oversight function should not be responsible for overseeing the business decisions of the management body? </w:t>
      </w:r>
    </w:p>
    <w:p>
      <w:pPr>
        <w:pStyle w:val="Body"/>
        <w:rPr>
          <w:rtl w:val="0"/>
        </w:rPr>
      </w:pPr>
      <w:r>
        <w:rPr>
          <w:rFonts w:ascii="Arial" w:cs="Arial Unicode MS" w:hAnsi="Arial Unicode MS" w:eastAsia="Arial Unicode MS"/>
          <w:rtl w:val="0"/>
        </w:rPr>
        <w:t>&lt;ESMA_QUESTION_DP_BMR_14&gt;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 xml:space="preserve">We agree that, in all cases, an oversight function should not be responsible for overseeing the business decisions of the management body.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Times New Roman" w:cs="Times New Roman" w:hAnsi="Times New Roman" w:eastAsia="Times New Roman"/>
          <w:sz w:val="24"/>
          <w:szCs w:val="24"/>
        </w:rPr>
      </w:pPr>
      <w:r>
        <w:rPr>
          <w:rFonts w:ascii="Arial"/>
          <w:sz w:val="22"/>
          <w:szCs w:val="22"/>
          <w:rtl w:val="0"/>
          <w:lang w:val="en-US"/>
        </w:rPr>
        <w:t>This is because the key function of the oversight committee is to provide effective challenge to the day-to-day administration of the benchmark. We believe that overseeing business decisions would expose the oversight committee to an unmanageable conflict of interest and question the independence of the function. For example, the oversight function could conclude that the administrator needs additional sources of data to ensure that a particular benchmark is representative of the market it covers but should not be involved in negotiating contracts with data providers or contributors in securing the data in question.</w:t>
      </w:r>
    </w:p>
    <w:p>
      <w:pPr>
        <w:pStyle w:val="Body"/>
        <w:rPr>
          <w:rtl w:val="0"/>
        </w:rPr>
      </w:pPr>
      <w:r>
        <w:rPr>
          <w:rFonts w:ascii="Arial" w:cs="Arial Unicode MS" w:hAnsi="Arial Unicode MS" w:eastAsia="Arial Unicode MS"/>
          <w:rtl w:val="0"/>
        </w:rPr>
        <w:t>&lt;ESMA_QUESTION_DP_BMR_14&gt;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support the proposed positioning of the oversight function of an administrator? If not, please explain your reasons why this positioning may not be appropriate.</w:t>
      </w:r>
    </w:p>
    <w:p>
      <w:pPr>
        <w:pStyle w:val="Body"/>
        <w:rPr>
          <w:rtl w:val="0"/>
        </w:rPr>
      </w:pPr>
      <w:r>
        <w:rPr>
          <w:rFonts w:ascii="Arial" w:cs="Arial Unicode MS" w:hAnsi="Arial Unicode MS" w:eastAsia="Arial Unicode MS"/>
          <w:rtl w:val="0"/>
        </w:rPr>
        <w:t>&lt;ESMA_QUESTION_DP_BMR_15&gt;</w:t>
      </w:r>
    </w:p>
    <w:p>
      <w:pPr>
        <w:pStyle w:val="Body"/>
        <w:rPr>
          <w:rtl w:val="0"/>
        </w:rPr>
      </w:pPr>
      <w:r>
        <w:rPr>
          <w:rFonts w:ascii="Arial" w:cs="Arial Unicode MS" w:hAnsi="Arial Unicode MS" w:eastAsia="Arial Unicode MS"/>
          <w:sz w:val="22"/>
          <w:szCs w:val="22"/>
          <w:rtl w:val="0"/>
          <w:lang w:val="en-US"/>
        </w:rPr>
        <w:t xml:space="preserve">We agree with ESMA that </w:t>
      </w:r>
      <w:r>
        <w:rPr>
          <w:rFonts w:ascii="Arial Unicode MS" w:cs="Arial Unicode MS" w:hAnsi="Arial" w:eastAsia="Arial Unicode MS" w:hint="default"/>
          <w:sz w:val="22"/>
          <w:szCs w:val="22"/>
          <w:rtl w:val="0"/>
          <w:lang w:val="en-US"/>
        </w:rPr>
        <w:t>“</w:t>
      </w:r>
      <w:r>
        <w:rPr>
          <w:rFonts w:ascii="Arial" w:cs="Arial Unicode MS" w:hAnsi="Arial Unicode MS" w:eastAsia="Arial Unicode MS"/>
          <w:sz w:val="22"/>
          <w:szCs w:val="22"/>
          <w:rtl w:val="0"/>
          <w:lang w:val="en-US"/>
        </w:rPr>
        <w:t>an oversight function should be embedded within an administrator</w:t>
      </w:r>
      <w:r>
        <w:rPr>
          <w:rFonts w:ascii="Arial Unicode MS" w:cs="Arial Unicode MS" w:hAnsi="Arial" w:eastAsia="Arial Unicode MS" w:hint="default"/>
          <w:sz w:val="22"/>
          <w:szCs w:val="22"/>
          <w:rtl w:val="0"/>
          <w:lang w:val="en-US"/>
        </w:rPr>
        <w:t>’</w:t>
      </w:r>
      <w:r>
        <w:rPr>
          <w:rFonts w:ascii="Arial" w:cs="Arial Unicode MS" w:hAnsi="Arial Unicode MS" w:eastAsia="Arial Unicode MS"/>
          <w:sz w:val="22"/>
          <w:szCs w:val="22"/>
          <w:rtl w:val="0"/>
          <w:lang w:val="en-US"/>
        </w:rPr>
        <w:t>s organisation to operate effectively</w:t>
      </w:r>
      <w:r>
        <w:rPr>
          <w:rFonts w:ascii="Arial Unicode MS" w:cs="Arial Unicode MS" w:hAnsi="Arial" w:eastAsia="Arial Unicode MS" w:hint="default"/>
          <w:sz w:val="22"/>
          <w:szCs w:val="22"/>
          <w:rtl w:val="0"/>
          <w:lang w:val="en-US"/>
        </w:rPr>
        <w:t xml:space="preserve">” </w:t>
      </w:r>
      <w:r>
        <w:rPr>
          <w:rFonts w:ascii="Arial" w:cs="Arial Unicode MS" w:hAnsi="Arial Unicode MS" w:eastAsia="Arial Unicode MS"/>
          <w:sz w:val="22"/>
          <w:szCs w:val="22"/>
          <w:rtl w:val="0"/>
          <w:lang w:val="en-US"/>
        </w:rPr>
        <w:t>and that internal members of the administrator</w:t>
      </w:r>
      <w:r>
        <w:rPr>
          <w:rFonts w:ascii="Arial Unicode MS" w:cs="Arial Unicode MS" w:hAnsi="Arial" w:eastAsia="Arial Unicode MS" w:hint="default"/>
          <w:sz w:val="22"/>
          <w:szCs w:val="22"/>
          <w:rtl w:val="0"/>
          <w:lang w:val="en-US"/>
        </w:rPr>
        <w:t>’</w:t>
      </w:r>
      <w:r>
        <w:rPr>
          <w:rFonts w:ascii="Arial" w:cs="Arial Unicode MS" w:hAnsi="Arial Unicode MS" w:eastAsia="Arial Unicode MS"/>
          <w:sz w:val="22"/>
          <w:szCs w:val="22"/>
          <w:rtl w:val="0"/>
          <w:lang w:val="en-US"/>
        </w:rPr>
        <w:t xml:space="preserve">s organisation should be represented in the oversight committee because they </w:t>
      </w:r>
      <w:r>
        <w:rPr>
          <w:rFonts w:ascii="Arial Unicode MS" w:cs="Arial Unicode MS" w:hAnsi="Arial" w:eastAsia="Arial Unicode MS" w:hint="default"/>
          <w:sz w:val="22"/>
          <w:szCs w:val="22"/>
          <w:rtl w:val="0"/>
          <w:lang w:val="en-US"/>
        </w:rPr>
        <w:t>“</w:t>
      </w:r>
      <w:r>
        <w:rPr>
          <w:rFonts w:ascii="Arial" w:cs="Arial Unicode MS" w:hAnsi="Arial Unicode MS" w:eastAsia="Arial Unicode MS"/>
          <w:sz w:val="22"/>
          <w:szCs w:val="22"/>
          <w:rtl w:val="0"/>
          <w:lang w:val="en-US"/>
        </w:rPr>
        <w:t>have the same knowledge and access to the confidential business details of a benchmark administrator in order to influence and effectively challenge the management body</w:t>
      </w:r>
      <w:r>
        <w:rPr>
          <w:rFonts w:ascii="Arial Unicode MS" w:cs="Arial Unicode MS" w:hAnsi="Arial" w:eastAsia="Arial Unicode MS" w:hint="default"/>
          <w:sz w:val="22"/>
          <w:szCs w:val="22"/>
          <w:rtl w:val="0"/>
          <w:lang w:val="en-US"/>
        </w:rPr>
        <w:t>”</w:t>
      </w:r>
      <w:r>
        <w:rPr>
          <w:rFonts w:ascii="Arial" w:cs="Arial Unicode MS" w:hAnsi="Arial Unicode MS" w:eastAsia="Arial Unicode MS"/>
          <w:sz w:val="22"/>
          <w:szCs w:val="22"/>
          <w:rtl w:val="0"/>
          <w:lang w:val="en-US"/>
        </w:rPr>
        <w:t xml:space="preserve">. We further agree that any conflict of interest for internal members of the oversight committee can be mitigated by ensuring </w:t>
      </w:r>
      <w:r>
        <w:rPr>
          <w:rFonts w:ascii="Arial Unicode MS" w:cs="Arial Unicode MS" w:hAnsi="Arial" w:eastAsia="Arial Unicode MS" w:hint="default"/>
          <w:sz w:val="22"/>
          <w:szCs w:val="22"/>
          <w:rtl w:val="0"/>
          <w:lang w:val="en-US"/>
        </w:rPr>
        <w:t>“</w:t>
      </w:r>
      <w:r>
        <w:rPr>
          <w:rFonts w:ascii="Arial" w:cs="Arial Unicode MS" w:hAnsi="Arial Unicode MS" w:eastAsia="Arial Unicode MS"/>
          <w:sz w:val="22"/>
          <w:szCs w:val="22"/>
          <w:rtl w:val="0"/>
          <w:lang w:val="en-US"/>
        </w:rPr>
        <w:t>operational separation from the parts of the administrator structure dealing with the provision of benchmarks</w:t>
      </w:r>
      <w:r>
        <w:rPr>
          <w:rFonts w:ascii="Arial Unicode MS" w:cs="Arial Unicode MS" w:hAnsi="Arial" w:eastAsia="Arial Unicode MS" w:hint="default"/>
          <w:sz w:val="22"/>
          <w:szCs w:val="22"/>
          <w:rtl w:val="0"/>
          <w:lang w:val="en-US"/>
        </w:rPr>
        <w:t>”</w:t>
      </w:r>
      <w:r>
        <w:rPr>
          <w:rFonts w:ascii="Arial" w:cs="Arial Unicode MS" w:hAnsi="Arial Unicode MS" w:eastAsia="Arial Unicode MS"/>
          <w:sz w:val="22"/>
          <w:szCs w:val="22"/>
          <w:rtl w:val="0"/>
        </w:rPr>
        <w:t>.</w:t>
      </w:r>
      <w:r>
        <w:rPr>
          <w:rFonts w:ascii="Arial" w:cs="Arial" w:hAnsi="Arial" w:eastAsia="Arial"/>
          <w:b w:val="0"/>
          <w:bCs w:val="0"/>
          <w:i w:val="0"/>
          <w:iCs w:val="0"/>
          <w:sz w:val="22"/>
          <w:szCs w:val="22"/>
          <w:vertAlign w:val="superscript"/>
        </w:rPr>
        <w:footnoteReference w:id="14"/>
      </w:r>
    </w:p>
    <w:p>
      <w:pPr>
        <w:pStyle w:val="Body"/>
        <w:rPr>
          <w:rtl w:val="0"/>
        </w:rPr>
      </w:pPr>
      <w:r>
        <w:rPr>
          <w:rFonts w:ascii="Arial" w:cs="Arial Unicode MS" w:hAnsi="Arial Unicode MS" w:eastAsia="Arial Unicode MS"/>
          <w:rtl w:val="0"/>
        </w:rPr>
        <w:t>&lt;ESMA_QUESTION_DP_BMR_15&gt;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have any additional comments with regard to the procedures for the oversight function as well as the composition and positioning of the oversight function within an administrator</w:t>
      </w:r>
      <w:r>
        <w:rPr>
          <w:rFonts w:ascii="Calibri" w:cs="Calibri" w:hAnsi="Calibri" w:eastAsia="Calibri"/>
          <w:rtl w:val="0"/>
          <w:lang w:val="en-US"/>
        </w:rPr>
        <w:t>’</w:t>
      </w:r>
      <w:r>
        <w:rPr>
          <w:rFonts w:ascii="Calibri" w:cs="Calibri" w:hAnsi="Calibri" w:eastAsia="Calibri"/>
          <w:rtl w:val="0"/>
          <w:lang w:val="en-US"/>
        </w:rPr>
        <w:t>s organisation?</w:t>
      </w:r>
    </w:p>
    <w:p>
      <w:pPr>
        <w:pStyle w:val="Body"/>
        <w:rPr>
          <w:rtl w:val="0"/>
        </w:rPr>
      </w:pPr>
      <w:r>
        <w:rPr>
          <w:rFonts w:ascii="Arial" w:cs="Arial Unicode MS" w:hAnsi="Arial Unicode MS" w:eastAsia="Arial Unicode MS"/>
          <w:rtl w:val="0"/>
        </w:rPr>
        <w:t>&lt;ESMA_QUESTION_DP_BMR_16&gt;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 xml:space="preserve">ESMA suggested that the oversight committee </w:t>
      </w:r>
      <w:r>
        <w:rPr>
          <w:rFonts w:hAnsi="Arial" w:hint="default"/>
          <w:sz w:val="22"/>
          <w:szCs w:val="22"/>
          <w:rtl w:val="0"/>
          <w:lang w:val="en-US"/>
        </w:rPr>
        <w:t>“</w:t>
      </w:r>
      <w:r>
        <w:rPr>
          <w:rFonts w:ascii="Arial"/>
          <w:sz w:val="22"/>
          <w:szCs w:val="22"/>
          <w:rtl w:val="0"/>
          <w:lang w:val="en-US"/>
        </w:rPr>
        <w:t>should operate as a consultative body of the administrator, interacting directly with the management body</w:t>
      </w:r>
      <w:r>
        <w:rPr>
          <w:rFonts w:hAnsi="Arial" w:hint="default"/>
          <w:sz w:val="22"/>
          <w:szCs w:val="22"/>
          <w:rtl w:val="0"/>
          <w:lang w:val="en-US"/>
        </w:rPr>
        <w:t xml:space="preserve">” </w:t>
      </w:r>
      <w:r>
        <w:rPr>
          <w:rFonts w:ascii="Arial"/>
          <w:sz w:val="22"/>
          <w:szCs w:val="22"/>
          <w:rtl w:val="0"/>
          <w:lang w:val="en-US"/>
        </w:rPr>
        <w:t xml:space="preserve">while it, at the same time, </w:t>
      </w:r>
      <w:r>
        <w:rPr>
          <w:rFonts w:hAnsi="Arial" w:hint="default"/>
          <w:sz w:val="22"/>
          <w:szCs w:val="22"/>
          <w:rtl w:val="0"/>
          <w:lang w:val="en-US"/>
        </w:rPr>
        <w:t>“</w:t>
      </w:r>
      <w:r>
        <w:rPr>
          <w:rFonts w:ascii="Arial"/>
          <w:sz w:val="22"/>
          <w:szCs w:val="22"/>
          <w:rtl w:val="0"/>
          <w:lang w:val="en-US"/>
        </w:rPr>
        <w:t>independently reports any misconduct by contributors or administrators, of which it becomes aware, to the relevant competent authorities</w:t>
      </w:r>
      <w:r>
        <w:rPr>
          <w:rFonts w:hAnsi="Arial" w:hint="default"/>
          <w:sz w:val="22"/>
          <w:szCs w:val="22"/>
          <w:rtl w:val="0"/>
          <w:lang w:val="en-US"/>
        </w:rPr>
        <w:t>”</w:t>
      </w:r>
      <w:r>
        <w:rPr>
          <w:rFonts w:ascii="Arial"/>
          <w:sz w:val="22"/>
          <w:szCs w:val="22"/>
          <w:rtl w:val="0"/>
        </w:rPr>
        <w:t>.</w:t>
      </w:r>
      <w:r>
        <w:rPr>
          <w:rFonts w:ascii="Arial" w:cs="Arial" w:hAnsi="Arial" w:eastAsia="Arial"/>
          <w:sz w:val="22"/>
          <w:szCs w:val="22"/>
          <w:vertAlign w:val="superscript"/>
          <w:rtl w:val="0"/>
        </w:rPr>
        <w:footnoteReference w:id="15"/>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Times New Roman" w:cs="Times New Roman" w:hAnsi="Times New Roman" w:eastAsia="Times New Roman"/>
          <w:sz w:val="24"/>
          <w:szCs w:val="24"/>
        </w:rPr>
      </w:pPr>
      <w:r>
        <w:rPr>
          <w:rFonts w:ascii="Arial"/>
          <w:sz w:val="22"/>
          <w:szCs w:val="22"/>
          <w:rtl w:val="0"/>
          <w:lang w:val="en-US"/>
        </w:rPr>
        <w:t>We generally agree with ESMA</w:t>
      </w:r>
      <w:r>
        <w:rPr>
          <w:rFonts w:hAnsi="Arial" w:hint="default"/>
          <w:sz w:val="22"/>
          <w:szCs w:val="22"/>
          <w:rtl w:val="0"/>
          <w:lang w:val="en-US"/>
        </w:rPr>
        <w:t>’</w:t>
      </w:r>
      <w:r>
        <w:rPr>
          <w:rFonts w:ascii="Arial"/>
          <w:sz w:val="22"/>
          <w:szCs w:val="22"/>
          <w:rtl w:val="0"/>
          <w:lang w:val="en-US"/>
        </w:rPr>
        <w:t>s assessment of the roles and responsibilities of the oversight committee. For the oversight committee to be able to discharge its duties effectively it may be beneficial to consider active participation from all stakeholders including the contributors, the administrator and the users of the benchmark. In doing so, the composition of the oversight function should be adequately distributed across different functions within these organisations to ensure that the individual members of the committee are able to impose sufficient scrutiny on the activities of the administrator and its adherence to the Regulation. In addition, administrators should choose the persons from these organisations to minimize conflicts of interest. For example, the oversight committee should generally not include any persons making submissions to or taking positions in the benchmark.</w:t>
      </w:r>
    </w:p>
    <w:p>
      <w:pPr>
        <w:pStyle w:val="Body"/>
        <w:rPr>
          <w:rtl w:val="0"/>
        </w:rPr>
      </w:pPr>
      <w:r>
        <w:rPr>
          <w:rFonts w:ascii="Arial" w:cs="Arial Unicode MS" w:hAnsi="Arial Unicode MS" w:eastAsia="Arial Unicode MS"/>
          <w:rtl w:val="0"/>
        </w:rPr>
        <w:t>&lt;ESMA_QUESTION_DP_BMR_16&gt;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with the proposed list of elements of procedures required for all oversight functions? Should different procedures be employed for different types of benchmarks?</w:t>
      </w:r>
    </w:p>
    <w:p>
      <w:pPr>
        <w:pStyle w:val="Body"/>
        <w:rPr>
          <w:rtl w:val="0"/>
        </w:rPr>
      </w:pPr>
      <w:r>
        <w:rPr>
          <w:rFonts w:ascii="Arial" w:cs="Arial Unicode MS" w:hAnsi="Arial Unicode MS" w:eastAsia="Arial Unicode MS"/>
          <w:rtl w:val="0"/>
        </w:rPr>
        <w:t>&lt;ESMA_QUESTION_DP_BMR_17&gt;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 xml:space="preserve">We generally support the list of elements of procedures that ESMA proposed to be required for all oversight functions.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Times New Roman" w:cs="Times New Roman" w:hAnsi="Times New Roman" w:eastAsia="Times New Roman"/>
          <w:sz w:val="24"/>
          <w:szCs w:val="24"/>
        </w:rPr>
      </w:pPr>
      <w:r>
        <w:rPr>
          <w:rFonts w:ascii="Arial"/>
          <w:sz w:val="22"/>
          <w:szCs w:val="22"/>
          <w:rtl w:val="0"/>
          <w:lang w:val="en-US"/>
        </w:rPr>
        <w:t>However, we would be concerned if additional requirements were prescribed or forbidden by ESMA. For instance, we would question the value of requiring the administrator to publish the names of individual members of any board or committee charged with the oversight function and trust a description of the functions represented in the oversight functions provides a sufficient detailed summary of membership. As stated above, we believe it should be the responsibility of the oversight committee and the administrator to ensure that appropriate procedures are in place.</w:t>
      </w:r>
    </w:p>
    <w:p>
      <w:pPr>
        <w:pStyle w:val="Body"/>
        <w:rPr>
          <w:rtl w:val="0"/>
        </w:rPr>
      </w:pPr>
      <w:r>
        <w:rPr>
          <w:rFonts w:ascii="Arial" w:cs="Arial Unicode MS" w:hAnsi="Arial Unicode MS" w:eastAsia="Arial Unicode MS"/>
          <w:rtl w:val="0"/>
        </w:rPr>
        <w:t>&lt;ESMA_QUESTION_DP_BMR_17&gt;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with the proposed treatment of conflicts of interest arising from the composition of an oversight function? Have you identified any additional conflicts which ESMA should consider in drafting the RTS?</w:t>
      </w:r>
    </w:p>
    <w:p>
      <w:pPr>
        <w:pStyle w:val="Body"/>
        <w:rPr>
          <w:rtl w:val="0"/>
        </w:rPr>
      </w:pPr>
      <w:r>
        <w:rPr>
          <w:rFonts w:ascii="Arial" w:cs="Arial Unicode MS" w:hAnsi="Arial Unicode MS" w:eastAsia="Arial Unicode MS"/>
          <w:rtl w:val="0"/>
        </w:rPr>
        <w:t>&lt;ESMA_QUESTION_DP_BMR_18&gt;</w:t>
      </w:r>
    </w:p>
    <w:p>
      <w:pPr>
        <w:pStyle w:val="Body"/>
        <w:rPr>
          <w:rtl w:val="0"/>
        </w:rPr>
      </w:pPr>
      <w:r>
        <w:rPr>
          <w:rFonts w:ascii="Arial" w:cs="Arial Unicode MS" w:hAnsi="Arial Unicode MS" w:eastAsia="Arial Unicode MS"/>
          <w:sz w:val="22"/>
          <w:szCs w:val="22"/>
          <w:rtl w:val="0"/>
          <w:lang w:val="en-US"/>
        </w:rPr>
        <w:t>Please refer to our response to Question 16.</w:t>
      </w:r>
    </w:p>
    <w:p>
      <w:pPr>
        <w:pStyle w:val="Body"/>
        <w:rPr>
          <w:rtl w:val="0"/>
        </w:rPr>
      </w:pPr>
      <w:r>
        <w:rPr>
          <w:rFonts w:ascii="Arial" w:cs="Arial Unicode MS" w:hAnsi="Arial Unicode MS" w:eastAsia="Arial Unicode MS"/>
          <w:rtl w:val="0"/>
        </w:rPr>
        <w:t>&lt;ESMA_QUESTION_DP_BMR_18&gt;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with the list of records to be kept by the administrator for input data verification? If not, please specify which information is superfluous / which additional information is needed and why.</w:t>
      </w:r>
    </w:p>
    <w:p>
      <w:pPr>
        <w:pStyle w:val="Body"/>
        <w:rPr>
          <w:rtl w:val="0"/>
        </w:rPr>
      </w:pPr>
      <w:r>
        <w:rPr>
          <w:rFonts w:ascii="Arial" w:cs="Arial Unicode MS" w:hAnsi="Arial Unicode MS" w:eastAsia="Arial Unicode MS"/>
          <w:rtl w:val="0"/>
        </w:rPr>
        <w:t>&lt;ESMA_QUESTION_DP_BMR_19&gt;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We believe that ESMA</w:t>
      </w:r>
      <w:r>
        <w:rPr>
          <w:rFonts w:hAnsi="Arial" w:hint="default"/>
          <w:sz w:val="22"/>
          <w:szCs w:val="22"/>
          <w:rtl w:val="0"/>
          <w:lang w:val="en-US"/>
        </w:rPr>
        <w:t>’</w:t>
      </w:r>
      <w:r>
        <w:rPr>
          <w:rFonts w:ascii="Arial"/>
          <w:sz w:val="22"/>
          <w:szCs w:val="22"/>
          <w:rtl w:val="0"/>
          <w:lang w:val="en-US"/>
        </w:rPr>
        <w:t xml:space="preserve">s proposed approach to the record keeping requirements for administrators could be highly problematic, disproportionate and duplicative, and would cause significant commercial and logistical challenges.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We recommend that administrators establish the right to request relevant data underlying submissions from submitters to be in a position to verify and/or challenge how any submission was determined. We agree with ESMA that the costs of the actual storage of the records would not be the main issue in this context. However, key areas of concern are the difficulty of arranging for the transmission of such data and the confidentiality of such data (which often represent trade secrets and competitive intelligence) resulting in further exacerbating the disincentives for submissions. Specifically, any regular submission of all of the relevant data would be highly problematic for the following reasons:</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4"/>
          <w:szCs w:val="24"/>
        </w:rPr>
      </w:pPr>
    </w:p>
    <w:p>
      <w:pPr>
        <w:pStyle w:val="List Paragraph"/>
        <w:numPr>
          <w:ilvl w:val="0"/>
          <w:numId w:val="36"/>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0"/>
        </w:tabs>
        <w:suppressAutoHyphens w:val="1"/>
        <w:bidi w:val="0"/>
        <w:ind w:left="360" w:right="0" w:hanging="360"/>
        <w:jc w:val="both"/>
        <w:rPr>
          <w:rFonts w:ascii="Arial" w:cs="Arial" w:hAnsi="Arial" w:eastAsia="Arial"/>
          <w:position w:val="0"/>
          <w:sz w:val="22"/>
          <w:szCs w:val="22"/>
          <w:rtl w:val="0"/>
        </w:rPr>
      </w:pPr>
      <w:r>
        <w:rPr>
          <w:rFonts w:ascii="Arial"/>
          <w:rtl w:val="0"/>
          <w:lang w:val="en-US"/>
        </w:rPr>
        <w:t xml:space="preserve">ESMA suggests the administrator would need to obtain the </w:t>
      </w:r>
      <w:r>
        <w:rPr>
          <w:rFonts w:hAnsi="Arial" w:hint="default"/>
          <w:rtl w:val="0"/>
          <w:lang w:val="en-US"/>
        </w:rPr>
        <w:t>“</w:t>
      </w:r>
      <w:r>
        <w:rPr>
          <w:rFonts w:ascii="Arial"/>
          <w:rtl w:val="0"/>
          <w:lang w:val="en-US"/>
        </w:rPr>
        <w:t>names and role(s) of the individuals responsible for submissions and approval</w:t>
      </w:r>
      <w:r>
        <w:rPr>
          <w:rFonts w:hAnsi="Arial" w:hint="default"/>
          <w:rtl w:val="0"/>
          <w:lang w:val="en-US"/>
        </w:rPr>
        <w:t>”</w:t>
      </w:r>
      <w:r>
        <w:rPr>
          <w:rFonts w:ascii="Arial"/>
          <w:rtl w:val="0"/>
          <w:lang w:val="en-US"/>
        </w:rPr>
        <w:t>.</w:t>
      </w:r>
      <w:r>
        <w:rPr>
          <w:rFonts w:ascii="Arial" w:cs="Arial" w:hAnsi="Arial" w:eastAsia="Arial"/>
          <w:vertAlign w:val="superscript"/>
        </w:rPr>
        <w:footnoteReference w:id="16"/>
      </w:r>
      <w:r>
        <w:rPr>
          <w:rFonts w:ascii="Arial"/>
          <w:rtl w:val="0"/>
          <w:lang w:val="en-US"/>
        </w:rPr>
        <w:t xml:space="preserve"> However, ESMA should note that contributors will be reluctant to provide this personal data while it is unclear how this would support the stated goal of </w:t>
      </w:r>
      <w:r>
        <w:rPr>
          <w:rFonts w:hAnsi="Arial" w:hint="default"/>
          <w:rtl w:val="0"/>
          <w:lang w:val="en-US"/>
        </w:rPr>
        <w:t>“</w:t>
      </w:r>
      <w:r>
        <w:rPr>
          <w:rFonts w:ascii="Arial"/>
          <w:rtl w:val="0"/>
          <w:lang w:val="en-US"/>
        </w:rPr>
        <w:t>being able to reconstruct a given contribution based on recorded information</w:t>
      </w:r>
      <w:r>
        <w:rPr>
          <w:rFonts w:hAnsi="Arial" w:hint="default"/>
          <w:rtl w:val="0"/>
          <w:lang w:val="en-US"/>
        </w:rPr>
        <w:t>”</w:t>
      </w:r>
      <w:r>
        <w:rPr>
          <w:rFonts w:ascii="Arial"/>
          <w:rtl w:val="0"/>
          <w:lang w:val="en-US"/>
        </w:rPr>
        <w:t>. Furthermore, holding details of individuals would require administrators to record non-public personal data that could prove problematic in the context of data protection rules, increase the burden and provide further disincentive for contributors to continue their contributions.</w:t>
      </w:r>
      <w:r>
        <w:rPr>
          <w:rFonts w:ascii="Arial" w:cs="Arial" w:hAnsi="Arial" w:eastAsia="Arial"/>
          <w:vertAlign w:val="superscript"/>
        </w:rPr>
        <w:footnoteReference w:id="17"/>
      </w:r>
      <w:r>
        <w:rPr>
          <w:rFonts w:ascii="Arial"/>
          <w:rtl w:val="0"/>
          <w:lang w:val="en-US"/>
        </w:rPr>
        <w:t xml:space="preserve"> </w:t>
      </w:r>
    </w:p>
    <w:p>
      <w:pPr>
        <w:pStyle w:val="List Paragraph"/>
        <w:numPr>
          <w:ilvl w:val="0"/>
          <w:numId w:val="37"/>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0"/>
        </w:tabs>
        <w:suppressAutoHyphens w:val="1"/>
        <w:bidi w:val="0"/>
        <w:ind w:left="360" w:right="0" w:hanging="360"/>
        <w:jc w:val="both"/>
        <w:rPr>
          <w:rFonts w:ascii="Arial" w:cs="Arial" w:hAnsi="Arial" w:eastAsia="Arial"/>
          <w:position w:val="0"/>
          <w:sz w:val="22"/>
          <w:szCs w:val="22"/>
          <w:rtl w:val="0"/>
        </w:rPr>
      </w:pPr>
      <w:r>
        <w:rPr>
          <w:rFonts w:ascii="Arial"/>
          <w:rtl w:val="0"/>
          <w:lang w:val="en-US"/>
        </w:rPr>
        <w:t xml:space="preserve">Requiring administrators to keep records of </w:t>
      </w:r>
      <w:r>
        <w:rPr>
          <w:rFonts w:hAnsi="Arial" w:hint="default"/>
          <w:rtl w:val="0"/>
          <w:lang w:val="en-US"/>
        </w:rPr>
        <w:t>“</w:t>
      </w:r>
      <w:r>
        <w:rPr>
          <w:rFonts w:ascii="Arial"/>
          <w:rtl w:val="0"/>
          <w:lang w:val="en-US"/>
        </w:rPr>
        <w:t>material transactions or market data which were deliberately excluded from contribution</w:t>
      </w:r>
      <w:r>
        <w:rPr>
          <w:rFonts w:hAnsi="Arial" w:hint="default"/>
          <w:rtl w:val="0"/>
          <w:lang w:val="en-US"/>
        </w:rPr>
        <w:t>”</w:t>
      </w:r>
      <w:r>
        <w:rPr>
          <w:rFonts w:ascii="Arial"/>
          <w:rtl w:val="0"/>
          <w:lang w:val="en-US"/>
        </w:rPr>
        <w:t xml:space="preserve"> would also be extremely problematic. This is because administrators do not have access to the transactions or positions of their contributors and contributors would be highly unlikely to provide such confidential information to them on a systematic basis. </w:t>
      </w:r>
    </w:p>
    <w:p>
      <w:pPr>
        <w:pStyle w:val="List Paragraph"/>
        <w:numPr>
          <w:ilvl w:val="0"/>
          <w:numId w:val="38"/>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0"/>
        </w:tabs>
        <w:suppressAutoHyphens w:val="1"/>
        <w:bidi w:val="0"/>
        <w:ind w:left="360" w:right="0" w:hanging="360"/>
        <w:jc w:val="both"/>
        <w:rPr>
          <w:rFonts w:ascii="Arial" w:cs="Arial" w:hAnsi="Arial" w:eastAsia="Arial"/>
          <w:position w:val="0"/>
          <w:sz w:val="22"/>
          <w:szCs w:val="22"/>
          <w:rtl w:val="0"/>
        </w:rPr>
      </w:pPr>
      <w:r>
        <w:rPr>
          <w:rFonts w:ascii="Arial"/>
          <w:rtl w:val="0"/>
          <w:lang w:val="en-US"/>
        </w:rPr>
        <w:t>Requiring administrators to keep records of deviations from procedures and practices governing contributions as well as, in case of non-transaction data, data used, underlying variables, criteria, and assumptions may require a substantial IT system and control change for the contributor to be able to deliver this piece of information to the administrator in an efficient and systematic way.</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4"/>
          <w:szCs w:val="24"/>
          <w:lang w:val="en-US"/>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de-DE"/>
        </w:rPr>
        <w:t>We welcome ESMA</w:t>
      </w:r>
      <w:r>
        <w:rPr>
          <w:rFonts w:hAnsi="Arial" w:hint="default"/>
          <w:sz w:val="22"/>
          <w:szCs w:val="22"/>
          <w:rtl w:val="0"/>
          <w:lang w:val="en-US"/>
        </w:rPr>
        <w:t>’</w:t>
      </w:r>
      <w:r>
        <w:rPr>
          <w:rFonts w:ascii="Arial"/>
          <w:sz w:val="22"/>
          <w:szCs w:val="22"/>
          <w:rtl w:val="0"/>
          <w:lang w:val="en-US"/>
        </w:rPr>
        <w:t xml:space="preserve">s proposal for only </w:t>
      </w:r>
      <w:r>
        <w:rPr>
          <w:rFonts w:hAnsi="Arial" w:hint="default"/>
          <w:sz w:val="22"/>
          <w:szCs w:val="22"/>
          <w:rtl w:val="0"/>
          <w:lang w:val="en-US"/>
        </w:rPr>
        <w:t>“</w:t>
      </w:r>
      <w:r>
        <w:rPr>
          <w:rFonts w:ascii="Arial"/>
          <w:sz w:val="22"/>
          <w:szCs w:val="22"/>
          <w:rtl w:val="0"/>
          <w:lang w:val="nl-NL"/>
        </w:rPr>
        <w:t>relevant</w:t>
      </w:r>
      <w:r>
        <w:rPr>
          <w:rFonts w:hAnsi="Arial" w:hint="default"/>
          <w:sz w:val="22"/>
          <w:szCs w:val="22"/>
          <w:rtl w:val="0"/>
          <w:lang w:val="en-US"/>
        </w:rPr>
        <w:t>”</w:t>
      </w:r>
      <w:r>
        <w:rPr>
          <w:rFonts w:ascii="Arial"/>
          <w:sz w:val="22"/>
          <w:szCs w:val="22"/>
          <w:rtl w:val="0"/>
          <w:lang w:val="en-US"/>
        </w:rPr>
        <w:t xml:space="preserve"> communications between the parties involved (i.e., contributors, approvers and calculation agents) to be recorded by the administrator.</w:t>
      </w:r>
      <w:r>
        <w:rPr>
          <w:rFonts w:ascii="Arial" w:cs="Arial" w:hAnsi="Arial" w:eastAsia="Arial"/>
          <w:sz w:val="22"/>
          <w:szCs w:val="22"/>
          <w:vertAlign w:val="superscript"/>
          <w:rtl w:val="0"/>
        </w:rPr>
        <w:footnoteReference w:id="18"/>
      </w:r>
      <w:r>
        <w:rPr>
          <w:rFonts w:ascii="Arial"/>
          <w:sz w:val="22"/>
          <w:szCs w:val="22"/>
          <w:rtl w:val="0"/>
          <w:lang w:val="en-US"/>
        </w:rPr>
        <w:t xml:space="preserve"> We believe such an approach could make this requirement more manageable, especially for smaller administrators. In its final proposals ESMA should further allow administrators to assess the relevance of communication to be stored. ESMA should also note that the requirement to record </w:t>
      </w:r>
      <w:r>
        <w:rPr>
          <w:rFonts w:hAnsi="Arial" w:hint="default"/>
          <w:sz w:val="22"/>
          <w:szCs w:val="22"/>
          <w:rtl w:val="0"/>
          <w:lang w:val="en-US"/>
        </w:rPr>
        <w:t>“</w:t>
      </w:r>
      <w:r>
        <w:rPr>
          <w:rFonts w:ascii="Arial"/>
          <w:sz w:val="22"/>
          <w:szCs w:val="22"/>
          <w:rtl w:val="0"/>
          <w:lang w:val="en-US"/>
        </w:rPr>
        <w:t>substantial exposures of individual traders or trading desks to benchmark related instruments, as well as changes therein</w:t>
      </w:r>
      <w:r>
        <w:rPr>
          <w:rFonts w:hAnsi="Arial" w:hint="default"/>
          <w:sz w:val="22"/>
          <w:szCs w:val="22"/>
          <w:rtl w:val="0"/>
          <w:lang w:val="en-US"/>
        </w:rPr>
        <w:t>”</w:t>
      </w:r>
      <w:r>
        <w:rPr>
          <w:rFonts w:ascii="Arial" w:cs="Arial" w:hAnsi="Arial" w:eastAsia="Arial"/>
          <w:sz w:val="22"/>
          <w:szCs w:val="22"/>
          <w:vertAlign w:val="superscript"/>
          <w:rtl w:val="0"/>
        </w:rPr>
        <w:footnoteReference w:id="19"/>
      </w:r>
      <w:r>
        <w:rPr>
          <w:rFonts w:ascii="Arial"/>
          <w:sz w:val="22"/>
          <w:szCs w:val="22"/>
          <w:rtl w:val="0"/>
          <w:lang w:val="en-US"/>
        </w:rPr>
        <w:t xml:space="preserve"> is duplicative to the requirement of Article 7(3a) which requires administrators to exercise additional scrutiny on submissions made from a front office function.</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4"/>
          <w:szCs w:val="24"/>
        </w:rPr>
      </w:pPr>
      <w:r>
        <w:rPr>
          <w:rFonts w:ascii="Arial"/>
          <w:sz w:val="22"/>
          <w:szCs w:val="22"/>
          <w:rtl w:val="0"/>
          <w:lang w:val="en-US"/>
        </w:rPr>
        <w:t>ESMA should also consider whether the level of information required to be stored could be made more proportionate to the nature and number of the contributors. For example, for a benchmark that only covers a single variable and is based on contributions from only a few submitters it may be more appropriate to keep detailed records. In contrast, where the determination of the benchmark relies on contributions from a large number of submitters for numerous instruments, not only would the burden of record keeping be far greater but also keeping detailed records of each and every contribution seems unnecessary as outliers and anomalies could be more easily identified based on the information received.</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Times New Roman" w:cs="Times New Roman" w:hAnsi="Times New Roman" w:eastAsia="Times New Roman"/>
          <w:sz w:val="24"/>
          <w:szCs w:val="24"/>
        </w:rPr>
      </w:pPr>
      <w:r>
        <w:rPr>
          <w:rFonts w:ascii="Arial"/>
          <w:sz w:val="22"/>
          <w:szCs w:val="22"/>
          <w:rtl w:val="0"/>
          <w:lang w:val="en-US"/>
        </w:rPr>
        <w:t>Finally, we encourage ESMA to clarify exactly which data the requirements would apply to. Specifically, we believe it would be disproportionate to require benchmark administrators to keep detailed records of data that is readily available or originally produced for purposes other than the benchmark, such as valuation for instance.</w:t>
      </w:r>
    </w:p>
    <w:p>
      <w:pPr>
        <w:pStyle w:val="Body"/>
        <w:rPr>
          <w:rtl w:val="0"/>
        </w:rPr>
      </w:pPr>
      <w:r>
        <w:rPr>
          <w:rFonts w:ascii="Arial" w:cs="Arial Unicode MS" w:hAnsi="Arial Unicode MS" w:eastAsia="Arial Unicode MS"/>
          <w:rtl w:val="0"/>
        </w:rPr>
        <w:t>&lt;ESMA_QUESTION_DP_BMR_19&gt;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that, for the information to be transmitted to the administrator in view of ensuring the verifiability of input data, weekly transmission is sufficient? Would you instead consider it appropriate to leave the frequency of transmission to be defined by the administrator (i.e. in the code of conduct)?</w:t>
      </w:r>
    </w:p>
    <w:p>
      <w:pPr>
        <w:pStyle w:val="Body"/>
        <w:rPr>
          <w:rtl w:val="0"/>
        </w:rPr>
      </w:pPr>
      <w:r>
        <w:rPr>
          <w:rFonts w:ascii="Arial" w:cs="Arial Unicode MS" w:hAnsi="Arial Unicode MS" w:eastAsia="Arial Unicode MS"/>
          <w:rtl w:val="0"/>
        </w:rPr>
        <w:t>&lt;ESMA_QUESTION_DP_BMR_20&gt;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ESMA identified three key processes to be used by administrators to scrutinize their input data, namely evaluation, validation and verification.</w:t>
      </w:r>
      <w:r>
        <w:rPr>
          <w:rFonts w:ascii="Arial" w:cs="Arial" w:hAnsi="Arial" w:eastAsia="Arial"/>
          <w:sz w:val="22"/>
          <w:szCs w:val="22"/>
          <w:vertAlign w:val="superscript"/>
          <w:rtl w:val="0"/>
        </w:rPr>
        <w:footnoteReference w:id="20"/>
      </w:r>
      <w:r>
        <w:rPr>
          <w:rFonts w:ascii="Arial"/>
          <w:sz w:val="22"/>
          <w:szCs w:val="22"/>
          <w:rtl w:val="0"/>
          <w:lang w:val="en-US"/>
        </w:rPr>
        <w:t xml:space="preserve"> While evaluation and validation are dependent on the input data submitted by the contributor, verification would consist of an</w:t>
      </w:r>
      <w:r>
        <w:rPr>
          <w:rFonts w:hAnsi="Arial" w:hint="default"/>
          <w:sz w:val="22"/>
          <w:szCs w:val="22"/>
          <w:rtl w:val="0"/>
          <w:lang w:val="en-US"/>
        </w:rPr>
        <w:t xml:space="preserve"> “</w:t>
      </w:r>
      <w:r>
        <w:rPr>
          <w:rFonts w:ascii="Arial"/>
          <w:sz w:val="22"/>
          <w:szCs w:val="22"/>
          <w:rtl w:val="0"/>
          <w:lang w:val="en-US"/>
        </w:rPr>
        <w:t>in-depth examination of questionable input data and the process of its creation</w:t>
      </w:r>
      <w:r>
        <w:rPr>
          <w:rFonts w:hAnsi="Arial" w:hint="default"/>
          <w:sz w:val="22"/>
          <w:szCs w:val="22"/>
          <w:rtl w:val="0"/>
          <w:lang w:val="en-US"/>
        </w:rPr>
        <w:t>”</w:t>
      </w:r>
      <w:r>
        <w:rPr>
          <w:rFonts w:ascii="Arial"/>
          <w:sz w:val="22"/>
          <w:szCs w:val="22"/>
          <w:rtl w:val="0"/>
        </w:rPr>
        <w:t>.</w:t>
      </w:r>
      <w:r>
        <w:rPr>
          <w:rFonts w:ascii="Arial" w:cs="Arial" w:hAnsi="Arial" w:eastAsia="Arial"/>
          <w:sz w:val="22"/>
          <w:szCs w:val="22"/>
          <w:vertAlign w:val="superscript"/>
          <w:rtl w:val="0"/>
        </w:rPr>
        <w:footnoteReference w:id="21"/>
      </w:r>
      <w:r>
        <w:rPr>
          <w:rFonts w:ascii="Arial"/>
          <w:sz w:val="22"/>
          <w:szCs w:val="22"/>
          <w:rtl w:val="0"/>
          <w:lang w:val="en-US"/>
        </w:rPr>
        <w:t xml:space="preserve"> The administrator would be responsible for identifying questionable data and would do so based on the benchmark methodology (which would also guide the frequency at which this was done).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 xml:space="preserve">We urge ESMA to not require administrators to request the data needed for verification at any regular interval. Instead, the administrator should be provided with the discretion to decide on the data it needed for verification and whether and when to require its provision by contributors. We believe that imposing a certain frequency of the provision of data needed for verification, for example weekly, would not be appropriate or allow to reflect differences in benchmark inputs and construction. Furthermore, ESMA should consider that establishing overly onerous verification requirements which required contributors to submit all underlying data on a regular basis would likely result in them ceasing submissions to benchmarks, which might often cause their cessation.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Times New Roman" w:cs="Times New Roman" w:hAnsi="Times New Roman" w:eastAsia="Times New Roman"/>
          <w:sz w:val="24"/>
          <w:szCs w:val="24"/>
        </w:rPr>
      </w:pPr>
      <w:r>
        <w:rPr>
          <w:rFonts w:ascii="Arial"/>
          <w:sz w:val="22"/>
          <w:szCs w:val="22"/>
          <w:rtl w:val="0"/>
          <w:lang w:val="en-US"/>
        </w:rPr>
        <w:t xml:space="preserve">We are confident that the regulatory objective of </w:t>
      </w:r>
      <w:r>
        <w:rPr>
          <w:rFonts w:hAnsi="Arial" w:hint="default"/>
          <w:sz w:val="22"/>
          <w:szCs w:val="22"/>
          <w:rtl w:val="0"/>
          <w:lang w:val="en-US"/>
        </w:rPr>
        <w:t>‘</w:t>
      </w:r>
      <w:r>
        <w:rPr>
          <w:rFonts w:ascii="Arial"/>
          <w:sz w:val="22"/>
          <w:szCs w:val="22"/>
          <w:rtl w:val="0"/>
          <w:lang w:val="en-US"/>
        </w:rPr>
        <w:t>verification</w:t>
      </w:r>
      <w:r>
        <w:rPr>
          <w:rFonts w:hAnsi="Arial" w:hint="default"/>
          <w:sz w:val="22"/>
          <w:szCs w:val="22"/>
          <w:rtl w:val="0"/>
          <w:lang w:val="en-US"/>
        </w:rPr>
        <w:t>’</w:t>
      </w:r>
      <w:r>
        <w:rPr>
          <w:rFonts w:ascii="Arial"/>
          <w:sz w:val="22"/>
          <w:szCs w:val="22"/>
          <w:rtl w:val="0"/>
          <w:lang w:val="en-US"/>
        </w:rPr>
        <w:t xml:space="preserve"> of input data can be achieved by ensuring that administrators can request all relevant data they need for verification from their submitters. Administrators</w:t>
      </w:r>
      <w:r>
        <w:rPr>
          <w:rFonts w:hAnsi="Arial" w:hint="default"/>
          <w:sz w:val="22"/>
          <w:szCs w:val="22"/>
          <w:rtl w:val="0"/>
          <w:lang w:val="en-US"/>
        </w:rPr>
        <w:t xml:space="preserve">’ </w:t>
      </w:r>
      <w:r>
        <w:rPr>
          <w:rFonts w:ascii="Arial"/>
          <w:sz w:val="22"/>
          <w:szCs w:val="22"/>
          <w:rtl w:val="0"/>
          <w:lang w:val="en-US"/>
        </w:rPr>
        <w:t>rights to request the data should be clearly defined in the Submitter Code of Conduct which would require contributors to retain the relevant records required to verify input data and make it available to the administrator on request. The final standards should allow the administrator to design the provisions of the code of conduct in this respect to reflect the nature of the benchmark and underlying submissions.</w:t>
      </w:r>
      <w:r>
        <w:rPr>
          <w:rFonts w:ascii="Arial" w:cs="Arial" w:hAnsi="Arial" w:eastAsia="Arial"/>
          <w:sz w:val="22"/>
          <w:szCs w:val="22"/>
          <w:vertAlign w:val="superscript"/>
          <w:rtl w:val="0"/>
        </w:rPr>
        <w:footnoteReference w:id="22"/>
      </w:r>
    </w:p>
    <w:p>
      <w:pPr>
        <w:pStyle w:val="Body"/>
        <w:rPr>
          <w:rtl w:val="0"/>
        </w:rPr>
      </w:pPr>
      <w:r>
        <w:rPr>
          <w:rFonts w:ascii="Arial" w:cs="Arial Unicode MS" w:hAnsi="Arial Unicode MS" w:eastAsia="Arial Unicode MS"/>
          <w:rtl w:val="0"/>
        </w:rPr>
        <w:t>&lt;ESMA_QUESTION_DP_BMR_20&gt;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with the concept of appropriateness as elaborated in this section?</w:t>
      </w:r>
    </w:p>
    <w:p>
      <w:pPr>
        <w:pStyle w:val="Body"/>
        <w:rPr>
          <w:rtl w:val="0"/>
        </w:rPr>
      </w:pPr>
      <w:r>
        <w:rPr>
          <w:rFonts w:ascii="Arial" w:cs="Arial Unicode MS" w:hAnsi="Arial Unicode MS" w:eastAsia="Arial Unicode MS"/>
          <w:rtl w:val="0"/>
        </w:rPr>
        <w:t>&lt;ESMA_QUESTION_DP_BMR_21&gt;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We generally agree with the concept of appropriateness of input data if it is compatible with the benchmark methodology. We agree with ESMA</w:t>
      </w:r>
      <w:r>
        <w:rPr>
          <w:rFonts w:hAnsi="Arial" w:hint="default"/>
          <w:sz w:val="22"/>
          <w:szCs w:val="22"/>
          <w:rtl w:val="0"/>
          <w:lang w:val="en-US"/>
        </w:rPr>
        <w:t>’</w:t>
      </w:r>
      <w:r>
        <w:rPr>
          <w:rFonts w:ascii="Arial"/>
          <w:sz w:val="22"/>
          <w:szCs w:val="22"/>
          <w:rtl w:val="0"/>
          <w:lang w:val="en-US"/>
        </w:rPr>
        <w:t xml:space="preserve">s assertion that </w:t>
      </w:r>
      <w:r>
        <w:rPr>
          <w:rFonts w:hAnsi="Arial" w:hint="default"/>
          <w:sz w:val="22"/>
          <w:szCs w:val="22"/>
          <w:rtl w:val="0"/>
          <w:lang w:val="en-US"/>
        </w:rPr>
        <w:t>“</w:t>
      </w:r>
      <w:r>
        <w:rPr>
          <w:rFonts w:ascii="Arial"/>
          <w:sz w:val="22"/>
          <w:szCs w:val="22"/>
          <w:rtl w:val="0"/>
          <w:lang w:val="en-US"/>
        </w:rPr>
        <w:t>on a daily basis, appropriateness of input data cannot be verified except by comparison with the criteria put forward in the methodology</w:t>
      </w:r>
      <w:r>
        <w:rPr>
          <w:rFonts w:hAnsi="Arial" w:hint="default"/>
          <w:sz w:val="22"/>
          <w:szCs w:val="22"/>
          <w:rtl w:val="0"/>
          <w:lang w:val="en-US"/>
        </w:rPr>
        <w:t>”</w:t>
      </w:r>
      <w:r>
        <w:rPr>
          <w:rFonts w:ascii="Arial"/>
          <w:sz w:val="22"/>
          <w:szCs w:val="22"/>
          <w:rtl w:val="0"/>
        </w:rPr>
        <w:t>.</w:t>
      </w:r>
      <w:r>
        <w:rPr>
          <w:rFonts w:ascii="Arial" w:cs="Arial" w:hAnsi="Arial" w:eastAsia="Arial"/>
          <w:sz w:val="22"/>
          <w:szCs w:val="22"/>
          <w:vertAlign w:val="superscript"/>
          <w:rtl w:val="0"/>
        </w:rPr>
        <w:footnoteReference w:id="23"/>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 xml:space="preserve">However, in cases where non-transaction data was provided, ESMA asks whether </w:t>
      </w:r>
      <w:r>
        <w:rPr>
          <w:rFonts w:hAnsi="Arial" w:hint="default"/>
          <w:sz w:val="22"/>
          <w:szCs w:val="22"/>
          <w:rtl w:val="0"/>
          <w:lang w:val="en-US"/>
        </w:rPr>
        <w:t>“</w:t>
      </w:r>
      <w:r>
        <w:rPr>
          <w:rFonts w:ascii="Arial"/>
          <w:sz w:val="22"/>
          <w:szCs w:val="22"/>
          <w:rtl w:val="0"/>
          <w:lang w:val="en-US"/>
        </w:rPr>
        <w:t>the use of such data [is] justified in light of the methodology</w:t>
      </w:r>
      <w:r>
        <w:rPr>
          <w:rFonts w:hAnsi="Arial" w:hint="default"/>
          <w:sz w:val="22"/>
          <w:szCs w:val="22"/>
          <w:rtl w:val="0"/>
          <w:lang w:val="en-US"/>
        </w:rPr>
        <w:t xml:space="preserve">” </w:t>
      </w:r>
      <w:r>
        <w:rPr>
          <w:rFonts w:ascii="Arial"/>
          <w:sz w:val="22"/>
          <w:szCs w:val="22"/>
          <w:rtl w:val="0"/>
          <w:lang w:val="en-US"/>
        </w:rPr>
        <w:t xml:space="preserve">and proposes that </w:t>
      </w:r>
      <w:r>
        <w:rPr>
          <w:rFonts w:hAnsi="Arial" w:hint="default"/>
          <w:sz w:val="22"/>
          <w:szCs w:val="22"/>
          <w:rtl w:val="0"/>
          <w:lang w:val="en-US"/>
        </w:rPr>
        <w:t>“</w:t>
      </w:r>
      <w:r>
        <w:rPr>
          <w:rFonts w:ascii="Arial"/>
          <w:sz w:val="22"/>
          <w:szCs w:val="22"/>
          <w:rtl w:val="0"/>
          <w:lang w:val="en-US"/>
        </w:rPr>
        <w:t>in such cases, ensuring appropriateness requires that the administrator knows the underlying sources and assumptions on which a contributor bases an estimate</w:t>
      </w:r>
      <w:r>
        <w:rPr>
          <w:rFonts w:hAnsi="Arial" w:hint="default"/>
          <w:sz w:val="22"/>
          <w:szCs w:val="22"/>
          <w:rtl w:val="0"/>
          <w:lang w:val="en-US"/>
        </w:rPr>
        <w:t>”</w:t>
      </w:r>
      <w:r>
        <w:rPr>
          <w:rFonts w:ascii="Arial"/>
          <w:sz w:val="22"/>
          <w:szCs w:val="22"/>
          <w:rtl w:val="0"/>
        </w:rPr>
        <w:t>.</w:t>
      </w:r>
      <w:r>
        <w:rPr>
          <w:rFonts w:ascii="Arial" w:cs="Arial" w:hAnsi="Arial" w:eastAsia="Arial"/>
          <w:sz w:val="22"/>
          <w:szCs w:val="22"/>
          <w:vertAlign w:val="superscript"/>
          <w:rtl w:val="0"/>
        </w:rPr>
        <w:footnoteReference w:id="24"/>
      </w:r>
      <w:r>
        <w:rPr>
          <w:rFonts w:ascii="Arial"/>
          <w:sz w:val="22"/>
          <w:szCs w:val="22"/>
          <w:rtl w:val="0"/>
          <w:lang w:val="en-US"/>
        </w:rPr>
        <w:t xml:space="preserve">  We believe that both of these proposals are problematic and recommend ESMA reconsider them.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 xml:space="preserve">Specifically, ESMA should note that, where non-transaction data is received as a submission, the underlying sources and assumptions on which a contributor bases its submission often consist of proprietary and sensitive information. In many cases, contributors would therefore rather cease submissions to non-critical benchmarks than sharing this information with administrators. Similarly, for </w:t>
      </w:r>
      <w:r>
        <w:rPr>
          <w:rFonts w:hAnsi="Arial" w:hint="default"/>
          <w:sz w:val="22"/>
          <w:szCs w:val="22"/>
          <w:rtl w:val="0"/>
          <w:lang w:val="en-US"/>
        </w:rPr>
        <w:t>“</w:t>
      </w:r>
      <w:r>
        <w:rPr>
          <w:rFonts w:ascii="Arial"/>
          <w:sz w:val="22"/>
          <w:szCs w:val="22"/>
          <w:rtl w:val="0"/>
          <w:lang w:val="en-US"/>
        </w:rPr>
        <w:t>cases where expert judgement was relied upon</w:t>
      </w:r>
      <w:r>
        <w:rPr>
          <w:rFonts w:hAnsi="Arial" w:hint="default"/>
          <w:sz w:val="22"/>
          <w:szCs w:val="22"/>
          <w:rtl w:val="0"/>
          <w:lang w:val="en-US"/>
        </w:rPr>
        <w:t xml:space="preserve">” </w:t>
      </w:r>
      <w:r>
        <w:rPr>
          <w:rFonts w:ascii="Arial"/>
          <w:sz w:val="22"/>
          <w:szCs w:val="22"/>
          <w:rtl w:val="0"/>
          <w:lang w:val="en-US"/>
        </w:rPr>
        <w:t xml:space="preserve">and </w:t>
      </w:r>
      <w:r>
        <w:rPr>
          <w:rFonts w:hAnsi="Arial" w:hint="default"/>
          <w:sz w:val="22"/>
          <w:szCs w:val="22"/>
          <w:rtl w:val="0"/>
          <w:lang w:val="en-US"/>
        </w:rPr>
        <w:t>“</w:t>
      </w:r>
      <w:r>
        <w:rPr>
          <w:rFonts w:ascii="Arial"/>
          <w:sz w:val="22"/>
          <w:szCs w:val="22"/>
          <w:rtl w:val="0"/>
          <w:lang w:val="en-US"/>
        </w:rPr>
        <w:t>the use of such judgement [was] documented</w:t>
      </w:r>
      <w:r>
        <w:rPr>
          <w:rFonts w:hAnsi="Arial" w:hint="default"/>
          <w:sz w:val="22"/>
          <w:szCs w:val="22"/>
          <w:rtl w:val="0"/>
          <w:lang w:val="en-US"/>
        </w:rPr>
        <w:t xml:space="preserve">” </w:t>
      </w:r>
      <w:r>
        <w:rPr>
          <w:rFonts w:ascii="Arial"/>
          <w:sz w:val="22"/>
          <w:szCs w:val="22"/>
          <w:rtl w:val="0"/>
          <w:lang w:val="en-US"/>
        </w:rPr>
        <w:t xml:space="preserve">it would be difficult for an administrator to assess whether the expert judgement was based on </w:t>
      </w:r>
      <w:r>
        <w:rPr>
          <w:rFonts w:hAnsi="Arial" w:hint="default"/>
          <w:sz w:val="22"/>
          <w:szCs w:val="22"/>
          <w:rtl w:val="0"/>
          <w:lang w:val="en-US"/>
        </w:rPr>
        <w:t>“</w:t>
      </w:r>
      <w:r>
        <w:rPr>
          <w:rFonts w:ascii="Arial"/>
          <w:sz w:val="22"/>
          <w:szCs w:val="22"/>
          <w:rtl w:val="0"/>
          <w:lang w:val="en-US"/>
        </w:rPr>
        <w:t>reasonable criteria</w:t>
      </w:r>
      <w:r>
        <w:rPr>
          <w:rFonts w:hAnsi="Arial" w:hint="default"/>
          <w:sz w:val="22"/>
          <w:szCs w:val="22"/>
          <w:rtl w:val="0"/>
          <w:lang w:val="en-US"/>
        </w:rPr>
        <w:t>”</w:t>
      </w:r>
      <w:r>
        <w:rPr>
          <w:rFonts w:ascii="Arial"/>
          <w:sz w:val="22"/>
          <w:szCs w:val="22"/>
          <w:rtl w:val="0"/>
        </w:rPr>
        <w:t>.</w:t>
      </w:r>
      <w:r>
        <w:rPr>
          <w:rFonts w:ascii="Arial" w:cs="Arial" w:hAnsi="Arial" w:eastAsia="Arial"/>
          <w:sz w:val="22"/>
          <w:szCs w:val="22"/>
          <w:vertAlign w:val="superscript"/>
          <w:rtl w:val="0"/>
        </w:rPr>
        <w:footnoteReference w:id="25"/>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Times New Roman" w:cs="Times New Roman" w:hAnsi="Times New Roman" w:eastAsia="Times New Roman"/>
          <w:sz w:val="24"/>
          <w:szCs w:val="24"/>
        </w:rPr>
      </w:pPr>
      <w:r>
        <w:rPr>
          <w:rFonts w:ascii="Arial"/>
          <w:sz w:val="22"/>
          <w:szCs w:val="22"/>
          <w:rtl w:val="0"/>
          <w:lang w:val="en-US"/>
        </w:rPr>
        <w:t>We therefore propose that, in cases where no transaction data is available or expert judgment was used by submitters, instead of requiring the administrator to seek justification from contributors on the basis of individual submissions, it should monitor contributors</w:t>
      </w:r>
      <w:r>
        <w:rPr>
          <w:rFonts w:hAnsi="Arial" w:hint="default"/>
          <w:sz w:val="22"/>
          <w:szCs w:val="22"/>
          <w:rtl w:val="0"/>
          <w:lang w:val="en-US"/>
        </w:rPr>
        <w:t>’</w:t>
      </w:r>
      <w:r>
        <w:rPr>
          <w:rFonts w:ascii="Arial"/>
          <w:sz w:val="22"/>
          <w:szCs w:val="22"/>
          <w:rtl w:val="0"/>
          <w:lang w:val="en-US"/>
        </w:rPr>
        <w:t xml:space="preserve"> compliance with the general submission framework as defined in its Submitter Code of Conduct. In addition, the administrator should require further information from submitters in cases where input data appears questionable or seems to be in breach of the benchmark methodology as defined by the Code of Conduct.</w:t>
      </w:r>
    </w:p>
    <w:p>
      <w:pPr>
        <w:pStyle w:val="Body"/>
        <w:rPr>
          <w:rtl w:val="0"/>
        </w:rPr>
      </w:pPr>
      <w:r>
        <w:rPr>
          <w:rFonts w:ascii="Arial" w:cs="Arial Unicode MS" w:hAnsi="Arial Unicode MS" w:eastAsia="Arial Unicode MS"/>
          <w:rtl w:val="0"/>
        </w:rPr>
        <w:t>&lt;ESMA_QUESTION_DP_BMR_21&gt;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see any other checks an administrator could use to verify the appropriateness of input data?</w:t>
      </w:r>
    </w:p>
    <w:p>
      <w:pPr>
        <w:pStyle w:val="Body"/>
        <w:rPr>
          <w:rtl w:val="0"/>
        </w:rPr>
      </w:pPr>
      <w:r>
        <w:rPr>
          <w:rFonts w:ascii="Arial" w:cs="Arial Unicode MS" w:hAnsi="Arial Unicode MS" w:eastAsia="Arial Unicode MS"/>
          <w:rtl w:val="0"/>
        </w:rPr>
        <w:t>&lt;ESMA_QUESTION_DP_BMR_22&gt;</w:t>
      </w:r>
    </w:p>
    <w:p>
      <w:pPr>
        <w:pStyle w:val="Body"/>
        <w:rPr>
          <w:rtl w:val="0"/>
        </w:rPr>
      </w:pPr>
      <w:r>
        <w:rPr>
          <w:rFonts w:ascii="Arial" w:cs="Arial Unicode MS" w:hAnsi="Arial Unicode MS" w:eastAsia="Arial Unicode MS"/>
          <w:sz w:val="22"/>
          <w:szCs w:val="22"/>
          <w:rtl w:val="0"/>
          <w:lang w:val="en-US"/>
        </w:rPr>
        <w:t>We routinely apply a multitude of checks for the input data underlying our various indices as well as our pricing and valuation services. Such checks are designed to verify the appropriateness of the input data received on the basis of quantitative analysis, including checks for staleness, consistency for individual contributors as well as between contributors, and comparisons between different data sources for the same or similar financial instruments. We monitor the effectiveness of the verification techniques we employ on an ongoing basis and adjust them where justified by changes in underlying market conditions, liquidity, and/or market structure.</w:t>
      </w:r>
    </w:p>
    <w:p>
      <w:pPr>
        <w:pStyle w:val="Body"/>
        <w:rPr>
          <w:rtl w:val="0"/>
        </w:rPr>
      </w:pPr>
      <w:r>
        <w:rPr>
          <w:rFonts w:ascii="Arial" w:cs="Arial Unicode MS" w:hAnsi="Arial Unicode MS" w:eastAsia="Arial Unicode MS"/>
          <w:rtl w:val="0"/>
        </w:rPr>
        <w:t>&lt;ESMA_QUESTION_DP_BMR_22&gt;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Would you consider it useful that the administrator maintains records of the analyses performed to evaluate the appropriateness of input data?</w:t>
      </w:r>
    </w:p>
    <w:p>
      <w:pPr>
        <w:pStyle w:val="Body"/>
        <w:rPr>
          <w:rtl w:val="0"/>
        </w:rPr>
      </w:pPr>
      <w:r>
        <w:rPr>
          <w:rFonts w:ascii="Arial" w:cs="Arial Unicode MS" w:hAnsi="Arial Unicode MS" w:eastAsia="Arial Unicode MS"/>
          <w:rtl w:val="0"/>
        </w:rPr>
        <w:t>&lt;ESMA_QUESTION_DP_BMR_23&gt;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Times New Roman" w:cs="Times New Roman" w:hAnsi="Times New Roman" w:eastAsia="Times New Roman"/>
          <w:sz w:val="24"/>
          <w:szCs w:val="24"/>
          <w:rtl w:val="0"/>
        </w:rPr>
      </w:pPr>
      <w:r>
        <w:rPr>
          <w:rFonts w:ascii="Arial"/>
          <w:sz w:val="22"/>
          <w:szCs w:val="22"/>
          <w:rtl w:val="0"/>
          <w:lang w:val="en-US"/>
        </w:rPr>
        <w:t xml:space="preserve">Our experience as index administrator has shown that the creation of a robust index methodology that is complemented by appropriate and representative input data is the cornerstone of successful index determinations. The appropriateness of input data is determined by </w:t>
      </w:r>
      <w:r>
        <w:rPr>
          <w:rFonts w:hAnsi="Arial" w:hint="default"/>
          <w:sz w:val="22"/>
          <w:szCs w:val="22"/>
          <w:rtl w:val="0"/>
          <w:lang w:val="en-US"/>
        </w:rPr>
        <w:t>“</w:t>
      </w:r>
      <w:r>
        <w:rPr>
          <w:rFonts w:ascii="Arial"/>
          <w:sz w:val="22"/>
          <w:szCs w:val="22"/>
          <w:rtl w:val="0"/>
          <w:lang w:val="en-US"/>
        </w:rPr>
        <w:t>comparison with the criteria put forward in the methodology</w:t>
      </w:r>
      <w:r>
        <w:rPr>
          <w:rFonts w:hAnsi="Arial" w:hint="default"/>
          <w:sz w:val="22"/>
          <w:szCs w:val="22"/>
          <w:rtl w:val="0"/>
          <w:lang w:val="en-US"/>
        </w:rPr>
        <w:t>”</w:t>
      </w:r>
      <w:r>
        <w:rPr>
          <w:rFonts w:ascii="Arial"/>
          <w:sz w:val="22"/>
          <w:szCs w:val="22"/>
          <w:rtl w:val="0"/>
        </w:rPr>
        <w:t>.</w:t>
      </w:r>
      <w:r>
        <w:rPr>
          <w:rFonts w:ascii="Arial" w:cs="Arial" w:hAnsi="Arial" w:eastAsia="Arial"/>
          <w:sz w:val="22"/>
          <w:szCs w:val="22"/>
          <w:vertAlign w:val="superscript"/>
          <w:rtl w:val="0"/>
        </w:rPr>
        <w:footnoteReference w:id="26"/>
      </w:r>
      <w:r>
        <w:rPr>
          <w:rFonts w:ascii="Arial"/>
          <w:sz w:val="22"/>
          <w:szCs w:val="22"/>
          <w:rtl w:val="0"/>
          <w:lang w:val="en-US"/>
        </w:rPr>
        <w:t xml:space="preserve"> Therefore, to demonstrate that appropriate input data has been used in the benchmark determination process the administrator should maintain records of the analysis it has performed to evaluate the appropriateness of input data.</w:t>
      </w:r>
      <w:r>
        <w:rPr>
          <w:rFonts w:ascii="Times New Roman"/>
          <w:sz w:val="24"/>
          <w:szCs w:val="24"/>
          <w:rtl w:val="0"/>
        </w:rPr>
        <w:t xml:space="preserve">   </w:t>
      </w:r>
    </w:p>
    <w:p>
      <w:pPr>
        <w:pStyle w:val="List 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lang w:val="en-US"/>
        </w:rPr>
      </w:pPr>
    </w:p>
    <w:p>
      <w:pPr>
        <w:pStyle w:val="Body"/>
        <w:rPr>
          <w:rtl w:val="0"/>
        </w:rPr>
      </w:pPr>
      <w:r>
        <w:rPr>
          <w:rFonts w:ascii="Arial" w:cs="Arial Unicode MS" w:hAnsi="Arial Unicode MS" w:eastAsia="Arial Unicode MS"/>
          <w:rtl w:val="0"/>
        </w:rPr>
        <w:t>&lt;ESMA_QUESTION_DP_BMR_23&gt;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see other possible measures to ensure verifiability of input data?</w:t>
      </w:r>
    </w:p>
    <w:p>
      <w:pPr>
        <w:pStyle w:val="Body"/>
        <w:rPr>
          <w:rtl w:val="0"/>
        </w:rPr>
      </w:pPr>
      <w:r>
        <w:rPr>
          <w:rFonts w:ascii="Arial" w:cs="Arial Unicode MS" w:hAnsi="Arial Unicode MS" w:eastAsia="Arial Unicode MS"/>
          <w:rtl w:val="0"/>
        </w:rPr>
        <w:t>&lt;ESMA_QUESTION_DP_BMR_24&gt;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 xml:space="preserve">ESMA should be aware of the challenges to verifying input data depending on the complexity of the benchmark determination process as well as the number of underlying instruments and contributors.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Times New Roman" w:cs="Times New Roman" w:hAnsi="Times New Roman" w:eastAsia="Times New Roman"/>
          <w:sz w:val="24"/>
          <w:szCs w:val="24"/>
        </w:rPr>
      </w:pPr>
      <w:r>
        <w:rPr>
          <w:rFonts w:ascii="Arial"/>
          <w:sz w:val="22"/>
          <w:szCs w:val="22"/>
          <w:rtl w:val="0"/>
          <w:lang w:val="en-US"/>
        </w:rPr>
        <w:t>We believe that, for a critical benchmark such as LIBOR, it would be reasonable to require the administrator to collect and store complete records to verify the submissions, given both the systemic importance of the benchmark and the limited number of contributors making submissions. In contrast, establishing a similar requirement for the administrator of a non-critical benchmark with thousands of underlyings</w:t>
      </w:r>
      <w:r>
        <w:rPr>
          <w:rFonts w:ascii="Arial" w:cs="Arial" w:hAnsi="Arial" w:eastAsia="Arial"/>
          <w:sz w:val="22"/>
          <w:szCs w:val="22"/>
          <w:vertAlign w:val="superscript"/>
          <w:rtl w:val="0"/>
        </w:rPr>
        <w:footnoteReference w:id="27"/>
      </w:r>
      <w:r>
        <w:rPr>
          <w:rFonts w:ascii="Arial"/>
          <w:sz w:val="22"/>
          <w:szCs w:val="22"/>
          <w:rtl w:val="0"/>
          <w:lang w:val="en-US"/>
        </w:rPr>
        <w:t xml:space="preserve"> and numerous contributions for each one of these underlyings is very onerous both for the administrator and contributors without delivering commensurate benefits. As a practical approach we therefore recommend that contributors should be required to store all relevant records</w:t>
      </w:r>
      <w:r>
        <w:rPr>
          <w:rFonts w:ascii="Arial" w:cs="Arial" w:hAnsi="Arial" w:eastAsia="Arial"/>
          <w:sz w:val="22"/>
          <w:szCs w:val="22"/>
          <w:vertAlign w:val="superscript"/>
          <w:rtl w:val="0"/>
        </w:rPr>
        <w:footnoteReference w:id="28"/>
      </w:r>
      <w:r>
        <w:rPr>
          <w:rFonts w:ascii="Arial"/>
          <w:sz w:val="22"/>
          <w:szCs w:val="22"/>
          <w:rtl w:val="0"/>
          <w:lang w:val="en-US"/>
        </w:rPr>
        <w:t xml:space="preserve"> while the administrator could request these records in cases where the input data provided does not satisfy its evaluation and validation checks.</w:t>
      </w:r>
      <w:r>
        <w:rPr>
          <w:rFonts w:ascii="Arial" w:cs="Arial" w:hAnsi="Arial" w:eastAsia="Arial"/>
          <w:sz w:val="22"/>
          <w:szCs w:val="22"/>
          <w:vertAlign w:val="superscript"/>
          <w:rtl w:val="0"/>
        </w:rPr>
        <w:footnoteReference w:id="29"/>
      </w:r>
    </w:p>
    <w:p>
      <w:pPr>
        <w:pStyle w:val="Body"/>
        <w:rPr>
          <w:rtl w:val="0"/>
        </w:rPr>
      </w:pPr>
      <w:r>
        <w:rPr>
          <w:rFonts w:ascii="Arial" w:cs="Arial Unicode MS" w:hAnsi="Arial Unicode MS" w:eastAsia="Arial Unicode MS"/>
          <w:rtl w:val="0"/>
        </w:rPr>
        <w:t>&lt;ESMA_QUESTION_DP_BMR_24&gt;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with the identification of the concepts and underpinning activities of evaluation, validation and verifiability, as used in this section?</w:t>
      </w:r>
    </w:p>
    <w:p>
      <w:pPr>
        <w:pStyle w:val="Body"/>
        <w:rPr>
          <w:rtl w:val="0"/>
        </w:rPr>
      </w:pPr>
      <w:r>
        <w:rPr>
          <w:rFonts w:ascii="Arial" w:cs="Arial Unicode MS" w:hAnsi="Arial Unicode MS" w:eastAsia="Arial Unicode MS"/>
          <w:rtl w:val="0"/>
        </w:rPr>
        <w:t>&lt;ESMA_QUESTION_DP_BMR_25&gt;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 xml:space="preserve">We believe that the concepts of evaluation, validation and verification as explained by ESMA in the DP are generally well established. Markit employs these techniques in the administration of many of its indices to ensure the robustness of its benchmark determination process and in compliance with the IOSCO Principles for Financial Benchmarks.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Times New Roman" w:cs="Times New Roman" w:hAnsi="Times New Roman" w:eastAsia="Times New Roman"/>
          <w:sz w:val="24"/>
          <w:szCs w:val="24"/>
        </w:rPr>
      </w:pPr>
      <w:r>
        <w:rPr>
          <w:rFonts w:ascii="Arial"/>
          <w:sz w:val="22"/>
          <w:szCs w:val="22"/>
          <w:rtl w:val="0"/>
          <w:lang w:val="en-US"/>
        </w:rPr>
        <w:t>However, we are concerned about ESMA</w:t>
      </w:r>
      <w:r>
        <w:rPr>
          <w:rFonts w:hAnsi="Arial" w:hint="default"/>
          <w:sz w:val="22"/>
          <w:szCs w:val="22"/>
          <w:rtl w:val="0"/>
          <w:lang w:val="en-US"/>
        </w:rPr>
        <w:t>’</w:t>
      </w:r>
      <w:r>
        <w:rPr>
          <w:rFonts w:ascii="Arial"/>
          <w:sz w:val="22"/>
          <w:szCs w:val="22"/>
          <w:rtl w:val="0"/>
          <w:lang w:val="en-US"/>
        </w:rPr>
        <w:t xml:space="preserve">s suggestion that administrators should verify input data where submissions are in breach of the evaluation process and this should be done </w:t>
      </w:r>
      <w:r>
        <w:rPr>
          <w:rFonts w:ascii="Arial"/>
          <w:i w:val="1"/>
          <w:iCs w:val="1"/>
          <w:sz w:val="22"/>
          <w:szCs w:val="22"/>
          <w:rtl w:val="0"/>
          <w:lang w:val="en-US"/>
        </w:rPr>
        <w:t>before</w:t>
      </w:r>
      <w:r>
        <w:rPr>
          <w:rFonts w:ascii="Arial"/>
          <w:sz w:val="22"/>
          <w:szCs w:val="22"/>
          <w:rtl w:val="0"/>
          <w:lang w:val="en-US"/>
        </w:rPr>
        <w:t xml:space="preserve"> the benchmark level is determined. ESMA should note that, for numerous benchmarks, submissions of input data are made in an automated manner which makes any verification of input data pre-determination extremely difficult to achieve. We therefore recommend that administrators, while retaining the ability to intervene pre-determination where necessary,</w:t>
      </w:r>
      <w:r>
        <w:rPr>
          <w:rFonts w:ascii="Arial" w:cs="Arial" w:hAnsi="Arial" w:eastAsia="Arial"/>
          <w:sz w:val="22"/>
          <w:szCs w:val="22"/>
          <w:vertAlign w:val="superscript"/>
          <w:rtl w:val="0"/>
        </w:rPr>
        <w:footnoteReference w:id="30"/>
      </w:r>
      <w:r>
        <w:rPr>
          <w:rFonts w:ascii="Arial"/>
          <w:sz w:val="22"/>
          <w:szCs w:val="22"/>
          <w:rtl w:val="0"/>
          <w:lang w:val="en-US"/>
        </w:rPr>
        <w:t xml:space="preserve"> are permitted to apply automated checks after data submission to be able to identify any inaccurate input data. In these situations, the administrator could perform verification of input data mostly in the validation phase (i.e. post-determination) as long as this is sufficient to ensure the robustness of the benchmark.</w:t>
      </w:r>
    </w:p>
    <w:p>
      <w:pPr>
        <w:pStyle w:val="Body"/>
        <w:rPr>
          <w:rtl w:val="0"/>
        </w:rPr>
      </w:pPr>
      <w:r>
        <w:rPr>
          <w:rFonts w:ascii="Arial" w:cs="Arial Unicode MS" w:hAnsi="Arial Unicode MS" w:eastAsia="Arial Unicode MS"/>
          <w:rtl w:val="0"/>
        </w:rPr>
        <w:t>&lt;ESMA_QUESTION_DP_BMR_25&gt;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that all staff involved in input data submission should undergo training, but that such training should be more elaborate / should be repeated more frequently where it concerns front office staff contributing to benchmarks?</w:t>
      </w:r>
    </w:p>
    <w:p>
      <w:pPr>
        <w:pStyle w:val="Body"/>
        <w:rPr>
          <w:rtl w:val="0"/>
        </w:rPr>
      </w:pPr>
      <w:r>
        <w:rPr>
          <w:rFonts w:ascii="Arial" w:cs="Arial Unicode MS" w:hAnsi="Arial Unicode MS" w:eastAsia="Arial Unicode MS"/>
          <w:rtl w:val="0"/>
        </w:rPr>
        <w:t>&lt;ESMA_QUESTION_DP_BMR_26&gt;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&lt;ESMA_QUESTION_DP_BMR_26&gt;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to the three lines of defence-principle as an ideal type of internal oversight architecture?</w:t>
      </w:r>
    </w:p>
    <w:p>
      <w:pPr>
        <w:pStyle w:val="Body"/>
        <w:rPr>
          <w:rtl w:val="0"/>
        </w:rPr>
      </w:pPr>
      <w:r>
        <w:rPr>
          <w:rFonts w:ascii="Arial" w:cs="Arial Unicode MS" w:hAnsi="Arial Unicode MS" w:eastAsia="Arial Unicode MS"/>
          <w:rtl w:val="0"/>
        </w:rPr>
        <w:t>&lt;ESMA_QUESTION_DP_BMR_27&gt;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&lt;ESMA_QUESTION_DP_BMR_27&gt;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identify other elements that could improve oversight at contributor level?</w:t>
      </w:r>
    </w:p>
    <w:p>
      <w:pPr>
        <w:pStyle w:val="Body"/>
        <w:rPr>
          <w:rtl w:val="0"/>
        </w:rPr>
      </w:pPr>
      <w:r>
        <w:rPr>
          <w:rFonts w:ascii="Arial" w:cs="Arial Unicode MS" w:hAnsi="Arial Unicode MS" w:eastAsia="Arial Unicode MS"/>
          <w:rtl w:val="0"/>
        </w:rPr>
        <w:t>&lt;ESMA_QUESTION_DP_BMR_28&gt;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&lt;ESMA_QUESTION_DP_BMR_28&gt;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with the list of elements contained in a conflict of interest policy? If not, please state which elements should be added / which elements you consider superfluous and why.</w:t>
      </w:r>
    </w:p>
    <w:p>
      <w:pPr>
        <w:pStyle w:val="Body"/>
        <w:rPr>
          <w:rtl w:val="0"/>
        </w:rPr>
      </w:pPr>
      <w:r>
        <w:rPr>
          <w:rFonts w:ascii="Arial" w:cs="Arial Unicode MS" w:hAnsi="Arial Unicode MS" w:eastAsia="Arial Unicode MS"/>
          <w:rtl w:val="0"/>
        </w:rPr>
        <w:t>&lt;ESMA_QUESTION_DP_BMR_29&gt;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&lt;ESMA_QUESTION_DP_BMR_29&gt;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that where expert judgement is relied on and/or discretion is used additional appropriate measures to ensure verifiability of input data should be imposed? If not, please specify examples and reasons why you disagree.</w:t>
      </w:r>
    </w:p>
    <w:p>
      <w:pPr>
        <w:pStyle w:val="Body"/>
        <w:rPr>
          <w:rtl w:val="0"/>
        </w:rPr>
      </w:pPr>
      <w:r>
        <w:rPr>
          <w:rFonts w:ascii="Arial" w:cs="Arial Unicode MS" w:hAnsi="Arial Unicode MS" w:eastAsia="Arial Unicode MS"/>
          <w:rtl w:val="0"/>
        </w:rPr>
        <w:t>&lt;ESMA_QUESTION_DP_BMR_30&gt;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 xml:space="preserve">We believe it is important for administrators and contributors to benchmarks alike to distinguish between non-transaction data and input data that rely on expert judgement since the proposals emphasise the need for additional verifiability requirements for such data. We believe that the decision about the use of additional appropriate measures for verification should be left with the administrator as it is best positioned to determine what is needed given the nature of the input data and degree of expert judgment used.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Question 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cs="Arial" w:hAnsi="Arial" w:eastAsia="Arial"/>
        </w:rPr>
      </w:pPr>
      <w:r>
        <w:rPr>
          <w:rFonts w:ascii="Arial"/>
          <w:b w:val="0"/>
          <w:bCs w:val="0"/>
          <w:rtl w:val="0"/>
          <w:lang w:val="en-US"/>
        </w:rPr>
        <w:t xml:space="preserve">On a general note, we recommend ESMA clarify what is meant by </w:t>
      </w:r>
      <w:r>
        <w:rPr>
          <w:rFonts w:hAnsi="Arial" w:hint="default"/>
          <w:b w:val="0"/>
          <w:bCs w:val="0"/>
          <w:rtl w:val="0"/>
          <w:lang w:val="en-US"/>
        </w:rPr>
        <w:t>“</w:t>
      </w:r>
      <w:r>
        <w:rPr>
          <w:rFonts w:ascii="Arial"/>
          <w:b w:val="0"/>
          <w:bCs w:val="0"/>
          <w:rtl w:val="0"/>
          <w:lang w:val="en-US"/>
        </w:rPr>
        <w:t>input data [that] relies on expert judgement</w:t>
      </w:r>
      <w:r>
        <w:rPr>
          <w:rFonts w:hAnsi="Arial" w:hint="default"/>
          <w:b w:val="0"/>
          <w:bCs w:val="0"/>
          <w:rtl w:val="0"/>
          <w:lang w:val="en-US"/>
        </w:rPr>
        <w:t>”</w:t>
      </w:r>
      <w:r>
        <w:rPr>
          <w:rFonts w:ascii="Arial"/>
          <w:b w:val="0"/>
          <w:bCs w:val="0"/>
          <w:rtl w:val="0"/>
          <w:lang w:val="en-US"/>
        </w:rPr>
        <w:t>.</w:t>
      </w:r>
      <w:r>
        <w:rPr>
          <w:rFonts w:ascii="Arial" w:cs="Arial" w:hAnsi="Arial" w:eastAsia="Arial"/>
          <w:b w:val="0"/>
          <w:bCs w:val="0"/>
          <w:vertAlign w:val="superscript"/>
          <w:rtl w:val="0"/>
        </w:rPr>
        <w:footnoteReference w:id="31"/>
      </w:r>
      <w:r>
        <w:rPr>
          <w:rFonts w:ascii="Arial"/>
          <w:b w:val="0"/>
          <w:bCs w:val="0"/>
          <w:rtl w:val="0"/>
          <w:lang w:val="en-US"/>
        </w:rPr>
        <w:t xml:space="preserve"> We suggest that such a contribution be understood as an activity conducted by or on behalf of the submitter and for the purpose of creating data solely for submission into the benchmark determination process. We further suggest that data which firms are required to create on an on-going basis, such as indicative or committed quotes, be classified as non-transactional data and not expert judgement. This is because such data is usually created for a different purpose by persons from the contributing firm that are not the submitters.</w:t>
      </w:r>
      <w:r>
        <w:rPr>
          <w:rFonts w:ascii="Arial" w:cs="Arial" w:hAnsi="Arial" w:eastAsia="Arial"/>
          <w:b w:val="0"/>
          <w:bCs w:val="0"/>
          <w:vertAlign w:val="superscript"/>
          <w:rtl w:val="0"/>
        </w:rPr>
        <w:footnoteReference w:id="32"/>
      </w:r>
    </w:p>
    <w:p>
      <w:pPr>
        <w:pStyle w:val="Body"/>
        <w:rPr>
          <w:rtl w:val="0"/>
        </w:rPr>
      </w:pPr>
      <w:r>
        <w:rPr>
          <w:rFonts w:ascii="Arial" w:cs="Arial Unicode MS" w:hAnsi="Arial Unicode MS" w:eastAsia="Arial Unicode MS"/>
          <w:rtl w:val="0"/>
        </w:rPr>
        <w:t>&lt;ESMA_QUESTION_DP_BMR_30&gt;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Do you agree to the list of criteria that can justify differentiation? If not, please specify why you disagree. </w:t>
      </w:r>
    </w:p>
    <w:p>
      <w:pPr>
        <w:pStyle w:val="Body"/>
        <w:rPr>
          <w:rtl w:val="0"/>
        </w:rPr>
      </w:pPr>
      <w:r>
        <w:rPr>
          <w:rFonts w:ascii="Arial" w:cs="Arial Unicode MS" w:hAnsi="Arial Unicode MS" w:eastAsia="Arial Unicode MS"/>
          <w:rtl w:val="0"/>
        </w:rPr>
        <w:t>&lt;ESMA_QUESTION_DP_BMR_31&gt;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 xml:space="preserve">ESMA stated that </w:t>
      </w:r>
      <w:r>
        <w:rPr>
          <w:rFonts w:hAnsi="Arial" w:hint="default"/>
          <w:sz w:val="22"/>
          <w:szCs w:val="22"/>
          <w:rtl w:val="0"/>
          <w:lang w:val="en-US"/>
        </w:rPr>
        <w:t>“</w:t>
      </w:r>
      <w:r>
        <w:rPr>
          <w:rFonts w:ascii="Arial"/>
          <w:sz w:val="22"/>
          <w:szCs w:val="22"/>
          <w:rtl w:val="0"/>
          <w:lang w:val="en-US"/>
        </w:rPr>
        <w:t>verifiability, whether it is applied to critical, significant or non-significant benchmarks [..], is not amenable to being implemented differentially</w:t>
      </w:r>
      <w:r>
        <w:rPr>
          <w:rFonts w:hAnsi="Arial" w:hint="default"/>
          <w:sz w:val="22"/>
          <w:szCs w:val="22"/>
          <w:rtl w:val="0"/>
          <w:lang w:val="en-US"/>
        </w:rPr>
        <w:t>”</w:t>
      </w:r>
      <w:r>
        <w:rPr>
          <w:rFonts w:ascii="Arial"/>
          <w:sz w:val="22"/>
          <w:szCs w:val="22"/>
          <w:rtl w:val="0"/>
        </w:rPr>
        <w:t>.</w:t>
      </w:r>
      <w:r>
        <w:rPr>
          <w:rFonts w:ascii="Arial" w:cs="Arial" w:hAnsi="Arial" w:eastAsia="Arial"/>
          <w:sz w:val="22"/>
          <w:szCs w:val="22"/>
          <w:vertAlign w:val="superscript"/>
          <w:rtl w:val="0"/>
        </w:rPr>
        <w:footnoteReference w:id="33"/>
      </w:r>
      <w:r>
        <w:rPr>
          <w:rFonts w:ascii="Arial"/>
          <w:sz w:val="22"/>
          <w:szCs w:val="22"/>
          <w:rtl w:val="0"/>
        </w:rPr>
        <w:t xml:space="preserve">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 xml:space="preserve">We agree that </w:t>
      </w:r>
      <w:r>
        <w:rPr>
          <w:rFonts w:hAnsi="Arial" w:hint="default"/>
          <w:sz w:val="22"/>
          <w:szCs w:val="22"/>
          <w:rtl w:val="0"/>
          <w:lang w:val="en-US"/>
        </w:rPr>
        <w:t>“</w:t>
      </w:r>
      <w:r>
        <w:rPr>
          <w:rFonts w:ascii="Arial"/>
          <w:sz w:val="22"/>
          <w:szCs w:val="22"/>
          <w:rtl w:val="0"/>
          <w:lang w:val="en-US"/>
        </w:rPr>
        <w:t>even benchmarks lacking the systemic importance [..], may raise issues of transparency, market confidence, conflicts of interest, and investor protection</w:t>
      </w:r>
      <w:r>
        <w:rPr>
          <w:rFonts w:hAnsi="Arial" w:hint="default"/>
          <w:sz w:val="22"/>
          <w:szCs w:val="22"/>
          <w:rtl w:val="0"/>
          <w:lang w:val="en-US"/>
        </w:rPr>
        <w:t>”</w:t>
      </w:r>
      <w:r>
        <w:rPr>
          <w:rFonts w:ascii="Arial"/>
          <w:sz w:val="22"/>
          <w:szCs w:val="22"/>
          <w:rtl w:val="0"/>
        </w:rPr>
        <w:t>.</w:t>
      </w:r>
      <w:r>
        <w:rPr>
          <w:rFonts w:ascii="Arial" w:cs="Arial" w:hAnsi="Arial" w:eastAsia="Arial"/>
          <w:sz w:val="22"/>
          <w:szCs w:val="22"/>
          <w:vertAlign w:val="superscript"/>
          <w:rtl w:val="0"/>
        </w:rPr>
        <w:footnoteReference w:id="34"/>
      </w:r>
      <w:r>
        <w:rPr>
          <w:rFonts w:ascii="Arial"/>
          <w:sz w:val="22"/>
          <w:szCs w:val="22"/>
          <w:rtl w:val="0"/>
          <w:lang w:val="en-US"/>
        </w:rPr>
        <w:t xml:space="preserve"> However, we believe it will be crucially important for ESMA to allow for differential treatment of the principle of verifiability taking into consideration factors such as the number of contributors to the particular benchmark which would also be consistent with ESMA</w:t>
      </w:r>
      <w:r>
        <w:rPr>
          <w:rFonts w:hAnsi="Arial" w:hint="default"/>
          <w:sz w:val="22"/>
          <w:szCs w:val="22"/>
          <w:rtl w:val="0"/>
          <w:lang w:val="en-US"/>
        </w:rPr>
        <w:t>’</w:t>
      </w:r>
      <w:r>
        <w:rPr>
          <w:rFonts w:ascii="Arial"/>
          <w:sz w:val="22"/>
          <w:szCs w:val="22"/>
          <w:rtl w:val="0"/>
          <w:lang w:val="en-US"/>
        </w:rPr>
        <w:t xml:space="preserve">s stated objective to </w:t>
      </w:r>
      <w:r>
        <w:rPr>
          <w:rFonts w:hAnsi="Arial" w:hint="default"/>
          <w:sz w:val="22"/>
          <w:szCs w:val="22"/>
          <w:rtl w:val="0"/>
          <w:lang w:val="en-US"/>
        </w:rPr>
        <w:t>“</w:t>
      </w:r>
      <w:r>
        <w:rPr>
          <w:rFonts w:ascii="Arial"/>
          <w:sz w:val="22"/>
          <w:szCs w:val="22"/>
          <w:rtl w:val="0"/>
          <w:lang w:val="en-US"/>
        </w:rPr>
        <w:t>take into account the different types of benchmarks</w:t>
      </w:r>
      <w:r>
        <w:rPr>
          <w:rFonts w:hAnsi="Arial" w:hint="default"/>
          <w:sz w:val="22"/>
          <w:szCs w:val="22"/>
          <w:rtl w:val="0"/>
          <w:lang w:val="en-US"/>
        </w:rPr>
        <w:t>”</w:t>
      </w:r>
      <w:r>
        <w:rPr>
          <w:rFonts w:ascii="Arial"/>
          <w:sz w:val="22"/>
          <w:szCs w:val="22"/>
          <w:rtl w:val="0"/>
        </w:rPr>
        <w:t>.</w:t>
      </w:r>
      <w:r>
        <w:rPr>
          <w:rFonts w:ascii="Arial" w:cs="Arial" w:hAnsi="Arial" w:eastAsia="Arial"/>
          <w:sz w:val="22"/>
          <w:szCs w:val="22"/>
          <w:vertAlign w:val="superscript"/>
          <w:rtl w:val="0"/>
        </w:rPr>
        <w:footnoteReference w:id="35"/>
      </w:r>
      <w:r>
        <w:rPr>
          <w:rFonts w:ascii="Arial"/>
          <w:sz w:val="22"/>
          <w:szCs w:val="22"/>
          <w:rtl w:val="0"/>
          <w:lang w:val="en-US"/>
        </w:rPr>
        <w:t xml:space="preserve"> For example, imagine a benchmark with 100 contributors.  On a given day, 95 of their submissions for a specific instrument were higher than on the previous day, while 5 contributors</w:t>
      </w:r>
      <w:r>
        <w:rPr>
          <w:rFonts w:hAnsi="Arial" w:hint="default"/>
          <w:sz w:val="22"/>
          <w:szCs w:val="22"/>
          <w:rtl w:val="0"/>
          <w:lang w:val="en-US"/>
        </w:rPr>
        <w:t xml:space="preserve">’ </w:t>
      </w:r>
      <w:r>
        <w:rPr>
          <w:rFonts w:ascii="Arial"/>
          <w:sz w:val="22"/>
          <w:szCs w:val="22"/>
          <w:rtl w:val="0"/>
          <w:lang w:val="en-US"/>
        </w:rPr>
        <w:t xml:space="preserve">submissions were significantly below that of the previous day. We believe that it would be justified in such situation for the administrator to take a proportionate approach by focusing its efforts on verifying the input data from only those 5 contributors.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Times New Roman" w:cs="Times New Roman" w:hAnsi="Times New Roman" w:eastAsia="Times New Roman"/>
          <w:sz w:val="24"/>
          <w:szCs w:val="24"/>
        </w:rPr>
      </w:pPr>
      <w:r>
        <w:rPr>
          <w:rFonts w:ascii="Arial"/>
          <w:sz w:val="22"/>
          <w:szCs w:val="22"/>
          <w:rtl w:val="0"/>
          <w:lang w:val="en-US"/>
        </w:rPr>
        <w:t>We agree with ESMA</w:t>
      </w:r>
      <w:r>
        <w:rPr>
          <w:rFonts w:hAnsi="Arial" w:hint="default"/>
          <w:sz w:val="22"/>
          <w:szCs w:val="22"/>
          <w:rtl w:val="0"/>
          <w:lang w:val="en-US"/>
        </w:rPr>
        <w:t>’</w:t>
      </w:r>
      <w:r>
        <w:rPr>
          <w:rFonts w:ascii="Arial"/>
          <w:sz w:val="22"/>
          <w:szCs w:val="22"/>
          <w:rtl w:val="0"/>
          <w:lang w:val="en-US"/>
        </w:rPr>
        <w:t xml:space="preserve">s assessment that </w:t>
      </w:r>
      <w:r>
        <w:rPr>
          <w:rFonts w:hAnsi="Arial" w:hint="default"/>
          <w:sz w:val="22"/>
          <w:szCs w:val="22"/>
          <w:rtl w:val="0"/>
          <w:lang w:val="en-US"/>
        </w:rPr>
        <w:t>“</w:t>
      </w:r>
      <w:r>
        <w:rPr>
          <w:rFonts w:ascii="Arial"/>
          <w:sz w:val="22"/>
          <w:szCs w:val="22"/>
          <w:rtl w:val="0"/>
          <w:lang w:val="en-US"/>
        </w:rPr>
        <w:t>measures to ensure verifiability of input data should be imposed depending on the extent to which input data relies on expert judgement or the use of discretion</w:t>
      </w:r>
      <w:r>
        <w:rPr>
          <w:rFonts w:hAnsi="Arial" w:hint="default"/>
          <w:sz w:val="22"/>
          <w:szCs w:val="22"/>
          <w:rtl w:val="0"/>
          <w:lang w:val="en-US"/>
        </w:rPr>
        <w:t>”</w:t>
      </w:r>
      <w:r>
        <w:rPr>
          <w:rFonts w:ascii="Arial"/>
          <w:sz w:val="22"/>
          <w:szCs w:val="22"/>
          <w:rtl w:val="0"/>
        </w:rPr>
        <w:t>.</w:t>
      </w:r>
      <w:r>
        <w:rPr>
          <w:rFonts w:ascii="Arial" w:cs="Arial" w:hAnsi="Arial" w:eastAsia="Arial"/>
          <w:sz w:val="22"/>
          <w:szCs w:val="22"/>
          <w:vertAlign w:val="superscript"/>
          <w:rtl w:val="0"/>
        </w:rPr>
        <w:footnoteReference w:id="36"/>
      </w:r>
      <w:r>
        <w:rPr>
          <w:rFonts w:ascii="Arial"/>
          <w:sz w:val="22"/>
          <w:szCs w:val="22"/>
          <w:rtl w:val="0"/>
          <w:lang w:val="en-US"/>
        </w:rPr>
        <w:t xml:space="preserve"> Importantly, this would imply that different </w:t>
      </w:r>
      <w:r>
        <w:rPr>
          <w:rFonts w:hAnsi="Arial" w:hint="default"/>
          <w:sz w:val="22"/>
          <w:szCs w:val="22"/>
          <w:rtl w:val="0"/>
          <w:lang w:val="en-US"/>
        </w:rPr>
        <w:t>“</w:t>
      </w:r>
      <w:r>
        <w:rPr>
          <w:rFonts w:ascii="Arial"/>
          <w:sz w:val="22"/>
          <w:szCs w:val="22"/>
          <w:rtl w:val="0"/>
          <w:lang w:val="en-US"/>
        </w:rPr>
        <w:t>measures to ensure verifiability</w:t>
      </w:r>
      <w:r>
        <w:rPr>
          <w:rFonts w:hAnsi="Arial" w:hint="default"/>
          <w:sz w:val="22"/>
          <w:szCs w:val="22"/>
          <w:rtl w:val="0"/>
          <w:lang w:val="en-US"/>
        </w:rPr>
        <w:t xml:space="preserve">” </w:t>
      </w:r>
      <w:r>
        <w:rPr>
          <w:rFonts w:ascii="Arial"/>
          <w:sz w:val="22"/>
          <w:szCs w:val="22"/>
          <w:rtl w:val="0"/>
          <w:lang w:val="en-US"/>
        </w:rPr>
        <w:t>would be used for the various types of benchmarks depending upon the proportion of transaction data used in the benchmark.</w:t>
      </w:r>
    </w:p>
    <w:p>
      <w:pPr>
        <w:pStyle w:val="Body"/>
        <w:rPr>
          <w:rtl w:val="0"/>
        </w:rPr>
      </w:pPr>
      <w:r>
        <w:rPr>
          <w:rFonts w:ascii="Arial" w:cs="Arial Unicode MS" w:hAnsi="Arial Unicode MS" w:eastAsia="Arial Unicode MS"/>
          <w:rtl w:val="0"/>
        </w:rPr>
        <w:t>&lt;ESMA_QUESTION_DP_BMR_31&gt;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to the list of elements that are amenable to proportional implementation? If not, please specify why you disagree.</w:t>
      </w:r>
    </w:p>
    <w:p>
      <w:pPr>
        <w:pStyle w:val="Body"/>
        <w:rPr>
          <w:rtl w:val="0"/>
        </w:rPr>
      </w:pPr>
      <w:r>
        <w:rPr>
          <w:rFonts w:ascii="Arial" w:cs="Arial Unicode MS" w:hAnsi="Arial Unicode MS" w:eastAsia="Arial Unicode MS"/>
          <w:rtl w:val="0"/>
        </w:rPr>
        <w:t>&lt;ESMA_QUESTION_DP_BMR_32&gt;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&lt;ESMA_QUESTION_DP_BMR_32&gt;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to the list of elements that are not amenable to proportional implementation? If not, please specify why you disagree.</w:t>
      </w:r>
    </w:p>
    <w:p>
      <w:pPr>
        <w:pStyle w:val="Body"/>
        <w:rPr>
          <w:rtl w:val="0"/>
        </w:rPr>
      </w:pPr>
      <w:r>
        <w:rPr>
          <w:rFonts w:ascii="Arial" w:cs="Arial Unicode MS" w:hAnsi="Arial Unicode MS" w:eastAsia="Arial Unicode MS"/>
          <w:rtl w:val="0"/>
        </w:rPr>
        <w:t>&lt;ESMA_QUESTION_DP_BMR_33&gt;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&lt;ESMA_QUESTION_DP_BMR_33&gt;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Do you consider the proposed list of key elements sufficiently granular </w:t>
      </w:r>
      <w:r>
        <w:rPr>
          <w:rFonts w:ascii="Calibri" w:cs="Calibri" w:hAnsi="Calibri" w:eastAsia="Calibri"/>
          <w:rtl w:val="0"/>
          <w:lang w:val="en-US"/>
        </w:rPr>
        <w:t>“</w:t>
      </w:r>
      <w:r>
        <w:rPr>
          <w:rFonts w:ascii="Calibri" w:cs="Calibri" w:hAnsi="Calibri" w:eastAsia="Calibri"/>
          <w:i w:val="1"/>
          <w:iCs w:val="1"/>
          <w:rtl w:val="0"/>
          <w:lang w:val="en-US"/>
        </w:rPr>
        <w:t>to allow users to understand how a benchmark is provided and to assess its representativeness, its relevance to particular users and its appropriateness as a reference for financial instruments and contracts</w:t>
      </w:r>
      <w:r>
        <w:rPr>
          <w:rFonts w:ascii="Calibri" w:cs="Calibri" w:hAnsi="Calibri" w:eastAsia="Calibri"/>
          <w:rtl w:val="0"/>
          <w:lang w:val="en-US"/>
        </w:rPr>
        <w:t>”</w:t>
      </w:r>
      <w:r>
        <w:rPr>
          <w:rFonts w:ascii="Calibri" w:cs="Calibri" w:hAnsi="Calibri" w:eastAsia="Calibri"/>
          <w:rtl w:val="0"/>
          <w:lang w:val="en-US"/>
        </w:rPr>
        <w:t>?</w:t>
      </w:r>
    </w:p>
    <w:p>
      <w:pPr>
        <w:pStyle w:val="Body"/>
        <w:rPr>
          <w:rtl w:val="0"/>
        </w:rPr>
      </w:pPr>
      <w:r>
        <w:rPr>
          <w:rFonts w:ascii="Arial" w:cs="Arial Unicode MS" w:hAnsi="Arial Unicode MS" w:eastAsia="Arial Unicode MS"/>
          <w:rtl w:val="0"/>
        </w:rPr>
        <w:t>&lt;ESMA_QUESTION_DP_BMR_34&gt;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 xml:space="preserve">We believe it is essential for administrators to provide users of their benchmarks with sufficient transparency about the benchmark objective as it will allow them to understand </w:t>
      </w:r>
      <w:r>
        <w:rPr>
          <w:rFonts w:hAnsi="Arial" w:hint="default"/>
          <w:sz w:val="22"/>
          <w:szCs w:val="22"/>
          <w:rtl w:val="0"/>
          <w:lang w:val="en-US"/>
        </w:rPr>
        <w:t>“</w:t>
      </w:r>
      <w:r>
        <w:rPr>
          <w:rFonts w:ascii="Arial"/>
          <w:sz w:val="22"/>
          <w:szCs w:val="22"/>
          <w:rtl w:val="0"/>
          <w:lang w:val="en-US"/>
        </w:rPr>
        <w:t>how a benchmark is provided and to assess its representativeness, its relevance to particular users and its appropriateness as a reference for financial instruments and contracts</w:t>
      </w:r>
      <w:r>
        <w:rPr>
          <w:rFonts w:hAnsi="Arial" w:hint="default"/>
          <w:sz w:val="22"/>
          <w:szCs w:val="22"/>
          <w:rtl w:val="0"/>
          <w:lang w:val="en-US"/>
        </w:rPr>
        <w:t>”</w:t>
      </w:r>
      <w:r>
        <w:rPr>
          <w:rFonts w:ascii="Arial"/>
          <w:sz w:val="22"/>
          <w:szCs w:val="22"/>
          <w:rtl w:val="0"/>
        </w:rPr>
        <w: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Times New Roman" w:cs="Times New Roman" w:hAnsi="Times New Roman" w:eastAsia="Times New Roman"/>
          <w:sz w:val="24"/>
          <w:szCs w:val="24"/>
        </w:rPr>
      </w:pPr>
      <w:r>
        <w:rPr>
          <w:rFonts w:ascii="Arial"/>
          <w:sz w:val="22"/>
          <w:szCs w:val="22"/>
          <w:rtl w:val="0"/>
          <w:lang w:val="en-US"/>
        </w:rPr>
        <w:t>That said, ESMA must carefully design any requirement to provide transparency of the benchmark methodology to not compromise the intellectual property of the benchmark owner or create a risk of front running. ESMA rightly recalls that these risks were already acknowledged in the context of the ESMA-EBA principles for benchmark-setting processes in the EU.</w:t>
      </w:r>
      <w:r>
        <w:rPr>
          <w:rFonts w:ascii="Arial" w:cs="Arial" w:hAnsi="Arial" w:eastAsia="Arial"/>
          <w:sz w:val="22"/>
          <w:szCs w:val="22"/>
          <w:vertAlign w:val="superscript"/>
          <w:rtl w:val="0"/>
        </w:rPr>
        <w:footnoteReference w:id="37"/>
      </w:r>
      <w:r>
        <w:rPr>
          <w:rFonts w:ascii="Arial"/>
          <w:sz w:val="22"/>
          <w:szCs w:val="22"/>
          <w:rtl w:val="0"/>
          <w:lang w:val="en-US"/>
        </w:rPr>
        <w:t xml:space="preserve"> Specifically, they stated that </w:t>
      </w:r>
      <w:r>
        <w:rPr>
          <w:rFonts w:hAnsi="Arial" w:hint="default"/>
          <w:sz w:val="22"/>
          <w:szCs w:val="22"/>
          <w:rtl w:val="0"/>
          <w:lang w:val="en-US"/>
        </w:rPr>
        <w:t>“</w:t>
      </w:r>
      <w:r>
        <w:rPr>
          <w:rFonts w:ascii="Arial"/>
          <w:sz w:val="22"/>
          <w:szCs w:val="22"/>
          <w:rtl w:val="0"/>
          <w:lang w:val="en-US"/>
        </w:rPr>
        <w:t xml:space="preserve">transparency may be limited </w:t>
      </w:r>
      <w:r>
        <w:rPr>
          <w:rFonts w:hAnsi="Arial" w:hint="default"/>
          <w:sz w:val="22"/>
          <w:szCs w:val="22"/>
          <w:rtl w:val="0"/>
          <w:lang w:val="en-US"/>
        </w:rPr>
        <w:t>…</w:t>
      </w:r>
      <w:r>
        <w:rPr>
          <w:rFonts w:ascii="Arial"/>
          <w:sz w:val="22"/>
          <w:szCs w:val="22"/>
          <w:rtl w:val="0"/>
          <w:lang w:val="en-US"/>
        </w:rPr>
        <w:t xml:space="preserve"> based on legal provisions safeguarding confidentiality and intellectual property rights. In addition, when a benchmark</w:t>
      </w:r>
      <w:r>
        <w:rPr>
          <w:rFonts w:hAnsi="Arial" w:hint="default"/>
          <w:sz w:val="22"/>
          <w:szCs w:val="22"/>
          <w:rtl w:val="0"/>
          <w:lang w:val="en-US"/>
        </w:rPr>
        <w:t>’</w:t>
      </w:r>
      <w:r>
        <w:rPr>
          <w:rFonts w:ascii="Arial"/>
          <w:sz w:val="22"/>
          <w:szCs w:val="22"/>
          <w:rtl w:val="0"/>
          <w:lang w:val="en-US"/>
        </w:rPr>
        <w:t>s methodology is fully disclosed, and input data is publicly available, there could be a risk of front-running</w:t>
      </w:r>
      <w:r>
        <w:rPr>
          <w:rFonts w:hAnsi="Arial" w:hint="default"/>
          <w:sz w:val="22"/>
          <w:szCs w:val="22"/>
          <w:rtl w:val="0"/>
          <w:lang w:val="en-US"/>
        </w:rPr>
        <w:t>”</w:t>
      </w:r>
      <w:r>
        <w:rPr>
          <w:rFonts w:ascii="Arial"/>
          <w:sz w:val="22"/>
          <w:szCs w:val="22"/>
          <w:rtl w:val="0"/>
        </w:rPr>
        <w:t>.</w:t>
      </w:r>
      <w:r>
        <w:rPr>
          <w:rFonts w:ascii="Arial" w:cs="Arial" w:hAnsi="Arial" w:eastAsia="Arial"/>
          <w:sz w:val="22"/>
          <w:szCs w:val="22"/>
          <w:vertAlign w:val="superscript"/>
          <w:rtl w:val="0"/>
        </w:rPr>
        <w:footnoteReference w:id="38"/>
      </w:r>
      <w:r>
        <w:rPr>
          <w:rFonts w:ascii="Arial"/>
          <w:sz w:val="22"/>
          <w:szCs w:val="22"/>
          <w:rtl w:val="0"/>
          <w:lang w:val="en-US"/>
        </w:rPr>
        <w:t xml:space="preserve"> ESMA should note that any failure to sufficiently protect intellectual property of benchmark owners in this context would result in a significant risk of stifling innovation in the sector.</w:t>
      </w:r>
    </w:p>
    <w:p>
      <w:pPr>
        <w:pStyle w:val="Body"/>
        <w:rPr>
          <w:rtl w:val="0"/>
        </w:rPr>
      </w:pPr>
      <w:r>
        <w:rPr>
          <w:rFonts w:ascii="Arial" w:cs="Arial Unicode MS" w:hAnsi="Arial Unicode MS" w:eastAsia="Arial Unicode MS"/>
          <w:rtl w:val="0"/>
        </w:rPr>
        <w:t>&lt;ESMA_QUESTION_DP_BMR_34&gt;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Beyond the list of key elements, could you identify other elements of benchmark methodology that should be disclosed? If yes, please explain the reason why these elements should be disclosed.</w:t>
      </w:r>
    </w:p>
    <w:p>
      <w:pPr>
        <w:pStyle w:val="Body"/>
        <w:rPr>
          <w:rtl w:val="0"/>
        </w:rPr>
      </w:pPr>
      <w:r>
        <w:rPr>
          <w:rFonts w:ascii="Arial" w:cs="Arial Unicode MS" w:hAnsi="Arial Unicode MS" w:eastAsia="Arial Unicode MS"/>
          <w:rtl w:val="0"/>
        </w:rPr>
        <w:t>&lt;ESMA_QUESTION_DP_BMR_35&gt;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&lt;ESMA_QUESTION_DP_BMR_35&gt;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Do you agree that the proposed key elements must be disclosed </w:t>
      </w:r>
      <w:r>
        <w:rPr>
          <w:rFonts w:ascii="Calibri" w:cs="Calibri" w:hAnsi="Calibri" w:eastAsia="Calibri"/>
          <w:i w:val="1"/>
          <w:iCs w:val="1"/>
          <w:rtl w:val="0"/>
          <w:lang w:val="en-US"/>
        </w:rPr>
        <w:t>to the public</w:t>
      </w:r>
      <w:r>
        <w:rPr>
          <w:rFonts w:ascii="Calibri" w:cs="Calibri" w:hAnsi="Calibri" w:eastAsia="Calibri"/>
          <w:rtl w:val="0"/>
          <w:lang w:val="en-US"/>
        </w:rPr>
        <w:t xml:space="preserve"> (linked to Article 3, para 1, subpara 1, point (a))? If not, please specify why not.</w:t>
      </w:r>
    </w:p>
    <w:p>
      <w:pPr>
        <w:pStyle w:val="Body"/>
        <w:rPr>
          <w:rtl w:val="0"/>
        </w:rPr>
      </w:pPr>
      <w:r>
        <w:rPr>
          <w:rFonts w:ascii="Arial" w:cs="Arial Unicode MS" w:hAnsi="Arial Unicode MS" w:eastAsia="Arial Unicode MS"/>
          <w:rtl w:val="0"/>
        </w:rPr>
        <w:t>&lt;ESMA_QUESTION_DP_BMR_36&gt;</w:t>
      </w:r>
    </w:p>
    <w:p>
      <w:pPr>
        <w:pStyle w:val="Body"/>
        <w:rPr>
          <w:rtl w:val="0"/>
        </w:rPr>
      </w:pPr>
      <w:r>
        <w:rPr>
          <w:rFonts w:ascii="Arial" w:cs="Arial Unicode MS" w:hAnsi="Arial Unicode MS" w:eastAsia="Arial Unicode MS"/>
          <w:sz w:val="22"/>
          <w:szCs w:val="22"/>
          <w:rtl w:val="0"/>
          <w:lang w:val="en-US"/>
        </w:rPr>
        <w:t>We believe that users of a benchmark will generally need to be provided with a sufficient degree of transparency about the benchmark methodology. However, ESMA should consider that the information to be provided in this context is often confidential or protected and that benchmark owners are very concerned about the potential unintended consequences of disclosing certain aspects of their methodologies both for competitive reasons and for potentially exposing their intellectual property. On the other hand, providing this information to the public rather than only to users creates little benefit. We therefore recommend that the required transparency about key elements of the methodology is provided to users of the benchmark.</w:t>
      </w:r>
    </w:p>
    <w:p>
      <w:pPr>
        <w:pStyle w:val="Body"/>
        <w:rPr>
          <w:rtl w:val="0"/>
        </w:rPr>
      </w:pPr>
      <w:r>
        <w:rPr>
          <w:rFonts w:ascii="Arial" w:cs="Arial Unicode MS" w:hAnsi="Arial Unicode MS" w:eastAsia="Arial Unicode MS"/>
          <w:rtl w:val="0"/>
        </w:rPr>
        <w:t>&lt;ESMA_QUESTION_DP_BMR_36&gt;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with ESMA</w:t>
      </w:r>
      <w:r>
        <w:rPr>
          <w:rFonts w:ascii="Calibri" w:cs="Calibri" w:hAnsi="Calibri" w:eastAsia="Calibri"/>
          <w:rtl w:val="0"/>
          <w:lang w:val="en-US"/>
        </w:rPr>
        <w:t>’</w:t>
      </w:r>
      <w:r>
        <w:rPr>
          <w:rFonts w:ascii="Calibri" w:cs="Calibri" w:hAnsi="Calibri" w:eastAsia="Calibri"/>
          <w:rtl w:val="0"/>
          <w:lang w:val="en-US"/>
        </w:rPr>
        <w:t>s proposal about the information to be made public concerning the internal review of the methodology? Please suggest any other information you consider useful to disclose on the topic.</w:t>
      </w:r>
    </w:p>
    <w:p>
      <w:pPr>
        <w:pStyle w:val="Body"/>
        <w:rPr>
          <w:rtl w:val="0"/>
        </w:rPr>
      </w:pPr>
      <w:r>
        <w:rPr>
          <w:rFonts w:ascii="Arial" w:cs="Arial Unicode MS" w:hAnsi="Arial Unicode MS" w:eastAsia="Arial Unicode MS"/>
          <w:rtl w:val="0"/>
        </w:rPr>
        <w:t>&lt;ESMA_QUESTION_DP_BMR_37&gt;</w:t>
      </w:r>
    </w:p>
    <w:p>
      <w:pPr>
        <w:pStyle w:val="Body"/>
        <w:rPr>
          <w:rtl w:val="0"/>
        </w:rPr>
      </w:pPr>
      <w:r>
        <w:rPr>
          <w:rFonts w:ascii="Arial" w:cs="Arial Unicode MS" w:hAnsi="Arial Unicode MS" w:eastAsia="Arial Unicode MS"/>
          <w:sz w:val="22"/>
          <w:szCs w:val="22"/>
          <w:rtl w:val="0"/>
          <w:lang w:val="en-US"/>
        </w:rPr>
        <w:t>Consistent with our response to Question 36 above, we believe that, as long as the information concerning the internal review of the methodology is to be made available to users of the benchmark upon request, the disclosure requirement would be appropriate.</w:t>
      </w:r>
    </w:p>
    <w:p>
      <w:pPr>
        <w:pStyle w:val="Body"/>
        <w:rPr>
          <w:rtl w:val="0"/>
        </w:rPr>
      </w:pPr>
      <w:r>
        <w:rPr>
          <w:rFonts w:ascii="Arial" w:cs="Arial Unicode MS" w:hAnsi="Arial Unicode MS" w:eastAsia="Arial Unicode MS"/>
          <w:rtl w:val="0"/>
        </w:rPr>
        <w:t>&lt;ESMA_QUESTION_DP_BMR_37&gt;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with the above proposals to specify the information to be provided to benchmark users and, more in general, stakeholders regarding material changes in benchmark methodology?</w:t>
      </w:r>
    </w:p>
    <w:p>
      <w:pPr>
        <w:pStyle w:val="Body"/>
        <w:rPr>
          <w:rtl w:val="0"/>
        </w:rPr>
      </w:pPr>
      <w:r>
        <w:rPr>
          <w:rFonts w:ascii="Arial" w:cs="Arial Unicode MS" w:hAnsi="Arial Unicode MS" w:eastAsia="Arial Unicode MS"/>
          <w:rtl w:val="0"/>
        </w:rPr>
        <w:t>&lt;ESMA_QUESTION_DP_BMR_38&gt;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&lt;ESMA_QUESTION_DP_BMR_38&gt;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Do you agree, in particular, on the opportunity that also the replies received in response to the consultation are made available to the public, where allowed by respondents? </w:t>
      </w:r>
    </w:p>
    <w:p>
      <w:pPr>
        <w:pStyle w:val="Body"/>
        <w:rPr>
          <w:rtl w:val="0"/>
        </w:rPr>
      </w:pPr>
      <w:r>
        <w:rPr>
          <w:rFonts w:ascii="Arial" w:cs="Arial Unicode MS" w:hAnsi="Arial Unicode MS" w:eastAsia="Arial Unicode MS"/>
          <w:rtl w:val="0"/>
        </w:rPr>
        <w:t>&lt;ESMA_QUESTION_DP_BMR_39&gt;</w:t>
      </w:r>
    </w:p>
    <w:p>
      <w:pPr>
        <w:pStyle w:val="Body"/>
        <w:rPr>
          <w:rtl w:val="0"/>
        </w:rPr>
      </w:pPr>
      <w:r>
        <w:rPr>
          <w:rFonts w:ascii="Arial" w:cs="Arial Unicode MS" w:hAnsi="Arial Unicode MS" w:eastAsia="Arial Unicode MS"/>
          <w:sz w:val="22"/>
          <w:szCs w:val="22"/>
          <w:rtl w:val="0"/>
          <w:lang w:val="en-US"/>
        </w:rPr>
        <w:t>We agree with this as long as the publication of the replies received in response to the consultation does not breach any confidentiality obligations.</w:t>
      </w:r>
    </w:p>
    <w:p>
      <w:pPr>
        <w:pStyle w:val="Body"/>
        <w:rPr>
          <w:rtl w:val="0"/>
        </w:rPr>
      </w:pPr>
      <w:r>
        <w:rPr>
          <w:rFonts w:ascii="Arial" w:cs="Arial Unicode MS" w:hAnsi="Arial Unicode MS" w:eastAsia="Arial Unicode MS"/>
          <w:rtl w:val="0"/>
        </w:rPr>
        <w:t>&lt;ESMA_QUESTION_DP_BMR_39&gt;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that the publication requirements for key elements of methodology apply regardless of benchmark type? If not, please state which type of benchmark would be exempt / which elements of methodology would be exempt and why.</w:t>
      </w:r>
    </w:p>
    <w:p>
      <w:pPr>
        <w:pStyle w:val="Body"/>
        <w:rPr>
          <w:rtl w:val="0"/>
        </w:rPr>
      </w:pPr>
      <w:r>
        <w:rPr>
          <w:rFonts w:ascii="Arial" w:cs="Arial Unicode MS" w:hAnsi="Arial Unicode MS" w:eastAsia="Arial Unicode MS"/>
          <w:rtl w:val="0"/>
        </w:rPr>
        <w:t>&lt;ESMA_QUESTION_DP_BMR_40&gt;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&lt;ESMA_QUESTION_DP_BMR_40&gt;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that the publication requirements for the internal review of methodology apply regardless of benchmark type? If not, please state which information regarding the internal review could be differentiated and according to which characteristic of the benchmark or of its input data or of its methodology.</w:t>
      </w:r>
    </w:p>
    <w:p>
      <w:pPr>
        <w:pStyle w:val="Body"/>
        <w:rPr>
          <w:rtl w:val="0"/>
        </w:rPr>
      </w:pPr>
      <w:r>
        <w:rPr>
          <w:rFonts w:ascii="Arial" w:cs="Arial Unicode MS" w:hAnsi="Arial Unicode MS" w:eastAsia="Arial Unicode MS"/>
          <w:rtl w:val="0"/>
        </w:rPr>
        <w:t>&lt;ESMA_QUESTION_DP_BMR_41&gt;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&lt;ESMA_QUESTION_DP_BMR_41&gt;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that, in the requirements regarding the procedure for material change, the proportionality built into the Level 1 text covers all needs for proportional application?</w:t>
      </w:r>
    </w:p>
    <w:p>
      <w:pPr>
        <w:pStyle w:val="Body"/>
        <w:rPr>
          <w:rtl w:val="0"/>
        </w:rPr>
      </w:pPr>
      <w:r>
        <w:rPr>
          <w:rFonts w:ascii="Arial" w:cs="Arial Unicode MS" w:hAnsi="Arial Unicode MS" w:eastAsia="Arial Unicode MS"/>
          <w:rtl w:val="0"/>
        </w:rPr>
        <w:t>&lt;ESMA_QUESTION_DP_BMR_42&gt;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&lt;ESMA_QUESTION_DP_BMR_42&gt;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that a benchmark administrator could have a standard code for all types of benchmarks? If not, should there be separate codes depending on whether a benchmark is critical, significant or non-significant? Please take into account your answer to this question when responding to all subsequent questions.</w:t>
      </w:r>
    </w:p>
    <w:p>
      <w:pPr>
        <w:pStyle w:val="Body"/>
        <w:rPr>
          <w:rtl w:val="0"/>
        </w:rPr>
      </w:pPr>
      <w:r>
        <w:rPr>
          <w:rFonts w:ascii="Arial" w:cs="Arial Unicode MS" w:hAnsi="Arial Unicode MS" w:eastAsia="Arial Unicode MS"/>
          <w:rtl w:val="0"/>
        </w:rPr>
        <w:t>&lt;ESMA_QUESTION_DP_BMR_43&gt;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The Submitter Code of Conduct (</w:t>
      </w:r>
      <w:r>
        <w:rPr>
          <w:rFonts w:hAnsi="Arial" w:hint="default"/>
          <w:sz w:val="22"/>
          <w:szCs w:val="22"/>
          <w:rtl w:val="0"/>
          <w:lang w:val="en-US"/>
        </w:rPr>
        <w:t>“</w:t>
      </w:r>
      <w:r>
        <w:rPr>
          <w:rFonts w:ascii="Arial"/>
          <w:b w:val="1"/>
          <w:bCs w:val="1"/>
          <w:i w:val="1"/>
          <w:iCs w:val="1"/>
          <w:sz w:val="22"/>
          <w:szCs w:val="22"/>
          <w:rtl w:val="0"/>
        </w:rPr>
        <w:t>S</w:t>
      </w:r>
      <w:r>
        <w:rPr>
          <w:rFonts w:ascii="Arial"/>
          <w:b w:val="1"/>
          <w:bCs w:val="1"/>
          <w:sz w:val="22"/>
          <w:szCs w:val="22"/>
          <w:rtl w:val="0"/>
        </w:rPr>
        <w:t>CoC</w:t>
      </w:r>
      <w:r>
        <w:rPr>
          <w:rFonts w:hAnsi="Arial" w:hint="default"/>
          <w:b w:val="1"/>
          <w:bCs w:val="1"/>
          <w:sz w:val="22"/>
          <w:szCs w:val="22"/>
          <w:rtl w:val="0"/>
          <w:lang w:val="en-US"/>
        </w:rPr>
        <w:t>”</w:t>
      </w:r>
      <w:r>
        <w:rPr>
          <w:rFonts w:ascii="Arial"/>
          <w:sz w:val="22"/>
          <w:szCs w:val="22"/>
          <w:rtl w:val="0"/>
          <w:lang w:val="en-US"/>
        </w:rPr>
        <w:t xml:space="preserve">) contains provisions on information provided by the contributors to the benchmark administrator </w:t>
      </w:r>
      <w:r>
        <w:rPr>
          <w:rFonts w:hAnsi="Arial" w:hint="default"/>
          <w:sz w:val="22"/>
          <w:szCs w:val="22"/>
          <w:rtl w:val="0"/>
          <w:lang w:val="en-US"/>
        </w:rPr>
        <w:t>“</w:t>
      </w:r>
      <w:r>
        <w:rPr>
          <w:rFonts w:ascii="Arial"/>
          <w:sz w:val="22"/>
          <w:szCs w:val="22"/>
          <w:rtl w:val="0"/>
          <w:lang w:val="en-US"/>
        </w:rPr>
        <w:t>with respect to input data, record keeping, suspicious input data reporting and conflict management requirements</w:t>
      </w:r>
      <w:r>
        <w:rPr>
          <w:rFonts w:hAnsi="Arial" w:hint="default"/>
          <w:sz w:val="22"/>
          <w:szCs w:val="22"/>
          <w:rtl w:val="0"/>
          <w:lang w:val="en-US"/>
        </w:rPr>
        <w:t>”</w:t>
      </w:r>
      <w:r>
        <w:rPr>
          <w:rFonts w:ascii="Arial"/>
          <w:sz w:val="22"/>
          <w:szCs w:val="22"/>
          <w:rtl w:val="0"/>
        </w:rPr>
        <w:t>.</w:t>
      </w:r>
      <w:r>
        <w:rPr>
          <w:rFonts w:ascii="Arial" w:cs="Arial" w:hAnsi="Arial" w:eastAsia="Arial"/>
          <w:sz w:val="22"/>
          <w:szCs w:val="22"/>
          <w:vertAlign w:val="superscript"/>
          <w:rtl w:val="0"/>
        </w:rPr>
        <w:footnoteReference w:id="39"/>
      </w:r>
      <w:r>
        <w:rPr>
          <w:rFonts w:ascii="Arial"/>
          <w:sz w:val="22"/>
          <w:szCs w:val="22"/>
          <w:rtl w:val="0"/>
        </w:rPr>
        <w:t xml:space="preserve">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Given the large variety of benchmarks that likely to be subject to the Regulation, we urge ESMA to provide administrators with sufficient flexibility to decide on whether to establish a single or multiple SCoCs as long as they contain all of the provisions necessary to address the relevant requirements across all asset classes and benchmark type. To make the creation, publication and adherence to the SCoC an effective and efficient process, administrators should be permitted to choose to either establish provisions covering all of their benchmarks in a single SCoC or to create a number of separate SCoCs, distinguishing, for example, by asset class or benchmark type.</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 xml:space="preserve">We also propose that ESMA amend the requirement for administrators to </w:t>
      </w:r>
      <w:r>
        <w:rPr>
          <w:rFonts w:hAnsi="Arial" w:hint="default"/>
          <w:sz w:val="22"/>
          <w:szCs w:val="22"/>
          <w:rtl w:val="0"/>
          <w:lang w:val="en-US"/>
        </w:rPr>
        <w:t>“</w:t>
      </w:r>
      <w:r>
        <w:rPr>
          <w:rFonts w:ascii="Arial"/>
          <w:sz w:val="22"/>
          <w:szCs w:val="22"/>
          <w:rtl w:val="0"/>
          <w:lang w:val="en-US"/>
        </w:rPr>
        <w:t>continuously assess contributors</w:t>
      </w:r>
      <w:r>
        <w:rPr>
          <w:rFonts w:hAnsi="Arial" w:hint="default"/>
          <w:sz w:val="22"/>
          <w:szCs w:val="22"/>
          <w:rtl w:val="0"/>
          <w:lang w:val="en-US"/>
        </w:rPr>
        <w:t xml:space="preserve">’ </w:t>
      </w:r>
      <w:r>
        <w:rPr>
          <w:rFonts w:ascii="Arial"/>
          <w:sz w:val="22"/>
          <w:szCs w:val="22"/>
          <w:rtl w:val="0"/>
          <w:lang w:val="en-US"/>
        </w:rPr>
        <w:t>adherence</w:t>
      </w:r>
      <w:r>
        <w:rPr>
          <w:rFonts w:hAnsi="Arial" w:hint="default"/>
          <w:sz w:val="22"/>
          <w:szCs w:val="22"/>
          <w:rtl w:val="0"/>
          <w:lang w:val="en-US"/>
        </w:rPr>
        <w:t>”</w:t>
      </w:r>
      <w:r>
        <w:rPr>
          <w:rFonts w:ascii="Arial"/>
          <w:sz w:val="22"/>
          <w:szCs w:val="22"/>
          <w:rtl w:val="0"/>
          <w:lang w:val="en-US"/>
        </w:rPr>
        <w:t xml:space="preserve"> to the SCoC as administrators would find it operationally impossible to comply with such requirement. Instead it would be more practical for administrators to assess submitters</w:t>
      </w:r>
      <w:r>
        <w:rPr>
          <w:rFonts w:hAnsi="Arial" w:hint="default"/>
          <w:sz w:val="22"/>
          <w:szCs w:val="22"/>
          <w:rtl w:val="0"/>
          <w:lang w:val="en-US"/>
        </w:rPr>
        <w:t xml:space="preserve">’ </w:t>
      </w:r>
      <w:r>
        <w:rPr>
          <w:rFonts w:ascii="Arial"/>
          <w:sz w:val="22"/>
          <w:szCs w:val="22"/>
          <w:rtl w:val="0"/>
          <w:lang w:val="en-US"/>
        </w:rPr>
        <w:t xml:space="preserve">compliance with the SCoC in regular intervals based on contributor representations of their compliance with the code. This could, for example, be performed on an annual basis.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Times New Roman" w:cs="Times New Roman" w:hAnsi="Times New Roman" w:eastAsia="Times New Roman"/>
          <w:sz w:val="24"/>
          <w:szCs w:val="24"/>
        </w:rPr>
      </w:pPr>
      <w:r>
        <w:rPr>
          <w:rFonts w:ascii="Arial"/>
          <w:sz w:val="22"/>
          <w:szCs w:val="22"/>
          <w:rtl w:val="0"/>
          <w:lang w:val="en-US"/>
        </w:rPr>
        <w:t>Furthermore, the SCoC would contain provisions on information to be provided by contributors to administrators. The structure of the SCoC should hence be at the discretion of the administrator depending on the nature of the benchmark.</w:t>
      </w:r>
    </w:p>
    <w:p>
      <w:pPr>
        <w:pStyle w:val="Body"/>
        <w:rPr>
          <w:rtl w:val="0"/>
        </w:rPr>
      </w:pPr>
      <w:r>
        <w:rPr>
          <w:rFonts w:ascii="Arial" w:cs="Arial Unicode MS" w:hAnsi="Arial Unicode MS" w:eastAsia="Arial Unicode MS"/>
          <w:rtl w:val="0"/>
        </w:rPr>
        <w:t>&lt;ESMA_QUESTION_DP_BMR_43&gt;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believe that an administrator should be mandated to tailor a code of conduct, depending on the market or economic reality it seeks to measure and/or the methodology applied for the determination of the benchmark? Please explain your answer using examples of different categories or sectors of benchmarks, where applicable.</w:t>
      </w:r>
    </w:p>
    <w:p>
      <w:pPr>
        <w:pStyle w:val="Body"/>
        <w:rPr>
          <w:rtl w:val="0"/>
        </w:rPr>
      </w:pPr>
      <w:r>
        <w:rPr>
          <w:rFonts w:ascii="Arial" w:cs="Arial Unicode MS" w:hAnsi="Arial Unicode MS" w:eastAsia="Arial Unicode MS"/>
          <w:rtl w:val="0"/>
        </w:rPr>
        <w:t>&lt;ESMA_QUESTION_DP_BMR_44&gt;</w:t>
      </w:r>
    </w:p>
    <w:p>
      <w:pPr>
        <w:pStyle w:val="Body"/>
        <w:rPr>
          <w:rtl w:val="0"/>
        </w:rPr>
      </w:pPr>
      <w:r>
        <w:rPr>
          <w:rFonts w:ascii="Arial" w:cs="Arial Unicode MS" w:hAnsi="Arial Unicode MS" w:eastAsia="Arial Unicode MS"/>
          <w:sz w:val="22"/>
          <w:szCs w:val="22"/>
          <w:rtl w:val="0"/>
          <w:lang w:val="en-US"/>
        </w:rPr>
        <w:t xml:space="preserve">The SCoC should be designed to ensure the robustness of the submission methodology and includes, among other things, the systems and controls applied with respect to input data. Naturally, the procedures required to mitigate the conflicts of interest arising from submitting non-transaction data or data based on expert judgement are different (and possibly more onerous) than those involving transaction data. Contributors would also take into account the nature of the input data when verifying it since </w:t>
      </w:r>
      <w:r>
        <w:rPr>
          <w:rFonts w:ascii="Arial Unicode MS" w:cs="Arial Unicode MS" w:hAnsi="Arial" w:eastAsia="Arial Unicode MS" w:hint="default"/>
          <w:sz w:val="22"/>
          <w:szCs w:val="22"/>
          <w:rtl w:val="0"/>
          <w:lang w:val="en-US"/>
        </w:rPr>
        <w:t>“</w:t>
      </w:r>
      <w:r>
        <w:rPr>
          <w:rFonts w:ascii="Arial" w:cs="Arial Unicode MS" w:hAnsi="Arial Unicode MS" w:eastAsia="Arial Unicode MS"/>
          <w:sz w:val="22"/>
          <w:szCs w:val="22"/>
          <w:rtl w:val="0"/>
          <w:lang w:val="en-US"/>
        </w:rPr>
        <w:t>the use of transactional as input data for benchmark determination provides better guarantees of accuracy and reliability of the resulting benchmark, since it is by nature less susceptible to manipulation</w:t>
      </w:r>
      <w:r>
        <w:rPr>
          <w:rFonts w:ascii="Arial Unicode MS" w:cs="Arial Unicode MS" w:hAnsi="Arial" w:eastAsia="Arial Unicode MS" w:hint="default"/>
          <w:sz w:val="22"/>
          <w:szCs w:val="22"/>
          <w:rtl w:val="0"/>
          <w:lang w:val="en-US"/>
        </w:rPr>
        <w:t>”</w:t>
      </w:r>
      <w:r>
        <w:rPr>
          <w:rFonts w:ascii="Arial" w:cs="Arial" w:hAnsi="Arial" w:eastAsia="Arial"/>
          <w:b w:val="0"/>
          <w:bCs w:val="0"/>
          <w:i w:val="0"/>
          <w:iCs w:val="0"/>
          <w:sz w:val="22"/>
          <w:szCs w:val="22"/>
          <w:vertAlign w:val="superscript"/>
        </w:rPr>
        <w:footnoteReference w:id="40"/>
      </w:r>
      <w:r>
        <w:rPr>
          <w:rFonts w:ascii="Arial" w:cs="Arial Unicode MS" w:hAnsi="Arial Unicode MS" w:eastAsia="Arial Unicode MS"/>
          <w:sz w:val="22"/>
          <w:szCs w:val="22"/>
          <w:rtl w:val="0"/>
          <w:lang w:val="en-US"/>
        </w:rPr>
        <w:t>. We therefore believe that the SCoC will often be tailored to reflect these differences arising from different types of input data. However, we strongly believe it should be at the administrator</w:t>
      </w:r>
      <w:r>
        <w:rPr>
          <w:rFonts w:ascii="Arial Unicode MS" w:cs="Arial Unicode MS" w:hAnsi="Arial" w:eastAsia="Arial Unicode MS" w:hint="default"/>
          <w:sz w:val="22"/>
          <w:szCs w:val="22"/>
          <w:rtl w:val="0"/>
          <w:lang w:val="en-US"/>
        </w:rPr>
        <w:t>’</w:t>
      </w:r>
      <w:r>
        <w:rPr>
          <w:rFonts w:ascii="Arial" w:cs="Arial Unicode MS" w:hAnsi="Arial Unicode MS" w:eastAsia="Arial Unicode MS"/>
          <w:sz w:val="22"/>
          <w:szCs w:val="22"/>
          <w:rtl w:val="0"/>
          <w:lang w:val="en-US"/>
        </w:rPr>
        <w:t>s discretion whether and how to tailor the SCoC to reflect the nature of the benchmark rather than this being a mandatory requirement imposed by ESMA.</w:t>
      </w:r>
    </w:p>
    <w:p>
      <w:pPr>
        <w:pStyle w:val="Body"/>
        <w:rPr>
          <w:rtl w:val="0"/>
        </w:rPr>
      </w:pPr>
      <w:r>
        <w:rPr>
          <w:rFonts w:ascii="Arial" w:cs="Arial Unicode MS" w:hAnsi="Arial Unicode MS" w:eastAsia="Arial Unicode MS"/>
          <w:rtl w:val="0"/>
        </w:rPr>
        <w:t>&lt;ESMA_QUESTION_DP_BMR_44&gt;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with the above requirements for a contributor</w:t>
      </w:r>
      <w:r>
        <w:rPr>
          <w:rFonts w:ascii="Calibri" w:cs="Calibri" w:hAnsi="Calibri" w:eastAsia="Calibri"/>
          <w:rtl w:val="0"/>
          <w:lang w:val="en-US"/>
        </w:rPr>
        <w:t>’</w:t>
      </w:r>
      <w:r>
        <w:rPr>
          <w:rFonts w:ascii="Calibri" w:cs="Calibri" w:hAnsi="Calibri" w:eastAsia="Calibri"/>
          <w:rtl w:val="0"/>
          <w:lang w:val="en-US"/>
        </w:rPr>
        <w:t>s contribution process? Is there anything else that should be included?</w:t>
      </w:r>
    </w:p>
    <w:p>
      <w:pPr>
        <w:pStyle w:val="Body"/>
        <w:rPr>
          <w:rtl w:val="0"/>
        </w:rPr>
      </w:pPr>
      <w:r>
        <w:rPr>
          <w:rFonts w:ascii="Arial" w:cs="Arial Unicode MS" w:hAnsi="Arial Unicode MS" w:eastAsia="Arial Unicode MS"/>
          <w:rtl w:val="0"/>
        </w:rPr>
        <w:t>&lt;ESMA_QUESTION_DP_BMR_45&gt;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&lt;ESMA_QUESTION_DP_BMR_45&gt;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that the details of the code of conduct to be specified by ESMA may still allow administrators to tailor the details of their codes of conduct with respect to the specific benchmarks provided?</w:t>
      </w:r>
    </w:p>
    <w:p>
      <w:pPr>
        <w:pStyle w:val="Body"/>
        <w:rPr>
          <w:rtl w:val="0"/>
        </w:rPr>
      </w:pPr>
      <w:r>
        <w:rPr>
          <w:rFonts w:ascii="Arial" w:cs="Arial Unicode MS" w:hAnsi="Arial Unicode MS" w:eastAsia="Arial Unicode MS"/>
          <w:rtl w:val="0"/>
        </w:rPr>
        <w:t>&lt;ESMA_QUESTION_DP_BMR_46&gt;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&lt;ESMA_QUESTION_DP_BMR_46&gt;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that such information should be required from contributors under the code of conduct? Should any additional information be requested?</w:t>
      </w:r>
    </w:p>
    <w:p>
      <w:pPr>
        <w:pStyle w:val="Body"/>
        <w:rPr>
          <w:rtl w:val="0"/>
        </w:rPr>
      </w:pPr>
      <w:r>
        <w:rPr>
          <w:rFonts w:ascii="Arial" w:cs="Arial Unicode MS" w:hAnsi="Arial Unicode MS" w:eastAsia="Arial Unicode MS"/>
          <w:rtl w:val="0"/>
        </w:rPr>
        <w:t>&lt;ESMA_QUESTION_DP_BMR_47&gt;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 xml:space="preserve">ESMA stated that </w:t>
      </w:r>
      <w:r>
        <w:rPr>
          <w:rFonts w:hAnsi="Arial" w:hint="default"/>
          <w:sz w:val="22"/>
          <w:szCs w:val="22"/>
          <w:rtl w:val="0"/>
          <w:lang w:val="en-US"/>
        </w:rPr>
        <w:t>“</w:t>
      </w:r>
      <w:r>
        <w:rPr>
          <w:rFonts w:ascii="Arial"/>
          <w:sz w:val="22"/>
          <w:szCs w:val="22"/>
          <w:rtl w:val="0"/>
          <w:lang w:val="en-US"/>
        </w:rPr>
        <w:t>the administrator is expected to have procedures to evaluate the identity of the submitters who will contribute to a benchmark on behalf of the contributor [</w:t>
      </w:r>
      <w:r>
        <w:rPr>
          <w:rFonts w:hAnsi="Arial" w:hint="default"/>
          <w:sz w:val="22"/>
          <w:szCs w:val="22"/>
          <w:rtl w:val="0"/>
          <w:lang w:val="en-US"/>
        </w:rPr>
        <w:t>…</w:t>
      </w:r>
      <w:r>
        <w:rPr>
          <w:rFonts w:ascii="Arial"/>
          <w:sz w:val="22"/>
          <w:szCs w:val="22"/>
          <w:rtl w:val="0"/>
          <w:lang w:val="en-US"/>
        </w:rPr>
        <w:t>and] only when the evaluation is complete would the administrator agree to the submitter</w:t>
      </w:r>
      <w:r>
        <w:rPr>
          <w:rFonts w:hAnsi="Arial" w:hint="default"/>
          <w:sz w:val="22"/>
          <w:szCs w:val="22"/>
          <w:rtl w:val="0"/>
          <w:lang w:val="en-US"/>
        </w:rPr>
        <w:t>’</w:t>
      </w:r>
      <w:r>
        <w:rPr>
          <w:rFonts w:ascii="Arial"/>
          <w:sz w:val="22"/>
          <w:szCs w:val="22"/>
          <w:rtl w:val="0"/>
          <w:lang w:val="en-US"/>
        </w:rPr>
        <w:t>s role in the benchmark contributions</w:t>
      </w:r>
      <w:r>
        <w:rPr>
          <w:rFonts w:hAnsi="Arial" w:hint="default"/>
          <w:sz w:val="22"/>
          <w:szCs w:val="22"/>
          <w:rtl w:val="0"/>
          <w:lang w:val="en-US"/>
        </w:rPr>
        <w:t>”</w:t>
      </w:r>
      <w:r>
        <w:rPr>
          <w:rFonts w:ascii="Arial"/>
          <w:sz w:val="22"/>
          <w:szCs w:val="22"/>
          <w:rtl w:val="0"/>
        </w:rPr>
        <w:t>.</w:t>
      </w:r>
      <w:r>
        <w:rPr>
          <w:rFonts w:ascii="Arial" w:cs="Arial" w:hAnsi="Arial" w:eastAsia="Arial"/>
          <w:sz w:val="22"/>
          <w:szCs w:val="22"/>
          <w:vertAlign w:val="superscript"/>
          <w:rtl w:val="0"/>
        </w:rPr>
        <w:footnoteReference w:id="41"/>
      </w:r>
      <w:r>
        <w:rPr>
          <w:rFonts w:ascii="Arial"/>
          <w:sz w:val="22"/>
          <w:szCs w:val="22"/>
          <w:rtl w:val="0"/>
          <w:lang w:val="en-US"/>
        </w:rPr>
        <w:t xml:space="preserve"> The identity of the submitter is required to be disclosed in the SCoC and the administrator should be able to depend on representation made by the contributor of the identity of the submitter.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Times New Roman" w:cs="Times New Roman" w:hAnsi="Times New Roman" w:eastAsia="Times New Roman"/>
          <w:sz w:val="24"/>
          <w:szCs w:val="24"/>
        </w:rPr>
      </w:pPr>
      <w:r>
        <w:rPr>
          <w:rFonts w:ascii="Arial"/>
          <w:sz w:val="22"/>
          <w:szCs w:val="22"/>
          <w:rtl w:val="0"/>
          <w:lang w:val="en-US"/>
        </w:rPr>
        <w:t xml:space="preserve">We recommend ESMA clarify what is meant by </w:t>
      </w:r>
      <w:r>
        <w:rPr>
          <w:rFonts w:hAnsi="Arial" w:hint="default"/>
          <w:sz w:val="22"/>
          <w:szCs w:val="22"/>
          <w:rtl w:val="0"/>
          <w:lang w:val="en-US"/>
        </w:rPr>
        <w:t>“</w:t>
      </w:r>
      <w:r>
        <w:rPr>
          <w:rFonts w:ascii="Arial"/>
          <w:sz w:val="22"/>
          <w:szCs w:val="22"/>
          <w:rtl w:val="0"/>
        </w:rPr>
        <w:t>evaluate</w:t>
      </w:r>
      <w:r>
        <w:rPr>
          <w:rFonts w:hAnsi="Arial" w:hint="default"/>
          <w:sz w:val="22"/>
          <w:szCs w:val="22"/>
          <w:rtl w:val="0"/>
          <w:lang w:val="en-US"/>
        </w:rPr>
        <w:t>”</w:t>
      </w:r>
      <w:r>
        <w:rPr>
          <w:rFonts w:ascii="Arial"/>
          <w:sz w:val="22"/>
          <w:szCs w:val="22"/>
          <w:rtl w:val="0"/>
          <w:lang w:val="en-US"/>
        </w:rPr>
        <w:t xml:space="preserve"> the identity of the submitter. ESMA should note that if this provision required the administrator to access personal information related to the submitter it would be very burdensome for the administrator to maintain such data and would also expose it to data privacy risks. We therefore recommend ESMA does not require the administrator to identify and evaluate the identity of submitters but rather rely on the submitters</w:t>
      </w:r>
      <w:r>
        <w:rPr>
          <w:rFonts w:hAnsi="Arial" w:hint="default"/>
          <w:sz w:val="22"/>
          <w:szCs w:val="22"/>
          <w:rtl w:val="0"/>
          <w:lang w:val="en-US"/>
        </w:rPr>
        <w:t xml:space="preserve">’ </w:t>
      </w:r>
      <w:r>
        <w:rPr>
          <w:rFonts w:ascii="Arial"/>
          <w:sz w:val="22"/>
          <w:szCs w:val="22"/>
          <w:rtl w:val="0"/>
          <w:lang w:val="en-US"/>
        </w:rPr>
        <w:t>due diligence in this respect given they are bound by the SCoC and are best placed to evaluate the suitability of individual submitters responsible.</w:t>
      </w:r>
    </w:p>
    <w:p>
      <w:pPr>
        <w:pStyle w:val="Body"/>
        <w:rPr>
          <w:rtl w:val="0"/>
        </w:rPr>
      </w:pPr>
      <w:r>
        <w:rPr>
          <w:rFonts w:ascii="Arial" w:cs="Arial Unicode MS" w:hAnsi="Arial Unicode MS" w:eastAsia="Arial Unicode MS"/>
          <w:rtl w:val="0"/>
        </w:rPr>
        <w:t>&lt;ESMA_QUESTION_DP_BMR_47&gt;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Are their ways in which contributors may manage possible conflicts of interest at the level of the submitters? Should those conflicts, where managed, be disclosed to the administrator?</w:t>
      </w:r>
    </w:p>
    <w:p>
      <w:pPr>
        <w:pStyle w:val="Body"/>
        <w:rPr>
          <w:rtl w:val="0"/>
        </w:rPr>
      </w:pPr>
      <w:r>
        <w:rPr>
          <w:rFonts w:ascii="Arial" w:cs="Arial Unicode MS" w:hAnsi="Arial Unicode MS" w:eastAsia="Arial Unicode MS"/>
          <w:rtl w:val="0"/>
        </w:rPr>
        <w:t>&lt;ESMA_QUESTION_DP_BMR_48&gt;</w:t>
      </w:r>
    </w:p>
    <w:p>
      <w:pPr>
        <w:pStyle w:val="Body"/>
        <w:rPr>
          <w:rtl w:val="0"/>
        </w:rPr>
      </w:pPr>
      <w:r>
        <w:rPr>
          <w:rFonts w:ascii="Arial" w:cs="Arial Unicode MS" w:hAnsi="Arial Unicode MS" w:eastAsia="Arial Unicode MS"/>
          <w:sz w:val="22"/>
          <w:szCs w:val="22"/>
          <w:rtl w:val="0"/>
          <w:lang w:val="en-US"/>
        </w:rPr>
        <w:t>Contributors to benchmarks can be subject to various conflicts of interest, for example because they are also users of the benchmarks to which they are contributing. In cases where contributors and users of the benchmark are front office employees, existing conflict of interest can be managed through operational separation between the contributor and the user of the benchmark. We believe that the existence of such conflicts of interest and a general description of how they have been mitigated (such as through operational separation) should be disclosed to the administrator.</w:t>
      </w:r>
    </w:p>
    <w:p>
      <w:pPr>
        <w:pStyle w:val="Body"/>
        <w:rPr>
          <w:rtl w:val="0"/>
        </w:rPr>
      </w:pPr>
      <w:r>
        <w:rPr>
          <w:rFonts w:ascii="Arial" w:cs="Arial Unicode MS" w:hAnsi="Arial Unicode MS" w:eastAsia="Arial Unicode MS"/>
          <w:rtl w:val="0"/>
        </w:rPr>
        <w:t>&lt;ESMA_QUESTION_DP_BMR_48&gt;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foresee any obstacles to the administrator</w:t>
      </w:r>
      <w:r>
        <w:rPr>
          <w:rFonts w:ascii="Calibri" w:cs="Calibri" w:hAnsi="Calibri" w:eastAsia="Calibri"/>
          <w:rtl w:val="0"/>
          <w:lang w:val="en-US"/>
        </w:rPr>
        <w:t>’</w:t>
      </w:r>
      <w:r>
        <w:rPr>
          <w:rFonts w:ascii="Calibri" w:cs="Calibri" w:hAnsi="Calibri" w:eastAsia="Calibri"/>
          <w:rtl w:val="0"/>
          <w:lang w:val="en-US"/>
        </w:rPr>
        <w:t>s ability to evaluate the authorisation of any submitters to contribute input data on behalf of a contributor?</w:t>
      </w:r>
    </w:p>
    <w:p>
      <w:pPr>
        <w:pStyle w:val="Body"/>
        <w:rPr>
          <w:rtl w:val="0"/>
        </w:rPr>
      </w:pPr>
      <w:r>
        <w:rPr>
          <w:rFonts w:ascii="Arial" w:cs="Arial Unicode MS" w:hAnsi="Arial Unicode MS" w:eastAsia="Arial Unicode MS"/>
          <w:rtl w:val="0"/>
        </w:rPr>
        <w:t>&lt;ESMA_QUESTION_DP_BMR_49&gt;</w:t>
      </w:r>
    </w:p>
    <w:p>
      <w:pPr>
        <w:pStyle w:val="Body"/>
        <w:rPr>
          <w:rtl w:val="0"/>
        </w:rPr>
      </w:pPr>
      <w:r>
        <w:rPr>
          <w:rFonts w:ascii="Arial" w:cs="Arial Unicode MS" w:hAnsi="Arial Unicode MS" w:eastAsia="Arial Unicode MS"/>
          <w:sz w:val="22"/>
          <w:szCs w:val="22"/>
          <w:rtl w:val="0"/>
          <w:lang w:val="en-US"/>
        </w:rPr>
        <w:t>As stated above we believe that a requirement for administrators to evaluate the authorisation of individual submitters is problematic. Specifically, administrators will not have knowledge of internal operations and systems of contributors and are therefore unlikely to be able to evaluate the authorisation of individual submitters. As practical alternative contributors should be able to make representations about the suitability of their various submitters in the SCoC and inform the administrator of changes when necessary.</w:t>
      </w:r>
    </w:p>
    <w:p>
      <w:pPr>
        <w:pStyle w:val="Body"/>
        <w:rPr>
          <w:rtl w:val="0"/>
        </w:rPr>
      </w:pPr>
      <w:r>
        <w:rPr>
          <w:rFonts w:ascii="Arial" w:cs="Arial Unicode MS" w:hAnsi="Arial Unicode MS" w:eastAsia="Arial Unicode MS"/>
          <w:rtl w:val="0"/>
        </w:rPr>
        <w:t>&lt;ESMA_QUESTION_DP_BMR_49&gt;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that a contributor</w:t>
      </w:r>
      <w:r>
        <w:rPr>
          <w:rFonts w:ascii="Calibri" w:cs="Calibri" w:hAnsi="Calibri" w:eastAsia="Calibri"/>
          <w:rtl w:val="0"/>
          <w:lang w:val="en-US"/>
        </w:rPr>
        <w:t>’</w:t>
      </w:r>
      <w:r>
        <w:rPr>
          <w:rFonts w:ascii="Calibri" w:cs="Calibri" w:hAnsi="Calibri" w:eastAsia="Calibri"/>
          <w:rtl w:val="0"/>
          <w:lang w:val="en-US"/>
        </w:rPr>
        <w:t>s contribution process should foresee clear rules for the exclusion of data sources? Should any other information be supplied to administrators to allow them to ensure contributors have provided all relevant input data?</w:t>
      </w:r>
    </w:p>
    <w:p>
      <w:pPr>
        <w:pStyle w:val="Body"/>
        <w:rPr>
          <w:rtl w:val="0"/>
        </w:rPr>
      </w:pPr>
      <w:r>
        <w:rPr>
          <w:rFonts w:ascii="Arial" w:cs="Arial Unicode MS" w:hAnsi="Arial Unicode MS" w:eastAsia="Arial Unicode MS"/>
          <w:rtl w:val="0"/>
        </w:rPr>
        <w:t>&lt;ESMA_QUESTION_DP_BMR_50&gt;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&lt;ESMA_QUESTION_DP_BMR_50&gt;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think that the listed procedures for submitting input data are comprehensive? If not, what is missing?</w:t>
      </w:r>
    </w:p>
    <w:p>
      <w:pPr>
        <w:pStyle w:val="Body"/>
        <w:rPr>
          <w:rtl w:val="0"/>
        </w:rPr>
      </w:pPr>
      <w:r>
        <w:rPr>
          <w:rFonts w:ascii="Arial" w:cs="Arial Unicode MS" w:hAnsi="Arial Unicode MS" w:eastAsia="Arial Unicode MS"/>
          <w:rtl w:val="0"/>
        </w:rPr>
        <w:t>&lt;ESMA_QUESTION_DP_BMR_51&gt;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&lt;ESMA_QUESTION_DP_BMR_51&gt;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that rules are necessary to provide consistency of contributors</w:t>
      </w:r>
      <w:r>
        <w:rPr>
          <w:rFonts w:ascii="Calibri" w:cs="Calibri" w:hAnsi="Calibri" w:eastAsia="Calibri"/>
          <w:rtl w:val="0"/>
          <w:lang w:val="en-US"/>
        </w:rPr>
        <w:t xml:space="preserve">’ </w:t>
      </w:r>
      <w:r>
        <w:rPr>
          <w:rFonts w:ascii="Calibri" w:cs="Calibri" w:hAnsi="Calibri" w:eastAsia="Calibri"/>
          <w:rtl w:val="0"/>
          <w:lang w:val="en-US"/>
        </w:rPr>
        <w:t>behaviour over the time? Should this be set out in the code of conduct or in the benchmark methodology, or both?</w:t>
      </w:r>
    </w:p>
    <w:p>
      <w:pPr>
        <w:pStyle w:val="Body"/>
        <w:rPr>
          <w:rtl w:val="0"/>
        </w:rPr>
      </w:pPr>
      <w:r>
        <w:rPr>
          <w:rFonts w:ascii="Arial" w:cs="Arial Unicode MS" w:hAnsi="Arial Unicode MS" w:eastAsia="Arial Unicode MS"/>
          <w:rtl w:val="0"/>
        </w:rPr>
        <w:t>&lt;ESMA_QUESTION_DP_BMR_52&gt;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&lt;ESMA_QUESTION_DP_BMR_52&gt;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Should policies, in addition to those set out in the methodology, be in place at the level of the contributors, regarding the use of discretion in providing input data? </w:t>
      </w:r>
    </w:p>
    <w:p>
      <w:pPr>
        <w:pStyle w:val="Body"/>
        <w:rPr>
          <w:rtl w:val="0"/>
        </w:rPr>
      </w:pPr>
      <w:r>
        <w:rPr>
          <w:rFonts w:ascii="Arial" w:cs="Arial Unicode MS" w:hAnsi="Arial Unicode MS" w:eastAsia="Arial Unicode MS"/>
          <w:rtl w:val="0"/>
        </w:rPr>
        <w:t>&lt;ESMA_QUESTION_DP_BMR_53&gt;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&lt;ESMA_QUESTION_DP_BMR_53&gt;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Do you agree with the list of checks for validation purposes? What other methods could be included? </w:t>
      </w:r>
    </w:p>
    <w:p>
      <w:pPr>
        <w:pStyle w:val="Body"/>
        <w:rPr>
          <w:rtl w:val="0"/>
        </w:rPr>
      </w:pPr>
      <w:r>
        <w:rPr>
          <w:rFonts w:ascii="Arial" w:cs="Arial Unicode MS" w:hAnsi="Arial Unicode MS" w:eastAsia="Arial Unicode MS"/>
          <w:rtl w:val="0"/>
        </w:rPr>
        <w:t>&lt;ESMA_QUESTION_DP_BMR_54&gt;</w:t>
      </w:r>
    </w:p>
    <w:p>
      <w:pPr>
        <w:pStyle w:val="Body"/>
        <w:rPr>
          <w:rtl w:val="0"/>
        </w:rPr>
      </w:pPr>
      <w:r>
        <w:rPr>
          <w:rFonts w:ascii="Arial" w:cs="Arial Unicode MS" w:hAnsi="Arial Unicode MS" w:eastAsia="Arial Unicode MS"/>
          <w:sz w:val="22"/>
          <w:szCs w:val="22"/>
          <w:rtl w:val="0"/>
          <w:lang w:val="en-US"/>
        </w:rPr>
        <w:t xml:space="preserve">In several instances in the DP, ESMA refers to data being </w:t>
      </w:r>
      <w:r>
        <w:rPr>
          <w:rFonts w:ascii="Arial Unicode MS" w:cs="Arial Unicode MS" w:hAnsi="Arial" w:eastAsia="Arial Unicode MS" w:hint="default"/>
          <w:sz w:val="22"/>
          <w:szCs w:val="22"/>
          <w:rtl w:val="0"/>
          <w:lang w:val="en-US"/>
        </w:rPr>
        <w:t>“</w:t>
      </w:r>
      <w:r>
        <w:rPr>
          <w:rFonts w:ascii="Arial" w:cs="Arial Unicode MS" w:hAnsi="Arial Unicode MS" w:eastAsia="Arial Unicode MS"/>
          <w:sz w:val="22"/>
          <w:szCs w:val="22"/>
          <w:rtl w:val="0"/>
          <w:lang w:val="pt-PT"/>
        </w:rPr>
        <w:t>correct</w:t>
      </w:r>
      <w:r>
        <w:rPr>
          <w:rFonts w:ascii="Arial Unicode MS" w:cs="Arial Unicode MS" w:hAnsi="Arial" w:eastAsia="Arial Unicode MS" w:hint="default"/>
          <w:sz w:val="22"/>
          <w:szCs w:val="22"/>
          <w:rtl w:val="0"/>
          <w:lang w:val="en-US"/>
        </w:rPr>
        <w:t>”</w:t>
      </w:r>
      <w:r>
        <w:rPr>
          <w:rFonts w:ascii="Arial" w:cs="Arial Unicode MS" w:hAnsi="Arial Unicode MS" w:eastAsia="Arial Unicode MS"/>
          <w:sz w:val="22"/>
          <w:szCs w:val="22"/>
          <w:rtl w:val="0"/>
          <w:lang w:val="en-US"/>
        </w:rPr>
        <w:t xml:space="preserve">, for example </w:t>
      </w:r>
      <w:r>
        <w:rPr>
          <w:rFonts w:ascii="Arial Unicode MS" w:cs="Arial Unicode MS" w:hAnsi="Arial" w:eastAsia="Arial Unicode MS" w:hint="default"/>
          <w:sz w:val="22"/>
          <w:szCs w:val="22"/>
          <w:rtl w:val="0"/>
          <w:lang w:val="en-US"/>
        </w:rPr>
        <w:t>“</w:t>
      </w:r>
      <w:r>
        <w:rPr>
          <w:rFonts w:ascii="Arial" w:cs="Arial Unicode MS" w:hAnsi="Arial Unicode MS" w:eastAsia="Arial Unicode MS"/>
          <w:sz w:val="22"/>
          <w:szCs w:val="22"/>
          <w:rtl w:val="0"/>
          <w:lang w:val="en-US"/>
        </w:rPr>
        <w:t>to ensure that the data contributed are correct</w:t>
      </w:r>
      <w:r>
        <w:rPr>
          <w:rFonts w:ascii="Arial Unicode MS" w:cs="Arial Unicode MS" w:hAnsi="Arial" w:eastAsia="Arial Unicode MS" w:hint="default"/>
          <w:sz w:val="22"/>
          <w:szCs w:val="22"/>
          <w:rtl w:val="0"/>
          <w:lang w:val="en-US"/>
        </w:rPr>
        <w:t>”</w:t>
      </w:r>
      <w:r>
        <w:rPr>
          <w:rFonts w:ascii="Arial" w:cs="Arial" w:hAnsi="Arial" w:eastAsia="Arial"/>
          <w:b w:val="0"/>
          <w:bCs w:val="0"/>
          <w:i w:val="0"/>
          <w:iCs w:val="0"/>
          <w:sz w:val="22"/>
          <w:szCs w:val="22"/>
          <w:vertAlign w:val="superscript"/>
        </w:rPr>
        <w:footnoteReference w:id="42"/>
      </w:r>
      <w:r>
        <w:rPr>
          <w:rFonts w:ascii="Arial" w:cs="Arial Unicode MS" w:hAnsi="Arial Unicode MS" w:eastAsia="Arial Unicode MS"/>
          <w:sz w:val="22"/>
          <w:szCs w:val="22"/>
          <w:rtl w:val="0"/>
          <w:lang w:val="en-US"/>
        </w:rPr>
        <w:t xml:space="preserve"> and </w:t>
      </w:r>
      <w:r>
        <w:rPr>
          <w:rFonts w:ascii="Arial Unicode MS" w:cs="Arial Unicode MS" w:hAnsi="Arial" w:eastAsia="Arial Unicode MS" w:hint="default"/>
          <w:sz w:val="22"/>
          <w:szCs w:val="22"/>
          <w:rtl w:val="0"/>
          <w:lang w:val="en-US"/>
        </w:rPr>
        <w:t>“</w:t>
      </w:r>
      <w:r>
        <w:rPr>
          <w:rFonts w:ascii="Arial" w:cs="Arial Unicode MS" w:hAnsi="Arial Unicode MS" w:eastAsia="Arial Unicode MS"/>
          <w:sz w:val="22"/>
          <w:szCs w:val="22"/>
          <w:rtl w:val="0"/>
          <w:lang w:val="en-US"/>
        </w:rPr>
        <w:t>contributions should be checked for correctness</w:t>
      </w:r>
      <w:r>
        <w:rPr>
          <w:rFonts w:ascii="Arial Unicode MS" w:cs="Arial Unicode MS" w:hAnsi="Arial" w:eastAsia="Arial Unicode MS" w:hint="default"/>
          <w:sz w:val="22"/>
          <w:szCs w:val="22"/>
          <w:rtl w:val="0"/>
          <w:lang w:val="en-US"/>
        </w:rPr>
        <w:t>”</w:t>
      </w:r>
      <w:r>
        <w:rPr>
          <w:rFonts w:ascii="Arial" w:cs="Arial Unicode MS" w:hAnsi="Arial Unicode MS" w:eastAsia="Arial Unicode MS"/>
          <w:sz w:val="22"/>
          <w:szCs w:val="22"/>
          <w:rtl w:val="0"/>
        </w:rPr>
        <w:t>.</w:t>
      </w:r>
      <w:r>
        <w:rPr>
          <w:rFonts w:ascii="Arial" w:cs="Arial" w:hAnsi="Arial" w:eastAsia="Arial"/>
          <w:b w:val="0"/>
          <w:bCs w:val="0"/>
          <w:i w:val="0"/>
          <w:iCs w:val="0"/>
          <w:sz w:val="22"/>
          <w:szCs w:val="22"/>
          <w:vertAlign w:val="superscript"/>
        </w:rPr>
        <w:footnoteReference w:id="43"/>
      </w:r>
      <w:r>
        <w:rPr>
          <w:rFonts w:ascii="Arial" w:cs="Arial Unicode MS" w:hAnsi="Arial Unicode MS" w:eastAsia="Arial Unicode MS"/>
          <w:sz w:val="22"/>
          <w:szCs w:val="22"/>
          <w:rtl w:val="0"/>
          <w:lang w:val="en-US"/>
        </w:rPr>
        <w:t xml:space="preserve"> We believe that administrators would find it practically impossible to check for the </w:t>
      </w:r>
      <w:r>
        <w:rPr>
          <w:rFonts w:ascii="Arial Unicode MS" w:cs="Arial Unicode MS" w:hAnsi="Arial" w:eastAsia="Arial Unicode MS" w:hint="default"/>
          <w:sz w:val="22"/>
          <w:szCs w:val="22"/>
          <w:rtl w:val="0"/>
          <w:lang w:val="en-US"/>
        </w:rPr>
        <w:t>“</w:t>
      </w:r>
      <w:r>
        <w:rPr>
          <w:rFonts w:ascii="Arial" w:cs="Arial Unicode MS" w:hAnsi="Arial Unicode MS" w:eastAsia="Arial Unicode MS"/>
          <w:sz w:val="22"/>
          <w:szCs w:val="22"/>
          <w:rtl w:val="0"/>
          <w:lang w:val="pt-PT"/>
        </w:rPr>
        <w:t>correctness</w:t>
      </w:r>
      <w:r>
        <w:rPr>
          <w:rFonts w:ascii="Arial Unicode MS" w:cs="Arial Unicode MS" w:hAnsi="Arial" w:eastAsia="Arial Unicode MS" w:hint="default"/>
          <w:sz w:val="22"/>
          <w:szCs w:val="22"/>
          <w:rtl w:val="0"/>
          <w:lang w:val="en-US"/>
        </w:rPr>
        <w:t xml:space="preserve">” </w:t>
      </w:r>
      <w:r>
        <w:rPr>
          <w:rFonts w:ascii="Arial" w:cs="Arial Unicode MS" w:hAnsi="Arial Unicode MS" w:eastAsia="Arial Unicode MS"/>
          <w:sz w:val="22"/>
          <w:szCs w:val="22"/>
          <w:rtl w:val="0"/>
          <w:lang w:val="en-US"/>
        </w:rPr>
        <w:t xml:space="preserve">of contributions. In practice, submission data can only be evaluated, validated and verified to ensure it is robust with respect to the benchmark methodology and </w:t>
      </w:r>
      <w:r>
        <w:rPr>
          <w:rFonts w:ascii="Arial Unicode MS" w:cs="Arial Unicode MS" w:hAnsi="Arial" w:eastAsia="Arial Unicode MS" w:hint="default"/>
          <w:sz w:val="22"/>
          <w:szCs w:val="22"/>
          <w:rtl w:val="0"/>
          <w:lang w:val="en-US"/>
        </w:rPr>
        <w:t>“</w:t>
      </w:r>
      <w:r>
        <w:rPr>
          <w:rFonts w:ascii="Arial" w:cs="Arial Unicode MS" w:hAnsi="Arial Unicode MS" w:eastAsia="Arial Unicode MS"/>
          <w:sz w:val="22"/>
          <w:szCs w:val="22"/>
          <w:rtl w:val="0"/>
          <w:lang w:val="en-US"/>
        </w:rPr>
        <w:t>reflective of the market the benchmark wants to represent</w:t>
      </w:r>
      <w:r>
        <w:rPr>
          <w:rFonts w:ascii="Arial Unicode MS" w:cs="Arial Unicode MS" w:hAnsi="Arial" w:eastAsia="Arial Unicode MS" w:hint="default"/>
          <w:sz w:val="22"/>
          <w:szCs w:val="22"/>
          <w:rtl w:val="0"/>
          <w:lang w:val="en-US"/>
        </w:rPr>
        <w:t>”</w:t>
      </w:r>
      <w:r>
        <w:rPr>
          <w:rFonts w:ascii="Arial" w:cs="Arial Unicode MS" w:hAnsi="Arial Unicode MS" w:eastAsia="Arial Unicode MS"/>
          <w:sz w:val="22"/>
          <w:szCs w:val="22"/>
          <w:rtl w:val="0"/>
        </w:rPr>
        <w:t>.</w:t>
      </w:r>
      <w:r>
        <w:rPr>
          <w:rFonts w:ascii="Arial" w:cs="Arial Unicode MS" w:hAnsi="Arial Unicode MS" w:eastAsia="Arial Unicode MS"/>
          <w:sz w:val="22"/>
          <w:szCs w:val="22"/>
          <w:vertAlign w:val="superscript"/>
          <w:rtl w:val="0"/>
        </w:rPr>
        <w:t xml:space="preserve"> </w:t>
      </w:r>
      <w:r>
        <w:rPr>
          <w:rFonts w:ascii="Arial" w:cs="Arial" w:hAnsi="Arial" w:eastAsia="Arial"/>
          <w:b w:val="0"/>
          <w:bCs w:val="0"/>
          <w:i w:val="0"/>
          <w:iCs w:val="0"/>
          <w:sz w:val="22"/>
          <w:szCs w:val="22"/>
          <w:vertAlign w:val="superscript"/>
        </w:rPr>
        <w:footnoteReference w:id="44"/>
      </w:r>
      <w:r>
        <w:rPr>
          <w:rFonts w:ascii="Arial" w:cs="Arial Unicode MS" w:hAnsi="Arial Unicode MS" w:eastAsia="Arial Unicode MS"/>
          <w:sz w:val="22"/>
          <w:szCs w:val="22"/>
          <w:rtl w:val="0"/>
          <w:lang w:val="en-US"/>
        </w:rPr>
        <w:t xml:space="preserve"> We therefore recommend that ESMA emphasize the robustness of input data rather than expecting its</w:t>
      </w:r>
      <w:r>
        <w:rPr>
          <w:rFonts w:ascii="Arial Unicode MS" w:cs="Arial Unicode MS" w:hAnsi="Arial" w:eastAsia="Arial Unicode MS" w:hint="default"/>
          <w:sz w:val="22"/>
          <w:szCs w:val="22"/>
          <w:rtl w:val="0"/>
          <w:lang w:val="en-US"/>
        </w:rPr>
        <w:t xml:space="preserve"> “</w:t>
      </w:r>
      <w:r>
        <w:rPr>
          <w:rFonts w:ascii="Arial" w:cs="Arial Unicode MS" w:hAnsi="Arial Unicode MS" w:eastAsia="Arial Unicode MS"/>
          <w:sz w:val="22"/>
          <w:szCs w:val="22"/>
          <w:rtl w:val="0"/>
          <w:lang w:val="pt-PT"/>
        </w:rPr>
        <w:t>correctness</w:t>
      </w:r>
      <w:r>
        <w:rPr>
          <w:rFonts w:ascii="Arial Unicode MS" w:cs="Arial Unicode MS" w:hAnsi="Arial" w:eastAsia="Arial Unicode MS" w:hint="default"/>
          <w:sz w:val="22"/>
          <w:szCs w:val="22"/>
          <w:rtl w:val="0"/>
          <w:lang w:val="en-US"/>
        </w:rPr>
        <w:t>”</w:t>
      </w:r>
      <w:r>
        <w:rPr>
          <w:rFonts w:ascii="Arial" w:cs="Arial Unicode MS" w:hAnsi="Arial Unicode MS" w:eastAsia="Arial Unicode MS"/>
          <w:sz w:val="22"/>
          <w:szCs w:val="22"/>
          <w:rtl w:val="0"/>
          <w:lang w:val="en-US"/>
        </w:rPr>
        <w:t>. Please also see our response to Question 44 for further details.</w:t>
      </w:r>
    </w:p>
    <w:p>
      <w:pPr>
        <w:pStyle w:val="Body"/>
        <w:rPr>
          <w:rtl w:val="0"/>
        </w:rPr>
      </w:pPr>
      <w:r>
        <w:rPr>
          <w:rFonts w:ascii="Arial" w:cs="Arial Unicode MS" w:hAnsi="Arial Unicode MS" w:eastAsia="Arial Unicode MS"/>
          <w:rtl w:val="0"/>
        </w:rPr>
        <w:t>&lt;ESMA_QUESTION_DP_BMR_54&gt;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with the minimum information requirement for record keeping? If not would you propose additional/alternative information?</w:t>
      </w:r>
    </w:p>
    <w:p>
      <w:pPr>
        <w:pStyle w:val="Body"/>
        <w:rPr>
          <w:rtl w:val="0"/>
        </w:rPr>
      </w:pPr>
      <w:r>
        <w:rPr>
          <w:rFonts w:ascii="Arial" w:cs="Arial Unicode MS" w:hAnsi="Arial Unicode MS" w:eastAsia="Arial Unicode MS"/>
          <w:rtl w:val="0"/>
        </w:rPr>
        <w:t>&lt;ESMA_QUESTION_DP_BMR_55&gt;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&lt;ESMA_QUESTION_DP_BMR_55&gt;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support the recording of the use of expert judgement and of discretion? Should administrators require the same records for all types of benchmarks?</w:t>
      </w:r>
    </w:p>
    <w:p>
      <w:pPr>
        <w:pStyle w:val="Body"/>
        <w:rPr>
          <w:rtl w:val="0"/>
        </w:rPr>
      </w:pPr>
      <w:r>
        <w:rPr>
          <w:rFonts w:ascii="Arial" w:cs="Arial Unicode MS" w:hAnsi="Arial Unicode MS" w:eastAsia="Arial Unicode MS"/>
          <w:rtl w:val="0"/>
        </w:rPr>
        <w:t>&lt;ESMA_QUESTION_DP_BMR_56&gt;</w:t>
      </w:r>
    </w:p>
    <w:p>
      <w:pPr>
        <w:pStyle w:val="Body"/>
        <w:rPr>
          <w:rtl w:val="0"/>
        </w:rPr>
      </w:pPr>
      <w:r>
        <w:rPr>
          <w:rFonts w:ascii="Arial" w:cs="Arial Unicode MS" w:hAnsi="Arial Unicode MS" w:eastAsia="Arial Unicode MS"/>
          <w:sz w:val="22"/>
          <w:szCs w:val="22"/>
          <w:rtl w:val="0"/>
          <w:lang w:val="en-US"/>
        </w:rPr>
        <w:t>We believe that the recording of the use of expert judgement should follow a consistent method which would allow administrators to assess the exercise of expert judgement without expending excessive resources. We therefore recommend ESMA provide administrators with sufficient flexibility to determine in their SCoCs when and how the recording of the use of expert judgment and of discretion shall take place.</w:t>
      </w:r>
    </w:p>
    <w:p>
      <w:pPr>
        <w:pStyle w:val="Body"/>
        <w:rPr>
          <w:rtl w:val="0"/>
        </w:rPr>
      </w:pPr>
      <w:r>
        <w:rPr>
          <w:rFonts w:ascii="Arial" w:cs="Arial Unicode MS" w:hAnsi="Arial Unicode MS" w:eastAsia="Arial Unicode MS"/>
          <w:rtl w:val="0"/>
        </w:rPr>
        <w:t>&lt;ESMA_QUESTION_DP_BMR_56&gt;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Do you agree that an administrator could require contributors to have in place a documented   escalation process to report suspicious transactions?  </w:t>
      </w:r>
    </w:p>
    <w:p>
      <w:pPr>
        <w:pStyle w:val="Body"/>
        <w:rPr>
          <w:rtl w:val="0"/>
        </w:rPr>
      </w:pPr>
      <w:r>
        <w:rPr>
          <w:rFonts w:ascii="Arial" w:cs="Arial Unicode MS" w:hAnsi="Arial Unicode MS" w:eastAsia="Arial Unicode MS"/>
          <w:rtl w:val="0"/>
        </w:rPr>
        <w:t>&lt;ESMA_QUESTION_DP_BMR_57&gt;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&lt;ESMA_QUESTION_DP_BMR_57&gt;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with the list of policies, procedures and controls that would allow the identification and management of conflicts of interest? Should other requirements be included?</w:t>
      </w:r>
    </w:p>
    <w:p>
      <w:pPr>
        <w:pStyle w:val="Body"/>
        <w:rPr>
          <w:rtl w:val="0"/>
        </w:rPr>
      </w:pPr>
      <w:r>
        <w:rPr>
          <w:rFonts w:ascii="Arial" w:cs="Arial Unicode MS" w:hAnsi="Arial Unicode MS" w:eastAsia="Arial Unicode MS"/>
          <w:rtl w:val="0"/>
        </w:rPr>
        <w:t>&lt;ESMA_QUESTION_DP_BMR_58&gt;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&lt;ESMA_QUESTION_DP_BMR_58&gt;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have any additional comments with regard to the contents of a code of conduct in accordance with Article 9(2)?</w:t>
      </w:r>
    </w:p>
    <w:p>
      <w:pPr>
        <w:pStyle w:val="Body"/>
        <w:rPr>
          <w:rtl w:val="0"/>
        </w:rPr>
      </w:pPr>
      <w:r>
        <w:rPr>
          <w:rFonts w:ascii="Arial" w:cs="Arial Unicode MS" w:hAnsi="Arial Unicode MS" w:eastAsia="Arial Unicode MS"/>
          <w:rtl w:val="0"/>
        </w:rPr>
        <w:t>&lt;ESMA_QUESTION_DP_BMR_59&gt;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&lt;ESMA_QUESTION_DP_BMR_59&gt;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with the above list of requirements? Do you think that those requirements are appropriate for all benchmarks? If not what do you think should be the criteria we should use?</w:t>
      </w:r>
    </w:p>
    <w:p>
      <w:pPr>
        <w:pStyle w:val="Body"/>
        <w:rPr>
          <w:rtl w:val="0"/>
        </w:rPr>
      </w:pPr>
      <w:r>
        <w:rPr>
          <w:rFonts w:ascii="Arial" w:cs="Arial Unicode MS" w:hAnsi="Arial Unicode MS" w:eastAsia="Arial Unicode MS"/>
          <w:rtl w:val="0"/>
        </w:rPr>
        <w:t>&lt;ESMA_QUESTION_DP_BMR_60&gt;</w:t>
      </w:r>
    </w:p>
    <w:p>
      <w:pPr>
        <w:pStyle w:val="Body"/>
        <w:rPr>
          <w:rtl w:val="0"/>
        </w:rPr>
      </w:pPr>
      <w:r>
        <w:rPr>
          <w:rFonts w:ascii="Arial" w:cs="Arial Unicode MS" w:hAnsi="Arial Unicode MS" w:eastAsia="Arial Unicode MS"/>
          <w:rtl w:val="0"/>
        </w:rPr>
        <w:t>T</w:t>
      </w:r>
      <w:r>
        <w:rPr>
          <w:rFonts w:ascii="Arial" w:cs="Arial Unicode MS" w:hAnsi="Arial Unicode MS" w:eastAsia="Arial Unicode MS"/>
          <w:rtl w:val="0"/>
        </w:rPr>
        <w:t xml:space="preserve"> </w:t>
      </w:r>
      <w:r>
        <w:rPr>
          <w:rFonts w:ascii="Arial" w:cs="Arial Unicode MS" w:hAnsi="Arial Unicode MS" w:eastAsia="Arial Unicode MS"/>
          <w:sz w:val="22"/>
          <w:szCs w:val="22"/>
          <w:rtl w:val="0"/>
          <w:lang w:val="en-US"/>
        </w:rPr>
        <w:t>We generally agree with the list of requirements for supervised contributors as set out by ESMA. However, we believe that the full application of these principles for all types of benchmarks and input data would often prove to be too burdensome for contributors and risks leading to a reduction in submissions.  We therefore encourage ESMA to allow for a proportionate application of these principles, aligning them as closely as possible with the SCoC requirements for submitters.</w:t>
      </w:r>
    </w:p>
    <w:p>
      <w:pPr>
        <w:pStyle w:val="Body"/>
        <w:rPr>
          <w:rtl w:val="0"/>
        </w:rPr>
      </w:pPr>
      <w:r>
        <w:rPr>
          <w:rFonts w:ascii="Arial" w:cs="Arial Unicode MS" w:hAnsi="Arial Unicode MS" w:eastAsia="Arial Unicode MS"/>
          <w:rtl w:val="0"/>
        </w:rPr>
        <w:t>&lt;ESMA_QUESTION_DP_BMR_60&gt;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Do you agree that information regarding breaches to the BMR or to Code of Conduct should also be made available to the Benchmark Administrator? </w:t>
      </w:r>
    </w:p>
    <w:p>
      <w:pPr>
        <w:pStyle w:val="Body"/>
        <w:rPr>
          <w:rtl w:val="0"/>
        </w:rPr>
      </w:pPr>
      <w:r>
        <w:rPr>
          <w:rFonts w:ascii="Arial" w:cs="Arial Unicode MS" w:hAnsi="Arial Unicode MS" w:eastAsia="Arial Unicode MS"/>
          <w:rtl w:val="0"/>
        </w:rPr>
        <w:t>&lt;ESMA_QUESTION_DP_BMR_61&gt;</w:t>
      </w:r>
    </w:p>
    <w:p>
      <w:pPr>
        <w:pStyle w:val="Body"/>
        <w:rPr>
          <w:rtl w:val="0"/>
        </w:rPr>
      </w:pPr>
      <w:r>
        <w:rPr>
          <w:rFonts w:ascii="Arial" w:cs="Arial Unicode MS" w:hAnsi="Arial Unicode MS" w:eastAsia="Arial Unicode MS"/>
          <w:sz w:val="22"/>
          <w:szCs w:val="22"/>
          <w:rtl w:val="0"/>
          <w:lang w:val="en-US"/>
        </w:rPr>
        <w:t>Contributors should generally notify the administrator of any breaches of the Regulation or the code of conduct since knowledge of this information will be essential for the administrator to discharge its duties effectively. Specifically, any breaches that result in a material change to final submissions should be reported to the administrator as soon as the contributor becomes aware of them. This is because spurious input data could have implications on the quality of input data received by the administrator which could in turn have material impact on the benchmark produced. However, if breaches do not result in a material change of the submissions it should be acceptable for the contributors to inform the administrator after the benchmark level has been published.</w:t>
      </w:r>
    </w:p>
    <w:p>
      <w:pPr>
        <w:pStyle w:val="Body"/>
        <w:rPr>
          <w:rtl w:val="0"/>
        </w:rPr>
      </w:pPr>
      <w:r>
        <w:rPr>
          <w:rFonts w:ascii="Arial" w:cs="Arial Unicode MS" w:hAnsi="Arial Unicode MS" w:eastAsia="Arial Unicode MS"/>
          <w:rtl w:val="0"/>
        </w:rPr>
        <w:t>&lt;ESMA_QUESTION_DP_BMR_61&gt;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think that the external audit covering benchmark activities, where available, should also be made available, on request, to the Benchmark Administrator?</w:t>
      </w:r>
    </w:p>
    <w:p>
      <w:pPr>
        <w:pStyle w:val="Body"/>
        <w:rPr>
          <w:rtl w:val="0"/>
        </w:rPr>
      </w:pPr>
      <w:r>
        <w:rPr>
          <w:rFonts w:ascii="Arial" w:cs="Arial Unicode MS" w:hAnsi="Arial Unicode MS" w:eastAsia="Arial Unicode MS"/>
          <w:rtl w:val="0"/>
        </w:rPr>
        <w:t>&lt;ESMA_QUESTION_DP_BMR_62&gt;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&lt;ESMA_QUESTION_DP_BMR_62&gt;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Do you agree with the proposed criteria for the specific elements of systems and controls as listed in Article 11(2)(a) to (c)?  If not, what should be alternative criteria to substantiate these elements? </w:t>
      </w:r>
    </w:p>
    <w:p>
      <w:pPr>
        <w:pStyle w:val="Body"/>
        <w:rPr>
          <w:rtl w:val="0"/>
        </w:rPr>
      </w:pPr>
      <w:r>
        <w:rPr>
          <w:rFonts w:ascii="Arial" w:cs="Arial Unicode MS" w:hAnsi="Arial Unicode MS" w:eastAsia="Arial Unicode MS"/>
          <w:rtl w:val="0"/>
        </w:rPr>
        <w:t>&lt;ESMA_QUESTION_DP_BMR_63&gt;</w:t>
      </w:r>
    </w:p>
    <w:p>
      <w:pPr>
        <w:pStyle w:val="Body"/>
        <w:rPr>
          <w:rtl w:val="0"/>
        </w:rPr>
      </w:pPr>
      <w:r>
        <w:rPr>
          <w:rFonts w:ascii="Arial" w:cs="Arial Unicode MS" w:hAnsi="Arial Unicode MS" w:eastAsia="Arial Unicode MS"/>
          <w:sz w:val="22"/>
          <w:szCs w:val="22"/>
          <w:rtl w:val="0"/>
          <w:lang w:val="en-US"/>
        </w:rPr>
        <w:t>We agree with the proposed criteria for the specific elements of systems and controls for supervised contributors. We believe they will go a long way to ensure input data submitted to administrators is robust and of good quality. These controls would also help address the conflict of interest issues that arise from contributions made from the front office.</w:t>
      </w:r>
    </w:p>
    <w:p>
      <w:pPr>
        <w:pStyle w:val="Body"/>
        <w:rPr>
          <w:rtl w:val="0"/>
        </w:rPr>
      </w:pPr>
      <w:r>
        <w:rPr>
          <w:rFonts w:ascii="Arial" w:cs="Arial Unicode MS" w:hAnsi="Arial Unicode MS" w:eastAsia="Arial Unicode MS"/>
          <w:rtl w:val="0"/>
        </w:rPr>
        <w:t>&lt;ESMA_QUESTION_DP_BMR_63&gt;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that the submitters should not be remunerated for the level of their contribution but could be remunerated for the quality of input and their ability to manage the conflicts of interest instead?</w:t>
      </w:r>
    </w:p>
    <w:p>
      <w:pPr>
        <w:pStyle w:val="Body"/>
        <w:rPr>
          <w:rtl w:val="0"/>
        </w:rPr>
      </w:pPr>
      <w:r>
        <w:rPr>
          <w:rFonts w:ascii="Arial" w:cs="Arial Unicode MS" w:hAnsi="Arial Unicode MS" w:eastAsia="Arial Unicode MS"/>
          <w:rtl w:val="0"/>
        </w:rPr>
        <w:t>&lt;ESMA_QUESTION_DP_BMR_64&gt;</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cs="Arial" w:hAnsi="Arial" w:eastAsia="Arial"/>
          <w:sz w:val="22"/>
          <w:szCs w:val="22"/>
        </w:rPr>
      </w:pPr>
      <w:r>
        <w:rPr>
          <w:rFonts w:ascii="Arial"/>
          <w:sz w:val="22"/>
          <w:szCs w:val="22"/>
          <w:rtl w:val="0"/>
          <w:lang w:val="en-US"/>
        </w:rPr>
        <w:t xml:space="preserve">We believe that administrators should be provided with sufficient flexibility to establish effective mechanisms to incentivise their submitters in relation to the desired depth, breath and quality of their submissions. We generally agree that any remuneration structure should not be designed to incentivise submitters to simply maximise the number of their contributions without also considering their quality and representativeness.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cs="Times New Roman" w:hAnsi="Times New Roman" w:eastAsia="Times New Roman"/>
          <w:sz w:val="24"/>
          <w:szCs w:val="24"/>
        </w:rPr>
      </w:pPr>
      <w:r>
        <w:rPr>
          <w:rFonts w:ascii="Arial"/>
          <w:sz w:val="22"/>
          <w:szCs w:val="22"/>
          <w:rtl w:val="0"/>
          <w:lang w:val="en-US"/>
        </w:rPr>
        <w:t xml:space="preserve">In this context, we believe that the meaning of the terms </w:t>
      </w:r>
      <w:r>
        <w:rPr>
          <w:rFonts w:hAnsi="Arial" w:hint="default"/>
          <w:sz w:val="22"/>
          <w:szCs w:val="22"/>
          <w:rtl w:val="0"/>
          <w:lang w:val="en-US"/>
        </w:rPr>
        <w:t>“</w:t>
      </w:r>
      <w:r>
        <w:rPr>
          <w:rFonts w:ascii="Arial"/>
          <w:sz w:val="22"/>
          <w:szCs w:val="22"/>
          <w:rtl w:val="0"/>
          <w:lang w:val="en-US"/>
        </w:rPr>
        <w:t>level of contribution</w:t>
      </w:r>
      <w:r>
        <w:rPr>
          <w:rFonts w:hAnsi="Arial" w:hint="default"/>
          <w:sz w:val="22"/>
          <w:szCs w:val="22"/>
          <w:rtl w:val="0"/>
          <w:lang w:val="en-US"/>
        </w:rPr>
        <w:t xml:space="preserve">” </w:t>
      </w:r>
      <w:r>
        <w:rPr>
          <w:rFonts w:ascii="Arial"/>
          <w:sz w:val="22"/>
          <w:szCs w:val="22"/>
          <w:rtl w:val="0"/>
          <w:lang w:val="en-US"/>
        </w:rPr>
        <w:t xml:space="preserve">and </w:t>
      </w:r>
      <w:r>
        <w:rPr>
          <w:rFonts w:hAnsi="Arial" w:hint="default"/>
          <w:sz w:val="22"/>
          <w:szCs w:val="22"/>
          <w:rtl w:val="0"/>
          <w:lang w:val="en-US"/>
        </w:rPr>
        <w:t>“</w:t>
      </w:r>
      <w:r>
        <w:rPr>
          <w:rFonts w:ascii="Arial"/>
          <w:sz w:val="22"/>
          <w:szCs w:val="22"/>
          <w:rtl w:val="0"/>
          <w:lang w:val="en-US"/>
        </w:rPr>
        <w:t>cost coverage</w:t>
      </w:r>
      <w:r>
        <w:rPr>
          <w:rFonts w:hAnsi="Arial" w:hint="default"/>
          <w:sz w:val="22"/>
          <w:szCs w:val="22"/>
          <w:rtl w:val="0"/>
          <w:lang w:val="en-US"/>
        </w:rPr>
        <w:t xml:space="preserve">” </w:t>
      </w:r>
      <w:r>
        <w:rPr>
          <w:rFonts w:ascii="Arial"/>
          <w:sz w:val="22"/>
          <w:szCs w:val="22"/>
          <w:rtl w:val="0"/>
          <w:lang w:val="en-US"/>
        </w:rPr>
        <w:t>in the DP in this context is unclear.</w:t>
      </w:r>
      <w:r>
        <w:rPr>
          <w:rFonts w:ascii="Arial" w:cs="Arial" w:hAnsi="Arial" w:eastAsia="Arial"/>
          <w:sz w:val="22"/>
          <w:szCs w:val="22"/>
          <w:vertAlign w:val="superscript"/>
          <w:rtl w:val="0"/>
        </w:rPr>
        <w:footnoteReference w:id="45"/>
      </w:r>
      <w:r>
        <w:rPr>
          <w:rFonts w:ascii="Arial"/>
          <w:sz w:val="22"/>
          <w:szCs w:val="22"/>
          <w:rtl w:val="0"/>
          <w:lang w:val="en-US"/>
        </w:rPr>
        <w:t xml:space="preserve"> We encourage ESMA to clarify them.</w:t>
      </w:r>
    </w:p>
    <w:p>
      <w:pPr>
        <w:pStyle w:val="Body"/>
        <w:rPr>
          <w:rtl w:val="0"/>
        </w:rPr>
      </w:pPr>
      <w:r>
        <w:rPr>
          <w:rFonts w:ascii="Arial" w:cs="Arial Unicode MS" w:hAnsi="Arial Unicode MS" w:eastAsia="Arial Unicode MS"/>
          <w:rtl w:val="0"/>
        </w:rPr>
        <w:t>&lt;ESMA_QUESTION_DP_BMR_64&gt;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What would be a reasonable delay for signing-off on the contribution? What are the reasons that would justify a delay in the sign off?</w:t>
      </w:r>
    </w:p>
    <w:p>
      <w:pPr>
        <w:pStyle w:val="Body"/>
        <w:rPr>
          <w:rtl w:val="0"/>
        </w:rPr>
      </w:pPr>
      <w:r>
        <w:rPr>
          <w:rFonts w:ascii="Arial" w:cs="Arial Unicode MS" w:hAnsi="Arial Unicode MS" w:eastAsia="Arial Unicode MS"/>
          <w:rtl w:val="0"/>
        </w:rPr>
        <w:t>&lt;ESMA_QUESTION_DP_BMR_65&gt;</w:t>
      </w:r>
    </w:p>
    <w:p>
      <w:pPr>
        <w:pStyle w:val="Body"/>
        <w:rPr>
          <w:rtl w:val="0"/>
        </w:rPr>
      </w:pPr>
      <w:r>
        <w:rPr>
          <w:rFonts w:ascii="Arial" w:cs="Arial Unicode MS" w:hAnsi="Arial Unicode MS" w:eastAsia="Arial Unicode MS"/>
          <w:rtl w:val="0"/>
          <w:lang w:val="en-US"/>
        </w:rPr>
        <w:t xml:space="preserve">ESMA should note that, for the production of certain benchmarks, submissions are made in an automated manner by the contributing firms. By stating that </w:t>
      </w:r>
      <w:r>
        <w:rPr>
          <w:rFonts w:ascii="Arial Unicode MS" w:cs="Arial Unicode MS" w:hAnsi="Arial" w:eastAsia="Arial Unicode MS" w:hint="default"/>
          <w:rtl w:val="0"/>
        </w:rPr>
        <w:t>“</w:t>
      </w:r>
      <w:r>
        <w:rPr>
          <w:rFonts w:ascii="Arial" w:cs="Arial Unicode MS" w:hAnsi="Arial Unicode MS" w:eastAsia="Arial Unicode MS"/>
          <w:rtl w:val="0"/>
          <w:lang w:val="en-US"/>
        </w:rPr>
        <w:t>it may not always be effective or proportionate to have a sign-off of the contribution before the data is provided to the administrator</w:t>
      </w:r>
      <w:r>
        <w:rPr>
          <w:rFonts w:ascii="Arial Unicode MS" w:cs="Arial Unicode MS" w:hAnsi="Arial" w:eastAsia="Arial Unicode MS" w:hint="default"/>
          <w:rtl w:val="0"/>
        </w:rPr>
        <w:t>”</w:t>
      </w:r>
      <w:r>
        <w:rPr>
          <w:rFonts w:ascii="Arial" w:cs="Arial" w:hAnsi="Arial" w:eastAsia="Arial"/>
          <w:b w:val="0"/>
          <w:bCs w:val="0"/>
          <w:i w:val="0"/>
          <w:iCs w:val="0"/>
          <w:vertAlign w:val="superscript"/>
        </w:rPr>
        <w:footnoteReference w:id="46"/>
      </w:r>
      <w:r>
        <w:rPr>
          <w:rFonts w:ascii="Arial" w:cs="Arial Unicode MS" w:hAnsi="Arial Unicode MS" w:eastAsia="Arial Unicode MS"/>
          <w:rtl w:val="0"/>
          <w:lang w:val="en-US"/>
        </w:rPr>
        <w:t xml:space="preserve"> ESMA seems to recognise that in these cases an ex-ante sign off might not be technically possible. We therefore recommend the rules allow for a sign off of contributed data post publication of the benchmark to the extent this can be justified by the administrator.</w:t>
      </w:r>
      <w:r>
        <w:rPr>
          <w:rFonts w:ascii="Arial" w:cs="Arial" w:hAnsi="Arial" w:eastAsia="Arial"/>
          <w:b w:val="0"/>
          <w:bCs w:val="0"/>
          <w:i w:val="0"/>
          <w:iCs w:val="0"/>
          <w:vertAlign w:val="superscript"/>
        </w:rPr>
        <w:footnoteReference w:id="47"/>
      </w:r>
    </w:p>
    <w:p>
      <w:pPr>
        <w:pStyle w:val="Body"/>
        <w:rPr>
          <w:rtl w:val="0"/>
        </w:rPr>
      </w:pPr>
      <w:r>
        <w:rPr>
          <w:rFonts w:ascii="Arial" w:cs="Arial Unicode MS" w:hAnsi="Arial Unicode MS" w:eastAsia="Arial Unicode MS"/>
          <w:rtl w:val="0"/>
        </w:rPr>
        <w:t>&lt;ESMA_QUESTION_DP_BMR_65&gt;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Is the mentioned delay an element that may be established by the administrator in line with the applicable methodology and in consideration of the underlying, of the type of input data and of supervised contributors? </w:t>
      </w:r>
    </w:p>
    <w:p>
      <w:pPr>
        <w:pStyle w:val="Body"/>
        <w:rPr>
          <w:rtl w:val="0"/>
        </w:rPr>
      </w:pPr>
      <w:r>
        <w:rPr>
          <w:rFonts w:ascii="Arial" w:cs="Arial Unicode MS" w:hAnsi="Arial Unicode MS" w:eastAsia="Arial Unicode MS"/>
          <w:rtl w:val="0"/>
        </w:rPr>
        <w:t>&lt;ESMA_QUESTION_DP_BMR_66&gt;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 xml:space="preserve">ESMA recognised </w:t>
      </w:r>
      <w:r>
        <w:rPr>
          <w:rFonts w:hAnsi="Arial" w:hint="default"/>
          <w:sz w:val="22"/>
          <w:szCs w:val="22"/>
          <w:rtl w:val="0"/>
          <w:lang w:val="en-US"/>
        </w:rPr>
        <w:t>“</w:t>
      </w:r>
      <w:r>
        <w:rPr>
          <w:rFonts w:ascii="Arial"/>
          <w:sz w:val="22"/>
          <w:szCs w:val="22"/>
          <w:rtl w:val="0"/>
          <w:lang w:val="en-US"/>
        </w:rPr>
        <w:t>that it may not always be effective or proportionate to have a sign-off of the contribution before the data is provided to the administrator</w:t>
      </w:r>
      <w:r>
        <w:rPr>
          <w:rFonts w:hAnsi="Arial" w:hint="default"/>
          <w:sz w:val="22"/>
          <w:szCs w:val="22"/>
          <w:rtl w:val="0"/>
          <w:lang w:val="en-US"/>
        </w:rPr>
        <w:t>”</w:t>
      </w:r>
      <w:r>
        <w:rPr>
          <w:rFonts w:ascii="Arial"/>
          <w:sz w:val="22"/>
          <w:szCs w:val="22"/>
          <w:rtl w:val="0"/>
        </w:rPr>
        <w:t>.</w:t>
      </w:r>
      <w:r>
        <w:rPr>
          <w:rFonts w:ascii="Arial" w:cs="Arial" w:hAnsi="Arial" w:eastAsia="Arial"/>
          <w:sz w:val="22"/>
          <w:szCs w:val="22"/>
          <w:vertAlign w:val="superscript"/>
          <w:rtl w:val="0"/>
        </w:rPr>
        <w:footnoteReference w:id="48"/>
      </w:r>
      <w:r>
        <w:rPr>
          <w:rFonts w:ascii="Arial"/>
          <w:sz w:val="22"/>
          <w:szCs w:val="22"/>
          <w:rtl w:val="0"/>
        </w:rPr>
        <w:t xml:space="preserve">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Times New Roman" w:cs="Times New Roman" w:hAnsi="Times New Roman" w:eastAsia="Times New Roman"/>
          <w:sz w:val="24"/>
          <w:szCs w:val="24"/>
        </w:rPr>
      </w:pPr>
      <w:r>
        <w:rPr>
          <w:rFonts w:ascii="Arial"/>
          <w:sz w:val="22"/>
          <w:szCs w:val="22"/>
          <w:rtl w:val="0"/>
          <w:lang w:val="en-US"/>
        </w:rPr>
        <w:t>We agree with this approach and recommend that ESMA allow the administrator to decide on establishing a delay in sign-off depending on the type of input data and underlying. For example, when transaction data is contributed, an ex-ante sign-off of contributions may not be necessary and would only delay the process of benchmark publication. Further, ESMA should allow for an ex-post sign off where contributions are made in an automated manner and after the contributor has had reasonable time to review the contributions.</w:t>
      </w:r>
    </w:p>
    <w:p>
      <w:pPr>
        <w:pStyle w:val="Body"/>
        <w:rPr>
          <w:rtl w:val="0"/>
        </w:rPr>
      </w:pPr>
      <w:r>
        <w:rPr>
          <w:rFonts w:ascii="Arial" w:cs="Arial Unicode MS" w:hAnsi="Arial Unicode MS" w:eastAsia="Arial Unicode MS"/>
          <w:rtl w:val="0"/>
        </w:rPr>
        <w:t>&lt;ESMA_QUESTION_DP_BMR_66&gt;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In case of a contribution made through an automated process what should be the adequate level of seniority for signing-off? </w:t>
      </w:r>
    </w:p>
    <w:p>
      <w:pPr>
        <w:pStyle w:val="Body"/>
        <w:rPr>
          <w:rtl w:val="0"/>
        </w:rPr>
      </w:pPr>
      <w:r>
        <w:rPr>
          <w:rFonts w:ascii="Arial" w:cs="Arial Unicode MS" w:hAnsi="Arial Unicode MS" w:eastAsia="Arial Unicode MS"/>
          <w:rtl w:val="0"/>
        </w:rPr>
        <w:t>&lt;ESMA_QUESTION_DP_BMR_67&gt;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&lt;ESMA_QUESTION_DP_BMR_67&gt;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with the above policies? Are there any other policies that should be in place at contributor</w:t>
      </w:r>
      <w:r>
        <w:rPr>
          <w:rFonts w:ascii="Calibri" w:cs="Calibri" w:hAnsi="Calibri" w:eastAsia="Calibri"/>
          <w:rtl w:val="0"/>
          <w:lang w:val="en-US"/>
        </w:rPr>
        <w:t>’</w:t>
      </w:r>
      <w:r>
        <w:rPr>
          <w:rFonts w:ascii="Calibri" w:cs="Calibri" w:hAnsi="Calibri" w:eastAsia="Calibri"/>
          <w:rtl w:val="0"/>
          <w:lang w:val="en-US"/>
        </w:rPr>
        <w:t xml:space="preserve">s level when expert judgement is used? </w:t>
      </w:r>
    </w:p>
    <w:p>
      <w:pPr>
        <w:pStyle w:val="Body"/>
        <w:rPr>
          <w:rtl w:val="0"/>
        </w:rPr>
      </w:pPr>
      <w:r>
        <w:rPr>
          <w:rFonts w:ascii="Arial" w:cs="Arial Unicode MS" w:hAnsi="Arial Unicode MS" w:eastAsia="Arial Unicode MS"/>
          <w:rtl w:val="0"/>
        </w:rPr>
        <w:t>&lt;ESMA_QUESTION_DP_BMR_68&gt;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&lt;ESMA_QUESTION_DP_BMR_68&gt;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Do you agree with this approach? If so, what do you think are the main distinctions </w:t>
      </w:r>
      <w:r>
        <w:rPr>
          <w:rFonts w:ascii="Calibri" w:cs="Calibri" w:hAnsi="Calibri" w:eastAsia="Calibri"/>
          <w:rtl w:val="0"/>
          <w:lang w:val="en-US"/>
        </w:rPr>
        <w:t xml:space="preserve">– </w:t>
      </w:r>
      <w:r>
        <w:rPr>
          <w:rFonts w:ascii="Calibri" w:cs="Calibri" w:hAnsi="Calibri" w:eastAsia="Calibri"/>
          <w:rtl w:val="0"/>
          <w:lang w:val="en-US"/>
        </w:rPr>
        <w:t>amid the identified detailed measures that a supervised contributor will be required to put in place - that it is possible to introduce to cater for the different types, characteristics of benchmarks and of supervised contributors?</w:t>
      </w:r>
    </w:p>
    <w:p>
      <w:pPr>
        <w:pStyle w:val="Body"/>
        <w:rPr>
          <w:rtl w:val="0"/>
        </w:rPr>
      </w:pPr>
      <w:r>
        <w:rPr>
          <w:rFonts w:ascii="Arial" w:cs="Arial Unicode MS" w:hAnsi="Arial Unicode MS" w:eastAsia="Arial Unicode MS"/>
          <w:rtl w:val="0"/>
        </w:rPr>
        <w:t>&lt;ESMA_QUESTION_DP_BMR_69&gt;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We believe that the application of a stricter rules approach might be reasonable for contributors that are exposed to a heightened degree of conflicts of interest, e.g., firms that can take positions in financial instruments referencing benchmarks they are contributing to.</w:t>
      </w:r>
      <w:r>
        <w:rPr>
          <w:rFonts w:ascii="Arial" w:cs="Arial" w:hAnsi="Arial" w:eastAsia="Arial"/>
          <w:sz w:val="22"/>
          <w:szCs w:val="22"/>
          <w:vertAlign w:val="superscript"/>
          <w:rtl w:val="0"/>
        </w:rPr>
        <w:footnoteReference w:id="49"/>
      </w:r>
      <w:r>
        <w:rPr>
          <w:rFonts w:ascii="Arial"/>
          <w:sz w:val="22"/>
          <w:szCs w:val="22"/>
          <w:rtl w:val="0"/>
          <w:lang w:val="en-US"/>
        </w:rPr>
        <w:t xml:space="preserve"> However, ESMA has also established categories of entities where </w:t>
      </w:r>
      <w:r>
        <w:rPr>
          <w:rFonts w:hAnsi="Arial" w:hint="default"/>
          <w:sz w:val="22"/>
          <w:szCs w:val="22"/>
          <w:rtl w:val="0"/>
          <w:lang w:val="en-US"/>
        </w:rPr>
        <w:t>“</w:t>
      </w:r>
      <w:r>
        <w:rPr>
          <w:rFonts w:ascii="Arial"/>
          <w:sz w:val="22"/>
          <w:szCs w:val="22"/>
          <w:rtl w:val="0"/>
          <w:lang w:val="en-US"/>
        </w:rPr>
        <w:t>less strict rules could apply</w:t>
      </w:r>
      <w:r>
        <w:rPr>
          <w:rFonts w:hAnsi="Arial" w:hint="default"/>
          <w:sz w:val="22"/>
          <w:szCs w:val="22"/>
          <w:rtl w:val="0"/>
          <w:lang w:val="en-US"/>
        </w:rPr>
        <w:t xml:space="preserve">” </w:t>
      </w:r>
      <w:r>
        <w:rPr>
          <w:rFonts w:ascii="Arial"/>
          <w:sz w:val="22"/>
          <w:szCs w:val="22"/>
          <w:rtl w:val="0"/>
          <w:lang w:val="en-US"/>
        </w:rPr>
        <w:t xml:space="preserve">where such entities either </w:t>
      </w:r>
      <w:r>
        <w:rPr>
          <w:rFonts w:hAnsi="Arial" w:hint="default"/>
          <w:sz w:val="22"/>
          <w:szCs w:val="22"/>
          <w:rtl w:val="0"/>
          <w:lang w:val="en-US"/>
        </w:rPr>
        <w:t>“</w:t>
      </w:r>
      <w:r>
        <w:rPr>
          <w:rFonts w:ascii="Arial"/>
          <w:sz w:val="22"/>
          <w:szCs w:val="22"/>
          <w:rtl w:val="0"/>
          <w:lang w:val="en-US"/>
        </w:rPr>
        <w:t>take a position on financial instruments as part of their core business</w:t>
      </w:r>
      <w:r>
        <w:rPr>
          <w:rFonts w:hAnsi="Arial" w:hint="default"/>
          <w:sz w:val="22"/>
          <w:szCs w:val="22"/>
          <w:rtl w:val="0"/>
          <w:lang w:val="en-US"/>
        </w:rPr>
        <w:t xml:space="preserve">” </w:t>
      </w:r>
      <w:r>
        <w:rPr>
          <w:rFonts w:ascii="Arial"/>
          <w:sz w:val="22"/>
          <w:szCs w:val="22"/>
          <w:rtl w:val="0"/>
        </w:rPr>
        <w:t xml:space="preserve">or </w:t>
      </w:r>
      <w:r>
        <w:rPr>
          <w:rFonts w:hAnsi="Arial" w:hint="default"/>
          <w:sz w:val="22"/>
          <w:szCs w:val="22"/>
          <w:rtl w:val="0"/>
          <w:lang w:val="en-US"/>
        </w:rPr>
        <w:t>“</w:t>
      </w:r>
      <w:r>
        <w:rPr>
          <w:rFonts w:ascii="Arial"/>
          <w:sz w:val="22"/>
          <w:szCs w:val="22"/>
          <w:rtl w:val="0"/>
          <w:lang w:val="en-US"/>
        </w:rPr>
        <w:t>those for which this (positing taking) could only occur occasionally</w:t>
      </w:r>
      <w:r>
        <w:rPr>
          <w:rFonts w:hAnsi="Arial" w:hint="default"/>
          <w:sz w:val="22"/>
          <w:szCs w:val="22"/>
          <w:rtl w:val="0"/>
          <w:lang w:val="en-US"/>
        </w:rPr>
        <w:t>”</w:t>
      </w:r>
      <w:r>
        <w:rPr>
          <w:rFonts w:ascii="Arial"/>
          <w:sz w:val="22"/>
          <w:szCs w:val="22"/>
          <w:rtl w:val="0"/>
        </w:rPr>
        <w:t>.</w:t>
      </w:r>
      <w:r>
        <w:rPr>
          <w:rFonts w:ascii="Arial" w:cs="Arial" w:hAnsi="Arial" w:eastAsia="Arial"/>
          <w:sz w:val="22"/>
          <w:szCs w:val="22"/>
          <w:vertAlign w:val="superscript"/>
          <w:rtl w:val="0"/>
        </w:rPr>
        <w:footnoteReference w:id="50"/>
      </w:r>
      <w:r>
        <w:rPr>
          <w:rFonts w:ascii="Arial"/>
          <w:sz w:val="22"/>
          <w:szCs w:val="22"/>
          <w:rtl w:val="0"/>
        </w:rPr>
        <w:t xml:space="preserve">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Times New Roman" w:cs="Times New Roman" w:hAnsi="Times New Roman" w:eastAsia="Times New Roman"/>
          <w:sz w:val="24"/>
          <w:szCs w:val="24"/>
        </w:rPr>
      </w:pPr>
      <w:r>
        <w:rPr>
          <w:rFonts w:ascii="Arial"/>
          <w:sz w:val="22"/>
          <w:szCs w:val="22"/>
          <w:rtl w:val="0"/>
          <w:lang w:val="en-US"/>
        </w:rPr>
        <w:t>In this context we recommend ESMA also recognise a category of contributors which are also benchmark administrators but which do not take position in financial instruments. These entities should be subject to less strict rules than the entities described above.</w:t>
      </w:r>
    </w:p>
    <w:p>
      <w:pPr>
        <w:pStyle w:val="Body"/>
        <w:rPr>
          <w:rtl w:val="0"/>
        </w:rPr>
      </w:pPr>
      <w:r>
        <w:rPr>
          <w:rFonts w:ascii="Arial" w:cs="Arial Unicode MS" w:hAnsi="Arial Unicode MS" w:eastAsia="Arial Unicode MS"/>
          <w:rtl w:val="0"/>
        </w:rPr>
        <w:t>&lt;ESMA_QUESTION_DP_BMR_69&gt;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Do you foresee additional costs to your business or, if you are not a supervised contributor, to the business of others resulting from the implementation of any of the listed requirements? Please describe the nature, and where possible provide estimates, of these costs. </w:t>
      </w:r>
    </w:p>
    <w:p>
      <w:pPr>
        <w:pStyle w:val="Body"/>
        <w:rPr>
          <w:rtl w:val="0"/>
        </w:rPr>
      </w:pPr>
      <w:r>
        <w:rPr>
          <w:rFonts w:ascii="Arial" w:cs="Arial Unicode MS" w:hAnsi="Arial Unicode MS" w:eastAsia="Arial Unicode MS"/>
          <w:rtl w:val="0"/>
        </w:rPr>
        <w:t>&lt;ESMA_QUESTION_DP_BMR_70&gt;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&lt;ESMA_QUESTION_DP_BMR_70&gt;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Could the approach proposed, i.e. the use of the field total issued nominal amount in the context of MiFIR / MAR reference data, be used for the assessment of the  </w:t>
      </w:r>
      <w:r>
        <w:rPr>
          <w:rFonts w:ascii="Calibri" w:cs="Calibri" w:hAnsi="Calibri" w:eastAsia="Calibri"/>
          <w:rtl w:val="0"/>
          <w:lang w:val="en-US"/>
        </w:rPr>
        <w:t>“</w:t>
      </w:r>
      <w:r>
        <w:rPr>
          <w:rFonts w:ascii="Calibri" w:cs="Calibri" w:hAnsi="Calibri" w:eastAsia="Calibri"/>
          <w:rtl w:val="0"/>
          <w:lang w:val="en-US"/>
        </w:rPr>
        <w:t>nominal amount</w:t>
      </w:r>
      <w:r>
        <w:rPr>
          <w:rFonts w:ascii="Calibri" w:cs="Calibri" w:hAnsi="Calibri" w:eastAsia="Calibri"/>
          <w:rtl w:val="0"/>
          <w:lang w:val="en-US"/>
        </w:rPr>
        <w:t xml:space="preserve">” </w:t>
      </w:r>
      <w:r>
        <w:rPr>
          <w:rFonts w:ascii="Calibri" w:cs="Calibri" w:hAnsi="Calibri" w:eastAsia="Calibri"/>
          <w:rtl w:val="0"/>
          <w:lang w:val="en-US"/>
        </w:rPr>
        <w:t>under BMR Article 13(1)(i) for bonds, other forms of securitised debt and money-market instruments? If not, please suggest alternative approaches</w:t>
      </w:r>
    </w:p>
    <w:p>
      <w:pPr>
        <w:pStyle w:val="Body"/>
        <w:rPr>
          <w:rtl w:val="0"/>
        </w:rPr>
      </w:pPr>
      <w:r>
        <w:rPr>
          <w:rFonts w:ascii="Arial" w:cs="Arial Unicode MS" w:hAnsi="Arial Unicode MS" w:eastAsia="Arial Unicode MS"/>
          <w:rtl w:val="0"/>
        </w:rPr>
        <w:t>&lt;ESMA_QUESTION_DP_BMR_71&gt;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We generally agree with ESMA</w:t>
      </w:r>
      <w:r>
        <w:rPr>
          <w:rFonts w:hAnsi="Arial" w:hint="default"/>
          <w:sz w:val="22"/>
          <w:szCs w:val="22"/>
          <w:rtl w:val="0"/>
          <w:lang w:val="en-US"/>
        </w:rPr>
        <w:t>’</w:t>
      </w:r>
      <w:r>
        <w:rPr>
          <w:rFonts w:ascii="Arial"/>
          <w:sz w:val="22"/>
          <w:szCs w:val="22"/>
          <w:rtl w:val="0"/>
          <w:lang w:val="en-US"/>
        </w:rPr>
        <w:t>s proposed approach in relation to the measurement of notional amounts referencing a benchmark. However, we urge ESMA to ensure that the final arrangements in this respect are implementable and do not impose liabilities on administrators in relation to the accuracy and timeliness of such measurement that they simply cannot achieve.</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 xml:space="preserve">ESMA should note that, under the typical current licensing agreements for indices and benchmarks, users do not provide administrators with information about the value of the instruments or contracts using their benchmarks and are unlikely to do so in the future. We therefore recommend that ESMA, and the Commission in its final delegated acts, consider the practicality of collecting such data and ensure that administrators do not face the risk of being unable to comply with the Regulation or being held liable to the accuracy of figures to which they do not have access to.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ESMA should note that a potential solution to this challenge would be to compel users of benchmarks to provide this information, either to the administrator or to the relevant national competent authority, as suggested in the DP.</w:t>
      </w:r>
      <w:r>
        <w:rPr>
          <w:rFonts w:ascii="Arial" w:cs="Arial" w:hAnsi="Arial" w:eastAsia="Arial"/>
          <w:sz w:val="22"/>
          <w:szCs w:val="22"/>
          <w:vertAlign w:val="superscript"/>
          <w:rtl w:val="0"/>
        </w:rPr>
        <w:footnoteReference w:id="51"/>
      </w:r>
      <w:r>
        <w:rPr>
          <w:rFonts w:ascii="Arial"/>
          <w:sz w:val="22"/>
          <w:szCs w:val="22"/>
          <w:rtl w:val="0"/>
          <w:lang w:val="en-US"/>
        </w:rPr>
        <w:t xml:space="preserve"> Some relevant figures could also be drawn from public sources, such as trade repositories. However, we are concerned that, even if such approach were used, it would still provide only an incomplete picture of notional amounts. We therefore recommend ESMA protect administrators from liability for the figures if they can demonstrate they have provided these figures or estimates in good faith.</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4"/>
          <w:szCs w:val="24"/>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Times New Roman" w:cs="Times New Roman" w:hAnsi="Times New Roman" w:eastAsia="Times New Roman"/>
          <w:sz w:val="24"/>
          <w:szCs w:val="24"/>
        </w:rPr>
      </w:pPr>
      <w:r>
        <w:rPr>
          <w:rFonts w:ascii="Arial"/>
          <w:sz w:val="22"/>
          <w:szCs w:val="22"/>
          <w:rtl w:val="0"/>
          <w:lang w:val="en-US"/>
        </w:rPr>
        <w:t>Furthermore, we encourage ESMA and the Commission to clarify the position around the relevance of the notional amount referencing benchmarks that are used to determine the performance of investment funds. It is clear that, where a benchmark determines the value of a financial contract or instrument, the notional attached to the benchmark should be counted fully for the purposes of categorising the benchmark as significant or critical. However it is unclear how a benchmark where it is used only to provide a relative measure of performance and has in itself no impact on the value of the fund could be measured for the purposes of categorising the benchmark as significant or critical. We recognise that there are potential scenarios where conflicts of interest and investor detriment could occur and therefore support their inclusion in the scope of the Regulation. However the potential for investor detriment seems very limited compared to benchmarks whose levels are directly linked to the value of a financial instrument or contract. We therefore encourage ESMA to take a proportionate approach. Specifically, while such benchmarks should be in scope of the regulation to ensure adequate protection of investors, their notional of use as performance benchmarks should not count towards whether they are considered critical or significant.</w:t>
      </w:r>
    </w:p>
    <w:p>
      <w:pPr>
        <w:pStyle w:val="Body"/>
        <w:rPr>
          <w:rtl w:val="0"/>
        </w:rPr>
      </w:pPr>
      <w:r>
        <w:rPr>
          <w:rFonts w:ascii="Arial" w:cs="Arial Unicode MS" w:hAnsi="Arial Unicode MS" w:eastAsia="Arial Unicode MS"/>
          <w:rtl w:val="0"/>
        </w:rPr>
        <w:t>&lt;ESMA_QUESTION_DP_BMR_71&gt;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Are you aware of any shares in companies, other securities equivalent to shares in companies, partnerships or other entities, depositary receipts in respect of shares, emission allowances for which a benchmark is used as a reference? </w:t>
      </w:r>
    </w:p>
    <w:p>
      <w:pPr>
        <w:pStyle w:val="Body"/>
        <w:rPr>
          <w:rtl w:val="0"/>
        </w:rPr>
      </w:pPr>
      <w:r>
        <w:rPr>
          <w:rFonts w:ascii="Arial" w:cs="Arial Unicode MS" w:hAnsi="Arial Unicode MS" w:eastAsia="Arial Unicode MS"/>
          <w:rtl w:val="0"/>
        </w:rPr>
        <w:t>&lt;ESMA_QUESTION_DP_BMR_72&gt;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&lt;ESMA_QUESTION_DP_BMR_72&gt;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have any suggestion for defining the assessment of the nominal amount of these financial instruments when they refer to a benchmark?</w:t>
      </w:r>
    </w:p>
    <w:p>
      <w:pPr>
        <w:pStyle w:val="Body"/>
        <w:rPr>
          <w:rtl w:val="0"/>
        </w:rPr>
      </w:pPr>
      <w:r>
        <w:rPr>
          <w:rFonts w:ascii="Arial" w:cs="Arial Unicode MS" w:hAnsi="Arial Unicode MS" w:eastAsia="Arial Unicode MS"/>
          <w:rtl w:val="0"/>
        </w:rPr>
        <w:t>&lt;ESMA_QUESTION_DP_BMR_73&gt;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As discussed in our response to Question 71, we recommend ESMA consider the widespread concerns about the lack of reliable information about notional amounts of usage for most benchmarks and the difficulties related to how data on the values of financial instruments could be obtained and accurately monitored. We also suggest in this response that the use of benchmarks to measure an investment fund</w:t>
      </w:r>
      <w:r>
        <w:rPr>
          <w:rFonts w:hAnsi="Arial" w:hint="default"/>
          <w:sz w:val="22"/>
          <w:szCs w:val="22"/>
          <w:rtl w:val="0"/>
          <w:lang w:val="en-US"/>
        </w:rPr>
        <w:t>’</w:t>
      </w:r>
      <w:r>
        <w:rPr>
          <w:rFonts w:ascii="Arial"/>
          <w:sz w:val="22"/>
          <w:szCs w:val="22"/>
          <w:rtl w:val="0"/>
          <w:lang w:val="en-US"/>
        </w:rPr>
        <w:t xml:space="preserve">s performance should not contribute to whether they are considered critical or significant.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rPr>
          <w:rtl w:val="0"/>
        </w:rPr>
      </w:pPr>
      <w:r>
        <w:rPr>
          <w:rFonts w:ascii="Arial" w:cs="Arial Unicode MS" w:hAnsi="Arial Unicode MS" w:eastAsia="Arial Unicode MS"/>
          <w:rtl w:val="0"/>
        </w:rPr>
        <w:t>&lt;ESMA_QUESTION_DP_BMR_73&gt;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with ESMA proposal in relation to the value of units in collective investment undertakings? If not, please explain why</w:t>
      </w:r>
    </w:p>
    <w:p>
      <w:pPr>
        <w:pStyle w:val="Body"/>
        <w:rPr>
          <w:rtl w:val="0"/>
        </w:rPr>
      </w:pPr>
      <w:r>
        <w:rPr>
          <w:rFonts w:ascii="Arial" w:cs="Arial Unicode MS" w:hAnsi="Arial Unicode MS" w:eastAsia="Arial Unicode MS"/>
          <w:rtl w:val="0"/>
        </w:rPr>
        <w:t>&lt;ESMA_QUESTION_DP_BMR_74&gt;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&lt;ESMA_QUESTION_DP_BMR_74&gt;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with the approach of using the notional amount, as used and defined in the EMIR reporting regime, for the assessment of notional amount of derivatives under BMR Article 13(1)(i)? If not, please suggest alternative approaches.</w:t>
      </w:r>
    </w:p>
    <w:p>
      <w:pPr>
        <w:pStyle w:val="Body"/>
        <w:rPr>
          <w:rtl w:val="0"/>
        </w:rPr>
      </w:pPr>
      <w:r>
        <w:rPr>
          <w:rFonts w:ascii="Arial" w:cs="Arial Unicode MS" w:hAnsi="Arial Unicode MS" w:eastAsia="Arial Unicode MS"/>
          <w:rtl w:val="0"/>
        </w:rPr>
        <w:t>&lt;ESMA_QUESTION_DP_BMR_75&gt;</w:t>
      </w:r>
    </w:p>
    <w:p>
      <w:pPr>
        <w:pStyle w:val="Body"/>
        <w:rPr>
          <w:rtl w:val="0"/>
        </w:rPr>
      </w:pPr>
      <w:r>
        <w:rPr>
          <w:rFonts w:ascii="Arial" w:cs="Arial Unicode MS" w:hAnsi="Arial Unicode MS" w:eastAsia="Arial Unicode MS"/>
          <w:sz w:val="22"/>
          <w:szCs w:val="22"/>
          <w:rtl w:val="0"/>
          <w:lang w:val="en-US"/>
        </w:rPr>
        <w:t>ESMA should note that receiving an ISIN of an index-related product in the EMIR report does not necessarily mean it would actually be classified as a benchmark as defined by the Regulation. Therefore, if ESMA made use of notionals it gathered from reporting under EMIR, it must ensure that it only captures the products that are indeed in scope of the Regulation.</w:t>
      </w:r>
    </w:p>
    <w:p>
      <w:pPr>
        <w:pStyle w:val="Body"/>
        <w:rPr>
          <w:rtl w:val="0"/>
        </w:rPr>
      </w:pPr>
      <w:r>
        <w:rPr>
          <w:rFonts w:ascii="Arial" w:cs="Arial Unicode MS" w:hAnsi="Arial Unicode MS" w:eastAsia="Arial Unicode MS"/>
          <w:rtl w:val="0"/>
        </w:rPr>
        <w:t>&lt;ESMA_QUESTION_DP_BMR_75&gt;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Which are your views on the two options proposed to assess the net asset value of investment funds? Should you have a preference for an alternative option, please provide details and explain the reasons for your preference.</w:t>
      </w:r>
    </w:p>
    <w:p>
      <w:pPr>
        <w:pStyle w:val="Body"/>
        <w:rPr>
          <w:rtl w:val="0"/>
        </w:rPr>
      </w:pPr>
      <w:r>
        <w:rPr>
          <w:rFonts w:ascii="Arial" w:cs="Arial Unicode MS" w:hAnsi="Arial Unicode MS" w:eastAsia="Arial Unicode MS"/>
          <w:rtl w:val="0"/>
        </w:rPr>
        <w:t>&lt;ESMA_QUESTION_DP_BMR_76&gt;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&lt;ESMA_QUESTION_DP_BMR_76&gt;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Which are your views on the two approaches proposed to assess the nominal amount of financial instruments other than derivatives, the notional amount of derivatives and the net asset value of an investment fund referencing a benchmark within a combination of benchmarks? Please provide details and explain the reasons for your preference. Do you think there are other possible approaches? If yes, please explain.</w:t>
      </w:r>
    </w:p>
    <w:p>
      <w:pPr>
        <w:pStyle w:val="Body"/>
        <w:rPr>
          <w:rtl w:val="0"/>
        </w:rPr>
      </w:pPr>
      <w:r>
        <w:rPr>
          <w:rFonts w:ascii="Arial" w:cs="Arial Unicode MS" w:hAnsi="Arial Unicode MS" w:eastAsia="Arial Unicode MS"/>
          <w:rtl w:val="0"/>
        </w:rPr>
        <w:t>&lt;ESMA_QUESTION_DP_BMR_77&gt;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 xml:space="preserve">ESMA should note that, assuming reliable data in relation to notional values could be collected in a timely fashion, it would be relatively easy to decide on relevant notional for combinations of benchmarks where the proportion that is assigned to each benchmark is fixed. In such situations, the relevant notional should be assigned as a proportion of the overall notional.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Times New Roman" w:cs="Times New Roman" w:hAnsi="Times New Roman" w:eastAsia="Times New Roman"/>
          <w:sz w:val="24"/>
          <w:szCs w:val="24"/>
        </w:rPr>
      </w:pPr>
      <w:r>
        <w:rPr>
          <w:rFonts w:ascii="Arial"/>
          <w:sz w:val="22"/>
          <w:szCs w:val="22"/>
          <w:rtl w:val="0"/>
          <w:lang w:val="en-US"/>
        </w:rPr>
        <w:t xml:space="preserve">However, there </w:t>
      </w:r>
      <w:bookmarkStart w:name="_GoBack" w:id="1"/>
      <w:r>
        <w:rPr>
          <w:rFonts w:ascii="Arial"/>
          <w:sz w:val="22"/>
          <w:szCs w:val="22"/>
          <w:rtl w:val="0"/>
          <w:lang w:val="en-US"/>
        </w:rPr>
        <w:t>exists</w:t>
      </w:r>
      <w:bookmarkEnd w:id="1"/>
      <w:r>
        <w:rPr>
          <w:rFonts w:ascii="Arial"/>
          <w:sz w:val="22"/>
          <w:szCs w:val="22"/>
          <w:rtl w:val="0"/>
          <w:lang w:val="en-US"/>
        </w:rPr>
        <w:t xml:space="preserve"> a large variety of financial products referencing one or several benchmarks where the impact of such benchmarks on the payout or value of the financial instrument is complex, it can change over time and it might fluctuate depending on market moves (for example, financial products referencing several benchmarks on a</w:t>
      </w:r>
      <w:r>
        <w:rPr>
          <w:rFonts w:hAnsi="Arial" w:hint="default"/>
          <w:sz w:val="22"/>
          <w:szCs w:val="22"/>
          <w:rtl w:val="0"/>
          <w:lang w:val="en-US"/>
        </w:rPr>
        <w:t xml:space="preserve"> ‘</w:t>
      </w:r>
      <w:r>
        <w:rPr>
          <w:rFonts w:ascii="Arial"/>
          <w:sz w:val="22"/>
          <w:szCs w:val="22"/>
          <w:rtl w:val="0"/>
          <w:lang w:val="en-US"/>
        </w:rPr>
        <w:t>best of</w:t>
      </w:r>
      <w:r>
        <w:rPr>
          <w:rFonts w:hAnsi="Arial" w:hint="default"/>
          <w:sz w:val="22"/>
          <w:szCs w:val="22"/>
          <w:rtl w:val="0"/>
          <w:lang w:val="en-US"/>
        </w:rPr>
        <w:t xml:space="preserve">’ </w:t>
      </w:r>
      <w:r>
        <w:rPr>
          <w:rFonts w:ascii="Arial"/>
          <w:sz w:val="22"/>
          <w:szCs w:val="22"/>
          <w:rtl w:val="0"/>
        </w:rPr>
        <w:t xml:space="preserve">or </w:t>
      </w:r>
      <w:r>
        <w:rPr>
          <w:rFonts w:hAnsi="Arial" w:hint="default"/>
          <w:sz w:val="22"/>
          <w:szCs w:val="22"/>
          <w:rtl w:val="0"/>
          <w:lang w:val="en-US"/>
        </w:rPr>
        <w:t>‘</w:t>
      </w:r>
      <w:r>
        <w:rPr>
          <w:rFonts w:ascii="Arial"/>
          <w:sz w:val="22"/>
          <w:szCs w:val="22"/>
          <w:rtl w:val="0"/>
          <w:lang w:val="en-US"/>
        </w:rPr>
        <w:t>worst of</w:t>
      </w:r>
      <w:r>
        <w:rPr>
          <w:rFonts w:hAnsi="Arial" w:hint="default"/>
          <w:sz w:val="22"/>
          <w:szCs w:val="22"/>
          <w:rtl w:val="0"/>
          <w:lang w:val="en-US"/>
        </w:rPr>
        <w:t xml:space="preserve">’ </w:t>
      </w:r>
      <w:r>
        <w:rPr>
          <w:rFonts w:ascii="Arial"/>
          <w:sz w:val="22"/>
          <w:szCs w:val="22"/>
          <w:rtl w:val="0"/>
          <w:lang w:val="en-US"/>
        </w:rPr>
        <w:t>basis).  For those products it will be difficult to determine a specific notional amount that should be assigned to the individual benchmarks that are referenced.</w:t>
      </w:r>
    </w:p>
    <w:p>
      <w:pPr>
        <w:pStyle w:val="Body"/>
        <w:rPr>
          <w:rtl w:val="0"/>
        </w:rPr>
      </w:pPr>
      <w:r>
        <w:rPr>
          <w:rFonts w:ascii="Arial" w:cs="Arial Unicode MS" w:hAnsi="Arial Unicode MS" w:eastAsia="Arial Unicode MS"/>
          <w:rtl w:val="0"/>
        </w:rPr>
        <w:t>&lt;ESMA_QUESTION_DP_BMR_77&gt;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Do you agree with the </w:t>
      </w:r>
      <w:r>
        <w:rPr>
          <w:rFonts w:ascii="Calibri" w:cs="Calibri" w:hAnsi="Calibri" w:eastAsia="Calibri"/>
          <w:rtl w:val="0"/>
          <w:lang w:val="en-US"/>
        </w:rPr>
        <w:t>‘</w:t>
      </w:r>
      <w:r>
        <w:rPr>
          <w:rFonts w:ascii="Calibri" w:cs="Calibri" w:hAnsi="Calibri" w:eastAsia="Calibri"/>
          <w:rtl w:val="0"/>
          <w:lang w:val="en-US"/>
        </w:rPr>
        <w:t>relative impact</w:t>
      </w:r>
      <w:r>
        <w:rPr>
          <w:rFonts w:ascii="Calibri" w:cs="Calibri" w:hAnsi="Calibri" w:eastAsia="Calibri"/>
          <w:rtl w:val="0"/>
          <w:lang w:val="en-US"/>
        </w:rPr>
        <w:t xml:space="preserve">’ </w:t>
      </w:r>
      <w:r>
        <w:rPr>
          <w:rFonts w:ascii="Calibri" w:cs="Calibri" w:hAnsi="Calibri" w:eastAsia="Calibri"/>
          <w:rtl w:val="0"/>
          <w:lang w:val="en-US"/>
        </w:rPr>
        <w:t xml:space="preserve">approach, i.e. define one or more value and </w:t>
      </w:r>
      <w:r>
        <w:rPr>
          <w:rFonts w:ascii="Calibri" w:cs="Calibri" w:hAnsi="Calibri" w:eastAsia="Calibri"/>
          <w:rtl w:val="0"/>
          <w:lang w:val="en-US"/>
        </w:rPr>
        <w:t>“</w:t>
      </w:r>
      <w:r>
        <w:rPr>
          <w:rFonts w:ascii="Calibri" w:cs="Calibri" w:hAnsi="Calibri" w:eastAsia="Calibri"/>
          <w:rtl w:val="0"/>
          <w:lang w:val="en-US"/>
        </w:rPr>
        <w:t>ratios</w:t>
      </w:r>
      <w:r>
        <w:rPr>
          <w:rFonts w:ascii="Calibri" w:cs="Calibri" w:hAnsi="Calibri" w:eastAsia="Calibri"/>
          <w:rtl w:val="0"/>
          <w:lang w:val="en-US"/>
        </w:rPr>
        <w:t xml:space="preserve">” </w:t>
      </w:r>
      <w:r>
        <w:rPr>
          <w:rFonts w:ascii="Calibri" w:cs="Calibri" w:hAnsi="Calibri" w:eastAsia="Calibri"/>
          <w:rtl w:val="0"/>
          <w:lang w:val="en-US"/>
        </w:rPr>
        <w:t>for each of the five areas (markets integrity; or financial stability; or consumers; or the real economy; or the financing of households and corporations) that need to be assessed according to Article 13(1)(c), subparagraph (iii)? If not, please elaborate on other options that you consider more suitable.</w:t>
      </w:r>
    </w:p>
    <w:p>
      <w:pPr>
        <w:pStyle w:val="Body"/>
        <w:rPr>
          <w:rtl w:val="0"/>
        </w:rPr>
      </w:pPr>
      <w:r>
        <w:rPr>
          <w:rFonts w:ascii="Arial" w:cs="Arial Unicode MS" w:hAnsi="Arial Unicode MS" w:eastAsia="Arial Unicode MS"/>
          <w:rtl w:val="0"/>
        </w:rPr>
        <w:t>&lt;ESMA_QUESTION_DP_BMR_78&gt;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&lt;ESMA_QUESTION_DP_BMR_78&gt;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What kind of other objective grounds could be used to assess the potential impact of the discontinuity or unreliability of the benchmark besides the ones mentioned above (e.g. GDP, consumer credit agreement etc.)? </w:t>
      </w:r>
    </w:p>
    <w:p>
      <w:pPr>
        <w:pStyle w:val="Body"/>
        <w:rPr>
          <w:rtl w:val="0"/>
        </w:rPr>
      </w:pPr>
      <w:r>
        <w:rPr>
          <w:rFonts w:ascii="Arial" w:cs="Arial Unicode MS" w:hAnsi="Arial Unicode MS" w:eastAsia="Arial Unicode MS"/>
          <w:rtl w:val="0"/>
        </w:rPr>
        <w:t>&lt;ESMA_QUESTION_DP_BMR_79&gt;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&lt;ESMA_QUESTION_DP_BMR_79&gt;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with ESMA</w:t>
      </w:r>
      <w:r>
        <w:rPr>
          <w:rFonts w:ascii="Calibri" w:cs="Calibri" w:hAnsi="Calibri" w:eastAsia="Calibri"/>
          <w:rtl w:val="0"/>
          <w:lang w:val="en-US"/>
        </w:rPr>
        <w:t>’</w:t>
      </w:r>
      <w:r>
        <w:rPr>
          <w:rFonts w:ascii="Calibri" w:cs="Calibri" w:hAnsi="Calibri" w:eastAsia="Calibri"/>
          <w:rtl w:val="0"/>
          <w:lang w:val="en-US"/>
        </w:rPr>
        <w:t>s approach to further define the above criteria? Particularly, do you think that ESMA should develop more concrete guidance for the possible rejection of the NCA under Article 14c para 2? Do you believe that NCAs should take into consideration additional elements in their assessment?</w:t>
      </w:r>
    </w:p>
    <w:p>
      <w:pPr>
        <w:pStyle w:val="Body"/>
        <w:rPr>
          <w:rtl w:val="0"/>
        </w:rPr>
      </w:pPr>
      <w:r>
        <w:rPr>
          <w:rFonts w:ascii="Arial" w:cs="Arial Unicode MS" w:hAnsi="Arial Unicode MS" w:eastAsia="Arial Unicode MS"/>
          <w:rtl w:val="0"/>
        </w:rPr>
        <w:t>&lt;ESMA_QUESTION_DP_BMR_80&gt;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We generally welcome the use of a proportionate approach to the implementation of the Regulation and support ESMA</w:t>
      </w:r>
      <w:r>
        <w:rPr>
          <w:rFonts w:hAnsi="Arial" w:hint="default"/>
          <w:sz w:val="22"/>
          <w:szCs w:val="22"/>
          <w:rtl w:val="0"/>
          <w:lang w:val="en-US"/>
        </w:rPr>
        <w:t>’</w:t>
      </w:r>
      <w:r>
        <w:rPr>
          <w:rFonts w:ascii="Arial"/>
          <w:sz w:val="22"/>
          <w:szCs w:val="22"/>
          <w:rtl w:val="0"/>
          <w:lang w:val="en-US"/>
        </w:rPr>
        <w:t>s consideration that proportionality should be guided by whether the relevant notional of a benchmark is nearer to the higher or to the lower end of the significant benchmark range.</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 xml:space="preserve">We agree with ESMA that the risks of </w:t>
      </w:r>
      <w:r>
        <w:rPr>
          <w:rFonts w:hAnsi="Arial" w:hint="default"/>
          <w:sz w:val="22"/>
          <w:szCs w:val="22"/>
          <w:rtl w:val="0"/>
          <w:lang w:val="en-US"/>
        </w:rPr>
        <w:t>“</w:t>
      </w:r>
      <w:r>
        <w:rPr>
          <w:rFonts w:ascii="Arial"/>
          <w:sz w:val="22"/>
          <w:szCs w:val="22"/>
          <w:rtl w:val="0"/>
          <w:lang w:val="en-US"/>
        </w:rPr>
        <w:t>collaborative manipulation by different functions within an administrator are particularly high and, hence, that the requirement for operational separation of the benchmark administration from the remaining business should generally be applied unless the administrator can demonstrate that there is no potential for a conflict of interest, particularly that the administrator does not have a financial interest in any instruments or contracts referencing the administrator</w:t>
      </w:r>
      <w:r>
        <w:rPr>
          <w:rFonts w:hAnsi="Arial" w:hint="default"/>
          <w:sz w:val="22"/>
          <w:szCs w:val="22"/>
          <w:rtl w:val="0"/>
          <w:lang w:val="en-US"/>
        </w:rPr>
        <w:t>’</w:t>
      </w:r>
      <w:r>
        <w:rPr>
          <w:rFonts w:ascii="Arial"/>
          <w:sz w:val="22"/>
          <w:szCs w:val="22"/>
          <w:rtl w:val="0"/>
          <w:lang w:val="en-US"/>
        </w:rPr>
        <w:t>s benchmark</w:t>
      </w:r>
      <w:r>
        <w:rPr>
          <w:rFonts w:hAnsi="Arial" w:hint="default"/>
          <w:sz w:val="22"/>
          <w:szCs w:val="22"/>
          <w:rtl w:val="0"/>
          <w:lang w:val="en-US"/>
        </w:rPr>
        <w:t>”</w:t>
      </w:r>
      <w:r>
        <w:rPr>
          <w:rFonts w:ascii="Arial"/>
          <w:sz w:val="22"/>
          <w:szCs w:val="22"/>
          <w:rtl w:val="0"/>
        </w:rPr>
        <w:t>.</w:t>
      </w:r>
      <w:r>
        <w:rPr>
          <w:rFonts w:ascii="Arial" w:cs="Arial" w:hAnsi="Arial" w:eastAsia="Arial"/>
          <w:sz w:val="22"/>
          <w:szCs w:val="22"/>
          <w:vertAlign w:val="superscript"/>
          <w:rtl w:val="0"/>
        </w:rPr>
        <w:footnoteReference w:id="52"/>
      </w:r>
      <w:r>
        <w:rPr>
          <w:rFonts w:ascii="Arial"/>
          <w:sz w:val="22"/>
          <w:szCs w:val="22"/>
          <w:rtl w:val="0"/>
        </w:rPr>
        <w:t xml:space="preserve">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Times New Roman" w:cs="Times New Roman" w:hAnsi="Times New Roman" w:eastAsia="Times New Roman"/>
          <w:sz w:val="24"/>
          <w:szCs w:val="24"/>
        </w:rPr>
      </w:pPr>
      <w:r>
        <w:rPr>
          <w:rFonts w:ascii="Arial"/>
          <w:sz w:val="22"/>
          <w:szCs w:val="22"/>
          <w:rtl w:val="0"/>
          <w:lang w:val="en-US"/>
        </w:rPr>
        <w:t>However, as we have explained in more detail in our response to Question 6, we believe that ESMA</w:t>
      </w:r>
      <w:r>
        <w:rPr>
          <w:rFonts w:hAnsi="Arial" w:hint="default"/>
          <w:sz w:val="22"/>
          <w:szCs w:val="22"/>
          <w:rtl w:val="0"/>
          <w:lang w:val="en-US"/>
        </w:rPr>
        <w:t>’</w:t>
      </w:r>
      <w:r>
        <w:rPr>
          <w:rFonts w:ascii="Arial"/>
          <w:sz w:val="22"/>
          <w:szCs w:val="22"/>
          <w:rtl w:val="0"/>
          <w:lang w:val="en-US"/>
        </w:rPr>
        <w:t xml:space="preserve">s view that such risks will apply if the benchmark administrator </w:t>
      </w:r>
      <w:r>
        <w:rPr>
          <w:rFonts w:hAnsi="Arial" w:hint="default"/>
          <w:sz w:val="22"/>
          <w:szCs w:val="22"/>
          <w:rtl w:val="0"/>
          <w:lang w:val="en-US"/>
        </w:rPr>
        <w:t>“</w:t>
      </w:r>
      <w:r>
        <w:rPr>
          <w:rFonts w:ascii="Arial"/>
          <w:sz w:val="22"/>
          <w:szCs w:val="22"/>
          <w:rtl w:val="0"/>
          <w:lang w:val="en-US"/>
        </w:rPr>
        <w:t>is not dedicated to providing benchmarks alone</w:t>
      </w:r>
      <w:r>
        <w:rPr>
          <w:rFonts w:hAnsi="Arial" w:hint="default"/>
          <w:sz w:val="22"/>
          <w:szCs w:val="22"/>
          <w:rtl w:val="0"/>
          <w:lang w:val="en-US"/>
        </w:rPr>
        <w:t>”</w:t>
      </w:r>
      <w:r>
        <w:rPr>
          <w:rFonts w:ascii="Arial"/>
          <w:sz w:val="22"/>
          <w:szCs w:val="22"/>
          <w:rtl w:val="0"/>
          <w:lang w:val="en-US"/>
        </w:rPr>
        <w:t xml:space="preserve"> in the same paragraph is not consistent with the policy intention of the Regulation. ESMA should note that the administration of benchmarks by independent administrators has grown over recent years as an acceptable way of separating benchmark administration from other parts of the business that may have a financial interest in the benchmark; also benchmark</w:t>
      </w:r>
      <w:r>
        <w:rPr>
          <w:rFonts w:hAnsi="Arial" w:hint="default"/>
          <w:sz w:val="22"/>
          <w:szCs w:val="22"/>
          <w:rtl w:val="0"/>
          <w:lang w:val="en-US"/>
        </w:rPr>
        <w:t>’</w:t>
      </w:r>
      <w:r>
        <w:rPr>
          <w:rFonts w:ascii="Arial"/>
          <w:sz w:val="22"/>
          <w:szCs w:val="22"/>
          <w:rtl w:val="0"/>
          <w:lang w:val="en-US"/>
        </w:rPr>
        <w:t>s users can benefit from a specialist benchmark administrator</w:t>
      </w:r>
      <w:r>
        <w:rPr>
          <w:rFonts w:hAnsi="Arial" w:hint="default"/>
          <w:sz w:val="22"/>
          <w:szCs w:val="22"/>
          <w:rtl w:val="0"/>
          <w:lang w:val="en-US"/>
        </w:rPr>
        <w:t>’</w:t>
      </w:r>
      <w:r>
        <w:rPr>
          <w:rFonts w:ascii="Arial"/>
          <w:sz w:val="22"/>
          <w:szCs w:val="22"/>
          <w:rtl w:val="0"/>
          <w:lang w:val="en-US"/>
        </w:rPr>
        <w:t xml:space="preserve">s expertise. While, most importantly, independent benchmark administrators will not have any business in which they take positions in financial instruments that reference benchmarks many of them will have also other business lines and hence will not be </w:t>
      </w:r>
      <w:r>
        <w:rPr>
          <w:rFonts w:hAnsi="Arial" w:hint="default"/>
          <w:sz w:val="22"/>
          <w:szCs w:val="22"/>
          <w:rtl w:val="0"/>
          <w:lang w:val="en-US"/>
        </w:rPr>
        <w:t>“</w:t>
      </w:r>
      <w:r>
        <w:rPr>
          <w:rFonts w:ascii="Arial"/>
          <w:sz w:val="22"/>
          <w:szCs w:val="22"/>
          <w:rtl w:val="0"/>
          <w:lang w:val="en-US"/>
        </w:rPr>
        <w:t>dedicated to providing benchmarks alone</w:t>
      </w:r>
      <w:r>
        <w:rPr>
          <w:rFonts w:hAnsi="Arial" w:hint="default"/>
          <w:sz w:val="22"/>
          <w:szCs w:val="22"/>
          <w:rtl w:val="0"/>
          <w:lang w:val="en-US"/>
        </w:rPr>
        <w:t>”</w:t>
      </w:r>
      <w:r>
        <w:rPr>
          <w:rFonts w:ascii="Arial"/>
          <w:sz w:val="22"/>
          <w:szCs w:val="22"/>
          <w:rtl w:val="0"/>
          <w:lang w:val="en-US"/>
        </w:rPr>
        <w:t>. We therefore suggest ESMA avoid using such generalisations and focus on where potential conflicts of interest, such as the ability for an administrator of having a financial interest in the benchmark, arise.</w:t>
      </w:r>
    </w:p>
    <w:p>
      <w:pPr>
        <w:pStyle w:val="Body"/>
        <w:rPr>
          <w:rtl w:val="0"/>
        </w:rPr>
      </w:pPr>
      <w:r>
        <w:rPr>
          <w:rFonts w:ascii="Arial" w:cs="Arial Unicode MS" w:hAnsi="Arial Unicode MS" w:eastAsia="Arial Unicode MS"/>
          <w:rtl w:val="0"/>
        </w:rPr>
        <w:t>&lt;ESMA_QUESTION_DP_BMR_80&gt;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think that the fields identified for the template are sufficient for the competent authority and the stakeholders to form an opinion on the representativeness, reliability and integrity of a benchmark, notwithstanding the non-application of some material requirements? Could you suggest additional fields?</w:t>
      </w:r>
    </w:p>
    <w:p>
      <w:pPr>
        <w:pStyle w:val="Body"/>
        <w:rPr>
          <w:rtl w:val="0"/>
        </w:rPr>
      </w:pPr>
      <w:r>
        <w:rPr>
          <w:rFonts w:ascii="Arial" w:cs="Arial Unicode MS" w:hAnsi="Arial Unicode MS" w:eastAsia="Arial Unicode MS"/>
          <w:rtl w:val="0"/>
        </w:rPr>
        <w:t>&lt;ESMA_QUESTION_DP_BMR_81&gt;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&lt;ESMA_QUESTION_DP_BMR_81&gt;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with the suggested minimum aspects for defining the market or economic reality measured by the benchmark?</w:t>
      </w:r>
    </w:p>
    <w:p>
      <w:pPr>
        <w:pStyle w:val="Body"/>
        <w:rPr>
          <w:rtl w:val="0"/>
        </w:rPr>
      </w:pPr>
      <w:r>
        <w:rPr>
          <w:rFonts w:ascii="Arial" w:cs="Arial Unicode MS" w:hAnsi="Arial Unicode MS" w:eastAsia="Arial Unicode MS"/>
          <w:rtl w:val="0"/>
        </w:rPr>
        <w:t>&lt;ESMA_QUESTION_DP_BMR_82&gt;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 xml:space="preserve">We broadly agree with the approach being proposed by ESMA in relation to the aspects used for defining the market or economic reality measured by the benchmark.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Times New Roman" w:cs="Times New Roman" w:hAnsi="Times New Roman" w:eastAsia="Times New Roman"/>
          <w:sz w:val="24"/>
          <w:szCs w:val="24"/>
        </w:rPr>
      </w:pPr>
      <w:r>
        <w:rPr>
          <w:rFonts w:ascii="Arial"/>
          <w:sz w:val="22"/>
          <w:szCs w:val="22"/>
          <w:rtl w:val="0"/>
          <w:lang w:val="en-US"/>
        </w:rPr>
        <w:t>However, we are concerned about ESMA</w:t>
      </w:r>
      <w:r>
        <w:rPr>
          <w:rFonts w:hAnsi="Arial" w:hint="default"/>
          <w:sz w:val="22"/>
          <w:szCs w:val="22"/>
          <w:rtl w:val="0"/>
          <w:lang w:val="en-US"/>
        </w:rPr>
        <w:t>’</w:t>
      </w:r>
      <w:r>
        <w:rPr>
          <w:rFonts w:ascii="Arial"/>
          <w:sz w:val="22"/>
          <w:szCs w:val="22"/>
          <w:rtl w:val="0"/>
          <w:lang w:val="en-US"/>
        </w:rPr>
        <w:t>s considerations relating to the size of the market.</w:t>
      </w:r>
      <w:r>
        <w:rPr>
          <w:rFonts w:ascii="Arial" w:cs="Arial" w:hAnsi="Arial" w:eastAsia="Arial"/>
          <w:sz w:val="22"/>
          <w:szCs w:val="22"/>
          <w:vertAlign w:val="superscript"/>
          <w:rtl w:val="0"/>
        </w:rPr>
        <w:footnoteReference w:id="53"/>
      </w:r>
      <w:r>
        <w:rPr>
          <w:rFonts w:ascii="Arial"/>
          <w:sz w:val="22"/>
          <w:szCs w:val="22"/>
          <w:rtl w:val="0"/>
          <w:lang w:val="en-US"/>
        </w:rPr>
        <w:t xml:space="preserve"> ESMA should consider that a benchmark would not measure the volume of transactions and any element of the benchmarks statement in relation to the size of the market would only ever be a number and measure of size at a specific point in time. In general, we recommend ESMA leave it to the administrator to determine how to most appropriately design its statements in relation to this aspect.</w:t>
      </w:r>
    </w:p>
    <w:p>
      <w:pPr>
        <w:pStyle w:val="Body"/>
        <w:rPr>
          <w:rtl w:val="0"/>
        </w:rPr>
      </w:pPr>
      <w:r>
        <w:rPr>
          <w:rFonts w:ascii="Arial" w:cs="Arial Unicode MS" w:hAnsi="Arial Unicode MS" w:eastAsia="Arial Unicode MS"/>
          <w:rtl w:val="0"/>
        </w:rPr>
        <w:t>&lt;ESMA_QUESTION_DP_BMR_82&gt;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think the circumstances under which a benchmark determination may become unreliable can be sufficiently described by the suggested aspects?</w:t>
      </w:r>
    </w:p>
    <w:p>
      <w:pPr>
        <w:pStyle w:val="Body"/>
        <w:rPr>
          <w:rtl w:val="0"/>
        </w:rPr>
      </w:pPr>
      <w:r>
        <w:rPr>
          <w:rFonts w:ascii="Arial" w:cs="Arial Unicode MS" w:hAnsi="Arial Unicode MS" w:eastAsia="Arial Unicode MS"/>
          <w:rtl w:val="0"/>
        </w:rPr>
        <w:t>&lt;ESMA_QUESTION_DP_BMR_83&gt;</w:t>
      </w:r>
    </w:p>
    <w:p>
      <w:pPr>
        <w:pStyle w:val="Body"/>
        <w:rPr>
          <w:rtl w:val="0"/>
        </w:rPr>
      </w:pPr>
      <w:r>
        <w:rPr>
          <w:rFonts w:ascii="Arial" w:cs="Arial Unicode MS" w:hAnsi="Arial Unicode MS" w:eastAsia="Arial Unicode MS"/>
          <w:sz w:val="22"/>
          <w:szCs w:val="22"/>
          <w:rtl w:val="0"/>
          <w:lang w:val="en-US"/>
        </w:rPr>
        <w:t>As we highlighted in our responses above we recommend ESMA avoid being prescriptive in these aspects but acknowledge that the administrator is in the best position to make such determinations.</w:t>
      </w:r>
    </w:p>
    <w:p>
      <w:pPr>
        <w:pStyle w:val="Body"/>
        <w:rPr>
          <w:rtl w:val="0"/>
        </w:rPr>
      </w:pPr>
      <w:r>
        <w:rPr>
          <w:rFonts w:ascii="Arial" w:cs="Arial Unicode MS" w:hAnsi="Arial Unicode MS" w:eastAsia="Arial Unicode MS"/>
          <w:rtl w:val="0"/>
        </w:rPr>
        <w:t>&lt;ESMA_QUESTION_DP_BMR_83&gt;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with the minimum information on the exercise of discretion to be included in the benchmark statement?</w:t>
      </w:r>
    </w:p>
    <w:p>
      <w:pPr>
        <w:pStyle w:val="Body"/>
        <w:rPr>
          <w:rtl w:val="0"/>
        </w:rPr>
      </w:pPr>
      <w:r>
        <w:rPr>
          <w:rFonts w:ascii="Arial" w:cs="Arial Unicode MS" w:hAnsi="Arial Unicode MS" w:eastAsia="Arial Unicode MS"/>
          <w:rtl w:val="0"/>
        </w:rPr>
        <w:t>&lt;ESMA_QUESTION_DP_BMR_84&gt;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&lt;ESMA_QUESTION_DP_BMR_84&gt;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Are there any further precise minimum contents for a benchmark statement that should apply to each benchmark beyond those stated in Art. 15(2) points (a) to (g) BMR?</w:t>
      </w:r>
    </w:p>
    <w:p>
      <w:pPr>
        <w:pStyle w:val="Body"/>
        <w:rPr>
          <w:rtl w:val="0"/>
        </w:rPr>
      </w:pPr>
      <w:r>
        <w:rPr>
          <w:rFonts w:ascii="Arial" w:cs="Arial Unicode MS" w:hAnsi="Arial Unicode MS" w:eastAsia="Arial Unicode MS"/>
          <w:rtl w:val="0"/>
        </w:rPr>
        <w:t>&lt;ESMA_QUESTION_DP_BMR_85&gt;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&lt;ESMA_QUESTION_DP_BMR_85&gt;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that a concise description of the additional requirements including references, if any, would be sufficient for the information purposes of the benchmark statement for interest rate benchmarks?</w:t>
      </w:r>
    </w:p>
    <w:p>
      <w:pPr>
        <w:pStyle w:val="Body"/>
        <w:rPr>
          <w:rtl w:val="0"/>
        </w:rPr>
      </w:pPr>
      <w:r>
        <w:rPr>
          <w:rFonts w:ascii="Arial" w:cs="Arial Unicode MS" w:hAnsi="Arial Unicode MS" w:eastAsia="Arial Unicode MS"/>
          <w:rtl w:val="0"/>
        </w:rPr>
        <w:t>&lt;ESMA_QUESTION_DP_BMR_86&gt;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&lt;ESMA_QUESTION_DP_BMR_86&gt;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that the statement for commodity benchmarks should be delimited as described? Otherwise, what other information would be essential in your opinion?</w:t>
      </w:r>
    </w:p>
    <w:p>
      <w:pPr>
        <w:pStyle w:val="Body"/>
        <w:rPr>
          <w:rtl w:val="0"/>
        </w:rPr>
      </w:pPr>
      <w:r>
        <w:rPr>
          <w:rFonts w:ascii="Arial" w:cs="Arial Unicode MS" w:hAnsi="Arial Unicode MS" w:eastAsia="Arial Unicode MS"/>
          <w:rtl w:val="0"/>
        </w:rPr>
        <w:t>&lt;ESMA_QUESTION_DP_BMR_87&gt;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&lt;ESMA_QUESTION_DP_BMR_87&gt;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with ESMA's approach not to include further material requirements for the content of benchmark statements regarding regulated-data benchmarks?</w:t>
      </w:r>
    </w:p>
    <w:p>
      <w:pPr>
        <w:pStyle w:val="Body"/>
        <w:rPr>
          <w:rtl w:val="0"/>
        </w:rPr>
      </w:pPr>
      <w:r>
        <w:rPr>
          <w:rFonts w:ascii="Arial" w:cs="Arial Unicode MS" w:hAnsi="Arial Unicode MS" w:eastAsia="Arial Unicode MS"/>
          <w:rtl w:val="0"/>
        </w:rPr>
        <w:t>&lt;ESMA_QUESTION_DP_BMR_88&gt;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&lt;ESMA_QUESTION_DP_BMR_88&gt;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with the suggested additional content required for statements regarding critical benchmarks? If not, please precise why and indicate what alternative or additional information you consider appropriate in case a benchmark qualifies as critical.</w:t>
      </w:r>
    </w:p>
    <w:p>
      <w:pPr>
        <w:pStyle w:val="Body"/>
        <w:rPr>
          <w:rtl w:val="0"/>
        </w:rPr>
      </w:pPr>
      <w:r>
        <w:rPr>
          <w:rFonts w:ascii="Arial" w:cs="Arial Unicode MS" w:hAnsi="Arial Unicode MS" w:eastAsia="Arial Unicode MS"/>
          <w:rtl w:val="0"/>
        </w:rPr>
        <w:t>&lt;ESMA_QUESTION_DP_BMR_89&gt;</w:t>
      </w:r>
    </w:p>
    <w:p>
      <w:pPr>
        <w:pStyle w:val="Body"/>
        <w:rPr>
          <w:rtl w:val="0"/>
        </w:rPr>
      </w:pPr>
      <w:r>
        <w:rPr>
          <w:rFonts w:ascii="Arial" w:cs="Arial Unicode MS" w:hAnsi="Arial Unicode MS" w:eastAsia="Arial Unicode MS"/>
          <w:sz w:val="22"/>
          <w:szCs w:val="22"/>
          <w:rtl w:val="0"/>
          <w:lang w:val="en-US"/>
        </w:rPr>
        <w:t>As stated in our responses to section 8, we believe that the administrator will often not be in possession of the relevant data in relation to the degree of utilisation of a benchmark as this information is not readily available. ESMA should consider that it therefore might not be possible to state with certainty in the statement whether a benchmark is critical, significant, or not significant.</w:t>
      </w:r>
    </w:p>
    <w:p>
      <w:pPr>
        <w:pStyle w:val="Body"/>
        <w:rPr>
          <w:rtl w:val="0"/>
        </w:rPr>
      </w:pPr>
      <w:r>
        <w:rPr>
          <w:rFonts w:ascii="Arial" w:cs="Arial Unicode MS" w:hAnsi="Arial Unicode MS" w:eastAsia="Arial Unicode MS"/>
          <w:rtl w:val="0"/>
        </w:rPr>
        <w:t>&lt;ESMA_QUESTION_DP_BMR_89&gt;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with the suggested additional requirements for significant benchmarks? Which of the three options proposed you prefer, and why?</w:t>
      </w:r>
    </w:p>
    <w:p>
      <w:pPr>
        <w:pStyle w:val="Body"/>
        <w:rPr>
          <w:rtl w:val="0"/>
        </w:rPr>
      </w:pPr>
      <w:r>
        <w:rPr>
          <w:rFonts w:ascii="Arial" w:cs="Arial Unicode MS" w:hAnsi="Arial Unicode MS" w:eastAsia="Arial Unicode MS"/>
          <w:rtl w:val="0"/>
        </w:rPr>
        <w:t>&lt;ESMA_QUESTION_DP_BMR_90&gt;</w:t>
      </w:r>
    </w:p>
    <w:p>
      <w:pPr>
        <w:pStyle w:val="Body"/>
        <w:rPr>
          <w:rtl w:val="0"/>
        </w:rPr>
      </w:pPr>
      <w:r>
        <w:rPr>
          <w:rFonts w:ascii="Arial" w:cs="Arial Unicode MS" w:hAnsi="Arial Unicode MS" w:eastAsia="Arial Unicode MS"/>
          <w:sz w:val="22"/>
          <w:szCs w:val="22"/>
          <w:rtl w:val="0"/>
          <w:lang w:val="en-US"/>
        </w:rPr>
        <w:t>As stated in our responses to section 8, we believe that the administrator will often not be in possession of the relevant data in relation to the degree of utilisation of a benchmark as this information is not readily available. ESMA should consider that it therefore might not be possible to state with certainty in the statement whether a benchmark is critical, significant, or not significant.</w:t>
      </w:r>
    </w:p>
    <w:p>
      <w:pPr>
        <w:pStyle w:val="Body"/>
        <w:rPr>
          <w:rtl w:val="0"/>
        </w:rPr>
      </w:pPr>
      <w:r>
        <w:rPr>
          <w:rFonts w:ascii="Arial" w:cs="Arial Unicode MS" w:hAnsi="Arial Unicode MS" w:eastAsia="Arial Unicode MS"/>
          <w:rtl w:val="0"/>
        </w:rPr>
        <w:t>&lt;ESMA_QUESTION_DP_BMR_90&gt;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Do you agree with the suggested additional requirements for non-significant benchmarks? If not, please explain why and indicate what alternative or additional information you consider appropriate in case a benchmark is non-significant.  </w:t>
      </w:r>
    </w:p>
    <w:p>
      <w:pPr>
        <w:pStyle w:val="Body"/>
        <w:rPr>
          <w:rtl w:val="0"/>
        </w:rPr>
      </w:pPr>
      <w:r>
        <w:rPr>
          <w:rFonts w:ascii="Arial" w:cs="Arial Unicode MS" w:hAnsi="Arial Unicode MS" w:eastAsia="Arial Unicode MS"/>
          <w:rtl w:val="0"/>
        </w:rPr>
        <w:t>&lt;ESMA_QUESTION_DP_BMR_91&gt;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4"/>
          <w:szCs w:val="24"/>
        </w:rPr>
      </w:pPr>
      <w:r>
        <w:rPr>
          <w:rFonts w:ascii="Arial"/>
          <w:sz w:val="22"/>
          <w:szCs w:val="22"/>
          <w:rtl w:val="0"/>
          <w:lang w:val="en-US"/>
        </w:rPr>
        <w:t>As stated in our responses to section 8, we believe that the administrator will often not be in possession of the relevant data in relation to the degree of utilisation of a benchmark as this information is not readily available. ESMA should consider that it therefore might not be possible to state with certainty in the statement whether a</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Times New Roman" w:cs="Times New Roman" w:hAnsi="Times New Roman" w:eastAsia="Times New Roman"/>
          <w:sz w:val="24"/>
          <w:szCs w:val="24"/>
        </w:rPr>
      </w:pPr>
      <w:r>
        <w:rPr>
          <w:rFonts w:ascii="Arial"/>
          <w:sz w:val="22"/>
          <w:szCs w:val="22"/>
          <w:rtl w:val="0"/>
          <w:lang w:val="en-US"/>
        </w:rPr>
        <w:t>benchmark is critical, significant, or not significant.</w:t>
      </w:r>
    </w:p>
    <w:p>
      <w:pPr>
        <w:pStyle w:val="Body"/>
        <w:rPr>
          <w:rtl w:val="0"/>
        </w:rPr>
      </w:pPr>
      <w:r>
        <w:rPr>
          <w:rFonts w:ascii="Arial" w:cs="Arial Unicode MS" w:hAnsi="Arial Unicode MS" w:eastAsia="Arial Unicode MS"/>
          <w:rtl w:val="0"/>
        </w:rPr>
        <w:t>&lt;ESMA_QUESTION_DP_BMR_91&gt;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Are there any further contents for a benchmark statement that should apply to the various classes of benchmarks identified in this chapter?</w:t>
      </w:r>
    </w:p>
    <w:p>
      <w:pPr>
        <w:pStyle w:val="Body"/>
        <w:rPr>
          <w:rtl w:val="0"/>
        </w:rPr>
      </w:pPr>
      <w:r>
        <w:rPr>
          <w:rFonts w:ascii="Arial" w:cs="Arial Unicode MS" w:hAnsi="Arial Unicode MS" w:eastAsia="Arial Unicode MS"/>
          <w:rtl w:val="0"/>
        </w:rPr>
        <w:t>&lt;ESMA_QUESTION_DP_BMR_92&gt;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&lt;ESMA_QUESTION_DP_BMR_92&gt;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with the approach outlined above regarding information of a general nature and financial information? Do you see any particular cases, such as certain types of providers, for which these requirements need to be adapted?</w:t>
      </w:r>
    </w:p>
    <w:p>
      <w:pPr>
        <w:pStyle w:val="Body"/>
        <w:rPr>
          <w:rtl w:val="0"/>
        </w:rPr>
      </w:pPr>
      <w:r>
        <w:rPr>
          <w:rFonts w:ascii="Arial" w:cs="Arial Unicode MS" w:hAnsi="Arial Unicode MS" w:eastAsia="Arial Unicode MS"/>
          <w:rtl w:val="0"/>
        </w:rPr>
        <w:t>&lt;ESMA_QUESTION_DP_BMR_93&gt;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&lt;ESMA_QUESTION_DP_BMR_93&gt;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with ESMA</w:t>
      </w:r>
      <w:r>
        <w:rPr>
          <w:rFonts w:ascii="Calibri" w:cs="Calibri" w:hAnsi="Calibri" w:eastAsia="Calibri"/>
          <w:rtl w:val="0"/>
          <w:lang w:val="en-US"/>
        </w:rPr>
        <w:t>’</w:t>
      </w:r>
      <w:r>
        <w:rPr>
          <w:rFonts w:ascii="Calibri" w:cs="Calibri" w:hAnsi="Calibri" w:eastAsia="Calibri"/>
          <w:rtl w:val="0"/>
          <w:lang w:val="en-US"/>
        </w:rPr>
        <w:t>s approach to the above points? Do you believe that any specific cases exist, related either to the type of provider or the type of conflict of interest, that require specific information to be provided in addition to what initially identified by ESMA?</w:t>
      </w:r>
    </w:p>
    <w:p>
      <w:pPr>
        <w:pStyle w:val="Body"/>
        <w:rPr>
          <w:rtl w:val="0"/>
        </w:rPr>
      </w:pPr>
      <w:r>
        <w:rPr>
          <w:rFonts w:ascii="Arial" w:cs="Arial Unicode MS" w:hAnsi="Arial Unicode MS" w:eastAsia="Arial Unicode MS"/>
          <w:rtl w:val="0"/>
        </w:rPr>
        <w:t>&lt;ESMA_QUESTION_DP_BMR_94&gt;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&lt;ESMA_QUESTION_DP_BMR_94&gt;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with the proposals outlined for the above points? Do you see any areas requiring particular attention or adaptation?</w:t>
      </w:r>
    </w:p>
    <w:p>
      <w:pPr>
        <w:pStyle w:val="Body"/>
        <w:rPr>
          <w:rtl w:val="0"/>
        </w:rPr>
      </w:pPr>
      <w:r>
        <w:rPr>
          <w:rFonts w:ascii="Arial" w:cs="Arial Unicode MS" w:hAnsi="Arial Unicode MS" w:eastAsia="Arial Unicode MS"/>
          <w:rtl w:val="0"/>
        </w:rPr>
        <w:t>&lt;ESMA_QUESTION_DP_BMR_95&gt;</w:t>
      </w:r>
    </w:p>
    <w:p>
      <w:pPr>
        <w:pStyle w:val="Body"/>
        <w:rPr>
          <w:rtl w:val="0"/>
        </w:rPr>
      </w:pPr>
      <w:r>
        <w:rPr>
          <w:rFonts w:ascii="Arial" w:cs="Arial Unicode MS" w:hAnsi="Arial Unicode MS" w:eastAsia="Arial Unicode MS"/>
          <w:sz w:val="22"/>
          <w:szCs w:val="22"/>
          <w:rtl w:val="0"/>
          <w:lang w:val="en-US"/>
        </w:rPr>
        <w:t>As stated in our responses to sections 8 and 11, the benchmark administrator may not be in possession of the data around the degree of utilisation of a benchmark as this information is not readily available. Therefore it may not be possible to state with certainty whether a benchmark is critical, significant or non-significant at the time of authorisation or registration.</w:t>
      </w:r>
    </w:p>
    <w:p>
      <w:pPr>
        <w:pStyle w:val="Body"/>
        <w:rPr>
          <w:rtl w:val="0"/>
        </w:rPr>
      </w:pPr>
      <w:r>
        <w:rPr>
          <w:rFonts w:ascii="Arial" w:cs="Arial Unicode MS" w:hAnsi="Arial Unicode MS" w:eastAsia="Arial Unicode MS"/>
          <w:rtl w:val="0"/>
        </w:rPr>
        <w:t>&lt;ESMA_QUESTION_DP_BMR_95&gt;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Can you suggest other specific situations for which it is important to identify the information elements to be provided in the authorisation application?</w:t>
      </w:r>
    </w:p>
    <w:p>
      <w:pPr>
        <w:pStyle w:val="Body"/>
        <w:rPr>
          <w:rtl w:val="0"/>
        </w:rPr>
      </w:pPr>
      <w:r>
        <w:rPr>
          <w:rFonts w:ascii="Arial" w:cs="Arial Unicode MS" w:hAnsi="Arial Unicode MS" w:eastAsia="Arial Unicode MS"/>
          <w:rtl w:val="0"/>
        </w:rPr>
        <w:t>&lt;ESMA_QUESTION_DP_BMR_96&gt;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&lt;ESMA_QUESTION_DP_BMR_96&gt;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Do you agree with the proposed approach towards registration? How should the information requirements for registration deviate from the requirements for authorisation? </w:t>
      </w:r>
    </w:p>
    <w:p>
      <w:pPr>
        <w:pStyle w:val="Body"/>
        <w:rPr>
          <w:rtl w:val="0"/>
        </w:rPr>
      </w:pPr>
      <w:r>
        <w:rPr>
          <w:rFonts w:ascii="Arial" w:cs="Arial Unicode MS" w:hAnsi="Arial Unicode MS" w:eastAsia="Arial Unicode MS"/>
          <w:rtl w:val="0"/>
        </w:rPr>
        <w:t>&lt;ESMA_QUESTION_DP_BMR_97&gt;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&lt;ESMA_QUESTION_DP_BMR_97&gt;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believe there are any specific types of supervised entities which would require special treatment within the registration regime? If yes, which ones and why?</w:t>
      </w:r>
    </w:p>
    <w:p>
      <w:pPr>
        <w:pStyle w:val="Body"/>
        <w:rPr>
          <w:rtl w:val="0"/>
        </w:rPr>
      </w:pPr>
      <w:r>
        <w:rPr>
          <w:rFonts w:ascii="Arial" w:cs="Arial Unicode MS" w:hAnsi="Arial Unicode MS" w:eastAsia="Arial Unicode MS"/>
          <w:rtl w:val="0"/>
        </w:rPr>
        <w:t>&lt;ESMA_QUESTION_DP_BMR_98&gt;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&lt;ESMA_QUESTION_DP_BMR_98&gt;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have any suggestions on which information should be included in the application for the recognition of a third country administrator?</w:t>
      </w:r>
    </w:p>
    <w:p>
      <w:pPr>
        <w:pStyle w:val="Body"/>
        <w:rPr>
          <w:rtl w:val="0"/>
        </w:rPr>
      </w:pPr>
      <w:r>
        <w:rPr>
          <w:rFonts w:ascii="Arial" w:cs="Arial Unicode MS" w:hAnsi="Arial Unicode MS" w:eastAsia="Arial Unicode MS"/>
          <w:rtl w:val="0"/>
        </w:rPr>
        <w:t>&lt;ESMA_QUESTION_DP_BMR_99&gt;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&lt;ESMA_QUESTION_DP_BMR_99&gt;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Do you agree with the general approach proposed by ESMA for the presentation of the information required in Article 21a(6) of the BMR? </w:t>
      </w:r>
    </w:p>
    <w:p>
      <w:pPr>
        <w:pStyle w:val="Body"/>
        <w:rPr>
          <w:rtl w:val="0"/>
        </w:rPr>
      </w:pPr>
      <w:r>
        <w:rPr>
          <w:rFonts w:ascii="Arial" w:cs="Arial Unicode MS" w:hAnsi="Arial Unicode MS" w:eastAsia="Arial Unicode MS"/>
          <w:rtl w:val="0"/>
        </w:rPr>
        <w:t>&lt;ESMA_QUESTION_DP_BMR_100&gt;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&lt;ESMA_QUESTION_DP_BMR_100&gt;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For each of the three above mentioned elements, please provide your views on what should be the measures to determine the conditions whether there is an </w:t>
      </w:r>
      <w:r>
        <w:rPr>
          <w:rFonts w:ascii="Calibri" w:cs="Calibri" w:hAnsi="Calibri" w:eastAsia="Calibri"/>
          <w:rtl w:val="0"/>
          <w:lang w:val="en-US"/>
        </w:rPr>
        <w:t>‘</w:t>
      </w:r>
      <w:r>
        <w:rPr>
          <w:rFonts w:ascii="Calibri" w:cs="Calibri" w:hAnsi="Calibri" w:eastAsia="Calibri"/>
          <w:rtl w:val="0"/>
          <w:lang w:val="en-US"/>
        </w:rPr>
        <w:t>objective reason</w:t>
      </w:r>
      <w:r>
        <w:rPr>
          <w:rFonts w:ascii="Calibri" w:cs="Calibri" w:hAnsi="Calibri" w:eastAsia="Calibri"/>
          <w:rtl w:val="0"/>
          <w:lang w:val="en-US"/>
        </w:rPr>
        <w:t xml:space="preserve">’ </w:t>
      </w:r>
      <w:r>
        <w:rPr>
          <w:rFonts w:ascii="Calibri" w:cs="Calibri" w:hAnsi="Calibri" w:eastAsia="Calibri"/>
          <w:rtl w:val="0"/>
          <w:lang w:val="en-US"/>
        </w:rPr>
        <w:t xml:space="preserve">for the endorsement of a third country benchmark. </w:t>
      </w:r>
    </w:p>
    <w:p>
      <w:pPr>
        <w:pStyle w:val="Body"/>
        <w:rPr>
          <w:rtl w:val="0"/>
        </w:rPr>
      </w:pPr>
      <w:r>
        <w:rPr>
          <w:rFonts w:ascii="Arial" w:cs="Arial Unicode MS" w:hAnsi="Arial Unicode MS" w:eastAsia="Arial Unicode MS"/>
          <w:rtl w:val="0"/>
        </w:rPr>
        <w:t>&lt;ESMA_QUESTION_DP_BMR_101&gt;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&lt;ESMA_QUESTION_DP_BMR_101&gt;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Do you consider that there are any other elements that could be taken into consideration to substantiate the </w:t>
      </w:r>
      <w:r>
        <w:rPr>
          <w:rFonts w:ascii="Calibri" w:cs="Calibri" w:hAnsi="Calibri" w:eastAsia="Calibri"/>
          <w:rtl w:val="0"/>
          <w:lang w:val="en-US"/>
        </w:rPr>
        <w:t>‘</w:t>
      </w:r>
      <w:r>
        <w:rPr>
          <w:rFonts w:ascii="Calibri" w:cs="Calibri" w:hAnsi="Calibri" w:eastAsia="Calibri"/>
          <w:rtl w:val="0"/>
          <w:lang w:val="en-US"/>
        </w:rPr>
        <w:t>objective reason</w:t>
      </w:r>
      <w:r>
        <w:rPr>
          <w:rFonts w:ascii="Calibri" w:cs="Calibri" w:hAnsi="Calibri" w:eastAsia="Calibri"/>
          <w:rtl w:val="0"/>
          <w:lang w:val="en-US"/>
        </w:rPr>
        <w:t xml:space="preserve">’ </w:t>
      </w:r>
      <w:r>
        <w:rPr>
          <w:rFonts w:ascii="Calibri" w:cs="Calibri" w:hAnsi="Calibri" w:eastAsia="Calibri"/>
          <w:rtl w:val="0"/>
          <w:lang w:val="en-US"/>
        </w:rPr>
        <w:t xml:space="preserve">for the provision and endorsement for use in the Union of a third country benchmark or family of benchmarks? </w:t>
      </w:r>
    </w:p>
    <w:p>
      <w:pPr>
        <w:pStyle w:val="Body"/>
        <w:rPr>
          <w:rtl w:val="0"/>
        </w:rPr>
      </w:pPr>
      <w:r>
        <w:rPr>
          <w:rFonts w:ascii="Arial" w:cs="Arial Unicode MS" w:hAnsi="Arial Unicode MS" w:eastAsia="Arial Unicode MS"/>
          <w:rtl w:val="0"/>
        </w:rPr>
        <w:t>&lt;ESMA_QUESTION_DP_BMR_102&gt;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ESMA listed the need for geographic proximity as well as the availability of input data and specific skills as potential objective reasons for an administrator to justify why it provides benchmarks to the EU from a third country jurisdiction.</w:t>
      </w:r>
      <w:r>
        <w:rPr>
          <w:rFonts w:ascii="Arial" w:cs="Arial" w:hAnsi="Arial" w:eastAsia="Arial"/>
          <w:sz w:val="22"/>
          <w:szCs w:val="22"/>
          <w:vertAlign w:val="superscript"/>
          <w:rtl w:val="0"/>
        </w:rPr>
        <w:footnoteReference w:id="54"/>
      </w:r>
      <w:r>
        <w:rPr>
          <w:rFonts w:ascii="Arial"/>
          <w:sz w:val="22"/>
          <w:szCs w:val="22"/>
          <w:rtl w:val="0"/>
        </w:rPr>
        <w:t xml:space="preserve">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Times New Roman" w:cs="Times New Roman" w:hAnsi="Times New Roman" w:eastAsia="Times New Roman"/>
          <w:sz w:val="24"/>
          <w:szCs w:val="24"/>
        </w:rPr>
      </w:pPr>
      <w:r>
        <w:rPr>
          <w:rFonts w:ascii="Arial"/>
          <w:sz w:val="22"/>
          <w:szCs w:val="22"/>
          <w:rtl w:val="0"/>
          <w:lang w:val="en-US"/>
        </w:rPr>
        <w:t>We generally agree with these suggested elements. In addition we recommend ESMA also consider whether a large number of the users of the benchmark are based in third country jurisdictions and whether the administrator generates a significant proportion of its business there. Specifically, even if it was technically possible for an administrator to produce a benchmark in the EU, we believe it should be allowed to not produce the benchmark in the EU given a need for geographic proximity to its benchmark users or its businesses based in another jurisdiction.</w:t>
      </w:r>
    </w:p>
    <w:p>
      <w:pPr>
        <w:pStyle w:val="Body"/>
        <w:rPr>
          <w:rtl w:val="0"/>
        </w:rPr>
      </w:pPr>
      <w:r>
        <w:rPr>
          <w:rFonts w:ascii="Arial" w:cs="Arial Unicode MS" w:hAnsi="Arial Unicode MS" w:eastAsia="Arial Unicode MS"/>
          <w:rtl w:val="0"/>
        </w:rPr>
        <w:t>&lt;ESMA_QUESTION_DP_BMR_102&gt;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Do you agree that in the situations identified above by ESMA the cessation or the changing of an existing benchmark to conform with the requirements of this Regulation could reasonably result in a force majeure event, frustrate or otherwise breach the terms of any financial contract or financial instrument which references a benchmark? If not, please explain the reasons why.</w:t>
      </w:r>
    </w:p>
    <w:p>
      <w:pPr>
        <w:pStyle w:val="Body"/>
        <w:rPr>
          <w:rtl w:val="0"/>
        </w:rPr>
      </w:pPr>
      <w:r>
        <w:rPr>
          <w:rFonts w:ascii="Arial" w:cs="Arial Unicode MS" w:hAnsi="Arial Unicode MS" w:eastAsia="Arial Unicode MS"/>
          <w:rtl w:val="0"/>
        </w:rPr>
        <w:t>&lt;ESMA_QUESTION_DP_BMR_103&gt;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&lt;ESMA_QUESTION_DP_BMR_103&gt;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Which other circumstances could cause the consequences mentioned in Article 39(3) in case existing benchmarks are due to be adapted to the Regulation or to be ceased?</w:t>
      </w:r>
    </w:p>
    <w:p>
      <w:pPr>
        <w:pStyle w:val="Body"/>
        <w:rPr>
          <w:rtl w:val="0"/>
        </w:rPr>
      </w:pPr>
      <w:r>
        <w:rPr>
          <w:rFonts w:ascii="Arial" w:cs="Arial Unicode MS" w:hAnsi="Arial Unicode MS" w:eastAsia="Arial Unicode MS"/>
          <w:rtl w:val="0"/>
        </w:rPr>
        <w:t>&lt;ESMA_QUESTION_DP_BMR_104&gt;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&lt;ESMA_QUESTION_DP_BMR_104&gt;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Do you agree with the proposed definition of </w:t>
      </w:r>
      <w:r>
        <w:rPr>
          <w:rFonts w:ascii="Calibri" w:cs="Calibri" w:hAnsi="Calibri" w:eastAsia="Calibri"/>
          <w:rtl w:val="0"/>
          <w:lang w:val="en-US"/>
        </w:rPr>
        <w:t>“</w:t>
      </w:r>
      <w:r>
        <w:rPr>
          <w:rFonts w:ascii="Calibri" w:cs="Calibri" w:hAnsi="Calibri" w:eastAsia="Calibri"/>
          <w:rtl w:val="0"/>
          <w:lang w:val="en-US"/>
        </w:rPr>
        <w:t>force majeure event</w:t>
      </w:r>
      <w:r>
        <w:rPr>
          <w:rFonts w:ascii="Calibri" w:cs="Calibri" w:hAnsi="Calibri" w:eastAsia="Calibri"/>
          <w:rtl w:val="0"/>
          <w:lang w:val="en-US"/>
        </w:rPr>
        <w:t>”</w:t>
      </w:r>
      <w:r>
        <w:rPr>
          <w:rFonts w:ascii="Calibri" w:cs="Calibri" w:hAnsi="Calibri" w:eastAsia="Calibri"/>
          <w:rtl w:val="0"/>
          <w:lang w:val="en-US"/>
        </w:rPr>
        <w:t>? If not, please explain the reasons and propose an alternative.</w:t>
      </w:r>
    </w:p>
    <w:p>
      <w:pPr>
        <w:pStyle w:val="Body"/>
        <w:rPr>
          <w:rtl w:val="0"/>
        </w:rPr>
      </w:pPr>
      <w:r>
        <w:rPr>
          <w:rFonts w:ascii="Arial" w:cs="Arial Unicode MS" w:hAnsi="Arial Unicode MS" w:eastAsia="Arial Unicode MS"/>
          <w:rtl w:val="0"/>
        </w:rPr>
        <w:t>&lt;ESMA_QUESTION_DP_BMR_105&gt;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&lt;ESMA_QUESTION_DP_BMR_105&gt;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Are the two envisaged options (with respect to the term until which a non-compliant benchmark may be used) adequate: i.e. either (i) fix a time limit until when a non-compliant benchmark may be used or (ii) fix a minimum threshold which will trigger the prohibition to further use a non-compliant benchmark in existing financial instruments/financial contracts? </w:t>
      </w:r>
    </w:p>
    <w:p>
      <w:pPr>
        <w:pStyle w:val="Body"/>
        <w:rPr>
          <w:rtl w:val="0"/>
        </w:rPr>
      </w:pPr>
      <w:r>
        <w:rPr>
          <w:rFonts w:ascii="Arial" w:cs="Arial Unicode MS" w:hAnsi="Arial Unicode MS" w:eastAsia="Arial Unicode MS"/>
          <w:rtl w:val="0"/>
        </w:rPr>
        <w:t>&lt;ESMA_QUESTION_DP_BMR_106&gt;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&lt;ESMA_QUESTION_DP_BMR_106&gt;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Which thresholds would be appropriate to foresee and how might a time limit be fixed? Please detail the reasons behind any suggestion.</w:t>
      </w:r>
    </w:p>
    <w:p>
      <w:pPr>
        <w:pStyle w:val="Body"/>
        <w:rPr>
          <w:rtl w:val="0"/>
        </w:rPr>
      </w:pPr>
      <w:r>
        <w:rPr>
          <w:rFonts w:ascii="Arial" w:cs="Arial Unicode MS" w:hAnsi="Arial Unicode MS" w:eastAsia="Arial Unicode MS"/>
          <w:rtl w:val="0"/>
        </w:rPr>
        <w:t>&lt;ESMA_QUESTION_DP_BMR_107&gt;</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Arial" w:cs="Arial" w:hAnsi="Arial" w:eastAsia="Arial"/>
          <w:sz w:val="22"/>
          <w:szCs w:val="22"/>
        </w:rPr>
      </w:pPr>
      <w:r>
        <w:rPr>
          <w:rFonts w:ascii="Arial"/>
          <w:sz w:val="22"/>
          <w:szCs w:val="22"/>
          <w:rtl w:val="0"/>
          <w:lang w:val="en-US"/>
        </w:rPr>
        <w:t>ESMA states that</w:t>
      </w:r>
      <w:r>
        <w:rPr>
          <w:rFonts w:hAnsi="Arial" w:hint="default"/>
          <w:sz w:val="22"/>
          <w:szCs w:val="22"/>
          <w:rtl w:val="0"/>
          <w:lang w:val="en-US"/>
        </w:rPr>
        <w:t xml:space="preserve"> “</w:t>
      </w:r>
      <w:r>
        <w:rPr>
          <w:rFonts w:ascii="Arial"/>
          <w:sz w:val="22"/>
          <w:szCs w:val="22"/>
          <w:rtl w:val="0"/>
          <w:lang w:val="en-US"/>
        </w:rPr>
        <w:t>only very few of the financial products referencing a benchmark may present a maturity which is perpetual</w:t>
      </w:r>
      <w:r>
        <w:rPr>
          <w:rFonts w:hAnsi="Arial" w:hint="default"/>
          <w:sz w:val="22"/>
          <w:szCs w:val="22"/>
          <w:rtl w:val="0"/>
          <w:lang w:val="en-US"/>
        </w:rPr>
        <w:t>”</w:t>
      </w:r>
      <w:r>
        <w:rPr>
          <w:rFonts w:ascii="Arial"/>
          <w:sz w:val="22"/>
          <w:szCs w:val="22"/>
          <w:rtl w:val="0"/>
        </w:rPr>
        <w:t>.</w:t>
      </w:r>
      <w:r>
        <w:rPr>
          <w:rFonts w:ascii="Arial" w:cs="Arial" w:hAnsi="Arial" w:eastAsia="Arial"/>
          <w:sz w:val="22"/>
          <w:szCs w:val="22"/>
          <w:vertAlign w:val="superscript"/>
          <w:rtl w:val="0"/>
        </w:rPr>
        <w:footnoteReference w:id="55"/>
      </w:r>
      <w:r>
        <w:rPr>
          <w:rFonts w:ascii="Arial"/>
          <w:sz w:val="22"/>
          <w:szCs w:val="22"/>
          <w:rtl w:val="0"/>
        </w:rPr>
        <w:t xml:space="preserve"> </w:t>
      </w: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sz w:val="22"/>
          <w:szCs w:val="22"/>
        </w:rPr>
      </w:pPr>
    </w:p>
    <w:p>
      <w:pPr>
        <w:pStyle w:val="Body"/>
        <w:pBdr>
          <w:top w:val="nil"/>
          <w:left w:val="nil"/>
          <w:bottom w:val="nil"/>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1"/>
        <w:jc w:val="both"/>
        <w:rPr>
          <w:rFonts w:ascii="Times New Roman" w:cs="Times New Roman" w:hAnsi="Times New Roman" w:eastAsia="Times New Roman"/>
          <w:sz w:val="24"/>
          <w:szCs w:val="24"/>
        </w:rPr>
      </w:pPr>
      <w:r>
        <w:rPr>
          <w:rFonts w:ascii="Arial"/>
          <w:sz w:val="22"/>
          <w:szCs w:val="22"/>
          <w:rtl w:val="0"/>
          <w:lang w:val="en-US"/>
        </w:rPr>
        <w:t>We recommend ESMA reconsider this view. This is because products such as ETFs (that might track benchmarks) and many investment funds (for which benchmarks are used to measure performance) do not have any maturity dates.</w:t>
      </w:r>
    </w:p>
    <w:p>
      <w:pPr>
        <w:pStyle w:val="Body"/>
        <w:rPr>
          <w:rtl w:val="0"/>
        </w:rPr>
      </w:pPr>
      <w:r>
        <w:rPr>
          <w:rFonts w:ascii="Arial" w:cs="Arial Unicode MS" w:hAnsi="Arial Unicode MS" w:eastAsia="Arial Unicode MS"/>
          <w:rtl w:val="0"/>
        </w:rPr>
        <w:t>&lt;ESMA_QUESTION_DP_BMR_107&gt;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Is the envisaged identification process of non-compliant benchmarks adequate? Do you have other suggestions?</w:t>
      </w:r>
    </w:p>
    <w:p>
      <w:pPr>
        <w:pStyle w:val="Body"/>
        <w:rPr>
          <w:rtl w:val="0"/>
        </w:rPr>
      </w:pPr>
      <w:r>
        <w:rPr>
          <w:rFonts w:ascii="Arial" w:cs="Arial Unicode MS" w:hAnsi="Arial Unicode MS" w:eastAsia="Arial Unicode MS"/>
          <w:rtl w:val="0"/>
        </w:rPr>
        <w:t>&lt;ESMA_QUESTION_DP_BMR_108&gt;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&lt;ESMA_QUESTION_DP_BMR_108&gt;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Is the envisaged procedure enabling the competent authority to perform the assessment required by Article 39(3) correct in your view? Please advise what shall be considered in addition.</w:t>
      </w:r>
    </w:p>
    <w:p>
      <w:pPr>
        <w:pStyle w:val="Body"/>
        <w:rPr>
          <w:rtl w:val="0"/>
        </w:rPr>
      </w:pPr>
      <w:r>
        <w:rPr>
          <w:rFonts w:ascii="Arial" w:cs="Arial Unicode MS" w:hAnsi="Arial Unicode MS" w:eastAsia="Arial Unicode MS"/>
          <w:rtl w:val="0"/>
        </w:rPr>
        <w:t>&lt;ESMA_QUESTION_DP_BMR_109&gt;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&lt;ESMA_QUESTION_DP_BMR_109&gt;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Which information it would be opportune to receive by benchmark providers on the one side and benchmark users that are supervised entities on the other side?</w:t>
      </w:r>
    </w:p>
    <w:p>
      <w:pPr>
        <w:pStyle w:val="Body"/>
        <w:rPr>
          <w:rtl w:val="0"/>
        </w:rPr>
      </w:pPr>
      <w:r>
        <w:rPr>
          <w:rFonts w:ascii="Arial" w:cs="Arial Unicode MS" w:hAnsi="Arial Unicode MS" w:eastAsia="Arial Unicode MS"/>
          <w:rtl w:val="0"/>
        </w:rPr>
        <w:t>&lt;ESMA_QUESTION_DP_BMR_110&gt;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&lt;ESMA_QUESTION_DP_BMR_110&gt;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Do you agree that the different users of a benchmark that are supervised entities should liaise directly with the competent authority of the administrator and not with the respective competent authorities (if different)? </w:t>
      </w:r>
    </w:p>
    <w:p>
      <w:pPr>
        <w:pStyle w:val="Body"/>
        <w:rPr>
          <w:rtl w:val="0"/>
        </w:rPr>
      </w:pPr>
      <w:r>
        <w:rPr>
          <w:rFonts w:ascii="Arial" w:cs="Arial Unicode MS" w:hAnsi="Arial Unicode MS" w:eastAsia="Arial Unicode MS"/>
          <w:rtl w:val="0"/>
        </w:rPr>
        <w:t>&lt;ESMA_QUESTION_DP_BMR_111&gt;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&lt;ESMA_QUESTION_DP_BMR_111&gt;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Would it be possible for relevant benchmark providers/users that are supervised entities to provide to the competent authority an estimate of the number and value of financial instruments/contracts referencing to a non-compliant benchmark being affected by the cessation/adaptation of such benchmark?</w:t>
      </w:r>
    </w:p>
    <w:p>
      <w:pPr>
        <w:pStyle w:val="Body"/>
        <w:rPr>
          <w:rtl w:val="0"/>
        </w:rPr>
      </w:pPr>
      <w:r>
        <w:rPr>
          <w:rFonts w:ascii="Arial" w:cs="Arial Unicode MS" w:hAnsi="Arial Unicode MS" w:eastAsia="Arial Unicode MS"/>
          <w:rtl w:val="0"/>
        </w:rPr>
        <w:t>&lt;ESMA_QUESTION_DP_BMR_112&gt;</w:t>
      </w:r>
    </w:p>
    <w:p>
      <w:pPr>
        <w:pStyle w:val="Body"/>
        <w:rPr>
          <w:rtl w:val="0"/>
        </w:rPr>
      </w:pPr>
      <w:r>
        <w:rPr>
          <w:rFonts w:ascii="Arial" w:cs="Arial Unicode MS" w:hAnsi="Arial Unicode MS" w:eastAsia="Arial Unicode MS"/>
          <w:sz w:val="22"/>
          <w:szCs w:val="22"/>
          <w:rtl w:val="0"/>
          <w:lang w:val="en-US"/>
        </w:rPr>
        <w:t>We support such an approach of provision of information about relevant notionals to competent authorities. We would also recommend ESMA consider it as a potential way to overcome the issues around measuring notionals and categorising benchmarks as we highlighted in our responses in sections 8 and 11.</w:t>
      </w:r>
    </w:p>
    <w:p>
      <w:pPr>
        <w:pStyle w:val="Body"/>
        <w:rPr>
          <w:rtl w:val="0"/>
        </w:rPr>
      </w:pPr>
      <w:r>
        <w:rPr>
          <w:rFonts w:ascii="Arial" w:cs="Arial Unicode MS" w:hAnsi="Arial Unicode MS" w:eastAsia="Arial Unicode MS"/>
          <w:rtl w:val="0"/>
        </w:rPr>
        <w:t>&lt;ESMA_QUESTION_DP_BMR_112&gt;</w:t>
      </w:r>
    </w:p>
    <w:p>
      <w:pPr>
        <w:pStyle w:val="Body"/>
        <w:rPr>
          <w:rtl w:val="0"/>
        </w:rPr>
      </w:pPr>
    </w:p>
    <w:p>
      <w:pPr>
        <w:pStyle w:val="Question style"/>
        <w:numPr>
          <w:ilvl w:val="0"/>
          <w:numId w:val="22"/>
        </w:numPr>
        <w:tabs>
          <w:tab w:val="num" w:pos="709"/>
          <w:tab w:val="clear" w:pos="0"/>
        </w:tabs>
        <w:ind w:left="709" w:hanging="709"/>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Would it be possible to evaluate how many out of these financial contracts or financial instruments are affected in a manner that the cessation/adaptation of the non-compliant benchmark would result in a force majeure event or frustration of contracts?</w:t>
      </w:r>
    </w:p>
    <w:p>
      <w:pPr>
        <w:pStyle w:val="Body"/>
        <w:rPr>
          <w:rtl w:val="0"/>
        </w:rPr>
      </w:pPr>
      <w:r>
        <w:rPr>
          <w:rFonts w:ascii="Arial" w:cs="Arial Unicode MS" w:hAnsi="Arial Unicode MS" w:eastAsia="Arial Unicode MS"/>
          <w:rtl w:val="0"/>
        </w:rPr>
        <w:t>&lt;ESMA_QUESTION_DP_BMR_113&gt;</w:t>
      </w:r>
    </w:p>
    <w:p>
      <w:pPr>
        <w:pStyle w:val="Body"/>
        <w:rPr>
          <w:rtl w:val="0"/>
        </w:rPr>
      </w:pPr>
      <w:r>
        <w:rPr>
          <w:rFonts w:ascii="Arial" w:cs="Arial Unicode MS" w:hAnsi="Arial Unicode MS" w:eastAsia="Arial Unicode MS"/>
          <w:rtl w:val="0"/>
        </w:rPr>
        <w:t>TYPE YOUR TEXT HERE</w:t>
      </w:r>
    </w:p>
    <w:p>
      <w:pPr>
        <w:pStyle w:val="Body"/>
        <w:rPr>
          <w:rtl w:val="0"/>
        </w:rPr>
      </w:pPr>
      <w:r>
        <w:rPr>
          <w:rFonts w:ascii="Arial" w:cs="Arial Unicode MS" w:hAnsi="Arial Unicode MS" w:eastAsia="Arial Unicode MS"/>
          <w:rtl w:val="0"/>
        </w:rPr>
        <w:t>&lt;ESMA_QUESTION_DP_BMR_113&gt;</w:t>
      </w:r>
    </w:p>
    <w:p>
      <w:pPr>
        <w:pStyle w:val="Body"/>
      </w:pPr>
      <w:r>
        <w:rPr>
          <w:rtl w:val="0"/>
        </w:rPr>
      </w:r>
    </w:p>
    <w:sectPr>
      <w:pgSz w:w="11900" w:h="16840" w:orient="portrait"/>
      <w:pgMar w:top="2410" w:right="1247" w:bottom="1135" w:left="1247"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text"/>
      </w:pPr>
      <w:r>
        <w:rPr>
          <w:rFonts w:ascii="Arial" w:cs="Arial" w:hAnsi="Arial" w:eastAsia="Arial"/>
          <w:sz w:val="22"/>
          <w:szCs w:val="22"/>
          <w:vertAlign w:val="superscript"/>
          <w:rtl w:val="0"/>
          <w:lang w:val="en-US"/>
        </w:rPr>
        <w:footnoteRef/>
      </w:r>
      <w:r>
        <w:rPr>
          <w:rFonts w:ascii="Arial"/>
          <w:sz w:val="18"/>
          <w:szCs w:val="18"/>
          <w:rtl w:val="0"/>
          <w:lang w:val="en-US"/>
        </w:rPr>
        <w:t xml:space="preserve"> See </w:t>
      </w:r>
      <w:hyperlink r:id="rId1" w:history="1">
        <w:r>
          <w:rPr>
            <w:rStyle w:val="Hyperlink.1"/>
            <w:rFonts w:ascii="Arial"/>
            <w:color w:val="0000ff"/>
            <w:sz w:val="18"/>
            <w:szCs w:val="18"/>
            <w:u w:val="single" w:color="0000ff"/>
            <w:rtl w:val="0"/>
            <w:lang w:val="en-US"/>
          </w:rPr>
          <w:t>www.markit.com</w:t>
        </w:r>
      </w:hyperlink>
      <w:r>
        <w:rPr>
          <w:rFonts w:ascii="Arial"/>
          <w:sz w:val="18"/>
          <w:szCs w:val="18"/>
          <w:rtl w:val="0"/>
          <w:lang w:val="en-US"/>
        </w:rPr>
        <w:t xml:space="preserve"> for more details.</w:t>
      </w:r>
    </w:p>
  </w:footnote>
  <w:footnote w:id="2">
    <w:p>
      <w:pPr>
        <w:pStyle w:val="footnote text"/>
        <w:jc w:val="both"/>
      </w:pPr>
      <w:r>
        <w:rPr>
          <w:rFonts w:ascii="Arial" w:cs="Arial" w:hAnsi="Arial" w:eastAsia="Arial"/>
          <w:sz w:val="22"/>
          <w:szCs w:val="22"/>
          <w:vertAlign w:val="superscript"/>
          <w:rtl w:val="0"/>
          <w:lang w:val="en-US"/>
        </w:rPr>
        <w:footnoteRef/>
      </w:r>
      <w:r>
        <w:rPr>
          <w:rFonts w:ascii="Arial"/>
          <w:sz w:val="18"/>
          <w:szCs w:val="18"/>
          <w:vertAlign w:val="superscript"/>
          <w:rtl w:val="0"/>
          <w:lang w:val="en-US"/>
        </w:rPr>
        <w:t xml:space="preserve">  </w:t>
      </w:r>
      <w:r>
        <w:rPr>
          <w:rFonts w:ascii="Arial"/>
          <w:sz w:val="18"/>
          <w:szCs w:val="18"/>
          <w:rtl w:val="0"/>
          <w:lang w:val="en-US"/>
        </w:rPr>
        <w:t>We provide products and services that enhance transparency, reduce risk and improve operational efficiency of financial market activities. Our customers include banks, hedge funds, asset managers, central banks, regulators, auditors, fund administrators and insurance companies. By setting common standards and facilitating market participants</w:t>
      </w:r>
      <w:r>
        <w:rPr>
          <w:rFonts w:hAnsi="Arial" w:hint="default"/>
          <w:sz w:val="18"/>
          <w:szCs w:val="18"/>
          <w:rtl w:val="0"/>
          <w:lang w:val="en-US"/>
        </w:rPr>
        <w:t>’</w:t>
      </w:r>
      <w:r>
        <w:rPr>
          <w:rFonts w:ascii="Trebuchet MS"/>
          <w:sz w:val="18"/>
          <w:szCs w:val="18"/>
          <w:rtl w:val="0"/>
          <w:lang w:val="en-US"/>
        </w:rPr>
        <w:t xml:space="preserve"> </w:t>
      </w:r>
      <w:r>
        <w:rPr>
          <w:rFonts w:ascii="Arial"/>
          <w:sz w:val="18"/>
          <w:szCs w:val="18"/>
          <w:rtl w:val="0"/>
          <w:lang w:val="en-US"/>
        </w:rPr>
        <w:t xml:space="preserve">compliance with various regulatory requirements, many of our services help level the playing field between small and large firms and foster a competitive marketplace. </w:t>
      </w:r>
    </w:p>
  </w:footnote>
  <w:footnote w:id="3">
    <w:p>
      <w:pPr>
        <w:pStyle w:val="footnote text"/>
      </w:pPr>
      <w:r>
        <w:rPr>
          <w:rFonts w:ascii="Arial" w:cs="Arial" w:hAnsi="Arial" w:eastAsia="Arial"/>
          <w:sz w:val="22"/>
          <w:szCs w:val="22"/>
          <w:vertAlign w:val="superscript"/>
          <w:rtl w:val="0"/>
          <w:lang w:val="en-US"/>
        </w:rPr>
        <w:footnoteRef/>
      </w:r>
      <w:r>
        <w:rPr>
          <w:rFonts w:ascii="Arial"/>
          <w:sz w:val="18"/>
          <w:szCs w:val="18"/>
          <w:rtl w:val="0"/>
          <w:lang w:val="en-US"/>
        </w:rPr>
        <w:t xml:space="preserve"> Like ESMA in the</w:t>
      </w:r>
      <w:r>
        <w:rPr>
          <w:rFonts w:ascii="Arial"/>
          <w:sz w:val="18"/>
          <w:szCs w:val="18"/>
          <w:rtl w:val="0"/>
          <w:lang w:val="en-US"/>
        </w:rPr>
        <w:t xml:space="preserve"> DP, we refer in this letter to the Council text agreed in December 2015 </w:t>
      </w:r>
      <w:hyperlink r:id="rId2" w:history="1">
        <w:r>
          <w:rPr>
            <w:rStyle w:val="Hyperlink.2"/>
            <w:rFonts w:ascii="Arial"/>
            <w:sz w:val="18"/>
            <w:szCs w:val="18"/>
            <w:rtl w:val="0"/>
            <w:lang w:val="en-US"/>
          </w:rPr>
          <w:t>http://data.consilium.europa.eu/doc/document/ST-14985-2015-INIT/en/pdf</w:t>
        </w:r>
      </w:hyperlink>
      <w:r>
        <w:rPr>
          <w:rFonts w:ascii="Arial"/>
          <w:sz w:val="18"/>
          <w:szCs w:val="18"/>
          <w:rtl w:val="0"/>
          <w:lang w:val="en-US"/>
        </w:rPr>
        <w:t xml:space="preserve">  </w:t>
      </w:r>
    </w:p>
  </w:footnote>
  <w:footnote w:id="4">
    <w:p>
      <w:pPr>
        <w:pStyle w:val="footnote text"/>
      </w:pPr>
      <w:r>
        <w:rPr>
          <w:rFonts w:ascii="Arial" w:cs="Arial" w:hAnsi="Arial" w:eastAsia="Arial"/>
          <w:sz w:val="22"/>
          <w:szCs w:val="22"/>
          <w:vertAlign w:val="superscript"/>
          <w:rtl w:val="0"/>
        </w:rPr>
        <w:footnoteRef/>
      </w:r>
      <w:r>
        <w:rPr>
          <w:rFonts w:ascii="Arial"/>
          <w:sz w:val="18"/>
          <w:szCs w:val="18"/>
          <w:rtl w:val="0"/>
          <w:lang w:val="en-US"/>
        </w:rPr>
        <w:t xml:space="preserve"> </w:t>
      </w:r>
      <w:r>
        <w:rPr>
          <w:rFonts w:ascii="Arial"/>
          <w:sz w:val="18"/>
          <w:szCs w:val="18"/>
          <w:rtl w:val="0"/>
          <w:lang w:val="en-US"/>
        </w:rPr>
        <w:t>Article 3(1)(1)(a)</w:t>
      </w:r>
    </w:p>
  </w:footnote>
  <w:footnote w:id="5">
    <w:p>
      <w:pPr>
        <w:pStyle w:val="footnote text"/>
      </w:pPr>
      <w:r>
        <w:rPr>
          <w:rFonts w:ascii="Arial" w:cs="Arial" w:hAnsi="Arial" w:eastAsia="Arial"/>
          <w:sz w:val="22"/>
          <w:szCs w:val="22"/>
          <w:vertAlign w:val="superscript"/>
          <w:rtl w:val="0"/>
        </w:rPr>
        <w:footnoteRef/>
      </w:r>
      <w:r>
        <w:rPr>
          <w:rFonts w:ascii="Arial"/>
          <w:sz w:val="18"/>
          <w:szCs w:val="18"/>
          <w:rtl w:val="0"/>
          <w:lang w:val="en-US"/>
        </w:rPr>
        <w:t xml:space="preserve"> </w:t>
      </w:r>
      <w:r>
        <w:rPr>
          <w:rFonts w:ascii="Arial"/>
          <w:sz w:val="18"/>
          <w:szCs w:val="18"/>
          <w:rtl w:val="0"/>
          <w:lang w:val="en-US"/>
        </w:rPr>
        <w:t xml:space="preserve">Recital 8 states that </w:t>
      </w:r>
      <w:r>
        <w:rPr>
          <w:rFonts w:hAnsi="Arial" w:hint="default"/>
          <w:sz w:val="18"/>
          <w:szCs w:val="18"/>
          <w:rtl w:val="0"/>
          <w:lang w:val="en-US"/>
        </w:rPr>
        <w:t>“</w:t>
      </w:r>
      <w:r>
        <w:rPr>
          <w:rFonts w:ascii="Arial"/>
          <w:sz w:val="18"/>
          <w:szCs w:val="18"/>
          <w:rtl w:val="0"/>
          <w:lang w:val="en-US"/>
        </w:rPr>
        <w:t>The scope of this Regulation should be as broad as necessary to create a preventive regulatory framework</w:t>
      </w:r>
      <w:r>
        <w:rPr>
          <w:rFonts w:hAnsi="Arial" w:hint="default"/>
          <w:sz w:val="18"/>
          <w:szCs w:val="18"/>
          <w:rtl w:val="0"/>
          <w:lang w:val="en-US"/>
        </w:rPr>
        <w:t>”</w:t>
      </w:r>
      <w:r>
        <w:rPr>
          <w:rFonts w:ascii="Arial"/>
          <w:sz w:val="18"/>
          <w:szCs w:val="18"/>
          <w:rtl w:val="0"/>
          <w:lang w:val="en-US"/>
        </w:rPr>
        <w:t>.</w:t>
      </w:r>
    </w:p>
  </w:footnote>
  <w:footnote w:id="6">
    <w:p>
      <w:pPr>
        <w:pStyle w:val="footnote text"/>
      </w:pPr>
      <w:r>
        <w:rPr>
          <w:rFonts w:ascii="Arial" w:cs="Arial" w:hAnsi="Arial" w:eastAsia="Arial"/>
          <w:sz w:val="22"/>
          <w:szCs w:val="22"/>
          <w:vertAlign w:val="superscript"/>
          <w:rtl w:val="0"/>
        </w:rPr>
        <w:footnoteRef/>
      </w:r>
      <w:r>
        <w:rPr>
          <w:rFonts w:ascii="Arial"/>
          <w:sz w:val="18"/>
          <w:szCs w:val="18"/>
          <w:rtl w:val="0"/>
          <w:lang w:val="en-US"/>
        </w:rPr>
        <w:t xml:space="preserve"> Pg. 11, Par. 12 and 15</w:t>
      </w:r>
    </w:p>
  </w:footnote>
  <w:footnote w:id="7"/>
  <w:footnote w:id="8">
    <w:p>
      <w:pPr>
        <w:pStyle w:val="footnote text"/>
      </w:pPr>
      <w:r>
        <w:rPr>
          <w:rFonts w:ascii="Arial" w:cs="Arial" w:hAnsi="Arial" w:eastAsia="Arial"/>
          <w:sz w:val="22"/>
          <w:szCs w:val="22"/>
          <w:vertAlign w:val="superscript"/>
          <w:rtl w:val="0"/>
        </w:rPr>
        <w:footnoteRef/>
      </w:r>
      <w:r>
        <w:rPr>
          <w:rFonts w:ascii="Arial"/>
          <w:sz w:val="18"/>
          <w:szCs w:val="18"/>
          <w:rtl w:val="0"/>
          <w:lang w:val="en-US"/>
        </w:rPr>
        <w:t xml:space="preserve"> </w:t>
      </w:r>
      <w:r>
        <w:rPr>
          <w:rFonts w:ascii="Arial"/>
          <w:sz w:val="18"/>
          <w:szCs w:val="18"/>
          <w:rtl w:val="0"/>
          <w:lang w:val="en-US"/>
        </w:rPr>
        <w:t>Pg. 14, Par. 25</w:t>
      </w:r>
    </w:p>
  </w:footnote>
  <w:footnote w:id="9">
    <w:p>
      <w:pPr>
        <w:pStyle w:val="footnote text"/>
      </w:pPr>
      <w:r>
        <w:rPr>
          <w:rFonts w:ascii="Arial" w:cs="Arial" w:hAnsi="Arial" w:eastAsia="Arial"/>
          <w:sz w:val="22"/>
          <w:szCs w:val="22"/>
          <w:vertAlign w:val="superscript"/>
          <w:rtl w:val="0"/>
        </w:rPr>
        <w:footnoteRef/>
      </w:r>
      <w:r>
        <w:rPr>
          <w:rFonts w:ascii="Arial"/>
          <w:sz w:val="18"/>
          <w:szCs w:val="18"/>
          <w:rtl w:val="0"/>
          <w:lang w:val="en-US"/>
        </w:rPr>
        <w:t xml:space="preserve"> For example in  Pg. 19-21, Par.</w:t>
      </w:r>
      <w:r>
        <w:rPr>
          <w:rFonts w:ascii="Arial"/>
          <w:sz w:val="18"/>
          <w:szCs w:val="18"/>
          <w:rtl w:val="0"/>
          <w:lang w:val="en-US"/>
        </w:rPr>
        <w:t xml:space="preserve"> 43, 46</w:t>
      </w:r>
    </w:p>
  </w:footnote>
  <w:footnote w:id="10">
    <w:p>
      <w:pPr>
        <w:pStyle w:val="footnote text"/>
      </w:pPr>
      <w:r>
        <w:rPr>
          <w:rFonts w:ascii="Arial" w:cs="Arial" w:hAnsi="Arial" w:eastAsia="Arial"/>
          <w:sz w:val="22"/>
          <w:szCs w:val="22"/>
          <w:vertAlign w:val="superscript"/>
          <w:rtl w:val="0"/>
        </w:rPr>
        <w:footnoteRef/>
      </w:r>
      <w:r>
        <w:rPr>
          <w:rFonts w:ascii="Arial"/>
          <w:sz w:val="18"/>
          <w:szCs w:val="18"/>
          <w:rtl w:val="0"/>
          <w:lang w:val="en-US"/>
        </w:rPr>
        <w:t xml:space="preserve"> </w:t>
      </w:r>
      <w:r>
        <w:rPr>
          <w:rFonts w:ascii="Arial"/>
          <w:sz w:val="18"/>
          <w:szCs w:val="18"/>
          <w:rtl w:val="0"/>
          <w:lang w:val="en-US"/>
        </w:rPr>
        <w:t xml:space="preserve">For example through its Thematic Review of Financial Benchmarks TR15/11 - </w:t>
      </w:r>
      <w:hyperlink r:id="rId3" w:history="1">
        <w:r>
          <w:rPr>
            <w:rStyle w:val="Hyperlink.3"/>
            <w:rFonts w:ascii="Arial"/>
            <w:i w:val="1"/>
            <w:iCs w:val="1"/>
            <w:sz w:val="18"/>
            <w:szCs w:val="18"/>
            <w:rtl w:val="0"/>
            <w:lang w:val="en-US"/>
          </w:rPr>
          <w:t>www.fca.org.uk/static/documents/thematic-reviews/tr15-11.pdf</w:t>
        </w:r>
      </w:hyperlink>
      <w:r>
        <w:rPr>
          <w:rFonts w:ascii="Arial"/>
          <w:i w:val="1"/>
          <w:iCs w:val="1"/>
          <w:sz w:val="18"/>
          <w:szCs w:val="18"/>
          <w:rtl w:val="0"/>
          <w:lang w:val="en-US"/>
        </w:rPr>
        <w:t xml:space="preserve"> </w:t>
      </w:r>
    </w:p>
  </w:footnote>
  <w:footnote w:id="11">
    <w:p>
      <w:pPr>
        <w:pStyle w:val="footnote text"/>
      </w:pPr>
      <w:r>
        <w:rPr>
          <w:rFonts w:ascii="Arial" w:cs="Arial" w:hAnsi="Arial" w:eastAsia="Arial"/>
          <w:sz w:val="22"/>
          <w:szCs w:val="22"/>
          <w:vertAlign w:val="superscript"/>
          <w:rtl w:val="0"/>
        </w:rPr>
        <w:footnoteRef/>
      </w:r>
      <w:r>
        <w:rPr>
          <w:rFonts w:ascii="Arial"/>
          <w:sz w:val="18"/>
          <w:szCs w:val="18"/>
          <w:rtl w:val="0"/>
          <w:lang w:val="en-US"/>
        </w:rPr>
        <w:t xml:space="preserve"> See </w:t>
      </w:r>
      <w:hyperlink r:id="rId4" w:history="1">
        <w:r>
          <w:rPr>
            <w:rStyle w:val="Hyperlink.2"/>
            <w:rFonts w:ascii="Arial"/>
            <w:sz w:val="18"/>
            <w:szCs w:val="18"/>
            <w:rtl w:val="0"/>
            <w:lang w:val="en-US"/>
          </w:rPr>
          <w:t>www.markit.com/Company/Media-Centre/UBS-selects-Markit-for-index-administration</w:t>
        </w:r>
      </w:hyperlink>
      <w:r>
        <w:rPr>
          <w:rFonts w:ascii="Arial"/>
          <w:i w:val="1"/>
          <w:iCs w:val="1"/>
          <w:sz w:val="18"/>
          <w:szCs w:val="18"/>
          <w:rtl w:val="0"/>
          <w:lang w:val="en-US"/>
        </w:rPr>
        <w:t xml:space="preserve"> </w:t>
      </w:r>
    </w:p>
  </w:footnote>
  <w:footnote w:id="12">
    <w:p>
      <w:pPr>
        <w:pStyle w:val="footnote text"/>
      </w:pPr>
      <w:r>
        <w:rPr>
          <w:rFonts w:ascii="Arial" w:cs="Arial" w:hAnsi="Arial" w:eastAsia="Arial"/>
          <w:sz w:val="22"/>
          <w:szCs w:val="22"/>
          <w:vertAlign w:val="superscript"/>
          <w:rtl w:val="0"/>
        </w:rPr>
        <w:footnoteRef/>
      </w:r>
      <w:r>
        <w:rPr>
          <w:rFonts w:ascii="Arial"/>
          <w:sz w:val="18"/>
          <w:szCs w:val="18"/>
          <w:rtl w:val="0"/>
          <w:lang w:val="fr-FR"/>
        </w:rPr>
        <w:t xml:space="preserve"> Pg. 73, Par. 228 and Pg. 76 Par. 247</w:t>
      </w:r>
    </w:p>
  </w:footnote>
  <w:footnote w:id="13">
    <w:p>
      <w:pPr>
        <w:pStyle w:val="footnote text"/>
      </w:pPr>
      <w:r>
        <w:rPr>
          <w:rFonts w:ascii="Arial" w:cs="Arial" w:hAnsi="Arial" w:eastAsia="Arial"/>
          <w:sz w:val="22"/>
          <w:szCs w:val="22"/>
          <w:vertAlign w:val="superscript"/>
          <w:rtl w:val="0"/>
        </w:rPr>
        <w:footnoteRef/>
      </w:r>
      <w:r>
        <w:rPr>
          <w:rFonts w:ascii="Calibri" w:cs="Calibri" w:hAnsi="Calibri" w:eastAsia="Calibri"/>
          <w:rtl w:val="0"/>
          <w:lang w:val="fr-FR"/>
        </w:rPr>
        <w:t xml:space="preserve"> Pg. 21, Par. 45</w:t>
      </w:r>
    </w:p>
  </w:footnote>
  <w:footnote w:id="14">
    <w:p>
      <w:pPr>
        <w:pStyle w:val="footnote text"/>
      </w:pPr>
      <w:r>
        <w:rPr>
          <w:rFonts w:ascii="Arial" w:cs="Arial" w:hAnsi="Arial" w:eastAsia="Arial"/>
          <w:sz w:val="22"/>
          <w:szCs w:val="22"/>
          <w:vertAlign w:val="superscript"/>
          <w:rtl w:val="0"/>
        </w:rPr>
        <w:footnoteRef/>
      </w:r>
      <w:r>
        <w:rPr>
          <w:rFonts w:ascii="Calibri" w:cs="Calibri" w:hAnsi="Calibri" w:eastAsia="Calibri"/>
          <w:rtl w:val="0"/>
          <w:lang w:val="fr-FR"/>
        </w:rPr>
        <w:t xml:space="preserve"> Pg. 22, Par. 47</w:t>
      </w:r>
    </w:p>
  </w:footnote>
  <w:footnote w:id="15">
    <w:p>
      <w:pPr>
        <w:pStyle w:val="footnote text"/>
      </w:pPr>
      <w:r>
        <w:rPr>
          <w:rFonts w:ascii="Arial" w:cs="Arial" w:hAnsi="Arial" w:eastAsia="Arial"/>
          <w:sz w:val="22"/>
          <w:szCs w:val="22"/>
          <w:vertAlign w:val="superscript"/>
          <w:rtl w:val="0"/>
        </w:rPr>
        <w:footnoteRef/>
      </w:r>
      <w:r>
        <w:rPr>
          <w:rFonts w:ascii="Calibri" w:cs="Calibri" w:hAnsi="Calibri" w:eastAsia="Calibri"/>
          <w:rtl w:val="0"/>
          <w:lang w:val="fr-FR"/>
        </w:rPr>
        <w:t xml:space="preserve"> Pg. 22, Par. 49</w:t>
      </w:r>
    </w:p>
  </w:footnote>
  <w:footnote w:id="16">
    <w:p>
      <w:pPr>
        <w:pStyle w:val="footnote text"/>
      </w:pPr>
      <w:r>
        <w:rPr>
          <w:rFonts w:ascii="Arial" w:cs="Arial" w:hAnsi="Arial" w:eastAsia="Arial"/>
          <w:vertAlign w:val="superscript"/>
          <w:rtl w:val="0"/>
        </w:rPr>
        <w:footnoteRef/>
      </w:r>
      <w:r>
        <w:rPr>
          <w:rFonts w:ascii="Calibri" w:cs="Calibri" w:hAnsi="Calibri" w:eastAsia="Calibri"/>
          <w:rtl w:val="0"/>
          <w:lang w:val="fr-FR"/>
        </w:rPr>
        <w:t xml:space="preserve"> Pg. 27, Par.70</w:t>
      </w:r>
    </w:p>
  </w:footnote>
  <w:footnote w:id="17">
    <w:p>
      <w:pPr>
        <w:pStyle w:val="footnote text"/>
      </w:pPr>
      <w:r>
        <w:rPr>
          <w:rFonts w:ascii="Arial" w:cs="Arial" w:hAnsi="Arial" w:eastAsia="Arial"/>
          <w:vertAlign w:val="superscript"/>
          <w:rtl w:val="0"/>
        </w:rPr>
        <w:footnoteRef/>
      </w:r>
      <w:r>
        <w:rPr>
          <w:rFonts w:ascii="Arial"/>
          <w:sz w:val="18"/>
          <w:szCs w:val="18"/>
          <w:rtl w:val="0"/>
          <w:lang w:val="fr-FR"/>
        </w:rPr>
        <w:t xml:space="preserve"> Pg. 26,27, Par. 67</w:t>
      </w:r>
    </w:p>
  </w:footnote>
  <w:footnote w:id="18">
    <w:p>
      <w:pPr>
        <w:pStyle w:val="footnote text"/>
      </w:pPr>
      <w:r>
        <w:rPr>
          <w:rFonts w:ascii="Arial" w:cs="Arial" w:hAnsi="Arial" w:eastAsia="Arial"/>
          <w:sz w:val="22"/>
          <w:szCs w:val="22"/>
          <w:vertAlign w:val="superscript"/>
          <w:rtl w:val="0"/>
        </w:rPr>
        <w:footnoteRef/>
      </w:r>
      <w:r>
        <w:rPr>
          <w:rFonts w:ascii="Arial"/>
          <w:sz w:val="18"/>
          <w:szCs w:val="18"/>
          <w:rtl w:val="0"/>
          <w:lang w:val="fr-FR"/>
        </w:rPr>
        <w:t xml:space="preserve"> Pg. 27, Par.70</w:t>
      </w:r>
    </w:p>
  </w:footnote>
  <w:footnote w:id="19">
    <w:p>
      <w:pPr>
        <w:pStyle w:val="footnote text"/>
      </w:pPr>
      <w:r>
        <w:rPr>
          <w:rFonts w:ascii="Arial" w:cs="Arial" w:hAnsi="Arial" w:eastAsia="Arial"/>
          <w:sz w:val="22"/>
          <w:szCs w:val="22"/>
          <w:vertAlign w:val="superscript"/>
          <w:rtl w:val="0"/>
        </w:rPr>
        <w:footnoteRef/>
      </w:r>
      <w:r>
        <w:rPr>
          <w:rFonts w:ascii="Arial"/>
          <w:sz w:val="18"/>
          <w:szCs w:val="18"/>
          <w:rtl w:val="0"/>
          <w:lang w:val="fr-FR"/>
        </w:rPr>
        <w:t xml:space="preserve"> Pg. 28, Par.70</w:t>
      </w:r>
    </w:p>
  </w:footnote>
  <w:footnote w:id="20">
    <w:p>
      <w:pPr>
        <w:pStyle w:val="footnote text"/>
      </w:pPr>
      <w:r>
        <w:rPr>
          <w:rFonts w:ascii="Arial" w:cs="Arial" w:hAnsi="Arial" w:eastAsia="Arial"/>
          <w:sz w:val="22"/>
          <w:szCs w:val="22"/>
          <w:vertAlign w:val="superscript"/>
          <w:rtl w:val="0"/>
        </w:rPr>
        <w:footnoteRef/>
      </w:r>
      <w:r>
        <w:rPr>
          <w:rFonts w:ascii="Arial"/>
          <w:sz w:val="18"/>
          <w:szCs w:val="18"/>
          <w:rtl w:val="0"/>
          <w:lang w:val="en-US"/>
        </w:rPr>
        <w:t xml:space="preserve"> </w:t>
      </w:r>
      <w:r>
        <w:rPr>
          <w:rFonts w:ascii="Arial"/>
          <w:sz w:val="18"/>
          <w:szCs w:val="18"/>
          <w:rtl w:val="0"/>
          <w:lang w:val="en-US"/>
        </w:rPr>
        <w:t xml:space="preserve">Pg. 31, </w:t>
      </w:r>
      <w:r>
        <w:rPr>
          <w:rFonts w:hAnsi="Arial" w:hint="default"/>
          <w:sz w:val="18"/>
          <w:szCs w:val="18"/>
          <w:rtl w:val="0"/>
          <w:lang w:val="en-US"/>
        </w:rPr>
        <w:t>“</w:t>
      </w:r>
      <w:r>
        <w:rPr>
          <w:rFonts w:ascii="Arial"/>
          <w:sz w:val="18"/>
          <w:szCs w:val="18"/>
          <w:rtl w:val="0"/>
          <w:lang w:val="en-US"/>
        </w:rPr>
        <w:t>Schematic representation of input data scrutiny</w:t>
      </w:r>
      <w:r>
        <w:rPr>
          <w:rFonts w:hAnsi="Arial" w:hint="default"/>
          <w:sz w:val="18"/>
          <w:szCs w:val="18"/>
          <w:rtl w:val="0"/>
          <w:lang w:val="en-US"/>
        </w:rPr>
        <w:t>”</w:t>
      </w:r>
    </w:p>
  </w:footnote>
  <w:footnote w:id="21">
    <w:p>
      <w:pPr>
        <w:pStyle w:val="footnote text"/>
      </w:pPr>
      <w:r>
        <w:rPr>
          <w:rFonts w:ascii="Arial" w:cs="Arial" w:hAnsi="Arial" w:eastAsia="Arial"/>
          <w:sz w:val="22"/>
          <w:szCs w:val="22"/>
          <w:vertAlign w:val="superscript"/>
          <w:rtl w:val="0"/>
        </w:rPr>
        <w:footnoteRef/>
      </w:r>
      <w:r>
        <w:rPr>
          <w:rFonts w:ascii="Arial"/>
          <w:sz w:val="18"/>
          <w:szCs w:val="18"/>
          <w:rtl w:val="0"/>
          <w:lang w:val="en-US"/>
        </w:rPr>
        <w:t xml:space="preserve"> </w:t>
      </w:r>
      <w:r>
        <w:rPr>
          <w:rFonts w:ascii="Arial"/>
          <w:sz w:val="18"/>
          <w:szCs w:val="18"/>
          <w:rtl w:val="0"/>
          <w:lang w:val="en-US"/>
        </w:rPr>
        <w:t>Pg. 30, Par. 80</w:t>
      </w:r>
    </w:p>
  </w:footnote>
  <w:footnote w:id="22">
    <w:p>
      <w:pPr>
        <w:pStyle w:val="footnote text"/>
      </w:pPr>
      <w:r>
        <w:rPr>
          <w:rFonts w:ascii="Arial" w:cs="Arial" w:hAnsi="Arial" w:eastAsia="Arial"/>
          <w:sz w:val="22"/>
          <w:szCs w:val="22"/>
          <w:vertAlign w:val="superscript"/>
          <w:rtl w:val="0"/>
        </w:rPr>
        <w:footnoteRef/>
      </w:r>
      <w:r>
        <w:rPr>
          <w:rFonts w:ascii="Arial"/>
          <w:sz w:val="18"/>
          <w:szCs w:val="18"/>
          <w:rtl w:val="0"/>
          <w:lang w:val="en-US"/>
        </w:rPr>
        <w:t xml:space="preserve"> </w:t>
      </w:r>
      <w:r>
        <w:rPr>
          <w:rFonts w:ascii="Arial"/>
          <w:sz w:val="18"/>
          <w:szCs w:val="18"/>
          <w:rtl w:val="0"/>
          <w:lang w:val="en-US"/>
        </w:rPr>
        <w:t>We disagree with ESMA</w:t>
      </w:r>
      <w:r>
        <w:rPr>
          <w:rFonts w:hAnsi="Arial" w:hint="default"/>
          <w:sz w:val="18"/>
          <w:szCs w:val="18"/>
          <w:rtl w:val="0"/>
          <w:lang w:val="en-US"/>
        </w:rPr>
        <w:t>’</w:t>
      </w:r>
      <w:r>
        <w:rPr>
          <w:rFonts w:ascii="Arial"/>
          <w:sz w:val="18"/>
          <w:szCs w:val="18"/>
          <w:rtl w:val="0"/>
          <w:lang w:val="en-US"/>
        </w:rPr>
        <w:t xml:space="preserve">s view that verifiability of input data </w:t>
      </w:r>
      <w:r>
        <w:rPr>
          <w:rFonts w:hAnsi="Arial" w:hint="default"/>
          <w:sz w:val="18"/>
          <w:szCs w:val="18"/>
          <w:rtl w:val="0"/>
          <w:lang w:val="en-US"/>
        </w:rPr>
        <w:t>“</w:t>
      </w:r>
      <w:r>
        <w:rPr>
          <w:rFonts w:ascii="Arial"/>
          <w:sz w:val="18"/>
          <w:szCs w:val="18"/>
          <w:rtl w:val="0"/>
          <w:lang w:val="en-US"/>
        </w:rPr>
        <w:t>is not amenable to being implemented differentially</w:t>
      </w:r>
      <w:r>
        <w:rPr>
          <w:rFonts w:hAnsi="Arial" w:hint="default"/>
          <w:sz w:val="18"/>
          <w:szCs w:val="18"/>
          <w:rtl w:val="0"/>
          <w:lang w:val="en-US"/>
        </w:rPr>
        <w:t xml:space="preserve">” </w:t>
      </w:r>
      <w:r>
        <w:rPr>
          <w:rFonts w:ascii="Arial"/>
          <w:sz w:val="18"/>
          <w:szCs w:val="18"/>
          <w:rtl w:val="0"/>
          <w:lang w:val="en-US"/>
        </w:rPr>
        <w:t>Pg. 35, Par. 103. Please see our response to Q. 30</w:t>
      </w:r>
    </w:p>
  </w:footnote>
  <w:footnote w:id="23">
    <w:p>
      <w:pPr>
        <w:pStyle w:val="footnote text"/>
      </w:pPr>
      <w:r>
        <w:rPr>
          <w:rFonts w:ascii="Arial" w:cs="Arial" w:hAnsi="Arial" w:eastAsia="Arial"/>
          <w:sz w:val="22"/>
          <w:szCs w:val="22"/>
          <w:vertAlign w:val="superscript"/>
          <w:rtl w:val="0"/>
        </w:rPr>
        <w:footnoteRef/>
      </w:r>
      <w:r>
        <w:rPr>
          <w:rFonts w:ascii="Calibri" w:cs="Calibri" w:hAnsi="Calibri" w:eastAsia="Calibri"/>
          <w:rtl w:val="0"/>
          <w:lang w:val="en-US"/>
        </w:rPr>
        <w:t xml:space="preserve"> Pg 28, Par. 75</w:t>
      </w:r>
    </w:p>
  </w:footnote>
  <w:footnote w:id="24">
    <w:p>
      <w:pPr>
        <w:pStyle w:val="footnote text"/>
      </w:pPr>
      <w:r>
        <w:rPr>
          <w:rFonts w:ascii="Arial" w:cs="Arial" w:hAnsi="Arial" w:eastAsia="Arial"/>
          <w:sz w:val="22"/>
          <w:szCs w:val="22"/>
          <w:vertAlign w:val="superscript"/>
          <w:rtl w:val="0"/>
        </w:rPr>
        <w:footnoteRef/>
      </w:r>
      <w:r>
        <w:rPr>
          <w:rFonts w:ascii="Calibri" w:cs="Calibri" w:hAnsi="Calibri" w:eastAsia="Calibri"/>
          <w:rtl w:val="0"/>
          <w:lang w:val="en-US"/>
        </w:rPr>
        <w:t xml:space="preserve"> Pg 28, Par. 75</w:t>
      </w:r>
    </w:p>
  </w:footnote>
  <w:footnote w:id="25">
    <w:p>
      <w:pPr>
        <w:pStyle w:val="footnote text"/>
      </w:pPr>
      <w:r>
        <w:rPr>
          <w:rFonts w:ascii="Arial" w:cs="Arial" w:hAnsi="Arial" w:eastAsia="Arial"/>
          <w:sz w:val="22"/>
          <w:szCs w:val="22"/>
          <w:vertAlign w:val="superscript"/>
          <w:rtl w:val="0"/>
        </w:rPr>
        <w:footnoteRef/>
      </w:r>
      <w:r>
        <w:rPr>
          <w:rFonts w:ascii="Calibri" w:cs="Calibri" w:hAnsi="Calibri" w:eastAsia="Calibri"/>
          <w:rtl w:val="0"/>
          <w:lang w:val="en-US"/>
        </w:rPr>
        <w:t xml:space="preserve"> Pg 29, Par. 75</w:t>
      </w:r>
    </w:p>
  </w:footnote>
  <w:footnote w:id="26">
    <w:p>
      <w:pPr>
        <w:pStyle w:val="footnote text"/>
      </w:pPr>
      <w:r>
        <w:rPr>
          <w:rFonts w:ascii="Arial" w:cs="Arial" w:hAnsi="Arial" w:eastAsia="Arial"/>
          <w:sz w:val="22"/>
          <w:szCs w:val="22"/>
          <w:vertAlign w:val="superscript"/>
          <w:rtl w:val="0"/>
        </w:rPr>
        <w:footnoteRef/>
      </w:r>
      <w:r>
        <w:rPr>
          <w:rFonts w:ascii="Arial"/>
          <w:sz w:val="18"/>
          <w:szCs w:val="18"/>
          <w:rtl w:val="0"/>
          <w:lang w:val="en-US"/>
        </w:rPr>
        <w:t xml:space="preserve"> </w:t>
      </w:r>
      <w:r>
        <w:rPr>
          <w:rFonts w:ascii="Arial"/>
          <w:sz w:val="18"/>
          <w:szCs w:val="18"/>
          <w:rtl w:val="0"/>
          <w:lang w:val="en-US"/>
        </w:rPr>
        <w:t>Pg.28, Par. 75</w:t>
      </w:r>
    </w:p>
  </w:footnote>
  <w:footnote w:id="27">
    <w:p>
      <w:pPr>
        <w:pStyle w:val="footnote text"/>
      </w:pPr>
      <w:r>
        <w:rPr>
          <w:rFonts w:ascii="Arial" w:cs="Arial" w:hAnsi="Arial" w:eastAsia="Arial"/>
          <w:sz w:val="22"/>
          <w:szCs w:val="22"/>
          <w:vertAlign w:val="superscript"/>
          <w:rtl w:val="0"/>
        </w:rPr>
        <w:footnoteRef/>
      </w:r>
      <w:r>
        <w:rPr>
          <w:rFonts w:ascii="Arial"/>
          <w:sz w:val="18"/>
          <w:szCs w:val="18"/>
          <w:rtl w:val="0"/>
          <w:lang w:val="en-US"/>
        </w:rPr>
        <w:t xml:space="preserve"> </w:t>
      </w:r>
      <w:r>
        <w:rPr>
          <w:rFonts w:ascii="Arial"/>
          <w:sz w:val="18"/>
          <w:szCs w:val="18"/>
          <w:rtl w:val="0"/>
          <w:lang w:val="en-US"/>
        </w:rPr>
        <w:t>For example, as of 24</w:t>
      </w:r>
      <w:r>
        <w:rPr>
          <w:rFonts w:ascii="Arial"/>
          <w:sz w:val="18"/>
          <w:szCs w:val="18"/>
          <w:vertAlign w:val="superscript"/>
          <w:rtl w:val="0"/>
          <w:lang w:val="en-US"/>
        </w:rPr>
        <w:t>th</w:t>
      </w:r>
      <w:r>
        <w:rPr>
          <w:rFonts w:ascii="Arial"/>
          <w:sz w:val="18"/>
          <w:szCs w:val="18"/>
          <w:rtl w:val="0"/>
          <w:lang w:val="en-US"/>
        </w:rPr>
        <w:t xml:space="preserve"> March 2016 the Markit iBoxx </w:t>
      </w:r>
      <w:r>
        <w:rPr>
          <w:rFonts w:hAnsi="Arial" w:hint="default"/>
          <w:sz w:val="18"/>
          <w:szCs w:val="18"/>
          <w:rtl w:val="0"/>
          <w:lang w:val="en-US"/>
        </w:rPr>
        <w:t xml:space="preserve">€ </w:t>
      </w:r>
      <w:r>
        <w:rPr>
          <w:rFonts w:ascii="Arial"/>
          <w:sz w:val="18"/>
          <w:szCs w:val="18"/>
          <w:rtl w:val="0"/>
          <w:lang w:val="en-US"/>
        </w:rPr>
        <w:t>Overall Index has more than 3,200 constituents.</w:t>
      </w:r>
    </w:p>
  </w:footnote>
  <w:footnote w:id="28">
    <w:p>
      <w:pPr>
        <w:pStyle w:val="footnote text"/>
      </w:pPr>
      <w:r>
        <w:rPr>
          <w:rFonts w:ascii="Arial" w:cs="Arial" w:hAnsi="Arial" w:eastAsia="Arial"/>
          <w:sz w:val="22"/>
          <w:szCs w:val="22"/>
          <w:vertAlign w:val="superscript"/>
          <w:rtl w:val="0"/>
        </w:rPr>
        <w:footnoteRef/>
      </w:r>
      <w:r>
        <w:rPr>
          <w:rFonts w:ascii="Arial"/>
          <w:sz w:val="18"/>
          <w:szCs w:val="18"/>
          <w:rtl w:val="0"/>
          <w:lang w:val="en-US"/>
        </w:rPr>
        <w:t xml:space="preserve"> </w:t>
      </w:r>
      <w:r>
        <w:rPr>
          <w:rFonts w:ascii="Arial"/>
          <w:sz w:val="18"/>
          <w:szCs w:val="18"/>
          <w:rtl w:val="0"/>
          <w:lang w:val="en-US"/>
        </w:rPr>
        <w:t>As mentioned on pages 27/28, Par. 70 (Input data)</w:t>
      </w:r>
    </w:p>
  </w:footnote>
  <w:footnote w:id="29">
    <w:p>
      <w:pPr>
        <w:pStyle w:val="footnote text"/>
      </w:pPr>
      <w:r>
        <w:rPr>
          <w:rFonts w:ascii="Arial" w:cs="Arial" w:hAnsi="Arial" w:eastAsia="Arial"/>
          <w:sz w:val="22"/>
          <w:szCs w:val="22"/>
          <w:vertAlign w:val="superscript"/>
          <w:rtl w:val="0"/>
        </w:rPr>
        <w:footnoteRef/>
      </w:r>
      <w:r>
        <w:rPr>
          <w:rFonts w:ascii="Arial"/>
          <w:sz w:val="18"/>
          <w:szCs w:val="18"/>
          <w:rtl w:val="0"/>
          <w:lang w:val="en-US"/>
        </w:rPr>
        <w:t xml:space="preserve"> </w:t>
      </w:r>
      <w:r>
        <w:rPr>
          <w:rFonts w:ascii="Arial"/>
          <w:sz w:val="18"/>
          <w:szCs w:val="18"/>
          <w:rtl w:val="0"/>
          <w:lang w:val="en-US"/>
        </w:rPr>
        <w:t>As enumerated by ESMA in Par.78, 79 (Pg 30, Input data)</w:t>
      </w:r>
    </w:p>
  </w:footnote>
  <w:footnote w:id="30">
    <w:p>
      <w:pPr>
        <w:pStyle w:val="footnote text"/>
      </w:pPr>
      <w:r>
        <w:rPr>
          <w:rFonts w:ascii="Arial" w:cs="Arial" w:hAnsi="Arial" w:eastAsia="Arial"/>
          <w:sz w:val="22"/>
          <w:szCs w:val="22"/>
          <w:vertAlign w:val="superscript"/>
          <w:rtl w:val="0"/>
        </w:rPr>
        <w:footnoteRef/>
      </w:r>
      <w:r>
        <w:rPr>
          <w:rFonts w:ascii="Calibri" w:cs="Calibri" w:hAnsi="Calibri" w:eastAsia="Calibri"/>
          <w:rtl w:val="0"/>
          <w:lang w:val="en-US"/>
        </w:rPr>
        <w:t xml:space="preserve"> </w:t>
      </w:r>
      <w:r>
        <w:rPr>
          <w:rFonts w:ascii="Arial"/>
          <w:sz w:val="18"/>
          <w:szCs w:val="18"/>
          <w:rtl w:val="0"/>
          <w:lang w:val="en-US"/>
        </w:rPr>
        <w:t>For example where an individual submission has a material impact on the benchmark level.</w:t>
      </w:r>
    </w:p>
  </w:footnote>
  <w:footnote w:id="31">
    <w:p>
      <w:pPr>
        <w:pStyle w:val="footnote text"/>
      </w:pPr>
      <w:r>
        <w:rPr>
          <w:rFonts w:ascii="Arial" w:cs="Arial" w:hAnsi="Arial" w:eastAsia="Arial"/>
          <w:vertAlign w:val="superscript"/>
          <w:rtl w:val="0"/>
        </w:rPr>
        <w:footnoteRef/>
      </w:r>
      <w:r>
        <w:rPr>
          <w:rFonts w:ascii="Arial"/>
          <w:sz w:val="18"/>
          <w:szCs w:val="18"/>
          <w:rtl w:val="0"/>
          <w:lang w:val="en-US"/>
        </w:rPr>
        <w:t xml:space="preserve"> </w:t>
      </w:r>
      <w:r>
        <w:rPr>
          <w:rFonts w:ascii="Arial"/>
          <w:sz w:val="18"/>
          <w:szCs w:val="18"/>
          <w:rtl w:val="0"/>
          <w:lang w:val="en-US"/>
        </w:rPr>
        <w:t>Pg. 36, Par. 104</w:t>
      </w:r>
    </w:p>
  </w:footnote>
  <w:footnote w:id="32">
    <w:p>
      <w:pPr>
        <w:pStyle w:val="footnote text"/>
      </w:pPr>
      <w:r>
        <w:rPr>
          <w:rFonts w:ascii="Arial" w:cs="Arial" w:hAnsi="Arial" w:eastAsia="Arial"/>
          <w:vertAlign w:val="superscript"/>
          <w:rtl w:val="0"/>
        </w:rPr>
        <w:footnoteRef/>
      </w:r>
      <w:r>
        <w:rPr>
          <w:rFonts w:ascii="Arial"/>
          <w:sz w:val="18"/>
          <w:szCs w:val="18"/>
          <w:rtl w:val="0"/>
          <w:lang w:val="en-US"/>
        </w:rPr>
        <w:t xml:space="preserve"> </w:t>
      </w:r>
      <w:r>
        <w:rPr>
          <w:rFonts w:ascii="Arial"/>
          <w:sz w:val="18"/>
          <w:szCs w:val="18"/>
          <w:rtl w:val="0"/>
          <w:lang w:val="en-US"/>
        </w:rPr>
        <w:t xml:space="preserve">Article 3(1)(9) of the Regulation defines a </w:t>
      </w:r>
      <w:r>
        <w:rPr>
          <w:rFonts w:hAnsi="Arial" w:hint="default"/>
          <w:sz w:val="18"/>
          <w:szCs w:val="18"/>
          <w:rtl w:val="0"/>
          <w:lang w:val="en-US"/>
        </w:rPr>
        <w:t>‘</w:t>
      </w:r>
      <w:r>
        <w:rPr>
          <w:rFonts w:ascii="Arial"/>
          <w:sz w:val="18"/>
          <w:szCs w:val="18"/>
          <w:rtl w:val="0"/>
          <w:lang w:val="en-US"/>
        </w:rPr>
        <w:t>submitter</w:t>
      </w:r>
      <w:r>
        <w:rPr>
          <w:rFonts w:hAnsi="Arial" w:hint="default"/>
          <w:sz w:val="18"/>
          <w:szCs w:val="18"/>
          <w:rtl w:val="0"/>
          <w:lang w:val="en-US"/>
        </w:rPr>
        <w:t xml:space="preserve">’ </w:t>
      </w:r>
      <w:r>
        <w:rPr>
          <w:rFonts w:ascii="Arial"/>
          <w:sz w:val="18"/>
          <w:szCs w:val="18"/>
          <w:rtl w:val="0"/>
          <w:lang w:val="en-US"/>
        </w:rPr>
        <w:t>as a natural person employed by the contributor for the purpose of contributing input data</w:t>
      </w:r>
      <w:r>
        <w:rPr>
          <w:rFonts w:ascii="Arial"/>
          <w:sz w:val="18"/>
          <w:szCs w:val="18"/>
          <w:rtl w:val="0"/>
          <w:lang w:val="en-US"/>
        </w:rPr>
        <w:t>.</w:t>
      </w:r>
    </w:p>
  </w:footnote>
  <w:footnote w:id="33">
    <w:p>
      <w:pPr>
        <w:pStyle w:val="footnote text"/>
      </w:pPr>
      <w:r>
        <w:rPr>
          <w:rFonts w:ascii="Arial" w:cs="Arial" w:hAnsi="Arial" w:eastAsia="Arial"/>
          <w:sz w:val="22"/>
          <w:szCs w:val="22"/>
          <w:vertAlign w:val="superscript"/>
          <w:rtl w:val="0"/>
        </w:rPr>
        <w:footnoteRef/>
      </w:r>
      <w:r>
        <w:rPr>
          <w:rFonts w:ascii="Arial"/>
          <w:sz w:val="18"/>
          <w:szCs w:val="18"/>
          <w:rtl w:val="0"/>
          <w:lang w:val="fr-FR"/>
        </w:rPr>
        <w:t xml:space="preserve"> Pg. 35, Par. 103</w:t>
      </w:r>
    </w:p>
  </w:footnote>
  <w:footnote w:id="34">
    <w:p>
      <w:pPr>
        <w:pStyle w:val="footnote text"/>
      </w:pPr>
      <w:r>
        <w:rPr>
          <w:rFonts w:ascii="Arial" w:cs="Arial" w:hAnsi="Arial" w:eastAsia="Arial"/>
          <w:sz w:val="22"/>
          <w:szCs w:val="22"/>
          <w:vertAlign w:val="superscript"/>
          <w:rtl w:val="0"/>
        </w:rPr>
        <w:footnoteRef/>
      </w:r>
      <w:r>
        <w:rPr>
          <w:rFonts w:ascii="Calibri" w:cs="Calibri" w:hAnsi="Calibri" w:eastAsia="Calibri"/>
          <w:sz w:val="18"/>
          <w:szCs w:val="18"/>
          <w:rtl w:val="0"/>
          <w:lang w:val="fr-FR"/>
        </w:rPr>
        <w:t xml:space="preserve"> Pg. 35, Par. 103</w:t>
      </w:r>
    </w:p>
  </w:footnote>
  <w:footnote w:id="35">
    <w:p>
      <w:pPr>
        <w:pStyle w:val="footnote text"/>
      </w:pPr>
      <w:r>
        <w:rPr>
          <w:rFonts w:ascii="Arial" w:cs="Arial" w:hAnsi="Arial" w:eastAsia="Arial"/>
          <w:sz w:val="22"/>
          <w:szCs w:val="22"/>
          <w:vertAlign w:val="superscript"/>
          <w:rtl w:val="0"/>
        </w:rPr>
        <w:footnoteRef/>
      </w:r>
      <w:r>
        <w:rPr>
          <w:rFonts w:ascii="Calibri" w:cs="Calibri" w:hAnsi="Calibri" w:eastAsia="Calibri"/>
          <w:sz w:val="18"/>
          <w:szCs w:val="18"/>
          <w:rtl w:val="0"/>
          <w:lang w:val="fr-FR"/>
        </w:rPr>
        <w:t xml:space="preserve"> Pg. 35, Par. 102</w:t>
      </w:r>
    </w:p>
  </w:footnote>
  <w:footnote w:id="36">
    <w:p>
      <w:pPr>
        <w:pStyle w:val="footnote text"/>
      </w:pPr>
      <w:r>
        <w:rPr>
          <w:rFonts w:ascii="Arial" w:cs="Arial" w:hAnsi="Arial" w:eastAsia="Arial"/>
          <w:sz w:val="22"/>
          <w:szCs w:val="22"/>
          <w:vertAlign w:val="superscript"/>
          <w:rtl w:val="0"/>
        </w:rPr>
        <w:footnoteRef/>
      </w:r>
      <w:r>
        <w:rPr>
          <w:rFonts w:ascii="Calibri" w:cs="Calibri" w:hAnsi="Calibri" w:eastAsia="Calibri"/>
          <w:sz w:val="18"/>
          <w:szCs w:val="18"/>
          <w:rtl w:val="0"/>
          <w:lang w:val="fr-FR"/>
        </w:rPr>
        <w:t xml:space="preserve"> Pg. 36, Par. 104</w:t>
      </w:r>
    </w:p>
  </w:footnote>
  <w:footnote w:id="37">
    <w:p>
      <w:pPr>
        <w:pStyle w:val="footnote text"/>
      </w:pPr>
      <w:r>
        <w:rPr>
          <w:rFonts w:ascii="Arial" w:cs="Arial" w:hAnsi="Arial" w:eastAsia="Arial"/>
          <w:sz w:val="22"/>
          <w:szCs w:val="22"/>
          <w:vertAlign w:val="superscript"/>
          <w:rtl w:val="0"/>
        </w:rPr>
        <w:footnoteRef/>
      </w:r>
      <w:r>
        <w:rPr>
          <w:rFonts w:ascii="Calibri" w:cs="Calibri" w:hAnsi="Calibri" w:eastAsia="Calibri"/>
          <w:rtl w:val="0"/>
          <w:lang w:val="fr-FR"/>
        </w:rPr>
        <w:t xml:space="preserve"> </w:t>
      </w:r>
      <w:hyperlink r:id="rId5" w:history="1">
        <w:r>
          <w:rPr>
            <w:rStyle w:val="Hyperlink.4"/>
            <w:rFonts w:ascii="Calibri" w:cs="Calibri" w:hAnsi="Calibri" w:eastAsia="Calibri"/>
            <w:rtl w:val="0"/>
            <w:lang w:val="fr-FR"/>
          </w:rPr>
          <w:t>https://www.eba.europa.eu/documents/10180/16145/2013-658+ESMA-EBA+Principles+on+Benchmarks+Final+Report.pdf</w:t>
        </w:r>
      </w:hyperlink>
      <w:r>
        <w:rPr>
          <w:rFonts w:ascii="Calibri" w:cs="Calibri" w:hAnsi="Calibri" w:eastAsia="Calibri"/>
          <w:i w:val="1"/>
          <w:iCs w:val="1"/>
          <w:rtl w:val="0"/>
          <w:lang w:val="fr-FR"/>
        </w:rPr>
        <w:t xml:space="preserve"> </w:t>
      </w:r>
    </w:p>
  </w:footnote>
  <w:footnote w:id="38">
    <w:p>
      <w:pPr>
        <w:pStyle w:val="footnote text"/>
      </w:pPr>
      <w:r>
        <w:rPr>
          <w:rFonts w:ascii="Arial" w:cs="Arial" w:hAnsi="Arial" w:eastAsia="Arial"/>
          <w:sz w:val="22"/>
          <w:szCs w:val="22"/>
          <w:vertAlign w:val="superscript"/>
          <w:rtl w:val="0"/>
        </w:rPr>
        <w:footnoteRef/>
      </w:r>
      <w:r>
        <w:rPr>
          <w:rFonts w:ascii="Calibri" w:cs="Calibri" w:hAnsi="Calibri" w:eastAsia="Calibri"/>
          <w:rtl w:val="0"/>
          <w:lang w:val="fr-FR"/>
        </w:rPr>
        <w:t xml:space="preserve"> Pg. 40, Par. 118</w:t>
      </w:r>
    </w:p>
  </w:footnote>
  <w:footnote w:id="39">
    <w:p>
      <w:pPr>
        <w:pStyle w:val="footnote text"/>
      </w:pPr>
      <w:r>
        <w:rPr>
          <w:rFonts w:ascii="Arial" w:cs="Arial" w:hAnsi="Arial" w:eastAsia="Arial"/>
          <w:sz w:val="22"/>
          <w:szCs w:val="22"/>
          <w:vertAlign w:val="superscript"/>
          <w:rtl w:val="0"/>
        </w:rPr>
        <w:footnoteRef/>
      </w:r>
      <w:r>
        <w:rPr>
          <w:rFonts w:ascii="Calibri" w:cs="Calibri" w:hAnsi="Calibri" w:eastAsia="Calibri"/>
          <w:sz w:val="18"/>
          <w:szCs w:val="18"/>
          <w:rtl w:val="0"/>
          <w:lang w:val="fr-FR"/>
        </w:rPr>
        <w:t xml:space="preserve"> </w:t>
      </w:r>
      <w:r>
        <w:rPr>
          <w:rFonts w:ascii="Calibri" w:cs="Calibri" w:hAnsi="Calibri" w:eastAsia="Calibri"/>
          <w:rtl w:val="0"/>
          <w:lang w:val="fr-FR"/>
        </w:rPr>
        <w:t>Pg. 46, Par. 138</w:t>
      </w:r>
    </w:p>
  </w:footnote>
  <w:footnote w:id="40">
    <w:p>
      <w:pPr>
        <w:pStyle w:val="footnote text"/>
      </w:pPr>
      <w:r>
        <w:rPr>
          <w:rFonts w:ascii="Arial" w:cs="Arial" w:hAnsi="Arial" w:eastAsia="Arial"/>
          <w:sz w:val="22"/>
          <w:szCs w:val="22"/>
          <w:vertAlign w:val="superscript"/>
          <w:rtl w:val="0"/>
        </w:rPr>
        <w:footnoteRef/>
      </w:r>
      <w:r>
        <w:rPr>
          <w:rFonts w:ascii="Arial"/>
          <w:sz w:val="18"/>
          <w:szCs w:val="18"/>
          <w:rtl w:val="0"/>
          <w:lang w:val="fr-FR"/>
        </w:rPr>
        <w:t xml:space="preserve"> Pg. 36, Par. 104</w:t>
      </w:r>
    </w:p>
  </w:footnote>
  <w:footnote w:id="41">
    <w:p>
      <w:pPr>
        <w:pStyle w:val="footnote text"/>
      </w:pPr>
      <w:r>
        <w:rPr>
          <w:rFonts w:ascii="Arial" w:cs="Arial" w:hAnsi="Arial" w:eastAsia="Arial"/>
          <w:sz w:val="22"/>
          <w:szCs w:val="22"/>
          <w:vertAlign w:val="superscript"/>
          <w:rtl w:val="0"/>
        </w:rPr>
        <w:footnoteRef/>
      </w:r>
      <w:r>
        <w:rPr>
          <w:rFonts w:ascii="Arial"/>
          <w:sz w:val="18"/>
          <w:szCs w:val="18"/>
          <w:rtl w:val="0"/>
          <w:lang w:val="fr-FR"/>
        </w:rPr>
        <w:t xml:space="preserve"> Pg. 51, Par. 160</w:t>
      </w:r>
    </w:p>
  </w:footnote>
  <w:footnote w:id="42">
    <w:p>
      <w:pPr>
        <w:pStyle w:val="footnote text"/>
      </w:pPr>
      <w:r>
        <w:rPr>
          <w:rFonts w:ascii="Arial" w:cs="Arial" w:hAnsi="Arial" w:eastAsia="Arial"/>
          <w:sz w:val="22"/>
          <w:szCs w:val="22"/>
          <w:vertAlign w:val="superscript"/>
          <w:rtl w:val="0"/>
        </w:rPr>
        <w:footnoteRef/>
      </w:r>
      <w:r>
        <w:rPr>
          <w:rFonts w:ascii="Arial"/>
          <w:sz w:val="18"/>
          <w:szCs w:val="18"/>
          <w:rtl w:val="0"/>
          <w:lang w:val="fr-FR"/>
        </w:rPr>
        <w:t xml:space="preserve"> Pg. 48, Par. 149</w:t>
      </w:r>
    </w:p>
  </w:footnote>
  <w:footnote w:id="43">
    <w:p>
      <w:pPr>
        <w:pStyle w:val="footnote text"/>
      </w:pPr>
      <w:r>
        <w:rPr>
          <w:rFonts w:ascii="Arial" w:cs="Arial" w:hAnsi="Arial" w:eastAsia="Arial"/>
          <w:sz w:val="22"/>
          <w:szCs w:val="22"/>
          <w:vertAlign w:val="superscript"/>
          <w:rtl w:val="0"/>
        </w:rPr>
        <w:footnoteRef/>
      </w:r>
      <w:r>
        <w:rPr>
          <w:rFonts w:ascii="Arial"/>
          <w:sz w:val="18"/>
          <w:szCs w:val="18"/>
          <w:rtl w:val="0"/>
          <w:lang w:val="fr-FR"/>
        </w:rPr>
        <w:t xml:space="preserve"> Pg. 52, Par. 165</w:t>
      </w:r>
    </w:p>
  </w:footnote>
  <w:footnote w:id="44">
    <w:p>
      <w:pPr>
        <w:pStyle w:val="footnote text"/>
      </w:pPr>
      <w:r>
        <w:rPr>
          <w:rFonts w:ascii="Arial" w:cs="Arial" w:hAnsi="Arial" w:eastAsia="Arial"/>
          <w:sz w:val="22"/>
          <w:szCs w:val="22"/>
          <w:vertAlign w:val="superscript"/>
          <w:rtl w:val="0"/>
        </w:rPr>
        <w:footnoteRef/>
      </w:r>
      <w:r>
        <w:rPr>
          <w:rFonts w:ascii="Arial"/>
          <w:sz w:val="18"/>
          <w:szCs w:val="18"/>
          <w:rtl w:val="0"/>
          <w:lang w:val="fr-FR"/>
        </w:rPr>
        <w:t xml:space="preserve"> Pg. 48, Par. 149</w:t>
      </w:r>
    </w:p>
  </w:footnote>
  <w:footnote w:id="45">
    <w:p>
      <w:pPr>
        <w:pStyle w:val="footnote text"/>
      </w:pPr>
      <w:r>
        <w:rPr>
          <w:rFonts w:ascii="Arial" w:cs="Arial" w:hAnsi="Arial" w:eastAsia="Arial"/>
          <w:sz w:val="22"/>
          <w:szCs w:val="22"/>
          <w:vertAlign w:val="superscript"/>
          <w:rtl w:val="0"/>
        </w:rPr>
        <w:footnoteRef/>
      </w:r>
      <w:r>
        <w:rPr>
          <w:rFonts w:ascii="Arial"/>
          <w:sz w:val="18"/>
          <w:szCs w:val="18"/>
          <w:rtl w:val="0"/>
          <w:lang w:val="fr-FR"/>
        </w:rPr>
        <w:t xml:space="preserve"> Pg. 58, Par 181</w:t>
      </w:r>
    </w:p>
  </w:footnote>
  <w:footnote w:id="46">
    <w:p>
      <w:pPr>
        <w:pStyle w:val="footnote text"/>
      </w:pPr>
      <w:r>
        <w:rPr>
          <w:rFonts w:ascii="Arial" w:cs="Arial" w:hAnsi="Arial" w:eastAsia="Arial"/>
          <w:vertAlign w:val="superscript"/>
          <w:rtl w:val="0"/>
        </w:rPr>
        <w:footnoteRef/>
      </w:r>
      <w:r>
        <w:rPr>
          <w:rFonts w:ascii="Arial"/>
          <w:sz w:val="18"/>
          <w:szCs w:val="18"/>
          <w:rtl w:val="0"/>
          <w:lang w:val="fr-FR"/>
        </w:rPr>
        <w:t xml:space="preserve"> Pg. 58, Par 182</w:t>
      </w:r>
    </w:p>
  </w:footnote>
  <w:footnote w:id="47">
    <w:p>
      <w:pPr>
        <w:pStyle w:val="footnote text"/>
      </w:pPr>
      <w:r>
        <w:rPr>
          <w:rFonts w:ascii="Arial" w:cs="Arial" w:hAnsi="Arial" w:eastAsia="Arial"/>
          <w:vertAlign w:val="superscript"/>
          <w:rtl w:val="0"/>
        </w:rPr>
        <w:footnoteRef/>
      </w:r>
      <w:r>
        <w:rPr>
          <w:rFonts w:ascii="Arial"/>
          <w:sz w:val="18"/>
          <w:szCs w:val="18"/>
          <w:rtl w:val="0"/>
          <w:lang w:val="en-US"/>
        </w:rPr>
        <w:t xml:space="preserve"> See our response to Q25</w:t>
      </w:r>
    </w:p>
  </w:footnote>
  <w:footnote w:id="48">
    <w:p>
      <w:pPr>
        <w:pStyle w:val="footnote text"/>
      </w:pPr>
      <w:r>
        <w:rPr>
          <w:rFonts w:ascii="Arial" w:cs="Arial" w:hAnsi="Arial" w:eastAsia="Arial"/>
          <w:sz w:val="22"/>
          <w:szCs w:val="22"/>
          <w:vertAlign w:val="superscript"/>
          <w:rtl w:val="0"/>
        </w:rPr>
        <w:footnoteRef/>
      </w:r>
      <w:r>
        <w:rPr>
          <w:rFonts w:ascii="Calibri" w:cs="Calibri" w:hAnsi="Calibri" w:eastAsia="Calibri"/>
          <w:sz w:val="18"/>
          <w:szCs w:val="18"/>
          <w:rtl w:val="0"/>
          <w:lang w:val="en-US"/>
        </w:rPr>
        <w:t xml:space="preserve"> </w:t>
      </w:r>
      <w:r>
        <w:rPr>
          <w:rFonts w:ascii="Calibri" w:cs="Calibri" w:hAnsi="Calibri" w:eastAsia="Calibri"/>
          <w:rtl w:val="0"/>
          <w:lang w:val="en-US"/>
        </w:rPr>
        <w:t>Pg. 58, Par 182</w:t>
      </w:r>
    </w:p>
  </w:footnote>
  <w:footnote w:id="49">
    <w:p>
      <w:pPr>
        <w:pStyle w:val="footnote text"/>
      </w:pPr>
      <w:r>
        <w:rPr>
          <w:rFonts w:ascii="Arial" w:cs="Arial" w:hAnsi="Arial" w:eastAsia="Arial"/>
          <w:sz w:val="22"/>
          <w:szCs w:val="22"/>
          <w:vertAlign w:val="superscript"/>
          <w:rtl w:val="0"/>
        </w:rPr>
        <w:footnoteRef/>
      </w:r>
      <w:r>
        <w:rPr>
          <w:rFonts w:ascii="Calibri" w:cs="Calibri" w:hAnsi="Calibri" w:eastAsia="Calibri"/>
          <w:sz w:val="18"/>
          <w:szCs w:val="18"/>
          <w:rtl w:val="0"/>
          <w:lang w:val="fr-FR"/>
        </w:rPr>
        <w:t xml:space="preserve"> </w:t>
      </w:r>
      <w:r>
        <w:rPr>
          <w:rFonts w:ascii="Calibri" w:cs="Calibri" w:hAnsi="Calibri" w:eastAsia="Calibri"/>
          <w:rtl w:val="0"/>
          <w:lang w:val="fr-FR"/>
        </w:rPr>
        <w:t>Pg 59, Par 188</w:t>
      </w:r>
    </w:p>
  </w:footnote>
  <w:footnote w:id="50">
    <w:p>
      <w:pPr>
        <w:pStyle w:val="footnote text"/>
      </w:pPr>
      <w:r>
        <w:rPr>
          <w:rFonts w:ascii="Arial" w:cs="Arial" w:hAnsi="Arial" w:eastAsia="Arial"/>
          <w:sz w:val="22"/>
          <w:szCs w:val="22"/>
          <w:vertAlign w:val="superscript"/>
          <w:rtl w:val="0"/>
        </w:rPr>
        <w:footnoteRef/>
      </w:r>
      <w:r>
        <w:rPr>
          <w:rFonts w:ascii="Calibri" w:cs="Calibri" w:hAnsi="Calibri" w:eastAsia="Calibri"/>
          <w:sz w:val="18"/>
          <w:szCs w:val="18"/>
          <w:rtl w:val="0"/>
          <w:lang w:val="fr-FR"/>
        </w:rPr>
        <w:t xml:space="preserve"> </w:t>
      </w:r>
      <w:r>
        <w:rPr>
          <w:rFonts w:ascii="Calibri" w:cs="Calibri" w:hAnsi="Calibri" w:eastAsia="Calibri"/>
          <w:rtl w:val="0"/>
          <w:lang w:val="fr-FR"/>
        </w:rPr>
        <w:t>Pg 59, Par 188</w:t>
      </w:r>
    </w:p>
  </w:footnote>
  <w:footnote w:id="51">
    <w:p>
      <w:pPr>
        <w:pStyle w:val="footnote text"/>
      </w:pPr>
      <w:r>
        <w:rPr>
          <w:rFonts w:ascii="Arial" w:cs="Arial" w:hAnsi="Arial" w:eastAsia="Arial"/>
          <w:sz w:val="22"/>
          <w:szCs w:val="22"/>
          <w:vertAlign w:val="superscript"/>
          <w:rtl w:val="0"/>
        </w:rPr>
        <w:footnoteRef/>
      </w:r>
      <w:r>
        <w:rPr>
          <w:rFonts w:ascii="Calibri" w:cs="Calibri" w:hAnsi="Calibri" w:eastAsia="Calibri"/>
          <w:sz w:val="18"/>
          <w:szCs w:val="18"/>
          <w:rtl w:val="0"/>
          <w:lang w:val="fr-FR"/>
        </w:rPr>
        <w:t xml:space="preserve"> </w:t>
      </w:r>
      <w:r>
        <w:rPr>
          <w:rFonts w:ascii="Calibri" w:cs="Calibri" w:hAnsi="Calibri" w:eastAsia="Calibri"/>
          <w:rtl w:val="0"/>
          <w:lang w:val="fr-FR"/>
        </w:rPr>
        <w:t>Pg. 106, 107, Par. 355, 362, Q112</w:t>
      </w:r>
    </w:p>
  </w:footnote>
  <w:footnote w:id="52">
    <w:p>
      <w:pPr>
        <w:pStyle w:val="footnote text"/>
      </w:pPr>
      <w:r>
        <w:rPr>
          <w:rFonts w:ascii="Arial" w:cs="Arial" w:hAnsi="Arial" w:eastAsia="Arial"/>
          <w:sz w:val="22"/>
          <w:szCs w:val="22"/>
          <w:vertAlign w:val="superscript"/>
          <w:rtl w:val="0"/>
        </w:rPr>
        <w:footnoteRef/>
      </w:r>
      <w:r>
        <w:rPr>
          <w:rFonts w:ascii="Calibri" w:cs="Calibri" w:hAnsi="Calibri" w:eastAsia="Calibri"/>
          <w:rtl w:val="0"/>
          <w:lang w:val="fr-FR"/>
        </w:rPr>
        <w:t xml:space="preserve"> Pg. 73, Par. 228</w:t>
      </w:r>
    </w:p>
  </w:footnote>
  <w:footnote w:id="53">
    <w:p>
      <w:pPr>
        <w:pStyle w:val="footnote text"/>
      </w:pPr>
      <w:r>
        <w:rPr>
          <w:rFonts w:ascii="Arial" w:cs="Arial" w:hAnsi="Arial" w:eastAsia="Arial"/>
          <w:sz w:val="22"/>
          <w:szCs w:val="22"/>
          <w:vertAlign w:val="superscript"/>
          <w:rtl w:val="0"/>
        </w:rPr>
        <w:footnoteRef/>
      </w:r>
      <w:r>
        <w:rPr>
          <w:rFonts w:ascii="Calibri" w:cs="Calibri" w:hAnsi="Calibri" w:eastAsia="Calibri"/>
          <w:rtl w:val="0"/>
          <w:lang w:val="fr-FR"/>
        </w:rPr>
        <w:t xml:space="preserve"> Pg. 82, Par. 264</w:t>
      </w:r>
    </w:p>
  </w:footnote>
  <w:footnote w:id="54">
    <w:p>
      <w:pPr>
        <w:pStyle w:val="footnote text"/>
      </w:pPr>
      <w:r>
        <w:rPr>
          <w:rFonts w:ascii="Arial" w:cs="Arial" w:hAnsi="Arial" w:eastAsia="Arial"/>
          <w:sz w:val="22"/>
          <w:szCs w:val="22"/>
          <w:vertAlign w:val="superscript"/>
          <w:rtl w:val="0"/>
        </w:rPr>
        <w:footnoteRef/>
      </w:r>
      <w:r>
        <w:rPr>
          <w:rFonts w:ascii="Calibri" w:cs="Calibri" w:hAnsi="Calibri" w:eastAsia="Calibri"/>
          <w:rtl w:val="0"/>
          <w:lang w:val="fr-FR"/>
        </w:rPr>
        <w:t xml:space="preserve"> Pg. 100, Par. 331</w:t>
      </w:r>
    </w:p>
  </w:footnote>
  <w:footnote w:id="55">
    <w:p>
      <w:pPr>
        <w:pStyle w:val="footnote text"/>
      </w:pPr>
      <w:r>
        <w:rPr>
          <w:rFonts w:ascii="Arial" w:cs="Arial" w:hAnsi="Arial" w:eastAsia="Arial"/>
          <w:sz w:val="22"/>
          <w:szCs w:val="22"/>
          <w:vertAlign w:val="superscript"/>
          <w:rtl w:val="0"/>
        </w:rPr>
        <w:footnoteRef/>
      </w:r>
      <w:r>
        <w:rPr>
          <w:rFonts w:ascii="Calibri" w:cs="Calibri" w:hAnsi="Calibri" w:eastAsia="Calibri"/>
          <w:rtl w:val="0"/>
          <w:lang w:val="fr-FR"/>
        </w:rPr>
        <w:t xml:space="preserve"> Pg. 104, Par. 348</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pPr>
    <w:r>
      <mc:AlternateContent>
        <mc:Choice Requires="wps">
          <w:drawing>
            <wp:anchor distT="152400" distB="152400" distL="152400" distR="152400" simplePos="0" relativeHeight="251658240" behindDoc="1" locked="0" layoutInCell="1" allowOverlap="1">
              <wp:simplePos x="0" y="0"/>
              <wp:positionH relativeFrom="page">
                <wp:posOffset>1269046</wp:posOffset>
              </wp:positionH>
              <wp:positionV relativeFrom="page">
                <wp:posOffset>891222</wp:posOffset>
              </wp:positionV>
              <wp:extent cx="1" cy="558166"/>
              <wp:effectExtent l="0" t="0" r="0" b="0"/>
              <wp:wrapNone/>
              <wp:docPr id="1073741825" name="officeArt object"/>
              <wp:cNvGraphicFramePr/>
              <a:graphic xmlns:a="http://schemas.openxmlformats.org/drawingml/2006/main">
                <a:graphicData uri="http://schemas.microsoft.com/office/word/2010/wordprocessingShape">
                  <wps:wsp>
                    <wps:cNvSpPr/>
                    <wps:spPr>
                      <a:xfrm flipH="1">
                        <a:off x="0" y="0"/>
                        <a:ext cx="1" cy="558166"/>
                      </a:xfrm>
                      <a:prstGeom prst="line">
                        <a:avLst/>
                      </a:prstGeom>
                      <a:noFill/>
                      <a:ln w="12700" cap="flat">
                        <a:solidFill>
                          <a:srgbClr val="283583"/>
                        </a:solidFill>
                        <a:prstDash val="solid"/>
                        <a:round/>
                      </a:ln>
                      <a:effectLst/>
                    </wps:spPr>
                    <wps:bodyPr/>
                  </wps:wsp>
                </a:graphicData>
              </a:graphic>
            </wp:anchor>
          </w:drawing>
        </mc:Choice>
        <mc:Fallback>
          <w:pict>
            <v:line id="_x0000_s1026" style="visibility:visible;position:absolute;margin-left:99.9pt;margin-top:70.2pt;width:0.0pt;height:44.0pt;z-index:-251658240;mso-position-horizontal:absolute;mso-position-horizontal-relative:page;mso-position-vertical:absolute;mso-position-vertical-relative:page;mso-wrap-distance-left:12.0pt;mso-wrap-distance-top:12.0pt;mso-wrap-distance-right:12.0pt;mso-wrap-distance-bottom:12.0pt;flip:x;">
              <v:fill on="f"/>
              <v:stroke filltype="solid" color="#283583" opacity="100.0%" weight="1.0pt" dashstyle="solid" endcap="flat" joinstyle="round" linestyle="single" startarrow="none" startarrowwidth="medium" startarrowlength="medium" endarrow="none" endarrowwidth="medium" endarrowlength="medium"/>
              <w10:wrap type="none" side="bothSides" anchorx="page" anchory="page"/>
            </v:line>
          </w:pict>
        </mc:Fallback>
      </mc:AlternateContent>
    </w:r>
    <w:r>
      <w:drawing>
        <wp:anchor distT="152400" distB="152400" distL="152400" distR="152400" simplePos="0" relativeHeight="251659264" behindDoc="1" locked="0" layoutInCell="1" allowOverlap="1">
          <wp:simplePos x="0" y="0"/>
          <wp:positionH relativeFrom="page">
            <wp:posOffset>791844</wp:posOffset>
          </wp:positionH>
          <wp:positionV relativeFrom="page">
            <wp:posOffset>612140</wp:posOffset>
          </wp:positionV>
          <wp:extent cx="561975" cy="561975"/>
          <wp:effectExtent l="0" t="0" r="0" b="0"/>
          <wp:wrapNone/>
          <wp:docPr id="1073741826" name="officeArt object" descr="esma_8_V3_no_claim"/>
          <wp:cNvGraphicFramePr/>
          <a:graphic xmlns:a="http://schemas.openxmlformats.org/drawingml/2006/main">
            <a:graphicData uri="http://schemas.openxmlformats.org/drawingml/2006/picture">
              <pic:pic xmlns:pic="http://schemas.openxmlformats.org/drawingml/2006/picture">
                <pic:nvPicPr>
                  <pic:cNvPr id="1073741826" name="image1.jpg" descr="esma_8_V3_no_claim"/>
                  <pic:cNvPicPr/>
                </pic:nvPicPr>
                <pic:blipFill>
                  <a:blip r:embed="rId1">
                    <a:extLst/>
                  </a:blip>
                  <a:stretch>
                    <a:fillRect/>
                  </a:stretch>
                </pic:blipFill>
                <pic:spPr>
                  <a:xfrm>
                    <a:off x="0" y="0"/>
                    <a:ext cx="561975" cy="561975"/>
                  </a:xfrm>
                  <a:prstGeom prst="rect">
                    <a:avLst/>
                  </a:prstGeom>
                  <a:ln w="12700" cap="flat">
                    <a:noFill/>
                    <a:miter lim="400000"/>
                  </a:ln>
                  <a:effectLst/>
                </pic:spPr>
              </pic:pic>
            </a:graphicData>
          </a:graphic>
        </wp:anchor>
      </w:drawing>
    </w:r>
    <w:r>
      <mc:AlternateContent>
        <mc:Choice Requires="wps">
          <w:drawing>
            <wp:anchor distT="152400" distB="152400" distL="152400" distR="152400" simplePos="0" relativeHeight="251660288" behindDoc="1" locked="0" layoutInCell="1" allowOverlap="1">
              <wp:simplePos x="0" y="0"/>
              <wp:positionH relativeFrom="page">
                <wp:posOffset>1584325</wp:posOffset>
              </wp:positionH>
              <wp:positionV relativeFrom="page">
                <wp:posOffset>9293859</wp:posOffset>
              </wp:positionV>
              <wp:extent cx="5976621" cy="22860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5976621" cy="228600"/>
                      </a:xfrm>
                      <a:prstGeom prst="rect">
                        <a:avLst/>
                      </a:prstGeom>
                    </wps:spPr>
                    <wps:txbx>
                      <w:txbxContent>
                        <w:tbl>
                          <w:tblPr>
                            <w:tblW w:w="9412"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8460"/>
                            <w:gridCol w:w="952"/>
                          </w:tblGrid>
                          <w:tr>
                            <w:tblPrEx>
                              <w:shd w:val="clear" w:color="auto" w:fill="auto"/>
                            </w:tblPrEx>
                            <w:trPr>
                              <w:trHeight w:val="240" w:hRule="atLeast"/>
                            </w:trPr>
                            <w:tc>
                              <w:tcPr>
                                <w:tcW w:type="dxa" w:w="8460"/>
                                <w:tcBorders>
                                  <w:top w:val="nil"/>
                                  <w:left w:val="nil"/>
                                  <w:bottom w:val="nil"/>
                                  <w:right w:val="nil"/>
                                </w:tcBorders>
                                <w:shd w:val="clear" w:color="auto" w:fill="auto"/>
                                <w:tcMar>
                                  <w:top w:type="dxa" w:w="80"/>
                                  <w:left w:type="dxa" w:w="80"/>
                                  <w:bottom w:type="dxa" w:w="80"/>
                                  <w:right w:type="dxa" w:w="80"/>
                                </w:tcMar>
                                <w:vAlign w:val="top"/>
                              </w:tcPr>
                              <w:p/>
                            </w:tc>
                            <w:tc>
                              <w:tcPr>
                                <w:tcW w:type="dxa" w:w="952"/>
                                <w:tcBorders>
                                  <w:top w:val="nil"/>
                                  <w:left w:val="nil"/>
                                  <w:bottom w:val="nil"/>
                                  <w:right w:val="nil"/>
                                </w:tcBorders>
                                <w:shd w:val="clear" w:color="auto" w:fill="auto"/>
                                <w:tcMar>
                                  <w:top w:type="dxa" w:w="80"/>
                                  <w:left w:type="dxa" w:w="80"/>
                                  <w:bottom w:type="dxa" w:w="80"/>
                                  <w:right w:type="dxa" w:w="80"/>
                                </w:tcMar>
                                <w:vAlign w:val="top"/>
                              </w:tcPr>
                              <w:p>
                                <w:pPr>
                                  <w:pStyle w:val="00a_Page number"/>
                                </w:pPr>
                                <w:r>
                                  <w:rPr>
                                    <w:caps w:val="0"/>
                                    <w:smallCaps w:val="0"/>
                                    <w:strike w:val="0"/>
                                    <w:dstrike w:val="0"/>
                                    <w:outline w:val="0"/>
                                    <w:color w:val="000000"/>
                                    <w:spacing w:val="0"/>
                                    <w:kern w:val="0"/>
                                    <w:position w:val="0"/>
                                    <w:sz w:val="22"/>
                                    <w:szCs w:val="22"/>
                                    <w:u w:val="none" w:color="000000"/>
                                    <w:vertAlign w:val="baseline"/>
                                    <w:rtl w:val="0"/>
                                    <w:lang w:val="en-US"/>
                                  </w:rPr>
                                  <w:fldChar w:fldCharType="begin" w:fldLock="0"/>
                                </w:r>
                                <w:r>
                                  <w:rPr>
                                    <w:caps w:val="0"/>
                                    <w:smallCaps w:val="0"/>
                                    <w:strike w:val="0"/>
                                    <w:dstrike w:val="0"/>
                                    <w:outline w:val="0"/>
                                    <w:color w:val="000000"/>
                                    <w:spacing w:val="0"/>
                                    <w:kern w:val="0"/>
                                    <w:position w:val="0"/>
                                    <w:sz w:val="22"/>
                                    <w:szCs w:val="22"/>
                                    <w:u w:val="none" w:color="000000"/>
                                    <w:vertAlign w:val="baseline"/>
                                    <w:rtl w:val="0"/>
                                    <w:lang w:val="en-US"/>
                                  </w:rPr>
                                  <w:t xml:space="preserve"> PAGE </w:t>
                                </w:r>
                                <w:r>
                                  <w:rPr>
                                    <w:caps w:val="0"/>
                                    <w:smallCaps w:val="0"/>
                                    <w:strike w:val="0"/>
                                    <w:dstrike w:val="0"/>
                                    <w:outline w:val="0"/>
                                    <w:color w:val="000000"/>
                                    <w:spacing w:val="0"/>
                                    <w:kern w:val="0"/>
                                    <w:position w:val="0"/>
                                    <w:sz w:val="22"/>
                                    <w:szCs w:val="22"/>
                                    <w:u w:val="none" w:color="000000"/>
                                    <w:vertAlign w:val="baseline"/>
                                    <w:rtl w:val="0"/>
                                    <w:lang w:val="en-US"/>
                                  </w:rPr>
                                  <w:fldChar w:fldCharType="separate" w:fldLock="0"/>
                                </w:r>
                                <w:r>
                                  <w:rPr>
                                    <w:caps w:val="0"/>
                                    <w:smallCaps w:val="0"/>
                                    <w:strike w:val="0"/>
                                    <w:dstrike w:val="0"/>
                                    <w:outline w:val="0"/>
                                    <w:color w:val="000000"/>
                                    <w:spacing w:val="0"/>
                                    <w:kern w:val="0"/>
                                    <w:position w:val="0"/>
                                    <w:sz w:val="22"/>
                                    <w:szCs w:val="22"/>
                                    <w:u w:val="none" w:color="000000"/>
                                    <w:vertAlign w:val="baseline"/>
                                    <w:rtl w:val="0"/>
                                    <w:lang w:val="en-US"/>
                                  </w:rPr>
                                  <w:t>1</w:t>
                                </w:r>
                                <w:r>
                                  <w:rPr>
                                    <w:caps w:val="0"/>
                                    <w:smallCaps w:val="0"/>
                                    <w:strike w:val="0"/>
                                    <w:dstrike w:val="0"/>
                                    <w:outline w:val="0"/>
                                    <w:color w:val="000000"/>
                                    <w:spacing w:val="0"/>
                                    <w:kern w:val="0"/>
                                    <w:position w:val="0"/>
                                    <w:sz w:val="22"/>
                                    <w:szCs w:val="22"/>
                                    <w:u w:val="none" w:color="000000"/>
                                    <w:vertAlign w:val="baseline"/>
                                    <w:rtl w:val="0"/>
                                    <w:lang w:val="en-US"/>
                                  </w:rPr>
                                  <w:fldChar w:fldCharType="end" w:fldLock="0"/>
                                </w:r>
                              </w:p>
                            </w:tc>
                          </w:tr>
                        </w:tbl>
                      </w:txbxContent>
                    </wps:txbx>
                    <wps:bodyPr lIns="0" tIns="0" rIns="0" bIns="0">
                      <a:spAutoFit/>
                    </wps:bodyPr>
                  </wps:wsp>
                </a:graphicData>
              </a:graphic>
            </wp:anchor>
          </w:drawing>
        </mc:Choice>
        <mc:Fallback>
          <w:pict>
            <v:shape id="_x0000_s1027" type="#_x0000_t202" style="visibility:visible;position:absolute;margin-left:124.8pt;margin-top:731.8pt;width:470.6pt;height:18.0pt;z-index:-251656192;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bevel" linestyle="single" startarrow="none" startarrowwidth="medium" startarrowlength="medium" endarrow="none" endarrowwidth="medium" endarrowlength="medium"/>
              <v:textbox>
                <w:txbxContent>
                  <w:tbl>
                    <w:tblPr>
                      <w:tblW w:w="9412"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8460"/>
                      <w:gridCol w:w="952"/>
                    </w:tblGrid>
                    <w:tr>
                      <w:tblPrEx>
                        <w:shd w:val="clear" w:color="auto" w:fill="auto"/>
                      </w:tblPrEx>
                      <w:trPr>
                        <w:trHeight w:val="240" w:hRule="atLeast"/>
                      </w:trPr>
                      <w:tc>
                        <w:tcPr>
                          <w:tcW w:type="dxa" w:w="8460"/>
                          <w:tcBorders>
                            <w:top w:val="nil"/>
                            <w:left w:val="nil"/>
                            <w:bottom w:val="nil"/>
                            <w:right w:val="nil"/>
                          </w:tcBorders>
                          <w:shd w:val="clear" w:color="auto" w:fill="auto"/>
                          <w:tcMar>
                            <w:top w:type="dxa" w:w="80"/>
                            <w:left w:type="dxa" w:w="80"/>
                            <w:bottom w:type="dxa" w:w="80"/>
                            <w:right w:type="dxa" w:w="80"/>
                          </w:tcMar>
                          <w:vAlign w:val="top"/>
                        </w:tcPr>
                        <w:p/>
                      </w:tc>
                      <w:tc>
                        <w:tcPr>
                          <w:tcW w:type="dxa" w:w="952"/>
                          <w:tcBorders>
                            <w:top w:val="nil"/>
                            <w:left w:val="nil"/>
                            <w:bottom w:val="nil"/>
                            <w:right w:val="nil"/>
                          </w:tcBorders>
                          <w:shd w:val="clear" w:color="auto" w:fill="auto"/>
                          <w:tcMar>
                            <w:top w:type="dxa" w:w="80"/>
                            <w:left w:type="dxa" w:w="80"/>
                            <w:bottom w:type="dxa" w:w="80"/>
                            <w:right w:type="dxa" w:w="80"/>
                          </w:tcMar>
                          <w:vAlign w:val="top"/>
                        </w:tcPr>
                        <w:p>
                          <w:pPr>
                            <w:pStyle w:val="00a_Page number"/>
                          </w:pPr>
                          <w:r>
                            <w:rPr>
                              <w:caps w:val="0"/>
                              <w:smallCaps w:val="0"/>
                              <w:strike w:val="0"/>
                              <w:dstrike w:val="0"/>
                              <w:outline w:val="0"/>
                              <w:color w:val="000000"/>
                              <w:spacing w:val="0"/>
                              <w:kern w:val="0"/>
                              <w:position w:val="0"/>
                              <w:sz w:val="22"/>
                              <w:szCs w:val="22"/>
                              <w:u w:val="none" w:color="000000"/>
                              <w:vertAlign w:val="baseline"/>
                              <w:rtl w:val="0"/>
                              <w:lang w:val="en-US"/>
                            </w:rPr>
                            <w:fldChar w:fldCharType="begin" w:fldLock="0"/>
                          </w:r>
                          <w:r>
                            <w:rPr>
                              <w:caps w:val="0"/>
                              <w:smallCaps w:val="0"/>
                              <w:strike w:val="0"/>
                              <w:dstrike w:val="0"/>
                              <w:outline w:val="0"/>
                              <w:color w:val="000000"/>
                              <w:spacing w:val="0"/>
                              <w:kern w:val="0"/>
                              <w:position w:val="0"/>
                              <w:sz w:val="22"/>
                              <w:szCs w:val="22"/>
                              <w:u w:val="none" w:color="000000"/>
                              <w:vertAlign w:val="baseline"/>
                              <w:rtl w:val="0"/>
                              <w:lang w:val="en-US"/>
                            </w:rPr>
                            <w:t xml:space="preserve"> PAGE </w:t>
                          </w:r>
                          <w:r>
                            <w:rPr>
                              <w:caps w:val="0"/>
                              <w:smallCaps w:val="0"/>
                              <w:strike w:val="0"/>
                              <w:dstrike w:val="0"/>
                              <w:outline w:val="0"/>
                              <w:color w:val="000000"/>
                              <w:spacing w:val="0"/>
                              <w:kern w:val="0"/>
                              <w:position w:val="0"/>
                              <w:sz w:val="22"/>
                              <w:szCs w:val="22"/>
                              <w:u w:val="none" w:color="000000"/>
                              <w:vertAlign w:val="baseline"/>
                              <w:rtl w:val="0"/>
                              <w:lang w:val="en-US"/>
                            </w:rPr>
                            <w:fldChar w:fldCharType="separate" w:fldLock="0"/>
                          </w:r>
                          <w:r>
                            <w:rPr>
                              <w:caps w:val="0"/>
                              <w:smallCaps w:val="0"/>
                              <w:strike w:val="0"/>
                              <w:dstrike w:val="0"/>
                              <w:outline w:val="0"/>
                              <w:color w:val="000000"/>
                              <w:spacing w:val="0"/>
                              <w:kern w:val="0"/>
                              <w:position w:val="0"/>
                              <w:sz w:val="22"/>
                              <w:szCs w:val="22"/>
                              <w:u w:val="none" w:color="000000"/>
                              <w:vertAlign w:val="baseline"/>
                              <w:rtl w:val="0"/>
                              <w:lang w:val="en-US"/>
                            </w:rPr>
                            <w:t>1</w:t>
                          </w:r>
                          <w:r>
                            <w:rPr>
                              <w:caps w:val="0"/>
                              <w:smallCaps w:val="0"/>
                              <w:strike w:val="0"/>
                              <w:dstrike w:val="0"/>
                              <w:outline w:val="0"/>
                              <w:color w:val="000000"/>
                              <w:spacing w:val="0"/>
                              <w:kern w:val="0"/>
                              <w:position w:val="0"/>
                              <w:sz w:val="22"/>
                              <w:szCs w:val="22"/>
                              <w:u w:val="none" w:color="000000"/>
                              <w:vertAlign w:val="baseline"/>
                              <w:rtl w:val="0"/>
                              <w:lang w:val="en-US"/>
                            </w:rPr>
                            <w:fldChar w:fldCharType="end" w:fldLock="0"/>
                          </w:r>
                        </w:p>
                      </w:tc>
                    </w:tr>
                  </w:tbl>
                </w:txbxContent>
              </v:textbox>
              <w10:wrap type="none" side="bothSides" anchorx="page" anchory="page"/>
            </v:shape>
          </w:pict>
        </mc:Fallback>
      </mc:AlternateConten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jc w:val="right"/>
    </w:pPr>
    <w:r>
      <w:drawing>
        <wp:anchor distT="152400" distB="152400" distL="152400" distR="152400" simplePos="0" relativeHeight="251658240" behindDoc="1" locked="0" layoutInCell="1" allowOverlap="1">
          <wp:simplePos x="0" y="0"/>
          <wp:positionH relativeFrom="page">
            <wp:posOffset>0</wp:posOffset>
          </wp:positionH>
          <wp:positionV relativeFrom="page">
            <wp:posOffset>3895725</wp:posOffset>
          </wp:positionV>
          <wp:extent cx="7560310" cy="6800850"/>
          <wp:effectExtent l="0" t="0" r="0" b="0"/>
          <wp:wrapNone/>
          <wp:docPr id="1073741828" name="officeArt object" descr="report_db"/>
          <wp:cNvGraphicFramePr/>
          <a:graphic xmlns:a="http://schemas.openxmlformats.org/drawingml/2006/main">
            <a:graphicData uri="http://schemas.openxmlformats.org/drawingml/2006/picture">
              <pic:pic xmlns:pic="http://schemas.openxmlformats.org/drawingml/2006/picture">
                <pic:nvPicPr>
                  <pic:cNvPr id="1073741828" name="image3.jpeg" descr="report_db"/>
                  <pic:cNvPicPr/>
                </pic:nvPicPr>
                <pic:blipFill>
                  <a:blip r:embed="rId1">
                    <a:extLst/>
                  </a:blip>
                  <a:stretch>
                    <a:fillRect/>
                  </a:stretch>
                </pic:blipFill>
                <pic:spPr>
                  <a:xfrm>
                    <a:off x="0" y="0"/>
                    <a:ext cx="7560310" cy="6800850"/>
                  </a:xfrm>
                  <a:prstGeom prst="rect">
                    <a:avLst/>
                  </a:prstGeom>
                  <a:ln w="12700" cap="flat">
                    <a:noFill/>
                    <a:miter lim="400000"/>
                  </a:ln>
                  <a:effectLst/>
                </pic:spPr>
              </pic:pic>
            </a:graphicData>
          </a:graphic>
        </wp:anchor>
      </w:drawing>
    </w:r>
    <w:r>
      <w:drawing>
        <wp:anchor distT="152400" distB="152400" distL="152400" distR="152400" simplePos="0" relativeHeight="251659264" behindDoc="1" locked="0" layoutInCell="1" allowOverlap="1">
          <wp:simplePos x="0" y="0"/>
          <wp:positionH relativeFrom="page">
            <wp:posOffset>377825</wp:posOffset>
          </wp:positionH>
          <wp:positionV relativeFrom="page">
            <wp:posOffset>377825</wp:posOffset>
          </wp:positionV>
          <wp:extent cx="2209800" cy="904875"/>
          <wp:effectExtent l="0" t="0" r="0" b="0"/>
          <wp:wrapNone/>
          <wp:docPr id="1073741829" name="officeArt object" descr="esma_8_V3"/>
          <wp:cNvGraphicFramePr/>
          <a:graphic xmlns:a="http://schemas.openxmlformats.org/drawingml/2006/main">
            <a:graphicData uri="http://schemas.openxmlformats.org/drawingml/2006/picture">
              <pic:pic xmlns:pic="http://schemas.openxmlformats.org/drawingml/2006/picture">
                <pic:nvPicPr>
                  <pic:cNvPr id="1073741829" name="image2.jpg" descr="esma_8_V3"/>
                  <pic:cNvPicPr/>
                </pic:nvPicPr>
                <pic:blipFill>
                  <a:blip r:embed="rId2">
                    <a:extLst/>
                  </a:blip>
                  <a:stretch>
                    <a:fillRect/>
                  </a:stretch>
                </pic:blipFill>
                <pic:spPr>
                  <a:xfrm>
                    <a:off x="0" y="0"/>
                    <a:ext cx="2209800" cy="904875"/>
                  </a:xfrm>
                  <a:prstGeom prst="rect">
                    <a:avLst/>
                  </a:prstGeom>
                  <a:ln w="12700" cap="flat">
                    <a:noFill/>
                    <a:miter lim="400000"/>
                  </a:ln>
                  <a:effectLst/>
                </pic:spPr>
              </pic:pic>
            </a:graphicData>
          </a:graphic>
        </wp:anchor>
      </w:drawing>
    </w:r>
    <w:r>
      <w:rPr>
        <w:rtl w:val="0"/>
        <w:lang w:val="en-US"/>
      </w:rPr>
      <w:t xml:space="preserve"> </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3">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4">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5">
    <w:multiLevelType w:val="multilevel"/>
    <w:lvl w:ilvl="0">
      <w:start w:val="1"/>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6">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7">
    <w:multiLevelType w:val="multilevel"/>
    <w:styleLink w:val="List 1"/>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8">
    <w:multiLevelType w:val="multilevel"/>
    <w:styleLink w:val="List 1"/>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9">
    <w:multiLevelType w:val="multilevel"/>
    <w:styleLink w:val="List 1"/>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10">
    <w:multiLevelType w:val="multilevel"/>
    <w:lvl w:ilvl="0">
      <w:start w:val="1"/>
      <w:numFmt w:val="bullet"/>
      <w:suff w:val="tab"/>
      <w:lvlText w:val="•"/>
      <w:lvlJc w:val="left"/>
      <w:pPr>
        <w:tabs>
          <w:tab w:val="num" w:pos="360"/>
          <w:tab w:val="clear" w:pos="0"/>
        </w:tabs>
        <w:ind w:left="360" w:hanging="360"/>
      </w:pPr>
      <w:rPr>
        <w:rFonts w:ascii="Arial" w:cs="Arial" w:hAnsi="Arial" w:eastAsia="Arial"/>
        <w:position w:val="0"/>
        <w:sz w:val="22"/>
        <w:szCs w:val="22"/>
        <w:lang w:val="en-US"/>
      </w:rPr>
    </w:lvl>
    <w:lvl w:ilvl="1">
      <w:start w:val="1"/>
      <w:numFmt w:val="bullet"/>
      <w:suff w:val="tab"/>
      <w:lvlText w:val="o"/>
      <w:lvlJc w:val="left"/>
      <w:pPr>
        <w:tabs>
          <w:tab w:val="num" w:pos="1050"/>
          <w:tab w:val="clear" w:pos="0"/>
        </w:tabs>
        <w:ind w:left="1050" w:hanging="330"/>
      </w:pPr>
      <w:rPr>
        <w:rFonts w:ascii="Arial" w:cs="Arial" w:hAnsi="Arial" w:eastAsia="Arial"/>
        <w:position w:val="0"/>
        <w:sz w:val="22"/>
        <w:szCs w:val="22"/>
        <w:lang w:val="en-US"/>
      </w:rPr>
    </w:lvl>
    <w:lvl w:ilvl="2">
      <w:start w:val="1"/>
      <w:numFmt w:val="bullet"/>
      <w:suff w:val="tab"/>
      <w:lvlText w:val="▪"/>
      <w:lvlJc w:val="left"/>
      <w:pPr>
        <w:tabs>
          <w:tab w:val="num" w:pos="1770"/>
          <w:tab w:val="clear" w:pos="0"/>
        </w:tabs>
        <w:ind w:left="1770" w:hanging="330"/>
      </w:pPr>
      <w:rPr>
        <w:rFonts w:ascii="Arial" w:cs="Arial" w:hAnsi="Arial" w:eastAsia="Arial"/>
        <w:position w:val="0"/>
        <w:sz w:val="22"/>
        <w:szCs w:val="22"/>
        <w:lang w:val="en-US"/>
      </w:rPr>
    </w:lvl>
    <w:lvl w:ilvl="3">
      <w:start w:val="1"/>
      <w:numFmt w:val="bullet"/>
      <w:suff w:val="tab"/>
      <w:lvlText w:val="•"/>
      <w:lvlJc w:val="left"/>
      <w:pPr>
        <w:tabs>
          <w:tab w:val="num" w:pos="2490"/>
          <w:tab w:val="clear" w:pos="0"/>
        </w:tabs>
        <w:ind w:left="2490" w:hanging="330"/>
      </w:pPr>
      <w:rPr>
        <w:rFonts w:ascii="Arial" w:cs="Arial" w:hAnsi="Arial" w:eastAsia="Arial"/>
        <w:position w:val="0"/>
        <w:sz w:val="22"/>
        <w:szCs w:val="22"/>
        <w:lang w:val="en-US"/>
      </w:rPr>
    </w:lvl>
    <w:lvl w:ilvl="4">
      <w:start w:val="1"/>
      <w:numFmt w:val="bullet"/>
      <w:suff w:val="tab"/>
      <w:lvlText w:val="o"/>
      <w:lvlJc w:val="left"/>
      <w:pPr>
        <w:tabs>
          <w:tab w:val="num" w:pos="3210"/>
          <w:tab w:val="clear" w:pos="0"/>
        </w:tabs>
        <w:ind w:left="3210" w:hanging="330"/>
      </w:pPr>
      <w:rPr>
        <w:rFonts w:ascii="Arial" w:cs="Arial" w:hAnsi="Arial" w:eastAsia="Arial"/>
        <w:position w:val="0"/>
        <w:sz w:val="22"/>
        <w:szCs w:val="22"/>
        <w:lang w:val="en-US"/>
      </w:rPr>
    </w:lvl>
    <w:lvl w:ilvl="5">
      <w:start w:val="1"/>
      <w:numFmt w:val="bullet"/>
      <w:suff w:val="tab"/>
      <w:lvlText w:val="▪"/>
      <w:lvlJc w:val="left"/>
      <w:pPr>
        <w:tabs>
          <w:tab w:val="num" w:pos="3930"/>
          <w:tab w:val="clear" w:pos="0"/>
        </w:tabs>
        <w:ind w:left="3930" w:hanging="330"/>
      </w:pPr>
      <w:rPr>
        <w:rFonts w:ascii="Arial" w:cs="Arial" w:hAnsi="Arial" w:eastAsia="Arial"/>
        <w:position w:val="0"/>
        <w:sz w:val="22"/>
        <w:szCs w:val="22"/>
        <w:lang w:val="en-US"/>
      </w:rPr>
    </w:lvl>
    <w:lvl w:ilvl="6">
      <w:start w:val="1"/>
      <w:numFmt w:val="bullet"/>
      <w:suff w:val="tab"/>
      <w:lvlText w:val="•"/>
      <w:lvlJc w:val="left"/>
      <w:pPr>
        <w:tabs>
          <w:tab w:val="num" w:pos="4650"/>
          <w:tab w:val="clear" w:pos="0"/>
        </w:tabs>
        <w:ind w:left="4650" w:hanging="330"/>
      </w:pPr>
      <w:rPr>
        <w:rFonts w:ascii="Arial" w:cs="Arial" w:hAnsi="Arial" w:eastAsia="Arial"/>
        <w:position w:val="0"/>
        <w:sz w:val="22"/>
        <w:szCs w:val="22"/>
        <w:lang w:val="en-US"/>
      </w:rPr>
    </w:lvl>
    <w:lvl w:ilvl="7">
      <w:start w:val="1"/>
      <w:numFmt w:val="bullet"/>
      <w:suff w:val="tab"/>
      <w:lvlText w:val="o"/>
      <w:lvlJc w:val="left"/>
      <w:pPr>
        <w:tabs>
          <w:tab w:val="num" w:pos="5370"/>
          <w:tab w:val="clear" w:pos="0"/>
        </w:tabs>
        <w:ind w:left="5370" w:hanging="330"/>
      </w:pPr>
      <w:rPr>
        <w:rFonts w:ascii="Arial" w:cs="Arial" w:hAnsi="Arial" w:eastAsia="Arial"/>
        <w:position w:val="0"/>
        <w:sz w:val="22"/>
        <w:szCs w:val="22"/>
        <w:lang w:val="en-US"/>
      </w:rPr>
    </w:lvl>
    <w:lvl w:ilvl="8">
      <w:start w:val="1"/>
      <w:numFmt w:val="bullet"/>
      <w:suff w:val="tab"/>
      <w:lvlText w:val="▪"/>
      <w:lvlJc w:val="left"/>
      <w:pPr>
        <w:tabs>
          <w:tab w:val="num" w:pos="6090"/>
          <w:tab w:val="clear" w:pos="0"/>
        </w:tabs>
        <w:ind w:left="6090" w:hanging="330"/>
      </w:pPr>
      <w:rPr>
        <w:rFonts w:ascii="Arial" w:cs="Arial" w:hAnsi="Arial" w:eastAsia="Arial"/>
        <w:position w:val="0"/>
        <w:sz w:val="22"/>
        <w:szCs w:val="22"/>
        <w:lang w:val="en-US"/>
      </w:rPr>
    </w:lvl>
  </w:abstractNum>
  <w:abstractNum w:abstractNumId="11">
    <w:multiLevelType w:val="multilevel"/>
    <w:lvl w:ilvl="0">
      <w:start w:val="1"/>
      <w:numFmt w:val="upperRoman"/>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12">
    <w:multiLevelType w:val="multilevel"/>
    <w:styleLink w:val="List 2"/>
    <w:lvl w:ilvl="0">
      <w:start w:val="0"/>
      <w:numFmt w:val="bullet"/>
      <w:suff w:val="tab"/>
      <w:lvlText w:val="•"/>
      <w:lvlJc w:val="left"/>
      <w:pPr>
        <w:tabs>
          <w:tab w:val="num" w:pos="360"/>
          <w:tab w:val="clear" w:pos="0"/>
        </w:tabs>
        <w:ind w:left="360" w:hanging="360"/>
      </w:pPr>
      <w:rPr>
        <w:rFonts w:ascii="Arial" w:cs="Arial" w:hAnsi="Arial" w:eastAsia="Arial"/>
        <w:position w:val="0"/>
        <w:sz w:val="24"/>
        <w:szCs w:val="24"/>
        <w:lang w:val="en-US"/>
      </w:rPr>
    </w:lvl>
    <w:lvl w:ilvl="1">
      <w:start w:val="1"/>
      <w:numFmt w:val="bullet"/>
      <w:suff w:val="tab"/>
      <w:lvlText w:val="o"/>
      <w:lvlJc w:val="left"/>
      <w:pPr>
        <w:tabs>
          <w:tab w:val="num" w:pos="1050"/>
          <w:tab w:val="clear" w:pos="0"/>
        </w:tabs>
        <w:ind w:left="1050" w:hanging="330"/>
      </w:pPr>
      <w:rPr>
        <w:rFonts w:ascii="Arial" w:cs="Arial" w:hAnsi="Arial" w:eastAsia="Arial"/>
        <w:position w:val="0"/>
        <w:sz w:val="22"/>
        <w:szCs w:val="22"/>
        <w:lang w:val="en-US"/>
      </w:rPr>
    </w:lvl>
    <w:lvl w:ilvl="2">
      <w:start w:val="1"/>
      <w:numFmt w:val="bullet"/>
      <w:suff w:val="tab"/>
      <w:lvlText w:val="▪"/>
      <w:lvlJc w:val="left"/>
      <w:pPr>
        <w:tabs>
          <w:tab w:val="num" w:pos="1770"/>
          <w:tab w:val="clear" w:pos="0"/>
        </w:tabs>
        <w:ind w:left="1770" w:hanging="330"/>
      </w:pPr>
      <w:rPr>
        <w:rFonts w:ascii="Arial" w:cs="Arial" w:hAnsi="Arial" w:eastAsia="Arial"/>
        <w:position w:val="0"/>
        <w:sz w:val="22"/>
        <w:szCs w:val="22"/>
        <w:lang w:val="en-US"/>
      </w:rPr>
    </w:lvl>
    <w:lvl w:ilvl="3">
      <w:start w:val="1"/>
      <w:numFmt w:val="bullet"/>
      <w:suff w:val="tab"/>
      <w:lvlText w:val="•"/>
      <w:lvlJc w:val="left"/>
      <w:pPr>
        <w:tabs>
          <w:tab w:val="num" w:pos="2490"/>
          <w:tab w:val="clear" w:pos="0"/>
        </w:tabs>
        <w:ind w:left="2490" w:hanging="330"/>
      </w:pPr>
      <w:rPr>
        <w:rFonts w:ascii="Arial" w:cs="Arial" w:hAnsi="Arial" w:eastAsia="Arial"/>
        <w:position w:val="0"/>
        <w:sz w:val="22"/>
        <w:szCs w:val="22"/>
        <w:lang w:val="en-US"/>
      </w:rPr>
    </w:lvl>
    <w:lvl w:ilvl="4">
      <w:start w:val="1"/>
      <w:numFmt w:val="bullet"/>
      <w:suff w:val="tab"/>
      <w:lvlText w:val="o"/>
      <w:lvlJc w:val="left"/>
      <w:pPr>
        <w:tabs>
          <w:tab w:val="num" w:pos="3210"/>
          <w:tab w:val="clear" w:pos="0"/>
        </w:tabs>
        <w:ind w:left="3210" w:hanging="330"/>
      </w:pPr>
      <w:rPr>
        <w:rFonts w:ascii="Arial" w:cs="Arial" w:hAnsi="Arial" w:eastAsia="Arial"/>
        <w:position w:val="0"/>
        <w:sz w:val="22"/>
        <w:szCs w:val="22"/>
        <w:lang w:val="en-US"/>
      </w:rPr>
    </w:lvl>
    <w:lvl w:ilvl="5">
      <w:start w:val="1"/>
      <w:numFmt w:val="bullet"/>
      <w:suff w:val="tab"/>
      <w:lvlText w:val="▪"/>
      <w:lvlJc w:val="left"/>
      <w:pPr>
        <w:tabs>
          <w:tab w:val="num" w:pos="3930"/>
          <w:tab w:val="clear" w:pos="0"/>
        </w:tabs>
        <w:ind w:left="3930" w:hanging="330"/>
      </w:pPr>
      <w:rPr>
        <w:rFonts w:ascii="Arial" w:cs="Arial" w:hAnsi="Arial" w:eastAsia="Arial"/>
        <w:position w:val="0"/>
        <w:sz w:val="22"/>
        <w:szCs w:val="22"/>
        <w:lang w:val="en-US"/>
      </w:rPr>
    </w:lvl>
    <w:lvl w:ilvl="6">
      <w:start w:val="1"/>
      <w:numFmt w:val="bullet"/>
      <w:suff w:val="tab"/>
      <w:lvlText w:val="•"/>
      <w:lvlJc w:val="left"/>
      <w:pPr>
        <w:tabs>
          <w:tab w:val="num" w:pos="4650"/>
          <w:tab w:val="clear" w:pos="0"/>
        </w:tabs>
        <w:ind w:left="4650" w:hanging="330"/>
      </w:pPr>
      <w:rPr>
        <w:rFonts w:ascii="Arial" w:cs="Arial" w:hAnsi="Arial" w:eastAsia="Arial"/>
        <w:position w:val="0"/>
        <w:sz w:val="22"/>
        <w:szCs w:val="22"/>
        <w:lang w:val="en-US"/>
      </w:rPr>
    </w:lvl>
    <w:lvl w:ilvl="7">
      <w:start w:val="1"/>
      <w:numFmt w:val="bullet"/>
      <w:suff w:val="tab"/>
      <w:lvlText w:val="o"/>
      <w:lvlJc w:val="left"/>
      <w:pPr>
        <w:tabs>
          <w:tab w:val="num" w:pos="5370"/>
          <w:tab w:val="clear" w:pos="0"/>
        </w:tabs>
        <w:ind w:left="5370" w:hanging="330"/>
      </w:pPr>
      <w:rPr>
        <w:rFonts w:ascii="Arial" w:cs="Arial" w:hAnsi="Arial" w:eastAsia="Arial"/>
        <w:position w:val="0"/>
        <w:sz w:val="22"/>
        <w:szCs w:val="22"/>
        <w:lang w:val="en-US"/>
      </w:rPr>
    </w:lvl>
    <w:lvl w:ilvl="8">
      <w:start w:val="1"/>
      <w:numFmt w:val="bullet"/>
      <w:suff w:val="tab"/>
      <w:lvlText w:val="▪"/>
      <w:lvlJc w:val="left"/>
      <w:pPr>
        <w:tabs>
          <w:tab w:val="num" w:pos="6090"/>
          <w:tab w:val="clear" w:pos="0"/>
        </w:tabs>
        <w:ind w:left="6090" w:hanging="330"/>
      </w:pPr>
      <w:rPr>
        <w:rFonts w:ascii="Arial" w:cs="Arial" w:hAnsi="Arial" w:eastAsia="Arial"/>
        <w:position w:val="0"/>
        <w:sz w:val="22"/>
        <w:szCs w:val="22"/>
        <w:lang w:val="en-US"/>
      </w:rPr>
    </w:lvl>
  </w:abstractNum>
  <w:abstractNum w:abstractNumId="13">
    <w:multiLevelType w:val="multilevel"/>
    <w:styleLink w:val="List 2"/>
    <w:lvl w:ilvl="0">
      <w:start w:val="0"/>
      <w:numFmt w:val="bullet"/>
      <w:suff w:val="tab"/>
      <w:lvlText w:val="•"/>
      <w:lvlJc w:val="left"/>
      <w:pPr>
        <w:tabs>
          <w:tab w:val="num" w:pos="360"/>
          <w:tab w:val="clear" w:pos="0"/>
        </w:tabs>
        <w:ind w:left="360" w:hanging="360"/>
      </w:pPr>
      <w:rPr>
        <w:rFonts w:ascii="Arial" w:cs="Arial" w:hAnsi="Arial" w:eastAsia="Arial"/>
        <w:position w:val="0"/>
        <w:sz w:val="24"/>
        <w:szCs w:val="24"/>
        <w:lang w:val="en-US"/>
      </w:rPr>
    </w:lvl>
    <w:lvl w:ilvl="1">
      <w:start w:val="1"/>
      <w:numFmt w:val="bullet"/>
      <w:suff w:val="tab"/>
      <w:lvlText w:val="o"/>
      <w:lvlJc w:val="left"/>
      <w:pPr>
        <w:tabs>
          <w:tab w:val="num" w:pos="1050"/>
          <w:tab w:val="clear" w:pos="0"/>
        </w:tabs>
        <w:ind w:left="1050" w:hanging="330"/>
      </w:pPr>
      <w:rPr>
        <w:rFonts w:ascii="Arial" w:cs="Arial" w:hAnsi="Arial" w:eastAsia="Arial"/>
        <w:position w:val="0"/>
        <w:sz w:val="22"/>
        <w:szCs w:val="22"/>
        <w:lang w:val="en-US"/>
      </w:rPr>
    </w:lvl>
    <w:lvl w:ilvl="2">
      <w:start w:val="1"/>
      <w:numFmt w:val="bullet"/>
      <w:suff w:val="tab"/>
      <w:lvlText w:val="▪"/>
      <w:lvlJc w:val="left"/>
      <w:pPr>
        <w:tabs>
          <w:tab w:val="num" w:pos="1770"/>
          <w:tab w:val="clear" w:pos="0"/>
        </w:tabs>
        <w:ind w:left="1770" w:hanging="330"/>
      </w:pPr>
      <w:rPr>
        <w:rFonts w:ascii="Arial" w:cs="Arial" w:hAnsi="Arial" w:eastAsia="Arial"/>
        <w:position w:val="0"/>
        <w:sz w:val="22"/>
        <w:szCs w:val="22"/>
        <w:lang w:val="en-US"/>
      </w:rPr>
    </w:lvl>
    <w:lvl w:ilvl="3">
      <w:start w:val="1"/>
      <w:numFmt w:val="bullet"/>
      <w:suff w:val="tab"/>
      <w:lvlText w:val="•"/>
      <w:lvlJc w:val="left"/>
      <w:pPr>
        <w:tabs>
          <w:tab w:val="num" w:pos="2490"/>
          <w:tab w:val="clear" w:pos="0"/>
        </w:tabs>
        <w:ind w:left="2490" w:hanging="330"/>
      </w:pPr>
      <w:rPr>
        <w:rFonts w:ascii="Arial" w:cs="Arial" w:hAnsi="Arial" w:eastAsia="Arial"/>
        <w:position w:val="0"/>
        <w:sz w:val="22"/>
        <w:szCs w:val="22"/>
        <w:lang w:val="en-US"/>
      </w:rPr>
    </w:lvl>
    <w:lvl w:ilvl="4">
      <w:start w:val="1"/>
      <w:numFmt w:val="bullet"/>
      <w:suff w:val="tab"/>
      <w:lvlText w:val="o"/>
      <w:lvlJc w:val="left"/>
      <w:pPr>
        <w:tabs>
          <w:tab w:val="num" w:pos="3210"/>
          <w:tab w:val="clear" w:pos="0"/>
        </w:tabs>
        <w:ind w:left="3210" w:hanging="330"/>
      </w:pPr>
      <w:rPr>
        <w:rFonts w:ascii="Arial" w:cs="Arial" w:hAnsi="Arial" w:eastAsia="Arial"/>
        <w:position w:val="0"/>
        <w:sz w:val="22"/>
        <w:szCs w:val="22"/>
        <w:lang w:val="en-US"/>
      </w:rPr>
    </w:lvl>
    <w:lvl w:ilvl="5">
      <w:start w:val="1"/>
      <w:numFmt w:val="bullet"/>
      <w:suff w:val="tab"/>
      <w:lvlText w:val="▪"/>
      <w:lvlJc w:val="left"/>
      <w:pPr>
        <w:tabs>
          <w:tab w:val="num" w:pos="3930"/>
          <w:tab w:val="clear" w:pos="0"/>
        </w:tabs>
        <w:ind w:left="3930" w:hanging="330"/>
      </w:pPr>
      <w:rPr>
        <w:rFonts w:ascii="Arial" w:cs="Arial" w:hAnsi="Arial" w:eastAsia="Arial"/>
        <w:position w:val="0"/>
        <w:sz w:val="22"/>
        <w:szCs w:val="22"/>
        <w:lang w:val="en-US"/>
      </w:rPr>
    </w:lvl>
    <w:lvl w:ilvl="6">
      <w:start w:val="1"/>
      <w:numFmt w:val="bullet"/>
      <w:suff w:val="tab"/>
      <w:lvlText w:val="•"/>
      <w:lvlJc w:val="left"/>
      <w:pPr>
        <w:tabs>
          <w:tab w:val="num" w:pos="4650"/>
          <w:tab w:val="clear" w:pos="0"/>
        </w:tabs>
        <w:ind w:left="4650" w:hanging="330"/>
      </w:pPr>
      <w:rPr>
        <w:rFonts w:ascii="Arial" w:cs="Arial" w:hAnsi="Arial" w:eastAsia="Arial"/>
        <w:position w:val="0"/>
        <w:sz w:val="22"/>
        <w:szCs w:val="22"/>
        <w:lang w:val="en-US"/>
      </w:rPr>
    </w:lvl>
    <w:lvl w:ilvl="7">
      <w:start w:val="1"/>
      <w:numFmt w:val="bullet"/>
      <w:suff w:val="tab"/>
      <w:lvlText w:val="o"/>
      <w:lvlJc w:val="left"/>
      <w:pPr>
        <w:tabs>
          <w:tab w:val="num" w:pos="5370"/>
          <w:tab w:val="clear" w:pos="0"/>
        </w:tabs>
        <w:ind w:left="5370" w:hanging="330"/>
      </w:pPr>
      <w:rPr>
        <w:rFonts w:ascii="Arial" w:cs="Arial" w:hAnsi="Arial" w:eastAsia="Arial"/>
        <w:position w:val="0"/>
        <w:sz w:val="22"/>
        <w:szCs w:val="22"/>
        <w:lang w:val="en-US"/>
      </w:rPr>
    </w:lvl>
    <w:lvl w:ilvl="8">
      <w:start w:val="1"/>
      <w:numFmt w:val="bullet"/>
      <w:suff w:val="tab"/>
      <w:lvlText w:val="▪"/>
      <w:lvlJc w:val="left"/>
      <w:pPr>
        <w:tabs>
          <w:tab w:val="num" w:pos="6090"/>
          <w:tab w:val="clear" w:pos="0"/>
        </w:tabs>
        <w:ind w:left="6090" w:hanging="330"/>
      </w:pPr>
      <w:rPr>
        <w:rFonts w:ascii="Arial" w:cs="Arial" w:hAnsi="Arial" w:eastAsia="Arial"/>
        <w:position w:val="0"/>
        <w:sz w:val="22"/>
        <w:szCs w:val="22"/>
        <w:lang w:val="en-US"/>
      </w:rPr>
    </w:lvl>
  </w:abstractNum>
  <w:abstractNum w:abstractNumId="14">
    <w:multiLevelType w:val="multilevel"/>
    <w:styleLink w:val="List 2"/>
    <w:lvl w:ilvl="0">
      <w:start w:val="0"/>
      <w:numFmt w:val="bullet"/>
      <w:suff w:val="tab"/>
      <w:lvlText w:val="•"/>
      <w:lvlJc w:val="left"/>
      <w:pPr>
        <w:tabs>
          <w:tab w:val="num" w:pos="360"/>
          <w:tab w:val="clear" w:pos="0"/>
        </w:tabs>
        <w:ind w:left="360" w:hanging="360"/>
      </w:pPr>
      <w:rPr>
        <w:rFonts w:ascii="Arial" w:cs="Arial" w:hAnsi="Arial" w:eastAsia="Arial"/>
        <w:position w:val="0"/>
        <w:sz w:val="24"/>
        <w:szCs w:val="24"/>
        <w:lang w:val="en-US"/>
      </w:rPr>
    </w:lvl>
    <w:lvl w:ilvl="1">
      <w:start w:val="1"/>
      <w:numFmt w:val="bullet"/>
      <w:suff w:val="tab"/>
      <w:lvlText w:val="o"/>
      <w:lvlJc w:val="left"/>
      <w:pPr>
        <w:tabs>
          <w:tab w:val="num" w:pos="1050"/>
          <w:tab w:val="clear" w:pos="0"/>
        </w:tabs>
        <w:ind w:left="1050" w:hanging="330"/>
      </w:pPr>
      <w:rPr>
        <w:rFonts w:ascii="Arial" w:cs="Arial" w:hAnsi="Arial" w:eastAsia="Arial"/>
        <w:position w:val="0"/>
        <w:sz w:val="22"/>
        <w:szCs w:val="22"/>
        <w:lang w:val="en-US"/>
      </w:rPr>
    </w:lvl>
    <w:lvl w:ilvl="2">
      <w:start w:val="1"/>
      <w:numFmt w:val="bullet"/>
      <w:suff w:val="tab"/>
      <w:lvlText w:val="▪"/>
      <w:lvlJc w:val="left"/>
      <w:pPr>
        <w:tabs>
          <w:tab w:val="num" w:pos="1770"/>
          <w:tab w:val="clear" w:pos="0"/>
        </w:tabs>
        <w:ind w:left="1770" w:hanging="330"/>
      </w:pPr>
      <w:rPr>
        <w:rFonts w:ascii="Arial" w:cs="Arial" w:hAnsi="Arial" w:eastAsia="Arial"/>
        <w:position w:val="0"/>
        <w:sz w:val="22"/>
        <w:szCs w:val="22"/>
        <w:lang w:val="en-US"/>
      </w:rPr>
    </w:lvl>
    <w:lvl w:ilvl="3">
      <w:start w:val="1"/>
      <w:numFmt w:val="bullet"/>
      <w:suff w:val="tab"/>
      <w:lvlText w:val="•"/>
      <w:lvlJc w:val="left"/>
      <w:pPr>
        <w:tabs>
          <w:tab w:val="num" w:pos="2490"/>
          <w:tab w:val="clear" w:pos="0"/>
        </w:tabs>
        <w:ind w:left="2490" w:hanging="330"/>
      </w:pPr>
      <w:rPr>
        <w:rFonts w:ascii="Arial" w:cs="Arial" w:hAnsi="Arial" w:eastAsia="Arial"/>
        <w:position w:val="0"/>
        <w:sz w:val="22"/>
        <w:szCs w:val="22"/>
        <w:lang w:val="en-US"/>
      </w:rPr>
    </w:lvl>
    <w:lvl w:ilvl="4">
      <w:start w:val="1"/>
      <w:numFmt w:val="bullet"/>
      <w:suff w:val="tab"/>
      <w:lvlText w:val="o"/>
      <w:lvlJc w:val="left"/>
      <w:pPr>
        <w:tabs>
          <w:tab w:val="num" w:pos="3210"/>
          <w:tab w:val="clear" w:pos="0"/>
        </w:tabs>
        <w:ind w:left="3210" w:hanging="330"/>
      </w:pPr>
      <w:rPr>
        <w:rFonts w:ascii="Arial" w:cs="Arial" w:hAnsi="Arial" w:eastAsia="Arial"/>
        <w:position w:val="0"/>
        <w:sz w:val="22"/>
        <w:szCs w:val="22"/>
        <w:lang w:val="en-US"/>
      </w:rPr>
    </w:lvl>
    <w:lvl w:ilvl="5">
      <w:start w:val="1"/>
      <w:numFmt w:val="bullet"/>
      <w:suff w:val="tab"/>
      <w:lvlText w:val="▪"/>
      <w:lvlJc w:val="left"/>
      <w:pPr>
        <w:tabs>
          <w:tab w:val="num" w:pos="3930"/>
          <w:tab w:val="clear" w:pos="0"/>
        </w:tabs>
        <w:ind w:left="3930" w:hanging="330"/>
      </w:pPr>
      <w:rPr>
        <w:rFonts w:ascii="Arial" w:cs="Arial" w:hAnsi="Arial" w:eastAsia="Arial"/>
        <w:position w:val="0"/>
        <w:sz w:val="22"/>
        <w:szCs w:val="22"/>
        <w:lang w:val="en-US"/>
      </w:rPr>
    </w:lvl>
    <w:lvl w:ilvl="6">
      <w:start w:val="1"/>
      <w:numFmt w:val="bullet"/>
      <w:suff w:val="tab"/>
      <w:lvlText w:val="•"/>
      <w:lvlJc w:val="left"/>
      <w:pPr>
        <w:tabs>
          <w:tab w:val="num" w:pos="4650"/>
          <w:tab w:val="clear" w:pos="0"/>
        </w:tabs>
        <w:ind w:left="4650" w:hanging="330"/>
      </w:pPr>
      <w:rPr>
        <w:rFonts w:ascii="Arial" w:cs="Arial" w:hAnsi="Arial" w:eastAsia="Arial"/>
        <w:position w:val="0"/>
        <w:sz w:val="22"/>
        <w:szCs w:val="22"/>
        <w:lang w:val="en-US"/>
      </w:rPr>
    </w:lvl>
    <w:lvl w:ilvl="7">
      <w:start w:val="1"/>
      <w:numFmt w:val="bullet"/>
      <w:suff w:val="tab"/>
      <w:lvlText w:val="o"/>
      <w:lvlJc w:val="left"/>
      <w:pPr>
        <w:tabs>
          <w:tab w:val="num" w:pos="5370"/>
          <w:tab w:val="clear" w:pos="0"/>
        </w:tabs>
        <w:ind w:left="5370" w:hanging="330"/>
      </w:pPr>
      <w:rPr>
        <w:rFonts w:ascii="Arial" w:cs="Arial" w:hAnsi="Arial" w:eastAsia="Arial"/>
        <w:position w:val="0"/>
        <w:sz w:val="22"/>
        <w:szCs w:val="22"/>
        <w:lang w:val="en-US"/>
      </w:rPr>
    </w:lvl>
    <w:lvl w:ilvl="8">
      <w:start w:val="1"/>
      <w:numFmt w:val="bullet"/>
      <w:suff w:val="tab"/>
      <w:lvlText w:val="▪"/>
      <w:lvlJc w:val="left"/>
      <w:pPr>
        <w:tabs>
          <w:tab w:val="num" w:pos="6090"/>
          <w:tab w:val="clear" w:pos="0"/>
        </w:tabs>
        <w:ind w:left="6090" w:hanging="330"/>
      </w:pPr>
      <w:rPr>
        <w:rFonts w:ascii="Arial" w:cs="Arial" w:hAnsi="Arial" w:eastAsia="Arial"/>
        <w:position w:val="0"/>
        <w:sz w:val="22"/>
        <w:szCs w:val="22"/>
        <w:lang w:val="en-US"/>
      </w:rPr>
    </w:lvl>
  </w:abstractNum>
  <w:abstractNum w:abstractNumId="15">
    <w:multiLevelType w:val="multilevel"/>
    <w:styleLink w:val="List 2"/>
    <w:lvl w:ilvl="0">
      <w:start w:val="0"/>
      <w:numFmt w:val="bullet"/>
      <w:suff w:val="tab"/>
      <w:lvlText w:val="•"/>
      <w:lvlJc w:val="left"/>
      <w:pPr>
        <w:tabs>
          <w:tab w:val="num" w:pos="360"/>
          <w:tab w:val="clear" w:pos="0"/>
        </w:tabs>
        <w:ind w:left="360" w:hanging="360"/>
      </w:pPr>
      <w:rPr>
        <w:rFonts w:ascii="Arial" w:cs="Arial" w:hAnsi="Arial" w:eastAsia="Arial"/>
        <w:position w:val="0"/>
        <w:sz w:val="24"/>
        <w:szCs w:val="24"/>
        <w:lang w:val="en-US"/>
      </w:rPr>
    </w:lvl>
    <w:lvl w:ilvl="1">
      <w:start w:val="1"/>
      <w:numFmt w:val="bullet"/>
      <w:suff w:val="tab"/>
      <w:lvlText w:val="o"/>
      <w:lvlJc w:val="left"/>
      <w:pPr>
        <w:tabs>
          <w:tab w:val="num" w:pos="1050"/>
          <w:tab w:val="clear" w:pos="0"/>
        </w:tabs>
        <w:ind w:left="1050" w:hanging="330"/>
      </w:pPr>
      <w:rPr>
        <w:rFonts w:ascii="Arial" w:cs="Arial" w:hAnsi="Arial" w:eastAsia="Arial"/>
        <w:position w:val="0"/>
        <w:sz w:val="22"/>
        <w:szCs w:val="22"/>
        <w:lang w:val="en-US"/>
      </w:rPr>
    </w:lvl>
    <w:lvl w:ilvl="2">
      <w:start w:val="1"/>
      <w:numFmt w:val="bullet"/>
      <w:suff w:val="tab"/>
      <w:lvlText w:val="▪"/>
      <w:lvlJc w:val="left"/>
      <w:pPr>
        <w:tabs>
          <w:tab w:val="num" w:pos="1770"/>
          <w:tab w:val="clear" w:pos="0"/>
        </w:tabs>
        <w:ind w:left="1770" w:hanging="330"/>
      </w:pPr>
      <w:rPr>
        <w:rFonts w:ascii="Arial" w:cs="Arial" w:hAnsi="Arial" w:eastAsia="Arial"/>
        <w:position w:val="0"/>
        <w:sz w:val="22"/>
        <w:szCs w:val="22"/>
        <w:lang w:val="en-US"/>
      </w:rPr>
    </w:lvl>
    <w:lvl w:ilvl="3">
      <w:start w:val="1"/>
      <w:numFmt w:val="bullet"/>
      <w:suff w:val="tab"/>
      <w:lvlText w:val="•"/>
      <w:lvlJc w:val="left"/>
      <w:pPr>
        <w:tabs>
          <w:tab w:val="num" w:pos="2490"/>
          <w:tab w:val="clear" w:pos="0"/>
        </w:tabs>
        <w:ind w:left="2490" w:hanging="330"/>
      </w:pPr>
      <w:rPr>
        <w:rFonts w:ascii="Arial" w:cs="Arial" w:hAnsi="Arial" w:eastAsia="Arial"/>
        <w:position w:val="0"/>
        <w:sz w:val="22"/>
        <w:szCs w:val="22"/>
        <w:lang w:val="en-US"/>
      </w:rPr>
    </w:lvl>
    <w:lvl w:ilvl="4">
      <w:start w:val="1"/>
      <w:numFmt w:val="bullet"/>
      <w:suff w:val="tab"/>
      <w:lvlText w:val="o"/>
      <w:lvlJc w:val="left"/>
      <w:pPr>
        <w:tabs>
          <w:tab w:val="num" w:pos="3210"/>
          <w:tab w:val="clear" w:pos="0"/>
        </w:tabs>
        <w:ind w:left="3210" w:hanging="330"/>
      </w:pPr>
      <w:rPr>
        <w:rFonts w:ascii="Arial" w:cs="Arial" w:hAnsi="Arial" w:eastAsia="Arial"/>
        <w:position w:val="0"/>
        <w:sz w:val="22"/>
        <w:szCs w:val="22"/>
        <w:lang w:val="en-US"/>
      </w:rPr>
    </w:lvl>
    <w:lvl w:ilvl="5">
      <w:start w:val="1"/>
      <w:numFmt w:val="bullet"/>
      <w:suff w:val="tab"/>
      <w:lvlText w:val="▪"/>
      <w:lvlJc w:val="left"/>
      <w:pPr>
        <w:tabs>
          <w:tab w:val="num" w:pos="3930"/>
          <w:tab w:val="clear" w:pos="0"/>
        </w:tabs>
        <w:ind w:left="3930" w:hanging="330"/>
      </w:pPr>
      <w:rPr>
        <w:rFonts w:ascii="Arial" w:cs="Arial" w:hAnsi="Arial" w:eastAsia="Arial"/>
        <w:position w:val="0"/>
        <w:sz w:val="22"/>
        <w:szCs w:val="22"/>
        <w:lang w:val="en-US"/>
      </w:rPr>
    </w:lvl>
    <w:lvl w:ilvl="6">
      <w:start w:val="1"/>
      <w:numFmt w:val="bullet"/>
      <w:suff w:val="tab"/>
      <w:lvlText w:val="•"/>
      <w:lvlJc w:val="left"/>
      <w:pPr>
        <w:tabs>
          <w:tab w:val="num" w:pos="4650"/>
          <w:tab w:val="clear" w:pos="0"/>
        </w:tabs>
        <w:ind w:left="4650" w:hanging="330"/>
      </w:pPr>
      <w:rPr>
        <w:rFonts w:ascii="Arial" w:cs="Arial" w:hAnsi="Arial" w:eastAsia="Arial"/>
        <w:position w:val="0"/>
        <w:sz w:val="22"/>
        <w:szCs w:val="22"/>
        <w:lang w:val="en-US"/>
      </w:rPr>
    </w:lvl>
    <w:lvl w:ilvl="7">
      <w:start w:val="1"/>
      <w:numFmt w:val="bullet"/>
      <w:suff w:val="tab"/>
      <w:lvlText w:val="o"/>
      <w:lvlJc w:val="left"/>
      <w:pPr>
        <w:tabs>
          <w:tab w:val="num" w:pos="5370"/>
          <w:tab w:val="clear" w:pos="0"/>
        </w:tabs>
        <w:ind w:left="5370" w:hanging="330"/>
      </w:pPr>
      <w:rPr>
        <w:rFonts w:ascii="Arial" w:cs="Arial" w:hAnsi="Arial" w:eastAsia="Arial"/>
        <w:position w:val="0"/>
        <w:sz w:val="22"/>
        <w:szCs w:val="22"/>
        <w:lang w:val="en-US"/>
      </w:rPr>
    </w:lvl>
    <w:lvl w:ilvl="8">
      <w:start w:val="1"/>
      <w:numFmt w:val="bullet"/>
      <w:suff w:val="tab"/>
      <w:lvlText w:val="▪"/>
      <w:lvlJc w:val="left"/>
      <w:pPr>
        <w:tabs>
          <w:tab w:val="num" w:pos="6090"/>
          <w:tab w:val="clear" w:pos="0"/>
        </w:tabs>
        <w:ind w:left="6090" w:hanging="330"/>
      </w:pPr>
      <w:rPr>
        <w:rFonts w:ascii="Arial" w:cs="Arial" w:hAnsi="Arial" w:eastAsia="Arial"/>
        <w:position w:val="0"/>
        <w:sz w:val="22"/>
        <w:szCs w:val="22"/>
        <w:lang w:val="en-US"/>
      </w:rPr>
    </w:lvl>
  </w:abstractNum>
  <w:abstractNum w:abstractNumId="16">
    <w:multiLevelType w:val="multilevel"/>
    <w:lvl w:ilvl="0">
      <w:start w:val="1"/>
      <w:numFmt w:val="decimal"/>
      <w:suff w:val="tab"/>
      <w:lvlText w:val="%1."/>
      <w:lvlJc w:val="left"/>
      <w:pPr/>
      <w:rPr>
        <w:position w:val="0"/>
        <w:rtl w:val="0"/>
      </w:rPr>
    </w:lvl>
    <w:lvl w:ilvl="1">
      <w:start w:val="1"/>
      <w:numFmt w:val="lowerLetter"/>
      <w:suff w:val="tab"/>
      <w:lvlText w:val="%2."/>
      <w:lvlJc w:val="left"/>
      <w:pPr/>
      <w:rPr>
        <w:position w:val="0"/>
        <w:rtl w:val="0"/>
      </w:rPr>
    </w:lvl>
    <w:lvl w:ilvl="2">
      <w:start w:val="1"/>
      <w:numFmt w:val="lowerRoman"/>
      <w:suff w:val="tab"/>
      <w:lvlText w:val="%3."/>
      <w:lvlJc w:val="left"/>
      <w:pPr/>
      <w:rPr>
        <w:position w:val="0"/>
        <w:rtl w:val="0"/>
      </w:rPr>
    </w:lvl>
    <w:lvl w:ilvl="3">
      <w:start w:val="1"/>
      <w:numFmt w:val="decimal"/>
      <w:suff w:val="tab"/>
      <w:lvlText w:val="%4."/>
      <w:lvlJc w:val="left"/>
      <w:pPr/>
      <w:rPr>
        <w:position w:val="0"/>
        <w:rtl w:val="0"/>
      </w:rPr>
    </w:lvl>
    <w:lvl w:ilvl="4">
      <w:start w:val="1"/>
      <w:numFmt w:val="lowerLetter"/>
      <w:suff w:val="tab"/>
      <w:lvlText w:val="%5."/>
      <w:lvlJc w:val="left"/>
      <w:pPr/>
      <w:rPr>
        <w:position w:val="0"/>
        <w:rtl w:val="0"/>
      </w:rPr>
    </w:lvl>
    <w:lvl w:ilvl="5">
      <w:start w:val="1"/>
      <w:numFmt w:val="lowerRoman"/>
      <w:suff w:val="tab"/>
      <w:lvlText w:val="%6."/>
      <w:lvlJc w:val="left"/>
      <w:pPr/>
      <w:rPr>
        <w:position w:val="0"/>
        <w:rtl w:val="0"/>
      </w:rPr>
    </w:lvl>
    <w:lvl w:ilvl="6">
      <w:start w:val="1"/>
      <w:numFmt w:val="decimal"/>
      <w:suff w:val="tab"/>
      <w:lvlText w:val="%7."/>
      <w:lvlJc w:val="left"/>
      <w:pPr/>
      <w:rPr>
        <w:position w:val="0"/>
        <w:rtl w:val="0"/>
      </w:rPr>
    </w:lvl>
    <w:lvl w:ilvl="7">
      <w:start w:val="1"/>
      <w:numFmt w:val="lowerLetter"/>
      <w:suff w:val="tab"/>
      <w:lvlText w:val="%8."/>
      <w:lvlJc w:val="left"/>
      <w:pPr/>
      <w:rPr>
        <w:position w:val="0"/>
        <w:rtl w:val="0"/>
      </w:rPr>
    </w:lvl>
    <w:lvl w:ilvl="8">
      <w:start w:val="1"/>
      <w:numFmt w:val="lowerRoman"/>
      <w:suff w:val="tab"/>
      <w:lvlText w:val="%9."/>
      <w:lvlJc w:val="left"/>
      <w:pPr/>
      <w:rPr>
        <w:position w:val="0"/>
        <w:rtl w:val="0"/>
      </w:rPr>
    </w:lvl>
  </w:abstractNum>
  <w:abstractNum w:abstractNumId="17">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18">
    <w:multiLevelType w:val="multilevel"/>
    <w:styleLink w:val="List 3"/>
    <w:lvl w:ilvl="0">
      <w:start w:val="1"/>
      <w:numFmt w:val="decimal"/>
      <w:suff w:val="tab"/>
      <w:lvlText w:val="%1."/>
      <w:lvlJc w:val="left"/>
      <w:pPr/>
      <w:rPr>
        <w:position w:val="0"/>
        <w:rtl w:val="0"/>
      </w:rPr>
    </w:lvl>
    <w:lvl w:ilvl="1">
      <w:start w:val="1"/>
      <w:numFmt w:val="lowerLetter"/>
      <w:suff w:val="tab"/>
      <w:lvlText w:val="%2."/>
      <w:lvlJc w:val="left"/>
      <w:pPr/>
      <w:rPr>
        <w:position w:val="0"/>
        <w:rtl w:val="0"/>
      </w:rPr>
    </w:lvl>
    <w:lvl w:ilvl="2">
      <w:start w:val="1"/>
      <w:numFmt w:val="lowerRoman"/>
      <w:suff w:val="tab"/>
      <w:lvlText w:val="%3."/>
      <w:lvlJc w:val="left"/>
      <w:pPr/>
      <w:rPr>
        <w:position w:val="0"/>
        <w:rtl w:val="0"/>
      </w:rPr>
    </w:lvl>
    <w:lvl w:ilvl="3">
      <w:start w:val="1"/>
      <w:numFmt w:val="decimal"/>
      <w:suff w:val="tab"/>
      <w:lvlText w:val="%4."/>
      <w:lvlJc w:val="left"/>
      <w:pPr/>
      <w:rPr>
        <w:position w:val="0"/>
        <w:rtl w:val="0"/>
      </w:rPr>
    </w:lvl>
    <w:lvl w:ilvl="4">
      <w:start w:val="1"/>
      <w:numFmt w:val="lowerLetter"/>
      <w:suff w:val="tab"/>
      <w:lvlText w:val="%5."/>
      <w:lvlJc w:val="left"/>
      <w:pPr/>
      <w:rPr>
        <w:position w:val="0"/>
        <w:rtl w:val="0"/>
      </w:rPr>
    </w:lvl>
    <w:lvl w:ilvl="5">
      <w:start w:val="1"/>
      <w:numFmt w:val="lowerRoman"/>
      <w:suff w:val="tab"/>
      <w:lvlText w:val="%6."/>
      <w:lvlJc w:val="left"/>
      <w:pPr/>
      <w:rPr>
        <w:position w:val="0"/>
        <w:rtl w:val="0"/>
      </w:rPr>
    </w:lvl>
    <w:lvl w:ilvl="6">
      <w:start w:val="1"/>
      <w:numFmt w:val="decimal"/>
      <w:suff w:val="tab"/>
      <w:lvlText w:val="%7."/>
      <w:lvlJc w:val="left"/>
      <w:pPr/>
      <w:rPr>
        <w:position w:val="0"/>
        <w:rtl w:val="0"/>
      </w:rPr>
    </w:lvl>
    <w:lvl w:ilvl="7">
      <w:start w:val="1"/>
      <w:numFmt w:val="lowerLetter"/>
      <w:suff w:val="tab"/>
      <w:lvlText w:val="%8."/>
      <w:lvlJc w:val="left"/>
      <w:pPr/>
      <w:rPr>
        <w:position w:val="0"/>
        <w:rtl w:val="0"/>
      </w:rPr>
    </w:lvl>
    <w:lvl w:ilvl="8">
      <w:start w:val="1"/>
      <w:numFmt w:val="lowerRoman"/>
      <w:suff w:val="tab"/>
      <w:lvlText w:val="%9."/>
      <w:lvlJc w:val="left"/>
      <w:pPr/>
      <w:rPr>
        <w:position w:val="0"/>
        <w:rtl w:val="0"/>
      </w:rPr>
    </w:lvl>
  </w:abstractNum>
  <w:abstractNum w:abstractNumId="19">
    <w:multiLevelType w:val="multilevel"/>
    <w:lvl w:ilvl="0">
      <w:start w:val="1"/>
      <w:numFmt w:val="decimal"/>
      <w:suff w:val="tab"/>
      <w:lvlText w:val="%1."/>
      <w:lvlJc w:val="left"/>
      <w:pPr/>
      <w:rPr>
        <w:position w:val="0"/>
        <w:rtl w:val="0"/>
      </w:rPr>
    </w:lvl>
    <w:lvl w:ilvl="1">
      <w:start w:val="1"/>
      <w:numFmt w:val="lowerLetter"/>
      <w:suff w:val="tab"/>
      <w:lvlText w:val="%2."/>
      <w:lvlJc w:val="left"/>
      <w:pPr/>
      <w:rPr>
        <w:position w:val="0"/>
        <w:rtl w:val="0"/>
      </w:rPr>
    </w:lvl>
    <w:lvl w:ilvl="2">
      <w:start w:val="1"/>
      <w:numFmt w:val="lowerRoman"/>
      <w:suff w:val="tab"/>
      <w:lvlText w:val="%3."/>
      <w:lvlJc w:val="left"/>
      <w:pPr/>
      <w:rPr>
        <w:position w:val="0"/>
        <w:rtl w:val="0"/>
      </w:rPr>
    </w:lvl>
    <w:lvl w:ilvl="3">
      <w:start w:val="1"/>
      <w:numFmt w:val="decimal"/>
      <w:suff w:val="tab"/>
      <w:lvlText w:val="%4."/>
      <w:lvlJc w:val="left"/>
      <w:pPr/>
      <w:rPr>
        <w:position w:val="0"/>
        <w:rtl w:val="0"/>
      </w:rPr>
    </w:lvl>
    <w:lvl w:ilvl="4">
      <w:start w:val="1"/>
      <w:numFmt w:val="lowerLetter"/>
      <w:suff w:val="tab"/>
      <w:lvlText w:val="%5."/>
      <w:lvlJc w:val="left"/>
      <w:pPr/>
      <w:rPr>
        <w:position w:val="0"/>
        <w:rtl w:val="0"/>
      </w:rPr>
    </w:lvl>
    <w:lvl w:ilvl="5">
      <w:start w:val="1"/>
      <w:numFmt w:val="lowerRoman"/>
      <w:suff w:val="tab"/>
      <w:lvlText w:val="%6."/>
      <w:lvlJc w:val="left"/>
      <w:pPr/>
      <w:rPr>
        <w:position w:val="0"/>
        <w:rtl w:val="0"/>
      </w:rPr>
    </w:lvl>
    <w:lvl w:ilvl="6">
      <w:start w:val="1"/>
      <w:numFmt w:val="decimal"/>
      <w:suff w:val="tab"/>
      <w:lvlText w:val="%7."/>
      <w:lvlJc w:val="left"/>
      <w:pPr/>
      <w:rPr>
        <w:position w:val="0"/>
        <w:rtl w:val="0"/>
      </w:rPr>
    </w:lvl>
    <w:lvl w:ilvl="7">
      <w:start w:val="1"/>
      <w:numFmt w:val="lowerLetter"/>
      <w:suff w:val="tab"/>
      <w:lvlText w:val="%8."/>
      <w:lvlJc w:val="left"/>
      <w:pPr/>
      <w:rPr>
        <w:position w:val="0"/>
        <w:rtl w:val="0"/>
      </w:rPr>
    </w:lvl>
    <w:lvl w:ilvl="8">
      <w:start w:val="1"/>
      <w:numFmt w:val="lowerRoman"/>
      <w:suff w:val="tab"/>
      <w:lvlText w:val="%9."/>
      <w:lvlJc w:val="left"/>
      <w:pPr/>
      <w:rPr>
        <w:position w:val="0"/>
        <w:rtl w:val="0"/>
      </w:rPr>
    </w:lvl>
  </w:abstractNum>
  <w:abstractNum w:abstractNumId="20">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1">
    <w:multiLevelType w:val="multilevel"/>
    <w:styleLink w:val="List 4"/>
    <w:lvl w:ilvl="0">
      <w:start w:val="1"/>
      <w:numFmt w:val="decimal"/>
      <w:suff w:val="tab"/>
      <w:lvlText w:val="%1."/>
      <w:lvlJc w:val="left"/>
      <w:pPr/>
      <w:rPr>
        <w:position w:val="0"/>
        <w:rtl w:val="0"/>
      </w:rPr>
    </w:lvl>
    <w:lvl w:ilvl="1">
      <w:start w:val="1"/>
      <w:numFmt w:val="lowerLetter"/>
      <w:suff w:val="tab"/>
      <w:lvlText w:val="%2."/>
      <w:lvlJc w:val="left"/>
      <w:pPr/>
      <w:rPr>
        <w:position w:val="0"/>
        <w:rtl w:val="0"/>
      </w:rPr>
    </w:lvl>
    <w:lvl w:ilvl="2">
      <w:start w:val="1"/>
      <w:numFmt w:val="lowerRoman"/>
      <w:suff w:val="tab"/>
      <w:lvlText w:val="%3."/>
      <w:lvlJc w:val="left"/>
      <w:pPr/>
      <w:rPr>
        <w:position w:val="0"/>
        <w:rtl w:val="0"/>
      </w:rPr>
    </w:lvl>
    <w:lvl w:ilvl="3">
      <w:start w:val="1"/>
      <w:numFmt w:val="decimal"/>
      <w:suff w:val="tab"/>
      <w:lvlText w:val="%4."/>
      <w:lvlJc w:val="left"/>
      <w:pPr/>
      <w:rPr>
        <w:position w:val="0"/>
        <w:rtl w:val="0"/>
      </w:rPr>
    </w:lvl>
    <w:lvl w:ilvl="4">
      <w:start w:val="1"/>
      <w:numFmt w:val="lowerLetter"/>
      <w:suff w:val="tab"/>
      <w:lvlText w:val="%5."/>
      <w:lvlJc w:val="left"/>
      <w:pPr/>
      <w:rPr>
        <w:position w:val="0"/>
        <w:rtl w:val="0"/>
      </w:rPr>
    </w:lvl>
    <w:lvl w:ilvl="5">
      <w:start w:val="1"/>
      <w:numFmt w:val="lowerRoman"/>
      <w:suff w:val="tab"/>
      <w:lvlText w:val="%6."/>
      <w:lvlJc w:val="left"/>
      <w:pPr/>
      <w:rPr>
        <w:position w:val="0"/>
        <w:rtl w:val="0"/>
      </w:rPr>
    </w:lvl>
    <w:lvl w:ilvl="6">
      <w:start w:val="1"/>
      <w:numFmt w:val="decimal"/>
      <w:suff w:val="tab"/>
      <w:lvlText w:val="%7."/>
      <w:lvlJc w:val="left"/>
      <w:pPr/>
      <w:rPr>
        <w:position w:val="0"/>
        <w:rtl w:val="0"/>
      </w:rPr>
    </w:lvl>
    <w:lvl w:ilvl="7">
      <w:start w:val="1"/>
      <w:numFmt w:val="lowerLetter"/>
      <w:suff w:val="tab"/>
      <w:lvlText w:val="%8."/>
      <w:lvlJc w:val="left"/>
      <w:pPr/>
      <w:rPr>
        <w:position w:val="0"/>
        <w:rtl w:val="0"/>
      </w:rPr>
    </w:lvl>
    <w:lvl w:ilvl="8">
      <w:start w:val="1"/>
      <w:numFmt w:val="lowerRoman"/>
      <w:suff w:val="tab"/>
      <w:lvlText w:val="%9."/>
      <w:lvlJc w:val="left"/>
      <w:pPr/>
      <w:rPr>
        <w:position w:val="0"/>
        <w:rtl w:val="0"/>
      </w:rPr>
    </w:lvl>
  </w:abstractNum>
  <w:abstractNum w:abstractNumId="22">
    <w:multiLevelType w:val="multilevel"/>
    <w:lvl w:ilvl="0">
      <w:start w:val="1"/>
      <w:numFmt w:val="bullet"/>
      <w:suff w:val="tab"/>
      <w:lvlText w:val="•"/>
      <w:lvlJc w:val="left"/>
      <w:pPr/>
      <w:rPr>
        <w:rFonts w:ascii="Arial" w:cs="Arial" w:hAnsi="Arial" w:eastAsia="Arial"/>
        <w:color w:val="000000"/>
        <w:position w:val="0"/>
      </w:rPr>
    </w:lvl>
    <w:lvl w:ilvl="1">
      <w:start w:val="1"/>
      <w:numFmt w:val="bullet"/>
      <w:suff w:val="tab"/>
      <w:lvlText w:val="o"/>
      <w:lvlJc w:val="left"/>
      <w:pPr/>
      <w:rPr>
        <w:rFonts w:ascii="Arial" w:cs="Arial" w:hAnsi="Arial" w:eastAsia="Arial"/>
        <w:color w:val="000000"/>
        <w:position w:val="0"/>
      </w:rPr>
    </w:lvl>
    <w:lvl w:ilvl="2">
      <w:start w:val="1"/>
      <w:numFmt w:val="bullet"/>
      <w:suff w:val="tab"/>
      <w:lvlText w:val="▪"/>
      <w:lvlJc w:val="left"/>
      <w:pPr/>
      <w:rPr>
        <w:rFonts w:ascii="Arial" w:cs="Arial" w:hAnsi="Arial" w:eastAsia="Arial"/>
        <w:color w:val="000000"/>
        <w:position w:val="0"/>
      </w:rPr>
    </w:lvl>
    <w:lvl w:ilvl="3">
      <w:start w:val="1"/>
      <w:numFmt w:val="bullet"/>
      <w:suff w:val="tab"/>
      <w:lvlText w:val="•"/>
      <w:lvlJc w:val="left"/>
      <w:pPr/>
      <w:rPr>
        <w:rFonts w:ascii="Arial" w:cs="Arial" w:hAnsi="Arial" w:eastAsia="Arial"/>
        <w:color w:val="000000"/>
        <w:position w:val="0"/>
      </w:rPr>
    </w:lvl>
    <w:lvl w:ilvl="4">
      <w:start w:val="1"/>
      <w:numFmt w:val="bullet"/>
      <w:suff w:val="tab"/>
      <w:lvlText w:val="o"/>
      <w:lvlJc w:val="left"/>
      <w:pPr/>
      <w:rPr>
        <w:rFonts w:ascii="Arial" w:cs="Arial" w:hAnsi="Arial" w:eastAsia="Arial"/>
        <w:color w:val="000000"/>
        <w:position w:val="0"/>
      </w:rPr>
    </w:lvl>
    <w:lvl w:ilvl="5">
      <w:start w:val="1"/>
      <w:numFmt w:val="bullet"/>
      <w:suff w:val="tab"/>
      <w:lvlText w:val="▪"/>
      <w:lvlJc w:val="left"/>
      <w:pPr/>
      <w:rPr>
        <w:rFonts w:ascii="Arial" w:cs="Arial" w:hAnsi="Arial" w:eastAsia="Arial"/>
        <w:color w:val="000000"/>
        <w:position w:val="0"/>
      </w:rPr>
    </w:lvl>
    <w:lvl w:ilvl="6">
      <w:start w:val="1"/>
      <w:numFmt w:val="bullet"/>
      <w:suff w:val="tab"/>
      <w:lvlText w:val="•"/>
      <w:lvlJc w:val="left"/>
      <w:pPr/>
      <w:rPr>
        <w:rFonts w:ascii="Arial" w:cs="Arial" w:hAnsi="Arial" w:eastAsia="Arial"/>
        <w:color w:val="000000"/>
        <w:position w:val="0"/>
      </w:rPr>
    </w:lvl>
    <w:lvl w:ilvl="7">
      <w:start w:val="1"/>
      <w:numFmt w:val="bullet"/>
      <w:suff w:val="tab"/>
      <w:lvlText w:val="o"/>
      <w:lvlJc w:val="left"/>
      <w:pPr/>
      <w:rPr>
        <w:rFonts w:ascii="Arial" w:cs="Arial" w:hAnsi="Arial" w:eastAsia="Arial"/>
        <w:color w:val="000000"/>
        <w:position w:val="0"/>
      </w:rPr>
    </w:lvl>
    <w:lvl w:ilvl="8">
      <w:start w:val="1"/>
      <w:numFmt w:val="bullet"/>
      <w:suff w:val="tab"/>
      <w:lvlText w:val="▪"/>
      <w:lvlJc w:val="left"/>
      <w:pPr/>
      <w:rPr>
        <w:rFonts w:ascii="Arial" w:cs="Arial" w:hAnsi="Arial" w:eastAsia="Arial"/>
        <w:color w:val="000000"/>
        <w:position w:val="0"/>
      </w:rPr>
    </w:lvl>
  </w:abstractNum>
  <w:abstractNum w:abstractNumId="23">
    <w:multiLevelType w:val="multilevel"/>
    <w:lvl w:ilvl="0">
      <w:start w:val="1"/>
      <w:numFmt w:val="decimal"/>
      <w:suff w:val="tab"/>
      <w:lvlText w:val="%1."/>
      <w:lvlJc w:val="left"/>
      <w:pPr/>
      <w:rPr>
        <w:color w:val="000000"/>
        <w:position w:val="0"/>
      </w:rPr>
    </w:lvl>
    <w:lvl w:ilvl="1">
      <w:start w:val="1"/>
      <w:numFmt w:val="decimal"/>
      <w:suff w:val="tab"/>
      <w:lvlText w:val="%1.%2."/>
      <w:lvlJc w:val="left"/>
      <w:pPr/>
      <w:rPr>
        <w:color w:val="000000"/>
        <w:position w:val="0"/>
      </w:rPr>
    </w:lvl>
    <w:lvl w:ilvl="2">
      <w:start w:val="1"/>
      <w:numFmt w:val="decimal"/>
      <w:suff w:val="tab"/>
      <w:lvlText w:val="%1.%2.%3."/>
      <w:lvlJc w:val="left"/>
      <w:pPr/>
      <w:rPr>
        <w:color w:val="000000"/>
        <w:position w:val="0"/>
      </w:rPr>
    </w:lvl>
    <w:lvl w:ilvl="3">
      <w:start w:val="1"/>
      <w:numFmt w:val="decimal"/>
      <w:suff w:val="tab"/>
      <w:lvlText w:val="%1.%2.%3.%4."/>
      <w:lvlJc w:val="left"/>
      <w:pPr/>
      <w:rPr>
        <w:color w:val="000000"/>
        <w:position w:val="0"/>
      </w:rPr>
    </w:lvl>
    <w:lvl w:ilvl="4">
      <w:start w:val="1"/>
      <w:numFmt w:val="decimal"/>
      <w:suff w:val="tab"/>
      <w:lvlText w:val="%1.%2.%3.%4.%5."/>
      <w:lvlJc w:val="left"/>
      <w:pPr/>
      <w:rPr>
        <w:color w:val="000000"/>
        <w:position w:val="0"/>
      </w:rPr>
    </w:lvl>
    <w:lvl w:ilvl="5">
      <w:start w:val="1"/>
      <w:numFmt w:val="decimal"/>
      <w:suff w:val="tab"/>
      <w:lvlText w:val="%1.%2.%3.%4.%5.%6."/>
      <w:lvlJc w:val="left"/>
      <w:pPr/>
      <w:rPr>
        <w:color w:val="000000"/>
        <w:position w:val="0"/>
      </w:rPr>
    </w:lvl>
    <w:lvl w:ilvl="6">
      <w:start w:val="1"/>
      <w:numFmt w:val="decimal"/>
      <w:suff w:val="tab"/>
      <w:lvlText w:val="%1.%2.%3.%4.%5.%6.%7."/>
      <w:lvlJc w:val="left"/>
      <w:pPr/>
      <w:rPr>
        <w:color w:val="000000"/>
        <w:position w:val="0"/>
      </w:rPr>
    </w:lvl>
    <w:lvl w:ilvl="7">
      <w:start w:val="1"/>
      <w:numFmt w:val="decimal"/>
      <w:suff w:val="tab"/>
      <w:lvlText w:val="%1.%2.%3.%4.%5.%6.%7.%8."/>
      <w:lvlJc w:val="left"/>
      <w:pPr/>
      <w:rPr>
        <w:color w:val="000000"/>
        <w:position w:val="0"/>
      </w:rPr>
    </w:lvl>
    <w:lvl w:ilvl="8">
      <w:start w:val="1"/>
      <w:numFmt w:val="decimal"/>
      <w:suff w:val="tab"/>
      <w:lvlText w:val="%1.%2.%3.%4.%5.%6.%7.%8.%9."/>
      <w:lvlJc w:val="left"/>
      <w:pPr/>
      <w:rPr>
        <w:color w:val="000000"/>
        <w:position w:val="0"/>
      </w:rPr>
    </w:lvl>
  </w:abstractNum>
  <w:abstractNum w:abstractNumId="24">
    <w:multiLevelType w:val="multilevel"/>
    <w:styleLink w:val="List 5"/>
    <w:lvl w:ilvl="0">
      <w:start w:val="0"/>
      <w:numFmt w:val="bullet"/>
      <w:suff w:val="tab"/>
      <w:lvlText w:val="•"/>
      <w:lvlJc w:val="left"/>
      <w:pPr/>
      <w:rPr>
        <w:rFonts w:ascii="Arial" w:cs="Arial" w:hAnsi="Arial" w:eastAsia="Arial"/>
        <w:color w:val="000000"/>
        <w:position w:val="0"/>
      </w:rPr>
    </w:lvl>
    <w:lvl w:ilvl="1">
      <w:start w:val="1"/>
      <w:numFmt w:val="bullet"/>
      <w:suff w:val="tab"/>
      <w:lvlText w:val="o"/>
      <w:lvlJc w:val="left"/>
      <w:pPr/>
      <w:rPr>
        <w:rFonts w:ascii="Arial" w:cs="Arial" w:hAnsi="Arial" w:eastAsia="Arial"/>
        <w:color w:val="000000"/>
        <w:position w:val="0"/>
      </w:rPr>
    </w:lvl>
    <w:lvl w:ilvl="2">
      <w:start w:val="1"/>
      <w:numFmt w:val="bullet"/>
      <w:suff w:val="tab"/>
      <w:lvlText w:val="▪"/>
      <w:lvlJc w:val="left"/>
      <w:pPr/>
      <w:rPr>
        <w:rFonts w:ascii="Arial" w:cs="Arial" w:hAnsi="Arial" w:eastAsia="Arial"/>
        <w:color w:val="000000"/>
        <w:position w:val="0"/>
      </w:rPr>
    </w:lvl>
    <w:lvl w:ilvl="3">
      <w:start w:val="1"/>
      <w:numFmt w:val="bullet"/>
      <w:suff w:val="tab"/>
      <w:lvlText w:val="•"/>
      <w:lvlJc w:val="left"/>
      <w:pPr/>
      <w:rPr>
        <w:rFonts w:ascii="Arial" w:cs="Arial" w:hAnsi="Arial" w:eastAsia="Arial"/>
        <w:color w:val="000000"/>
        <w:position w:val="0"/>
      </w:rPr>
    </w:lvl>
    <w:lvl w:ilvl="4">
      <w:start w:val="1"/>
      <w:numFmt w:val="bullet"/>
      <w:suff w:val="tab"/>
      <w:lvlText w:val="o"/>
      <w:lvlJc w:val="left"/>
      <w:pPr/>
      <w:rPr>
        <w:rFonts w:ascii="Arial" w:cs="Arial" w:hAnsi="Arial" w:eastAsia="Arial"/>
        <w:color w:val="000000"/>
        <w:position w:val="0"/>
      </w:rPr>
    </w:lvl>
    <w:lvl w:ilvl="5">
      <w:start w:val="1"/>
      <w:numFmt w:val="bullet"/>
      <w:suff w:val="tab"/>
      <w:lvlText w:val="▪"/>
      <w:lvlJc w:val="left"/>
      <w:pPr/>
      <w:rPr>
        <w:rFonts w:ascii="Arial" w:cs="Arial" w:hAnsi="Arial" w:eastAsia="Arial"/>
        <w:color w:val="000000"/>
        <w:position w:val="0"/>
      </w:rPr>
    </w:lvl>
    <w:lvl w:ilvl="6">
      <w:start w:val="1"/>
      <w:numFmt w:val="bullet"/>
      <w:suff w:val="tab"/>
      <w:lvlText w:val="•"/>
      <w:lvlJc w:val="left"/>
      <w:pPr/>
      <w:rPr>
        <w:rFonts w:ascii="Arial" w:cs="Arial" w:hAnsi="Arial" w:eastAsia="Arial"/>
        <w:color w:val="000000"/>
        <w:position w:val="0"/>
      </w:rPr>
    </w:lvl>
    <w:lvl w:ilvl="7">
      <w:start w:val="1"/>
      <w:numFmt w:val="bullet"/>
      <w:suff w:val="tab"/>
      <w:lvlText w:val="o"/>
      <w:lvlJc w:val="left"/>
      <w:pPr/>
      <w:rPr>
        <w:rFonts w:ascii="Arial" w:cs="Arial" w:hAnsi="Arial" w:eastAsia="Arial"/>
        <w:color w:val="000000"/>
        <w:position w:val="0"/>
      </w:rPr>
    </w:lvl>
    <w:lvl w:ilvl="8">
      <w:start w:val="1"/>
      <w:numFmt w:val="bullet"/>
      <w:suff w:val="tab"/>
      <w:lvlText w:val="▪"/>
      <w:lvlJc w:val="left"/>
      <w:pPr/>
      <w:rPr>
        <w:rFonts w:ascii="Arial" w:cs="Arial" w:hAnsi="Arial" w:eastAsia="Arial"/>
        <w:color w:val="000000"/>
        <w:position w:val="0"/>
      </w:rPr>
    </w:lvl>
  </w:abstractNum>
  <w:abstractNum w:abstractNumId="25">
    <w:multiLevelType w:val="multilevel"/>
    <w:styleLink w:val="List 5"/>
    <w:lvl w:ilvl="0">
      <w:start w:val="0"/>
      <w:numFmt w:val="bullet"/>
      <w:suff w:val="tab"/>
      <w:lvlText w:val="•"/>
      <w:lvlJc w:val="left"/>
      <w:pPr/>
      <w:rPr>
        <w:rFonts w:ascii="Arial" w:cs="Arial" w:hAnsi="Arial" w:eastAsia="Arial"/>
        <w:color w:val="000000"/>
        <w:position w:val="0"/>
        <w:lang w:val="en-US"/>
      </w:rPr>
    </w:lvl>
    <w:lvl w:ilvl="1">
      <w:start w:val="1"/>
      <w:numFmt w:val="bullet"/>
      <w:suff w:val="tab"/>
      <w:lvlText w:val="o"/>
      <w:lvlJc w:val="left"/>
      <w:pPr/>
      <w:rPr>
        <w:rFonts w:ascii="Arial" w:cs="Arial" w:hAnsi="Arial" w:eastAsia="Arial"/>
        <w:color w:val="000000"/>
        <w:position w:val="0"/>
        <w:lang w:val="en-US"/>
      </w:rPr>
    </w:lvl>
    <w:lvl w:ilvl="2">
      <w:start w:val="1"/>
      <w:numFmt w:val="bullet"/>
      <w:suff w:val="tab"/>
      <w:lvlText w:val="▪"/>
      <w:lvlJc w:val="left"/>
      <w:pPr/>
      <w:rPr>
        <w:rFonts w:ascii="Arial" w:cs="Arial" w:hAnsi="Arial" w:eastAsia="Arial"/>
        <w:color w:val="000000"/>
        <w:position w:val="0"/>
        <w:lang w:val="en-US"/>
      </w:rPr>
    </w:lvl>
    <w:lvl w:ilvl="3">
      <w:start w:val="1"/>
      <w:numFmt w:val="bullet"/>
      <w:suff w:val="tab"/>
      <w:lvlText w:val="•"/>
      <w:lvlJc w:val="left"/>
      <w:pPr/>
      <w:rPr>
        <w:rFonts w:ascii="Arial" w:cs="Arial" w:hAnsi="Arial" w:eastAsia="Arial"/>
        <w:color w:val="000000"/>
        <w:position w:val="0"/>
        <w:lang w:val="en-US"/>
      </w:rPr>
    </w:lvl>
    <w:lvl w:ilvl="4">
      <w:start w:val="1"/>
      <w:numFmt w:val="bullet"/>
      <w:suff w:val="tab"/>
      <w:lvlText w:val="o"/>
      <w:lvlJc w:val="left"/>
      <w:pPr/>
      <w:rPr>
        <w:rFonts w:ascii="Arial" w:cs="Arial" w:hAnsi="Arial" w:eastAsia="Arial"/>
        <w:color w:val="000000"/>
        <w:position w:val="0"/>
        <w:lang w:val="en-US"/>
      </w:rPr>
    </w:lvl>
    <w:lvl w:ilvl="5">
      <w:start w:val="1"/>
      <w:numFmt w:val="bullet"/>
      <w:suff w:val="tab"/>
      <w:lvlText w:val="▪"/>
      <w:lvlJc w:val="left"/>
      <w:pPr/>
      <w:rPr>
        <w:rFonts w:ascii="Arial" w:cs="Arial" w:hAnsi="Arial" w:eastAsia="Arial"/>
        <w:color w:val="000000"/>
        <w:position w:val="0"/>
        <w:lang w:val="en-US"/>
      </w:rPr>
    </w:lvl>
    <w:lvl w:ilvl="6">
      <w:start w:val="1"/>
      <w:numFmt w:val="bullet"/>
      <w:suff w:val="tab"/>
      <w:lvlText w:val="•"/>
      <w:lvlJc w:val="left"/>
      <w:pPr/>
      <w:rPr>
        <w:rFonts w:ascii="Arial" w:cs="Arial" w:hAnsi="Arial" w:eastAsia="Arial"/>
        <w:color w:val="000000"/>
        <w:position w:val="0"/>
        <w:lang w:val="en-US"/>
      </w:rPr>
    </w:lvl>
    <w:lvl w:ilvl="7">
      <w:start w:val="1"/>
      <w:numFmt w:val="bullet"/>
      <w:suff w:val="tab"/>
      <w:lvlText w:val="o"/>
      <w:lvlJc w:val="left"/>
      <w:pPr/>
      <w:rPr>
        <w:rFonts w:ascii="Arial" w:cs="Arial" w:hAnsi="Arial" w:eastAsia="Arial"/>
        <w:color w:val="000000"/>
        <w:position w:val="0"/>
        <w:lang w:val="en-US"/>
      </w:rPr>
    </w:lvl>
    <w:lvl w:ilvl="8">
      <w:start w:val="1"/>
      <w:numFmt w:val="bullet"/>
      <w:suff w:val="tab"/>
      <w:lvlText w:val="▪"/>
      <w:lvlJc w:val="left"/>
      <w:pPr/>
      <w:rPr>
        <w:rFonts w:ascii="Arial" w:cs="Arial" w:hAnsi="Arial" w:eastAsia="Arial"/>
        <w:color w:val="000000"/>
        <w:position w:val="0"/>
        <w:lang w:val="en-US"/>
      </w:rPr>
    </w:lvl>
  </w:abstractNum>
  <w:abstractNum w:abstractNumId="26">
    <w:multiLevelType w:val="multilevel"/>
    <w:styleLink w:val="List 5"/>
    <w:lvl w:ilvl="0">
      <w:start w:val="0"/>
      <w:numFmt w:val="bullet"/>
      <w:suff w:val="tab"/>
      <w:lvlText w:val="•"/>
      <w:lvlJc w:val="left"/>
      <w:pPr/>
      <w:rPr>
        <w:rFonts w:ascii="Arial" w:cs="Arial" w:hAnsi="Arial" w:eastAsia="Arial"/>
        <w:color w:val="000000"/>
        <w:position w:val="0"/>
        <w:lang w:val="en-US"/>
      </w:rPr>
    </w:lvl>
    <w:lvl w:ilvl="1">
      <w:start w:val="1"/>
      <w:numFmt w:val="bullet"/>
      <w:suff w:val="tab"/>
      <w:lvlText w:val="o"/>
      <w:lvlJc w:val="left"/>
      <w:pPr/>
      <w:rPr>
        <w:rFonts w:ascii="Arial" w:cs="Arial" w:hAnsi="Arial" w:eastAsia="Arial"/>
        <w:color w:val="000000"/>
        <w:position w:val="0"/>
        <w:lang w:val="en-US"/>
      </w:rPr>
    </w:lvl>
    <w:lvl w:ilvl="2">
      <w:start w:val="1"/>
      <w:numFmt w:val="bullet"/>
      <w:suff w:val="tab"/>
      <w:lvlText w:val="▪"/>
      <w:lvlJc w:val="left"/>
      <w:pPr/>
      <w:rPr>
        <w:rFonts w:ascii="Arial" w:cs="Arial" w:hAnsi="Arial" w:eastAsia="Arial"/>
        <w:color w:val="000000"/>
        <w:position w:val="0"/>
        <w:lang w:val="en-US"/>
      </w:rPr>
    </w:lvl>
    <w:lvl w:ilvl="3">
      <w:start w:val="1"/>
      <w:numFmt w:val="bullet"/>
      <w:suff w:val="tab"/>
      <w:lvlText w:val="•"/>
      <w:lvlJc w:val="left"/>
      <w:pPr/>
      <w:rPr>
        <w:rFonts w:ascii="Arial" w:cs="Arial" w:hAnsi="Arial" w:eastAsia="Arial"/>
        <w:color w:val="000000"/>
        <w:position w:val="0"/>
        <w:lang w:val="en-US"/>
      </w:rPr>
    </w:lvl>
    <w:lvl w:ilvl="4">
      <w:start w:val="1"/>
      <w:numFmt w:val="bullet"/>
      <w:suff w:val="tab"/>
      <w:lvlText w:val="o"/>
      <w:lvlJc w:val="left"/>
      <w:pPr/>
      <w:rPr>
        <w:rFonts w:ascii="Arial" w:cs="Arial" w:hAnsi="Arial" w:eastAsia="Arial"/>
        <w:color w:val="000000"/>
        <w:position w:val="0"/>
        <w:lang w:val="en-US"/>
      </w:rPr>
    </w:lvl>
    <w:lvl w:ilvl="5">
      <w:start w:val="1"/>
      <w:numFmt w:val="bullet"/>
      <w:suff w:val="tab"/>
      <w:lvlText w:val="▪"/>
      <w:lvlJc w:val="left"/>
      <w:pPr/>
      <w:rPr>
        <w:rFonts w:ascii="Arial" w:cs="Arial" w:hAnsi="Arial" w:eastAsia="Arial"/>
        <w:color w:val="000000"/>
        <w:position w:val="0"/>
        <w:lang w:val="en-US"/>
      </w:rPr>
    </w:lvl>
    <w:lvl w:ilvl="6">
      <w:start w:val="1"/>
      <w:numFmt w:val="bullet"/>
      <w:suff w:val="tab"/>
      <w:lvlText w:val="•"/>
      <w:lvlJc w:val="left"/>
      <w:pPr/>
      <w:rPr>
        <w:rFonts w:ascii="Arial" w:cs="Arial" w:hAnsi="Arial" w:eastAsia="Arial"/>
        <w:color w:val="000000"/>
        <w:position w:val="0"/>
        <w:lang w:val="en-US"/>
      </w:rPr>
    </w:lvl>
    <w:lvl w:ilvl="7">
      <w:start w:val="1"/>
      <w:numFmt w:val="bullet"/>
      <w:suff w:val="tab"/>
      <w:lvlText w:val="o"/>
      <w:lvlJc w:val="left"/>
      <w:pPr/>
      <w:rPr>
        <w:rFonts w:ascii="Arial" w:cs="Arial" w:hAnsi="Arial" w:eastAsia="Arial"/>
        <w:color w:val="000000"/>
        <w:position w:val="0"/>
        <w:lang w:val="en-US"/>
      </w:rPr>
    </w:lvl>
    <w:lvl w:ilvl="8">
      <w:start w:val="1"/>
      <w:numFmt w:val="bullet"/>
      <w:suff w:val="tab"/>
      <w:lvlText w:val="▪"/>
      <w:lvlJc w:val="left"/>
      <w:pPr/>
      <w:rPr>
        <w:rFonts w:ascii="Arial" w:cs="Arial" w:hAnsi="Arial" w:eastAsia="Arial"/>
        <w:color w:val="000000"/>
        <w:position w:val="0"/>
        <w:lang w:val="en-US"/>
      </w:rPr>
    </w:lvl>
  </w:abstractNum>
  <w:abstractNum w:abstractNumId="27">
    <w:multiLevelType w:val="multilevel"/>
    <w:lvl w:ilvl="0">
      <w:start w:val="1"/>
      <w:numFmt w:val="bullet"/>
      <w:suff w:val="tab"/>
      <w:lvlText w:val="•"/>
      <w:lvlJc w:val="left"/>
      <w:pPr>
        <w:tabs>
          <w:tab w:val="num" w:pos="360"/>
          <w:tab w:val="clear" w:pos="0"/>
        </w:tabs>
        <w:ind w:left="360" w:hanging="360"/>
      </w:pPr>
      <w:rPr>
        <w:rFonts w:ascii="Arial" w:cs="Arial" w:hAnsi="Arial" w:eastAsia="Arial"/>
        <w:position w:val="0"/>
        <w:sz w:val="22"/>
        <w:szCs w:val="22"/>
      </w:rPr>
    </w:lvl>
    <w:lvl w:ilvl="1">
      <w:start w:val="1"/>
      <w:numFmt w:val="bullet"/>
      <w:suff w:val="tab"/>
      <w:lvlText w:val="o"/>
      <w:lvlJc w:val="left"/>
      <w:pPr>
        <w:tabs>
          <w:tab w:val="num" w:pos="1050"/>
          <w:tab w:val="clear" w:pos="0"/>
        </w:tabs>
        <w:ind w:left="1050" w:hanging="330"/>
      </w:pPr>
      <w:rPr>
        <w:rFonts w:ascii="Arial" w:cs="Arial" w:hAnsi="Arial" w:eastAsia="Arial"/>
        <w:position w:val="0"/>
        <w:sz w:val="22"/>
        <w:szCs w:val="22"/>
      </w:rPr>
    </w:lvl>
    <w:lvl w:ilvl="2">
      <w:start w:val="1"/>
      <w:numFmt w:val="bullet"/>
      <w:suff w:val="tab"/>
      <w:lvlText w:val="▪"/>
      <w:lvlJc w:val="left"/>
      <w:pPr>
        <w:tabs>
          <w:tab w:val="num" w:pos="1770"/>
          <w:tab w:val="clear" w:pos="0"/>
        </w:tabs>
        <w:ind w:left="1770" w:hanging="330"/>
      </w:pPr>
      <w:rPr>
        <w:rFonts w:ascii="Arial" w:cs="Arial" w:hAnsi="Arial" w:eastAsia="Arial"/>
        <w:position w:val="0"/>
        <w:sz w:val="22"/>
        <w:szCs w:val="22"/>
      </w:rPr>
    </w:lvl>
    <w:lvl w:ilvl="3">
      <w:start w:val="1"/>
      <w:numFmt w:val="bullet"/>
      <w:suff w:val="tab"/>
      <w:lvlText w:val="•"/>
      <w:lvlJc w:val="left"/>
      <w:pPr>
        <w:tabs>
          <w:tab w:val="num" w:pos="2490"/>
          <w:tab w:val="clear" w:pos="0"/>
        </w:tabs>
        <w:ind w:left="2490" w:hanging="330"/>
      </w:pPr>
      <w:rPr>
        <w:rFonts w:ascii="Arial" w:cs="Arial" w:hAnsi="Arial" w:eastAsia="Arial"/>
        <w:position w:val="0"/>
        <w:sz w:val="22"/>
        <w:szCs w:val="22"/>
      </w:rPr>
    </w:lvl>
    <w:lvl w:ilvl="4">
      <w:start w:val="1"/>
      <w:numFmt w:val="bullet"/>
      <w:suff w:val="tab"/>
      <w:lvlText w:val="o"/>
      <w:lvlJc w:val="left"/>
      <w:pPr>
        <w:tabs>
          <w:tab w:val="num" w:pos="3210"/>
          <w:tab w:val="clear" w:pos="0"/>
        </w:tabs>
        <w:ind w:left="3210" w:hanging="330"/>
      </w:pPr>
      <w:rPr>
        <w:rFonts w:ascii="Arial" w:cs="Arial" w:hAnsi="Arial" w:eastAsia="Arial"/>
        <w:position w:val="0"/>
        <w:sz w:val="22"/>
        <w:szCs w:val="22"/>
      </w:rPr>
    </w:lvl>
    <w:lvl w:ilvl="5">
      <w:start w:val="1"/>
      <w:numFmt w:val="bullet"/>
      <w:suff w:val="tab"/>
      <w:lvlText w:val="▪"/>
      <w:lvlJc w:val="left"/>
      <w:pPr>
        <w:tabs>
          <w:tab w:val="num" w:pos="3930"/>
          <w:tab w:val="clear" w:pos="0"/>
        </w:tabs>
        <w:ind w:left="3930" w:hanging="330"/>
      </w:pPr>
      <w:rPr>
        <w:rFonts w:ascii="Arial" w:cs="Arial" w:hAnsi="Arial" w:eastAsia="Arial"/>
        <w:position w:val="0"/>
        <w:sz w:val="22"/>
        <w:szCs w:val="22"/>
      </w:rPr>
    </w:lvl>
    <w:lvl w:ilvl="6">
      <w:start w:val="1"/>
      <w:numFmt w:val="bullet"/>
      <w:suff w:val="tab"/>
      <w:lvlText w:val="•"/>
      <w:lvlJc w:val="left"/>
      <w:pPr>
        <w:tabs>
          <w:tab w:val="num" w:pos="4650"/>
          <w:tab w:val="clear" w:pos="0"/>
        </w:tabs>
        <w:ind w:left="4650" w:hanging="330"/>
      </w:pPr>
      <w:rPr>
        <w:rFonts w:ascii="Arial" w:cs="Arial" w:hAnsi="Arial" w:eastAsia="Arial"/>
        <w:position w:val="0"/>
        <w:sz w:val="22"/>
        <w:szCs w:val="22"/>
      </w:rPr>
    </w:lvl>
    <w:lvl w:ilvl="7">
      <w:start w:val="1"/>
      <w:numFmt w:val="bullet"/>
      <w:suff w:val="tab"/>
      <w:lvlText w:val="o"/>
      <w:lvlJc w:val="left"/>
      <w:pPr>
        <w:tabs>
          <w:tab w:val="num" w:pos="5370"/>
          <w:tab w:val="clear" w:pos="0"/>
        </w:tabs>
        <w:ind w:left="5370" w:hanging="330"/>
      </w:pPr>
      <w:rPr>
        <w:rFonts w:ascii="Arial" w:cs="Arial" w:hAnsi="Arial" w:eastAsia="Arial"/>
        <w:position w:val="0"/>
        <w:sz w:val="22"/>
        <w:szCs w:val="22"/>
      </w:rPr>
    </w:lvl>
    <w:lvl w:ilvl="8">
      <w:start w:val="1"/>
      <w:numFmt w:val="bullet"/>
      <w:suff w:val="tab"/>
      <w:lvlText w:val="▪"/>
      <w:lvlJc w:val="left"/>
      <w:pPr>
        <w:tabs>
          <w:tab w:val="num" w:pos="6090"/>
          <w:tab w:val="clear" w:pos="0"/>
        </w:tabs>
        <w:ind w:left="6090" w:hanging="330"/>
      </w:pPr>
      <w:rPr>
        <w:rFonts w:ascii="Arial" w:cs="Arial" w:hAnsi="Arial" w:eastAsia="Arial"/>
        <w:position w:val="0"/>
        <w:sz w:val="22"/>
        <w:szCs w:val="22"/>
      </w:rPr>
    </w:lvl>
  </w:abstractNum>
  <w:abstractNum w:abstractNumId="28">
    <w:multiLevelType w:val="multilevel"/>
    <w:lvl w:ilvl="0">
      <w:start w:val="1"/>
      <w:numFmt w:val="lowerRoman"/>
      <w:suff w:val="tab"/>
      <w:lvlText w:val="%1."/>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9">
    <w:multiLevelType w:val="multilevel"/>
    <w:styleLink w:val="List 6"/>
    <w:lvl w:ilvl="0">
      <w:start w:val="0"/>
      <w:numFmt w:val="bullet"/>
      <w:suff w:val="tab"/>
      <w:lvlText w:val="•"/>
      <w:lvlJc w:val="left"/>
      <w:pPr>
        <w:tabs>
          <w:tab w:val="num" w:pos="360"/>
          <w:tab w:val="clear" w:pos="0"/>
        </w:tabs>
        <w:ind w:left="360" w:hanging="360"/>
      </w:pPr>
      <w:rPr>
        <w:rFonts w:ascii="Arial" w:cs="Arial" w:hAnsi="Arial" w:eastAsia="Arial"/>
        <w:position w:val="0"/>
        <w:sz w:val="20"/>
        <w:szCs w:val="20"/>
      </w:rPr>
    </w:lvl>
    <w:lvl w:ilvl="1">
      <w:start w:val="1"/>
      <w:numFmt w:val="bullet"/>
      <w:suff w:val="tab"/>
      <w:lvlText w:val="o"/>
      <w:lvlJc w:val="left"/>
      <w:pPr>
        <w:tabs>
          <w:tab w:val="num" w:pos="1050"/>
          <w:tab w:val="clear" w:pos="0"/>
        </w:tabs>
        <w:ind w:left="1050" w:hanging="330"/>
      </w:pPr>
      <w:rPr>
        <w:rFonts w:ascii="Arial" w:cs="Arial" w:hAnsi="Arial" w:eastAsia="Arial"/>
        <w:position w:val="0"/>
        <w:sz w:val="22"/>
        <w:szCs w:val="22"/>
      </w:rPr>
    </w:lvl>
    <w:lvl w:ilvl="2">
      <w:start w:val="1"/>
      <w:numFmt w:val="bullet"/>
      <w:suff w:val="tab"/>
      <w:lvlText w:val="▪"/>
      <w:lvlJc w:val="left"/>
      <w:pPr>
        <w:tabs>
          <w:tab w:val="num" w:pos="1770"/>
          <w:tab w:val="clear" w:pos="0"/>
        </w:tabs>
        <w:ind w:left="1770" w:hanging="330"/>
      </w:pPr>
      <w:rPr>
        <w:rFonts w:ascii="Arial" w:cs="Arial" w:hAnsi="Arial" w:eastAsia="Arial"/>
        <w:position w:val="0"/>
        <w:sz w:val="22"/>
        <w:szCs w:val="22"/>
      </w:rPr>
    </w:lvl>
    <w:lvl w:ilvl="3">
      <w:start w:val="1"/>
      <w:numFmt w:val="bullet"/>
      <w:suff w:val="tab"/>
      <w:lvlText w:val="•"/>
      <w:lvlJc w:val="left"/>
      <w:pPr>
        <w:tabs>
          <w:tab w:val="num" w:pos="2490"/>
          <w:tab w:val="clear" w:pos="0"/>
        </w:tabs>
        <w:ind w:left="2490" w:hanging="330"/>
      </w:pPr>
      <w:rPr>
        <w:rFonts w:ascii="Arial" w:cs="Arial" w:hAnsi="Arial" w:eastAsia="Arial"/>
        <w:position w:val="0"/>
        <w:sz w:val="22"/>
        <w:szCs w:val="22"/>
      </w:rPr>
    </w:lvl>
    <w:lvl w:ilvl="4">
      <w:start w:val="1"/>
      <w:numFmt w:val="bullet"/>
      <w:suff w:val="tab"/>
      <w:lvlText w:val="o"/>
      <w:lvlJc w:val="left"/>
      <w:pPr>
        <w:tabs>
          <w:tab w:val="num" w:pos="3210"/>
          <w:tab w:val="clear" w:pos="0"/>
        </w:tabs>
        <w:ind w:left="3210" w:hanging="330"/>
      </w:pPr>
      <w:rPr>
        <w:rFonts w:ascii="Arial" w:cs="Arial" w:hAnsi="Arial" w:eastAsia="Arial"/>
        <w:position w:val="0"/>
        <w:sz w:val="22"/>
        <w:szCs w:val="22"/>
      </w:rPr>
    </w:lvl>
    <w:lvl w:ilvl="5">
      <w:start w:val="1"/>
      <w:numFmt w:val="bullet"/>
      <w:suff w:val="tab"/>
      <w:lvlText w:val="▪"/>
      <w:lvlJc w:val="left"/>
      <w:pPr>
        <w:tabs>
          <w:tab w:val="num" w:pos="3930"/>
          <w:tab w:val="clear" w:pos="0"/>
        </w:tabs>
        <w:ind w:left="3930" w:hanging="330"/>
      </w:pPr>
      <w:rPr>
        <w:rFonts w:ascii="Arial" w:cs="Arial" w:hAnsi="Arial" w:eastAsia="Arial"/>
        <w:position w:val="0"/>
        <w:sz w:val="22"/>
        <w:szCs w:val="22"/>
      </w:rPr>
    </w:lvl>
    <w:lvl w:ilvl="6">
      <w:start w:val="1"/>
      <w:numFmt w:val="bullet"/>
      <w:suff w:val="tab"/>
      <w:lvlText w:val="•"/>
      <w:lvlJc w:val="left"/>
      <w:pPr>
        <w:tabs>
          <w:tab w:val="num" w:pos="4650"/>
          <w:tab w:val="clear" w:pos="0"/>
        </w:tabs>
        <w:ind w:left="4650" w:hanging="330"/>
      </w:pPr>
      <w:rPr>
        <w:rFonts w:ascii="Arial" w:cs="Arial" w:hAnsi="Arial" w:eastAsia="Arial"/>
        <w:position w:val="0"/>
        <w:sz w:val="22"/>
        <w:szCs w:val="22"/>
      </w:rPr>
    </w:lvl>
    <w:lvl w:ilvl="7">
      <w:start w:val="1"/>
      <w:numFmt w:val="bullet"/>
      <w:suff w:val="tab"/>
      <w:lvlText w:val="o"/>
      <w:lvlJc w:val="left"/>
      <w:pPr>
        <w:tabs>
          <w:tab w:val="num" w:pos="5370"/>
          <w:tab w:val="clear" w:pos="0"/>
        </w:tabs>
        <w:ind w:left="5370" w:hanging="330"/>
      </w:pPr>
      <w:rPr>
        <w:rFonts w:ascii="Arial" w:cs="Arial" w:hAnsi="Arial" w:eastAsia="Arial"/>
        <w:position w:val="0"/>
        <w:sz w:val="22"/>
        <w:szCs w:val="22"/>
      </w:rPr>
    </w:lvl>
    <w:lvl w:ilvl="8">
      <w:start w:val="1"/>
      <w:numFmt w:val="bullet"/>
      <w:suff w:val="tab"/>
      <w:lvlText w:val="▪"/>
      <w:lvlJc w:val="left"/>
      <w:pPr>
        <w:tabs>
          <w:tab w:val="num" w:pos="6090"/>
          <w:tab w:val="clear" w:pos="0"/>
        </w:tabs>
        <w:ind w:left="6090" w:hanging="330"/>
      </w:pPr>
      <w:rPr>
        <w:rFonts w:ascii="Arial" w:cs="Arial" w:hAnsi="Arial" w:eastAsia="Arial"/>
        <w:position w:val="0"/>
        <w:sz w:val="22"/>
        <w:szCs w:val="22"/>
      </w:rPr>
    </w:lvl>
  </w:abstractNum>
  <w:abstractNum w:abstractNumId="30">
    <w:multiLevelType w:val="multilevel"/>
    <w:styleLink w:val="List 6"/>
    <w:lvl w:ilvl="0">
      <w:start w:val="0"/>
      <w:numFmt w:val="bullet"/>
      <w:suff w:val="tab"/>
      <w:lvlText w:val="•"/>
      <w:lvlJc w:val="left"/>
      <w:pPr>
        <w:tabs>
          <w:tab w:val="num" w:pos="360"/>
          <w:tab w:val="clear" w:pos="0"/>
        </w:tabs>
        <w:ind w:left="360" w:hanging="360"/>
      </w:pPr>
      <w:rPr>
        <w:rFonts w:ascii="Arial" w:cs="Arial" w:hAnsi="Arial" w:eastAsia="Arial"/>
        <w:position w:val="0"/>
        <w:sz w:val="20"/>
        <w:szCs w:val="20"/>
      </w:rPr>
    </w:lvl>
    <w:lvl w:ilvl="1">
      <w:start w:val="1"/>
      <w:numFmt w:val="bullet"/>
      <w:suff w:val="tab"/>
      <w:lvlText w:val="o"/>
      <w:lvlJc w:val="left"/>
      <w:pPr>
        <w:tabs>
          <w:tab w:val="num" w:pos="1050"/>
          <w:tab w:val="clear" w:pos="0"/>
        </w:tabs>
        <w:ind w:left="1050" w:hanging="330"/>
      </w:pPr>
      <w:rPr>
        <w:rFonts w:ascii="Arial" w:cs="Arial" w:hAnsi="Arial" w:eastAsia="Arial"/>
        <w:position w:val="0"/>
        <w:sz w:val="22"/>
        <w:szCs w:val="22"/>
      </w:rPr>
    </w:lvl>
    <w:lvl w:ilvl="2">
      <w:start w:val="1"/>
      <w:numFmt w:val="bullet"/>
      <w:suff w:val="tab"/>
      <w:lvlText w:val="▪"/>
      <w:lvlJc w:val="left"/>
      <w:pPr>
        <w:tabs>
          <w:tab w:val="num" w:pos="1770"/>
          <w:tab w:val="clear" w:pos="0"/>
        </w:tabs>
        <w:ind w:left="1770" w:hanging="330"/>
      </w:pPr>
      <w:rPr>
        <w:rFonts w:ascii="Arial" w:cs="Arial" w:hAnsi="Arial" w:eastAsia="Arial"/>
        <w:position w:val="0"/>
        <w:sz w:val="22"/>
        <w:szCs w:val="22"/>
      </w:rPr>
    </w:lvl>
    <w:lvl w:ilvl="3">
      <w:start w:val="1"/>
      <w:numFmt w:val="bullet"/>
      <w:suff w:val="tab"/>
      <w:lvlText w:val="•"/>
      <w:lvlJc w:val="left"/>
      <w:pPr>
        <w:tabs>
          <w:tab w:val="num" w:pos="2490"/>
          <w:tab w:val="clear" w:pos="0"/>
        </w:tabs>
        <w:ind w:left="2490" w:hanging="330"/>
      </w:pPr>
      <w:rPr>
        <w:rFonts w:ascii="Arial" w:cs="Arial" w:hAnsi="Arial" w:eastAsia="Arial"/>
        <w:position w:val="0"/>
        <w:sz w:val="22"/>
        <w:szCs w:val="22"/>
      </w:rPr>
    </w:lvl>
    <w:lvl w:ilvl="4">
      <w:start w:val="1"/>
      <w:numFmt w:val="bullet"/>
      <w:suff w:val="tab"/>
      <w:lvlText w:val="o"/>
      <w:lvlJc w:val="left"/>
      <w:pPr>
        <w:tabs>
          <w:tab w:val="num" w:pos="3210"/>
          <w:tab w:val="clear" w:pos="0"/>
        </w:tabs>
        <w:ind w:left="3210" w:hanging="330"/>
      </w:pPr>
      <w:rPr>
        <w:rFonts w:ascii="Arial" w:cs="Arial" w:hAnsi="Arial" w:eastAsia="Arial"/>
        <w:position w:val="0"/>
        <w:sz w:val="22"/>
        <w:szCs w:val="22"/>
      </w:rPr>
    </w:lvl>
    <w:lvl w:ilvl="5">
      <w:start w:val="1"/>
      <w:numFmt w:val="bullet"/>
      <w:suff w:val="tab"/>
      <w:lvlText w:val="▪"/>
      <w:lvlJc w:val="left"/>
      <w:pPr>
        <w:tabs>
          <w:tab w:val="num" w:pos="3930"/>
          <w:tab w:val="clear" w:pos="0"/>
        </w:tabs>
        <w:ind w:left="3930" w:hanging="330"/>
      </w:pPr>
      <w:rPr>
        <w:rFonts w:ascii="Arial" w:cs="Arial" w:hAnsi="Arial" w:eastAsia="Arial"/>
        <w:position w:val="0"/>
        <w:sz w:val="22"/>
        <w:szCs w:val="22"/>
      </w:rPr>
    </w:lvl>
    <w:lvl w:ilvl="6">
      <w:start w:val="1"/>
      <w:numFmt w:val="bullet"/>
      <w:suff w:val="tab"/>
      <w:lvlText w:val="•"/>
      <w:lvlJc w:val="left"/>
      <w:pPr>
        <w:tabs>
          <w:tab w:val="num" w:pos="4650"/>
          <w:tab w:val="clear" w:pos="0"/>
        </w:tabs>
        <w:ind w:left="4650" w:hanging="330"/>
      </w:pPr>
      <w:rPr>
        <w:rFonts w:ascii="Arial" w:cs="Arial" w:hAnsi="Arial" w:eastAsia="Arial"/>
        <w:position w:val="0"/>
        <w:sz w:val="22"/>
        <w:szCs w:val="22"/>
      </w:rPr>
    </w:lvl>
    <w:lvl w:ilvl="7">
      <w:start w:val="1"/>
      <w:numFmt w:val="bullet"/>
      <w:suff w:val="tab"/>
      <w:lvlText w:val="o"/>
      <w:lvlJc w:val="left"/>
      <w:pPr>
        <w:tabs>
          <w:tab w:val="num" w:pos="5370"/>
          <w:tab w:val="clear" w:pos="0"/>
        </w:tabs>
        <w:ind w:left="5370" w:hanging="330"/>
      </w:pPr>
      <w:rPr>
        <w:rFonts w:ascii="Arial" w:cs="Arial" w:hAnsi="Arial" w:eastAsia="Arial"/>
        <w:position w:val="0"/>
        <w:sz w:val="22"/>
        <w:szCs w:val="22"/>
      </w:rPr>
    </w:lvl>
    <w:lvl w:ilvl="8">
      <w:start w:val="1"/>
      <w:numFmt w:val="bullet"/>
      <w:suff w:val="tab"/>
      <w:lvlText w:val="▪"/>
      <w:lvlJc w:val="left"/>
      <w:pPr>
        <w:tabs>
          <w:tab w:val="num" w:pos="6090"/>
          <w:tab w:val="clear" w:pos="0"/>
        </w:tabs>
        <w:ind w:left="6090" w:hanging="330"/>
      </w:pPr>
      <w:rPr>
        <w:rFonts w:ascii="Arial" w:cs="Arial" w:hAnsi="Arial" w:eastAsia="Arial"/>
        <w:position w:val="0"/>
        <w:sz w:val="22"/>
        <w:szCs w:val="22"/>
      </w:rPr>
    </w:lvl>
  </w:abstractNum>
  <w:abstractNum w:abstractNumId="31">
    <w:multiLevelType w:val="multilevel"/>
    <w:styleLink w:val="List 6"/>
    <w:lvl w:ilvl="0">
      <w:start w:val="0"/>
      <w:numFmt w:val="bullet"/>
      <w:suff w:val="tab"/>
      <w:lvlText w:val="•"/>
      <w:lvlJc w:val="left"/>
      <w:pPr>
        <w:tabs>
          <w:tab w:val="num" w:pos="360"/>
          <w:tab w:val="clear" w:pos="0"/>
        </w:tabs>
        <w:ind w:left="360" w:hanging="360"/>
      </w:pPr>
      <w:rPr>
        <w:rFonts w:ascii="Arial" w:cs="Arial" w:hAnsi="Arial" w:eastAsia="Arial"/>
        <w:position w:val="0"/>
        <w:sz w:val="20"/>
        <w:szCs w:val="20"/>
      </w:rPr>
    </w:lvl>
    <w:lvl w:ilvl="1">
      <w:start w:val="1"/>
      <w:numFmt w:val="bullet"/>
      <w:suff w:val="tab"/>
      <w:lvlText w:val="o"/>
      <w:lvlJc w:val="left"/>
      <w:pPr>
        <w:tabs>
          <w:tab w:val="num" w:pos="1050"/>
          <w:tab w:val="clear" w:pos="0"/>
        </w:tabs>
        <w:ind w:left="1050" w:hanging="330"/>
      </w:pPr>
      <w:rPr>
        <w:rFonts w:ascii="Arial" w:cs="Arial" w:hAnsi="Arial" w:eastAsia="Arial"/>
        <w:position w:val="0"/>
        <w:sz w:val="22"/>
        <w:szCs w:val="22"/>
      </w:rPr>
    </w:lvl>
    <w:lvl w:ilvl="2">
      <w:start w:val="1"/>
      <w:numFmt w:val="bullet"/>
      <w:suff w:val="tab"/>
      <w:lvlText w:val="▪"/>
      <w:lvlJc w:val="left"/>
      <w:pPr>
        <w:tabs>
          <w:tab w:val="num" w:pos="1770"/>
          <w:tab w:val="clear" w:pos="0"/>
        </w:tabs>
        <w:ind w:left="1770" w:hanging="330"/>
      </w:pPr>
      <w:rPr>
        <w:rFonts w:ascii="Arial" w:cs="Arial" w:hAnsi="Arial" w:eastAsia="Arial"/>
        <w:position w:val="0"/>
        <w:sz w:val="22"/>
        <w:szCs w:val="22"/>
      </w:rPr>
    </w:lvl>
    <w:lvl w:ilvl="3">
      <w:start w:val="1"/>
      <w:numFmt w:val="bullet"/>
      <w:suff w:val="tab"/>
      <w:lvlText w:val="•"/>
      <w:lvlJc w:val="left"/>
      <w:pPr>
        <w:tabs>
          <w:tab w:val="num" w:pos="2490"/>
          <w:tab w:val="clear" w:pos="0"/>
        </w:tabs>
        <w:ind w:left="2490" w:hanging="330"/>
      </w:pPr>
      <w:rPr>
        <w:rFonts w:ascii="Arial" w:cs="Arial" w:hAnsi="Arial" w:eastAsia="Arial"/>
        <w:position w:val="0"/>
        <w:sz w:val="22"/>
        <w:szCs w:val="22"/>
      </w:rPr>
    </w:lvl>
    <w:lvl w:ilvl="4">
      <w:start w:val="1"/>
      <w:numFmt w:val="bullet"/>
      <w:suff w:val="tab"/>
      <w:lvlText w:val="o"/>
      <w:lvlJc w:val="left"/>
      <w:pPr>
        <w:tabs>
          <w:tab w:val="num" w:pos="3210"/>
          <w:tab w:val="clear" w:pos="0"/>
        </w:tabs>
        <w:ind w:left="3210" w:hanging="330"/>
      </w:pPr>
      <w:rPr>
        <w:rFonts w:ascii="Arial" w:cs="Arial" w:hAnsi="Arial" w:eastAsia="Arial"/>
        <w:position w:val="0"/>
        <w:sz w:val="22"/>
        <w:szCs w:val="22"/>
      </w:rPr>
    </w:lvl>
    <w:lvl w:ilvl="5">
      <w:start w:val="1"/>
      <w:numFmt w:val="bullet"/>
      <w:suff w:val="tab"/>
      <w:lvlText w:val="▪"/>
      <w:lvlJc w:val="left"/>
      <w:pPr>
        <w:tabs>
          <w:tab w:val="num" w:pos="3930"/>
          <w:tab w:val="clear" w:pos="0"/>
        </w:tabs>
        <w:ind w:left="3930" w:hanging="330"/>
      </w:pPr>
      <w:rPr>
        <w:rFonts w:ascii="Arial" w:cs="Arial" w:hAnsi="Arial" w:eastAsia="Arial"/>
        <w:position w:val="0"/>
        <w:sz w:val="22"/>
        <w:szCs w:val="22"/>
      </w:rPr>
    </w:lvl>
    <w:lvl w:ilvl="6">
      <w:start w:val="1"/>
      <w:numFmt w:val="bullet"/>
      <w:suff w:val="tab"/>
      <w:lvlText w:val="•"/>
      <w:lvlJc w:val="left"/>
      <w:pPr>
        <w:tabs>
          <w:tab w:val="num" w:pos="4650"/>
          <w:tab w:val="clear" w:pos="0"/>
        </w:tabs>
        <w:ind w:left="4650" w:hanging="330"/>
      </w:pPr>
      <w:rPr>
        <w:rFonts w:ascii="Arial" w:cs="Arial" w:hAnsi="Arial" w:eastAsia="Arial"/>
        <w:position w:val="0"/>
        <w:sz w:val="22"/>
        <w:szCs w:val="22"/>
      </w:rPr>
    </w:lvl>
    <w:lvl w:ilvl="7">
      <w:start w:val="1"/>
      <w:numFmt w:val="bullet"/>
      <w:suff w:val="tab"/>
      <w:lvlText w:val="o"/>
      <w:lvlJc w:val="left"/>
      <w:pPr>
        <w:tabs>
          <w:tab w:val="num" w:pos="5370"/>
          <w:tab w:val="clear" w:pos="0"/>
        </w:tabs>
        <w:ind w:left="5370" w:hanging="330"/>
      </w:pPr>
      <w:rPr>
        <w:rFonts w:ascii="Arial" w:cs="Arial" w:hAnsi="Arial" w:eastAsia="Arial"/>
        <w:position w:val="0"/>
        <w:sz w:val="22"/>
        <w:szCs w:val="22"/>
      </w:rPr>
    </w:lvl>
    <w:lvl w:ilvl="8">
      <w:start w:val="1"/>
      <w:numFmt w:val="bullet"/>
      <w:suff w:val="tab"/>
      <w:lvlText w:val="▪"/>
      <w:lvlJc w:val="left"/>
      <w:pPr>
        <w:tabs>
          <w:tab w:val="num" w:pos="6090"/>
          <w:tab w:val="clear" w:pos="0"/>
        </w:tabs>
        <w:ind w:left="6090" w:hanging="330"/>
      </w:pPr>
      <w:rPr>
        <w:rFonts w:ascii="Arial" w:cs="Arial" w:hAnsi="Arial" w:eastAsia="Arial"/>
        <w:position w:val="0"/>
        <w:sz w:val="22"/>
        <w:szCs w:val="22"/>
      </w:rPr>
    </w:lvl>
  </w:abstractNum>
  <w:abstractNum w:abstractNumId="32">
    <w:multiLevelType w:val="multilevel"/>
    <w:styleLink w:val="List 6"/>
    <w:lvl w:ilvl="0">
      <w:start w:val="0"/>
      <w:numFmt w:val="bullet"/>
      <w:suff w:val="tab"/>
      <w:lvlText w:val="•"/>
      <w:lvlJc w:val="left"/>
      <w:pPr>
        <w:tabs>
          <w:tab w:val="num" w:pos="360"/>
          <w:tab w:val="clear" w:pos="0"/>
        </w:tabs>
        <w:ind w:left="360" w:hanging="360"/>
      </w:pPr>
      <w:rPr>
        <w:rFonts w:ascii="Arial" w:cs="Arial" w:hAnsi="Arial" w:eastAsia="Arial"/>
        <w:position w:val="0"/>
        <w:sz w:val="20"/>
        <w:szCs w:val="20"/>
      </w:rPr>
    </w:lvl>
    <w:lvl w:ilvl="1">
      <w:start w:val="1"/>
      <w:numFmt w:val="bullet"/>
      <w:suff w:val="tab"/>
      <w:lvlText w:val="o"/>
      <w:lvlJc w:val="left"/>
      <w:pPr>
        <w:tabs>
          <w:tab w:val="num" w:pos="1050"/>
          <w:tab w:val="clear" w:pos="0"/>
        </w:tabs>
        <w:ind w:left="1050" w:hanging="330"/>
      </w:pPr>
      <w:rPr>
        <w:rFonts w:ascii="Arial" w:cs="Arial" w:hAnsi="Arial" w:eastAsia="Arial"/>
        <w:position w:val="0"/>
        <w:sz w:val="22"/>
        <w:szCs w:val="22"/>
      </w:rPr>
    </w:lvl>
    <w:lvl w:ilvl="2">
      <w:start w:val="1"/>
      <w:numFmt w:val="bullet"/>
      <w:suff w:val="tab"/>
      <w:lvlText w:val="▪"/>
      <w:lvlJc w:val="left"/>
      <w:pPr>
        <w:tabs>
          <w:tab w:val="num" w:pos="1770"/>
          <w:tab w:val="clear" w:pos="0"/>
        </w:tabs>
        <w:ind w:left="1770" w:hanging="330"/>
      </w:pPr>
      <w:rPr>
        <w:rFonts w:ascii="Arial" w:cs="Arial" w:hAnsi="Arial" w:eastAsia="Arial"/>
        <w:position w:val="0"/>
        <w:sz w:val="22"/>
        <w:szCs w:val="22"/>
      </w:rPr>
    </w:lvl>
    <w:lvl w:ilvl="3">
      <w:start w:val="1"/>
      <w:numFmt w:val="bullet"/>
      <w:suff w:val="tab"/>
      <w:lvlText w:val="•"/>
      <w:lvlJc w:val="left"/>
      <w:pPr>
        <w:tabs>
          <w:tab w:val="num" w:pos="2490"/>
          <w:tab w:val="clear" w:pos="0"/>
        </w:tabs>
        <w:ind w:left="2490" w:hanging="330"/>
      </w:pPr>
      <w:rPr>
        <w:rFonts w:ascii="Arial" w:cs="Arial" w:hAnsi="Arial" w:eastAsia="Arial"/>
        <w:position w:val="0"/>
        <w:sz w:val="22"/>
        <w:szCs w:val="22"/>
      </w:rPr>
    </w:lvl>
    <w:lvl w:ilvl="4">
      <w:start w:val="1"/>
      <w:numFmt w:val="bullet"/>
      <w:suff w:val="tab"/>
      <w:lvlText w:val="o"/>
      <w:lvlJc w:val="left"/>
      <w:pPr>
        <w:tabs>
          <w:tab w:val="num" w:pos="3210"/>
          <w:tab w:val="clear" w:pos="0"/>
        </w:tabs>
        <w:ind w:left="3210" w:hanging="330"/>
      </w:pPr>
      <w:rPr>
        <w:rFonts w:ascii="Arial" w:cs="Arial" w:hAnsi="Arial" w:eastAsia="Arial"/>
        <w:position w:val="0"/>
        <w:sz w:val="22"/>
        <w:szCs w:val="22"/>
      </w:rPr>
    </w:lvl>
    <w:lvl w:ilvl="5">
      <w:start w:val="1"/>
      <w:numFmt w:val="bullet"/>
      <w:suff w:val="tab"/>
      <w:lvlText w:val="▪"/>
      <w:lvlJc w:val="left"/>
      <w:pPr>
        <w:tabs>
          <w:tab w:val="num" w:pos="3930"/>
          <w:tab w:val="clear" w:pos="0"/>
        </w:tabs>
        <w:ind w:left="3930" w:hanging="330"/>
      </w:pPr>
      <w:rPr>
        <w:rFonts w:ascii="Arial" w:cs="Arial" w:hAnsi="Arial" w:eastAsia="Arial"/>
        <w:position w:val="0"/>
        <w:sz w:val="22"/>
        <w:szCs w:val="22"/>
      </w:rPr>
    </w:lvl>
    <w:lvl w:ilvl="6">
      <w:start w:val="1"/>
      <w:numFmt w:val="bullet"/>
      <w:suff w:val="tab"/>
      <w:lvlText w:val="•"/>
      <w:lvlJc w:val="left"/>
      <w:pPr>
        <w:tabs>
          <w:tab w:val="num" w:pos="4650"/>
          <w:tab w:val="clear" w:pos="0"/>
        </w:tabs>
        <w:ind w:left="4650" w:hanging="330"/>
      </w:pPr>
      <w:rPr>
        <w:rFonts w:ascii="Arial" w:cs="Arial" w:hAnsi="Arial" w:eastAsia="Arial"/>
        <w:position w:val="0"/>
        <w:sz w:val="22"/>
        <w:szCs w:val="22"/>
      </w:rPr>
    </w:lvl>
    <w:lvl w:ilvl="7">
      <w:start w:val="1"/>
      <w:numFmt w:val="bullet"/>
      <w:suff w:val="tab"/>
      <w:lvlText w:val="o"/>
      <w:lvlJc w:val="left"/>
      <w:pPr>
        <w:tabs>
          <w:tab w:val="num" w:pos="5370"/>
          <w:tab w:val="clear" w:pos="0"/>
        </w:tabs>
        <w:ind w:left="5370" w:hanging="330"/>
      </w:pPr>
      <w:rPr>
        <w:rFonts w:ascii="Arial" w:cs="Arial" w:hAnsi="Arial" w:eastAsia="Arial"/>
        <w:position w:val="0"/>
        <w:sz w:val="22"/>
        <w:szCs w:val="22"/>
      </w:rPr>
    </w:lvl>
    <w:lvl w:ilvl="8">
      <w:start w:val="1"/>
      <w:numFmt w:val="bullet"/>
      <w:suff w:val="tab"/>
      <w:lvlText w:val="▪"/>
      <w:lvlJc w:val="left"/>
      <w:pPr>
        <w:tabs>
          <w:tab w:val="num" w:pos="6090"/>
          <w:tab w:val="clear" w:pos="0"/>
        </w:tabs>
        <w:ind w:left="6090" w:hanging="330"/>
      </w:pPr>
      <w:rPr>
        <w:rFonts w:ascii="Arial" w:cs="Arial" w:hAnsi="Arial" w:eastAsia="Arial"/>
        <w:position w:val="0"/>
        <w:sz w:val="22"/>
        <w:szCs w:val="22"/>
      </w:rPr>
    </w:lvl>
  </w:abstractNum>
  <w:abstractNum w:abstractNumId="33">
    <w:multiLevelType w:val="multilevel"/>
    <w:lvl w:ilvl="0">
      <w:start w:val="1"/>
      <w:numFmt w:val="bullet"/>
      <w:suff w:val="tab"/>
      <w:lvlText w:val="•"/>
      <w:lvlJc w:val="left"/>
      <w:pPr/>
      <w:rPr>
        <w:rFonts w:ascii="Arial" w:cs="Arial" w:hAnsi="Arial" w:eastAsia="Arial"/>
        <w:position w:val="0"/>
      </w:rPr>
    </w:lvl>
    <w:lvl w:ilvl="1">
      <w:start w:val="1"/>
      <w:numFmt w:val="bullet"/>
      <w:suff w:val="tab"/>
      <w:lvlText w:val="o"/>
      <w:lvlJc w:val="left"/>
      <w:pPr/>
      <w:rPr>
        <w:rFonts w:ascii="Arial" w:cs="Arial" w:hAnsi="Arial" w:eastAsia="Arial"/>
        <w:position w:val="0"/>
      </w:rPr>
    </w:lvl>
    <w:lvl w:ilvl="2">
      <w:start w:val="1"/>
      <w:numFmt w:val="bullet"/>
      <w:suff w:val="tab"/>
      <w:lvlText w:val="▪"/>
      <w:lvlJc w:val="left"/>
      <w:pPr/>
      <w:rPr>
        <w:rFonts w:ascii="Arial" w:cs="Arial" w:hAnsi="Arial" w:eastAsia="Arial"/>
        <w:position w:val="0"/>
      </w:rPr>
    </w:lvl>
    <w:lvl w:ilvl="3">
      <w:start w:val="1"/>
      <w:numFmt w:val="bullet"/>
      <w:suff w:val="tab"/>
      <w:lvlText w:val="•"/>
      <w:lvlJc w:val="left"/>
      <w:pPr/>
      <w:rPr>
        <w:rFonts w:ascii="Arial" w:cs="Arial" w:hAnsi="Arial" w:eastAsia="Arial"/>
        <w:position w:val="0"/>
      </w:rPr>
    </w:lvl>
    <w:lvl w:ilvl="4">
      <w:start w:val="1"/>
      <w:numFmt w:val="bullet"/>
      <w:suff w:val="tab"/>
      <w:lvlText w:val="o"/>
      <w:lvlJc w:val="left"/>
      <w:pPr/>
      <w:rPr>
        <w:rFonts w:ascii="Arial" w:cs="Arial" w:hAnsi="Arial" w:eastAsia="Arial"/>
        <w:position w:val="0"/>
      </w:rPr>
    </w:lvl>
    <w:lvl w:ilvl="5">
      <w:start w:val="1"/>
      <w:numFmt w:val="bullet"/>
      <w:suff w:val="tab"/>
      <w:lvlText w:val="▪"/>
      <w:lvlJc w:val="left"/>
      <w:pPr/>
      <w:rPr>
        <w:rFonts w:ascii="Arial" w:cs="Arial" w:hAnsi="Arial" w:eastAsia="Arial"/>
        <w:position w:val="0"/>
      </w:rPr>
    </w:lvl>
    <w:lvl w:ilvl="6">
      <w:start w:val="1"/>
      <w:numFmt w:val="bullet"/>
      <w:suff w:val="tab"/>
      <w:lvlText w:val="•"/>
      <w:lvlJc w:val="left"/>
      <w:pPr/>
      <w:rPr>
        <w:rFonts w:ascii="Arial" w:cs="Arial" w:hAnsi="Arial" w:eastAsia="Arial"/>
        <w:position w:val="0"/>
      </w:rPr>
    </w:lvl>
    <w:lvl w:ilvl="7">
      <w:start w:val="1"/>
      <w:numFmt w:val="bullet"/>
      <w:suff w:val="tab"/>
      <w:lvlText w:val="o"/>
      <w:lvlJc w:val="left"/>
      <w:pPr/>
      <w:rPr>
        <w:rFonts w:ascii="Arial" w:cs="Arial" w:hAnsi="Arial" w:eastAsia="Arial"/>
        <w:position w:val="0"/>
      </w:rPr>
    </w:lvl>
    <w:lvl w:ilvl="8">
      <w:start w:val="1"/>
      <w:numFmt w:val="bullet"/>
      <w:suff w:val="tab"/>
      <w:lvlText w:val="▪"/>
      <w:lvlJc w:val="left"/>
      <w:pPr/>
      <w:rPr>
        <w:rFonts w:ascii="Arial" w:cs="Arial" w:hAnsi="Arial" w:eastAsia="Arial"/>
        <w:position w:val="0"/>
      </w:rPr>
    </w:lvl>
  </w:abstractNum>
  <w:abstractNum w:abstractNumId="34">
    <w:multiLevelType w:val="multilevel"/>
    <w:lvl w:ilvl="0">
      <w:start w:val="1"/>
      <w:numFmt w:val="decimal"/>
      <w:suff w:val="tab"/>
      <w:lvlText w:val="%1."/>
      <w:lvlJc w:val="left"/>
      <w:pPr/>
      <w:rPr>
        <w:position w:val="0"/>
      </w:rPr>
    </w:lvl>
    <w:lvl w:ilvl="1">
      <w:start w:val="1"/>
      <w:numFmt w:val="decimal"/>
      <w:suff w:val="tab"/>
      <w:lvlText w:val="%2."/>
      <w:lvlJc w:val="left"/>
      <w:pPr/>
      <w:rPr>
        <w:position w:val="0"/>
      </w:rPr>
    </w:lvl>
    <w:lvl w:ilvl="2">
      <w:start w:val="1"/>
      <w:numFmt w:val="decimal"/>
      <w:suff w:val="tab"/>
      <w:lvlText w:val="%3."/>
      <w:lvlJc w:val="left"/>
      <w:pPr/>
      <w:rPr>
        <w:position w:val="0"/>
      </w:rPr>
    </w:lvl>
    <w:lvl w:ilvl="3">
      <w:start w:val="1"/>
      <w:numFmt w:val="decimal"/>
      <w:suff w:val="tab"/>
      <w:lvlText w:val="%3."/>
      <w:lvlJc w:val="left"/>
      <w:pPr/>
      <w:rPr>
        <w:position w:val="0"/>
      </w:rPr>
    </w:lvl>
    <w:lvl w:ilvl="4">
      <w:start w:val="1"/>
      <w:numFmt w:val="decimal"/>
      <w:suff w:val="tab"/>
      <w:lvlText w:val="%3."/>
      <w:lvlJc w:val="left"/>
      <w:pPr/>
      <w:rPr>
        <w:position w:val="0"/>
      </w:rPr>
    </w:lvl>
    <w:lvl w:ilvl="5">
      <w:start w:val="1"/>
      <w:numFmt w:val="decimal"/>
      <w:suff w:val="tab"/>
      <w:lvlText w:val="%3."/>
      <w:lvlJc w:val="left"/>
      <w:pPr/>
      <w:rPr>
        <w:position w:val="0"/>
      </w:rPr>
    </w:lvl>
    <w:lvl w:ilvl="6">
      <w:start w:val="1"/>
      <w:numFmt w:val="decimal"/>
      <w:suff w:val="tab"/>
      <w:lvlText w:val="%7."/>
      <w:lvlJc w:val="left"/>
      <w:pPr/>
      <w:rPr>
        <w:position w:val="0"/>
      </w:rPr>
    </w:lvl>
    <w:lvl w:ilvl="7">
      <w:start w:val="1"/>
      <w:numFmt w:val="lowerRoman"/>
      <w:suff w:val="tab"/>
      <w:lvlText w:val="%8."/>
      <w:lvlJc w:val="left"/>
      <w:pPr/>
      <w:rPr>
        <w:position w:val="0"/>
      </w:rPr>
    </w:lvl>
    <w:lvl w:ilvl="8">
      <w:start w:val="1"/>
      <w:numFmt w:val="lowerLetter"/>
      <w:suff w:val="tab"/>
      <w:lvlText w:val="%9."/>
      <w:lvlJc w:val="left"/>
      <w:pPr/>
      <w:rPr>
        <w:position w:val="0"/>
      </w:rPr>
    </w:lvl>
  </w:abstractNum>
  <w:abstractNum w:abstractNumId="35">
    <w:multiLevelType w:val="multilevel"/>
    <w:styleLink w:val="List 7"/>
    <w:lvl w:ilvl="0">
      <w:start w:val="0"/>
      <w:numFmt w:val="bullet"/>
      <w:suff w:val="tab"/>
      <w:lvlText w:val="•"/>
      <w:lvlJc w:val="left"/>
      <w:pPr/>
      <w:rPr>
        <w:rFonts w:ascii="Arial" w:cs="Arial" w:hAnsi="Arial" w:eastAsia="Arial"/>
        <w:position w:val="0"/>
      </w:rPr>
    </w:lvl>
    <w:lvl w:ilvl="1">
      <w:start w:val="1"/>
      <w:numFmt w:val="bullet"/>
      <w:suff w:val="tab"/>
      <w:lvlText w:val="o"/>
      <w:lvlJc w:val="left"/>
      <w:pPr/>
      <w:rPr>
        <w:rFonts w:ascii="Arial" w:cs="Arial" w:hAnsi="Arial" w:eastAsia="Arial"/>
        <w:position w:val="0"/>
      </w:rPr>
    </w:lvl>
    <w:lvl w:ilvl="2">
      <w:start w:val="1"/>
      <w:numFmt w:val="bullet"/>
      <w:suff w:val="tab"/>
      <w:lvlText w:val="▪"/>
      <w:lvlJc w:val="left"/>
      <w:pPr/>
      <w:rPr>
        <w:rFonts w:ascii="Arial" w:cs="Arial" w:hAnsi="Arial" w:eastAsia="Arial"/>
        <w:position w:val="0"/>
      </w:rPr>
    </w:lvl>
    <w:lvl w:ilvl="3">
      <w:start w:val="1"/>
      <w:numFmt w:val="bullet"/>
      <w:suff w:val="tab"/>
      <w:lvlText w:val="•"/>
      <w:lvlJc w:val="left"/>
      <w:pPr/>
      <w:rPr>
        <w:rFonts w:ascii="Arial" w:cs="Arial" w:hAnsi="Arial" w:eastAsia="Arial"/>
        <w:position w:val="0"/>
      </w:rPr>
    </w:lvl>
    <w:lvl w:ilvl="4">
      <w:start w:val="1"/>
      <w:numFmt w:val="bullet"/>
      <w:suff w:val="tab"/>
      <w:lvlText w:val="o"/>
      <w:lvlJc w:val="left"/>
      <w:pPr/>
      <w:rPr>
        <w:rFonts w:ascii="Arial" w:cs="Arial" w:hAnsi="Arial" w:eastAsia="Arial"/>
        <w:position w:val="0"/>
      </w:rPr>
    </w:lvl>
    <w:lvl w:ilvl="5">
      <w:start w:val="1"/>
      <w:numFmt w:val="bullet"/>
      <w:suff w:val="tab"/>
      <w:lvlText w:val="▪"/>
      <w:lvlJc w:val="left"/>
      <w:pPr/>
      <w:rPr>
        <w:rFonts w:ascii="Arial" w:cs="Arial" w:hAnsi="Arial" w:eastAsia="Arial"/>
        <w:position w:val="0"/>
      </w:rPr>
    </w:lvl>
    <w:lvl w:ilvl="6">
      <w:start w:val="1"/>
      <w:numFmt w:val="bullet"/>
      <w:suff w:val="tab"/>
      <w:lvlText w:val="•"/>
      <w:lvlJc w:val="left"/>
      <w:pPr/>
      <w:rPr>
        <w:rFonts w:ascii="Arial" w:cs="Arial" w:hAnsi="Arial" w:eastAsia="Arial"/>
        <w:position w:val="0"/>
      </w:rPr>
    </w:lvl>
    <w:lvl w:ilvl="7">
      <w:start w:val="1"/>
      <w:numFmt w:val="bullet"/>
      <w:suff w:val="tab"/>
      <w:lvlText w:val="o"/>
      <w:lvlJc w:val="left"/>
      <w:pPr/>
      <w:rPr>
        <w:rFonts w:ascii="Arial" w:cs="Arial" w:hAnsi="Arial" w:eastAsia="Arial"/>
        <w:position w:val="0"/>
      </w:rPr>
    </w:lvl>
    <w:lvl w:ilvl="8">
      <w:start w:val="1"/>
      <w:numFmt w:val="bullet"/>
      <w:suff w:val="tab"/>
      <w:lvlText w:val="▪"/>
      <w:lvlJc w:val="left"/>
      <w:pPr/>
      <w:rPr>
        <w:rFonts w:ascii="Arial" w:cs="Arial" w:hAnsi="Arial" w:eastAsia="Arial"/>
        <w:position w:val="0"/>
      </w:rPr>
    </w:lvl>
  </w:abstractNum>
  <w:abstractNum w:abstractNumId="36">
    <w:multiLevelType w:val="multilevel"/>
    <w:styleLink w:val="List 7"/>
    <w:lvl w:ilvl="0">
      <w:start w:val="0"/>
      <w:numFmt w:val="bullet"/>
      <w:suff w:val="tab"/>
      <w:lvlText w:val="•"/>
      <w:lvlJc w:val="left"/>
      <w:pPr/>
      <w:rPr>
        <w:rFonts w:ascii="Arial" w:cs="Arial" w:hAnsi="Arial" w:eastAsia="Arial"/>
        <w:position w:val="0"/>
      </w:rPr>
    </w:lvl>
    <w:lvl w:ilvl="1">
      <w:start w:val="1"/>
      <w:numFmt w:val="bullet"/>
      <w:suff w:val="tab"/>
      <w:lvlText w:val="o"/>
      <w:lvlJc w:val="left"/>
      <w:pPr/>
      <w:rPr>
        <w:rFonts w:ascii="Arial" w:cs="Arial" w:hAnsi="Arial" w:eastAsia="Arial"/>
        <w:position w:val="0"/>
      </w:rPr>
    </w:lvl>
    <w:lvl w:ilvl="2">
      <w:start w:val="1"/>
      <w:numFmt w:val="bullet"/>
      <w:suff w:val="tab"/>
      <w:lvlText w:val="▪"/>
      <w:lvlJc w:val="left"/>
      <w:pPr/>
      <w:rPr>
        <w:rFonts w:ascii="Arial" w:cs="Arial" w:hAnsi="Arial" w:eastAsia="Arial"/>
        <w:position w:val="0"/>
      </w:rPr>
    </w:lvl>
    <w:lvl w:ilvl="3">
      <w:start w:val="1"/>
      <w:numFmt w:val="bullet"/>
      <w:suff w:val="tab"/>
      <w:lvlText w:val="•"/>
      <w:lvlJc w:val="left"/>
      <w:pPr/>
      <w:rPr>
        <w:rFonts w:ascii="Arial" w:cs="Arial" w:hAnsi="Arial" w:eastAsia="Arial"/>
        <w:position w:val="0"/>
      </w:rPr>
    </w:lvl>
    <w:lvl w:ilvl="4">
      <w:start w:val="1"/>
      <w:numFmt w:val="bullet"/>
      <w:suff w:val="tab"/>
      <w:lvlText w:val="o"/>
      <w:lvlJc w:val="left"/>
      <w:pPr/>
      <w:rPr>
        <w:rFonts w:ascii="Arial" w:cs="Arial" w:hAnsi="Arial" w:eastAsia="Arial"/>
        <w:position w:val="0"/>
      </w:rPr>
    </w:lvl>
    <w:lvl w:ilvl="5">
      <w:start w:val="1"/>
      <w:numFmt w:val="bullet"/>
      <w:suff w:val="tab"/>
      <w:lvlText w:val="▪"/>
      <w:lvlJc w:val="left"/>
      <w:pPr/>
      <w:rPr>
        <w:rFonts w:ascii="Arial" w:cs="Arial" w:hAnsi="Arial" w:eastAsia="Arial"/>
        <w:position w:val="0"/>
      </w:rPr>
    </w:lvl>
    <w:lvl w:ilvl="6">
      <w:start w:val="1"/>
      <w:numFmt w:val="bullet"/>
      <w:suff w:val="tab"/>
      <w:lvlText w:val="•"/>
      <w:lvlJc w:val="left"/>
      <w:pPr/>
      <w:rPr>
        <w:rFonts w:ascii="Arial" w:cs="Arial" w:hAnsi="Arial" w:eastAsia="Arial"/>
        <w:position w:val="0"/>
      </w:rPr>
    </w:lvl>
    <w:lvl w:ilvl="7">
      <w:start w:val="1"/>
      <w:numFmt w:val="bullet"/>
      <w:suff w:val="tab"/>
      <w:lvlText w:val="o"/>
      <w:lvlJc w:val="left"/>
      <w:pPr/>
      <w:rPr>
        <w:rFonts w:ascii="Arial" w:cs="Arial" w:hAnsi="Arial" w:eastAsia="Arial"/>
        <w:position w:val="0"/>
      </w:rPr>
    </w:lvl>
    <w:lvl w:ilvl="8">
      <w:start w:val="1"/>
      <w:numFmt w:val="bullet"/>
      <w:suff w:val="tab"/>
      <w:lvlText w:val="▪"/>
      <w:lvlJc w:val="left"/>
      <w:pPr/>
      <w:rPr>
        <w:rFonts w:ascii="Arial" w:cs="Arial" w:hAnsi="Arial" w:eastAsia="Arial"/>
        <w:position w:val="0"/>
      </w:rPr>
    </w:lvl>
  </w:abstractNum>
  <w:abstractNum w:abstractNumId="37">
    <w:multiLevelType w:val="multilevel"/>
    <w:styleLink w:val="List 7"/>
    <w:lvl w:ilvl="0">
      <w:start w:val="0"/>
      <w:numFmt w:val="bullet"/>
      <w:suff w:val="tab"/>
      <w:lvlText w:val="•"/>
      <w:lvlJc w:val="left"/>
      <w:pPr/>
      <w:rPr>
        <w:rFonts w:ascii="Arial" w:cs="Arial" w:hAnsi="Arial" w:eastAsia="Arial"/>
        <w:position w:val="0"/>
      </w:rPr>
    </w:lvl>
    <w:lvl w:ilvl="1">
      <w:start w:val="1"/>
      <w:numFmt w:val="bullet"/>
      <w:suff w:val="tab"/>
      <w:lvlText w:val="o"/>
      <w:lvlJc w:val="left"/>
      <w:pPr/>
      <w:rPr>
        <w:rFonts w:ascii="Arial" w:cs="Arial" w:hAnsi="Arial" w:eastAsia="Arial"/>
        <w:position w:val="0"/>
      </w:rPr>
    </w:lvl>
    <w:lvl w:ilvl="2">
      <w:start w:val="1"/>
      <w:numFmt w:val="bullet"/>
      <w:suff w:val="tab"/>
      <w:lvlText w:val="▪"/>
      <w:lvlJc w:val="left"/>
      <w:pPr/>
      <w:rPr>
        <w:rFonts w:ascii="Arial" w:cs="Arial" w:hAnsi="Arial" w:eastAsia="Arial"/>
        <w:position w:val="0"/>
      </w:rPr>
    </w:lvl>
    <w:lvl w:ilvl="3">
      <w:start w:val="1"/>
      <w:numFmt w:val="bullet"/>
      <w:suff w:val="tab"/>
      <w:lvlText w:val="•"/>
      <w:lvlJc w:val="left"/>
      <w:pPr/>
      <w:rPr>
        <w:rFonts w:ascii="Arial" w:cs="Arial" w:hAnsi="Arial" w:eastAsia="Arial"/>
        <w:position w:val="0"/>
      </w:rPr>
    </w:lvl>
    <w:lvl w:ilvl="4">
      <w:start w:val="1"/>
      <w:numFmt w:val="bullet"/>
      <w:suff w:val="tab"/>
      <w:lvlText w:val="o"/>
      <w:lvlJc w:val="left"/>
      <w:pPr/>
      <w:rPr>
        <w:rFonts w:ascii="Arial" w:cs="Arial" w:hAnsi="Arial" w:eastAsia="Arial"/>
        <w:position w:val="0"/>
      </w:rPr>
    </w:lvl>
    <w:lvl w:ilvl="5">
      <w:start w:val="1"/>
      <w:numFmt w:val="bullet"/>
      <w:suff w:val="tab"/>
      <w:lvlText w:val="▪"/>
      <w:lvlJc w:val="left"/>
      <w:pPr/>
      <w:rPr>
        <w:rFonts w:ascii="Arial" w:cs="Arial" w:hAnsi="Arial" w:eastAsia="Arial"/>
        <w:position w:val="0"/>
      </w:rPr>
    </w:lvl>
    <w:lvl w:ilvl="6">
      <w:start w:val="1"/>
      <w:numFmt w:val="bullet"/>
      <w:suff w:val="tab"/>
      <w:lvlText w:val="•"/>
      <w:lvlJc w:val="left"/>
      <w:pPr/>
      <w:rPr>
        <w:rFonts w:ascii="Arial" w:cs="Arial" w:hAnsi="Arial" w:eastAsia="Arial"/>
        <w:position w:val="0"/>
      </w:rPr>
    </w:lvl>
    <w:lvl w:ilvl="7">
      <w:start w:val="1"/>
      <w:numFmt w:val="bullet"/>
      <w:suff w:val="tab"/>
      <w:lvlText w:val="o"/>
      <w:lvlJc w:val="left"/>
      <w:pPr/>
      <w:rPr>
        <w:rFonts w:ascii="Arial" w:cs="Arial" w:hAnsi="Arial" w:eastAsia="Arial"/>
        <w:position w:val="0"/>
      </w:rPr>
    </w:lvl>
    <w:lvl w:ilvl="8">
      <w:start w:val="1"/>
      <w:numFmt w:val="bullet"/>
      <w:suff w:val="tab"/>
      <w:lvlText w:val="▪"/>
      <w:lvlJc w:val="left"/>
      <w:pPr/>
      <w:rPr>
        <w:rFonts w:ascii="Arial" w:cs="Arial" w:hAnsi="Arial" w:eastAsia="Arial"/>
        <w:position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9"/>
  <w:autoHyphenation w:val="1"/>
  <w:evenAndOddHeaders w:val="0"/>
  <w:bookFoldPrinting w:val="0"/>
  <w:noLineBreaksAfter w:lang="" w:val="‘“(〔[{〈《「『【⦅〘〖«〝︵︷︹︻︽︿﹁﹃﹇﹙﹛﹝｢"/>
  <w:noLineBreaksBefore w:lang="" w:val="’”)〕]}〉"/>
  <w:footnotePr>
    <w:numFmt w:val="decimal"/>
    <w:numStart w:val="1"/>
    <w:numRestart w:val="continuous"/>
    <w:footnote w:id="-1"/>
    <w:footnote w:id="0"/>
    <w:footnote w:id="-2"/>
  </w:footnotePr>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00a_Page number">
    <w:name w:val="00a_Page number"/>
    <w:next w:val="00a_Page number"/>
    <w:pPr>
      <w:keepNext w:val="0"/>
      <w:keepLines w:val="0"/>
      <w:pageBreakBefore w:val="0"/>
      <w:widowControl w:val="1"/>
      <w:shd w:val="clear" w:color="auto" w:fill="auto"/>
      <w:suppressAutoHyphens w:val="0"/>
      <w:bidi w:val="0"/>
      <w:spacing w:before="0" w:after="0" w:line="280" w:lineRule="atLeast"/>
      <w:ind w:left="0" w:right="0" w:firstLine="0"/>
      <w:jc w:val="right"/>
      <w:outlineLvl w:val="9"/>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05_Headline no Index">
    <w:name w:val="05_Headline no Index"/>
    <w:next w:val="05_Headline no Index"/>
    <w:pPr>
      <w:keepNext w:val="0"/>
      <w:keepLines w:val="0"/>
      <w:pageBreakBefore w:val="0"/>
      <w:widowControl w:val="1"/>
      <w:shd w:val="clear" w:color="auto" w:fill="auto"/>
      <w:suppressAutoHyphens w:val="0"/>
      <w:bidi w:val="0"/>
      <w:spacing w:before="0" w:after="250" w:line="300" w:lineRule="exact"/>
      <w:ind w:left="0" w:right="0" w:firstLine="0"/>
      <w:jc w:val="both"/>
      <w:outlineLvl w:val="9"/>
    </w:pPr>
    <w:rPr>
      <w:rFonts w:ascii="Arial" w:cs="Arial" w:hAnsi="Arial" w:eastAsia="Arial"/>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00b_DB_Info">
    <w:name w:val="00b_DB_Info"/>
    <w:next w:val="00b_DB_Info"/>
    <w:pPr>
      <w:keepNext w:val="0"/>
      <w:keepLines w:val="0"/>
      <w:pageBreakBefore w:val="0"/>
      <w:widowControl w:val="1"/>
      <w:shd w:val="clear" w:color="auto" w:fill="auto"/>
      <w:suppressAutoHyphens w:val="0"/>
      <w:bidi w:val="0"/>
      <w:spacing w:before="0" w:after="0" w:line="280" w:lineRule="atLeast"/>
      <w:ind w:left="0" w:right="0" w:firstLine="0"/>
      <w:jc w:val="right"/>
      <w:outlineLvl w:val="9"/>
    </w:pPr>
    <w:rPr>
      <w:rFonts w:ascii="Arial" w:cs="Arial Unicode MS" w:hAnsi="Arial Unicode MS" w:eastAsia="Arial Unicode MS"/>
      <w:b w:val="0"/>
      <w:bCs w:val="0"/>
      <w:i w:val="0"/>
      <w:iCs w:val="0"/>
      <w:caps w:val="0"/>
      <w:smallCaps w:val="0"/>
      <w:strike w:val="0"/>
      <w:dstrike w:val="0"/>
      <w:outline w:val="0"/>
      <w:color w:val="ffffff"/>
      <w:spacing w:val="0"/>
      <w:kern w:val="0"/>
      <w:position w:val="0"/>
      <w:sz w:val="20"/>
      <w:szCs w:val="20"/>
      <w:u w:val="none" w:color="ffffff"/>
      <w:vertAlign w:val="baseline"/>
      <w:lang w:val="en-US"/>
    </w:rPr>
  </w:style>
  <w:style w:type="paragraph" w:styleId="01a_DB_Title">
    <w:name w:val="01a_DB_Title"/>
    <w:next w:val="01a_DB_Title"/>
    <w:pPr>
      <w:keepNext w:val="0"/>
      <w:keepLines w:val="0"/>
      <w:pageBreakBefore w:val="0"/>
      <w:widowControl w:val="1"/>
      <w:shd w:val="clear" w:color="auto" w:fill="auto"/>
      <w:suppressAutoHyphens w:val="0"/>
      <w:bidi w:val="0"/>
      <w:spacing w:before="0" w:after="0" w:line="400" w:lineRule="exact"/>
      <w:ind w:left="0" w:right="0" w:firstLine="0"/>
      <w:jc w:val="right"/>
      <w:outlineLvl w:val="9"/>
    </w:pPr>
    <w:rPr>
      <w:rFonts w:ascii="Arial" w:cs="Arial Unicode MS" w:hAnsi="Arial Unicode MS" w:eastAsia="Arial Unicode MS"/>
      <w:b w:val="1"/>
      <w:bCs w:val="1"/>
      <w:i w:val="0"/>
      <w:iCs w:val="0"/>
      <w:caps w:val="0"/>
      <w:smallCaps w:val="0"/>
      <w:strike w:val="0"/>
      <w:dstrike w:val="0"/>
      <w:outline w:val="0"/>
      <w:color w:val="2d4190"/>
      <w:spacing w:val="0"/>
      <w:kern w:val="0"/>
      <w:position w:val="0"/>
      <w:sz w:val="40"/>
      <w:szCs w:val="40"/>
      <w:u w:val="none" w:color="2d4190"/>
      <w:vertAlign w:val="baseline"/>
      <w:lang w:val="en-US"/>
    </w:rPr>
  </w:style>
  <w:style w:type="paragraph" w:styleId="01b_DB_Subtitle">
    <w:name w:val="01b_DB_Subtitle"/>
    <w:next w:val="01b_DB_Subtitle"/>
    <w:pPr>
      <w:keepNext w:val="0"/>
      <w:keepLines w:val="0"/>
      <w:pageBreakBefore w:val="0"/>
      <w:widowControl w:val="1"/>
      <w:shd w:val="clear" w:color="auto" w:fill="auto"/>
      <w:suppressAutoHyphens w:val="0"/>
      <w:bidi w:val="0"/>
      <w:spacing w:before="0" w:after="0" w:line="240" w:lineRule="auto"/>
      <w:ind w:left="0" w:right="0" w:firstLine="0"/>
      <w:jc w:val="right"/>
      <w:outlineLvl w:val="9"/>
    </w:pPr>
    <w:rPr>
      <w:rFonts w:ascii="Georgi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02_Date">
    <w:name w:val="02_Date"/>
    <w:next w:val="02_Date"/>
    <w:pPr>
      <w:keepNext w:val="0"/>
      <w:keepLines w:val="0"/>
      <w:pageBreakBefore w:val="0"/>
      <w:widowControl w:val="1"/>
      <w:shd w:val="clear" w:color="auto" w:fill="auto"/>
      <w:suppressAutoHyphens w:val="0"/>
      <w:bidi w:val="0"/>
      <w:spacing w:before="0" w:after="0" w:line="220" w:lineRule="exact"/>
      <w:ind w:left="0" w:right="0" w:firstLine="0"/>
      <w:jc w:val="left"/>
      <w:outlineLvl w:val="9"/>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17"/>
      <w:szCs w:val="17"/>
      <w:u w:val="none" w:color="000000"/>
      <w:vertAlign w:val="baseline"/>
      <w:lang w:val="en-US"/>
    </w:rPr>
  </w:style>
  <w:style w:type="paragraph" w:styleId="04_Body Text">
    <w:name w:val="04_Body Text"/>
    <w:next w:val="04_Body Text"/>
    <w:pPr>
      <w:keepNext w:val="0"/>
      <w:keepLines w:val="0"/>
      <w:pageBreakBefore w:val="0"/>
      <w:widowControl w:val="1"/>
      <w:shd w:val="clear" w:color="auto" w:fill="auto"/>
      <w:suppressAutoHyphens w:val="0"/>
      <w:bidi w:val="0"/>
      <w:spacing w:before="0" w:after="250" w:line="276" w:lineRule="auto"/>
      <w:ind w:left="0" w:right="0" w:firstLine="0"/>
      <w:jc w:val="both"/>
      <w:outlineLvl w:val="9"/>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vertAlign w:val="baseline"/>
    </w:rPr>
  </w:style>
  <w:style w:type="paragraph" w:styleId="04b_List">
    <w:name w:val="04b_List"/>
    <w:next w:val="04b_List"/>
    <w:pPr>
      <w:keepNext w:val="0"/>
      <w:keepLines w:val="0"/>
      <w:pageBreakBefore w:val="0"/>
      <w:widowControl w:val="1"/>
      <w:shd w:val="clear" w:color="auto" w:fill="auto"/>
      <w:tabs>
        <w:tab w:val="left" w:pos="568"/>
      </w:tabs>
      <w:suppressAutoHyphens w:val="0"/>
      <w:bidi w:val="0"/>
      <w:spacing w:before="0" w:after="250" w:line="276" w:lineRule="auto"/>
      <w:ind w:left="568" w:right="0" w:hanging="284"/>
      <w:jc w:val="both"/>
      <w:outlineLvl w:val="9"/>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List 0">
    <w:name w:val="List 0"/>
    <w:basedOn w:val="Imported Style 8"/>
    <w:next w:val="List 0"/>
    <w:pPr>
      <w:numPr>
        <w:numId w:val="1"/>
      </w:numPr>
    </w:pPr>
  </w:style>
  <w:style w:type="numbering" w:styleId="Imported Style 8">
    <w:name w:val="Imported Style 8"/>
    <w:next w:val="Imported Style 8"/>
    <w:pPr>
      <w:numPr>
        <w:numId w:val="2"/>
      </w:numPr>
    </w:pPr>
  </w:style>
  <w:style w:type="numbering" w:styleId="List 1">
    <w:name w:val="List 1"/>
    <w:basedOn w:val="Imported Style 9"/>
    <w:next w:val="List 1"/>
    <w:pPr>
      <w:numPr>
        <w:numId w:val="6"/>
      </w:numPr>
    </w:pPr>
  </w:style>
  <w:style w:type="numbering" w:styleId="Imported Style 9">
    <w:name w:val="Imported Style 9"/>
    <w:next w:val="Imported Style 9"/>
    <w:pPr>
      <w:numPr>
        <w:numId w:val="7"/>
      </w:numPr>
    </w:pPr>
  </w:style>
  <w:style w:type="character" w:styleId="Link">
    <w:name w:val="Link"/>
    <w:rPr>
      <w:color w:val="0000ff"/>
      <w:u w:val="single" w:color="0000ff"/>
    </w:rPr>
  </w:style>
  <w:style w:type="character" w:styleId="Hyperlink.0">
    <w:name w:val="Hyperlink.0"/>
    <w:basedOn w:val="Link"/>
    <w:next w:val="Hyperlink.0"/>
    <w:rPr/>
  </w:style>
  <w:style w:type="paragraph" w:styleId="Heading">
    <w:name w:val="Heading"/>
    <w:next w:val="Body"/>
    <w:pPr>
      <w:keepNext w:val="1"/>
      <w:keepLines w:val="0"/>
      <w:pageBreakBefore w:val="0"/>
      <w:widowControl w:val="1"/>
      <w:shd w:val="clear" w:color="auto" w:fill="auto"/>
      <w:suppressAutoHyphens w:val="0"/>
      <w:bidi w:val="0"/>
      <w:spacing w:before="240" w:after="60" w:line="240" w:lineRule="auto"/>
      <w:ind w:left="360" w:right="0" w:hanging="360"/>
      <w:jc w:val="left"/>
      <w:outlineLvl w:val="0"/>
    </w:pPr>
    <w:rPr>
      <w:rFonts w:ascii="Arial" w:cs="Arial Unicode MS" w:hAnsi="Arial Unicode MS" w:eastAsia="Arial Unicode MS"/>
      <w:b w:val="1"/>
      <w:bCs w:val="1"/>
      <w:i w:val="0"/>
      <w:iCs w:val="0"/>
      <w:caps w:val="0"/>
      <w:smallCaps w:val="0"/>
      <w:strike w:val="0"/>
      <w:dstrike w:val="0"/>
      <w:outline w:val="0"/>
      <w:color w:val="000000"/>
      <w:spacing w:val="0"/>
      <w:kern w:val="32"/>
      <w:position w:val="0"/>
      <w:sz w:val="24"/>
      <w:szCs w:val="24"/>
      <w:u w:val="none" w:color="000000"/>
      <w:vertAlign w:val="baseline"/>
      <w:lang w:val="fr-FR"/>
    </w:rPr>
  </w:style>
  <w:style w:type="paragraph" w:styleId="toc 5">
    <w:name w:val="toc 5"/>
    <w:next w:val="Body"/>
    <w:pPr>
      <w:keepNext w:val="0"/>
      <w:keepLines w:val="0"/>
      <w:pageBreakBefore w:val="0"/>
      <w:widowControl w:val="1"/>
      <w:shd w:val="clear" w:color="auto" w:fill="auto"/>
      <w:suppressAutoHyphens w:val="0"/>
      <w:bidi w:val="0"/>
      <w:spacing w:before="0" w:after="100" w:line="276" w:lineRule="auto"/>
      <w:ind w:left="88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footnote text">
    <w:name w:val="footnote text"/>
    <w:next w:val="footnote tex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character" w:styleId="None">
    <w:name w:val="None"/>
  </w:style>
  <w:style w:type="character" w:styleId="Hyperlink.1">
    <w:name w:val="Hyperlink.1"/>
    <w:basedOn w:val="None"/>
    <w:next w:val="Hyperlink.1"/>
    <w:rPr>
      <w:rFonts w:ascii="Arial" w:cs="Arial" w:hAnsi="Arial" w:eastAsia="Arial"/>
      <w:color w:val="0000ff"/>
      <w:sz w:val="18"/>
      <w:szCs w:val="18"/>
      <w:u w:val="single" w:color="0000ff"/>
      <w:lang w:val="en-US"/>
    </w:rPr>
  </w:style>
  <w:style w:type="character" w:styleId="Hyperlink.2">
    <w:name w:val="Hyperlink.2"/>
    <w:basedOn w:val="Link"/>
    <w:next w:val="Hyperlink.2"/>
    <w:rPr>
      <w:rFonts w:ascii="Arial" w:cs="Arial" w:hAnsi="Arial" w:eastAsia="Arial"/>
      <w:sz w:val="18"/>
      <w:szCs w:val="18"/>
    </w:rPr>
  </w:style>
  <w:style w:type="numbering" w:styleId="List 2">
    <w:name w:val="List 2"/>
    <w:basedOn w:val="Imported Style 1"/>
    <w:next w:val="List 2"/>
    <w:pPr>
      <w:numPr>
        <w:numId w:val="11"/>
      </w:numPr>
    </w:pPr>
  </w:style>
  <w:style w:type="numbering" w:styleId="Imported Style 1">
    <w:name w:val="Imported Style 1"/>
    <w:next w:val="Imported Style 1"/>
    <w:pPr>
      <w:numPr>
        <w:numId w:val="12"/>
      </w:numPr>
    </w:pPr>
  </w:style>
  <w:style w:type="paragraph" w:styleId="List Paragraph">
    <w:name w:val="List Paragraph"/>
    <w:next w:val="List Paragraph"/>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Question style">
    <w:name w:val="Question style"/>
    <w:next w:val="Body"/>
    <w:pPr>
      <w:keepNext w:val="0"/>
      <w:keepLines w:val="0"/>
      <w:pageBreakBefore w:val="0"/>
      <w:widowControl w:val="1"/>
      <w:shd w:val="clear" w:color="auto" w:fill="auto"/>
      <w:suppressAutoHyphens w:val="0"/>
      <w:bidi w:val="0"/>
      <w:spacing w:before="0" w:after="250" w:line="276" w:lineRule="auto"/>
      <w:ind w:left="0" w:right="0" w:firstLine="0"/>
      <w:jc w:val="both"/>
      <w:outlineLvl w:val="9"/>
    </w:pPr>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3">
    <w:name w:val="List 3"/>
    <w:basedOn w:val="Imported Style 11"/>
    <w:next w:val="List 3"/>
    <w:pPr>
      <w:numPr>
        <w:numId w:val="17"/>
      </w:numPr>
    </w:pPr>
  </w:style>
  <w:style w:type="numbering" w:styleId="Imported Style 11">
    <w:name w:val="Imported Style 11"/>
    <w:next w:val="Imported Style 11"/>
    <w:pPr>
      <w:numPr>
        <w:numId w:val="18"/>
      </w:numPr>
    </w:pPr>
  </w:style>
  <w:style w:type="numbering" w:styleId="List 4">
    <w:name w:val="List 4"/>
    <w:basedOn w:val="Imported Style 10"/>
    <w:next w:val="List 4"/>
    <w:pPr>
      <w:numPr>
        <w:numId w:val="20"/>
      </w:numPr>
    </w:pPr>
  </w:style>
  <w:style w:type="numbering" w:styleId="Imported Style 10">
    <w:name w:val="Imported Style 10"/>
    <w:next w:val="Imported Style 10"/>
    <w:pPr>
      <w:numPr>
        <w:numId w:val="21"/>
      </w:numPr>
    </w:pPr>
  </w:style>
  <w:style w:type="character" w:styleId="Hyperlink.3">
    <w:name w:val="Hyperlink.3"/>
    <w:basedOn w:val="Link"/>
    <w:next w:val="Hyperlink.3"/>
    <w:rPr>
      <w:rFonts w:ascii="Arial" w:cs="Arial" w:hAnsi="Arial" w:eastAsia="Arial"/>
      <w:i w:val="1"/>
      <w:iCs w:val="1"/>
      <w:sz w:val="18"/>
      <w:szCs w:val="18"/>
      <w:lang w:val="en-US"/>
    </w:rPr>
  </w:style>
  <w:style w:type="numbering" w:styleId="List 5">
    <w:name w:val="List 5"/>
    <w:basedOn w:val="Imported Style 2"/>
    <w:next w:val="List 5"/>
    <w:pPr>
      <w:numPr>
        <w:numId w:val="23"/>
      </w:numPr>
    </w:pPr>
  </w:style>
  <w:style w:type="numbering" w:styleId="Imported Style 2">
    <w:name w:val="Imported Style 2"/>
    <w:next w:val="Imported Style 2"/>
    <w:pPr>
      <w:numPr>
        <w:numId w:val="24"/>
      </w:numPr>
    </w:pPr>
  </w:style>
  <w:style w:type="paragraph" w:styleId="annotation text">
    <w:name w:val="annotation text"/>
    <w:next w:val="annotation tex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List 6">
    <w:name w:val="List 6"/>
    <w:basedOn w:val="Imported Style 3"/>
    <w:next w:val="List 6"/>
    <w:pPr>
      <w:numPr>
        <w:numId w:val="28"/>
      </w:numPr>
    </w:pPr>
  </w:style>
  <w:style w:type="numbering" w:styleId="Imported Style 3">
    <w:name w:val="Imported Style 3"/>
    <w:next w:val="Imported Style 3"/>
    <w:pPr>
      <w:numPr>
        <w:numId w:val="29"/>
      </w:numPr>
    </w:pPr>
  </w:style>
  <w:style w:type="numbering" w:styleId="List 7">
    <w:name w:val="List 7"/>
    <w:basedOn w:val="Imported Style 4"/>
    <w:next w:val="List 7"/>
    <w:pPr>
      <w:numPr>
        <w:numId w:val="34"/>
      </w:numPr>
    </w:pPr>
  </w:style>
  <w:style w:type="numbering" w:styleId="Imported Style 4">
    <w:name w:val="Imported Style 4"/>
    <w:next w:val="Imported Style 4"/>
    <w:pPr>
      <w:numPr>
        <w:numId w:val="35"/>
      </w:numPr>
    </w:pPr>
  </w:style>
  <w:style w:type="character" w:styleId="Hyperlink.4">
    <w:name w:val="Hyperlink.4"/>
    <w:basedOn w:val="Link"/>
    <w:next w:val="Hyperlink.4"/>
    <w:rPr>
      <w:lang w:val="fr-FR"/>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yperlink" Target="http://www.esma.europa.eu" TargetMode="External"/><Relationship Id="rId9" Type="http://schemas.openxmlformats.org/officeDocument/2006/relationships/hyperlink" Target="http://www.esma.europa.eu" TargetMode="Externa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theme" Target="theme/theme1.xml"/></Relationships>

</file>

<file path=word/_rels/footnotes.xml.rels><?xml version="1.0" encoding="UTF-8" standalone="yes"?><Relationships xmlns="http://schemas.openxmlformats.org/package/2006/relationships"><Relationship Id="rId1" Type="http://schemas.openxmlformats.org/officeDocument/2006/relationships/hyperlink" Target="http://www.markit.com" TargetMode="External"/><Relationship Id="rId2" Type="http://schemas.openxmlformats.org/officeDocument/2006/relationships/hyperlink" Target="http://data.consilium.europa.eu/doc/document/ST-14985-2015-INIT/en/pdf" TargetMode="External"/><Relationship Id="rId3" Type="http://schemas.openxmlformats.org/officeDocument/2006/relationships/hyperlink" Target="http://www.fca.org.uk/static/documents/thematic-reviews/tr15-11.pdf" TargetMode="External"/><Relationship Id="rId4" Type="http://schemas.openxmlformats.org/officeDocument/2006/relationships/hyperlink" Target="http://www.markit.com/Company/Media-Centre/UBS-selects-Markit-for-index-administration" TargetMode="External"/><Relationship Id="rId5" Type="http://schemas.openxmlformats.org/officeDocument/2006/relationships/hyperlink" Target="https://www.eba.europa.eu/documents/10180/16145/2013-658+ESMA-EBA+Principles+on+Benchmarks+Final+Report.pdf" TargetMode="External"/></Relationships>

</file>

<file path=word/_rels/header1.xml.rels><?xml version="1.0" encoding="UTF-8" standalone="yes"?><Relationships xmlns="http://schemas.openxmlformats.org/package/2006/relationships"><Relationship Id="rId1" Type="http://schemas.openxmlformats.org/officeDocument/2006/relationships/image" Target="media/image1.jpeg"/></Relationships>

</file>

<file path=word/_rels/header2.xml.rels><?xml version="1.0" encoding="UTF-8" standalone="yes"?><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0215" rtl="0" fontAlgn="auto" latinLnBrk="1"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