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Responses must reach us by 29</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F31934" w:rsidRPr="00543D09" w:rsidRDefault="00F31934" w:rsidP="00FC3B8B">
      <w:pPr>
        <w:spacing w:line="360" w:lineRule="auto"/>
        <w:rPr>
          <w:bCs/>
          <w:szCs w:val="20"/>
        </w:rPr>
      </w:pPr>
      <w:permStart w:id="387658832" w:edGrp="everyone"/>
      <w:r w:rsidRPr="00543D09">
        <w:rPr>
          <w:bCs/>
          <w:szCs w:val="20"/>
        </w:rPr>
        <w:t>UBS would like to thank ESMA for the opportunity to comment on the Discussion Paper on the EU Benchmarks Regulation ("</w:t>
      </w:r>
      <w:r w:rsidR="00294C2C">
        <w:rPr>
          <w:bCs/>
          <w:szCs w:val="20"/>
        </w:rPr>
        <w:t>BMR</w:t>
      </w:r>
      <w:r w:rsidRPr="00543D09">
        <w:rPr>
          <w:bCs/>
          <w:szCs w:val="20"/>
        </w:rPr>
        <w:t xml:space="preserve">"). </w:t>
      </w:r>
    </w:p>
    <w:p w:rsidR="00F31934" w:rsidRPr="00543D09" w:rsidRDefault="00F31934" w:rsidP="00FC3B8B">
      <w:pPr>
        <w:spacing w:line="360" w:lineRule="auto"/>
        <w:rPr>
          <w:bCs/>
          <w:szCs w:val="20"/>
        </w:rPr>
      </w:pPr>
    </w:p>
    <w:p w:rsidR="00F31934" w:rsidRPr="00543D09" w:rsidRDefault="00F31934" w:rsidP="00FC3B8B">
      <w:pPr>
        <w:spacing w:line="360" w:lineRule="auto"/>
        <w:rPr>
          <w:bCs/>
          <w:szCs w:val="20"/>
        </w:rPr>
      </w:pPr>
      <w:r w:rsidRPr="00543D09">
        <w:rPr>
          <w:bCs/>
          <w:szCs w:val="20"/>
        </w:rPr>
        <w:t xml:space="preserve">We support the objectives of </w:t>
      </w:r>
      <w:r w:rsidR="00294C2C">
        <w:rPr>
          <w:bCs/>
          <w:szCs w:val="20"/>
        </w:rPr>
        <w:t>BMR</w:t>
      </w:r>
      <w:r w:rsidRPr="00543D09">
        <w:rPr>
          <w:bCs/>
          <w:szCs w:val="20"/>
        </w:rPr>
        <w:t xml:space="preserve"> to ensure the accuracy, robustness and integrity of benchmarks and </w:t>
      </w:r>
      <w:r w:rsidR="002368EE" w:rsidRPr="00543D09">
        <w:rPr>
          <w:bCs/>
          <w:szCs w:val="20"/>
        </w:rPr>
        <w:t xml:space="preserve">have previously engaged with </w:t>
      </w:r>
      <w:r w:rsidRPr="00543D09">
        <w:rPr>
          <w:bCs/>
          <w:szCs w:val="20"/>
        </w:rPr>
        <w:t xml:space="preserve">the European Commission's consultation </w:t>
      </w:r>
      <w:r w:rsidR="00FC3B8B" w:rsidRPr="00543D09">
        <w:rPr>
          <w:bCs/>
          <w:szCs w:val="20"/>
        </w:rPr>
        <w:t xml:space="preserve">on this topic </w:t>
      </w:r>
      <w:r w:rsidRPr="00543D09">
        <w:rPr>
          <w:bCs/>
          <w:szCs w:val="20"/>
        </w:rPr>
        <w:t xml:space="preserve">in November 2012. </w:t>
      </w:r>
    </w:p>
    <w:p w:rsidR="00F31934" w:rsidRPr="00543D09" w:rsidRDefault="00F31934" w:rsidP="00FC3B8B">
      <w:pPr>
        <w:spacing w:line="360" w:lineRule="auto"/>
        <w:rPr>
          <w:bCs/>
          <w:szCs w:val="20"/>
        </w:rPr>
      </w:pPr>
    </w:p>
    <w:p w:rsidR="00F31934" w:rsidRPr="00543D09" w:rsidRDefault="00F31934" w:rsidP="00FC3B8B">
      <w:pPr>
        <w:spacing w:line="360" w:lineRule="auto"/>
        <w:rPr>
          <w:bCs/>
          <w:szCs w:val="20"/>
        </w:rPr>
      </w:pPr>
      <w:r w:rsidRPr="00543D09">
        <w:rPr>
          <w:bCs/>
          <w:szCs w:val="20"/>
        </w:rPr>
        <w:t>UBS also endorses the IOSCO Principles for Financial Benchmarks (the "IOSCO Principles")</w:t>
      </w:r>
      <w:r w:rsidR="002368EE" w:rsidRPr="00543D09">
        <w:rPr>
          <w:bCs/>
          <w:szCs w:val="20"/>
        </w:rPr>
        <w:t>. We have taken steps to ensure that our UBS indices (where an index is defined in line with the definition of benc</w:t>
      </w:r>
      <w:r w:rsidR="002368EE" w:rsidRPr="00543D09">
        <w:rPr>
          <w:bCs/>
          <w:szCs w:val="20"/>
        </w:rPr>
        <w:t>h</w:t>
      </w:r>
      <w:r w:rsidR="002368EE" w:rsidRPr="00543D09">
        <w:rPr>
          <w:bCs/>
          <w:szCs w:val="20"/>
        </w:rPr>
        <w:t xml:space="preserve">marks under the IOSCO Principles) are compliant with the same IOSCO Principles. </w:t>
      </w:r>
      <w:r w:rsidR="007E45CF" w:rsidRPr="00294C2C">
        <w:rPr>
          <w:bCs/>
          <w:szCs w:val="20"/>
        </w:rPr>
        <w:t xml:space="preserve">In particular, we maintain an up-to-date inventory of UBS Indices, </w:t>
      </w:r>
      <w:r w:rsidR="00B92389" w:rsidRPr="00294C2C">
        <w:rPr>
          <w:bCs/>
          <w:szCs w:val="20"/>
        </w:rPr>
        <w:t xml:space="preserve">have </w:t>
      </w:r>
      <w:r w:rsidR="007E45CF" w:rsidRPr="00294C2C">
        <w:rPr>
          <w:bCs/>
          <w:szCs w:val="20"/>
        </w:rPr>
        <w:t>updated our UBS index creation and maintenance policy</w:t>
      </w:r>
      <w:r w:rsidR="00B92389" w:rsidRPr="00294C2C">
        <w:rPr>
          <w:bCs/>
          <w:szCs w:val="20"/>
        </w:rPr>
        <w:t xml:space="preserve"> and</w:t>
      </w:r>
      <w:r w:rsidR="007E45CF" w:rsidRPr="00294C2C">
        <w:rPr>
          <w:bCs/>
          <w:szCs w:val="20"/>
        </w:rPr>
        <w:t xml:space="preserve"> developed and implemented an enhanced control framework for the administration of UBS Indices. We have also rationalised existing Indices by means of divestment, transfer of administration functions or retiremen</w:t>
      </w:r>
      <w:r w:rsidR="00135ABE">
        <w:rPr>
          <w:bCs/>
          <w:szCs w:val="20"/>
        </w:rPr>
        <w:t>t and where appropriate, updated</w:t>
      </w:r>
      <w:r w:rsidR="007E45CF" w:rsidRPr="00294C2C">
        <w:rPr>
          <w:bCs/>
          <w:szCs w:val="20"/>
        </w:rPr>
        <w:t xml:space="preserve"> the related disclosure documentation.</w:t>
      </w:r>
    </w:p>
    <w:p w:rsidR="00F31934" w:rsidRPr="00543D09" w:rsidRDefault="00F31934" w:rsidP="00FC3B8B">
      <w:pPr>
        <w:spacing w:line="360" w:lineRule="auto"/>
        <w:rPr>
          <w:bCs/>
          <w:szCs w:val="20"/>
        </w:rPr>
      </w:pPr>
    </w:p>
    <w:p w:rsidR="00026803" w:rsidRPr="00543D09" w:rsidRDefault="006F39CA" w:rsidP="00FC3B8B">
      <w:pPr>
        <w:pStyle w:val="ListParagraph"/>
        <w:numPr>
          <w:ilvl w:val="0"/>
          <w:numId w:val="57"/>
        </w:numPr>
        <w:spacing w:line="360" w:lineRule="auto"/>
        <w:rPr>
          <w:b/>
          <w:bCs/>
          <w:szCs w:val="20"/>
        </w:rPr>
      </w:pPr>
      <w:r w:rsidRPr="00543D09">
        <w:rPr>
          <w:b/>
          <w:bCs/>
          <w:szCs w:val="20"/>
        </w:rPr>
        <w:t xml:space="preserve">More clarity and certainty on the scope </w:t>
      </w:r>
      <w:r w:rsidR="00974BC8">
        <w:rPr>
          <w:b/>
          <w:bCs/>
          <w:szCs w:val="20"/>
        </w:rPr>
        <w:t>of benchmarks covered by the BMR</w:t>
      </w:r>
      <w:r w:rsidRPr="00543D09">
        <w:rPr>
          <w:b/>
          <w:bCs/>
          <w:szCs w:val="20"/>
        </w:rPr>
        <w:t xml:space="preserve"> is needed.</w:t>
      </w:r>
    </w:p>
    <w:p w:rsidR="002368EE" w:rsidRPr="00543D09" w:rsidRDefault="002368EE" w:rsidP="00FC3B8B">
      <w:pPr>
        <w:spacing w:line="360" w:lineRule="auto"/>
        <w:rPr>
          <w:b/>
          <w:bCs/>
          <w:szCs w:val="20"/>
        </w:rPr>
      </w:pPr>
    </w:p>
    <w:p w:rsidR="002816EE" w:rsidRPr="00294C2C" w:rsidRDefault="006F39CA" w:rsidP="000B2795">
      <w:pPr>
        <w:pStyle w:val="ListParagraph"/>
        <w:numPr>
          <w:ilvl w:val="0"/>
          <w:numId w:val="56"/>
        </w:numPr>
        <w:spacing w:line="360" w:lineRule="auto"/>
        <w:rPr>
          <w:b/>
          <w:bCs/>
          <w:strike/>
          <w:szCs w:val="20"/>
          <w:lang w:val="en-US"/>
        </w:rPr>
      </w:pPr>
      <w:r w:rsidRPr="00343E7D">
        <w:rPr>
          <w:bCs/>
          <w:szCs w:val="20"/>
        </w:rPr>
        <w:t>With respect to the definition of an index, w</w:t>
      </w:r>
      <w:r w:rsidR="00026803" w:rsidRPr="00343E7D">
        <w:rPr>
          <w:bCs/>
          <w:szCs w:val="20"/>
        </w:rPr>
        <w:t xml:space="preserve">e are concerned with ESMA's broad </w:t>
      </w:r>
      <w:r w:rsidR="00AA64A4" w:rsidRPr="00343E7D">
        <w:rPr>
          <w:bCs/>
          <w:szCs w:val="20"/>
        </w:rPr>
        <w:t>interpretation</w:t>
      </w:r>
      <w:r w:rsidR="00026803" w:rsidRPr="00343E7D">
        <w:rPr>
          <w:bCs/>
          <w:szCs w:val="20"/>
        </w:rPr>
        <w:t xml:space="preserve"> of what constitutes</w:t>
      </w:r>
      <w:r w:rsidR="002368EE" w:rsidRPr="00343E7D">
        <w:rPr>
          <w:bCs/>
          <w:szCs w:val="20"/>
        </w:rPr>
        <w:t xml:space="preserve"> "ma</w:t>
      </w:r>
      <w:r w:rsidR="00026803" w:rsidRPr="00343E7D">
        <w:rPr>
          <w:bCs/>
          <w:szCs w:val="20"/>
        </w:rPr>
        <w:t>king</w:t>
      </w:r>
      <w:r w:rsidR="002368EE" w:rsidRPr="00343E7D">
        <w:rPr>
          <w:bCs/>
          <w:szCs w:val="20"/>
        </w:rPr>
        <w:t xml:space="preserve"> available to the public"</w:t>
      </w:r>
      <w:r w:rsidR="00343E7D" w:rsidRPr="00343E7D">
        <w:rPr>
          <w:bCs/>
          <w:szCs w:val="20"/>
        </w:rPr>
        <w:t xml:space="preserve">. </w:t>
      </w:r>
      <w:r w:rsidR="002368EE" w:rsidRPr="00343E7D">
        <w:rPr>
          <w:bCs/>
          <w:szCs w:val="20"/>
        </w:rPr>
        <w:t xml:space="preserve"> </w:t>
      </w:r>
      <w:r w:rsidR="00AA64A4" w:rsidRPr="00343E7D">
        <w:rPr>
          <w:bCs/>
          <w:szCs w:val="20"/>
        </w:rPr>
        <w:t>W</w:t>
      </w:r>
      <w:r w:rsidR="00026803" w:rsidRPr="00343E7D">
        <w:rPr>
          <w:bCs/>
          <w:szCs w:val="20"/>
        </w:rPr>
        <w:t xml:space="preserve">e agree that a </w:t>
      </w:r>
      <w:r w:rsidR="00026803" w:rsidRPr="00343E7D">
        <w:rPr>
          <w:szCs w:val="20"/>
        </w:rPr>
        <w:t>map of publication channels and modalities of making available to the public of existing</w:t>
      </w:r>
      <w:r w:rsidR="00AA64A4" w:rsidRPr="00343E7D">
        <w:rPr>
          <w:szCs w:val="20"/>
        </w:rPr>
        <w:t xml:space="preserve"> benchmarks would be useful, as would some clear examples of what constitutes"</w:t>
      </w:r>
      <w:proofErr w:type="spellStart"/>
      <w:r w:rsidR="00AA64A4" w:rsidRPr="00343E7D">
        <w:rPr>
          <w:szCs w:val="20"/>
        </w:rPr>
        <w:t>non publication</w:t>
      </w:r>
      <w:proofErr w:type="spellEnd"/>
      <w:r w:rsidR="00AA64A4" w:rsidRPr="00343E7D">
        <w:rPr>
          <w:szCs w:val="20"/>
        </w:rPr>
        <w:t xml:space="preserve">". </w:t>
      </w:r>
      <w:r w:rsidR="00343E7D" w:rsidRPr="00343E7D">
        <w:rPr>
          <w:szCs w:val="20"/>
        </w:rPr>
        <w:t xml:space="preserve"> </w:t>
      </w:r>
      <w:r w:rsidR="009A7C78" w:rsidRPr="00343E7D">
        <w:rPr>
          <w:bCs/>
          <w:szCs w:val="20"/>
        </w:rPr>
        <w:t>W</w:t>
      </w:r>
      <w:r w:rsidR="002368EE" w:rsidRPr="00343E7D">
        <w:rPr>
          <w:bCs/>
          <w:szCs w:val="20"/>
        </w:rPr>
        <w:t>e believe that</w:t>
      </w:r>
      <w:r w:rsidR="002368EE" w:rsidRPr="00294C2C">
        <w:rPr>
          <w:bCs/>
          <w:szCs w:val="20"/>
        </w:rPr>
        <w:t xml:space="preserve"> </w:t>
      </w:r>
      <w:r w:rsidR="000B2795" w:rsidRPr="00294C2C">
        <w:rPr>
          <w:szCs w:val="20"/>
        </w:rPr>
        <w:t>“</w:t>
      </w:r>
      <w:r w:rsidR="00294C2C" w:rsidRPr="00294C2C">
        <w:rPr>
          <w:szCs w:val="20"/>
        </w:rPr>
        <w:t>a</w:t>
      </w:r>
      <w:r w:rsidR="000B2795" w:rsidRPr="00294C2C">
        <w:rPr>
          <w:szCs w:val="20"/>
        </w:rPr>
        <w:t>vailable to the pu</w:t>
      </w:r>
      <w:r w:rsidR="000B2795" w:rsidRPr="00294C2C">
        <w:rPr>
          <w:szCs w:val="20"/>
        </w:rPr>
        <w:t>b</w:t>
      </w:r>
      <w:r w:rsidR="000B2795" w:rsidRPr="00294C2C">
        <w:rPr>
          <w:szCs w:val="20"/>
        </w:rPr>
        <w:t>lic” should be defined as a benchmark that is available on an unrestricted basis to the general public, includin</w:t>
      </w:r>
      <w:r w:rsidR="002816EE" w:rsidRPr="00294C2C">
        <w:rPr>
          <w:szCs w:val="20"/>
        </w:rPr>
        <w:t>g retail clients. This excludes for example:</w:t>
      </w:r>
    </w:p>
    <w:p w:rsidR="002816EE" w:rsidRPr="00294C2C" w:rsidRDefault="002816EE" w:rsidP="002816EE">
      <w:pPr>
        <w:pStyle w:val="ListParagraph"/>
        <w:numPr>
          <w:ilvl w:val="1"/>
          <w:numId w:val="56"/>
        </w:numPr>
        <w:spacing w:line="360" w:lineRule="auto"/>
        <w:rPr>
          <w:rStyle w:val="CommentReference"/>
          <w:bCs/>
          <w:sz w:val="20"/>
          <w:szCs w:val="20"/>
          <w:lang w:val="en-US"/>
        </w:rPr>
      </w:pPr>
      <w:r w:rsidRPr="00294C2C">
        <w:rPr>
          <w:rStyle w:val="CommentReference"/>
          <w:bCs/>
          <w:sz w:val="20"/>
          <w:szCs w:val="20"/>
          <w:lang w:val="en-US"/>
        </w:rPr>
        <w:t xml:space="preserve">indices created under </w:t>
      </w:r>
      <w:r w:rsidRPr="00294C2C">
        <w:rPr>
          <w:szCs w:val="20"/>
        </w:rPr>
        <w:t xml:space="preserve">written advisory and discretionary mandates with our clients as well as </w:t>
      </w:r>
      <w:r w:rsidR="00FC3328" w:rsidRPr="00294C2C">
        <w:rPr>
          <w:szCs w:val="20"/>
        </w:rPr>
        <w:t xml:space="preserve">bespoke indices used for </w:t>
      </w:r>
      <w:r w:rsidRPr="00294C2C">
        <w:rPr>
          <w:szCs w:val="20"/>
        </w:rPr>
        <w:t>funds for the sole proprietary use of our clients</w:t>
      </w:r>
      <w:r w:rsidR="00FC3328" w:rsidRPr="00294C2C">
        <w:rPr>
          <w:szCs w:val="20"/>
        </w:rPr>
        <w:t>;</w:t>
      </w:r>
      <w:r w:rsidRPr="00294C2C">
        <w:rPr>
          <w:rStyle w:val="CommentReference"/>
          <w:bCs/>
          <w:sz w:val="20"/>
          <w:szCs w:val="20"/>
          <w:lang w:val="en-US"/>
        </w:rPr>
        <w:t xml:space="preserve"> </w:t>
      </w:r>
    </w:p>
    <w:p w:rsidR="002816EE" w:rsidRPr="00294C2C" w:rsidRDefault="002816EE" w:rsidP="002816EE">
      <w:pPr>
        <w:pStyle w:val="ListParagraph"/>
        <w:numPr>
          <w:ilvl w:val="1"/>
          <w:numId w:val="56"/>
        </w:numPr>
        <w:spacing w:line="360" w:lineRule="auto"/>
        <w:rPr>
          <w:rStyle w:val="CommentReference"/>
          <w:bCs/>
          <w:sz w:val="20"/>
          <w:szCs w:val="20"/>
          <w:lang w:val="en-US"/>
        </w:rPr>
      </w:pPr>
      <w:proofErr w:type="gramStart"/>
      <w:r w:rsidRPr="00294C2C">
        <w:rPr>
          <w:rStyle w:val="CommentReference"/>
          <w:bCs/>
          <w:sz w:val="20"/>
          <w:szCs w:val="20"/>
          <w:lang w:val="en-US"/>
        </w:rPr>
        <w:t>indices</w:t>
      </w:r>
      <w:proofErr w:type="gramEnd"/>
      <w:r w:rsidRPr="00294C2C">
        <w:rPr>
          <w:rStyle w:val="CommentReference"/>
          <w:bCs/>
          <w:sz w:val="20"/>
          <w:szCs w:val="20"/>
          <w:lang w:val="en-US"/>
        </w:rPr>
        <w:t xml:space="preserve"> available to a limited number of subscribers who, in turn, are not authorized to onward license to a broader set of investors</w:t>
      </w:r>
      <w:r w:rsidR="00B92389" w:rsidRPr="00294C2C">
        <w:rPr>
          <w:rStyle w:val="CommentReference"/>
          <w:bCs/>
          <w:sz w:val="20"/>
          <w:szCs w:val="20"/>
          <w:lang w:val="en-US"/>
        </w:rPr>
        <w:t>.</w:t>
      </w:r>
    </w:p>
    <w:p w:rsidR="00026803" w:rsidRPr="00543D09" w:rsidRDefault="00343E7D" w:rsidP="00343E7D">
      <w:pPr>
        <w:pStyle w:val="ListParagraph"/>
        <w:numPr>
          <w:ilvl w:val="0"/>
          <w:numId w:val="56"/>
        </w:numPr>
        <w:spacing w:line="360" w:lineRule="auto"/>
        <w:rPr>
          <w:b/>
          <w:bCs/>
          <w:szCs w:val="20"/>
          <w:lang w:val="en-US"/>
        </w:rPr>
      </w:pPr>
      <w:r w:rsidRPr="00343E7D">
        <w:rPr>
          <w:b/>
          <w:bCs/>
          <w:szCs w:val="20"/>
          <w:lang w:val="en-US"/>
        </w:rPr>
        <w:t>T</w:t>
      </w:r>
      <w:r w:rsidR="00026803" w:rsidRPr="00543D09">
        <w:rPr>
          <w:b/>
          <w:bCs/>
          <w:szCs w:val="20"/>
          <w:lang w:val="en-US"/>
        </w:rPr>
        <w:t>he definitions of the three activities regulate</w:t>
      </w:r>
      <w:r w:rsidR="00974BC8">
        <w:rPr>
          <w:b/>
          <w:bCs/>
          <w:szCs w:val="20"/>
          <w:lang w:val="en-US"/>
        </w:rPr>
        <w:t>d by the BMR</w:t>
      </w:r>
      <w:r w:rsidR="00026803" w:rsidRPr="00543D09">
        <w:rPr>
          <w:b/>
          <w:bCs/>
          <w:szCs w:val="20"/>
          <w:lang w:val="en-US"/>
        </w:rPr>
        <w:t xml:space="preserve"> (provision, contribution, use of benchmarks) need to be refined:</w:t>
      </w:r>
      <w:r w:rsidR="002934BE" w:rsidRPr="00543D09">
        <w:rPr>
          <w:b/>
          <w:bCs/>
          <w:szCs w:val="20"/>
          <w:lang w:val="en-US"/>
        </w:rPr>
        <w:br/>
      </w:r>
    </w:p>
    <w:p w:rsidR="002934BE" w:rsidRPr="00135ABE" w:rsidRDefault="00E9227C" w:rsidP="00FC3B8B">
      <w:pPr>
        <w:pStyle w:val="ListParagraph"/>
        <w:numPr>
          <w:ilvl w:val="1"/>
          <w:numId w:val="56"/>
        </w:numPr>
        <w:spacing w:line="360" w:lineRule="auto"/>
        <w:rPr>
          <w:szCs w:val="20"/>
        </w:rPr>
      </w:pPr>
      <w:r w:rsidRPr="00135ABE">
        <w:rPr>
          <w:szCs w:val="20"/>
        </w:rPr>
        <w:t>Regarding</w:t>
      </w:r>
      <w:r w:rsidR="002934BE" w:rsidRPr="00135ABE">
        <w:rPr>
          <w:szCs w:val="20"/>
        </w:rPr>
        <w:t xml:space="preserve"> the </w:t>
      </w:r>
      <w:r w:rsidR="002934BE" w:rsidRPr="00135ABE">
        <w:rPr>
          <w:b/>
          <w:szCs w:val="20"/>
        </w:rPr>
        <w:t>provision of a benchmark</w:t>
      </w:r>
      <w:r w:rsidR="002934BE" w:rsidRPr="00135ABE">
        <w:rPr>
          <w:szCs w:val="20"/>
        </w:rPr>
        <w:t xml:space="preserve">, </w:t>
      </w:r>
      <w:r w:rsidR="00135ABE" w:rsidRPr="00135ABE">
        <w:rPr>
          <w:szCs w:val="20"/>
        </w:rPr>
        <w:t>w</w:t>
      </w:r>
      <w:r w:rsidR="00135ABE" w:rsidRPr="00135ABE">
        <w:rPr>
          <w:szCs w:val="20"/>
        </w:rPr>
        <w:t>e would request clarification on how to d</w:t>
      </w:r>
      <w:r w:rsidR="00135ABE" w:rsidRPr="00135ABE">
        <w:rPr>
          <w:szCs w:val="20"/>
        </w:rPr>
        <w:t>e</w:t>
      </w:r>
      <w:r w:rsidR="00135ABE" w:rsidRPr="00135ABE">
        <w:rPr>
          <w:szCs w:val="20"/>
        </w:rPr>
        <w:t xml:space="preserve">termine who the benchmark administrator is. We note an inconsistency running through the drafting of BMR. Recitals 14, 32 and 47 refer to "the" administrator (indicating a single administrator). Article 3(4) refers to "an" administrator (indicating the possibility of more than one administrator). In our view, there should only be one administrator unless there is a specific agreement between two parties to split administrator duties, in which case </w:t>
      </w:r>
      <w:r w:rsidR="00135ABE">
        <w:rPr>
          <w:szCs w:val="20"/>
        </w:rPr>
        <w:lastRenderedPageBreak/>
        <w:t>they can be co-administrators. I</w:t>
      </w:r>
      <w:r w:rsidR="00135ABE" w:rsidRPr="00135ABE">
        <w:rPr>
          <w:szCs w:val="20"/>
        </w:rPr>
        <w:t>t would raise too much uncertainty if two parties could be seen as administrator</w:t>
      </w:r>
      <w:r w:rsidR="00135ABE">
        <w:rPr>
          <w:szCs w:val="20"/>
        </w:rPr>
        <w:t>s</w:t>
      </w:r>
      <w:r w:rsidR="00135ABE" w:rsidRPr="00135ABE">
        <w:rPr>
          <w:szCs w:val="20"/>
        </w:rPr>
        <w:t xml:space="preserve"> in the normal course </w:t>
      </w:r>
      <w:r w:rsidR="00135ABE" w:rsidRPr="00135ABE">
        <w:rPr>
          <w:szCs w:val="20"/>
        </w:rPr>
        <w:t>of business. W</w:t>
      </w:r>
      <w:r w:rsidR="00135ABE" w:rsidRPr="00135ABE">
        <w:rPr>
          <w:szCs w:val="20"/>
        </w:rPr>
        <w:t xml:space="preserve">here an entity designs a methodology, and then transfers control over the determination, dissemination, operation and governance aspects to a third party administrator, that third party should be seen as </w:t>
      </w:r>
      <w:r w:rsidR="00135ABE">
        <w:rPr>
          <w:szCs w:val="20"/>
        </w:rPr>
        <w:t xml:space="preserve">the </w:t>
      </w:r>
      <w:r w:rsidR="00135ABE" w:rsidRPr="00135ABE">
        <w:rPr>
          <w:szCs w:val="20"/>
        </w:rPr>
        <w:t>administrator.</w:t>
      </w:r>
    </w:p>
    <w:p w:rsidR="002934BE" w:rsidRPr="00543D09" w:rsidRDefault="002934BE" w:rsidP="00FC3B8B">
      <w:pPr>
        <w:pStyle w:val="ListParagraph"/>
        <w:numPr>
          <w:ilvl w:val="1"/>
          <w:numId w:val="56"/>
        </w:numPr>
        <w:spacing w:line="360" w:lineRule="auto"/>
        <w:rPr>
          <w:szCs w:val="20"/>
        </w:rPr>
      </w:pPr>
      <w:r w:rsidRPr="00543D09">
        <w:rPr>
          <w:szCs w:val="20"/>
        </w:rPr>
        <w:t xml:space="preserve">Regarding the </w:t>
      </w:r>
      <w:r w:rsidRPr="00543D09">
        <w:rPr>
          <w:b/>
          <w:szCs w:val="20"/>
        </w:rPr>
        <w:t>contribution to a benchmark,</w:t>
      </w:r>
      <w:r w:rsidRPr="00543D09">
        <w:rPr>
          <w:szCs w:val="20"/>
        </w:rPr>
        <w:t xml:space="preserve"> we consider it important that any data submitted onto a trading platform for the primary purposes of trading (including auction models) should not be categorised as a submission.</w:t>
      </w:r>
    </w:p>
    <w:p w:rsidR="006167BF" w:rsidRPr="00543D09" w:rsidRDefault="00E9227C" w:rsidP="00FC3B8B">
      <w:pPr>
        <w:pStyle w:val="ListParagraph"/>
        <w:numPr>
          <w:ilvl w:val="1"/>
          <w:numId w:val="56"/>
        </w:numPr>
        <w:spacing w:line="360" w:lineRule="auto"/>
        <w:rPr>
          <w:szCs w:val="20"/>
        </w:rPr>
      </w:pPr>
      <w:r>
        <w:rPr>
          <w:szCs w:val="20"/>
        </w:rPr>
        <w:t>Regarding</w:t>
      </w:r>
      <w:r w:rsidR="002934BE" w:rsidRPr="00543D09">
        <w:rPr>
          <w:szCs w:val="20"/>
        </w:rPr>
        <w:t xml:space="preserve"> the </w:t>
      </w:r>
      <w:r w:rsidR="002934BE" w:rsidRPr="00543D09">
        <w:rPr>
          <w:b/>
          <w:szCs w:val="20"/>
        </w:rPr>
        <w:t>use of a benchmark,</w:t>
      </w:r>
      <w:r w:rsidR="002934BE" w:rsidRPr="00543D09">
        <w:rPr>
          <w:szCs w:val="20"/>
        </w:rPr>
        <w:t xml:space="preserve"> ESMA has asked for views on the definition of "iss</w:t>
      </w:r>
      <w:r w:rsidR="002934BE" w:rsidRPr="00543D09">
        <w:rPr>
          <w:szCs w:val="20"/>
        </w:rPr>
        <w:t>u</w:t>
      </w:r>
      <w:r w:rsidR="002934BE" w:rsidRPr="00543D09">
        <w:rPr>
          <w:szCs w:val="20"/>
        </w:rPr>
        <w:t xml:space="preserve">ance of a financial instrument". It is important to leverage the development of technical standards under </w:t>
      </w:r>
      <w:proofErr w:type="spellStart"/>
      <w:r w:rsidR="002934BE" w:rsidRPr="00543D09">
        <w:rPr>
          <w:szCs w:val="20"/>
        </w:rPr>
        <w:t>MiFID</w:t>
      </w:r>
      <w:proofErr w:type="spellEnd"/>
      <w:r w:rsidR="002934BE" w:rsidRPr="00543D09">
        <w:rPr>
          <w:szCs w:val="20"/>
        </w:rPr>
        <w:t xml:space="preserve"> II</w:t>
      </w:r>
      <w:r w:rsidR="000F265F" w:rsidRPr="00543D09">
        <w:rPr>
          <w:szCs w:val="20"/>
        </w:rPr>
        <w:t xml:space="preserve">. </w:t>
      </w:r>
      <w:r w:rsidR="002934BE" w:rsidRPr="00543D09">
        <w:rPr>
          <w:szCs w:val="20"/>
        </w:rPr>
        <w:t xml:space="preserve"> We would</w:t>
      </w:r>
      <w:r w:rsidR="000F265F" w:rsidRPr="00543D09">
        <w:rPr>
          <w:szCs w:val="20"/>
        </w:rPr>
        <w:t xml:space="preserve"> refer you to our answer to Q4,</w:t>
      </w:r>
      <w:r w:rsidR="00343E7D">
        <w:rPr>
          <w:szCs w:val="20"/>
        </w:rPr>
        <w:t xml:space="preserve"> where we offer our views on this topic.</w:t>
      </w:r>
      <w:r w:rsidR="000F265F" w:rsidRPr="00543D09">
        <w:rPr>
          <w:szCs w:val="20"/>
        </w:rPr>
        <w:t xml:space="preserve"> </w:t>
      </w:r>
    </w:p>
    <w:p w:rsidR="0090642E" w:rsidRPr="00543D09" w:rsidRDefault="006167BF" w:rsidP="00FC3B8B">
      <w:pPr>
        <w:pStyle w:val="ListParagraph"/>
        <w:numPr>
          <w:ilvl w:val="0"/>
          <w:numId w:val="56"/>
        </w:numPr>
        <w:spacing w:line="360" w:lineRule="auto"/>
        <w:rPr>
          <w:szCs w:val="20"/>
        </w:rPr>
      </w:pPr>
      <w:r w:rsidRPr="00543D09">
        <w:rPr>
          <w:szCs w:val="20"/>
        </w:rPr>
        <w:t>W</w:t>
      </w:r>
      <w:r w:rsidR="0090642E" w:rsidRPr="00543D09">
        <w:rPr>
          <w:szCs w:val="20"/>
          <w:lang w:val="en-US"/>
        </w:rPr>
        <w:t xml:space="preserve">e </w:t>
      </w:r>
      <w:r w:rsidR="0059190F">
        <w:rPr>
          <w:szCs w:val="20"/>
          <w:lang w:val="en-US"/>
        </w:rPr>
        <w:t xml:space="preserve">would </w:t>
      </w:r>
      <w:r w:rsidR="002934BE" w:rsidRPr="00543D09">
        <w:rPr>
          <w:szCs w:val="20"/>
          <w:lang w:val="en-US"/>
        </w:rPr>
        <w:t xml:space="preserve">also request </w:t>
      </w:r>
      <w:r w:rsidR="0090642E" w:rsidRPr="00543D09">
        <w:rPr>
          <w:szCs w:val="20"/>
          <w:lang w:val="en-US"/>
        </w:rPr>
        <w:t xml:space="preserve">ESMA to </w:t>
      </w:r>
      <w:r w:rsidR="002934BE" w:rsidRPr="00543D09">
        <w:rPr>
          <w:b/>
          <w:szCs w:val="20"/>
          <w:lang w:val="en-US"/>
        </w:rPr>
        <w:t xml:space="preserve">clarify the </w:t>
      </w:r>
      <w:r w:rsidR="0090642E" w:rsidRPr="00543D09">
        <w:rPr>
          <w:b/>
          <w:szCs w:val="20"/>
          <w:lang w:val="en-US"/>
        </w:rPr>
        <w:t xml:space="preserve">boundary </w:t>
      </w:r>
      <w:r w:rsidR="0090642E" w:rsidRPr="00543D09">
        <w:rPr>
          <w:b/>
          <w:szCs w:val="20"/>
        </w:rPr>
        <w:t>between ‘use’ and ‘provision’ of benchmarks</w:t>
      </w:r>
      <w:r w:rsidR="0090642E" w:rsidRPr="00543D09">
        <w:rPr>
          <w:szCs w:val="20"/>
        </w:rPr>
        <w:t>. We do not agree that the change in currency of reference would constitute a prov</w:t>
      </w:r>
      <w:r w:rsidR="0090642E" w:rsidRPr="00543D09">
        <w:rPr>
          <w:szCs w:val="20"/>
        </w:rPr>
        <w:t>i</w:t>
      </w:r>
      <w:r w:rsidR="0090642E" w:rsidRPr="00543D09">
        <w:rPr>
          <w:szCs w:val="20"/>
        </w:rPr>
        <w:t>sion of a</w:t>
      </w:r>
      <w:r w:rsidR="00F20DEE">
        <w:rPr>
          <w:szCs w:val="20"/>
        </w:rPr>
        <w:t xml:space="preserve"> new</w:t>
      </w:r>
      <w:r w:rsidR="0090642E" w:rsidRPr="00543D09">
        <w:rPr>
          <w:szCs w:val="20"/>
        </w:rPr>
        <w:t xml:space="preserve"> benchmark (as indicated by ESMA at the Open Hearing</w:t>
      </w:r>
      <w:r w:rsidR="00FC3328">
        <w:rPr>
          <w:szCs w:val="20"/>
        </w:rPr>
        <w:t xml:space="preserve"> on this discussion paper held on 29</w:t>
      </w:r>
      <w:r w:rsidR="00FC3328" w:rsidRPr="00FC3328">
        <w:rPr>
          <w:szCs w:val="20"/>
          <w:vertAlign w:val="superscript"/>
        </w:rPr>
        <w:t>th</w:t>
      </w:r>
      <w:r w:rsidR="00FC3328">
        <w:rPr>
          <w:szCs w:val="20"/>
        </w:rPr>
        <w:t xml:space="preserve"> February 2016</w:t>
      </w:r>
      <w:r w:rsidR="0090642E" w:rsidRPr="00543D09">
        <w:rPr>
          <w:szCs w:val="20"/>
        </w:rPr>
        <w:t xml:space="preserve">). </w:t>
      </w:r>
      <w:r w:rsidRPr="00543D09">
        <w:rPr>
          <w:szCs w:val="20"/>
        </w:rPr>
        <w:t>This would also extend to combinations of existing benchmarks</w:t>
      </w:r>
      <w:r w:rsidR="007F1540">
        <w:rPr>
          <w:szCs w:val="20"/>
        </w:rPr>
        <w:t xml:space="preserve"> </w:t>
      </w:r>
      <w:r w:rsidR="007F1540" w:rsidRPr="00294C2C">
        <w:rPr>
          <w:szCs w:val="20"/>
        </w:rPr>
        <w:t>(blended benchmarks)</w:t>
      </w:r>
      <w:r w:rsidRPr="00294C2C">
        <w:rPr>
          <w:szCs w:val="20"/>
        </w:rPr>
        <w:t xml:space="preserve"> </w:t>
      </w:r>
      <w:r w:rsidRPr="00543D09">
        <w:rPr>
          <w:szCs w:val="20"/>
        </w:rPr>
        <w:t xml:space="preserve">as well as simple arithmetic changes to a </w:t>
      </w:r>
      <w:r w:rsidRPr="00294C2C">
        <w:rPr>
          <w:szCs w:val="20"/>
        </w:rPr>
        <w:t>formula</w:t>
      </w:r>
      <w:r w:rsidR="007F1540" w:rsidRPr="00294C2C">
        <w:rPr>
          <w:szCs w:val="20"/>
        </w:rPr>
        <w:t xml:space="preserve"> (LIBOR +2%)</w:t>
      </w:r>
      <w:r w:rsidRPr="00294C2C">
        <w:rPr>
          <w:szCs w:val="20"/>
        </w:rPr>
        <w:t xml:space="preserve">. </w:t>
      </w:r>
      <w:r w:rsidR="00974BC8">
        <w:rPr>
          <w:szCs w:val="20"/>
        </w:rPr>
        <w:t xml:space="preserve">BMR </w:t>
      </w:r>
      <w:r w:rsidRPr="00543D09">
        <w:rPr>
          <w:szCs w:val="20"/>
        </w:rPr>
        <w:t xml:space="preserve">should not inadvertently capture a large number of indices that do not represent new benchmarks to the market. </w:t>
      </w:r>
    </w:p>
    <w:p w:rsidR="00026803" w:rsidRPr="00543D09" w:rsidRDefault="00026803" w:rsidP="00FC3B8B">
      <w:pPr>
        <w:spacing w:line="360" w:lineRule="auto"/>
        <w:rPr>
          <w:szCs w:val="20"/>
        </w:rPr>
      </w:pPr>
    </w:p>
    <w:p w:rsidR="0090642E" w:rsidRPr="00543D09" w:rsidRDefault="006F39CA" w:rsidP="00FC3B8B">
      <w:pPr>
        <w:pStyle w:val="ListParagraph"/>
        <w:numPr>
          <w:ilvl w:val="0"/>
          <w:numId w:val="57"/>
        </w:numPr>
        <w:spacing w:line="360" w:lineRule="auto"/>
        <w:rPr>
          <w:szCs w:val="20"/>
        </w:rPr>
      </w:pPr>
      <w:r w:rsidRPr="00543D09">
        <w:rPr>
          <w:b/>
          <w:bCs/>
          <w:szCs w:val="20"/>
          <w:lang w:val="en-US"/>
        </w:rPr>
        <w:t xml:space="preserve">ESMA </w:t>
      </w:r>
      <w:r w:rsidR="00E9227C">
        <w:rPr>
          <w:b/>
          <w:bCs/>
          <w:szCs w:val="20"/>
          <w:lang w:val="en-US"/>
        </w:rPr>
        <w:t xml:space="preserve">should </w:t>
      </w:r>
      <w:r w:rsidRPr="00543D09">
        <w:rPr>
          <w:b/>
          <w:bCs/>
          <w:szCs w:val="20"/>
          <w:lang w:val="en-US"/>
        </w:rPr>
        <w:t xml:space="preserve">maintain a central registry on use of benchmarks to allow a proper classification of benchmarks under </w:t>
      </w:r>
      <w:r w:rsidR="00974BC8">
        <w:rPr>
          <w:b/>
          <w:bCs/>
          <w:szCs w:val="20"/>
          <w:lang w:val="en-US"/>
        </w:rPr>
        <w:t>BMR</w:t>
      </w:r>
      <w:r w:rsidRPr="00543D09">
        <w:rPr>
          <w:b/>
          <w:bCs/>
          <w:szCs w:val="20"/>
          <w:lang w:val="en-US"/>
        </w:rPr>
        <w:t>.</w:t>
      </w:r>
    </w:p>
    <w:p w:rsidR="006167BF" w:rsidRPr="00543D09" w:rsidRDefault="006167BF" w:rsidP="00FC3B8B">
      <w:pPr>
        <w:spacing w:line="360" w:lineRule="auto"/>
        <w:rPr>
          <w:szCs w:val="20"/>
        </w:rPr>
      </w:pPr>
    </w:p>
    <w:p w:rsidR="0090642E" w:rsidRPr="00543D09" w:rsidRDefault="0090642E" w:rsidP="00FC3B8B">
      <w:pPr>
        <w:pStyle w:val="ListParagraph"/>
        <w:numPr>
          <w:ilvl w:val="0"/>
          <w:numId w:val="58"/>
        </w:numPr>
        <w:spacing w:line="360" w:lineRule="auto"/>
        <w:rPr>
          <w:szCs w:val="20"/>
          <w:lang w:val="en-US"/>
        </w:rPr>
      </w:pPr>
      <w:r w:rsidRPr="00543D09">
        <w:rPr>
          <w:szCs w:val="20"/>
        </w:rPr>
        <w:t xml:space="preserve">While the </w:t>
      </w:r>
      <w:r w:rsidR="006167BF" w:rsidRPr="00543D09">
        <w:rPr>
          <w:szCs w:val="20"/>
        </w:rPr>
        <w:t xml:space="preserve">European </w:t>
      </w:r>
      <w:r w:rsidRPr="00543D09">
        <w:rPr>
          <w:szCs w:val="20"/>
        </w:rPr>
        <w:t>Commission is responsible for determining whether benchmarks meet the thresholds to be treated as critical benchmarks</w:t>
      </w:r>
      <w:r w:rsidR="006167BF" w:rsidRPr="00543D09">
        <w:rPr>
          <w:szCs w:val="20"/>
        </w:rPr>
        <w:t xml:space="preserve"> and reviewing the list of such benchmarks every two years</w:t>
      </w:r>
      <w:r w:rsidRPr="00543D09">
        <w:rPr>
          <w:szCs w:val="20"/>
        </w:rPr>
        <w:t>, t</w:t>
      </w:r>
      <w:r w:rsidRPr="00543D09">
        <w:rPr>
          <w:szCs w:val="20"/>
          <w:lang w:val="en-US"/>
        </w:rPr>
        <w:t xml:space="preserve">he </w:t>
      </w:r>
      <w:r w:rsidRPr="00543D09">
        <w:rPr>
          <w:b/>
          <w:szCs w:val="20"/>
          <w:lang w:val="en-US"/>
        </w:rPr>
        <w:t>onus is on benchmark administrators</w:t>
      </w:r>
      <w:r w:rsidRPr="00543D09">
        <w:rPr>
          <w:szCs w:val="20"/>
          <w:lang w:val="en-US"/>
        </w:rPr>
        <w:t xml:space="preserve"> </w:t>
      </w:r>
      <w:r w:rsidRPr="00543D09">
        <w:rPr>
          <w:szCs w:val="20"/>
        </w:rPr>
        <w:t>to determine whether its benchmark is b</w:t>
      </w:r>
      <w:r w:rsidRPr="00543D09">
        <w:rPr>
          <w:szCs w:val="20"/>
        </w:rPr>
        <w:t>e</w:t>
      </w:r>
      <w:r w:rsidRPr="00543D09">
        <w:rPr>
          <w:szCs w:val="20"/>
        </w:rPr>
        <w:t>low the relevant thresholds so that it can apply the exemptions applicable to significant</w:t>
      </w:r>
      <w:r w:rsidR="006167BF" w:rsidRPr="00543D09">
        <w:rPr>
          <w:szCs w:val="20"/>
        </w:rPr>
        <w:t xml:space="preserve"> or non-significant benchmarks. However, </w:t>
      </w:r>
      <w:r w:rsidRPr="00543D09">
        <w:rPr>
          <w:szCs w:val="20"/>
          <w:lang w:val="en-US"/>
        </w:rPr>
        <w:t xml:space="preserve">they </w:t>
      </w:r>
      <w:r w:rsidR="0071098B" w:rsidRPr="00543D09">
        <w:rPr>
          <w:szCs w:val="20"/>
          <w:lang w:val="en-US"/>
        </w:rPr>
        <w:t>would not necessarily</w:t>
      </w:r>
      <w:r w:rsidRPr="00543D09">
        <w:rPr>
          <w:szCs w:val="20"/>
          <w:lang w:val="en-US"/>
        </w:rPr>
        <w:t xml:space="preserve"> have visibility of the breadth of use of a given benchmark.</w:t>
      </w:r>
      <w:r w:rsidR="0071098B" w:rsidRPr="00543D09">
        <w:rPr>
          <w:szCs w:val="20"/>
          <w:lang w:val="en-US"/>
        </w:rPr>
        <w:t xml:space="preserve">  We would encourage</w:t>
      </w:r>
      <w:r w:rsidR="006167BF" w:rsidRPr="00543D09">
        <w:rPr>
          <w:szCs w:val="20"/>
          <w:lang w:val="en-US"/>
        </w:rPr>
        <w:t xml:space="preserve"> ESMA </w:t>
      </w:r>
      <w:r w:rsidR="0071098B" w:rsidRPr="00543D09">
        <w:rPr>
          <w:szCs w:val="20"/>
          <w:lang w:val="en-US"/>
        </w:rPr>
        <w:t xml:space="preserve">to </w:t>
      </w:r>
      <w:r w:rsidR="006167BF" w:rsidRPr="00543D09">
        <w:rPr>
          <w:szCs w:val="20"/>
          <w:lang w:val="en-US"/>
        </w:rPr>
        <w:t>take a coordinating role in</w:t>
      </w:r>
      <w:r w:rsidR="0071098B" w:rsidRPr="00543D09">
        <w:rPr>
          <w:szCs w:val="20"/>
          <w:lang w:val="en-US"/>
        </w:rPr>
        <w:t xml:space="preserve"> creating and</w:t>
      </w:r>
      <w:r w:rsidR="006167BF" w:rsidRPr="00543D09">
        <w:rPr>
          <w:szCs w:val="20"/>
          <w:lang w:val="en-US"/>
        </w:rPr>
        <w:t xml:space="preserve"> maintaining a central registry to keep information that is beyond the visibility of any particular a</w:t>
      </w:r>
      <w:r w:rsidR="006167BF" w:rsidRPr="00543D09">
        <w:rPr>
          <w:szCs w:val="20"/>
          <w:lang w:val="en-US"/>
        </w:rPr>
        <w:t>d</w:t>
      </w:r>
      <w:r w:rsidR="006167BF" w:rsidRPr="00543D09">
        <w:rPr>
          <w:szCs w:val="20"/>
          <w:lang w:val="en-US"/>
        </w:rPr>
        <w:t xml:space="preserve">ministrator. ESMA can establish linkages to key </w:t>
      </w:r>
      <w:r w:rsidR="00B92389">
        <w:rPr>
          <w:szCs w:val="20"/>
          <w:lang w:val="en-US"/>
        </w:rPr>
        <w:t xml:space="preserve">centralized </w:t>
      </w:r>
      <w:r w:rsidR="006167BF" w:rsidRPr="00543D09">
        <w:rPr>
          <w:szCs w:val="20"/>
          <w:lang w:val="en-US"/>
        </w:rPr>
        <w:t>data sources such as ex</w:t>
      </w:r>
      <w:r w:rsidR="0071098B" w:rsidRPr="00543D09">
        <w:rPr>
          <w:szCs w:val="20"/>
          <w:lang w:val="en-US"/>
        </w:rPr>
        <w:t>chang</w:t>
      </w:r>
      <w:r w:rsidR="00B92389">
        <w:rPr>
          <w:szCs w:val="20"/>
          <w:lang w:val="en-US"/>
        </w:rPr>
        <w:t xml:space="preserve">es and </w:t>
      </w:r>
      <w:r w:rsidR="0071098B" w:rsidRPr="00543D09">
        <w:rPr>
          <w:szCs w:val="20"/>
          <w:lang w:val="en-US"/>
        </w:rPr>
        <w:t>central counterparties while</w:t>
      </w:r>
      <w:r w:rsidR="006167BF" w:rsidRPr="00543D09">
        <w:rPr>
          <w:szCs w:val="20"/>
          <w:lang w:val="en-US"/>
        </w:rPr>
        <w:t xml:space="preserve"> leveraging its data collection activity (and systems build) under </w:t>
      </w:r>
      <w:proofErr w:type="spellStart"/>
      <w:r w:rsidR="00343E7D">
        <w:rPr>
          <w:szCs w:val="20"/>
          <w:lang w:val="en-US"/>
        </w:rPr>
        <w:t>MiFID</w:t>
      </w:r>
      <w:proofErr w:type="spellEnd"/>
      <w:r w:rsidR="00343E7D">
        <w:rPr>
          <w:szCs w:val="20"/>
          <w:lang w:val="en-US"/>
        </w:rPr>
        <w:t xml:space="preserve"> II and other pieces of </w:t>
      </w:r>
      <w:r w:rsidR="006167BF" w:rsidRPr="00543D09">
        <w:rPr>
          <w:szCs w:val="20"/>
          <w:lang w:val="en-US"/>
        </w:rPr>
        <w:t>EU legislation.</w:t>
      </w:r>
    </w:p>
    <w:p w:rsidR="006167BF" w:rsidRPr="00543D09" w:rsidRDefault="006167BF" w:rsidP="00FC3B8B">
      <w:pPr>
        <w:spacing w:line="360" w:lineRule="auto"/>
        <w:rPr>
          <w:szCs w:val="20"/>
        </w:rPr>
      </w:pPr>
    </w:p>
    <w:p w:rsidR="0090642E" w:rsidRPr="00543D09" w:rsidRDefault="006167BF" w:rsidP="00FC3B8B">
      <w:pPr>
        <w:pStyle w:val="ListParagraph"/>
        <w:numPr>
          <w:ilvl w:val="0"/>
          <w:numId w:val="57"/>
        </w:numPr>
        <w:spacing w:line="360" w:lineRule="auto"/>
        <w:rPr>
          <w:szCs w:val="20"/>
        </w:rPr>
      </w:pPr>
      <w:r w:rsidRPr="00543D09">
        <w:rPr>
          <w:b/>
          <w:bCs/>
          <w:szCs w:val="20"/>
          <w:lang w:val="en-US"/>
        </w:rPr>
        <w:t>Proportionality</w:t>
      </w:r>
      <w:r w:rsidR="006F39CA" w:rsidRPr="00543D09">
        <w:rPr>
          <w:b/>
          <w:bCs/>
          <w:szCs w:val="20"/>
          <w:lang w:val="en-US"/>
        </w:rPr>
        <w:t xml:space="preserve"> should be reflected in Level II rules to ensure the continued availability of benchmarks in the EU.</w:t>
      </w:r>
    </w:p>
    <w:p w:rsidR="004A685C" w:rsidRPr="00543D09" w:rsidRDefault="004A685C" w:rsidP="00FC3B8B">
      <w:pPr>
        <w:spacing w:line="360" w:lineRule="auto"/>
        <w:rPr>
          <w:szCs w:val="20"/>
          <w:lang w:val="en-US"/>
        </w:rPr>
      </w:pPr>
    </w:p>
    <w:p w:rsidR="00C93C85" w:rsidRPr="00543D09" w:rsidRDefault="004A685C" w:rsidP="00FC3B8B">
      <w:pPr>
        <w:pStyle w:val="ListParagraph"/>
        <w:numPr>
          <w:ilvl w:val="0"/>
          <w:numId w:val="58"/>
        </w:numPr>
        <w:spacing w:line="360" w:lineRule="auto"/>
        <w:rPr>
          <w:szCs w:val="20"/>
          <w:lang w:val="en-US"/>
        </w:rPr>
      </w:pPr>
      <w:r w:rsidRPr="00543D09">
        <w:rPr>
          <w:szCs w:val="20"/>
          <w:lang w:val="en-US"/>
        </w:rPr>
        <w:lastRenderedPageBreak/>
        <w:t>W</w:t>
      </w:r>
      <w:r w:rsidR="0090642E" w:rsidRPr="00543D09">
        <w:rPr>
          <w:szCs w:val="20"/>
          <w:lang w:val="en-US"/>
        </w:rPr>
        <w:t>e</w:t>
      </w:r>
      <w:r w:rsidR="00D64C03" w:rsidRPr="00543D09">
        <w:rPr>
          <w:szCs w:val="20"/>
          <w:lang w:val="en-US"/>
        </w:rPr>
        <w:t xml:space="preserve"> believe that the </w:t>
      </w:r>
      <w:r w:rsidR="00D64C03" w:rsidRPr="006803A2">
        <w:rPr>
          <w:b/>
          <w:szCs w:val="20"/>
          <w:lang w:val="en-US"/>
        </w:rPr>
        <w:t>Level II r</w:t>
      </w:r>
      <w:r w:rsidR="009A4BE2" w:rsidRPr="006803A2">
        <w:rPr>
          <w:b/>
          <w:szCs w:val="20"/>
          <w:lang w:val="en-US"/>
        </w:rPr>
        <w:t xml:space="preserve">ules should be </w:t>
      </w:r>
      <w:r w:rsidR="00343E7D" w:rsidRPr="006803A2">
        <w:rPr>
          <w:b/>
          <w:szCs w:val="20"/>
          <w:lang w:val="en-US"/>
        </w:rPr>
        <w:t>designed in a proportionate manner</w:t>
      </w:r>
      <w:r w:rsidR="00D64C03" w:rsidRPr="006803A2">
        <w:rPr>
          <w:b/>
          <w:szCs w:val="20"/>
          <w:lang w:val="en-US"/>
        </w:rPr>
        <w:t xml:space="preserve"> to the type and sector of benchmarks</w:t>
      </w:r>
      <w:r w:rsidR="006167BF" w:rsidRPr="00543D09">
        <w:rPr>
          <w:szCs w:val="20"/>
          <w:lang w:val="en-US"/>
        </w:rPr>
        <w:t>.</w:t>
      </w:r>
      <w:r w:rsidR="0071098B" w:rsidRPr="00543D09">
        <w:rPr>
          <w:szCs w:val="20"/>
          <w:lang w:val="en-US"/>
        </w:rPr>
        <w:t xml:space="preserve"> </w:t>
      </w:r>
      <w:r w:rsidR="000F265F" w:rsidRPr="00543D09">
        <w:rPr>
          <w:szCs w:val="20"/>
          <w:lang w:val="en-US"/>
        </w:rPr>
        <w:t xml:space="preserve"> </w:t>
      </w:r>
      <w:r w:rsidRPr="00543D09">
        <w:rPr>
          <w:szCs w:val="20"/>
          <w:lang w:val="en-US"/>
        </w:rPr>
        <w:t>The concept of proportionality is embedded in</w:t>
      </w:r>
      <w:r w:rsidR="001D38DB" w:rsidRPr="00543D09">
        <w:rPr>
          <w:szCs w:val="20"/>
          <w:lang w:val="en-US"/>
        </w:rPr>
        <w:t xml:space="preserve"> the</w:t>
      </w:r>
      <w:r w:rsidRPr="00543D09">
        <w:rPr>
          <w:szCs w:val="20"/>
          <w:lang w:val="en-US"/>
        </w:rPr>
        <w:t xml:space="preserve"> Level 1 text</w:t>
      </w:r>
      <w:r w:rsidR="001D38DB" w:rsidRPr="00543D09">
        <w:rPr>
          <w:szCs w:val="20"/>
          <w:lang w:val="en-US"/>
        </w:rPr>
        <w:t>,</w:t>
      </w:r>
      <w:r w:rsidRPr="00543D09">
        <w:rPr>
          <w:szCs w:val="20"/>
          <w:lang w:val="en-US"/>
        </w:rPr>
        <w:t xml:space="preserve"> where it is recognized that "different types of benchmarks and different benchmark sectors have different characteristics, vulnerabilities and risks". </w:t>
      </w:r>
      <w:r w:rsidR="001D38DB" w:rsidRPr="00543D09">
        <w:rPr>
          <w:szCs w:val="20"/>
          <w:lang w:val="en-US"/>
        </w:rPr>
        <w:t xml:space="preserve"> </w:t>
      </w:r>
      <w:r w:rsidR="00974BC8">
        <w:rPr>
          <w:szCs w:val="20"/>
          <w:lang w:val="en-US"/>
        </w:rPr>
        <w:t>Under BMR</w:t>
      </w:r>
      <w:r w:rsidR="006F39CA" w:rsidRPr="00543D09">
        <w:rPr>
          <w:szCs w:val="20"/>
          <w:lang w:val="en-US"/>
        </w:rPr>
        <w:t>, c</w:t>
      </w:r>
      <w:r w:rsidR="001D38DB" w:rsidRPr="00543D09">
        <w:rPr>
          <w:szCs w:val="20"/>
          <w:lang w:val="en-US"/>
        </w:rPr>
        <w:t xml:space="preserve">ontribution </w:t>
      </w:r>
      <w:r w:rsidR="006F39CA" w:rsidRPr="00543D09">
        <w:rPr>
          <w:szCs w:val="20"/>
          <w:lang w:val="en-US"/>
        </w:rPr>
        <w:t xml:space="preserve">remains </w:t>
      </w:r>
      <w:r w:rsidR="00C93C85" w:rsidRPr="00543D09">
        <w:rPr>
          <w:szCs w:val="20"/>
          <w:lang w:val="en-US"/>
        </w:rPr>
        <w:t xml:space="preserve">in </w:t>
      </w:r>
      <w:r w:rsidR="001D38DB" w:rsidRPr="00543D09">
        <w:rPr>
          <w:szCs w:val="20"/>
          <w:lang w:val="en-US"/>
        </w:rPr>
        <w:t>general a voluntary activi</w:t>
      </w:r>
      <w:r w:rsidR="00C93C85" w:rsidRPr="00543D09">
        <w:rPr>
          <w:szCs w:val="20"/>
          <w:lang w:val="en-US"/>
        </w:rPr>
        <w:t>ty</w:t>
      </w:r>
      <w:r w:rsidR="006F39CA" w:rsidRPr="00543D09">
        <w:rPr>
          <w:szCs w:val="20"/>
          <w:lang w:val="en-US"/>
        </w:rPr>
        <w:t xml:space="preserve"> (except for the mandatory contribution of supervised entities to critical benc</w:t>
      </w:r>
      <w:r w:rsidR="006F39CA" w:rsidRPr="00543D09">
        <w:rPr>
          <w:szCs w:val="20"/>
          <w:lang w:val="en-US"/>
        </w:rPr>
        <w:t>h</w:t>
      </w:r>
      <w:r w:rsidR="006F39CA" w:rsidRPr="00543D09">
        <w:rPr>
          <w:szCs w:val="20"/>
          <w:lang w:val="en-US"/>
        </w:rPr>
        <w:t>marks under certain circumstances)</w:t>
      </w:r>
      <w:r w:rsidR="00C93C85" w:rsidRPr="00543D09">
        <w:rPr>
          <w:szCs w:val="20"/>
          <w:lang w:val="en-US"/>
        </w:rPr>
        <w:t>.  It</w:t>
      </w:r>
      <w:r w:rsidR="001D38DB" w:rsidRPr="00543D09">
        <w:rPr>
          <w:szCs w:val="20"/>
          <w:lang w:val="en-US"/>
        </w:rPr>
        <w:t xml:space="preserve"> is</w:t>
      </w:r>
      <w:r w:rsidR="00C93C85" w:rsidRPr="00543D09">
        <w:rPr>
          <w:szCs w:val="20"/>
          <w:lang w:val="en-US"/>
        </w:rPr>
        <w:t xml:space="preserve"> </w:t>
      </w:r>
      <w:r w:rsidR="001D38DB" w:rsidRPr="006803A2">
        <w:rPr>
          <w:b/>
          <w:szCs w:val="20"/>
          <w:lang w:val="en-US"/>
        </w:rPr>
        <w:t xml:space="preserve">important to reflect the </w:t>
      </w:r>
      <w:r w:rsidRPr="006803A2">
        <w:rPr>
          <w:b/>
          <w:szCs w:val="20"/>
          <w:lang w:val="en-US"/>
        </w:rPr>
        <w:t xml:space="preserve">concept of proportionality </w:t>
      </w:r>
      <w:r w:rsidR="001D38DB" w:rsidRPr="006803A2">
        <w:rPr>
          <w:b/>
          <w:szCs w:val="20"/>
          <w:lang w:val="en-US"/>
        </w:rPr>
        <w:t>in the</w:t>
      </w:r>
      <w:r w:rsidRPr="006803A2">
        <w:rPr>
          <w:b/>
          <w:szCs w:val="20"/>
          <w:lang w:val="en-US"/>
        </w:rPr>
        <w:t xml:space="preserve"> Level II rules </w:t>
      </w:r>
      <w:r w:rsidR="00C93C85" w:rsidRPr="006803A2">
        <w:rPr>
          <w:b/>
          <w:szCs w:val="20"/>
          <w:lang w:val="en-US"/>
        </w:rPr>
        <w:t>to avoid the risk that a benchmark does not reflect the underlying market anymore</w:t>
      </w:r>
      <w:r w:rsidR="00DC5CC7" w:rsidRPr="006803A2">
        <w:rPr>
          <w:b/>
          <w:szCs w:val="20"/>
          <w:lang w:val="en-US"/>
        </w:rPr>
        <w:t xml:space="preserve">. </w:t>
      </w:r>
      <w:r w:rsidR="00DC5CC7">
        <w:rPr>
          <w:szCs w:val="20"/>
          <w:lang w:val="en-US"/>
        </w:rPr>
        <w:t>This could result</w:t>
      </w:r>
      <w:r w:rsidR="00E9227C">
        <w:rPr>
          <w:szCs w:val="20"/>
          <w:lang w:val="en-US"/>
        </w:rPr>
        <w:t xml:space="preserve"> for example</w:t>
      </w:r>
      <w:r w:rsidR="00DC5CC7">
        <w:rPr>
          <w:szCs w:val="20"/>
          <w:lang w:val="en-US"/>
        </w:rPr>
        <w:t xml:space="preserve"> from </w:t>
      </w:r>
      <w:r w:rsidR="00C93C85" w:rsidRPr="00543D09">
        <w:rPr>
          <w:szCs w:val="20"/>
          <w:lang w:val="en-US"/>
        </w:rPr>
        <w:t>unsupervised contributor</w:t>
      </w:r>
      <w:r w:rsidR="00343E7D">
        <w:rPr>
          <w:szCs w:val="20"/>
          <w:lang w:val="en-US"/>
        </w:rPr>
        <w:t>s ceasing to submit data</w:t>
      </w:r>
      <w:r w:rsidR="00DC5CC7">
        <w:rPr>
          <w:szCs w:val="20"/>
          <w:lang w:val="en-US"/>
        </w:rPr>
        <w:t xml:space="preserve">, if </w:t>
      </w:r>
      <w:r w:rsidR="00C93C85" w:rsidRPr="00543D09">
        <w:rPr>
          <w:szCs w:val="20"/>
          <w:lang w:val="en-US"/>
        </w:rPr>
        <w:t xml:space="preserve">the rules on input data </w:t>
      </w:r>
      <w:r w:rsidR="006F39CA" w:rsidRPr="00543D09">
        <w:rPr>
          <w:szCs w:val="20"/>
          <w:lang w:val="en-US"/>
        </w:rPr>
        <w:t xml:space="preserve">for example </w:t>
      </w:r>
      <w:r w:rsidR="00C93C85" w:rsidRPr="00543D09">
        <w:rPr>
          <w:szCs w:val="20"/>
          <w:lang w:val="en-US"/>
        </w:rPr>
        <w:t>are written in a stringent way.</w:t>
      </w:r>
      <w:r w:rsidR="006F39CA" w:rsidRPr="00543D09">
        <w:rPr>
          <w:szCs w:val="20"/>
          <w:lang w:val="en-US"/>
        </w:rPr>
        <w:t xml:space="preserve"> </w:t>
      </w:r>
      <w:r w:rsidR="00C93C85" w:rsidRPr="00543D09">
        <w:rPr>
          <w:szCs w:val="20"/>
          <w:lang w:val="en-US"/>
        </w:rPr>
        <w:t>Administrators should also r</w:t>
      </w:r>
      <w:r w:rsidR="00C93C85" w:rsidRPr="00543D09">
        <w:rPr>
          <w:szCs w:val="20"/>
          <w:lang w:val="en-US"/>
        </w:rPr>
        <w:t>e</w:t>
      </w:r>
      <w:r w:rsidR="00C93C85" w:rsidRPr="00543D09">
        <w:rPr>
          <w:szCs w:val="20"/>
          <w:lang w:val="en-US"/>
        </w:rPr>
        <w:t xml:space="preserve">tain the flexibility to structure </w:t>
      </w:r>
      <w:r w:rsidR="0059190F">
        <w:rPr>
          <w:szCs w:val="20"/>
          <w:lang w:val="en-US"/>
        </w:rPr>
        <w:t xml:space="preserve">the membership of </w:t>
      </w:r>
      <w:r w:rsidR="00C93C85" w:rsidRPr="00543D09">
        <w:rPr>
          <w:szCs w:val="20"/>
          <w:lang w:val="en-US"/>
        </w:rPr>
        <w:t xml:space="preserve">their oversight functions </w:t>
      </w:r>
      <w:r w:rsidR="0059190F">
        <w:rPr>
          <w:szCs w:val="20"/>
          <w:lang w:val="en-US"/>
        </w:rPr>
        <w:t xml:space="preserve">in line with the nature, scale and complexity of the provision of benchmark, </w:t>
      </w:r>
      <w:r w:rsidR="00C93C85" w:rsidRPr="00543D09">
        <w:rPr>
          <w:szCs w:val="20"/>
          <w:lang w:val="en-US"/>
        </w:rPr>
        <w:t>while ensuring</w:t>
      </w:r>
      <w:r w:rsidR="00DC5CC7">
        <w:rPr>
          <w:szCs w:val="20"/>
          <w:lang w:val="en-US"/>
        </w:rPr>
        <w:t xml:space="preserve"> they have a robust </w:t>
      </w:r>
      <w:r w:rsidR="00C93C85" w:rsidRPr="00543D09">
        <w:rPr>
          <w:szCs w:val="20"/>
          <w:lang w:val="en-US"/>
        </w:rPr>
        <w:t>gover</w:t>
      </w:r>
      <w:r w:rsidR="00C93C85" w:rsidRPr="00543D09">
        <w:rPr>
          <w:szCs w:val="20"/>
          <w:lang w:val="en-US"/>
        </w:rPr>
        <w:t>n</w:t>
      </w:r>
      <w:r w:rsidR="00C93C85" w:rsidRPr="00543D09">
        <w:rPr>
          <w:szCs w:val="20"/>
          <w:lang w:val="en-US"/>
        </w:rPr>
        <w:t xml:space="preserve">ance system that avoids conflicts of interest. Overly strict rules may lead some administrators to exit the market. </w:t>
      </w:r>
      <w:r w:rsidR="006F39CA" w:rsidRPr="00543D09">
        <w:rPr>
          <w:szCs w:val="20"/>
          <w:lang w:val="en-US"/>
        </w:rPr>
        <w:t xml:space="preserve"> </w:t>
      </w:r>
    </w:p>
    <w:p w:rsidR="006F39CA" w:rsidRPr="00543D09" w:rsidRDefault="006F39CA" w:rsidP="00FC3B8B">
      <w:pPr>
        <w:spacing w:line="360" w:lineRule="auto"/>
        <w:rPr>
          <w:szCs w:val="20"/>
          <w:lang w:val="en-US"/>
        </w:rPr>
      </w:pPr>
    </w:p>
    <w:p w:rsidR="009A4BE2" w:rsidRPr="00543D09" w:rsidRDefault="006F39CA" w:rsidP="00FC3B8B">
      <w:pPr>
        <w:pStyle w:val="ListParagraph"/>
        <w:numPr>
          <w:ilvl w:val="0"/>
          <w:numId w:val="58"/>
        </w:numPr>
        <w:spacing w:line="360" w:lineRule="auto"/>
        <w:rPr>
          <w:szCs w:val="20"/>
          <w:lang w:val="en-US"/>
        </w:rPr>
      </w:pPr>
      <w:r w:rsidRPr="00543D09">
        <w:rPr>
          <w:szCs w:val="20"/>
          <w:lang w:val="en-US"/>
        </w:rPr>
        <w:t xml:space="preserve">To ensure the continued availability of third country benchmarks in the EU, </w:t>
      </w:r>
      <w:r w:rsidRPr="006803A2">
        <w:rPr>
          <w:b/>
          <w:szCs w:val="20"/>
          <w:lang w:val="en-US"/>
        </w:rPr>
        <w:t xml:space="preserve">the EU </w:t>
      </w:r>
      <w:r w:rsidR="00DC5CC7" w:rsidRPr="006803A2">
        <w:rPr>
          <w:b/>
          <w:szCs w:val="20"/>
          <w:lang w:val="en-US"/>
        </w:rPr>
        <w:t xml:space="preserve">regulatory framework should </w:t>
      </w:r>
      <w:proofErr w:type="spellStart"/>
      <w:r w:rsidR="00DC5CC7" w:rsidRPr="006803A2">
        <w:rPr>
          <w:b/>
          <w:szCs w:val="20"/>
          <w:lang w:val="en-US"/>
        </w:rPr>
        <w:t>incentivise</w:t>
      </w:r>
      <w:proofErr w:type="spellEnd"/>
      <w:r w:rsidRPr="006803A2">
        <w:rPr>
          <w:b/>
          <w:szCs w:val="20"/>
          <w:lang w:val="en-US"/>
        </w:rPr>
        <w:t xml:space="preserve"> non-EU administr</w:t>
      </w:r>
      <w:r w:rsidR="00DC5CC7" w:rsidRPr="006803A2">
        <w:rPr>
          <w:b/>
          <w:szCs w:val="20"/>
          <w:lang w:val="en-US"/>
        </w:rPr>
        <w:t>ators</w:t>
      </w:r>
      <w:r w:rsidRPr="006803A2">
        <w:rPr>
          <w:b/>
          <w:szCs w:val="20"/>
          <w:lang w:val="en-US"/>
        </w:rPr>
        <w:t xml:space="preserve"> </w:t>
      </w:r>
      <w:r w:rsidR="00DC5CC7" w:rsidRPr="006803A2">
        <w:rPr>
          <w:b/>
          <w:szCs w:val="20"/>
          <w:lang w:val="en-US"/>
        </w:rPr>
        <w:t>to apply</w:t>
      </w:r>
      <w:r w:rsidRPr="006803A2">
        <w:rPr>
          <w:b/>
          <w:szCs w:val="20"/>
          <w:lang w:val="en-US"/>
        </w:rPr>
        <w:t xml:space="preserve"> for recognition in the EU</w:t>
      </w:r>
      <w:r w:rsidR="00DC5CC7" w:rsidRPr="006803A2">
        <w:rPr>
          <w:b/>
          <w:szCs w:val="20"/>
          <w:lang w:val="en-US"/>
        </w:rPr>
        <w:t xml:space="preserve"> by calibrating the requirements to their nature and sector</w:t>
      </w:r>
      <w:r w:rsidR="00DC5CC7">
        <w:rPr>
          <w:szCs w:val="20"/>
          <w:lang w:val="en-US"/>
        </w:rPr>
        <w:t>, in line with the regime for EU benc</w:t>
      </w:r>
      <w:r w:rsidR="00DC5CC7">
        <w:rPr>
          <w:szCs w:val="20"/>
          <w:lang w:val="en-US"/>
        </w:rPr>
        <w:t>h</w:t>
      </w:r>
      <w:r w:rsidR="00DC5CC7">
        <w:rPr>
          <w:szCs w:val="20"/>
          <w:lang w:val="en-US"/>
        </w:rPr>
        <w:t xml:space="preserve">marks. </w:t>
      </w:r>
      <w:r w:rsidR="00D64C03" w:rsidRPr="00543D09">
        <w:rPr>
          <w:szCs w:val="20"/>
          <w:lang w:val="en-US"/>
        </w:rPr>
        <w:t>Under the Level 1 text, ESMA has the discretion to advise to the national competent a</w:t>
      </w:r>
      <w:r w:rsidR="00D64C03" w:rsidRPr="00543D09">
        <w:rPr>
          <w:szCs w:val="20"/>
          <w:lang w:val="en-US"/>
        </w:rPr>
        <w:t>u</w:t>
      </w:r>
      <w:r w:rsidR="00D64C03" w:rsidRPr="00543D09">
        <w:rPr>
          <w:szCs w:val="20"/>
          <w:lang w:val="en-US"/>
        </w:rPr>
        <w:t xml:space="preserve">thority to </w:t>
      </w:r>
      <w:proofErr w:type="spellStart"/>
      <w:r w:rsidR="00D64C03" w:rsidRPr="00543D09">
        <w:rPr>
          <w:szCs w:val="20"/>
          <w:lang w:val="en-US"/>
        </w:rPr>
        <w:t>disappl</w:t>
      </w:r>
      <w:r w:rsidR="00974BC8">
        <w:rPr>
          <w:szCs w:val="20"/>
          <w:lang w:val="en-US"/>
        </w:rPr>
        <w:t>y</w:t>
      </w:r>
      <w:proofErr w:type="spellEnd"/>
      <w:r w:rsidR="00974BC8">
        <w:rPr>
          <w:szCs w:val="20"/>
          <w:lang w:val="en-US"/>
        </w:rPr>
        <w:t xml:space="preserve"> certain requirements under BMR</w:t>
      </w:r>
      <w:r w:rsidR="00D64C03" w:rsidRPr="00543D09">
        <w:rPr>
          <w:szCs w:val="20"/>
          <w:lang w:val="en-US"/>
        </w:rPr>
        <w:t xml:space="preserve"> to the third country administrator app</w:t>
      </w:r>
      <w:r w:rsidR="009A4BE2" w:rsidRPr="00543D09">
        <w:rPr>
          <w:szCs w:val="20"/>
          <w:lang w:val="en-US"/>
        </w:rPr>
        <w:t xml:space="preserve">lying for recognition in the EU. </w:t>
      </w:r>
      <w:r w:rsidR="006803A2">
        <w:rPr>
          <w:szCs w:val="20"/>
          <w:lang w:val="en-US"/>
        </w:rPr>
        <w:t>We believe it is particularly important that ESMA applies</w:t>
      </w:r>
      <w:r w:rsidR="009A4BE2" w:rsidRPr="00543D09">
        <w:rPr>
          <w:szCs w:val="20"/>
          <w:lang w:val="en-US"/>
        </w:rPr>
        <w:t xml:space="preserve"> </w:t>
      </w:r>
      <w:r w:rsidR="00DC5CC7" w:rsidRPr="00543D09">
        <w:rPr>
          <w:szCs w:val="20"/>
          <w:lang w:val="en-US"/>
        </w:rPr>
        <w:t>the proportionality</w:t>
      </w:r>
      <w:r w:rsidR="00DC5CC7">
        <w:rPr>
          <w:szCs w:val="20"/>
          <w:lang w:val="en-US"/>
        </w:rPr>
        <w:t xml:space="preserve"> principle to </w:t>
      </w:r>
      <w:r w:rsidR="006803A2">
        <w:rPr>
          <w:szCs w:val="20"/>
          <w:lang w:val="en-US"/>
        </w:rPr>
        <w:t xml:space="preserve">a </w:t>
      </w:r>
      <w:r w:rsidR="00E9227C">
        <w:rPr>
          <w:szCs w:val="20"/>
          <w:lang w:val="en-US"/>
        </w:rPr>
        <w:t>third country administrator</w:t>
      </w:r>
      <w:r w:rsidR="00DC5CC7" w:rsidRPr="00543D09">
        <w:rPr>
          <w:szCs w:val="20"/>
          <w:lang w:val="en-US"/>
        </w:rPr>
        <w:t xml:space="preserve">, </w:t>
      </w:r>
      <w:r w:rsidR="00DC5CC7">
        <w:rPr>
          <w:szCs w:val="20"/>
          <w:lang w:val="en-US"/>
        </w:rPr>
        <w:t xml:space="preserve">where </w:t>
      </w:r>
      <w:r w:rsidR="00DC5CC7" w:rsidRPr="00543D09">
        <w:rPr>
          <w:szCs w:val="20"/>
          <w:lang w:val="en-US"/>
        </w:rPr>
        <w:t>the value of financial contracts, financial instr</w:t>
      </w:r>
      <w:r w:rsidR="00DC5CC7" w:rsidRPr="00543D09">
        <w:rPr>
          <w:szCs w:val="20"/>
          <w:lang w:val="en-US"/>
        </w:rPr>
        <w:t>u</w:t>
      </w:r>
      <w:r w:rsidR="00DC5CC7" w:rsidRPr="00543D09">
        <w:rPr>
          <w:szCs w:val="20"/>
          <w:lang w:val="en-US"/>
        </w:rPr>
        <w:t>ments, investment funds referenc</w:t>
      </w:r>
      <w:r w:rsidR="00DC5CC7">
        <w:rPr>
          <w:szCs w:val="20"/>
          <w:lang w:val="en-US"/>
        </w:rPr>
        <w:t xml:space="preserve">ing any particular </w:t>
      </w:r>
      <w:r w:rsidR="00DC5CC7" w:rsidRPr="00543D09">
        <w:rPr>
          <w:szCs w:val="20"/>
          <w:lang w:val="en-US"/>
        </w:rPr>
        <w:t>benchmark</w:t>
      </w:r>
      <w:r w:rsidR="006803A2">
        <w:rPr>
          <w:szCs w:val="20"/>
          <w:lang w:val="en-US"/>
        </w:rPr>
        <w:t xml:space="preserve"> it</w:t>
      </w:r>
      <w:r w:rsidR="00DC5CC7">
        <w:rPr>
          <w:szCs w:val="20"/>
          <w:lang w:val="en-US"/>
        </w:rPr>
        <w:t xml:space="preserve"> provide</w:t>
      </w:r>
      <w:r w:rsidR="006803A2">
        <w:rPr>
          <w:szCs w:val="20"/>
          <w:lang w:val="en-US"/>
        </w:rPr>
        <w:t>s</w:t>
      </w:r>
      <w:r w:rsidR="00DC5CC7" w:rsidRPr="00543D09">
        <w:rPr>
          <w:szCs w:val="20"/>
          <w:lang w:val="en-US"/>
        </w:rPr>
        <w:t xml:space="preserve"> </w:t>
      </w:r>
      <w:r w:rsidR="00DC5CC7">
        <w:rPr>
          <w:szCs w:val="20"/>
          <w:lang w:val="en-US"/>
        </w:rPr>
        <w:t>is significantly lower than the threshold for significant benchmarks (e</w:t>
      </w:r>
      <w:r w:rsidR="00E9227C">
        <w:rPr>
          <w:szCs w:val="20"/>
          <w:lang w:val="en-US"/>
        </w:rPr>
        <w:t>.</w:t>
      </w:r>
      <w:r w:rsidR="00DC5CC7">
        <w:rPr>
          <w:szCs w:val="20"/>
          <w:lang w:val="en-US"/>
        </w:rPr>
        <w:t>g</w:t>
      </w:r>
      <w:r w:rsidR="00E9227C">
        <w:rPr>
          <w:szCs w:val="20"/>
          <w:lang w:val="en-US"/>
        </w:rPr>
        <w:t>.</w:t>
      </w:r>
      <w:r w:rsidR="00DC5CC7">
        <w:rPr>
          <w:szCs w:val="20"/>
          <w:lang w:val="en-US"/>
        </w:rPr>
        <w:t xml:space="preserve"> it </w:t>
      </w:r>
      <w:r w:rsidR="00DC5CC7" w:rsidRPr="00543D09">
        <w:rPr>
          <w:szCs w:val="20"/>
          <w:lang w:val="en-US"/>
        </w:rPr>
        <w:t>does not exceed EUR 500 m</w:t>
      </w:r>
      <w:r w:rsidR="00DC5CC7">
        <w:rPr>
          <w:szCs w:val="20"/>
          <w:lang w:val="en-US"/>
        </w:rPr>
        <w:t>)</w:t>
      </w:r>
      <w:r w:rsidR="00135ABE">
        <w:rPr>
          <w:szCs w:val="20"/>
          <w:lang w:val="en-US"/>
        </w:rPr>
        <w:t xml:space="preserve"> and that</w:t>
      </w:r>
      <w:r w:rsidR="00DC5CC7" w:rsidRPr="00543D09">
        <w:rPr>
          <w:szCs w:val="20"/>
          <w:lang w:val="en-US"/>
        </w:rPr>
        <w:t xml:space="preserve"> third country administrator can demonstrate that it </w:t>
      </w:r>
      <w:r w:rsidR="006803A2">
        <w:rPr>
          <w:szCs w:val="20"/>
          <w:lang w:val="en-US"/>
        </w:rPr>
        <w:t xml:space="preserve">already </w:t>
      </w:r>
      <w:r w:rsidR="00DC5CC7" w:rsidRPr="00543D09">
        <w:rPr>
          <w:szCs w:val="20"/>
          <w:lang w:val="en-US"/>
        </w:rPr>
        <w:t>has a robust and proven governance and risk control framework (such as an independent board of directors, external valuation agent, e</w:t>
      </w:r>
      <w:r w:rsidR="00DC5CC7" w:rsidRPr="00543D09">
        <w:rPr>
          <w:szCs w:val="20"/>
          <w:lang w:val="en-US"/>
        </w:rPr>
        <w:t>x</w:t>
      </w:r>
      <w:r w:rsidR="00DC5CC7" w:rsidRPr="00543D09">
        <w:rPr>
          <w:szCs w:val="20"/>
          <w:lang w:val="en-US"/>
        </w:rPr>
        <w:t>ternal auditor</w:t>
      </w:r>
      <w:r w:rsidR="00E9227C">
        <w:rPr>
          <w:szCs w:val="20"/>
          <w:lang w:val="en-US"/>
        </w:rPr>
        <w:t>, robust verification processes and</w:t>
      </w:r>
      <w:r w:rsidR="00DC5CC7" w:rsidRPr="00543D09">
        <w:rPr>
          <w:szCs w:val="20"/>
          <w:lang w:val="en-US"/>
        </w:rPr>
        <w:t xml:space="preserve"> independent price gathering).</w:t>
      </w:r>
    </w:p>
    <w:p w:rsidR="00800FC6" w:rsidRPr="00543D09" w:rsidRDefault="00800FC6" w:rsidP="00FC3B8B">
      <w:pPr>
        <w:spacing w:line="360" w:lineRule="auto"/>
        <w:rPr>
          <w:szCs w:val="20"/>
          <w:lang w:val="en-US"/>
        </w:rPr>
      </w:pPr>
    </w:p>
    <w:p w:rsidR="00800FC6" w:rsidRPr="00543D09" w:rsidRDefault="00800FC6" w:rsidP="00FC3B8B">
      <w:pPr>
        <w:pStyle w:val="ListParagraph"/>
        <w:numPr>
          <w:ilvl w:val="0"/>
          <w:numId w:val="57"/>
        </w:numPr>
        <w:spacing w:line="360" w:lineRule="auto"/>
        <w:rPr>
          <w:b/>
          <w:szCs w:val="20"/>
          <w:lang w:val="en-US"/>
        </w:rPr>
      </w:pPr>
      <w:r w:rsidRPr="00543D09">
        <w:rPr>
          <w:b/>
          <w:szCs w:val="20"/>
          <w:lang w:val="en-US"/>
        </w:rPr>
        <w:t>ESMA should collaborate with national competent authorities</w:t>
      </w:r>
      <w:r w:rsidR="004732E6" w:rsidRPr="00543D09">
        <w:rPr>
          <w:b/>
          <w:szCs w:val="20"/>
          <w:lang w:val="en-US"/>
        </w:rPr>
        <w:t xml:space="preserve"> and third country regulators</w:t>
      </w:r>
      <w:r w:rsidRPr="00543D09">
        <w:rPr>
          <w:b/>
          <w:szCs w:val="20"/>
          <w:lang w:val="en-US"/>
        </w:rPr>
        <w:t xml:space="preserve"> to ensure the workability of the third country regime.</w:t>
      </w:r>
    </w:p>
    <w:p w:rsidR="00800FC6" w:rsidRPr="00543D09" w:rsidRDefault="00800FC6" w:rsidP="00FC3B8B">
      <w:pPr>
        <w:pStyle w:val="ListParagraph"/>
        <w:spacing w:line="360" w:lineRule="auto"/>
        <w:ind w:left="360"/>
        <w:rPr>
          <w:szCs w:val="20"/>
          <w:lang w:val="en-US"/>
        </w:rPr>
      </w:pPr>
    </w:p>
    <w:p w:rsidR="00FC3B8B" w:rsidRPr="00543D09" w:rsidRDefault="00FC3B8B" w:rsidP="00FC3B8B">
      <w:pPr>
        <w:pStyle w:val="ListParagraph"/>
        <w:numPr>
          <w:ilvl w:val="0"/>
          <w:numId w:val="59"/>
        </w:numPr>
        <w:spacing w:line="360" w:lineRule="auto"/>
        <w:rPr>
          <w:szCs w:val="20"/>
          <w:lang w:val="en-US"/>
        </w:rPr>
      </w:pPr>
      <w:r w:rsidRPr="00543D09">
        <w:rPr>
          <w:szCs w:val="20"/>
          <w:lang w:val="en-US"/>
        </w:rPr>
        <w:t xml:space="preserve">We </w:t>
      </w:r>
      <w:r w:rsidR="00F71C21" w:rsidRPr="00543D09">
        <w:rPr>
          <w:szCs w:val="20"/>
          <w:lang w:val="en-US"/>
        </w:rPr>
        <w:t>recommend</w:t>
      </w:r>
      <w:r w:rsidRPr="00543D09">
        <w:rPr>
          <w:szCs w:val="20"/>
          <w:lang w:val="en-US"/>
        </w:rPr>
        <w:t xml:space="preserve"> that ESMA </w:t>
      </w:r>
      <w:r w:rsidR="00F71C21" w:rsidRPr="00543D09">
        <w:rPr>
          <w:szCs w:val="20"/>
          <w:lang w:val="en-US"/>
        </w:rPr>
        <w:t>collaborates</w:t>
      </w:r>
      <w:r w:rsidRPr="00543D09">
        <w:rPr>
          <w:szCs w:val="20"/>
          <w:lang w:val="en-US"/>
        </w:rPr>
        <w:t xml:space="preserve"> with the European Commission, national competent a</w:t>
      </w:r>
      <w:r w:rsidRPr="00543D09">
        <w:rPr>
          <w:szCs w:val="20"/>
          <w:lang w:val="en-US"/>
        </w:rPr>
        <w:t>u</w:t>
      </w:r>
      <w:r w:rsidRPr="00543D09">
        <w:rPr>
          <w:szCs w:val="20"/>
          <w:lang w:val="en-US"/>
        </w:rPr>
        <w:t>thorities and third country regulators to provide more clarity on</w:t>
      </w:r>
      <w:r w:rsidR="00F71C21" w:rsidRPr="00543D09">
        <w:rPr>
          <w:szCs w:val="20"/>
          <w:lang w:val="en-US"/>
        </w:rPr>
        <w:t xml:space="preserve"> the recognition and endorsement regimes</w:t>
      </w:r>
      <w:r w:rsidRPr="00543D09">
        <w:rPr>
          <w:szCs w:val="20"/>
          <w:lang w:val="en-US"/>
        </w:rPr>
        <w:t>, which administrators in many third country jurisdictions will be relying</w:t>
      </w:r>
      <w:r w:rsidR="0024655B">
        <w:rPr>
          <w:szCs w:val="20"/>
          <w:lang w:val="en-US"/>
        </w:rPr>
        <w:t xml:space="preserve"> on</w:t>
      </w:r>
      <w:r w:rsidRPr="00543D09">
        <w:rPr>
          <w:szCs w:val="20"/>
          <w:lang w:val="en-US"/>
        </w:rPr>
        <w:t xml:space="preserve">. </w:t>
      </w:r>
      <w:r w:rsidRPr="006803A2">
        <w:rPr>
          <w:b/>
          <w:szCs w:val="20"/>
          <w:lang w:val="en-US"/>
        </w:rPr>
        <w:t>We need to en</w:t>
      </w:r>
      <w:r w:rsidR="00F71C21" w:rsidRPr="006803A2">
        <w:rPr>
          <w:b/>
          <w:szCs w:val="20"/>
          <w:lang w:val="en-US"/>
        </w:rPr>
        <w:t xml:space="preserve">sure these access regimes </w:t>
      </w:r>
      <w:r w:rsidRPr="006803A2">
        <w:rPr>
          <w:b/>
          <w:szCs w:val="20"/>
          <w:lang w:val="en-US"/>
        </w:rPr>
        <w:t>work in practice</w:t>
      </w:r>
      <w:r w:rsidRPr="00543D09">
        <w:rPr>
          <w:szCs w:val="20"/>
          <w:lang w:val="en-US"/>
        </w:rPr>
        <w:t xml:space="preserve">. As an example, Switzerland has decided not to create a specific benchmark regulation, given </w:t>
      </w:r>
      <w:r w:rsidR="00974BC8">
        <w:rPr>
          <w:szCs w:val="20"/>
          <w:lang w:val="en-US"/>
        </w:rPr>
        <w:t>that the BMR</w:t>
      </w:r>
      <w:r w:rsidR="00F71C21" w:rsidRPr="00543D09">
        <w:rPr>
          <w:szCs w:val="20"/>
          <w:lang w:val="en-US"/>
        </w:rPr>
        <w:t xml:space="preserve"> has created these two access r</w:t>
      </w:r>
      <w:r w:rsidR="00F71C21" w:rsidRPr="00543D09">
        <w:rPr>
          <w:szCs w:val="20"/>
          <w:lang w:val="en-US"/>
        </w:rPr>
        <w:t>e</w:t>
      </w:r>
      <w:r w:rsidR="00F71C21" w:rsidRPr="00543D09">
        <w:rPr>
          <w:szCs w:val="20"/>
          <w:lang w:val="en-US"/>
        </w:rPr>
        <w:t xml:space="preserve">gimes as alternatives to the equivalence </w:t>
      </w:r>
      <w:r w:rsidR="006803A2">
        <w:rPr>
          <w:szCs w:val="20"/>
          <w:lang w:val="en-US"/>
        </w:rPr>
        <w:t>regime</w:t>
      </w:r>
      <w:r w:rsidR="00F71C21" w:rsidRPr="00543D09">
        <w:rPr>
          <w:szCs w:val="20"/>
          <w:lang w:val="en-US"/>
        </w:rPr>
        <w:t>.</w:t>
      </w:r>
    </w:p>
    <w:p w:rsidR="00FC3B8B" w:rsidRPr="00543D09" w:rsidRDefault="00FC3B8B" w:rsidP="00FC3B8B">
      <w:pPr>
        <w:pStyle w:val="ListParagraph"/>
        <w:spacing w:line="360" w:lineRule="auto"/>
        <w:rPr>
          <w:szCs w:val="20"/>
          <w:lang w:val="en-US"/>
        </w:rPr>
      </w:pPr>
    </w:p>
    <w:p w:rsidR="00FC3B8B" w:rsidRPr="00543D09" w:rsidRDefault="000349D7" w:rsidP="00FC3B8B">
      <w:pPr>
        <w:pStyle w:val="ListParagraph"/>
        <w:numPr>
          <w:ilvl w:val="0"/>
          <w:numId w:val="59"/>
        </w:numPr>
        <w:spacing w:line="360" w:lineRule="auto"/>
        <w:rPr>
          <w:szCs w:val="20"/>
          <w:lang w:val="en-US"/>
        </w:rPr>
      </w:pPr>
      <w:r>
        <w:rPr>
          <w:szCs w:val="20"/>
          <w:lang w:val="en-US"/>
        </w:rPr>
        <w:lastRenderedPageBreak/>
        <w:t xml:space="preserve">The following concern </w:t>
      </w:r>
      <w:r w:rsidR="00F71C21" w:rsidRPr="00543D09">
        <w:rPr>
          <w:szCs w:val="20"/>
          <w:lang w:val="en-US"/>
        </w:rPr>
        <w:t xml:space="preserve">applies to both the recognition and endorsement routes. </w:t>
      </w:r>
      <w:r w:rsidR="00800FC6" w:rsidRPr="00974BC8">
        <w:rPr>
          <w:b/>
          <w:szCs w:val="20"/>
          <w:lang w:val="en-US"/>
        </w:rPr>
        <w:t>The more gran</w:t>
      </w:r>
      <w:r w:rsidR="00800FC6" w:rsidRPr="00974BC8">
        <w:rPr>
          <w:b/>
          <w:szCs w:val="20"/>
          <w:lang w:val="en-US"/>
        </w:rPr>
        <w:t>u</w:t>
      </w:r>
      <w:r w:rsidR="00800FC6" w:rsidRPr="00974BC8">
        <w:rPr>
          <w:b/>
          <w:szCs w:val="20"/>
          <w:lang w:val="en-US"/>
        </w:rPr>
        <w:t xml:space="preserve">lar </w:t>
      </w:r>
      <w:r w:rsidR="00561340" w:rsidRPr="00974BC8">
        <w:rPr>
          <w:b/>
          <w:szCs w:val="20"/>
          <w:lang w:val="en-US"/>
        </w:rPr>
        <w:t xml:space="preserve">the Level II rules, the more they </w:t>
      </w:r>
      <w:r w:rsidR="00FC3328" w:rsidRPr="00974BC8">
        <w:rPr>
          <w:b/>
          <w:szCs w:val="20"/>
          <w:lang w:val="en-US"/>
        </w:rPr>
        <w:t xml:space="preserve">will potentially </w:t>
      </w:r>
      <w:r w:rsidR="00800FC6" w:rsidRPr="00974BC8">
        <w:rPr>
          <w:b/>
          <w:szCs w:val="20"/>
          <w:lang w:val="en-US"/>
        </w:rPr>
        <w:t>deviate from IOSCO principles</w:t>
      </w:r>
      <w:r w:rsidR="00800FC6" w:rsidRPr="00974BC8">
        <w:rPr>
          <w:szCs w:val="20"/>
          <w:lang w:val="en-US"/>
        </w:rPr>
        <w:t xml:space="preserve">. </w:t>
      </w:r>
      <w:r w:rsidR="00800FC6" w:rsidRPr="00543D09">
        <w:rPr>
          <w:szCs w:val="20"/>
          <w:lang w:val="en-US"/>
        </w:rPr>
        <w:t xml:space="preserve">Under both </w:t>
      </w:r>
      <w:r w:rsidR="00F71C21" w:rsidRPr="00543D09">
        <w:rPr>
          <w:szCs w:val="20"/>
          <w:lang w:val="en-US"/>
        </w:rPr>
        <w:t>access regimes</w:t>
      </w:r>
      <w:r w:rsidR="00800FC6" w:rsidRPr="00543D09">
        <w:rPr>
          <w:szCs w:val="20"/>
          <w:lang w:val="en-US"/>
        </w:rPr>
        <w:t xml:space="preserve">, national competent authorities </w:t>
      </w:r>
      <w:r w:rsidR="00561340" w:rsidRPr="00543D09">
        <w:rPr>
          <w:szCs w:val="20"/>
          <w:lang w:val="en-US"/>
        </w:rPr>
        <w:t>will assess</w:t>
      </w:r>
      <w:r w:rsidR="00800FC6" w:rsidRPr="00543D09">
        <w:rPr>
          <w:szCs w:val="20"/>
          <w:lang w:val="en-US"/>
        </w:rPr>
        <w:t xml:space="preserve"> </w:t>
      </w:r>
      <w:r w:rsidR="00561340" w:rsidRPr="00543D09">
        <w:rPr>
          <w:szCs w:val="20"/>
          <w:lang w:val="en-US"/>
        </w:rPr>
        <w:t xml:space="preserve">whether </w:t>
      </w:r>
      <w:r w:rsidR="00800FC6" w:rsidRPr="00543D09">
        <w:rPr>
          <w:szCs w:val="20"/>
          <w:lang w:val="en-US"/>
        </w:rPr>
        <w:t>third country admin</w:t>
      </w:r>
      <w:r w:rsidR="00561340" w:rsidRPr="00543D09">
        <w:rPr>
          <w:szCs w:val="20"/>
          <w:lang w:val="en-US"/>
        </w:rPr>
        <w:t>istr</w:t>
      </w:r>
      <w:r w:rsidR="00561340" w:rsidRPr="00543D09">
        <w:rPr>
          <w:szCs w:val="20"/>
          <w:lang w:val="en-US"/>
        </w:rPr>
        <w:t>a</w:t>
      </w:r>
      <w:r w:rsidR="00974BC8">
        <w:rPr>
          <w:szCs w:val="20"/>
          <w:lang w:val="en-US"/>
        </w:rPr>
        <w:t>tors/benchmarks fulfil the BMR</w:t>
      </w:r>
      <w:r w:rsidR="00561340" w:rsidRPr="00543D09">
        <w:rPr>
          <w:szCs w:val="20"/>
          <w:lang w:val="en-US"/>
        </w:rPr>
        <w:t xml:space="preserve"> requirements, by assessing their compliance with IOSCO princ</w:t>
      </w:r>
      <w:r w:rsidR="00561340" w:rsidRPr="00543D09">
        <w:rPr>
          <w:szCs w:val="20"/>
          <w:lang w:val="en-US"/>
        </w:rPr>
        <w:t>i</w:t>
      </w:r>
      <w:r w:rsidR="00561340" w:rsidRPr="00543D09">
        <w:rPr>
          <w:szCs w:val="20"/>
          <w:lang w:val="en-US"/>
        </w:rPr>
        <w:t xml:space="preserve">ples. We are concerned that </w:t>
      </w:r>
      <w:r w:rsidR="00561340" w:rsidRPr="006803A2">
        <w:rPr>
          <w:b/>
          <w:szCs w:val="20"/>
          <w:lang w:val="en-US"/>
        </w:rPr>
        <w:t>different national competent authorities may interpret compl</w:t>
      </w:r>
      <w:r w:rsidR="00561340" w:rsidRPr="006803A2">
        <w:rPr>
          <w:b/>
          <w:szCs w:val="20"/>
          <w:lang w:val="en-US"/>
        </w:rPr>
        <w:t>i</w:t>
      </w:r>
      <w:r w:rsidR="00561340" w:rsidRPr="006803A2">
        <w:rPr>
          <w:b/>
          <w:szCs w:val="20"/>
          <w:lang w:val="en-US"/>
        </w:rPr>
        <w:t>ance with IOSCO principles differently</w:t>
      </w:r>
      <w:r w:rsidR="00561340" w:rsidRPr="00543D09">
        <w:rPr>
          <w:szCs w:val="20"/>
          <w:lang w:val="en-US"/>
        </w:rPr>
        <w:t xml:space="preserve">.  In this respect, we would </w:t>
      </w:r>
      <w:r w:rsidR="00561340" w:rsidRPr="006803A2">
        <w:rPr>
          <w:b/>
          <w:szCs w:val="20"/>
          <w:lang w:val="en-US"/>
        </w:rPr>
        <w:t xml:space="preserve">encourage ESMA to </w:t>
      </w:r>
      <w:r w:rsidR="004732E6" w:rsidRPr="006803A2">
        <w:rPr>
          <w:b/>
          <w:szCs w:val="20"/>
          <w:lang w:val="en-US"/>
        </w:rPr>
        <w:t>co</w:t>
      </w:r>
      <w:r w:rsidR="004732E6" w:rsidRPr="006803A2">
        <w:rPr>
          <w:b/>
          <w:szCs w:val="20"/>
          <w:lang w:val="en-US"/>
        </w:rPr>
        <w:t>n</w:t>
      </w:r>
      <w:r w:rsidR="004732E6" w:rsidRPr="006803A2">
        <w:rPr>
          <w:b/>
          <w:szCs w:val="20"/>
          <w:lang w:val="en-US"/>
        </w:rPr>
        <w:t xml:space="preserve">sider these concerns when shaping Level II rules and collaborate with </w:t>
      </w:r>
      <w:r w:rsidR="00FC3B8B" w:rsidRPr="006803A2">
        <w:rPr>
          <w:b/>
          <w:szCs w:val="20"/>
          <w:lang w:val="en-US"/>
        </w:rPr>
        <w:t xml:space="preserve">both </w:t>
      </w:r>
      <w:r w:rsidR="004732E6" w:rsidRPr="006803A2">
        <w:rPr>
          <w:b/>
          <w:szCs w:val="20"/>
          <w:lang w:val="en-US"/>
        </w:rPr>
        <w:t>national co</w:t>
      </w:r>
      <w:r w:rsidR="004732E6" w:rsidRPr="006803A2">
        <w:rPr>
          <w:b/>
          <w:szCs w:val="20"/>
          <w:lang w:val="en-US"/>
        </w:rPr>
        <w:t>m</w:t>
      </w:r>
      <w:r w:rsidR="004732E6" w:rsidRPr="006803A2">
        <w:rPr>
          <w:b/>
          <w:szCs w:val="20"/>
          <w:lang w:val="en-US"/>
        </w:rPr>
        <w:t>petent authorities and third country regulators to achieve a consistent interpretation of compliance with IOSCO principles</w:t>
      </w:r>
      <w:r w:rsidR="004732E6" w:rsidRPr="00543D09">
        <w:rPr>
          <w:szCs w:val="20"/>
          <w:lang w:val="en-US"/>
        </w:rPr>
        <w:t xml:space="preserve">. </w:t>
      </w:r>
      <w:r w:rsidR="00FC3B8B" w:rsidRPr="00543D09">
        <w:rPr>
          <w:szCs w:val="20"/>
          <w:lang w:val="en-US"/>
        </w:rPr>
        <w:t>We have additional concerns with each access regime, as outlined below.</w:t>
      </w:r>
    </w:p>
    <w:p w:rsidR="004732E6" w:rsidRPr="00543D09" w:rsidRDefault="00FC3B8B" w:rsidP="00FC3B8B">
      <w:pPr>
        <w:spacing w:line="360" w:lineRule="auto"/>
        <w:rPr>
          <w:szCs w:val="20"/>
          <w:lang w:val="en-US"/>
        </w:rPr>
      </w:pPr>
      <w:r w:rsidRPr="00543D09">
        <w:rPr>
          <w:szCs w:val="20"/>
          <w:lang w:val="en-US"/>
        </w:rPr>
        <w:t xml:space="preserve"> </w:t>
      </w:r>
    </w:p>
    <w:p w:rsidR="004732E6" w:rsidRPr="00543D09" w:rsidRDefault="004732E6" w:rsidP="00FC3B8B">
      <w:pPr>
        <w:spacing w:line="360" w:lineRule="auto"/>
        <w:ind w:firstLine="709"/>
        <w:rPr>
          <w:b/>
          <w:szCs w:val="20"/>
          <w:lang w:val="en-US"/>
        </w:rPr>
      </w:pPr>
      <w:r w:rsidRPr="00543D09">
        <w:rPr>
          <w:b/>
          <w:szCs w:val="20"/>
          <w:lang w:val="en-US"/>
        </w:rPr>
        <w:t>Recognition</w:t>
      </w:r>
      <w:r w:rsidR="007810D6">
        <w:rPr>
          <w:b/>
          <w:szCs w:val="20"/>
          <w:lang w:val="en-US"/>
        </w:rPr>
        <w:br/>
      </w:r>
    </w:p>
    <w:p w:rsidR="004732E6" w:rsidRPr="00543D09" w:rsidRDefault="004732E6" w:rsidP="00FC3B8B">
      <w:pPr>
        <w:numPr>
          <w:ilvl w:val="0"/>
          <w:numId w:val="54"/>
        </w:numPr>
        <w:spacing w:line="360" w:lineRule="auto"/>
        <w:rPr>
          <w:szCs w:val="20"/>
        </w:rPr>
      </w:pPr>
      <w:r w:rsidRPr="00543D09">
        <w:rPr>
          <w:szCs w:val="20"/>
          <w:lang w:val="en-US"/>
        </w:rPr>
        <w:t xml:space="preserve">It should be made clear how </w:t>
      </w:r>
      <w:r w:rsidRPr="006803A2">
        <w:rPr>
          <w:b/>
          <w:szCs w:val="20"/>
          <w:lang w:val="en-US"/>
        </w:rPr>
        <w:t>non-EU benchmark administrators will be able to identify the EU Member State of Reference in practice</w:t>
      </w:r>
      <w:r w:rsidRPr="00543D09">
        <w:rPr>
          <w:szCs w:val="20"/>
          <w:lang w:val="en-US"/>
        </w:rPr>
        <w:t xml:space="preserve"> (e</w:t>
      </w:r>
      <w:r w:rsidR="00E9227C">
        <w:rPr>
          <w:szCs w:val="20"/>
          <w:lang w:val="en-US"/>
        </w:rPr>
        <w:t>.</w:t>
      </w:r>
      <w:r w:rsidRPr="00543D09">
        <w:rPr>
          <w:szCs w:val="20"/>
          <w:lang w:val="en-US"/>
        </w:rPr>
        <w:t>g</w:t>
      </w:r>
      <w:r w:rsidR="00E9227C">
        <w:rPr>
          <w:szCs w:val="20"/>
          <w:lang w:val="en-US"/>
        </w:rPr>
        <w:t>.</w:t>
      </w:r>
      <w:r w:rsidRPr="00543D09">
        <w:rPr>
          <w:szCs w:val="20"/>
          <w:lang w:val="en-US"/>
        </w:rPr>
        <w:t xml:space="preserve"> it is not clear how the tests under Article 21a would apply where the group contains an equal number of supervised entities in different Member States</w:t>
      </w:r>
      <w:r w:rsidR="00E9227C">
        <w:rPr>
          <w:szCs w:val="20"/>
          <w:lang w:val="en-US"/>
        </w:rPr>
        <w:t xml:space="preserve"> (MS)</w:t>
      </w:r>
      <w:r w:rsidRPr="00543D09">
        <w:rPr>
          <w:szCs w:val="20"/>
          <w:lang w:val="en-US"/>
        </w:rPr>
        <w:t>)</w:t>
      </w:r>
      <w:r w:rsidR="00E9227C">
        <w:rPr>
          <w:szCs w:val="20"/>
          <w:lang w:val="en-US"/>
        </w:rPr>
        <w:t>.</w:t>
      </w:r>
    </w:p>
    <w:p w:rsidR="004732E6" w:rsidRPr="00543D09" w:rsidRDefault="004732E6" w:rsidP="00FC3B8B">
      <w:pPr>
        <w:numPr>
          <w:ilvl w:val="0"/>
          <w:numId w:val="54"/>
        </w:numPr>
        <w:spacing w:line="360" w:lineRule="auto"/>
        <w:rPr>
          <w:szCs w:val="20"/>
        </w:rPr>
      </w:pPr>
      <w:r w:rsidRPr="00543D09">
        <w:rPr>
          <w:szCs w:val="20"/>
          <w:lang w:val="en-US"/>
        </w:rPr>
        <w:t>The recognition procedure requires that non-EU benchmark administrators appoint a legal repr</w:t>
      </w:r>
      <w:r w:rsidRPr="00543D09">
        <w:rPr>
          <w:szCs w:val="20"/>
          <w:lang w:val="en-US"/>
        </w:rPr>
        <w:t>e</w:t>
      </w:r>
      <w:r w:rsidRPr="00543D09">
        <w:rPr>
          <w:szCs w:val="20"/>
          <w:lang w:val="en-US"/>
        </w:rPr>
        <w:t>sentative in the MS of reference. It should be made clear</w:t>
      </w:r>
      <w:r w:rsidRPr="006803A2">
        <w:rPr>
          <w:b/>
          <w:szCs w:val="20"/>
          <w:lang w:val="en-US"/>
        </w:rPr>
        <w:t xml:space="preserve"> what oversight role an EU legal re</w:t>
      </w:r>
      <w:r w:rsidRPr="006803A2">
        <w:rPr>
          <w:b/>
          <w:szCs w:val="20"/>
          <w:lang w:val="en-US"/>
        </w:rPr>
        <w:t>p</w:t>
      </w:r>
      <w:r w:rsidRPr="006803A2">
        <w:rPr>
          <w:b/>
          <w:szCs w:val="20"/>
          <w:lang w:val="en-US"/>
        </w:rPr>
        <w:t>resentative of a non-EU administrator should perform</w:t>
      </w:r>
      <w:r w:rsidR="00E9227C">
        <w:rPr>
          <w:b/>
          <w:szCs w:val="20"/>
          <w:lang w:val="en-US"/>
        </w:rPr>
        <w:t>,</w:t>
      </w:r>
      <w:r w:rsidRPr="006803A2">
        <w:rPr>
          <w:b/>
          <w:szCs w:val="20"/>
          <w:lang w:val="en-US"/>
        </w:rPr>
        <w:t xml:space="preserve"> </w:t>
      </w:r>
      <w:r w:rsidRPr="00543D09">
        <w:rPr>
          <w:szCs w:val="20"/>
          <w:lang w:val="en-US"/>
        </w:rPr>
        <w:t xml:space="preserve">taking into account the benchmark is being produced and controlled outside the EU. The accountability of the legal representative to the MS of reference should also be clarified. </w:t>
      </w:r>
    </w:p>
    <w:p w:rsidR="004732E6" w:rsidRPr="00543D09" w:rsidRDefault="004732E6" w:rsidP="00C93C85">
      <w:pPr>
        <w:rPr>
          <w:szCs w:val="20"/>
          <w:lang w:val="en-US"/>
        </w:rPr>
      </w:pPr>
    </w:p>
    <w:p w:rsidR="004732E6" w:rsidRPr="00543D09" w:rsidRDefault="004732E6" w:rsidP="00275C97">
      <w:pPr>
        <w:ind w:firstLine="709"/>
        <w:rPr>
          <w:b/>
          <w:bCs/>
          <w:szCs w:val="20"/>
          <w:lang w:val="en-US"/>
        </w:rPr>
      </w:pPr>
      <w:r w:rsidRPr="00543D09">
        <w:rPr>
          <w:b/>
          <w:bCs/>
          <w:szCs w:val="20"/>
          <w:lang w:val="en-US"/>
        </w:rPr>
        <w:t>Endorsement</w:t>
      </w:r>
      <w:r w:rsidR="007810D6">
        <w:rPr>
          <w:b/>
          <w:bCs/>
          <w:szCs w:val="20"/>
          <w:lang w:val="en-US"/>
        </w:rPr>
        <w:br/>
      </w:r>
    </w:p>
    <w:p w:rsidR="004732E6" w:rsidRPr="00543D09" w:rsidRDefault="00235A78" w:rsidP="00FC3B8B">
      <w:pPr>
        <w:numPr>
          <w:ilvl w:val="0"/>
          <w:numId w:val="54"/>
        </w:numPr>
        <w:spacing w:line="360" w:lineRule="auto"/>
        <w:rPr>
          <w:szCs w:val="20"/>
        </w:rPr>
      </w:pPr>
      <w:r w:rsidRPr="00974BC8">
        <w:rPr>
          <w:szCs w:val="20"/>
          <w:lang w:val="en-US"/>
        </w:rPr>
        <w:t xml:space="preserve">Under the BMR, </w:t>
      </w:r>
      <w:r>
        <w:rPr>
          <w:szCs w:val="20"/>
          <w:lang w:val="en-US"/>
        </w:rPr>
        <w:t>t</w:t>
      </w:r>
      <w:r w:rsidR="004732E6" w:rsidRPr="00543D09">
        <w:rPr>
          <w:szCs w:val="20"/>
          <w:lang w:val="en-US"/>
        </w:rPr>
        <w:t>he supervised e</w:t>
      </w:r>
      <w:r w:rsidR="00F76B92">
        <w:rPr>
          <w:szCs w:val="20"/>
          <w:lang w:val="en-US"/>
        </w:rPr>
        <w:t>ntity in the EU endorsing the third country</w:t>
      </w:r>
      <w:r w:rsidR="004732E6" w:rsidRPr="00543D09">
        <w:rPr>
          <w:szCs w:val="20"/>
          <w:lang w:val="en-US"/>
        </w:rPr>
        <w:t xml:space="preserve"> benchmark must have a clear and well defined role within the control or accountability framework of the </w:t>
      </w:r>
      <w:r w:rsidR="00F76B92">
        <w:rPr>
          <w:szCs w:val="20"/>
          <w:lang w:val="en-US"/>
        </w:rPr>
        <w:t>third country</w:t>
      </w:r>
      <w:r w:rsidR="004732E6" w:rsidRPr="00543D09">
        <w:rPr>
          <w:szCs w:val="20"/>
          <w:lang w:val="en-US"/>
        </w:rPr>
        <w:t xml:space="preserve"> administrator which allows it to effectively monitor the provision of a benchmark. Even an EU f</w:t>
      </w:r>
      <w:r w:rsidR="004732E6" w:rsidRPr="00543D09">
        <w:rPr>
          <w:szCs w:val="20"/>
          <w:lang w:val="en-US"/>
        </w:rPr>
        <w:t>i</w:t>
      </w:r>
      <w:r w:rsidR="004732E6" w:rsidRPr="00543D09">
        <w:rPr>
          <w:szCs w:val="20"/>
          <w:lang w:val="en-US"/>
        </w:rPr>
        <w:t>nancial institution may hesitate to endorse benchmarks produced by its third country affiliates as it exposes the endorsi</w:t>
      </w:r>
      <w:r w:rsidR="00F76B92">
        <w:rPr>
          <w:szCs w:val="20"/>
          <w:lang w:val="en-US"/>
        </w:rPr>
        <w:t>ng entity to sanctions if the third country</w:t>
      </w:r>
      <w:r w:rsidR="004732E6" w:rsidRPr="00543D09">
        <w:rPr>
          <w:szCs w:val="20"/>
          <w:lang w:val="en-US"/>
        </w:rPr>
        <w:t xml:space="preserve"> benchmark does not comply with the Regulation, and where their benchmark is made available free of charge or they derive low </w:t>
      </w:r>
      <w:proofErr w:type="spellStart"/>
      <w:r w:rsidR="004732E6" w:rsidRPr="00543D09">
        <w:rPr>
          <w:szCs w:val="20"/>
          <w:lang w:val="en-US"/>
        </w:rPr>
        <w:t>licence</w:t>
      </w:r>
      <w:proofErr w:type="spellEnd"/>
      <w:r w:rsidR="004732E6" w:rsidRPr="00543D09">
        <w:rPr>
          <w:szCs w:val="20"/>
          <w:lang w:val="en-US"/>
        </w:rPr>
        <w:t xml:space="preserve"> revenues from the EU. </w:t>
      </w:r>
    </w:p>
    <w:p w:rsidR="004732E6" w:rsidRPr="00543D09" w:rsidRDefault="004732E6" w:rsidP="00FC3B8B">
      <w:pPr>
        <w:numPr>
          <w:ilvl w:val="0"/>
          <w:numId w:val="54"/>
        </w:numPr>
        <w:spacing w:line="360" w:lineRule="auto"/>
        <w:rPr>
          <w:szCs w:val="20"/>
        </w:rPr>
      </w:pPr>
      <w:r w:rsidRPr="00543D09">
        <w:rPr>
          <w:szCs w:val="20"/>
          <w:lang w:val="en-US"/>
        </w:rPr>
        <w:t xml:space="preserve">It is important that </w:t>
      </w:r>
      <w:r w:rsidR="00F76B92">
        <w:rPr>
          <w:b/>
          <w:szCs w:val="20"/>
          <w:lang w:val="en-US"/>
        </w:rPr>
        <w:t>ESMA advises</w:t>
      </w:r>
      <w:r w:rsidRPr="006803A2">
        <w:rPr>
          <w:b/>
          <w:szCs w:val="20"/>
          <w:lang w:val="en-US"/>
        </w:rPr>
        <w:t xml:space="preserve"> the </w:t>
      </w:r>
      <w:r w:rsidR="00F71C21" w:rsidRPr="006803A2">
        <w:rPr>
          <w:b/>
          <w:szCs w:val="20"/>
          <w:lang w:val="en-US"/>
        </w:rPr>
        <w:t>European Commission</w:t>
      </w:r>
      <w:r w:rsidR="00F76B92">
        <w:rPr>
          <w:b/>
          <w:szCs w:val="20"/>
          <w:lang w:val="en-US"/>
        </w:rPr>
        <w:t xml:space="preserve"> not to</w:t>
      </w:r>
      <w:r w:rsidRPr="006803A2">
        <w:rPr>
          <w:b/>
          <w:szCs w:val="20"/>
          <w:lang w:val="en-US"/>
        </w:rPr>
        <w:t xml:space="preserve"> take an unduly restrictive view of wheth</w:t>
      </w:r>
      <w:r w:rsidR="00F71C21" w:rsidRPr="006803A2">
        <w:rPr>
          <w:b/>
          <w:szCs w:val="20"/>
          <w:lang w:val="en-US"/>
        </w:rPr>
        <w:t xml:space="preserve">er </w:t>
      </w:r>
      <w:r w:rsidR="00F76B92">
        <w:rPr>
          <w:b/>
          <w:szCs w:val="20"/>
          <w:lang w:val="en-US"/>
        </w:rPr>
        <w:t>"</w:t>
      </w:r>
      <w:r w:rsidR="00F71C21" w:rsidRPr="006803A2">
        <w:rPr>
          <w:b/>
          <w:szCs w:val="20"/>
          <w:lang w:val="en-US"/>
        </w:rPr>
        <w:t>there is an objective reason</w:t>
      </w:r>
      <w:r w:rsidRPr="006803A2">
        <w:rPr>
          <w:b/>
          <w:szCs w:val="20"/>
          <w:lang w:val="en-US"/>
        </w:rPr>
        <w:t xml:space="preserve"> to provide the benchmark </w:t>
      </w:r>
      <w:r w:rsidR="00F76B92">
        <w:rPr>
          <w:b/>
          <w:szCs w:val="20"/>
          <w:lang w:val="en-US"/>
        </w:rPr>
        <w:t xml:space="preserve">or family of benchmarks in a third country </w:t>
      </w:r>
      <w:r w:rsidRPr="00F76B92">
        <w:rPr>
          <w:b/>
          <w:szCs w:val="20"/>
          <w:lang w:val="en-US"/>
        </w:rPr>
        <w:t>and to en</w:t>
      </w:r>
      <w:r w:rsidR="00F76B92">
        <w:rPr>
          <w:b/>
          <w:szCs w:val="20"/>
          <w:lang w:val="en-US"/>
        </w:rPr>
        <w:t xml:space="preserve">dorse them for their use </w:t>
      </w:r>
      <w:r w:rsidRPr="00F76B92">
        <w:rPr>
          <w:b/>
          <w:szCs w:val="20"/>
          <w:lang w:val="en-US"/>
        </w:rPr>
        <w:t xml:space="preserve">in the </w:t>
      </w:r>
      <w:r w:rsidR="00F76B92">
        <w:rPr>
          <w:b/>
          <w:szCs w:val="20"/>
          <w:lang w:val="en-US"/>
        </w:rPr>
        <w:t>Union"</w:t>
      </w:r>
      <w:r w:rsidRPr="00543D09">
        <w:rPr>
          <w:szCs w:val="20"/>
          <w:lang w:val="en-US"/>
        </w:rPr>
        <w:t>. Non-EU a</w:t>
      </w:r>
      <w:r w:rsidRPr="00543D09">
        <w:rPr>
          <w:szCs w:val="20"/>
          <w:lang w:val="en-US"/>
        </w:rPr>
        <w:t>d</w:t>
      </w:r>
      <w:r w:rsidRPr="00543D09">
        <w:rPr>
          <w:szCs w:val="20"/>
          <w:lang w:val="en-US"/>
        </w:rPr>
        <w:t xml:space="preserve">ministrators should be able to </w:t>
      </w:r>
      <w:proofErr w:type="spellStart"/>
      <w:r w:rsidRPr="00543D09">
        <w:rPr>
          <w:szCs w:val="20"/>
          <w:lang w:val="en-US"/>
        </w:rPr>
        <w:t>organise</w:t>
      </w:r>
      <w:proofErr w:type="spellEnd"/>
      <w:r w:rsidRPr="00543D09">
        <w:rPr>
          <w:szCs w:val="20"/>
          <w:lang w:val="en-US"/>
        </w:rPr>
        <w:t xml:space="preserve"> their business based on commercial considerations, rather than be required to administer it in the EU merely because it has some connection with the EU.</w:t>
      </w:r>
    </w:p>
    <w:p w:rsidR="00800FC6" w:rsidRPr="00543D09" w:rsidRDefault="00800FC6" w:rsidP="00C93C85">
      <w:pPr>
        <w:rPr>
          <w:szCs w:val="20"/>
          <w:lang w:val="en-US"/>
        </w:rPr>
      </w:pPr>
    </w:p>
    <w:p w:rsidR="00800FC6" w:rsidRPr="00543D09" w:rsidRDefault="00800FC6" w:rsidP="00C93C85">
      <w:pPr>
        <w:rPr>
          <w:szCs w:val="20"/>
          <w:lang w:val="en-US"/>
        </w:rPr>
      </w:pPr>
    </w:p>
    <w:p w:rsidR="006803A2" w:rsidRDefault="00275C97" w:rsidP="007810D6">
      <w:pPr>
        <w:pStyle w:val="ListParagraph"/>
        <w:numPr>
          <w:ilvl w:val="0"/>
          <w:numId w:val="57"/>
        </w:numPr>
        <w:spacing w:line="360" w:lineRule="auto"/>
        <w:rPr>
          <w:rFonts w:cs="Arial"/>
          <w:szCs w:val="20"/>
          <w:lang w:val="en-US" w:eastAsia="en-GB"/>
        </w:rPr>
      </w:pPr>
      <w:r w:rsidRPr="007810D6">
        <w:rPr>
          <w:b/>
          <w:bCs/>
          <w:szCs w:val="20"/>
          <w:lang w:val="en-US"/>
        </w:rPr>
        <w:lastRenderedPageBreak/>
        <w:t>Transitional provisions</w:t>
      </w:r>
      <w:r w:rsidRPr="007810D6">
        <w:rPr>
          <w:b/>
          <w:bCs/>
          <w:szCs w:val="20"/>
          <w:lang w:val="en-US"/>
        </w:rPr>
        <w:br/>
      </w:r>
    </w:p>
    <w:p w:rsidR="006803A2" w:rsidRPr="006803A2" w:rsidRDefault="006803A2" w:rsidP="006803A2">
      <w:pPr>
        <w:numPr>
          <w:ilvl w:val="0"/>
          <w:numId w:val="54"/>
        </w:numPr>
        <w:spacing w:line="360" w:lineRule="auto"/>
        <w:rPr>
          <w:rFonts w:cs="Arial"/>
          <w:szCs w:val="20"/>
          <w:lang w:val="en-US" w:eastAsia="en-GB"/>
        </w:rPr>
      </w:pPr>
      <w:r>
        <w:rPr>
          <w:rFonts w:cs="Arial"/>
          <w:szCs w:val="20"/>
          <w:lang w:val="en-US" w:eastAsia="en-GB"/>
        </w:rPr>
        <w:t xml:space="preserve">As a general principle, it </w:t>
      </w:r>
      <w:r w:rsidRPr="006803A2">
        <w:rPr>
          <w:rFonts w:cs="Arial"/>
          <w:szCs w:val="20"/>
          <w:lang w:val="en-US" w:eastAsia="en-GB"/>
        </w:rPr>
        <w:t>is important to ensure any transition away from existing benchmarks and indices can be managed in a smooth and orderly manner with potential market disruption mitiga</w:t>
      </w:r>
      <w:r w:rsidRPr="006803A2">
        <w:rPr>
          <w:rFonts w:cs="Arial"/>
          <w:szCs w:val="20"/>
          <w:lang w:val="en-US" w:eastAsia="en-GB"/>
        </w:rPr>
        <w:t>t</w:t>
      </w:r>
      <w:r w:rsidRPr="006803A2">
        <w:rPr>
          <w:rFonts w:cs="Arial"/>
          <w:szCs w:val="20"/>
          <w:lang w:val="en-US" w:eastAsia="en-GB"/>
        </w:rPr>
        <w:t>ed as far as possible</w:t>
      </w:r>
      <w:r w:rsidRPr="00D14FDD">
        <w:rPr>
          <w:rFonts w:cs="Arial"/>
          <w:color w:val="FF0000"/>
          <w:szCs w:val="20"/>
          <w:lang w:val="en-US" w:eastAsia="en-GB"/>
        </w:rPr>
        <w:t>.</w:t>
      </w:r>
      <w:r w:rsidRPr="00D14FDD">
        <w:rPr>
          <w:rFonts w:ascii="Frutiger 45 Light" w:hAnsi="Frutiger 45 Light"/>
          <w:color w:val="FF0000"/>
        </w:rPr>
        <w:t xml:space="preserve"> </w:t>
      </w:r>
      <w:r w:rsidR="00D14FDD" w:rsidRPr="00974BC8">
        <w:rPr>
          <w:rFonts w:cs="Arial"/>
          <w:szCs w:val="20"/>
          <w:lang w:val="en-US" w:eastAsia="en-GB"/>
        </w:rPr>
        <w:t xml:space="preserve">We would like to highlight the following concerns, although we recognize </w:t>
      </w:r>
      <w:r w:rsidR="0000579C">
        <w:rPr>
          <w:rFonts w:cs="Arial"/>
          <w:szCs w:val="20"/>
          <w:lang w:val="en-US" w:eastAsia="en-GB"/>
        </w:rPr>
        <w:t>they relate to the Level 1 text:</w:t>
      </w:r>
    </w:p>
    <w:p w:rsidR="00275C97" w:rsidRPr="007810D6" w:rsidRDefault="00275C97" w:rsidP="006803A2">
      <w:pPr>
        <w:numPr>
          <w:ilvl w:val="0"/>
          <w:numId w:val="54"/>
        </w:numPr>
        <w:spacing w:line="360" w:lineRule="auto"/>
        <w:rPr>
          <w:rFonts w:cs="Arial"/>
          <w:szCs w:val="20"/>
          <w:lang w:val="en-US" w:eastAsia="en-GB"/>
        </w:rPr>
      </w:pPr>
      <w:r w:rsidRPr="007810D6">
        <w:rPr>
          <w:rFonts w:cs="Arial"/>
          <w:szCs w:val="20"/>
          <w:lang w:val="en-US" w:eastAsia="en-GB"/>
        </w:rPr>
        <w:t>The latest jurist</w:t>
      </w:r>
      <w:r w:rsidR="0000579C">
        <w:rPr>
          <w:rFonts w:cs="Arial"/>
          <w:szCs w:val="20"/>
          <w:lang w:val="en-US" w:eastAsia="en-GB"/>
        </w:rPr>
        <w:t>-</w:t>
      </w:r>
      <w:r w:rsidRPr="007810D6">
        <w:rPr>
          <w:rFonts w:cs="Arial"/>
          <w:szCs w:val="20"/>
          <w:lang w:val="en-US" w:eastAsia="en-GB"/>
        </w:rPr>
        <w:t xml:space="preserve">linguist </w:t>
      </w:r>
      <w:r w:rsidRPr="00974BC8">
        <w:rPr>
          <w:rFonts w:cs="Arial"/>
          <w:szCs w:val="20"/>
          <w:lang w:val="en-US" w:eastAsia="en-GB"/>
        </w:rPr>
        <w:t>text</w:t>
      </w:r>
      <w:r w:rsidR="00235A78" w:rsidRPr="00974BC8">
        <w:rPr>
          <w:rFonts w:cs="Arial"/>
          <w:szCs w:val="20"/>
          <w:lang w:val="en-US" w:eastAsia="en-GB"/>
        </w:rPr>
        <w:t xml:space="preserve"> (</w:t>
      </w:r>
      <w:r w:rsidR="0000579C">
        <w:rPr>
          <w:rFonts w:cs="Arial"/>
          <w:szCs w:val="20"/>
          <w:lang w:val="en-US" w:eastAsia="en-GB"/>
        </w:rPr>
        <w:t xml:space="preserve">from </w:t>
      </w:r>
      <w:r w:rsidR="00235A78" w:rsidRPr="00974BC8">
        <w:rPr>
          <w:rFonts w:cs="Arial"/>
          <w:szCs w:val="20"/>
          <w:lang w:val="en-US" w:eastAsia="en-GB"/>
        </w:rPr>
        <w:t>25 February 2016)</w:t>
      </w:r>
      <w:r w:rsidRPr="00974BC8">
        <w:rPr>
          <w:rFonts w:cs="Arial"/>
          <w:szCs w:val="20"/>
          <w:lang w:val="en-US" w:eastAsia="en-GB"/>
        </w:rPr>
        <w:t xml:space="preserve"> </w:t>
      </w:r>
      <w:r w:rsidRPr="007810D6">
        <w:rPr>
          <w:rFonts w:cs="Arial"/>
          <w:szCs w:val="20"/>
          <w:lang w:val="en-US" w:eastAsia="en-GB"/>
        </w:rPr>
        <w:t>has delivered some improvements</w:t>
      </w:r>
      <w:r w:rsidR="00F76B92">
        <w:rPr>
          <w:rFonts w:cs="Arial"/>
          <w:szCs w:val="20"/>
          <w:lang w:val="en-US" w:eastAsia="en-GB"/>
        </w:rPr>
        <w:t xml:space="preserve"> co</w:t>
      </w:r>
      <w:r w:rsidR="00F76B92">
        <w:rPr>
          <w:rFonts w:cs="Arial"/>
          <w:szCs w:val="20"/>
          <w:lang w:val="en-US" w:eastAsia="en-GB"/>
        </w:rPr>
        <w:t>m</w:t>
      </w:r>
      <w:r w:rsidR="00F76B92">
        <w:rPr>
          <w:rFonts w:cs="Arial"/>
          <w:szCs w:val="20"/>
          <w:lang w:val="en-US" w:eastAsia="en-GB"/>
        </w:rPr>
        <w:t>pared</w:t>
      </w:r>
      <w:r w:rsidRPr="007810D6">
        <w:rPr>
          <w:rFonts w:cs="Arial"/>
          <w:szCs w:val="20"/>
          <w:lang w:val="en-US" w:eastAsia="en-GB"/>
        </w:rPr>
        <w:t xml:space="preserve"> to the transitional provi</w:t>
      </w:r>
      <w:r w:rsidR="00F71C21" w:rsidRPr="007810D6">
        <w:rPr>
          <w:rFonts w:cs="Arial"/>
          <w:szCs w:val="20"/>
          <w:lang w:val="en-US" w:eastAsia="en-GB"/>
        </w:rPr>
        <w:t xml:space="preserve">sions in Article </w:t>
      </w:r>
      <w:r w:rsidRPr="007810D6">
        <w:rPr>
          <w:rFonts w:cs="Arial"/>
          <w:szCs w:val="20"/>
          <w:lang w:val="en-US" w:eastAsia="en-GB"/>
        </w:rPr>
        <w:t>39 of the</w:t>
      </w:r>
      <w:r w:rsidR="00943D0D">
        <w:rPr>
          <w:rFonts w:cs="Arial"/>
          <w:szCs w:val="20"/>
          <w:lang w:val="en-US" w:eastAsia="en-GB"/>
        </w:rPr>
        <w:t xml:space="preserve"> draft</w:t>
      </w:r>
      <w:r w:rsidRPr="007810D6">
        <w:rPr>
          <w:rFonts w:cs="Arial"/>
          <w:szCs w:val="20"/>
          <w:lang w:val="en-US" w:eastAsia="en-GB"/>
        </w:rPr>
        <w:t xml:space="preserve"> Level 1 text published in Decem</w:t>
      </w:r>
      <w:r w:rsidR="00F71C21" w:rsidRPr="007810D6">
        <w:rPr>
          <w:rFonts w:cs="Arial"/>
          <w:szCs w:val="20"/>
          <w:lang w:val="en-US" w:eastAsia="en-GB"/>
        </w:rPr>
        <w:t>ber 2015</w:t>
      </w:r>
      <w:r w:rsidRPr="007810D6">
        <w:rPr>
          <w:rFonts w:cs="Arial"/>
          <w:szCs w:val="20"/>
          <w:lang w:val="en-US" w:eastAsia="en-GB"/>
        </w:rPr>
        <w:t>. In particular, non-EU administrators have 42 months from the date of entry into force of the Reg</w:t>
      </w:r>
      <w:r w:rsidRPr="007810D6">
        <w:rPr>
          <w:rFonts w:cs="Arial"/>
          <w:szCs w:val="20"/>
          <w:lang w:val="en-US" w:eastAsia="en-GB"/>
        </w:rPr>
        <w:t>u</w:t>
      </w:r>
      <w:r w:rsidRPr="007810D6">
        <w:rPr>
          <w:rFonts w:cs="Arial"/>
          <w:szCs w:val="20"/>
          <w:lang w:val="en-US" w:eastAsia="en-GB"/>
        </w:rPr>
        <w:t>lation to obtain equivalence, recognition, endorsement. The transitional period of 42 months also covers investment funds that are using non-EU benchmarks at the date of application of the Regulation.</w:t>
      </w:r>
      <w:r w:rsidR="00FC3B8B" w:rsidRPr="007810D6">
        <w:rPr>
          <w:rFonts w:cs="Arial"/>
          <w:szCs w:val="20"/>
          <w:lang w:val="en-US" w:eastAsia="en-GB"/>
        </w:rPr>
        <w:t xml:space="preserve"> However, </w:t>
      </w:r>
      <w:r w:rsidRPr="007810D6">
        <w:rPr>
          <w:rFonts w:cs="Arial"/>
          <w:szCs w:val="20"/>
          <w:lang w:val="en-US" w:eastAsia="en-GB"/>
        </w:rPr>
        <w:t>some concerns remain:</w:t>
      </w:r>
    </w:p>
    <w:p w:rsidR="00275C97" w:rsidRPr="00543D09" w:rsidRDefault="00275C97" w:rsidP="00FC3B8B">
      <w:pPr>
        <w:numPr>
          <w:ilvl w:val="0"/>
          <w:numId w:val="54"/>
        </w:numPr>
        <w:spacing w:line="360" w:lineRule="auto"/>
        <w:rPr>
          <w:rFonts w:cs="Arial"/>
          <w:szCs w:val="20"/>
          <w:lang w:val="en-US" w:eastAsia="en-GB"/>
        </w:rPr>
      </w:pPr>
      <w:r w:rsidRPr="00543D09">
        <w:rPr>
          <w:rFonts w:cs="Arial"/>
          <w:szCs w:val="20"/>
          <w:lang w:val="en-US" w:eastAsia="en-GB"/>
        </w:rPr>
        <w:t xml:space="preserve">The Regulation </w:t>
      </w:r>
      <w:r w:rsidRPr="00D3486B">
        <w:rPr>
          <w:rFonts w:cs="Arial"/>
          <w:b/>
          <w:szCs w:val="20"/>
          <w:lang w:val="en-US" w:eastAsia="en-GB"/>
        </w:rPr>
        <w:t>provides no transitional provision covering new EU benchmarks created a</w:t>
      </w:r>
      <w:r w:rsidRPr="00D3486B">
        <w:rPr>
          <w:rFonts w:cs="Arial"/>
          <w:b/>
          <w:szCs w:val="20"/>
          <w:lang w:val="en-US" w:eastAsia="en-GB"/>
        </w:rPr>
        <w:t>f</w:t>
      </w:r>
      <w:r w:rsidRPr="00D3486B">
        <w:rPr>
          <w:rFonts w:cs="Arial"/>
          <w:b/>
          <w:szCs w:val="20"/>
          <w:lang w:val="en-US" w:eastAsia="en-GB"/>
        </w:rPr>
        <w:t>ter the date of the Regulation comes into force and before the date of application of the Regulation</w:t>
      </w:r>
      <w:r w:rsidRPr="00543D09">
        <w:rPr>
          <w:rFonts w:cs="Arial"/>
          <w:szCs w:val="20"/>
          <w:lang w:val="en-US" w:eastAsia="en-GB"/>
        </w:rPr>
        <w:t>. As the text currently stands, an index provider providing a benchmark on the date of entry into force of the Reg</w:t>
      </w:r>
      <w:r w:rsidR="00D55917">
        <w:rPr>
          <w:rFonts w:cs="Arial"/>
          <w:szCs w:val="20"/>
          <w:lang w:val="en-US" w:eastAsia="en-GB"/>
        </w:rPr>
        <w:t>ulation shall apply for authoriz</w:t>
      </w:r>
      <w:r w:rsidRPr="00543D09">
        <w:rPr>
          <w:rFonts w:cs="Arial"/>
          <w:szCs w:val="20"/>
          <w:lang w:val="en-US" w:eastAsia="en-GB"/>
        </w:rPr>
        <w:t>ation or registration by 42 months after date of entry into force of the Regulation. This means that index providers would create new ind</w:t>
      </w:r>
      <w:r w:rsidRPr="00543D09">
        <w:rPr>
          <w:rFonts w:cs="Arial"/>
          <w:szCs w:val="20"/>
          <w:lang w:val="en-US" w:eastAsia="en-GB"/>
        </w:rPr>
        <w:t>i</w:t>
      </w:r>
      <w:r w:rsidRPr="00543D09">
        <w:rPr>
          <w:rFonts w:cs="Arial"/>
          <w:szCs w:val="20"/>
          <w:lang w:val="en-US" w:eastAsia="en-GB"/>
        </w:rPr>
        <w:t xml:space="preserve">ces after the date of entry into force but anyone who used the index as a benchmark in the EU would have to cease using it from the date of application of the Regulation. This is a competitive issue for EU index providers compared to non-EU administrators if you can't issue new indices for at least 18 months in the EU. </w:t>
      </w:r>
    </w:p>
    <w:p w:rsidR="00275C97" w:rsidRPr="00543D09" w:rsidRDefault="00275C97" w:rsidP="00FC3B8B">
      <w:pPr>
        <w:numPr>
          <w:ilvl w:val="0"/>
          <w:numId w:val="54"/>
        </w:numPr>
        <w:spacing w:line="360" w:lineRule="auto"/>
        <w:rPr>
          <w:rFonts w:cs="Arial"/>
          <w:szCs w:val="20"/>
          <w:lang w:val="en-US" w:eastAsia="en-GB"/>
        </w:rPr>
      </w:pPr>
      <w:r w:rsidRPr="00543D09">
        <w:rPr>
          <w:rFonts w:cs="Arial"/>
          <w:szCs w:val="20"/>
          <w:lang w:val="en-US" w:eastAsia="en-GB"/>
        </w:rPr>
        <w:t>We are concerned that there is no transitional period covering continued use of a benchmark after the 42 month period expires while an application for recognition/endorsement is pending.</w:t>
      </w:r>
    </w:p>
    <w:p w:rsidR="00FC3B8B" w:rsidRPr="00543D09" w:rsidRDefault="00FC3B8B" w:rsidP="00C93C85">
      <w:pPr>
        <w:rPr>
          <w:szCs w:val="20"/>
          <w:lang w:val="en-US"/>
        </w:rPr>
      </w:pPr>
    </w:p>
    <w:p w:rsidR="00FC3B8B" w:rsidRPr="007810D6" w:rsidRDefault="00FC3B8B" w:rsidP="00FC3B8B">
      <w:pPr>
        <w:pStyle w:val="ablockpara"/>
        <w:numPr>
          <w:ilvl w:val="0"/>
          <w:numId w:val="57"/>
        </w:numPr>
        <w:spacing w:line="360" w:lineRule="auto"/>
        <w:jc w:val="both"/>
        <w:rPr>
          <w:rFonts w:ascii="Arial" w:hAnsi="Arial" w:cs="Arial"/>
          <w:b/>
          <w:sz w:val="20"/>
          <w:szCs w:val="20"/>
          <w:lang w:val="en-US"/>
        </w:rPr>
      </w:pPr>
      <w:r w:rsidRPr="007810D6">
        <w:rPr>
          <w:rFonts w:ascii="Arial" w:hAnsi="Arial" w:cs="Arial"/>
          <w:b/>
          <w:sz w:val="20"/>
          <w:szCs w:val="20"/>
          <w:lang w:val="en-US"/>
        </w:rPr>
        <w:t>Next steps</w:t>
      </w:r>
    </w:p>
    <w:p w:rsidR="0090642E" w:rsidRPr="0090642E" w:rsidRDefault="00FC3B8B" w:rsidP="00C36FF7">
      <w:pPr>
        <w:numPr>
          <w:ilvl w:val="0"/>
          <w:numId w:val="54"/>
        </w:numPr>
        <w:spacing w:line="360" w:lineRule="auto"/>
      </w:pPr>
      <w:r w:rsidRPr="005F04DB">
        <w:rPr>
          <w:rFonts w:cs="Arial"/>
          <w:szCs w:val="20"/>
          <w:lang w:val="en-US"/>
        </w:rPr>
        <w:t xml:space="preserve">UBS is a global bank, with activities spanning investment banking, asset management, wealth management and commercial banking business across many different geographies and industry sectors. Given the scope and nature of UBS’s activities, UBS utilizes and contributes </w:t>
      </w:r>
      <w:proofErr w:type="gramStart"/>
      <w:r w:rsidRPr="005F04DB">
        <w:rPr>
          <w:rFonts w:cs="Arial"/>
          <w:szCs w:val="20"/>
          <w:lang w:val="en-US"/>
        </w:rPr>
        <w:t>to</w:t>
      </w:r>
      <w:proofErr w:type="gramEnd"/>
      <w:r w:rsidRPr="005F04DB">
        <w:rPr>
          <w:rFonts w:cs="Arial"/>
          <w:szCs w:val="20"/>
          <w:lang w:val="en-US"/>
        </w:rPr>
        <w:t xml:space="preserve"> many di</w:t>
      </w:r>
      <w:r w:rsidRPr="005F04DB">
        <w:rPr>
          <w:rFonts w:cs="Arial"/>
          <w:szCs w:val="20"/>
          <w:lang w:val="en-US"/>
        </w:rPr>
        <w:t>f</w:t>
      </w:r>
      <w:r w:rsidRPr="005F04DB">
        <w:rPr>
          <w:rFonts w:cs="Arial"/>
          <w:szCs w:val="20"/>
          <w:lang w:val="en-US"/>
        </w:rPr>
        <w:t>ferent benchmarks and indices, which are used for a variety of different purposes in and many di</w:t>
      </w:r>
      <w:r w:rsidRPr="005F04DB">
        <w:rPr>
          <w:rFonts w:cs="Arial"/>
          <w:szCs w:val="20"/>
          <w:lang w:val="en-US"/>
        </w:rPr>
        <w:t>f</w:t>
      </w:r>
      <w:r w:rsidRPr="005F04DB">
        <w:rPr>
          <w:rFonts w:cs="Arial"/>
          <w:szCs w:val="20"/>
          <w:lang w:val="en-US"/>
        </w:rPr>
        <w:t xml:space="preserve">ferent contexts. Although not practical to address each of these in the context of this response (given the breadth of our operations) </w:t>
      </w:r>
      <w:r w:rsidRPr="00135ABE">
        <w:rPr>
          <w:rFonts w:cs="Arial"/>
          <w:b/>
          <w:szCs w:val="20"/>
          <w:lang w:val="en-US"/>
        </w:rPr>
        <w:t>we would be pleased to engage further on this topic with the ESMA</w:t>
      </w:r>
      <w:r w:rsidRPr="005F04DB">
        <w:rPr>
          <w:rFonts w:cs="Arial"/>
          <w:szCs w:val="20"/>
          <w:lang w:val="en-US"/>
        </w:rPr>
        <w:t xml:space="preserve"> should this be required.</w:t>
      </w:r>
    </w:p>
    <w:permEnd w:id="387658832"/>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2816EE" w:rsidRPr="000D06A7" w:rsidRDefault="002816EE" w:rsidP="002816EE">
      <w:pPr>
        <w:spacing w:line="360" w:lineRule="auto"/>
        <w:rPr>
          <w:b/>
          <w:bCs/>
          <w:strike/>
          <w:szCs w:val="20"/>
          <w:lang w:val="en-US"/>
        </w:rPr>
      </w:pPr>
      <w:permStart w:id="1139739119" w:edGrp="everyone"/>
      <w:r w:rsidRPr="002816EE">
        <w:rPr>
          <w:bCs/>
          <w:szCs w:val="20"/>
        </w:rPr>
        <w:t xml:space="preserve">With respect to the definition of an index, we are concerned with ESMA's broad interpretation of what constitutes "making available to the public".  We agree that a </w:t>
      </w:r>
      <w:r w:rsidRPr="002816EE">
        <w:rPr>
          <w:szCs w:val="20"/>
        </w:rPr>
        <w:t>map of publication channels and modalities of making available to the public of existing benchmarks would be useful, as would some clear examples of what constitutes"</w:t>
      </w:r>
      <w:proofErr w:type="spellStart"/>
      <w:r w:rsidRPr="002816EE">
        <w:rPr>
          <w:szCs w:val="20"/>
        </w:rPr>
        <w:t>non publication</w:t>
      </w:r>
      <w:proofErr w:type="spellEnd"/>
      <w:r w:rsidRPr="002816EE">
        <w:rPr>
          <w:szCs w:val="20"/>
        </w:rPr>
        <w:t xml:space="preserve">".  </w:t>
      </w:r>
      <w:r w:rsidRPr="000D06A7">
        <w:rPr>
          <w:bCs/>
          <w:szCs w:val="20"/>
        </w:rPr>
        <w:t xml:space="preserve">We believe that </w:t>
      </w:r>
      <w:r w:rsidRPr="000D06A7">
        <w:rPr>
          <w:szCs w:val="20"/>
        </w:rPr>
        <w:t>“</w:t>
      </w:r>
      <w:r w:rsidR="000D06A7" w:rsidRPr="000D06A7">
        <w:rPr>
          <w:szCs w:val="20"/>
        </w:rPr>
        <w:t>a</w:t>
      </w:r>
      <w:r w:rsidRPr="000D06A7">
        <w:rPr>
          <w:szCs w:val="20"/>
        </w:rPr>
        <w:t>vailable to the public” should be defined as a benchmark that is available on an unrestricted basis to the general public, including retail clients. This excludes for example:</w:t>
      </w:r>
    </w:p>
    <w:p w:rsidR="002816EE" w:rsidRPr="000D06A7" w:rsidRDefault="00294C2C" w:rsidP="00294C2C">
      <w:pPr>
        <w:pStyle w:val="ListParagraph"/>
        <w:numPr>
          <w:ilvl w:val="1"/>
          <w:numId w:val="56"/>
        </w:numPr>
        <w:spacing w:line="360" w:lineRule="auto"/>
        <w:rPr>
          <w:rStyle w:val="CommentReference"/>
          <w:bCs/>
          <w:sz w:val="20"/>
          <w:szCs w:val="20"/>
          <w:lang w:val="en-US"/>
        </w:rPr>
      </w:pPr>
      <w:r w:rsidRPr="000D06A7">
        <w:rPr>
          <w:rStyle w:val="CommentReference"/>
          <w:bCs/>
          <w:sz w:val="20"/>
          <w:szCs w:val="20"/>
          <w:lang w:val="en-US"/>
        </w:rPr>
        <w:t xml:space="preserve">indices created under </w:t>
      </w:r>
      <w:r w:rsidRPr="000D06A7">
        <w:rPr>
          <w:szCs w:val="20"/>
        </w:rPr>
        <w:t>written advisory and discretionary mandates with our clients as well as bespoke indices used for funds for the sole proprietary use of our clients;</w:t>
      </w:r>
      <w:r w:rsidRPr="000D06A7">
        <w:rPr>
          <w:rStyle w:val="CommentReference"/>
          <w:bCs/>
          <w:sz w:val="20"/>
          <w:szCs w:val="20"/>
          <w:lang w:val="en-US"/>
        </w:rPr>
        <w:t xml:space="preserve"> </w:t>
      </w:r>
      <w:r w:rsidR="002816EE" w:rsidRPr="000D06A7">
        <w:rPr>
          <w:rStyle w:val="CommentReference"/>
          <w:bCs/>
          <w:sz w:val="20"/>
          <w:szCs w:val="20"/>
          <w:lang w:val="en-US"/>
        </w:rPr>
        <w:t xml:space="preserve"> </w:t>
      </w:r>
    </w:p>
    <w:p w:rsidR="009A7C78" w:rsidRPr="000D06A7" w:rsidRDefault="002816EE" w:rsidP="007E45CF">
      <w:pPr>
        <w:pStyle w:val="ListParagraph"/>
        <w:numPr>
          <w:ilvl w:val="1"/>
          <w:numId w:val="56"/>
        </w:numPr>
        <w:spacing w:line="360" w:lineRule="auto"/>
        <w:rPr>
          <w:bCs/>
          <w:szCs w:val="20"/>
          <w:lang w:val="en-US"/>
        </w:rPr>
      </w:pPr>
      <w:r w:rsidRPr="000D06A7">
        <w:rPr>
          <w:rStyle w:val="CommentReference"/>
          <w:bCs/>
          <w:sz w:val="20"/>
          <w:szCs w:val="20"/>
          <w:lang w:val="en-US"/>
        </w:rPr>
        <w:t>indices available to a limited number of subscribers who, in turn, are not authorized to onward license to a broader set of investors</w:t>
      </w:r>
    </w:p>
    <w:permEnd w:id="1139739119"/>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9A2624" w:rsidRDefault="007E3F7B" w:rsidP="009A2624">
      <w:permStart w:id="1260940787" w:edGrp="everyone"/>
      <w:r>
        <w:t>We would refer to our answer to Q1</w:t>
      </w:r>
    </w:p>
    <w:permEnd w:id="1260940787"/>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59190F" w:rsidRPr="00C36FF7" w:rsidRDefault="008C4C00" w:rsidP="0059190F">
      <w:pPr>
        <w:autoSpaceDE w:val="0"/>
        <w:autoSpaceDN w:val="0"/>
        <w:adjustRightInd w:val="0"/>
        <w:spacing w:after="120"/>
        <w:jc w:val="both"/>
        <w:rPr>
          <w:rFonts w:cs="Arial"/>
          <w:bCs/>
          <w:color w:val="000000"/>
          <w:szCs w:val="20"/>
          <w:lang w:eastAsia="en-US"/>
        </w:rPr>
      </w:pPr>
      <w:permStart w:id="1057715993" w:edGrp="everyone"/>
      <w:r w:rsidRPr="00C36FF7">
        <w:rPr>
          <w:rFonts w:cs="Arial"/>
          <w:bCs/>
          <w:color w:val="000000"/>
          <w:szCs w:val="20"/>
          <w:lang w:eastAsia="en-US"/>
        </w:rPr>
        <w:t>W</w:t>
      </w:r>
      <w:r w:rsidR="0059190F" w:rsidRPr="00C36FF7">
        <w:rPr>
          <w:rFonts w:cs="Arial"/>
          <w:bCs/>
          <w:color w:val="000000"/>
          <w:szCs w:val="20"/>
          <w:lang w:eastAsia="en-US"/>
        </w:rPr>
        <w:t xml:space="preserve">e are asked to provide views on the </w:t>
      </w:r>
      <w:r w:rsidRPr="00C36FF7">
        <w:rPr>
          <w:rFonts w:cs="Arial"/>
          <w:bCs/>
          <w:color w:val="000000"/>
          <w:szCs w:val="20"/>
          <w:lang w:eastAsia="en-US"/>
        </w:rPr>
        <w:t>first limb of the definition of the provision of a benchmark</w:t>
      </w:r>
      <w:r w:rsidRPr="00C36FF7">
        <w:rPr>
          <w:rStyle w:val="FootnoteReference"/>
          <w:rFonts w:cs="Arial"/>
          <w:b/>
          <w:bCs/>
          <w:color w:val="000000"/>
          <w:szCs w:val="20"/>
          <w:lang w:eastAsia="en-US"/>
        </w:rPr>
        <w:footnoteReference w:id="2"/>
      </w:r>
      <w:r w:rsidR="00974BC8">
        <w:rPr>
          <w:rFonts w:cs="Arial"/>
          <w:bCs/>
          <w:color w:val="000000"/>
          <w:szCs w:val="20"/>
          <w:lang w:eastAsia="en-US"/>
        </w:rPr>
        <w:t xml:space="preserve"> in BMR</w:t>
      </w:r>
      <w:r w:rsidRPr="00C36FF7">
        <w:rPr>
          <w:rFonts w:cs="Arial"/>
          <w:bCs/>
          <w:color w:val="000000"/>
          <w:szCs w:val="20"/>
          <w:lang w:eastAsia="en-US"/>
        </w:rPr>
        <w:t xml:space="preserve">, namely </w:t>
      </w:r>
      <w:r w:rsidR="0059190F" w:rsidRPr="00C36FF7">
        <w:rPr>
          <w:rFonts w:cs="Arial"/>
          <w:bCs/>
          <w:color w:val="000000"/>
          <w:szCs w:val="20"/>
          <w:lang w:eastAsia="en-US"/>
        </w:rPr>
        <w:t xml:space="preserve">"administering the arrangements for determining a benchmark". ESMA considers the requirements for administrators under IOSCO Principle 2, which states that the administrator should retain primary responsibility for all aspects of the Benchmark (development, determination, dissemination, operation and governance) and should remain responsible for the integrity of a benchmark.  In addition, we would point out </w:t>
      </w:r>
      <w:r w:rsidR="0000579C">
        <w:rPr>
          <w:rFonts w:cs="Arial"/>
          <w:bCs/>
          <w:color w:val="000000"/>
          <w:szCs w:val="20"/>
          <w:lang w:eastAsia="en-US"/>
        </w:rPr>
        <w:t>that</w:t>
      </w:r>
      <w:r w:rsidR="0059190F" w:rsidRPr="00C36FF7">
        <w:rPr>
          <w:rFonts w:cs="Arial"/>
          <w:bCs/>
          <w:color w:val="000000"/>
          <w:szCs w:val="20"/>
          <w:lang w:eastAsia="en-US"/>
        </w:rPr>
        <w:t xml:space="preserve"> the </w:t>
      </w:r>
      <w:r w:rsidR="0000579C">
        <w:rPr>
          <w:rFonts w:cs="Arial"/>
          <w:bCs/>
          <w:color w:val="000000"/>
          <w:szCs w:val="20"/>
          <w:lang w:eastAsia="en-US"/>
        </w:rPr>
        <w:t xml:space="preserve">BMR </w:t>
      </w:r>
      <w:r w:rsidR="0059190F" w:rsidRPr="00C36FF7">
        <w:rPr>
          <w:rFonts w:cs="Arial"/>
          <w:bCs/>
          <w:color w:val="000000"/>
          <w:szCs w:val="20"/>
          <w:lang w:eastAsia="en-US"/>
        </w:rPr>
        <w:t>states that any outsourcing (calculating the benchmark, gathering input data, dissemina</w:t>
      </w:r>
      <w:r w:rsidR="0059190F" w:rsidRPr="00C36FF7">
        <w:rPr>
          <w:rFonts w:cs="Arial"/>
          <w:bCs/>
          <w:color w:val="000000"/>
          <w:szCs w:val="20"/>
          <w:lang w:eastAsia="en-US"/>
        </w:rPr>
        <w:t>t</w:t>
      </w:r>
      <w:r w:rsidR="0059190F" w:rsidRPr="00C36FF7">
        <w:rPr>
          <w:rFonts w:cs="Arial"/>
          <w:bCs/>
          <w:color w:val="000000"/>
          <w:szCs w:val="20"/>
          <w:lang w:eastAsia="en-US"/>
        </w:rPr>
        <w:t>ing the benchmark) does not relieve a benchmark administrator of any of its obligations and responsibil</w:t>
      </w:r>
      <w:r w:rsidR="0059190F" w:rsidRPr="00C36FF7">
        <w:rPr>
          <w:rFonts w:cs="Arial"/>
          <w:bCs/>
          <w:color w:val="000000"/>
          <w:szCs w:val="20"/>
          <w:lang w:eastAsia="en-US"/>
        </w:rPr>
        <w:t>i</w:t>
      </w:r>
      <w:r w:rsidR="0059190F" w:rsidRPr="00C36FF7">
        <w:rPr>
          <w:rFonts w:cs="Arial"/>
          <w:bCs/>
          <w:color w:val="000000"/>
          <w:szCs w:val="20"/>
          <w:lang w:eastAsia="en-US"/>
        </w:rPr>
        <w:t xml:space="preserve">ties, and is done in such a way as to interfere with the administrator's ability to meet these obligations and responsibilities or the relevant competent authority's ability to supervise them. </w:t>
      </w:r>
    </w:p>
    <w:p w:rsidR="00D55917" w:rsidRDefault="000B2795" w:rsidP="000B2795">
      <w:pPr>
        <w:autoSpaceDE w:val="0"/>
        <w:autoSpaceDN w:val="0"/>
        <w:adjustRightInd w:val="0"/>
        <w:spacing w:after="120"/>
        <w:jc w:val="both"/>
        <w:rPr>
          <w:rFonts w:cs="Arial"/>
          <w:bCs/>
          <w:color w:val="000000"/>
          <w:szCs w:val="20"/>
        </w:rPr>
      </w:pPr>
      <w:r w:rsidRPr="000D06A7">
        <w:rPr>
          <w:rFonts w:cs="Arial"/>
          <w:bCs/>
          <w:color w:val="000000"/>
          <w:szCs w:val="20"/>
        </w:rPr>
        <w:t xml:space="preserve">We would request clarification on </w:t>
      </w:r>
      <w:r w:rsidR="00D55917">
        <w:rPr>
          <w:rFonts w:cs="Arial"/>
          <w:bCs/>
          <w:color w:val="000000"/>
          <w:szCs w:val="20"/>
        </w:rPr>
        <w:t xml:space="preserve">how to determine </w:t>
      </w:r>
      <w:r w:rsidR="008836C9">
        <w:rPr>
          <w:rFonts w:cs="Arial"/>
          <w:bCs/>
          <w:color w:val="000000"/>
          <w:szCs w:val="20"/>
        </w:rPr>
        <w:t>who the benchmark administrator is</w:t>
      </w:r>
      <w:r w:rsidRPr="000D06A7">
        <w:rPr>
          <w:rFonts w:cs="Arial"/>
          <w:bCs/>
          <w:color w:val="000000"/>
          <w:szCs w:val="20"/>
        </w:rPr>
        <w:t xml:space="preserve">. </w:t>
      </w:r>
      <w:r w:rsidR="008836C9">
        <w:rPr>
          <w:rFonts w:cs="Arial"/>
          <w:bCs/>
          <w:color w:val="000000"/>
          <w:szCs w:val="20"/>
        </w:rPr>
        <w:t xml:space="preserve">We note </w:t>
      </w:r>
      <w:r w:rsidRPr="000D06A7">
        <w:rPr>
          <w:rFonts w:cs="Arial"/>
          <w:bCs/>
          <w:color w:val="000000"/>
          <w:szCs w:val="20"/>
        </w:rPr>
        <w:t xml:space="preserve">an inconsistency running through the drafting of </w:t>
      </w:r>
      <w:r w:rsidR="008836C9">
        <w:rPr>
          <w:rFonts w:cs="Arial"/>
          <w:bCs/>
          <w:color w:val="000000"/>
          <w:szCs w:val="20"/>
        </w:rPr>
        <w:t>BMR</w:t>
      </w:r>
      <w:r w:rsidRPr="000D06A7">
        <w:rPr>
          <w:rFonts w:cs="Arial"/>
          <w:bCs/>
          <w:color w:val="000000"/>
          <w:szCs w:val="20"/>
        </w:rPr>
        <w:t>. Recitals 14, 32 and 47 refer to “the” administrator (indicating a single administrator). Article 3(4) refers to “an” admini</w:t>
      </w:r>
      <w:r w:rsidRPr="000D06A7">
        <w:rPr>
          <w:rFonts w:cs="Arial"/>
          <w:bCs/>
          <w:color w:val="000000"/>
          <w:szCs w:val="20"/>
        </w:rPr>
        <w:t>s</w:t>
      </w:r>
      <w:r w:rsidRPr="000D06A7">
        <w:rPr>
          <w:rFonts w:cs="Arial"/>
          <w:bCs/>
          <w:color w:val="000000"/>
          <w:szCs w:val="20"/>
        </w:rPr>
        <w:t xml:space="preserve">trator (indicating the possibility of more than </w:t>
      </w:r>
      <w:r w:rsidR="0000579C">
        <w:rPr>
          <w:rFonts w:cs="Arial"/>
          <w:bCs/>
          <w:color w:val="000000"/>
          <w:szCs w:val="20"/>
        </w:rPr>
        <w:t xml:space="preserve">one administrator). </w:t>
      </w:r>
      <w:r w:rsidR="00D55917">
        <w:rPr>
          <w:rFonts w:cs="Arial"/>
          <w:bCs/>
          <w:color w:val="000000"/>
          <w:szCs w:val="20"/>
        </w:rPr>
        <w:t>In our view, the following should apply:</w:t>
      </w:r>
    </w:p>
    <w:p w:rsidR="00D55917" w:rsidRPr="00135ABE" w:rsidRDefault="00D55917" w:rsidP="00D55917">
      <w:pPr>
        <w:pStyle w:val="ListParagraph"/>
        <w:numPr>
          <w:ilvl w:val="0"/>
          <w:numId w:val="62"/>
        </w:numPr>
        <w:contextualSpacing w:val="0"/>
        <w:rPr>
          <w:rFonts w:cs="Arial"/>
          <w:szCs w:val="20"/>
        </w:rPr>
      </w:pPr>
      <w:r w:rsidRPr="00135ABE">
        <w:rPr>
          <w:rFonts w:cs="Arial"/>
          <w:bCs/>
          <w:color w:val="000000"/>
          <w:szCs w:val="20"/>
        </w:rPr>
        <w:lastRenderedPageBreak/>
        <w:t>We</w:t>
      </w:r>
      <w:r w:rsidRPr="00135ABE">
        <w:rPr>
          <w:rFonts w:cs="Arial"/>
          <w:szCs w:val="20"/>
        </w:rPr>
        <w:t xml:space="preserve"> </w:t>
      </w:r>
      <w:r w:rsidR="008836C9" w:rsidRPr="00135ABE">
        <w:rPr>
          <w:rFonts w:cs="Arial"/>
          <w:szCs w:val="20"/>
        </w:rPr>
        <w:t>believe there</w:t>
      </w:r>
      <w:r w:rsidRPr="00135ABE">
        <w:rPr>
          <w:rFonts w:cs="Arial"/>
          <w:szCs w:val="20"/>
        </w:rPr>
        <w:t xml:space="preserve"> should only be one administrator</w:t>
      </w:r>
      <w:r w:rsidR="008836C9" w:rsidRPr="00135ABE">
        <w:rPr>
          <w:rFonts w:cs="Arial"/>
          <w:szCs w:val="20"/>
        </w:rPr>
        <w:t xml:space="preserve"> unless there is </w:t>
      </w:r>
      <w:r w:rsidRPr="00135ABE">
        <w:rPr>
          <w:rFonts w:cs="Arial"/>
          <w:szCs w:val="20"/>
        </w:rPr>
        <w:t>a specific agreement b</w:t>
      </w:r>
      <w:r w:rsidRPr="00135ABE">
        <w:rPr>
          <w:rFonts w:cs="Arial"/>
          <w:szCs w:val="20"/>
        </w:rPr>
        <w:t>e</w:t>
      </w:r>
      <w:r w:rsidRPr="00135ABE">
        <w:rPr>
          <w:rFonts w:cs="Arial"/>
          <w:szCs w:val="20"/>
        </w:rPr>
        <w:t>tween two parties to split administrator duties</w:t>
      </w:r>
      <w:r w:rsidR="008836C9" w:rsidRPr="00135ABE">
        <w:rPr>
          <w:rFonts w:cs="Arial"/>
          <w:szCs w:val="20"/>
        </w:rPr>
        <w:t>, in which case they</w:t>
      </w:r>
      <w:r w:rsidRPr="00135ABE">
        <w:rPr>
          <w:rFonts w:cs="Arial"/>
          <w:szCs w:val="20"/>
        </w:rPr>
        <w:t xml:space="preserve"> can be co-administrators</w:t>
      </w:r>
      <w:r w:rsidR="00135ABE">
        <w:rPr>
          <w:rFonts w:cs="Arial"/>
          <w:szCs w:val="20"/>
        </w:rPr>
        <w:t>. I</w:t>
      </w:r>
      <w:r w:rsidRPr="00135ABE">
        <w:rPr>
          <w:rFonts w:cs="Arial"/>
          <w:szCs w:val="20"/>
        </w:rPr>
        <w:t>t would raise too much uncertainty if two parties could be seen as administrator</w:t>
      </w:r>
      <w:r w:rsidR="00135ABE">
        <w:rPr>
          <w:rFonts w:cs="Arial"/>
          <w:szCs w:val="20"/>
        </w:rPr>
        <w:t>s</w:t>
      </w:r>
      <w:r w:rsidRPr="00135ABE">
        <w:rPr>
          <w:rFonts w:cs="Arial"/>
          <w:szCs w:val="20"/>
        </w:rPr>
        <w:t xml:space="preserve"> in the normal course </w:t>
      </w:r>
      <w:r w:rsidR="00135ABE">
        <w:rPr>
          <w:rFonts w:cs="Arial"/>
          <w:szCs w:val="20"/>
        </w:rPr>
        <w:t>of business;</w:t>
      </w:r>
    </w:p>
    <w:p w:rsidR="00D55917" w:rsidRDefault="00D55917" w:rsidP="00D55917">
      <w:pPr>
        <w:pStyle w:val="ListParagraph"/>
        <w:numPr>
          <w:ilvl w:val="0"/>
          <w:numId w:val="62"/>
        </w:numPr>
        <w:contextualSpacing w:val="0"/>
        <w:rPr>
          <w:rFonts w:cs="Arial"/>
          <w:szCs w:val="20"/>
        </w:rPr>
      </w:pPr>
      <w:r>
        <w:rPr>
          <w:rFonts w:cs="Arial"/>
          <w:szCs w:val="20"/>
        </w:rPr>
        <w:t>where an entity designs a methodology, and then transfers control over the determination, dissemination, operation and governance aspects to a third party administrator, that third pa</w:t>
      </w:r>
      <w:r>
        <w:rPr>
          <w:rFonts w:cs="Arial"/>
          <w:szCs w:val="20"/>
        </w:rPr>
        <w:t>r</w:t>
      </w:r>
      <w:r>
        <w:rPr>
          <w:rFonts w:cs="Arial"/>
          <w:szCs w:val="20"/>
        </w:rPr>
        <w:t xml:space="preserve">ty should be seen as </w:t>
      </w:r>
      <w:r w:rsidR="00135ABE">
        <w:rPr>
          <w:rFonts w:cs="Arial"/>
          <w:szCs w:val="20"/>
        </w:rPr>
        <w:t xml:space="preserve">the </w:t>
      </w:r>
      <w:r>
        <w:rPr>
          <w:rFonts w:cs="Arial"/>
          <w:szCs w:val="20"/>
        </w:rPr>
        <w:t>administrator.</w:t>
      </w:r>
    </w:p>
    <w:p w:rsidR="0024655B" w:rsidRDefault="00D55917" w:rsidP="007E3F7B">
      <w:pPr>
        <w:autoSpaceDE w:val="0"/>
        <w:autoSpaceDN w:val="0"/>
        <w:adjustRightInd w:val="0"/>
        <w:spacing w:after="120"/>
        <w:jc w:val="both"/>
        <w:rPr>
          <w:rFonts w:cs="Arial"/>
          <w:bCs/>
          <w:color w:val="000000"/>
          <w:szCs w:val="20"/>
          <w:lang w:eastAsia="en-US"/>
        </w:rPr>
      </w:pPr>
      <w:r>
        <w:rPr>
          <w:rFonts w:cs="Arial"/>
          <w:bCs/>
          <w:color w:val="000000"/>
          <w:szCs w:val="20"/>
          <w:lang w:eastAsia="en-US"/>
        </w:rPr>
        <w:br/>
      </w:r>
      <w:r w:rsidR="008C4C00" w:rsidRPr="00C36FF7">
        <w:rPr>
          <w:rFonts w:cs="Arial"/>
          <w:bCs/>
          <w:color w:val="000000"/>
          <w:szCs w:val="20"/>
          <w:lang w:eastAsia="en-US"/>
        </w:rPr>
        <w:t>We would also like to comment on the third limb of the definition of "provision of a benchmark", namely "</w:t>
      </w:r>
      <w:proofErr w:type="gramStart"/>
      <w:r w:rsidR="008C4C00" w:rsidRPr="00C36FF7">
        <w:rPr>
          <w:rFonts w:cs="Arial"/>
          <w:bCs/>
          <w:color w:val="000000"/>
          <w:szCs w:val="20"/>
          <w:lang w:eastAsia="en-US"/>
        </w:rPr>
        <w:t>determining</w:t>
      </w:r>
      <w:proofErr w:type="gramEnd"/>
      <w:r w:rsidR="008C4C00" w:rsidRPr="00C36FF7">
        <w:rPr>
          <w:rFonts w:cs="Arial"/>
          <w:bCs/>
          <w:color w:val="000000"/>
          <w:szCs w:val="20"/>
          <w:lang w:eastAsia="en-US"/>
        </w:rPr>
        <w:t xml:space="preserve"> a benchmark through the application of a formula or other method of calculation or by an assessment of input data provided for that purpose". </w:t>
      </w:r>
    </w:p>
    <w:p w:rsidR="007E3F7B" w:rsidRPr="0059190F" w:rsidRDefault="0024655B" w:rsidP="007E3F7B">
      <w:pPr>
        <w:autoSpaceDE w:val="0"/>
        <w:autoSpaceDN w:val="0"/>
        <w:adjustRightInd w:val="0"/>
        <w:spacing w:after="120"/>
        <w:jc w:val="both"/>
        <w:rPr>
          <w:rFonts w:cs="Arial"/>
          <w:bCs/>
          <w:color w:val="000000"/>
          <w:szCs w:val="20"/>
          <w:lang w:eastAsia="en-US"/>
        </w:rPr>
      </w:pPr>
      <w:r w:rsidRPr="00C36FF7">
        <w:rPr>
          <w:rFonts w:cs="Arial"/>
          <w:bCs/>
          <w:color w:val="000000"/>
          <w:szCs w:val="20"/>
          <w:lang w:eastAsia="en-US"/>
        </w:rPr>
        <w:t>It should be made clear that a person is not the administrator of a benchmark where a financial instrument</w:t>
      </w:r>
      <w:r w:rsidR="00263EFF" w:rsidRPr="00C36FF7">
        <w:rPr>
          <w:rFonts w:cs="Arial"/>
          <w:bCs/>
          <w:color w:val="000000"/>
          <w:szCs w:val="20"/>
          <w:lang w:eastAsia="en-US"/>
        </w:rPr>
        <w:t xml:space="preserve"> or financial contract or investment fund</w:t>
      </w:r>
      <w:r w:rsidRPr="00C36FF7">
        <w:rPr>
          <w:rFonts w:cs="Arial"/>
          <w:bCs/>
          <w:color w:val="000000"/>
          <w:szCs w:val="20"/>
          <w:lang w:eastAsia="en-US"/>
        </w:rPr>
        <w:t xml:space="preserve"> references a figure </w:t>
      </w:r>
      <w:r w:rsidR="00263EFF" w:rsidRPr="00C36FF7">
        <w:rPr>
          <w:rFonts w:cs="Arial"/>
          <w:bCs/>
          <w:color w:val="000000"/>
          <w:szCs w:val="20"/>
          <w:lang w:eastAsia="en-US"/>
        </w:rPr>
        <w:t>that combines</w:t>
      </w:r>
      <w:r w:rsidRPr="00C36FF7">
        <w:rPr>
          <w:rFonts w:cs="Arial"/>
          <w:bCs/>
          <w:color w:val="000000"/>
          <w:szCs w:val="20"/>
          <w:lang w:eastAsia="en-US"/>
        </w:rPr>
        <w:t xml:space="preserve"> existing benchmark</w:t>
      </w:r>
      <w:r w:rsidR="00263EFF" w:rsidRPr="00C36FF7">
        <w:rPr>
          <w:rFonts w:cs="Arial"/>
          <w:bCs/>
          <w:color w:val="000000"/>
          <w:szCs w:val="20"/>
          <w:lang w:eastAsia="en-US"/>
        </w:rPr>
        <w:t>s</w:t>
      </w:r>
      <w:r w:rsidR="00294C2C">
        <w:rPr>
          <w:rFonts w:cs="Arial"/>
          <w:bCs/>
          <w:color w:val="000000"/>
          <w:szCs w:val="20"/>
          <w:lang w:eastAsia="en-US"/>
        </w:rPr>
        <w:t xml:space="preserve"> (blended benchmarks) or makes a simple arithmetic change to a formula (LIBOR + 2%)</w:t>
      </w:r>
      <w:r w:rsidRPr="00C36FF7">
        <w:rPr>
          <w:rFonts w:cs="Arial"/>
          <w:bCs/>
          <w:color w:val="000000"/>
          <w:szCs w:val="20"/>
          <w:lang w:eastAsia="en-US"/>
        </w:rPr>
        <w:t xml:space="preserve">. This should </w:t>
      </w:r>
      <w:r w:rsidR="00263EFF" w:rsidRPr="00C36FF7">
        <w:rPr>
          <w:rFonts w:cs="Arial"/>
          <w:bCs/>
          <w:color w:val="000000"/>
          <w:szCs w:val="20"/>
          <w:lang w:eastAsia="en-US"/>
        </w:rPr>
        <w:t>be classified as</w:t>
      </w:r>
      <w:r w:rsidRPr="00C36FF7">
        <w:rPr>
          <w:rFonts w:cs="Arial"/>
          <w:bCs/>
          <w:color w:val="000000"/>
          <w:szCs w:val="20"/>
          <w:lang w:eastAsia="en-US"/>
        </w:rPr>
        <w:t xml:space="preserve"> "use" of a benchmark. </w:t>
      </w:r>
      <w:r w:rsidR="00263EFF" w:rsidRPr="00C36FF7">
        <w:rPr>
          <w:rFonts w:cs="Arial"/>
          <w:bCs/>
          <w:color w:val="000000"/>
          <w:szCs w:val="20"/>
          <w:lang w:eastAsia="en-US"/>
        </w:rPr>
        <w:t>W</w:t>
      </w:r>
      <w:r w:rsidRPr="00C36FF7">
        <w:rPr>
          <w:rFonts w:cs="Arial"/>
          <w:bCs/>
          <w:color w:val="000000"/>
          <w:szCs w:val="20"/>
          <w:lang w:eastAsia="en-US"/>
        </w:rPr>
        <w:t>e</w:t>
      </w:r>
      <w:r w:rsidR="007E3F7B" w:rsidRPr="00C36FF7">
        <w:rPr>
          <w:rFonts w:cs="Arial"/>
          <w:bCs/>
          <w:color w:val="000000"/>
          <w:szCs w:val="20"/>
          <w:lang w:eastAsia="en-US"/>
        </w:rPr>
        <w:t xml:space="preserve"> do not agree</w:t>
      </w:r>
      <w:r w:rsidRPr="00C36FF7">
        <w:rPr>
          <w:rFonts w:cs="Arial"/>
          <w:bCs/>
          <w:color w:val="000000"/>
          <w:szCs w:val="20"/>
          <w:lang w:eastAsia="en-US"/>
        </w:rPr>
        <w:t xml:space="preserve"> with ESMA's view at the Open Hearing</w:t>
      </w:r>
      <w:r w:rsidR="005E62D6" w:rsidRPr="00C36FF7">
        <w:rPr>
          <w:rStyle w:val="FootnoteReference"/>
          <w:rFonts w:cs="Arial"/>
          <w:bCs/>
          <w:color w:val="000000"/>
          <w:szCs w:val="20"/>
          <w:lang w:eastAsia="en-US"/>
        </w:rPr>
        <w:footnoteReference w:id="3"/>
      </w:r>
      <w:r w:rsidR="007E3F7B" w:rsidRPr="00C36FF7">
        <w:rPr>
          <w:rFonts w:cs="Arial"/>
          <w:bCs/>
          <w:color w:val="000000"/>
          <w:szCs w:val="20"/>
          <w:lang w:eastAsia="en-US"/>
        </w:rPr>
        <w:t xml:space="preserve"> that the change in currency of reference would constitute a provision of a </w:t>
      </w:r>
      <w:r w:rsidR="00F20DEE">
        <w:rPr>
          <w:rFonts w:cs="Arial"/>
          <w:bCs/>
          <w:color w:val="000000"/>
          <w:szCs w:val="20"/>
          <w:lang w:eastAsia="en-US"/>
        </w:rPr>
        <w:t xml:space="preserve">new </w:t>
      </w:r>
      <w:r w:rsidR="007E3F7B" w:rsidRPr="00C36FF7">
        <w:rPr>
          <w:rFonts w:cs="Arial"/>
          <w:bCs/>
          <w:color w:val="000000"/>
          <w:szCs w:val="20"/>
          <w:lang w:eastAsia="en-US"/>
        </w:rPr>
        <w:t>benchmark</w:t>
      </w:r>
      <w:r w:rsidR="007E3F7B" w:rsidRPr="0059190F">
        <w:rPr>
          <w:rFonts w:cs="Arial"/>
          <w:bCs/>
          <w:color w:val="000000"/>
          <w:szCs w:val="20"/>
          <w:lang w:eastAsia="en-US"/>
        </w:rPr>
        <w:t>.</w:t>
      </w:r>
    </w:p>
    <w:permEnd w:id="1057715993"/>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834171" w:rsidRPr="000D06A7" w:rsidRDefault="00834171" w:rsidP="00C773FC">
      <w:pPr>
        <w:numPr>
          <w:ilvl w:val="0"/>
          <w:numId w:val="54"/>
        </w:numPr>
        <w:rPr>
          <w:szCs w:val="20"/>
        </w:rPr>
      </w:pPr>
      <w:permStart w:id="1754677474" w:edGrp="everyone"/>
      <w:r w:rsidRPr="000D06A7">
        <w:rPr>
          <w:szCs w:val="20"/>
        </w:rPr>
        <w:t>The definition of “issuance of a financial instrument” should be aligned with other well established regulatory requirements and market practices across the EU.</w:t>
      </w:r>
    </w:p>
    <w:p w:rsidR="00834171" w:rsidRPr="00F32938" w:rsidRDefault="00834171" w:rsidP="00834171">
      <w:pPr>
        <w:numPr>
          <w:ilvl w:val="0"/>
          <w:numId w:val="54"/>
        </w:numPr>
        <w:rPr>
          <w:szCs w:val="20"/>
        </w:rPr>
      </w:pPr>
      <w:r w:rsidRPr="00C36FF7">
        <w:rPr>
          <w:szCs w:val="20"/>
        </w:rPr>
        <w:t>We are concerned with ESMA's broad interpretation of issuance in paragraph 30 of the Discu</w:t>
      </w:r>
      <w:r w:rsidRPr="00C36FF7">
        <w:rPr>
          <w:szCs w:val="20"/>
        </w:rPr>
        <w:t>s</w:t>
      </w:r>
      <w:r w:rsidRPr="00C36FF7">
        <w:rPr>
          <w:szCs w:val="20"/>
        </w:rPr>
        <w:t>sion Paper where issuance is deemed to</w:t>
      </w:r>
      <w:r w:rsidR="0000579C">
        <w:rPr>
          <w:szCs w:val="20"/>
        </w:rPr>
        <w:t xml:space="preserve"> be</w:t>
      </w:r>
      <w:r w:rsidRPr="00C36FF7">
        <w:rPr>
          <w:szCs w:val="20"/>
        </w:rPr>
        <w:t xml:space="preserve"> the "act of creating a financial instrument which refe</w:t>
      </w:r>
      <w:r w:rsidRPr="00C36FF7">
        <w:rPr>
          <w:szCs w:val="20"/>
        </w:rPr>
        <w:t>r</w:t>
      </w:r>
      <w:r w:rsidRPr="00C36FF7">
        <w:rPr>
          <w:szCs w:val="20"/>
        </w:rPr>
        <w:t>ences an index or a combination of indices for the purpose of offering such instruments to third parties or of entering into reciprocal contracts with third parties, with the aim to seek financial r</w:t>
      </w:r>
      <w:r w:rsidRPr="00C36FF7">
        <w:rPr>
          <w:szCs w:val="20"/>
        </w:rPr>
        <w:t>e</w:t>
      </w:r>
      <w:r w:rsidRPr="00C36FF7">
        <w:rPr>
          <w:szCs w:val="20"/>
        </w:rPr>
        <w:t>sources or other aims".  In line with the Level 1 text, we do not believe that private equity issuan</w:t>
      </w:r>
      <w:r w:rsidRPr="00C36FF7">
        <w:rPr>
          <w:szCs w:val="20"/>
        </w:rPr>
        <w:t>c</w:t>
      </w:r>
      <w:r w:rsidRPr="00C36FF7">
        <w:rPr>
          <w:szCs w:val="20"/>
        </w:rPr>
        <w:t>es, for example, should be within scope of the definition of a financial instrument under the Reg</w:t>
      </w:r>
      <w:r w:rsidRPr="00C36FF7">
        <w:rPr>
          <w:szCs w:val="20"/>
        </w:rPr>
        <w:t>u</w:t>
      </w:r>
      <w:r w:rsidRPr="00C36FF7">
        <w:rPr>
          <w:szCs w:val="20"/>
        </w:rPr>
        <w:t xml:space="preserve">lation.  </w:t>
      </w:r>
    </w:p>
    <w:p w:rsidR="00C773FC" w:rsidRPr="00C36FF7" w:rsidRDefault="00974BC8" w:rsidP="00C773FC">
      <w:pPr>
        <w:numPr>
          <w:ilvl w:val="0"/>
          <w:numId w:val="54"/>
        </w:numPr>
        <w:rPr>
          <w:szCs w:val="20"/>
        </w:rPr>
      </w:pPr>
      <w:r>
        <w:rPr>
          <w:szCs w:val="20"/>
          <w:lang w:val="en-US"/>
        </w:rPr>
        <w:t>Financial instrument under BMR</w:t>
      </w:r>
      <w:r w:rsidR="00C773FC" w:rsidRPr="00C36FF7">
        <w:rPr>
          <w:szCs w:val="20"/>
          <w:lang w:val="en-US"/>
        </w:rPr>
        <w:t xml:space="preserve"> is defined as any of the instruments listed in Section C of Annex 1 of </w:t>
      </w:r>
      <w:proofErr w:type="spellStart"/>
      <w:r w:rsidR="00C773FC" w:rsidRPr="00C36FF7">
        <w:rPr>
          <w:szCs w:val="20"/>
          <w:lang w:val="en-US"/>
        </w:rPr>
        <w:t>MiFID</w:t>
      </w:r>
      <w:proofErr w:type="spellEnd"/>
      <w:r w:rsidR="00C773FC" w:rsidRPr="00C36FF7">
        <w:rPr>
          <w:szCs w:val="20"/>
          <w:lang w:val="en-US"/>
        </w:rPr>
        <w:t xml:space="preserve"> II, for which a request for admission to trading on a trading venue (as defined in </w:t>
      </w:r>
      <w:proofErr w:type="spellStart"/>
      <w:r w:rsidR="00C773FC" w:rsidRPr="00C36FF7">
        <w:rPr>
          <w:szCs w:val="20"/>
          <w:lang w:val="en-US"/>
        </w:rPr>
        <w:t>MiFID</w:t>
      </w:r>
      <w:proofErr w:type="spellEnd"/>
      <w:r w:rsidR="00C773FC" w:rsidRPr="00C36FF7">
        <w:rPr>
          <w:szCs w:val="20"/>
          <w:lang w:val="en-US"/>
        </w:rPr>
        <w:t xml:space="preserve"> II) has been made or which are traded on a trading venue or on a systematic </w:t>
      </w:r>
      <w:proofErr w:type="spellStart"/>
      <w:r w:rsidR="00C773FC" w:rsidRPr="00C36FF7">
        <w:rPr>
          <w:szCs w:val="20"/>
          <w:lang w:val="en-US"/>
        </w:rPr>
        <w:t>internaliser</w:t>
      </w:r>
      <w:proofErr w:type="spellEnd"/>
      <w:r w:rsidR="00C773FC" w:rsidRPr="00C36FF7">
        <w:rPr>
          <w:szCs w:val="20"/>
          <w:lang w:val="en-US"/>
        </w:rPr>
        <w:t xml:space="preserve"> (as d</w:t>
      </w:r>
      <w:r w:rsidR="00C773FC" w:rsidRPr="00C36FF7">
        <w:rPr>
          <w:szCs w:val="20"/>
          <w:lang w:val="en-US"/>
        </w:rPr>
        <w:t>e</w:t>
      </w:r>
      <w:r w:rsidR="00C773FC" w:rsidRPr="00C36FF7">
        <w:rPr>
          <w:szCs w:val="20"/>
          <w:lang w:val="en-US"/>
        </w:rPr>
        <w:t xml:space="preserve">fined in </w:t>
      </w:r>
      <w:proofErr w:type="spellStart"/>
      <w:r w:rsidR="00C773FC" w:rsidRPr="00C36FF7">
        <w:rPr>
          <w:szCs w:val="20"/>
          <w:lang w:val="en-US"/>
        </w:rPr>
        <w:t>MiFID</w:t>
      </w:r>
      <w:proofErr w:type="spellEnd"/>
      <w:r w:rsidR="00C773FC" w:rsidRPr="00C36FF7">
        <w:rPr>
          <w:szCs w:val="20"/>
          <w:lang w:val="en-US"/>
        </w:rPr>
        <w:t xml:space="preserve"> II). W</w:t>
      </w:r>
      <w:r w:rsidR="00263EFF" w:rsidRPr="00C36FF7">
        <w:rPr>
          <w:szCs w:val="20"/>
          <w:lang w:val="en-US"/>
        </w:rPr>
        <w:t xml:space="preserve">e support aligning </w:t>
      </w:r>
      <w:r w:rsidR="00C773FC" w:rsidRPr="00C36FF7">
        <w:rPr>
          <w:szCs w:val="20"/>
          <w:lang w:val="en-US"/>
        </w:rPr>
        <w:t>the interpretation of a financial instrument in line with co</w:t>
      </w:r>
      <w:r w:rsidR="00C773FC" w:rsidRPr="00C36FF7">
        <w:rPr>
          <w:szCs w:val="20"/>
          <w:lang w:val="en-US"/>
        </w:rPr>
        <w:t>m</w:t>
      </w:r>
      <w:r w:rsidR="00C773FC" w:rsidRPr="00C36FF7">
        <w:rPr>
          <w:szCs w:val="20"/>
          <w:lang w:val="en-US"/>
        </w:rPr>
        <w:t xml:space="preserve">parable concepts in </w:t>
      </w:r>
      <w:proofErr w:type="spellStart"/>
      <w:r w:rsidR="00263EFF" w:rsidRPr="00C36FF7">
        <w:rPr>
          <w:szCs w:val="20"/>
          <w:lang w:val="en-US"/>
        </w:rPr>
        <w:t>MiFID</w:t>
      </w:r>
      <w:proofErr w:type="spellEnd"/>
      <w:r w:rsidR="00263EFF" w:rsidRPr="00C36FF7">
        <w:rPr>
          <w:szCs w:val="20"/>
          <w:lang w:val="en-US"/>
        </w:rPr>
        <w:t xml:space="preserve"> II</w:t>
      </w:r>
      <w:r w:rsidR="00C773FC" w:rsidRPr="00C36FF7">
        <w:rPr>
          <w:szCs w:val="20"/>
          <w:lang w:val="en-US"/>
        </w:rPr>
        <w:t xml:space="preserve">. However, we need to clarify the reference to systematic </w:t>
      </w:r>
      <w:proofErr w:type="spellStart"/>
      <w:r w:rsidR="00C773FC" w:rsidRPr="00C36FF7">
        <w:rPr>
          <w:szCs w:val="20"/>
          <w:lang w:val="en-US"/>
        </w:rPr>
        <w:t>internaliser</w:t>
      </w:r>
      <w:proofErr w:type="spellEnd"/>
      <w:r w:rsidR="00C773FC" w:rsidRPr="00C36FF7">
        <w:rPr>
          <w:szCs w:val="20"/>
          <w:lang w:val="en-US"/>
        </w:rPr>
        <w:t xml:space="preserve"> further.  In particular:</w:t>
      </w:r>
    </w:p>
    <w:p w:rsidR="00C773FC" w:rsidRPr="00C36FF7" w:rsidRDefault="00C773FC" w:rsidP="00C773FC">
      <w:pPr>
        <w:ind w:left="2127"/>
        <w:rPr>
          <w:szCs w:val="20"/>
        </w:rPr>
      </w:pPr>
    </w:p>
    <w:p w:rsidR="00C773FC" w:rsidRPr="00C36FF7" w:rsidRDefault="00C773FC" w:rsidP="00C773FC">
      <w:pPr>
        <w:numPr>
          <w:ilvl w:val="0"/>
          <w:numId w:val="61"/>
        </w:numPr>
        <w:tabs>
          <w:tab w:val="clear" w:pos="720"/>
          <w:tab w:val="num" w:pos="1429"/>
        </w:tabs>
        <w:ind w:left="1429"/>
        <w:rPr>
          <w:szCs w:val="20"/>
        </w:rPr>
      </w:pPr>
      <w:r w:rsidRPr="00C36FF7">
        <w:rPr>
          <w:rFonts w:eastAsia="Calibri"/>
          <w:szCs w:val="20"/>
        </w:rPr>
        <w:t>It should be also made clea</w:t>
      </w:r>
      <w:r w:rsidR="00974BC8">
        <w:rPr>
          <w:rFonts w:eastAsia="Calibri"/>
          <w:szCs w:val="20"/>
        </w:rPr>
        <w:t>r that the obligations under BMR</w:t>
      </w:r>
      <w:r w:rsidRPr="00C36FF7">
        <w:rPr>
          <w:rFonts w:eastAsia="Calibri"/>
          <w:szCs w:val="20"/>
        </w:rPr>
        <w:t xml:space="preserve"> only apply in relation to i</w:t>
      </w:r>
      <w:r w:rsidRPr="00C36FF7">
        <w:rPr>
          <w:rFonts w:eastAsia="Calibri"/>
          <w:szCs w:val="20"/>
        </w:rPr>
        <w:t>n</w:t>
      </w:r>
      <w:r w:rsidRPr="00C36FF7">
        <w:rPr>
          <w:rFonts w:eastAsia="Calibri"/>
          <w:szCs w:val="20"/>
        </w:rPr>
        <w:t xml:space="preserve">struments traded on a systematic </w:t>
      </w:r>
      <w:proofErr w:type="spellStart"/>
      <w:r w:rsidRPr="00C36FF7">
        <w:rPr>
          <w:rFonts w:eastAsia="Calibri"/>
          <w:szCs w:val="20"/>
        </w:rPr>
        <w:t>internaliser</w:t>
      </w:r>
      <w:proofErr w:type="spellEnd"/>
      <w:r w:rsidRPr="00C36FF7">
        <w:rPr>
          <w:rFonts w:eastAsia="Calibri"/>
          <w:szCs w:val="20"/>
        </w:rPr>
        <w:t xml:space="preserve"> </w:t>
      </w:r>
      <w:r w:rsidRPr="00C36FF7">
        <w:rPr>
          <w:rFonts w:eastAsia="Calibri"/>
          <w:szCs w:val="20"/>
          <w:u w:val="single"/>
        </w:rPr>
        <w:t xml:space="preserve">where the same instrument is also "traded on a trading venue".  </w:t>
      </w:r>
      <w:r w:rsidRPr="00C36FF7">
        <w:rPr>
          <w:rFonts w:eastAsia="Calibri"/>
          <w:szCs w:val="20"/>
        </w:rPr>
        <w:t xml:space="preserve">Even though the definition of a "systematic </w:t>
      </w:r>
      <w:proofErr w:type="spellStart"/>
      <w:r w:rsidRPr="00C36FF7">
        <w:rPr>
          <w:rFonts w:eastAsia="Calibri"/>
          <w:szCs w:val="20"/>
        </w:rPr>
        <w:t>internaliser</w:t>
      </w:r>
      <w:proofErr w:type="spellEnd"/>
      <w:r w:rsidRPr="00C36FF7">
        <w:rPr>
          <w:rFonts w:eastAsia="Calibri"/>
          <w:szCs w:val="20"/>
        </w:rPr>
        <w:t>" is not expli</w:t>
      </w:r>
      <w:r w:rsidRPr="00C36FF7">
        <w:rPr>
          <w:rFonts w:eastAsia="Calibri"/>
          <w:szCs w:val="20"/>
        </w:rPr>
        <w:t>c</w:t>
      </w:r>
      <w:r w:rsidRPr="00C36FF7">
        <w:rPr>
          <w:rFonts w:eastAsia="Calibri"/>
          <w:szCs w:val="20"/>
        </w:rPr>
        <w:t>itly limited in this way, it is cl</w:t>
      </w:r>
      <w:r w:rsidR="0000579C">
        <w:rPr>
          <w:rFonts w:eastAsia="Calibri"/>
          <w:szCs w:val="20"/>
        </w:rPr>
        <w:t xml:space="preserve">ear that the intention of </w:t>
      </w:r>
      <w:proofErr w:type="spellStart"/>
      <w:r w:rsidR="0000579C">
        <w:rPr>
          <w:rFonts w:eastAsia="Calibri"/>
          <w:szCs w:val="20"/>
        </w:rPr>
        <w:t>MiFID</w:t>
      </w:r>
      <w:proofErr w:type="spellEnd"/>
      <w:r w:rsidR="0000579C">
        <w:rPr>
          <w:rFonts w:eastAsia="Calibri"/>
          <w:szCs w:val="20"/>
        </w:rPr>
        <w:t xml:space="preserve"> II</w:t>
      </w:r>
      <w:r w:rsidRPr="00C36FF7">
        <w:rPr>
          <w:rFonts w:eastAsia="Calibri"/>
          <w:szCs w:val="20"/>
        </w:rPr>
        <w:t xml:space="preserve"> was to cover systematic </w:t>
      </w:r>
      <w:proofErr w:type="spellStart"/>
      <w:r w:rsidRPr="00C36FF7">
        <w:rPr>
          <w:rFonts w:eastAsia="Calibri"/>
          <w:szCs w:val="20"/>
        </w:rPr>
        <w:t>i</w:t>
      </w:r>
      <w:r w:rsidRPr="00C36FF7">
        <w:rPr>
          <w:rFonts w:eastAsia="Calibri"/>
          <w:szCs w:val="20"/>
        </w:rPr>
        <w:t>n</w:t>
      </w:r>
      <w:r w:rsidRPr="00C36FF7">
        <w:rPr>
          <w:rFonts w:eastAsia="Calibri"/>
          <w:szCs w:val="20"/>
        </w:rPr>
        <w:t>ternalisers</w:t>
      </w:r>
      <w:proofErr w:type="spellEnd"/>
      <w:r w:rsidRPr="00C36FF7">
        <w:rPr>
          <w:rFonts w:eastAsia="Calibri"/>
          <w:szCs w:val="20"/>
        </w:rPr>
        <w:t xml:space="preserve"> that trade on own account "outside a [trading venue]" in instruments that are also "traded on a trading venue". The primary function of the definition of a "systematic </w:t>
      </w:r>
      <w:proofErr w:type="spellStart"/>
      <w:r w:rsidRPr="00C36FF7">
        <w:rPr>
          <w:rFonts w:eastAsia="Calibri"/>
          <w:szCs w:val="20"/>
        </w:rPr>
        <w:t>i</w:t>
      </w:r>
      <w:r w:rsidRPr="00C36FF7">
        <w:rPr>
          <w:rFonts w:eastAsia="Calibri"/>
          <w:szCs w:val="20"/>
        </w:rPr>
        <w:t>n</w:t>
      </w:r>
      <w:r w:rsidRPr="00C36FF7">
        <w:rPr>
          <w:rFonts w:eastAsia="Calibri"/>
          <w:szCs w:val="20"/>
        </w:rPr>
        <w:t>ter</w:t>
      </w:r>
      <w:r w:rsidR="0000579C">
        <w:rPr>
          <w:rFonts w:eastAsia="Calibri"/>
          <w:szCs w:val="20"/>
        </w:rPr>
        <w:t>naliser</w:t>
      </w:r>
      <w:proofErr w:type="spellEnd"/>
      <w:r w:rsidR="0000579C">
        <w:rPr>
          <w:rFonts w:eastAsia="Calibri"/>
          <w:szCs w:val="20"/>
        </w:rPr>
        <w:t xml:space="preserve">" under </w:t>
      </w:r>
      <w:proofErr w:type="spellStart"/>
      <w:r w:rsidR="0000579C">
        <w:rPr>
          <w:rFonts w:eastAsia="Calibri"/>
          <w:szCs w:val="20"/>
        </w:rPr>
        <w:t>MiFID</w:t>
      </w:r>
      <w:proofErr w:type="spellEnd"/>
      <w:r w:rsidR="0000579C">
        <w:rPr>
          <w:rFonts w:eastAsia="Calibri"/>
          <w:szCs w:val="20"/>
        </w:rPr>
        <w:t xml:space="preserve"> II </w:t>
      </w:r>
      <w:r w:rsidRPr="00C36FF7">
        <w:rPr>
          <w:rFonts w:eastAsia="Calibri"/>
          <w:szCs w:val="20"/>
        </w:rPr>
        <w:t>/</w:t>
      </w:r>
      <w:r w:rsidR="0000579C">
        <w:rPr>
          <w:rFonts w:eastAsia="Calibri"/>
          <w:szCs w:val="20"/>
        </w:rPr>
        <w:t xml:space="preserve"> </w:t>
      </w:r>
      <w:proofErr w:type="spellStart"/>
      <w:r w:rsidRPr="00C36FF7">
        <w:rPr>
          <w:rFonts w:eastAsia="Calibri"/>
          <w:szCs w:val="20"/>
        </w:rPr>
        <w:t>MiFIR</w:t>
      </w:r>
      <w:proofErr w:type="spellEnd"/>
      <w:r w:rsidRPr="00C36FF7">
        <w:rPr>
          <w:rFonts w:eastAsia="Calibri"/>
          <w:szCs w:val="20"/>
        </w:rPr>
        <w:t xml:space="preserve"> is to impose obligations on systematic </w:t>
      </w:r>
      <w:proofErr w:type="spellStart"/>
      <w:r w:rsidRPr="00C36FF7">
        <w:rPr>
          <w:rFonts w:eastAsia="Calibri"/>
          <w:szCs w:val="20"/>
        </w:rPr>
        <w:t>internalisers</w:t>
      </w:r>
      <w:proofErr w:type="spellEnd"/>
      <w:r w:rsidRPr="00C36FF7">
        <w:rPr>
          <w:rFonts w:eastAsia="Calibri"/>
          <w:szCs w:val="20"/>
        </w:rPr>
        <w:t xml:space="preserve"> that trade outside a trading venue in instruments where the same instrument is also traded on a trading venue (see Articles 14 and 18 </w:t>
      </w:r>
      <w:proofErr w:type="spellStart"/>
      <w:r w:rsidRPr="00C36FF7">
        <w:rPr>
          <w:rFonts w:eastAsia="Calibri"/>
          <w:szCs w:val="20"/>
        </w:rPr>
        <w:t>MiFIR</w:t>
      </w:r>
      <w:proofErr w:type="spellEnd"/>
      <w:r w:rsidRPr="00C36FF7">
        <w:rPr>
          <w:rFonts w:eastAsia="Calibri"/>
          <w:szCs w:val="20"/>
        </w:rPr>
        <w:t>). Many of</w:t>
      </w:r>
      <w:r w:rsidR="0000579C">
        <w:rPr>
          <w:rFonts w:eastAsia="Calibri"/>
          <w:szCs w:val="20"/>
        </w:rPr>
        <w:t xml:space="preserve"> the other obligations in </w:t>
      </w:r>
      <w:proofErr w:type="spellStart"/>
      <w:r w:rsidR="0000579C">
        <w:rPr>
          <w:rFonts w:eastAsia="Calibri"/>
          <w:szCs w:val="20"/>
        </w:rPr>
        <w:t>MiFID</w:t>
      </w:r>
      <w:proofErr w:type="spellEnd"/>
      <w:r w:rsidR="0000579C">
        <w:rPr>
          <w:rFonts w:eastAsia="Calibri"/>
          <w:szCs w:val="20"/>
        </w:rPr>
        <w:t xml:space="preserve"> II</w:t>
      </w:r>
      <w:r w:rsidRPr="00C36FF7">
        <w:rPr>
          <w:rFonts w:eastAsia="Calibri"/>
          <w:szCs w:val="20"/>
        </w:rPr>
        <w:t xml:space="preserve"> </w:t>
      </w:r>
      <w:r w:rsidRPr="00C36FF7">
        <w:rPr>
          <w:rFonts w:eastAsia="Calibri"/>
          <w:szCs w:val="20"/>
        </w:rPr>
        <w:lastRenderedPageBreak/>
        <w:t xml:space="preserve">only make sense if the definition of a systematic </w:t>
      </w:r>
      <w:proofErr w:type="spellStart"/>
      <w:r w:rsidRPr="00C36FF7">
        <w:rPr>
          <w:rFonts w:eastAsia="Calibri"/>
          <w:szCs w:val="20"/>
        </w:rPr>
        <w:t>internaliser</w:t>
      </w:r>
      <w:proofErr w:type="spellEnd"/>
      <w:r w:rsidRPr="00C36FF7">
        <w:rPr>
          <w:rFonts w:eastAsia="Calibri"/>
          <w:szCs w:val="20"/>
        </w:rPr>
        <w:t xml:space="preserve"> is interpreted in this way.</w:t>
      </w:r>
      <w:r w:rsidRPr="00C36FF7">
        <w:rPr>
          <w:rFonts w:eastAsia="Calibri"/>
          <w:szCs w:val="20"/>
          <w:vertAlign w:val="superscript"/>
        </w:rPr>
        <w:t xml:space="preserve"> </w:t>
      </w:r>
      <w:r w:rsidRPr="00C36FF7">
        <w:rPr>
          <w:rFonts w:eastAsia="Calibri"/>
          <w:szCs w:val="20"/>
        </w:rPr>
        <w:t xml:space="preserve">In addition, it would be practically impossible for investment firms to determine whether they are a systematic </w:t>
      </w:r>
      <w:proofErr w:type="spellStart"/>
      <w:r w:rsidRPr="00C36FF7">
        <w:rPr>
          <w:rFonts w:eastAsia="Calibri"/>
          <w:szCs w:val="20"/>
        </w:rPr>
        <w:t>internaliser</w:t>
      </w:r>
      <w:proofErr w:type="spellEnd"/>
      <w:r w:rsidRPr="00C36FF7">
        <w:rPr>
          <w:rFonts w:eastAsia="Calibri"/>
          <w:szCs w:val="20"/>
        </w:rPr>
        <w:t xml:space="preserve"> in relation to instruments that are not also "traded on a tra</w:t>
      </w:r>
      <w:r w:rsidRPr="00C36FF7">
        <w:rPr>
          <w:rFonts w:eastAsia="Calibri"/>
          <w:szCs w:val="20"/>
        </w:rPr>
        <w:t>d</w:t>
      </w:r>
      <w:r w:rsidRPr="00C36FF7">
        <w:rPr>
          <w:rFonts w:eastAsia="Calibri"/>
          <w:szCs w:val="20"/>
        </w:rPr>
        <w:t>ing venue" because they need to obtain information on the total number and volume of trades in the instrument in question in the EU in order to make that determination (see A</w:t>
      </w:r>
      <w:r w:rsidRPr="00C36FF7">
        <w:rPr>
          <w:rFonts w:eastAsia="Calibri"/>
          <w:szCs w:val="20"/>
        </w:rPr>
        <w:t>r</w:t>
      </w:r>
      <w:r w:rsidR="0000579C">
        <w:rPr>
          <w:rFonts w:eastAsia="Calibri"/>
          <w:szCs w:val="20"/>
        </w:rPr>
        <w:t xml:space="preserve">ticle 4(1) (20) </w:t>
      </w:r>
      <w:proofErr w:type="spellStart"/>
      <w:r w:rsidR="0000579C">
        <w:rPr>
          <w:rFonts w:eastAsia="Calibri"/>
          <w:szCs w:val="20"/>
        </w:rPr>
        <w:t>MiFID</w:t>
      </w:r>
      <w:proofErr w:type="spellEnd"/>
      <w:r w:rsidR="0000579C">
        <w:rPr>
          <w:rFonts w:eastAsia="Calibri"/>
          <w:szCs w:val="20"/>
        </w:rPr>
        <w:t xml:space="preserve"> II</w:t>
      </w:r>
      <w:r w:rsidRPr="00C36FF7">
        <w:rPr>
          <w:rFonts w:eastAsia="Calibri"/>
          <w:szCs w:val="20"/>
        </w:rPr>
        <w:t xml:space="preserve"> and the proposed delegated acts under that provision). Under the post-trade transparency regime in </w:t>
      </w:r>
      <w:proofErr w:type="spellStart"/>
      <w:r w:rsidRPr="00C36FF7">
        <w:rPr>
          <w:rFonts w:eastAsia="Calibri"/>
          <w:szCs w:val="20"/>
        </w:rPr>
        <w:t>MiFIR</w:t>
      </w:r>
      <w:proofErr w:type="spellEnd"/>
      <w:r w:rsidRPr="00C36FF7">
        <w:rPr>
          <w:rFonts w:eastAsia="Calibri"/>
          <w:szCs w:val="20"/>
        </w:rPr>
        <w:t>, such information is only publicly available in r</w:t>
      </w:r>
      <w:r w:rsidRPr="00C36FF7">
        <w:rPr>
          <w:rFonts w:eastAsia="Calibri"/>
          <w:szCs w:val="20"/>
        </w:rPr>
        <w:t>e</w:t>
      </w:r>
      <w:r w:rsidRPr="00C36FF7">
        <w:rPr>
          <w:rFonts w:eastAsia="Calibri"/>
          <w:szCs w:val="20"/>
        </w:rPr>
        <w:t xml:space="preserve">lation to instruments "traded on a trading venue" (see Articles 20 and 21 </w:t>
      </w:r>
      <w:proofErr w:type="spellStart"/>
      <w:r w:rsidRPr="00C36FF7">
        <w:rPr>
          <w:rFonts w:eastAsia="Calibri"/>
          <w:szCs w:val="20"/>
        </w:rPr>
        <w:t>MiFIR</w:t>
      </w:r>
      <w:proofErr w:type="spellEnd"/>
      <w:r w:rsidRPr="00C36FF7">
        <w:rPr>
          <w:rFonts w:eastAsia="Calibri"/>
          <w:szCs w:val="20"/>
        </w:rPr>
        <w:t xml:space="preserve">). </w:t>
      </w:r>
    </w:p>
    <w:p w:rsidR="00C773FC" w:rsidRPr="00C36FF7" w:rsidRDefault="00C773FC" w:rsidP="00C773FC">
      <w:pPr>
        <w:pStyle w:val="ListParagraph"/>
        <w:numPr>
          <w:ilvl w:val="0"/>
          <w:numId w:val="61"/>
        </w:numPr>
        <w:ind w:left="1429"/>
        <w:rPr>
          <w:szCs w:val="20"/>
        </w:rPr>
      </w:pPr>
      <w:r w:rsidRPr="00C36FF7">
        <w:rPr>
          <w:szCs w:val="20"/>
        </w:rPr>
        <w:t xml:space="preserve">It should be made clear that the reference to a "systematic </w:t>
      </w:r>
      <w:proofErr w:type="spellStart"/>
      <w:r w:rsidRPr="00C36FF7">
        <w:rPr>
          <w:szCs w:val="20"/>
        </w:rPr>
        <w:t>internaliser</w:t>
      </w:r>
      <w:proofErr w:type="spellEnd"/>
      <w:r w:rsidRPr="00C36FF7">
        <w:rPr>
          <w:szCs w:val="20"/>
        </w:rPr>
        <w:t xml:space="preserve">" in the Benchmarks Regulation only covers investment firms that are systematic </w:t>
      </w:r>
      <w:proofErr w:type="spellStart"/>
      <w:r w:rsidRPr="00C36FF7">
        <w:rPr>
          <w:szCs w:val="20"/>
        </w:rPr>
        <w:t>internalisers</w:t>
      </w:r>
      <w:proofErr w:type="spellEnd"/>
      <w:r w:rsidRPr="00C36FF7">
        <w:rPr>
          <w:szCs w:val="20"/>
        </w:rPr>
        <w:t xml:space="preserve"> in relation to the financial instrument in question. Investment firms may be systematic </w:t>
      </w:r>
      <w:proofErr w:type="spellStart"/>
      <w:r w:rsidRPr="00C36FF7">
        <w:rPr>
          <w:szCs w:val="20"/>
        </w:rPr>
        <w:t>internalisers</w:t>
      </w:r>
      <w:proofErr w:type="spellEnd"/>
      <w:r w:rsidRPr="00C36FF7">
        <w:rPr>
          <w:szCs w:val="20"/>
        </w:rPr>
        <w:t xml:space="preserve"> in rel</w:t>
      </w:r>
      <w:r w:rsidRPr="00C36FF7">
        <w:rPr>
          <w:szCs w:val="20"/>
        </w:rPr>
        <w:t>a</w:t>
      </w:r>
      <w:r w:rsidRPr="00C36FF7">
        <w:rPr>
          <w:szCs w:val="20"/>
        </w:rPr>
        <w:t>tion to one instrument but not others.</w:t>
      </w:r>
    </w:p>
    <w:p w:rsidR="006C048F" w:rsidRPr="00C36FF7" w:rsidRDefault="006C048F" w:rsidP="006C048F">
      <w:pPr>
        <w:ind w:left="720"/>
        <w:rPr>
          <w:szCs w:val="20"/>
        </w:rPr>
      </w:pPr>
    </w:p>
    <w:p w:rsidR="000B2D5F" w:rsidRPr="000D06A7" w:rsidRDefault="000B2D5F" w:rsidP="000D06A7">
      <w:pPr>
        <w:numPr>
          <w:ilvl w:val="0"/>
          <w:numId w:val="54"/>
        </w:numPr>
        <w:rPr>
          <w:szCs w:val="20"/>
        </w:rPr>
      </w:pPr>
      <w:r w:rsidRPr="00C36FF7">
        <w:rPr>
          <w:szCs w:val="20"/>
        </w:rPr>
        <w:t>In addition, we would request ESMA to clarify that an issuance of a financial instrument on a third coun</w:t>
      </w:r>
      <w:r w:rsidR="00974BC8">
        <w:rPr>
          <w:szCs w:val="20"/>
        </w:rPr>
        <w:t>try venue is not captured by BMR</w:t>
      </w:r>
      <w:r w:rsidRPr="00C36FF7">
        <w:rPr>
          <w:szCs w:val="20"/>
        </w:rPr>
        <w:t>.</w:t>
      </w:r>
    </w:p>
    <w:permEnd w:id="1754677474"/>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2119046258" w:edGrp="everyone"/>
      <w:r>
        <w:t>TYPE YOUR TEXT HERE</w:t>
      </w:r>
    </w:p>
    <w:permEnd w:id="2119046258"/>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Default="009A2624" w:rsidP="009A2624">
      <w:permStart w:id="1752843130" w:edGrp="everyone"/>
      <w:r>
        <w:t>TYPE YOUR TEXT HERE</w:t>
      </w:r>
    </w:p>
    <w:permEnd w:id="1752843130"/>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t>&lt;ESMA_QUESTION_DP_BMR_7&gt;</w:t>
      </w:r>
    </w:p>
    <w:p w:rsidR="009A2624" w:rsidRDefault="009A2624" w:rsidP="009A2624">
      <w:permStart w:id="366955521" w:edGrp="everyone"/>
      <w:r>
        <w:t>TYPE YOUR TEXT HERE</w:t>
      </w:r>
    </w:p>
    <w:permEnd w:id="366955521"/>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441732291" w:edGrp="everyone"/>
      <w:r>
        <w:t>TYPE YOUR TEXT HERE</w:t>
      </w:r>
    </w:p>
    <w:permEnd w:id="441732291"/>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lastRenderedPageBreak/>
        <w:t>tions where it provides benchmarks that have different methodologies, users or seek to measure very different markets or economic realities?</w:t>
      </w:r>
    </w:p>
    <w:p w:rsidR="009A2624" w:rsidRDefault="009A2624" w:rsidP="009A2624">
      <w:r>
        <w:t>&lt;ESMA_QUESTION_DP_BMR_9&gt;</w:t>
      </w:r>
    </w:p>
    <w:p w:rsidR="007E3F7B" w:rsidRPr="00C36FF7" w:rsidRDefault="00776398" w:rsidP="007E3F7B">
      <w:pPr>
        <w:rPr>
          <w:rFonts w:cs="Arial"/>
          <w:bCs/>
          <w:color w:val="000000"/>
          <w:szCs w:val="20"/>
          <w:lang w:eastAsia="en-US"/>
        </w:rPr>
      </w:pPr>
      <w:permStart w:id="1827029055" w:edGrp="everyone"/>
      <w:r w:rsidRPr="00C36FF7">
        <w:rPr>
          <w:rFonts w:cs="Arial"/>
          <w:bCs/>
          <w:color w:val="000000"/>
          <w:szCs w:val="20"/>
          <w:lang w:eastAsia="en-US"/>
        </w:rPr>
        <w:t>We favour a flexible regulatory framework where a</w:t>
      </w:r>
      <w:r w:rsidR="004F29C9" w:rsidRPr="00C36FF7">
        <w:rPr>
          <w:rFonts w:cs="Arial"/>
          <w:bCs/>
          <w:color w:val="000000"/>
          <w:szCs w:val="20"/>
          <w:lang w:eastAsia="en-US"/>
        </w:rPr>
        <w:t xml:space="preserve">n administrator </w:t>
      </w:r>
      <w:r w:rsidRPr="00C36FF7">
        <w:rPr>
          <w:rFonts w:cs="Arial"/>
          <w:bCs/>
          <w:color w:val="000000"/>
          <w:szCs w:val="20"/>
          <w:lang w:eastAsia="en-US"/>
        </w:rPr>
        <w:t>is</w:t>
      </w:r>
      <w:r w:rsidR="004F29C9" w:rsidRPr="00C36FF7">
        <w:rPr>
          <w:rFonts w:cs="Arial"/>
          <w:bCs/>
          <w:color w:val="000000"/>
          <w:szCs w:val="20"/>
          <w:lang w:eastAsia="en-US"/>
        </w:rPr>
        <w:t xml:space="preserve"> left with the discretion to establish the appropriate oversight function, which fulfils its obligations as </w:t>
      </w:r>
      <w:r w:rsidRPr="00C36FF7">
        <w:rPr>
          <w:rFonts w:cs="Arial"/>
          <w:bCs/>
          <w:color w:val="000000"/>
          <w:szCs w:val="20"/>
          <w:lang w:eastAsia="en-US"/>
        </w:rPr>
        <w:t xml:space="preserve">a </w:t>
      </w:r>
      <w:r w:rsidR="004F29C9" w:rsidRPr="00C36FF7">
        <w:rPr>
          <w:rFonts w:cs="Arial"/>
          <w:bCs/>
          <w:color w:val="000000"/>
          <w:szCs w:val="20"/>
          <w:lang w:eastAsia="en-US"/>
        </w:rPr>
        <w:t>supervised enti</w:t>
      </w:r>
      <w:r w:rsidRPr="00C36FF7">
        <w:rPr>
          <w:rFonts w:cs="Arial"/>
          <w:bCs/>
          <w:color w:val="000000"/>
          <w:szCs w:val="20"/>
          <w:lang w:eastAsia="en-US"/>
        </w:rPr>
        <w:t>ty</w:t>
      </w:r>
      <w:r w:rsidR="004F29C9" w:rsidRPr="00C36FF7">
        <w:rPr>
          <w:rFonts w:cs="Arial"/>
          <w:bCs/>
          <w:color w:val="000000"/>
          <w:szCs w:val="20"/>
          <w:lang w:eastAsia="en-US"/>
        </w:rPr>
        <w:t xml:space="preserve"> and is tailored to the nature, scale and complexity of the benchmarks. As a result</w:t>
      </w:r>
      <w:r w:rsidR="0000579C">
        <w:rPr>
          <w:rFonts w:cs="Arial"/>
          <w:bCs/>
          <w:color w:val="000000"/>
          <w:szCs w:val="20"/>
          <w:lang w:eastAsia="en-US"/>
        </w:rPr>
        <w:t>, while for some administrators</w:t>
      </w:r>
      <w:r w:rsidR="004F29C9" w:rsidRPr="00C36FF7">
        <w:rPr>
          <w:rFonts w:cs="Arial"/>
          <w:bCs/>
          <w:color w:val="000000"/>
          <w:szCs w:val="20"/>
          <w:lang w:eastAsia="en-US"/>
        </w:rPr>
        <w:t xml:space="preserve"> one oversight function for all benchmarks would be suitable, for others, there may be a need for multiple oversight functions where </w:t>
      </w:r>
      <w:r w:rsidR="0000579C">
        <w:rPr>
          <w:rFonts w:cs="Arial"/>
          <w:bCs/>
          <w:color w:val="000000"/>
          <w:szCs w:val="20"/>
          <w:lang w:eastAsia="en-US"/>
        </w:rPr>
        <w:t xml:space="preserve">the </w:t>
      </w:r>
      <w:r w:rsidR="004F29C9" w:rsidRPr="00C36FF7">
        <w:rPr>
          <w:rFonts w:cs="Arial"/>
          <w:bCs/>
          <w:color w:val="000000"/>
          <w:szCs w:val="20"/>
          <w:lang w:eastAsia="en-US"/>
        </w:rPr>
        <w:t>benchmarks it provides have different methodologies, users or cover different underl</w:t>
      </w:r>
      <w:r w:rsidR="004F29C9" w:rsidRPr="00C36FF7">
        <w:rPr>
          <w:rFonts w:cs="Arial"/>
          <w:bCs/>
          <w:color w:val="000000"/>
          <w:szCs w:val="20"/>
          <w:lang w:eastAsia="en-US"/>
        </w:rPr>
        <w:t>y</w:t>
      </w:r>
      <w:r w:rsidR="004F29C9" w:rsidRPr="00C36FF7">
        <w:rPr>
          <w:rFonts w:cs="Arial"/>
          <w:bCs/>
          <w:color w:val="000000"/>
          <w:szCs w:val="20"/>
          <w:lang w:eastAsia="en-US"/>
        </w:rPr>
        <w:t>ing markets.</w:t>
      </w:r>
    </w:p>
    <w:p w:rsidR="00223C32" w:rsidRPr="00C36FF7" w:rsidRDefault="00776398" w:rsidP="00834171">
      <w:pPr>
        <w:rPr>
          <w:rFonts w:cs="Arial"/>
          <w:b/>
          <w:bCs/>
          <w:color w:val="FF0000"/>
          <w:szCs w:val="20"/>
          <w:lang w:eastAsia="en-US"/>
        </w:rPr>
      </w:pPr>
      <w:r w:rsidRPr="00C36FF7">
        <w:rPr>
          <w:rFonts w:cs="Arial"/>
          <w:bCs/>
          <w:color w:val="000000"/>
          <w:szCs w:val="20"/>
          <w:lang w:eastAsia="en-US"/>
        </w:rPr>
        <w:t>I</w:t>
      </w:r>
      <w:r w:rsidR="004F29C9" w:rsidRPr="00C36FF7">
        <w:rPr>
          <w:rFonts w:cs="Arial"/>
          <w:bCs/>
          <w:color w:val="000000"/>
          <w:szCs w:val="20"/>
          <w:lang w:eastAsia="en-US"/>
        </w:rPr>
        <w:t>n relation to paragraph 44 of the Discussion Paper, we agre</w:t>
      </w:r>
      <w:r w:rsidR="00834171">
        <w:rPr>
          <w:rFonts w:cs="Arial"/>
          <w:bCs/>
          <w:color w:val="000000"/>
          <w:szCs w:val="20"/>
          <w:lang w:eastAsia="en-US"/>
        </w:rPr>
        <w:t xml:space="preserve">e with ESMA's interpretation that </w:t>
      </w:r>
      <w:r w:rsidRPr="00C36FF7">
        <w:rPr>
          <w:rFonts w:cs="Arial"/>
          <w:bCs/>
          <w:color w:val="000000"/>
          <w:szCs w:val="20"/>
          <w:lang w:eastAsia="en-US"/>
        </w:rPr>
        <w:t xml:space="preserve">an </w:t>
      </w:r>
      <w:r w:rsidR="004F29C9" w:rsidRPr="00C36FF7">
        <w:rPr>
          <w:rFonts w:cs="Arial"/>
          <w:bCs/>
          <w:color w:val="000000"/>
          <w:szCs w:val="20"/>
          <w:lang w:eastAsia="en-US"/>
        </w:rPr>
        <w:t>"ind</w:t>
      </w:r>
      <w:r w:rsidR="004F29C9" w:rsidRPr="00C36FF7">
        <w:rPr>
          <w:rFonts w:cs="Arial"/>
          <w:bCs/>
          <w:color w:val="000000"/>
          <w:szCs w:val="20"/>
          <w:lang w:eastAsia="en-US"/>
        </w:rPr>
        <w:t>e</w:t>
      </w:r>
      <w:r w:rsidR="004F29C9" w:rsidRPr="00C36FF7">
        <w:rPr>
          <w:rFonts w:cs="Arial"/>
          <w:bCs/>
          <w:color w:val="000000"/>
          <w:szCs w:val="20"/>
          <w:lang w:eastAsia="en-US"/>
        </w:rPr>
        <w:t>pendent" oversight committee can be a committee that includes independent non-executive directors</w:t>
      </w:r>
      <w:r w:rsidR="00834171">
        <w:rPr>
          <w:rFonts w:cs="Arial"/>
          <w:bCs/>
          <w:color w:val="000000"/>
          <w:szCs w:val="20"/>
          <w:lang w:eastAsia="en-US"/>
        </w:rPr>
        <w:t xml:space="preserve"> ("NEDs") but it is not necessary to mandate the inclusion of independent NEDs.</w:t>
      </w:r>
    </w:p>
    <w:permEnd w:id="1827029055"/>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9A2624" w:rsidRDefault="009A2624" w:rsidP="009A2624">
      <w:permStart w:id="491290226" w:edGrp="everyone"/>
      <w:r>
        <w:t>TYPE YOUR TEXT HERE</w:t>
      </w:r>
    </w:p>
    <w:permEnd w:id="491290226"/>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9A2624" w:rsidP="009A2624">
      <w:permStart w:id="404883990" w:edGrp="everyone"/>
      <w:r>
        <w:t>TYPE YOUR TEXT HERE</w:t>
      </w:r>
    </w:p>
    <w:permEnd w:id="404883990"/>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9A2624" w:rsidRDefault="009A2624" w:rsidP="009A2624">
      <w:permStart w:id="1100903730" w:edGrp="everyone"/>
      <w:r>
        <w:t>TYPE YOUR TEXT HERE</w:t>
      </w:r>
    </w:p>
    <w:permEnd w:id="1100903730"/>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rsidRPr="007F44BF">
        <w:t>d</w:t>
      </w:r>
      <w:r w:rsidRPr="007F44BF">
        <w:t>ed? Please describe the nature, and where possible provide estimates, of these costs.</w:t>
      </w:r>
    </w:p>
    <w:p w:rsidR="009A2624" w:rsidRDefault="009A2624" w:rsidP="009A2624">
      <w:r>
        <w:t>&lt;ESMA_QUESTION_DP_BMR_13&gt;</w:t>
      </w:r>
    </w:p>
    <w:p w:rsidR="009A2624" w:rsidRDefault="009A2624" w:rsidP="009A2624">
      <w:permStart w:id="673453608" w:edGrp="everyone"/>
      <w:r>
        <w:t>TYPE YOUR TEXT HERE</w:t>
      </w:r>
    </w:p>
    <w:permEnd w:id="673453608"/>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lastRenderedPageBreak/>
        <w:t>&lt;ESMA_QUESTION_DP_BMR_14&gt;</w:t>
      </w:r>
    </w:p>
    <w:p w:rsidR="00454E5C" w:rsidRPr="00C36FF7" w:rsidRDefault="004F29C9" w:rsidP="009A2624">
      <w:pPr>
        <w:rPr>
          <w:rFonts w:cs="Arial"/>
          <w:bCs/>
          <w:szCs w:val="20"/>
          <w:lang w:eastAsia="en-US"/>
        </w:rPr>
      </w:pPr>
      <w:permStart w:id="2012750412" w:edGrp="everyone"/>
      <w:r w:rsidRPr="00C36FF7">
        <w:rPr>
          <w:rFonts w:cs="Arial"/>
          <w:bCs/>
          <w:szCs w:val="20"/>
          <w:lang w:eastAsia="en-US"/>
        </w:rPr>
        <w:t>In relation to the oversight function of administrators, there is a need to ensure that institutions have the flexibility to structure the oversight functions in line with their businesses. In line with IOSCO Principle 5, in all cases, an oversight function should not be responsible for overseeing the business decisions of the management body</w:t>
      </w:r>
      <w:r w:rsidR="0000579C">
        <w:rPr>
          <w:rFonts w:cs="Arial"/>
          <w:bCs/>
          <w:szCs w:val="20"/>
          <w:lang w:eastAsia="en-US"/>
        </w:rPr>
        <w:t>.</w:t>
      </w:r>
    </w:p>
    <w:permEnd w:id="2012750412"/>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1808155574" w:edGrp="everyone"/>
      <w:r>
        <w:t>TYPE YOUR TEXT HERE</w:t>
      </w:r>
    </w:p>
    <w:permEnd w:id="1808155574"/>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9A2624" w:rsidRDefault="009A2624" w:rsidP="009A2624">
      <w:permStart w:id="87121799" w:edGrp="everyone"/>
      <w:r>
        <w:t>TYPE YOUR TEXT HERE</w:t>
      </w:r>
    </w:p>
    <w:permEnd w:id="87121799"/>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9A2624" w:rsidRDefault="009A2624" w:rsidP="009A2624">
      <w:permStart w:id="1963084097" w:edGrp="everyone"/>
      <w:r>
        <w:t>TYPE YOUR TEXT HERE</w:t>
      </w:r>
    </w:p>
    <w:permEnd w:id="1963084097"/>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9A2624" w:rsidRDefault="009A2624" w:rsidP="009A2624">
      <w:permStart w:id="2089030746" w:edGrp="everyone"/>
      <w:r>
        <w:t>TYPE YOUR TEXT HERE</w:t>
      </w:r>
    </w:p>
    <w:permEnd w:id="2089030746"/>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7810D6" w:rsidRPr="00C36FF7" w:rsidRDefault="0000579C" w:rsidP="007810D6">
      <w:pPr>
        <w:rPr>
          <w:szCs w:val="20"/>
        </w:rPr>
      </w:pPr>
      <w:permStart w:id="1131681467" w:edGrp="everyone"/>
      <w:r>
        <w:rPr>
          <w:szCs w:val="20"/>
        </w:rPr>
        <w:t>We consider t</w:t>
      </w:r>
      <w:r w:rsidR="007810D6" w:rsidRPr="00C36FF7">
        <w:rPr>
          <w:szCs w:val="20"/>
        </w:rPr>
        <w:t>he record-keeping requirements for adminis</w:t>
      </w:r>
      <w:r>
        <w:rPr>
          <w:szCs w:val="20"/>
        </w:rPr>
        <w:t>trators to be</w:t>
      </w:r>
      <w:r w:rsidR="007810D6" w:rsidRPr="00C36FF7">
        <w:rPr>
          <w:szCs w:val="20"/>
        </w:rPr>
        <w:t xml:space="preserve"> too granular, </w:t>
      </w:r>
      <w:r>
        <w:rPr>
          <w:szCs w:val="20"/>
        </w:rPr>
        <w:t xml:space="preserve">including </w:t>
      </w:r>
      <w:r w:rsidR="007810D6" w:rsidRPr="00C36FF7">
        <w:rPr>
          <w:szCs w:val="20"/>
        </w:rPr>
        <w:t>for example</w:t>
      </w:r>
      <w:r>
        <w:rPr>
          <w:szCs w:val="20"/>
        </w:rPr>
        <w:t xml:space="preserve"> the requirements in relation to</w:t>
      </w:r>
      <w:r w:rsidR="007810D6" w:rsidRPr="00C36FF7">
        <w:rPr>
          <w:szCs w:val="20"/>
        </w:rPr>
        <w:t xml:space="preserve"> substantial exposures of individual traders or trading desks to benchmark instruments, as well as changes therein</w:t>
      </w:r>
      <w:r w:rsidR="00454E5C" w:rsidRPr="00C36FF7">
        <w:rPr>
          <w:szCs w:val="20"/>
        </w:rPr>
        <w:t xml:space="preserve">. This information is commercially sensitive and will discourage contributors from participating in the determination process. Also, the administrator may not </w:t>
      </w:r>
      <w:r w:rsidR="007810D6" w:rsidRPr="00C36FF7">
        <w:rPr>
          <w:szCs w:val="20"/>
        </w:rPr>
        <w:t>have</w:t>
      </w:r>
      <w:r w:rsidR="00454E5C" w:rsidRPr="00C36FF7">
        <w:rPr>
          <w:szCs w:val="20"/>
        </w:rPr>
        <w:t xml:space="preserve"> such information on usage.</w:t>
      </w:r>
    </w:p>
    <w:permEnd w:id="1131681467"/>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 xml:space="preserve">ing the verifiability of input data, weekly transmission is sufficient? Would you instead consider it </w:t>
      </w:r>
      <w:r w:rsidRPr="007F44BF">
        <w:lastRenderedPageBreak/>
        <w:t>appropriate to leave the frequency of transmission to be defined by the administrator (i.e. in the code of conduct)?</w:t>
      </w:r>
    </w:p>
    <w:p w:rsidR="009A2624" w:rsidRDefault="009A2624" w:rsidP="009A2624">
      <w:r>
        <w:t>&lt;ESMA_QUESTION_DP_BMR_20&gt;</w:t>
      </w:r>
    </w:p>
    <w:p w:rsidR="009A2624" w:rsidRDefault="009A2624" w:rsidP="009A2624">
      <w:permStart w:id="1939042300" w:edGrp="everyone"/>
      <w:r>
        <w:t>TYPE YOUR TEXT HERE</w:t>
      </w:r>
    </w:p>
    <w:permEnd w:id="1939042300"/>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619778616" w:edGrp="everyone"/>
      <w:r>
        <w:t>TYPE YOUR TEXT HERE</w:t>
      </w:r>
    </w:p>
    <w:permEnd w:id="619778616"/>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Default="009A2624" w:rsidP="009A2624">
      <w:permStart w:id="1427135342" w:edGrp="everyone"/>
      <w:r>
        <w:t>TYPE YOUR TEXT HERE</w:t>
      </w:r>
    </w:p>
    <w:permEnd w:id="1427135342"/>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Default="009A2624" w:rsidP="009A2624">
      <w:permStart w:id="1084625288" w:edGrp="everyone"/>
      <w:r>
        <w:t>TYPE YOUR TEXT HERE</w:t>
      </w:r>
    </w:p>
    <w:permEnd w:id="1084625288"/>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9A2624" w:rsidRDefault="009A2624" w:rsidP="009A2624">
      <w:permStart w:id="1581470534" w:edGrp="everyone"/>
      <w:r>
        <w:t>TYPE YOUR TEXT HERE</w:t>
      </w:r>
    </w:p>
    <w:permEnd w:id="1581470534"/>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9A2624" w:rsidP="009A2624">
      <w:permStart w:id="2076865780" w:edGrp="everyone"/>
      <w:r>
        <w:t>TYPE YOUR TEXT HERE</w:t>
      </w:r>
    </w:p>
    <w:permEnd w:id="2076865780"/>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Default="009A2624" w:rsidP="009A2624">
      <w:permStart w:id="970938581" w:edGrp="everyone"/>
      <w:r>
        <w:t>TYPE YOUR TEXT HERE</w:t>
      </w:r>
    </w:p>
    <w:permEnd w:id="970938581"/>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lastRenderedPageBreak/>
        <w:t>&lt;ESMA_QUESTION_DP_BMR_27&gt;</w:t>
      </w:r>
    </w:p>
    <w:p w:rsidR="00FC47C6" w:rsidRPr="00A9309F" w:rsidRDefault="00FC47C6" w:rsidP="009A2624">
      <w:permStart w:id="484925673" w:edGrp="everyone"/>
      <w:r>
        <w:t>We would like to emphasize ESMA's comment in paragraph 93 of the Discussion Paper that any measure on the internal oversight at contributor level is to be implemented proportionally to the size of the contrib</w:t>
      </w:r>
      <w:r>
        <w:t>u</w:t>
      </w:r>
      <w:r>
        <w:t>tor organisation.  We would favour flexibility in the creation and implementation of the internal oversight structures at contributor level. If the measure is not designed in a proportionate way, it will push up the cost of licenses for users.</w:t>
      </w:r>
    </w:p>
    <w:permEnd w:id="484925673"/>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A9309F" w:rsidP="009A2624">
      <w:permStart w:id="441351019" w:edGrp="everyone"/>
      <w:r>
        <w:t xml:space="preserve">Under </w:t>
      </w:r>
      <w:proofErr w:type="spellStart"/>
      <w:r w:rsidR="007A5E6D">
        <w:t>MiFID</w:t>
      </w:r>
      <w:proofErr w:type="spellEnd"/>
      <w:r w:rsidR="007A5E6D">
        <w:t xml:space="preserve">, supervised entities </w:t>
      </w:r>
      <w:r w:rsidR="00E22A42">
        <w:t xml:space="preserve">are required to </w:t>
      </w:r>
      <w:r w:rsidR="007A5E6D">
        <w:t>have robust compliance, risk control and internal audit functions to ensure market integrity and we support reliance on these functions.</w:t>
      </w:r>
    </w:p>
    <w:p w:rsidR="009C6268" w:rsidRDefault="007A5E6D" w:rsidP="009A2624">
      <w:r>
        <w:t>In addition, we note that IOSCO Principle 14 provides a substantial framework for control at contributor level (conflict of interest policies, procedures for submitting input, and administrator's obligation to monitor and record contributor's adherence to these measures</w:t>
      </w:r>
      <w:r w:rsidR="00E22A42">
        <w:t xml:space="preserve">). </w:t>
      </w:r>
      <w:r>
        <w:t xml:space="preserve">We would ask ESMA to ensure that the Level II requirements in relation to contributors are aligned to </w:t>
      </w:r>
      <w:r w:rsidRPr="00F235D3">
        <w:t>the IOSCO Principles.</w:t>
      </w:r>
    </w:p>
    <w:permEnd w:id="441351019"/>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F235D3" w:rsidRDefault="00F235D3" w:rsidP="009A2624">
      <w:permStart w:id="1032867799" w:edGrp="everyone"/>
      <w:r>
        <w:t>We disagree with the requirement for contributors to publicly disclose the conflicts of interest per par</w:t>
      </w:r>
      <w:r>
        <w:t>a</w:t>
      </w:r>
      <w:r>
        <w:t>graph 98.  In combination with other highly prescr</w:t>
      </w:r>
      <w:r w:rsidR="009C6268">
        <w:t>iptive rules proposed by ESMA, such a demanding requirement</w:t>
      </w:r>
      <w:r>
        <w:t xml:space="preserve"> may dissuade contributors from submitting data to a benchmark administrator, which in turn carries the risk that the benchmark will no longer represent the underlying market.</w:t>
      </w:r>
      <w:r w:rsidR="009C6268">
        <w:t xml:space="preserve"> As an alternative, </w:t>
      </w:r>
      <w:r w:rsidR="009C6268" w:rsidRPr="009C6268">
        <w:t xml:space="preserve">contributors </w:t>
      </w:r>
      <w:r w:rsidR="00E22A42">
        <w:t xml:space="preserve">should be permitted to </w:t>
      </w:r>
      <w:r w:rsidR="009C6268" w:rsidRPr="009C6268">
        <w:t>attest to their compliance with the adminis</w:t>
      </w:r>
      <w:r w:rsidR="00E22A42">
        <w:t xml:space="preserve">trator’s code of conduct, where a </w:t>
      </w:r>
      <w:r w:rsidR="009C6268" w:rsidRPr="009C6268">
        <w:t xml:space="preserve">conflict of interest policy is required, in </w:t>
      </w:r>
      <w:r w:rsidR="009C6268">
        <w:t xml:space="preserve">line </w:t>
      </w:r>
      <w:r w:rsidR="009C6268" w:rsidRPr="009C6268">
        <w:t>with IOSCO Principle 14. This attestation provides a high measure of confidence in the integrity of the benchmark without specifically calling for public d</w:t>
      </w:r>
      <w:r w:rsidR="009C6268">
        <w:t>iscl</w:t>
      </w:r>
      <w:r w:rsidR="009C6268">
        <w:t>o</w:t>
      </w:r>
      <w:r w:rsidR="009C6268">
        <w:t>sure</w:t>
      </w:r>
      <w:r w:rsidR="009C6268" w:rsidRPr="009C6268">
        <w:t xml:space="preserve"> regarding conflicts of interest.</w:t>
      </w:r>
    </w:p>
    <w:p w:rsidR="00F235D3" w:rsidRDefault="00F235D3" w:rsidP="009A2624"/>
    <w:p w:rsidR="00F235D3" w:rsidRPr="000D06A7" w:rsidRDefault="00A9309F" w:rsidP="009A2624">
      <w:r w:rsidRPr="000D06A7">
        <w:t xml:space="preserve">A potential solution would be for a central organisation to issue a set of conflicts common to all </w:t>
      </w:r>
      <w:r w:rsidR="00DB1140" w:rsidRPr="000D06A7">
        <w:t>contrib</w:t>
      </w:r>
      <w:r w:rsidR="00DB1140" w:rsidRPr="000D06A7">
        <w:t>u</w:t>
      </w:r>
      <w:r w:rsidR="00DB1140" w:rsidRPr="000D06A7">
        <w:t>tors, users and administrators</w:t>
      </w:r>
      <w:r w:rsidRPr="000D06A7">
        <w:t xml:space="preserve"> after a suitable consultation with the different groups</w:t>
      </w:r>
      <w:r w:rsidR="00DB1140" w:rsidRPr="000D06A7">
        <w:t>, which all contributors can reference</w:t>
      </w:r>
      <w:r w:rsidRPr="000D06A7">
        <w:t>.</w:t>
      </w:r>
    </w:p>
    <w:permEnd w:id="1032867799"/>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Default="009A2624" w:rsidP="009A2624">
      <w:permStart w:id="451243068" w:edGrp="everyone"/>
      <w:r>
        <w:t>TYPE YOUR TEXT HERE</w:t>
      </w:r>
    </w:p>
    <w:permEnd w:id="451243068"/>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t>&lt;ESMA_QUESTION_DP_BMR_31&gt;</w:t>
      </w:r>
    </w:p>
    <w:p w:rsidR="00454E5C" w:rsidRDefault="00454E5C" w:rsidP="00454E5C">
      <w:pPr>
        <w:rPr>
          <w:lang w:val="en-US"/>
        </w:rPr>
      </w:pPr>
      <w:permStart w:id="1382025064" w:edGrp="everyone"/>
      <w:r>
        <w:rPr>
          <w:lang w:val="en-US"/>
        </w:rPr>
        <w:t xml:space="preserve">ESMA proposes that measures to ensure verifiability of input data should be imposed depending on the extent to which input data relies on expert </w:t>
      </w:r>
      <w:proofErr w:type="spellStart"/>
      <w:r>
        <w:rPr>
          <w:lang w:val="en-US"/>
        </w:rPr>
        <w:t>judgement</w:t>
      </w:r>
      <w:proofErr w:type="spellEnd"/>
      <w:r>
        <w:rPr>
          <w:lang w:val="en-US"/>
        </w:rPr>
        <w:t xml:space="preserve"> or the use of discretion, and not on the significance of the benchmarks. </w:t>
      </w:r>
    </w:p>
    <w:p w:rsidR="00454E5C" w:rsidRDefault="00454E5C" w:rsidP="00454E5C">
      <w:pPr>
        <w:rPr>
          <w:lang w:val="en-US"/>
        </w:rPr>
      </w:pPr>
    </w:p>
    <w:p w:rsidR="00454E5C" w:rsidRDefault="00454E5C" w:rsidP="00454E5C">
      <w:pPr>
        <w:rPr>
          <w:lang w:val="en-US"/>
        </w:rPr>
      </w:pPr>
      <w:r>
        <w:rPr>
          <w:lang w:val="en-US"/>
        </w:rPr>
        <w:lastRenderedPageBreak/>
        <w:t xml:space="preserve">We do not agree with this proposal. </w:t>
      </w:r>
      <w:r w:rsidR="007810D6" w:rsidRPr="007810D6">
        <w:rPr>
          <w:lang w:val="en-US"/>
        </w:rPr>
        <w:t xml:space="preserve">As </w:t>
      </w:r>
      <w:proofErr w:type="spellStart"/>
      <w:r w:rsidR="007810D6" w:rsidRPr="007810D6">
        <w:rPr>
          <w:lang w:val="en-US"/>
        </w:rPr>
        <w:t>recognised</w:t>
      </w:r>
      <w:proofErr w:type="spellEnd"/>
      <w:r w:rsidR="007810D6" w:rsidRPr="007810D6">
        <w:rPr>
          <w:lang w:val="en-US"/>
        </w:rPr>
        <w:t xml:space="preserve"> in the DP, there is a balance to be found between ensuring a sufficiently detailed code of conduct – as a useful guideline for contribution – and the risk of a benchmark becoming non-representative by introducing demanding requirements which may cause unsupervised contributors to cease voluntarily </w:t>
      </w:r>
      <w:r w:rsidR="003B6143">
        <w:rPr>
          <w:lang w:val="en-US"/>
        </w:rPr>
        <w:t>contributing to that benchmark.</w:t>
      </w:r>
    </w:p>
    <w:permEnd w:id="1382025064"/>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2003567555" w:edGrp="everyone"/>
      <w:r>
        <w:t>TYPE YOUR TEXT HERE</w:t>
      </w:r>
    </w:p>
    <w:permEnd w:id="2003567555"/>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1203388141" w:edGrp="everyone"/>
      <w:r>
        <w:t>TYPE YOUR TEXT HERE</w:t>
      </w:r>
    </w:p>
    <w:permEnd w:id="1203388141"/>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2B18FB" w:rsidRDefault="002B18FB" w:rsidP="002B18FB">
      <w:permStart w:id="735278682" w:edGrp="everyone"/>
      <w:r>
        <w:t>TYPE YOUR TEXT HERE</w:t>
      </w:r>
    </w:p>
    <w:permEnd w:id="735278682"/>
    <w:p w:rsidR="009A2624" w:rsidRDefault="009A2624" w:rsidP="009A2624">
      <w:r>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9A2624" w:rsidRDefault="009A2624" w:rsidP="009A2624">
      <w:permStart w:id="1590783075" w:edGrp="everyone"/>
      <w:r>
        <w:t>TYPE YOUR TEXT HERE</w:t>
      </w:r>
    </w:p>
    <w:permEnd w:id="1590783075"/>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132409" w:rsidRDefault="00132409" w:rsidP="009A2624">
      <w:permStart w:id="1129067234" w:edGrp="everyone"/>
      <w:r>
        <w:t>When producing the requirements on the transparency of the methodology</w:t>
      </w:r>
      <w:r w:rsidRPr="00132409">
        <w:t>, we encourage ESMA to consider the spirit of paragraph 119</w:t>
      </w:r>
      <w:r w:rsidR="00E22A42">
        <w:t xml:space="preserve"> of the Discussion Paper</w:t>
      </w:r>
      <w:r w:rsidRPr="00132409">
        <w:t>, which states that the transparency of the methodology should not be meant as the publication of the formula applied for the determination of a certain benchmark (which may include protected intellectual property), but rather as the disclosure of the critical elements sufficient to allow stakeholders to understand the benchmark. In this regard, stakeholder should be interpreted as the index licensee (in the case of subscription-based indices) and not the general public, to ensure in</w:t>
      </w:r>
      <w:r>
        <w:t>tellectual property is protected.</w:t>
      </w:r>
    </w:p>
    <w:p w:rsidR="00132409" w:rsidRDefault="00132409" w:rsidP="009A2624"/>
    <w:p w:rsidR="00132409" w:rsidRDefault="00132409" w:rsidP="009A2624">
      <w:r>
        <w:t xml:space="preserve">We are also concerned of the risk of conflict with </w:t>
      </w:r>
      <w:r w:rsidR="00E22A42">
        <w:t>certain h</w:t>
      </w:r>
      <w:r w:rsidRPr="00132409">
        <w:t>e</w:t>
      </w:r>
      <w:r w:rsidR="00E22A42">
        <w:t>dge f</w:t>
      </w:r>
      <w:r w:rsidR="00380BAA">
        <w:t>und regulation</w:t>
      </w:r>
      <w:r w:rsidR="00E22A42">
        <w:t>s</w:t>
      </w:r>
      <w:r w:rsidRPr="00132409">
        <w:t xml:space="preserve"> if certain data is made publicly available. </w:t>
      </w:r>
      <w:r w:rsidR="00380BAA" w:rsidRPr="000D06A7">
        <w:t xml:space="preserve">Some indices could have offshore hedge funds as index components which may or may not be offered publicly in the EU under AIFMD to certain investors. So if </w:t>
      </w:r>
      <w:r w:rsidR="00E22A42">
        <w:t xml:space="preserve">it were </w:t>
      </w:r>
      <w:r w:rsidR="00380BAA" w:rsidRPr="000D06A7">
        <w:t>required to disclose publi</w:t>
      </w:r>
      <w:r w:rsidR="00380BAA" w:rsidRPr="000D06A7">
        <w:t>c</w:t>
      </w:r>
      <w:r w:rsidR="00380BAA" w:rsidRPr="000D06A7">
        <w:t xml:space="preserve">ly detailed information about the index components, it could potentially be viewed as a breach of the AIFMD restrictions. </w:t>
      </w:r>
      <w:r w:rsidR="00380BAA">
        <w:t xml:space="preserve">In general, </w:t>
      </w:r>
      <w:r w:rsidRPr="00132409">
        <w:t>Hedge Fund indices have a discretionary component (the dynamic sele</w:t>
      </w:r>
      <w:r w:rsidRPr="00132409">
        <w:t>c</w:t>
      </w:r>
      <w:r w:rsidRPr="00132409">
        <w:t>tion of the hedge funds as index components which is subject to a lengthy and</w:t>
      </w:r>
      <w:r>
        <w:t xml:space="preserve"> ongoing due diligence </w:t>
      </w:r>
      <w:r>
        <w:lastRenderedPageBreak/>
        <w:t xml:space="preserve">process), which should be seen </w:t>
      </w:r>
      <w:r w:rsidRPr="00132409">
        <w:t xml:space="preserve">as intellectual property of the index sponsor which </w:t>
      </w:r>
      <w:r w:rsidR="00E22A42">
        <w:t>should not be required to be made</w:t>
      </w:r>
      <w:r w:rsidRPr="00132409">
        <w:t xml:space="preserve"> availa</w:t>
      </w:r>
      <w:r w:rsidR="00E22A42">
        <w:t>ble to</w:t>
      </w:r>
      <w:r w:rsidRPr="00132409">
        <w:t xml:space="preserve"> competi</w:t>
      </w:r>
      <w:r>
        <w:t>tors.</w:t>
      </w:r>
    </w:p>
    <w:p w:rsidR="00132409" w:rsidRDefault="00132409" w:rsidP="009A2624"/>
    <w:p w:rsidR="009A2624" w:rsidRDefault="00132409" w:rsidP="009A2624">
      <w:proofErr w:type="gramStart"/>
      <w:r w:rsidRPr="00132409">
        <w:t>.</w:t>
      </w:r>
      <w:permEnd w:id="1129067234"/>
      <w:r w:rsidR="009A2624">
        <w:t>&lt;</w:t>
      </w:r>
      <w:proofErr w:type="gramEnd"/>
      <w:r w:rsidR="009A2624">
        <w: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9A2624" w:rsidRDefault="00423D0B" w:rsidP="009A2624">
      <w:permStart w:id="902001132" w:edGrp="everyone"/>
      <w:r>
        <w:t>In line with our response to Q36, we would ask ESMA to respect the spirit of paragraph 119 of the Discu</w:t>
      </w:r>
      <w:r>
        <w:t>s</w:t>
      </w:r>
      <w:r>
        <w:t xml:space="preserve">sion Paper. </w:t>
      </w:r>
    </w:p>
    <w:p w:rsidR="00423D0B" w:rsidRDefault="00423D0B" w:rsidP="009A2624"/>
    <w:p w:rsidR="00423D0B" w:rsidRDefault="00974BC8" w:rsidP="009A2624">
      <w:r>
        <w:t xml:space="preserve">While we support </w:t>
      </w:r>
      <w:r w:rsidR="00423D0B">
        <w:t>a robust and frequent internal review of the methodology to ensure the accuracy and reliability of the benchmark, we are concerned with the level of prescription in ESMA's proposal. In partic</w:t>
      </w:r>
      <w:r w:rsidR="00423D0B">
        <w:t>u</w:t>
      </w:r>
      <w:r w:rsidR="00423D0B">
        <w:t>lar, we do not agree that publication of the membership of the functions determining and reviewing the benchmark methodology is needed to ensure the acc</w:t>
      </w:r>
      <w:r w:rsidR="00E22A42">
        <w:t>uracy of the benchmark. Nor is</w:t>
      </w:r>
      <w:r w:rsidR="00423D0B">
        <w:t xml:space="preserve"> public disclosure of the removal of particular persons from the oversight bodies. As an alternative, we propose that administr</w:t>
      </w:r>
      <w:r w:rsidR="00423D0B">
        <w:t>a</w:t>
      </w:r>
      <w:r w:rsidR="00423D0B">
        <w:t>tors publish the general qualifications required of individuals reviewing benchmark methodologies in order not to discourage individuals from joining oversight bodies.</w:t>
      </w:r>
    </w:p>
    <w:permEnd w:id="902001132"/>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9A2624" w:rsidRDefault="00E22A42" w:rsidP="009A2624">
      <w:permStart w:id="1200242730" w:edGrp="everyone"/>
      <w:r>
        <w:t>We support</w:t>
      </w:r>
      <w:r w:rsidR="00423D0B">
        <w:t xml:space="preserve"> </w:t>
      </w:r>
      <w:r w:rsidR="00680DD5">
        <w:t>ESMA's view that the oversight function of an administrator is best placed to gauge whether a change of methodology is material or not.</w:t>
      </w:r>
      <w:r w:rsidR="00680DD5" w:rsidRPr="008E1CFD">
        <w:rPr>
          <w:u w:val="single"/>
        </w:rPr>
        <w:t xml:space="preserve"> </w:t>
      </w:r>
      <w:r w:rsidR="008E1CFD" w:rsidRPr="000D06A7">
        <w:t>We recommend that the consultation process be determined by the administrator and that the application of proportionality should be applied in relation to the significance of a benchmark</w:t>
      </w:r>
      <w:proofErr w:type="gramStart"/>
      <w:r w:rsidR="008E1CFD" w:rsidRPr="008E1CFD">
        <w:rPr>
          <w:u w:val="single"/>
        </w:rPr>
        <w:t>.</w:t>
      </w:r>
      <w:permEnd w:id="1200242730"/>
      <w:r w:rsidR="009A2624">
        <w:t>&lt;</w:t>
      </w:r>
      <w:proofErr w:type="gramEnd"/>
      <w:r w:rsidR="009A2624">
        <w: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100814672" w:edGrp="everyone"/>
      <w:r>
        <w:t>TYPE YOUR TEXT HERE</w:t>
      </w:r>
    </w:p>
    <w:permEnd w:id="100814672"/>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132409" w:rsidRDefault="002B18FB" w:rsidP="009A2624">
      <w:pPr>
        <w:rPr>
          <w:b/>
          <w:color w:val="FF0000"/>
        </w:rPr>
      </w:pPr>
      <w:permStart w:id="2115248673" w:edGrp="everyone"/>
      <w:r w:rsidRPr="000D06A7">
        <w:t>On the transparency of the methodology, we strongly recommend applying the proportionality principle when specifying the requirements for non-significant benchmark administrators (which we understand may be covered in future ESMA guidelines rather than under the draft regulatory technical standards). The methodology for non-significant benchmarks should not have to be disclosed to the public. These benc</w:t>
      </w:r>
      <w:r w:rsidRPr="000D06A7">
        <w:t>h</w:t>
      </w:r>
      <w:r w:rsidRPr="000D06A7">
        <w:t>marks would be targeted at a relatively small investor base and are therefore not relevant for the "public". Making the methodology available publicly could potentially even increase visibility to</w:t>
      </w:r>
      <w:r w:rsidR="00E22A42">
        <w:t xml:space="preserve"> types of</w:t>
      </w:r>
      <w:r w:rsidRPr="000D06A7">
        <w:t xml:space="preserve"> investors for which the product may not be suitable.  Furthermore, our benchmarks also have a degree of intellectual property which should not be made available to competitors. The publication requirements could therefore </w:t>
      </w:r>
      <w:r w:rsidRPr="000D06A7">
        <w:lastRenderedPageBreak/>
        <w:t>allow disclosure to actual investors or prospects only for non-significant benchmarks (e.g. make available on request).</w:t>
      </w:r>
    </w:p>
    <w:permEnd w:id="2115248673"/>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9A2624" w:rsidRDefault="009A2624" w:rsidP="009A2624">
      <w:r>
        <w:t>&lt;ESMA_QUESTION_DP_BMR_41&gt;</w:t>
      </w:r>
    </w:p>
    <w:p w:rsidR="00680DD5" w:rsidRDefault="00680DD5" w:rsidP="00680DD5">
      <w:permStart w:id="753867021" w:edGrp="everyone"/>
      <w:r>
        <w:t>TYPE YOUR TEXT HERE</w:t>
      </w:r>
    </w:p>
    <w:permEnd w:id="753867021"/>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8E1CFD" w:rsidRDefault="008E1CFD" w:rsidP="008E1CFD">
      <w:permStart w:id="1280184359" w:edGrp="everyone"/>
      <w:r>
        <w:t>TYPE YOUR TEXT HERE</w:t>
      </w:r>
    </w:p>
    <w:permEnd w:id="1280184359"/>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F235D3" w:rsidRPr="00F235D3" w:rsidRDefault="009D5C67" w:rsidP="007E3F7B">
      <w:pPr>
        <w:autoSpaceDE w:val="0"/>
        <w:autoSpaceDN w:val="0"/>
        <w:adjustRightInd w:val="0"/>
        <w:spacing w:after="120"/>
        <w:jc w:val="both"/>
      </w:pPr>
      <w:permStart w:id="2034698152" w:edGrp="everyone"/>
      <w:r>
        <w:t xml:space="preserve">We believe that discretion should be left to the administrator to determine whether separate codes are needed for different types of benchmarks. </w:t>
      </w:r>
    </w:p>
    <w:p w:rsidR="00F235D3" w:rsidRDefault="009D5C67" w:rsidP="007E3F7B">
      <w:pPr>
        <w:autoSpaceDE w:val="0"/>
        <w:autoSpaceDN w:val="0"/>
        <w:adjustRightInd w:val="0"/>
        <w:spacing w:after="120"/>
        <w:jc w:val="both"/>
      </w:pPr>
      <w:r>
        <w:t xml:space="preserve">As a general principle, we believe that the requirements for a code of conduct should be aligned with IOSCO Principles. </w:t>
      </w:r>
      <w:r w:rsidR="00F235D3">
        <w:t>IOSCO Principle 14, in our view, already provides a substantial framework for control at contributor level (conflict of interest policies, procedures for submitting input, and administrator's obligation to monitor and record contributor's adherence to these measures</w:t>
      </w:r>
      <w:r>
        <w:t>)</w:t>
      </w:r>
      <w:r w:rsidR="00F235D3">
        <w:t xml:space="preserve">. </w:t>
      </w:r>
    </w:p>
    <w:p w:rsidR="009A2624" w:rsidRDefault="00830991" w:rsidP="009A2624">
      <w:r>
        <w:t>The above approach would create a level playing field between EU and</w:t>
      </w:r>
      <w:r w:rsidR="00E22A42">
        <w:t xml:space="preserve"> third country administrators </w:t>
      </w:r>
      <w:r>
        <w:t>as under the third country regime, applications for recognition and endorsement will both be assessed against IOSCO principles</w:t>
      </w:r>
      <w:r w:rsidR="009D5C67">
        <w:t>.  In this respect, w</w:t>
      </w:r>
      <w:r w:rsidR="00F235D3">
        <w:t xml:space="preserve">e would draw your attention to Singapore's </w:t>
      </w:r>
      <w:r w:rsidR="009C6268">
        <w:t xml:space="preserve">expected </w:t>
      </w:r>
      <w:r w:rsidR="00F235D3">
        <w:t>a</w:t>
      </w:r>
      <w:r w:rsidR="00F235D3">
        <w:t>p</w:t>
      </w:r>
      <w:r w:rsidR="00F235D3">
        <w:t xml:space="preserve">proach in relation to specifying a code of conduct for submitters. In its feedback statement dated 29 July 2014, following an earlier consultation, the Monetary Authority of Singapore </w:t>
      </w:r>
      <w:r w:rsidR="009D5C67">
        <w:t>stated</w:t>
      </w:r>
      <w:r w:rsidR="00F235D3">
        <w:t xml:space="preserve"> that they</w:t>
      </w:r>
      <w:r w:rsidR="00F235D3" w:rsidRPr="00F235D3">
        <w:t xml:space="preserve"> expect that the requirements </w:t>
      </w:r>
      <w:r w:rsidR="00F235D3">
        <w:t xml:space="preserve">[with respect to the Code of Conduct for Submitters] </w:t>
      </w:r>
      <w:r w:rsidR="00F235D3" w:rsidRPr="00F235D3">
        <w:t>will generally be aligned with the relevant principles under the IOSCO Principles on Financial Benc</w:t>
      </w:r>
      <w:r w:rsidR="00A9309F">
        <w:t>h</w:t>
      </w:r>
      <w:r w:rsidR="00F235D3" w:rsidRPr="00F235D3">
        <w:t>marks</w:t>
      </w:r>
      <w:proofErr w:type="gramStart"/>
      <w:r w:rsidR="009D5C67">
        <w:t>.</w:t>
      </w:r>
      <w:permEnd w:id="2034698152"/>
      <w:r w:rsidR="009A2624">
        <w:t>&lt;</w:t>
      </w:r>
      <w:proofErr w:type="gramEnd"/>
      <w:r w:rsidR="009A2624">
        <w: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1687646244" w:edGrp="everyone"/>
      <w:r>
        <w:t>TYPE YOUR TEXT HERE</w:t>
      </w:r>
    </w:p>
    <w:permEnd w:id="1687646244"/>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lastRenderedPageBreak/>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1167413178" w:edGrp="everyone"/>
      <w:r>
        <w:t>TYPE YOUR TEXT HERE</w:t>
      </w:r>
    </w:p>
    <w:permEnd w:id="1167413178"/>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1998658541" w:edGrp="everyone"/>
      <w:r>
        <w:t>TYPE YOUR TEXT HERE</w:t>
      </w:r>
    </w:p>
    <w:permEnd w:id="1998658541"/>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t>&lt;ESMA_QUESTION_DP_BMR_47&gt;</w:t>
      </w:r>
    </w:p>
    <w:p w:rsidR="009A2624" w:rsidRDefault="009A2624" w:rsidP="009A2624">
      <w:permStart w:id="284690889" w:edGrp="everyone"/>
      <w:r>
        <w:t>TYPE YOUR TEXT HERE</w:t>
      </w:r>
    </w:p>
    <w:permEnd w:id="284690889"/>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1508977515" w:edGrp="everyone"/>
      <w:r>
        <w:t>TYPE YOUR TEXT HERE</w:t>
      </w:r>
    </w:p>
    <w:permEnd w:id="1508977515"/>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414791400" w:edGrp="everyone"/>
      <w:r>
        <w:t>TYPE YOUR TEXT HERE</w:t>
      </w:r>
    </w:p>
    <w:permEnd w:id="414791400"/>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Default="009A2624" w:rsidP="009A2624">
      <w:permStart w:id="1832985227" w:edGrp="everyone"/>
      <w:r>
        <w:t>TYPE YOUR TEXT HERE</w:t>
      </w:r>
    </w:p>
    <w:permEnd w:id="1832985227"/>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816265160" w:edGrp="everyone"/>
      <w:r>
        <w:t>TYPE YOUR TEXT HERE</w:t>
      </w:r>
    </w:p>
    <w:permEnd w:id="816265160"/>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lastRenderedPageBreak/>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1626419742" w:edGrp="everyone"/>
      <w:r>
        <w:t>TYPE YOUR TEXT HERE</w:t>
      </w:r>
    </w:p>
    <w:permEnd w:id="1626419742"/>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500908043" w:edGrp="everyone"/>
      <w:r>
        <w:t>TYPE YOUR TEXT HERE</w:t>
      </w:r>
    </w:p>
    <w:permEnd w:id="500908043"/>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1222120690" w:edGrp="everyone"/>
      <w:r>
        <w:t>TYPE YOUR TEXT HERE</w:t>
      </w:r>
    </w:p>
    <w:permEnd w:id="1222120690"/>
    <w:p w:rsidR="009A2624" w:rsidRDefault="009A2624" w:rsidP="009A2624">
      <w:r>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1433090176" w:edGrp="everyone"/>
      <w:r>
        <w:t>TYPE YOUR TEXT HERE</w:t>
      </w:r>
    </w:p>
    <w:permEnd w:id="1433090176"/>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9A2624" w:rsidRDefault="009A2624" w:rsidP="009A2624">
      <w:permStart w:id="2016559925" w:edGrp="everyone"/>
      <w:r>
        <w:t>TYPE YOUR TEXT HERE</w:t>
      </w:r>
    </w:p>
    <w:permEnd w:id="2016559925"/>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9A2624" w:rsidP="009A2624">
      <w:permStart w:id="1198224987" w:edGrp="everyone"/>
      <w:r>
        <w:t>TYPE YOUR TEXT HERE</w:t>
      </w:r>
    </w:p>
    <w:permEnd w:id="1198224987"/>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1446782329" w:edGrp="everyone"/>
      <w:r>
        <w:t>TYPE YOUR TEXT HERE</w:t>
      </w:r>
    </w:p>
    <w:permEnd w:id="1446782329"/>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lastRenderedPageBreak/>
        <w:t>&lt;ESMA_QUESTION_DP_BMR_59&gt;</w:t>
      </w:r>
    </w:p>
    <w:p w:rsidR="009A2624" w:rsidRDefault="009A2624" w:rsidP="009A2624">
      <w:permStart w:id="1651471540" w:edGrp="everyone"/>
      <w:r>
        <w:t>TYPE YOUR TEXT HERE</w:t>
      </w:r>
    </w:p>
    <w:permEnd w:id="1651471540"/>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830991" w:rsidRDefault="00754CB3" w:rsidP="009A2624">
      <w:permStart w:id="1145308434" w:edGrp="everyone"/>
      <w:r>
        <w:t xml:space="preserve">We believe that the list of requirements is too prescriptive and will be costly to apply across different types of benchmarks. </w:t>
      </w:r>
      <w:r w:rsidR="00830991">
        <w:t>In line with our response to Q43, we would favour alignment with IOSCO Principles. IOSCO Principle 14 outlines similar requirements for submitter's code of conduct.</w:t>
      </w:r>
    </w:p>
    <w:p w:rsidR="009A2624" w:rsidRDefault="00830991" w:rsidP="009A2624">
      <w:r>
        <w:t xml:space="preserve">The above approach would also create a level playing field between EU and third country administrators – as under the third country regime, applications for recognition and endorsement will both be assessed against IOSCO </w:t>
      </w:r>
      <w:proofErr w:type="gramStart"/>
      <w:r>
        <w:t xml:space="preserve">principles  </w:t>
      </w:r>
      <w:permEnd w:id="1145308434"/>
      <w:r w:rsidR="009A2624">
        <w:t>&lt;</w:t>
      </w:r>
      <w:proofErr w:type="gramEnd"/>
      <w:r w:rsidR="009A2624">
        <w: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751185593" w:edGrp="everyone"/>
      <w:r>
        <w:t>TYPE YOUR TEXT HERE</w:t>
      </w:r>
    </w:p>
    <w:permEnd w:id="751185593"/>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t>Do you think that the external audit covering benchmark activities, where available, should also be made available, on request, to the Benchmark Administrator?</w:t>
      </w:r>
    </w:p>
    <w:p w:rsidR="009A2624" w:rsidRDefault="009A2624" w:rsidP="009A2624">
      <w:r>
        <w:t>&lt;ESMA_QUESTION_DP_BMR_62&gt;</w:t>
      </w:r>
    </w:p>
    <w:p w:rsidR="009A2624" w:rsidRDefault="009A2624" w:rsidP="009A2624">
      <w:permStart w:id="312431601" w:edGrp="everyone"/>
      <w:r>
        <w:t>TYPE YOUR TEXT HERE</w:t>
      </w:r>
    </w:p>
    <w:permEnd w:id="312431601"/>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156831167" w:edGrp="everyone"/>
      <w:r>
        <w:t>TYPE YOUR TEXT HERE</w:t>
      </w:r>
    </w:p>
    <w:permEnd w:id="156831167"/>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509362347" w:edGrp="everyone"/>
      <w:r>
        <w:t>TYPE YOUR TEXT HERE</w:t>
      </w:r>
    </w:p>
    <w:permEnd w:id="509362347"/>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9A2624" w:rsidRDefault="005A7071" w:rsidP="009A2624">
      <w:permStart w:id="2082102537" w:edGrp="everyone"/>
      <w:r w:rsidRPr="005A7071">
        <w:t>ESMA recognizes in paragraph 182 of the Discussion Paper that it may not always be effective or propo</w:t>
      </w:r>
      <w:r w:rsidRPr="005A7071">
        <w:t>r</w:t>
      </w:r>
      <w:r w:rsidRPr="005A7071">
        <w:t xml:space="preserve">tionate to have a sign-off of the contribution before the data is provided to the administrator.  We support this view.  To illustrate that with a couple of practical examples, the development of transaction based </w:t>
      </w:r>
      <w:r w:rsidRPr="005A7071">
        <w:lastRenderedPageBreak/>
        <w:t>benchmarks will lead to the development of new/ revised control frameworks.  Controls such as trade surveillance will likely need to operate post as well as potentially pre-contribution, which shifts the balance of the control framework to some extent to detective controls.   There will also be cases where submi</w:t>
      </w:r>
      <w:r w:rsidRPr="005A7071">
        <w:t>s</w:t>
      </w:r>
      <w:r w:rsidRPr="005A7071">
        <w:t>sions are required at the end of the day i.e. before firms have completed their standard con</w:t>
      </w:r>
      <w:r>
        <w:t xml:space="preserve">trol processes. </w:t>
      </w:r>
      <w:r w:rsidR="002C31DA" w:rsidRPr="002C31DA">
        <w:t xml:space="preserve">In general UBS would be more supportive of </w:t>
      </w:r>
      <w:r w:rsidR="002C31DA">
        <w:t xml:space="preserve">a </w:t>
      </w:r>
      <w:bookmarkStart w:id="3" w:name="_GoBack"/>
      <w:bookmarkEnd w:id="3"/>
      <w:r w:rsidR="002C31DA" w:rsidRPr="002C31DA">
        <w:t xml:space="preserve">provision for post-submission, rather than pre-submission sign-offs.   Decisions on the timing of approval requirements would also need </w:t>
      </w:r>
      <w:r w:rsidR="002C31DA">
        <w:t xml:space="preserve">a </w:t>
      </w:r>
      <w:r w:rsidR="002C31DA" w:rsidRPr="002C31DA">
        <w:t xml:space="preserve">review </w:t>
      </w:r>
      <w:r w:rsidR="002C31DA">
        <w:t>alongside of</w:t>
      </w:r>
      <w:r w:rsidR="002C31DA" w:rsidRPr="002C31DA">
        <w:t xml:space="preserve"> prov</w:t>
      </w:r>
      <w:r w:rsidR="002C31DA" w:rsidRPr="002C31DA">
        <w:t>i</w:t>
      </w:r>
      <w:r w:rsidR="002C31DA" w:rsidRPr="002C31DA">
        <w:t xml:space="preserve">sions for the reporting and consequence of errors </w:t>
      </w:r>
      <w:r w:rsidR="002C31DA">
        <w:t>in contributions</w:t>
      </w:r>
      <w:proofErr w:type="gramStart"/>
      <w:r w:rsidR="00754CB3" w:rsidRPr="00754CB3">
        <w:rPr>
          <w:b/>
          <w:color w:val="FF0000"/>
        </w:rPr>
        <w:t>.</w:t>
      </w:r>
      <w:permEnd w:id="2082102537"/>
      <w:r w:rsidR="009A2624">
        <w:t>&lt;</w:t>
      </w:r>
      <w:proofErr w:type="gramEnd"/>
      <w:r w:rsidR="009A2624">
        <w: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3B6143" w:rsidRDefault="003B6143" w:rsidP="003B6143">
      <w:permStart w:id="2076985905" w:edGrp="everyone"/>
      <w:r>
        <w:t>TYPE YOUR TEXT HERE</w:t>
      </w:r>
    </w:p>
    <w:permEnd w:id="2076985905"/>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3B6143" w:rsidRDefault="003B6143" w:rsidP="003B6143">
      <w:permStart w:id="1655112235" w:edGrp="everyone"/>
      <w:r>
        <w:t>TYPE YOUR TEXT HERE</w:t>
      </w:r>
    </w:p>
    <w:permEnd w:id="1655112235"/>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987849672" w:edGrp="everyone"/>
      <w:r>
        <w:t>TYPE YOUR TEXT HERE</w:t>
      </w:r>
    </w:p>
    <w:permEnd w:id="987849672"/>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133959443" w:edGrp="everyone"/>
      <w:r>
        <w:t>TYPE YOUR TEXT HERE</w:t>
      </w:r>
    </w:p>
    <w:permEnd w:id="133959443"/>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300790248" w:edGrp="everyone"/>
      <w:r>
        <w:t>TYPE YOUR TEXT HERE</w:t>
      </w:r>
    </w:p>
    <w:permEnd w:id="1300790248"/>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lastRenderedPageBreak/>
        <w:t>&lt;ESMA_QUESTION_DP_BMR_71&gt;</w:t>
      </w:r>
    </w:p>
    <w:p w:rsidR="00F0591D" w:rsidRPr="003F77A1" w:rsidRDefault="00F0591D" w:rsidP="00F0591D">
      <w:pPr>
        <w:autoSpaceDE w:val="0"/>
        <w:autoSpaceDN w:val="0"/>
        <w:adjustRightInd w:val="0"/>
        <w:spacing w:after="120"/>
        <w:jc w:val="both"/>
        <w:rPr>
          <w:rFonts w:cs="Arial"/>
          <w:szCs w:val="20"/>
          <w:lang w:eastAsia="en-US"/>
        </w:rPr>
      </w:pPr>
      <w:permStart w:id="2063080689" w:edGrp="everyone"/>
      <w:r w:rsidRPr="003F77A1">
        <w:rPr>
          <w:rFonts w:cs="Arial"/>
          <w:szCs w:val="20"/>
          <w:lang w:eastAsia="en-US"/>
        </w:rPr>
        <w:t>This chapter sets out the potential criteria for measuring the nominal amount of financial instruments other than derivatives, the notional amount of derivatives and the net asset value of investment funds used directly or indirectly within a combination of benchmarks for the purpose of assessing benchmarks under the threshold in Article 13(1) and Article 14b(1)(a).</w:t>
      </w:r>
    </w:p>
    <w:p w:rsidR="00F0591D" w:rsidRPr="003F77A1" w:rsidRDefault="0090091A" w:rsidP="00F0591D">
      <w:pPr>
        <w:autoSpaceDE w:val="0"/>
        <w:autoSpaceDN w:val="0"/>
        <w:adjustRightInd w:val="0"/>
        <w:spacing w:after="120"/>
        <w:jc w:val="both"/>
        <w:rPr>
          <w:rFonts w:cs="Arial"/>
          <w:szCs w:val="20"/>
          <w:lang w:eastAsia="en-US"/>
        </w:rPr>
      </w:pPr>
      <w:r w:rsidRPr="003F77A1">
        <w:rPr>
          <w:rFonts w:cs="Arial"/>
          <w:szCs w:val="20"/>
          <w:lang w:eastAsia="en-US"/>
        </w:rPr>
        <w:t xml:space="preserve">We would strongly support that any technical standards in this area leverage the work undertaken under </w:t>
      </w:r>
      <w:proofErr w:type="spellStart"/>
      <w:r w:rsidRPr="003F77A1">
        <w:rPr>
          <w:rFonts w:cs="Arial"/>
          <w:szCs w:val="20"/>
          <w:lang w:eastAsia="en-US"/>
        </w:rPr>
        <w:t>MiFID</w:t>
      </w:r>
      <w:proofErr w:type="spellEnd"/>
      <w:r w:rsidRPr="003F77A1">
        <w:rPr>
          <w:rFonts w:cs="Arial"/>
          <w:szCs w:val="20"/>
          <w:lang w:eastAsia="en-US"/>
        </w:rPr>
        <w:t xml:space="preserve"> </w:t>
      </w:r>
      <w:r w:rsidR="00E22A42">
        <w:rPr>
          <w:rFonts w:cs="Arial"/>
          <w:szCs w:val="20"/>
          <w:lang w:eastAsia="en-US"/>
        </w:rPr>
        <w:t xml:space="preserve">II </w:t>
      </w:r>
      <w:r w:rsidRPr="003F77A1">
        <w:rPr>
          <w:rFonts w:cs="Arial"/>
          <w:szCs w:val="20"/>
          <w:lang w:eastAsia="en-US"/>
        </w:rPr>
        <w:t xml:space="preserve">and MAR rather than creating </w:t>
      </w:r>
      <w:r w:rsidR="00974BC8">
        <w:rPr>
          <w:rFonts w:cs="Arial"/>
          <w:szCs w:val="20"/>
          <w:lang w:eastAsia="en-US"/>
        </w:rPr>
        <w:t>a new data framework for the BMR</w:t>
      </w:r>
      <w:r w:rsidRPr="003F77A1">
        <w:rPr>
          <w:rFonts w:cs="Arial"/>
          <w:szCs w:val="20"/>
          <w:lang w:eastAsia="en-US"/>
        </w:rPr>
        <w:t xml:space="preserve">. </w:t>
      </w:r>
    </w:p>
    <w:p w:rsidR="00A90B4A" w:rsidRPr="003F77A1" w:rsidRDefault="0090091A" w:rsidP="00A90B4A">
      <w:pPr>
        <w:autoSpaceDE w:val="0"/>
        <w:autoSpaceDN w:val="0"/>
        <w:adjustRightInd w:val="0"/>
        <w:spacing w:after="120"/>
        <w:jc w:val="both"/>
        <w:rPr>
          <w:rFonts w:cs="Arial"/>
          <w:szCs w:val="20"/>
          <w:lang w:eastAsia="en-US"/>
        </w:rPr>
      </w:pPr>
      <w:r w:rsidRPr="003F77A1">
        <w:rPr>
          <w:rFonts w:cs="Arial"/>
          <w:szCs w:val="20"/>
          <w:lang w:eastAsia="en-US"/>
        </w:rPr>
        <w:t>In addition, we are concerned that benchmark administrators</w:t>
      </w:r>
      <w:r w:rsidR="00A90B4A" w:rsidRPr="003F77A1">
        <w:rPr>
          <w:rFonts w:cs="Arial"/>
          <w:szCs w:val="20"/>
          <w:lang w:eastAsia="en-US"/>
        </w:rPr>
        <w:t xml:space="preserve"> have the responsibility</w:t>
      </w:r>
      <w:r w:rsidRPr="003F77A1">
        <w:rPr>
          <w:rFonts w:cs="Arial"/>
          <w:szCs w:val="20"/>
          <w:lang w:eastAsia="en-US"/>
        </w:rPr>
        <w:t xml:space="preserve"> to determine whether its benchmark is below the relevant thresholds so that it can apply the exemptions applicable to significant or non-significant</w:t>
      </w:r>
      <w:r w:rsidR="00E22A42">
        <w:rPr>
          <w:rFonts w:cs="Arial"/>
          <w:szCs w:val="20"/>
          <w:lang w:eastAsia="en-US"/>
        </w:rPr>
        <w:t xml:space="preserve"> benchmarks. The issue is that</w:t>
      </w:r>
      <w:r w:rsidRPr="003F77A1">
        <w:rPr>
          <w:rFonts w:cs="Arial"/>
          <w:szCs w:val="20"/>
          <w:lang w:eastAsia="en-US"/>
        </w:rPr>
        <w:t xml:space="preserve"> they would not necessarily have visibility of the breadth of use of a given benchmark.  </w:t>
      </w:r>
      <w:r w:rsidR="00A90B4A" w:rsidRPr="003F77A1">
        <w:rPr>
          <w:rFonts w:cs="Arial"/>
          <w:szCs w:val="20"/>
          <w:lang w:eastAsia="en-US"/>
        </w:rPr>
        <w:t>In many cases, the administrator will not be the issuer of</w:t>
      </w:r>
      <w:r w:rsidR="00E22A42">
        <w:rPr>
          <w:rFonts w:cs="Arial"/>
          <w:szCs w:val="20"/>
          <w:lang w:eastAsia="en-US"/>
        </w:rPr>
        <w:t>,</w:t>
      </w:r>
      <w:r w:rsidR="00A90B4A" w:rsidRPr="003F77A1">
        <w:rPr>
          <w:rFonts w:cs="Arial"/>
          <w:szCs w:val="20"/>
          <w:lang w:eastAsia="en-US"/>
        </w:rPr>
        <w:t xml:space="preserve"> or counterparty to</w:t>
      </w:r>
      <w:r w:rsidR="00E22A42">
        <w:rPr>
          <w:rFonts w:cs="Arial"/>
          <w:szCs w:val="20"/>
          <w:lang w:eastAsia="en-US"/>
        </w:rPr>
        <w:t>,</w:t>
      </w:r>
      <w:r w:rsidR="00A90B4A" w:rsidRPr="003F77A1">
        <w:rPr>
          <w:rFonts w:cs="Arial"/>
          <w:szCs w:val="20"/>
          <w:lang w:eastAsia="en-US"/>
        </w:rPr>
        <w:t xml:space="preserve"> the financial instruments or financial contracts</w:t>
      </w:r>
      <w:r w:rsidR="00E22A42">
        <w:rPr>
          <w:rFonts w:cs="Arial"/>
          <w:szCs w:val="20"/>
          <w:lang w:eastAsia="en-US"/>
        </w:rPr>
        <w:t>,</w:t>
      </w:r>
      <w:r w:rsidR="00A90B4A" w:rsidRPr="003F77A1">
        <w:rPr>
          <w:rFonts w:cs="Arial"/>
          <w:szCs w:val="20"/>
          <w:lang w:eastAsia="en-US"/>
        </w:rPr>
        <w:t xml:space="preserve"> or the manager of the funds that reference its benchmarks</w:t>
      </w:r>
      <w:r w:rsidR="00E22A42">
        <w:rPr>
          <w:rFonts w:cs="Arial"/>
          <w:szCs w:val="20"/>
          <w:lang w:eastAsia="en-US"/>
        </w:rPr>
        <w:t>,</w:t>
      </w:r>
      <w:r w:rsidR="00A90B4A" w:rsidRPr="003F77A1">
        <w:rPr>
          <w:rFonts w:cs="Arial"/>
          <w:szCs w:val="20"/>
          <w:lang w:eastAsia="en-US"/>
        </w:rPr>
        <w:t xml:space="preserve"> and may have no means of establishing the extent to which its benchmarks are used in this way. This </w:t>
      </w:r>
      <w:r w:rsidR="00E22A42">
        <w:rPr>
          <w:rFonts w:cs="Arial"/>
          <w:szCs w:val="20"/>
          <w:lang w:eastAsia="en-US"/>
        </w:rPr>
        <w:t xml:space="preserve">issue </w:t>
      </w:r>
      <w:r w:rsidR="00A90B4A" w:rsidRPr="003F77A1">
        <w:rPr>
          <w:rFonts w:cs="Arial"/>
          <w:szCs w:val="20"/>
          <w:lang w:eastAsia="en-US"/>
        </w:rPr>
        <w:t>will be particularly significant where the benchmark is available free of charge or is licensed for use indirectly through distributors. Even where the administrator can identify the relevant instruments, co</w:t>
      </w:r>
      <w:r w:rsidR="00A90B4A" w:rsidRPr="003F77A1">
        <w:rPr>
          <w:rFonts w:cs="Arial"/>
          <w:szCs w:val="20"/>
          <w:lang w:eastAsia="en-US"/>
        </w:rPr>
        <w:t>n</w:t>
      </w:r>
      <w:r w:rsidR="00A90B4A" w:rsidRPr="003F77A1">
        <w:rPr>
          <w:rFonts w:cs="Arial"/>
          <w:szCs w:val="20"/>
          <w:lang w:eastAsia="en-US"/>
        </w:rPr>
        <w:t>tracts or funds</w:t>
      </w:r>
      <w:r w:rsidR="00E22A42">
        <w:rPr>
          <w:rFonts w:cs="Arial"/>
          <w:szCs w:val="20"/>
          <w:lang w:eastAsia="en-US"/>
        </w:rPr>
        <w:t>,</w:t>
      </w:r>
      <w:r w:rsidR="00A90B4A" w:rsidRPr="003F77A1">
        <w:rPr>
          <w:rFonts w:cs="Arial"/>
          <w:szCs w:val="20"/>
          <w:lang w:eastAsia="en-US"/>
        </w:rPr>
        <w:t xml:space="preserve"> it may not have up to date data on outstanding notional amounts or net asset values and may not be able to calculate these amounts, especially if the calculation has to be carried out on a conti</w:t>
      </w:r>
      <w:r w:rsidR="00A90B4A" w:rsidRPr="003F77A1">
        <w:rPr>
          <w:rFonts w:cs="Arial"/>
          <w:szCs w:val="20"/>
          <w:lang w:eastAsia="en-US"/>
        </w:rPr>
        <w:t>n</w:t>
      </w:r>
      <w:r w:rsidR="00A90B4A" w:rsidRPr="003F77A1">
        <w:rPr>
          <w:rFonts w:cs="Arial"/>
          <w:szCs w:val="20"/>
          <w:lang w:eastAsia="en-US"/>
        </w:rPr>
        <w:t>uous basis.</w:t>
      </w:r>
    </w:p>
    <w:p w:rsidR="0090091A" w:rsidRPr="003F77A1" w:rsidRDefault="0090091A" w:rsidP="00A90B4A">
      <w:pPr>
        <w:autoSpaceDE w:val="0"/>
        <w:autoSpaceDN w:val="0"/>
        <w:adjustRightInd w:val="0"/>
        <w:spacing w:after="120"/>
        <w:jc w:val="both"/>
        <w:rPr>
          <w:rFonts w:cs="Arial"/>
          <w:szCs w:val="20"/>
          <w:lang w:eastAsia="en-US"/>
        </w:rPr>
      </w:pPr>
      <w:r w:rsidRPr="003F77A1">
        <w:rPr>
          <w:rFonts w:cs="Arial"/>
          <w:szCs w:val="20"/>
          <w:lang w:eastAsia="en-US"/>
        </w:rPr>
        <w:t>We would encourage ESMA to take a coordinating role in creating and maintaining a central registry to keep information that is beyond the visibility of any particular administrator. ESM</w:t>
      </w:r>
      <w:r w:rsidR="00754CB3">
        <w:rPr>
          <w:rFonts w:cs="Arial"/>
          <w:szCs w:val="20"/>
          <w:lang w:eastAsia="en-US"/>
        </w:rPr>
        <w:t xml:space="preserve">A can establish linkages to </w:t>
      </w:r>
      <w:r w:rsidR="00754CB3" w:rsidRPr="003B6143">
        <w:rPr>
          <w:rFonts w:cs="Arial"/>
          <w:szCs w:val="20"/>
          <w:u w:val="single"/>
          <w:lang w:eastAsia="en-US"/>
        </w:rPr>
        <w:t>centralised</w:t>
      </w:r>
      <w:r w:rsidR="00754CB3">
        <w:rPr>
          <w:rFonts w:cs="Arial"/>
          <w:szCs w:val="20"/>
          <w:lang w:eastAsia="en-US"/>
        </w:rPr>
        <w:t xml:space="preserve"> </w:t>
      </w:r>
      <w:r w:rsidR="003B6143">
        <w:rPr>
          <w:rFonts w:cs="Arial"/>
          <w:szCs w:val="20"/>
          <w:lang w:eastAsia="en-US"/>
        </w:rPr>
        <w:t>data sources such as exchanges and</w:t>
      </w:r>
      <w:r w:rsidRPr="003F77A1">
        <w:rPr>
          <w:rFonts w:cs="Arial"/>
          <w:szCs w:val="20"/>
          <w:lang w:eastAsia="en-US"/>
        </w:rPr>
        <w:t xml:space="preserve"> central counterparties while leveraging its data colle</w:t>
      </w:r>
      <w:r w:rsidRPr="003F77A1">
        <w:rPr>
          <w:rFonts w:cs="Arial"/>
          <w:szCs w:val="20"/>
          <w:lang w:eastAsia="en-US"/>
        </w:rPr>
        <w:t>c</w:t>
      </w:r>
      <w:r w:rsidRPr="003F77A1">
        <w:rPr>
          <w:rFonts w:cs="Arial"/>
          <w:szCs w:val="20"/>
          <w:lang w:eastAsia="en-US"/>
        </w:rPr>
        <w:t xml:space="preserve">tion activity (and systems build) under </w:t>
      </w:r>
      <w:proofErr w:type="spellStart"/>
      <w:r w:rsidRPr="003F77A1">
        <w:rPr>
          <w:rFonts w:cs="Arial"/>
          <w:szCs w:val="20"/>
          <w:lang w:eastAsia="en-US"/>
        </w:rPr>
        <w:t>MiFID</w:t>
      </w:r>
      <w:proofErr w:type="spellEnd"/>
      <w:r w:rsidRPr="003F77A1">
        <w:rPr>
          <w:rFonts w:cs="Arial"/>
          <w:szCs w:val="20"/>
          <w:lang w:eastAsia="en-US"/>
        </w:rPr>
        <w:t xml:space="preserve"> II and other pieces of EU legislation.</w:t>
      </w:r>
    </w:p>
    <w:p w:rsidR="00F0591D" w:rsidRPr="0090091A" w:rsidRDefault="00F0591D" w:rsidP="0090091A">
      <w:pPr>
        <w:autoSpaceDE w:val="0"/>
        <w:autoSpaceDN w:val="0"/>
        <w:adjustRightInd w:val="0"/>
        <w:spacing w:after="120"/>
        <w:jc w:val="both"/>
        <w:rPr>
          <w:rFonts w:asciiTheme="minorHAnsi" w:hAnsiTheme="minorHAnsi" w:cs="Arial"/>
          <w:bCs/>
          <w:sz w:val="22"/>
          <w:szCs w:val="22"/>
          <w:lang w:eastAsia="en-US"/>
        </w:rPr>
      </w:pPr>
    </w:p>
    <w:permEnd w:id="2063080689"/>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2088058199" w:edGrp="everyone"/>
      <w:r>
        <w:t>TYPE YOUR TEXT HERE</w:t>
      </w:r>
    </w:p>
    <w:permEnd w:id="2088058199"/>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369122957" w:edGrp="everyone"/>
      <w:r>
        <w:t>TYPE YOUR TEXT HERE</w:t>
      </w:r>
    </w:p>
    <w:permEnd w:id="369122957"/>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116468411" w:edGrp="everyone"/>
      <w:r>
        <w:t>TYPE YOUR TEXT HERE</w:t>
      </w:r>
    </w:p>
    <w:permEnd w:id="116468411"/>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lastRenderedPageBreak/>
        <w:t>&lt;ESMA_QUESTION_DP_BMR_75&gt;</w:t>
      </w:r>
    </w:p>
    <w:p w:rsidR="003B6143" w:rsidRDefault="003B6143" w:rsidP="003B6143">
      <w:permStart w:id="334723677" w:edGrp="everyone"/>
      <w:r>
        <w:t>TYPE YOUR TEXT HERE</w:t>
      </w:r>
    </w:p>
    <w:permEnd w:id="334723677"/>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F0591D" w:rsidRPr="00A90B4A" w:rsidRDefault="00F0591D" w:rsidP="00F0591D">
      <w:pPr>
        <w:rPr>
          <w:rFonts w:cs="Arial"/>
          <w:sz w:val="22"/>
          <w:szCs w:val="22"/>
          <w:lang w:eastAsia="en-US"/>
        </w:rPr>
      </w:pPr>
      <w:permStart w:id="645758338" w:edGrp="everyone"/>
      <w:r w:rsidRPr="003F77A1">
        <w:rPr>
          <w:rFonts w:cs="Arial"/>
          <w:szCs w:val="20"/>
          <w:lang w:eastAsia="en-US"/>
        </w:rPr>
        <w:t>To use the full notional amount/NAV would create duplication and potentially incorrectly push benchmarks into the critical category when they are not. The first option is therefore preferable</w:t>
      </w:r>
      <w:r w:rsidR="00A90B4A">
        <w:rPr>
          <w:rFonts w:cs="Arial"/>
          <w:sz w:val="22"/>
          <w:szCs w:val="22"/>
          <w:lang w:eastAsia="en-US"/>
        </w:rPr>
        <w:t>.</w:t>
      </w:r>
    </w:p>
    <w:permEnd w:id="645758338"/>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A90B4A" w:rsidRPr="00294C2C" w:rsidRDefault="00A90B4A" w:rsidP="00F0591D">
      <w:pPr>
        <w:autoSpaceDE w:val="0"/>
        <w:autoSpaceDN w:val="0"/>
        <w:adjustRightInd w:val="0"/>
        <w:spacing w:after="120"/>
        <w:jc w:val="both"/>
        <w:rPr>
          <w:rFonts w:cs="Arial"/>
          <w:szCs w:val="20"/>
          <w:lang w:eastAsia="en-US"/>
        </w:rPr>
      </w:pPr>
      <w:permStart w:id="1136279093" w:edGrp="everyone"/>
      <w:r w:rsidRPr="00294C2C">
        <w:rPr>
          <w:rFonts w:cs="Arial"/>
          <w:szCs w:val="20"/>
          <w:lang w:eastAsia="en-US"/>
        </w:rPr>
        <w:t xml:space="preserve">Under </w:t>
      </w:r>
      <w:r w:rsidR="00DB1140" w:rsidRPr="00294C2C">
        <w:rPr>
          <w:rFonts w:cs="Arial"/>
          <w:szCs w:val="20"/>
          <w:lang w:eastAsia="en-US"/>
        </w:rPr>
        <w:t>BMR</w:t>
      </w:r>
      <w:r w:rsidRPr="00294C2C">
        <w:rPr>
          <w:rFonts w:cs="Arial"/>
          <w:szCs w:val="20"/>
          <w:lang w:eastAsia="en-US"/>
        </w:rPr>
        <w:t>, the nominal amount of financial instruments other than derivatives, the notional amount of derivatives and the net asset value of investment funds need to be assessed for the purpose of determi</w:t>
      </w:r>
      <w:r w:rsidRPr="00294C2C">
        <w:rPr>
          <w:rFonts w:cs="Arial"/>
          <w:szCs w:val="20"/>
          <w:lang w:eastAsia="en-US"/>
        </w:rPr>
        <w:t>n</w:t>
      </w:r>
      <w:r w:rsidRPr="00294C2C">
        <w:rPr>
          <w:rFonts w:cs="Arial"/>
          <w:szCs w:val="20"/>
          <w:lang w:eastAsia="en-US"/>
        </w:rPr>
        <w:t>ing whether a benchmark is critical and this has to be done also “in case of the indirect reference to a benchmark within a combination of benchmarks”. Therefore, in case of a financial instrument, a derivative or an investment fund referencing to a composite benchmark, two different approaches may be consi</w:t>
      </w:r>
      <w:r w:rsidRPr="00294C2C">
        <w:rPr>
          <w:rFonts w:cs="Arial"/>
          <w:szCs w:val="20"/>
          <w:lang w:eastAsia="en-US"/>
        </w:rPr>
        <w:t>d</w:t>
      </w:r>
      <w:r w:rsidRPr="00294C2C">
        <w:rPr>
          <w:rFonts w:cs="Arial"/>
          <w:szCs w:val="20"/>
          <w:lang w:eastAsia="en-US"/>
        </w:rPr>
        <w:t>ered. Firstly, only the portion of the nominal amount of the financial instrument / notional amount of the derivative/ net asset value of the investment fund which refers to the single benchmark (within a combin</w:t>
      </w:r>
      <w:r w:rsidRPr="00294C2C">
        <w:rPr>
          <w:rFonts w:cs="Arial"/>
          <w:szCs w:val="20"/>
          <w:lang w:eastAsia="en-US"/>
        </w:rPr>
        <w:t>a</w:t>
      </w:r>
      <w:r w:rsidRPr="00294C2C">
        <w:rPr>
          <w:rFonts w:cs="Arial"/>
          <w:szCs w:val="20"/>
          <w:lang w:eastAsia="en-US"/>
        </w:rPr>
        <w:t>tion of benchmarks) the criticality of which is being assessed could be taken into account. Secondly, whenever a financial instrument, a derivatives or an investment fund makes reference to a benchmark (within a combination of benchmarks), the “full” nominal amount / notional amount / net asset value could be seen as relevant for the purpose of the assessment whether the relevant benchmark is critical or not.</w:t>
      </w:r>
    </w:p>
    <w:p w:rsidR="008E1CFD" w:rsidRPr="00294C2C" w:rsidRDefault="00786CCC" w:rsidP="009A2624">
      <w:pPr>
        <w:rPr>
          <w:rFonts w:cs="Arial"/>
          <w:szCs w:val="20"/>
          <w:lang w:eastAsia="en-US"/>
        </w:rPr>
      </w:pPr>
      <w:r w:rsidRPr="00294C2C">
        <w:rPr>
          <w:rFonts w:cs="Arial"/>
          <w:szCs w:val="20"/>
          <w:lang w:eastAsia="en-US"/>
        </w:rPr>
        <w:t xml:space="preserve">In general, we would highlight that it will be extremely challenging to measure the indirect usage of a benchmark within a combination of benchmarks. We would prefer Option 1 but would prefer to assess the usage at a family level rather than individual index level. For example, if a particular basket index product references S&amp;P 500 Energy, FTSE 100 and CAC 40, we would prefer the assessment to be made at S&amp;P 500 level rather than S&amp;P </w:t>
      </w:r>
      <w:r w:rsidR="00635B30" w:rsidRPr="00294C2C">
        <w:rPr>
          <w:rFonts w:cs="Arial"/>
          <w:szCs w:val="20"/>
          <w:lang w:eastAsia="en-US"/>
        </w:rPr>
        <w:t>500 Energy level.</w:t>
      </w:r>
    </w:p>
    <w:permEnd w:id="1136279093"/>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830991" w:rsidRPr="003F77A1" w:rsidRDefault="008E1CFD" w:rsidP="00830991">
      <w:pPr>
        <w:rPr>
          <w:szCs w:val="20"/>
        </w:rPr>
      </w:pPr>
      <w:permStart w:id="1508274786" w:edGrp="everyone"/>
      <w:r>
        <w:rPr>
          <w:szCs w:val="20"/>
        </w:rPr>
        <w:t>In line with the GFMA/ISDA/FIA response, w</w:t>
      </w:r>
      <w:r w:rsidR="00830991" w:rsidRPr="003F77A1">
        <w:rPr>
          <w:szCs w:val="20"/>
        </w:rPr>
        <w:t>e support the relative impact approach to evaluate the five areas in relation to the total size of the market in the jurisdiction, rather than an absolute basis</w:t>
      </w:r>
      <w:r w:rsidR="00E22A42">
        <w:rPr>
          <w:szCs w:val="20"/>
        </w:rPr>
        <w:t xml:space="preserve"> approach</w:t>
      </w:r>
      <w:r w:rsidR="00830991" w:rsidRPr="003F77A1">
        <w:rPr>
          <w:szCs w:val="20"/>
        </w:rPr>
        <w:t xml:space="preserve">. </w:t>
      </w:r>
      <w:r w:rsidR="00E22A42">
        <w:rPr>
          <w:szCs w:val="20"/>
        </w:rPr>
        <w:t>The relative impact approach should reveal</w:t>
      </w:r>
      <w:r w:rsidR="00830991" w:rsidRPr="003F77A1">
        <w:rPr>
          <w:szCs w:val="20"/>
        </w:rPr>
        <w:t xml:space="preserve"> material dependencies on a benchmark within specific me</w:t>
      </w:r>
      <w:r w:rsidR="00830991" w:rsidRPr="003F77A1">
        <w:rPr>
          <w:szCs w:val="20"/>
        </w:rPr>
        <w:t>m</w:t>
      </w:r>
      <w:r w:rsidR="00830991" w:rsidRPr="003F77A1">
        <w:rPr>
          <w:szCs w:val="20"/>
        </w:rPr>
        <w:t>ber states that may not be apparent if a benchmark is considered on an absolute basis.</w:t>
      </w:r>
    </w:p>
    <w:p w:rsidR="00A90B4A" w:rsidRPr="003F77A1" w:rsidRDefault="00A90B4A" w:rsidP="00830991">
      <w:pPr>
        <w:rPr>
          <w:szCs w:val="20"/>
        </w:rPr>
      </w:pPr>
    </w:p>
    <w:p w:rsidR="00830991" w:rsidRPr="003F77A1" w:rsidRDefault="00830991" w:rsidP="00830991">
      <w:pPr>
        <w:rPr>
          <w:szCs w:val="20"/>
        </w:rPr>
      </w:pPr>
      <w:r w:rsidRPr="003F77A1">
        <w:rPr>
          <w:szCs w:val="20"/>
        </w:rPr>
        <w:t xml:space="preserve">Given the implications of being classified as a critical benchmark, it is of vital importance that the relevant assessment be sufficiently defined and robust so that it does not yield different results following each biennial reassessment. We therefore fully support ESMA’s view that the approach for the test should be </w:t>
      </w:r>
      <w:r w:rsidRPr="003F77A1">
        <w:rPr>
          <w:szCs w:val="20"/>
        </w:rPr>
        <w:lastRenderedPageBreak/>
        <w:t>relative rather than absolute. This is of particular importance given that the relevant elements of the qual</w:t>
      </w:r>
      <w:r w:rsidRPr="003F77A1">
        <w:rPr>
          <w:szCs w:val="20"/>
        </w:rPr>
        <w:t>i</w:t>
      </w:r>
      <w:r w:rsidRPr="003F77A1">
        <w:rPr>
          <w:szCs w:val="20"/>
        </w:rPr>
        <w:t xml:space="preserve">tative test are intended to measure the impact of a potential, unquantifiable and unknown event. Whilst the results of cessation or unreliability can be hypothesised, they cannot be known or measured. This means that the assessment must ensure with a high level of certainty that the risks associated with a particular benchmark are </w:t>
      </w:r>
      <w:proofErr w:type="gramStart"/>
      <w:r w:rsidRPr="003F77A1">
        <w:rPr>
          <w:szCs w:val="20"/>
        </w:rPr>
        <w:t>so</w:t>
      </w:r>
      <w:proofErr w:type="gramEnd"/>
      <w:r w:rsidRPr="003F77A1">
        <w:rPr>
          <w:szCs w:val="20"/>
        </w:rPr>
        <w:t xml:space="preserve"> undeniable as to be able to predict the expected results.</w:t>
      </w:r>
    </w:p>
    <w:p w:rsidR="00A90B4A" w:rsidRPr="003F77A1" w:rsidRDefault="00A90B4A" w:rsidP="00830991">
      <w:pPr>
        <w:rPr>
          <w:szCs w:val="20"/>
        </w:rPr>
      </w:pPr>
    </w:p>
    <w:p w:rsidR="00830991" w:rsidRPr="003F77A1" w:rsidRDefault="00830991" w:rsidP="00830991">
      <w:pPr>
        <w:rPr>
          <w:szCs w:val="20"/>
        </w:rPr>
      </w:pPr>
      <w:r w:rsidRPr="003F77A1">
        <w:rPr>
          <w:szCs w:val="20"/>
        </w:rPr>
        <w:t>We believe that the suggested ratios are appropriate but should be subject to significant further refinement which we believe could be appropriately done through bilateral discussion with national competent author</w:t>
      </w:r>
      <w:r w:rsidRPr="003F77A1">
        <w:rPr>
          <w:szCs w:val="20"/>
        </w:rPr>
        <w:t>i</w:t>
      </w:r>
      <w:r w:rsidRPr="003F77A1">
        <w:rPr>
          <w:szCs w:val="20"/>
        </w:rPr>
        <w:t>ties. In addition, it remains unclear how the values suggested will be calculated and we therefore seek further clarification on whether these values will simply follow those relied on for the quantitative test (which could lead to duplication of errors) or whether independent analysis will be conducted in order to take account of the increased scope of the assessment.</w:t>
      </w:r>
    </w:p>
    <w:p w:rsidR="00A90B4A" w:rsidRPr="003F77A1" w:rsidRDefault="00A90B4A" w:rsidP="00830991">
      <w:pPr>
        <w:rPr>
          <w:szCs w:val="20"/>
        </w:rPr>
      </w:pPr>
    </w:p>
    <w:p w:rsidR="008E1CFD" w:rsidRDefault="00830991" w:rsidP="009A2624">
      <w:r w:rsidRPr="003F77A1">
        <w:rPr>
          <w:szCs w:val="20"/>
        </w:rPr>
        <w:t xml:space="preserve">Lastly, this question raises the need for a central registry to house and track information beyond the purview of any particular administrator. We believe ESMA should play a central role in creating such a central registry </w:t>
      </w:r>
      <w:r w:rsidR="00C92B4B">
        <w:rPr>
          <w:szCs w:val="20"/>
        </w:rPr>
        <w:t>and establishing linkages to centralised</w:t>
      </w:r>
      <w:r w:rsidRPr="003F77A1">
        <w:rPr>
          <w:szCs w:val="20"/>
        </w:rPr>
        <w:t xml:space="preserve"> data sources such as exchanges, and central counterparties.</w:t>
      </w:r>
      <w:r>
        <w:t xml:space="preserve"> </w:t>
      </w:r>
    </w:p>
    <w:permEnd w:id="1508274786"/>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1553143834" w:edGrp="everyone"/>
      <w:r>
        <w:t>TYPE YOUR TEXT HERE</w:t>
      </w:r>
    </w:p>
    <w:permEnd w:id="1553143834"/>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A90B4A" w:rsidRDefault="00A90B4A" w:rsidP="00A90B4A">
      <w:permStart w:id="1087384453" w:edGrp="everyone"/>
      <w:r>
        <w:t>TYPE YOUR TEXT HERE</w:t>
      </w:r>
    </w:p>
    <w:permEnd w:id="1087384453"/>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A90B4A" w:rsidRDefault="00A90B4A" w:rsidP="00A90B4A">
      <w:permStart w:id="1855336967" w:edGrp="everyone"/>
      <w:r>
        <w:t>TYPE YOUR TEXT HERE</w:t>
      </w:r>
    </w:p>
    <w:permEnd w:id="1855336967"/>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F0591D" w:rsidRPr="00A90B4A" w:rsidRDefault="00A90B4A" w:rsidP="00A90B4A">
      <w:permStart w:id="58668442" w:edGrp="everyone"/>
      <w:r>
        <w:t>TYPE YOUR TEXT HERE</w:t>
      </w:r>
    </w:p>
    <w:permEnd w:id="58668442"/>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lastRenderedPageBreak/>
        <w:t>Do you think the circumstances under which a benchmark determination may become unreli</w:t>
      </w:r>
      <w:r w:rsidRPr="007F44BF">
        <w:t>a</w:t>
      </w:r>
      <w:r w:rsidRPr="007F44BF">
        <w:t>ble can be sufficiently described by the suggested aspects?</w:t>
      </w:r>
    </w:p>
    <w:p w:rsidR="009A2624" w:rsidRDefault="009A2624" w:rsidP="009A2624">
      <w:r>
        <w:t>&lt;ESMA_QUESTION_DP_BMR_83&gt;</w:t>
      </w:r>
    </w:p>
    <w:p w:rsidR="009A2624" w:rsidRDefault="009A2624" w:rsidP="009A2624">
      <w:permStart w:id="1178026403" w:edGrp="everyone"/>
      <w:r>
        <w:t>TYPE YOUR TEXT HERE</w:t>
      </w:r>
    </w:p>
    <w:permEnd w:id="1178026403"/>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1191997088" w:edGrp="everyone"/>
      <w:r>
        <w:t>TYPE YOUR TEXT HERE</w:t>
      </w:r>
    </w:p>
    <w:permEnd w:id="1191997088"/>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9A2624" w:rsidRDefault="009A2624" w:rsidP="009A2624">
      <w:permStart w:id="1822189160" w:edGrp="everyone"/>
      <w:r>
        <w:t>TYPE YOUR TEXT HERE</w:t>
      </w:r>
    </w:p>
    <w:permEnd w:id="1822189160"/>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1216246863" w:edGrp="everyone"/>
      <w:r>
        <w:t>TYPE YOUR TEXT HERE</w:t>
      </w:r>
    </w:p>
    <w:permEnd w:id="1216246863"/>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t>&lt;ESMA_QUESTION_DP_BMR_87&gt;</w:t>
      </w:r>
    </w:p>
    <w:p w:rsidR="003B6143" w:rsidRDefault="003B6143" w:rsidP="003B6143">
      <w:permStart w:id="1381842299" w:edGrp="everyone"/>
      <w:r>
        <w:t>TYPE YOUR TEXT HERE</w:t>
      </w:r>
    </w:p>
    <w:permEnd w:id="1381842299"/>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Default="009A2624" w:rsidP="009A2624">
      <w:permStart w:id="1849099046" w:edGrp="everyone"/>
      <w:r>
        <w:t>TYPE YOUR TEXT HERE</w:t>
      </w:r>
    </w:p>
    <w:permEnd w:id="1849099046"/>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493122878" w:edGrp="everyone"/>
      <w:r>
        <w:t>TYPE YOUR TEXT HERE</w:t>
      </w:r>
    </w:p>
    <w:permEnd w:id="493122878"/>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lastRenderedPageBreak/>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407188860" w:edGrp="everyone"/>
      <w:r>
        <w:t>TYPE YOUR TEXT HERE</w:t>
      </w:r>
    </w:p>
    <w:permEnd w:id="407188860"/>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9A2624" w:rsidRDefault="009A2624" w:rsidP="009A2624">
      <w:permStart w:id="937185870" w:edGrp="everyone"/>
      <w:r>
        <w:t>TYPE YOUR TEXT HERE</w:t>
      </w:r>
    </w:p>
    <w:permEnd w:id="937185870"/>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1917460991" w:edGrp="everyone"/>
      <w:r>
        <w:t>TYPE YOUR TEXT HERE</w:t>
      </w:r>
    </w:p>
    <w:permEnd w:id="1917460991"/>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F0591D" w:rsidRPr="0055403A" w:rsidRDefault="0055403A" w:rsidP="00F0591D">
      <w:pPr>
        <w:autoSpaceDE w:val="0"/>
        <w:autoSpaceDN w:val="0"/>
        <w:adjustRightInd w:val="0"/>
        <w:spacing w:after="120"/>
        <w:jc w:val="both"/>
        <w:rPr>
          <w:rFonts w:asciiTheme="minorHAnsi" w:hAnsiTheme="minorHAnsi" w:cs="Arial"/>
          <w:color w:val="FF0000"/>
          <w:szCs w:val="20"/>
          <w:lang w:eastAsia="en-US"/>
        </w:rPr>
      </w:pPr>
      <w:permStart w:id="1626169682" w:edGrp="everyone"/>
      <w:r w:rsidRPr="0055403A">
        <w:rPr>
          <w:rFonts w:cs="Arial"/>
          <w:szCs w:val="20"/>
          <w:lang w:eastAsia="en-US"/>
        </w:rPr>
        <w:t>Under the BMR, a</w:t>
      </w:r>
      <w:r w:rsidR="00F0591D" w:rsidRPr="0055403A">
        <w:rPr>
          <w:rFonts w:cs="Arial"/>
          <w:szCs w:val="20"/>
          <w:lang w:eastAsia="en-US"/>
        </w:rPr>
        <w:t xml:space="preserve"> natural or legal person </w:t>
      </w:r>
      <w:r w:rsidR="00F0591D" w:rsidRPr="00135ABE">
        <w:rPr>
          <w:rFonts w:cs="Arial"/>
          <w:szCs w:val="20"/>
          <w:lang w:eastAsia="en-US"/>
        </w:rPr>
        <w:t>located in the EU</w:t>
      </w:r>
      <w:r w:rsidR="00F0591D" w:rsidRPr="0055403A">
        <w:rPr>
          <w:rFonts w:cs="Arial"/>
          <w:szCs w:val="20"/>
          <w:lang w:eastAsia="en-US"/>
        </w:rPr>
        <w:t xml:space="preserve"> that intends to act as an administrator by the relevant compe</w:t>
      </w:r>
      <w:r w:rsidRPr="0055403A">
        <w:rPr>
          <w:rFonts w:cs="Arial"/>
          <w:szCs w:val="20"/>
          <w:lang w:eastAsia="en-US"/>
        </w:rPr>
        <w:t xml:space="preserve">tent authority </w:t>
      </w:r>
      <w:r w:rsidR="00F0591D" w:rsidRPr="0055403A">
        <w:rPr>
          <w:rFonts w:cs="Arial"/>
          <w:szCs w:val="20"/>
          <w:lang w:eastAsia="en-US"/>
        </w:rPr>
        <w:t>needs to be authorised. Where such persons are a supervised entity, Article 23 provides for that entity to be registered by the relevant competent authority, only where a) the legal framework applicable to the entity does not prevent it from acting as an administrator and b) where it does not intend to act as administrator to critical benchmarks as defined by the Regulation. If a person only intends to act as an administrator of a non-significant benchmark, then they will be subject to registration. ESMA is required to specify the information to be provided by the applicants for authorisation and the applicant’s registration</w:t>
      </w:r>
      <w:r w:rsidR="00F0591D" w:rsidRPr="0055403A">
        <w:rPr>
          <w:rFonts w:asciiTheme="minorHAnsi" w:hAnsiTheme="minorHAnsi" w:cs="Arial"/>
          <w:color w:val="FF0000"/>
          <w:szCs w:val="20"/>
          <w:lang w:eastAsia="en-US"/>
        </w:rPr>
        <w:t>.</w:t>
      </w:r>
    </w:p>
    <w:p w:rsidR="00B60CD6" w:rsidRPr="003F77A1" w:rsidRDefault="00B60CD6" w:rsidP="00B60CD6">
      <w:pPr>
        <w:autoSpaceDE w:val="0"/>
        <w:autoSpaceDN w:val="0"/>
        <w:adjustRightInd w:val="0"/>
        <w:spacing w:after="120"/>
        <w:jc w:val="both"/>
        <w:rPr>
          <w:rFonts w:cs="Arial"/>
          <w:szCs w:val="20"/>
          <w:lang w:eastAsia="en-US"/>
        </w:rPr>
      </w:pPr>
      <w:r w:rsidRPr="003F77A1">
        <w:rPr>
          <w:rFonts w:cs="Arial"/>
          <w:szCs w:val="20"/>
          <w:lang w:eastAsia="en-US"/>
        </w:rPr>
        <w:t>While we appreciate that many of the elements outlined in Section 12.3 of the Discussion Paper may be important for a new administrator, much of the required information will be already well known by national competent authorities of supervised entities. For these institutions, authorisation/ registration should be tailored to the specific additional requirements relating to benchmarks, namely focus on benchmark statements and methodologies and the particular governance and control framework supporting benc</w:t>
      </w:r>
      <w:r w:rsidRPr="003F77A1">
        <w:rPr>
          <w:rFonts w:cs="Arial"/>
          <w:szCs w:val="20"/>
          <w:lang w:eastAsia="en-US"/>
        </w:rPr>
        <w:t>h</w:t>
      </w:r>
      <w:r w:rsidRPr="003F77A1">
        <w:rPr>
          <w:rFonts w:cs="Arial"/>
          <w:szCs w:val="20"/>
          <w:lang w:eastAsia="en-US"/>
        </w:rPr>
        <w:t>mark administration.</w:t>
      </w:r>
    </w:p>
    <w:p w:rsidR="00B60CD6" w:rsidRPr="003F77A1" w:rsidRDefault="00B60CD6" w:rsidP="00B60CD6">
      <w:pPr>
        <w:autoSpaceDE w:val="0"/>
        <w:autoSpaceDN w:val="0"/>
        <w:adjustRightInd w:val="0"/>
        <w:spacing w:after="120"/>
        <w:jc w:val="both"/>
        <w:rPr>
          <w:rFonts w:cs="Arial"/>
          <w:szCs w:val="20"/>
          <w:lang w:eastAsia="en-US"/>
        </w:rPr>
      </w:pPr>
      <w:r w:rsidRPr="003F77A1">
        <w:rPr>
          <w:rFonts w:cs="Arial"/>
          <w:szCs w:val="20"/>
          <w:lang w:eastAsia="en-US"/>
        </w:rPr>
        <w:t>We also note that these requirements could be onerous for administrators of smaller benchmarks of a less critical nature. ESMA should consider applying proportionality in relation to the size of the benchmark.</w:t>
      </w:r>
    </w:p>
    <w:permEnd w:id="1626169682"/>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1486758512" w:edGrp="everyone"/>
      <w:r>
        <w:t>TYPE YOUR TEXT HERE</w:t>
      </w:r>
    </w:p>
    <w:permEnd w:id="1486758512"/>
    <w:p w:rsidR="009A2624" w:rsidRDefault="009A2624" w:rsidP="009A2624">
      <w:r>
        <w:lastRenderedPageBreak/>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660693622" w:edGrp="everyone"/>
      <w:r>
        <w:t>TYPE YOUR TEXT HERE</w:t>
      </w:r>
    </w:p>
    <w:permEnd w:id="660693622"/>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753171905" w:edGrp="everyone"/>
      <w:r>
        <w:t>TYPE YOUR TEXT HERE</w:t>
      </w:r>
    </w:p>
    <w:permEnd w:id="753171905"/>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B60CD6" w:rsidRPr="003F77A1" w:rsidRDefault="00B60CD6" w:rsidP="00B60CD6">
      <w:pPr>
        <w:rPr>
          <w:szCs w:val="20"/>
        </w:rPr>
      </w:pPr>
      <w:permStart w:id="313876539" w:edGrp="everyone"/>
      <w:r w:rsidRPr="003F77A1">
        <w:rPr>
          <w:szCs w:val="20"/>
        </w:rPr>
        <w:t>As outlined in our response to Q93, we agree that supervised entities should have a streamlined registr</w:t>
      </w:r>
      <w:r w:rsidRPr="003F77A1">
        <w:rPr>
          <w:szCs w:val="20"/>
        </w:rPr>
        <w:t>a</w:t>
      </w:r>
      <w:r w:rsidRPr="003F77A1">
        <w:rPr>
          <w:szCs w:val="20"/>
        </w:rPr>
        <w:t>tion process since these entities are known by the relevant competent authority and subject to ongoing supervision (as noted in paragraph 306 of the Discussion Paper). The focus of the registration process should be on the benchmark methodology and oversight supporting benchmark administration.</w:t>
      </w:r>
    </w:p>
    <w:p w:rsidR="00B60CD6" w:rsidRPr="008E1CFD" w:rsidRDefault="00B60CD6" w:rsidP="009A2624">
      <w:pPr>
        <w:rPr>
          <w:szCs w:val="20"/>
        </w:rPr>
      </w:pPr>
      <w:r w:rsidRPr="003F77A1">
        <w:rPr>
          <w:szCs w:val="20"/>
        </w:rPr>
        <w:t>It is particularly important for market innovation that there is also a streamlined approach for the introdu</w:t>
      </w:r>
      <w:r w:rsidRPr="003F77A1">
        <w:rPr>
          <w:szCs w:val="20"/>
        </w:rPr>
        <w:t>c</w:t>
      </w:r>
      <w:r w:rsidRPr="003F77A1">
        <w:rPr>
          <w:szCs w:val="20"/>
        </w:rPr>
        <w:t>tion of a new benchmark b</w:t>
      </w:r>
      <w:r w:rsidR="00E22A42">
        <w:rPr>
          <w:szCs w:val="20"/>
        </w:rPr>
        <w:t xml:space="preserve">y registered administrators, </w:t>
      </w:r>
      <w:r w:rsidRPr="003F77A1">
        <w:rPr>
          <w:szCs w:val="20"/>
        </w:rPr>
        <w:t>potentially</w:t>
      </w:r>
      <w:r w:rsidR="00E22A42">
        <w:rPr>
          <w:szCs w:val="20"/>
        </w:rPr>
        <w:t xml:space="preserve"> via</w:t>
      </w:r>
      <w:r w:rsidRPr="003F77A1">
        <w:rPr>
          <w:szCs w:val="20"/>
        </w:rPr>
        <w:t xml:space="preserve"> introducing a third form of registr</w:t>
      </w:r>
      <w:r w:rsidRPr="003F77A1">
        <w:rPr>
          <w:szCs w:val="20"/>
        </w:rPr>
        <w:t>a</w:t>
      </w:r>
      <w:r w:rsidRPr="003F77A1">
        <w:rPr>
          <w:szCs w:val="20"/>
        </w:rPr>
        <w:t>tion, i.e. for already registered administra</w:t>
      </w:r>
      <w:r w:rsidR="008E1CFD">
        <w:rPr>
          <w:szCs w:val="20"/>
        </w:rPr>
        <w:t>tors with a new index offering.</w:t>
      </w:r>
    </w:p>
    <w:permEnd w:id="313876539"/>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F0591D" w:rsidRPr="001E01B1" w:rsidRDefault="00F0591D" w:rsidP="00F0591D">
      <w:pPr>
        <w:spacing w:after="120" w:line="259" w:lineRule="auto"/>
        <w:contextualSpacing/>
        <w:jc w:val="both"/>
        <w:rPr>
          <w:rFonts w:ascii="Calibri" w:eastAsia="Calibri" w:hAnsi="Calibri"/>
          <w:color w:val="FF0000"/>
          <w:sz w:val="22"/>
          <w:szCs w:val="22"/>
          <w:lang w:eastAsia="en-US"/>
        </w:rPr>
      </w:pPr>
      <w:permStart w:id="1025272516" w:edGrp="everyone"/>
      <w:r w:rsidRPr="001E01B1">
        <w:rPr>
          <w:rFonts w:ascii="Calibri" w:eastAsia="Calibri" w:hAnsi="Calibri"/>
          <w:color w:val="FF0000"/>
          <w:sz w:val="22"/>
          <w:szCs w:val="22"/>
          <w:lang w:eastAsia="en-US"/>
        </w:rPr>
        <w:t xml:space="preserve"> </w:t>
      </w:r>
    </w:p>
    <w:permEnd w:id="1025272516"/>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B60CD6" w:rsidRPr="003F77A1" w:rsidRDefault="00B60CD6" w:rsidP="00B60CD6">
      <w:pPr>
        <w:rPr>
          <w:szCs w:val="20"/>
        </w:rPr>
      </w:pPr>
      <w:permStart w:id="1246637747" w:edGrp="everyone"/>
      <w:r w:rsidRPr="003F77A1">
        <w:rPr>
          <w:szCs w:val="20"/>
        </w:rPr>
        <w:t>We recommend that ESMA collaborates with the European Commission, national competent authorities and third country regulators to provide more clarity on the recognition regime, which administrators in many third country jurisdictions will be relying on. We need to ensure th</w:t>
      </w:r>
      <w:r w:rsidR="00903EA8" w:rsidRPr="003F77A1">
        <w:rPr>
          <w:szCs w:val="20"/>
        </w:rPr>
        <w:t>is access regime</w:t>
      </w:r>
      <w:r w:rsidRPr="003F77A1">
        <w:rPr>
          <w:szCs w:val="20"/>
        </w:rPr>
        <w:t xml:space="preserve"> work</w:t>
      </w:r>
      <w:r w:rsidR="00903EA8" w:rsidRPr="003F77A1">
        <w:rPr>
          <w:szCs w:val="20"/>
        </w:rPr>
        <w:t>s</w:t>
      </w:r>
      <w:r w:rsidRPr="003F77A1">
        <w:rPr>
          <w:szCs w:val="20"/>
        </w:rPr>
        <w:t xml:space="preserve"> in practice. As an example, Switzerland has decided not to create a specific benchmar</w:t>
      </w:r>
      <w:r w:rsidR="00974BC8">
        <w:rPr>
          <w:szCs w:val="20"/>
        </w:rPr>
        <w:t>k regulation, given that the BMR</w:t>
      </w:r>
      <w:r w:rsidRPr="003F77A1">
        <w:rPr>
          <w:szCs w:val="20"/>
        </w:rPr>
        <w:t xml:space="preserve"> has created </w:t>
      </w:r>
      <w:r w:rsidR="00903EA8" w:rsidRPr="003F77A1">
        <w:rPr>
          <w:szCs w:val="20"/>
        </w:rPr>
        <w:t>alternative access regimes to equivalence</w:t>
      </w:r>
      <w:r w:rsidRPr="003F77A1">
        <w:rPr>
          <w:szCs w:val="20"/>
        </w:rPr>
        <w:t>.</w:t>
      </w:r>
    </w:p>
    <w:p w:rsidR="00B60CD6" w:rsidRPr="003F77A1" w:rsidRDefault="00B60CD6" w:rsidP="00B60CD6">
      <w:pPr>
        <w:rPr>
          <w:szCs w:val="20"/>
        </w:rPr>
      </w:pPr>
    </w:p>
    <w:p w:rsidR="00B60CD6" w:rsidRPr="003F77A1" w:rsidRDefault="00294C2C" w:rsidP="00B60CD6">
      <w:pPr>
        <w:rPr>
          <w:szCs w:val="20"/>
        </w:rPr>
      </w:pPr>
      <w:r w:rsidRPr="00294C2C">
        <w:rPr>
          <w:szCs w:val="20"/>
          <w:lang w:val="en-US"/>
        </w:rPr>
        <w:t>The more granular the Level II rules, the more they will potentially deviate from IOSCO principles</w:t>
      </w:r>
      <w:r w:rsidR="00903EA8" w:rsidRPr="00294C2C">
        <w:rPr>
          <w:szCs w:val="20"/>
        </w:rPr>
        <w:t xml:space="preserve">. </w:t>
      </w:r>
      <w:r w:rsidR="00903EA8" w:rsidRPr="003F77A1">
        <w:rPr>
          <w:szCs w:val="20"/>
        </w:rPr>
        <w:t>N</w:t>
      </w:r>
      <w:r w:rsidR="00B60CD6" w:rsidRPr="003F77A1">
        <w:rPr>
          <w:szCs w:val="20"/>
        </w:rPr>
        <w:t>ational competent authorities will assess whether third country administ</w:t>
      </w:r>
      <w:r w:rsidR="00974BC8">
        <w:rPr>
          <w:szCs w:val="20"/>
        </w:rPr>
        <w:t>rators/benchmarks fulfil the BMR</w:t>
      </w:r>
      <w:r w:rsidR="00B60CD6" w:rsidRPr="003F77A1">
        <w:rPr>
          <w:szCs w:val="20"/>
        </w:rPr>
        <w:t xml:space="preserve"> requir</w:t>
      </w:r>
      <w:r w:rsidR="00B60CD6" w:rsidRPr="003F77A1">
        <w:rPr>
          <w:szCs w:val="20"/>
        </w:rPr>
        <w:t>e</w:t>
      </w:r>
      <w:r w:rsidR="00B60CD6" w:rsidRPr="003F77A1">
        <w:rPr>
          <w:szCs w:val="20"/>
        </w:rPr>
        <w:t>ments, by assessing their compliance with IOSCO principles. We are concerned that different national competent authorities may interpret compliance with IOSCO principles differently.  In this respect, we would encourage ESMA to consider these concerns when shaping Level II rules and collaborate with both national competent authorities and third country regulators to achieve a consistent interpretation of co</w:t>
      </w:r>
      <w:r w:rsidR="00B60CD6" w:rsidRPr="003F77A1">
        <w:rPr>
          <w:szCs w:val="20"/>
        </w:rPr>
        <w:t>m</w:t>
      </w:r>
      <w:r w:rsidR="00B60CD6" w:rsidRPr="003F77A1">
        <w:rPr>
          <w:szCs w:val="20"/>
        </w:rPr>
        <w:t>pliance with IOSCO principles. We have additional concerns with each access regime, as outlined below.</w:t>
      </w:r>
    </w:p>
    <w:p w:rsidR="00903EA8" w:rsidRPr="003F77A1" w:rsidRDefault="00903EA8" w:rsidP="00B60CD6">
      <w:pPr>
        <w:rPr>
          <w:szCs w:val="20"/>
        </w:rPr>
      </w:pPr>
    </w:p>
    <w:p w:rsidR="00B60CD6" w:rsidRPr="003F77A1" w:rsidRDefault="00B60CD6" w:rsidP="00B60CD6">
      <w:pPr>
        <w:rPr>
          <w:szCs w:val="20"/>
        </w:rPr>
      </w:pPr>
      <w:r w:rsidRPr="003F77A1">
        <w:rPr>
          <w:szCs w:val="20"/>
        </w:rPr>
        <w:t>It should be made clear how non-EU benchmark administrators will be able to identify the EU Member State of Reference in practice (e</w:t>
      </w:r>
      <w:r w:rsidR="00E22A42">
        <w:rPr>
          <w:szCs w:val="20"/>
        </w:rPr>
        <w:t>.</w:t>
      </w:r>
      <w:r w:rsidRPr="003F77A1">
        <w:rPr>
          <w:szCs w:val="20"/>
        </w:rPr>
        <w:t>g</w:t>
      </w:r>
      <w:r w:rsidR="00E22A42">
        <w:rPr>
          <w:szCs w:val="20"/>
        </w:rPr>
        <w:t>.</w:t>
      </w:r>
      <w:r w:rsidRPr="003F77A1">
        <w:rPr>
          <w:szCs w:val="20"/>
        </w:rPr>
        <w:t xml:space="preserve"> it is not clear how the tests under Article 21a would apply where the group contains an equal number of supervised entities in different Member States)</w:t>
      </w:r>
    </w:p>
    <w:p w:rsidR="00903EA8" w:rsidRPr="003F77A1" w:rsidRDefault="00903EA8" w:rsidP="00B60CD6">
      <w:pPr>
        <w:rPr>
          <w:szCs w:val="20"/>
        </w:rPr>
      </w:pPr>
    </w:p>
    <w:p w:rsidR="009A2624" w:rsidRDefault="00B60CD6" w:rsidP="00B60CD6">
      <w:r w:rsidRPr="003F77A1">
        <w:rPr>
          <w:szCs w:val="20"/>
        </w:rPr>
        <w:t>The recognition procedure requires that non-EU benchmark administrators appoint a legal representative in the MS of reference. It should be made clear what oversight role an EU legal representative of a non-EU administrator should perform taking into account the benchmark is being produced and controlled outside the EU. The accountability of the legal representative to the MS of reference should also be clar</w:t>
      </w:r>
      <w:r w:rsidRPr="003F77A1">
        <w:rPr>
          <w:szCs w:val="20"/>
        </w:rPr>
        <w:t>i</w:t>
      </w:r>
      <w:r w:rsidRPr="003F77A1">
        <w:rPr>
          <w:szCs w:val="20"/>
        </w:rPr>
        <w:t>fied</w:t>
      </w:r>
      <w:r>
        <w:t>.</w:t>
      </w:r>
    </w:p>
    <w:permEnd w:id="1246637747"/>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616127364" w:edGrp="everyone"/>
      <w:r>
        <w:t>TYPE YOUR TEXT HERE</w:t>
      </w:r>
    </w:p>
    <w:permEnd w:id="616127364"/>
    <w:p w:rsidR="009A2624" w:rsidRDefault="009A2624" w:rsidP="009A2624">
      <w:r>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B60CD6" w:rsidRPr="003F77A1" w:rsidRDefault="00B60CD6" w:rsidP="00F0591D">
      <w:pPr>
        <w:rPr>
          <w:szCs w:val="20"/>
        </w:rPr>
      </w:pPr>
      <w:permStart w:id="80641392" w:edGrp="everyone"/>
      <w:r w:rsidRPr="003F77A1">
        <w:rPr>
          <w:szCs w:val="20"/>
        </w:rPr>
        <w:t xml:space="preserve">As with the recognition procedure, we need to ensure that the endorsement route works in practice. </w:t>
      </w:r>
    </w:p>
    <w:p w:rsidR="00F0591D" w:rsidRPr="003F77A1" w:rsidRDefault="0055403A" w:rsidP="00F0591D">
      <w:pPr>
        <w:rPr>
          <w:szCs w:val="20"/>
        </w:rPr>
      </w:pPr>
      <w:r>
        <w:rPr>
          <w:szCs w:val="20"/>
        </w:rPr>
        <w:t>Under the BMR, t</w:t>
      </w:r>
      <w:r w:rsidR="00F0591D" w:rsidRPr="003F77A1">
        <w:rPr>
          <w:szCs w:val="20"/>
        </w:rPr>
        <w:t>he supervised e</w:t>
      </w:r>
      <w:r>
        <w:rPr>
          <w:szCs w:val="20"/>
        </w:rPr>
        <w:t>ntity in the EU endorsing the third country</w:t>
      </w:r>
      <w:r w:rsidR="00F0591D" w:rsidRPr="003F77A1">
        <w:rPr>
          <w:szCs w:val="20"/>
        </w:rPr>
        <w:t xml:space="preserve"> benchmark must have a clear and well defined role within the control or a</w:t>
      </w:r>
      <w:r>
        <w:rPr>
          <w:szCs w:val="20"/>
        </w:rPr>
        <w:t>ccountability framework of the third country</w:t>
      </w:r>
      <w:r w:rsidR="00F0591D" w:rsidRPr="003F77A1">
        <w:rPr>
          <w:szCs w:val="20"/>
        </w:rPr>
        <w:t xml:space="preserve"> administrator which allows it to effectively monitor the provision of a benchmark. Even an EU financial institution may hesitate to endorse benchmarks produced by its third country affiliates as it exposes the endorsi</w:t>
      </w:r>
      <w:r>
        <w:rPr>
          <w:szCs w:val="20"/>
        </w:rPr>
        <w:t>ng entity to san</w:t>
      </w:r>
      <w:r>
        <w:rPr>
          <w:szCs w:val="20"/>
        </w:rPr>
        <w:t>c</w:t>
      </w:r>
      <w:r>
        <w:rPr>
          <w:szCs w:val="20"/>
        </w:rPr>
        <w:t>tions if the third country</w:t>
      </w:r>
      <w:r w:rsidR="00F0591D" w:rsidRPr="003F77A1">
        <w:rPr>
          <w:szCs w:val="20"/>
        </w:rPr>
        <w:t xml:space="preserve"> benchmark does not comply with the Regulation, </w:t>
      </w:r>
      <w:r>
        <w:rPr>
          <w:szCs w:val="20"/>
        </w:rPr>
        <w:t xml:space="preserve">particularly </w:t>
      </w:r>
      <w:r w:rsidR="00F0591D" w:rsidRPr="003F77A1">
        <w:rPr>
          <w:szCs w:val="20"/>
        </w:rPr>
        <w:t>where their benc</w:t>
      </w:r>
      <w:r w:rsidR="00F0591D" w:rsidRPr="003F77A1">
        <w:rPr>
          <w:szCs w:val="20"/>
        </w:rPr>
        <w:t>h</w:t>
      </w:r>
      <w:r w:rsidR="00F0591D" w:rsidRPr="003F77A1">
        <w:rPr>
          <w:szCs w:val="20"/>
        </w:rPr>
        <w:t xml:space="preserve">mark is made available free of charge or they derive low licence revenues from the EU. </w:t>
      </w:r>
    </w:p>
    <w:p w:rsidR="00903EA8" w:rsidRPr="003F77A1" w:rsidRDefault="00903EA8" w:rsidP="00F0591D">
      <w:pPr>
        <w:rPr>
          <w:szCs w:val="20"/>
        </w:rPr>
      </w:pPr>
    </w:p>
    <w:p w:rsidR="00F0591D" w:rsidRPr="003F77A1" w:rsidRDefault="00F0591D" w:rsidP="00F0591D">
      <w:pPr>
        <w:rPr>
          <w:szCs w:val="20"/>
        </w:rPr>
      </w:pPr>
      <w:r w:rsidRPr="003F77A1">
        <w:rPr>
          <w:szCs w:val="20"/>
        </w:rPr>
        <w:t>There is also a need for coordination on interpretation by NCAs of member states of reference of compl</w:t>
      </w:r>
      <w:r w:rsidRPr="003F77A1">
        <w:rPr>
          <w:szCs w:val="20"/>
        </w:rPr>
        <w:t>i</w:t>
      </w:r>
      <w:r w:rsidRPr="003F77A1">
        <w:rPr>
          <w:szCs w:val="20"/>
        </w:rPr>
        <w:t>ance with IOSCO principles, as for the recognition procedure.</w:t>
      </w:r>
    </w:p>
    <w:p w:rsidR="00903EA8" w:rsidRPr="003F77A1" w:rsidRDefault="00903EA8" w:rsidP="009A2624">
      <w:pPr>
        <w:rPr>
          <w:szCs w:val="20"/>
        </w:rPr>
      </w:pPr>
    </w:p>
    <w:p w:rsidR="009A2624" w:rsidRDefault="00F0591D" w:rsidP="009A2624">
      <w:r w:rsidRPr="003F77A1">
        <w:rPr>
          <w:szCs w:val="20"/>
        </w:rPr>
        <w:t xml:space="preserve">It is important that </w:t>
      </w:r>
      <w:r w:rsidR="00F87B5D">
        <w:rPr>
          <w:szCs w:val="20"/>
        </w:rPr>
        <w:t>the NCAs and the Commission do</w:t>
      </w:r>
      <w:r w:rsidRPr="003F77A1">
        <w:rPr>
          <w:szCs w:val="20"/>
        </w:rPr>
        <w:t xml:space="preserve"> not take an unduly restrictive view of whether there is an objective </w:t>
      </w:r>
      <w:proofErr w:type="gramStart"/>
      <w:r w:rsidRPr="003F77A1">
        <w:rPr>
          <w:szCs w:val="20"/>
        </w:rPr>
        <w:t>reasons</w:t>
      </w:r>
      <w:proofErr w:type="gramEnd"/>
      <w:r w:rsidRPr="003F77A1">
        <w:rPr>
          <w:szCs w:val="20"/>
        </w:rPr>
        <w:t xml:space="preserve"> to provide the benchmark outside the EU and to endorse it in the EU. Non-EU administrators should be able to organise their business based on commercial considerations, rather than be required to administer it in the EU merely because it has some connection with the EU</w:t>
      </w:r>
      <w:proofErr w:type="gramStart"/>
      <w:r>
        <w:t>.</w:t>
      </w:r>
      <w:permEnd w:id="80641392"/>
      <w:r w:rsidR="009A2624">
        <w:t>&lt;</w:t>
      </w:r>
      <w:proofErr w:type="gramEnd"/>
      <w:r w:rsidR="009A2624">
        <w: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03EA8" w:rsidP="009A2624">
      <w:permStart w:id="452596737" w:edGrp="everyone"/>
      <w:r>
        <w:rPr>
          <w:sz w:val="22"/>
          <w:szCs w:val="22"/>
        </w:rPr>
        <w:t>.</w:t>
      </w:r>
      <w:r>
        <w:t>.</w:t>
      </w:r>
      <w:permEnd w:id="452596737"/>
      <w:r w:rsidR="009A2624">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lastRenderedPageBreak/>
        <w:t>&lt;ESMA_QUESTION_DP_BMR_103&gt;</w:t>
      </w:r>
    </w:p>
    <w:p w:rsidR="009A2624" w:rsidRDefault="009A2624" w:rsidP="009A2624">
      <w:permStart w:id="2107511414" w:edGrp="everyone"/>
      <w:r>
        <w:t>TYPE YOUR TEXT HERE</w:t>
      </w:r>
    </w:p>
    <w:permEnd w:id="2107511414"/>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9A2624" w:rsidRDefault="009A2624" w:rsidP="009A2624">
      <w:permStart w:id="342915610" w:edGrp="everyone"/>
      <w:r>
        <w:t>TYPE YOUR TEXT HERE</w:t>
      </w:r>
    </w:p>
    <w:permEnd w:id="342915610"/>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9A2624" w:rsidRDefault="009A2624" w:rsidP="009A2624">
      <w:permStart w:id="687224199" w:edGrp="everyone"/>
      <w:r>
        <w:t>TYPE YOUR TEXT HERE</w:t>
      </w:r>
    </w:p>
    <w:permEnd w:id="687224199"/>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850139" w:rsidRPr="003F77A1" w:rsidRDefault="00850139" w:rsidP="000B2795">
      <w:pPr>
        <w:rPr>
          <w:szCs w:val="20"/>
        </w:rPr>
      </w:pPr>
      <w:permStart w:id="1872565591" w:edGrp="everyone"/>
      <w:r w:rsidRPr="003F77A1">
        <w:rPr>
          <w:szCs w:val="20"/>
        </w:rPr>
        <w:t xml:space="preserve">As a general principle, it is important to ensure any transition away from existing benchmarks and indices can be managed in a smooth and orderly manner with potential market disruption mitigated as far as possible. </w:t>
      </w:r>
      <w:r w:rsidR="00294C2C" w:rsidRPr="00294C2C">
        <w:rPr>
          <w:szCs w:val="20"/>
        </w:rPr>
        <w:t>We would like to highlight the following concerns, although we recognize they relate to the Level 1 text.</w:t>
      </w:r>
    </w:p>
    <w:p w:rsidR="00850139" w:rsidRPr="003F77A1" w:rsidRDefault="00850139" w:rsidP="000B2795">
      <w:pPr>
        <w:rPr>
          <w:szCs w:val="20"/>
        </w:rPr>
      </w:pPr>
    </w:p>
    <w:p w:rsidR="00850139" w:rsidRPr="003F77A1" w:rsidRDefault="00850139" w:rsidP="000B2795">
      <w:pPr>
        <w:rPr>
          <w:szCs w:val="20"/>
        </w:rPr>
      </w:pPr>
      <w:r w:rsidRPr="003F77A1">
        <w:rPr>
          <w:szCs w:val="20"/>
        </w:rPr>
        <w:t>The latest jurist</w:t>
      </w:r>
      <w:r w:rsidR="00F87B5D">
        <w:rPr>
          <w:szCs w:val="20"/>
        </w:rPr>
        <w:t>-</w:t>
      </w:r>
      <w:r w:rsidRPr="003F77A1">
        <w:rPr>
          <w:szCs w:val="20"/>
        </w:rPr>
        <w:t>linguist text</w:t>
      </w:r>
      <w:r w:rsidR="00974BC8">
        <w:rPr>
          <w:szCs w:val="20"/>
        </w:rPr>
        <w:t xml:space="preserve"> (</w:t>
      </w:r>
      <w:r w:rsidR="00F87B5D">
        <w:rPr>
          <w:szCs w:val="20"/>
        </w:rPr>
        <w:t xml:space="preserve">from </w:t>
      </w:r>
      <w:r w:rsidR="00974BC8">
        <w:rPr>
          <w:szCs w:val="20"/>
        </w:rPr>
        <w:t>25 February 2016)</w:t>
      </w:r>
      <w:r w:rsidRPr="003F77A1">
        <w:rPr>
          <w:szCs w:val="20"/>
        </w:rPr>
        <w:t xml:space="preserve"> has delivered some improvements compared to the transi</w:t>
      </w:r>
      <w:r w:rsidR="000D06A7">
        <w:rPr>
          <w:szCs w:val="20"/>
        </w:rPr>
        <w:t>tional provi</w:t>
      </w:r>
      <w:r w:rsidRPr="003F77A1">
        <w:rPr>
          <w:szCs w:val="20"/>
        </w:rPr>
        <w:t>sions in Article 39 of the Level 1 text published in December 2015. In particular, non-EU administrators have 42 months from the date of entry into force of the Regulation to obtain equivalence, recognition, endorsement. The transitional period of 42 months also covers investment funds that are using non-EU benchmarks at the date of application of the Regulation. However, some concerns remain:</w:t>
      </w:r>
    </w:p>
    <w:p w:rsidR="00850139" w:rsidRPr="003F77A1" w:rsidRDefault="00850139" w:rsidP="000B2795">
      <w:pPr>
        <w:rPr>
          <w:szCs w:val="20"/>
        </w:rPr>
      </w:pPr>
    </w:p>
    <w:p w:rsidR="00850139" w:rsidRPr="003F77A1" w:rsidRDefault="00850139" w:rsidP="000B2795">
      <w:pPr>
        <w:rPr>
          <w:szCs w:val="20"/>
        </w:rPr>
      </w:pPr>
      <w:r w:rsidRPr="003F77A1">
        <w:rPr>
          <w:szCs w:val="20"/>
        </w:rPr>
        <w:t xml:space="preserve">The Regulation provides no transitional provision covering new EU benchmarks created after the date of the Regulation comes into force and before the date of application of the Regulation. As the text currently stands, an index provider providing a benchmark on the date of entry into force of the Regulation shall apply for authorisation or registration by 42 months after date of entry into force of the Regulation. This means that index </w:t>
      </w:r>
      <w:r w:rsidR="003B6143">
        <w:rPr>
          <w:szCs w:val="20"/>
        </w:rPr>
        <w:t>providers would create new indi</w:t>
      </w:r>
      <w:r w:rsidRPr="003F77A1">
        <w:rPr>
          <w:szCs w:val="20"/>
        </w:rPr>
        <w:t xml:space="preserve">ces after the date of entry into force but anyone who used the index as a benchmark in the EU would have to cease using it from the date of application of the Regulation. This is a competitive issue for EU index providers compared to non-EU administrators if you can't issue new indices for at least 18 months in the EU. </w:t>
      </w:r>
    </w:p>
    <w:p w:rsidR="00850139" w:rsidRPr="003F77A1" w:rsidRDefault="00850139" w:rsidP="000B2795">
      <w:pPr>
        <w:rPr>
          <w:szCs w:val="20"/>
        </w:rPr>
      </w:pPr>
    </w:p>
    <w:p w:rsidR="00850139" w:rsidRPr="003F77A1" w:rsidRDefault="00850139" w:rsidP="000B2795">
      <w:pPr>
        <w:rPr>
          <w:szCs w:val="20"/>
        </w:rPr>
      </w:pPr>
      <w:r w:rsidRPr="003F77A1">
        <w:rPr>
          <w:szCs w:val="20"/>
        </w:rPr>
        <w:t>We are concerned that there is no transitional period covering continued use of a benchmark after the 42 month period expires while an application for recognition/endorsement is pending.</w:t>
      </w:r>
    </w:p>
    <w:p w:rsidR="00850139" w:rsidRPr="003F77A1" w:rsidRDefault="00850139" w:rsidP="000B2795">
      <w:pPr>
        <w:rPr>
          <w:szCs w:val="20"/>
        </w:rPr>
      </w:pPr>
    </w:p>
    <w:p w:rsidR="009A2624" w:rsidRDefault="00850139" w:rsidP="009A2624">
      <w:r w:rsidRPr="003B6143">
        <w:rPr>
          <w:szCs w:val="20"/>
        </w:rPr>
        <w:t>In terms of question</w:t>
      </w:r>
      <w:r w:rsidR="00294C2C">
        <w:rPr>
          <w:szCs w:val="20"/>
        </w:rPr>
        <w:t xml:space="preserve"> 106</w:t>
      </w:r>
      <w:r w:rsidRPr="003B6143">
        <w:rPr>
          <w:szCs w:val="20"/>
        </w:rPr>
        <w:t>, we consider both alternatives as valid in certain circumstances. Benchmarks of less criticality may be permitted indefinitely if they fall below defined thresholds considering the risk of contract frustration, while longer time frames should be provided for more important benc</w:t>
      </w:r>
      <w:r w:rsidRPr="003B6143">
        <w:rPr>
          <w:szCs w:val="20"/>
        </w:rPr>
        <w:t>h</w:t>
      </w:r>
      <w:r w:rsidRPr="003B6143">
        <w:rPr>
          <w:szCs w:val="20"/>
        </w:rPr>
        <w:t>marks</w:t>
      </w:r>
      <w:permEnd w:id="1872565591"/>
      <w:r w:rsidR="009A2624">
        <w:t>&lt;ESMA_QUESTION_DP_BMR_106&gt;</w:t>
      </w:r>
    </w:p>
    <w:p w:rsidR="009A2624" w:rsidRDefault="009A2624" w:rsidP="009A2624"/>
    <w:p w:rsidR="009A2624" w:rsidRPr="007F44BF" w:rsidRDefault="009A2624" w:rsidP="002342EC">
      <w:pPr>
        <w:pStyle w:val="Questionstyle"/>
      </w:pPr>
      <w:r w:rsidRPr="007F44BF">
        <w:t>Which thresholds would be appropriate to foresee and how might a time limit be fixed? Please detail the reasons behind any suggestion.</w:t>
      </w:r>
    </w:p>
    <w:p w:rsidR="009A2624" w:rsidRDefault="009A2624" w:rsidP="009A2624">
      <w:r>
        <w:lastRenderedPageBreak/>
        <w:t>&lt;ESMA_QUESTION_DP_BMR_107&gt;</w:t>
      </w:r>
    </w:p>
    <w:p w:rsidR="009A2624" w:rsidRDefault="009A2624" w:rsidP="009A2624">
      <w:permStart w:id="1363619921" w:edGrp="everyone"/>
      <w:r>
        <w:t>TYPE YOUR TEXT HERE</w:t>
      </w:r>
    </w:p>
    <w:permEnd w:id="1363619921"/>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9A2624" w:rsidRDefault="009A2624" w:rsidP="009A2624">
      <w:permStart w:id="333203911" w:edGrp="everyone"/>
      <w:r>
        <w:t>TYPE YOUR TEXT HERE</w:t>
      </w:r>
    </w:p>
    <w:permEnd w:id="333203911"/>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Default="009A2624" w:rsidP="009A2624">
      <w:permStart w:id="1088363919" w:edGrp="everyone"/>
      <w:r>
        <w:t>TYPE YOUR TEXT HERE</w:t>
      </w:r>
    </w:p>
    <w:permEnd w:id="1088363919"/>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9A2624" w:rsidRDefault="009A2624" w:rsidP="009A2624">
      <w:permStart w:id="453794715" w:edGrp="everyone"/>
      <w:r>
        <w:t>TYPE YOUR TEXT HERE</w:t>
      </w:r>
    </w:p>
    <w:permEnd w:id="453794715"/>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9A2624" w:rsidRDefault="009A2624" w:rsidP="009A2624">
      <w:permStart w:id="1500469616" w:edGrp="everyone"/>
      <w:r>
        <w:t>TYPE YOUR TEXT HERE</w:t>
      </w:r>
    </w:p>
    <w:permEnd w:id="1500469616"/>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t>&lt;ESMA_QUESTION_DP_BMR_112&gt;</w:t>
      </w:r>
    </w:p>
    <w:p w:rsidR="009A2624" w:rsidRDefault="009A2624" w:rsidP="009A2624">
      <w:permStart w:id="565595278" w:edGrp="everyone"/>
      <w:r>
        <w:t>TYPE YOUR TEXT HERE</w:t>
      </w:r>
    </w:p>
    <w:permEnd w:id="565595278"/>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9A2624" w:rsidRDefault="009A2624" w:rsidP="009A2624">
      <w:permStart w:id="1476594597" w:edGrp="everyone"/>
      <w:r>
        <w:t>TYPE YOUR TEXT HERE</w:t>
      </w:r>
    </w:p>
    <w:permEnd w:id="1476594597"/>
    <w:p w:rsidR="009A2624" w:rsidRDefault="009A2624" w:rsidP="009A2624">
      <w:r>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0D" w:rsidRDefault="00943D0D">
      <w:r>
        <w:separator/>
      </w:r>
    </w:p>
    <w:p w:rsidR="00943D0D" w:rsidRDefault="00943D0D"/>
  </w:endnote>
  <w:endnote w:type="continuationSeparator" w:id="0">
    <w:p w:rsidR="00943D0D" w:rsidRDefault="00943D0D">
      <w:r>
        <w:continuationSeparator/>
      </w:r>
    </w:p>
    <w:p w:rsidR="00943D0D" w:rsidRDefault="00943D0D"/>
  </w:endnote>
  <w:endnote w:type="continuationNotice" w:id="1">
    <w:p w:rsidR="00943D0D" w:rsidRDefault="00943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Corbel"/>
    <w:panose1 w:val="020B0603020202020204"/>
    <w:charset w:val="00"/>
    <w:family w:val="swiss"/>
    <w:pitch w:val="variable"/>
    <w:sig w:usb0="A00000AF" w:usb1="5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43D0D" w:rsidRPr="00616B9B" w:rsidTr="00315E96">
      <w:trPr>
        <w:trHeight w:val="284"/>
      </w:trPr>
      <w:tc>
        <w:tcPr>
          <w:tcW w:w="8460" w:type="dxa"/>
        </w:tcPr>
        <w:p w:rsidR="00943D0D" w:rsidRPr="00315E96" w:rsidRDefault="00943D0D" w:rsidP="00315E96">
          <w:pPr>
            <w:pStyle w:val="00Footer"/>
            <w:rPr>
              <w:lang w:val="fr-FR"/>
            </w:rPr>
          </w:pPr>
        </w:p>
      </w:tc>
      <w:tc>
        <w:tcPr>
          <w:tcW w:w="952" w:type="dxa"/>
        </w:tcPr>
        <w:p w:rsidR="00943D0D" w:rsidRPr="00616B9B" w:rsidRDefault="00943D0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C31DA">
            <w:rPr>
              <w:rFonts w:cs="Arial"/>
              <w:noProof/>
              <w:sz w:val="22"/>
              <w:szCs w:val="22"/>
            </w:rPr>
            <w:t>22</w:t>
          </w:r>
          <w:r w:rsidRPr="00616B9B">
            <w:rPr>
              <w:rFonts w:cs="Arial"/>
              <w:noProof/>
              <w:sz w:val="22"/>
              <w:szCs w:val="22"/>
            </w:rPr>
            <w:fldChar w:fldCharType="end"/>
          </w:r>
        </w:p>
      </w:tc>
    </w:tr>
  </w:tbl>
  <w:p w:rsidR="00943D0D" w:rsidRDefault="00943D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0D" w:rsidRDefault="00943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0D" w:rsidRDefault="00943D0D">
      <w:r>
        <w:separator/>
      </w:r>
    </w:p>
    <w:p w:rsidR="00943D0D" w:rsidRDefault="00943D0D"/>
  </w:footnote>
  <w:footnote w:type="continuationSeparator" w:id="0">
    <w:p w:rsidR="00943D0D" w:rsidRDefault="00943D0D">
      <w:r>
        <w:continuationSeparator/>
      </w:r>
    </w:p>
    <w:p w:rsidR="00943D0D" w:rsidRDefault="00943D0D"/>
  </w:footnote>
  <w:footnote w:type="continuationNotice" w:id="1">
    <w:p w:rsidR="00943D0D" w:rsidRDefault="00943D0D"/>
  </w:footnote>
  <w:footnote w:id="2">
    <w:p w:rsidR="00943D0D" w:rsidRDefault="00943D0D" w:rsidP="008C4C00">
      <w:pPr>
        <w:pStyle w:val="FootnoteText"/>
      </w:pPr>
      <w:r>
        <w:rPr>
          <w:rStyle w:val="FootnoteReference"/>
        </w:rPr>
        <w:footnoteRef/>
      </w:r>
      <w:r>
        <w:t xml:space="preserve"> Provision of  a benchmark is defined as (a) administering the arrangements for determining a benchmark; (b) collecting, analysing or processing input data for the purpose of determining a benchmark; (c) determining a benchmark through the application of a formula or other method of calculation or by an assessment of input data provided for that purpose</w:t>
      </w:r>
    </w:p>
  </w:footnote>
  <w:footnote w:id="3">
    <w:p w:rsidR="00943D0D" w:rsidRPr="005E62D6" w:rsidRDefault="00943D0D" w:rsidP="005E62D6">
      <w:pPr>
        <w:autoSpaceDE w:val="0"/>
        <w:autoSpaceDN w:val="0"/>
        <w:adjustRightInd w:val="0"/>
        <w:spacing w:after="120"/>
        <w:jc w:val="both"/>
        <w:rPr>
          <w:rFonts w:cs="Arial"/>
          <w:bCs/>
          <w:color w:val="000000"/>
          <w:szCs w:val="20"/>
          <w:lang w:eastAsia="en-US"/>
        </w:rPr>
      </w:pPr>
      <w:r>
        <w:rPr>
          <w:rStyle w:val="FootnoteReference"/>
        </w:rPr>
        <w:footnoteRef/>
      </w:r>
      <w:r>
        <w:t xml:space="preserve"> </w:t>
      </w:r>
      <w:r w:rsidRPr="005E62D6">
        <w:rPr>
          <w:rFonts w:cs="Arial"/>
          <w:bCs/>
          <w:color w:val="000000"/>
          <w:sz w:val="16"/>
          <w:szCs w:val="16"/>
          <w:lang w:eastAsia="en-US"/>
        </w:rPr>
        <w:t>At the Open Hearing on 29</w:t>
      </w:r>
      <w:r w:rsidRPr="005E62D6">
        <w:rPr>
          <w:rFonts w:cs="Arial"/>
          <w:bCs/>
          <w:color w:val="000000"/>
          <w:sz w:val="16"/>
          <w:szCs w:val="16"/>
          <w:vertAlign w:val="superscript"/>
          <w:lang w:eastAsia="en-US"/>
        </w:rPr>
        <w:t>th</w:t>
      </w:r>
      <w:r w:rsidRPr="005E62D6">
        <w:rPr>
          <w:rFonts w:cs="Arial"/>
          <w:bCs/>
          <w:color w:val="000000"/>
          <w:sz w:val="16"/>
          <w:szCs w:val="16"/>
          <w:lang w:eastAsia="en-US"/>
        </w:rPr>
        <w:t xml:space="preserve"> February 2016, ESMA stated that the criteria that shall be used to assess whether the formula of a financial instrument referring to a benchmark is ‘provision’ or ‘use’ of benchmark is how the formula affects the methodology of the benchmarks. In ESMA's view, the application of a simple arithmetic formula to an existing benchmark is ‘use’ of an existing benc</w:t>
      </w:r>
      <w:r w:rsidRPr="005E62D6">
        <w:rPr>
          <w:rFonts w:cs="Arial"/>
          <w:bCs/>
          <w:color w:val="000000"/>
          <w:sz w:val="16"/>
          <w:szCs w:val="16"/>
          <w:lang w:eastAsia="en-US"/>
        </w:rPr>
        <w:t>h</w:t>
      </w:r>
      <w:r w:rsidRPr="005E62D6">
        <w:rPr>
          <w:rFonts w:cs="Arial"/>
          <w:bCs/>
          <w:color w:val="000000"/>
          <w:sz w:val="16"/>
          <w:szCs w:val="16"/>
          <w:lang w:eastAsia="en-US"/>
        </w:rPr>
        <w:t>mark and not ‘provision’ of a new benchmark, but the change of a feature of the existing benchmark (for instance change of the currency of reference) would be ‘provision’ rather than ‘use’.</w:t>
      </w:r>
      <w:r w:rsidRPr="005E62D6">
        <w:rPr>
          <w:rFonts w:cs="Arial"/>
          <w:bCs/>
          <w:color w:val="000000"/>
          <w:szCs w:val="20"/>
          <w:lang w:eastAsia="en-US"/>
        </w:rPr>
        <w:t xml:space="preserve"> </w:t>
      </w:r>
    </w:p>
    <w:p w:rsidR="00943D0D" w:rsidRDefault="00943D0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0D" w:rsidRDefault="00943D0D">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0D" w:rsidRDefault="00943D0D"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0D" w:rsidRDefault="00943D0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43D0D" w:rsidRPr="002F4496" w:rsidTr="000C06C9">
      <w:trPr>
        <w:trHeight w:val="284"/>
      </w:trPr>
      <w:tc>
        <w:tcPr>
          <w:tcW w:w="8460" w:type="dxa"/>
        </w:tcPr>
        <w:p w:rsidR="00943D0D" w:rsidRPr="000C3B6D" w:rsidRDefault="00943D0D" w:rsidP="000C06C9">
          <w:pPr>
            <w:pStyle w:val="00Footer"/>
            <w:rPr>
              <w:lang w:val="fr-FR"/>
            </w:rPr>
          </w:pPr>
        </w:p>
      </w:tc>
      <w:tc>
        <w:tcPr>
          <w:tcW w:w="952" w:type="dxa"/>
        </w:tcPr>
        <w:p w:rsidR="00943D0D" w:rsidRPr="00146B34" w:rsidRDefault="00943D0D" w:rsidP="000C06C9">
          <w:pPr>
            <w:pStyle w:val="00aPagenumber"/>
            <w:rPr>
              <w:lang w:val="fr-FR"/>
            </w:rPr>
          </w:pPr>
        </w:p>
      </w:tc>
    </w:tr>
  </w:tbl>
  <w:p w:rsidR="00943D0D" w:rsidRPr="00DB46C3" w:rsidRDefault="00943D0D">
    <w:pPr>
      <w:rPr>
        <w:lang w:val="fr-FR"/>
      </w:rPr>
    </w:pPr>
  </w:p>
  <w:p w:rsidR="00943D0D" w:rsidRPr="002F4496" w:rsidRDefault="00943D0D">
    <w:pPr>
      <w:pStyle w:val="Header"/>
      <w:rPr>
        <w:lang w:val="fr-FR"/>
      </w:rPr>
    </w:pPr>
  </w:p>
  <w:p w:rsidR="00943D0D" w:rsidRPr="002F4496" w:rsidRDefault="00943D0D" w:rsidP="000C06C9">
    <w:pPr>
      <w:pStyle w:val="Header"/>
      <w:tabs>
        <w:tab w:val="clear" w:pos="4536"/>
        <w:tab w:val="clear" w:pos="9072"/>
        <w:tab w:val="left" w:pos="8227"/>
      </w:tabs>
      <w:rPr>
        <w:lang w:val="fr-FR"/>
      </w:rPr>
    </w:pPr>
  </w:p>
  <w:p w:rsidR="00943D0D" w:rsidRPr="002F4496" w:rsidRDefault="00943D0D" w:rsidP="000C06C9">
    <w:pPr>
      <w:pStyle w:val="Header"/>
      <w:tabs>
        <w:tab w:val="clear" w:pos="4536"/>
        <w:tab w:val="clear" w:pos="9072"/>
        <w:tab w:val="left" w:pos="8227"/>
      </w:tabs>
      <w:rPr>
        <w:lang w:val="fr-FR"/>
      </w:rPr>
    </w:pPr>
  </w:p>
  <w:p w:rsidR="00943D0D" w:rsidRPr="002F4496" w:rsidRDefault="00943D0D">
    <w:pPr>
      <w:pStyle w:val="Header"/>
      <w:rPr>
        <w:lang w:val="fr-FR"/>
      </w:rPr>
    </w:pPr>
  </w:p>
  <w:p w:rsidR="00943D0D" w:rsidRPr="002F4496" w:rsidRDefault="00943D0D">
    <w:pPr>
      <w:pStyle w:val="Header"/>
      <w:rPr>
        <w:lang w:val="fr-FR"/>
      </w:rPr>
    </w:pPr>
  </w:p>
  <w:p w:rsidR="00943D0D" w:rsidRPr="002F4496" w:rsidRDefault="00943D0D">
    <w:pPr>
      <w:pStyle w:val="Header"/>
      <w:rPr>
        <w:lang w:val="fr-FR"/>
      </w:rPr>
    </w:pPr>
  </w:p>
  <w:p w:rsidR="00943D0D" w:rsidRPr="002F4496" w:rsidRDefault="00943D0D">
    <w:pPr>
      <w:pStyle w:val="Header"/>
      <w:rPr>
        <w:lang w:val="fr-FR"/>
      </w:rPr>
    </w:pPr>
  </w:p>
  <w:p w:rsidR="00943D0D" w:rsidRPr="002F4496" w:rsidRDefault="00943D0D">
    <w:pPr>
      <w:pStyle w:val="Header"/>
      <w:rPr>
        <w:highlight w:val="yellow"/>
        <w:lang w:val="fr-FR"/>
      </w:rPr>
    </w:pPr>
  </w:p>
  <w:p w:rsidR="00943D0D" w:rsidRDefault="00943D0D">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69153F"/>
    <w:multiLevelType w:val="hybridMultilevel"/>
    <w:tmpl w:val="A0789780"/>
    <w:lvl w:ilvl="0" w:tplc="FFFFFFFF">
      <w:numFmt w:val="bullet"/>
      <w:lvlText w:val="-"/>
      <w:lvlJc w:val="left"/>
      <w:pPr>
        <w:ind w:left="1287" w:hanging="360"/>
      </w:pPr>
      <w:rPr>
        <w:rFonts w:ascii="Calibri" w:eastAsia="Calibri" w:hAnsi="Calibri"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C4004C"/>
    <w:multiLevelType w:val="hybridMultilevel"/>
    <w:tmpl w:val="B2B0B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6DD43DD"/>
    <w:multiLevelType w:val="hybridMultilevel"/>
    <w:tmpl w:val="481A85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7EC684A"/>
    <w:multiLevelType w:val="hybridMultilevel"/>
    <w:tmpl w:val="8534AB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nsid w:val="1BAC55B9"/>
    <w:multiLevelType w:val="hybridMultilevel"/>
    <w:tmpl w:val="DF8E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EB1309"/>
    <w:multiLevelType w:val="hybridMultilevel"/>
    <w:tmpl w:val="D028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6C6A2A"/>
    <w:multiLevelType w:val="hybridMultilevel"/>
    <w:tmpl w:val="32544DB4"/>
    <w:lvl w:ilvl="0" w:tplc="08090003">
      <w:start w:val="1"/>
      <w:numFmt w:val="bullet"/>
      <w:lvlText w:val="o"/>
      <w:lvlJc w:val="left"/>
      <w:pPr>
        <w:ind w:left="2415" w:hanging="360"/>
      </w:pPr>
      <w:rPr>
        <w:rFonts w:ascii="Courier New" w:hAnsi="Courier New" w:cs="Courier New"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3">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F86CC4"/>
    <w:multiLevelType w:val="hybridMultilevel"/>
    <w:tmpl w:val="E8BE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F62E74"/>
    <w:multiLevelType w:val="hybridMultilevel"/>
    <w:tmpl w:val="8586F7A8"/>
    <w:lvl w:ilvl="0" w:tplc="8F92423A">
      <w:start w:val="1"/>
      <w:numFmt w:val="bullet"/>
      <w:lvlText w:val="•"/>
      <w:lvlJc w:val="left"/>
      <w:pPr>
        <w:tabs>
          <w:tab w:val="num" w:pos="720"/>
        </w:tabs>
        <w:ind w:left="720" w:hanging="360"/>
      </w:pPr>
      <w:rPr>
        <w:rFonts w:ascii="Arial" w:hAnsi="Arial" w:hint="default"/>
      </w:rPr>
    </w:lvl>
    <w:lvl w:ilvl="1" w:tplc="FFD0519E" w:tentative="1">
      <w:start w:val="1"/>
      <w:numFmt w:val="bullet"/>
      <w:lvlText w:val="•"/>
      <w:lvlJc w:val="left"/>
      <w:pPr>
        <w:tabs>
          <w:tab w:val="num" w:pos="1440"/>
        </w:tabs>
        <w:ind w:left="1440" w:hanging="360"/>
      </w:pPr>
      <w:rPr>
        <w:rFonts w:ascii="Arial" w:hAnsi="Arial" w:hint="default"/>
      </w:rPr>
    </w:lvl>
    <w:lvl w:ilvl="2" w:tplc="A8F433F6" w:tentative="1">
      <w:start w:val="1"/>
      <w:numFmt w:val="bullet"/>
      <w:lvlText w:val="•"/>
      <w:lvlJc w:val="left"/>
      <w:pPr>
        <w:tabs>
          <w:tab w:val="num" w:pos="2160"/>
        </w:tabs>
        <w:ind w:left="2160" w:hanging="360"/>
      </w:pPr>
      <w:rPr>
        <w:rFonts w:ascii="Arial" w:hAnsi="Arial" w:hint="default"/>
      </w:rPr>
    </w:lvl>
    <w:lvl w:ilvl="3" w:tplc="DCF898A4" w:tentative="1">
      <w:start w:val="1"/>
      <w:numFmt w:val="bullet"/>
      <w:lvlText w:val="•"/>
      <w:lvlJc w:val="left"/>
      <w:pPr>
        <w:tabs>
          <w:tab w:val="num" w:pos="2880"/>
        </w:tabs>
        <w:ind w:left="2880" w:hanging="360"/>
      </w:pPr>
      <w:rPr>
        <w:rFonts w:ascii="Arial" w:hAnsi="Arial" w:hint="default"/>
      </w:rPr>
    </w:lvl>
    <w:lvl w:ilvl="4" w:tplc="5F584A3C" w:tentative="1">
      <w:start w:val="1"/>
      <w:numFmt w:val="bullet"/>
      <w:lvlText w:val="•"/>
      <w:lvlJc w:val="left"/>
      <w:pPr>
        <w:tabs>
          <w:tab w:val="num" w:pos="3600"/>
        </w:tabs>
        <w:ind w:left="3600" w:hanging="360"/>
      </w:pPr>
      <w:rPr>
        <w:rFonts w:ascii="Arial" w:hAnsi="Arial" w:hint="default"/>
      </w:rPr>
    </w:lvl>
    <w:lvl w:ilvl="5" w:tplc="736EAD3A" w:tentative="1">
      <w:start w:val="1"/>
      <w:numFmt w:val="bullet"/>
      <w:lvlText w:val="•"/>
      <w:lvlJc w:val="left"/>
      <w:pPr>
        <w:tabs>
          <w:tab w:val="num" w:pos="4320"/>
        </w:tabs>
        <w:ind w:left="4320" w:hanging="360"/>
      </w:pPr>
      <w:rPr>
        <w:rFonts w:ascii="Arial" w:hAnsi="Arial" w:hint="default"/>
      </w:rPr>
    </w:lvl>
    <w:lvl w:ilvl="6" w:tplc="25B29F32" w:tentative="1">
      <w:start w:val="1"/>
      <w:numFmt w:val="bullet"/>
      <w:lvlText w:val="•"/>
      <w:lvlJc w:val="left"/>
      <w:pPr>
        <w:tabs>
          <w:tab w:val="num" w:pos="5040"/>
        </w:tabs>
        <w:ind w:left="5040" w:hanging="360"/>
      </w:pPr>
      <w:rPr>
        <w:rFonts w:ascii="Arial" w:hAnsi="Arial" w:hint="default"/>
      </w:rPr>
    </w:lvl>
    <w:lvl w:ilvl="7" w:tplc="B8FE9352" w:tentative="1">
      <w:start w:val="1"/>
      <w:numFmt w:val="bullet"/>
      <w:lvlText w:val="•"/>
      <w:lvlJc w:val="left"/>
      <w:pPr>
        <w:tabs>
          <w:tab w:val="num" w:pos="5760"/>
        </w:tabs>
        <w:ind w:left="5760" w:hanging="360"/>
      </w:pPr>
      <w:rPr>
        <w:rFonts w:ascii="Arial" w:hAnsi="Arial" w:hint="default"/>
      </w:rPr>
    </w:lvl>
    <w:lvl w:ilvl="8" w:tplc="41AE2182" w:tentative="1">
      <w:start w:val="1"/>
      <w:numFmt w:val="bullet"/>
      <w:lvlText w:val="•"/>
      <w:lvlJc w:val="left"/>
      <w:pPr>
        <w:tabs>
          <w:tab w:val="num" w:pos="6480"/>
        </w:tabs>
        <w:ind w:left="6480" w:hanging="360"/>
      </w:pPr>
      <w:rPr>
        <w:rFonts w:ascii="Arial" w:hAnsi="Arial" w:hint="default"/>
      </w:rPr>
    </w:lvl>
  </w:abstractNum>
  <w:abstractNum w:abstractNumId="16">
    <w:nsid w:val="21880664"/>
    <w:multiLevelType w:val="hybridMultilevel"/>
    <w:tmpl w:val="DF62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26360FD1"/>
    <w:multiLevelType w:val="hybridMultilevel"/>
    <w:tmpl w:val="155EF942"/>
    <w:lvl w:ilvl="0" w:tplc="DE8A04A2">
      <w:start w:val="1"/>
      <w:numFmt w:val="bullet"/>
      <w:lvlText w:val="•"/>
      <w:lvlJc w:val="left"/>
      <w:pPr>
        <w:tabs>
          <w:tab w:val="num" w:pos="720"/>
        </w:tabs>
        <w:ind w:left="720" w:hanging="360"/>
      </w:pPr>
      <w:rPr>
        <w:rFonts w:ascii="Arial" w:hAnsi="Arial" w:hint="default"/>
      </w:rPr>
    </w:lvl>
    <w:lvl w:ilvl="1" w:tplc="182E111C" w:tentative="1">
      <w:start w:val="1"/>
      <w:numFmt w:val="bullet"/>
      <w:lvlText w:val="•"/>
      <w:lvlJc w:val="left"/>
      <w:pPr>
        <w:tabs>
          <w:tab w:val="num" w:pos="1440"/>
        </w:tabs>
        <w:ind w:left="1440" w:hanging="360"/>
      </w:pPr>
      <w:rPr>
        <w:rFonts w:ascii="Arial" w:hAnsi="Arial" w:hint="default"/>
      </w:rPr>
    </w:lvl>
    <w:lvl w:ilvl="2" w:tplc="CDF4C360" w:tentative="1">
      <w:start w:val="1"/>
      <w:numFmt w:val="bullet"/>
      <w:lvlText w:val="•"/>
      <w:lvlJc w:val="left"/>
      <w:pPr>
        <w:tabs>
          <w:tab w:val="num" w:pos="2160"/>
        </w:tabs>
        <w:ind w:left="2160" w:hanging="360"/>
      </w:pPr>
      <w:rPr>
        <w:rFonts w:ascii="Arial" w:hAnsi="Arial" w:hint="default"/>
      </w:rPr>
    </w:lvl>
    <w:lvl w:ilvl="3" w:tplc="D556BCC2" w:tentative="1">
      <w:start w:val="1"/>
      <w:numFmt w:val="bullet"/>
      <w:lvlText w:val="•"/>
      <w:lvlJc w:val="left"/>
      <w:pPr>
        <w:tabs>
          <w:tab w:val="num" w:pos="2880"/>
        </w:tabs>
        <w:ind w:left="2880" w:hanging="360"/>
      </w:pPr>
      <w:rPr>
        <w:rFonts w:ascii="Arial" w:hAnsi="Arial" w:hint="default"/>
      </w:rPr>
    </w:lvl>
    <w:lvl w:ilvl="4" w:tplc="E58CE6B0" w:tentative="1">
      <w:start w:val="1"/>
      <w:numFmt w:val="bullet"/>
      <w:lvlText w:val="•"/>
      <w:lvlJc w:val="left"/>
      <w:pPr>
        <w:tabs>
          <w:tab w:val="num" w:pos="3600"/>
        </w:tabs>
        <w:ind w:left="3600" w:hanging="360"/>
      </w:pPr>
      <w:rPr>
        <w:rFonts w:ascii="Arial" w:hAnsi="Arial" w:hint="default"/>
      </w:rPr>
    </w:lvl>
    <w:lvl w:ilvl="5" w:tplc="7D26A15C" w:tentative="1">
      <w:start w:val="1"/>
      <w:numFmt w:val="bullet"/>
      <w:lvlText w:val="•"/>
      <w:lvlJc w:val="left"/>
      <w:pPr>
        <w:tabs>
          <w:tab w:val="num" w:pos="4320"/>
        </w:tabs>
        <w:ind w:left="4320" w:hanging="360"/>
      </w:pPr>
      <w:rPr>
        <w:rFonts w:ascii="Arial" w:hAnsi="Arial" w:hint="default"/>
      </w:rPr>
    </w:lvl>
    <w:lvl w:ilvl="6" w:tplc="F7506522" w:tentative="1">
      <w:start w:val="1"/>
      <w:numFmt w:val="bullet"/>
      <w:lvlText w:val="•"/>
      <w:lvlJc w:val="left"/>
      <w:pPr>
        <w:tabs>
          <w:tab w:val="num" w:pos="5040"/>
        </w:tabs>
        <w:ind w:left="5040" w:hanging="360"/>
      </w:pPr>
      <w:rPr>
        <w:rFonts w:ascii="Arial" w:hAnsi="Arial" w:hint="default"/>
      </w:rPr>
    </w:lvl>
    <w:lvl w:ilvl="7" w:tplc="5350A868" w:tentative="1">
      <w:start w:val="1"/>
      <w:numFmt w:val="bullet"/>
      <w:lvlText w:val="•"/>
      <w:lvlJc w:val="left"/>
      <w:pPr>
        <w:tabs>
          <w:tab w:val="num" w:pos="5760"/>
        </w:tabs>
        <w:ind w:left="5760" w:hanging="360"/>
      </w:pPr>
      <w:rPr>
        <w:rFonts w:ascii="Arial" w:hAnsi="Arial" w:hint="default"/>
      </w:rPr>
    </w:lvl>
    <w:lvl w:ilvl="8" w:tplc="353C97C8" w:tentative="1">
      <w:start w:val="1"/>
      <w:numFmt w:val="bullet"/>
      <w:lvlText w:val="•"/>
      <w:lvlJc w:val="left"/>
      <w:pPr>
        <w:tabs>
          <w:tab w:val="num" w:pos="6480"/>
        </w:tabs>
        <w:ind w:left="6480" w:hanging="360"/>
      </w:pPr>
      <w:rPr>
        <w:rFonts w:ascii="Arial" w:hAnsi="Arial" w:hint="default"/>
      </w:rPr>
    </w:lvl>
  </w:abstractNum>
  <w:abstractNum w:abstractNumId="2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39DA189A"/>
    <w:multiLevelType w:val="hybridMultilevel"/>
    <w:tmpl w:val="22D49FE0"/>
    <w:lvl w:ilvl="0" w:tplc="0510A128">
      <w:start w:val="1"/>
      <w:numFmt w:val="bullet"/>
      <w:lvlText w:val="•"/>
      <w:lvlJc w:val="left"/>
      <w:pPr>
        <w:tabs>
          <w:tab w:val="num" w:pos="720"/>
        </w:tabs>
        <w:ind w:left="720" w:hanging="360"/>
      </w:pPr>
      <w:rPr>
        <w:rFonts w:ascii="Arial" w:hAnsi="Arial" w:hint="default"/>
      </w:rPr>
    </w:lvl>
    <w:lvl w:ilvl="1" w:tplc="F2761F6E">
      <w:start w:val="1"/>
      <w:numFmt w:val="bullet"/>
      <w:lvlText w:val="•"/>
      <w:lvlJc w:val="left"/>
      <w:pPr>
        <w:tabs>
          <w:tab w:val="num" w:pos="1440"/>
        </w:tabs>
        <w:ind w:left="1440" w:hanging="360"/>
      </w:pPr>
      <w:rPr>
        <w:rFonts w:ascii="Arial" w:hAnsi="Arial" w:hint="default"/>
      </w:rPr>
    </w:lvl>
    <w:lvl w:ilvl="2" w:tplc="0EA67A06" w:tentative="1">
      <w:start w:val="1"/>
      <w:numFmt w:val="bullet"/>
      <w:lvlText w:val="•"/>
      <w:lvlJc w:val="left"/>
      <w:pPr>
        <w:tabs>
          <w:tab w:val="num" w:pos="2160"/>
        </w:tabs>
        <w:ind w:left="2160" w:hanging="360"/>
      </w:pPr>
      <w:rPr>
        <w:rFonts w:ascii="Arial" w:hAnsi="Arial" w:hint="default"/>
      </w:rPr>
    </w:lvl>
    <w:lvl w:ilvl="3" w:tplc="A672D00C" w:tentative="1">
      <w:start w:val="1"/>
      <w:numFmt w:val="bullet"/>
      <w:lvlText w:val="•"/>
      <w:lvlJc w:val="left"/>
      <w:pPr>
        <w:tabs>
          <w:tab w:val="num" w:pos="2880"/>
        </w:tabs>
        <w:ind w:left="2880" w:hanging="360"/>
      </w:pPr>
      <w:rPr>
        <w:rFonts w:ascii="Arial" w:hAnsi="Arial" w:hint="default"/>
      </w:rPr>
    </w:lvl>
    <w:lvl w:ilvl="4" w:tplc="02247DB4" w:tentative="1">
      <w:start w:val="1"/>
      <w:numFmt w:val="bullet"/>
      <w:lvlText w:val="•"/>
      <w:lvlJc w:val="left"/>
      <w:pPr>
        <w:tabs>
          <w:tab w:val="num" w:pos="3600"/>
        </w:tabs>
        <w:ind w:left="3600" w:hanging="360"/>
      </w:pPr>
      <w:rPr>
        <w:rFonts w:ascii="Arial" w:hAnsi="Arial" w:hint="default"/>
      </w:rPr>
    </w:lvl>
    <w:lvl w:ilvl="5" w:tplc="C660F796" w:tentative="1">
      <w:start w:val="1"/>
      <w:numFmt w:val="bullet"/>
      <w:lvlText w:val="•"/>
      <w:lvlJc w:val="left"/>
      <w:pPr>
        <w:tabs>
          <w:tab w:val="num" w:pos="4320"/>
        </w:tabs>
        <w:ind w:left="4320" w:hanging="360"/>
      </w:pPr>
      <w:rPr>
        <w:rFonts w:ascii="Arial" w:hAnsi="Arial" w:hint="default"/>
      </w:rPr>
    </w:lvl>
    <w:lvl w:ilvl="6" w:tplc="C046E3A4" w:tentative="1">
      <w:start w:val="1"/>
      <w:numFmt w:val="bullet"/>
      <w:lvlText w:val="•"/>
      <w:lvlJc w:val="left"/>
      <w:pPr>
        <w:tabs>
          <w:tab w:val="num" w:pos="5040"/>
        </w:tabs>
        <w:ind w:left="5040" w:hanging="360"/>
      </w:pPr>
      <w:rPr>
        <w:rFonts w:ascii="Arial" w:hAnsi="Arial" w:hint="default"/>
      </w:rPr>
    </w:lvl>
    <w:lvl w:ilvl="7" w:tplc="85EC3344" w:tentative="1">
      <w:start w:val="1"/>
      <w:numFmt w:val="bullet"/>
      <w:lvlText w:val="•"/>
      <w:lvlJc w:val="left"/>
      <w:pPr>
        <w:tabs>
          <w:tab w:val="num" w:pos="5760"/>
        </w:tabs>
        <w:ind w:left="5760" w:hanging="360"/>
      </w:pPr>
      <w:rPr>
        <w:rFonts w:ascii="Arial" w:hAnsi="Arial" w:hint="default"/>
      </w:rPr>
    </w:lvl>
    <w:lvl w:ilvl="8" w:tplc="38C2C002" w:tentative="1">
      <w:start w:val="1"/>
      <w:numFmt w:val="bullet"/>
      <w:lvlText w:val="•"/>
      <w:lvlJc w:val="left"/>
      <w:pPr>
        <w:tabs>
          <w:tab w:val="num" w:pos="6480"/>
        </w:tabs>
        <w:ind w:left="6480" w:hanging="360"/>
      </w:pPr>
      <w:rPr>
        <w:rFonts w:ascii="Arial" w:hAnsi="Arial" w:hint="default"/>
      </w:rPr>
    </w:lvl>
  </w:abstractNum>
  <w:abstractNum w:abstractNumId="26">
    <w:nsid w:val="3A1A306D"/>
    <w:multiLevelType w:val="hybridMultilevel"/>
    <w:tmpl w:val="06F419B0"/>
    <w:lvl w:ilvl="0" w:tplc="BDC0035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2">
    <w:nsid w:val="406C373A"/>
    <w:multiLevelType w:val="hybridMultilevel"/>
    <w:tmpl w:val="CBD8D238"/>
    <w:lvl w:ilvl="0" w:tplc="2AB2585A">
      <w:start w:val="1"/>
      <w:numFmt w:val="bullet"/>
      <w:lvlText w:val="•"/>
      <w:lvlJc w:val="left"/>
      <w:pPr>
        <w:tabs>
          <w:tab w:val="num" w:pos="720"/>
        </w:tabs>
        <w:ind w:left="720" w:hanging="360"/>
      </w:pPr>
      <w:rPr>
        <w:rFonts w:ascii="Arial" w:hAnsi="Arial" w:hint="default"/>
      </w:rPr>
    </w:lvl>
    <w:lvl w:ilvl="1" w:tplc="DEC4971A" w:tentative="1">
      <w:start w:val="1"/>
      <w:numFmt w:val="bullet"/>
      <w:lvlText w:val="•"/>
      <w:lvlJc w:val="left"/>
      <w:pPr>
        <w:tabs>
          <w:tab w:val="num" w:pos="1440"/>
        </w:tabs>
        <w:ind w:left="1440" w:hanging="360"/>
      </w:pPr>
      <w:rPr>
        <w:rFonts w:ascii="Arial" w:hAnsi="Arial" w:hint="default"/>
      </w:rPr>
    </w:lvl>
    <w:lvl w:ilvl="2" w:tplc="5E429352" w:tentative="1">
      <w:start w:val="1"/>
      <w:numFmt w:val="bullet"/>
      <w:lvlText w:val="•"/>
      <w:lvlJc w:val="left"/>
      <w:pPr>
        <w:tabs>
          <w:tab w:val="num" w:pos="2160"/>
        </w:tabs>
        <w:ind w:left="2160" w:hanging="360"/>
      </w:pPr>
      <w:rPr>
        <w:rFonts w:ascii="Arial" w:hAnsi="Arial" w:hint="default"/>
      </w:rPr>
    </w:lvl>
    <w:lvl w:ilvl="3" w:tplc="2C1EF9E8" w:tentative="1">
      <w:start w:val="1"/>
      <w:numFmt w:val="bullet"/>
      <w:lvlText w:val="•"/>
      <w:lvlJc w:val="left"/>
      <w:pPr>
        <w:tabs>
          <w:tab w:val="num" w:pos="2880"/>
        </w:tabs>
        <w:ind w:left="2880" w:hanging="360"/>
      </w:pPr>
      <w:rPr>
        <w:rFonts w:ascii="Arial" w:hAnsi="Arial" w:hint="default"/>
      </w:rPr>
    </w:lvl>
    <w:lvl w:ilvl="4" w:tplc="DCF2C894" w:tentative="1">
      <w:start w:val="1"/>
      <w:numFmt w:val="bullet"/>
      <w:lvlText w:val="•"/>
      <w:lvlJc w:val="left"/>
      <w:pPr>
        <w:tabs>
          <w:tab w:val="num" w:pos="3600"/>
        </w:tabs>
        <w:ind w:left="3600" w:hanging="360"/>
      </w:pPr>
      <w:rPr>
        <w:rFonts w:ascii="Arial" w:hAnsi="Arial" w:hint="default"/>
      </w:rPr>
    </w:lvl>
    <w:lvl w:ilvl="5" w:tplc="6EA40B30" w:tentative="1">
      <w:start w:val="1"/>
      <w:numFmt w:val="bullet"/>
      <w:lvlText w:val="•"/>
      <w:lvlJc w:val="left"/>
      <w:pPr>
        <w:tabs>
          <w:tab w:val="num" w:pos="4320"/>
        </w:tabs>
        <w:ind w:left="4320" w:hanging="360"/>
      </w:pPr>
      <w:rPr>
        <w:rFonts w:ascii="Arial" w:hAnsi="Arial" w:hint="default"/>
      </w:rPr>
    </w:lvl>
    <w:lvl w:ilvl="6" w:tplc="85A46ABA" w:tentative="1">
      <w:start w:val="1"/>
      <w:numFmt w:val="bullet"/>
      <w:lvlText w:val="•"/>
      <w:lvlJc w:val="left"/>
      <w:pPr>
        <w:tabs>
          <w:tab w:val="num" w:pos="5040"/>
        </w:tabs>
        <w:ind w:left="5040" w:hanging="360"/>
      </w:pPr>
      <w:rPr>
        <w:rFonts w:ascii="Arial" w:hAnsi="Arial" w:hint="default"/>
      </w:rPr>
    </w:lvl>
    <w:lvl w:ilvl="7" w:tplc="C798C3F6" w:tentative="1">
      <w:start w:val="1"/>
      <w:numFmt w:val="bullet"/>
      <w:lvlText w:val="•"/>
      <w:lvlJc w:val="left"/>
      <w:pPr>
        <w:tabs>
          <w:tab w:val="num" w:pos="5760"/>
        </w:tabs>
        <w:ind w:left="5760" w:hanging="360"/>
      </w:pPr>
      <w:rPr>
        <w:rFonts w:ascii="Arial" w:hAnsi="Arial" w:hint="default"/>
      </w:rPr>
    </w:lvl>
    <w:lvl w:ilvl="8" w:tplc="5034652C" w:tentative="1">
      <w:start w:val="1"/>
      <w:numFmt w:val="bullet"/>
      <w:lvlText w:val="•"/>
      <w:lvlJc w:val="left"/>
      <w:pPr>
        <w:tabs>
          <w:tab w:val="num" w:pos="6480"/>
        </w:tabs>
        <w:ind w:left="6480" w:hanging="360"/>
      </w:pPr>
      <w:rPr>
        <w:rFonts w:ascii="Arial" w:hAnsi="Arial" w:hint="default"/>
      </w:rPr>
    </w:lvl>
  </w:abstractNum>
  <w:abstractNum w:abstractNumId="33">
    <w:nsid w:val="426C71AA"/>
    <w:multiLevelType w:val="hybridMultilevel"/>
    <w:tmpl w:val="9C0CF5A6"/>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468" w:hanging="360"/>
      </w:pPr>
      <w:rPr>
        <w:rFonts w:ascii="Wingdings" w:hAnsi="Wingdings" w:hint="default"/>
      </w:rPr>
    </w:lvl>
    <w:lvl w:ilvl="3" w:tplc="08090001" w:tentative="1">
      <w:start w:val="1"/>
      <w:numFmt w:val="bullet"/>
      <w:lvlText w:val=""/>
      <w:lvlJc w:val="left"/>
      <w:pPr>
        <w:ind w:left="252" w:hanging="360"/>
      </w:pPr>
      <w:rPr>
        <w:rFonts w:ascii="Symbol" w:hAnsi="Symbol" w:hint="default"/>
      </w:rPr>
    </w:lvl>
    <w:lvl w:ilvl="4" w:tplc="08090003" w:tentative="1">
      <w:start w:val="1"/>
      <w:numFmt w:val="bullet"/>
      <w:lvlText w:val="o"/>
      <w:lvlJc w:val="left"/>
      <w:pPr>
        <w:ind w:left="972" w:hanging="360"/>
      </w:pPr>
      <w:rPr>
        <w:rFonts w:ascii="Courier New" w:hAnsi="Courier New" w:cs="Courier New" w:hint="default"/>
      </w:rPr>
    </w:lvl>
    <w:lvl w:ilvl="5" w:tplc="08090005" w:tentative="1">
      <w:start w:val="1"/>
      <w:numFmt w:val="bullet"/>
      <w:lvlText w:val=""/>
      <w:lvlJc w:val="left"/>
      <w:pPr>
        <w:ind w:left="1692" w:hanging="360"/>
      </w:pPr>
      <w:rPr>
        <w:rFonts w:ascii="Wingdings" w:hAnsi="Wingdings" w:hint="default"/>
      </w:rPr>
    </w:lvl>
    <w:lvl w:ilvl="6" w:tplc="08090001" w:tentative="1">
      <w:start w:val="1"/>
      <w:numFmt w:val="bullet"/>
      <w:lvlText w:val=""/>
      <w:lvlJc w:val="left"/>
      <w:pPr>
        <w:ind w:left="2412" w:hanging="360"/>
      </w:pPr>
      <w:rPr>
        <w:rFonts w:ascii="Symbol" w:hAnsi="Symbol" w:hint="default"/>
      </w:rPr>
    </w:lvl>
    <w:lvl w:ilvl="7" w:tplc="08090003" w:tentative="1">
      <w:start w:val="1"/>
      <w:numFmt w:val="bullet"/>
      <w:lvlText w:val="o"/>
      <w:lvlJc w:val="left"/>
      <w:pPr>
        <w:ind w:left="3132" w:hanging="360"/>
      </w:pPr>
      <w:rPr>
        <w:rFonts w:ascii="Courier New" w:hAnsi="Courier New" w:cs="Courier New" w:hint="default"/>
      </w:rPr>
    </w:lvl>
    <w:lvl w:ilvl="8" w:tplc="08090005" w:tentative="1">
      <w:start w:val="1"/>
      <w:numFmt w:val="bullet"/>
      <w:lvlText w:val=""/>
      <w:lvlJc w:val="left"/>
      <w:pPr>
        <w:ind w:left="3852" w:hanging="360"/>
      </w:pPr>
      <w:rPr>
        <w:rFonts w:ascii="Wingdings" w:hAnsi="Wingdings" w:hint="default"/>
      </w:rPr>
    </w:lvl>
  </w:abstractNum>
  <w:abstractNum w:abstractNumId="34">
    <w:nsid w:val="43E455AA"/>
    <w:multiLevelType w:val="hybridMultilevel"/>
    <w:tmpl w:val="481482E0"/>
    <w:lvl w:ilvl="0" w:tplc="FFFFFFFF">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6">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9">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4">
    <w:nsid w:val="582419AB"/>
    <w:multiLevelType w:val="hybridMultilevel"/>
    <w:tmpl w:val="236EA6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nsid w:val="5EB91733"/>
    <w:multiLevelType w:val="hybridMultilevel"/>
    <w:tmpl w:val="52449532"/>
    <w:lvl w:ilvl="0" w:tplc="FFFFFFFF">
      <w:start w:val="1"/>
      <w:numFmt w:val="bullet"/>
      <w:lvlText w:val="o"/>
      <w:lvlJc w:val="left"/>
      <w:pPr>
        <w:tabs>
          <w:tab w:val="num" w:pos="720"/>
        </w:tabs>
        <w:ind w:left="720" w:hanging="360"/>
      </w:pPr>
      <w:rPr>
        <w:rFonts w:ascii="Courier New" w:hAnsi="Courier New" w:cs="Courier New" w:hint="default"/>
      </w:rPr>
    </w:lvl>
    <w:lvl w:ilvl="1" w:tplc="F2761F6E">
      <w:start w:val="1"/>
      <w:numFmt w:val="bullet"/>
      <w:lvlText w:val="•"/>
      <w:lvlJc w:val="left"/>
      <w:pPr>
        <w:tabs>
          <w:tab w:val="num" w:pos="1440"/>
        </w:tabs>
        <w:ind w:left="1440" w:hanging="360"/>
      </w:pPr>
      <w:rPr>
        <w:rFonts w:ascii="Arial" w:hAnsi="Arial" w:hint="default"/>
      </w:rPr>
    </w:lvl>
    <w:lvl w:ilvl="2" w:tplc="0EA67A06" w:tentative="1">
      <w:start w:val="1"/>
      <w:numFmt w:val="bullet"/>
      <w:lvlText w:val="•"/>
      <w:lvlJc w:val="left"/>
      <w:pPr>
        <w:tabs>
          <w:tab w:val="num" w:pos="2160"/>
        </w:tabs>
        <w:ind w:left="2160" w:hanging="360"/>
      </w:pPr>
      <w:rPr>
        <w:rFonts w:ascii="Arial" w:hAnsi="Arial" w:hint="default"/>
      </w:rPr>
    </w:lvl>
    <w:lvl w:ilvl="3" w:tplc="A672D00C" w:tentative="1">
      <w:start w:val="1"/>
      <w:numFmt w:val="bullet"/>
      <w:lvlText w:val="•"/>
      <w:lvlJc w:val="left"/>
      <w:pPr>
        <w:tabs>
          <w:tab w:val="num" w:pos="2880"/>
        </w:tabs>
        <w:ind w:left="2880" w:hanging="360"/>
      </w:pPr>
      <w:rPr>
        <w:rFonts w:ascii="Arial" w:hAnsi="Arial" w:hint="default"/>
      </w:rPr>
    </w:lvl>
    <w:lvl w:ilvl="4" w:tplc="02247DB4" w:tentative="1">
      <w:start w:val="1"/>
      <w:numFmt w:val="bullet"/>
      <w:lvlText w:val="•"/>
      <w:lvlJc w:val="left"/>
      <w:pPr>
        <w:tabs>
          <w:tab w:val="num" w:pos="3600"/>
        </w:tabs>
        <w:ind w:left="3600" w:hanging="360"/>
      </w:pPr>
      <w:rPr>
        <w:rFonts w:ascii="Arial" w:hAnsi="Arial" w:hint="default"/>
      </w:rPr>
    </w:lvl>
    <w:lvl w:ilvl="5" w:tplc="C660F796" w:tentative="1">
      <w:start w:val="1"/>
      <w:numFmt w:val="bullet"/>
      <w:lvlText w:val="•"/>
      <w:lvlJc w:val="left"/>
      <w:pPr>
        <w:tabs>
          <w:tab w:val="num" w:pos="4320"/>
        </w:tabs>
        <w:ind w:left="4320" w:hanging="360"/>
      </w:pPr>
      <w:rPr>
        <w:rFonts w:ascii="Arial" w:hAnsi="Arial" w:hint="default"/>
      </w:rPr>
    </w:lvl>
    <w:lvl w:ilvl="6" w:tplc="C046E3A4" w:tentative="1">
      <w:start w:val="1"/>
      <w:numFmt w:val="bullet"/>
      <w:lvlText w:val="•"/>
      <w:lvlJc w:val="left"/>
      <w:pPr>
        <w:tabs>
          <w:tab w:val="num" w:pos="5040"/>
        </w:tabs>
        <w:ind w:left="5040" w:hanging="360"/>
      </w:pPr>
      <w:rPr>
        <w:rFonts w:ascii="Arial" w:hAnsi="Arial" w:hint="default"/>
      </w:rPr>
    </w:lvl>
    <w:lvl w:ilvl="7" w:tplc="85EC3344" w:tentative="1">
      <w:start w:val="1"/>
      <w:numFmt w:val="bullet"/>
      <w:lvlText w:val="•"/>
      <w:lvlJc w:val="left"/>
      <w:pPr>
        <w:tabs>
          <w:tab w:val="num" w:pos="5760"/>
        </w:tabs>
        <w:ind w:left="5760" w:hanging="360"/>
      </w:pPr>
      <w:rPr>
        <w:rFonts w:ascii="Arial" w:hAnsi="Arial" w:hint="default"/>
      </w:rPr>
    </w:lvl>
    <w:lvl w:ilvl="8" w:tplc="38C2C002" w:tentative="1">
      <w:start w:val="1"/>
      <w:numFmt w:val="bullet"/>
      <w:lvlText w:val="•"/>
      <w:lvlJc w:val="left"/>
      <w:pPr>
        <w:tabs>
          <w:tab w:val="num" w:pos="6480"/>
        </w:tabs>
        <w:ind w:left="6480" w:hanging="360"/>
      </w:pPr>
      <w:rPr>
        <w:rFonts w:ascii="Arial" w:hAnsi="Arial" w:hint="default"/>
      </w:rPr>
    </w:lvl>
  </w:abstractNum>
  <w:abstractNum w:abstractNumId="4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nsid w:val="5FB87225"/>
    <w:multiLevelType w:val="hybridMultilevel"/>
    <w:tmpl w:val="71B82DDA"/>
    <w:lvl w:ilvl="0" w:tplc="FFFFFFFF">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7820D7"/>
    <w:multiLevelType w:val="hybridMultilevel"/>
    <w:tmpl w:val="0706B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3">
    <w:nsid w:val="63D07DFC"/>
    <w:multiLevelType w:val="hybridMultilevel"/>
    <w:tmpl w:val="72743416"/>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5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0">
    <w:nsid w:val="79CC48B3"/>
    <w:multiLevelType w:val="hybridMultilevel"/>
    <w:tmpl w:val="A370AEDC"/>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2">
    <w:nsid w:val="7EC22705"/>
    <w:multiLevelType w:val="hybridMultilevel"/>
    <w:tmpl w:val="A914F612"/>
    <w:lvl w:ilvl="0" w:tplc="08090003">
      <w:start w:val="1"/>
      <w:numFmt w:val="bullet"/>
      <w:lvlText w:val="o"/>
      <w:lvlJc w:val="left"/>
      <w:pPr>
        <w:ind w:left="731" w:hanging="360"/>
      </w:pPr>
      <w:rPr>
        <w:rFonts w:ascii="Courier New" w:hAnsi="Courier New" w:cs="Courier New" w:hint="default"/>
      </w:rPr>
    </w:lvl>
    <w:lvl w:ilvl="1" w:tplc="08090003">
      <w:start w:val="1"/>
      <w:numFmt w:val="bullet"/>
      <w:lvlText w:val="o"/>
      <w:lvlJc w:val="left"/>
      <w:pPr>
        <w:ind w:left="1451" w:hanging="360"/>
      </w:pPr>
      <w:rPr>
        <w:rFonts w:ascii="Courier New" w:hAnsi="Courier New" w:cs="Courier New" w:hint="default"/>
      </w:rPr>
    </w:lvl>
    <w:lvl w:ilvl="2" w:tplc="FFFFFFFF">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num w:numId="1">
    <w:abstractNumId w:val="30"/>
  </w:num>
  <w:num w:numId="2">
    <w:abstractNumId w:val="35"/>
  </w:num>
  <w:num w:numId="3">
    <w:abstractNumId w:val="24"/>
  </w:num>
  <w:num w:numId="4">
    <w:abstractNumId w:val="40"/>
  </w:num>
  <w:num w:numId="5">
    <w:abstractNumId w:val="42"/>
  </w:num>
  <w:num w:numId="6">
    <w:abstractNumId w:val="0"/>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50"/>
  </w:num>
  <w:num w:numId="14">
    <w:abstractNumId w:val="39"/>
  </w:num>
  <w:num w:numId="15">
    <w:abstractNumId w:val="22"/>
  </w:num>
  <w:num w:numId="16">
    <w:abstractNumId w:val="1"/>
  </w:num>
  <w:num w:numId="17">
    <w:abstractNumId w:val="28"/>
  </w:num>
  <w:num w:numId="18">
    <w:abstractNumId w:val="29"/>
  </w:num>
  <w:num w:numId="19">
    <w:abstractNumId w:val="31"/>
  </w:num>
  <w:num w:numId="20">
    <w:abstractNumId w:val="43"/>
  </w:num>
  <w:num w:numId="21">
    <w:abstractNumId w:val="57"/>
  </w:num>
  <w:num w:numId="22">
    <w:abstractNumId w:val="41"/>
  </w:num>
  <w:num w:numId="23">
    <w:abstractNumId w:val="21"/>
  </w:num>
  <w:num w:numId="24">
    <w:abstractNumId w:val="48"/>
  </w:num>
  <w:num w:numId="25">
    <w:abstractNumId w:val="47"/>
  </w:num>
  <w:num w:numId="26">
    <w:abstractNumId w:val="36"/>
  </w:num>
  <w:num w:numId="27">
    <w:abstractNumId w:val="54"/>
  </w:num>
  <w:num w:numId="28">
    <w:abstractNumId w:val="61"/>
  </w:num>
  <w:num w:numId="29">
    <w:abstractNumId w:val="18"/>
  </w:num>
  <w:num w:numId="30">
    <w:abstractNumId w:val="5"/>
  </w:num>
  <w:num w:numId="31">
    <w:abstractNumId w:val="38"/>
  </w:num>
  <w:num w:numId="32">
    <w:abstractNumId w:val="3"/>
  </w:num>
  <w:num w:numId="33">
    <w:abstractNumId w:val="17"/>
  </w:num>
  <w:num w:numId="34">
    <w:abstractNumId w:val="37"/>
  </w:num>
  <w:num w:numId="35">
    <w:abstractNumId w:val="56"/>
  </w:num>
  <w:num w:numId="36">
    <w:abstractNumId w:val="55"/>
  </w:num>
  <w:num w:numId="37">
    <w:abstractNumId w:val="23"/>
  </w:num>
  <w:num w:numId="38">
    <w:abstractNumId w:val="4"/>
  </w:num>
  <w:num w:numId="39">
    <w:abstractNumId w:val="58"/>
  </w:num>
  <w:num w:numId="40">
    <w:abstractNumId w:val="60"/>
  </w:num>
  <w:num w:numId="41">
    <w:abstractNumId w:val="6"/>
  </w:num>
  <w:num w:numId="42">
    <w:abstractNumId w:val="2"/>
  </w:num>
  <w:num w:numId="43">
    <w:abstractNumId w:val="44"/>
  </w:num>
  <w:num w:numId="44">
    <w:abstractNumId w:val="49"/>
  </w:num>
  <w:num w:numId="45">
    <w:abstractNumId w:val="34"/>
  </w:num>
  <w:num w:numId="46">
    <w:abstractNumId w:val="7"/>
  </w:num>
  <w:num w:numId="47">
    <w:abstractNumId w:val="33"/>
  </w:num>
  <w:num w:numId="48">
    <w:abstractNumId w:val="62"/>
  </w:num>
  <w:num w:numId="49">
    <w:abstractNumId w:val="12"/>
  </w:num>
  <w:num w:numId="50">
    <w:abstractNumId w:val="53"/>
  </w:num>
  <w:num w:numId="51">
    <w:abstractNumId w:val="20"/>
  </w:num>
  <w:num w:numId="52">
    <w:abstractNumId w:val="32"/>
  </w:num>
  <w:num w:numId="53">
    <w:abstractNumId w:val="15"/>
  </w:num>
  <w:num w:numId="54">
    <w:abstractNumId w:val="25"/>
  </w:num>
  <w:num w:numId="55">
    <w:abstractNumId w:val="11"/>
  </w:num>
  <w:num w:numId="56">
    <w:abstractNumId w:val="51"/>
  </w:num>
  <w:num w:numId="57">
    <w:abstractNumId w:val="8"/>
  </w:num>
  <w:num w:numId="58">
    <w:abstractNumId w:val="10"/>
  </w:num>
  <w:num w:numId="59">
    <w:abstractNumId w:val="16"/>
  </w:num>
  <w:num w:numId="60">
    <w:abstractNumId w:val="14"/>
  </w:num>
  <w:num w:numId="61">
    <w:abstractNumId w:val="46"/>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jpnVyYDR32w9Y6lta5NlriyH76s=" w:salt="k0qUD+jra4Fy41+cxWEm0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79C"/>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6803"/>
    <w:rsid w:val="00027154"/>
    <w:rsid w:val="00027ECF"/>
    <w:rsid w:val="000303BE"/>
    <w:rsid w:val="000344D6"/>
    <w:rsid w:val="00034960"/>
    <w:rsid w:val="000349D7"/>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795"/>
    <w:rsid w:val="000B2C3D"/>
    <w:rsid w:val="000B2D5F"/>
    <w:rsid w:val="000B371F"/>
    <w:rsid w:val="000B55C0"/>
    <w:rsid w:val="000B5DF2"/>
    <w:rsid w:val="000C06C9"/>
    <w:rsid w:val="000C1DCC"/>
    <w:rsid w:val="000C1FBC"/>
    <w:rsid w:val="000C2B6A"/>
    <w:rsid w:val="000C2F88"/>
    <w:rsid w:val="000C55C8"/>
    <w:rsid w:val="000C57C4"/>
    <w:rsid w:val="000C5FD3"/>
    <w:rsid w:val="000C701D"/>
    <w:rsid w:val="000C7C4A"/>
    <w:rsid w:val="000D06A7"/>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265F"/>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2409"/>
    <w:rsid w:val="00135ABE"/>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0E2B"/>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8DB"/>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C32"/>
    <w:rsid w:val="00223D11"/>
    <w:rsid w:val="002242D3"/>
    <w:rsid w:val="002301E6"/>
    <w:rsid w:val="00232F90"/>
    <w:rsid w:val="00233B08"/>
    <w:rsid w:val="00233C3B"/>
    <w:rsid w:val="002342EC"/>
    <w:rsid w:val="0023499C"/>
    <w:rsid w:val="00235A78"/>
    <w:rsid w:val="00235CE3"/>
    <w:rsid w:val="0023636A"/>
    <w:rsid w:val="002368EE"/>
    <w:rsid w:val="00236F34"/>
    <w:rsid w:val="002372F7"/>
    <w:rsid w:val="00237602"/>
    <w:rsid w:val="00240651"/>
    <w:rsid w:val="00240803"/>
    <w:rsid w:val="0024426D"/>
    <w:rsid w:val="00244F1D"/>
    <w:rsid w:val="00245004"/>
    <w:rsid w:val="00245FB4"/>
    <w:rsid w:val="0024655B"/>
    <w:rsid w:val="00250898"/>
    <w:rsid w:val="00251EA9"/>
    <w:rsid w:val="00252843"/>
    <w:rsid w:val="002543F8"/>
    <w:rsid w:val="002551A4"/>
    <w:rsid w:val="002554CA"/>
    <w:rsid w:val="002559F3"/>
    <w:rsid w:val="00256DFE"/>
    <w:rsid w:val="00261D56"/>
    <w:rsid w:val="00261FD3"/>
    <w:rsid w:val="00263EFF"/>
    <w:rsid w:val="00264077"/>
    <w:rsid w:val="00266B9A"/>
    <w:rsid w:val="00270E54"/>
    <w:rsid w:val="00272369"/>
    <w:rsid w:val="00273681"/>
    <w:rsid w:val="002754B5"/>
    <w:rsid w:val="00275C97"/>
    <w:rsid w:val="002764C5"/>
    <w:rsid w:val="002772AE"/>
    <w:rsid w:val="00280613"/>
    <w:rsid w:val="002816EE"/>
    <w:rsid w:val="0028274D"/>
    <w:rsid w:val="00282B96"/>
    <w:rsid w:val="002833D6"/>
    <w:rsid w:val="00283F51"/>
    <w:rsid w:val="00286064"/>
    <w:rsid w:val="002867B1"/>
    <w:rsid w:val="00287BBB"/>
    <w:rsid w:val="00287E3B"/>
    <w:rsid w:val="00290638"/>
    <w:rsid w:val="00291763"/>
    <w:rsid w:val="00291D80"/>
    <w:rsid w:val="00293156"/>
    <w:rsid w:val="002934BE"/>
    <w:rsid w:val="00293BE7"/>
    <w:rsid w:val="002946DC"/>
    <w:rsid w:val="00294C2C"/>
    <w:rsid w:val="002A0C82"/>
    <w:rsid w:val="002A0CD8"/>
    <w:rsid w:val="002A13EB"/>
    <w:rsid w:val="002A35EF"/>
    <w:rsid w:val="002A3DE0"/>
    <w:rsid w:val="002A40EA"/>
    <w:rsid w:val="002A46E8"/>
    <w:rsid w:val="002A491C"/>
    <w:rsid w:val="002B18FB"/>
    <w:rsid w:val="002B1FEF"/>
    <w:rsid w:val="002B2DF8"/>
    <w:rsid w:val="002B354F"/>
    <w:rsid w:val="002B3614"/>
    <w:rsid w:val="002B45D1"/>
    <w:rsid w:val="002B4ED8"/>
    <w:rsid w:val="002B4FAA"/>
    <w:rsid w:val="002B52C2"/>
    <w:rsid w:val="002B7656"/>
    <w:rsid w:val="002C1492"/>
    <w:rsid w:val="002C1E8B"/>
    <w:rsid w:val="002C2EFE"/>
    <w:rsid w:val="002C31DA"/>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3E7D"/>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BAA"/>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143"/>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7A1"/>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3D0B"/>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0898"/>
    <w:rsid w:val="0044162D"/>
    <w:rsid w:val="00441AFC"/>
    <w:rsid w:val="0044277A"/>
    <w:rsid w:val="004456DC"/>
    <w:rsid w:val="00447FBE"/>
    <w:rsid w:val="0045035E"/>
    <w:rsid w:val="0045175A"/>
    <w:rsid w:val="00451ED9"/>
    <w:rsid w:val="00452180"/>
    <w:rsid w:val="0045259C"/>
    <w:rsid w:val="00453072"/>
    <w:rsid w:val="004539F8"/>
    <w:rsid w:val="00453F26"/>
    <w:rsid w:val="00454E5C"/>
    <w:rsid w:val="0045503F"/>
    <w:rsid w:val="00455273"/>
    <w:rsid w:val="00460905"/>
    <w:rsid w:val="00461E35"/>
    <w:rsid w:val="004621DB"/>
    <w:rsid w:val="004634A7"/>
    <w:rsid w:val="00463787"/>
    <w:rsid w:val="00466926"/>
    <w:rsid w:val="00466FDA"/>
    <w:rsid w:val="004671D0"/>
    <w:rsid w:val="004674D1"/>
    <w:rsid w:val="00470773"/>
    <w:rsid w:val="00471FF9"/>
    <w:rsid w:val="004732E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685C"/>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29C9"/>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C9"/>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D09"/>
    <w:rsid w:val="005441D4"/>
    <w:rsid w:val="0054672D"/>
    <w:rsid w:val="00550F4E"/>
    <w:rsid w:val="005532B5"/>
    <w:rsid w:val="0055403A"/>
    <w:rsid w:val="00554A05"/>
    <w:rsid w:val="00555849"/>
    <w:rsid w:val="005559A8"/>
    <w:rsid w:val="00557048"/>
    <w:rsid w:val="00557FB5"/>
    <w:rsid w:val="00561340"/>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190F"/>
    <w:rsid w:val="00592318"/>
    <w:rsid w:val="00593133"/>
    <w:rsid w:val="0059575D"/>
    <w:rsid w:val="00596825"/>
    <w:rsid w:val="005A150A"/>
    <w:rsid w:val="005A2B3E"/>
    <w:rsid w:val="005A3644"/>
    <w:rsid w:val="005A4087"/>
    <w:rsid w:val="005A4B18"/>
    <w:rsid w:val="005A537E"/>
    <w:rsid w:val="005A6F43"/>
    <w:rsid w:val="005A7071"/>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2D6"/>
    <w:rsid w:val="005E6C5F"/>
    <w:rsid w:val="005E7636"/>
    <w:rsid w:val="005F028E"/>
    <w:rsid w:val="005F04B4"/>
    <w:rsid w:val="005F04DB"/>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7BF"/>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5B30"/>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3A2"/>
    <w:rsid w:val="0068068C"/>
    <w:rsid w:val="00680DD5"/>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48F"/>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39CA"/>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98B"/>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4CB3"/>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6398"/>
    <w:rsid w:val="00777046"/>
    <w:rsid w:val="007770DA"/>
    <w:rsid w:val="00777D07"/>
    <w:rsid w:val="007805B9"/>
    <w:rsid w:val="00780C3A"/>
    <w:rsid w:val="007810D6"/>
    <w:rsid w:val="007834A1"/>
    <w:rsid w:val="00786CC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5E6D"/>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3F7B"/>
    <w:rsid w:val="007E45CF"/>
    <w:rsid w:val="007E4AAA"/>
    <w:rsid w:val="007E4BD2"/>
    <w:rsid w:val="007E4C29"/>
    <w:rsid w:val="007E5E44"/>
    <w:rsid w:val="007F0DDA"/>
    <w:rsid w:val="007F1540"/>
    <w:rsid w:val="007F1939"/>
    <w:rsid w:val="007F365C"/>
    <w:rsid w:val="007F5066"/>
    <w:rsid w:val="007F621C"/>
    <w:rsid w:val="007F7155"/>
    <w:rsid w:val="00800C28"/>
    <w:rsid w:val="00800FC6"/>
    <w:rsid w:val="00801024"/>
    <w:rsid w:val="0080245E"/>
    <w:rsid w:val="00803480"/>
    <w:rsid w:val="0080359C"/>
    <w:rsid w:val="008037AE"/>
    <w:rsid w:val="008043F4"/>
    <w:rsid w:val="00804BB4"/>
    <w:rsid w:val="00805D9F"/>
    <w:rsid w:val="00807A4D"/>
    <w:rsid w:val="00807F30"/>
    <w:rsid w:val="008103DC"/>
    <w:rsid w:val="0081119F"/>
    <w:rsid w:val="0081134D"/>
    <w:rsid w:val="00811EB0"/>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0991"/>
    <w:rsid w:val="00831077"/>
    <w:rsid w:val="00831A4A"/>
    <w:rsid w:val="00832134"/>
    <w:rsid w:val="0083219E"/>
    <w:rsid w:val="00834171"/>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139"/>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766CB"/>
    <w:rsid w:val="00880224"/>
    <w:rsid w:val="0088244C"/>
    <w:rsid w:val="00883367"/>
    <w:rsid w:val="008836C9"/>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4C00"/>
    <w:rsid w:val="008C50FF"/>
    <w:rsid w:val="008C5435"/>
    <w:rsid w:val="008C6BD1"/>
    <w:rsid w:val="008D2DB5"/>
    <w:rsid w:val="008D3F10"/>
    <w:rsid w:val="008D611D"/>
    <w:rsid w:val="008E1B6A"/>
    <w:rsid w:val="008E1CFD"/>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91A"/>
    <w:rsid w:val="00900E7A"/>
    <w:rsid w:val="00903E11"/>
    <w:rsid w:val="00903EA8"/>
    <w:rsid w:val="00903EBE"/>
    <w:rsid w:val="009041DE"/>
    <w:rsid w:val="00905D59"/>
    <w:rsid w:val="009062CA"/>
    <w:rsid w:val="0090642E"/>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6C59"/>
    <w:rsid w:val="0092751A"/>
    <w:rsid w:val="009305C4"/>
    <w:rsid w:val="00931FAF"/>
    <w:rsid w:val="009360F6"/>
    <w:rsid w:val="009371DC"/>
    <w:rsid w:val="0093759D"/>
    <w:rsid w:val="00940239"/>
    <w:rsid w:val="00942BD6"/>
    <w:rsid w:val="00942DED"/>
    <w:rsid w:val="00943D0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5D26"/>
    <w:rsid w:val="009661DF"/>
    <w:rsid w:val="009667BD"/>
    <w:rsid w:val="00967CE2"/>
    <w:rsid w:val="00971DA3"/>
    <w:rsid w:val="00972161"/>
    <w:rsid w:val="0097261B"/>
    <w:rsid w:val="00974881"/>
    <w:rsid w:val="00974BC8"/>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BE2"/>
    <w:rsid w:val="009A4D4F"/>
    <w:rsid w:val="009A53D8"/>
    <w:rsid w:val="009A597F"/>
    <w:rsid w:val="009A7B72"/>
    <w:rsid w:val="009A7C78"/>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268"/>
    <w:rsid w:val="009C634F"/>
    <w:rsid w:val="009C6CE1"/>
    <w:rsid w:val="009D0219"/>
    <w:rsid w:val="009D0D55"/>
    <w:rsid w:val="009D2295"/>
    <w:rsid w:val="009D2511"/>
    <w:rsid w:val="009D3E7C"/>
    <w:rsid w:val="009D55CA"/>
    <w:rsid w:val="009D5C67"/>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2EFC"/>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2CB3"/>
    <w:rsid w:val="00A83644"/>
    <w:rsid w:val="00A83C07"/>
    <w:rsid w:val="00A83F40"/>
    <w:rsid w:val="00A84945"/>
    <w:rsid w:val="00A85543"/>
    <w:rsid w:val="00A8728B"/>
    <w:rsid w:val="00A90B4A"/>
    <w:rsid w:val="00A91682"/>
    <w:rsid w:val="00A92E4A"/>
    <w:rsid w:val="00A9309F"/>
    <w:rsid w:val="00A958CA"/>
    <w:rsid w:val="00A966B6"/>
    <w:rsid w:val="00A96B46"/>
    <w:rsid w:val="00AA003B"/>
    <w:rsid w:val="00AA016B"/>
    <w:rsid w:val="00AA15DD"/>
    <w:rsid w:val="00AA1C09"/>
    <w:rsid w:val="00AA2F67"/>
    <w:rsid w:val="00AA3569"/>
    <w:rsid w:val="00AA5F4C"/>
    <w:rsid w:val="00AA615C"/>
    <w:rsid w:val="00AA64A4"/>
    <w:rsid w:val="00AA6711"/>
    <w:rsid w:val="00AB2AEC"/>
    <w:rsid w:val="00AB2DC1"/>
    <w:rsid w:val="00AB3102"/>
    <w:rsid w:val="00AB3D9A"/>
    <w:rsid w:val="00AB4B1D"/>
    <w:rsid w:val="00AB6B5E"/>
    <w:rsid w:val="00AB7588"/>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D12"/>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6E27"/>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CD6"/>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389"/>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6FF7"/>
    <w:rsid w:val="00C371A5"/>
    <w:rsid w:val="00C400B0"/>
    <w:rsid w:val="00C40FDF"/>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3FC"/>
    <w:rsid w:val="00C777AD"/>
    <w:rsid w:val="00C80C53"/>
    <w:rsid w:val="00C81195"/>
    <w:rsid w:val="00C85387"/>
    <w:rsid w:val="00C85E52"/>
    <w:rsid w:val="00C86471"/>
    <w:rsid w:val="00C8677B"/>
    <w:rsid w:val="00C86F96"/>
    <w:rsid w:val="00C909C6"/>
    <w:rsid w:val="00C923B7"/>
    <w:rsid w:val="00C92B4B"/>
    <w:rsid w:val="00C93C85"/>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FDD"/>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86B"/>
    <w:rsid w:val="00D366B1"/>
    <w:rsid w:val="00D37AE0"/>
    <w:rsid w:val="00D416A8"/>
    <w:rsid w:val="00D4217D"/>
    <w:rsid w:val="00D4257C"/>
    <w:rsid w:val="00D425AC"/>
    <w:rsid w:val="00D42823"/>
    <w:rsid w:val="00D42D5E"/>
    <w:rsid w:val="00D43B7B"/>
    <w:rsid w:val="00D43F14"/>
    <w:rsid w:val="00D44C18"/>
    <w:rsid w:val="00D4556D"/>
    <w:rsid w:val="00D511C6"/>
    <w:rsid w:val="00D5121D"/>
    <w:rsid w:val="00D516AC"/>
    <w:rsid w:val="00D521BB"/>
    <w:rsid w:val="00D52875"/>
    <w:rsid w:val="00D54050"/>
    <w:rsid w:val="00D55917"/>
    <w:rsid w:val="00D56AC0"/>
    <w:rsid w:val="00D6081B"/>
    <w:rsid w:val="00D61A37"/>
    <w:rsid w:val="00D6240A"/>
    <w:rsid w:val="00D63093"/>
    <w:rsid w:val="00D63599"/>
    <w:rsid w:val="00D63EBD"/>
    <w:rsid w:val="00D64C03"/>
    <w:rsid w:val="00D67101"/>
    <w:rsid w:val="00D675EE"/>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1140"/>
    <w:rsid w:val="00DB2BDD"/>
    <w:rsid w:val="00DB4121"/>
    <w:rsid w:val="00DB46C3"/>
    <w:rsid w:val="00DB5742"/>
    <w:rsid w:val="00DB5EDF"/>
    <w:rsid w:val="00DB6C46"/>
    <w:rsid w:val="00DB72B8"/>
    <w:rsid w:val="00DC16AF"/>
    <w:rsid w:val="00DC2A9A"/>
    <w:rsid w:val="00DC2E2E"/>
    <w:rsid w:val="00DC4D68"/>
    <w:rsid w:val="00DC5CC7"/>
    <w:rsid w:val="00DC6336"/>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A42"/>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27C"/>
    <w:rsid w:val="00E92A82"/>
    <w:rsid w:val="00E92AA8"/>
    <w:rsid w:val="00E9344E"/>
    <w:rsid w:val="00E93E39"/>
    <w:rsid w:val="00E94391"/>
    <w:rsid w:val="00E97E2B"/>
    <w:rsid w:val="00EA08CA"/>
    <w:rsid w:val="00EA0C0C"/>
    <w:rsid w:val="00EA2AEA"/>
    <w:rsid w:val="00EA332B"/>
    <w:rsid w:val="00EA3D36"/>
    <w:rsid w:val="00EA40AA"/>
    <w:rsid w:val="00EA57E2"/>
    <w:rsid w:val="00EA5BC4"/>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2DF"/>
    <w:rsid w:val="00EC634F"/>
    <w:rsid w:val="00EC7B97"/>
    <w:rsid w:val="00ED049C"/>
    <w:rsid w:val="00ED07B7"/>
    <w:rsid w:val="00ED19D7"/>
    <w:rsid w:val="00ED2167"/>
    <w:rsid w:val="00ED351E"/>
    <w:rsid w:val="00ED4B27"/>
    <w:rsid w:val="00ED543C"/>
    <w:rsid w:val="00ED6BA4"/>
    <w:rsid w:val="00ED7DA7"/>
    <w:rsid w:val="00EE0598"/>
    <w:rsid w:val="00EE311C"/>
    <w:rsid w:val="00EE42C4"/>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91D"/>
    <w:rsid w:val="00F05A8C"/>
    <w:rsid w:val="00F06211"/>
    <w:rsid w:val="00F06E2D"/>
    <w:rsid w:val="00F10A54"/>
    <w:rsid w:val="00F123D0"/>
    <w:rsid w:val="00F13200"/>
    <w:rsid w:val="00F13411"/>
    <w:rsid w:val="00F143BA"/>
    <w:rsid w:val="00F14D98"/>
    <w:rsid w:val="00F2081B"/>
    <w:rsid w:val="00F20A43"/>
    <w:rsid w:val="00F20C51"/>
    <w:rsid w:val="00F20DEE"/>
    <w:rsid w:val="00F21049"/>
    <w:rsid w:val="00F218AE"/>
    <w:rsid w:val="00F22232"/>
    <w:rsid w:val="00F2228E"/>
    <w:rsid w:val="00F22D3C"/>
    <w:rsid w:val="00F235D3"/>
    <w:rsid w:val="00F23D66"/>
    <w:rsid w:val="00F24E6F"/>
    <w:rsid w:val="00F26069"/>
    <w:rsid w:val="00F26B7E"/>
    <w:rsid w:val="00F27D7D"/>
    <w:rsid w:val="00F3002B"/>
    <w:rsid w:val="00F30BC9"/>
    <w:rsid w:val="00F31934"/>
    <w:rsid w:val="00F31E57"/>
    <w:rsid w:val="00F32462"/>
    <w:rsid w:val="00F32938"/>
    <w:rsid w:val="00F32FF7"/>
    <w:rsid w:val="00F33EDE"/>
    <w:rsid w:val="00F3568B"/>
    <w:rsid w:val="00F377CD"/>
    <w:rsid w:val="00F40C3B"/>
    <w:rsid w:val="00F40CE0"/>
    <w:rsid w:val="00F42DBC"/>
    <w:rsid w:val="00F4308D"/>
    <w:rsid w:val="00F44012"/>
    <w:rsid w:val="00F44947"/>
    <w:rsid w:val="00F457A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1C21"/>
    <w:rsid w:val="00F739D4"/>
    <w:rsid w:val="00F76B92"/>
    <w:rsid w:val="00F77D43"/>
    <w:rsid w:val="00F80953"/>
    <w:rsid w:val="00F81312"/>
    <w:rsid w:val="00F81B90"/>
    <w:rsid w:val="00F81E6F"/>
    <w:rsid w:val="00F82FF3"/>
    <w:rsid w:val="00F8453C"/>
    <w:rsid w:val="00F84D4C"/>
    <w:rsid w:val="00F8657D"/>
    <w:rsid w:val="00F8730F"/>
    <w:rsid w:val="00F87B5D"/>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328"/>
    <w:rsid w:val="00FC36CF"/>
    <w:rsid w:val="00FC3B8B"/>
    <w:rsid w:val="00FC40BC"/>
    <w:rsid w:val="00FC41FC"/>
    <w:rsid w:val="00FC47C6"/>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 w:type="paragraph" w:customStyle="1" w:styleId="ablockpara">
    <w:name w:val="ablockpara"/>
    <w:basedOn w:val="Normal"/>
    <w:rsid w:val="00FC3B8B"/>
    <w:rPr>
      <w:rFonts w:ascii="Book Antiqua" w:hAnsi="Book Antiqua"/>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 w:type="paragraph" w:customStyle="1" w:styleId="ablockpara">
    <w:name w:val="ablockpara"/>
    <w:basedOn w:val="Normal"/>
    <w:rsid w:val="00FC3B8B"/>
    <w:rPr>
      <w:rFonts w:ascii="Book Antiqua" w:hAnsi="Book Antiqu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89202135">
      <w:bodyDiv w:val="1"/>
      <w:marLeft w:val="0"/>
      <w:marRight w:val="0"/>
      <w:marTop w:val="0"/>
      <w:marBottom w:val="0"/>
      <w:divBdr>
        <w:top w:val="none" w:sz="0" w:space="0" w:color="auto"/>
        <w:left w:val="none" w:sz="0" w:space="0" w:color="auto"/>
        <w:bottom w:val="none" w:sz="0" w:space="0" w:color="auto"/>
        <w:right w:val="none" w:sz="0" w:space="0" w:color="auto"/>
      </w:divBdr>
    </w:div>
    <w:div w:id="132913308">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0982108">
      <w:bodyDiv w:val="1"/>
      <w:marLeft w:val="0"/>
      <w:marRight w:val="0"/>
      <w:marTop w:val="0"/>
      <w:marBottom w:val="0"/>
      <w:divBdr>
        <w:top w:val="none" w:sz="0" w:space="0" w:color="auto"/>
        <w:left w:val="none" w:sz="0" w:space="0" w:color="auto"/>
        <w:bottom w:val="none" w:sz="0" w:space="0" w:color="auto"/>
        <w:right w:val="none" w:sz="0" w:space="0" w:color="auto"/>
      </w:divBdr>
      <w:divsChild>
        <w:div w:id="238104224">
          <w:marLeft w:val="274"/>
          <w:marRight w:val="0"/>
          <w:marTop w:val="144"/>
          <w:marBottom w:val="132"/>
          <w:divBdr>
            <w:top w:val="none" w:sz="0" w:space="0" w:color="auto"/>
            <w:left w:val="none" w:sz="0" w:space="0" w:color="auto"/>
            <w:bottom w:val="none" w:sz="0" w:space="0" w:color="auto"/>
            <w:right w:val="none" w:sz="0" w:space="0" w:color="auto"/>
          </w:divBdr>
        </w:div>
        <w:div w:id="117719651">
          <w:marLeft w:val="274"/>
          <w:marRight w:val="0"/>
          <w:marTop w:val="144"/>
          <w:marBottom w:val="132"/>
          <w:divBdr>
            <w:top w:val="none" w:sz="0" w:space="0" w:color="auto"/>
            <w:left w:val="none" w:sz="0" w:space="0" w:color="auto"/>
            <w:bottom w:val="none" w:sz="0" w:space="0" w:color="auto"/>
            <w:right w:val="none" w:sz="0" w:space="0" w:color="auto"/>
          </w:divBdr>
        </w:div>
        <w:div w:id="663969813">
          <w:marLeft w:val="274"/>
          <w:marRight w:val="0"/>
          <w:marTop w:val="144"/>
          <w:marBottom w:val="132"/>
          <w:divBdr>
            <w:top w:val="none" w:sz="0" w:space="0" w:color="auto"/>
            <w:left w:val="none" w:sz="0" w:space="0" w:color="auto"/>
            <w:bottom w:val="none" w:sz="0" w:space="0" w:color="auto"/>
            <w:right w:val="none" w:sz="0" w:space="0" w:color="auto"/>
          </w:divBdr>
        </w:div>
        <w:div w:id="1442197">
          <w:marLeft w:val="274"/>
          <w:marRight w:val="0"/>
          <w:marTop w:val="144"/>
          <w:marBottom w:val="132"/>
          <w:divBdr>
            <w:top w:val="none" w:sz="0" w:space="0" w:color="auto"/>
            <w:left w:val="none" w:sz="0" w:space="0" w:color="auto"/>
            <w:bottom w:val="none" w:sz="0" w:space="0" w:color="auto"/>
            <w:right w:val="none" w:sz="0" w:space="0" w:color="auto"/>
          </w:divBdr>
        </w:div>
        <w:div w:id="1293707938">
          <w:marLeft w:val="274"/>
          <w:marRight w:val="0"/>
          <w:marTop w:val="144"/>
          <w:marBottom w:val="132"/>
          <w:divBdr>
            <w:top w:val="none" w:sz="0" w:space="0" w:color="auto"/>
            <w:left w:val="none" w:sz="0" w:space="0" w:color="auto"/>
            <w:bottom w:val="none" w:sz="0" w:space="0" w:color="auto"/>
            <w:right w:val="none" w:sz="0" w:space="0" w:color="auto"/>
          </w:divBdr>
        </w:div>
        <w:div w:id="1787001511">
          <w:marLeft w:val="274"/>
          <w:marRight w:val="0"/>
          <w:marTop w:val="144"/>
          <w:marBottom w:val="132"/>
          <w:divBdr>
            <w:top w:val="none" w:sz="0" w:space="0" w:color="auto"/>
            <w:left w:val="none" w:sz="0" w:space="0" w:color="auto"/>
            <w:bottom w:val="none" w:sz="0" w:space="0" w:color="auto"/>
            <w:right w:val="none" w:sz="0" w:space="0" w:color="auto"/>
          </w:divBdr>
        </w:div>
      </w:divsChild>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56853702">
      <w:bodyDiv w:val="1"/>
      <w:marLeft w:val="0"/>
      <w:marRight w:val="0"/>
      <w:marTop w:val="0"/>
      <w:marBottom w:val="0"/>
      <w:divBdr>
        <w:top w:val="none" w:sz="0" w:space="0" w:color="auto"/>
        <w:left w:val="none" w:sz="0" w:space="0" w:color="auto"/>
        <w:bottom w:val="none" w:sz="0" w:space="0" w:color="auto"/>
        <w:right w:val="none" w:sz="0" w:space="0" w:color="auto"/>
      </w:divBdr>
      <w:divsChild>
        <w:div w:id="1704287410">
          <w:marLeft w:val="446"/>
          <w:marRight w:val="0"/>
          <w:marTop w:val="144"/>
          <w:marBottom w:val="0"/>
          <w:divBdr>
            <w:top w:val="none" w:sz="0" w:space="0" w:color="auto"/>
            <w:left w:val="none" w:sz="0" w:space="0" w:color="auto"/>
            <w:bottom w:val="none" w:sz="0" w:space="0" w:color="auto"/>
            <w:right w:val="none" w:sz="0" w:space="0" w:color="auto"/>
          </w:divBdr>
        </w:div>
        <w:div w:id="167137288">
          <w:marLeft w:val="446"/>
          <w:marRight w:val="0"/>
          <w:marTop w:val="144"/>
          <w:marBottom w:val="0"/>
          <w:divBdr>
            <w:top w:val="none" w:sz="0" w:space="0" w:color="auto"/>
            <w:left w:val="none" w:sz="0" w:space="0" w:color="auto"/>
            <w:bottom w:val="none" w:sz="0" w:space="0" w:color="auto"/>
            <w:right w:val="none" w:sz="0" w:space="0" w:color="auto"/>
          </w:divBdr>
        </w:div>
        <w:div w:id="1483813992">
          <w:marLeft w:val="446"/>
          <w:marRight w:val="0"/>
          <w:marTop w:val="144"/>
          <w:marBottom w:val="0"/>
          <w:divBdr>
            <w:top w:val="none" w:sz="0" w:space="0" w:color="auto"/>
            <w:left w:val="none" w:sz="0" w:space="0" w:color="auto"/>
            <w:bottom w:val="none" w:sz="0" w:space="0" w:color="auto"/>
            <w:right w:val="none" w:sz="0" w:space="0" w:color="auto"/>
          </w:divBdr>
        </w:div>
        <w:div w:id="1995715282">
          <w:marLeft w:val="446"/>
          <w:marRight w:val="0"/>
          <w:marTop w:val="144"/>
          <w:marBottom w:val="0"/>
          <w:divBdr>
            <w:top w:val="none" w:sz="0" w:space="0" w:color="auto"/>
            <w:left w:val="none" w:sz="0" w:space="0" w:color="auto"/>
            <w:bottom w:val="none" w:sz="0" w:space="0" w:color="auto"/>
            <w:right w:val="none" w:sz="0" w:space="0" w:color="auto"/>
          </w:divBdr>
        </w:div>
        <w:div w:id="598686114">
          <w:marLeft w:val="446"/>
          <w:marRight w:val="0"/>
          <w:marTop w:val="144"/>
          <w:marBottom w:val="0"/>
          <w:divBdr>
            <w:top w:val="none" w:sz="0" w:space="0" w:color="auto"/>
            <w:left w:val="none" w:sz="0" w:space="0" w:color="auto"/>
            <w:bottom w:val="none" w:sz="0" w:space="0" w:color="auto"/>
            <w:right w:val="none" w:sz="0" w:space="0" w:color="auto"/>
          </w:divBdr>
        </w:div>
      </w:divsChild>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4284419">
      <w:bodyDiv w:val="1"/>
      <w:marLeft w:val="0"/>
      <w:marRight w:val="0"/>
      <w:marTop w:val="0"/>
      <w:marBottom w:val="0"/>
      <w:divBdr>
        <w:top w:val="none" w:sz="0" w:space="0" w:color="auto"/>
        <w:left w:val="none" w:sz="0" w:space="0" w:color="auto"/>
        <w:bottom w:val="none" w:sz="0" w:space="0" w:color="auto"/>
        <w:right w:val="none" w:sz="0" w:space="0" w:color="auto"/>
      </w:divBdr>
      <w:divsChild>
        <w:div w:id="1870531961">
          <w:marLeft w:val="274"/>
          <w:marRight w:val="0"/>
          <w:marTop w:val="144"/>
          <w:marBottom w:val="132"/>
          <w:divBdr>
            <w:top w:val="none" w:sz="0" w:space="0" w:color="auto"/>
            <w:left w:val="none" w:sz="0" w:space="0" w:color="auto"/>
            <w:bottom w:val="none" w:sz="0" w:space="0" w:color="auto"/>
            <w:right w:val="none" w:sz="0" w:space="0" w:color="auto"/>
          </w:divBdr>
        </w:div>
        <w:div w:id="1663506189">
          <w:marLeft w:val="274"/>
          <w:marRight w:val="0"/>
          <w:marTop w:val="144"/>
          <w:marBottom w:val="132"/>
          <w:divBdr>
            <w:top w:val="none" w:sz="0" w:space="0" w:color="auto"/>
            <w:left w:val="none" w:sz="0" w:space="0" w:color="auto"/>
            <w:bottom w:val="none" w:sz="0" w:space="0" w:color="auto"/>
            <w:right w:val="none" w:sz="0" w:space="0" w:color="auto"/>
          </w:divBdr>
        </w:div>
        <w:div w:id="1254435925">
          <w:marLeft w:val="1166"/>
          <w:marRight w:val="0"/>
          <w:marTop w:val="144"/>
          <w:marBottom w:val="132"/>
          <w:divBdr>
            <w:top w:val="none" w:sz="0" w:space="0" w:color="auto"/>
            <w:left w:val="none" w:sz="0" w:space="0" w:color="auto"/>
            <w:bottom w:val="none" w:sz="0" w:space="0" w:color="auto"/>
            <w:right w:val="none" w:sz="0" w:space="0" w:color="auto"/>
          </w:divBdr>
        </w:div>
        <w:div w:id="2059425976">
          <w:marLeft w:val="1166"/>
          <w:marRight w:val="0"/>
          <w:marTop w:val="144"/>
          <w:marBottom w:val="132"/>
          <w:divBdr>
            <w:top w:val="none" w:sz="0" w:space="0" w:color="auto"/>
            <w:left w:val="none" w:sz="0" w:space="0" w:color="auto"/>
            <w:bottom w:val="none" w:sz="0" w:space="0" w:color="auto"/>
            <w:right w:val="none" w:sz="0" w:space="0" w:color="auto"/>
          </w:divBdr>
        </w:div>
        <w:div w:id="1501047912">
          <w:marLeft w:val="1166"/>
          <w:marRight w:val="0"/>
          <w:marTop w:val="144"/>
          <w:marBottom w:val="132"/>
          <w:divBdr>
            <w:top w:val="none" w:sz="0" w:space="0" w:color="auto"/>
            <w:left w:val="none" w:sz="0" w:space="0" w:color="auto"/>
            <w:bottom w:val="none" w:sz="0" w:space="0" w:color="auto"/>
            <w:right w:val="none" w:sz="0" w:space="0" w:color="auto"/>
          </w:divBdr>
        </w:div>
      </w:divsChild>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45148732">
      <w:bodyDiv w:val="1"/>
      <w:marLeft w:val="0"/>
      <w:marRight w:val="0"/>
      <w:marTop w:val="0"/>
      <w:marBottom w:val="0"/>
      <w:divBdr>
        <w:top w:val="none" w:sz="0" w:space="0" w:color="auto"/>
        <w:left w:val="none" w:sz="0" w:space="0" w:color="auto"/>
        <w:bottom w:val="none" w:sz="0" w:space="0" w:color="auto"/>
        <w:right w:val="none" w:sz="0" w:space="0" w:color="auto"/>
      </w:divBdr>
    </w:div>
    <w:div w:id="1345942016">
      <w:bodyDiv w:val="1"/>
      <w:marLeft w:val="0"/>
      <w:marRight w:val="0"/>
      <w:marTop w:val="0"/>
      <w:marBottom w:val="0"/>
      <w:divBdr>
        <w:top w:val="none" w:sz="0" w:space="0" w:color="auto"/>
        <w:left w:val="none" w:sz="0" w:space="0" w:color="auto"/>
        <w:bottom w:val="none" w:sz="0" w:space="0" w:color="auto"/>
        <w:right w:val="none" w:sz="0" w:space="0" w:color="auto"/>
      </w:divBdr>
      <w:divsChild>
        <w:div w:id="231890805">
          <w:marLeft w:val="274"/>
          <w:marRight w:val="0"/>
          <w:marTop w:val="144"/>
          <w:marBottom w:val="132"/>
          <w:divBdr>
            <w:top w:val="none" w:sz="0" w:space="0" w:color="auto"/>
            <w:left w:val="none" w:sz="0" w:space="0" w:color="auto"/>
            <w:bottom w:val="none" w:sz="0" w:space="0" w:color="auto"/>
            <w:right w:val="none" w:sz="0" w:space="0" w:color="auto"/>
          </w:divBdr>
        </w:div>
        <w:div w:id="1386178112">
          <w:marLeft w:val="274"/>
          <w:marRight w:val="0"/>
          <w:marTop w:val="144"/>
          <w:marBottom w:val="132"/>
          <w:divBdr>
            <w:top w:val="none" w:sz="0" w:space="0" w:color="auto"/>
            <w:left w:val="none" w:sz="0" w:space="0" w:color="auto"/>
            <w:bottom w:val="none" w:sz="0" w:space="0" w:color="auto"/>
            <w:right w:val="none" w:sz="0" w:space="0" w:color="auto"/>
          </w:divBdr>
        </w:div>
        <w:div w:id="1008407911">
          <w:marLeft w:val="274"/>
          <w:marRight w:val="0"/>
          <w:marTop w:val="144"/>
          <w:marBottom w:val="132"/>
          <w:divBdr>
            <w:top w:val="none" w:sz="0" w:space="0" w:color="auto"/>
            <w:left w:val="none" w:sz="0" w:space="0" w:color="auto"/>
            <w:bottom w:val="none" w:sz="0" w:space="0" w:color="auto"/>
            <w:right w:val="none" w:sz="0" w:space="0" w:color="auto"/>
          </w:divBdr>
        </w:div>
        <w:div w:id="1415855598">
          <w:marLeft w:val="274"/>
          <w:marRight w:val="0"/>
          <w:marTop w:val="144"/>
          <w:marBottom w:val="132"/>
          <w:divBdr>
            <w:top w:val="none" w:sz="0" w:space="0" w:color="auto"/>
            <w:left w:val="none" w:sz="0" w:space="0" w:color="auto"/>
            <w:bottom w:val="none" w:sz="0" w:space="0" w:color="auto"/>
            <w:right w:val="none" w:sz="0" w:space="0" w:color="auto"/>
          </w:divBdr>
        </w:div>
        <w:div w:id="54396651">
          <w:marLeft w:val="274"/>
          <w:marRight w:val="0"/>
          <w:marTop w:val="144"/>
          <w:marBottom w:val="132"/>
          <w:divBdr>
            <w:top w:val="none" w:sz="0" w:space="0" w:color="auto"/>
            <w:left w:val="none" w:sz="0" w:space="0" w:color="auto"/>
            <w:bottom w:val="none" w:sz="0" w:space="0" w:color="auto"/>
            <w:right w:val="none" w:sz="0" w:space="0" w:color="auto"/>
          </w:divBdr>
        </w:div>
        <w:div w:id="583420181">
          <w:marLeft w:val="274"/>
          <w:marRight w:val="0"/>
          <w:marTop w:val="144"/>
          <w:marBottom w:val="132"/>
          <w:divBdr>
            <w:top w:val="none" w:sz="0" w:space="0" w:color="auto"/>
            <w:left w:val="none" w:sz="0" w:space="0" w:color="auto"/>
            <w:bottom w:val="none" w:sz="0" w:space="0" w:color="auto"/>
            <w:right w:val="none" w:sz="0" w:space="0" w:color="auto"/>
          </w:divBdr>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1550443">
      <w:bodyDiv w:val="1"/>
      <w:marLeft w:val="0"/>
      <w:marRight w:val="0"/>
      <w:marTop w:val="0"/>
      <w:marBottom w:val="0"/>
      <w:divBdr>
        <w:top w:val="none" w:sz="0" w:space="0" w:color="auto"/>
        <w:left w:val="none" w:sz="0" w:space="0" w:color="auto"/>
        <w:bottom w:val="none" w:sz="0" w:space="0" w:color="auto"/>
        <w:right w:val="none" w:sz="0" w:space="0" w:color="auto"/>
      </w:divBdr>
      <w:divsChild>
        <w:div w:id="388235434">
          <w:marLeft w:val="274"/>
          <w:marRight w:val="0"/>
          <w:marTop w:val="144"/>
          <w:marBottom w:val="132"/>
          <w:divBdr>
            <w:top w:val="none" w:sz="0" w:space="0" w:color="auto"/>
            <w:left w:val="none" w:sz="0" w:space="0" w:color="auto"/>
            <w:bottom w:val="none" w:sz="0" w:space="0" w:color="auto"/>
            <w:right w:val="none" w:sz="0" w:space="0" w:color="auto"/>
          </w:divBdr>
        </w:div>
        <w:div w:id="823205219">
          <w:marLeft w:val="274"/>
          <w:marRight w:val="0"/>
          <w:marTop w:val="144"/>
          <w:marBottom w:val="132"/>
          <w:divBdr>
            <w:top w:val="none" w:sz="0" w:space="0" w:color="auto"/>
            <w:left w:val="none" w:sz="0" w:space="0" w:color="auto"/>
            <w:bottom w:val="none" w:sz="0" w:space="0" w:color="auto"/>
            <w:right w:val="none" w:sz="0" w:space="0" w:color="auto"/>
          </w:divBdr>
        </w:div>
        <w:div w:id="403114781">
          <w:marLeft w:val="274"/>
          <w:marRight w:val="0"/>
          <w:marTop w:val="144"/>
          <w:marBottom w:val="132"/>
          <w:divBdr>
            <w:top w:val="none" w:sz="0" w:space="0" w:color="auto"/>
            <w:left w:val="none" w:sz="0" w:space="0" w:color="auto"/>
            <w:bottom w:val="none" w:sz="0" w:space="0" w:color="auto"/>
            <w:right w:val="none" w:sz="0" w:space="0" w:color="auto"/>
          </w:divBdr>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0935771">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963C-97C3-4652-9DC4-8E6BB4BB5296}">
  <ds:schemaRefs>
    <ds:schemaRef ds:uri="http://schemas.openxmlformats.org/officeDocument/2006/bibliography"/>
  </ds:schemaRefs>
</ds:datastoreItem>
</file>

<file path=customXml/itemProps2.xml><?xml version="1.0" encoding="utf-8"?>
<ds:datastoreItem xmlns:ds="http://schemas.openxmlformats.org/officeDocument/2006/customXml" ds:itemID="{84F37EBF-E897-485A-AF23-1D1E74E3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4FD48F13</Template>
  <TotalTime>15</TotalTime>
  <Pages>31</Pages>
  <Words>11478</Words>
  <Characters>65892</Characters>
  <Application>Microsoft Office Word</Application>
  <DocSecurity>8</DocSecurity>
  <Lines>549</Lines>
  <Paragraphs>154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77216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Waibel, Darshini</cp:lastModifiedBy>
  <cp:revision>4</cp:revision>
  <cp:lastPrinted>2016-03-21T16:50:00Z</cp:lastPrinted>
  <dcterms:created xsi:type="dcterms:W3CDTF">2016-03-31T16:34:00Z</dcterms:created>
  <dcterms:modified xsi:type="dcterms:W3CDTF">2016-03-31T16:48:00Z</dcterms:modified>
</cp:coreProperties>
</file>