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0B371F" w:rsidP="007C3918">
            <w:pPr>
              <w:pStyle w:val="00bDBInfo"/>
              <w:rPr>
                <w:rFonts w:cs="Arial"/>
              </w:rPr>
            </w:pPr>
            <w:r>
              <w:rPr>
                <w:rFonts w:cs="Arial"/>
              </w:rPr>
              <w:t>15</w:t>
            </w:r>
            <w:r w:rsidR="003A5DAC">
              <w:rPr>
                <w:rFonts w:cs="Arial"/>
              </w:rPr>
              <w:t xml:space="preserve"> </w:t>
            </w:r>
            <w:r w:rsidR="007C3918">
              <w:rPr>
                <w:rFonts w:cs="Arial"/>
              </w:rPr>
              <w:t xml:space="preserve">February </w:t>
            </w:r>
            <w:r w:rsidR="006F4B04" w:rsidRPr="004E49B0">
              <w:rPr>
                <w:rFonts w:cs="Arial"/>
              </w:rPr>
              <w:t>20</w:t>
            </w:r>
            <w:r w:rsidR="003A5DAC">
              <w:rPr>
                <w:rFonts w:cs="Arial"/>
              </w:rPr>
              <w:t>1</w:t>
            </w:r>
            <w:r w:rsidR="007C3918">
              <w:rPr>
                <w:rFonts w:cs="Arial"/>
              </w:rPr>
              <w:t>6</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C6CE1" w:rsidP="00BF28DA">
            <w:pPr>
              <w:pStyle w:val="01aDBTitle"/>
              <w:rPr>
                <w:rFonts w:cs="Arial"/>
                <w:sz w:val="32"/>
              </w:rPr>
            </w:pPr>
            <w:r w:rsidRPr="009C6CE1">
              <w:rPr>
                <w:rFonts w:cs="Arial"/>
                <w:sz w:val="32"/>
              </w:rPr>
              <w:t xml:space="preserve">Discussion Paper </w:t>
            </w:r>
            <w:r>
              <w:rPr>
                <w:rFonts w:cs="Arial"/>
                <w:sz w:val="32"/>
              </w:rPr>
              <w:t xml:space="preserve">on </w:t>
            </w:r>
            <w:r w:rsidRPr="009C6CE1">
              <w:rPr>
                <w:rFonts w:cs="Arial"/>
                <w:sz w:val="32"/>
              </w:rPr>
              <w:t>Benchmarks Regulation</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176639" w:rsidRDefault="00620D7C" w:rsidP="000B371F">
            <w:pPr>
              <w:pStyle w:val="02Date"/>
              <w:rPr>
                <w:rFonts w:cs="Arial"/>
                <w:highlight w:val="red"/>
              </w:rPr>
            </w:pPr>
            <w:r w:rsidRPr="007C3918">
              <w:rPr>
                <w:rFonts w:cs="Arial"/>
              </w:rPr>
              <w:lastRenderedPageBreak/>
              <w:t>Date</w:t>
            </w:r>
            <w:r w:rsidR="007C3918" w:rsidRPr="007C3918">
              <w:rPr>
                <w:rFonts w:cs="Arial"/>
              </w:rPr>
              <w:t>: 1</w:t>
            </w:r>
            <w:r w:rsidR="000B371F">
              <w:rPr>
                <w:rFonts w:cs="Arial"/>
              </w:rPr>
              <w:t>5</w:t>
            </w:r>
            <w:r w:rsidR="007C3918" w:rsidRPr="007C3918">
              <w:rPr>
                <w:rFonts w:cs="Arial"/>
              </w:rPr>
              <w:t xml:space="preserve"> February 2016</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rsidR="00F574D0" w:rsidRPr="00176639" w:rsidRDefault="00D75FEE" w:rsidP="00F574D0">
      <w:pPr>
        <w:pStyle w:val="04BodyText"/>
        <w:spacing w:before="120" w:after="120"/>
        <w:rPr>
          <w:rFonts w:cs="Arial"/>
        </w:rPr>
      </w:pPr>
      <w:r w:rsidRPr="00176639">
        <w:rPr>
          <w:rFonts w:cs="Arial"/>
        </w:rPr>
        <w:t>Please note that, in order to facilitate the analysis of the large number of responses expected, you are requested to use this file to send your response to ESMA so as to allow us to process it properly. Ther</w:t>
      </w:r>
      <w:r w:rsidRPr="00176639">
        <w:rPr>
          <w:rFonts w:cs="Arial"/>
        </w:rPr>
        <w:t>e</w:t>
      </w:r>
      <w:r w:rsidRPr="00176639">
        <w:rPr>
          <w:rFonts w:cs="Arial"/>
        </w:rPr>
        <w:t xml:space="preserv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w:t>
      </w:r>
      <w:r w:rsidR="00955F48" w:rsidRPr="00176639">
        <w:rPr>
          <w:rFonts w:cs="Arial"/>
        </w:rPr>
        <w:t>x</w:t>
      </w:r>
      <w:r w:rsidR="00955F48" w:rsidRPr="00176639">
        <w:rPr>
          <w:rFonts w:cs="Arial"/>
        </w:rPr>
        <w:t>cept for annexes);</w:t>
      </w:r>
    </w:p>
    <w:p w:rsidR="00F574D0" w:rsidRPr="00176639" w:rsidRDefault="00D75FEE" w:rsidP="00BF557C">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AD0B9C">
        <w:t>DP_BMR</w:t>
      </w:r>
      <w:r w:rsidR="00E9344E" w:rsidRPr="00176639">
        <w:rPr>
          <w:rFonts w:cs="Arial"/>
        </w:rPr>
        <w:t>_</w:t>
      </w:r>
      <w:r w:rsidR="00F574D0" w:rsidRPr="00176639">
        <w:rPr>
          <w:rFonts w:cs="Arial"/>
        </w:rPr>
        <w:t>1&gt; - i.e. the response to one question has to be framed by the 2 tags corresponding to the question; and</w:t>
      </w:r>
    </w:p>
    <w:p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AD0B9C" w:rsidRDefault="00021E83" w:rsidP="000D17AA">
      <w:pPr>
        <w:pStyle w:val="04BodyText"/>
        <w:spacing w:before="120" w:after="120"/>
        <w:jc w:val="left"/>
        <w:rPr>
          <w:rFonts w:cs="Arial"/>
        </w:rPr>
      </w:pPr>
      <w:r w:rsidRPr="00AD0B9C">
        <w:rPr>
          <w:rFonts w:cs="Arial"/>
        </w:rPr>
        <w:t>ESMA_</w:t>
      </w:r>
      <w:r w:rsidR="00AD0B9C" w:rsidRPr="00AD0B9C">
        <w:t>DP_BMR</w:t>
      </w:r>
      <w:r w:rsidR="008701E5" w:rsidRPr="00AD0B9C">
        <w:rPr>
          <w:rFonts w:cs="Arial"/>
        </w:rPr>
        <w:t xml:space="preserve"> </w:t>
      </w:r>
      <w:r w:rsidRPr="00AD0B9C">
        <w:rPr>
          <w:rFonts w:cs="Arial"/>
        </w:rPr>
        <w:t>_NAMEOFCOMPANY_NAMEOFDOCUMENT</w:t>
      </w:r>
      <w:r w:rsidR="000D17AA" w:rsidRPr="00AD0B9C">
        <w:rPr>
          <w:rFonts w:cs="Arial"/>
        </w:rPr>
        <w:t>.</w:t>
      </w:r>
    </w:p>
    <w:p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rsidR="00021E83" w:rsidRPr="00AD0B9C"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00332304" w:rsidRPr="00AD0B9C">
        <w:rPr>
          <w:rFonts w:cs="Arial"/>
        </w:rPr>
        <w:t>_</w:t>
      </w:r>
      <w:r w:rsidRPr="00AD0B9C">
        <w:rPr>
          <w:rFonts w:cs="Arial"/>
        </w:rPr>
        <w:t>XXXX</w:t>
      </w:r>
      <w:r w:rsidR="00021E83" w:rsidRPr="00AD0B9C">
        <w:rPr>
          <w:rFonts w:cs="Arial"/>
        </w:rPr>
        <w:t xml:space="preserve">_REPLYFORM or </w:t>
      </w:r>
    </w:p>
    <w:p w:rsidR="000D17AA" w:rsidRPr="00EF0769" w:rsidRDefault="00BF557C" w:rsidP="000D17AA">
      <w:pPr>
        <w:pStyle w:val="04BodyText"/>
        <w:spacing w:before="120" w:after="120"/>
        <w:jc w:val="left"/>
        <w:rPr>
          <w:rFonts w:cs="Arial"/>
        </w:rPr>
      </w:pPr>
      <w:r w:rsidRPr="00AD0B9C">
        <w:rPr>
          <w:rFonts w:cs="Arial"/>
        </w:rPr>
        <w:t>ESMA_</w:t>
      </w:r>
      <w:r w:rsidR="00AD0B9C" w:rsidRPr="00AD0B9C">
        <w:t>DP_BMR</w:t>
      </w:r>
      <w:r w:rsidR="00AD0B9C" w:rsidRPr="00AD0B9C">
        <w:rPr>
          <w:rFonts w:cs="Arial"/>
        </w:rPr>
        <w:t xml:space="preserve"> </w:t>
      </w:r>
      <w:r w:rsidRPr="00AD0B9C">
        <w:rPr>
          <w:rFonts w:cs="Arial"/>
        </w:rPr>
        <w:t>_XXXX</w:t>
      </w:r>
      <w:r w:rsidR="00021E83" w:rsidRPr="00AD0B9C">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7C3918" w:rsidP="00F574D0">
      <w:pPr>
        <w:pStyle w:val="04BodyText"/>
        <w:spacing w:before="120" w:after="120"/>
        <w:rPr>
          <w:rFonts w:cs="Arial"/>
        </w:rPr>
      </w:pPr>
      <w:r>
        <w:rPr>
          <w:rFonts w:cs="Arial"/>
        </w:rPr>
        <w:t xml:space="preserve">Responses must reach us by </w:t>
      </w:r>
      <w:r w:rsidR="00BE5F12">
        <w:rPr>
          <w:rFonts w:cs="Arial"/>
        </w:rPr>
        <w:t>31</w:t>
      </w:r>
      <w:r w:rsidRPr="007C3918">
        <w:rPr>
          <w:rFonts w:cs="Arial"/>
        </w:rPr>
        <w:t xml:space="preserve"> March 2016</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ipervnculo"/>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ipervnculo"/>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tulo1"/>
        <w:numPr>
          <w:ilvl w:val="0"/>
          <w:numId w:val="0"/>
        </w:numPr>
        <w:ind w:left="431" w:hanging="431"/>
      </w:pPr>
      <w:r>
        <w:lastRenderedPageBreak/>
        <w:t>Introduction</w:t>
      </w:r>
    </w:p>
    <w:p w:rsidR="00D34282" w:rsidRPr="001D47A5" w:rsidRDefault="00D34282" w:rsidP="00D34282">
      <w:pPr>
        <w:rPr>
          <w:rStyle w:val="nfasisintenso"/>
        </w:rPr>
      </w:pPr>
      <w:r w:rsidRPr="001D47A5">
        <w:rPr>
          <w:rStyle w:val="nfasisintenso"/>
        </w:rPr>
        <w:t>Please make your introductory comments below, if any:</w:t>
      </w:r>
    </w:p>
    <w:p w:rsidR="00AD7675" w:rsidRPr="00BF28DA" w:rsidRDefault="00AD7675" w:rsidP="00D34282"/>
    <w:p w:rsidR="00D34282" w:rsidRPr="00176639" w:rsidRDefault="00D34282" w:rsidP="00D34282">
      <w:r w:rsidRPr="00176639">
        <w:t>&lt;</w:t>
      </w:r>
      <w:r w:rsidR="00D61A37" w:rsidRPr="00176639">
        <w:t>ESMA_COMMENT_</w:t>
      </w:r>
      <w:r w:rsidR="00176639" w:rsidRPr="00176639">
        <w:t xml:space="preserve"> </w:t>
      </w:r>
      <w:r w:rsidR="00176639">
        <w:t>DP_BMR</w:t>
      </w:r>
      <w:r w:rsidR="00D61A37" w:rsidRPr="00176639">
        <w:t>_1</w:t>
      </w:r>
      <w:r w:rsidRPr="00176639">
        <w:t>&gt;</w:t>
      </w:r>
    </w:p>
    <w:p w:rsidR="00B6434B" w:rsidRDefault="00515230" w:rsidP="00B6434B">
      <w:pPr>
        <w:jc w:val="both"/>
        <w:rPr>
          <w:rFonts w:cs="Arial"/>
          <w:sz w:val="24"/>
          <w:lang w:val="en-US"/>
        </w:rPr>
      </w:pPr>
      <w:permStart w:id="0" w:edGrp="everyone"/>
      <w:r>
        <w:rPr>
          <w:rFonts w:cs="Arial"/>
          <w:sz w:val="24"/>
          <w:lang w:val="en-US"/>
        </w:rPr>
        <w:t xml:space="preserve">The Spanish Banking Association </w:t>
      </w:r>
      <w:r w:rsidR="00B6434B" w:rsidRPr="00B6434B">
        <w:rPr>
          <w:rFonts w:cs="Arial"/>
          <w:sz w:val="24"/>
          <w:lang w:val="en-US"/>
        </w:rPr>
        <w:t>is pleased to provide comments on ESMA’s Discu</w:t>
      </w:r>
      <w:r w:rsidR="00B6434B" w:rsidRPr="00B6434B">
        <w:rPr>
          <w:rFonts w:cs="Arial"/>
          <w:sz w:val="24"/>
          <w:lang w:val="en-US"/>
        </w:rPr>
        <w:t>s</w:t>
      </w:r>
      <w:r w:rsidR="00B6434B" w:rsidRPr="00B6434B">
        <w:rPr>
          <w:rFonts w:cs="Arial"/>
          <w:sz w:val="24"/>
          <w:lang w:val="en-US"/>
        </w:rPr>
        <w:t>sion Paper on Benchmarks Regulation (the “</w:t>
      </w:r>
      <w:r w:rsidR="00B6434B" w:rsidRPr="00B6434B">
        <w:rPr>
          <w:rFonts w:cs="Arial"/>
          <w:b/>
          <w:sz w:val="24"/>
          <w:lang w:val="en-US"/>
        </w:rPr>
        <w:t>Discussion Paper</w:t>
      </w:r>
      <w:r w:rsidR="00B6434B" w:rsidRPr="00B6434B">
        <w:rPr>
          <w:rFonts w:cs="Arial"/>
          <w:sz w:val="24"/>
          <w:lang w:val="en-US"/>
        </w:rPr>
        <w:t>”).  In general, we a</w:t>
      </w:r>
      <w:r w:rsidR="00B6434B" w:rsidRPr="00B6434B">
        <w:rPr>
          <w:rFonts w:cs="Arial"/>
          <w:sz w:val="24"/>
          <w:lang w:val="en-US"/>
        </w:rPr>
        <w:t>s</w:t>
      </w:r>
      <w:r w:rsidR="00B6434B" w:rsidRPr="00B6434B">
        <w:rPr>
          <w:rFonts w:cs="Arial"/>
          <w:sz w:val="24"/>
          <w:lang w:val="en-US"/>
        </w:rPr>
        <w:t>sess positively this regulatory initiative and consider that it appropriately addresses the mitigation and avoidance of any conflicts of interest that may arise regarding the benc</w:t>
      </w:r>
      <w:r w:rsidR="00B6434B" w:rsidRPr="00B6434B">
        <w:rPr>
          <w:rFonts w:cs="Arial"/>
          <w:sz w:val="24"/>
          <w:lang w:val="en-US"/>
        </w:rPr>
        <w:t>h</w:t>
      </w:r>
      <w:r w:rsidR="00B6434B" w:rsidRPr="00B6434B">
        <w:rPr>
          <w:rFonts w:cs="Arial"/>
          <w:sz w:val="24"/>
          <w:lang w:val="en-US"/>
        </w:rPr>
        <w:t>mark setting process. In this respect, we consider that the Regulation on indices used as benc</w:t>
      </w:r>
      <w:r w:rsidR="00B6434B" w:rsidRPr="00B6434B">
        <w:rPr>
          <w:rFonts w:cs="Arial"/>
          <w:sz w:val="24"/>
          <w:lang w:val="en-US"/>
        </w:rPr>
        <w:t>h</w:t>
      </w:r>
      <w:r w:rsidR="00B6434B" w:rsidRPr="00B6434B">
        <w:rPr>
          <w:rFonts w:cs="Arial"/>
          <w:sz w:val="24"/>
          <w:lang w:val="en-US"/>
        </w:rPr>
        <w:t>marks in financial instruments and financial contracts (the “</w:t>
      </w:r>
      <w:r w:rsidR="00B6434B" w:rsidRPr="00B6434B">
        <w:rPr>
          <w:rFonts w:cs="Arial"/>
          <w:b/>
          <w:sz w:val="24"/>
          <w:lang w:val="en-US"/>
        </w:rPr>
        <w:t>BMR</w:t>
      </w:r>
      <w:r w:rsidR="00B6434B" w:rsidRPr="00B6434B">
        <w:rPr>
          <w:rFonts w:cs="Arial"/>
          <w:sz w:val="24"/>
          <w:lang w:val="en-US"/>
        </w:rPr>
        <w:t>”) is a decisive step towards restoring confidence and, together with ESMA’s technical advice, will i</w:t>
      </w:r>
      <w:r w:rsidR="00B6434B" w:rsidRPr="00B6434B">
        <w:rPr>
          <w:rFonts w:cs="Arial"/>
          <w:sz w:val="24"/>
          <w:lang w:val="en-US"/>
        </w:rPr>
        <w:t>m</w:t>
      </w:r>
      <w:r w:rsidR="00B6434B" w:rsidRPr="00B6434B">
        <w:rPr>
          <w:rFonts w:cs="Arial"/>
          <w:sz w:val="24"/>
          <w:lang w:val="en-US"/>
        </w:rPr>
        <w:t>prove the governance and controls over the benchmark process, the quality and met</w:t>
      </w:r>
      <w:r w:rsidR="00B6434B" w:rsidRPr="00B6434B">
        <w:rPr>
          <w:rFonts w:cs="Arial"/>
          <w:sz w:val="24"/>
          <w:lang w:val="en-US"/>
        </w:rPr>
        <w:t>h</w:t>
      </w:r>
      <w:r w:rsidR="00B6434B" w:rsidRPr="00B6434B">
        <w:rPr>
          <w:rFonts w:cs="Arial"/>
          <w:sz w:val="24"/>
          <w:lang w:val="en-US"/>
        </w:rPr>
        <w:t>odologies used by benchmark administrators and will enhance the protection for co</w:t>
      </w:r>
      <w:r w:rsidR="00B6434B" w:rsidRPr="00B6434B">
        <w:rPr>
          <w:rFonts w:cs="Arial"/>
          <w:sz w:val="24"/>
          <w:lang w:val="en-US"/>
        </w:rPr>
        <w:t>n</w:t>
      </w:r>
      <w:r w:rsidR="00B6434B" w:rsidRPr="00B6434B">
        <w:rPr>
          <w:rFonts w:cs="Arial"/>
          <w:sz w:val="24"/>
          <w:lang w:val="en-US"/>
        </w:rPr>
        <w:t>sumers and inve</w:t>
      </w:r>
      <w:r w:rsidR="00B6434B" w:rsidRPr="00B6434B">
        <w:rPr>
          <w:rFonts w:cs="Arial"/>
          <w:sz w:val="24"/>
          <w:lang w:val="en-US"/>
        </w:rPr>
        <w:t>s</w:t>
      </w:r>
      <w:r w:rsidR="00B6434B" w:rsidRPr="00B6434B">
        <w:rPr>
          <w:rFonts w:cs="Arial"/>
          <w:sz w:val="24"/>
          <w:lang w:val="en-US"/>
        </w:rPr>
        <w:t xml:space="preserve">tors using benchmarks. </w:t>
      </w:r>
    </w:p>
    <w:p w:rsidR="00B6434B" w:rsidRPr="00B6434B" w:rsidRDefault="00B6434B" w:rsidP="00B6434B">
      <w:pPr>
        <w:jc w:val="both"/>
        <w:rPr>
          <w:rFonts w:cs="Arial"/>
          <w:sz w:val="24"/>
          <w:lang w:val="en-US"/>
        </w:rPr>
      </w:pPr>
    </w:p>
    <w:p w:rsidR="00B6434B" w:rsidRDefault="00B6434B" w:rsidP="00B6434B">
      <w:pPr>
        <w:jc w:val="both"/>
        <w:rPr>
          <w:rFonts w:cs="Arial"/>
          <w:sz w:val="24"/>
          <w:lang w:val="en-US"/>
        </w:rPr>
      </w:pPr>
      <w:r w:rsidRPr="00B6434B">
        <w:rPr>
          <w:rFonts w:cs="Arial"/>
          <w:sz w:val="24"/>
          <w:lang w:val="en-US"/>
        </w:rPr>
        <w:t>We would strongly support that any technical standards for the Regulation leverage any prior work done in the regulatory context so that there is alignment of definitions, scope and intent among the various regulations.</w:t>
      </w:r>
    </w:p>
    <w:p w:rsidR="00B6434B" w:rsidRPr="00B6434B" w:rsidRDefault="00B6434B" w:rsidP="00B6434B">
      <w:pPr>
        <w:jc w:val="both"/>
        <w:rPr>
          <w:rFonts w:cs="Arial"/>
          <w:sz w:val="24"/>
          <w:lang w:val="en-US"/>
        </w:rPr>
      </w:pPr>
    </w:p>
    <w:p w:rsidR="00B6434B" w:rsidRDefault="00B6434B" w:rsidP="00B6434B">
      <w:pPr>
        <w:jc w:val="both"/>
        <w:rPr>
          <w:rFonts w:cs="Arial"/>
          <w:sz w:val="24"/>
        </w:rPr>
      </w:pPr>
      <w:r w:rsidRPr="00B6434B">
        <w:rPr>
          <w:rFonts w:cs="Arial"/>
          <w:sz w:val="24"/>
          <w:lang w:val="en-US"/>
        </w:rPr>
        <w:t>In addition, we would like to point out certain aspects that we consider essential to be considered by ESMA when drafting its technical advice to the European Commission. In particular, we believe that the proportionality principle recognized throughout the BMR should govern ESMA’s technical advice. In this respect, it must be borne in mind that the scope of the BMR is quite broad and, therefore, ESMA should ensure that its proposal is adequately tailored to different benchmarks types and sectors. Moreover, the future should distinguish between the different types, categories and criticality of benchmarks and take into account the vulnerability of the benchmarks to manipulation and any i</w:t>
      </w:r>
      <w:r w:rsidRPr="00B6434B">
        <w:rPr>
          <w:rFonts w:cs="Arial"/>
          <w:sz w:val="24"/>
          <w:lang w:val="en-US"/>
        </w:rPr>
        <w:t>m</w:t>
      </w:r>
      <w:r w:rsidRPr="00B6434B">
        <w:rPr>
          <w:rFonts w:cs="Arial"/>
          <w:sz w:val="24"/>
          <w:lang w:val="en-US"/>
        </w:rPr>
        <w:t>pact of such manipulation. Thus, we believe that when a particular benchmark introdu</w:t>
      </w:r>
      <w:r w:rsidRPr="00B6434B">
        <w:rPr>
          <w:rFonts w:cs="Arial"/>
          <w:sz w:val="24"/>
          <w:lang w:val="en-US"/>
        </w:rPr>
        <w:t>c</w:t>
      </w:r>
      <w:r w:rsidRPr="00B6434B">
        <w:rPr>
          <w:rFonts w:cs="Arial"/>
          <w:sz w:val="24"/>
          <w:lang w:val="en-US"/>
        </w:rPr>
        <w:t xml:space="preserve">es subjectivity or expert judgment in its calculation methodology and/or is considered to be critical due to its extended use, more onerous requirements are justified, while, </w:t>
      </w:r>
      <w:r w:rsidRPr="00B6434B">
        <w:rPr>
          <w:rFonts w:cs="Arial"/>
          <w:sz w:val="24"/>
        </w:rPr>
        <w:t xml:space="preserve">on the contrary, in case objective criteria are used in the construction of the benchmark and/or it has a limited use, additional burdens are not justified and, therefore, shall be avoided. </w:t>
      </w:r>
    </w:p>
    <w:p w:rsidR="00B6434B" w:rsidRPr="00B6434B" w:rsidRDefault="00B6434B" w:rsidP="00B6434B">
      <w:pPr>
        <w:jc w:val="both"/>
        <w:rPr>
          <w:rFonts w:cs="Arial"/>
          <w:sz w:val="24"/>
        </w:rPr>
      </w:pPr>
    </w:p>
    <w:p w:rsidR="00B6434B" w:rsidRDefault="00B6434B" w:rsidP="00B6434B">
      <w:pPr>
        <w:jc w:val="both"/>
        <w:rPr>
          <w:rFonts w:cs="Arial"/>
          <w:sz w:val="24"/>
          <w:lang w:val="en-US"/>
        </w:rPr>
      </w:pPr>
      <w:r w:rsidRPr="00B6434B">
        <w:rPr>
          <w:rFonts w:cs="Arial"/>
          <w:sz w:val="24"/>
        </w:rPr>
        <w:t xml:space="preserve">We believe this proportional approach is essential. Otherwise, excessive burdensome and complex </w:t>
      </w:r>
      <w:r w:rsidRPr="00B6434B">
        <w:rPr>
          <w:rFonts w:cs="Arial"/>
          <w:sz w:val="24"/>
          <w:lang w:val="en-US"/>
        </w:rPr>
        <w:t xml:space="preserve">requirements will give rise to </w:t>
      </w:r>
      <w:r w:rsidRPr="00B6434B">
        <w:rPr>
          <w:rFonts w:cs="Arial"/>
          <w:sz w:val="24"/>
        </w:rPr>
        <w:t xml:space="preserve">unintended consequences, such as: (i) </w:t>
      </w:r>
      <w:r w:rsidRPr="00B6434B">
        <w:rPr>
          <w:rFonts w:cs="Arial"/>
          <w:sz w:val="24"/>
          <w:lang w:val="en-US"/>
        </w:rPr>
        <w:t>co</w:t>
      </w:r>
      <w:r w:rsidRPr="00B6434B">
        <w:rPr>
          <w:rFonts w:cs="Arial"/>
          <w:sz w:val="24"/>
          <w:lang w:val="en-US"/>
        </w:rPr>
        <w:t>n</w:t>
      </w:r>
      <w:r w:rsidRPr="00B6434B">
        <w:rPr>
          <w:rFonts w:cs="Arial"/>
          <w:sz w:val="24"/>
          <w:lang w:val="en-US"/>
        </w:rPr>
        <w:t xml:space="preserve">tributors will be </w:t>
      </w:r>
      <w:proofErr w:type="spellStart"/>
      <w:r w:rsidRPr="00B6434B">
        <w:rPr>
          <w:rFonts w:cs="Arial"/>
          <w:sz w:val="24"/>
          <w:lang w:val="en-US"/>
        </w:rPr>
        <w:t>incentived</w:t>
      </w:r>
      <w:proofErr w:type="spellEnd"/>
      <w:r w:rsidRPr="00B6434B">
        <w:rPr>
          <w:rFonts w:cs="Arial"/>
          <w:sz w:val="24"/>
          <w:lang w:val="en-US"/>
        </w:rPr>
        <w:t xml:space="preserve"> to withdraw from providing the necessary input data; </w:t>
      </w:r>
      <w:r w:rsidRPr="00B6434B">
        <w:rPr>
          <w:rFonts w:cs="Arial"/>
          <w:sz w:val="24"/>
        </w:rPr>
        <w:t>(ii) benchmarks providers or administrators will be discouraged to providing new benc</w:t>
      </w:r>
      <w:r w:rsidRPr="00B6434B">
        <w:rPr>
          <w:rFonts w:cs="Arial"/>
          <w:sz w:val="24"/>
        </w:rPr>
        <w:t>h</w:t>
      </w:r>
      <w:r w:rsidRPr="00B6434B">
        <w:rPr>
          <w:rFonts w:cs="Arial"/>
          <w:sz w:val="24"/>
        </w:rPr>
        <w:t xml:space="preserve">marks </w:t>
      </w:r>
      <w:r w:rsidRPr="00B6434B">
        <w:rPr>
          <w:rFonts w:cs="Arial"/>
          <w:sz w:val="24"/>
          <w:lang w:val="en-US"/>
        </w:rPr>
        <w:t>what would result in a reduced number of benchmarks (products) available within the European Union; and (iii) benchmark providers will be discouraged to apply for a</w:t>
      </w:r>
      <w:r w:rsidRPr="00B6434B">
        <w:rPr>
          <w:rFonts w:cs="Arial"/>
          <w:sz w:val="24"/>
          <w:lang w:val="en-US"/>
        </w:rPr>
        <w:t>u</w:t>
      </w:r>
      <w:r w:rsidRPr="00B6434B">
        <w:rPr>
          <w:rFonts w:cs="Arial"/>
          <w:sz w:val="24"/>
          <w:lang w:val="en-US"/>
        </w:rPr>
        <w:t xml:space="preserve">thorization/recognition once the BMR is enforced and the users of such benchmarks will be deprived of access to such benchmarks.  </w:t>
      </w:r>
    </w:p>
    <w:p w:rsidR="00B6434B" w:rsidRPr="00B6434B" w:rsidRDefault="00B6434B" w:rsidP="00B6434B">
      <w:pPr>
        <w:jc w:val="both"/>
        <w:rPr>
          <w:rFonts w:cs="Arial"/>
          <w:sz w:val="24"/>
          <w:lang w:val="en-US"/>
        </w:rPr>
      </w:pPr>
    </w:p>
    <w:p w:rsidR="00B6434B" w:rsidRDefault="00B6434B" w:rsidP="00B6434B">
      <w:pPr>
        <w:jc w:val="both"/>
        <w:rPr>
          <w:rFonts w:cs="Arial"/>
          <w:sz w:val="24"/>
          <w:lang w:val="en-US"/>
        </w:rPr>
      </w:pPr>
      <w:r w:rsidRPr="00B6434B">
        <w:rPr>
          <w:rFonts w:cs="Arial"/>
          <w:sz w:val="24"/>
          <w:lang w:val="en-US"/>
        </w:rPr>
        <w:t>Finally, we suggest ESMA to keep close to the IOSCO principles for Financial Benc</w:t>
      </w:r>
      <w:r w:rsidRPr="00B6434B">
        <w:rPr>
          <w:rFonts w:cs="Arial"/>
          <w:sz w:val="24"/>
          <w:lang w:val="en-US"/>
        </w:rPr>
        <w:t>h</w:t>
      </w:r>
      <w:r w:rsidRPr="00B6434B">
        <w:rPr>
          <w:rFonts w:cs="Arial"/>
          <w:sz w:val="24"/>
          <w:lang w:val="en-US"/>
        </w:rPr>
        <w:t>marks and to avoid imposing additional requirements that go well beyond such princ</w:t>
      </w:r>
      <w:r w:rsidRPr="00B6434B">
        <w:rPr>
          <w:rFonts w:cs="Arial"/>
          <w:sz w:val="24"/>
          <w:lang w:val="en-US"/>
        </w:rPr>
        <w:t>i</w:t>
      </w:r>
      <w:r w:rsidRPr="00B6434B">
        <w:rPr>
          <w:rFonts w:cs="Arial"/>
          <w:sz w:val="24"/>
          <w:lang w:val="en-US"/>
        </w:rPr>
        <w:t xml:space="preserve">ples. In this respect, it should be borne in mind that the equivalence decision required under article 21a for granting recognition to an administrator in a third country will be based on the assessment of compliance with these principles and, consequently, any </w:t>
      </w:r>
      <w:r w:rsidRPr="00B6434B">
        <w:rPr>
          <w:rFonts w:cs="Arial"/>
          <w:sz w:val="24"/>
          <w:lang w:val="en-US"/>
        </w:rPr>
        <w:lastRenderedPageBreak/>
        <w:t xml:space="preserve">separation from the BMR to those principles may lead to a competitive disadvantage for European participants. </w:t>
      </w:r>
    </w:p>
    <w:p w:rsidR="00B6434B" w:rsidRPr="00B6434B" w:rsidRDefault="00B6434B" w:rsidP="00B6434B">
      <w:pPr>
        <w:jc w:val="both"/>
        <w:rPr>
          <w:rFonts w:cs="Arial"/>
          <w:sz w:val="24"/>
        </w:rPr>
      </w:pPr>
    </w:p>
    <w:p w:rsidR="00D34282" w:rsidRPr="00B6434B" w:rsidRDefault="00B6434B" w:rsidP="00B6434B">
      <w:pPr>
        <w:jc w:val="both"/>
        <w:rPr>
          <w:rFonts w:cs="Arial"/>
          <w:b/>
          <w:sz w:val="24"/>
          <w:lang w:val="en-US"/>
        </w:rPr>
      </w:pPr>
      <w:r w:rsidRPr="00B6434B">
        <w:rPr>
          <w:rFonts w:cs="Arial"/>
          <w:sz w:val="24"/>
          <w:lang w:val="en-US"/>
        </w:rPr>
        <w:t>Please note that while answers are provided to certain questions within the Discussion Paper, the fact that a question is not answered should not be interpreted as agreement with the position outlined in the Discussion Paper</w:t>
      </w:r>
      <w:r w:rsidRPr="00B6434B">
        <w:rPr>
          <w:rFonts w:cs="Arial"/>
          <w:b/>
          <w:sz w:val="24"/>
          <w:lang w:val="en-US"/>
        </w:rPr>
        <w:t>.</w:t>
      </w:r>
    </w:p>
    <w:permEnd w:id="0"/>
    <w:p w:rsidR="00D34282" w:rsidRPr="00BF28DA" w:rsidRDefault="00D34282" w:rsidP="00D34282">
      <w:r w:rsidRPr="00BF28DA">
        <w:t>&lt;</w:t>
      </w:r>
      <w:r w:rsidR="00D61A37" w:rsidRPr="00BF28DA">
        <w:t>ESMA_COMMENT_</w:t>
      </w:r>
      <w:r w:rsidR="00176639" w:rsidRPr="00176639">
        <w:t xml:space="preserve"> </w:t>
      </w:r>
      <w:r w:rsidR="00176639">
        <w:t>DP_BMR</w:t>
      </w:r>
      <w:r w:rsidR="00D61A37" w:rsidRPr="00BF28DA">
        <w:t>_1</w:t>
      </w:r>
      <w:r w:rsidRPr="00BF28DA">
        <w:t>&gt;</w:t>
      </w:r>
    </w:p>
    <w:p w:rsidR="00F31E57" w:rsidRPr="00BF28DA" w:rsidRDefault="00F31E57" w:rsidP="00D34282"/>
    <w:p w:rsidR="008701E5" w:rsidRDefault="00F31E57" w:rsidP="002342EC">
      <w:pPr>
        <w:pStyle w:val="Questionstyle"/>
        <w:numPr>
          <w:ilvl w:val="0"/>
          <w:numId w:val="38"/>
        </w:numPr>
      </w:pPr>
      <w:r w:rsidRPr="0075015C">
        <w:br w:type="page"/>
      </w:r>
    </w:p>
    <w:p w:rsidR="009A2624" w:rsidRPr="007F44BF" w:rsidRDefault="009A2624" w:rsidP="002342EC">
      <w:pPr>
        <w:pStyle w:val="Questionstyle"/>
      </w:pPr>
      <w:r w:rsidRPr="007F44BF">
        <w:lastRenderedPageBreak/>
        <w:t>Do you agree that an index’s characteristic of being “made available to the public” should be defined in an open manner, possibly reflecting the current channels and modalities of publication of existing benchmarks, in order not to unduly restrict the number of benchmarks in scope?</w:t>
      </w:r>
    </w:p>
    <w:p w:rsidR="009A2624" w:rsidRDefault="009A2624" w:rsidP="009A2624">
      <w:r>
        <w:t>&lt;ESMA_QUESTION_DP_BMR_1&gt;</w:t>
      </w:r>
    </w:p>
    <w:p w:rsidR="00B6434B" w:rsidRDefault="00B6434B" w:rsidP="00B6434B">
      <w:pPr>
        <w:jc w:val="both"/>
        <w:rPr>
          <w:rFonts w:cs="Arial"/>
          <w:sz w:val="24"/>
          <w:lang w:val="en-US"/>
        </w:rPr>
      </w:pPr>
      <w:permStart w:id="1" w:edGrp="everyone"/>
      <w:r w:rsidRPr="00B6434B">
        <w:rPr>
          <w:rFonts w:cs="Arial"/>
          <w:sz w:val="24"/>
          <w:lang w:val="en-US"/>
        </w:rPr>
        <w:t>ESMA proposes a broad definition of what constitutes “making available to the public” and that an index’s characteristics should be defined in an open manner, reflecting cu</w:t>
      </w:r>
      <w:r w:rsidRPr="00B6434B">
        <w:rPr>
          <w:rFonts w:cs="Arial"/>
          <w:sz w:val="24"/>
          <w:lang w:val="en-US"/>
        </w:rPr>
        <w:t>r</w:t>
      </w:r>
      <w:r w:rsidRPr="00B6434B">
        <w:rPr>
          <w:rFonts w:cs="Arial"/>
          <w:sz w:val="24"/>
          <w:lang w:val="en-US"/>
        </w:rPr>
        <w:t>rent channels and modalities of publications. In our opinion:</w:t>
      </w:r>
    </w:p>
    <w:p w:rsidR="00B6434B" w:rsidRPr="00B6434B" w:rsidRDefault="00B6434B" w:rsidP="00B6434B">
      <w:pPr>
        <w:jc w:val="both"/>
        <w:rPr>
          <w:rFonts w:cs="Arial"/>
          <w:sz w:val="24"/>
          <w:lang w:val="en-US"/>
        </w:rPr>
      </w:pPr>
    </w:p>
    <w:p w:rsidR="00B6434B" w:rsidRPr="00B6434B" w:rsidRDefault="00B6434B" w:rsidP="00B6434B">
      <w:pPr>
        <w:pStyle w:val="Prrafodelista"/>
        <w:numPr>
          <w:ilvl w:val="0"/>
          <w:numId w:val="40"/>
        </w:numPr>
        <w:jc w:val="both"/>
        <w:rPr>
          <w:rFonts w:cs="Arial"/>
          <w:sz w:val="24"/>
          <w:lang w:val="en-US"/>
        </w:rPr>
      </w:pPr>
      <w:r w:rsidRPr="00B6434B">
        <w:rPr>
          <w:rFonts w:cs="Arial"/>
          <w:sz w:val="24"/>
          <w:lang w:val="en-US"/>
        </w:rPr>
        <w:t xml:space="preserve">Such an interpretation may capture </w:t>
      </w:r>
      <w:r w:rsidR="004A2C11" w:rsidRPr="00B6434B">
        <w:rPr>
          <w:rFonts w:cs="Arial"/>
          <w:sz w:val="24"/>
          <w:lang w:val="en-US"/>
        </w:rPr>
        <w:t>customized</w:t>
      </w:r>
      <w:r w:rsidRPr="00B6434B">
        <w:rPr>
          <w:rFonts w:cs="Arial"/>
          <w:sz w:val="24"/>
          <w:lang w:val="en-US"/>
        </w:rPr>
        <w:t xml:space="preserve"> indices and bespoke products that are not broadly licensed, apply to a limited number of financial products, and are intended for professional clients or qualified investors and not the general r</w:t>
      </w:r>
      <w:r w:rsidRPr="00B6434B">
        <w:rPr>
          <w:rFonts w:cs="Arial"/>
          <w:sz w:val="24"/>
          <w:lang w:val="en-US"/>
        </w:rPr>
        <w:t>e</w:t>
      </w:r>
      <w:r w:rsidRPr="00B6434B">
        <w:rPr>
          <w:rFonts w:cs="Arial"/>
          <w:sz w:val="24"/>
          <w:lang w:val="en-US"/>
        </w:rPr>
        <w:t>tail public. We suggest ESMA so re-assess this in accordance with the propo</w:t>
      </w:r>
      <w:r w:rsidRPr="00B6434B">
        <w:rPr>
          <w:rFonts w:cs="Arial"/>
          <w:sz w:val="24"/>
          <w:lang w:val="en-US"/>
        </w:rPr>
        <w:t>r</w:t>
      </w:r>
      <w:r w:rsidRPr="00B6434B">
        <w:rPr>
          <w:rFonts w:cs="Arial"/>
          <w:sz w:val="24"/>
          <w:lang w:val="en-US"/>
        </w:rPr>
        <w:t>tionality principle recognized throughout the BMR;</w:t>
      </w:r>
    </w:p>
    <w:p w:rsidR="00B6434B" w:rsidRPr="00B6434B" w:rsidRDefault="00B6434B" w:rsidP="00B6434B">
      <w:pPr>
        <w:pStyle w:val="Prrafodelista"/>
        <w:jc w:val="both"/>
        <w:rPr>
          <w:rFonts w:cs="Arial"/>
          <w:sz w:val="24"/>
          <w:lang w:val="en-US"/>
        </w:rPr>
      </w:pPr>
    </w:p>
    <w:p w:rsidR="00B6434B" w:rsidRPr="00B6434B" w:rsidRDefault="00B6434B" w:rsidP="00B6434B">
      <w:pPr>
        <w:pStyle w:val="Prrafodelista"/>
        <w:numPr>
          <w:ilvl w:val="0"/>
          <w:numId w:val="40"/>
        </w:numPr>
        <w:jc w:val="both"/>
        <w:rPr>
          <w:rFonts w:cs="Arial"/>
          <w:sz w:val="24"/>
          <w:lang w:val="en-US"/>
        </w:rPr>
      </w:pPr>
      <w:r w:rsidRPr="00B6434B">
        <w:rPr>
          <w:rFonts w:cs="Arial"/>
          <w:sz w:val="24"/>
          <w:lang w:val="en-US"/>
        </w:rPr>
        <w:t>This should not follow the European Commission mandate, as the definition of “making available to the public” would not be based on “other existing Union le</w:t>
      </w:r>
      <w:r w:rsidRPr="00B6434B">
        <w:rPr>
          <w:rFonts w:cs="Arial"/>
          <w:sz w:val="24"/>
          <w:lang w:val="en-US"/>
        </w:rPr>
        <w:t>g</w:t>
      </w:r>
      <w:r w:rsidRPr="00B6434B">
        <w:rPr>
          <w:rFonts w:cs="Arial"/>
          <w:sz w:val="24"/>
          <w:lang w:val="en-US"/>
        </w:rPr>
        <w:t xml:space="preserve">islation on this matter. </w:t>
      </w:r>
    </w:p>
    <w:p w:rsidR="00B6434B" w:rsidRPr="00B6434B" w:rsidRDefault="00B6434B" w:rsidP="00B6434B">
      <w:pPr>
        <w:pStyle w:val="Prrafodelista"/>
        <w:jc w:val="both"/>
        <w:rPr>
          <w:rFonts w:cs="Arial"/>
          <w:sz w:val="24"/>
          <w:lang w:val="en-US"/>
        </w:rPr>
      </w:pPr>
    </w:p>
    <w:p w:rsidR="00B6434B" w:rsidRDefault="00515230" w:rsidP="00B6434B">
      <w:pPr>
        <w:jc w:val="both"/>
        <w:rPr>
          <w:rFonts w:cs="Arial"/>
          <w:sz w:val="24"/>
          <w:lang w:val="en-US"/>
        </w:rPr>
      </w:pPr>
      <w:r>
        <w:rPr>
          <w:rFonts w:cs="Arial"/>
          <w:sz w:val="24"/>
          <w:lang w:val="en-US"/>
        </w:rPr>
        <w:t>We</w:t>
      </w:r>
      <w:r w:rsidR="00B6434B" w:rsidRPr="00B6434B">
        <w:rPr>
          <w:rFonts w:cs="Arial"/>
          <w:sz w:val="24"/>
          <w:lang w:val="en-US"/>
        </w:rPr>
        <w:t xml:space="preserve"> would like to propose that “available to the public” should be defined as an index that is available on an unrestricted basis to the general public, including retail clients. In this regard, “publication” of a benchmark would mean the disclosure, either through print or electronically, in a freely available and unrestricted manner. </w:t>
      </w:r>
    </w:p>
    <w:p w:rsidR="00B6434B" w:rsidRPr="00B6434B" w:rsidRDefault="00B6434B" w:rsidP="00B6434B">
      <w:pPr>
        <w:jc w:val="both"/>
        <w:rPr>
          <w:rFonts w:cs="Arial"/>
          <w:sz w:val="24"/>
          <w:lang w:val="en-US"/>
        </w:rPr>
      </w:pPr>
    </w:p>
    <w:p w:rsidR="00B6434B" w:rsidRDefault="00B6434B" w:rsidP="00B6434B">
      <w:pPr>
        <w:jc w:val="both"/>
        <w:rPr>
          <w:rFonts w:cs="Arial"/>
          <w:sz w:val="24"/>
          <w:lang w:val="en-US"/>
        </w:rPr>
      </w:pPr>
      <w:r w:rsidRPr="00B6434B">
        <w:rPr>
          <w:rFonts w:cs="Arial"/>
          <w:sz w:val="24"/>
          <w:lang w:val="en-US"/>
        </w:rPr>
        <w:t>And for the sake of clarity, it should be clearly stated that in those cases where the index is available exclusively to the users of such index, so that not any market partic</w:t>
      </w:r>
      <w:r w:rsidRPr="00B6434B">
        <w:rPr>
          <w:rFonts w:cs="Arial"/>
          <w:sz w:val="24"/>
          <w:lang w:val="en-US"/>
        </w:rPr>
        <w:t>i</w:t>
      </w:r>
      <w:r w:rsidRPr="00B6434B">
        <w:rPr>
          <w:rFonts w:cs="Arial"/>
          <w:sz w:val="24"/>
          <w:lang w:val="en-US"/>
        </w:rPr>
        <w:t>pant/client may access such information from the administrator (whether freely or upon the payment of a fee), the criteria of “being available to the public” is not met.</w:t>
      </w:r>
    </w:p>
    <w:p w:rsidR="00B6434B" w:rsidRPr="00B6434B" w:rsidRDefault="00B6434B" w:rsidP="00B6434B">
      <w:pPr>
        <w:jc w:val="both"/>
        <w:rPr>
          <w:rFonts w:cs="Arial"/>
          <w:sz w:val="24"/>
          <w:lang w:val="en-US"/>
        </w:rPr>
      </w:pPr>
    </w:p>
    <w:p w:rsidR="00B6434B" w:rsidRDefault="00B6434B" w:rsidP="00B6434B">
      <w:pPr>
        <w:jc w:val="both"/>
        <w:rPr>
          <w:rFonts w:cs="Arial"/>
          <w:sz w:val="24"/>
          <w:lang w:val="en-US"/>
        </w:rPr>
      </w:pPr>
      <w:r w:rsidRPr="00B6434B">
        <w:rPr>
          <w:rFonts w:cs="Arial"/>
          <w:sz w:val="24"/>
          <w:lang w:val="en-US"/>
        </w:rPr>
        <w:t>This approach would be consistent with the concept of “communicating or making avai</w:t>
      </w:r>
      <w:r w:rsidRPr="00B6434B">
        <w:rPr>
          <w:rFonts w:cs="Arial"/>
          <w:sz w:val="24"/>
          <w:lang w:val="en-US"/>
        </w:rPr>
        <w:t>l</w:t>
      </w:r>
      <w:r w:rsidRPr="00B6434B">
        <w:rPr>
          <w:rFonts w:cs="Arial"/>
          <w:sz w:val="24"/>
          <w:lang w:val="en-US"/>
        </w:rPr>
        <w:t>able to the public” adopted in other European regulations. For instance, the concept of “communication to the public” has been further developed in the context of Directive 2001/29/EC on the harmonization of certain aspects of copyright and related rights in the information society</w:t>
      </w:r>
      <w:r>
        <w:rPr>
          <w:rFonts w:cs="Arial"/>
          <w:sz w:val="24"/>
        </w:rPr>
        <w:t xml:space="preserve"> </w:t>
      </w:r>
      <w:r w:rsidRPr="00B6434B">
        <w:rPr>
          <w:rFonts w:cs="Arial"/>
          <w:sz w:val="24"/>
          <w:lang w:val="en-US"/>
        </w:rPr>
        <w:t xml:space="preserve">(In fact, the European Commission itself referred to the EU </w:t>
      </w:r>
      <w:proofErr w:type="spellStart"/>
      <w:r w:rsidRPr="00B6434B">
        <w:rPr>
          <w:rFonts w:cs="Arial"/>
          <w:sz w:val="24"/>
          <w:lang w:val="en-US"/>
        </w:rPr>
        <w:t>acquis</w:t>
      </w:r>
      <w:proofErr w:type="spellEnd"/>
      <w:r w:rsidRPr="00B6434B">
        <w:rPr>
          <w:rFonts w:cs="Arial"/>
          <w:sz w:val="24"/>
          <w:lang w:val="en-US"/>
        </w:rPr>
        <w:t xml:space="preserve"> on copyright in its request to ESMA for Technical Advice on possible delegated acts co</w:t>
      </w:r>
      <w:r w:rsidRPr="00B6434B">
        <w:rPr>
          <w:rFonts w:cs="Arial"/>
          <w:sz w:val="24"/>
          <w:lang w:val="en-US"/>
        </w:rPr>
        <w:t>n</w:t>
      </w:r>
      <w:r w:rsidRPr="00B6434B">
        <w:rPr>
          <w:rFonts w:cs="Arial"/>
          <w:sz w:val="24"/>
          <w:lang w:val="en-US"/>
        </w:rPr>
        <w:t xml:space="preserve">cerning the BMR and affirmed that, the discussion in that context may provide useful guidance for ESMA.). </w:t>
      </w:r>
    </w:p>
    <w:p w:rsidR="00B6434B" w:rsidRPr="00B6434B" w:rsidRDefault="00B6434B" w:rsidP="00B6434B">
      <w:pPr>
        <w:jc w:val="both"/>
        <w:rPr>
          <w:rFonts w:cs="Arial"/>
          <w:sz w:val="24"/>
          <w:lang w:val="en-US"/>
        </w:rPr>
      </w:pPr>
    </w:p>
    <w:p w:rsidR="00B6434B" w:rsidRDefault="00B6434B" w:rsidP="00B6434B">
      <w:pPr>
        <w:jc w:val="both"/>
        <w:rPr>
          <w:rFonts w:cs="Arial"/>
          <w:sz w:val="24"/>
          <w:lang w:val="en-US"/>
        </w:rPr>
      </w:pPr>
      <w:r w:rsidRPr="00B6434B">
        <w:rPr>
          <w:rFonts w:cs="Arial"/>
          <w:sz w:val="24"/>
          <w:lang w:val="en-US"/>
        </w:rPr>
        <w:t>The concept has been further developed by the case law of the Court of Justice of the European Union.  In particular, the Court of Justice of the European Union has repeate</w:t>
      </w:r>
      <w:r w:rsidRPr="00B6434B">
        <w:rPr>
          <w:rFonts w:cs="Arial"/>
          <w:sz w:val="24"/>
          <w:lang w:val="en-US"/>
        </w:rPr>
        <w:t>d</w:t>
      </w:r>
      <w:r w:rsidRPr="00B6434B">
        <w:rPr>
          <w:rFonts w:cs="Arial"/>
          <w:sz w:val="24"/>
          <w:lang w:val="en-US"/>
        </w:rPr>
        <w:t>ly stated that the concept of communication to the public includes two cumulative crit</w:t>
      </w:r>
      <w:r w:rsidRPr="00B6434B">
        <w:rPr>
          <w:rFonts w:cs="Arial"/>
          <w:sz w:val="24"/>
          <w:lang w:val="en-US"/>
        </w:rPr>
        <w:t>e</w:t>
      </w:r>
      <w:r w:rsidRPr="00B6434B">
        <w:rPr>
          <w:rFonts w:cs="Arial"/>
          <w:sz w:val="24"/>
          <w:lang w:val="en-US"/>
        </w:rPr>
        <w:t xml:space="preserve">ria, namely, an act of communication and the communication to a public. Moreover, it has considered that communication to the public is directed to an “indeterminate and fairly large number of recipients”; what supports our proposal above (restricted access to a reduced number of users does not seem to fit in the context of the Copyright Directive and the interpretation of the Court of Justice of the European Union). </w:t>
      </w:r>
    </w:p>
    <w:p w:rsidR="00B6434B" w:rsidRPr="00B6434B" w:rsidRDefault="00B6434B" w:rsidP="00B6434B">
      <w:pPr>
        <w:jc w:val="both"/>
        <w:rPr>
          <w:rFonts w:cs="Arial"/>
          <w:sz w:val="24"/>
          <w:lang w:val="en-US"/>
        </w:rPr>
      </w:pPr>
    </w:p>
    <w:p w:rsidR="009A2624" w:rsidRPr="00B6434B" w:rsidRDefault="00B6434B" w:rsidP="00B6434B">
      <w:pPr>
        <w:rPr>
          <w:rFonts w:cs="Arial"/>
          <w:sz w:val="24"/>
          <w:lang w:val="en-US"/>
        </w:rPr>
      </w:pPr>
      <w:r w:rsidRPr="00B6434B">
        <w:rPr>
          <w:rFonts w:cs="Arial"/>
          <w:sz w:val="24"/>
          <w:lang w:val="en-US"/>
        </w:rPr>
        <w:lastRenderedPageBreak/>
        <w:t>We would like to insist in the importance of considering existing EU legislation containing similar definitions or concepts in order to promote consistency and legal certainty. Not only due to the specific mandate of the European Commission in the BMR, but also because this constitutes one of the current priorities of the European Commission ev</w:t>
      </w:r>
      <w:r w:rsidRPr="00B6434B">
        <w:rPr>
          <w:rFonts w:cs="Arial"/>
          <w:sz w:val="24"/>
          <w:lang w:val="en-US"/>
        </w:rPr>
        <w:t>i</w:t>
      </w:r>
      <w:r w:rsidRPr="00B6434B">
        <w:rPr>
          <w:rFonts w:cs="Arial"/>
          <w:sz w:val="24"/>
          <w:lang w:val="en-US"/>
        </w:rPr>
        <w:t>denced by the recent public consultation published in the context of the Capital Markets Union policy. In particular we refer to the so-called “Call for evidence: EU regulatory framework for financial services” where the Commission consulted the industry with the objective to have a clear understanding of the interaction of individual rules and cumul</w:t>
      </w:r>
      <w:r w:rsidRPr="00B6434B">
        <w:rPr>
          <w:rFonts w:cs="Arial"/>
          <w:sz w:val="24"/>
          <w:lang w:val="en-US"/>
        </w:rPr>
        <w:t>a</w:t>
      </w:r>
      <w:r w:rsidRPr="00B6434B">
        <w:rPr>
          <w:rFonts w:cs="Arial"/>
          <w:sz w:val="24"/>
          <w:lang w:val="en-US"/>
        </w:rPr>
        <w:t>tive impact of the legislation as a whole including potential overlaps, inconsistencies and gaps.</w:t>
      </w:r>
    </w:p>
    <w:permEnd w:id="1"/>
    <w:p w:rsidR="009A2624" w:rsidRDefault="009A2624" w:rsidP="009A2624">
      <w:r>
        <w:t>&lt;ESMA_QUESTION_DP_BMR_1&gt;</w:t>
      </w:r>
    </w:p>
    <w:p w:rsidR="009A2624" w:rsidRDefault="009A2624" w:rsidP="009A2624"/>
    <w:p w:rsidR="009A2624" w:rsidRPr="007F44BF" w:rsidRDefault="009A2624" w:rsidP="002342EC">
      <w:pPr>
        <w:pStyle w:val="Questionstyle"/>
      </w:pPr>
      <w:r w:rsidRPr="007F44BF">
        <w:t>Do you have any proposals on which aspects of the publication process of an index should be considered in order for it to be deemed as having made the index available to the public, for the pu</w:t>
      </w:r>
      <w:r w:rsidRPr="007F44BF">
        <w:t>r</w:t>
      </w:r>
      <w:r w:rsidRPr="007F44BF">
        <w:t>pose of the BMR?</w:t>
      </w:r>
    </w:p>
    <w:p w:rsidR="009A2624" w:rsidRDefault="009A2624" w:rsidP="009A2624">
      <w:r>
        <w:t>&lt;ESMA_QUESTION_DP_BMR_2&gt;</w:t>
      </w:r>
    </w:p>
    <w:p w:rsidR="009A2624" w:rsidRDefault="009A2624" w:rsidP="009A2624">
      <w:permStart w:id="2" w:edGrp="everyone"/>
      <w:r>
        <w:t>TYPE YOUR TEXT HERE</w:t>
      </w:r>
    </w:p>
    <w:permEnd w:id="2"/>
    <w:p w:rsidR="009A2624" w:rsidRDefault="009A2624" w:rsidP="009A2624">
      <w:r>
        <w:t>&lt;ESMA_QUESTION_DP_BMR_2&gt;</w:t>
      </w:r>
    </w:p>
    <w:p w:rsidR="009A2624" w:rsidRDefault="009A2624" w:rsidP="009A2624"/>
    <w:p w:rsidR="009A2624" w:rsidRDefault="009A2624" w:rsidP="002342EC">
      <w:pPr>
        <w:pStyle w:val="Questionstyle"/>
        <w:rPr>
          <w:rFonts w:cstheme="minorHAnsi"/>
        </w:rPr>
      </w:pPr>
      <w:r w:rsidRPr="0088067A">
        <w:t>Do you agree with ESMA’s proposal to align the administering the arrangements for determi</w:t>
      </w:r>
      <w:r w:rsidRPr="0088067A">
        <w:t>n</w:t>
      </w:r>
      <w:r w:rsidRPr="0088067A">
        <w:t>ing a benchmark with the IOSCO principle on the overall responsibility of the administrator?</w:t>
      </w:r>
      <w:r>
        <w:t xml:space="preserve"> Which other characteristics/activities would you regard as covered by Article 3(1) point 3(a)?</w:t>
      </w:r>
    </w:p>
    <w:p w:rsidR="009A2624" w:rsidRDefault="009A2624" w:rsidP="009A2624">
      <w:r>
        <w:t>&lt;ESMA_QUESTION_DP_BMR_3&gt;</w:t>
      </w:r>
    </w:p>
    <w:p w:rsidR="009A2624" w:rsidRDefault="009A2624" w:rsidP="009A2624">
      <w:permStart w:id="3" w:edGrp="everyone"/>
      <w:r>
        <w:t>TYPE YOUR TEXT HERE</w:t>
      </w:r>
    </w:p>
    <w:permEnd w:id="3"/>
    <w:p w:rsidR="009A2624" w:rsidRDefault="009A2624" w:rsidP="009A2624">
      <w:r>
        <w:t>&lt;ESMA_QUESTION_DP_BMR_3&gt;</w:t>
      </w:r>
    </w:p>
    <w:p w:rsidR="009A2624" w:rsidRDefault="009A2624" w:rsidP="009A2624"/>
    <w:p w:rsidR="009A2624" w:rsidRPr="00B37C5D" w:rsidRDefault="009A2624" w:rsidP="002342EC">
      <w:pPr>
        <w:pStyle w:val="Questionstyle"/>
      </w:pPr>
      <w:r>
        <w:t xml:space="preserve">Do you agree with ESMA’s </w:t>
      </w:r>
      <w:r w:rsidRPr="00B37C5D">
        <w:t>proposal for a definition of issuance of a financial instrument? Are there additional aspects that this definition should cover?</w:t>
      </w:r>
    </w:p>
    <w:p w:rsidR="009A2624" w:rsidRDefault="009A2624" w:rsidP="009A2624">
      <w:r>
        <w:t>&lt;ESMA_QUESTION_DP_BMR_4&gt;</w:t>
      </w:r>
    </w:p>
    <w:p w:rsidR="00B6434B" w:rsidRDefault="00B6434B" w:rsidP="00B6434B">
      <w:pPr>
        <w:jc w:val="both"/>
        <w:rPr>
          <w:rFonts w:cs="Arial"/>
          <w:sz w:val="24"/>
          <w:lang w:val="en-US"/>
        </w:rPr>
      </w:pPr>
      <w:permStart w:id="4" w:edGrp="everyone"/>
      <w:r w:rsidRPr="00B6434B">
        <w:rPr>
          <w:rFonts w:cs="Arial"/>
          <w:sz w:val="24"/>
          <w:lang w:val="en-US"/>
        </w:rPr>
        <w:t>In our view ESMA’s explanations on this point may led to certain confusion. Due to the importance of having this starting point clear, we would like to share our concerns in this regard: (i) ESMA is invited to provide technical advice on specifying what constitutes the issuance of a financial instrument for the purposes of defining use of a benchmark; and (ii) the BMR (Level 1 rules) specifies the definition of “financial instrument” so the Co</w:t>
      </w:r>
      <w:r w:rsidRPr="00B6434B">
        <w:rPr>
          <w:rFonts w:cs="Arial"/>
          <w:sz w:val="24"/>
          <w:lang w:val="en-US"/>
        </w:rPr>
        <w:t>m</w:t>
      </w:r>
      <w:r w:rsidRPr="00B6434B">
        <w:rPr>
          <w:rFonts w:cs="Arial"/>
          <w:sz w:val="24"/>
          <w:lang w:val="en-US"/>
        </w:rPr>
        <w:t>mission’s mandate to ESMA’s is limited to the term “issuance”. Therefore, the technical advice should, in no case, broaden the concept of financial instrument. In view of the above, we understand that the reference to execution venue in paragraph 29 is not correct and such statement should be limited to trading venues, as it is in Level 1</w:t>
      </w:r>
      <w:r>
        <w:rPr>
          <w:rFonts w:cs="Arial"/>
          <w:sz w:val="24"/>
          <w:lang w:val="en-US"/>
        </w:rPr>
        <w:t xml:space="preserve"> (</w:t>
      </w:r>
      <w:r w:rsidRPr="00B6434B">
        <w:rPr>
          <w:rFonts w:cs="Arial"/>
          <w:sz w:val="24"/>
          <w:lang w:val="en-US"/>
        </w:rPr>
        <w:t xml:space="preserve">As per ESMA Discussion Paper on MIFID II and MiFIR dated 22nd May 2014, execution venue may include, in addition to trading venues, other figures like systematic internaliser, market makers or other liquidity provider or an entity that performs a similar function in a third country).  </w:t>
      </w:r>
    </w:p>
    <w:p w:rsidR="00B6434B" w:rsidRPr="00B6434B" w:rsidRDefault="00B6434B" w:rsidP="00B6434B">
      <w:pPr>
        <w:jc w:val="both"/>
        <w:rPr>
          <w:rFonts w:cs="Arial"/>
          <w:sz w:val="24"/>
          <w:lang w:val="en-US"/>
        </w:rPr>
      </w:pPr>
    </w:p>
    <w:p w:rsidR="00B6434B" w:rsidRDefault="00B6434B" w:rsidP="00B6434B">
      <w:pPr>
        <w:jc w:val="both"/>
        <w:rPr>
          <w:rFonts w:cs="Arial"/>
          <w:sz w:val="24"/>
          <w:lang w:val="en-US"/>
        </w:rPr>
      </w:pPr>
      <w:r w:rsidRPr="00B6434B">
        <w:rPr>
          <w:rFonts w:cs="Arial"/>
          <w:sz w:val="24"/>
          <w:lang w:val="en-US"/>
        </w:rPr>
        <w:t xml:space="preserve">With regards to the term “issuance of a financial instrument”, we agree that there is no legal definition as such in a European regulation; however, what “issuance” refers to is clear in the context of the Directive 2003/71/EC on the prospectus to be published when </w:t>
      </w:r>
      <w:r w:rsidRPr="00B6434B">
        <w:rPr>
          <w:rFonts w:cs="Arial"/>
          <w:sz w:val="24"/>
          <w:lang w:val="en-US"/>
        </w:rPr>
        <w:lastRenderedPageBreak/>
        <w:t xml:space="preserve">securities are offered to the public or admitted to trading (the “Prospectus Directive”). Using the term “issuance” in another context or beyond the scope of the Prospectus Directive would lead to legal uncertainty in this legislation and any other future legislation referring to “issuances”. </w:t>
      </w:r>
    </w:p>
    <w:p w:rsidR="00B6434B" w:rsidRDefault="00B6434B" w:rsidP="00B6434B">
      <w:pPr>
        <w:jc w:val="both"/>
        <w:rPr>
          <w:rFonts w:cs="Arial"/>
          <w:sz w:val="24"/>
          <w:lang w:val="en-US"/>
        </w:rPr>
      </w:pPr>
    </w:p>
    <w:p w:rsidR="00B6434B" w:rsidRDefault="00B6434B" w:rsidP="00B6434B">
      <w:pPr>
        <w:jc w:val="both"/>
        <w:rPr>
          <w:rFonts w:cs="Arial"/>
          <w:sz w:val="24"/>
          <w:lang w:val="en-US"/>
        </w:rPr>
      </w:pPr>
      <w:r w:rsidRPr="00B6434B">
        <w:rPr>
          <w:rFonts w:cs="Arial"/>
          <w:sz w:val="24"/>
          <w:lang w:val="en-US"/>
        </w:rPr>
        <w:t>Thus, as explained in our response to Q1, we support aligning definitions to comparable standards contained in other European regulations. This is precisely the Commission’s position in its request to ESMA for technical advice on delegated acts concerning BMR and in the recent Capital Markets Union framework where consistency across EU reg</w:t>
      </w:r>
      <w:r w:rsidRPr="00B6434B">
        <w:rPr>
          <w:rFonts w:cs="Arial"/>
          <w:sz w:val="24"/>
          <w:lang w:val="en-US"/>
        </w:rPr>
        <w:t>u</w:t>
      </w:r>
      <w:r w:rsidRPr="00B6434B">
        <w:rPr>
          <w:rFonts w:cs="Arial"/>
          <w:sz w:val="24"/>
          <w:lang w:val="en-US"/>
        </w:rPr>
        <w:t>lations is pursued. Otherwise, additional cost and complexity will be added to the impl</w:t>
      </w:r>
      <w:r w:rsidRPr="00B6434B">
        <w:rPr>
          <w:rFonts w:cs="Arial"/>
          <w:sz w:val="24"/>
          <w:lang w:val="en-US"/>
        </w:rPr>
        <w:t>e</w:t>
      </w:r>
      <w:r w:rsidRPr="00B6434B">
        <w:rPr>
          <w:rFonts w:cs="Arial"/>
          <w:sz w:val="24"/>
          <w:lang w:val="en-US"/>
        </w:rPr>
        <w:t xml:space="preserve">mentation of the BMR. </w:t>
      </w:r>
    </w:p>
    <w:p w:rsidR="00B6434B" w:rsidRPr="00B6434B" w:rsidRDefault="00B6434B" w:rsidP="00B6434B">
      <w:pPr>
        <w:jc w:val="both"/>
        <w:rPr>
          <w:rFonts w:cs="Arial"/>
          <w:sz w:val="24"/>
          <w:lang w:val="en-US"/>
        </w:rPr>
      </w:pPr>
    </w:p>
    <w:p w:rsidR="009A2624" w:rsidRPr="00B6434B" w:rsidRDefault="00B6434B" w:rsidP="00B6434B">
      <w:pPr>
        <w:jc w:val="both"/>
        <w:rPr>
          <w:rFonts w:cs="Arial"/>
          <w:sz w:val="24"/>
          <w:lang w:val="en-US"/>
        </w:rPr>
      </w:pPr>
      <w:r w:rsidRPr="00B6434B">
        <w:rPr>
          <w:rFonts w:cs="Arial"/>
          <w:sz w:val="24"/>
          <w:lang w:val="en-US"/>
        </w:rPr>
        <w:t>In addition, we understand that our proposal would not narrow the scope of the BMR as most of the situations not covered by paragraph (a) of article 3(5) will be already covered by paragraph (b) and, therefore, these will still be considered as “use of a benchmark”.</w:t>
      </w:r>
    </w:p>
    <w:permEnd w:id="4"/>
    <w:p w:rsidR="009A2624" w:rsidRDefault="009A2624" w:rsidP="009A2624">
      <w:r>
        <w:t>&lt;ESMA_QUESTION_DP_BMR_4&gt;</w:t>
      </w:r>
    </w:p>
    <w:p w:rsidR="009A2624" w:rsidRDefault="009A2624" w:rsidP="009A2624"/>
    <w:p w:rsidR="009A2624" w:rsidRDefault="009A2624" w:rsidP="002342EC">
      <w:pPr>
        <w:pStyle w:val="Questionstyle"/>
      </w:pPr>
      <w:r w:rsidRPr="003E0464">
        <w:t xml:space="preserve">Do you </w:t>
      </w:r>
      <w:r>
        <w:t>think that the business activities of market operators and CCPs in connection with possible creation of financial instruments for trading could fall under the specification of “</w:t>
      </w:r>
      <w:r w:rsidRPr="004431E7">
        <w:t>issuance of a financial instrument which references an index or a combination of indices</w:t>
      </w:r>
      <w:r>
        <w:t>”?</w:t>
      </w:r>
      <w:r w:rsidRPr="004431E7" w:rsidDel="006C285E">
        <w:t xml:space="preserve"> </w:t>
      </w:r>
      <w:r>
        <w:t xml:space="preserve">If not, which element of the “use of benchmark” definition could cover these business activities? </w:t>
      </w:r>
    </w:p>
    <w:p w:rsidR="009A2624" w:rsidRDefault="009A2624" w:rsidP="009A2624">
      <w:r>
        <w:t>&lt;ESMA_QUESTION_DP_BMR_5&gt;</w:t>
      </w:r>
    </w:p>
    <w:p w:rsidR="009A2624" w:rsidRDefault="009A2624" w:rsidP="009A2624">
      <w:permStart w:id="5" w:edGrp="everyone"/>
      <w:r>
        <w:t>TYPE YOUR TEXT HERE</w:t>
      </w:r>
    </w:p>
    <w:permEnd w:id="5"/>
    <w:p w:rsidR="009A2624" w:rsidRDefault="009A2624" w:rsidP="009A2624">
      <w:r>
        <w:t>&lt;ESMA_QUESTION_DP_BMR_5&gt;</w:t>
      </w:r>
    </w:p>
    <w:p w:rsidR="009A2624" w:rsidRDefault="009A2624" w:rsidP="009A2624"/>
    <w:p w:rsidR="009A2624" w:rsidRPr="007F44BF" w:rsidRDefault="009A2624" w:rsidP="002342EC">
      <w:pPr>
        <w:pStyle w:val="Questionstyle"/>
      </w:pPr>
      <w:r w:rsidRPr="007F44BF">
        <w:t>Do you agree with the proposed list of appropriate governance arrangements for the oversight function? Would you propose any additional structure or changes to the proposed structures?</w:t>
      </w:r>
    </w:p>
    <w:p w:rsidR="009A2624" w:rsidRDefault="009A2624" w:rsidP="009A2624">
      <w:r>
        <w:t>&lt;ESMA_QUESTION_DP_BMR_6&gt;</w:t>
      </w:r>
    </w:p>
    <w:p w:rsidR="009A2624" w:rsidRDefault="009A2624" w:rsidP="009A2624">
      <w:permStart w:id="6" w:edGrp="everyone"/>
      <w:r>
        <w:t>TYPE YOUR TEXT HERE</w:t>
      </w:r>
    </w:p>
    <w:permEnd w:id="6"/>
    <w:p w:rsidR="009A2624" w:rsidRDefault="009A2624" w:rsidP="009A2624">
      <w:r>
        <w:t>&lt;ESMA_QUESTION_DP_BMR_6&gt;</w:t>
      </w:r>
    </w:p>
    <w:p w:rsidR="009A2624" w:rsidRDefault="009A2624" w:rsidP="009A2624"/>
    <w:p w:rsidR="009A2624" w:rsidRPr="007F44BF" w:rsidRDefault="009A2624" w:rsidP="002342EC">
      <w:pPr>
        <w:pStyle w:val="Questionstyle"/>
      </w:pPr>
      <w:r w:rsidRPr="007F44BF">
        <w:t>Do you believe these proposals sufficiently address the needs of all types of benchmarks and administrators? If not, what characteristics do such benchmarks have that would need to be addressed in the proposals?</w:t>
      </w:r>
    </w:p>
    <w:p w:rsidR="009A2624" w:rsidRDefault="009A2624" w:rsidP="009A2624">
      <w:r>
        <w:t>&lt;ESMA_QUESTION_DP_BMR_7&gt;</w:t>
      </w:r>
    </w:p>
    <w:p w:rsidR="009A2624" w:rsidRDefault="009A2624" w:rsidP="009A2624">
      <w:permStart w:id="7" w:edGrp="everyone"/>
      <w:r>
        <w:t>TYPE YOUR TEXT HERE</w:t>
      </w:r>
    </w:p>
    <w:permEnd w:id="7"/>
    <w:p w:rsidR="009A2624" w:rsidRDefault="009A2624" w:rsidP="009A2624">
      <w:r>
        <w:t>&lt;ESMA_QUESTION_DP_BMR_7&gt;</w:t>
      </w:r>
    </w:p>
    <w:p w:rsidR="009A2624" w:rsidRDefault="009A2624" w:rsidP="009A2624"/>
    <w:p w:rsidR="009A2624" w:rsidRPr="007F44BF" w:rsidRDefault="009A2624" w:rsidP="002342EC">
      <w:pPr>
        <w:pStyle w:val="Questionstyle"/>
      </w:pPr>
      <w:r w:rsidRPr="007F44BF">
        <w:t xml:space="preserve">To the extent that you provide benchmarks, do you have in place a pre-existing committee, introduced through other EU legislation, or otherwise, which could satisfy the requirements of an oversight function under Article 5a? Please describe the structure of the committee and the reasons for establishing it. </w:t>
      </w:r>
    </w:p>
    <w:p w:rsidR="009A2624" w:rsidRDefault="009A2624" w:rsidP="009A2624">
      <w:r>
        <w:t>&lt;ESMA_QUESTION_DP_BMR_8&gt;</w:t>
      </w:r>
    </w:p>
    <w:p w:rsidR="009A2624" w:rsidRDefault="009A2624" w:rsidP="009A2624">
      <w:permStart w:id="8" w:edGrp="everyone"/>
      <w:r>
        <w:t>TYPE YOUR TEXT HERE</w:t>
      </w:r>
    </w:p>
    <w:permEnd w:id="8"/>
    <w:p w:rsidR="009A2624" w:rsidRDefault="009A2624" w:rsidP="009A2624">
      <w:r>
        <w:t>&lt;ESMA_QUESTION_DP_BMR_8&gt;</w:t>
      </w:r>
    </w:p>
    <w:p w:rsidR="009A2624" w:rsidRDefault="009A2624" w:rsidP="009A2624"/>
    <w:p w:rsidR="009A2624" w:rsidRPr="007F44BF" w:rsidRDefault="009A2624" w:rsidP="002342EC">
      <w:pPr>
        <w:pStyle w:val="Questionstyle"/>
      </w:pPr>
      <w:r w:rsidRPr="007F44BF">
        <w:t>Do you agree that an administrator could establish one oversight function for all the benc</w:t>
      </w:r>
      <w:r w:rsidRPr="007F44BF">
        <w:t>h</w:t>
      </w:r>
      <w:r w:rsidRPr="007F44BF">
        <w:t>marks it provides? Do you think it is appropriate for an administrator to have multiple oversight fun</w:t>
      </w:r>
      <w:r w:rsidRPr="007F44BF">
        <w:t>c</w:t>
      </w:r>
      <w:r w:rsidRPr="007F44BF">
        <w:t>tions where it provides benchmarks that have different methodologies, users or seek to measure very different markets or economic realities?</w:t>
      </w:r>
    </w:p>
    <w:p w:rsidR="009A2624" w:rsidRDefault="009A2624" w:rsidP="009A2624">
      <w:r>
        <w:t>&lt;ESMA_QUESTION_DP_BMR_9&gt;</w:t>
      </w:r>
    </w:p>
    <w:p w:rsidR="009A2624" w:rsidRDefault="009A2624" w:rsidP="009A2624">
      <w:permStart w:id="9" w:edGrp="everyone"/>
      <w:r>
        <w:t>TYPE YOUR TEXT HERE</w:t>
      </w:r>
    </w:p>
    <w:permEnd w:id="9"/>
    <w:p w:rsidR="009A2624" w:rsidRDefault="009A2624" w:rsidP="009A2624">
      <w:r>
        <w:t>&lt;ESMA_QUESTION_DP_BMR_9&gt;</w:t>
      </w:r>
    </w:p>
    <w:p w:rsidR="009A2624" w:rsidRDefault="009A2624" w:rsidP="009A2624"/>
    <w:p w:rsidR="009A2624" w:rsidRPr="007F44BF" w:rsidRDefault="009A2624" w:rsidP="002342EC">
      <w:pPr>
        <w:pStyle w:val="Questionstyle"/>
      </w:pPr>
      <w:r w:rsidRPr="007F44BF">
        <w:t>If an administrator provides more than one critical benchmark, do you support the approach of one oversight function exercising oversight over all the critical benchmarks? Do you think it is nece</w:t>
      </w:r>
      <w:r w:rsidRPr="007F44BF">
        <w:t>s</w:t>
      </w:r>
      <w:r w:rsidRPr="007F44BF">
        <w:t xml:space="preserve">sary for an oversight function to have sub-functions, to account for the different needs of different types of benchmarks? </w:t>
      </w:r>
    </w:p>
    <w:p w:rsidR="009A2624" w:rsidRDefault="009A2624" w:rsidP="009A2624">
      <w:r>
        <w:t>&lt;ESMA_QUESTION_DP_BMR_10&gt;</w:t>
      </w:r>
    </w:p>
    <w:p w:rsidR="009A2624" w:rsidRDefault="009A2624" w:rsidP="009A2624">
      <w:permStart w:id="10" w:edGrp="everyone"/>
      <w:r>
        <w:t>TYPE YOUR TEXT HERE</w:t>
      </w:r>
    </w:p>
    <w:permEnd w:id="10"/>
    <w:p w:rsidR="009A2624" w:rsidRDefault="009A2624" w:rsidP="009A2624">
      <w:r>
        <w:t>&lt;ESMA_QUESTION_DP_BMR_10&gt;</w:t>
      </w:r>
    </w:p>
    <w:p w:rsidR="009A2624" w:rsidRDefault="009A2624" w:rsidP="009A2624"/>
    <w:p w:rsidR="009A2624" w:rsidRPr="007F44BF" w:rsidRDefault="009A2624" w:rsidP="002342EC">
      <w:pPr>
        <w:pStyle w:val="Questionstyle"/>
      </w:pPr>
      <w:r w:rsidRPr="007F44BF">
        <w:t>Where an administrator provides critical benchmarks and significant or non-significant benc</w:t>
      </w:r>
      <w:r w:rsidRPr="007F44BF">
        <w:t>h</w:t>
      </w:r>
      <w:r w:rsidRPr="007F44BF">
        <w:t xml:space="preserve">marks, do you think it should establish different oversight functions depending on the nature, scale and complexity of the critical benchmarks versus the significant or non-significant benchmarks? </w:t>
      </w:r>
    </w:p>
    <w:p w:rsidR="009A2624" w:rsidRDefault="009A2624" w:rsidP="009A2624">
      <w:r>
        <w:t>&lt;ESMA_QUESTION_DP_BMR_11&gt;</w:t>
      </w:r>
    </w:p>
    <w:p w:rsidR="009A2624" w:rsidRDefault="009A2624" w:rsidP="009A2624">
      <w:permStart w:id="11" w:edGrp="everyone"/>
      <w:r>
        <w:t>TYPE YOUR TEXT HERE</w:t>
      </w:r>
    </w:p>
    <w:permEnd w:id="11"/>
    <w:p w:rsidR="009A2624" w:rsidRDefault="009A2624" w:rsidP="009A2624">
      <w:r>
        <w:t>&lt;ESMA_QUESTION_DP_BMR_11&gt;</w:t>
      </w:r>
    </w:p>
    <w:p w:rsidR="009A2624" w:rsidRDefault="009A2624" w:rsidP="009A2624"/>
    <w:p w:rsidR="009A2624" w:rsidRPr="007F44BF" w:rsidRDefault="009A2624" w:rsidP="002342EC">
      <w:pPr>
        <w:pStyle w:val="Questionstyle"/>
      </w:pPr>
      <w:r w:rsidRPr="007F44BF">
        <w:t xml:space="preserve">In which cases would you agree that contributors should be prevented from participating in oversight committees? </w:t>
      </w:r>
    </w:p>
    <w:p w:rsidR="009A2624" w:rsidRDefault="009A2624" w:rsidP="009A2624">
      <w:r>
        <w:t>&lt;ESMA_QUESTION_DP_BMR_12&gt;</w:t>
      </w:r>
    </w:p>
    <w:p w:rsidR="009A2624" w:rsidRDefault="009A2624" w:rsidP="009A2624">
      <w:permStart w:id="12" w:edGrp="everyone"/>
      <w:r>
        <w:t>TYPE YOUR TEXT HERE</w:t>
      </w:r>
    </w:p>
    <w:permEnd w:id="12"/>
    <w:p w:rsidR="009A2624" w:rsidRDefault="009A2624" w:rsidP="009A2624">
      <w:r>
        <w:t>&lt;ESMA_QUESTION_DP_BMR_12&gt;</w:t>
      </w:r>
    </w:p>
    <w:p w:rsidR="009A2624" w:rsidRDefault="009A2624" w:rsidP="009A2624"/>
    <w:p w:rsidR="009A2624" w:rsidRPr="007F44BF" w:rsidRDefault="009A2624" w:rsidP="002342EC">
      <w:pPr>
        <w:pStyle w:val="Questionstyle"/>
      </w:pPr>
      <w:r w:rsidRPr="007F44BF">
        <w:t>Do you foresee additional costs to your business or, if you are not an administrator, to the business of others resulting from the establishment of multiple oversight functions in connection with the different businesses performed and/or the different nature, scale and type of benchmarks pr</w:t>
      </w:r>
      <w:r w:rsidRPr="007F44BF">
        <w:t>o</w:t>
      </w:r>
      <w:r w:rsidRPr="007F44BF">
        <w:t>vided? Please describe the nature, and where possible provide estimates, of these costs.</w:t>
      </w:r>
    </w:p>
    <w:p w:rsidR="009A2624" w:rsidRDefault="009A2624" w:rsidP="009A2624">
      <w:r>
        <w:t>&lt;ESMA_QUESTION_DP_BMR_13&gt;</w:t>
      </w:r>
    </w:p>
    <w:p w:rsidR="009A2624" w:rsidRDefault="009A2624" w:rsidP="009A2624">
      <w:permStart w:id="13" w:edGrp="everyone"/>
      <w:r>
        <w:t>TYPE YOUR TEXT HERE</w:t>
      </w:r>
    </w:p>
    <w:permEnd w:id="13"/>
    <w:p w:rsidR="009A2624" w:rsidRDefault="009A2624" w:rsidP="009A2624">
      <w:r>
        <w:t>&lt;ESMA_QUESTION_DP_BMR_13&gt;</w:t>
      </w:r>
    </w:p>
    <w:p w:rsidR="009A2624" w:rsidRDefault="009A2624" w:rsidP="009A2624"/>
    <w:p w:rsidR="009A2624" w:rsidRPr="007F44BF" w:rsidRDefault="009A2624" w:rsidP="002342EC">
      <w:pPr>
        <w:pStyle w:val="Questionstyle"/>
      </w:pPr>
      <w:r w:rsidRPr="007F44BF">
        <w:t xml:space="preserve">Do you agree that, in all cases, an oversight function should not be responsible for overseeing the business decisions of the management body? </w:t>
      </w:r>
    </w:p>
    <w:p w:rsidR="009A2624" w:rsidRDefault="009A2624" w:rsidP="009A2624">
      <w:r>
        <w:t>&lt;ESMA_QUESTION_DP_BMR_14&gt;</w:t>
      </w:r>
    </w:p>
    <w:p w:rsidR="009A2624" w:rsidRDefault="009A2624" w:rsidP="009A2624">
      <w:permStart w:id="14" w:edGrp="everyone"/>
      <w:r>
        <w:t>TYPE YOUR TEXT HERE</w:t>
      </w:r>
    </w:p>
    <w:permEnd w:id="14"/>
    <w:p w:rsidR="009A2624" w:rsidRDefault="009A2624" w:rsidP="009A2624">
      <w:r>
        <w:t>&lt;ESMA_QUESTION_DP_BMR_14&gt;</w:t>
      </w:r>
    </w:p>
    <w:p w:rsidR="009A2624" w:rsidRDefault="009A2624" w:rsidP="009A2624"/>
    <w:p w:rsidR="009A2624" w:rsidRPr="007F44BF" w:rsidRDefault="009A2624" w:rsidP="002342EC">
      <w:pPr>
        <w:pStyle w:val="Questionstyle"/>
      </w:pPr>
      <w:r w:rsidRPr="007F44BF">
        <w:lastRenderedPageBreak/>
        <w:t>Do you support the proposed positioning of the oversight function of an administrator? If not, please explain your reasons why this positioning may not be appropriate.</w:t>
      </w:r>
    </w:p>
    <w:p w:rsidR="009A2624" w:rsidRDefault="009A2624" w:rsidP="009A2624">
      <w:r>
        <w:t>&lt;ESMA_QUESTION_DP_BMR_15&gt;</w:t>
      </w:r>
    </w:p>
    <w:p w:rsidR="009A2624" w:rsidRDefault="009A2624" w:rsidP="009A2624">
      <w:permStart w:id="15" w:edGrp="everyone"/>
      <w:r>
        <w:t>TYPE YOUR TEXT HERE</w:t>
      </w:r>
    </w:p>
    <w:permEnd w:id="15"/>
    <w:p w:rsidR="009A2624" w:rsidRDefault="009A2624" w:rsidP="009A2624">
      <w:r>
        <w:t>&lt;ESMA_QUESTION_DP_BMR_15&gt;</w:t>
      </w:r>
    </w:p>
    <w:p w:rsidR="009A2624" w:rsidRDefault="009A2624" w:rsidP="009A2624"/>
    <w:p w:rsidR="009A2624" w:rsidRPr="007F44BF" w:rsidRDefault="009A2624" w:rsidP="002342EC">
      <w:pPr>
        <w:pStyle w:val="Questionstyle"/>
      </w:pPr>
      <w:r w:rsidRPr="007F44BF">
        <w:t>Do you have any additional comments with regard to the procedures for the oversight function as well as the composition and positioning of the oversight function within an administrator’s organ</w:t>
      </w:r>
      <w:r w:rsidRPr="007F44BF">
        <w:t>i</w:t>
      </w:r>
      <w:r w:rsidRPr="007F44BF">
        <w:t>sation?</w:t>
      </w:r>
    </w:p>
    <w:p w:rsidR="009A2624" w:rsidRDefault="009A2624" w:rsidP="009A2624">
      <w:r>
        <w:t>&lt;ESMA_QUESTION_DP_BMR_16&gt;</w:t>
      </w:r>
    </w:p>
    <w:p w:rsidR="009A2624" w:rsidRDefault="009A2624" w:rsidP="009A2624">
      <w:permStart w:id="16" w:edGrp="everyone"/>
      <w:r>
        <w:t>TYPE YOUR TEXT HERE</w:t>
      </w:r>
    </w:p>
    <w:permEnd w:id="16"/>
    <w:p w:rsidR="009A2624" w:rsidRDefault="009A2624" w:rsidP="009A2624">
      <w:r>
        <w:t>&lt;ESMA_QUESTION_DP_BMR_16&gt;</w:t>
      </w:r>
    </w:p>
    <w:p w:rsidR="009A2624" w:rsidRDefault="009A2624" w:rsidP="009A2624"/>
    <w:p w:rsidR="009A2624" w:rsidRPr="007F44BF" w:rsidRDefault="009A2624" w:rsidP="002342EC">
      <w:pPr>
        <w:pStyle w:val="Questionstyle"/>
      </w:pPr>
      <w:r w:rsidRPr="007F44BF">
        <w:t>Do you agree with the proposed list of elements of procedures required for all oversight fun</w:t>
      </w:r>
      <w:r w:rsidRPr="007F44BF">
        <w:t>c</w:t>
      </w:r>
      <w:r w:rsidRPr="007F44BF">
        <w:t>tions? Should different procedures be employed for different types of benchmarks?</w:t>
      </w:r>
    </w:p>
    <w:p w:rsidR="009A2624" w:rsidRDefault="009A2624" w:rsidP="009A2624">
      <w:r>
        <w:t>&lt;ESMA_QUESTION_DP_BMR_17&gt;</w:t>
      </w:r>
    </w:p>
    <w:p w:rsidR="009A2624" w:rsidRDefault="009A2624" w:rsidP="009A2624">
      <w:permStart w:id="17" w:edGrp="everyone"/>
      <w:r>
        <w:t>TYPE YOUR TEXT HERE</w:t>
      </w:r>
    </w:p>
    <w:permEnd w:id="17"/>
    <w:p w:rsidR="009A2624" w:rsidRDefault="009A2624" w:rsidP="009A2624">
      <w:r>
        <w:t>&lt;ESMA_QUESTION_DP_BMR_17&gt;</w:t>
      </w:r>
    </w:p>
    <w:p w:rsidR="009A2624" w:rsidRDefault="009A2624" w:rsidP="009A2624"/>
    <w:p w:rsidR="009A2624" w:rsidRPr="007F44BF" w:rsidRDefault="009A2624" w:rsidP="002342EC">
      <w:pPr>
        <w:pStyle w:val="Questionstyle"/>
      </w:pPr>
      <w:r w:rsidRPr="007F44BF">
        <w:t>Do you agree with the proposed treatment of conflicts of interest arising from the composition of an oversight function? Have you identified any additional conflicts which ESMA should consider in drafting the RTS?</w:t>
      </w:r>
    </w:p>
    <w:p w:rsidR="009A2624" w:rsidRDefault="009A2624" w:rsidP="009A2624">
      <w:r>
        <w:t>&lt;ESMA_QUESTION_DP_BMR_18&gt;</w:t>
      </w:r>
    </w:p>
    <w:p w:rsidR="009A2624" w:rsidRDefault="009A2624" w:rsidP="009A2624">
      <w:permStart w:id="18" w:edGrp="everyone"/>
      <w:r>
        <w:t>TYPE YOUR TEXT HERE</w:t>
      </w:r>
    </w:p>
    <w:permEnd w:id="18"/>
    <w:p w:rsidR="009A2624" w:rsidRDefault="009A2624" w:rsidP="009A2624">
      <w:r>
        <w:t>&lt;ESMA_QUESTION_DP_BMR_18&gt;</w:t>
      </w:r>
    </w:p>
    <w:p w:rsidR="009A2624" w:rsidRDefault="009A2624" w:rsidP="009A2624"/>
    <w:p w:rsidR="009A2624" w:rsidRPr="007F44BF" w:rsidRDefault="009A2624" w:rsidP="002342EC">
      <w:pPr>
        <w:pStyle w:val="Questionstyle"/>
      </w:pPr>
      <w:r w:rsidRPr="007F44BF">
        <w:t>Do you agree with the list of records to be kept by the administrator for input data verific</w:t>
      </w:r>
      <w:r w:rsidRPr="007F44BF">
        <w:t>a</w:t>
      </w:r>
      <w:r w:rsidRPr="007F44BF">
        <w:t>tion? If not, please specify which information is superfluous / which additional information is needed and why.</w:t>
      </w:r>
    </w:p>
    <w:p w:rsidR="009A2624" w:rsidRDefault="009A2624" w:rsidP="009A2624">
      <w:r>
        <w:t>&lt;ESMA_QUESTION_DP_BMR_19&gt;</w:t>
      </w:r>
    </w:p>
    <w:p w:rsidR="006A7C1A" w:rsidRDefault="006A7C1A" w:rsidP="006A7C1A">
      <w:pPr>
        <w:jc w:val="both"/>
        <w:rPr>
          <w:rFonts w:cs="Arial"/>
          <w:sz w:val="24"/>
          <w:lang w:val="en-US"/>
        </w:rPr>
      </w:pPr>
      <w:permStart w:id="19" w:edGrp="everyone"/>
      <w:r>
        <w:rPr>
          <w:rFonts w:cs="Arial"/>
          <w:sz w:val="24"/>
          <w:lang w:val="en-US"/>
        </w:rPr>
        <w:t>•</w:t>
      </w:r>
      <w:r w:rsidRPr="006A7C1A">
        <w:rPr>
          <w:rFonts w:cs="Arial"/>
          <w:sz w:val="24"/>
          <w:lang w:val="en-US"/>
        </w:rPr>
        <w:t xml:space="preserve">In case of non-transaction data, which data were used, along with underlying variables, criteria, and </w:t>
      </w:r>
      <w:proofErr w:type="gramStart"/>
      <w:r w:rsidRPr="006A7C1A">
        <w:rPr>
          <w:rFonts w:cs="Arial"/>
          <w:sz w:val="24"/>
          <w:lang w:val="en-US"/>
        </w:rPr>
        <w:t>assumptions.</w:t>
      </w:r>
      <w:proofErr w:type="gramEnd"/>
      <w:r w:rsidRPr="006A7C1A">
        <w:rPr>
          <w:rFonts w:cs="Arial"/>
          <w:sz w:val="24"/>
          <w:lang w:val="en-US"/>
        </w:rPr>
        <w:t xml:space="preserve"> </w:t>
      </w:r>
    </w:p>
    <w:p w:rsidR="006A7C1A" w:rsidRPr="006A7C1A" w:rsidRDefault="006A7C1A" w:rsidP="006A7C1A">
      <w:pPr>
        <w:jc w:val="both"/>
        <w:rPr>
          <w:rFonts w:cs="Arial"/>
          <w:sz w:val="24"/>
          <w:lang w:val="en-US"/>
        </w:rPr>
      </w:pPr>
    </w:p>
    <w:p w:rsidR="009A2624" w:rsidRDefault="006A7C1A" w:rsidP="006A7C1A">
      <w:pPr>
        <w:jc w:val="both"/>
        <w:rPr>
          <w:rFonts w:cs="Arial"/>
          <w:sz w:val="24"/>
          <w:lang w:val="en-US"/>
        </w:rPr>
      </w:pPr>
      <w:r w:rsidRPr="006A7C1A">
        <w:rPr>
          <w:rFonts w:cs="Arial"/>
          <w:sz w:val="24"/>
          <w:lang w:val="en-US"/>
        </w:rPr>
        <w:t>Non-transaction data taken for contribution are difficult to enclose, as in many cases are subjective interpretation of many data.</w:t>
      </w:r>
    </w:p>
    <w:p w:rsidR="00C46D61" w:rsidRDefault="00C46D61" w:rsidP="006A7C1A">
      <w:pPr>
        <w:jc w:val="both"/>
        <w:rPr>
          <w:rFonts w:cs="Arial"/>
          <w:sz w:val="24"/>
          <w:lang w:val="en-US"/>
        </w:rPr>
      </w:pPr>
    </w:p>
    <w:p w:rsidR="00C560F5" w:rsidRPr="00C560F5" w:rsidRDefault="00C560F5" w:rsidP="00C560F5">
      <w:pPr>
        <w:spacing w:before="100" w:beforeAutospacing="1" w:after="100" w:afterAutospacing="1"/>
        <w:jc w:val="both"/>
        <w:rPr>
          <w:rFonts w:cs="Arial"/>
          <w:sz w:val="24"/>
          <w:lang w:val="en-US"/>
        </w:rPr>
      </w:pPr>
      <w:r w:rsidRPr="00C560F5">
        <w:rPr>
          <w:rFonts w:cs="Arial"/>
          <w:sz w:val="24"/>
          <w:lang w:val="en-US"/>
        </w:rPr>
        <w:t>Apart from point 1; 2, 6 &amp; 8 we see this request as too burdensome both to the admini</w:t>
      </w:r>
      <w:r w:rsidRPr="00C560F5">
        <w:rPr>
          <w:rFonts w:cs="Arial"/>
          <w:sz w:val="24"/>
          <w:lang w:val="en-US"/>
        </w:rPr>
        <w:t>s</w:t>
      </w:r>
      <w:r w:rsidRPr="00C560F5">
        <w:rPr>
          <w:rFonts w:cs="Arial"/>
          <w:sz w:val="24"/>
          <w:lang w:val="en-US"/>
        </w:rPr>
        <w:t xml:space="preserve">trator and the contributor, as the data may be too big to be transfer </w:t>
      </w:r>
    </w:p>
    <w:p w:rsidR="00C560F5" w:rsidRPr="00C560F5" w:rsidRDefault="00C560F5" w:rsidP="00C560F5">
      <w:pPr>
        <w:spacing w:before="100" w:beforeAutospacing="1" w:after="100" w:afterAutospacing="1"/>
        <w:jc w:val="both"/>
        <w:rPr>
          <w:rFonts w:cs="Arial"/>
          <w:sz w:val="24"/>
          <w:lang w:val="en-US"/>
        </w:rPr>
      </w:pPr>
      <w:r w:rsidRPr="00C560F5">
        <w:rPr>
          <w:rFonts w:cs="Arial"/>
          <w:sz w:val="24"/>
          <w:lang w:val="en-US"/>
        </w:rPr>
        <w:t>We see more sensible to force, using the code of conduct, this information to be kept, available by request, by the contributor.</w:t>
      </w:r>
    </w:p>
    <w:p w:rsidR="00C560F5" w:rsidRPr="00C560F5" w:rsidRDefault="00C560F5" w:rsidP="00C560F5">
      <w:pPr>
        <w:spacing w:before="100" w:beforeAutospacing="1" w:after="100" w:afterAutospacing="1"/>
        <w:jc w:val="both"/>
        <w:rPr>
          <w:rFonts w:cs="Arial"/>
          <w:sz w:val="24"/>
          <w:lang w:val="en-US"/>
        </w:rPr>
      </w:pPr>
      <w:r w:rsidRPr="00C560F5">
        <w:rPr>
          <w:rFonts w:cs="Arial"/>
          <w:sz w:val="24"/>
          <w:lang w:val="en-US"/>
        </w:rPr>
        <w:lastRenderedPageBreak/>
        <w:t>The code of conduct should also force both by the contributors’ control units and the internal and external audit to verify and certify that that information already exists and is available.</w:t>
      </w:r>
    </w:p>
    <w:p w:rsidR="00C46D61" w:rsidRPr="006A7C1A" w:rsidRDefault="004A2C11" w:rsidP="00C560F5">
      <w:pPr>
        <w:spacing w:before="100" w:beforeAutospacing="1" w:after="100" w:afterAutospacing="1"/>
        <w:jc w:val="both"/>
        <w:rPr>
          <w:rFonts w:cs="Arial"/>
          <w:sz w:val="24"/>
          <w:lang w:val="en-US"/>
        </w:rPr>
      </w:pPr>
      <w:r w:rsidRPr="00C560F5">
        <w:rPr>
          <w:rFonts w:cs="Arial"/>
          <w:sz w:val="24"/>
          <w:lang w:val="en-US"/>
        </w:rPr>
        <w:t>Additionally</w:t>
      </w:r>
      <w:r w:rsidR="00C560F5" w:rsidRPr="00C560F5">
        <w:rPr>
          <w:rFonts w:cs="Arial"/>
          <w:sz w:val="24"/>
          <w:lang w:val="en-US"/>
        </w:rPr>
        <w:t>, and in the case of point 4 we understand that</w:t>
      </w:r>
      <w:r>
        <w:rPr>
          <w:rFonts w:cs="Arial"/>
          <w:sz w:val="24"/>
          <w:lang w:val="en-US"/>
        </w:rPr>
        <w:t xml:space="preserve"> </w:t>
      </w:r>
      <w:bookmarkStart w:id="3" w:name="_GoBack"/>
      <w:bookmarkEnd w:id="3"/>
      <w:r w:rsidR="00C560F5" w:rsidRPr="00C560F5">
        <w:rPr>
          <w:rFonts w:cs="Arial"/>
          <w:sz w:val="24"/>
          <w:lang w:val="en-US"/>
        </w:rPr>
        <w:t>Non-transaction data taken for contribution are difficult to enclose, as in many cases are subjective interpretation of many data.</w:t>
      </w:r>
    </w:p>
    <w:permEnd w:id="19"/>
    <w:p w:rsidR="009A2624" w:rsidRDefault="009A2624" w:rsidP="009A2624">
      <w:r>
        <w:t>&lt;ESMA_QUESTION_DP_BMR_19&gt;</w:t>
      </w:r>
    </w:p>
    <w:p w:rsidR="009A2624" w:rsidRDefault="009A2624" w:rsidP="009A2624"/>
    <w:p w:rsidR="009A2624" w:rsidRPr="007F44BF" w:rsidRDefault="009A2624" w:rsidP="002342EC">
      <w:pPr>
        <w:pStyle w:val="Questionstyle"/>
      </w:pPr>
      <w:r w:rsidRPr="007F44BF">
        <w:t>Do you agree that, for the information to be transmitted to the administrator in view of ensu</w:t>
      </w:r>
      <w:r w:rsidRPr="007F44BF">
        <w:t>r</w:t>
      </w:r>
      <w:r w:rsidRPr="007F44BF">
        <w:t>ing the verifiability of input data, weekly transmission is sufficient? Would you instead consider it appropriate to leave the frequency of transmission to be defined by the administrator (i.e. in the code of conduct)?</w:t>
      </w:r>
    </w:p>
    <w:p w:rsidR="009A2624" w:rsidRDefault="009A2624" w:rsidP="009A2624">
      <w:r>
        <w:t>&lt;ESMA_QUESTION_DP_BMR_20&gt;</w:t>
      </w:r>
    </w:p>
    <w:p w:rsidR="009A2624" w:rsidRPr="006A7C1A" w:rsidRDefault="006A7C1A" w:rsidP="009A2624">
      <w:pPr>
        <w:rPr>
          <w:rFonts w:cs="Arial"/>
          <w:sz w:val="24"/>
          <w:lang w:val="en-US"/>
        </w:rPr>
      </w:pPr>
      <w:permStart w:id="20" w:edGrp="everyone"/>
      <w:r w:rsidRPr="006A7C1A">
        <w:rPr>
          <w:rFonts w:cs="Arial"/>
          <w:sz w:val="24"/>
          <w:lang w:val="en-US"/>
        </w:rPr>
        <w:t>From our point of view it is not necessary a so exhaustive data transmission in such an often periodicity. It makes sense that the contributor entity record in an orderly way all the relevant information about contribution,  but in order to avoid overflow of information only should be send it to the administrator under a specific request, as well as be avail</w:t>
      </w:r>
      <w:r w:rsidRPr="006A7C1A">
        <w:rPr>
          <w:rFonts w:cs="Arial"/>
          <w:sz w:val="24"/>
          <w:lang w:val="en-US"/>
        </w:rPr>
        <w:t>a</w:t>
      </w:r>
      <w:r w:rsidRPr="006A7C1A">
        <w:rPr>
          <w:rFonts w:cs="Arial"/>
          <w:sz w:val="24"/>
          <w:lang w:val="en-US"/>
        </w:rPr>
        <w:t>ble to the independent review stipulated in the code of conduct</w:t>
      </w:r>
    </w:p>
    <w:permEnd w:id="20"/>
    <w:p w:rsidR="009A2624" w:rsidRDefault="009A2624" w:rsidP="009A2624">
      <w:r>
        <w:t>&lt;ESMA_QUESTION_DP_BMR_20&gt;</w:t>
      </w:r>
    </w:p>
    <w:p w:rsidR="009A2624" w:rsidRDefault="009A2624" w:rsidP="009A2624"/>
    <w:p w:rsidR="009A2624" w:rsidRPr="007F44BF" w:rsidRDefault="009A2624" w:rsidP="002342EC">
      <w:pPr>
        <w:pStyle w:val="Questionstyle"/>
      </w:pPr>
      <w:r w:rsidRPr="007F44BF">
        <w:t>Do you agree with the concept of appropriateness as elaborated in this section?</w:t>
      </w:r>
    </w:p>
    <w:p w:rsidR="009A2624" w:rsidRDefault="009A2624" w:rsidP="009A2624">
      <w:r>
        <w:t>&lt;ESMA_QUESTION_DP_BMR_21&gt;</w:t>
      </w:r>
    </w:p>
    <w:p w:rsidR="009A2624" w:rsidRPr="00C560F5" w:rsidRDefault="00C560F5" w:rsidP="009A2624">
      <w:pPr>
        <w:rPr>
          <w:rFonts w:cs="Arial"/>
          <w:sz w:val="24"/>
          <w:lang w:val="en-US"/>
        </w:rPr>
      </w:pPr>
      <w:permStart w:id="21" w:edGrp="everyone"/>
      <w:r w:rsidRPr="00C560F5">
        <w:rPr>
          <w:rFonts w:cs="Arial"/>
          <w:sz w:val="24"/>
          <w:lang w:val="en-US"/>
        </w:rPr>
        <w:t>We found difficult to define how to assess appropriateness for non-transaction data and expert judgment</w:t>
      </w:r>
    </w:p>
    <w:permEnd w:id="21"/>
    <w:p w:rsidR="009A2624" w:rsidRDefault="009A2624" w:rsidP="009A2624">
      <w:r>
        <w:t>&lt;ESMA_QUESTION_DP_BMR_21&gt;</w:t>
      </w:r>
    </w:p>
    <w:p w:rsidR="009A2624" w:rsidRDefault="009A2624" w:rsidP="009A2624"/>
    <w:p w:rsidR="009A2624" w:rsidRPr="007F44BF" w:rsidRDefault="009A2624" w:rsidP="002342EC">
      <w:pPr>
        <w:pStyle w:val="Questionstyle"/>
      </w:pPr>
      <w:r w:rsidRPr="007F44BF">
        <w:t>Do you see any other checks an administrator could use to verify the appropriateness of input data?</w:t>
      </w:r>
    </w:p>
    <w:p w:rsidR="009A2624" w:rsidRDefault="009A2624" w:rsidP="009A2624">
      <w:r>
        <w:t>&lt;ESMA_QUESTION_DP_BMR_22&gt;</w:t>
      </w:r>
    </w:p>
    <w:p w:rsidR="009A2624" w:rsidRPr="00C560F5" w:rsidRDefault="00C560F5" w:rsidP="009A2624">
      <w:pPr>
        <w:rPr>
          <w:rFonts w:cs="Arial"/>
          <w:sz w:val="24"/>
          <w:lang w:val="en-US"/>
        </w:rPr>
      </w:pPr>
      <w:permStart w:id="22" w:edGrp="everyone"/>
      <w:r w:rsidRPr="00C560F5">
        <w:rPr>
          <w:rFonts w:cs="Arial"/>
          <w:sz w:val="24"/>
          <w:lang w:val="en-US"/>
        </w:rPr>
        <w:t>Checks between inputs used by contributors that came out with quite different contrib</w:t>
      </w:r>
      <w:r w:rsidRPr="00C560F5">
        <w:rPr>
          <w:rFonts w:cs="Arial"/>
          <w:sz w:val="24"/>
          <w:lang w:val="en-US"/>
        </w:rPr>
        <w:t>u</w:t>
      </w:r>
      <w:r w:rsidRPr="00C560F5">
        <w:rPr>
          <w:rFonts w:cs="Arial"/>
          <w:sz w:val="24"/>
          <w:lang w:val="en-US"/>
        </w:rPr>
        <w:t>tions</w:t>
      </w:r>
    </w:p>
    <w:permEnd w:id="22"/>
    <w:p w:rsidR="009A2624" w:rsidRDefault="009A2624" w:rsidP="009A2624">
      <w:r>
        <w:t>&lt;ESMA_QUESTION_DP_BMR_22&gt;</w:t>
      </w:r>
    </w:p>
    <w:p w:rsidR="009A2624" w:rsidRDefault="009A2624" w:rsidP="009A2624"/>
    <w:p w:rsidR="009A2624" w:rsidRPr="007F44BF" w:rsidRDefault="009A2624" w:rsidP="002342EC">
      <w:pPr>
        <w:pStyle w:val="Questionstyle"/>
      </w:pPr>
      <w:r w:rsidRPr="007F44BF">
        <w:t>Would you consider it useful that the administrator maintains records of the analyses pe</w:t>
      </w:r>
      <w:r w:rsidRPr="007F44BF">
        <w:t>r</w:t>
      </w:r>
      <w:r w:rsidRPr="007F44BF">
        <w:t>formed to evaluate the appropriateness of input data?</w:t>
      </w:r>
    </w:p>
    <w:p w:rsidR="009A2624" w:rsidRDefault="009A2624" w:rsidP="009A2624">
      <w:r>
        <w:t>&lt;ESMA_QUESTION_DP_BMR_23&gt;</w:t>
      </w:r>
    </w:p>
    <w:p w:rsidR="009A2624" w:rsidRPr="00C46D61" w:rsidRDefault="00C46D61" w:rsidP="009A2624">
      <w:pPr>
        <w:rPr>
          <w:rFonts w:cs="Arial"/>
          <w:sz w:val="24"/>
          <w:lang w:val="en-US"/>
        </w:rPr>
      </w:pPr>
      <w:permStart w:id="23" w:edGrp="everyone"/>
      <w:r w:rsidRPr="00C46D61">
        <w:rPr>
          <w:rFonts w:cs="Arial"/>
          <w:sz w:val="24"/>
          <w:lang w:val="en-US"/>
        </w:rPr>
        <w:t>It would be useful, but it must be taken into account that in some circumstances is quite difficult to specify and record data used to reach an output based on subjective analysis, as it happened on the use of expert judgment.</w:t>
      </w:r>
    </w:p>
    <w:permEnd w:id="23"/>
    <w:p w:rsidR="009A2624" w:rsidRDefault="009A2624" w:rsidP="009A2624">
      <w:r>
        <w:t>&lt;ESMA_QUESTION_DP_BMR_23&gt;</w:t>
      </w:r>
    </w:p>
    <w:p w:rsidR="009A2624" w:rsidRDefault="009A2624" w:rsidP="009A2624"/>
    <w:p w:rsidR="009A2624" w:rsidRPr="007F44BF" w:rsidRDefault="009A2624" w:rsidP="002342EC">
      <w:pPr>
        <w:pStyle w:val="Questionstyle"/>
      </w:pPr>
      <w:r w:rsidRPr="007F44BF">
        <w:t>Do you see other possible measures to ensure verifiability of input data?</w:t>
      </w:r>
    </w:p>
    <w:p w:rsidR="009A2624" w:rsidRDefault="009A2624" w:rsidP="009A2624">
      <w:r>
        <w:lastRenderedPageBreak/>
        <w:t>&lt;ESMA_QUESTION_DP_BMR_24&gt;</w:t>
      </w:r>
    </w:p>
    <w:p w:rsidR="009A2624" w:rsidRDefault="009A2624" w:rsidP="009A2624">
      <w:permStart w:id="24" w:edGrp="everyone"/>
      <w:r>
        <w:t>TYPE YOUR TEXT HERE</w:t>
      </w:r>
    </w:p>
    <w:permEnd w:id="24"/>
    <w:p w:rsidR="009A2624" w:rsidRDefault="009A2624" w:rsidP="009A2624">
      <w:r>
        <w:t>&lt;ESMA_QUESTION_DP_BMR_24&gt;</w:t>
      </w:r>
    </w:p>
    <w:p w:rsidR="009A2624" w:rsidRDefault="009A2624" w:rsidP="009A2624"/>
    <w:p w:rsidR="009A2624" w:rsidRPr="007F44BF" w:rsidRDefault="009A2624" w:rsidP="002342EC">
      <w:pPr>
        <w:pStyle w:val="Questionstyle"/>
      </w:pPr>
      <w:r w:rsidRPr="007F44BF">
        <w:t>Do you agree with the identification of the concepts and underpinning activities of evaluation, validation and verifiability, as used in this section?</w:t>
      </w:r>
    </w:p>
    <w:p w:rsidR="009A2624" w:rsidRDefault="009A2624" w:rsidP="009A2624">
      <w:r>
        <w:t>&lt;ESMA_QUESTION_DP_BMR_25&gt;</w:t>
      </w:r>
    </w:p>
    <w:p w:rsidR="009A2624" w:rsidRDefault="009A2624" w:rsidP="009A2624">
      <w:permStart w:id="25" w:edGrp="everyone"/>
      <w:r>
        <w:t>TYPE YOUR TEXT HERE</w:t>
      </w:r>
    </w:p>
    <w:permEnd w:id="25"/>
    <w:p w:rsidR="009A2624" w:rsidRDefault="009A2624" w:rsidP="009A2624">
      <w:r>
        <w:t>&lt;ESMA_QUESTION_DP_BMR_25&gt;</w:t>
      </w:r>
    </w:p>
    <w:p w:rsidR="009A2624" w:rsidRDefault="009A2624" w:rsidP="009A2624"/>
    <w:p w:rsidR="009A2624" w:rsidRPr="007F44BF" w:rsidRDefault="009A2624" w:rsidP="002342EC">
      <w:pPr>
        <w:pStyle w:val="Questionstyle"/>
      </w:pPr>
      <w:r w:rsidRPr="007F44BF">
        <w:t>Do you agree that all staff involved in input data submission should undergo training, but that such training should be more elaborate / should be repeated more frequently where it concerns front office staff contributing to benchmarks?</w:t>
      </w:r>
    </w:p>
    <w:p w:rsidR="009A2624" w:rsidRDefault="009A2624" w:rsidP="009A2624">
      <w:r>
        <w:t>&lt;ESMA_QUESTION_DP_BMR_26&gt;</w:t>
      </w:r>
    </w:p>
    <w:p w:rsidR="009A2624" w:rsidRPr="00C46D61" w:rsidRDefault="00C46D61" w:rsidP="009A2624">
      <w:pPr>
        <w:rPr>
          <w:rFonts w:cs="Arial"/>
          <w:sz w:val="24"/>
          <w:lang w:val="en-US"/>
        </w:rPr>
      </w:pPr>
      <w:permStart w:id="26" w:edGrp="everyone"/>
      <w:r w:rsidRPr="00C46D61">
        <w:rPr>
          <w:rFonts w:cs="Arial"/>
          <w:sz w:val="24"/>
          <w:lang w:val="en-US"/>
        </w:rPr>
        <w:t>We agree with training for staff involved in input data submission. Once per year trai</w:t>
      </w:r>
      <w:r w:rsidRPr="00C46D61">
        <w:rPr>
          <w:rFonts w:cs="Arial"/>
          <w:sz w:val="24"/>
          <w:lang w:val="en-US"/>
        </w:rPr>
        <w:t>n</w:t>
      </w:r>
      <w:r w:rsidRPr="00C46D61">
        <w:rPr>
          <w:rFonts w:cs="Arial"/>
          <w:sz w:val="24"/>
          <w:lang w:val="en-US"/>
        </w:rPr>
        <w:t>ing, and when a person joins the procedure it should be enough frequency for this trai</w:t>
      </w:r>
      <w:r w:rsidRPr="00C46D61">
        <w:rPr>
          <w:rFonts w:cs="Arial"/>
          <w:sz w:val="24"/>
          <w:lang w:val="en-US"/>
        </w:rPr>
        <w:t>n</w:t>
      </w:r>
      <w:r w:rsidRPr="00C46D61">
        <w:rPr>
          <w:rFonts w:cs="Arial"/>
          <w:sz w:val="24"/>
          <w:lang w:val="en-US"/>
        </w:rPr>
        <w:t>ing.</w:t>
      </w:r>
      <w:r w:rsidR="00C560F5" w:rsidRPr="00C560F5">
        <w:rPr>
          <w:lang w:val="en-US"/>
        </w:rPr>
        <w:t xml:space="preserve"> </w:t>
      </w:r>
      <w:r w:rsidR="00C560F5" w:rsidRPr="00C560F5">
        <w:rPr>
          <w:rFonts w:cs="Arial"/>
          <w:sz w:val="24"/>
          <w:lang w:val="en-US"/>
        </w:rPr>
        <w:t>We do not understand front office training should be different in content o frequency</w:t>
      </w:r>
    </w:p>
    <w:permEnd w:id="26"/>
    <w:p w:rsidR="009A2624" w:rsidRDefault="009A2624" w:rsidP="009A2624">
      <w:r>
        <w:t>&lt;ESMA_QUESTION_DP_BMR_26&gt;</w:t>
      </w:r>
    </w:p>
    <w:p w:rsidR="009A2624" w:rsidRDefault="009A2624" w:rsidP="009A2624"/>
    <w:p w:rsidR="009A2624" w:rsidRPr="007F44BF" w:rsidRDefault="009A2624" w:rsidP="002342EC">
      <w:pPr>
        <w:pStyle w:val="Questionstyle"/>
      </w:pPr>
      <w:r w:rsidRPr="007F44BF">
        <w:t>Do you agree to the three lines of defence-principle as an ideal type of internal oversight architecture?</w:t>
      </w:r>
    </w:p>
    <w:p w:rsidR="009A2624" w:rsidRDefault="009A2624" w:rsidP="009A2624">
      <w:r>
        <w:t>&lt;ESMA_QUESTION_DP_BMR_27&gt;</w:t>
      </w:r>
    </w:p>
    <w:p w:rsidR="009A2624" w:rsidRDefault="009A2624" w:rsidP="009A2624">
      <w:permStart w:id="27" w:edGrp="everyone"/>
      <w:r>
        <w:t>TYPE YOUR TEXT HERE</w:t>
      </w:r>
    </w:p>
    <w:permEnd w:id="27"/>
    <w:p w:rsidR="009A2624" w:rsidRDefault="009A2624" w:rsidP="009A2624">
      <w:r>
        <w:t>&lt;ESMA_QUESTION_DP_BMR_27&gt;</w:t>
      </w:r>
    </w:p>
    <w:p w:rsidR="009A2624" w:rsidRDefault="009A2624" w:rsidP="009A2624"/>
    <w:p w:rsidR="009A2624" w:rsidRPr="007F44BF" w:rsidRDefault="009A2624" w:rsidP="002342EC">
      <w:pPr>
        <w:pStyle w:val="Questionstyle"/>
      </w:pPr>
      <w:r w:rsidRPr="007F44BF">
        <w:t>Do you identify other elements that could improve oversight at contributor level?</w:t>
      </w:r>
    </w:p>
    <w:p w:rsidR="009A2624" w:rsidRDefault="009A2624" w:rsidP="009A2624">
      <w:r>
        <w:t>&lt;ESMA_QUESTION_DP_BMR_28&gt;</w:t>
      </w:r>
    </w:p>
    <w:p w:rsidR="009A2624" w:rsidRDefault="009A2624" w:rsidP="009A2624">
      <w:permStart w:id="28" w:edGrp="everyone"/>
      <w:r>
        <w:t>TYPE YOUR TEXT HERE</w:t>
      </w:r>
    </w:p>
    <w:permEnd w:id="28"/>
    <w:p w:rsidR="009A2624" w:rsidRDefault="009A2624" w:rsidP="009A2624">
      <w:r>
        <w:t>&lt;ESMA_QUESTION_DP_BMR_28&gt;</w:t>
      </w:r>
    </w:p>
    <w:p w:rsidR="009A2624" w:rsidRDefault="009A2624" w:rsidP="009A2624"/>
    <w:p w:rsidR="009A2624" w:rsidRPr="007F44BF" w:rsidRDefault="009A2624" w:rsidP="002342EC">
      <w:pPr>
        <w:pStyle w:val="Questionstyle"/>
      </w:pPr>
      <w:r w:rsidRPr="007F44BF">
        <w:t>Do you agree with the list of elements contained in a conflict of interest policy? If not, please state which elements should be added / which elements you consider superfluous and why.</w:t>
      </w:r>
    </w:p>
    <w:p w:rsidR="009A2624" w:rsidRDefault="009A2624" w:rsidP="009A2624">
      <w:r>
        <w:t>&lt;ESMA_QUESTION_DP_BMR_29&gt;</w:t>
      </w:r>
    </w:p>
    <w:p w:rsidR="009A2624" w:rsidRDefault="009A2624" w:rsidP="009A2624">
      <w:permStart w:id="29" w:edGrp="everyone"/>
      <w:r>
        <w:t>TYPE YOUR TEXT HERE</w:t>
      </w:r>
    </w:p>
    <w:permEnd w:id="29"/>
    <w:p w:rsidR="009A2624" w:rsidRDefault="009A2624" w:rsidP="009A2624">
      <w:r>
        <w:t>&lt;ESMA_QUESTION_DP_BMR_29&gt;</w:t>
      </w:r>
    </w:p>
    <w:p w:rsidR="009A2624" w:rsidRDefault="009A2624" w:rsidP="009A2624"/>
    <w:p w:rsidR="009A2624" w:rsidRPr="007F44BF" w:rsidRDefault="009A2624" w:rsidP="002342EC">
      <w:pPr>
        <w:pStyle w:val="Questionstyle"/>
      </w:pPr>
      <w:r w:rsidRPr="007F44BF">
        <w:t>Do you agree that where expert judgement is relied on and/or discretion is used additional appropriate measures to ensure verifiability of input data should be imposed? If not, please specify examples and reasons why you disagree.</w:t>
      </w:r>
    </w:p>
    <w:p w:rsidR="009A2624" w:rsidRDefault="009A2624" w:rsidP="009A2624">
      <w:r>
        <w:t>&lt;ESMA_QUESTION_DP_BMR_30&gt;</w:t>
      </w:r>
    </w:p>
    <w:p w:rsidR="009A2624" w:rsidRPr="00C46D61" w:rsidRDefault="00C46D61" w:rsidP="009A2624">
      <w:pPr>
        <w:rPr>
          <w:rFonts w:cs="Arial"/>
          <w:sz w:val="24"/>
          <w:lang w:val="en-US"/>
        </w:rPr>
      </w:pPr>
      <w:permStart w:id="30" w:edGrp="everyone"/>
      <w:r w:rsidRPr="00C46D61">
        <w:rPr>
          <w:rFonts w:cs="Arial"/>
          <w:sz w:val="24"/>
          <w:lang w:val="en-US"/>
        </w:rPr>
        <w:t>We do agree, as long as those measures apply to the proportionality principle.</w:t>
      </w:r>
    </w:p>
    <w:permEnd w:id="30"/>
    <w:p w:rsidR="009A2624" w:rsidRDefault="009A2624" w:rsidP="009A2624">
      <w:r>
        <w:t>&lt;ESMA_QUESTION_DP_BMR_30&gt;</w:t>
      </w:r>
    </w:p>
    <w:p w:rsidR="009A2624" w:rsidRDefault="009A2624" w:rsidP="009A2624"/>
    <w:p w:rsidR="009A2624" w:rsidRPr="007F44BF" w:rsidRDefault="009A2624" w:rsidP="002342EC">
      <w:pPr>
        <w:pStyle w:val="Questionstyle"/>
      </w:pPr>
      <w:r w:rsidRPr="007F44BF">
        <w:t xml:space="preserve">Do you agree to the list of criteria that can justify differentiation? If not, please specify why you disagree. </w:t>
      </w:r>
    </w:p>
    <w:p w:rsidR="009A2624" w:rsidRDefault="009A2624" w:rsidP="009A2624">
      <w:r>
        <w:lastRenderedPageBreak/>
        <w:t>&lt;ESMA_QUESTION_DP_BMR_31&gt;</w:t>
      </w:r>
    </w:p>
    <w:p w:rsidR="009A2624" w:rsidRDefault="009A2624" w:rsidP="009A2624">
      <w:permStart w:id="31" w:edGrp="everyone"/>
      <w:r>
        <w:t>TYPE YOUR TEXT HERE</w:t>
      </w:r>
    </w:p>
    <w:permEnd w:id="31"/>
    <w:p w:rsidR="009A2624" w:rsidRDefault="009A2624" w:rsidP="009A2624">
      <w:r>
        <w:t>&lt;ESMA_QUESTION_DP_BMR_31&gt;</w:t>
      </w:r>
    </w:p>
    <w:p w:rsidR="009A2624" w:rsidRDefault="009A2624" w:rsidP="009A2624"/>
    <w:p w:rsidR="009A2624" w:rsidRPr="007F44BF" w:rsidRDefault="009A2624" w:rsidP="002342EC">
      <w:pPr>
        <w:pStyle w:val="Questionstyle"/>
      </w:pPr>
      <w:r w:rsidRPr="007F44BF">
        <w:t>Do you agree to the list of elements that are amenable to proportional implementation? If not, please specify why you disagree.</w:t>
      </w:r>
    </w:p>
    <w:p w:rsidR="009A2624" w:rsidRDefault="009A2624" w:rsidP="009A2624">
      <w:r>
        <w:t>&lt;ESMA_QUESTION_DP_BMR_32&gt;</w:t>
      </w:r>
    </w:p>
    <w:p w:rsidR="009A2624" w:rsidRDefault="009A2624" w:rsidP="009A2624">
      <w:permStart w:id="32" w:edGrp="everyone"/>
      <w:r>
        <w:t>TYPE YOUR TEXT HERE</w:t>
      </w:r>
    </w:p>
    <w:permEnd w:id="32"/>
    <w:p w:rsidR="009A2624" w:rsidRDefault="009A2624" w:rsidP="009A2624">
      <w:r>
        <w:t>&lt;ESMA_QUESTION_DP_BMR_32&gt;</w:t>
      </w:r>
    </w:p>
    <w:p w:rsidR="009A2624" w:rsidRDefault="009A2624" w:rsidP="009A2624"/>
    <w:p w:rsidR="009A2624" w:rsidRPr="007F44BF" w:rsidRDefault="009A2624" w:rsidP="002342EC">
      <w:pPr>
        <w:pStyle w:val="Questionstyle"/>
      </w:pPr>
      <w:r w:rsidRPr="007F44BF">
        <w:t>Do you agree to the list of elements that are not amenable to proportional implementation? If not, please specify why you disagree.</w:t>
      </w:r>
    </w:p>
    <w:p w:rsidR="009A2624" w:rsidRDefault="009A2624" w:rsidP="009A2624">
      <w:r>
        <w:t>&lt;ESMA_QUESTION_DP_BMR_33&gt;</w:t>
      </w:r>
    </w:p>
    <w:p w:rsidR="009A2624" w:rsidRDefault="009A2624" w:rsidP="009A2624">
      <w:permStart w:id="33" w:edGrp="everyone"/>
      <w:r>
        <w:t>TYPE YOUR TEXT HERE</w:t>
      </w:r>
    </w:p>
    <w:permEnd w:id="33"/>
    <w:p w:rsidR="009A2624" w:rsidRDefault="009A2624" w:rsidP="009A2624">
      <w:r>
        <w:t>&lt;ESMA_QUESTION_DP_BMR_33&gt;</w:t>
      </w:r>
    </w:p>
    <w:p w:rsidR="009A2624" w:rsidRDefault="009A2624" w:rsidP="009A2624"/>
    <w:p w:rsidR="009A2624" w:rsidRPr="007F44BF" w:rsidRDefault="009A2624" w:rsidP="002342EC">
      <w:pPr>
        <w:pStyle w:val="Questionstyle"/>
      </w:pPr>
      <w:r w:rsidRPr="007F44BF">
        <w:t>Do you consider the proposed list of key elements sufficiently granular “</w:t>
      </w:r>
      <w:r w:rsidRPr="007F44BF">
        <w:rPr>
          <w:i/>
        </w:rPr>
        <w:t>to allow users to understand how a benchmark is provided and to assess its representativeness, its relevance to partic</w:t>
      </w:r>
      <w:r w:rsidRPr="007F44BF">
        <w:rPr>
          <w:i/>
        </w:rPr>
        <w:t>u</w:t>
      </w:r>
      <w:r w:rsidRPr="007F44BF">
        <w:rPr>
          <w:i/>
        </w:rPr>
        <w:t>lar users and its appropriateness as a reference for financial instruments and contracts</w:t>
      </w:r>
      <w:r w:rsidRPr="007F44BF">
        <w:t>”?</w:t>
      </w:r>
    </w:p>
    <w:p w:rsidR="009A2624" w:rsidRDefault="009A2624" w:rsidP="009A2624">
      <w:r>
        <w:t>&lt;ESMA_QUESTION_DP_BMR_34&gt;</w:t>
      </w:r>
    </w:p>
    <w:p w:rsidR="009A2624" w:rsidRDefault="009A2624" w:rsidP="009A2624">
      <w:permStart w:id="34" w:edGrp="everyone"/>
      <w:r>
        <w:t>TYPE YOUR TEXT HERE</w:t>
      </w:r>
    </w:p>
    <w:permEnd w:id="34"/>
    <w:p w:rsidR="009A2624" w:rsidRDefault="009A2624" w:rsidP="009A2624">
      <w:r>
        <w:t>&lt;ESMA_QUESTION_DP_BMR_34&gt;</w:t>
      </w:r>
    </w:p>
    <w:p w:rsidR="009A2624" w:rsidRDefault="009A2624" w:rsidP="009A2624"/>
    <w:p w:rsidR="009A2624" w:rsidRPr="007F44BF" w:rsidRDefault="009A2624" w:rsidP="002342EC">
      <w:pPr>
        <w:pStyle w:val="Questionstyle"/>
      </w:pPr>
      <w:r w:rsidRPr="007F44BF">
        <w:t>Beyond the list of key elements, could you identify other elements of benchmark methodology that should be disclosed? If yes, please explain the reason why these elements should be disclosed.</w:t>
      </w:r>
    </w:p>
    <w:p w:rsidR="009A2624" w:rsidRDefault="009A2624" w:rsidP="009A2624">
      <w:r>
        <w:t>&lt;ESMA_QUESTION_DP_BMR_35&gt;</w:t>
      </w:r>
    </w:p>
    <w:p w:rsidR="009A2624" w:rsidRDefault="009A2624" w:rsidP="009A2624">
      <w:permStart w:id="35" w:edGrp="everyone"/>
      <w:r>
        <w:t>TYPE YOUR TEXT HERE</w:t>
      </w:r>
    </w:p>
    <w:permEnd w:id="35"/>
    <w:p w:rsidR="009A2624" w:rsidRDefault="009A2624" w:rsidP="009A2624">
      <w:r>
        <w:t>&lt;ESMA_QUESTION_DP_BMR_35&gt;</w:t>
      </w:r>
    </w:p>
    <w:p w:rsidR="009A2624" w:rsidRDefault="009A2624" w:rsidP="009A2624"/>
    <w:p w:rsidR="009A2624" w:rsidRPr="007F44BF" w:rsidRDefault="009A2624" w:rsidP="002342EC">
      <w:pPr>
        <w:pStyle w:val="Questionstyle"/>
      </w:pPr>
      <w:r w:rsidRPr="007F44BF">
        <w:t xml:space="preserve">Do you agree that the proposed key elements must be disclosed </w:t>
      </w:r>
      <w:r w:rsidRPr="007F44BF">
        <w:rPr>
          <w:i/>
        </w:rPr>
        <w:t>to the public</w:t>
      </w:r>
      <w:r w:rsidRPr="007F44BF">
        <w:t xml:space="preserve"> (linked to Article 3, para 1, subpara 1, point (a))? If not, please specify why not.</w:t>
      </w:r>
    </w:p>
    <w:p w:rsidR="009A2624" w:rsidRDefault="009A2624" w:rsidP="009A2624">
      <w:r>
        <w:t>&lt;ESMA_QUESTION_DP_BMR_36&gt;</w:t>
      </w:r>
    </w:p>
    <w:p w:rsidR="009A2624" w:rsidRDefault="009A2624" w:rsidP="009A2624">
      <w:permStart w:id="36" w:edGrp="everyone"/>
      <w:r>
        <w:t>TYPE YOUR TEXT HERE</w:t>
      </w:r>
    </w:p>
    <w:permEnd w:id="36"/>
    <w:p w:rsidR="009A2624" w:rsidRDefault="009A2624" w:rsidP="009A2624">
      <w:r>
        <w:t>&lt;ESMA_QUESTION_DP_BMR_36&gt;</w:t>
      </w:r>
    </w:p>
    <w:p w:rsidR="009A2624" w:rsidRDefault="009A2624" w:rsidP="009A2624"/>
    <w:p w:rsidR="009A2624" w:rsidRPr="007F44BF" w:rsidRDefault="009A2624" w:rsidP="002342EC">
      <w:pPr>
        <w:pStyle w:val="Questionstyle"/>
        <w:rPr>
          <w:noProof/>
        </w:rPr>
      </w:pPr>
      <w:r w:rsidRPr="007F44BF">
        <w:rPr>
          <w:noProof/>
        </w:rPr>
        <w:t>Do you agree with ESMA’s proposal about the information to be made public concerning the internal review of the methodology? Please suggest any other information you consider useful to disclose on the topic.</w:t>
      </w:r>
    </w:p>
    <w:p w:rsidR="009A2624" w:rsidRDefault="009A2624" w:rsidP="009A2624">
      <w:r>
        <w:t>&lt;ESMA_QUESTION_DP_BMR_37&gt;</w:t>
      </w:r>
    </w:p>
    <w:p w:rsidR="009A2624" w:rsidRDefault="009A2624" w:rsidP="009A2624">
      <w:permStart w:id="37" w:edGrp="everyone"/>
      <w:r>
        <w:t>TYPE YOUR TEXT HERE</w:t>
      </w:r>
    </w:p>
    <w:permEnd w:id="37"/>
    <w:p w:rsidR="009A2624" w:rsidRDefault="009A2624" w:rsidP="009A2624">
      <w:r>
        <w:t>&lt;ESMA_QUESTION_DP_BMR_37&gt;</w:t>
      </w:r>
    </w:p>
    <w:p w:rsidR="009A2624" w:rsidRDefault="009A2624" w:rsidP="009A2624"/>
    <w:p w:rsidR="009A2624" w:rsidRPr="007F44BF" w:rsidRDefault="009A2624" w:rsidP="002342EC">
      <w:pPr>
        <w:pStyle w:val="Questionstyle"/>
        <w:rPr>
          <w:noProof/>
        </w:rPr>
      </w:pPr>
      <w:r w:rsidRPr="007F44BF">
        <w:rPr>
          <w:noProof/>
        </w:rPr>
        <w:t>Do you agree with the above proposals to specify the information to be provided to benchmark users and, more in general, stakeholders regarding material changes in benchmark methodology?</w:t>
      </w:r>
    </w:p>
    <w:p w:rsidR="009A2624" w:rsidRDefault="009A2624" w:rsidP="009A2624">
      <w:r>
        <w:lastRenderedPageBreak/>
        <w:t>&lt;ESMA_QUESTION_DP_BMR_38&gt;</w:t>
      </w:r>
    </w:p>
    <w:p w:rsidR="00B6434B" w:rsidRPr="00B6434B" w:rsidRDefault="00B6434B" w:rsidP="00B6434B">
      <w:pPr>
        <w:jc w:val="both"/>
        <w:rPr>
          <w:rFonts w:cs="Arial"/>
          <w:sz w:val="24"/>
          <w:lang w:val="en-US"/>
        </w:rPr>
      </w:pPr>
      <w:permStart w:id="38" w:edGrp="everyone"/>
      <w:r w:rsidRPr="00B6434B">
        <w:rPr>
          <w:rFonts w:cs="Arial"/>
          <w:sz w:val="24"/>
          <w:lang w:val="en-US"/>
        </w:rPr>
        <w:t>We generally support ESMA’s proposals regarding procedures for material changes in the benchmark methodology, including stakeholder consultation. In particular, we appr</w:t>
      </w:r>
      <w:r w:rsidRPr="00B6434B">
        <w:rPr>
          <w:rFonts w:cs="Arial"/>
          <w:sz w:val="24"/>
          <w:lang w:val="en-US"/>
        </w:rPr>
        <w:t>e</w:t>
      </w:r>
      <w:r w:rsidRPr="00B6434B">
        <w:rPr>
          <w:rFonts w:cs="Arial"/>
          <w:sz w:val="24"/>
          <w:lang w:val="en-US"/>
        </w:rPr>
        <w:t xml:space="preserve">ciate that ESMA allows administrators to define material change and determine practical aspects of the consultation procedure at their discretion. </w:t>
      </w:r>
    </w:p>
    <w:p w:rsidR="00B6434B" w:rsidRPr="00B6434B" w:rsidRDefault="00B6434B" w:rsidP="00B6434B">
      <w:pPr>
        <w:jc w:val="both"/>
        <w:rPr>
          <w:rFonts w:cs="Arial"/>
          <w:sz w:val="24"/>
          <w:lang w:val="en-US"/>
        </w:rPr>
      </w:pPr>
    </w:p>
    <w:p w:rsidR="00B6434B" w:rsidRPr="00B6434B" w:rsidRDefault="00B6434B" w:rsidP="00B6434B">
      <w:pPr>
        <w:jc w:val="both"/>
        <w:rPr>
          <w:rFonts w:cs="Arial"/>
          <w:sz w:val="24"/>
          <w:lang w:val="en-US"/>
        </w:rPr>
      </w:pPr>
      <w:r w:rsidRPr="00B6434B">
        <w:rPr>
          <w:rFonts w:cs="Arial"/>
          <w:sz w:val="24"/>
          <w:lang w:val="en-US"/>
        </w:rPr>
        <w:t>Moreover, we generally agree with ESMA’s two requirements for the consultation proc</w:t>
      </w:r>
      <w:r w:rsidRPr="00B6434B">
        <w:rPr>
          <w:rFonts w:cs="Arial"/>
          <w:sz w:val="24"/>
          <w:lang w:val="en-US"/>
        </w:rPr>
        <w:t>e</w:t>
      </w:r>
      <w:r w:rsidRPr="00B6434B">
        <w:rPr>
          <w:rFonts w:cs="Arial"/>
          <w:sz w:val="24"/>
          <w:lang w:val="en-US"/>
        </w:rPr>
        <w:t>dure, but we raise the following two points for consideration. First, administrators must comply with the wishes of their national authority. If a national authority requests an immediate change, there may not be sufficient time for investors to take stock of chan</w:t>
      </w:r>
      <w:r w:rsidRPr="00B6434B">
        <w:rPr>
          <w:rFonts w:cs="Arial"/>
          <w:sz w:val="24"/>
          <w:lang w:val="en-US"/>
        </w:rPr>
        <w:t>g</w:t>
      </w:r>
      <w:r w:rsidRPr="00B6434B">
        <w:rPr>
          <w:rFonts w:cs="Arial"/>
          <w:sz w:val="24"/>
          <w:lang w:val="en-US"/>
        </w:rPr>
        <w:t>es and consider their future use of the benchmark. Second, while the stakeholder co</w:t>
      </w:r>
      <w:r w:rsidRPr="00B6434B">
        <w:rPr>
          <w:rFonts w:cs="Arial"/>
          <w:sz w:val="24"/>
          <w:lang w:val="en-US"/>
        </w:rPr>
        <w:t>n</w:t>
      </w:r>
      <w:r w:rsidRPr="00B6434B">
        <w:rPr>
          <w:rFonts w:cs="Arial"/>
          <w:sz w:val="24"/>
          <w:lang w:val="en-US"/>
        </w:rPr>
        <w:t>sultation is indeed important for critically important benchmarks, it may be difficult for less significant benchmarks and costly to conduct while not providing the intended ben</w:t>
      </w:r>
      <w:r w:rsidRPr="00B6434B">
        <w:rPr>
          <w:rFonts w:cs="Arial"/>
          <w:sz w:val="24"/>
          <w:lang w:val="en-US"/>
        </w:rPr>
        <w:t>e</w:t>
      </w:r>
      <w:r w:rsidRPr="00B6434B">
        <w:rPr>
          <w:rFonts w:cs="Arial"/>
          <w:sz w:val="24"/>
          <w:lang w:val="en-US"/>
        </w:rPr>
        <w:t>fits (for instance, regarding non-significant or regulated-data benchmarks). ESMA should not require administrators of smaller benchmarks to conduct consultation procedures for changes to its methodology, especially if the administrator has not deemed its changes to be material.</w:t>
      </w:r>
    </w:p>
    <w:permEnd w:id="38"/>
    <w:p w:rsidR="009A2624" w:rsidRDefault="009A2624" w:rsidP="009A2624">
      <w:r>
        <w:t>&lt;ESMA_QUESTION_DP_BMR_38&gt;</w:t>
      </w:r>
    </w:p>
    <w:p w:rsidR="009A2624" w:rsidRDefault="009A2624" w:rsidP="009A2624"/>
    <w:p w:rsidR="009A2624" w:rsidRPr="007F44BF" w:rsidRDefault="009A2624" w:rsidP="002342EC">
      <w:pPr>
        <w:pStyle w:val="Questionstyle"/>
        <w:rPr>
          <w:noProof/>
        </w:rPr>
      </w:pPr>
      <w:r w:rsidRPr="007F44BF">
        <w:rPr>
          <w:noProof/>
        </w:rPr>
        <w:t xml:space="preserve">Do you agree, in particular, on the opportunity that also the replies received in response to the consultation are made available to the public, where allowed by respondents? </w:t>
      </w:r>
    </w:p>
    <w:p w:rsidR="009A2624" w:rsidRDefault="009A2624" w:rsidP="009A2624">
      <w:r>
        <w:t>&lt;ESMA_QUESTION_DP_BMR_39&gt;</w:t>
      </w:r>
    </w:p>
    <w:p w:rsidR="009A2624" w:rsidRDefault="009A2624" w:rsidP="009A2624">
      <w:permStart w:id="39" w:edGrp="everyone"/>
      <w:r>
        <w:t>TYPE YOUR TEXT HERE</w:t>
      </w:r>
    </w:p>
    <w:permEnd w:id="39"/>
    <w:p w:rsidR="009A2624" w:rsidRDefault="009A2624" w:rsidP="009A2624">
      <w:r>
        <w:t>&lt;ESMA_QUESTION_DP_BMR_39&gt;</w:t>
      </w:r>
    </w:p>
    <w:p w:rsidR="009A2624" w:rsidRDefault="009A2624" w:rsidP="009A2624"/>
    <w:p w:rsidR="009A2624" w:rsidRPr="007F44BF" w:rsidRDefault="009A2624" w:rsidP="002342EC">
      <w:pPr>
        <w:pStyle w:val="Questionstyle"/>
      </w:pPr>
      <w:r w:rsidRPr="007F44BF">
        <w:t>Do you agree that the publication requirements for key elements of methodology apply r</w:t>
      </w:r>
      <w:r w:rsidRPr="007F44BF">
        <w:t>e</w:t>
      </w:r>
      <w:r w:rsidRPr="007F44BF">
        <w:t>gardless of benchmark type? If not, please state which type of benchmark would be exempt / which elements of methodology would be exempt and why.</w:t>
      </w:r>
    </w:p>
    <w:p w:rsidR="009A2624" w:rsidRDefault="009A2624" w:rsidP="009A2624">
      <w:r>
        <w:t>&lt;ESMA_QUESTION_DP_BMR_40&gt;</w:t>
      </w:r>
    </w:p>
    <w:p w:rsidR="009A2624" w:rsidRDefault="009A2624" w:rsidP="009A2624">
      <w:permStart w:id="40" w:edGrp="everyone"/>
      <w:r>
        <w:t>TYPE YOUR TEXT HERE</w:t>
      </w:r>
    </w:p>
    <w:permEnd w:id="40"/>
    <w:p w:rsidR="009A2624" w:rsidRDefault="009A2624" w:rsidP="009A2624">
      <w:r>
        <w:t>&lt;ESMA_QUESTION_DP_BMR_40&gt;</w:t>
      </w:r>
    </w:p>
    <w:p w:rsidR="009A2624" w:rsidRDefault="009A2624" w:rsidP="009A2624"/>
    <w:p w:rsidR="009A2624" w:rsidRPr="007F44BF" w:rsidRDefault="009A2624" w:rsidP="002342EC">
      <w:pPr>
        <w:pStyle w:val="Questionstyle"/>
      </w:pPr>
      <w:r w:rsidRPr="007F44BF">
        <w:t>Do you agree that the publication requirements for the internal review of methodology apply regardless of benchmark type? If not, please state which information regarding the internal review could be differentiated and according to which characteristic of the benchmark or of its input data or of its methodology.</w:t>
      </w:r>
    </w:p>
    <w:p w:rsidR="009A2624" w:rsidRDefault="009A2624" w:rsidP="009A2624">
      <w:r>
        <w:t>&lt;ESMA_QUESTION_DP_BMR_41&gt;</w:t>
      </w:r>
    </w:p>
    <w:p w:rsidR="009A2624" w:rsidRDefault="009A2624" w:rsidP="009A2624">
      <w:permStart w:id="41" w:edGrp="everyone"/>
      <w:r>
        <w:t>TYPE YOUR TEXT HERE</w:t>
      </w:r>
    </w:p>
    <w:permEnd w:id="41"/>
    <w:p w:rsidR="009A2624" w:rsidRDefault="009A2624" w:rsidP="009A2624">
      <w:r>
        <w:t>&lt;ESMA_QUESTION_DP_BMR_41&gt;</w:t>
      </w:r>
    </w:p>
    <w:p w:rsidR="009A2624" w:rsidRDefault="009A2624" w:rsidP="009A2624"/>
    <w:p w:rsidR="009A2624" w:rsidRPr="007F44BF" w:rsidRDefault="009A2624" w:rsidP="002342EC">
      <w:pPr>
        <w:pStyle w:val="Questionstyle"/>
      </w:pPr>
      <w:r w:rsidRPr="007F44BF">
        <w:t>Do you agree that, in the requirements regarding the procedure for material change, the pr</w:t>
      </w:r>
      <w:r w:rsidRPr="007F44BF">
        <w:t>o</w:t>
      </w:r>
      <w:r w:rsidRPr="007F44BF">
        <w:t>portionality built into the Level 1 text covers all needs for proportional application?</w:t>
      </w:r>
    </w:p>
    <w:p w:rsidR="009A2624" w:rsidRDefault="009A2624" w:rsidP="009A2624">
      <w:r>
        <w:t>&lt;ESMA_QUESTION_DP_BMR_42&gt;</w:t>
      </w:r>
    </w:p>
    <w:p w:rsidR="009A2624" w:rsidRDefault="009A2624" w:rsidP="009A2624">
      <w:permStart w:id="42" w:edGrp="everyone"/>
      <w:r>
        <w:t>TYPE YOUR TEXT HERE</w:t>
      </w:r>
    </w:p>
    <w:permEnd w:id="42"/>
    <w:p w:rsidR="009A2624" w:rsidRDefault="009A2624" w:rsidP="009A2624">
      <w:r>
        <w:t>&lt;ESMA_QUESTION_DP_BMR_42&gt;</w:t>
      </w:r>
    </w:p>
    <w:p w:rsidR="009A2624" w:rsidRDefault="009A2624" w:rsidP="009A2624"/>
    <w:p w:rsidR="009A2624" w:rsidRPr="007F44BF" w:rsidRDefault="009A2624" w:rsidP="002342EC">
      <w:pPr>
        <w:pStyle w:val="Questionstyle"/>
      </w:pPr>
      <w:r w:rsidRPr="007F44BF">
        <w:lastRenderedPageBreak/>
        <w:t>Do you agree that a benchmark administrator could have a standard code for all types of benchmarks? If not, should there be separate codes depending on whether a benchmark is critical, significant or non-significant? Please take into account your answer to this question when responding to all subsequent questions.</w:t>
      </w:r>
    </w:p>
    <w:p w:rsidR="009A2624" w:rsidRDefault="009A2624" w:rsidP="009A2624">
      <w:r>
        <w:t>&lt;ESMA_QUESTION_DP_BMR_43&gt;</w:t>
      </w:r>
    </w:p>
    <w:p w:rsidR="009A2624" w:rsidRPr="00C46D61" w:rsidRDefault="00C46D61" w:rsidP="009A2624">
      <w:pPr>
        <w:rPr>
          <w:rFonts w:cs="Arial"/>
          <w:sz w:val="24"/>
          <w:lang w:val="en-US"/>
        </w:rPr>
      </w:pPr>
      <w:permStart w:id="43" w:edGrp="everyone"/>
      <w:r w:rsidRPr="00C46D61">
        <w:rPr>
          <w:rFonts w:cs="Arial"/>
          <w:sz w:val="24"/>
          <w:lang w:val="en-US"/>
        </w:rPr>
        <w:t>Only should be a specific code for those benchmarks rated as critical by the competent supervisors. Significant and non-significant benchmarks can be monitored by a standard code in order to limit the number of specific and irrelevant codes with the result of an excess administrative burden.</w:t>
      </w:r>
    </w:p>
    <w:permEnd w:id="43"/>
    <w:p w:rsidR="009A2624" w:rsidRDefault="009A2624" w:rsidP="009A2624">
      <w:r>
        <w:t>&lt;ESMA_QUESTION_DP_BMR_43&gt;</w:t>
      </w:r>
    </w:p>
    <w:p w:rsidR="009A2624" w:rsidRDefault="009A2624" w:rsidP="009A2624"/>
    <w:p w:rsidR="009A2624" w:rsidRPr="007F44BF" w:rsidRDefault="009A2624" w:rsidP="002342EC">
      <w:pPr>
        <w:pStyle w:val="Questionstyle"/>
      </w:pPr>
      <w:r w:rsidRPr="007F44BF">
        <w:t>Do you believe that an administrator should be mandated to tailor a code of conduct, depen</w:t>
      </w:r>
      <w:r w:rsidRPr="007F44BF">
        <w:t>d</w:t>
      </w:r>
      <w:r w:rsidRPr="007F44BF">
        <w:t>ing on the market or economic reality it seeks to measure and/or the methodology applied for the determination of the benchmark? Please explain your answer using examples of different categories or sectors of benchmarks, where applicable.</w:t>
      </w:r>
    </w:p>
    <w:p w:rsidR="009A2624" w:rsidRDefault="009A2624" w:rsidP="009A2624">
      <w:r>
        <w:t>&lt;ESMA_QUESTION_DP_BMR_44&gt;</w:t>
      </w:r>
    </w:p>
    <w:p w:rsidR="009A2624" w:rsidRPr="00C46D61" w:rsidRDefault="00C46D61" w:rsidP="009A2624">
      <w:pPr>
        <w:rPr>
          <w:rFonts w:cs="Arial"/>
          <w:sz w:val="24"/>
          <w:lang w:val="en-US"/>
        </w:rPr>
      </w:pPr>
      <w:permStart w:id="44" w:edGrp="everyone"/>
      <w:r w:rsidRPr="00C46D61">
        <w:rPr>
          <w:rFonts w:cs="Arial"/>
          <w:sz w:val="24"/>
          <w:lang w:val="en-US"/>
        </w:rPr>
        <w:t>On those benchmarks rated as critical by the competent supervisors, it would be nece</w:t>
      </w:r>
      <w:r w:rsidRPr="00C46D61">
        <w:rPr>
          <w:rFonts w:cs="Arial"/>
          <w:sz w:val="24"/>
          <w:lang w:val="en-US"/>
        </w:rPr>
        <w:t>s</w:t>
      </w:r>
      <w:r w:rsidRPr="00C46D61">
        <w:rPr>
          <w:rFonts w:cs="Arial"/>
          <w:sz w:val="24"/>
          <w:lang w:val="en-US"/>
        </w:rPr>
        <w:t>sary to have an annual review of the code in order to check market and economic cond</w:t>
      </w:r>
      <w:r w:rsidRPr="00C46D61">
        <w:rPr>
          <w:rFonts w:cs="Arial"/>
          <w:sz w:val="24"/>
          <w:lang w:val="en-US"/>
        </w:rPr>
        <w:t>i</w:t>
      </w:r>
      <w:r w:rsidRPr="00C46D61">
        <w:rPr>
          <w:rFonts w:cs="Arial"/>
          <w:sz w:val="24"/>
          <w:lang w:val="en-US"/>
        </w:rPr>
        <w:t>tions are still valid for the purpose of the benchmark. This is applicable on STIR benc</w:t>
      </w:r>
      <w:r w:rsidRPr="00C46D61">
        <w:rPr>
          <w:rFonts w:cs="Arial"/>
          <w:sz w:val="24"/>
          <w:lang w:val="en-US"/>
        </w:rPr>
        <w:t>h</w:t>
      </w:r>
      <w:r w:rsidRPr="00C46D61">
        <w:rPr>
          <w:rFonts w:cs="Arial"/>
          <w:sz w:val="24"/>
          <w:lang w:val="en-US"/>
        </w:rPr>
        <w:t>marks for example, where market conditions can change dramatically in upheavals times, restraining liquidity and making difficult to get enough deals to build robust tran</w:t>
      </w:r>
      <w:r w:rsidRPr="00C46D61">
        <w:rPr>
          <w:rFonts w:cs="Arial"/>
          <w:sz w:val="24"/>
          <w:lang w:val="en-US"/>
        </w:rPr>
        <w:t>s</w:t>
      </w:r>
      <w:r w:rsidRPr="00C46D61">
        <w:rPr>
          <w:rFonts w:cs="Arial"/>
          <w:sz w:val="24"/>
          <w:lang w:val="en-US"/>
        </w:rPr>
        <w:t>actions data indexes for some tenors.</w:t>
      </w:r>
    </w:p>
    <w:permEnd w:id="44"/>
    <w:p w:rsidR="009A2624" w:rsidRDefault="009A2624" w:rsidP="009A2624">
      <w:r>
        <w:t>&lt;ESMA_QUESTION_DP_BMR_44&gt;</w:t>
      </w:r>
    </w:p>
    <w:p w:rsidR="009A2624" w:rsidRDefault="009A2624" w:rsidP="009A2624"/>
    <w:p w:rsidR="009A2624" w:rsidRPr="007F44BF" w:rsidRDefault="009A2624" w:rsidP="002342EC">
      <w:pPr>
        <w:pStyle w:val="Questionstyle"/>
      </w:pPr>
      <w:r w:rsidRPr="007F44BF">
        <w:t>Do you agree with the above requirements for a contributor’s contribution process? Is there anything else that should be included?</w:t>
      </w:r>
    </w:p>
    <w:p w:rsidR="009A2624" w:rsidRDefault="009A2624" w:rsidP="009A2624">
      <w:r>
        <w:t>&lt;ESMA_QUESTION_DP_BMR_45&gt;</w:t>
      </w:r>
    </w:p>
    <w:p w:rsidR="009A2624" w:rsidRDefault="009A2624" w:rsidP="009A2624">
      <w:permStart w:id="45" w:edGrp="everyone"/>
      <w:r>
        <w:t>TYPE YOUR TEXT HERE</w:t>
      </w:r>
    </w:p>
    <w:permEnd w:id="45"/>
    <w:p w:rsidR="009A2624" w:rsidRDefault="009A2624" w:rsidP="009A2624">
      <w:r>
        <w:t>&lt;ESMA_QUESTION_DP_BMR_45&gt;</w:t>
      </w:r>
    </w:p>
    <w:p w:rsidR="009A2624" w:rsidRDefault="009A2624" w:rsidP="009A2624"/>
    <w:p w:rsidR="009A2624" w:rsidRPr="007F44BF" w:rsidRDefault="009A2624" w:rsidP="002342EC">
      <w:pPr>
        <w:pStyle w:val="Questionstyle"/>
      </w:pPr>
      <w:r w:rsidRPr="007F44BF">
        <w:t>Do you agree that the details of the code of conduct to be specified by ESMA may still allow administrators to tailor the details of their codes of conduct with respect to the specific benchmarks provided?</w:t>
      </w:r>
    </w:p>
    <w:p w:rsidR="009A2624" w:rsidRDefault="009A2624" w:rsidP="009A2624">
      <w:r>
        <w:t>&lt;ESMA_QUESTION_DP_BMR_46&gt;</w:t>
      </w:r>
    </w:p>
    <w:p w:rsidR="009A2624" w:rsidRDefault="009A2624" w:rsidP="009A2624">
      <w:permStart w:id="46" w:edGrp="everyone"/>
      <w:r>
        <w:t>TYPE YOUR TEXT HERE</w:t>
      </w:r>
    </w:p>
    <w:permEnd w:id="46"/>
    <w:p w:rsidR="009A2624" w:rsidRDefault="009A2624" w:rsidP="009A2624">
      <w:r>
        <w:t>&lt;ESMA_QUESTION_DP_BMR_46&gt;</w:t>
      </w:r>
    </w:p>
    <w:p w:rsidR="009A2624" w:rsidRDefault="009A2624" w:rsidP="009A2624"/>
    <w:p w:rsidR="009A2624" w:rsidRPr="007F44BF" w:rsidRDefault="009A2624" w:rsidP="002342EC">
      <w:pPr>
        <w:pStyle w:val="Questionstyle"/>
      </w:pPr>
      <w:r w:rsidRPr="007F44BF">
        <w:t>Do you agree that such information should be required from contributors under the code of conduct? Should any additional information be requested?</w:t>
      </w:r>
    </w:p>
    <w:p w:rsidR="009A2624" w:rsidRDefault="009A2624" w:rsidP="009A2624">
      <w:r>
        <w:t>&lt;ESMA_QUESTION_DP_BMR_47&gt;</w:t>
      </w:r>
    </w:p>
    <w:p w:rsidR="009A2624" w:rsidRPr="00C46D61" w:rsidRDefault="00C46D61" w:rsidP="009A2624">
      <w:pPr>
        <w:rPr>
          <w:rFonts w:cs="Arial"/>
          <w:sz w:val="24"/>
          <w:lang w:val="en-US"/>
        </w:rPr>
      </w:pPr>
      <w:permStart w:id="47" w:edGrp="everyone"/>
      <w:r w:rsidRPr="00C46D61">
        <w:rPr>
          <w:rFonts w:cs="Arial"/>
          <w:sz w:val="24"/>
          <w:lang w:val="en-US"/>
        </w:rPr>
        <w:t>From the contributor perspective, we do not have any inconvenience to disclose our names, job description, and relevant experience to the administrator.</w:t>
      </w:r>
    </w:p>
    <w:permEnd w:id="47"/>
    <w:p w:rsidR="009A2624" w:rsidRDefault="009A2624" w:rsidP="009A2624">
      <w:r>
        <w:t>&lt;ESMA_QUESTION_DP_BMR_47&gt;</w:t>
      </w:r>
    </w:p>
    <w:p w:rsidR="009A2624" w:rsidRDefault="009A2624" w:rsidP="009A2624"/>
    <w:p w:rsidR="009A2624" w:rsidRPr="007F44BF" w:rsidRDefault="009A2624" w:rsidP="002342EC">
      <w:pPr>
        <w:pStyle w:val="Questionstyle"/>
      </w:pPr>
      <w:r w:rsidRPr="007F44BF">
        <w:lastRenderedPageBreak/>
        <w:t>Are their ways in which contributors may manage possible conflicts of interest at the level of the submitters? Should those conflicts, where managed, be disclosed to the administrator?</w:t>
      </w:r>
    </w:p>
    <w:p w:rsidR="009A2624" w:rsidRDefault="009A2624" w:rsidP="009A2624">
      <w:r>
        <w:t>&lt;ESMA_QUESTION_DP_BMR_48&gt;</w:t>
      </w:r>
    </w:p>
    <w:p w:rsidR="009A2624" w:rsidRDefault="009A2624" w:rsidP="009A2624">
      <w:permStart w:id="48" w:edGrp="everyone"/>
      <w:r>
        <w:t>TYPE YOUR TEXT HERE</w:t>
      </w:r>
    </w:p>
    <w:permEnd w:id="48"/>
    <w:p w:rsidR="009A2624" w:rsidRDefault="009A2624" w:rsidP="009A2624">
      <w:r>
        <w:t>&lt;ESMA_QUESTION_DP_BMR_48&gt;</w:t>
      </w:r>
    </w:p>
    <w:p w:rsidR="009A2624" w:rsidRDefault="009A2624" w:rsidP="009A2624"/>
    <w:p w:rsidR="009A2624" w:rsidRPr="007F44BF" w:rsidRDefault="009A2624" w:rsidP="002342EC">
      <w:pPr>
        <w:pStyle w:val="Questionstyle"/>
      </w:pPr>
      <w:r w:rsidRPr="007F44BF">
        <w:t>Do you foresee any obstacles to the administrator’s ability to evaluate the authorisation of any submitters to contribute input data on behalf of a contributor?</w:t>
      </w:r>
    </w:p>
    <w:p w:rsidR="009A2624" w:rsidRDefault="009A2624" w:rsidP="009A2624">
      <w:r>
        <w:t>&lt;ESMA_QUESTION_DP_BMR_49&gt;</w:t>
      </w:r>
    </w:p>
    <w:p w:rsidR="009A2624" w:rsidRDefault="009A2624" w:rsidP="009A2624">
      <w:permStart w:id="49" w:edGrp="everyone"/>
      <w:r>
        <w:t>TYPE YOUR TEXT HERE</w:t>
      </w:r>
    </w:p>
    <w:permEnd w:id="49"/>
    <w:p w:rsidR="009A2624" w:rsidRDefault="009A2624" w:rsidP="009A2624">
      <w:r>
        <w:t>&lt;ESMA_QUESTION_DP_BMR_49&gt;</w:t>
      </w:r>
    </w:p>
    <w:p w:rsidR="009A2624" w:rsidRDefault="009A2624" w:rsidP="009A2624"/>
    <w:p w:rsidR="009A2624" w:rsidRPr="007F44BF" w:rsidRDefault="009A2624" w:rsidP="002342EC">
      <w:pPr>
        <w:pStyle w:val="Questionstyle"/>
      </w:pPr>
      <w:r w:rsidRPr="007F44BF">
        <w:t>Do you agree that a contributor’s contribution process should foresee clear rules for the excl</w:t>
      </w:r>
      <w:r w:rsidRPr="007F44BF">
        <w:t>u</w:t>
      </w:r>
      <w:r w:rsidRPr="007F44BF">
        <w:t>sion of data sources? Should any other information be supplied to administrators to allow them to ensure contributors have provided all relevant input data?</w:t>
      </w:r>
    </w:p>
    <w:p w:rsidR="009A2624" w:rsidRDefault="009A2624" w:rsidP="009A2624">
      <w:r>
        <w:t>&lt;ESMA_QUESTION_DP_BMR_50&gt;</w:t>
      </w:r>
    </w:p>
    <w:p w:rsidR="009A2624" w:rsidRPr="00C46D61" w:rsidRDefault="00C46D61" w:rsidP="009A2624">
      <w:pPr>
        <w:rPr>
          <w:rFonts w:cs="Arial"/>
          <w:sz w:val="24"/>
          <w:lang w:val="en-US"/>
        </w:rPr>
      </w:pPr>
      <w:permStart w:id="50" w:edGrp="everyone"/>
      <w:r w:rsidRPr="00C46D61">
        <w:rPr>
          <w:rFonts w:cs="Arial"/>
          <w:sz w:val="24"/>
          <w:lang w:val="en-US"/>
        </w:rPr>
        <w:t>The more clear the rules of the exclusion of data sources the better to procedure the contribution, but regulators and administrators must bear in mind that in circumstances where there is no transaction data available, the expert judgment of contribution comes from a combination of different sources, being difficult to assign how each of those var</w:t>
      </w:r>
      <w:r w:rsidRPr="00C46D61">
        <w:rPr>
          <w:rFonts w:cs="Arial"/>
          <w:sz w:val="24"/>
          <w:lang w:val="en-US"/>
        </w:rPr>
        <w:t>i</w:t>
      </w:r>
      <w:r w:rsidRPr="00C46D61">
        <w:rPr>
          <w:rFonts w:cs="Arial"/>
          <w:sz w:val="24"/>
          <w:lang w:val="en-US"/>
        </w:rPr>
        <w:t>abl</w:t>
      </w:r>
      <w:r>
        <w:rPr>
          <w:rFonts w:cs="Arial"/>
          <w:sz w:val="24"/>
          <w:lang w:val="en-US"/>
        </w:rPr>
        <w:t>es affects the final outcome</w:t>
      </w:r>
    </w:p>
    <w:permEnd w:id="50"/>
    <w:p w:rsidR="009A2624" w:rsidRDefault="009A2624" w:rsidP="009A2624">
      <w:r>
        <w:t>&lt;ESMA_QUESTION_DP_BMR_50&gt;</w:t>
      </w:r>
    </w:p>
    <w:p w:rsidR="009A2624" w:rsidRDefault="009A2624" w:rsidP="009A2624"/>
    <w:p w:rsidR="009A2624" w:rsidRPr="007F44BF" w:rsidRDefault="009A2624" w:rsidP="002342EC">
      <w:pPr>
        <w:pStyle w:val="Questionstyle"/>
      </w:pPr>
      <w:r w:rsidRPr="007F44BF">
        <w:t>Do you think that the listed procedures for submitting input data are comprehensive? If not, what is missing?</w:t>
      </w:r>
    </w:p>
    <w:p w:rsidR="009A2624" w:rsidRDefault="009A2624" w:rsidP="009A2624">
      <w:r>
        <w:t>&lt;ESMA_QUESTION_DP_BMR_51&gt;</w:t>
      </w:r>
    </w:p>
    <w:p w:rsidR="009A2624" w:rsidRDefault="009A2624" w:rsidP="009A2624">
      <w:permStart w:id="51" w:edGrp="everyone"/>
      <w:r>
        <w:t>TYPE YOUR TEXT HERE</w:t>
      </w:r>
    </w:p>
    <w:permEnd w:id="51"/>
    <w:p w:rsidR="009A2624" w:rsidRDefault="009A2624" w:rsidP="009A2624">
      <w:r>
        <w:t>&lt;ESMA_QUESTION_DP_BMR_51&gt;</w:t>
      </w:r>
    </w:p>
    <w:p w:rsidR="009A2624" w:rsidRDefault="009A2624" w:rsidP="009A2624"/>
    <w:p w:rsidR="009A2624" w:rsidRPr="007F44BF" w:rsidRDefault="009A2624" w:rsidP="002342EC">
      <w:pPr>
        <w:pStyle w:val="Questionstyle"/>
      </w:pPr>
      <w:r w:rsidRPr="007F44BF">
        <w:t>Do you agree that rules are necessary to provide consistency of contributors’ behaviour over the time? Should this be set out in the code of conduct or in the benchmark methodology, or both?</w:t>
      </w:r>
    </w:p>
    <w:p w:rsidR="009A2624" w:rsidRDefault="009A2624" w:rsidP="009A2624">
      <w:r>
        <w:t>&lt;ESMA_QUESTION_DP_BMR_52&gt;</w:t>
      </w:r>
    </w:p>
    <w:p w:rsidR="009A2624" w:rsidRDefault="009A2624" w:rsidP="009A2624">
      <w:permStart w:id="52" w:edGrp="everyone"/>
      <w:r>
        <w:t>TYPE YOUR TEXT HERE</w:t>
      </w:r>
    </w:p>
    <w:permEnd w:id="52"/>
    <w:p w:rsidR="009A2624" w:rsidRDefault="009A2624" w:rsidP="009A2624">
      <w:r>
        <w:t>&lt;ESMA_QUESTION_DP_BMR_52&gt;</w:t>
      </w:r>
    </w:p>
    <w:p w:rsidR="009A2624" w:rsidRDefault="009A2624" w:rsidP="009A2624"/>
    <w:p w:rsidR="009A2624" w:rsidRPr="007F44BF" w:rsidRDefault="009A2624" w:rsidP="002342EC">
      <w:pPr>
        <w:pStyle w:val="Questionstyle"/>
      </w:pPr>
      <w:r w:rsidRPr="007F44BF">
        <w:t xml:space="preserve">Should policies, in addition to those set out in the methodology, be in place at the level of the contributors, regarding the use of discretion in providing input data? </w:t>
      </w:r>
    </w:p>
    <w:p w:rsidR="009A2624" w:rsidRDefault="009A2624" w:rsidP="009A2624">
      <w:r>
        <w:t>&lt;ESMA_QUESTION_DP_BMR_53&gt;</w:t>
      </w:r>
    </w:p>
    <w:p w:rsidR="009A2624" w:rsidRPr="00C46D61" w:rsidRDefault="00C46D61" w:rsidP="009A2624">
      <w:pPr>
        <w:rPr>
          <w:rFonts w:cs="Arial"/>
          <w:sz w:val="24"/>
          <w:lang w:val="en-US"/>
        </w:rPr>
      </w:pPr>
      <w:permStart w:id="53" w:edGrp="everyone"/>
      <w:r w:rsidRPr="00C46D61">
        <w:rPr>
          <w:rFonts w:cs="Arial"/>
          <w:sz w:val="24"/>
          <w:lang w:val="en-US"/>
        </w:rPr>
        <w:t>If methodology of contribution is clear, four eyes principle should be enough to control expert judgment when there are no transactions available at contributor’s level</w:t>
      </w:r>
    </w:p>
    <w:permEnd w:id="53"/>
    <w:p w:rsidR="009A2624" w:rsidRDefault="009A2624" w:rsidP="009A2624">
      <w:r>
        <w:t>&lt;ESMA_QUESTION_DP_BMR_53&gt;</w:t>
      </w:r>
    </w:p>
    <w:p w:rsidR="009A2624" w:rsidRDefault="009A2624" w:rsidP="009A2624"/>
    <w:p w:rsidR="009A2624" w:rsidRPr="007F44BF" w:rsidRDefault="009A2624" w:rsidP="002342EC">
      <w:pPr>
        <w:pStyle w:val="Questionstyle"/>
      </w:pPr>
      <w:r w:rsidRPr="007F44BF">
        <w:t xml:space="preserve">Do you agree with the list of checks for validation purposes? What other methods could be included? </w:t>
      </w:r>
    </w:p>
    <w:p w:rsidR="009A2624" w:rsidRDefault="009A2624" w:rsidP="009A2624">
      <w:r>
        <w:lastRenderedPageBreak/>
        <w:t>&lt;ESMA_QUESTION_DP_BMR_54&gt;</w:t>
      </w:r>
    </w:p>
    <w:p w:rsidR="009A2624" w:rsidRDefault="009A2624" w:rsidP="009A2624">
      <w:permStart w:id="54" w:edGrp="everyone"/>
      <w:r>
        <w:t>TYPE YOUR TEXT HERE</w:t>
      </w:r>
    </w:p>
    <w:permEnd w:id="54"/>
    <w:p w:rsidR="009A2624" w:rsidRDefault="009A2624" w:rsidP="009A2624">
      <w:r>
        <w:t>&lt;ESMA_QUESTION_DP_BMR_54&gt;</w:t>
      </w:r>
    </w:p>
    <w:p w:rsidR="009A2624" w:rsidRDefault="009A2624" w:rsidP="009A2624"/>
    <w:p w:rsidR="009A2624" w:rsidRPr="007F44BF" w:rsidRDefault="009A2624" w:rsidP="002342EC">
      <w:pPr>
        <w:pStyle w:val="Questionstyle"/>
      </w:pPr>
      <w:r w:rsidRPr="007F44BF">
        <w:t>Do you agree with the minimum information requirement for record keeping? If not would you propose additional/alternative information?</w:t>
      </w:r>
    </w:p>
    <w:p w:rsidR="009A2624" w:rsidRDefault="009A2624" w:rsidP="009A2624">
      <w:r>
        <w:t>&lt;ESMA_QUESTION_DP_BMR_55&gt;</w:t>
      </w:r>
    </w:p>
    <w:p w:rsidR="009A2624" w:rsidRDefault="009A2624" w:rsidP="009A2624">
      <w:permStart w:id="55" w:edGrp="everyone"/>
      <w:r>
        <w:t>TYPE YOUR TEXT HERE</w:t>
      </w:r>
    </w:p>
    <w:permEnd w:id="55"/>
    <w:p w:rsidR="009A2624" w:rsidRDefault="009A2624" w:rsidP="009A2624">
      <w:r>
        <w:t>&lt;ESMA_QUESTION_DP_BMR_55&gt;</w:t>
      </w:r>
    </w:p>
    <w:p w:rsidR="009A2624" w:rsidRDefault="009A2624" w:rsidP="009A2624"/>
    <w:p w:rsidR="009A2624" w:rsidRPr="007F44BF" w:rsidRDefault="009A2624" w:rsidP="002342EC">
      <w:pPr>
        <w:pStyle w:val="Questionstyle"/>
      </w:pPr>
      <w:r w:rsidRPr="007F44BF">
        <w:t>Do you support the recording of the use of expert judgement and of discretion? Should admi</w:t>
      </w:r>
      <w:r w:rsidRPr="007F44BF">
        <w:t>n</w:t>
      </w:r>
      <w:r w:rsidRPr="007F44BF">
        <w:t>istrators require the same records for all types of benchmarks?</w:t>
      </w:r>
    </w:p>
    <w:p w:rsidR="009A2624" w:rsidRDefault="009A2624" w:rsidP="009A2624">
      <w:r>
        <w:t>&lt;ESMA_QUESTION_DP_BMR_56&gt;</w:t>
      </w:r>
    </w:p>
    <w:p w:rsidR="009A2624" w:rsidRPr="00C46D61" w:rsidRDefault="00C46D61" w:rsidP="009A2624">
      <w:pPr>
        <w:rPr>
          <w:rFonts w:cs="Arial"/>
          <w:sz w:val="24"/>
          <w:lang w:val="en-US"/>
        </w:rPr>
      </w:pPr>
      <w:permStart w:id="56" w:edGrp="everyone"/>
      <w:r w:rsidRPr="00C46D61">
        <w:rPr>
          <w:rFonts w:cs="Arial"/>
          <w:sz w:val="24"/>
          <w:lang w:val="en-US"/>
        </w:rPr>
        <w:t>The type of records required by the administrator must be fit to the type of benchmark, as not all benchmark try the measure equivalent markets.</w:t>
      </w:r>
    </w:p>
    <w:permEnd w:id="56"/>
    <w:p w:rsidR="009A2624" w:rsidRDefault="009A2624" w:rsidP="009A2624">
      <w:r>
        <w:t>&lt;ESMA_QUESTION_DP_BMR_56&gt;</w:t>
      </w:r>
    </w:p>
    <w:p w:rsidR="009A2624" w:rsidRDefault="009A2624" w:rsidP="009A2624"/>
    <w:p w:rsidR="009A2624" w:rsidRPr="007F44BF" w:rsidRDefault="009A2624" w:rsidP="002342EC">
      <w:pPr>
        <w:pStyle w:val="Questionstyle"/>
      </w:pPr>
      <w:r w:rsidRPr="007F44BF">
        <w:t xml:space="preserve">Do you agree that an administrator could require contributors to have in place a documented   escalation process to report suspicious transactions?  </w:t>
      </w:r>
    </w:p>
    <w:p w:rsidR="009A2624" w:rsidRDefault="009A2624" w:rsidP="009A2624">
      <w:r>
        <w:t>&lt;ESMA_QUESTION_DP_BMR_57&gt;</w:t>
      </w:r>
    </w:p>
    <w:p w:rsidR="009A2624" w:rsidRDefault="009A2624" w:rsidP="009A2624">
      <w:permStart w:id="57" w:edGrp="everyone"/>
      <w:r>
        <w:t>TYPE YOUR TEXT HERE</w:t>
      </w:r>
    </w:p>
    <w:permEnd w:id="57"/>
    <w:p w:rsidR="009A2624" w:rsidRDefault="009A2624" w:rsidP="009A2624">
      <w:r>
        <w:t>&lt;ESMA_QUESTION_DP_BMR_57&gt;</w:t>
      </w:r>
    </w:p>
    <w:p w:rsidR="009A2624" w:rsidRDefault="009A2624" w:rsidP="009A2624"/>
    <w:p w:rsidR="009A2624" w:rsidRPr="007F44BF" w:rsidRDefault="009A2624" w:rsidP="002342EC">
      <w:pPr>
        <w:pStyle w:val="Questionstyle"/>
      </w:pPr>
      <w:r w:rsidRPr="007F44BF">
        <w:t>Do you agree with the list of policies, procedures and controls that would allow the identific</w:t>
      </w:r>
      <w:r w:rsidRPr="007F44BF">
        <w:t>a</w:t>
      </w:r>
      <w:r w:rsidRPr="007F44BF">
        <w:t>tion and management of conflicts of interest? Should other requirements be included?</w:t>
      </w:r>
    </w:p>
    <w:p w:rsidR="009A2624" w:rsidRDefault="009A2624" w:rsidP="009A2624">
      <w:r>
        <w:t>&lt;ESMA_QUESTION_DP_BMR_58&gt;</w:t>
      </w:r>
    </w:p>
    <w:p w:rsidR="009A2624" w:rsidRDefault="009A2624" w:rsidP="009A2624">
      <w:permStart w:id="58" w:edGrp="everyone"/>
      <w:r>
        <w:t>TYPE YOUR TEXT HERE</w:t>
      </w:r>
    </w:p>
    <w:permEnd w:id="58"/>
    <w:p w:rsidR="009A2624" w:rsidRDefault="009A2624" w:rsidP="009A2624">
      <w:r>
        <w:t>&lt;ESMA_QUESTION_DP_BMR_58&gt;</w:t>
      </w:r>
    </w:p>
    <w:p w:rsidR="009A2624" w:rsidRDefault="009A2624" w:rsidP="009A2624"/>
    <w:p w:rsidR="009A2624" w:rsidRPr="007F44BF" w:rsidRDefault="009A2624" w:rsidP="002342EC">
      <w:pPr>
        <w:pStyle w:val="Questionstyle"/>
      </w:pPr>
      <w:r w:rsidRPr="007F44BF">
        <w:t>Do you have any additional comments with regard to the contents of a code of conduct in accordance with Article 9(2)?</w:t>
      </w:r>
    </w:p>
    <w:p w:rsidR="009A2624" w:rsidRDefault="009A2624" w:rsidP="009A2624">
      <w:r>
        <w:t>&lt;ESMA_QUESTION_DP_BMR_59&gt;</w:t>
      </w:r>
    </w:p>
    <w:p w:rsidR="009A2624" w:rsidRDefault="009A2624" w:rsidP="009A2624">
      <w:permStart w:id="59" w:edGrp="everyone"/>
      <w:r>
        <w:t>TYPE YOUR TEXT HERE</w:t>
      </w:r>
    </w:p>
    <w:permEnd w:id="59"/>
    <w:p w:rsidR="009A2624" w:rsidRDefault="009A2624" w:rsidP="009A2624">
      <w:r>
        <w:t>&lt;ESMA_QUESTION_DP_BMR_59&gt;</w:t>
      </w:r>
    </w:p>
    <w:p w:rsidR="009A2624" w:rsidRDefault="009A2624" w:rsidP="009A2624"/>
    <w:p w:rsidR="009A2624" w:rsidRPr="007F44BF" w:rsidRDefault="009A2624" w:rsidP="002342EC">
      <w:pPr>
        <w:pStyle w:val="Questionstyle"/>
      </w:pPr>
      <w:r w:rsidRPr="007F44BF">
        <w:t>Do you agree with the above list of requirements? Do you think that those requirements are appropriate for all benchmarks? If not what do you think should be the criteria we should use?</w:t>
      </w:r>
    </w:p>
    <w:p w:rsidR="009A2624" w:rsidRDefault="009A2624" w:rsidP="009A2624">
      <w:r>
        <w:t>&lt;ESMA_QUESTION_DP_BMR_60&gt;</w:t>
      </w:r>
    </w:p>
    <w:p w:rsidR="009A2624" w:rsidRDefault="009A2624" w:rsidP="009A2624">
      <w:permStart w:id="60" w:edGrp="everyone"/>
      <w:r>
        <w:t>TYPE YOUR TEXT HERE</w:t>
      </w:r>
    </w:p>
    <w:permEnd w:id="60"/>
    <w:p w:rsidR="009A2624" w:rsidRDefault="009A2624" w:rsidP="009A2624">
      <w:r>
        <w:t>&lt;ESMA_QUESTION_DP_BMR_60&gt;</w:t>
      </w:r>
    </w:p>
    <w:p w:rsidR="009A2624" w:rsidRDefault="009A2624" w:rsidP="009A2624"/>
    <w:p w:rsidR="009A2624" w:rsidRPr="007F44BF" w:rsidRDefault="009A2624" w:rsidP="002342EC">
      <w:pPr>
        <w:pStyle w:val="Questionstyle"/>
      </w:pPr>
      <w:r w:rsidRPr="007F44BF">
        <w:t xml:space="preserve">Do you agree that information regarding breaches to the BMR or to Code of Conduct should also be made available to the Benchmark Administrator? </w:t>
      </w:r>
    </w:p>
    <w:p w:rsidR="009A2624" w:rsidRDefault="009A2624" w:rsidP="009A2624">
      <w:r>
        <w:t>&lt;ESMA_QUESTION_DP_BMR_61&gt;</w:t>
      </w:r>
    </w:p>
    <w:p w:rsidR="009A2624" w:rsidRDefault="009A2624" w:rsidP="009A2624">
      <w:permStart w:id="61" w:edGrp="everyone"/>
      <w:r>
        <w:lastRenderedPageBreak/>
        <w:t>TYPE YOUR TEXT HERE</w:t>
      </w:r>
    </w:p>
    <w:permEnd w:id="61"/>
    <w:p w:rsidR="009A2624" w:rsidRDefault="009A2624" w:rsidP="009A2624">
      <w:r>
        <w:t>&lt;ESMA_QUESTION_DP_BMR_61&gt;</w:t>
      </w:r>
    </w:p>
    <w:p w:rsidR="009A2624" w:rsidRDefault="009A2624" w:rsidP="009A2624"/>
    <w:p w:rsidR="009A2624" w:rsidRPr="007F44BF" w:rsidRDefault="009A2624" w:rsidP="002342EC">
      <w:pPr>
        <w:pStyle w:val="Questionstyle"/>
      </w:pPr>
      <w:r w:rsidRPr="007F44BF">
        <w:t>Do you think that the external audit covering benchmark activities, where available, should also be made available, on request, to the Benchmark Administrator?</w:t>
      </w:r>
    </w:p>
    <w:p w:rsidR="009A2624" w:rsidRDefault="009A2624" w:rsidP="009A2624">
      <w:r>
        <w:t>&lt;ESMA_QUESTION_DP_BMR_62&gt;</w:t>
      </w:r>
    </w:p>
    <w:p w:rsidR="00B6434B" w:rsidRPr="00B6434B" w:rsidRDefault="00B6434B" w:rsidP="00B6434B">
      <w:pPr>
        <w:jc w:val="both"/>
        <w:rPr>
          <w:rFonts w:cs="Arial"/>
          <w:sz w:val="24"/>
          <w:lang w:val="en-US"/>
        </w:rPr>
      </w:pPr>
      <w:permStart w:id="62" w:edGrp="everyone"/>
      <w:r w:rsidRPr="00B6434B">
        <w:rPr>
          <w:rFonts w:cs="Arial"/>
          <w:sz w:val="24"/>
          <w:lang w:val="en-US"/>
        </w:rPr>
        <w:t xml:space="preserve">We understand that the term “benchmarks activities” is too generic and that it should expressly refer to the contribution process to the relevant benchmark. </w:t>
      </w:r>
    </w:p>
    <w:p w:rsidR="00B6434B" w:rsidRPr="00B6434B" w:rsidRDefault="00B6434B" w:rsidP="00B6434B">
      <w:pPr>
        <w:jc w:val="both"/>
        <w:rPr>
          <w:rFonts w:cs="Arial"/>
          <w:sz w:val="24"/>
          <w:lang w:val="en-US"/>
        </w:rPr>
      </w:pPr>
    </w:p>
    <w:p w:rsidR="00B6434B" w:rsidRPr="00B6434B" w:rsidRDefault="00B6434B" w:rsidP="00B6434B">
      <w:pPr>
        <w:jc w:val="both"/>
        <w:rPr>
          <w:rFonts w:cs="Arial"/>
          <w:sz w:val="24"/>
          <w:lang w:val="en-US"/>
        </w:rPr>
      </w:pPr>
      <w:r w:rsidRPr="00B6434B">
        <w:rPr>
          <w:rFonts w:cs="Arial"/>
          <w:sz w:val="24"/>
          <w:lang w:val="en-US"/>
        </w:rPr>
        <w:t>We agree that supervised contributors should have an effective control framework, but some of the requirements outlined in the consultative report to achieve an effective co</w:t>
      </w:r>
      <w:r w:rsidRPr="00B6434B">
        <w:rPr>
          <w:rFonts w:cs="Arial"/>
          <w:sz w:val="24"/>
          <w:lang w:val="en-US"/>
        </w:rPr>
        <w:t>n</w:t>
      </w:r>
      <w:r w:rsidRPr="00B6434B">
        <w:rPr>
          <w:rFonts w:cs="Arial"/>
          <w:sz w:val="24"/>
          <w:lang w:val="en-US"/>
        </w:rPr>
        <w:t>trol framework, including external audits, may be overly costly to implement and exceed accepted business standards. As an alternative, we recommend periodic independent reviews, as required by the administrator, of the input data contribution process by a contributor’s compliance or internal audit function, quality control team, or an external firm. This is</w:t>
      </w:r>
      <w:proofErr w:type="gramStart"/>
      <w:r w:rsidRPr="00B6434B">
        <w:rPr>
          <w:rFonts w:cs="Arial"/>
          <w:sz w:val="24"/>
          <w:lang w:val="en-US"/>
        </w:rPr>
        <w:t>,</w:t>
      </w:r>
      <w:proofErr w:type="gramEnd"/>
      <w:r w:rsidRPr="00B6434B">
        <w:rPr>
          <w:rFonts w:cs="Arial"/>
          <w:sz w:val="24"/>
          <w:lang w:val="en-US"/>
        </w:rPr>
        <w:t xml:space="preserve"> we believe that what is important is to achieve an independent review, which, depending on the nature of the benchmark, may be able to be satisfied by an internal department. Calling for an independent review instead of an external audit is consistent with the concept that the application of the principles should be proportional to the particular characteristics of the benchmark, the administrator, and the benchmark process and not necessarily be mandated for all contributors.</w:t>
      </w:r>
    </w:p>
    <w:p w:rsidR="00B6434B" w:rsidRPr="00B6434B" w:rsidRDefault="00B6434B" w:rsidP="00B6434B">
      <w:pPr>
        <w:jc w:val="both"/>
        <w:rPr>
          <w:rFonts w:cs="Arial"/>
          <w:sz w:val="24"/>
          <w:lang w:val="en-US"/>
        </w:rPr>
      </w:pPr>
    </w:p>
    <w:p w:rsidR="009A2624" w:rsidRPr="00B6434B" w:rsidRDefault="00B6434B" w:rsidP="00B6434B">
      <w:pPr>
        <w:jc w:val="both"/>
        <w:rPr>
          <w:rFonts w:cs="Arial"/>
          <w:sz w:val="24"/>
          <w:lang w:val="en-US"/>
        </w:rPr>
      </w:pPr>
      <w:r w:rsidRPr="00B6434B">
        <w:rPr>
          <w:rFonts w:cs="Arial"/>
          <w:sz w:val="24"/>
          <w:lang w:val="en-US"/>
        </w:rPr>
        <w:t>In addition, we understand that it should be sufficient to require contributors to make available (under request) external audit reports covering the benchmark contribution process to the national competent authority of the con</w:t>
      </w:r>
      <w:r>
        <w:rPr>
          <w:rFonts w:cs="Arial"/>
          <w:sz w:val="24"/>
          <w:lang w:val="en-US"/>
        </w:rPr>
        <w:t>tributor.</w:t>
      </w:r>
    </w:p>
    <w:permEnd w:id="62"/>
    <w:p w:rsidR="009A2624" w:rsidRDefault="009A2624" w:rsidP="009A2624">
      <w:r>
        <w:t>&lt;ESMA_QUESTION_DP_BMR_62&gt;</w:t>
      </w:r>
    </w:p>
    <w:p w:rsidR="009A2624" w:rsidRDefault="009A2624" w:rsidP="009A2624"/>
    <w:p w:rsidR="009A2624" w:rsidRPr="007F44BF" w:rsidRDefault="009A2624" w:rsidP="002342EC">
      <w:pPr>
        <w:pStyle w:val="Questionstyle"/>
      </w:pPr>
      <w:r w:rsidRPr="007F44BF">
        <w:t>Do you agree with the proposed criteria for the specific elements of systems and controls as listed in Article 11(2)(a) to (c)?  If not, what should be alternative criteria to substantiate these el</w:t>
      </w:r>
      <w:r w:rsidRPr="007F44BF">
        <w:t>e</w:t>
      </w:r>
      <w:r w:rsidRPr="007F44BF">
        <w:t xml:space="preserve">ments? </w:t>
      </w:r>
    </w:p>
    <w:p w:rsidR="009A2624" w:rsidRDefault="009A2624" w:rsidP="009A2624">
      <w:r>
        <w:t>&lt;ESMA_QUESTION_DP_BMR_63&gt;</w:t>
      </w:r>
    </w:p>
    <w:p w:rsidR="009A2624" w:rsidRDefault="009A2624" w:rsidP="009A2624">
      <w:permStart w:id="63" w:edGrp="everyone"/>
      <w:r>
        <w:t>TYPE YOUR TEXT HERE</w:t>
      </w:r>
    </w:p>
    <w:permEnd w:id="63"/>
    <w:p w:rsidR="009A2624" w:rsidRDefault="009A2624" w:rsidP="009A2624">
      <w:r>
        <w:t>&lt;ESMA_QUESTION_DP_BMR_63&gt;</w:t>
      </w:r>
    </w:p>
    <w:p w:rsidR="009A2624" w:rsidRDefault="009A2624" w:rsidP="009A2624"/>
    <w:p w:rsidR="009A2624" w:rsidRPr="007F44BF" w:rsidRDefault="009A2624" w:rsidP="002342EC">
      <w:pPr>
        <w:pStyle w:val="Questionstyle"/>
      </w:pPr>
      <w:r w:rsidRPr="007F44BF">
        <w:t>Do you agree that the submitters should not be remunerated for the level of their contribution but could be remunerated for the quality of input and their ability to manage the conflicts of interest instead?</w:t>
      </w:r>
    </w:p>
    <w:p w:rsidR="009A2624" w:rsidRDefault="009A2624" w:rsidP="009A2624">
      <w:r>
        <w:t>&lt;ESMA_QUESTION_DP_BMR_64&gt;</w:t>
      </w:r>
    </w:p>
    <w:p w:rsidR="009A2624" w:rsidRDefault="009A2624" w:rsidP="009A2624">
      <w:permStart w:id="64" w:edGrp="everyone"/>
      <w:r>
        <w:t>TYPE YOUR TEXT HERE</w:t>
      </w:r>
    </w:p>
    <w:permEnd w:id="64"/>
    <w:p w:rsidR="009A2624" w:rsidRDefault="009A2624" w:rsidP="009A2624">
      <w:r>
        <w:t>&lt;ESMA_QUESTION_DP_BMR_64&gt;</w:t>
      </w:r>
    </w:p>
    <w:p w:rsidR="009A2624" w:rsidRDefault="009A2624" w:rsidP="009A2624"/>
    <w:p w:rsidR="009A2624" w:rsidRPr="007F44BF" w:rsidRDefault="009A2624" w:rsidP="002342EC">
      <w:pPr>
        <w:pStyle w:val="Questionstyle"/>
      </w:pPr>
      <w:r w:rsidRPr="007F44BF">
        <w:t>What would be a reasonable delay for signing-off on the contribution? What are the reasons that would justify a delay in the sign off?</w:t>
      </w:r>
    </w:p>
    <w:p w:rsidR="009A2624" w:rsidRDefault="009A2624" w:rsidP="009A2624">
      <w:r>
        <w:t>&lt;ESMA_QUESTION_DP_BMR_65&gt;</w:t>
      </w:r>
    </w:p>
    <w:p w:rsidR="009A2624" w:rsidRDefault="009A2624" w:rsidP="009A2624">
      <w:permStart w:id="65" w:edGrp="everyone"/>
      <w:r>
        <w:t>TYPE YOUR TEXT HERE</w:t>
      </w:r>
    </w:p>
    <w:permEnd w:id="65"/>
    <w:p w:rsidR="009A2624" w:rsidRDefault="009A2624" w:rsidP="009A2624">
      <w:r>
        <w:t>&lt;ESMA_QUESTION_DP_BMR_65&gt;</w:t>
      </w:r>
    </w:p>
    <w:p w:rsidR="009A2624" w:rsidRDefault="009A2624" w:rsidP="009A2624"/>
    <w:p w:rsidR="009A2624" w:rsidRPr="007F44BF" w:rsidRDefault="009A2624" w:rsidP="002342EC">
      <w:pPr>
        <w:pStyle w:val="Questionstyle"/>
      </w:pPr>
      <w:r w:rsidRPr="007F44BF">
        <w:t>Is the mentioned delay an element that may be established by the administrator in line with the applicable methodology and in consideration of the underlying, of the type of input data and of supervised contributors?</w:t>
      </w:r>
      <w:r w:rsidRPr="007F44BF" w:rsidDel="00866898">
        <w:t xml:space="preserve"> </w:t>
      </w:r>
    </w:p>
    <w:p w:rsidR="009A2624" w:rsidRDefault="009A2624" w:rsidP="009A2624">
      <w:r>
        <w:t>&lt;ESMA_QUESTION_DP_BMR_66&gt;</w:t>
      </w:r>
    </w:p>
    <w:p w:rsidR="009A2624" w:rsidRDefault="009A2624" w:rsidP="009A2624">
      <w:permStart w:id="66" w:edGrp="everyone"/>
      <w:r>
        <w:t>TYPE YOUR TEXT HERE</w:t>
      </w:r>
    </w:p>
    <w:permEnd w:id="66"/>
    <w:p w:rsidR="009A2624" w:rsidRDefault="009A2624" w:rsidP="009A2624">
      <w:r>
        <w:t>&lt;ESMA_QUESTION_DP_BMR_66&gt;</w:t>
      </w:r>
    </w:p>
    <w:p w:rsidR="009A2624" w:rsidRDefault="009A2624" w:rsidP="009A2624"/>
    <w:p w:rsidR="009A2624" w:rsidRPr="007F44BF" w:rsidRDefault="009A2624" w:rsidP="002342EC">
      <w:pPr>
        <w:pStyle w:val="Questionstyle"/>
      </w:pPr>
      <w:r w:rsidRPr="007F44BF">
        <w:t xml:space="preserve">In case of a contribution made through an automated process what should be the adequate level of seniority for signing-off? </w:t>
      </w:r>
    </w:p>
    <w:p w:rsidR="009A2624" w:rsidRDefault="009A2624" w:rsidP="009A2624">
      <w:r>
        <w:t>&lt;ESMA_QUESTION_DP_BMR_67&gt;</w:t>
      </w:r>
    </w:p>
    <w:p w:rsidR="009A2624" w:rsidRDefault="009A2624" w:rsidP="009A2624">
      <w:permStart w:id="67" w:edGrp="everyone"/>
      <w:r>
        <w:t>TYPE YOUR TEXT HERE</w:t>
      </w:r>
    </w:p>
    <w:permEnd w:id="67"/>
    <w:p w:rsidR="009A2624" w:rsidRDefault="009A2624" w:rsidP="009A2624">
      <w:r>
        <w:t>&lt;ESMA_QUESTION_DP_BMR_67&gt;</w:t>
      </w:r>
    </w:p>
    <w:p w:rsidR="009A2624" w:rsidRDefault="009A2624" w:rsidP="009A2624"/>
    <w:p w:rsidR="009A2624" w:rsidRPr="007F44BF" w:rsidRDefault="009A2624" w:rsidP="002342EC">
      <w:pPr>
        <w:pStyle w:val="Questionstyle"/>
      </w:pPr>
      <w:r w:rsidRPr="007F44BF">
        <w:t xml:space="preserve">Do you agree with the above policies? Are there any other policies that should be in place at contributor’s level when expert judgement is used? </w:t>
      </w:r>
    </w:p>
    <w:p w:rsidR="009A2624" w:rsidRDefault="009A2624" w:rsidP="009A2624">
      <w:r>
        <w:t>&lt;ESMA_QUESTION_DP_BMR_68&gt;</w:t>
      </w:r>
    </w:p>
    <w:p w:rsidR="009A2624" w:rsidRDefault="009A2624" w:rsidP="009A2624">
      <w:permStart w:id="68" w:edGrp="everyone"/>
      <w:r>
        <w:t>TYPE YOUR TEXT HERE</w:t>
      </w:r>
    </w:p>
    <w:permEnd w:id="68"/>
    <w:p w:rsidR="009A2624" w:rsidRDefault="009A2624" w:rsidP="009A2624">
      <w:r>
        <w:t>&lt;ESMA_QUESTION_DP_BMR_68&gt;</w:t>
      </w:r>
    </w:p>
    <w:p w:rsidR="009A2624" w:rsidRDefault="009A2624" w:rsidP="009A2624"/>
    <w:p w:rsidR="009A2624" w:rsidRPr="007F44BF" w:rsidRDefault="009A2624" w:rsidP="002342EC">
      <w:pPr>
        <w:pStyle w:val="Questionstyle"/>
      </w:pPr>
      <w:r w:rsidRPr="007F44BF">
        <w:t>Do you agree with this approach? If so, what do you think are the main distinctions – amid the identified detailed measures that a supervised contributor will be required to put in place - that it is possible to introduce to cater for the different types, characteristics of benchmarks and of supervised contributors?</w:t>
      </w:r>
    </w:p>
    <w:p w:rsidR="009A2624" w:rsidRDefault="009A2624" w:rsidP="009A2624">
      <w:r>
        <w:t>&lt;ESMA_QUESTION_DP_BMR_69&gt;</w:t>
      </w:r>
    </w:p>
    <w:p w:rsidR="009A2624" w:rsidRDefault="009A2624" w:rsidP="009A2624">
      <w:permStart w:id="69" w:edGrp="everyone"/>
      <w:r>
        <w:t>TYPE YOUR TEXT HERE</w:t>
      </w:r>
    </w:p>
    <w:permEnd w:id="69"/>
    <w:p w:rsidR="009A2624" w:rsidRDefault="009A2624" w:rsidP="009A2624">
      <w:r>
        <w:t>&lt;ESMA_QUESTION_DP_BMR_69&gt;</w:t>
      </w:r>
    </w:p>
    <w:p w:rsidR="009A2624" w:rsidRDefault="009A2624" w:rsidP="009A2624"/>
    <w:p w:rsidR="009A2624" w:rsidRPr="007F44BF" w:rsidRDefault="009A2624" w:rsidP="002342EC">
      <w:pPr>
        <w:pStyle w:val="Questionstyle"/>
      </w:pPr>
      <w:r w:rsidRPr="007F44BF">
        <w:t xml:space="preserve">Do you foresee additional costs to your business or, if you are not a supervised contributor, to the business of others resulting from the implementation of any of the listed requirements? Please describe the nature, and where possible provide estimates, of these costs. </w:t>
      </w:r>
    </w:p>
    <w:p w:rsidR="009A2624" w:rsidRDefault="009A2624" w:rsidP="009A2624">
      <w:r>
        <w:t>&lt;ESMA_QUESTION_DP_BMR_70&gt;</w:t>
      </w:r>
    </w:p>
    <w:p w:rsidR="009A2624" w:rsidRDefault="009A2624" w:rsidP="009A2624">
      <w:permStart w:id="70" w:edGrp="everyone"/>
      <w:r>
        <w:t>TYPE YOUR TEXT HERE</w:t>
      </w:r>
    </w:p>
    <w:permEnd w:id="70"/>
    <w:p w:rsidR="009A2624" w:rsidRDefault="009A2624" w:rsidP="009A2624">
      <w:r>
        <w:t>&lt;ESMA_QUESTION_DP_BMR_70&gt;</w:t>
      </w:r>
    </w:p>
    <w:p w:rsidR="009A2624" w:rsidRDefault="009A2624" w:rsidP="009A2624"/>
    <w:p w:rsidR="009A2624" w:rsidRPr="007F44BF" w:rsidRDefault="009A2624" w:rsidP="002342EC">
      <w:pPr>
        <w:pStyle w:val="Questionstyle"/>
      </w:pPr>
      <w:r w:rsidRPr="007F44BF">
        <w:t>Could the approach proposed, i.e. the use of the field total issued nominal amount in the context of MiFIR / MAR reference data, be used for the assessment of the  “nominal amount” under BMR Article 13(1)(i) for bonds, other forms of securitised debt and money-market instruments? If not, please suggest alternative approaches</w:t>
      </w:r>
    </w:p>
    <w:p w:rsidR="009A2624" w:rsidRDefault="009A2624" w:rsidP="009A2624">
      <w:r>
        <w:t>&lt;ESMA_QUESTION_DP_BMR_71&gt;</w:t>
      </w:r>
    </w:p>
    <w:p w:rsidR="009A2624" w:rsidRDefault="009A2624" w:rsidP="009A2624">
      <w:permStart w:id="71" w:edGrp="everyone"/>
      <w:r>
        <w:t>TYPE YOUR TEXT HERE</w:t>
      </w:r>
    </w:p>
    <w:permEnd w:id="71"/>
    <w:p w:rsidR="009A2624" w:rsidRDefault="009A2624" w:rsidP="009A2624">
      <w:r>
        <w:t>&lt;ESMA_QUESTION_DP_BMR_71&gt;</w:t>
      </w:r>
    </w:p>
    <w:p w:rsidR="009A2624" w:rsidRDefault="009A2624" w:rsidP="009A2624"/>
    <w:p w:rsidR="009A2624" w:rsidRPr="007F44BF" w:rsidRDefault="009A2624" w:rsidP="002342EC">
      <w:pPr>
        <w:pStyle w:val="Questionstyle"/>
      </w:pPr>
      <w:r>
        <w:lastRenderedPageBreak/>
        <w:t xml:space="preserve">Are you aware of any </w:t>
      </w:r>
      <w:r w:rsidRPr="00520FE9">
        <w:t>shares in companies,</w:t>
      </w:r>
      <w:r>
        <w:t xml:space="preserve"> </w:t>
      </w:r>
      <w:r w:rsidRPr="00520FE9">
        <w:t>other securities equivalent to shares in companies, partnerships or other entities,</w:t>
      </w:r>
      <w:r>
        <w:t xml:space="preserve"> </w:t>
      </w:r>
      <w:r w:rsidRPr="00520FE9">
        <w:t>depositary receipts in respect of shares,</w:t>
      </w:r>
      <w:r>
        <w:t xml:space="preserve"> </w:t>
      </w:r>
      <w:r w:rsidRPr="00520FE9">
        <w:t xml:space="preserve">emission allowances </w:t>
      </w:r>
      <w:r w:rsidRPr="007F44BF">
        <w:t>for which a benchmark</w:t>
      </w:r>
      <w:r w:rsidRPr="007F44BF" w:rsidDel="00452693">
        <w:t xml:space="preserve"> </w:t>
      </w:r>
      <w:r w:rsidRPr="007F44BF">
        <w:t xml:space="preserve">is used as a reference? </w:t>
      </w:r>
    </w:p>
    <w:p w:rsidR="009A2624" w:rsidRDefault="009A2624" w:rsidP="009A2624">
      <w:r>
        <w:t>&lt;ESMA_QUESTION_DP_BMR_72&gt;</w:t>
      </w:r>
    </w:p>
    <w:p w:rsidR="009A2624" w:rsidRDefault="009A2624" w:rsidP="009A2624">
      <w:permStart w:id="72" w:edGrp="everyone"/>
      <w:r>
        <w:t>TYPE YOUR TEXT HERE</w:t>
      </w:r>
    </w:p>
    <w:permEnd w:id="72"/>
    <w:p w:rsidR="009A2624" w:rsidRDefault="009A2624" w:rsidP="009A2624">
      <w:r>
        <w:t>&lt;ESMA_QUESTION_DP_BMR_72&gt;</w:t>
      </w:r>
    </w:p>
    <w:p w:rsidR="009A2624" w:rsidRDefault="009A2624" w:rsidP="009A2624"/>
    <w:p w:rsidR="009A2624" w:rsidRPr="007F44BF" w:rsidRDefault="009A2624" w:rsidP="002342EC">
      <w:pPr>
        <w:pStyle w:val="Questionstyle"/>
      </w:pPr>
      <w:r w:rsidRPr="007F44BF">
        <w:t>Do you have any suggestion for defining the assessment of the nominal amount of these fina</w:t>
      </w:r>
      <w:r w:rsidRPr="007F44BF">
        <w:t>n</w:t>
      </w:r>
      <w:r w:rsidRPr="007F44BF">
        <w:t>cial instruments when they refer to a benchmark?</w:t>
      </w:r>
    </w:p>
    <w:p w:rsidR="009A2624" w:rsidRDefault="009A2624" w:rsidP="009A2624">
      <w:r>
        <w:t>&lt;ESMA_QUESTION_DP_BMR_73&gt;</w:t>
      </w:r>
    </w:p>
    <w:p w:rsidR="009A2624" w:rsidRDefault="009A2624" w:rsidP="009A2624">
      <w:permStart w:id="73" w:edGrp="everyone"/>
      <w:r>
        <w:t>TYPE YOUR TEXT HERE</w:t>
      </w:r>
    </w:p>
    <w:permEnd w:id="73"/>
    <w:p w:rsidR="009A2624" w:rsidRDefault="009A2624" w:rsidP="009A2624">
      <w:r>
        <w:t>&lt;ESMA_QUESTION_DP_BMR_73&gt;</w:t>
      </w:r>
    </w:p>
    <w:p w:rsidR="009A2624" w:rsidRDefault="009A2624" w:rsidP="009A2624"/>
    <w:p w:rsidR="009A2624" w:rsidRPr="007F44BF" w:rsidRDefault="009A2624" w:rsidP="002342EC">
      <w:pPr>
        <w:pStyle w:val="Questionstyle"/>
      </w:pPr>
      <w:r w:rsidRPr="007F44BF">
        <w:t>Do you agree with ESMA proposal in relation to the value of units in collective investment undertakings? If not, please explain why</w:t>
      </w:r>
    </w:p>
    <w:p w:rsidR="009A2624" w:rsidRDefault="009A2624" w:rsidP="009A2624">
      <w:r>
        <w:t>&lt;ESMA_QUESTION_DP_BMR_74&gt;</w:t>
      </w:r>
    </w:p>
    <w:p w:rsidR="009A2624" w:rsidRDefault="009A2624" w:rsidP="009A2624">
      <w:permStart w:id="74" w:edGrp="everyone"/>
      <w:r>
        <w:t>TYPE YOUR TEXT HERE</w:t>
      </w:r>
    </w:p>
    <w:permEnd w:id="74"/>
    <w:p w:rsidR="009A2624" w:rsidRDefault="009A2624" w:rsidP="009A2624">
      <w:r>
        <w:t>&lt;ESMA_QUESTION_DP_BMR_74&gt;</w:t>
      </w:r>
    </w:p>
    <w:p w:rsidR="009A2624" w:rsidRDefault="009A2624" w:rsidP="009A2624"/>
    <w:p w:rsidR="009A2624" w:rsidRPr="007F44BF" w:rsidRDefault="009A2624" w:rsidP="002342EC">
      <w:pPr>
        <w:pStyle w:val="Questionstyle"/>
      </w:pPr>
      <w:r w:rsidRPr="007F44BF">
        <w:t>Do you agree with the approach of using the notional amount, as used and defined in the EMIR reporting regime, for the assessment of notional amount of derivatives under BMR Article 13(1)(i)? If not, please suggest alternative approaches.</w:t>
      </w:r>
    </w:p>
    <w:p w:rsidR="009A2624" w:rsidRDefault="009A2624" w:rsidP="009A2624">
      <w:r>
        <w:t>&lt;ESMA_QUESTION_DP_BMR_75&gt;</w:t>
      </w:r>
    </w:p>
    <w:p w:rsidR="009A2624" w:rsidRDefault="009A2624" w:rsidP="009A2624">
      <w:permStart w:id="75" w:edGrp="everyone"/>
      <w:r>
        <w:t>TYPE YOUR TEXT HERE</w:t>
      </w:r>
    </w:p>
    <w:permEnd w:id="75"/>
    <w:p w:rsidR="009A2624" w:rsidRDefault="009A2624" w:rsidP="009A2624">
      <w:r>
        <w:t>&lt;ESMA_QUESTION_DP_BMR_75&gt;</w:t>
      </w:r>
    </w:p>
    <w:p w:rsidR="009A2624" w:rsidRDefault="009A2624" w:rsidP="009A2624"/>
    <w:p w:rsidR="009A2624" w:rsidRPr="007F44BF" w:rsidRDefault="009A2624" w:rsidP="002342EC">
      <w:pPr>
        <w:pStyle w:val="Questionstyle"/>
      </w:pPr>
      <w:r w:rsidRPr="007F44BF">
        <w:t>Which are your views on the two options proposed to assess the net asset value of investment funds? Should you have a preference for an alternative option, please provide details and explain the reasons for your preference.</w:t>
      </w:r>
    </w:p>
    <w:p w:rsidR="009A2624" w:rsidRDefault="009A2624" w:rsidP="009A2624">
      <w:r>
        <w:t>&lt;ESMA_QUESTION_DP_BMR_76&gt;</w:t>
      </w:r>
    </w:p>
    <w:p w:rsidR="009A2624" w:rsidRDefault="009A2624" w:rsidP="009A2624">
      <w:permStart w:id="76" w:edGrp="everyone"/>
      <w:r>
        <w:t>TYPE YOUR TEXT HERE</w:t>
      </w:r>
    </w:p>
    <w:permEnd w:id="76"/>
    <w:p w:rsidR="009A2624" w:rsidRDefault="009A2624" w:rsidP="009A2624">
      <w:r>
        <w:t>&lt;ESMA_QUESTION_DP_BMR_76&gt;</w:t>
      </w:r>
    </w:p>
    <w:p w:rsidR="009A2624" w:rsidRDefault="009A2624" w:rsidP="009A2624"/>
    <w:p w:rsidR="009A2624" w:rsidRPr="007F44BF" w:rsidRDefault="009A2624" w:rsidP="002342EC">
      <w:pPr>
        <w:pStyle w:val="Questionstyle"/>
      </w:pPr>
      <w:r w:rsidRPr="007F44BF">
        <w:t xml:space="preserve">Which are your views on the two approaches proposed to assess the </w:t>
      </w:r>
      <w:r w:rsidRPr="00DB2E46">
        <w:t>nominal amount of fina</w:t>
      </w:r>
      <w:r w:rsidRPr="00DB2E46">
        <w:t>n</w:t>
      </w:r>
      <w:r w:rsidRPr="00DB2E46">
        <w:t xml:space="preserve">cial instruments other than derivatives, the notional amount of derivatives </w:t>
      </w:r>
      <w:r>
        <w:t xml:space="preserve">and the </w:t>
      </w:r>
      <w:r w:rsidRPr="007F44BF">
        <w:t xml:space="preserve">net asset value of an investment fund referencing a benchmark within a combination of </w:t>
      </w:r>
      <w:r>
        <w:t>benchmarks</w:t>
      </w:r>
      <w:r w:rsidRPr="007F44BF">
        <w:t>? Please provide details and explain the reasons for your preference. Do you think there are other possible approaches? If yes, please explain.</w:t>
      </w:r>
    </w:p>
    <w:p w:rsidR="009A2624" w:rsidRDefault="009A2624" w:rsidP="009A2624">
      <w:r>
        <w:t>&lt;ESMA_QUESTION_DP_BMR_77&gt;</w:t>
      </w:r>
    </w:p>
    <w:p w:rsidR="009A2624" w:rsidRDefault="009A2624" w:rsidP="009A2624">
      <w:permStart w:id="77" w:edGrp="everyone"/>
      <w:r>
        <w:t>TYPE YOUR TEXT HERE</w:t>
      </w:r>
    </w:p>
    <w:permEnd w:id="77"/>
    <w:p w:rsidR="009A2624" w:rsidRDefault="009A2624" w:rsidP="009A2624">
      <w:r>
        <w:t>&lt;ESMA_QUESTION_DP_BMR_77&gt;</w:t>
      </w:r>
    </w:p>
    <w:p w:rsidR="009A2624" w:rsidRDefault="009A2624" w:rsidP="009A2624"/>
    <w:p w:rsidR="009A2624" w:rsidRPr="007F44BF" w:rsidRDefault="009A2624" w:rsidP="002342EC">
      <w:pPr>
        <w:pStyle w:val="Questionstyle"/>
      </w:pPr>
      <w:r w:rsidRPr="007F44BF">
        <w:rPr>
          <w:bCs/>
          <w:iCs/>
        </w:rPr>
        <w:t xml:space="preserve">Do you agree with the ‘relative impact’ approach, i.e. define one or more value and “ratios” for each of the five areas (markets integrity; or financial stability; or consumers; or the real economy; or </w:t>
      </w:r>
      <w:r w:rsidRPr="007F44BF">
        <w:rPr>
          <w:bCs/>
          <w:iCs/>
        </w:rPr>
        <w:lastRenderedPageBreak/>
        <w:t xml:space="preserve">the financing of households and corporations) that need to be assessed according to </w:t>
      </w:r>
      <w:r w:rsidRPr="007F44BF">
        <w:t>Article 13(1)(c), subparagraph (iii)? If not, please elaborate on other options that you consider more suitable.</w:t>
      </w:r>
    </w:p>
    <w:p w:rsidR="009A2624" w:rsidRDefault="009A2624" w:rsidP="009A2624">
      <w:r>
        <w:t>&lt;ESMA_QUESTION_DP_BMR_78&gt;</w:t>
      </w:r>
    </w:p>
    <w:p w:rsidR="009A2624" w:rsidRDefault="009A2624" w:rsidP="009A2624">
      <w:permStart w:id="78" w:edGrp="everyone"/>
      <w:r>
        <w:t>TYPE YOUR TEXT HERE</w:t>
      </w:r>
    </w:p>
    <w:permEnd w:id="78"/>
    <w:p w:rsidR="009A2624" w:rsidRDefault="009A2624" w:rsidP="009A2624">
      <w:r>
        <w:t>&lt;ESMA_QUESTION_DP_BMR_78&gt;</w:t>
      </w:r>
    </w:p>
    <w:p w:rsidR="009A2624" w:rsidRDefault="009A2624" w:rsidP="009A2624"/>
    <w:p w:rsidR="009A2624" w:rsidRPr="007F44BF" w:rsidRDefault="009A2624" w:rsidP="002342EC">
      <w:pPr>
        <w:pStyle w:val="Questionstyle"/>
        <w:rPr>
          <w:bCs/>
          <w:iCs/>
        </w:rPr>
      </w:pPr>
      <w:r w:rsidRPr="007F44BF">
        <w:t xml:space="preserve">What kind of other objective grounds could be used to assess the potential impact of the discontinuity or unreliability of the benchmark besides the ones mentioned above (e.g. GDP, consumer credit agreement etc.)? </w:t>
      </w:r>
    </w:p>
    <w:p w:rsidR="009A2624" w:rsidRDefault="009A2624" w:rsidP="009A2624">
      <w:r>
        <w:t>&lt;ESMA_QUESTION_DP_BMR_79&gt;</w:t>
      </w:r>
    </w:p>
    <w:p w:rsidR="009A2624" w:rsidRDefault="009A2624" w:rsidP="009A2624">
      <w:permStart w:id="79" w:edGrp="everyone"/>
      <w:r>
        <w:t>TYPE YOUR TEXT HERE</w:t>
      </w:r>
    </w:p>
    <w:permEnd w:id="79"/>
    <w:p w:rsidR="009A2624" w:rsidRDefault="009A2624" w:rsidP="009A2624">
      <w:r>
        <w:t>&lt;ESMA_QUESTION_DP_BMR_79&gt;</w:t>
      </w:r>
    </w:p>
    <w:p w:rsidR="009A2624" w:rsidRDefault="009A2624" w:rsidP="009A2624"/>
    <w:p w:rsidR="009A2624" w:rsidRPr="007F44BF" w:rsidRDefault="009A2624" w:rsidP="002342EC">
      <w:pPr>
        <w:pStyle w:val="Questionstyle"/>
      </w:pPr>
      <w:r w:rsidRPr="007F44BF">
        <w:t>Do you agree with ESMA’s approach to further define the above criteria? Particularly, do you think that ESMA should develop more concrete guidance for the possible rejection of the NCA under Article 14c para 2? Do you believe that NCAs should take into consideration additional elements in their assessment?</w:t>
      </w:r>
    </w:p>
    <w:p w:rsidR="009A2624" w:rsidRDefault="009A2624" w:rsidP="009A2624">
      <w:r>
        <w:t>&lt;ESMA_QUESTION_DP_BMR_80&gt;</w:t>
      </w:r>
    </w:p>
    <w:p w:rsidR="009A2624" w:rsidRDefault="009A2624" w:rsidP="009A2624">
      <w:permStart w:id="80" w:edGrp="everyone"/>
      <w:r>
        <w:t>TYPE YOUR TEXT HERE</w:t>
      </w:r>
    </w:p>
    <w:permEnd w:id="80"/>
    <w:p w:rsidR="009A2624" w:rsidRDefault="009A2624" w:rsidP="009A2624">
      <w:r>
        <w:t>&lt;ESMA_QUESTION_DP_BMR_80&gt;</w:t>
      </w:r>
    </w:p>
    <w:p w:rsidR="009A2624" w:rsidRDefault="009A2624" w:rsidP="009A2624"/>
    <w:p w:rsidR="009A2624" w:rsidRPr="007F44BF" w:rsidRDefault="009A2624" w:rsidP="002342EC">
      <w:pPr>
        <w:pStyle w:val="Questionstyle"/>
      </w:pPr>
      <w:r w:rsidRPr="007F44BF">
        <w:t>Do you think that the fields identified for the template are sufficient for the competent autho</w:t>
      </w:r>
      <w:r w:rsidRPr="007F44BF">
        <w:t>r</w:t>
      </w:r>
      <w:r w:rsidRPr="007F44BF">
        <w:t>ity and the stakeholders to form an opinion on the representativeness, reliability and integrity of a benchmark, notwithstanding the non-application of some material requirements? Could you suggest additional fields?</w:t>
      </w:r>
    </w:p>
    <w:p w:rsidR="009A2624" w:rsidRDefault="009A2624" w:rsidP="009A2624">
      <w:r>
        <w:t>&lt;ESMA_QUESTION_DP_BMR_81&gt;</w:t>
      </w:r>
    </w:p>
    <w:p w:rsidR="009A2624" w:rsidRPr="00B6434B" w:rsidRDefault="00B6434B" w:rsidP="00B6434B">
      <w:pPr>
        <w:jc w:val="both"/>
        <w:rPr>
          <w:rFonts w:cs="Arial"/>
          <w:sz w:val="24"/>
          <w:lang w:val="en-US"/>
        </w:rPr>
      </w:pPr>
      <w:permStart w:id="81" w:edGrp="everyone"/>
      <w:r w:rsidRPr="00B6434B">
        <w:rPr>
          <w:rFonts w:cs="Arial"/>
          <w:sz w:val="24"/>
          <w:lang w:val="en-US"/>
        </w:rPr>
        <w:t>The proposed template for non-significant benchmarks is the same as the one for signi</w:t>
      </w:r>
      <w:r w:rsidRPr="00B6434B">
        <w:rPr>
          <w:rFonts w:cs="Arial"/>
          <w:sz w:val="24"/>
          <w:lang w:val="en-US"/>
        </w:rPr>
        <w:t>f</w:t>
      </w:r>
      <w:r w:rsidRPr="00B6434B">
        <w:rPr>
          <w:rFonts w:cs="Arial"/>
          <w:sz w:val="24"/>
          <w:lang w:val="en-US"/>
        </w:rPr>
        <w:t>icant benchmarks. We would suggest that, in compliance with the proportionality princ</w:t>
      </w:r>
      <w:r w:rsidRPr="00B6434B">
        <w:rPr>
          <w:rFonts w:cs="Arial"/>
          <w:sz w:val="24"/>
          <w:lang w:val="en-US"/>
        </w:rPr>
        <w:t>i</w:t>
      </w:r>
      <w:r w:rsidRPr="00B6434B">
        <w:rPr>
          <w:rFonts w:cs="Arial"/>
          <w:sz w:val="24"/>
          <w:lang w:val="en-US"/>
        </w:rPr>
        <w:t xml:space="preserve">ple recognized throughout the BMR, the explanations provided in order to justify the non-application of certain provisions could be less detailed in respect of non-significant benchmarks. </w:t>
      </w:r>
    </w:p>
    <w:permEnd w:id="81"/>
    <w:p w:rsidR="009A2624" w:rsidRDefault="009A2624" w:rsidP="009A2624">
      <w:r>
        <w:t>&lt;ESMA_QUESTION_DP_BMR_81&gt;</w:t>
      </w:r>
    </w:p>
    <w:p w:rsidR="009A2624" w:rsidRDefault="009A2624" w:rsidP="009A2624"/>
    <w:p w:rsidR="009A2624" w:rsidRPr="007F44BF" w:rsidRDefault="009A2624" w:rsidP="002342EC">
      <w:pPr>
        <w:pStyle w:val="Questionstyle"/>
      </w:pPr>
      <w:r w:rsidRPr="007F44BF">
        <w:t>Do you agree with the suggested minimum aspects for defining the market or economic reality measured by the benchmark?</w:t>
      </w:r>
    </w:p>
    <w:p w:rsidR="009A2624" w:rsidRDefault="009A2624" w:rsidP="009A2624">
      <w:r>
        <w:t>&lt;ESMA_QUESTION_DP_BMR_82&gt;</w:t>
      </w:r>
    </w:p>
    <w:p w:rsidR="00B6434B" w:rsidRDefault="00B6434B" w:rsidP="00B6434B">
      <w:pPr>
        <w:jc w:val="both"/>
        <w:rPr>
          <w:rFonts w:cs="Arial"/>
          <w:sz w:val="24"/>
          <w:lang w:val="en-US"/>
        </w:rPr>
      </w:pPr>
      <w:permStart w:id="82" w:edGrp="everyone"/>
      <w:r w:rsidRPr="00B6434B">
        <w:rPr>
          <w:rFonts w:cs="Arial"/>
          <w:sz w:val="24"/>
          <w:lang w:val="en-US"/>
        </w:rPr>
        <w:t xml:space="preserve">Bearing in mind that the BMR provides a broad definition of benchmark, we understand that suggested minimum aspects may not be appropriate in all cases. </w:t>
      </w:r>
    </w:p>
    <w:p w:rsidR="00B6434B" w:rsidRPr="00B6434B" w:rsidRDefault="00B6434B" w:rsidP="00B6434B">
      <w:pPr>
        <w:jc w:val="both"/>
        <w:rPr>
          <w:rFonts w:cs="Arial"/>
          <w:sz w:val="24"/>
          <w:lang w:val="en-US"/>
        </w:rPr>
      </w:pPr>
    </w:p>
    <w:p w:rsidR="009A2624" w:rsidRPr="00B6434B" w:rsidRDefault="00B6434B" w:rsidP="00B6434B">
      <w:pPr>
        <w:jc w:val="both"/>
        <w:rPr>
          <w:rFonts w:cs="Arial"/>
          <w:sz w:val="24"/>
          <w:lang w:val="en-US"/>
        </w:rPr>
      </w:pPr>
      <w:r w:rsidRPr="00B6434B">
        <w:rPr>
          <w:rFonts w:cs="Arial"/>
          <w:sz w:val="24"/>
          <w:lang w:val="en-US"/>
        </w:rPr>
        <w:t>For instance, in the case of an hypothetical index computed as the average share price of two companies weighting 50% each (both shares listed in a trading venue), it is not clear how the administrator would describe some of the proposed aspects such as the market access and market participants or the size of the market. In fact, in our opinion, regulated-data benchmarks should be exempted from the general requirements for</w:t>
      </w:r>
      <w:r w:rsidRPr="00B6434B">
        <w:rPr>
          <w:rFonts w:cs="Arial"/>
          <w:sz w:val="24"/>
          <w:lang w:val="en-US"/>
        </w:rPr>
        <w:t>e</w:t>
      </w:r>
      <w:r w:rsidRPr="00B6434B">
        <w:rPr>
          <w:rFonts w:cs="Arial"/>
          <w:sz w:val="24"/>
          <w:lang w:val="en-US"/>
        </w:rPr>
        <w:lastRenderedPageBreak/>
        <w:t>seen in section 11.3 of the Discussion Paper and the only requirements applicable to this kind of benchmarks with regard to the benchmark statement should be those stip</w:t>
      </w:r>
      <w:r w:rsidRPr="00B6434B">
        <w:rPr>
          <w:rFonts w:cs="Arial"/>
          <w:sz w:val="24"/>
          <w:lang w:val="en-US"/>
        </w:rPr>
        <w:t>u</w:t>
      </w:r>
      <w:r w:rsidRPr="00B6434B">
        <w:rPr>
          <w:rFonts w:cs="Arial"/>
          <w:sz w:val="24"/>
          <w:lang w:val="en-US"/>
        </w:rPr>
        <w:t xml:space="preserve">lated in section 11.4.3 of the Discussion Paper (essentially, a clear indication that the benchmark is a regulated data benchmark, what kind of data is used to determine it and who regulates this data). Otherwise, further clarification should be provided on how to describe the general aspects suggested in section 11.3. Examples in this regard would be welcomed. </w:t>
      </w:r>
    </w:p>
    <w:permEnd w:id="82"/>
    <w:p w:rsidR="009A2624" w:rsidRDefault="009A2624" w:rsidP="009A2624">
      <w:r>
        <w:t>&lt;ESMA_QUESTION_DP_BMR_82&gt;</w:t>
      </w:r>
    </w:p>
    <w:p w:rsidR="009A2624" w:rsidRDefault="009A2624" w:rsidP="009A2624"/>
    <w:p w:rsidR="009A2624" w:rsidRPr="007F44BF" w:rsidRDefault="009A2624" w:rsidP="002342EC">
      <w:pPr>
        <w:pStyle w:val="Questionstyle"/>
      </w:pPr>
      <w:r w:rsidRPr="007F44BF">
        <w:t>Do you think the circumstances under which a benchmark determination may become unrel</w:t>
      </w:r>
      <w:r w:rsidRPr="007F44BF">
        <w:t>i</w:t>
      </w:r>
      <w:r w:rsidRPr="007F44BF">
        <w:t>able can be sufficiently described by the suggested aspects?</w:t>
      </w:r>
    </w:p>
    <w:p w:rsidR="009A2624" w:rsidRDefault="009A2624" w:rsidP="009A2624">
      <w:r>
        <w:t>&lt;ESMA_QUESTION_DP_BMR_83&gt;</w:t>
      </w:r>
    </w:p>
    <w:p w:rsidR="009A2624" w:rsidRDefault="009A2624" w:rsidP="009A2624">
      <w:permStart w:id="83" w:edGrp="everyone"/>
      <w:r>
        <w:t>TYPE YOUR TEXT HERE</w:t>
      </w:r>
    </w:p>
    <w:permEnd w:id="83"/>
    <w:p w:rsidR="009A2624" w:rsidRDefault="009A2624" w:rsidP="009A2624">
      <w:r>
        <w:t>&lt;ESMA_QUESTION_DP_BMR_83&gt;</w:t>
      </w:r>
    </w:p>
    <w:p w:rsidR="009A2624" w:rsidRDefault="009A2624" w:rsidP="009A2624"/>
    <w:p w:rsidR="009A2624" w:rsidRPr="007F44BF" w:rsidRDefault="009A2624" w:rsidP="002342EC">
      <w:pPr>
        <w:pStyle w:val="Questionstyle"/>
      </w:pPr>
      <w:r w:rsidRPr="007F44BF">
        <w:rPr>
          <w:bCs/>
        </w:rPr>
        <w:t>Do you agree with the minimum information on the exercise of discretion to be included in the benchmark statement?</w:t>
      </w:r>
    </w:p>
    <w:p w:rsidR="009A2624" w:rsidRDefault="009A2624" w:rsidP="009A2624">
      <w:r>
        <w:t>&lt;ESMA_QUESTION_DP_BMR_84&gt;</w:t>
      </w:r>
    </w:p>
    <w:p w:rsidR="009A2624" w:rsidRDefault="009A2624" w:rsidP="009A2624">
      <w:permStart w:id="84" w:edGrp="everyone"/>
      <w:r>
        <w:t>TYPE YOUR TEXT HERE</w:t>
      </w:r>
    </w:p>
    <w:permEnd w:id="84"/>
    <w:p w:rsidR="009A2624" w:rsidRDefault="009A2624" w:rsidP="009A2624">
      <w:r>
        <w:t>&lt;ESMA_QUESTION_DP_BMR_84&gt;</w:t>
      </w:r>
    </w:p>
    <w:p w:rsidR="009A2624" w:rsidRDefault="009A2624" w:rsidP="009A2624"/>
    <w:p w:rsidR="009A2624" w:rsidRPr="007F44BF" w:rsidRDefault="009A2624" w:rsidP="002342EC">
      <w:pPr>
        <w:pStyle w:val="Questionstyle"/>
        <w:rPr>
          <w:bCs/>
        </w:rPr>
      </w:pPr>
      <w:r w:rsidRPr="007F44BF">
        <w:rPr>
          <w:bCs/>
        </w:rPr>
        <w:t>Are there any further precise minimum contents for a benchmark statement that should apply to each benchmark beyond those stated in Art. 15(2) points (a) to (g) BMR?</w:t>
      </w:r>
    </w:p>
    <w:p w:rsidR="009A2624" w:rsidRDefault="009A2624" w:rsidP="009A2624">
      <w:r>
        <w:t>&lt;ESMA_QUESTION_DP_BMR_85&gt;</w:t>
      </w:r>
    </w:p>
    <w:p w:rsidR="009A2624" w:rsidRDefault="009A2624" w:rsidP="009A2624">
      <w:permStart w:id="85" w:edGrp="everyone"/>
      <w:r>
        <w:t>TYPE YOUR TEXT HERE</w:t>
      </w:r>
    </w:p>
    <w:permEnd w:id="85"/>
    <w:p w:rsidR="009A2624" w:rsidRDefault="009A2624" w:rsidP="009A2624">
      <w:r>
        <w:t>&lt;ESMA_QUESTION_DP_BMR_85&gt;</w:t>
      </w:r>
    </w:p>
    <w:p w:rsidR="009A2624" w:rsidRDefault="009A2624" w:rsidP="009A2624"/>
    <w:p w:rsidR="009A2624" w:rsidRPr="007F44BF" w:rsidRDefault="009A2624" w:rsidP="002342EC">
      <w:pPr>
        <w:pStyle w:val="Questionstyle"/>
        <w:rPr>
          <w:bCs/>
        </w:rPr>
      </w:pPr>
      <w:r w:rsidRPr="007F44BF">
        <w:rPr>
          <w:bCs/>
        </w:rPr>
        <w:t>Do you agree that a concise description of the additional requirements including references, if any, would be sufficient for the information purposes of the benchmark statement for interest rate benchmarks?</w:t>
      </w:r>
    </w:p>
    <w:p w:rsidR="009A2624" w:rsidRDefault="009A2624" w:rsidP="009A2624">
      <w:r>
        <w:t>&lt;ESMA_QUESTION_DP_BMR_86&gt;</w:t>
      </w:r>
    </w:p>
    <w:p w:rsidR="009A2624" w:rsidRDefault="009A2624" w:rsidP="009A2624">
      <w:permStart w:id="86" w:edGrp="everyone"/>
      <w:r>
        <w:t>TYPE YOUR TEXT HERE</w:t>
      </w:r>
    </w:p>
    <w:permEnd w:id="86"/>
    <w:p w:rsidR="009A2624" w:rsidRDefault="009A2624" w:rsidP="009A2624">
      <w:r>
        <w:t>&lt;ESMA_QUESTION_DP_BMR_86&gt;</w:t>
      </w:r>
    </w:p>
    <w:p w:rsidR="009A2624" w:rsidRDefault="009A2624" w:rsidP="009A2624"/>
    <w:p w:rsidR="009A2624" w:rsidRPr="007F44BF" w:rsidRDefault="009A2624" w:rsidP="002342EC">
      <w:pPr>
        <w:pStyle w:val="Questionstyle"/>
      </w:pPr>
      <w:r w:rsidRPr="007F44BF">
        <w:t>Do you agree that the statement for commodity benchmarks should be delimited as d</w:t>
      </w:r>
      <w:r w:rsidRPr="007F44BF">
        <w:t>e</w:t>
      </w:r>
      <w:r w:rsidRPr="007F44BF">
        <w:t>scribed? Otherwise, what other information would be essential in your opinion?</w:t>
      </w:r>
    </w:p>
    <w:p w:rsidR="009A2624" w:rsidRDefault="009A2624" w:rsidP="009A2624">
      <w:r>
        <w:t>&lt;ESMA_QUESTION_DP_BMR_87&gt;</w:t>
      </w:r>
    </w:p>
    <w:p w:rsidR="009A2624" w:rsidRDefault="009A2624" w:rsidP="009A2624">
      <w:permStart w:id="87" w:edGrp="everyone"/>
      <w:r>
        <w:t>TYPE YOUR TEXT HERE</w:t>
      </w:r>
    </w:p>
    <w:permEnd w:id="87"/>
    <w:p w:rsidR="009A2624" w:rsidRDefault="009A2624" w:rsidP="009A2624">
      <w:r>
        <w:t>&lt;ESMA_QUESTION_DP_BMR_87&gt;</w:t>
      </w:r>
    </w:p>
    <w:p w:rsidR="009A2624" w:rsidRDefault="009A2624" w:rsidP="009A2624"/>
    <w:p w:rsidR="009A2624" w:rsidRPr="007F44BF" w:rsidRDefault="009A2624" w:rsidP="002342EC">
      <w:pPr>
        <w:pStyle w:val="Questionstyle"/>
        <w:rPr>
          <w:bCs/>
        </w:rPr>
      </w:pPr>
      <w:r w:rsidRPr="007F44BF">
        <w:rPr>
          <w:bCs/>
        </w:rPr>
        <w:t>Do you agree with ESMA's approach not to include further material requirements for the content of benchmark statements regarding regulated-data benchmarks?</w:t>
      </w:r>
    </w:p>
    <w:p w:rsidR="009A2624" w:rsidRDefault="009A2624" w:rsidP="009A2624">
      <w:r>
        <w:t>&lt;ESMA_QUESTION_DP_BMR_88&gt;</w:t>
      </w:r>
    </w:p>
    <w:p w:rsidR="009A2624" w:rsidRPr="00B6434B" w:rsidRDefault="00B6434B" w:rsidP="00B6434B">
      <w:pPr>
        <w:jc w:val="both"/>
        <w:rPr>
          <w:rFonts w:cs="Arial"/>
          <w:sz w:val="24"/>
          <w:lang w:val="en-US"/>
        </w:rPr>
      </w:pPr>
      <w:permStart w:id="88" w:edGrp="everyone"/>
      <w:r w:rsidRPr="00B6434B">
        <w:rPr>
          <w:rFonts w:cs="Arial"/>
          <w:sz w:val="24"/>
          <w:lang w:val="en-US"/>
        </w:rPr>
        <w:t xml:space="preserve">Please, our response to Q82 above. </w:t>
      </w:r>
    </w:p>
    <w:permEnd w:id="88"/>
    <w:p w:rsidR="009A2624" w:rsidRDefault="009A2624" w:rsidP="009A2624">
      <w:r>
        <w:t>&lt;ESMA_QUESTION_DP_BMR_88&gt;</w:t>
      </w:r>
    </w:p>
    <w:p w:rsidR="009A2624" w:rsidRDefault="009A2624" w:rsidP="009A2624"/>
    <w:p w:rsidR="009A2624" w:rsidRPr="007F44BF" w:rsidRDefault="009A2624" w:rsidP="002342EC">
      <w:pPr>
        <w:pStyle w:val="Questionstyle"/>
        <w:rPr>
          <w:bCs/>
        </w:rPr>
      </w:pPr>
      <w:r w:rsidRPr="007F44BF">
        <w:rPr>
          <w:bCs/>
        </w:rPr>
        <w:t>Do you agree with the suggested additional content required for statements regarding critical benchmarks? If not, please precise why and indicate what alternative or additional information you consider appropriate in case a benchmark qualifies as critical.</w:t>
      </w:r>
    </w:p>
    <w:p w:rsidR="009A2624" w:rsidRDefault="009A2624" w:rsidP="009A2624">
      <w:r>
        <w:t>&lt;ESMA_QUESTION_DP_BMR_89&gt;</w:t>
      </w:r>
    </w:p>
    <w:p w:rsidR="009A2624" w:rsidRDefault="009A2624" w:rsidP="009A2624">
      <w:permStart w:id="89" w:edGrp="everyone"/>
      <w:r>
        <w:t>TYPE YOUR TEXT HERE</w:t>
      </w:r>
    </w:p>
    <w:permEnd w:id="89"/>
    <w:p w:rsidR="009A2624" w:rsidRDefault="009A2624" w:rsidP="009A2624">
      <w:r>
        <w:t>&lt;ESMA_QUESTION_DP_BMR_89&gt;</w:t>
      </w:r>
    </w:p>
    <w:p w:rsidR="009A2624" w:rsidRDefault="009A2624" w:rsidP="009A2624"/>
    <w:p w:rsidR="009A2624" w:rsidRPr="007F44BF" w:rsidRDefault="009A2624" w:rsidP="002342EC">
      <w:pPr>
        <w:pStyle w:val="Questionstyle"/>
      </w:pPr>
      <w:r w:rsidRPr="007F44BF">
        <w:t>Do you agree with the suggested additional requirements for significant benchmarks? Which of the three options proposed you prefer, and why?</w:t>
      </w:r>
    </w:p>
    <w:p w:rsidR="009A2624" w:rsidRDefault="009A2624" w:rsidP="009A2624">
      <w:r>
        <w:t>&lt;ESMA_QUESTION_DP_BMR_90&gt;</w:t>
      </w:r>
    </w:p>
    <w:p w:rsidR="009A2624" w:rsidRPr="00B6434B" w:rsidRDefault="00B6434B" w:rsidP="00B6434B">
      <w:pPr>
        <w:jc w:val="both"/>
        <w:rPr>
          <w:rFonts w:cs="Arial"/>
          <w:sz w:val="24"/>
          <w:lang w:val="en-US"/>
        </w:rPr>
      </w:pPr>
      <w:permStart w:id="90" w:edGrp="everyone"/>
      <w:r w:rsidRPr="00B6434B">
        <w:rPr>
          <w:rFonts w:cs="Arial"/>
          <w:sz w:val="24"/>
          <w:lang w:val="en-US"/>
        </w:rPr>
        <w:t>We appreciate the flexibility for administrators of significant benchmarks not to apply certain requirements, and we suggest that administrators disclose in the compliance statement the elements of information described in option one: the indication that the administrator has lawfully decided not to apply some provisions of the Regulation and the location of the compliance statement. This would represent a more streamlined a</w:t>
      </w:r>
      <w:r w:rsidRPr="00B6434B">
        <w:rPr>
          <w:rFonts w:cs="Arial"/>
          <w:sz w:val="24"/>
          <w:lang w:val="en-US"/>
        </w:rPr>
        <w:t>p</w:t>
      </w:r>
      <w:r w:rsidRPr="00B6434B">
        <w:rPr>
          <w:rFonts w:cs="Arial"/>
          <w:sz w:val="24"/>
          <w:lang w:val="en-US"/>
        </w:rPr>
        <w:t>proach to disclosure and would not unduly raise the cost of issuance.</w:t>
      </w:r>
    </w:p>
    <w:permEnd w:id="90"/>
    <w:p w:rsidR="009A2624" w:rsidRDefault="009A2624" w:rsidP="009A2624">
      <w:r>
        <w:t>&lt;ESMA_QUESTION_DP_BMR_90&gt;</w:t>
      </w:r>
    </w:p>
    <w:p w:rsidR="009A2624" w:rsidRDefault="009A2624" w:rsidP="009A2624"/>
    <w:p w:rsidR="009A2624" w:rsidRPr="007F44BF" w:rsidRDefault="009A2624" w:rsidP="002342EC">
      <w:pPr>
        <w:pStyle w:val="Questionstyle"/>
      </w:pPr>
      <w:r w:rsidRPr="007F44BF">
        <w:t>Do you agree with the suggested additional requirements for non-significant benchmarks? If not, please explain why and indicate what alternative or additional information you consider appr</w:t>
      </w:r>
      <w:r w:rsidRPr="007F44BF">
        <w:t>o</w:t>
      </w:r>
      <w:r w:rsidRPr="007F44BF">
        <w:t xml:space="preserve">priate in case a benchmark is non-significant.  </w:t>
      </w:r>
    </w:p>
    <w:p w:rsidR="009A2624" w:rsidRDefault="009A2624" w:rsidP="009A2624">
      <w:r>
        <w:t>&lt;ESMA_QUESTION_DP_BMR_91&gt;</w:t>
      </w:r>
    </w:p>
    <w:p w:rsidR="00FA4E39" w:rsidRPr="00FA4E39" w:rsidRDefault="00FA4E39" w:rsidP="00FA4E39">
      <w:pPr>
        <w:jc w:val="both"/>
        <w:rPr>
          <w:rFonts w:cs="Arial"/>
          <w:sz w:val="24"/>
          <w:lang w:val="en-US"/>
        </w:rPr>
      </w:pPr>
      <w:permStart w:id="91" w:edGrp="everyone"/>
      <w:r w:rsidRPr="00FA4E39">
        <w:rPr>
          <w:rFonts w:cs="Arial"/>
          <w:sz w:val="24"/>
          <w:lang w:val="en-US"/>
        </w:rPr>
        <w:t xml:space="preserve">We appreciate the flexibility for administrators of non- significant benchmarks not to apply certain requirements (in consistency with the proportionality principle recognized throughout the BMR), and we suggest that administrators disclose in the compliance statement the elements of information described in option one: the indication that the administrator has lawfully decided not to apply some provisions of the Regulation and the location of the compliance statement. </w:t>
      </w:r>
    </w:p>
    <w:p w:rsidR="00FA4E39" w:rsidRPr="00FA4E39" w:rsidRDefault="00FA4E39" w:rsidP="00FA4E39">
      <w:pPr>
        <w:jc w:val="both"/>
        <w:rPr>
          <w:rFonts w:cs="Arial"/>
          <w:sz w:val="24"/>
          <w:lang w:val="en-US"/>
        </w:rPr>
      </w:pPr>
    </w:p>
    <w:p w:rsidR="00FA4E39" w:rsidRPr="00FA4E39" w:rsidRDefault="00FA4E39" w:rsidP="00FA4E39">
      <w:pPr>
        <w:jc w:val="both"/>
        <w:rPr>
          <w:rFonts w:cs="Arial"/>
          <w:sz w:val="24"/>
          <w:lang w:val="en-US"/>
        </w:rPr>
      </w:pPr>
      <w:r w:rsidRPr="00FA4E39">
        <w:rPr>
          <w:rFonts w:cs="Arial"/>
          <w:sz w:val="24"/>
          <w:lang w:val="en-US"/>
        </w:rPr>
        <w:t>The additional information suggested in options 2 and 3 will already be contained in the compliance statement so the transparency purpose pursued would have been already met; thus option 1 avoids unnecessary administrative burdens for administrators and duplications. In short, option 1 would represent a more streamlined approach to discl</w:t>
      </w:r>
      <w:r w:rsidRPr="00FA4E39">
        <w:rPr>
          <w:rFonts w:cs="Arial"/>
          <w:sz w:val="24"/>
          <w:lang w:val="en-US"/>
        </w:rPr>
        <w:t>o</w:t>
      </w:r>
      <w:r w:rsidRPr="00FA4E39">
        <w:rPr>
          <w:rFonts w:cs="Arial"/>
          <w:sz w:val="24"/>
          <w:lang w:val="en-US"/>
        </w:rPr>
        <w:t xml:space="preserve">sure and would not unduly raise the cost of issuance. </w:t>
      </w:r>
    </w:p>
    <w:permEnd w:id="91"/>
    <w:p w:rsidR="009A2624" w:rsidRDefault="009A2624" w:rsidP="009A2624">
      <w:r>
        <w:t>&lt;ESMA_QUESTION_DP_BMR_91&gt;</w:t>
      </w:r>
    </w:p>
    <w:p w:rsidR="009A2624" w:rsidRDefault="009A2624" w:rsidP="009A2624"/>
    <w:p w:rsidR="009A2624" w:rsidRPr="007F44BF" w:rsidRDefault="009A2624" w:rsidP="002342EC">
      <w:pPr>
        <w:pStyle w:val="Questionstyle"/>
      </w:pPr>
      <w:r w:rsidRPr="007F44BF">
        <w:t>Are there any further contents for a benchmark statement that should apply to the various classes of benchmarks identified in this chapter?</w:t>
      </w:r>
    </w:p>
    <w:p w:rsidR="009A2624" w:rsidRDefault="009A2624" w:rsidP="009A2624">
      <w:r>
        <w:t>&lt;ESMA_QUESTION_DP_BMR_92&gt;</w:t>
      </w:r>
    </w:p>
    <w:p w:rsidR="009A2624" w:rsidRDefault="009A2624" w:rsidP="009A2624">
      <w:permStart w:id="92" w:edGrp="everyone"/>
      <w:r>
        <w:t>TYPE YOUR TEXT HERE</w:t>
      </w:r>
    </w:p>
    <w:permEnd w:id="92"/>
    <w:p w:rsidR="009A2624" w:rsidRDefault="009A2624" w:rsidP="009A2624">
      <w:r>
        <w:t>&lt;ESMA_QUESTION_DP_BMR_92&gt;</w:t>
      </w:r>
    </w:p>
    <w:p w:rsidR="009A2624" w:rsidRDefault="009A2624" w:rsidP="009A2624"/>
    <w:p w:rsidR="009A2624" w:rsidRPr="007F44BF" w:rsidRDefault="009A2624" w:rsidP="002342EC">
      <w:pPr>
        <w:pStyle w:val="Questionstyle"/>
      </w:pPr>
      <w:r w:rsidRPr="007F44BF">
        <w:rPr>
          <w:rFonts w:eastAsia="Times New Roman"/>
        </w:rPr>
        <w:lastRenderedPageBreak/>
        <w:t xml:space="preserve">Do you </w:t>
      </w:r>
      <w:r w:rsidRPr="007F44BF">
        <w:t>agree with the approach outlined above regarding information of a general nature and financial information? Do you see any particular cases, such as certain types of providers, for which these requirements need to be adapted?</w:t>
      </w:r>
    </w:p>
    <w:p w:rsidR="009A2624" w:rsidRDefault="009A2624" w:rsidP="009A2624">
      <w:r>
        <w:t>&lt;ESMA_QUESTION_DP_BMR_93&gt;</w:t>
      </w:r>
    </w:p>
    <w:p w:rsidR="00FA4E39" w:rsidRDefault="00FA4E39" w:rsidP="00FA4E39">
      <w:pPr>
        <w:jc w:val="both"/>
        <w:rPr>
          <w:rFonts w:cs="Arial"/>
          <w:sz w:val="24"/>
          <w:lang w:val="en-US"/>
        </w:rPr>
      </w:pPr>
      <w:permStart w:id="93" w:edGrp="everyone"/>
      <w:r w:rsidRPr="00FA4E39">
        <w:rPr>
          <w:rFonts w:cs="Arial"/>
          <w:sz w:val="24"/>
          <w:lang w:val="en-US"/>
        </w:rPr>
        <w:t>While we appreciate that many of the elements may be important for a new administr</w:t>
      </w:r>
      <w:r w:rsidRPr="00FA4E39">
        <w:rPr>
          <w:rFonts w:cs="Arial"/>
          <w:sz w:val="24"/>
          <w:lang w:val="en-US"/>
        </w:rPr>
        <w:t>a</w:t>
      </w:r>
      <w:r w:rsidRPr="00FA4E39">
        <w:rPr>
          <w:rFonts w:cs="Arial"/>
          <w:sz w:val="24"/>
          <w:lang w:val="en-US"/>
        </w:rPr>
        <w:t xml:space="preserve">tor, much of the required information will be already well known by national competent authorities of supervised or listed entities. For these institutions, </w:t>
      </w:r>
      <w:proofErr w:type="spellStart"/>
      <w:r w:rsidRPr="00FA4E39">
        <w:rPr>
          <w:rFonts w:cs="Arial"/>
          <w:sz w:val="24"/>
          <w:lang w:val="en-US"/>
        </w:rPr>
        <w:t>authorisation</w:t>
      </w:r>
      <w:proofErr w:type="spellEnd"/>
      <w:r w:rsidRPr="00FA4E39">
        <w:rPr>
          <w:rFonts w:cs="Arial"/>
          <w:sz w:val="24"/>
          <w:lang w:val="en-US"/>
        </w:rPr>
        <w:t>/ registr</w:t>
      </w:r>
      <w:r w:rsidRPr="00FA4E39">
        <w:rPr>
          <w:rFonts w:cs="Arial"/>
          <w:sz w:val="24"/>
          <w:lang w:val="en-US"/>
        </w:rPr>
        <w:t>a</w:t>
      </w:r>
      <w:r w:rsidRPr="00FA4E39">
        <w:rPr>
          <w:rFonts w:cs="Arial"/>
          <w:sz w:val="24"/>
          <w:lang w:val="en-US"/>
        </w:rPr>
        <w:t>tion should be tailored to the specific additional requirements relating to benchmarks, namely focus on benchmark statements and methodologies and the particular gover</w:t>
      </w:r>
      <w:r w:rsidRPr="00FA4E39">
        <w:rPr>
          <w:rFonts w:cs="Arial"/>
          <w:sz w:val="24"/>
          <w:lang w:val="en-US"/>
        </w:rPr>
        <w:t>n</w:t>
      </w:r>
      <w:r w:rsidRPr="00FA4E39">
        <w:rPr>
          <w:rFonts w:cs="Arial"/>
          <w:sz w:val="24"/>
          <w:lang w:val="en-US"/>
        </w:rPr>
        <w:t>ance and control framework supporting benchmark administration. Administrative bu</w:t>
      </w:r>
      <w:r w:rsidRPr="00FA4E39">
        <w:rPr>
          <w:rFonts w:cs="Arial"/>
          <w:sz w:val="24"/>
          <w:lang w:val="en-US"/>
        </w:rPr>
        <w:t>r</w:t>
      </w:r>
      <w:r w:rsidRPr="00FA4E39">
        <w:rPr>
          <w:rFonts w:cs="Arial"/>
          <w:sz w:val="24"/>
          <w:lang w:val="en-US"/>
        </w:rPr>
        <w:t>dens with no upside to the authorities, the markets or the consumers shall be removed.</w:t>
      </w:r>
    </w:p>
    <w:p w:rsidR="00FA4E39" w:rsidRPr="00FA4E39" w:rsidRDefault="00FA4E39" w:rsidP="00FA4E39">
      <w:pPr>
        <w:jc w:val="both"/>
        <w:rPr>
          <w:rFonts w:cs="Arial"/>
          <w:sz w:val="24"/>
          <w:lang w:val="en-US"/>
        </w:rPr>
      </w:pPr>
    </w:p>
    <w:p w:rsidR="009A2624" w:rsidRPr="00FA4E39" w:rsidRDefault="00FA4E39" w:rsidP="00FA4E39">
      <w:pPr>
        <w:jc w:val="both"/>
        <w:rPr>
          <w:rFonts w:cs="Arial"/>
          <w:sz w:val="24"/>
          <w:lang w:val="en-US"/>
        </w:rPr>
      </w:pPr>
      <w:r w:rsidRPr="00FA4E39">
        <w:rPr>
          <w:rFonts w:cs="Arial"/>
          <w:sz w:val="24"/>
          <w:lang w:val="en-US"/>
        </w:rPr>
        <w:t>We also note that these requirements could be onerous for administrators of smaller benchmarks of a less critical nature. ESMA should consider applying proportionality in relation to the size or the composition of the benchmark.</w:t>
      </w:r>
    </w:p>
    <w:permEnd w:id="93"/>
    <w:p w:rsidR="009A2624" w:rsidRDefault="009A2624" w:rsidP="009A2624">
      <w:r>
        <w:t>&lt;ESMA_QUESTION_DP_BMR_93&gt;</w:t>
      </w:r>
    </w:p>
    <w:p w:rsidR="009A2624" w:rsidRDefault="009A2624" w:rsidP="009A2624"/>
    <w:p w:rsidR="009A2624" w:rsidRPr="007F44BF" w:rsidRDefault="009A2624" w:rsidP="002342EC">
      <w:pPr>
        <w:pStyle w:val="Questionstyle"/>
      </w:pPr>
      <w:r w:rsidRPr="007F44BF">
        <w:t>Do you agree with ESMA’s approach to the above points? Do you believe that any specific cases exist, related either to the type of provider or the type of conflict of interest, that require specific information to be provided in addition to what initially identified by ESMA?</w:t>
      </w:r>
    </w:p>
    <w:p w:rsidR="009A2624" w:rsidRDefault="009A2624" w:rsidP="009A2624">
      <w:r>
        <w:t>&lt;ESMA_QUESTION_DP_BMR_94&gt;</w:t>
      </w:r>
    </w:p>
    <w:p w:rsidR="009A2624" w:rsidRDefault="009A2624" w:rsidP="009A2624">
      <w:permStart w:id="94" w:edGrp="everyone"/>
      <w:r>
        <w:t>TYPE YOUR TEXT HERE</w:t>
      </w:r>
    </w:p>
    <w:permEnd w:id="94"/>
    <w:p w:rsidR="009A2624" w:rsidRDefault="009A2624" w:rsidP="009A2624">
      <w:r>
        <w:t>&lt;ESMA_QUESTION_DP_BMR_94&gt;</w:t>
      </w:r>
    </w:p>
    <w:p w:rsidR="009A2624" w:rsidRDefault="009A2624" w:rsidP="009A2624"/>
    <w:p w:rsidR="009A2624" w:rsidRPr="007F44BF" w:rsidRDefault="009A2624" w:rsidP="002342EC">
      <w:pPr>
        <w:pStyle w:val="Questionstyle"/>
      </w:pPr>
      <w:r w:rsidRPr="007F44BF">
        <w:t>Do you agree with the proposals outlined for the above points? Do you see any areas requiring particular attention or adaptation?</w:t>
      </w:r>
    </w:p>
    <w:p w:rsidR="009A2624" w:rsidRDefault="009A2624" w:rsidP="009A2624">
      <w:r>
        <w:t>&lt;ESMA_QUESTION_DP_BMR_95&gt;</w:t>
      </w:r>
    </w:p>
    <w:p w:rsidR="009A2624" w:rsidRDefault="009A2624" w:rsidP="009A2624">
      <w:permStart w:id="95" w:edGrp="everyone"/>
      <w:r>
        <w:t>TYPE YOUR TEXT HERE</w:t>
      </w:r>
    </w:p>
    <w:permEnd w:id="95"/>
    <w:p w:rsidR="009A2624" w:rsidRDefault="009A2624" w:rsidP="009A2624">
      <w:r>
        <w:t>&lt;ESMA_QUESTION_DP_BMR_95&gt;</w:t>
      </w:r>
    </w:p>
    <w:p w:rsidR="009A2624" w:rsidRDefault="009A2624" w:rsidP="009A2624"/>
    <w:p w:rsidR="009A2624" w:rsidRPr="007F44BF" w:rsidRDefault="009A2624" w:rsidP="002342EC">
      <w:pPr>
        <w:pStyle w:val="Questionstyle"/>
      </w:pPr>
      <w:r w:rsidRPr="007F44BF">
        <w:t>Can you suggest other specific situations for which it is important to identify the information elements to be provided in the authorisation application?</w:t>
      </w:r>
    </w:p>
    <w:p w:rsidR="009A2624" w:rsidRDefault="009A2624" w:rsidP="009A2624">
      <w:r>
        <w:t>&lt;ESMA_QUESTION_DP_BMR_96&gt;</w:t>
      </w:r>
    </w:p>
    <w:p w:rsidR="009A2624" w:rsidRDefault="009A2624" w:rsidP="009A2624">
      <w:permStart w:id="96" w:edGrp="everyone"/>
      <w:r>
        <w:t>TYPE YOUR TEXT HERE</w:t>
      </w:r>
    </w:p>
    <w:permEnd w:id="96"/>
    <w:p w:rsidR="009A2624" w:rsidRDefault="009A2624" w:rsidP="009A2624">
      <w:r>
        <w:t>&lt;ESMA_QUESTION_DP_BMR_96&gt;</w:t>
      </w:r>
    </w:p>
    <w:p w:rsidR="009A2624" w:rsidRDefault="009A2624" w:rsidP="009A2624"/>
    <w:p w:rsidR="009A2624" w:rsidRPr="007F44BF" w:rsidRDefault="009A2624" w:rsidP="002342EC">
      <w:pPr>
        <w:pStyle w:val="Questionstyle"/>
      </w:pPr>
      <w:r w:rsidRPr="007F44BF">
        <w:t xml:space="preserve">Do you agree with the proposed approach towards registration? How should the information requirements for registration deviate from the requirements for authorisation? </w:t>
      </w:r>
    </w:p>
    <w:p w:rsidR="009A2624" w:rsidRDefault="009A2624" w:rsidP="009A2624">
      <w:r>
        <w:t>&lt;ESMA_QUESTION_DP_BMR_97&gt;</w:t>
      </w:r>
    </w:p>
    <w:p w:rsidR="00FA4E39" w:rsidRDefault="00FA4E39" w:rsidP="00FA4E39">
      <w:pPr>
        <w:jc w:val="both"/>
        <w:rPr>
          <w:rFonts w:cs="Arial"/>
          <w:sz w:val="24"/>
          <w:lang w:val="en-US"/>
        </w:rPr>
      </w:pPr>
      <w:permStart w:id="97" w:edGrp="everyone"/>
      <w:r w:rsidRPr="00FA4E39">
        <w:rPr>
          <w:rFonts w:cs="Arial"/>
          <w:sz w:val="24"/>
          <w:lang w:val="en-US"/>
        </w:rPr>
        <w:t>As outlined in our response to Q93, we agree that supervised entities should have a streamlined registration process since these entities are known by the relevant comp</w:t>
      </w:r>
      <w:r w:rsidRPr="00FA4E39">
        <w:rPr>
          <w:rFonts w:cs="Arial"/>
          <w:sz w:val="24"/>
          <w:lang w:val="en-US"/>
        </w:rPr>
        <w:t>e</w:t>
      </w:r>
      <w:r w:rsidRPr="00FA4E39">
        <w:rPr>
          <w:rFonts w:cs="Arial"/>
          <w:sz w:val="24"/>
          <w:lang w:val="en-US"/>
        </w:rPr>
        <w:t>tent authority and subject to ongoing supervision (as noted in paragraph 306 of the Di</w:t>
      </w:r>
      <w:r w:rsidRPr="00FA4E39">
        <w:rPr>
          <w:rFonts w:cs="Arial"/>
          <w:sz w:val="24"/>
          <w:lang w:val="en-US"/>
        </w:rPr>
        <w:t>s</w:t>
      </w:r>
      <w:r w:rsidRPr="00FA4E39">
        <w:rPr>
          <w:rFonts w:cs="Arial"/>
          <w:sz w:val="24"/>
          <w:lang w:val="en-US"/>
        </w:rPr>
        <w:t xml:space="preserve">cussion Paper). </w:t>
      </w:r>
    </w:p>
    <w:p w:rsidR="00FA4E39" w:rsidRPr="00FA4E39" w:rsidRDefault="00FA4E39" w:rsidP="00FA4E39">
      <w:pPr>
        <w:jc w:val="both"/>
        <w:rPr>
          <w:rFonts w:cs="Arial"/>
          <w:sz w:val="24"/>
          <w:lang w:val="en-US"/>
        </w:rPr>
      </w:pPr>
    </w:p>
    <w:p w:rsidR="00FA4E39" w:rsidRDefault="00FA4E39" w:rsidP="00FA4E39">
      <w:pPr>
        <w:jc w:val="both"/>
        <w:rPr>
          <w:rFonts w:cs="Arial"/>
          <w:sz w:val="24"/>
          <w:lang w:val="en-US"/>
        </w:rPr>
      </w:pPr>
      <w:r w:rsidRPr="00FA4E39">
        <w:rPr>
          <w:rFonts w:cs="Arial"/>
          <w:sz w:val="24"/>
          <w:lang w:val="en-US"/>
        </w:rPr>
        <w:lastRenderedPageBreak/>
        <w:t xml:space="preserve">Furthermore, these entities have been subject to authorization prior to the taking-up of their activities (as foreseen in art. 5 of Directive 2014/65/EU in respect of investment firms; art. 8 of Directive 2013/36/EU in respect of credit institutions; art. 14 of Directive 2009/138/EC in respect of insurance and reinsurance undertakings, etc.) and, therefore, have already provided relevant information to their competent authorities, are subject to stringent requirements and to continuous and effective supervision/control. Moreover, in general, the procedures of authorization throughout the different European regulations require the provision of similar information to authorities, organizational requirements, oversight and accountability framework, etc; elements that overlap with the information requirements listed in Section 12.3 of the Discussion Paper. </w:t>
      </w:r>
    </w:p>
    <w:p w:rsidR="00FA4E39" w:rsidRPr="00FA4E39" w:rsidRDefault="00FA4E39" w:rsidP="00FA4E39">
      <w:pPr>
        <w:jc w:val="both"/>
        <w:rPr>
          <w:rFonts w:cs="Arial"/>
          <w:sz w:val="24"/>
          <w:lang w:val="en-US"/>
        </w:rPr>
      </w:pPr>
    </w:p>
    <w:p w:rsidR="00FA4E39" w:rsidRDefault="00FA4E39" w:rsidP="00FA4E39">
      <w:pPr>
        <w:jc w:val="both"/>
        <w:rPr>
          <w:rFonts w:cs="Arial"/>
          <w:sz w:val="24"/>
          <w:lang w:val="en-US"/>
        </w:rPr>
      </w:pPr>
      <w:r w:rsidRPr="00FA4E39">
        <w:rPr>
          <w:rFonts w:cs="Arial"/>
          <w:sz w:val="24"/>
          <w:lang w:val="en-US"/>
        </w:rPr>
        <w:t>In view of the above, the authorization/registration requirements applicable to these supervised entities should be kept to a minimum in order to avoid duplications and a</w:t>
      </w:r>
      <w:r w:rsidRPr="00FA4E39">
        <w:rPr>
          <w:rFonts w:cs="Arial"/>
          <w:sz w:val="24"/>
          <w:lang w:val="en-US"/>
        </w:rPr>
        <w:t>d</w:t>
      </w:r>
      <w:r w:rsidRPr="00FA4E39">
        <w:rPr>
          <w:rFonts w:cs="Arial"/>
          <w:sz w:val="24"/>
          <w:lang w:val="en-US"/>
        </w:rPr>
        <w:t>ministrative burdens. Moreover, the focus of the registration process should be on the benchmark methodology and oversight supporting benchmark administration. This a</w:t>
      </w:r>
      <w:r w:rsidRPr="00FA4E39">
        <w:rPr>
          <w:rFonts w:cs="Arial"/>
          <w:sz w:val="24"/>
          <w:lang w:val="en-US"/>
        </w:rPr>
        <w:t>p</w:t>
      </w:r>
      <w:r w:rsidRPr="00FA4E39">
        <w:rPr>
          <w:rFonts w:cs="Arial"/>
          <w:sz w:val="24"/>
          <w:lang w:val="en-US"/>
        </w:rPr>
        <w:t xml:space="preserve">proach should also be applied in the case of affiliates of supervised entities. </w:t>
      </w:r>
    </w:p>
    <w:p w:rsidR="00FA4E39" w:rsidRPr="00FA4E39" w:rsidRDefault="00FA4E39" w:rsidP="00FA4E39">
      <w:pPr>
        <w:jc w:val="both"/>
        <w:rPr>
          <w:rFonts w:cs="Arial"/>
          <w:sz w:val="24"/>
          <w:lang w:val="en-US"/>
        </w:rPr>
      </w:pPr>
    </w:p>
    <w:p w:rsidR="009A2624" w:rsidRPr="00FA4E39" w:rsidRDefault="00FA4E39" w:rsidP="00FA4E39">
      <w:pPr>
        <w:jc w:val="both"/>
        <w:rPr>
          <w:rFonts w:cs="Arial"/>
          <w:sz w:val="24"/>
          <w:lang w:val="en-US"/>
        </w:rPr>
      </w:pPr>
      <w:r w:rsidRPr="00FA4E39">
        <w:rPr>
          <w:rFonts w:cs="Arial"/>
          <w:sz w:val="24"/>
          <w:lang w:val="en-US"/>
        </w:rPr>
        <w:t>In addition, we believe that for the sake of market innovation it is important to ensure that there is also a streamlined approach for the introduction of a new benchmark by registered administrators; therefore, it could be convenient to potentially introduce a third form of registration (i.e. for already registered administrators with a new index offering).</w:t>
      </w:r>
    </w:p>
    <w:permEnd w:id="97"/>
    <w:p w:rsidR="009A2624" w:rsidRDefault="009A2624" w:rsidP="009A2624">
      <w:r>
        <w:t>&lt;ESMA_QUESTION_DP_BMR_97&gt;</w:t>
      </w:r>
    </w:p>
    <w:p w:rsidR="009A2624" w:rsidRDefault="009A2624" w:rsidP="009A2624"/>
    <w:p w:rsidR="009A2624" w:rsidRPr="007F44BF" w:rsidRDefault="009A2624" w:rsidP="002342EC">
      <w:pPr>
        <w:pStyle w:val="Questionstyle"/>
      </w:pPr>
      <w:r w:rsidRPr="007F44BF">
        <w:t>Do you believe there are any specific types of supervised entities which would require special treatment within the registration regime? If yes, which ones and why?</w:t>
      </w:r>
    </w:p>
    <w:p w:rsidR="009A2624" w:rsidRDefault="009A2624" w:rsidP="009A2624">
      <w:r>
        <w:t>&lt;ESMA_QUESTION_DP_BMR_98&gt;</w:t>
      </w:r>
    </w:p>
    <w:p w:rsidR="00FA4E39" w:rsidRPr="00FA4E39" w:rsidRDefault="00FA4E39" w:rsidP="00FA4E39">
      <w:pPr>
        <w:jc w:val="both"/>
        <w:rPr>
          <w:rFonts w:cs="Arial"/>
          <w:sz w:val="24"/>
          <w:lang w:val="en-US"/>
        </w:rPr>
      </w:pPr>
      <w:permStart w:id="98" w:edGrp="everyone"/>
      <w:r w:rsidRPr="00FA4E39">
        <w:rPr>
          <w:rFonts w:cs="Arial"/>
          <w:sz w:val="24"/>
          <w:lang w:val="en-US"/>
        </w:rPr>
        <w:t xml:space="preserve">Please see answer to Q97. The regulation applicable to each kind of supervised entity should be carefully assessed in order to streamline authorization/registration process when these entities have already provided relevant information to their authorities and, also, taking into account that they are subject to ongoing supervision. </w:t>
      </w:r>
    </w:p>
    <w:p w:rsidR="00FA4E39" w:rsidRPr="00FA4E39" w:rsidRDefault="00FA4E39" w:rsidP="00FA4E39">
      <w:pPr>
        <w:jc w:val="both"/>
        <w:rPr>
          <w:rFonts w:cs="Arial"/>
          <w:sz w:val="24"/>
          <w:lang w:val="en-US"/>
        </w:rPr>
      </w:pPr>
    </w:p>
    <w:p w:rsidR="009A2624" w:rsidRPr="00FA4E39" w:rsidRDefault="00FA4E39" w:rsidP="00FA4E39">
      <w:pPr>
        <w:jc w:val="both"/>
        <w:rPr>
          <w:rFonts w:cs="Arial"/>
          <w:sz w:val="24"/>
          <w:lang w:val="en-US"/>
        </w:rPr>
      </w:pPr>
      <w:r w:rsidRPr="00FA4E39">
        <w:rPr>
          <w:rFonts w:cs="Arial"/>
          <w:sz w:val="24"/>
          <w:lang w:val="en-US"/>
        </w:rPr>
        <w:t xml:space="preserve">The authorization or registration process should encompass the need of the relevant information needed by authorities to avoid any manipulation risk with the flexibility that markets and investors require to invest in products linked to new indices. </w:t>
      </w:r>
    </w:p>
    <w:permEnd w:id="98"/>
    <w:p w:rsidR="009A2624" w:rsidRDefault="009A2624" w:rsidP="009A2624">
      <w:r>
        <w:t>&lt;ESMA_QUESTION_DP_BMR_98&gt;</w:t>
      </w:r>
    </w:p>
    <w:p w:rsidR="009A2624" w:rsidRDefault="009A2624" w:rsidP="009A2624"/>
    <w:p w:rsidR="009A2624" w:rsidRPr="007F44BF" w:rsidRDefault="009A2624" w:rsidP="002342EC">
      <w:pPr>
        <w:pStyle w:val="Questionstyle"/>
      </w:pPr>
      <w:r w:rsidRPr="007F44BF">
        <w:t>Do you have any suggestions on which information should be included in the application for the recognition of a third country administrator?</w:t>
      </w:r>
    </w:p>
    <w:p w:rsidR="009A2624" w:rsidRDefault="009A2624" w:rsidP="009A2624">
      <w:r>
        <w:t>&lt;ESMA_QUESTION_DP_BMR_99&gt;</w:t>
      </w:r>
    </w:p>
    <w:p w:rsidR="009A2624" w:rsidRDefault="009A2624" w:rsidP="009A2624">
      <w:permStart w:id="99" w:edGrp="everyone"/>
      <w:r>
        <w:t>TYPE YOUR TEXT HERE</w:t>
      </w:r>
    </w:p>
    <w:permEnd w:id="99"/>
    <w:p w:rsidR="009A2624" w:rsidRDefault="009A2624" w:rsidP="009A2624">
      <w:r>
        <w:t>&lt;ESMA_QUESTION_DP_BMR_99&gt;</w:t>
      </w:r>
    </w:p>
    <w:p w:rsidR="009A2624" w:rsidRDefault="009A2624" w:rsidP="009A2624"/>
    <w:p w:rsidR="009A2624" w:rsidRPr="007F44BF" w:rsidRDefault="009A2624" w:rsidP="002342EC">
      <w:pPr>
        <w:pStyle w:val="Questionstyle"/>
      </w:pPr>
      <w:r w:rsidRPr="007F44BF">
        <w:t>Do you agree with the general approach proposed by ESMA for the presentation of the info</w:t>
      </w:r>
      <w:r w:rsidRPr="007F44BF">
        <w:t>r</w:t>
      </w:r>
      <w:r w:rsidRPr="007F44BF">
        <w:t>mation required in Article 21a(6) of the BMR?</w:t>
      </w:r>
      <w:r w:rsidRPr="007F44BF" w:rsidDel="008F434D">
        <w:t xml:space="preserve"> </w:t>
      </w:r>
    </w:p>
    <w:p w:rsidR="009A2624" w:rsidRDefault="009A2624" w:rsidP="009A2624">
      <w:r>
        <w:t>&lt;ESMA_QUESTION_DP_BMR_100&gt;</w:t>
      </w:r>
    </w:p>
    <w:p w:rsidR="009A2624" w:rsidRDefault="009A2624" w:rsidP="009A2624">
      <w:permStart w:id="100" w:edGrp="everyone"/>
      <w:r>
        <w:t>TYPE YOUR TEXT HERE</w:t>
      </w:r>
    </w:p>
    <w:permEnd w:id="100"/>
    <w:p w:rsidR="009A2624" w:rsidRDefault="009A2624" w:rsidP="009A2624">
      <w:r>
        <w:lastRenderedPageBreak/>
        <w:t>&lt;ESMA_QUESTION_DP_BMR_100&gt;</w:t>
      </w:r>
    </w:p>
    <w:p w:rsidR="009A2624" w:rsidRDefault="009A2624" w:rsidP="009A2624"/>
    <w:p w:rsidR="009A2624" w:rsidRPr="007F44BF" w:rsidRDefault="009A2624" w:rsidP="002342EC">
      <w:pPr>
        <w:pStyle w:val="Questionstyle"/>
      </w:pPr>
      <w:r w:rsidRPr="007F44BF">
        <w:t xml:space="preserve">For each of the </w:t>
      </w:r>
      <w:r>
        <w:t>three</w:t>
      </w:r>
      <w:r w:rsidRPr="007F44BF">
        <w:t xml:space="preserve"> above mentioned elements, please provide your views on what should be the measures to determine the conditions whether there is an ‘objective reason’ for the endors</w:t>
      </w:r>
      <w:r w:rsidRPr="007F44BF">
        <w:t>e</w:t>
      </w:r>
      <w:r w:rsidRPr="007F44BF">
        <w:t xml:space="preserve">ment of a third country benchmark. </w:t>
      </w:r>
    </w:p>
    <w:p w:rsidR="009A2624" w:rsidRDefault="009A2624" w:rsidP="009A2624">
      <w:r>
        <w:t>&lt;ESMA_QUESTION_DP_BMR_101&gt;</w:t>
      </w:r>
    </w:p>
    <w:p w:rsidR="009A2624" w:rsidRDefault="009A2624" w:rsidP="009A2624">
      <w:permStart w:id="101" w:edGrp="everyone"/>
      <w:r>
        <w:t>TYPE YOUR TEXT HERE</w:t>
      </w:r>
    </w:p>
    <w:permEnd w:id="101"/>
    <w:p w:rsidR="009A2624" w:rsidRDefault="009A2624" w:rsidP="009A2624">
      <w:r>
        <w:t>&lt;ESMA_QUESTION_DP_BMR_101&gt;</w:t>
      </w:r>
    </w:p>
    <w:p w:rsidR="009A2624" w:rsidRDefault="009A2624" w:rsidP="009A2624"/>
    <w:p w:rsidR="009A2624" w:rsidRPr="007F44BF" w:rsidRDefault="009A2624" w:rsidP="002342EC">
      <w:pPr>
        <w:pStyle w:val="Questionstyle"/>
      </w:pPr>
      <w:r w:rsidRPr="007F44BF">
        <w:t xml:space="preserve">Do you consider that there are any other elements that could be taken into consideration to substantiate the ‘objective reason’ for the provision and endorsement for use in the Union of a third country benchmark or family of benchmarks? </w:t>
      </w:r>
    </w:p>
    <w:p w:rsidR="009A2624" w:rsidRDefault="009A2624" w:rsidP="009A2624">
      <w:r>
        <w:t>&lt;ESMA_QUESTION_DP_BMR_102&gt;</w:t>
      </w:r>
    </w:p>
    <w:p w:rsidR="009A2624" w:rsidRDefault="009A2624" w:rsidP="009A2624">
      <w:permStart w:id="102" w:edGrp="everyone"/>
      <w:r>
        <w:t>TYPE YOUR TEXT HERE</w:t>
      </w:r>
    </w:p>
    <w:permEnd w:id="102"/>
    <w:p w:rsidR="009A2624" w:rsidRDefault="009A2624" w:rsidP="009A2624">
      <w:r>
        <w:t>&lt;ESMA_QUESTION_DP_BMR_102&gt;</w:t>
      </w:r>
    </w:p>
    <w:p w:rsidR="009A2624" w:rsidRDefault="009A2624" w:rsidP="009A2624"/>
    <w:p w:rsidR="009A2624" w:rsidRPr="007F44BF" w:rsidRDefault="009A2624" w:rsidP="002342EC">
      <w:pPr>
        <w:pStyle w:val="Questionstyle"/>
      </w:pPr>
      <w:r w:rsidRPr="007F44BF">
        <w:t>Do you agree that in the situations identified above by ESMA the cessation or the changing of an existing benchmark to conform with the requirements of this Regulation could reasonably result in a force majeure event, frustrate or otherwise breach the terms of any financial contract or financial instrument which references a benchmark? If not, please explain the reasons why.</w:t>
      </w:r>
    </w:p>
    <w:p w:rsidR="009A2624" w:rsidRDefault="009A2624" w:rsidP="009A2624">
      <w:r>
        <w:t>&lt;ESMA_QUESTION_DP_BMR_103&gt;</w:t>
      </w:r>
    </w:p>
    <w:p w:rsidR="00FA4E39" w:rsidRPr="00FA4E39" w:rsidRDefault="00FA4E39" w:rsidP="00FA4E39">
      <w:pPr>
        <w:jc w:val="both"/>
        <w:rPr>
          <w:rFonts w:cs="Arial"/>
          <w:sz w:val="24"/>
          <w:lang w:val="en-US"/>
        </w:rPr>
      </w:pPr>
      <w:permStart w:id="103" w:edGrp="everyone"/>
      <w:r w:rsidRPr="00FA4E39">
        <w:rPr>
          <w:rFonts w:cs="Arial"/>
          <w:sz w:val="24"/>
          <w:lang w:val="en-US"/>
        </w:rPr>
        <w:t>In general we agree with the situations identified by ESMA, however we would like to point out that the reference to “significantly different values for that benchmark” co</w:t>
      </w:r>
      <w:r w:rsidRPr="00FA4E39">
        <w:rPr>
          <w:rFonts w:cs="Arial"/>
          <w:sz w:val="24"/>
          <w:lang w:val="en-US"/>
        </w:rPr>
        <w:t>n</w:t>
      </w:r>
      <w:r w:rsidRPr="00FA4E39">
        <w:rPr>
          <w:rFonts w:cs="Arial"/>
          <w:sz w:val="24"/>
          <w:lang w:val="en-US"/>
        </w:rPr>
        <w:t xml:space="preserve">tained in paragraph 337 is an undefined legal concept and, therefore, homogeneous criteria given by ESMA to determine when this situation is triggered would be welcome. </w:t>
      </w:r>
    </w:p>
    <w:p w:rsidR="00FA4E39" w:rsidRPr="00FA4E39" w:rsidRDefault="00FA4E39" w:rsidP="00FA4E39">
      <w:pPr>
        <w:jc w:val="both"/>
        <w:rPr>
          <w:rFonts w:cs="Arial"/>
          <w:sz w:val="24"/>
          <w:lang w:val="en-US"/>
        </w:rPr>
      </w:pPr>
    </w:p>
    <w:p w:rsidR="00FA4E39" w:rsidRPr="00FA4E39" w:rsidRDefault="00FA4E39" w:rsidP="00FA4E39">
      <w:pPr>
        <w:jc w:val="both"/>
        <w:rPr>
          <w:rFonts w:cs="Arial"/>
          <w:sz w:val="24"/>
          <w:lang w:val="en-US"/>
        </w:rPr>
      </w:pPr>
      <w:r w:rsidRPr="00FA4E39">
        <w:rPr>
          <w:rFonts w:cs="Arial"/>
          <w:sz w:val="24"/>
          <w:lang w:val="en-US"/>
        </w:rPr>
        <w:t>Notwithstanding the above, we would like to stress the importance of making perfectly clear that the situations described in section 14.3 of the Discussion Paper (i.e.: force majeure event or frustration) are only identified for the purpose of applying the grandf</w:t>
      </w:r>
      <w:r w:rsidRPr="00FA4E39">
        <w:rPr>
          <w:rFonts w:cs="Arial"/>
          <w:sz w:val="24"/>
          <w:lang w:val="en-US"/>
        </w:rPr>
        <w:t>a</w:t>
      </w:r>
      <w:r w:rsidRPr="00FA4E39">
        <w:rPr>
          <w:rFonts w:cs="Arial"/>
          <w:sz w:val="24"/>
          <w:lang w:val="en-US"/>
        </w:rPr>
        <w:t>thering provision stipulated in article 39(3) of the BMR.</w:t>
      </w:r>
    </w:p>
    <w:p w:rsidR="00FA4E39" w:rsidRPr="00FA4E39" w:rsidRDefault="00FA4E39" w:rsidP="00FA4E39">
      <w:pPr>
        <w:jc w:val="both"/>
        <w:rPr>
          <w:rFonts w:cs="Arial"/>
          <w:sz w:val="24"/>
          <w:lang w:val="en-US"/>
        </w:rPr>
      </w:pPr>
    </w:p>
    <w:p w:rsidR="009A2624" w:rsidRPr="00FA4E39" w:rsidRDefault="00FA4E39" w:rsidP="00FA4E39">
      <w:pPr>
        <w:jc w:val="both"/>
        <w:rPr>
          <w:rFonts w:cs="Arial"/>
          <w:sz w:val="24"/>
          <w:lang w:val="en-US"/>
        </w:rPr>
      </w:pPr>
      <w:r w:rsidRPr="00FA4E39">
        <w:rPr>
          <w:rFonts w:cs="Arial"/>
          <w:sz w:val="24"/>
          <w:lang w:val="en-US"/>
        </w:rPr>
        <w:t>This is the only way to guarantee legal certainty and prevent the exercise of legal a</w:t>
      </w:r>
      <w:r w:rsidRPr="00FA4E39">
        <w:rPr>
          <w:rFonts w:cs="Arial"/>
          <w:sz w:val="24"/>
          <w:lang w:val="en-US"/>
        </w:rPr>
        <w:t>c</w:t>
      </w:r>
      <w:r w:rsidRPr="00FA4E39">
        <w:rPr>
          <w:rFonts w:cs="Arial"/>
          <w:sz w:val="24"/>
          <w:lang w:val="en-US"/>
        </w:rPr>
        <w:t>tions to challenge contracts referenced to a relevant benchmark based on the occu</w:t>
      </w:r>
      <w:r w:rsidRPr="00FA4E39">
        <w:rPr>
          <w:rFonts w:cs="Arial"/>
          <w:sz w:val="24"/>
          <w:lang w:val="en-US"/>
        </w:rPr>
        <w:t>r</w:t>
      </w:r>
      <w:r w:rsidRPr="00FA4E39">
        <w:rPr>
          <w:rFonts w:cs="Arial"/>
          <w:sz w:val="24"/>
          <w:lang w:val="en-US"/>
        </w:rPr>
        <w:t xml:space="preserve">rence of any of the situations described in section 14.3 of the Discussion Paper. </w:t>
      </w:r>
    </w:p>
    <w:permEnd w:id="103"/>
    <w:p w:rsidR="009A2624" w:rsidRDefault="009A2624" w:rsidP="009A2624">
      <w:r>
        <w:t>&lt;ESMA_QUESTION_DP_BMR_103&gt;</w:t>
      </w:r>
    </w:p>
    <w:p w:rsidR="009A2624" w:rsidRDefault="009A2624" w:rsidP="009A2624"/>
    <w:p w:rsidR="009A2624" w:rsidRPr="007F44BF" w:rsidRDefault="009A2624" w:rsidP="002342EC">
      <w:pPr>
        <w:pStyle w:val="Questionstyle"/>
      </w:pPr>
      <w:r w:rsidRPr="007F44BF">
        <w:t>Which other circumstances could cause the consequences mentioned in Article 39(3) in case existing benchmarks are due to be adapted to the Regulation or to be ceased?</w:t>
      </w:r>
    </w:p>
    <w:p w:rsidR="009A2624" w:rsidRDefault="009A2624" w:rsidP="009A2624">
      <w:r>
        <w:t>&lt;ESMA_QUESTION_DP_BMR_104&gt;</w:t>
      </w:r>
    </w:p>
    <w:p w:rsidR="009A2624" w:rsidRPr="00FA4E39" w:rsidRDefault="00FA4E39" w:rsidP="00FA4E39">
      <w:pPr>
        <w:jc w:val="both"/>
        <w:rPr>
          <w:rFonts w:cs="Arial"/>
          <w:sz w:val="24"/>
          <w:lang w:val="en-US"/>
        </w:rPr>
      </w:pPr>
      <w:permStart w:id="104" w:edGrp="everyone"/>
      <w:r w:rsidRPr="00FA4E39">
        <w:rPr>
          <w:rFonts w:cs="Arial"/>
          <w:sz w:val="24"/>
          <w:lang w:val="en-US"/>
        </w:rPr>
        <w:t>We understand that the grandfathering clause stipulated under Article 39(3) BMR should also apply even in those cases where a financial contract or financial instrument i</w:t>
      </w:r>
      <w:r w:rsidRPr="00FA4E39">
        <w:rPr>
          <w:rFonts w:cs="Arial"/>
          <w:sz w:val="24"/>
          <w:lang w:val="en-US"/>
        </w:rPr>
        <w:t>n</w:t>
      </w:r>
      <w:r w:rsidRPr="00FA4E39">
        <w:rPr>
          <w:rFonts w:cs="Arial"/>
          <w:sz w:val="24"/>
          <w:lang w:val="en-US"/>
        </w:rPr>
        <w:t>cludes a fallback provision stipulating a substitute benchmark in case the reference benchmark was to be ceased, but such fallback provision is unlikely to be workable for the market on a large scale or for a prolonged period (e.g. in those cases where the substitute index is obtained on the basis of quotes pro</w:t>
      </w:r>
      <w:r>
        <w:rPr>
          <w:rFonts w:cs="Arial"/>
          <w:sz w:val="24"/>
          <w:lang w:val="en-US"/>
        </w:rPr>
        <w:t>vided by a number of entities).</w:t>
      </w:r>
    </w:p>
    <w:permEnd w:id="104"/>
    <w:p w:rsidR="009A2624" w:rsidRDefault="009A2624" w:rsidP="009A2624">
      <w:r>
        <w:lastRenderedPageBreak/>
        <w:t>&lt;ESMA_QUESTION_DP_BMR_104&gt;</w:t>
      </w:r>
    </w:p>
    <w:p w:rsidR="009A2624" w:rsidRDefault="009A2624" w:rsidP="009A2624"/>
    <w:p w:rsidR="009A2624" w:rsidRPr="008925F6" w:rsidRDefault="009A2624" w:rsidP="002342EC">
      <w:pPr>
        <w:pStyle w:val="Questionstyle"/>
      </w:pPr>
      <w:r w:rsidRPr="00FD6B87">
        <w:t>Do you agree with the propos</w:t>
      </w:r>
      <w:r>
        <w:t>ed definition of “force majeure event</w:t>
      </w:r>
      <w:r w:rsidRPr="00FD6B87">
        <w:t>”? If not, please explain the reasons and propose an alternative.</w:t>
      </w:r>
    </w:p>
    <w:p w:rsidR="009A2624" w:rsidRDefault="009A2624" w:rsidP="009A2624">
      <w:r>
        <w:t>&lt;ESMA_QUESTION_DP_BMR_105&gt;</w:t>
      </w:r>
    </w:p>
    <w:p w:rsidR="00FA4E39" w:rsidRDefault="00FA4E39" w:rsidP="00FA4E39">
      <w:pPr>
        <w:jc w:val="both"/>
        <w:rPr>
          <w:rFonts w:cs="Arial"/>
          <w:sz w:val="24"/>
          <w:lang w:val="en-US"/>
        </w:rPr>
      </w:pPr>
      <w:permStart w:id="105" w:edGrp="everyone"/>
      <w:r w:rsidRPr="00FA4E39">
        <w:rPr>
          <w:rFonts w:cs="Arial"/>
          <w:sz w:val="24"/>
          <w:lang w:val="en-US"/>
        </w:rPr>
        <w:t>While we generally agree with the definition of “force majeure event” we are concerned about the term “beyond the control of the contracting parties of a financial contract or a financial instrument” mentioned in paragraph 346 of the Discussion Paper. In particular, we understand that ESMA should clarify that the fact that one of the contracting parties is a contributor to the relevant benchmark concerned should not prevent such party to argue that a force majeure event has occurred. The fact that a contracting party is a contributor should not lead to the idea that such party has control over any circumstan</w:t>
      </w:r>
      <w:r w:rsidRPr="00FA4E39">
        <w:rPr>
          <w:rFonts w:cs="Arial"/>
          <w:sz w:val="24"/>
          <w:lang w:val="en-US"/>
        </w:rPr>
        <w:t>c</w:t>
      </w:r>
      <w:r w:rsidRPr="00FA4E39">
        <w:rPr>
          <w:rFonts w:cs="Arial"/>
          <w:sz w:val="24"/>
          <w:lang w:val="en-US"/>
        </w:rPr>
        <w:t xml:space="preserve">es/events that otherwise would have been considered as “force majeure events”. </w:t>
      </w:r>
    </w:p>
    <w:p w:rsidR="00FA4E39" w:rsidRPr="00FA4E39" w:rsidRDefault="00FA4E39" w:rsidP="00FA4E39">
      <w:pPr>
        <w:jc w:val="both"/>
        <w:rPr>
          <w:rFonts w:cs="Arial"/>
          <w:sz w:val="24"/>
          <w:lang w:val="en-US"/>
        </w:rPr>
      </w:pPr>
    </w:p>
    <w:p w:rsidR="009A2624" w:rsidRPr="00FA4E39" w:rsidRDefault="00FA4E39" w:rsidP="00FA4E39">
      <w:pPr>
        <w:jc w:val="both"/>
        <w:rPr>
          <w:rFonts w:cs="Arial"/>
          <w:sz w:val="24"/>
          <w:lang w:val="en-US"/>
        </w:rPr>
      </w:pPr>
      <w:r w:rsidRPr="00FA4E39">
        <w:rPr>
          <w:rFonts w:cs="Arial"/>
          <w:sz w:val="24"/>
          <w:lang w:val="en-US"/>
        </w:rPr>
        <w:t>Additionally, for the sake of legal certainty, it would be important to specify that a very significant change in the index shall not be considered as a force majeure event it such change reflects the reality of the underlying interest to be measured by the index itself (i.e.: as a consequence of the decrease of interest rate benchmark after Lehman Brot</w:t>
      </w:r>
      <w:r w:rsidRPr="00FA4E39">
        <w:rPr>
          <w:rFonts w:cs="Arial"/>
          <w:sz w:val="24"/>
          <w:lang w:val="en-US"/>
        </w:rPr>
        <w:t>h</w:t>
      </w:r>
      <w:r w:rsidRPr="00FA4E39">
        <w:rPr>
          <w:rFonts w:cs="Arial"/>
          <w:sz w:val="24"/>
          <w:lang w:val="en-US"/>
        </w:rPr>
        <w:t>ers collapse, some courts in European member states considered that it was a force majeure event beyond the control of the parties).</w:t>
      </w:r>
    </w:p>
    <w:permEnd w:id="105"/>
    <w:p w:rsidR="009A2624" w:rsidRDefault="009A2624" w:rsidP="009A2624">
      <w:r>
        <w:t>&lt;ESMA_QUESTION_DP_BMR_105&gt;</w:t>
      </w:r>
    </w:p>
    <w:p w:rsidR="009A2624" w:rsidRDefault="009A2624" w:rsidP="009A2624"/>
    <w:p w:rsidR="009A2624" w:rsidRPr="007F44BF" w:rsidRDefault="009A2624" w:rsidP="002342EC">
      <w:pPr>
        <w:pStyle w:val="Questionstyle"/>
      </w:pPr>
      <w:r w:rsidRPr="007F44BF">
        <w:t>Are the two envisaged options (with respect to the term until which a non-compliant benc</w:t>
      </w:r>
      <w:r w:rsidRPr="007F44BF">
        <w:t>h</w:t>
      </w:r>
      <w:r w:rsidRPr="007F44BF">
        <w:t xml:space="preserve">mark may be used) adequate: i.e. either (i) fix a time limit until when a non-compliant benchmark may be used or (ii) fix a minimum threshold which will trigger the prohibition to further use a non-compliant benchmark in existing financial instruments/financial contracts? </w:t>
      </w:r>
    </w:p>
    <w:p w:rsidR="009A2624" w:rsidRDefault="009A2624" w:rsidP="009A2624">
      <w:r>
        <w:t>&lt;ESMA_QUESTION_DP_BMR_106&gt;</w:t>
      </w:r>
    </w:p>
    <w:p w:rsidR="00FA4E39" w:rsidRDefault="00515230" w:rsidP="00FA4E39">
      <w:pPr>
        <w:jc w:val="both"/>
        <w:rPr>
          <w:rFonts w:cs="Arial"/>
          <w:sz w:val="24"/>
          <w:lang w:val="en-US"/>
        </w:rPr>
      </w:pPr>
      <w:permStart w:id="106" w:edGrp="everyone"/>
      <w:r>
        <w:rPr>
          <w:rFonts w:cs="Arial"/>
          <w:sz w:val="24"/>
          <w:lang w:val="en-US"/>
        </w:rPr>
        <w:t>We</w:t>
      </w:r>
      <w:r w:rsidR="00FA4E39" w:rsidRPr="00FA4E39">
        <w:rPr>
          <w:rFonts w:cs="Arial"/>
          <w:sz w:val="24"/>
          <w:lang w:val="en-US"/>
        </w:rPr>
        <w:t xml:space="preserve"> support a transition period longer than 24 months in order to provide sufficient time for administrators and contributors to comply with the requirements of the Regul</w:t>
      </w:r>
      <w:r w:rsidR="00FA4E39" w:rsidRPr="00FA4E39">
        <w:rPr>
          <w:rFonts w:cs="Arial"/>
          <w:sz w:val="24"/>
          <w:lang w:val="en-US"/>
        </w:rPr>
        <w:t>a</w:t>
      </w:r>
      <w:r w:rsidR="00FA4E39" w:rsidRPr="00FA4E39">
        <w:rPr>
          <w:rFonts w:cs="Arial"/>
          <w:sz w:val="24"/>
          <w:lang w:val="en-US"/>
        </w:rPr>
        <w:t>tion. This will also allow administrators and contributors a time frame to potentially adapt or r</w:t>
      </w:r>
      <w:r w:rsidR="00FA4E39" w:rsidRPr="00FA4E39">
        <w:rPr>
          <w:rFonts w:cs="Arial"/>
          <w:sz w:val="24"/>
          <w:lang w:val="en-US"/>
        </w:rPr>
        <w:t>e</w:t>
      </w:r>
      <w:r w:rsidR="00FA4E39" w:rsidRPr="00FA4E39">
        <w:rPr>
          <w:rFonts w:cs="Arial"/>
          <w:sz w:val="24"/>
          <w:lang w:val="en-US"/>
        </w:rPr>
        <w:t xml:space="preserve">move certain benchmarks that are unlikely to comply with the Regulation. </w:t>
      </w:r>
    </w:p>
    <w:p w:rsidR="00FA4E39" w:rsidRPr="00FA4E39" w:rsidRDefault="00FA4E39" w:rsidP="00FA4E39">
      <w:pPr>
        <w:jc w:val="both"/>
        <w:rPr>
          <w:rFonts w:cs="Arial"/>
          <w:sz w:val="24"/>
          <w:lang w:val="en-US"/>
        </w:rPr>
      </w:pPr>
    </w:p>
    <w:p w:rsidR="00FA4E39" w:rsidRDefault="00FA4E39" w:rsidP="00FA4E39">
      <w:pPr>
        <w:jc w:val="both"/>
        <w:rPr>
          <w:rFonts w:cs="Arial"/>
          <w:sz w:val="24"/>
          <w:lang w:val="en-US"/>
        </w:rPr>
      </w:pPr>
      <w:r w:rsidRPr="00FA4E39">
        <w:rPr>
          <w:rFonts w:cs="Arial"/>
          <w:sz w:val="24"/>
          <w:lang w:val="en-US"/>
        </w:rPr>
        <w:t>Without prejudice to the above, we do not agree with the current proposals. The gran</w:t>
      </w:r>
      <w:r w:rsidRPr="00FA4E39">
        <w:rPr>
          <w:rFonts w:cs="Arial"/>
          <w:sz w:val="24"/>
          <w:lang w:val="en-US"/>
        </w:rPr>
        <w:t>d</w:t>
      </w:r>
      <w:r w:rsidRPr="00FA4E39">
        <w:rPr>
          <w:rFonts w:cs="Arial"/>
          <w:sz w:val="24"/>
          <w:lang w:val="en-US"/>
        </w:rPr>
        <w:t xml:space="preserve">fathering provision foreseen in the Level 1 rules requires evidencing that ceasing or changing the relevant benchmark would result in force majeure or will frustrate or breach the terms of any financial contract/instrument. Once the aforementioned situations have been evidenced, no additional requirements or limits (whether a limited timeframe or a minimum threshold) should be imposed. This is, in our opinion, a crucial aspect to be reconsidered. </w:t>
      </w:r>
    </w:p>
    <w:p w:rsidR="00FA4E39" w:rsidRPr="00FA4E39" w:rsidRDefault="00FA4E39" w:rsidP="00FA4E39">
      <w:pPr>
        <w:jc w:val="both"/>
        <w:rPr>
          <w:rFonts w:cs="Arial"/>
          <w:sz w:val="24"/>
          <w:lang w:val="en-US"/>
        </w:rPr>
      </w:pPr>
    </w:p>
    <w:p w:rsidR="00FA4E39" w:rsidRDefault="00FA4E39" w:rsidP="00FA4E39">
      <w:pPr>
        <w:jc w:val="both"/>
        <w:rPr>
          <w:rFonts w:cs="Arial"/>
          <w:sz w:val="24"/>
          <w:lang w:val="en-US"/>
        </w:rPr>
      </w:pPr>
      <w:r w:rsidRPr="00FA4E39">
        <w:rPr>
          <w:rFonts w:cs="Arial"/>
          <w:sz w:val="24"/>
          <w:lang w:val="en-US"/>
        </w:rPr>
        <w:t>The Discussion Paper justifies the two envisaged options (time and quantitative limit) on the basis that these would be in line with the initial proposal of the European Commi</w:t>
      </w:r>
      <w:r w:rsidRPr="00FA4E39">
        <w:rPr>
          <w:rFonts w:cs="Arial"/>
          <w:sz w:val="24"/>
          <w:lang w:val="en-US"/>
        </w:rPr>
        <w:t>s</w:t>
      </w:r>
      <w:r w:rsidRPr="00FA4E39">
        <w:rPr>
          <w:rFonts w:cs="Arial"/>
          <w:sz w:val="24"/>
          <w:lang w:val="en-US"/>
        </w:rPr>
        <w:t xml:space="preserve">sion; however, precisely because this alternative was rejected during the course of the legislative procedure (including the trilogue discussions), of Level 1 text, these limits should not be included again in Level 2. </w:t>
      </w:r>
    </w:p>
    <w:p w:rsidR="00FA4E39" w:rsidRDefault="00FA4E39" w:rsidP="00FA4E39">
      <w:pPr>
        <w:jc w:val="both"/>
        <w:rPr>
          <w:rFonts w:cs="Arial"/>
          <w:sz w:val="24"/>
          <w:lang w:val="en-US"/>
        </w:rPr>
      </w:pPr>
      <w:r w:rsidRPr="00FA4E39">
        <w:rPr>
          <w:rFonts w:cs="Arial"/>
          <w:sz w:val="24"/>
          <w:lang w:val="en-US"/>
        </w:rPr>
        <w:lastRenderedPageBreak/>
        <w:t>Furthermore, according to the Commission’s mandate, ESMA is invited to provide tec</w:t>
      </w:r>
      <w:r w:rsidRPr="00FA4E39">
        <w:rPr>
          <w:rFonts w:cs="Arial"/>
          <w:sz w:val="24"/>
          <w:lang w:val="en-US"/>
        </w:rPr>
        <w:t>h</w:t>
      </w:r>
      <w:r w:rsidRPr="00FA4E39">
        <w:rPr>
          <w:rFonts w:cs="Arial"/>
          <w:sz w:val="24"/>
          <w:lang w:val="en-US"/>
        </w:rPr>
        <w:t>nical advice on how to determine the conditions on which the relevant competent autho</w:t>
      </w:r>
      <w:r w:rsidRPr="00FA4E39">
        <w:rPr>
          <w:rFonts w:cs="Arial"/>
          <w:sz w:val="24"/>
          <w:lang w:val="en-US"/>
        </w:rPr>
        <w:t>r</w:t>
      </w:r>
      <w:r w:rsidRPr="00FA4E39">
        <w:rPr>
          <w:rFonts w:cs="Arial"/>
          <w:sz w:val="24"/>
          <w:lang w:val="en-US"/>
        </w:rPr>
        <w:t>ity may assess whether the cessation or the changing of an existing benchmark to co</w:t>
      </w:r>
      <w:r w:rsidRPr="00FA4E39">
        <w:rPr>
          <w:rFonts w:cs="Arial"/>
          <w:sz w:val="24"/>
          <w:lang w:val="en-US"/>
        </w:rPr>
        <w:t>n</w:t>
      </w:r>
      <w:r w:rsidRPr="00FA4E39">
        <w:rPr>
          <w:rFonts w:cs="Arial"/>
          <w:sz w:val="24"/>
          <w:lang w:val="en-US"/>
        </w:rPr>
        <w:t>form with the requirements of this Regulation could reasonably result in a force majeure event, frustrate or otherwise breach the terms of any financial contract or financial i</w:t>
      </w:r>
      <w:r w:rsidRPr="00FA4E39">
        <w:rPr>
          <w:rFonts w:cs="Arial"/>
          <w:sz w:val="24"/>
          <w:lang w:val="en-US"/>
        </w:rPr>
        <w:t>n</w:t>
      </w:r>
      <w:r w:rsidRPr="00FA4E39">
        <w:rPr>
          <w:rFonts w:cs="Arial"/>
          <w:sz w:val="24"/>
          <w:lang w:val="en-US"/>
        </w:rPr>
        <w:t>strument which references such benchmark. In our opinion there is no further empo</w:t>
      </w:r>
      <w:r w:rsidRPr="00FA4E39">
        <w:rPr>
          <w:rFonts w:cs="Arial"/>
          <w:sz w:val="24"/>
          <w:lang w:val="en-US"/>
        </w:rPr>
        <w:t>w</w:t>
      </w:r>
      <w:r w:rsidRPr="00FA4E39">
        <w:rPr>
          <w:rFonts w:cs="Arial"/>
          <w:sz w:val="24"/>
          <w:lang w:val="en-US"/>
        </w:rPr>
        <w:t>erment to specify any additional requirements or minimum thresholds in order to be able to apply the grandfathering provision specified in article 39(3) of the BMR.</w:t>
      </w:r>
    </w:p>
    <w:p w:rsidR="00FA4E39" w:rsidRPr="00FA4E39" w:rsidRDefault="00FA4E39" w:rsidP="00FA4E39">
      <w:pPr>
        <w:jc w:val="both"/>
        <w:rPr>
          <w:rFonts w:cs="Arial"/>
          <w:sz w:val="24"/>
          <w:lang w:val="en-US"/>
        </w:rPr>
      </w:pPr>
    </w:p>
    <w:p w:rsidR="00FA4E39" w:rsidRDefault="00FA4E39" w:rsidP="00FA4E39">
      <w:pPr>
        <w:jc w:val="both"/>
        <w:rPr>
          <w:rFonts w:cs="Arial"/>
          <w:sz w:val="24"/>
          <w:lang w:val="en-US"/>
        </w:rPr>
      </w:pPr>
      <w:r w:rsidRPr="00FA4E39">
        <w:rPr>
          <w:rFonts w:cs="Arial"/>
          <w:sz w:val="24"/>
          <w:lang w:val="en-US"/>
        </w:rPr>
        <w:t xml:space="preserve">The Discussion Paper states that the introduction of a quantitative limit is also justified by the significant decrease of the value of contracts referred to the relevant index. We understand that precisely because the benchmark has become of minor importance, the fact that it is non-compliant with the BMR poses little risk and, therefore, its continuity until the relevant contracts/instruments referencing it expire should not constitute any inconvenience. </w:t>
      </w:r>
    </w:p>
    <w:p w:rsidR="00FA4E39" w:rsidRPr="00FA4E39" w:rsidRDefault="00FA4E39" w:rsidP="00FA4E39">
      <w:pPr>
        <w:jc w:val="both"/>
        <w:rPr>
          <w:rFonts w:cs="Arial"/>
          <w:sz w:val="24"/>
          <w:lang w:val="en-US"/>
        </w:rPr>
      </w:pPr>
    </w:p>
    <w:p w:rsidR="00FA4E39" w:rsidRDefault="00FA4E39" w:rsidP="00FA4E39">
      <w:pPr>
        <w:jc w:val="both"/>
        <w:rPr>
          <w:rFonts w:cs="Arial"/>
          <w:sz w:val="24"/>
          <w:lang w:val="en-US"/>
        </w:rPr>
      </w:pPr>
      <w:r w:rsidRPr="00FA4E39">
        <w:rPr>
          <w:rFonts w:cs="Arial"/>
          <w:sz w:val="24"/>
          <w:lang w:val="en-US"/>
        </w:rPr>
        <w:t>Moreover, neither clarification nor further guidance is given in the Discussion Paper about what would happen with the remaining contracts linked to the non-compliant benchmark once the envisaged options occur. From a general market’s perspective, if there are only a few affected contracts the discontinuation may have a small impact; but from a particular consumers’ perspective, it will affect specific contracts and investors, with non-desired consequences and potential negative economic impacts for them. Continuity of all current benchmarks may not be essential for the appropriate functioning of the market but it is essential to avoid unforeseen impacts to private European co</w:t>
      </w:r>
      <w:r w:rsidRPr="00FA4E39">
        <w:rPr>
          <w:rFonts w:cs="Arial"/>
          <w:sz w:val="24"/>
          <w:lang w:val="en-US"/>
        </w:rPr>
        <w:t>n</w:t>
      </w:r>
      <w:r w:rsidRPr="00FA4E39">
        <w:rPr>
          <w:rFonts w:cs="Arial"/>
          <w:sz w:val="24"/>
          <w:lang w:val="en-US"/>
        </w:rPr>
        <w:t>sumers. And no new framework or formal regulation should lead to an automatic disru</w:t>
      </w:r>
      <w:r w:rsidRPr="00FA4E39">
        <w:rPr>
          <w:rFonts w:cs="Arial"/>
          <w:sz w:val="24"/>
          <w:lang w:val="en-US"/>
        </w:rPr>
        <w:t>p</w:t>
      </w:r>
      <w:r w:rsidRPr="00FA4E39">
        <w:rPr>
          <w:rFonts w:cs="Arial"/>
          <w:sz w:val="24"/>
          <w:lang w:val="en-US"/>
        </w:rPr>
        <w:t xml:space="preserve">tion of any current benchmark or to the frustration of financial contracts/instruments only because the market will not be affected. </w:t>
      </w:r>
    </w:p>
    <w:p w:rsidR="00FA4E39" w:rsidRPr="00FA4E39" w:rsidRDefault="00FA4E39" w:rsidP="00FA4E39">
      <w:pPr>
        <w:jc w:val="both"/>
        <w:rPr>
          <w:rFonts w:cs="Arial"/>
          <w:sz w:val="24"/>
          <w:lang w:val="en-US"/>
        </w:rPr>
      </w:pPr>
    </w:p>
    <w:p w:rsidR="009A2624" w:rsidRPr="00FA4E39" w:rsidRDefault="00FA4E39" w:rsidP="00FA4E39">
      <w:pPr>
        <w:jc w:val="both"/>
        <w:rPr>
          <w:rFonts w:cs="Arial"/>
          <w:sz w:val="24"/>
          <w:lang w:val="en-US"/>
        </w:rPr>
      </w:pPr>
      <w:r w:rsidRPr="00FA4E39">
        <w:rPr>
          <w:rFonts w:cs="Arial"/>
          <w:sz w:val="24"/>
          <w:lang w:val="en-US"/>
        </w:rPr>
        <w:t>In view of the above, we encourage ESMA to consider grandfathering indefinitely certain benchmarks (provided that the conditions foreseen in art. 39(3) are fulfilled) to permit their continued use in existing contracts that were in force before the Regulation until they expire in order to minimize the risk of contract frustration.</w:t>
      </w:r>
    </w:p>
    <w:permEnd w:id="106"/>
    <w:p w:rsidR="009A2624" w:rsidRDefault="009A2624" w:rsidP="009A2624">
      <w:r>
        <w:t>&lt;ESMA_QUESTION_DP_BMR_106&gt;</w:t>
      </w:r>
    </w:p>
    <w:p w:rsidR="009A2624" w:rsidRDefault="009A2624" w:rsidP="009A2624"/>
    <w:p w:rsidR="009A2624" w:rsidRPr="007F44BF" w:rsidRDefault="009A2624" w:rsidP="002342EC">
      <w:pPr>
        <w:pStyle w:val="Questionstyle"/>
      </w:pPr>
      <w:r w:rsidRPr="007F44BF">
        <w:t>Which thresholds would be appropriate to foresee and how might a time limit be fixed? Please detail the reasons behind any suggestion.</w:t>
      </w:r>
    </w:p>
    <w:p w:rsidR="009A2624" w:rsidRDefault="009A2624" w:rsidP="009A2624">
      <w:r>
        <w:t>&lt;ESMA_QUESTION_DP_BMR_107&gt;</w:t>
      </w:r>
    </w:p>
    <w:p w:rsidR="009A2624" w:rsidRPr="00FA4E39" w:rsidRDefault="00FA4E39" w:rsidP="00FA4E39">
      <w:pPr>
        <w:jc w:val="both"/>
        <w:rPr>
          <w:rFonts w:cs="Arial"/>
          <w:sz w:val="24"/>
          <w:lang w:val="en-US"/>
        </w:rPr>
      </w:pPr>
      <w:permStart w:id="107" w:edGrp="everyone"/>
      <w:r w:rsidRPr="00FA4E39">
        <w:rPr>
          <w:rFonts w:cs="Arial"/>
          <w:sz w:val="24"/>
          <w:lang w:val="en-US"/>
        </w:rPr>
        <w:t>Please, see our response to Q106.</w:t>
      </w:r>
    </w:p>
    <w:permEnd w:id="107"/>
    <w:p w:rsidR="009A2624" w:rsidRDefault="009A2624" w:rsidP="009A2624">
      <w:r>
        <w:t>&lt;ESMA_QUESTION_DP_BMR_107&gt;</w:t>
      </w:r>
    </w:p>
    <w:p w:rsidR="009A2624" w:rsidRDefault="009A2624" w:rsidP="009A2624"/>
    <w:p w:rsidR="009A2624" w:rsidRPr="007F44BF" w:rsidRDefault="009A2624" w:rsidP="002342EC">
      <w:pPr>
        <w:pStyle w:val="Questionstyle"/>
      </w:pPr>
      <w:r w:rsidRPr="007F44BF">
        <w:t>Is the envisaged identification process of non-compliant benchmarks adequate? Do you have other suggestions?</w:t>
      </w:r>
    </w:p>
    <w:p w:rsidR="009A2624" w:rsidRDefault="009A2624" w:rsidP="009A2624">
      <w:r>
        <w:t>&lt;ESMA_QUESTION_DP_BMR_108&gt;</w:t>
      </w:r>
    </w:p>
    <w:p w:rsidR="00FA4E39" w:rsidRPr="00FA4E39" w:rsidRDefault="00FA4E39" w:rsidP="00FA4E39">
      <w:pPr>
        <w:tabs>
          <w:tab w:val="left" w:pos="7655"/>
        </w:tabs>
        <w:jc w:val="both"/>
        <w:rPr>
          <w:rFonts w:cs="Arial"/>
          <w:sz w:val="24"/>
          <w:lang w:val="en-US"/>
        </w:rPr>
      </w:pPr>
      <w:permStart w:id="108" w:edGrp="everyone"/>
      <w:r w:rsidRPr="00FA4E39">
        <w:rPr>
          <w:rFonts w:cs="Arial"/>
          <w:sz w:val="24"/>
          <w:lang w:val="en-US"/>
        </w:rPr>
        <w:t xml:space="preserve">In our opinion, the envisaged process would neither be feasible nor legally possible, as there would not be a specific empowerment in Level 1 to impose such obligations on national benchmark providers nor on supervised entities by way of the RTS.  </w:t>
      </w:r>
    </w:p>
    <w:p w:rsidR="009A2624" w:rsidRPr="00FA4E39" w:rsidRDefault="00FA4E39" w:rsidP="009A2624">
      <w:pPr>
        <w:rPr>
          <w:rFonts w:cs="Arial"/>
          <w:sz w:val="24"/>
          <w:lang w:val="en-US"/>
        </w:rPr>
      </w:pPr>
      <w:r w:rsidRPr="00FA4E39">
        <w:rPr>
          <w:rFonts w:cs="Arial"/>
          <w:sz w:val="24"/>
          <w:lang w:val="en-US"/>
        </w:rPr>
        <w:lastRenderedPageBreak/>
        <w:t>Participation by users in this process might be on a voluntary basis and should not be limited to supervised entities. If all users of the non-compliant benchmark may partic</w:t>
      </w:r>
      <w:r w:rsidRPr="00FA4E39">
        <w:rPr>
          <w:rFonts w:cs="Arial"/>
          <w:sz w:val="24"/>
          <w:lang w:val="en-US"/>
        </w:rPr>
        <w:t>i</w:t>
      </w:r>
      <w:r w:rsidRPr="00FA4E39">
        <w:rPr>
          <w:rFonts w:cs="Arial"/>
          <w:sz w:val="24"/>
          <w:lang w:val="en-US"/>
        </w:rPr>
        <w:t>pate in the process, t</w:t>
      </w:r>
      <w:r>
        <w:rPr>
          <w:rFonts w:cs="Arial"/>
          <w:sz w:val="24"/>
          <w:lang w:val="en-US"/>
        </w:rPr>
        <w:t>hat would be positive for all.</w:t>
      </w:r>
    </w:p>
    <w:permEnd w:id="108"/>
    <w:p w:rsidR="009A2624" w:rsidRDefault="009A2624" w:rsidP="009A2624">
      <w:r>
        <w:t>&lt;ESMA_QUESTION_DP_BMR_108&gt;</w:t>
      </w:r>
    </w:p>
    <w:p w:rsidR="009A2624" w:rsidRDefault="009A2624" w:rsidP="009A2624"/>
    <w:p w:rsidR="009A2624" w:rsidRPr="007F44BF" w:rsidRDefault="009A2624" w:rsidP="002342EC">
      <w:pPr>
        <w:pStyle w:val="Questionstyle"/>
      </w:pPr>
      <w:r w:rsidRPr="007F44BF">
        <w:t>Is the envisaged procedure enabling the competent authority to perform the assessment required by Article 39(3) correct in your view? Please advise what shall be considered in addition.</w:t>
      </w:r>
    </w:p>
    <w:p w:rsidR="009A2624" w:rsidRDefault="009A2624" w:rsidP="009A2624">
      <w:r>
        <w:t>&lt;ESMA_QUESTION_DP_BMR_109&gt;</w:t>
      </w:r>
    </w:p>
    <w:p w:rsidR="009A2624" w:rsidRPr="00FA4E39" w:rsidRDefault="00FA4E39" w:rsidP="00FA4E39">
      <w:pPr>
        <w:jc w:val="both"/>
        <w:rPr>
          <w:rFonts w:cs="Arial"/>
          <w:sz w:val="24"/>
          <w:lang w:val="en-US"/>
        </w:rPr>
      </w:pPr>
      <w:permStart w:id="109" w:edGrp="everyone"/>
      <w:r w:rsidRPr="00FA4E39">
        <w:rPr>
          <w:rFonts w:cs="Arial"/>
          <w:sz w:val="24"/>
          <w:lang w:val="en-US"/>
        </w:rPr>
        <w:t>We refer to our answer to question 108 regarding our doubts about the legality of this procedure.</w:t>
      </w:r>
    </w:p>
    <w:permEnd w:id="109"/>
    <w:p w:rsidR="009A2624" w:rsidRDefault="009A2624" w:rsidP="009A2624">
      <w:r>
        <w:t>&lt;ESMA_QUESTION_DP_BMR_109&gt;</w:t>
      </w:r>
    </w:p>
    <w:p w:rsidR="009A2624" w:rsidRDefault="009A2624" w:rsidP="009A2624"/>
    <w:p w:rsidR="009A2624" w:rsidRPr="007F44BF" w:rsidRDefault="009A2624" w:rsidP="002342EC">
      <w:pPr>
        <w:pStyle w:val="Questionstyle"/>
      </w:pPr>
      <w:r w:rsidRPr="007F44BF">
        <w:t>Which information it would be opportune to receive by benchmark providers on the one side and benchmark users that are supervised entities on the other side?</w:t>
      </w:r>
    </w:p>
    <w:p w:rsidR="009A2624" w:rsidRDefault="009A2624" w:rsidP="009A2624">
      <w:r>
        <w:t>&lt;ESMA_QUESTION_DP_BMR_110&gt;</w:t>
      </w:r>
    </w:p>
    <w:p w:rsidR="00FA4E39" w:rsidRDefault="00FA4E39" w:rsidP="00FA4E39">
      <w:pPr>
        <w:jc w:val="both"/>
        <w:rPr>
          <w:rFonts w:cs="Arial"/>
          <w:sz w:val="24"/>
          <w:lang w:val="en-US"/>
        </w:rPr>
      </w:pPr>
      <w:permStart w:id="110" w:edGrp="everyone"/>
      <w:r w:rsidRPr="00FA4E39">
        <w:rPr>
          <w:rFonts w:cs="Arial"/>
          <w:sz w:val="24"/>
          <w:lang w:val="en-US"/>
        </w:rPr>
        <w:t>As, in our opinion, this information should have to be provided on a voluntary basis due to the lack of empowerment in the Level 1:</w:t>
      </w:r>
    </w:p>
    <w:p w:rsidR="00FA4E39" w:rsidRPr="00FA4E39" w:rsidRDefault="00FA4E39" w:rsidP="00FA4E39">
      <w:pPr>
        <w:jc w:val="both"/>
        <w:rPr>
          <w:rFonts w:cs="Arial"/>
          <w:sz w:val="24"/>
          <w:lang w:val="en-US"/>
        </w:rPr>
      </w:pPr>
    </w:p>
    <w:p w:rsidR="00FA4E39" w:rsidRDefault="00FA4E39" w:rsidP="00FA4E39">
      <w:pPr>
        <w:ind w:left="708"/>
        <w:jc w:val="both"/>
        <w:rPr>
          <w:rFonts w:cs="Arial"/>
          <w:sz w:val="24"/>
          <w:lang w:val="en-US"/>
        </w:rPr>
      </w:pPr>
      <w:r w:rsidRPr="00FA4E39">
        <w:rPr>
          <w:rFonts w:cs="Arial"/>
          <w:sz w:val="24"/>
          <w:lang w:val="en-US"/>
        </w:rPr>
        <w:t>-We would suggest all users and not only supervised entities providing info</w:t>
      </w:r>
      <w:r w:rsidRPr="00FA4E39">
        <w:rPr>
          <w:rFonts w:cs="Arial"/>
          <w:sz w:val="24"/>
          <w:lang w:val="en-US"/>
        </w:rPr>
        <w:t>r</w:t>
      </w:r>
      <w:r w:rsidRPr="00FA4E39">
        <w:rPr>
          <w:rFonts w:cs="Arial"/>
          <w:sz w:val="24"/>
          <w:lang w:val="en-US"/>
        </w:rPr>
        <w:t>mation;</w:t>
      </w:r>
    </w:p>
    <w:p w:rsidR="00FA4E39" w:rsidRPr="00FA4E39" w:rsidRDefault="00FA4E39" w:rsidP="00FA4E39">
      <w:pPr>
        <w:ind w:left="708"/>
        <w:jc w:val="both"/>
        <w:rPr>
          <w:rFonts w:cs="Arial"/>
          <w:sz w:val="24"/>
          <w:lang w:val="en-US"/>
        </w:rPr>
      </w:pPr>
    </w:p>
    <w:p w:rsidR="00FA4E39" w:rsidRDefault="00FA4E39" w:rsidP="00FA4E39">
      <w:pPr>
        <w:ind w:left="708"/>
        <w:jc w:val="both"/>
        <w:rPr>
          <w:rFonts w:cs="Arial"/>
          <w:sz w:val="24"/>
          <w:lang w:val="en-US"/>
        </w:rPr>
      </w:pPr>
      <w:r w:rsidRPr="00FA4E39">
        <w:rPr>
          <w:rFonts w:cs="Arial"/>
          <w:sz w:val="24"/>
          <w:lang w:val="en-US"/>
        </w:rPr>
        <w:t xml:space="preserve">-If information to be provided is too exhaustive, that would disincentive users to provide it, as that may imply costly and time consuming process. Information about number of contracts and figures linked to the non-compliant benchmarks should be enough. </w:t>
      </w:r>
    </w:p>
    <w:p w:rsidR="00FA4E39" w:rsidRPr="00FA4E39" w:rsidRDefault="00FA4E39" w:rsidP="00FA4E39">
      <w:pPr>
        <w:ind w:left="708"/>
        <w:jc w:val="both"/>
        <w:rPr>
          <w:rFonts w:cs="Arial"/>
          <w:sz w:val="24"/>
          <w:lang w:val="en-US"/>
        </w:rPr>
      </w:pPr>
    </w:p>
    <w:p w:rsidR="009A2624" w:rsidRPr="00FA4E39" w:rsidRDefault="00FA4E39" w:rsidP="00FA4E39">
      <w:pPr>
        <w:jc w:val="both"/>
        <w:rPr>
          <w:rFonts w:cs="Arial"/>
          <w:sz w:val="24"/>
          <w:lang w:val="en-US"/>
        </w:rPr>
      </w:pPr>
      <w:r w:rsidRPr="00FA4E39">
        <w:rPr>
          <w:rFonts w:cs="Arial"/>
          <w:sz w:val="24"/>
          <w:lang w:val="en-US"/>
        </w:rPr>
        <w:t>In the event that Level 1 final text finally foresees the possibility of imposing an oblig</w:t>
      </w:r>
      <w:r w:rsidRPr="00FA4E39">
        <w:rPr>
          <w:rFonts w:cs="Arial"/>
          <w:sz w:val="24"/>
          <w:lang w:val="en-US"/>
        </w:rPr>
        <w:t>a</w:t>
      </w:r>
      <w:r w:rsidRPr="00FA4E39">
        <w:rPr>
          <w:rFonts w:cs="Arial"/>
          <w:sz w:val="24"/>
          <w:lang w:val="en-US"/>
        </w:rPr>
        <w:t>tion on users to provide certain information on non-compliant benchmarks, it would be important that such information would be linked to the information that users shall mai</w:t>
      </w:r>
      <w:r w:rsidRPr="00FA4E39">
        <w:rPr>
          <w:rFonts w:cs="Arial"/>
          <w:sz w:val="24"/>
          <w:lang w:val="en-US"/>
        </w:rPr>
        <w:t>n</w:t>
      </w:r>
      <w:r w:rsidRPr="00FA4E39">
        <w:rPr>
          <w:rFonts w:cs="Arial"/>
          <w:sz w:val="24"/>
          <w:lang w:val="en-US"/>
        </w:rPr>
        <w:t xml:space="preserve">tain into theirs records due to BMR or any other current legislation. </w:t>
      </w:r>
    </w:p>
    <w:permEnd w:id="110"/>
    <w:p w:rsidR="009A2624" w:rsidRDefault="009A2624" w:rsidP="009A2624">
      <w:r>
        <w:t>&lt;ESMA_QUESTION_DP_BMR_110&gt;</w:t>
      </w:r>
    </w:p>
    <w:p w:rsidR="009A2624" w:rsidRDefault="009A2624" w:rsidP="009A2624"/>
    <w:p w:rsidR="009A2624" w:rsidRPr="007F44BF" w:rsidRDefault="009A2624" w:rsidP="002342EC">
      <w:pPr>
        <w:pStyle w:val="Questionstyle"/>
      </w:pPr>
      <w:r w:rsidRPr="007F44BF">
        <w:t xml:space="preserve">Do you agree that the different users of a benchmark that are supervised entities should liaise directly with the competent authority of the administrator and not with the respective competent authorities (if different)? </w:t>
      </w:r>
    </w:p>
    <w:p w:rsidR="009A2624" w:rsidRDefault="009A2624" w:rsidP="009A2624">
      <w:r>
        <w:t>&lt;ESMA_QUESTION_DP_BMR_111&gt;</w:t>
      </w:r>
    </w:p>
    <w:p w:rsidR="00FA4E39" w:rsidRDefault="00FA4E39" w:rsidP="00FA4E39">
      <w:pPr>
        <w:jc w:val="both"/>
        <w:rPr>
          <w:rFonts w:cs="Arial"/>
          <w:sz w:val="24"/>
          <w:lang w:val="en-US"/>
        </w:rPr>
      </w:pPr>
      <w:permStart w:id="111" w:edGrp="everyone"/>
      <w:r w:rsidRPr="00FA4E39">
        <w:rPr>
          <w:rFonts w:cs="Arial"/>
          <w:sz w:val="24"/>
          <w:lang w:val="en-US"/>
        </w:rPr>
        <w:t xml:space="preserve">No. In our view, users of a benchmark that are supervised entities should liaise with their respective competent authority. </w:t>
      </w:r>
    </w:p>
    <w:p w:rsidR="00FA4E39" w:rsidRPr="00FA4E39" w:rsidRDefault="00FA4E39" w:rsidP="00FA4E39">
      <w:pPr>
        <w:jc w:val="both"/>
        <w:rPr>
          <w:rFonts w:cs="Arial"/>
          <w:sz w:val="24"/>
          <w:lang w:val="en-US"/>
        </w:rPr>
      </w:pPr>
    </w:p>
    <w:p w:rsidR="00FA4E39" w:rsidRDefault="00FA4E39" w:rsidP="00FA4E39">
      <w:pPr>
        <w:jc w:val="both"/>
        <w:rPr>
          <w:rFonts w:cs="Arial"/>
          <w:sz w:val="24"/>
          <w:lang w:val="en-US"/>
        </w:rPr>
      </w:pPr>
      <w:r w:rsidRPr="00FA4E39">
        <w:rPr>
          <w:rFonts w:cs="Arial"/>
          <w:sz w:val="24"/>
          <w:lang w:val="en-US"/>
        </w:rPr>
        <w:t>In addition to our concerns regarding the feasibility and legality of this process, we do not agree with the possibility of entities liaising directly with the NCA of the benchmark provider instead of with their own NCA. That may imply, for instance, additional pro</w:t>
      </w:r>
      <w:r w:rsidRPr="00FA4E39">
        <w:rPr>
          <w:rFonts w:cs="Arial"/>
          <w:sz w:val="24"/>
          <w:lang w:val="en-US"/>
        </w:rPr>
        <w:t>b</w:t>
      </w:r>
      <w:r w:rsidRPr="00FA4E39">
        <w:rPr>
          <w:rFonts w:cs="Arial"/>
          <w:sz w:val="24"/>
          <w:lang w:val="en-US"/>
        </w:rPr>
        <w:t>lems regarding national administrative law, potential different treatment to users in di</w:t>
      </w:r>
      <w:r w:rsidRPr="00FA4E39">
        <w:rPr>
          <w:rFonts w:cs="Arial"/>
          <w:sz w:val="24"/>
          <w:lang w:val="en-US"/>
        </w:rPr>
        <w:t>f</w:t>
      </w:r>
      <w:r w:rsidRPr="00FA4E39">
        <w:rPr>
          <w:rFonts w:cs="Arial"/>
          <w:sz w:val="24"/>
          <w:lang w:val="en-US"/>
        </w:rPr>
        <w:t>ferent countries, confidentiality concerns when delivering the information, etc.</w:t>
      </w:r>
    </w:p>
    <w:p w:rsidR="00FA4E39" w:rsidRPr="00FA4E39" w:rsidRDefault="00FA4E39" w:rsidP="00FA4E39">
      <w:pPr>
        <w:jc w:val="both"/>
        <w:rPr>
          <w:rFonts w:cs="Arial"/>
          <w:sz w:val="24"/>
          <w:lang w:val="en-US"/>
        </w:rPr>
      </w:pPr>
    </w:p>
    <w:p w:rsidR="009A2624" w:rsidRPr="00FA4E39" w:rsidRDefault="00FA4E39" w:rsidP="00FA4E39">
      <w:pPr>
        <w:jc w:val="both"/>
        <w:rPr>
          <w:rFonts w:cs="Arial"/>
          <w:sz w:val="24"/>
          <w:lang w:val="en-US"/>
        </w:rPr>
      </w:pPr>
      <w:r w:rsidRPr="00FA4E39">
        <w:rPr>
          <w:rFonts w:cs="Arial"/>
          <w:sz w:val="24"/>
          <w:lang w:val="en-US"/>
        </w:rPr>
        <w:lastRenderedPageBreak/>
        <w:t>Finally, there will be also language barriers when the official language of the competent authority is different than the language of the user.</w:t>
      </w:r>
    </w:p>
    <w:permEnd w:id="111"/>
    <w:p w:rsidR="009A2624" w:rsidRDefault="009A2624" w:rsidP="009A2624">
      <w:r>
        <w:t>&lt;ESMA_QUESTION_DP_BMR_111&gt;</w:t>
      </w:r>
    </w:p>
    <w:p w:rsidR="009A2624" w:rsidRDefault="009A2624" w:rsidP="009A2624"/>
    <w:p w:rsidR="009A2624" w:rsidRPr="007F44BF" w:rsidRDefault="009A2624" w:rsidP="002342EC">
      <w:pPr>
        <w:pStyle w:val="Questionstyle"/>
      </w:pPr>
      <w:r w:rsidRPr="007F44BF">
        <w:t>Would it be possible for relevant benchmark providers/users that are supervised entities to provide to the competent authority an estimate of the number and value of financial instr</w:t>
      </w:r>
      <w:r w:rsidRPr="007F44BF">
        <w:t>u</w:t>
      </w:r>
      <w:r w:rsidRPr="007F44BF">
        <w:t>ments/contracts referencing to a non-compliant benchmark being affected by the cess</w:t>
      </w:r>
      <w:r w:rsidRPr="007F44BF">
        <w:t>a</w:t>
      </w:r>
      <w:r w:rsidRPr="007F44BF">
        <w:t>tion/adaptation of such benchmark?</w:t>
      </w:r>
    </w:p>
    <w:p w:rsidR="009A2624" w:rsidRDefault="009A2624" w:rsidP="009A2624">
      <w:r>
        <w:t>&lt;ESMA_QUESTION_DP_BMR_112&gt;</w:t>
      </w:r>
    </w:p>
    <w:p w:rsidR="009A2624" w:rsidRDefault="009A2624" w:rsidP="009A2624">
      <w:permStart w:id="112" w:edGrp="everyone"/>
      <w:r>
        <w:t>TYPE YOUR TEXT HERE</w:t>
      </w:r>
    </w:p>
    <w:permEnd w:id="112"/>
    <w:p w:rsidR="009A2624" w:rsidRDefault="009A2624" w:rsidP="009A2624">
      <w:r>
        <w:t>&lt;ESMA_QUESTION_DP_BMR_112&gt;</w:t>
      </w:r>
    </w:p>
    <w:p w:rsidR="009A2624" w:rsidRDefault="009A2624" w:rsidP="009A2624"/>
    <w:p w:rsidR="009A2624" w:rsidRDefault="009A2624" w:rsidP="002342EC">
      <w:pPr>
        <w:pStyle w:val="Questionstyle"/>
      </w:pPr>
      <w:r w:rsidRPr="007F44BF">
        <w:t>Would it be possible to evaluate how many out of these financial contracts or financial instr</w:t>
      </w:r>
      <w:r w:rsidRPr="007F44BF">
        <w:t>u</w:t>
      </w:r>
      <w:r w:rsidRPr="007F44BF">
        <w:t>ments are affected in a manner that the cessation/adaptation of the non-compliant benchmark would result in a force majeure event or frustration of contracts?</w:t>
      </w:r>
    </w:p>
    <w:p w:rsidR="009A2624" w:rsidRDefault="009A2624" w:rsidP="009A2624">
      <w:r>
        <w:t>&lt;ESMA_QUESTION_DP_BMR_113&gt;</w:t>
      </w:r>
    </w:p>
    <w:p w:rsidR="009A2624" w:rsidRDefault="009A2624" w:rsidP="009A2624">
      <w:permStart w:id="113" w:edGrp="everyone"/>
      <w:r>
        <w:t>TYPE YOUR TEXT HERE</w:t>
      </w:r>
    </w:p>
    <w:permEnd w:id="113"/>
    <w:p w:rsidR="009A2624" w:rsidRDefault="009A2624" w:rsidP="009A2624">
      <w:r>
        <w:t>&lt;ESMA_QUESTION_DP_BMR_113&gt;</w:t>
      </w:r>
    </w:p>
    <w:p w:rsidR="009A2624" w:rsidRDefault="009A2624" w:rsidP="009A2624"/>
    <w:p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5B3" w:rsidRDefault="00A135B3">
      <w:r>
        <w:separator/>
      </w:r>
    </w:p>
    <w:p w:rsidR="00A135B3" w:rsidRDefault="00A135B3"/>
  </w:endnote>
  <w:endnote w:type="continuationSeparator" w:id="0">
    <w:p w:rsidR="00A135B3" w:rsidRDefault="00A135B3">
      <w:r>
        <w:continuationSeparator/>
      </w:r>
    </w:p>
    <w:p w:rsidR="00A135B3" w:rsidRDefault="00A135B3"/>
  </w:endnote>
  <w:endnote w:type="continuationNotice" w:id="1">
    <w:p w:rsidR="00A135B3" w:rsidRDefault="00A135B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B6434B" w:rsidRPr="00616B9B" w:rsidTr="00315E96">
      <w:trPr>
        <w:trHeight w:val="284"/>
      </w:trPr>
      <w:tc>
        <w:tcPr>
          <w:tcW w:w="8460" w:type="dxa"/>
        </w:tcPr>
        <w:p w:rsidR="00B6434B" w:rsidRPr="00315E96" w:rsidRDefault="00B6434B" w:rsidP="00315E96">
          <w:pPr>
            <w:pStyle w:val="00Footer"/>
            <w:rPr>
              <w:lang w:val="fr-FR"/>
            </w:rPr>
          </w:pPr>
        </w:p>
      </w:tc>
      <w:tc>
        <w:tcPr>
          <w:tcW w:w="952" w:type="dxa"/>
        </w:tcPr>
        <w:p w:rsidR="00B6434B" w:rsidRPr="00616B9B" w:rsidRDefault="00020620" w:rsidP="002C5B2D">
          <w:pPr>
            <w:pStyle w:val="00aPagenumber"/>
            <w:rPr>
              <w:rFonts w:cs="Arial"/>
              <w:sz w:val="22"/>
              <w:szCs w:val="22"/>
            </w:rPr>
          </w:pPr>
          <w:r w:rsidRPr="00616B9B">
            <w:rPr>
              <w:rFonts w:cs="Arial"/>
              <w:sz w:val="22"/>
              <w:szCs w:val="22"/>
            </w:rPr>
            <w:fldChar w:fldCharType="begin"/>
          </w:r>
          <w:r w:rsidR="00B6434B" w:rsidRPr="00616B9B">
            <w:rPr>
              <w:rFonts w:cs="Arial"/>
              <w:sz w:val="22"/>
              <w:szCs w:val="22"/>
            </w:rPr>
            <w:instrText xml:space="preserve"> PAGE </w:instrText>
          </w:r>
          <w:r w:rsidRPr="00616B9B">
            <w:rPr>
              <w:rFonts w:cs="Arial"/>
              <w:sz w:val="22"/>
              <w:szCs w:val="22"/>
            </w:rPr>
            <w:fldChar w:fldCharType="separate"/>
          </w:r>
          <w:r w:rsidR="00515230">
            <w:rPr>
              <w:rFonts w:cs="Arial"/>
              <w:noProof/>
              <w:sz w:val="22"/>
              <w:szCs w:val="22"/>
            </w:rPr>
            <w:t>27</w:t>
          </w:r>
          <w:r w:rsidRPr="00616B9B">
            <w:rPr>
              <w:rFonts w:cs="Arial"/>
              <w:noProof/>
              <w:sz w:val="22"/>
              <w:szCs w:val="22"/>
            </w:rPr>
            <w:fldChar w:fldCharType="end"/>
          </w:r>
        </w:p>
      </w:tc>
    </w:tr>
  </w:tbl>
  <w:p w:rsidR="00B6434B" w:rsidRDefault="00B6434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4B" w:rsidRDefault="00B6434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5B3" w:rsidRDefault="00A135B3">
      <w:r>
        <w:separator/>
      </w:r>
    </w:p>
    <w:p w:rsidR="00A135B3" w:rsidRDefault="00A135B3"/>
  </w:footnote>
  <w:footnote w:type="continuationSeparator" w:id="0">
    <w:p w:rsidR="00A135B3" w:rsidRDefault="00A135B3">
      <w:r>
        <w:continuationSeparator/>
      </w:r>
    </w:p>
    <w:p w:rsidR="00A135B3" w:rsidRDefault="00A135B3"/>
  </w:footnote>
  <w:footnote w:type="continuationNotice" w:id="1">
    <w:p w:rsidR="00A135B3" w:rsidRDefault="00A135B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4B" w:rsidRDefault="00B6434B">
    <w:pPr>
      <w:pStyle w:val="Encabezado"/>
    </w:pPr>
    <w:r>
      <w:rPr>
        <w:noProof/>
        <w:lang w:val="es-ES" w:eastAsia="es-E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00020620">
      <w:rPr>
        <w:noProof/>
        <w:lang w:val="es-ES" w:eastAsia="es-ES"/>
      </w:rPr>
      <w:pict>
        <v:line id="Line 16" o:spid="_x0000_s4098"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4B" w:rsidRDefault="00B6434B" w:rsidP="00013CCE">
    <w:pPr>
      <w:pStyle w:val="Encabezado"/>
      <w:jc w:val="right"/>
    </w:pPr>
    <w:r>
      <w:rPr>
        <w:noProof/>
        <w:lang w:val="es-ES" w:eastAsia="es-E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es-ES" w:eastAsia="es-E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4B" w:rsidRDefault="00B6434B"/>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B6434B" w:rsidRPr="002F4496" w:rsidTr="000C06C9">
      <w:trPr>
        <w:trHeight w:val="284"/>
      </w:trPr>
      <w:tc>
        <w:tcPr>
          <w:tcW w:w="8460" w:type="dxa"/>
        </w:tcPr>
        <w:p w:rsidR="00B6434B" w:rsidRPr="000C3B6D" w:rsidRDefault="00B6434B" w:rsidP="000C06C9">
          <w:pPr>
            <w:pStyle w:val="00Footer"/>
            <w:rPr>
              <w:lang w:val="fr-FR"/>
            </w:rPr>
          </w:pPr>
        </w:p>
      </w:tc>
      <w:tc>
        <w:tcPr>
          <w:tcW w:w="952" w:type="dxa"/>
        </w:tcPr>
        <w:p w:rsidR="00B6434B" w:rsidRPr="00146B34" w:rsidRDefault="00B6434B" w:rsidP="000C06C9">
          <w:pPr>
            <w:pStyle w:val="00aPagenumber"/>
            <w:rPr>
              <w:lang w:val="fr-FR"/>
            </w:rPr>
          </w:pPr>
        </w:p>
      </w:tc>
    </w:tr>
  </w:tbl>
  <w:p w:rsidR="00B6434B" w:rsidRPr="00DB46C3" w:rsidRDefault="00B6434B">
    <w:pPr>
      <w:rPr>
        <w:lang w:val="fr-FR"/>
      </w:rPr>
    </w:pPr>
  </w:p>
  <w:p w:rsidR="00B6434B" w:rsidRPr="002F4496" w:rsidRDefault="00B6434B">
    <w:pPr>
      <w:pStyle w:val="Encabezado"/>
      <w:rPr>
        <w:lang w:val="fr-FR"/>
      </w:rPr>
    </w:pPr>
  </w:p>
  <w:p w:rsidR="00B6434B" w:rsidRPr="002F4496" w:rsidRDefault="00B6434B" w:rsidP="000C06C9">
    <w:pPr>
      <w:pStyle w:val="Encabezado"/>
      <w:tabs>
        <w:tab w:val="clear" w:pos="4536"/>
        <w:tab w:val="clear" w:pos="9072"/>
        <w:tab w:val="left" w:pos="8227"/>
      </w:tabs>
      <w:rPr>
        <w:lang w:val="fr-FR"/>
      </w:rPr>
    </w:pPr>
  </w:p>
  <w:p w:rsidR="00B6434B" w:rsidRPr="002F4496" w:rsidRDefault="00B6434B" w:rsidP="000C06C9">
    <w:pPr>
      <w:pStyle w:val="Encabezado"/>
      <w:tabs>
        <w:tab w:val="clear" w:pos="4536"/>
        <w:tab w:val="clear" w:pos="9072"/>
        <w:tab w:val="left" w:pos="8227"/>
      </w:tabs>
      <w:rPr>
        <w:lang w:val="fr-FR"/>
      </w:rPr>
    </w:pPr>
  </w:p>
  <w:p w:rsidR="00B6434B" w:rsidRPr="002F4496" w:rsidRDefault="00B6434B">
    <w:pPr>
      <w:pStyle w:val="Encabezado"/>
      <w:rPr>
        <w:lang w:val="fr-FR"/>
      </w:rPr>
    </w:pPr>
  </w:p>
  <w:p w:rsidR="00B6434B" w:rsidRPr="002F4496" w:rsidRDefault="00B6434B">
    <w:pPr>
      <w:pStyle w:val="Encabezado"/>
      <w:rPr>
        <w:lang w:val="fr-FR"/>
      </w:rPr>
    </w:pPr>
  </w:p>
  <w:p w:rsidR="00B6434B" w:rsidRPr="002F4496" w:rsidRDefault="00B6434B">
    <w:pPr>
      <w:pStyle w:val="Encabezado"/>
      <w:rPr>
        <w:lang w:val="fr-FR"/>
      </w:rPr>
    </w:pPr>
  </w:p>
  <w:p w:rsidR="00B6434B" w:rsidRPr="002F4496" w:rsidRDefault="00B6434B">
    <w:pPr>
      <w:pStyle w:val="Encabezado"/>
      <w:rPr>
        <w:lang w:val="fr-FR"/>
      </w:rPr>
    </w:pPr>
  </w:p>
  <w:p w:rsidR="00B6434B" w:rsidRPr="002F4496" w:rsidRDefault="00B6434B">
    <w:pPr>
      <w:pStyle w:val="Encabezado"/>
      <w:rPr>
        <w:highlight w:val="yellow"/>
        <w:lang w:val="fr-FR"/>
      </w:rPr>
    </w:pPr>
  </w:p>
  <w:p w:rsidR="00B6434B" w:rsidRDefault="00020620">
    <w:pPr>
      <w:pStyle w:val="Encabezado"/>
    </w:pPr>
    <w:r>
      <w:rPr>
        <w:noProof/>
        <w:lang w:val="es-ES" w:eastAsia="es-ES"/>
      </w:rPr>
      <w:pict>
        <v:line id="Straight Connector 138" o:spid="_x0000_s4097"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sidR="00B6434B">
      <w:rPr>
        <w:noProof/>
        <w:lang w:val="es-ES" w:eastAsia="es-E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B6809"/>
    <w:multiLevelType w:val="hybridMultilevel"/>
    <w:tmpl w:val="660093A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0"/>
  </w:num>
  <w:num w:numId="25">
    <w:abstractNumId w:val="29"/>
  </w:num>
  <w:num w:numId="26">
    <w:abstractNumId w:val="20"/>
  </w:num>
  <w:num w:numId="27">
    <w:abstractNumId w:val="33"/>
  </w:num>
  <w:num w:numId="28">
    <w:abstractNumId w:val="40"/>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5"/>
  </w:num>
  <w:num w:numId="36">
    <w:abstractNumId w:val="34"/>
  </w:num>
  <w:num w:numId="37">
    <w:abstractNumId w:val="12"/>
  </w:num>
  <w:num w:numId="38">
    <w:abstractNumId w:val="3"/>
  </w:num>
  <w:num w:numId="39">
    <w:abstractNumId w:val="38"/>
  </w:num>
  <w:num w:numId="40">
    <w:abstractNumId w:val="3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F01"/>
  <w:documentProtection w:edit="readOnly" w:enforcement="1" w:cryptProviderType="rsaFull" w:cryptAlgorithmClass="hash" w:cryptAlgorithmType="typeAny" w:cryptAlgorithmSid="4" w:cryptSpinCount="100000" w:hash="d4hXHTwV+8tzQ+64uFVbj4nB/CE=" w:salt="uAGLBiGOJ16iFctlZPqyxA=="/>
  <w:defaultTabStop w:val="709"/>
  <w:autoHyphenation/>
  <w:hyphenationZone w:val="567"/>
  <w:characterSpacingControl w:val="doNotCompress"/>
  <w:hdrShapeDefaults>
    <o:shapedefaults v:ext="edit" spidmax="5122">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620"/>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371F"/>
    <w:rsid w:val="000B55C0"/>
    <w:rsid w:val="000B5DF2"/>
    <w:rsid w:val="000C06C9"/>
    <w:rsid w:val="000C1DCC"/>
    <w:rsid w:val="000C1FBC"/>
    <w:rsid w:val="000C28EF"/>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191"/>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42F"/>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0D8A"/>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2C11"/>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523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5B6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7F7A"/>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7C1A"/>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C6D7D"/>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77D07"/>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5B3"/>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4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1E2C"/>
    <w:rsid w:val="00BE425B"/>
    <w:rsid w:val="00BE51BB"/>
    <w:rsid w:val="00BE5F12"/>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7E8"/>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6D61"/>
    <w:rsid w:val="00C47A2F"/>
    <w:rsid w:val="00C50D18"/>
    <w:rsid w:val="00C51179"/>
    <w:rsid w:val="00C5282C"/>
    <w:rsid w:val="00C52FBE"/>
    <w:rsid w:val="00C5355E"/>
    <w:rsid w:val="00C535E2"/>
    <w:rsid w:val="00C53FC1"/>
    <w:rsid w:val="00C560F5"/>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4E39"/>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Ttulo1">
    <w:name w:val="heading 1"/>
    <w:basedOn w:val="Normal"/>
    <w:next w:val="Normal"/>
    <w:link w:val="Ttulo1Car"/>
    <w:qFormat/>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rsid w:val="00886A60"/>
    <w:pPr>
      <w:keepNext/>
      <w:keepLines/>
      <w:spacing w:before="200" w:after="120"/>
      <w:outlineLvl w:val="1"/>
    </w:pPr>
    <w:rPr>
      <w:b/>
      <w:bCs/>
      <w:szCs w:val="26"/>
    </w:rPr>
  </w:style>
  <w:style w:type="paragraph" w:styleId="Ttulo3">
    <w:name w:val="heading 3"/>
    <w:basedOn w:val="Normal"/>
    <w:next w:val="Normal"/>
    <w:link w:val="Ttulo3Car"/>
    <w:qFormat/>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qFormat/>
    <w:rsid w:val="00E9344E"/>
    <w:pPr>
      <w:keepNext/>
      <w:keepLines/>
      <w:numPr>
        <w:numId w:val="13"/>
      </w:numPr>
      <w:spacing w:before="200"/>
      <w:jc w:val="both"/>
      <w:outlineLvl w:val="4"/>
    </w:pPr>
    <w:rPr>
      <w:b/>
    </w:rPr>
  </w:style>
  <w:style w:type="paragraph" w:styleId="Ttulo6">
    <w:name w:val="heading 6"/>
    <w:basedOn w:val="Normal"/>
    <w:next w:val="Normal"/>
    <w:link w:val="Ttulo6Car"/>
    <w:qFormat/>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B64CB"/>
    <w:pPr>
      <w:tabs>
        <w:tab w:val="center" w:pos="4536"/>
        <w:tab w:val="right" w:pos="9072"/>
      </w:tabs>
    </w:pPr>
  </w:style>
  <w:style w:type="paragraph" w:styleId="Piedepgina">
    <w:name w:val="footer"/>
    <w:basedOn w:val="Normal"/>
    <w:link w:val="PiedepginaCar"/>
    <w:rsid w:val="005B64CB"/>
    <w:pPr>
      <w:tabs>
        <w:tab w:val="center" w:pos="4536"/>
        <w:tab w:val="right" w:pos="9072"/>
      </w:tabs>
    </w:pPr>
  </w:style>
  <w:style w:type="table" w:styleId="Tablaconcuadrcula">
    <w:name w:val="Table Grid"/>
    <w:basedOn w:val="Tabla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merodepgina">
    <w:name w:val="page number"/>
    <w:basedOn w:val="Fuentedeprrafopredeter"/>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vnculo">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TextonotapieCar"/>
    <w:uiPriority w:val="99"/>
    <w:qFormat/>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D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efdecomentario">
    <w:name w:val="annotation reference"/>
    <w:rsid w:val="004B1E61"/>
    <w:rPr>
      <w:sz w:val="16"/>
      <w:szCs w:val="16"/>
    </w:rPr>
  </w:style>
  <w:style w:type="paragraph" w:styleId="Textocomentario">
    <w:name w:val="annotation text"/>
    <w:basedOn w:val="Normal"/>
    <w:link w:val="TextocomentarioCar"/>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
    <w:basedOn w:val="Normal"/>
    <w:link w:val="PrrafodelistaCar"/>
    <w:uiPriority w:val="34"/>
    <w:qFormat/>
    <w:rsid w:val="002A0C82"/>
    <w:pPr>
      <w:ind w:left="720"/>
      <w:contextualSpacing/>
    </w:pPr>
  </w:style>
  <w:style w:type="paragraph" w:styleId="TtulodeTDC">
    <w:name w:val="TOC Heading"/>
    <w:basedOn w:val="Ttulo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fasis">
    <w:name w:val="Emphasis"/>
    <w:uiPriority w:val="20"/>
    <w:qFormat/>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Epgraf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eldocumento">
    <w:name w:val="Document Map"/>
    <w:basedOn w:val="Normal"/>
    <w:link w:val="MapadeldocumentoCar"/>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Textoennegrita">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rsid w:val="002D6E1A"/>
  </w:style>
  <w:style w:type="character" w:styleId="Hipervnculovisitado">
    <w:name w:val="FollowedHyperlink"/>
    <w:unhideWhenUs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rsid w:val="002D6E1A"/>
    <w:rPr>
      <w:rFonts w:ascii="Georgia" w:hAnsi="Georgia"/>
      <w:sz w:val="22"/>
      <w:szCs w:val="24"/>
      <w:lang w:eastAsia="de-DE"/>
    </w:rPr>
  </w:style>
  <w:style w:type="paragraph" w:styleId="Textonotaalfinal">
    <w:name w:val="endnote text"/>
    <w:basedOn w:val="Normal"/>
    <w:link w:val="TextonotaalfinalCar"/>
    <w:unhideWhenUs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
    <w:link w:val="Prrafodelista"/>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rsid w:val="002D6E1A"/>
    <w:rPr>
      <w:vertAlign w:val="superscript"/>
    </w:rPr>
  </w:style>
  <w:style w:type="character" w:styleId="Textodelmarcadordeposicin">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a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Si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tulo5Car">
    <w:name w:val="Título 5 Car"/>
    <w:aliases w:val="Questions Car"/>
    <w:link w:val="Ttulo5"/>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tu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Ttulo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aconnme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rPr>
  </w:style>
  <w:style w:type="paragraph" w:customStyle="1" w:styleId="04fBodytextline">
    <w:name w:val="04f_Body text line"/>
    <w:basedOn w:val="04BodyText"/>
    <w:rsid w:val="000D2D0B"/>
    <w:pPr>
      <w:pBdr>
        <w:bottom w:val="single" w:sz="4" w:space="12" w:color="000000"/>
      </w:pBdr>
      <w:tabs>
        <w:tab w:val="left" w:pos="454"/>
      </w:tabs>
    </w:pPr>
    <w:rPr>
      <w:color w:val="000000"/>
      <w:lang/>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rPr>
  </w:style>
  <w:style w:type="character" w:customStyle="1" w:styleId="aStyle1Char">
    <w:name w:val="a. Style1 Char"/>
    <w:link w:val="aStyle1"/>
    <w:rsid w:val="000D2D0B"/>
    <w:rPr>
      <w:rFonts w:ascii="Arial" w:hAnsi="Arial"/>
      <w:lang/>
    </w:rPr>
  </w:style>
  <w:style w:type="paragraph" w:styleId="Ttulo">
    <w:name w:val="Title"/>
    <w:basedOn w:val="Normal"/>
    <w:next w:val="Normal"/>
    <w:link w:val="Ttulo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Fuentedeprrafopredeter"/>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Fuentedeprrafopredeter"/>
    <w:link w:val="Questionstyle"/>
    <w:rsid w:val="009A2624"/>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76957538">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D424B-15E2-4CF7-9BF8-1664DC0E6BD8}">
  <ds:schemaRefs>
    <ds:schemaRef ds:uri="http://schemas.openxmlformats.org/officeDocument/2006/bibliography"/>
  </ds:schemaRefs>
</ds:datastoreItem>
</file>

<file path=customXml/itemProps2.xml><?xml version="1.0" encoding="utf-8"?>
<ds:datastoreItem xmlns:ds="http://schemas.openxmlformats.org/officeDocument/2006/customXml" ds:itemID="{D1ABD3AD-5692-4123-937D-F77510F2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9804</Words>
  <Characters>53925</Characters>
  <Application>Microsoft Office Word</Application>
  <DocSecurity>8</DocSecurity>
  <Lines>449</Lines>
  <Paragraphs>127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63602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Patricia Rodriguez</cp:lastModifiedBy>
  <cp:revision>3</cp:revision>
  <cp:lastPrinted>2016-03-31T14:30:00Z</cp:lastPrinted>
  <dcterms:created xsi:type="dcterms:W3CDTF">2016-03-31T14:29:00Z</dcterms:created>
  <dcterms:modified xsi:type="dcterms:W3CDTF">2016-03-31T14:43:00Z</dcterms:modified>
</cp:coreProperties>
</file>